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1189"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68ABE0E" wp14:editId="23A9F9AD">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D318685"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0025650" w14:textId="77777777" w:rsidR="00BC1364" w:rsidRPr="00F715D1" w:rsidRDefault="00BC1364" w:rsidP="00F715D1">
      <w:pPr>
        <w:pStyle w:val="Subtitle"/>
      </w:pPr>
      <w:r w:rsidRPr="00F715D1">
        <w:t xml:space="preserve">Application No. </w:t>
      </w:r>
      <w:r w:rsidR="00B35595" w:rsidRPr="00F715D1">
        <w:t>1</w:t>
      </w:r>
      <w:r w:rsidR="00F443A8">
        <w:t>40</w:t>
      </w:r>
      <w:r w:rsidR="00643218">
        <w:t>6</w:t>
      </w:r>
      <w:r w:rsidRPr="00F715D1">
        <w:t xml:space="preserve"> – </w:t>
      </w:r>
      <w:r w:rsidR="00643218" w:rsidRPr="00815444">
        <w:rPr>
          <w:vertAlign w:val="superscript"/>
        </w:rPr>
        <w:t>18</w:t>
      </w:r>
      <w:r w:rsidR="00643218" w:rsidRPr="00643218">
        <w:t>F-FDG PET for indolent non-Hodgkin’s lymphoma</w:t>
      </w:r>
    </w:p>
    <w:p w14:paraId="7AF145B0" w14:textId="746AC0A7" w:rsidR="006F4881" w:rsidRDefault="00B35595" w:rsidP="006F4881">
      <w:pPr>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r w:rsidR="004E7287">
        <w:rPr>
          <w:rFonts w:ascii="Arial" w:hAnsi="Arial" w:cs="Arial"/>
          <w:b/>
          <w:szCs w:val="24"/>
        </w:rPr>
        <w:t xml:space="preserve">Clinical Associate </w:t>
      </w:r>
      <w:r w:rsidR="006F4881">
        <w:rPr>
          <w:rFonts w:ascii="Arial" w:hAnsi="Arial" w:cs="Arial"/>
          <w:b/>
          <w:szCs w:val="24"/>
        </w:rPr>
        <w:t xml:space="preserve">Professor Judith </w:t>
      </w:r>
      <w:proofErr w:type="spellStart"/>
      <w:r w:rsidR="006F4881">
        <w:rPr>
          <w:rFonts w:ascii="Arial" w:hAnsi="Arial" w:cs="Arial"/>
          <w:b/>
          <w:szCs w:val="24"/>
        </w:rPr>
        <w:t>Trotman</w:t>
      </w:r>
      <w:proofErr w:type="spellEnd"/>
    </w:p>
    <w:p w14:paraId="34B6052B" w14:textId="150B5A84" w:rsidR="00F443A8" w:rsidRDefault="00643218" w:rsidP="006F4881">
      <w:pPr>
        <w:spacing w:after="240"/>
        <w:ind w:left="3600"/>
        <w:rPr>
          <w:rFonts w:ascii="Arial" w:hAnsi="Arial" w:cs="Arial"/>
          <w:b/>
          <w:szCs w:val="24"/>
        </w:rPr>
      </w:pPr>
      <w:r w:rsidRPr="00643218">
        <w:rPr>
          <w:rFonts w:ascii="Arial" w:hAnsi="Arial" w:cs="Arial"/>
          <w:b/>
          <w:szCs w:val="24"/>
        </w:rPr>
        <w:t>Concord Hospital, Haematology Department</w:t>
      </w:r>
    </w:p>
    <w:p w14:paraId="45F10EC0" w14:textId="77777777" w:rsidR="00BC1364" w:rsidRPr="00F715D1" w:rsidRDefault="00BC1364" w:rsidP="00F443A8">
      <w:pPr>
        <w:spacing w:after="240"/>
        <w:ind w:left="3600" w:hanging="360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4BCFA435" w14:textId="77777777" w:rsidR="00F715D1"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77DB5187" w14:textId="77777777" w:rsidR="008B0D1A" w:rsidRPr="00F715D1" w:rsidRDefault="008B0D1A" w:rsidP="00F715D1">
      <w:pPr>
        <w:spacing w:after="240"/>
        <w:rPr>
          <w:szCs w:val="24"/>
          <w:u w:val="single"/>
        </w:rPr>
      </w:pPr>
    </w:p>
    <w:p w14:paraId="33D3A4CD" w14:textId="77777777" w:rsidR="003D7F29" w:rsidRPr="00F715D1" w:rsidRDefault="003D7F29" w:rsidP="00F715D1">
      <w:pPr>
        <w:pStyle w:val="Heading1"/>
      </w:pPr>
      <w:r w:rsidRPr="00F715D1">
        <w:t>Purpose of application</w:t>
      </w:r>
      <w:r w:rsidR="00822C7E" w:rsidRPr="00F715D1">
        <w:t xml:space="preserve"> and links to other applications</w:t>
      </w:r>
    </w:p>
    <w:p w14:paraId="59661095" w14:textId="77777777" w:rsidR="00815444" w:rsidRDefault="00815444" w:rsidP="00815444">
      <w:pPr>
        <w:tabs>
          <w:tab w:val="left" w:pos="720"/>
          <w:tab w:val="left" w:pos="1140"/>
        </w:tabs>
      </w:pPr>
      <w:r w:rsidRPr="002701BE">
        <w:rPr>
          <w:szCs w:val="24"/>
        </w:rPr>
        <w:t xml:space="preserve">An application requesting </w:t>
      </w:r>
      <w:r>
        <w:t>expansion of</w:t>
      </w:r>
      <w:r w:rsidRPr="002701BE">
        <w:t xml:space="preserve"> the current </w:t>
      </w:r>
      <w:r w:rsidR="00AF5EFD">
        <w:t>Medicare Benefits Schedule (</w:t>
      </w:r>
      <w:r w:rsidRPr="002701BE">
        <w:t>MBS</w:t>
      </w:r>
      <w:r w:rsidR="00AF5EFD">
        <w:t>)</w:t>
      </w:r>
      <w:r w:rsidRPr="002701BE">
        <w:t xml:space="preserve"> item descriptors for </w:t>
      </w:r>
      <w:r w:rsidR="00C95DB6" w:rsidRPr="00067EFD">
        <w:rPr>
          <w:szCs w:val="24"/>
          <w:vertAlign w:val="superscript"/>
        </w:rPr>
        <w:t>18</w:t>
      </w:r>
      <w:r w:rsidR="00C95DB6" w:rsidRPr="00067EFD">
        <w:rPr>
          <w:szCs w:val="24"/>
        </w:rPr>
        <w:t xml:space="preserve">F-FDG PET/CT </w:t>
      </w:r>
      <w:r w:rsidRPr="002701BE">
        <w:t xml:space="preserve">for lymphoma by removing the restriction for indolent </w:t>
      </w:r>
      <w:r w:rsidR="00AF5EFD">
        <w:t>non-Hodgkin’s lymphoma (</w:t>
      </w:r>
      <w:r w:rsidRPr="002701BE">
        <w:t>NHL</w:t>
      </w:r>
      <w:r w:rsidR="00AF5EFD">
        <w:t>)</w:t>
      </w:r>
      <w:r w:rsidRPr="002701BE">
        <w:t xml:space="preserve"> was received by the Department of Health from the Concord Hospital, Haematology Department.</w:t>
      </w:r>
    </w:p>
    <w:p w14:paraId="3B97023D" w14:textId="77777777" w:rsidR="00E977EE" w:rsidRPr="00F715D1" w:rsidRDefault="00E977EE" w:rsidP="00F715D1">
      <w:pPr>
        <w:pStyle w:val="Heading1"/>
      </w:pPr>
      <w:r w:rsidRPr="00F715D1">
        <w:t>MSAC’s advice to the Minister</w:t>
      </w:r>
    </w:p>
    <w:p w14:paraId="2B3DBD65" w14:textId="77777777" w:rsidR="00067EFD" w:rsidRPr="00067EFD" w:rsidRDefault="00067EFD" w:rsidP="00067EFD">
      <w:r w:rsidRPr="00067EFD">
        <w:t xml:space="preserve">After considering the strength of the available evidence in relation to comparative safety, clinical effectiveness and cost effectiveness MSAC supported the MBS funding of </w:t>
      </w:r>
      <w:r>
        <w:rPr>
          <w:szCs w:val="24"/>
        </w:rPr>
        <w:t>f</w:t>
      </w:r>
      <w:r w:rsidRPr="00067EFD">
        <w:rPr>
          <w:szCs w:val="24"/>
        </w:rPr>
        <w:t xml:space="preserve">luorine-18 </w:t>
      </w:r>
      <w:proofErr w:type="spellStart"/>
      <w:r w:rsidRPr="00067EFD">
        <w:rPr>
          <w:szCs w:val="24"/>
        </w:rPr>
        <w:t>flu</w:t>
      </w:r>
      <w:r w:rsidR="00702EA3">
        <w:rPr>
          <w:szCs w:val="24"/>
        </w:rPr>
        <w:t>o</w:t>
      </w:r>
      <w:r w:rsidRPr="00067EFD">
        <w:rPr>
          <w:szCs w:val="24"/>
        </w:rPr>
        <w:t>rodeoxyglucose</w:t>
      </w:r>
      <w:proofErr w:type="spellEnd"/>
      <w:r w:rsidRPr="00067EFD">
        <w:rPr>
          <w:szCs w:val="24"/>
        </w:rPr>
        <w:t xml:space="preserve"> positron emission tomography (</w:t>
      </w:r>
      <w:r w:rsidRPr="00067EFD">
        <w:rPr>
          <w:szCs w:val="24"/>
          <w:vertAlign w:val="superscript"/>
        </w:rPr>
        <w:t>18</w:t>
      </w:r>
      <w:r w:rsidRPr="00067EFD">
        <w:rPr>
          <w:szCs w:val="24"/>
        </w:rPr>
        <w:t>F-FDG PET</w:t>
      </w:r>
      <w:r>
        <w:rPr>
          <w:szCs w:val="24"/>
        </w:rPr>
        <w:t>)</w:t>
      </w:r>
      <w:r w:rsidRPr="00067EFD">
        <w:t xml:space="preserve"> in place of CT for indolent non-Hodgkin’s lymphoma for initial staging, assessment of response to therapy and restaging following confirmation of recurrence.</w:t>
      </w:r>
    </w:p>
    <w:p w14:paraId="7A97A05B" w14:textId="77777777" w:rsidR="00067EFD" w:rsidRPr="00067EFD" w:rsidRDefault="00067EFD" w:rsidP="00067EFD"/>
    <w:p w14:paraId="25EFCD01" w14:textId="7D23FDB2" w:rsidR="00067EFD" w:rsidRPr="00067EFD" w:rsidRDefault="00067EFD" w:rsidP="00067EFD">
      <w:r w:rsidRPr="00067EFD">
        <w:t xml:space="preserve">MSAC advised that this item </w:t>
      </w:r>
      <w:r w:rsidR="00702EA3">
        <w:t>should not</w:t>
      </w:r>
      <w:r w:rsidRPr="00067EFD">
        <w:t xml:space="preserve"> be used for surveillance of patients</w:t>
      </w:r>
      <w:r w:rsidR="00702EA3">
        <w:t>,</w:t>
      </w:r>
      <w:r w:rsidRPr="00067EFD">
        <w:t xml:space="preserve"> which </w:t>
      </w:r>
      <w:r w:rsidR="00702EA3">
        <w:t xml:space="preserve">was not clinically justified and </w:t>
      </w:r>
      <w:r w:rsidRPr="00067EFD">
        <w:t>would significantly increase the frequency of utilisation per patient</w:t>
      </w:r>
      <w:r w:rsidR="00702EA3">
        <w:t>,</w:t>
      </w:r>
      <w:r w:rsidRPr="00067EFD">
        <w:t xml:space="preserve"> and recommended monitoring this item for inappropriate </w:t>
      </w:r>
      <w:r w:rsidR="00702EA3">
        <w:t xml:space="preserve">or </w:t>
      </w:r>
      <w:r w:rsidRPr="00067EFD">
        <w:t>excessive use and also for co-claiming with other imaging services.</w:t>
      </w:r>
    </w:p>
    <w:p w14:paraId="7B986245" w14:textId="77777777" w:rsidR="00550354" w:rsidRPr="00F715D1" w:rsidRDefault="00550354" w:rsidP="00F715D1">
      <w:pPr>
        <w:pStyle w:val="Heading1"/>
      </w:pPr>
      <w:r w:rsidRPr="00F715D1">
        <w:t xml:space="preserve">Summary of consideration and rationale for MSAC’s advice </w:t>
      </w:r>
    </w:p>
    <w:p w14:paraId="1FFEF923" w14:textId="247E8F65" w:rsidR="00067EFD" w:rsidRPr="00067EFD" w:rsidRDefault="00067EFD" w:rsidP="00067EFD">
      <w:pPr>
        <w:rPr>
          <w:szCs w:val="24"/>
        </w:rPr>
      </w:pPr>
      <w:r w:rsidRPr="00067EFD">
        <w:rPr>
          <w:szCs w:val="24"/>
          <w:vertAlign w:val="superscript"/>
        </w:rPr>
        <w:t>18</w:t>
      </w:r>
      <w:r w:rsidRPr="00067EFD">
        <w:rPr>
          <w:szCs w:val="24"/>
        </w:rPr>
        <w:t xml:space="preserve">F-FDG PET is a minimally invasive nuclear medicine imaging technique which provides information about function and metabolism that is complementary to the structural information provided by anatomical imaging techniques such as x-ray computed tomography (CT). The use of </w:t>
      </w:r>
      <w:r w:rsidRPr="00067EFD">
        <w:rPr>
          <w:szCs w:val="24"/>
          <w:vertAlign w:val="superscript"/>
        </w:rPr>
        <w:t>18</w:t>
      </w:r>
      <w:r w:rsidRPr="00067EFD">
        <w:rPr>
          <w:szCs w:val="24"/>
        </w:rPr>
        <w:t>F-FDG PET</w:t>
      </w:r>
      <w:r w:rsidR="00702EA3">
        <w:rPr>
          <w:szCs w:val="24"/>
        </w:rPr>
        <w:t xml:space="preserve"> combined with CT for anatomic correlation and attenuation correction </w:t>
      </w:r>
      <w:r w:rsidRPr="00067EFD">
        <w:rPr>
          <w:szCs w:val="24"/>
        </w:rPr>
        <w:t xml:space="preserve">(hereafter referred to as PET/CT) is considered as current standard of care and has replaced stand-alone </w:t>
      </w:r>
      <w:r w:rsidRPr="00067EFD">
        <w:rPr>
          <w:szCs w:val="24"/>
          <w:vertAlign w:val="superscript"/>
        </w:rPr>
        <w:t>18</w:t>
      </w:r>
      <w:r w:rsidRPr="00067EFD">
        <w:rPr>
          <w:szCs w:val="24"/>
        </w:rPr>
        <w:t>F-FDG PET in Australia. PET/CT is currently reimbursed through the MBS for 20 oncology indications including multiple listings for NHL.</w:t>
      </w:r>
    </w:p>
    <w:p w14:paraId="13A88829" w14:textId="77777777" w:rsidR="00067EFD" w:rsidRPr="00067EFD" w:rsidRDefault="00067EFD" w:rsidP="00067EFD">
      <w:pPr>
        <w:rPr>
          <w:szCs w:val="24"/>
        </w:rPr>
      </w:pPr>
    </w:p>
    <w:p w14:paraId="437C5B92" w14:textId="77777777" w:rsidR="00067EFD" w:rsidRPr="00067EFD" w:rsidRDefault="00067EFD" w:rsidP="00067EFD">
      <w:pPr>
        <w:rPr>
          <w:szCs w:val="24"/>
        </w:rPr>
      </w:pPr>
      <w:r w:rsidRPr="00067EFD">
        <w:rPr>
          <w:szCs w:val="24"/>
        </w:rPr>
        <w:lastRenderedPageBreak/>
        <w:t xml:space="preserve">NHL can be divided into indolent, aggressive or highly aggressive lymphomas, based on their natural history of progression. Indolent NHLs progress slowly, reflected in the measurement of survival of untreated disease in years. Follicular lymphoma is the most common sub-type of indolent NHL, accounting for 22% of people diagnosed with NHL in Australia in 2012. </w:t>
      </w:r>
    </w:p>
    <w:p w14:paraId="14D1BF3E" w14:textId="77777777" w:rsidR="00067EFD" w:rsidRPr="00067EFD" w:rsidRDefault="00067EFD" w:rsidP="00067EFD">
      <w:pPr>
        <w:rPr>
          <w:szCs w:val="24"/>
        </w:rPr>
      </w:pPr>
    </w:p>
    <w:p w14:paraId="4DA260C6" w14:textId="77777777" w:rsidR="00067EFD" w:rsidRPr="00067EFD" w:rsidRDefault="00067EFD" w:rsidP="00067EFD">
      <w:pPr>
        <w:rPr>
          <w:szCs w:val="24"/>
        </w:rPr>
      </w:pPr>
      <w:r w:rsidRPr="00067EFD">
        <w:rPr>
          <w:szCs w:val="24"/>
        </w:rPr>
        <w:t>PET/CT is currently reimbursed for stage I or IIA indolent NHL scheduled for definitive radiotherapy with curative intent (MBS item 61616). An additional four items for PET/CT studies for Hodgkin</w:t>
      </w:r>
      <w:r w:rsidR="00702EA3">
        <w:rPr>
          <w:szCs w:val="24"/>
        </w:rPr>
        <w:t>’s lymphoma</w:t>
      </w:r>
      <w:r w:rsidRPr="00067EFD">
        <w:rPr>
          <w:szCs w:val="24"/>
        </w:rPr>
        <w:t xml:space="preserve"> or NHL are also reimbursed — MBS items 61620, 61622, 61628 and 61632 — however, the item descriptors explicitly exclude indolent NHL. MSAC noted that this application seeks to expand the current MBS item descriptors for PET/CT for lymphoma by removing the restriction</w:t>
      </w:r>
      <w:r w:rsidR="00702EA3">
        <w:rPr>
          <w:szCs w:val="24"/>
        </w:rPr>
        <w:t>s</w:t>
      </w:r>
      <w:r w:rsidRPr="00067EFD">
        <w:rPr>
          <w:szCs w:val="24"/>
        </w:rPr>
        <w:t xml:space="preserve"> for indolent NHL. </w:t>
      </w:r>
    </w:p>
    <w:p w14:paraId="69676F0F" w14:textId="77777777" w:rsidR="00067EFD" w:rsidRPr="00067EFD" w:rsidRDefault="00067EFD" w:rsidP="00067EFD">
      <w:pPr>
        <w:rPr>
          <w:szCs w:val="24"/>
        </w:rPr>
      </w:pPr>
    </w:p>
    <w:p w14:paraId="401C7834" w14:textId="77777777" w:rsidR="00067EFD" w:rsidRPr="00067EFD" w:rsidRDefault="00067EFD" w:rsidP="00067EFD">
      <w:pPr>
        <w:rPr>
          <w:szCs w:val="24"/>
        </w:rPr>
      </w:pPr>
      <w:r w:rsidRPr="00067EFD">
        <w:rPr>
          <w:szCs w:val="24"/>
        </w:rPr>
        <w:t>MSAC noted that the proposed clinical management algorithm recommends use of PET/CT in indolent NHL:</w:t>
      </w:r>
    </w:p>
    <w:p w14:paraId="1F3C2FFF" w14:textId="77777777" w:rsidR="00067EFD" w:rsidRPr="00067EFD" w:rsidRDefault="00067EFD" w:rsidP="003F12AC">
      <w:pPr>
        <w:pStyle w:val="ListParagraph"/>
        <w:keepLines/>
        <w:numPr>
          <w:ilvl w:val="0"/>
          <w:numId w:val="36"/>
        </w:numPr>
        <w:ind w:left="714" w:hanging="357"/>
        <w:contextualSpacing w:val="0"/>
        <w:rPr>
          <w:szCs w:val="24"/>
        </w:rPr>
      </w:pPr>
      <w:r w:rsidRPr="00067EFD">
        <w:rPr>
          <w:szCs w:val="24"/>
        </w:rPr>
        <w:t>in addition to and/or replacement for conventional staging in initial staging;</w:t>
      </w:r>
    </w:p>
    <w:p w14:paraId="6309F997" w14:textId="77777777" w:rsidR="00067EFD" w:rsidRPr="00067EFD" w:rsidRDefault="00067EFD" w:rsidP="003F12AC">
      <w:pPr>
        <w:pStyle w:val="ListParagraph"/>
        <w:keepLines/>
        <w:numPr>
          <w:ilvl w:val="0"/>
          <w:numId w:val="36"/>
        </w:numPr>
        <w:ind w:left="714" w:hanging="357"/>
        <w:contextualSpacing w:val="0"/>
        <w:rPr>
          <w:szCs w:val="24"/>
        </w:rPr>
      </w:pPr>
      <w:r w:rsidRPr="00067EFD">
        <w:rPr>
          <w:szCs w:val="24"/>
        </w:rPr>
        <w:t xml:space="preserve">as replacement for conventional imaging in restaging relapsed indolent </w:t>
      </w:r>
      <w:r w:rsidR="00702EA3">
        <w:rPr>
          <w:szCs w:val="24"/>
        </w:rPr>
        <w:t xml:space="preserve">FDG-avid </w:t>
      </w:r>
      <w:r w:rsidRPr="00067EFD">
        <w:rPr>
          <w:szCs w:val="24"/>
        </w:rPr>
        <w:t>NHL; or</w:t>
      </w:r>
    </w:p>
    <w:p w14:paraId="10B8F94A" w14:textId="77777777" w:rsidR="00067EFD" w:rsidRPr="00067EFD" w:rsidRDefault="00067EFD" w:rsidP="003F12AC">
      <w:pPr>
        <w:pStyle w:val="ListParagraph"/>
        <w:keepLines/>
        <w:numPr>
          <w:ilvl w:val="0"/>
          <w:numId w:val="36"/>
        </w:numPr>
        <w:spacing w:after="240"/>
        <w:ind w:left="714" w:hanging="357"/>
        <w:contextualSpacing w:val="0"/>
        <w:rPr>
          <w:szCs w:val="24"/>
        </w:rPr>
      </w:pPr>
      <w:proofErr w:type="gramStart"/>
      <w:r w:rsidRPr="00067EFD">
        <w:rPr>
          <w:szCs w:val="24"/>
        </w:rPr>
        <w:t>as</w:t>
      </w:r>
      <w:proofErr w:type="gramEnd"/>
      <w:r w:rsidRPr="00067EFD">
        <w:rPr>
          <w:szCs w:val="24"/>
        </w:rPr>
        <w:t xml:space="preserve"> replacement for CT± bone marrow aspiration and trephine (BMAT) to assess response </w:t>
      </w:r>
      <w:r w:rsidR="00702EA3">
        <w:rPr>
          <w:szCs w:val="24"/>
        </w:rPr>
        <w:t xml:space="preserve">of FDG-avid indolent NHL </w:t>
      </w:r>
      <w:r w:rsidRPr="00067EFD">
        <w:rPr>
          <w:szCs w:val="24"/>
        </w:rPr>
        <w:t>to first-line treatment.</w:t>
      </w:r>
    </w:p>
    <w:p w14:paraId="234040C9" w14:textId="36A4B6B3" w:rsidR="00067EFD" w:rsidRPr="00067EFD" w:rsidRDefault="00067EFD" w:rsidP="00067EFD">
      <w:pPr>
        <w:rPr>
          <w:szCs w:val="24"/>
        </w:rPr>
      </w:pPr>
      <w:r w:rsidRPr="00067EFD">
        <w:rPr>
          <w:szCs w:val="24"/>
        </w:rPr>
        <w:t xml:space="preserve">While a number of tests are used in those who are newly diagnosed or have experienced a relapse and require staging of the disease, CT is the key test to which PET/CT would add additional information. For patients who require assessment of response to treatment, the comparator is CT </w:t>
      </w:r>
      <w:r w:rsidR="00702EA3">
        <w:rPr>
          <w:szCs w:val="24"/>
        </w:rPr>
        <w:t>with or without</w:t>
      </w:r>
      <w:r w:rsidRPr="00067EFD">
        <w:rPr>
          <w:szCs w:val="24"/>
        </w:rPr>
        <w:t xml:space="preserve"> BMAT. </w:t>
      </w:r>
    </w:p>
    <w:p w14:paraId="73021BA2" w14:textId="77777777" w:rsidR="00067EFD" w:rsidRPr="00067EFD" w:rsidRDefault="00067EFD" w:rsidP="00067EFD">
      <w:pPr>
        <w:rPr>
          <w:szCs w:val="24"/>
        </w:rPr>
      </w:pPr>
    </w:p>
    <w:p w14:paraId="32EB1408" w14:textId="77777777" w:rsidR="00067EFD" w:rsidRPr="00067EFD" w:rsidRDefault="00067EFD" w:rsidP="00067EFD">
      <w:pPr>
        <w:rPr>
          <w:szCs w:val="24"/>
        </w:rPr>
      </w:pPr>
      <w:r w:rsidRPr="00067EFD">
        <w:rPr>
          <w:szCs w:val="24"/>
        </w:rPr>
        <w:t xml:space="preserve">MSAC recalled that PET/CT had been previously reviewed by the Committee on multiple occasions and found to have acceptable safety. MSAC noted that no new safety concerns were raised by the studies included in the current assessment. </w:t>
      </w:r>
    </w:p>
    <w:p w14:paraId="7F6C4C3F" w14:textId="77777777" w:rsidR="00067EFD" w:rsidRPr="00067EFD" w:rsidRDefault="00067EFD" w:rsidP="00067EFD">
      <w:pPr>
        <w:rPr>
          <w:szCs w:val="24"/>
        </w:rPr>
      </w:pPr>
    </w:p>
    <w:p w14:paraId="78B608D1" w14:textId="77777777" w:rsidR="00067EFD" w:rsidRPr="00067EFD" w:rsidRDefault="00067EFD" w:rsidP="00067EFD">
      <w:pPr>
        <w:rPr>
          <w:szCs w:val="24"/>
        </w:rPr>
      </w:pPr>
      <w:r w:rsidRPr="00067EFD">
        <w:rPr>
          <w:szCs w:val="24"/>
        </w:rPr>
        <w:t>MSAC noted that no direct evidence to support the effectiveness of PET/CT in indolent NHL was identified. Instead, a linked evidence approach was adopted, with information provided on the comparative diagnostic performance, prognostic evidence, therapeutic efficacy and therapeutic effectiveness of the proposed imaging.</w:t>
      </w:r>
    </w:p>
    <w:p w14:paraId="7A7D248C" w14:textId="77777777" w:rsidR="00067EFD" w:rsidRPr="00067EFD" w:rsidRDefault="00067EFD" w:rsidP="00067EFD">
      <w:pPr>
        <w:rPr>
          <w:szCs w:val="24"/>
        </w:rPr>
      </w:pPr>
    </w:p>
    <w:p w14:paraId="2DEFFAFB" w14:textId="77777777" w:rsidR="003F12AC" w:rsidRDefault="00067EFD" w:rsidP="00067EFD">
      <w:pPr>
        <w:rPr>
          <w:szCs w:val="24"/>
        </w:rPr>
      </w:pPr>
      <w:r w:rsidRPr="00067EFD">
        <w:rPr>
          <w:szCs w:val="24"/>
        </w:rPr>
        <w:t xml:space="preserve">Evidence on comparative diagnostic performance (accuracy) was reviewed for the three scenarios for the use of PET/CT outlined in the proposed clinical management algorithm. MSAC accepted that very low quality evidence suggests that: </w:t>
      </w:r>
    </w:p>
    <w:p w14:paraId="3DAB359C" w14:textId="6801BD4D" w:rsidR="003F12AC" w:rsidRPr="003F12AC" w:rsidRDefault="00067EFD" w:rsidP="003F12AC">
      <w:pPr>
        <w:pStyle w:val="ListParagraph"/>
        <w:numPr>
          <w:ilvl w:val="0"/>
          <w:numId w:val="37"/>
        </w:numPr>
        <w:rPr>
          <w:szCs w:val="24"/>
        </w:rPr>
      </w:pPr>
      <w:r w:rsidRPr="003F12AC">
        <w:rPr>
          <w:szCs w:val="24"/>
        </w:rPr>
        <w:t xml:space="preserve">PET/CT as a replacement test to CT would detect additional sites of disease not detected by CT in initial staging and restaging; and </w:t>
      </w:r>
    </w:p>
    <w:p w14:paraId="6C347A76" w14:textId="2D71FA27" w:rsidR="00067EFD" w:rsidRPr="003F12AC" w:rsidRDefault="00067EFD" w:rsidP="003F12AC">
      <w:pPr>
        <w:pStyle w:val="ListParagraph"/>
        <w:numPr>
          <w:ilvl w:val="0"/>
          <w:numId w:val="37"/>
        </w:numPr>
        <w:rPr>
          <w:szCs w:val="24"/>
        </w:rPr>
      </w:pPr>
      <w:r w:rsidRPr="003F12AC">
        <w:rPr>
          <w:szCs w:val="24"/>
        </w:rPr>
        <w:t>PET/CT as a replacement test to CT detects more true responders to treatment than CT (increase in sensitivity of 48%), but</w:t>
      </w:r>
      <w:r w:rsidR="00702EA3">
        <w:rPr>
          <w:szCs w:val="24"/>
        </w:rPr>
        <w:t xml:space="preserve"> may</w:t>
      </w:r>
      <w:r w:rsidRPr="003F12AC">
        <w:rPr>
          <w:szCs w:val="24"/>
        </w:rPr>
        <w:t xml:space="preserve"> also </w:t>
      </w:r>
      <w:r w:rsidR="00702EA3" w:rsidRPr="003F12AC">
        <w:rPr>
          <w:szCs w:val="24"/>
        </w:rPr>
        <w:t>misclassif</w:t>
      </w:r>
      <w:r w:rsidR="00702EA3">
        <w:rPr>
          <w:szCs w:val="24"/>
        </w:rPr>
        <w:t>y</w:t>
      </w:r>
      <w:r w:rsidR="00702EA3" w:rsidRPr="003F12AC">
        <w:rPr>
          <w:szCs w:val="24"/>
        </w:rPr>
        <w:t xml:space="preserve"> </w:t>
      </w:r>
      <w:r w:rsidRPr="003F12AC">
        <w:rPr>
          <w:szCs w:val="24"/>
        </w:rPr>
        <w:t>more patients as responders to treatment (decrease in specificity of 11%) with PET/CT likely to be a superior test</w:t>
      </w:r>
      <w:r w:rsidR="006D4085">
        <w:rPr>
          <w:szCs w:val="24"/>
        </w:rPr>
        <w:t xml:space="preserve"> overall</w:t>
      </w:r>
      <w:r w:rsidRPr="003F12AC">
        <w:rPr>
          <w:szCs w:val="24"/>
        </w:rPr>
        <w:t xml:space="preserve">. </w:t>
      </w:r>
    </w:p>
    <w:p w14:paraId="344AE413" w14:textId="77777777" w:rsidR="00067EFD" w:rsidRPr="00067EFD" w:rsidRDefault="00067EFD" w:rsidP="00067EFD">
      <w:pPr>
        <w:rPr>
          <w:szCs w:val="24"/>
        </w:rPr>
      </w:pPr>
    </w:p>
    <w:p w14:paraId="381C7343" w14:textId="77777777" w:rsidR="00067EFD" w:rsidRPr="00067EFD" w:rsidRDefault="00067EFD" w:rsidP="00067EFD">
      <w:pPr>
        <w:rPr>
          <w:szCs w:val="24"/>
        </w:rPr>
      </w:pPr>
      <w:r w:rsidRPr="00067EFD">
        <w:rPr>
          <w:szCs w:val="24"/>
        </w:rPr>
        <w:t>MSAC noted that one comparative prognostic study of PET/CT compared to CT was identified (</w:t>
      </w:r>
      <w:proofErr w:type="spellStart"/>
      <w:r w:rsidRPr="00067EFD">
        <w:rPr>
          <w:szCs w:val="24"/>
        </w:rPr>
        <w:t>Trotman</w:t>
      </w:r>
      <w:proofErr w:type="spellEnd"/>
      <w:r w:rsidRPr="00067EFD">
        <w:rPr>
          <w:szCs w:val="24"/>
        </w:rPr>
        <w:t xml:space="preserve"> J et al 2014). The study was a pooled analysis of 246 centrally reviewed PET/CT scans from patients enrolled in three follicular lymphoma trials.  PET/CT results were </w:t>
      </w:r>
      <w:proofErr w:type="gramStart"/>
      <w:r w:rsidRPr="00067EFD">
        <w:rPr>
          <w:szCs w:val="24"/>
        </w:rPr>
        <w:t>dichotomised,</w:t>
      </w:r>
      <w:proofErr w:type="gramEnd"/>
      <w:r w:rsidRPr="00067EFD">
        <w:rPr>
          <w:szCs w:val="24"/>
        </w:rPr>
        <w:t xml:space="preserve"> however CT-based response assessment was not; therefore, it was difficult to directly compare the two tests. </w:t>
      </w:r>
    </w:p>
    <w:p w14:paraId="367E9A52" w14:textId="77777777" w:rsidR="003F12AC" w:rsidRDefault="003F12AC" w:rsidP="00067EFD">
      <w:pPr>
        <w:rPr>
          <w:szCs w:val="24"/>
        </w:rPr>
      </w:pPr>
    </w:p>
    <w:p w14:paraId="31F3127B" w14:textId="77777777" w:rsidR="00067EFD" w:rsidRPr="00067EFD" w:rsidRDefault="00067EFD" w:rsidP="00A22E49">
      <w:pPr>
        <w:spacing w:after="240"/>
        <w:rPr>
          <w:szCs w:val="24"/>
        </w:rPr>
      </w:pPr>
      <w:r w:rsidRPr="00067EFD">
        <w:rPr>
          <w:szCs w:val="24"/>
        </w:rPr>
        <w:t xml:space="preserve">Response to treatment based on PET/CT was predictive of both progression free and overall survival. While not directly comparable, due to the exclusion of patients with progressive and </w:t>
      </w:r>
      <w:r w:rsidRPr="00067EFD">
        <w:rPr>
          <w:szCs w:val="24"/>
        </w:rPr>
        <w:lastRenderedPageBreak/>
        <w:t>stable disease, response to treatment based on CT was weakly predictive of progression free but not overall survival. In multivariate analysis, PET/CT based response remained more predictive than CT based response.</w:t>
      </w:r>
    </w:p>
    <w:p w14:paraId="5518D897" w14:textId="77777777" w:rsidR="00067EFD" w:rsidRPr="00A22E49" w:rsidRDefault="00067EFD" w:rsidP="00A22E49">
      <w:pPr>
        <w:spacing w:after="240"/>
      </w:pPr>
      <w:r w:rsidRPr="00A22E49">
        <w:t xml:space="preserve">MSAC considered the evidence of the impact PET/CT on clinical management. Two studies were identified that reported a change in patient management as a result of having undergone PET/CT at initial staging of indolent NHL (Scott AM et al 2009, Fulham MJ et al 2006). No studies reporting on changes in clinical management following PET/CT as a replacement in restaging or assessing response to first line treatment in indolent NHL were identified. MSAC noted that two randomised controlled trials of PET/CT response-adapted therapy were ongoing.  </w:t>
      </w:r>
    </w:p>
    <w:p w14:paraId="353A05E1" w14:textId="77777777" w:rsidR="00067EFD" w:rsidRPr="00067EFD" w:rsidRDefault="00067EFD" w:rsidP="00067EFD">
      <w:pPr>
        <w:rPr>
          <w:szCs w:val="24"/>
        </w:rPr>
      </w:pPr>
      <w:r w:rsidRPr="00067EFD">
        <w:rPr>
          <w:szCs w:val="24"/>
        </w:rPr>
        <w:t xml:space="preserve">MSAC noted that, while it was assumed that the use of PET/CT for the three scenarios outlined in the clinical management algorithm would result in health benefits from changes in management, there was no direct evidence identified to support this assumption. </w:t>
      </w:r>
    </w:p>
    <w:p w14:paraId="0E00473B" w14:textId="77777777" w:rsidR="00067EFD" w:rsidRPr="00067EFD" w:rsidRDefault="00067EFD" w:rsidP="00067EFD">
      <w:pPr>
        <w:rPr>
          <w:szCs w:val="24"/>
        </w:rPr>
      </w:pPr>
    </w:p>
    <w:p w14:paraId="3BB968A4" w14:textId="77777777" w:rsidR="00067EFD" w:rsidRPr="00067EFD" w:rsidRDefault="00A8347D" w:rsidP="00067EFD">
      <w:pPr>
        <w:rPr>
          <w:szCs w:val="24"/>
        </w:rPr>
      </w:pPr>
      <w:r>
        <w:rPr>
          <w:szCs w:val="24"/>
        </w:rPr>
        <w:t xml:space="preserve">Overall, </w:t>
      </w:r>
      <w:r w:rsidR="00067EFD" w:rsidRPr="00067EFD">
        <w:rPr>
          <w:szCs w:val="24"/>
        </w:rPr>
        <w:t>MSAC accepted that while the evidence base for clinical effectiveness was weak it was unlikely to improve as indolent NHL was an uncommon cancer.</w:t>
      </w:r>
    </w:p>
    <w:p w14:paraId="52F03CFC" w14:textId="77777777" w:rsidR="00067EFD" w:rsidRPr="00067EFD" w:rsidRDefault="00067EFD" w:rsidP="00067EFD">
      <w:pPr>
        <w:rPr>
          <w:szCs w:val="24"/>
        </w:rPr>
      </w:pPr>
    </w:p>
    <w:p w14:paraId="65606E7B" w14:textId="1283A8C0" w:rsidR="00067EFD" w:rsidRPr="00067EFD" w:rsidRDefault="00067EFD" w:rsidP="00067EFD">
      <w:pPr>
        <w:rPr>
          <w:szCs w:val="24"/>
        </w:rPr>
      </w:pPr>
      <w:r w:rsidRPr="00067EFD">
        <w:rPr>
          <w:szCs w:val="24"/>
        </w:rPr>
        <w:t xml:space="preserve">MSAC considered the cost-consequence analysis undertaken from the economic evaluation. MSAC noted that the effect of PET/CT on upstaging was </w:t>
      </w:r>
      <w:r w:rsidR="00846FEB">
        <w:rPr>
          <w:szCs w:val="24"/>
        </w:rPr>
        <w:t xml:space="preserve">chiefly </w:t>
      </w:r>
      <w:r w:rsidRPr="00067EFD">
        <w:rPr>
          <w:szCs w:val="24"/>
        </w:rPr>
        <w:t xml:space="preserve">informed by </w:t>
      </w:r>
      <w:r w:rsidR="00846FEB">
        <w:rPr>
          <w:szCs w:val="24"/>
        </w:rPr>
        <w:t>a multicentre study of follicular lymphoma</w:t>
      </w:r>
      <w:r w:rsidRPr="00067EFD">
        <w:rPr>
          <w:szCs w:val="24"/>
        </w:rPr>
        <w:t xml:space="preserve"> (</w:t>
      </w:r>
      <w:proofErr w:type="spellStart"/>
      <w:r w:rsidRPr="00067EFD">
        <w:rPr>
          <w:szCs w:val="24"/>
        </w:rPr>
        <w:t>Luminari</w:t>
      </w:r>
      <w:proofErr w:type="spellEnd"/>
      <w:r w:rsidRPr="00067EFD">
        <w:rPr>
          <w:szCs w:val="24"/>
        </w:rPr>
        <w:t xml:space="preserve"> S et al 2013)</w:t>
      </w:r>
      <w:r w:rsidR="00846FEB">
        <w:rPr>
          <w:szCs w:val="24"/>
        </w:rPr>
        <w:t>, and that change of stage was used as a proxy for change in management</w:t>
      </w:r>
      <w:r w:rsidRPr="00067EFD">
        <w:rPr>
          <w:szCs w:val="24"/>
        </w:rPr>
        <w:t xml:space="preserve">. However, MSAC was concerned that many of the assumptions in the model were informed by expert opinion. </w:t>
      </w:r>
      <w:r w:rsidR="00A8347D">
        <w:rPr>
          <w:szCs w:val="24"/>
        </w:rPr>
        <w:t>T</w:t>
      </w:r>
      <w:r w:rsidRPr="00067EFD">
        <w:rPr>
          <w:szCs w:val="24"/>
        </w:rPr>
        <w:t xml:space="preserve">he model indicated that </w:t>
      </w:r>
      <w:r w:rsidR="00846FEB">
        <w:rPr>
          <w:szCs w:val="24"/>
        </w:rPr>
        <w:t>if</w:t>
      </w:r>
      <w:r w:rsidRPr="00067EFD">
        <w:rPr>
          <w:szCs w:val="24"/>
        </w:rPr>
        <w:t xml:space="preserve"> PET/CT </w:t>
      </w:r>
      <w:r w:rsidR="00846FEB">
        <w:rPr>
          <w:szCs w:val="24"/>
        </w:rPr>
        <w:t>were to</w:t>
      </w:r>
      <w:r w:rsidR="00846FEB" w:rsidRPr="00067EFD">
        <w:rPr>
          <w:szCs w:val="24"/>
        </w:rPr>
        <w:t xml:space="preserve"> </w:t>
      </w:r>
      <w:r w:rsidRPr="00067EFD">
        <w:rPr>
          <w:szCs w:val="24"/>
        </w:rPr>
        <w:t xml:space="preserve">replace CT in </w:t>
      </w:r>
      <w:r w:rsidR="00846FEB">
        <w:rPr>
          <w:szCs w:val="24"/>
        </w:rPr>
        <w:t xml:space="preserve">patients with </w:t>
      </w:r>
      <w:r w:rsidRPr="00067EFD">
        <w:rPr>
          <w:szCs w:val="24"/>
        </w:rPr>
        <w:t xml:space="preserve">indolent NHL </w:t>
      </w:r>
      <w:r w:rsidR="00846FEB">
        <w:rPr>
          <w:szCs w:val="24"/>
        </w:rPr>
        <w:t>the cost</w:t>
      </w:r>
      <w:r w:rsidR="00846FEB" w:rsidRPr="00067EFD">
        <w:rPr>
          <w:szCs w:val="24"/>
        </w:rPr>
        <w:t xml:space="preserve"> </w:t>
      </w:r>
      <w:r w:rsidRPr="00067EFD">
        <w:rPr>
          <w:szCs w:val="24"/>
        </w:rPr>
        <w:t xml:space="preserve">per patient </w:t>
      </w:r>
      <w:r w:rsidR="00F72F71">
        <w:rPr>
          <w:szCs w:val="24"/>
        </w:rPr>
        <w:t xml:space="preserve">would be </w:t>
      </w:r>
      <w:r w:rsidR="00F72F71" w:rsidRPr="00067EFD">
        <w:rPr>
          <w:szCs w:val="24"/>
        </w:rPr>
        <w:t xml:space="preserve">$10.02 </w:t>
      </w:r>
      <w:r w:rsidRPr="00067EFD">
        <w:rPr>
          <w:szCs w:val="24"/>
        </w:rPr>
        <w:t xml:space="preserve">less. If PET/CT </w:t>
      </w:r>
      <w:r w:rsidR="00F72F71">
        <w:rPr>
          <w:szCs w:val="24"/>
        </w:rPr>
        <w:t>were</w:t>
      </w:r>
      <w:r w:rsidR="00F72F71" w:rsidRPr="00067EFD">
        <w:rPr>
          <w:szCs w:val="24"/>
        </w:rPr>
        <w:t xml:space="preserve"> </w:t>
      </w:r>
      <w:r w:rsidRPr="00067EFD">
        <w:rPr>
          <w:szCs w:val="24"/>
        </w:rPr>
        <w:t>to be used in addition to CT, the additional cost was estimated to be $549.98. The cost of PET/CT and the cost of CT were noted as key drivers of the model along with the proportion of asymptomatic patients, with MSAC considering the figure used for the latter to be a conservative estimate.</w:t>
      </w:r>
    </w:p>
    <w:p w14:paraId="3F7B43D8" w14:textId="77777777" w:rsidR="00067EFD" w:rsidRPr="00067EFD" w:rsidRDefault="00067EFD" w:rsidP="00067EFD">
      <w:pPr>
        <w:rPr>
          <w:szCs w:val="24"/>
        </w:rPr>
      </w:pPr>
    </w:p>
    <w:p w14:paraId="76E6832B" w14:textId="12D84B39" w:rsidR="00067EFD" w:rsidRPr="00067EFD" w:rsidRDefault="00067EFD" w:rsidP="00067EFD">
      <w:pPr>
        <w:rPr>
          <w:szCs w:val="24"/>
        </w:rPr>
      </w:pPr>
      <w:r w:rsidRPr="00067EFD">
        <w:rPr>
          <w:szCs w:val="24"/>
        </w:rPr>
        <w:t xml:space="preserve">MSAC </w:t>
      </w:r>
      <w:r w:rsidR="00C43598">
        <w:rPr>
          <w:szCs w:val="24"/>
        </w:rPr>
        <w:t xml:space="preserve">noted that, if the economic model </w:t>
      </w:r>
      <w:r w:rsidR="00F72F71">
        <w:rPr>
          <w:szCs w:val="24"/>
        </w:rPr>
        <w:t xml:space="preserve">were </w:t>
      </w:r>
      <w:r w:rsidRPr="00067EFD">
        <w:rPr>
          <w:szCs w:val="24"/>
        </w:rPr>
        <w:t>accepted</w:t>
      </w:r>
      <w:r w:rsidR="00C43598">
        <w:rPr>
          <w:szCs w:val="24"/>
        </w:rPr>
        <w:t>,</w:t>
      </w:r>
      <w:r w:rsidRPr="00067EFD">
        <w:rPr>
          <w:szCs w:val="24"/>
        </w:rPr>
        <w:t xml:space="preserve"> PET/CT may be modestly cost-saving to the MBS, </w:t>
      </w:r>
      <w:r w:rsidR="00C43598">
        <w:rPr>
          <w:szCs w:val="24"/>
        </w:rPr>
        <w:t xml:space="preserve">but </w:t>
      </w:r>
      <w:r w:rsidRPr="00067EFD">
        <w:rPr>
          <w:szCs w:val="24"/>
        </w:rPr>
        <w:t xml:space="preserve">may modestly increase costs to the PBS due to increased use of immunochemotherapy. MSAC considered that there were multiple areas of uncertainty in the financial estimates, but noted that the impact of this was likely to be small given that indolent NHL is </w:t>
      </w:r>
      <w:proofErr w:type="gramStart"/>
      <w:r w:rsidRPr="00067EFD">
        <w:rPr>
          <w:szCs w:val="24"/>
        </w:rPr>
        <w:t>a</w:t>
      </w:r>
      <w:proofErr w:type="gramEnd"/>
      <w:r w:rsidRPr="00067EFD">
        <w:rPr>
          <w:szCs w:val="24"/>
        </w:rPr>
        <w:t xml:space="preserve"> uncommon cancer. </w:t>
      </w:r>
    </w:p>
    <w:p w14:paraId="0442F053" w14:textId="77777777" w:rsidR="00067EFD" w:rsidRPr="00067EFD" w:rsidRDefault="00067EFD" w:rsidP="00067EFD">
      <w:pPr>
        <w:rPr>
          <w:szCs w:val="24"/>
        </w:rPr>
      </w:pPr>
    </w:p>
    <w:p w14:paraId="170A629E" w14:textId="46745DD8" w:rsidR="00067EFD" w:rsidRPr="00067EFD" w:rsidRDefault="00067EFD" w:rsidP="00067EFD">
      <w:pPr>
        <w:rPr>
          <w:szCs w:val="24"/>
        </w:rPr>
      </w:pPr>
      <w:r w:rsidRPr="00067EFD">
        <w:rPr>
          <w:szCs w:val="24"/>
        </w:rPr>
        <w:t xml:space="preserve">MSAC noted that epidemiological estimates of utilisation compared with current MBS item utilisation indicate that providers may have different interpretations of existing items for NHL. MSAC acknowledged that such differences may lead to </w:t>
      </w:r>
      <w:r w:rsidR="00F72F71">
        <w:rPr>
          <w:szCs w:val="24"/>
        </w:rPr>
        <w:t>inequity</w:t>
      </w:r>
      <w:r w:rsidR="00F72F71" w:rsidRPr="00067EFD">
        <w:rPr>
          <w:szCs w:val="24"/>
        </w:rPr>
        <w:t xml:space="preserve"> </w:t>
      </w:r>
      <w:r w:rsidRPr="00067EFD">
        <w:rPr>
          <w:szCs w:val="24"/>
        </w:rPr>
        <w:t xml:space="preserve">in patient access. MSAC also noted that the prognostic information provided was of value to patients and may have an important impact on quality of life and societal costs. MSAC considered that this information may be of particular importance in a disease which tends to affect people in late middle age and </w:t>
      </w:r>
      <w:r w:rsidR="00F72F71">
        <w:rPr>
          <w:szCs w:val="24"/>
        </w:rPr>
        <w:t xml:space="preserve">often </w:t>
      </w:r>
      <w:r w:rsidRPr="00067EFD">
        <w:rPr>
          <w:szCs w:val="24"/>
        </w:rPr>
        <w:t>has a long clinical course.</w:t>
      </w:r>
    </w:p>
    <w:p w14:paraId="0475FF4D" w14:textId="77777777" w:rsidR="00067EFD" w:rsidRPr="00067EFD" w:rsidRDefault="00067EFD" w:rsidP="00067EFD">
      <w:pPr>
        <w:rPr>
          <w:szCs w:val="24"/>
        </w:rPr>
      </w:pPr>
    </w:p>
    <w:p w14:paraId="3DCFCD6B" w14:textId="0ECA747F" w:rsidR="00F72F71" w:rsidRDefault="00067EFD" w:rsidP="00067EFD">
      <w:pPr>
        <w:rPr>
          <w:szCs w:val="24"/>
        </w:rPr>
      </w:pPr>
      <w:r w:rsidRPr="00067EFD">
        <w:rPr>
          <w:szCs w:val="24"/>
        </w:rPr>
        <w:t>MSAC noted that amendment of the MBS item descriptors of 61620, 61622, 61628 and 61632 to remove the indolent NHL restriction</w:t>
      </w:r>
      <w:r w:rsidR="00F72F71">
        <w:rPr>
          <w:szCs w:val="24"/>
        </w:rPr>
        <w:t>s</w:t>
      </w:r>
      <w:r w:rsidRPr="00067EFD">
        <w:rPr>
          <w:szCs w:val="24"/>
        </w:rPr>
        <w:t xml:space="preserve"> would make item 61616 redundant. MSAC was concerned that broadening of the item descriptors could lead to over-use and recommended that the descriptors be worded to deter unnecessary scans. MSAC noted that the item descriptor should reflect the intent that PET/CT replace CT </w:t>
      </w:r>
      <w:r w:rsidR="00F72F71">
        <w:rPr>
          <w:szCs w:val="24"/>
        </w:rPr>
        <w:t>for FDG-avid NHL</w:t>
      </w:r>
      <w:r w:rsidR="00357FFA">
        <w:rPr>
          <w:szCs w:val="24"/>
        </w:rPr>
        <w:t xml:space="preserve"> </w:t>
      </w:r>
      <w:r w:rsidRPr="00067EFD">
        <w:rPr>
          <w:szCs w:val="24"/>
        </w:rPr>
        <w:t xml:space="preserve">rather than being used in addition to CT. MSAC recommended that consideration be given to the framework required to monitor the use of these items. MSAC foreshadowed that this </w:t>
      </w:r>
      <w:r w:rsidRPr="00067EFD">
        <w:rPr>
          <w:szCs w:val="24"/>
        </w:rPr>
        <w:lastRenderedPageBreak/>
        <w:t>would include a review of co-claimed PET/CT and CT items and sequencing of claims to ensure that such imaging is not being used together unnecessarily.</w:t>
      </w:r>
    </w:p>
    <w:p w14:paraId="68084E4C" w14:textId="77777777" w:rsidR="00067EFD" w:rsidRDefault="00067EFD" w:rsidP="00067EFD">
      <w:pPr>
        <w:rPr>
          <w:szCs w:val="24"/>
        </w:rPr>
      </w:pPr>
      <w:r w:rsidRPr="00067EFD">
        <w:rPr>
          <w:szCs w:val="24"/>
        </w:rPr>
        <w:t xml:space="preserve"> </w:t>
      </w:r>
    </w:p>
    <w:p w14:paraId="21B09DF1" w14:textId="4867D0AD" w:rsidR="002938FE" w:rsidRPr="00067EFD" w:rsidRDefault="002938FE" w:rsidP="00067EFD">
      <w:pPr>
        <w:rPr>
          <w:szCs w:val="24"/>
        </w:rPr>
      </w:pPr>
      <w:r>
        <w:rPr>
          <w:szCs w:val="24"/>
        </w:rPr>
        <w:t xml:space="preserve">MSAC suggested the </w:t>
      </w:r>
      <w:r w:rsidR="00F72F71">
        <w:rPr>
          <w:szCs w:val="24"/>
        </w:rPr>
        <w:t xml:space="preserve">Department </w:t>
      </w:r>
      <w:r>
        <w:rPr>
          <w:szCs w:val="24"/>
        </w:rPr>
        <w:t xml:space="preserve">consider assessment of PET </w:t>
      </w:r>
      <w:r w:rsidR="00F72F71">
        <w:rPr>
          <w:szCs w:val="24"/>
        </w:rPr>
        <w:t xml:space="preserve">in oncology </w:t>
      </w:r>
      <w:r>
        <w:rPr>
          <w:szCs w:val="24"/>
        </w:rPr>
        <w:t>as a modality</w:t>
      </w:r>
      <w:r w:rsidR="00DD7B47">
        <w:rPr>
          <w:szCs w:val="24"/>
        </w:rPr>
        <w:t xml:space="preserve">, similar to the review of </w:t>
      </w:r>
      <w:r w:rsidR="00DD7B47" w:rsidRPr="00DD7B47">
        <w:rPr>
          <w:szCs w:val="24"/>
        </w:rPr>
        <w:t>Intensity Modulated Radiation Therapy (IMRT)</w:t>
      </w:r>
      <w:r w:rsidR="00DD7B47">
        <w:rPr>
          <w:szCs w:val="24"/>
        </w:rPr>
        <w:t xml:space="preserve"> and </w:t>
      </w:r>
      <w:r w:rsidR="00DD7B47" w:rsidRPr="00DD7B47">
        <w:rPr>
          <w:szCs w:val="24"/>
        </w:rPr>
        <w:t xml:space="preserve">Image Guided Radiation Therapy (IGRT) </w:t>
      </w:r>
      <w:r w:rsidR="00DD7B47">
        <w:rPr>
          <w:szCs w:val="24"/>
        </w:rPr>
        <w:t>to treat cancer,</w:t>
      </w:r>
      <w:r>
        <w:rPr>
          <w:szCs w:val="24"/>
        </w:rPr>
        <w:t xml:space="preserve"> rather than by separate indication</w:t>
      </w:r>
      <w:r w:rsidR="00DD7B47">
        <w:rPr>
          <w:szCs w:val="24"/>
        </w:rPr>
        <w:t>s which is likely to provide a weaker evidence base.</w:t>
      </w:r>
    </w:p>
    <w:p w14:paraId="0FA7E259" w14:textId="77777777" w:rsidR="00BC1364" w:rsidRPr="00F715D1" w:rsidRDefault="00BC1364" w:rsidP="00F715D1">
      <w:pPr>
        <w:pStyle w:val="Heading1"/>
      </w:pPr>
      <w:r w:rsidRPr="00F715D1">
        <w:t>Background</w:t>
      </w:r>
    </w:p>
    <w:p w14:paraId="36A321DC" w14:textId="77777777" w:rsidR="00815444" w:rsidRPr="002701BE" w:rsidRDefault="00815444" w:rsidP="00815444">
      <w:r w:rsidRPr="002701BE">
        <w:t>FDG PET has been considered by MSAC previously for other indications</w:t>
      </w:r>
      <w:r>
        <w:t>, including NHL</w:t>
      </w:r>
      <w:r w:rsidRPr="002701BE">
        <w:t>.</w:t>
      </w:r>
    </w:p>
    <w:p w14:paraId="2B56D13C" w14:textId="77777777" w:rsidR="00BC1364" w:rsidRPr="00F715D1" w:rsidRDefault="00BC1364" w:rsidP="00F715D1">
      <w:pPr>
        <w:pStyle w:val="Heading1"/>
      </w:pPr>
      <w:r w:rsidRPr="00F715D1">
        <w:t>Prerequisites to implementation of any funding advice</w:t>
      </w:r>
    </w:p>
    <w:p w14:paraId="3CA5BC3F" w14:textId="77777777" w:rsidR="00815444" w:rsidRPr="00AE6BFA" w:rsidRDefault="00815444" w:rsidP="00AE6BFA">
      <w:pPr>
        <w:spacing w:after="240"/>
        <w:rPr>
          <w:b/>
          <w:sz w:val="22"/>
          <w:szCs w:val="22"/>
        </w:rPr>
      </w:pPr>
      <w:r w:rsidRPr="002701BE">
        <w:rPr>
          <w:szCs w:val="24"/>
        </w:rPr>
        <w:t xml:space="preserve">Several PET, PET/CT and PET/MRI machines and related software are registered on the ARTG, as is the </w:t>
      </w:r>
      <w:r>
        <w:rPr>
          <w:szCs w:val="24"/>
        </w:rPr>
        <w:t xml:space="preserve">radiopharmaceutical, </w:t>
      </w:r>
      <w:r w:rsidRPr="002701BE">
        <w:rPr>
          <w:szCs w:val="24"/>
        </w:rPr>
        <w:t>FDG.</w:t>
      </w:r>
      <w:r w:rsidRPr="002701BE">
        <w:rPr>
          <w:b/>
          <w:sz w:val="22"/>
          <w:szCs w:val="22"/>
        </w:rPr>
        <w:t xml:space="preserve"> </w:t>
      </w:r>
      <w:r w:rsidRPr="002701BE">
        <w:t xml:space="preserve">Radiolabelled FDG is </w:t>
      </w:r>
      <w:r>
        <w:t xml:space="preserve">available commercially and is </w:t>
      </w:r>
      <w:r w:rsidRPr="002701BE">
        <w:t xml:space="preserve">also currently produced </w:t>
      </w:r>
      <w:r>
        <w:t xml:space="preserve">at </w:t>
      </w:r>
      <w:r w:rsidRPr="002701BE">
        <w:t>several Australian hospitals.</w:t>
      </w:r>
    </w:p>
    <w:p w14:paraId="3D33815F" w14:textId="77777777" w:rsidR="00815444" w:rsidRPr="002701BE" w:rsidRDefault="00815444" w:rsidP="00815444">
      <w:r w:rsidRPr="002701BE">
        <w:t xml:space="preserve">To be eligible for a MBS rebate, the medical service </w:t>
      </w:r>
      <w:r>
        <w:t>must</w:t>
      </w:r>
      <w:r w:rsidRPr="002701BE">
        <w:t xml:space="preserve"> be requested by a recognised specialist or consultant physician</w:t>
      </w:r>
      <w:r>
        <w:t>,</w:t>
      </w:r>
      <w:r w:rsidRPr="002701BE">
        <w:t xml:space="preserve"> consistent with other PET items.</w:t>
      </w:r>
    </w:p>
    <w:p w14:paraId="7BF6F419" w14:textId="77777777" w:rsidR="00BC1364" w:rsidRPr="00F715D1" w:rsidRDefault="00BC1364" w:rsidP="00F715D1">
      <w:pPr>
        <w:pStyle w:val="Heading1"/>
      </w:pPr>
      <w:r w:rsidRPr="00F715D1">
        <w:t>Proposal for public funding</w:t>
      </w:r>
    </w:p>
    <w:p w14:paraId="4BFF5413" w14:textId="77777777" w:rsidR="00815444" w:rsidRDefault="00815444" w:rsidP="00815444">
      <w:r w:rsidRPr="002701BE">
        <w:t xml:space="preserve">Proposed MBS item descriptors, based on simplifying the existing lymphoma items, are listed in </w:t>
      </w:r>
      <w:r w:rsidRPr="002701BE">
        <w:fldChar w:fldCharType="begin"/>
      </w:r>
      <w:r w:rsidRPr="002701BE">
        <w:instrText xml:space="preserve"> REF _Ref460421934 \h </w:instrText>
      </w:r>
      <w:r>
        <w:instrText xml:space="preserve"> \* MERGEFORMAT </w:instrText>
      </w:r>
      <w:r w:rsidRPr="002701BE">
        <w:fldChar w:fldCharType="separate"/>
      </w:r>
      <w:r w:rsidR="002938FE" w:rsidRPr="00AE6BFA">
        <w:t xml:space="preserve">Table </w:t>
      </w:r>
      <w:r w:rsidR="002938FE">
        <w:rPr>
          <w:noProof/>
        </w:rPr>
        <w:t>1</w:t>
      </w:r>
      <w:r w:rsidRPr="002701BE">
        <w:fldChar w:fldCharType="end"/>
      </w:r>
      <w:r w:rsidR="00F22626">
        <w:t>.</w:t>
      </w:r>
    </w:p>
    <w:p w14:paraId="1D493372" w14:textId="77777777" w:rsidR="00815444" w:rsidRPr="00AE6BFA" w:rsidRDefault="00815444" w:rsidP="000D274F">
      <w:pPr>
        <w:pStyle w:val="TableHeading"/>
        <w:ind w:left="0" w:firstLine="0"/>
      </w:pPr>
      <w:bookmarkStart w:id="1" w:name="_Ref460421934"/>
      <w:bookmarkStart w:id="2" w:name="_Toc460835702"/>
      <w:r w:rsidRPr="00AE6BFA">
        <w:lastRenderedPageBreak/>
        <w:t xml:space="preserve">Table </w:t>
      </w:r>
      <w:r w:rsidRPr="00AE6BFA">
        <w:fldChar w:fldCharType="begin"/>
      </w:r>
      <w:r w:rsidRPr="00AE6BFA">
        <w:instrText xml:space="preserve"> SEQ Table \* ARABIC </w:instrText>
      </w:r>
      <w:r w:rsidRPr="00AE6BFA">
        <w:fldChar w:fldCharType="separate"/>
      </w:r>
      <w:r w:rsidR="002938FE">
        <w:t>1</w:t>
      </w:r>
      <w:r w:rsidRPr="00AE6BFA">
        <w:fldChar w:fldCharType="end"/>
      </w:r>
      <w:bookmarkEnd w:id="1"/>
      <w:r w:rsidR="00453AB5">
        <w:tab/>
      </w:r>
      <w:r w:rsidRPr="00AE6BFA">
        <w:t>Proposed MBS item descriptors</w:t>
      </w:r>
      <w:bookmarkEnd w:id="2"/>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1 Proposed MBS item descriptor-This table provides a description of the proposed wording of the item to be included in the Medicare Benefits Schedule for this technology."/>
      </w:tblPr>
      <w:tblGrid>
        <w:gridCol w:w="9111"/>
      </w:tblGrid>
      <w:tr w:rsidR="00815444" w:rsidRPr="002701BE" w14:paraId="7B629ADC" w14:textId="77777777" w:rsidTr="007F6813">
        <w:tc>
          <w:tcPr>
            <w:tcW w:w="9111" w:type="dxa"/>
            <w:tcBorders>
              <w:top w:val="single" w:sz="4" w:space="0" w:color="000000"/>
              <w:left w:val="single" w:sz="4" w:space="0" w:color="000000"/>
              <w:bottom w:val="single" w:sz="4" w:space="0" w:color="000000"/>
              <w:right w:val="single" w:sz="4" w:space="0" w:color="000000"/>
            </w:tcBorders>
          </w:tcPr>
          <w:p w14:paraId="1C476E63"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Category 5 – Diagnostic imaging services</w:t>
            </w:r>
          </w:p>
        </w:tc>
      </w:tr>
      <w:tr w:rsidR="00815444" w:rsidRPr="002701BE" w14:paraId="613B6D94" w14:textId="77777777" w:rsidTr="007F6813">
        <w:tc>
          <w:tcPr>
            <w:tcW w:w="9111" w:type="dxa"/>
            <w:tcBorders>
              <w:top w:val="single" w:sz="4" w:space="0" w:color="000000"/>
              <w:left w:val="single" w:sz="4" w:space="0" w:color="000000"/>
              <w:bottom w:val="single" w:sz="4" w:space="0" w:color="000000"/>
              <w:right w:val="single" w:sz="4" w:space="0" w:color="000000"/>
            </w:tcBorders>
          </w:tcPr>
          <w:p w14:paraId="10DBF464"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61616 - Replaced by 61620</w:t>
            </w:r>
          </w:p>
        </w:tc>
      </w:tr>
      <w:tr w:rsidR="00815444" w:rsidRPr="002701BE" w14:paraId="0041BA89" w14:textId="77777777" w:rsidTr="007F6813">
        <w:tc>
          <w:tcPr>
            <w:tcW w:w="9111" w:type="dxa"/>
            <w:tcBorders>
              <w:top w:val="single" w:sz="4" w:space="0" w:color="000000"/>
              <w:left w:val="single" w:sz="4" w:space="0" w:color="000000"/>
              <w:bottom w:val="single" w:sz="4" w:space="0" w:color="000000"/>
              <w:right w:val="single" w:sz="4" w:space="0" w:color="000000"/>
            </w:tcBorders>
          </w:tcPr>
          <w:p w14:paraId="3FE7AB05"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61620</w:t>
            </w:r>
          </w:p>
          <w:p w14:paraId="3598BA01" w14:textId="77777777" w:rsidR="00AE6BFA" w:rsidRPr="002701BE" w:rsidRDefault="00815444" w:rsidP="00F22626">
            <w:pPr>
              <w:pStyle w:val="TableText"/>
              <w:spacing w:before="0" w:after="120"/>
              <w:jc w:val="both"/>
              <w:rPr>
                <w:rFonts w:ascii="Times New Roman" w:hAnsi="Times New Roman" w:cs="Times New Roman"/>
                <w:szCs w:val="20"/>
              </w:rPr>
            </w:pPr>
            <w:r w:rsidRPr="002701BE">
              <w:rPr>
                <w:rFonts w:ascii="Times New Roman" w:hAnsi="Times New Roman" w:cs="Times New Roman"/>
                <w:szCs w:val="20"/>
              </w:rPr>
              <w:t>Whole body FDG PET study for the initial staging of newly diagnosed or previously untreated Hodgkin's</w:t>
            </w:r>
            <w:r w:rsidR="00AE6BFA">
              <w:rPr>
                <w:rFonts w:ascii="Times New Roman" w:hAnsi="Times New Roman" w:cs="Times New Roman"/>
                <w:szCs w:val="20"/>
              </w:rPr>
              <w:t xml:space="preserve"> or non-Hodgkin's lymphoma. (R)</w:t>
            </w:r>
          </w:p>
          <w:p w14:paraId="3F249460" w14:textId="77777777" w:rsidR="00815444" w:rsidRPr="002701BE" w:rsidRDefault="00F22626" w:rsidP="00F22626">
            <w:pPr>
              <w:pStyle w:val="TableText"/>
              <w:spacing w:before="120" w:after="120"/>
              <w:jc w:val="both"/>
              <w:rPr>
                <w:rFonts w:ascii="Times New Roman" w:hAnsi="Times New Roman" w:cs="Times New Roman"/>
                <w:szCs w:val="20"/>
              </w:rPr>
            </w:pPr>
            <w:r>
              <w:rPr>
                <w:rFonts w:ascii="Times New Roman" w:hAnsi="Times New Roman" w:cs="Times New Roman"/>
                <w:szCs w:val="20"/>
              </w:rPr>
              <w:t>Bulk bill incentive</w:t>
            </w:r>
          </w:p>
          <w:p w14:paraId="795D02CF" w14:textId="77777777" w:rsidR="00815444" w:rsidRPr="002701BE" w:rsidRDefault="00815444" w:rsidP="00F22626">
            <w:pPr>
              <w:pStyle w:val="TableText"/>
              <w:spacing w:before="120" w:after="120"/>
              <w:jc w:val="both"/>
              <w:rPr>
                <w:rFonts w:ascii="Times New Roman" w:hAnsi="Times New Roman" w:cs="Times New Roman"/>
                <w:szCs w:val="20"/>
              </w:rPr>
            </w:pPr>
            <w:r w:rsidRPr="002701BE">
              <w:rPr>
                <w:rFonts w:ascii="Times New Roman" w:hAnsi="Times New Roman" w:cs="Times New Roman"/>
                <w:szCs w:val="20"/>
              </w:rPr>
              <w:t>Fee: $953.00 Benefit: 75% = $714.75 85% = $873.50</w:t>
            </w:r>
          </w:p>
        </w:tc>
      </w:tr>
      <w:tr w:rsidR="00815444" w:rsidRPr="002701BE" w14:paraId="01E5E831" w14:textId="77777777" w:rsidTr="007F6813">
        <w:tc>
          <w:tcPr>
            <w:tcW w:w="9111" w:type="dxa"/>
            <w:tcBorders>
              <w:top w:val="single" w:sz="4" w:space="0" w:color="000000"/>
              <w:left w:val="single" w:sz="4" w:space="0" w:color="000000"/>
              <w:bottom w:val="single" w:sz="4" w:space="0" w:color="000000"/>
              <w:right w:val="single" w:sz="4" w:space="0" w:color="000000"/>
            </w:tcBorders>
          </w:tcPr>
          <w:p w14:paraId="749DCCA5"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61622</w:t>
            </w:r>
          </w:p>
          <w:p w14:paraId="64C0BC98" w14:textId="77777777" w:rsidR="00815444" w:rsidRPr="002701BE" w:rsidRDefault="00815444" w:rsidP="00F22626">
            <w:pPr>
              <w:pStyle w:val="TableText"/>
              <w:jc w:val="both"/>
              <w:rPr>
                <w:rFonts w:ascii="Times New Roman" w:hAnsi="Times New Roman" w:cs="Times New Roman"/>
                <w:szCs w:val="20"/>
              </w:rPr>
            </w:pPr>
            <w:r w:rsidRPr="002701BE">
              <w:rPr>
                <w:rFonts w:ascii="Times New Roman" w:hAnsi="Times New Roman" w:cs="Times New Roman"/>
                <w:szCs w:val="20"/>
              </w:rPr>
              <w:t>Whole body FDG PET study to assess response to first line therapy either during treatment or within three months of completing definitive first line treatment for Hodgkin's</w:t>
            </w:r>
            <w:r w:rsidR="00F22626">
              <w:rPr>
                <w:rFonts w:ascii="Times New Roman" w:hAnsi="Times New Roman" w:cs="Times New Roman"/>
                <w:szCs w:val="20"/>
              </w:rPr>
              <w:t xml:space="preserve"> or non-Hodgkin's lymphoma, (R)</w:t>
            </w:r>
          </w:p>
          <w:p w14:paraId="510FF599" w14:textId="77777777" w:rsidR="00815444" w:rsidRPr="002701BE" w:rsidRDefault="00F22626" w:rsidP="00F22626">
            <w:pPr>
              <w:pStyle w:val="TableText"/>
              <w:spacing w:before="120" w:after="120"/>
              <w:jc w:val="both"/>
              <w:rPr>
                <w:rFonts w:ascii="Times New Roman" w:hAnsi="Times New Roman" w:cs="Times New Roman"/>
                <w:szCs w:val="20"/>
              </w:rPr>
            </w:pPr>
            <w:r>
              <w:rPr>
                <w:rFonts w:ascii="Times New Roman" w:hAnsi="Times New Roman" w:cs="Times New Roman"/>
                <w:szCs w:val="20"/>
              </w:rPr>
              <w:t>Bulk bill incentive</w:t>
            </w:r>
          </w:p>
          <w:p w14:paraId="6C4DDB60"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Fee: $953.00 Benefit: 75% = $714.75 85% = $873.50</w:t>
            </w:r>
          </w:p>
        </w:tc>
      </w:tr>
      <w:tr w:rsidR="00815444" w:rsidRPr="002701BE" w14:paraId="79397F8F" w14:textId="77777777" w:rsidTr="007F6813">
        <w:tc>
          <w:tcPr>
            <w:tcW w:w="9111" w:type="dxa"/>
            <w:tcBorders>
              <w:top w:val="single" w:sz="4" w:space="0" w:color="000000"/>
              <w:left w:val="single" w:sz="4" w:space="0" w:color="000000"/>
              <w:bottom w:val="single" w:sz="4" w:space="0" w:color="000000"/>
              <w:right w:val="single" w:sz="4" w:space="0" w:color="000000"/>
            </w:tcBorders>
          </w:tcPr>
          <w:p w14:paraId="6C094C15"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61628</w:t>
            </w:r>
          </w:p>
          <w:p w14:paraId="3BB8A8E2" w14:textId="77777777" w:rsidR="00815444" w:rsidRPr="002701BE" w:rsidRDefault="00815444" w:rsidP="00F22626">
            <w:pPr>
              <w:pStyle w:val="TableText"/>
              <w:jc w:val="both"/>
              <w:rPr>
                <w:rFonts w:ascii="Times New Roman" w:hAnsi="Times New Roman" w:cs="Times New Roman"/>
                <w:szCs w:val="20"/>
              </w:rPr>
            </w:pPr>
            <w:r w:rsidRPr="002701BE">
              <w:rPr>
                <w:rFonts w:ascii="Times New Roman" w:hAnsi="Times New Roman" w:cs="Times New Roman"/>
                <w:szCs w:val="20"/>
              </w:rPr>
              <w:t>Whole body FDG PET study for restaging following confirmation of recurrence of Hodgkin's</w:t>
            </w:r>
            <w:r w:rsidR="00F22626">
              <w:rPr>
                <w:rFonts w:ascii="Times New Roman" w:hAnsi="Times New Roman" w:cs="Times New Roman"/>
                <w:szCs w:val="20"/>
              </w:rPr>
              <w:t xml:space="preserve"> or non-Hodgkin's lymphoma. (R)</w:t>
            </w:r>
          </w:p>
          <w:p w14:paraId="3633BC32" w14:textId="77777777" w:rsidR="00815444" w:rsidRPr="002701BE" w:rsidRDefault="00F22626" w:rsidP="00F22626">
            <w:pPr>
              <w:pStyle w:val="TableText"/>
              <w:spacing w:before="120" w:after="120"/>
              <w:jc w:val="both"/>
              <w:rPr>
                <w:rFonts w:ascii="Times New Roman" w:hAnsi="Times New Roman" w:cs="Times New Roman"/>
                <w:szCs w:val="20"/>
              </w:rPr>
            </w:pPr>
            <w:r>
              <w:rPr>
                <w:rFonts w:ascii="Times New Roman" w:hAnsi="Times New Roman" w:cs="Times New Roman"/>
                <w:szCs w:val="20"/>
              </w:rPr>
              <w:t>Bulk bill incentive</w:t>
            </w:r>
          </w:p>
          <w:p w14:paraId="79C798B0"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Fee: $953.00 Benefit: 75% = $714.75 85% = $873.50</w:t>
            </w:r>
          </w:p>
        </w:tc>
      </w:tr>
      <w:tr w:rsidR="00815444" w:rsidRPr="002701BE" w14:paraId="36CD6C69" w14:textId="77777777" w:rsidTr="007F6813">
        <w:tc>
          <w:tcPr>
            <w:tcW w:w="9111" w:type="dxa"/>
            <w:tcBorders>
              <w:top w:val="single" w:sz="4" w:space="0" w:color="000000"/>
              <w:left w:val="single" w:sz="4" w:space="0" w:color="000000"/>
              <w:bottom w:val="single" w:sz="4" w:space="0" w:color="000000"/>
              <w:right w:val="single" w:sz="4" w:space="0" w:color="000000"/>
            </w:tcBorders>
          </w:tcPr>
          <w:p w14:paraId="2DDF993F"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61632</w:t>
            </w:r>
          </w:p>
          <w:p w14:paraId="7606C8F2" w14:textId="77777777" w:rsidR="00815444" w:rsidRPr="002701BE" w:rsidRDefault="00815444" w:rsidP="00F22626">
            <w:pPr>
              <w:pStyle w:val="TableText"/>
              <w:jc w:val="both"/>
              <w:rPr>
                <w:rFonts w:ascii="Times New Roman" w:hAnsi="Times New Roman" w:cs="Times New Roman"/>
                <w:szCs w:val="20"/>
              </w:rPr>
            </w:pPr>
            <w:r w:rsidRPr="002701BE">
              <w:rPr>
                <w:rFonts w:ascii="Times New Roman" w:hAnsi="Times New Roman" w:cs="Times New Roman"/>
                <w:szCs w:val="20"/>
              </w:rPr>
              <w:t>Whole body FDG PET study to assess response to second-line chemotherapy when stem cell transplantation is being considered, for Hodgkin's</w:t>
            </w:r>
            <w:r w:rsidR="00F22626">
              <w:rPr>
                <w:rFonts w:ascii="Times New Roman" w:hAnsi="Times New Roman" w:cs="Times New Roman"/>
                <w:szCs w:val="20"/>
              </w:rPr>
              <w:t xml:space="preserve"> or non-Hodgkin's lymphoma. (R)</w:t>
            </w:r>
          </w:p>
          <w:p w14:paraId="7D57DB8E" w14:textId="77777777" w:rsidR="00815444" w:rsidRPr="002701BE" w:rsidRDefault="00F22626" w:rsidP="00F22626">
            <w:pPr>
              <w:pStyle w:val="TableText"/>
              <w:spacing w:before="120" w:after="120"/>
              <w:jc w:val="both"/>
              <w:rPr>
                <w:rFonts w:ascii="Times New Roman" w:hAnsi="Times New Roman" w:cs="Times New Roman"/>
                <w:szCs w:val="20"/>
              </w:rPr>
            </w:pPr>
            <w:r>
              <w:rPr>
                <w:rFonts w:ascii="Times New Roman" w:hAnsi="Times New Roman" w:cs="Times New Roman"/>
                <w:szCs w:val="20"/>
              </w:rPr>
              <w:t>Bulk bill incentive</w:t>
            </w:r>
          </w:p>
          <w:p w14:paraId="2E8EC94D" w14:textId="77777777" w:rsidR="00815444" w:rsidRPr="002701BE" w:rsidRDefault="00815444" w:rsidP="007F6813">
            <w:pPr>
              <w:pStyle w:val="TableText"/>
              <w:jc w:val="both"/>
              <w:rPr>
                <w:rFonts w:ascii="Times New Roman" w:hAnsi="Times New Roman" w:cs="Times New Roman"/>
                <w:szCs w:val="20"/>
              </w:rPr>
            </w:pPr>
            <w:r w:rsidRPr="002701BE">
              <w:rPr>
                <w:rFonts w:ascii="Times New Roman" w:hAnsi="Times New Roman" w:cs="Times New Roman"/>
                <w:szCs w:val="20"/>
              </w:rPr>
              <w:t>Fee: $953.00 Benefit: 75% = $714.75 85% = $873.50</w:t>
            </w:r>
          </w:p>
        </w:tc>
      </w:tr>
    </w:tbl>
    <w:p w14:paraId="01C4BF08"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3E142EF" w14:textId="77777777" w:rsidR="00815444" w:rsidRPr="002701BE" w:rsidRDefault="00815444" w:rsidP="00815444">
      <w:r w:rsidRPr="002701BE">
        <w:t>Consumer impact statements support</w:t>
      </w:r>
      <w:r>
        <w:t>ed</w:t>
      </w:r>
      <w:r w:rsidRPr="002701BE">
        <w:t xml:space="preserve"> the impact of PET/CT response assessment on patient quality of life; however, no published evidence was identified. Th</w:t>
      </w:r>
      <w:r>
        <w:t>ree consumer impact statements we</w:t>
      </w:r>
      <w:r w:rsidRPr="002701BE">
        <w:t xml:space="preserve">re included in the assessment </w:t>
      </w:r>
      <w:r>
        <w:t>which</w:t>
      </w:r>
      <w:r w:rsidRPr="002701BE">
        <w:t xml:space="preserve"> relate to the value of PET/CT assessment of treatment response. The prognostic information provided by PET/CT </w:t>
      </w:r>
      <w:r>
        <w:t xml:space="preserve">may </w:t>
      </w:r>
      <w:r w:rsidRPr="002701BE">
        <w:t xml:space="preserve">assist patients make major life decisions, </w:t>
      </w:r>
      <w:r w:rsidR="000B57EA">
        <w:t>such as whether to continue</w:t>
      </w:r>
      <w:r w:rsidRPr="002701BE">
        <w:t xml:space="preserve"> to work, and </w:t>
      </w:r>
      <w:r>
        <w:t xml:space="preserve">may </w:t>
      </w:r>
      <w:r w:rsidRPr="002701BE">
        <w:t>assist them to live with a disease which is both incurable and indolent.</w:t>
      </w:r>
    </w:p>
    <w:p w14:paraId="23D1D166" w14:textId="77777777" w:rsidR="00BC1364" w:rsidRPr="00F715D1" w:rsidRDefault="00BC1364" w:rsidP="00F715D1">
      <w:pPr>
        <w:pStyle w:val="Heading1"/>
      </w:pPr>
      <w:r w:rsidRPr="00F715D1">
        <w:t>Proposed intervention’s place in clinical management</w:t>
      </w:r>
    </w:p>
    <w:p w14:paraId="435B094D" w14:textId="77777777" w:rsidR="000B57EA" w:rsidRPr="002701BE" w:rsidRDefault="000B57EA" w:rsidP="000B57EA">
      <w:pPr>
        <w:spacing w:after="240"/>
      </w:pPr>
      <w:r w:rsidRPr="002701BE">
        <w:t>Non-Hodgkin</w:t>
      </w:r>
      <w:r>
        <w:t>’s</w:t>
      </w:r>
      <w:r w:rsidRPr="002701BE">
        <w:t xml:space="preserve"> lymphoma (NHL) is a heterogeneous group of over 40 different histological sub-types of lymphoid malignancies that originate in B-lymphocytes, T-lymphocytes or natural killer (NK) lymphocytes with a wide spectrum of disease manifestations, therapies and prognoses. NHL can be divided into indolent, aggressive or highly aggressive lymphomas, based on their natural history of progression. Indolent NHLs </w:t>
      </w:r>
      <w:r>
        <w:t xml:space="preserve">tends to </w:t>
      </w:r>
      <w:r w:rsidRPr="002701BE">
        <w:t xml:space="preserve">progress slowly and the survival of untreated disease is </w:t>
      </w:r>
      <w:r>
        <w:t xml:space="preserve">usually </w:t>
      </w:r>
      <w:r w:rsidRPr="002701BE">
        <w:t>measured in years.</w:t>
      </w:r>
    </w:p>
    <w:p w14:paraId="1680A13F" w14:textId="77777777" w:rsidR="000B57EA" w:rsidRPr="002701BE" w:rsidRDefault="000B57EA" w:rsidP="000B57EA">
      <w:pPr>
        <w:spacing w:after="240"/>
      </w:pPr>
      <w:r w:rsidRPr="002701BE">
        <w:t>NHL is the 5</w:t>
      </w:r>
      <w:r w:rsidRPr="002701BE">
        <w:rPr>
          <w:vertAlign w:val="superscript"/>
        </w:rPr>
        <w:t>th</w:t>
      </w:r>
      <w:r w:rsidRPr="002701BE">
        <w:t xml:space="preserve"> most prevalent cancer in Australia with 30,646 people diagnosed in the past 26 years still alive at the end of 2007 </w:t>
      </w:r>
      <w:r w:rsidRPr="002701BE">
        <w:fldChar w:fldCharType="begin"/>
      </w:r>
      <w:r w:rsidRPr="002701BE">
        <w:instrText xml:space="preserve"> ADDIN EN.CITE &lt;EndNote&gt;&lt;Cite&gt;&lt;Author&gt;Australian Institute of Health and Welfare&lt;/Author&gt;&lt;Year&gt;2016&lt;/Year&gt;&lt;RecNum&gt;47&lt;/RecNum&gt;&lt;DisplayText&gt;(Australian Institute of Health and Welfare 2016b)&lt;/DisplayText&gt;&lt;record&gt;&lt;rec-number&gt;47&lt;/rec-number&gt;&lt;foreign-keys&gt;&lt;key app="EN" db-id="zsze0fse752rdaett0159xtpa025pfweww5r" timestamp="1472003834"&gt;47&lt;/key&gt;&lt;/foreign-keys&gt;&lt;ref-type name="Web Page"&gt;12&lt;/ref-type&gt;&lt;contributors&gt;&lt;authors&gt;&lt;author&gt;Australian Institute of Health and Welfare,&lt;/author&gt;&lt;/authors&gt;&lt;/contributors&gt;&lt;titles&gt;&lt;title&gt;Cancer in Australia: Key Facts&lt;/title&gt;&lt;/titles&gt;&lt;volume&gt;2016&lt;/volume&gt;&lt;number&gt;24 August&lt;/number&gt;&lt;dates&gt;&lt;year&gt;2016&lt;/year&gt;&lt;/dates&gt;&lt;pub-location&gt;Canberra&lt;/pub-location&gt;&lt;urls&gt;&lt;related-urls&gt;&lt;url&gt;http://www.aihw.gov.au/cancer/cancer-in-australia/&lt;/url&gt;&lt;/related-urls&gt;&lt;/urls&gt;&lt;/record&gt;&lt;/Cite&gt;&lt;/EndNote&gt;</w:instrText>
      </w:r>
      <w:r w:rsidRPr="002701BE">
        <w:fldChar w:fldCharType="separate"/>
      </w:r>
      <w:r w:rsidRPr="002701BE">
        <w:rPr>
          <w:noProof/>
        </w:rPr>
        <w:t>(Australian Institute of Health and Welfare 2016b)</w:t>
      </w:r>
      <w:r w:rsidRPr="002701BE">
        <w:fldChar w:fldCharType="end"/>
      </w:r>
      <w:r w:rsidRPr="002701BE">
        <w:t>.</w:t>
      </w:r>
    </w:p>
    <w:p w14:paraId="5FB6B24B" w14:textId="77777777" w:rsidR="000B57EA" w:rsidRPr="002701BE" w:rsidRDefault="000B57EA" w:rsidP="000B57EA">
      <w:r w:rsidRPr="002701BE">
        <w:t xml:space="preserve">The proposed patient </w:t>
      </w:r>
      <w:r w:rsidR="007F6813">
        <w:t>population for this assessment a</w:t>
      </w:r>
      <w:r w:rsidRPr="002701BE">
        <w:t xml:space="preserve">re those who have already been diagnosed with indolent NHL and who are either: </w:t>
      </w:r>
    </w:p>
    <w:p w14:paraId="7EE2E13A" w14:textId="77777777" w:rsidR="000B57EA" w:rsidRPr="002701BE" w:rsidRDefault="000B57EA" w:rsidP="000B57EA">
      <w:pPr>
        <w:pStyle w:val="ListParagraph"/>
        <w:numPr>
          <w:ilvl w:val="0"/>
          <w:numId w:val="27"/>
        </w:numPr>
        <w:ind w:hanging="573"/>
        <w:contextualSpacing w:val="0"/>
      </w:pPr>
      <w:r w:rsidRPr="002701BE">
        <w:t xml:space="preserve">newly diagnosed or relapsed and require staging </w:t>
      </w:r>
      <w:r>
        <w:t xml:space="preserve">or restaging </w:t>
      </w:r>
      <w:r w:rsidRPr="002701BE">
        <w:t xml:space="preserve">of the disease or </w:t>
      </w:r>
    </w:p>
    <w:p w14:paraId="60E7632E" w14:textId="77777777" w:rsidR="000B57EA" w:rsidRPr="002701BE" w:rsidRDefault="000B57EA" w:rsidP="000B57EA">
      <w:pPr>
        <w:pStyle w:val="ListParagraph"/>
        <w:numPr>
          <w:ilvl w:val="0"/>
          <w:numId w:val="27"/>
        </w:numPr>
        <w:spacing w:after="240"/>
        <w:ind w:hanging="573"/>
        <w:contextualSpacing w:val="0"/>
      </w:pPr>
      <w:proofErr w:type="gramStart"/>
      <w:r w:rsidRPr="002701BE">
        <w:t>require</w:t>
      </w:r>
      <w:proofErr w:type="gramEnd"/>
      <w:r w:rsidRPr="002701BE">
        <w:t xml:space="preserve"> assessment of response to treatment. </w:t>
      </w:r>
    </w:p>
    <w:p w14:paraId="27D4D852" w14:textId="77777777" w:rsidR="000B57EA" w:rsidRPr="002701BE" w:rsidRDefault="000B57EA" w:rsidP="000B57EA">
      <w:r w:rsidRPr="002701BE">
        <w:lastRenderedPageBreak/>
        <w:t xml:space="preserve">The following types of lymphoma </w:t>
      </w:r>
      <w:r>
        <w:t>were</w:t>
      </w:r>
      <w:r w:rsidRPr="002701BE">
        <w:t xml:space="preserve"> considered as indolent for this assessment:</w:t>
      </w:r>
    </w:p>
    <w:p w14:paraId="2B7B77E4" w14:textId="77777777" w:rsidR="000B57EA" w:rsidRPr="002701BE" w:rsidRDefault="000B57EA" w:rsidP="000B57EA">
      <w:pPr>
        <w:pStyle w:val="ListParagraph"/>
        <w:numPr>
          <w:ilvl w:val="0"/>
          <w:numId w:val="28"/>
        </w:numPr>
        <w:ind w:hanging="573"/>
        <w:contextualSpacing w:val="0"/>
      </w:pPr>
      <w:r w:rsidRPr="002701BE">
        <w:t xml:space="preserve">Follicular </w:t>
      </w:r>
      <w:r>
        <w:t>l</w:t>
      </w:r>
      <w:r w:rsidRPr="002701BE">
        <w:t>ymphoma</w:t>
      </w:r>
      <w:r>
        <w:t xml:space="preserve"> (accounting for ~70% of indolent NHL)</w:t>
      </w:r>
    </w:p>
    <w:p w14:paraId="3AB31ED9" w14:textId="77777777" w:rsidR="000B57EA" w:rsidRPr="002701BE" w:rsidRDefault="000B57EA" w:rsidP="000B57EA">
      <w:pPr>
        <w:pStyle w:val="ListParagraph"/>
        <w:numPr>
          <w:ilvl w:val="0"/>
          <w:numId w:val="28"/>
        </w:numPr>
        <w:ind w:hanging="573"/>
        <w:contextualSpacing w:val="0"/>
      </w:pPr>
      <w:r w:rsidRPr="002701BE">
        <w:t xml:space="preserve">Nodal </w:t>
      </w:r>
      <w:r>
        <w:t>m</w:t>
      </w:r>
      <w:r w:rsidRPr="002701BE">
        <w:t>arginal zone lymphoma</w:t>
      </w:r>
    </w:p>
    <w:p w14:paraId="04B34D71" w14:textId="77777777" w:rsidR="000B57EA" w:rsidRDefault="000B57EA" w:rsidP="00AE6BFA">
      <w:pPr>
        <w:pStyle w:val="ListParagraph"/>
        <w:numPr>
          <w:ilvl w:val="0"/>
          <w:numId w:val="28"/>
        </w:numPr>
        <w:spacing w:after="240"/>
        <w:ind w:hanging="573"/>
        <w:contextualSpacing w:val="0"/>
      </w:pPr>
      <w:r w:rsidRPr="002701BE">
        <w:t>Small lymphocytic lymphoma (excl</w:t>
      </w:r>
      <w:r>
        <w:t>uding</w:t>
      </w:r>
      <w:r w:rsidRPr="002701BE">
        <w:t xml:space="preserve"> any features of CLL)</w:t>
      </w:r>
      <w:r>
        <w:t>.</w:t>
      </w:r>
    </w:p>
    <w:p w14:paraId="6DAE9D06" w14:textId="570F7527" w:rsidR="000B57EA" w:rsidRPr="002701BE" w:rsidRDefault="000B57EA" w:rsidP="00AE6BFA">
      <w:pPr>
        <w:spacing w:after="240"/>
      </w:pPr>
      <w:r w:rsidRPr="002701BE">
        <w:t xml:space="preserve">The proposed clinical management algorithm is presented in </w:t>
      </w:r>
      <w:r w:rsidR="001F3C7C">
        <w:fldChar w:fldCharType="begin"/>
      </w:r>
      <w:r w:rsidR="001F3C7C">
        <w:instrText xml:space="preserve"> REF _Ref469653129 \h </w:instrText>
      </w:r>
      <w:r w:rsidR="001F3C7C">
        <w:fldChar w:fldCharType="separate"/>
      </w:r>
      <w:r w:rsidR="001F3C7C" w:rsidRPr="002701BE">
        <w:t xml:space="preserve">Figure </w:t>
      </w:r>
      <w:r w:rsidR="001F3C7C">
        <w:t>1</w:t>
      </w:r>
      <w:r w:rsidR="001F3C7C">
        <w:fldChar w:fldCharType="end"/>
      </w:r>
      <w:r w:rsidR="00AE6BFA">
        <w:t>.</w:t>
      </w:r>
    </w:p>
    <w:p w14:paraId="5ECAD920" w14:textId="77777777" w:rsidR="000B57EA" w:rsidRPr="002701BE" w:rsidRDefault="000B57EA" w:rsidP="000B57EA">
      <w:r w:rsidRPr="002701BE">
        <w:t>PET/CT is already funded for staging of stage I-II</w:t>
      </w:r>
      <w:r>
        <w:t>A</w:t>
      </w:r>
      <w:r w:rsidRPr="002701BE">
        <w:t xml:space="preserve"> indolent NHL. The proposal is to expand this to allow for staging of all newly diagnosed and relapsed indolent NHL</w:t>
      </w:r>
      <w:r>
        <w:t>:</w:t>
      </w:r>
      <w:r w:rsidRPr="002701BE">
        <w:t xml:space="preserve"> </w:t>
      </w:r>
      <w:r>
        <w:t xml:space="preserve">compared to staging without PET/CT, </w:t>
      </w:r>
      <w:r w:rsidRPr="002701BE">
        <w:t>this would provide</w:t>
      </w:r>
    </w:p>
    <w:p w14:paraId="26F89AD6" w14:textId="77777777" w:rsidR="000B57EA" w:rsidRPr="002701BE" w:rsidRDefault="000B57EA" w:rsidP="000B57EA">
      <w:pPr>
        <w:pStyle w:val="ListParagraph"/>
        <w:numPr>
          <w:ilvl w:val="0"/>
          <w:numId w:val="29"/>
        </w:numPr>
        <w:ind w:left="771" w:hanging="357"/>
        <w:contextualSpacing w:val="0"/>
      </w:pPr>
      <w:r w:rsidRPr="002701BE">
        <w:t>More accurate staging</w:t>
      </w:r>
    </w:p>
    <w:p w14:paraId="2A58C109" w14:textId="77777777" w:rsidR="000B57EA" w:rsidRPr="002701BE" w:rsidRDefault="000B57EA" w:rsidP="000B57EA">
      <w:pPr>
        <w:pStyle w:val="ListParagraph"/>
        <w:numPr>
          <w:ilvl w:val="0"/>
          <w:numId w:val="29"/>
        </w:numPr>
        <w:spacing w:after="240"/>
        <w:ind w:left="771" w:hanging="357"/>
        <w:contextualSpacing w:val="0"/>
      </w:pPr>
      <w:r w:rsidRPr="002701BE">
        <w:t>A baseline for post-treatment PET/CT interpretation.</w:t>
      </w:r>
    </w:p>
    <w:p w14:paraId="29F24013" w14:textId="77777777" w:rsidR="000B57EA" w:rsidRPr="002701BE" w:rsidRDefault="000B57EA" w:rsidP="000B57EA">
      <w:r w:rsidRPr="002701BE">
        <w:t>PET/CT is funded for the assessment of response to treatment in aggressive but not indolent NHL. The proposal is to expand this indication to allow for assessment of response to treatment in indolent NHL</w:t>
      </w:r>
      <w:r>
        <w:t>:</w:t>
      </w:r>
      <w:r w:rsidRPr="002701BE">
        <w:t xml:space="preserve"> </w:t>
      </w:r>
      <w:r>
        <w:t xml:space="preserve">compared to response assessment without PET/CT, </w:t>
      </w:r>
      <w:r w:rsidRPr="002701BE">
        <w:t xml:space="preserve">this would provide </w:t>
      </w:r>
    </w:p>
    <w:p w14:paraId="4D90EF85" w14:textId="77777777" w:rsidR="000B57EA" w:rsidRPr="002701BE" w:rsidRDefault="000B57EA" w:rsidP="000B57EA">
      <w:pPr>
        <w:pStyle w:val="ListParagraph"/>
        <w:numPr>
          <w:ilvl w:val="0"/>
          <w:numId w:val="30"/>
        </w:numPr>
        <w:ind w:left="714" w:hanging="357"/>
        <w:contextualSpacing w:val="0"/>
      </w:pPr>
      <w:r w:rsidRPr="002701BE">
        <w:t>more accurate assessment of treatment effectiveness</w:t>
      </w:r>
    </w:p>
    <w:p w14:paraId="4C419A42" w14:textId="77777777" w:rsidR="000B57EA" w:rsidRPr="002701BE" w:rsidRDefault="000B57EA" w:rsidP="000B57EA">
      <w:pPr>
        <w:pStyle w:val="ListParagraph"/>
        <w:numPr>
          <w:ilvl w:val="0"/>
          <w:numId w:val="30"/>
        </w:numPr>
        <w:ind w:left="714" w:hanging="357"/>
        <w:contextualSpacing w:val="0"/>
      </w:pPr>
      <w:r w:rsidRPr="002701BE">
        <w:t>simpler</w:t>
      </w:r>
      <w:r>
        <w:t>, less invasive</w:t>
      </w:r>
      <w:r w:rsidRPr="002701BE">
        <w:t xml:space="preserve"> </w:t>
      </w:r>
      <w:r>
        <w:t xml:space="preserve">and more reproducible </w:t>
      </w:r>
      <w:r w:rsidRPr="002701BE">
        <w:t>assessment of treatment response</w:t>
      </w:r>
    </w:p>
    <w:p w14:paraId="0BC7A0C2" w14:textId="77777777" w:rsidR="000B57EA" w:rsidRPr="002701BE" w:rsidRDefault="000B57EA" w:rsidP="000B57EA">
      <w:pPr>
        <w:pStyle w:val="ListParagraph"/>
        <w:numPr>
          <w:ilvl w:val="0"/>
          <w:numId w:val="30"/>
        </w:numPr>
        <w:spacing w:after="240"/>
        <w:ind w:left="714" w:hanging="357"/>
        <w:contextualSpacing w:val="0"/>
      </w:pPr>
      <w:proofErr w:type="gramStart"/>
      <w:r w:rsidRPr="002701BE">
        <w:t>improved</w:t>
      </w:r>
      <w:proofErr w:type="gramEnd"/>
      <w:r w:rsidRPr="002701BE">
        <w:t xml:space="preserve"> prognostic information.</w:t>
      </w:r>
    </w:p>
    <w:p w14:paraId="046EF099" w14:textId="77777777" w:rsidR="000B57EA" w:rsidRPr="002701BE" w:rsidRDefault="000B57EA" w:rsidP="000B57EA">
      <w:r w:rsidRPr="002701BE">
        <w:t>Treatment intensification or de-escalation based on PET/CT response assessment is also possible and currently being assessed in clinical trials.</w:t>
      </w:r>
    </w:p>
    <w:p w14:paraId="2F10C0F3" w14:textId="77777777" w:rsidR="000B57EA" w:rsidRDefault="000B57EA" w:rsidP="000B57EA">
      <w:pPr>
        <w:spacing w:after="200" w:line="276" w:lineRule="auto"/>
        <w:rPr>
          <w:b/>
          <w:bCs/>
          <w:iCs/>
          <w:sz w:val="20"/>
          <w:lang w:eastAsia="en-US"/>
        </w:rPr>
      </w:pPr>
      <w:bookmarkStart w:id="3" w:name="_Ref461706595"/>
      <w:bookmarkStart w:id="4" w:name="_Toc460835778"/>
      <w:r>
        <w:br w:type="page"/>
      </w:r>
    </w:p>
    <w:p w14:paraId="30C6F9ED" w14:textId="77777777" w:rsidR="000B57EA" w:rsidRPr="002701BE" w:rsidRDefault="000B57EA" w:rsidP="00AE6BFA">
      <w:pPr>
        <w:pStyle w:val="TableHeading"/>
      </w:pPr>
      <w:bookmarkStart w:id="5" w:name="_Ref469653129"/>
      <w:r w:rsidRPr="002701BE">
        <w:lastRenderedPageBreak/>
        <w:t xml:space="preserve">Figure </w:t>
      </w:r>
      <w:r w:rsidRPr="002701BE">
        <w:fldChar w:fldCharType="begin"/>
      </w:r>
      <w:r w:rsidRPr="002701BE">
        <w:instrText xml:space="preserve"> SEQ Figure \* ARABIC </w:instrText>
      </w:r>
      <w:r w:rsidRPr="002701BE">
        <w:fldChar w:fldCharType="separate"/>
      </w:r>
      <w:r w:rsidR="002938FE">
        <w:t>1</w:t>
      </w:r>
      <w:r w:rsidRPr="002701BE">
        <w:fldChar w:fldCharType="end"/>
      </w:r>
      <w:bookmarkEnd w:id="3"/>
      <w:bookmarkEnd w:id="5"/>
      <w:r>
        <w:t xml:space="preserve"> </w:t>
      </w:r>
      <w:r w:rsidRPr="002701BE">
        <w:tab/>
      </w:r>
      <w:bookmarkStart w:id="6" w:name="_Ref461706586"/>
      <w:r w:rsidRPr="002701BE">
        <w:t>Proposed clinical management algorithm for the use of PET-CT in (1.) the initial and subsequent staging of (orange) and (2.) the assessment of response to treatment (purple) in indolent lymphoma</w:t>
      </w:r>
      <w:bookmarkEnd w:id="4"/>
      <w:bookmarkEnd w:id="6"/>
    </w:p>
    <w:p w14:paraId="5C6ED628" w14:textId="77777777" w:rsidR="000B57EA" w:rsidRPr="002701BE" w:rsidRDefault="000B57EA" w:rsidP="000B57EA"/>
    <w:p w14:paraId="231AAD4D" w14:textId="1B83B815" w:rsidR="000B57EA" w:rsidRPr="002701BE" w:rsidRDefault="00D86DF2" w:rsidP="000B57EA">
      <w:r>
        <w:rPr>
          <w:noProof/>
        </w:rPr>
        <w:drawing>
          <wp:inline distT="0" distB="0" distL="0" distR="0" wp14:anchorId="30889E52" wp14:editId="740CAB37">
            <wp:extent cx="5731510" cy="7219973"/>
            <wp:effectExtent l="0" t="0" r="2540" b="0"/>
            <wp:docPr id="1" name="Picture 1" descr="Proposed clinical management algorithm-Patients with biopsy proven, newly diagnosed, indolent lymphoma will undergo conventional staging (with or without a CT scan) and the proposed PET-CT. Where there is discordance between the PET and CT staging, there will be upstaging or an increase in radiotherapy field. Where the PET and CT staging are concordant then treatment will be as planned. Early stage patients will undergo radiotherapy, advanced asymptomatic patients will be watched and wait with clinical follw up. While advanced patients with treatment indicated will undergo systemic treatment then all patients (early and advanced) undergoing treatment will receive PET-CT. With a complete response, patients will require less frequent follow-up. With a partial response or stable disease patients will require more frequent follow-up. Early stage patients will then watch and wait with clinical follow-up while advanced patients undergoing treatment may receive rituximab maintenance with CT surveillance only for bulky abdominal disease. Outocmes expected include impact of treatment on cancer progress, morbidity/mortality related to treatment. If there is symptomatic relapse the patient will recommence the clinical managemen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valenm\AppData\Local\Microsoft\Windows\Temporary Internet Files\Content.Outlook\ZQQJANSH\Figure 2 revised 250117.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219973"/>
                    </a:xfrm>
                    <a:prstGeom prst="rect">
                      <a:avLst/>
                    </a:prstGeom>
                    <a:noFill/>
                    <a:ln>
                      <a:noFill/>
                    </a:ln>
                  </pic:spPr>
                </pic:pic>
              </a:graphicData>
            </a:graphic>
          </wp:inline>
        </w:drawing>
      </w:r>
    </w:p>
    <w:p w14:paraId="5177249C" w14:textId="77777777" w:rsidR="000B57EA" w:rsidRPr="00416B43" w:rsidRDefault="000B57EA" w:rsidP="00416B43">
      <w:pPr>
        <w:pStyle w:val="Tablenotes"/>
        <w:rPr>
          <w:rFonts w:ascii="Times New Roman" w:hAnsi="Times New Roman" w:cs="Times New Roman"/>
        </w:rPr>
      </w:pPr>
      <w:r w:rsidRPr="002701BE">
        <w:rPr>
          <w:rFonts w:ascii="Times New Roman" w:hAnsi="Times New Roman" w:cs="Times New Roman"/>
        </w:rPr>
        <w:t>Where there is discordance between the PET and CT staging, the changes marked in orange may occur (increase in RT field or upstaging). Where there is no discordance then these pathways will not occur.</w:t>
      </w:r>
    </w:p>
    <w:p w14:paraId="62C45301" w14:textId="77777777" w:rsidR="00BC1364" w:rsidRPr="00F715D1" w:rsidRDefault="00BC1364" w:rsidP="00F715D1">
      <w:pPr>
        <w:pStyle w:val="Heading1"/>
      </w:pPr>
      <w:r w:rsidRPr="00F715D1">
        <w:t xml:space="preserve">Comparator </w:t>
      </w:r>
    </w:p>
    <w:p w14:paraId="20B14181" w14:textId="77777777" w:rsidR="00416B43" w:rsidRPr="002701BE" w:rsidRDefault="00416B43" w:rsidP="00416B43">
      <w:r w:rsidRPr="002701BE">
        <w:t>For patients who are newly diagnosed or relapsed and require staging of the disease, the comparator is prior tests alone. These prior tests usually include:</w:t>
      </w:r>
    </w:p>
    <w:p w14:paraId="4B2ABA2B" w14:textId="77777777" w:rsidR="00416B43" w:rsidRPr="002701BE" w:rsidRDefault="00416B43" w:rsidP="00416B43">
      <w:pPr>
        <w:pStyle w:val="ListParagraph"/>
        <w:numPr>
          <w:ilvl w:val="0"/>
          <w:numId w:val="32"/>
        </w:numPr>
        <w:ind w:left="714" w:hanging="357"/>
        <w:contextualSpacing w:val="0"/>
        <w:jc w:val="both"/>
      </w:pPr>
      <w:r w:rsidRPr="002701BE">
        <w:t>Physical examination</w:t>
      </w:r>
    </w:p>
    <w:p w14:paraId="4134E853" w14:textId="77777777" w:rsidR="00416B43" w:rsidRPr="002701BE" w:rsidRDefault="00416B43" w:rsidP="00416B43">
      <w:pPr>
        <w:pStyle w:val="ListParagraph"/>
        <w:numPr>
          <w:ilvl w:val="0"/>
          <w:numId w:val="32"/>
        </w:numPr>
        <w:ind w:left="714" w:hanging="357"/>
        <w:contextualSpacing w:val="0"/>
        <w:jc w:val="both"/>
      </w:pPr>
      <w:r w:rsidRPr="002701BE">
        <w:lastRenderedPageBreak/>
        <w:t>Laboratory studies (i.e. full blood counts, β2</w:t>
      </w:r>
      <w:r>
        <w:t>-</w:t>
      </w:r>
      <w:r w:rsidRPr="002701BE">
        <w:t>microglobulin</w:t>
      </w:r>
      <w:r>
        <w:t>,</w:t>
      </w:r>
      <w:r w:rsidRPr="002701BE">
        <w:t xml:space="preserve"> lactate dehydrogenase, liver function tests)</w:t>
      </w:r>
    </w:p>
    <w:p w14:paraId="25C196CA" w14:textId="77777777" w:rsidR="00416B43" w:rsidRPr="002701BE" w:rsidRDefault="00416B43" w:rsidP="00416B43">
      <w:pPr>
        <w:pStyle w:val="ListParagraph"/>
        <w:numPr>
          <w:ilvl w:val="0"/>
          <w:numId w:val="32"/>
        </w:numPr>
        <w:ind w:left="714" w:hanging="357"/>
        <w:contextualSpacing w:val="0"/>
        <w:jc w:val="both"/>
      </w:pPr>
      <w:r w:rsidRPr="002701BE">
        <w:t>± contrast enhanced CT (neck, chest, abdomen, pelvis)</w:t>
      </w:r>
    </w:p>
    <w:p w14:paraId="0EC286AC" w14:textId="77777777" w:rsidR="00416B43" w:rsidRPr="002701BE" w:rsidRDefault="00416B43" w:rsidP="00416B43">
      <w:pPr>
        <w:pStyle w:val="ListParagraph"/>
        <w:numPr>
          <w:ilvl w:val="0"/>
          <w:numId w:val="32"/>
        </w:numPr>
        <w:ind w:left="714" w:hanging="357"/>
        <w:contextualSpacing w:val="0"/>
        <w:jc w:val="both"/>
      </w:pPr>
      <w:r w:rsidRPr="002701BE">
        <w:t>±MRI</w:t>
      </w:r>
    </w:p>
    <w:p w14:paraId="57B52C4E" w14:textId="77777777" w:rsidR="00416B43" w:rsidRPr="002701BE" w:rsidRDefault="00416B43" w:rsidP="00416B43">
      <w:pPr>
        <w:pStyle w:val="ListParagraph"/>
        <w:numPr>
          <w:ilvl w:val="0"/>
          <w:numId w:val="32"/>
        </w:numPr>
        <w:spacing w:after="240"/>
        <w:ind w:left="714" w:hanging="357"/>
        <w:contextualSpacing w:val="0"/>
        <w:jc w:val="both"/>
      </w:pPr>
      <w:r w:rsidRPr="002701BE">
        <w:t>Biopsy (bone marrow, lymph node, or organ with suspected lesions).</w:t>
      </w:r>
    </w:p>
    <w:p w14:paraId="5C719289" w14:textId="51BD55DD" w:rsidR="00416B43" w:rsidRPr="002701BE" w:rsidRDefault="00416B43" w:rsidP="00416B43">
      <w:pPr>
        <w:spacing w:after="240"/>
      </w:pPr>
      <w:r w:rsidRPr="002701BE">
        <w:t xml:space="preserve">Computed tomography (CT) is the key test to which PET/CT would </w:t>
      </w:r>
      <w:r w:rsidR="00F72F71">
        <w:t>provide</w:t>
      </w:r>
      <w:r w:rsidR="00F72F71" w:rsidRPr="002701BE">
        <w:t xml:space="preserve"> </w:t>
      </w:r>
      <w:r w:rsidRPr="002701BE">
        <w:t>additional information. For initial staging, PET/CT could replace CT in some patients given the latter test is incorporated in the former.</w:t>
      </w:r>
    </w:p>
    <w:p w14:paraId="0C0F88AF" w14:textId="77777777" w:rsidR="00416B43" w:rsidRPr="002701BE" w:rsidRDefault="00416B43" w:rsidP="00416B43">
      <w:pPr>
        <w:spacing w:after="240"/>
      </w:pPr>
      <w:r w:rsidRPr="002701BE">
        <w:t>For restaging and assessment of response to treatment, PET/CT is proposed to replace stand-alone CT</w:t>
      </w:r>
      <w:r w:rsidR="004F504A">
        <w:t xml:space="preserve"> for lymphomas which have been shown to be FDG-avid on initial staging</w:t>
      </w:r>
      <w:r w:rsidRPr="002701BE">
        <w:t>.</w:t>
      </w:r>
    </w:p>
    <w:p w14:paraId="4AFB5F2A" w14:textId="6793D108" w:rsidR="00416B43" w:rsidRPr="002701BE" w:rsidRDefault="00416B43" w:rsidP="00416B43">
      <w:pPr>
        <w:spacing w:after="240"/>
        <w:rPr>
          <w:highlight w:val="yellow"/>
        </w:rPr>
      </w:pPr>
      <w:r w:rsidRPr="002701BE">
        <w:t xml:space="preserve">BMAT is a bone marrow biopsy </w:t>
      </w:r>
      <w:r w:rsidR="004F504A">
        <w:t>in which</w:t>
      </w:r>
      <w:r w:rsidR="004F504A" w:rsidRPr="002701BE">
        <w:t xml:space="preserve"> </w:t>
      </w:r>
      <w:r w:rsidRPr="002701BE">
        <w:t>both aspirate (liquid) and trephine (sections) are examined. PET/CT could replace BMAT in assessment of response to treatment for those patients with bone marrow involvement.</w:t>
      </w:r>
    </w:p>
    <w:p w14:paraId="287EB3F0" w14:textId="77777777" w:rsidR="00416B43" w:rsidRPr="002701BE" w:rsidRDefault="00416B43" w:rsidP="00416B43">
      <w:pPr>
        <w:spacing w:after="240"/>
      </w:pPr>
      <w:r w:rsidRPr="002701BE">
        <w:t>The reference standard for all tests was specified in the PICO confirmation as pathology, or clinical follow-up (≥6 months). This is an imperfect reference standard.</w:t>
      </w:r>
    </w:p>
    <w:p w14:paraId="1FC9C453" w14:textId="77777777" w:rsidR="00BC1364" w:rsidRPr="00F715D1" w:rsidRDefault="00BC1364" w:rsidP="00F715D1">
      <w:pPr>
        <w:pStyle w:val="Heading1"/>
      </w:pPr>
      <w:r w:rsidRPr="00F715D1">
        <w:t>Comparative safety</w:t>
      </w:r>
    </w:p>
    <w:p w14:paraId="1A7D583B" w14:textId="77777777" w:rsidR="00416B43" w:rsidRDefault="00416B43" w:rsidP="00416B43">
      <w:pPr>
        <w:tabs>
          <w:tab w:val="left" w:pos="1140"/>
        </w:tabs>
      </w:pPr>
      <w:r w:rsidRPr="002701BE">
        <w:t>PET has been reviewed previously by MSAC on multiple occasions and found to be a safe procedure. The studies included in this assessment did not raise any new safety concerns.</w:t>
      </w:r>
    </w:p>
    <w:p w14:paraId="55AE8C20" w14:textId="77777777" w:rsidR="00BC1364" w:rsidRPr="00F715D1" w:rsidRDefault="00BC1364" w:rsidP="00F715D1">
      <w:pPr>
        <w:pStyle w:val="Heading1"/>
      </w:pPr>
      <w:r w:rsidRPr="00F715D1">
        <w:t>Comparative effectiveness</w:t>
      </w:r>
    </w:p>
    <w:p w14:paraId="24428669" w14:textId="77777777" w:rsidR="00416B43" w:rsidRPr="00AE6BFA" w:rsidRDefault="00416B43" w:rsidP="00AE6BFA">
      <w:pPr>
        <w:pStyle w:val="TableHeading"/>
        <w:rPr>
          <w:sz w:val="24"/>
          <w:szCs w:val="24"/>
        </w:rPr>
      </w:pPr>
      <w:r w:rsidRPr="00AE6BFA">
        <w:rPr>
          <w:sz w:val="24"/>
          <w:szCs w:val="24"/>
        </w:rPr>
        <w:t>Accuracy</w:t>
      </w:r>
    </w:p>
    <w:p w14:paraId="272B3B5E" w14:textId="77777777" w:rsidR="00416B43" w:rsidRPr="002701BE" w:rsidRDefault="00416B43" w:rsidP="00416B43">
      <w:pPr>
        <w:spacing w:after="240"/>
      </w:pPr>
      <w:r w:rsidRPr="002701BE">
        <w:t>A reliable and feasible reference standard is not available for PET/CT imaging, and therefore all studies are at some risk of bias. The reference standard is usually differentially applied based on the test results (positive tests undergo histopathology or directed conventional imaging and negative tests have follow-up for disease progression) leading to verification bias. Furthermore, any histopathology or further imaging is directed based on the positive test result, leading to incorporation bias.</w:t>
      </w:r>
    </w:p>
    <w:p w14:paraId="40915B17" w14:textId="77777777" w:rsidR="00416B43" w:rsidRPr="002701BE" w:rsidRDefault="00416B43" w:rsidP="00416B43">
      <w:pPr>
        <w:rPr>
          <w:i/>
        </w:rPr>
      </w:pPr>
      <w:r w:rsidRPr="002701BE">
        <w:rPr>
          <w:i/>
        </w:rPr>
        <w:t xml:space="preserve">PET/CT in addition to conventional staging in the initial staging of indolent NHL </w:t>
      </w:r>
    </w:p>
    <w:p w14:paraId="2360684F" w14:textId="7D4B3DCE" w:rsidR="00416B43" w:rsidRPr="002701BE" w:rsidRDefault="00416B43" w:rsidP="00416B43">
      <w:pPr>
        <w:spacing w:after="240"/>
      </w:pPr>
      <w:r w:rsidRPr="002701BE">
        <w:t xml:space="preserve">Three studies </w:t>
      </w:r>
      <w:r w:rsidRPr="002701BE">
        <w:fldChar w:fldCharType="begin">
          <w:fldData xml:space="preserve">PEVuZE5vdGU+PENpdGU+PEF1dGhvcj5BZGFtczwvQXV0aG9yPjxZZWFyPjIwMTM8L1llYXI+PFJl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</w:fldData>
        </w:fldChar>
      </w:r>
      <w:r w:rsidRPr="002701BE">
        <w:instrText xml:space="preserve"> ADDIN EN.CITE </w:instrText>
      </w:r>
      <w:r w:rsidRPr="002701BE">
        <w:fldChar w:fldCharType="begin">
          <w:fldData xml:space="preserve">PEVuZE5vdGU+PENpdGU+PEF1dGhvcj5BZGFtczwvQXV0aG9yPjxZZWFyPjIwMTM8L1llYXI+PFJl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</w:fldData>
        </w:fldChar>
      </w:r>
      <w:r w:rsidRPr="002701BE">
        <w:instrText xml:space="preserve"> ADDIN EN.CITE.DATA </w:instrText>
      </w:r>
      <w:r w:rsidRPr="002701BE">
        <w:fldChar w:fldCharType="end"/>
      </w:r>
      <w:r w:rsidRPr="002701BE">
        <w:fldChar w:fldCharType="separate"/>
      </w:r>
      <w:r w:rsidRPr="002701BE">
        <w:rPr>
          <w:noProof/>
        </w:rPr>
        <w:t>(Adams et al. 2013; Lee et al. 2015; Perry et al. 2016)</w:t>
      </w:r>
      <w:r w:rsidRPr="002701BE">
        <w:fldChar w:fldCharType="end"/>
      </w:r>
      <w:r w:rsidRPr="002701BE">
        <w:t xml:space="preserve"> reported the incremental accuracy of PET/CT over </w:t>
      </w:r>
      <w:r>
        <w:t>bone marrow biopsy (</w:t>
      </w:r>
      <w:r w:rsidRPr="002701BE">
        <w:t>BMB</w:t>
      </w:r>
      <w:r>
        <w:t>)</w:t>
      </w:r>
      <w:r w:rsidRPr="002701BE">
        <w:t xml:space="preserve"> in patients with indolent NHL. The studies were small and used different positivity thresholds. PET/CT identified additional lesions in </w:t>
      </w:r>
      <w:r w:rsidR="005E215F">
        <w:t>16</w:t>
      </w:r>
      <w:r w:rsidRPr="002701BE">
        <w:t>-36% of patients who were negative on BMB. The number of these additional lesions which were true positive ranged from 15% to 100% (</w:t>
      </w:r>
      <w:r w:rsidRPr="002701BE">
        <w:fldChar w:fldCharType="begin"/>
      </w:r>
      <w:r w:rsidRPr="002701BE">
        <w:instrText xml:space="preserve"> REF _Ref460580264 \h </w:instrText>
      </w:r>
      <w:r>
        <w:instrText xml:space="preserve"> \* MERGEFORMAT </w:instrText>
      </w:r>
      <w:r w:rsidRPr="002701BE">
        <w:fldChar w:fldCharType="separate"/>
      </w:r>
      <w:r w:rsidR="002938FE" w:rsidRPr="00183C03">
        <w:t xml:space="preserve">Table </w:t>
      </w:r>
      <w:r w:rsidR="002938FE">
        <w:rPr>
          <w:noProof/>
        </w:rPr>
        <w:t>2</w:t>
      </w:r>
      <w:r w:rsidRPr="002701BE">
        <w:fldChar w:fldCharType="end"/>
      </w:r>
      <w:r w:rsidRPr="002701BE">
        <w:t>).</w:t>
      </w:r>
    </w:p>
    <w:p w14:paraId="448E6834" w14:textId="77777777" w:rsidR="00416B43" w:rsidRPr="002701BE" w:rsidRDefault="00416B43" w:rsidP="00416B43">
      <w:pPr>
        <w:rPr>
          <w:i/>
        </w:rPr>
      </w:pPr>
      <w:r w:rsidRPr="002701BE">
        <w:rPr>
          <w:i/>
        </w:rPr>
        <w:t xml:space="preserve">PET/CT as a replacement for conventional imaging in the initial staging of newly diagnosed NHL and the restaging of relapsed indolent NHL </w:t>
      </w:r>
    </w:p>
    <w:p w14:paraId="26407400" w14:textId="77777777" w:rsidR="00416B43" w:rsidRPr="002701BE" w:rsidRDefault="00416B43" w:rsidP="00416B43">
      <w:pPr>
        <w:spacing w:after="240"/>
      </w:pPr>
      <w:r w:rsidRPr="002701BE">
        <w:t xml:space="preserve">One study </w:t>
      </w:r>
      <w:r w:rsidRPr="002701BE">
        <w:fldChar w:fldCharType="begin">
          <w:fldData xml:space="preserve">PEVuZE5vdGU+PENpdGU+PEF1dGhvcj5GdWVnZXI8L0F1dGhvcj48WWVhcj4yMDA5PC9ZZWFyPjxS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</w:fldData>
        </w:fldChar>
      </w:r>
      <w:r w:rsidRPr="002701BE">
        <w:instrText xml:space="preserve"> ADDIN EN.CITE </w:instrText>
      </w:r>
      <w:r w:rsidRPr="002701BE">
        <w:fldChar w:fldCharType="begin">
          <w:fldData xml:space="preserve">PEVuZE5vdGU+PENpdGU+PEF1dGhvcj5GdWVnZXI8L0F1dGhvcj48WWVhcj4yMDA5PC9ZZWFyPjxS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</w:fldData>
        </w:fldChar>
      </w:r>
      <w:r w:rsidRPr="002701BE">
        <w:instrText xml:space="preserve"> ADDIN EN.CITE.DATA </w:instrText>
      </w:r>
      <w:r w:rsidRPr="002701BE">
        <w:fldChar w:fldCharType="end"/>
      </w:r>
      <w:r w:rsidRPr="002701BE">
        <w:fldChar w:fldCharType="separate"/>
      </w:r>
      <w:r w:rsidRPr="002701BE">
        <w:rPr>
          <w:noProof/>
        </w:rPr>
        <w:t>(Fueger et al. 2009)</w:t>
      </w:r>
      <w:r w:rsidRPr="002701BE">
        <w:fldChar w:fldCharType="end"/>
      </w:r>
      <w:r w:rsidRPr="002701BE">
        <w:t xml:space="preserve"> reported the accuracy of PET/CT compared to CT for a mixed population of patients undergoing both staging and restaging. For the detection of nodal regions on a per lesions basis, PET/CT was found to have the same specificity as CT (0.98, 95% CI: 0.97-0.99) and a higher sensitivity than CT (PET/CT 0.77, 95% CI 0.69-0.84 versus CT 0.54, 95% CI: 0.45-0.63) (</w:t>
      </w:r>
      <w:r w:rsidR="00183C03">
        <w:fldChar w:fldCharType="begin"/>
      </w:r>
      <w:r w:rsidR="00183C03">
        <w:instrText xml:space="preserve"> REF _Ref467065104 \h </w:instrText>
      </w:r>
      <w:r w:rsidR="00183C03">
        <w:fldChar w:fldCharType="separate"/>
      </w:r>
      <w:r w:rsidR="002938FE" w:rsidRPr="00183C03">
        <w:t xml:space="preserve">Table </w:t>
      </w:r>
      <w:r w:rsidR="002938FE">
        <w:rPr>
          <w:noProof/>
        </w:rPr>
        <w:t>2</w:t>
      </w:r>
      <w:r w:rsidR="00183C03">
        <w:fldChar w:fldCharType="end"/>
      </w:r>
      <w:r w:rsidRPr="002701BE">
        <w:t>). The study used dual modality PET/CT scans and compared the fused PET/CT data with the CT component alone and is therefore not an ideal study design.</w:t>
      </w:r>
    </w:p>
    <w:p w14:paraId="11AEE710" w14:textId="77777777" w:rsidR="00416B43" w:rsidRPr="002701BE" w:rsidRDefault="00416B43" w:rsidP="00416B43">
      <w:pPr>
        <w:rPr>
          <w:i/>
        </w:rPr>
      </w:pPr>
      <w:r w:rsidRPr="002701BE">
        <w:rPr>
          <w:i/>
        </w:rPr>
        <w:lastRenderedPageBreak/>
        <w:t>PET/CT as a replacement for CT ±BMAT in the assessment of response to first line treatment in indolent NHL</w:t>
      </w:r>
    </w:p>
    <w:p w14:paraId="7DE31A17" w14:textId="77777777" w:rsidR="00416B43" w:rsidRPr="002701BE" w:rsidRDefault="00416B43" w:rsidP="00416B43">
      <w:pPr>
        <w:spacing w:after="240"/>
      </w:pPr>
      <w:r w:rsidRPr="002701BE">
        <w:t xml:space="preserve">One study </w:t>
      </w:r>
      <w:r w:rsidRPr="002701BE">
        <w:fldChar w:fldCharType="begin">
          <w:fldData xml:space="preserve">PEVuZE5vdGU+PENpdGU+PEF1dGhvcj5MZSBEb3J0ejwvQXV0aG9yPjxZZWFyPjIwMTA8L1llYXI+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==
</w:fldData>
        </w:fldChar>
      </w:r>
      <w:r w:rsidRPr="002701BE">
        <w:instrText xml:space="preserve"> ADDIN EN.CITE </w:instrText>
      </w:r>
      <w:r w:rsidRPr="002701BE">
        <w:fldChar w:fldCharType="begin">
          <w:fldData xml:space="preserve">PEVuZE5vdGU+PENpdGU+PEF1dGhvcj5MZSBEb3J0ejwvQXV0aG9yPjxZZWFyPjIwMTA8L1llYXI+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==
</w:fldData>
        </w:fldChar>
      </w:r>
      <w:r w:rsidRPr="002701BE">
        <w:instrText xml:space="preserve"> ADDIN EN.CITE.DATA </w:instrText>
      </w:r>
      <w:r w:rsidRPr="002701BE">
        <w:fldChar w:fldCharType="end"/>
      </w:r>
      <w:r w:rsidRPr="002701BE">
        <w:fldChar w:fldCharType="separate"/>
      </w:r>
      <w:r w:rsidRPr="002701BE">
        <w:rPr>
          <w:noProof/>
        </w:rPr>
        <w:t>(Le Dortz et al. 2010)</w:t>
      </w:r>
      <w:r w:rsidRPr="002701BE">
        <w:fldChar w:fldCharType="end"/>
      </w:r>
      <w:r w:rsidRPr="002701BE">
        <w:t xml:space="preserve"> reported the accuracy of PET/CT compared to CT for the assessment of response to therapy. The study found PET/CT to have higher specificity than CT (1.00 [95% CI: 0.87-1.00] versus 0.52 [95% CI 0.32-0.71]) and lower sensitivity (0.72 [95% CI: 0.47-0.90] versus 0.83 [95% CI: 0.59-0.96]) (</w:t>
      </w:r>
      <w:r w:rsidR="00183C03">
        <w:fldChar w:fldCharType="begin"/>
      </w:r>
      <w:r w:rsidR="00183C03">
        <w:instrText xml:space="preserve"> REF _Ref467064991 \h </w:instrText>
      </w:r>
      <w:r w:rsidR="00183C03">
        <w:fldChar w:fldCharType="separate"/>
      </w:r>
      <w:r w:rsidR="002938FE" w:rsidRPr="00183C03">
        <w:t xml:space="preserve">Table </w:t>
      </w:r>
      <w:r w:rsidR="002938FE">
        <w:rPr>
          <w:noProof/>
        </w:rPr>
        <w:t>2</w:t>
      </w:r>
      <w:r w:rsidR="00183C03">
        <w:fldChar w:fldCharType="end"/>
      </w:r>
      <w:r w:rsidRPr="002701BE">
        <w:t xml:space="preserve">). The study was small, did not specify the reference standard and did not provide clear data for the calculation of sensitivity and specificity. The specificity and sensitivity </w:t>
      </w:r>
      <w:r>
        <w:t xml:space="preserve">values </w:t>
      </w:r>
      <w:r w:rsidRPr="002701BE">
        <w:t xml:space="preserve">reported in the paper differ from </w:t>
      </w:r>
      <w:r>
        <w:t>those</w:t>
      </w:r>
      <w:r w:rsidRPr="002701BE">
        <w:t xml:space="preserve"> calculated based on the evaluators’ interpretation.</w:t>
      </w:r>
    </w:p>
    <w:p w14:paraId="0C6CD6ED" w14:textId="77777777" w:rsidR="00416B43" w:rsidRPr="00183C03" w:rsidRDefault="00183C03" w:rsidP="00AE6BFA">
      <w:pPr>
        <w:pStyle w:val="TableHeading"/>
        <w:rPr>
          <w:rFonts w:ascii="Arial Narrow" w:hAnsi="Arial Narrow" w:cs="Arial"/>
        </w:rPr>
      </w:pPr>
      <w:bookmarkStart w:id="7" w:name="_Ref460580264"/>
      <w:bookmarkStart w:id="8" w:name="_Toc460835704"/>
      <w:bookmarkStart w:id="9" w:name="_Ref467064991"/>
      <w:bookmarkStart w:id="10" w:name="_Ref467065104"/>
      <w:r w:rsidRPr="00183C03">
        <w:t xml:space="preserve">Table </w:t>
      </w:r>
      <w:r w:rsidRPr="00183C03">
        <w:fldChar w:fldCharType="begin"/>
      </w:r>
      <w:r w:rsidRPr="00183C03">
        <w:instrText xml:space="preserve"> SEQ Table \* ARABIC </w:instrText>
      </w:r>
      <w:r w:rsidRPr="00183C03">
        <w:fldChar w:fldCharType="separate"/>
      </w:r>
      <w:r w:rsidR="002938FE">
        <w:t>2</w:t>
      </w:r>
      <w:r w:rsidRPr="00183C03">
        <w:fldChar w:fldCharType="end"/>
      </w:r>
      <w:bookmarkEnd w:id="7"/>
      <w:r w:rsidR="00453AB5">
        <w:tab/>
      </w:r>
      <w:r w:rsidR="00416B43" w:rsidRPr="00183C03">
        <w:t xml:space="preserve">Summary of findings for the accuracy of </w:t>
      </w:r>
      <w:r w:rsidR="00416B43" w:rsidRPr="00183C03">
        <w:rPr>
          <w:snapToGrid w:val="0"/>
        </w:rPr>
        <w:t>PET/CT relative to CT±BMAT, in patients</w:t>
      </w:r>
      <w:r w:rsidR="00416B43" w:rsidRPr="002701BE">
        <w:rPr>
          <w:snapToGrid w:val="0"/>
          <w:szCs w:val="16"/>
        </w:rPr>
        <w:t xml:space="preserve"> with indolent NHL</w:t>
      </w:r>
      <w:bookmarkEnd w:id="8"/>
      <w:bookmarkEnd w:id="9"/>
      <w:bookmarkEnd w:id="10"/>
      <w:r w:rsidR="00416B43" w:rsidRPr="002701BE">
        <w:rPr>
          <w:snapToGrid w:val="0"/>
          <w:szCs w:val="16"/>
        </w:rPr>
        <w:t xml:space="preserve"> </w:t>
      </w:r>
    </w:p>
    <w:tbl>
      <w:tblPr>
        <w:tblStyle w:val="TableGrid"/>
        <w:tblW w:w="5000" w:type="pct"/>
        <w:tblLook w:val="04A0" w:firstRow="1" w:lastRow="0" w:firstColumn="1" w:lastColumn="0" w:noHBand="0" w:noVBand="1"/>
        <w:tblDescription w:val="Summary of findings for the accuracy of PET/CT relative to CT +/- BMAT in patients with indolent NHL-Summary of findings table for all the relevant studies included in the assessment - indicates the number of participants, results - summary of accuracy for PET/CT and CT, quality of the evidence and comments."/>
      </w:tblPr>
      <w:tblGrid>
        <w:gridCol w:w="1251"/>
        <w:gridCol w:w="1579"/>
        <w:gridCol w:w="1579"/>
        <w:gridCol w:w="1519"/>
        <w:gridCol w:w="1519"/>
        <w:gridCol w:w="1795"/>
      </w:tblGrid>
      <w:tr w:rsidR="00416B43" w:rsidRPr="002701BE" w14:paraId="5F1A7813" w14:textId="77777777" w:rsidTr="007F6813">
        <w:trPr>
          <w:tblHeader/>
        </w:trPr>
        <w:tc>
          <w:tcPr>
            <w:tcW w:w="677" w:type="pct"/>
          </w:tcPr>
          <w:p w14:paraId="467DEB3C" w14:textId="77777777" w:rsidR="00416B43" w:rsidRPr="002701BE" w:rsidRDefault="00416B43" w:rsidP="007F6813">
            <w:pPr>
              <w:pStyle w:val="TableText"/>
              <w:rPr>
                <w:rFonts w:ascii="Times New Roman" w:hAnsi="Times New Roman" w:cs="Times New Roman"/>
                <w:b/>
                <w:sz w:val="18"/>
              </w:rPr>
            </w:pPr>
            <w:r w:rsidRPr="002701BE">
              <w:rPr>
                <w:rFonts w:ascii="Times New Roman" w:hAnsi="Times New Roman" w:cs="Times New Roman"/>
                <w:b/>
                <w:sz w:val="18"/>
              </w:rPr>
              <w:t xml:space="preserve">Clinical question </w:t>
            </w:r>
          </w:p>
        </w:tc>
        <w:tc>
          <w:tcPr>
            <w:tcW w:w="854" w:type="pct"/>
            <w:shd w:val="clear" w:color="auto" w:fill="auto"/>
          </w:tcPr>
          <w:p w14:paraId="67B62BEB" w14:textId="77777777" w:rsidR="00416B43" w:rsidRPr="002701BE" w:rsidRDefault="00416B43" w:rsidP="007F6813">
            <w:pPr>
              <w:pStyle w:val="TableText"/>
              <w:rPr>
                <w:rFonts w:ascii="Times New Roman" w:hAnsi="Times New Roman" w:cs="Times New Roman"/>
                <w:b/>
                <w:snapToGrid w:val="0"/>
                <w:sz w:val="18"/>
              </w:rPr>
            </w:pPr>
            <w:r w:rsidRPr="002701BE">
              <w:rPr>
                <w:rFonts w:ascii="Times New Roman" w:hAnsi="Times New Roman" w:cs="Times New Roman"/>
                <w:b/>
                <w:snapToGrid w:val="0"/>
                <w:sz w:val="18"/>
              </w:rPr>
              <w:t xml:space="preserve">Number of participants </w:t>
            </w:r>
          </w:p>
          <w:p w14:paraId="52BFCF61" w14:textId="77777777" w:rsidR="00416B43" w:rsidRPr="002701BE" w:rsidRDefault="00416B43" w:rsidP="007F6813">
            <w:pPr>
              <w:pStyle w:val="TableText"/>
              <w:rPr>
                <w:rFonts w:ascii="Times New Roman" w:hAnsi="Times New Roman" w:cs="Times New Roman"/>
                <w:b/>
                <w:snapToGrid w:val="0"/>
                <w:sz w:val="18"/>
                <w:highlight w:val="cyan"/>
              </w:rPr>
            </w:pPr>
            <w:r w:rsidRPr="002701BE">
              <w:rPr>
                <w:rFonts w:ascii="Times New Roman" w:hAnsi="Times New Roman" w:cs="Times New Roman"/>
                <w:b/>
                <w:snapToGrid w:val="0"/>
                <w:sz w:val="18"/>
              </w:rPr>
              <w:t>(number of studies)</w:t>
            </w:r>
          </w:p>
        </w:tc>
        <w:tc>
          <w:tcPr>
            <w:tcW w:w="854" w:type="pct"/>
          </w:tcPr>
          <w:p w14:paraId="2383A37E" w14:textId="77777777" w:rsidR="00416B43" w:rsidRPr="002701BE" w:rsidRDefault="00416B43" w:rsidP="007F6813">
            <w:pPr>
              <w:pStyle w:val="TableText"/>
              <w:rPr>
                <w:rFonts w:ascii="Times New Roman" w:hAnsi="Times New Roman" w:cs="Times New Roman"/>
                <w:b/>
                <w:sz w:val="18"/>
              </w:rPr>
            </w:pPr>
            <w:r w:rsidRPr="002701BE">
              <w:rPr>
                <w:rFonts w:ascii="Times New Roman" w:hAnsi="Times New Roman" w:cs="Times New Roman"/>
                <w:b/>
                <w:snapToGrid w:val="0"/>
                <w:sz w:val="18"/>
              </w:rPr>
              <w:t>Summary accuracy PET/CT [95% CI]</w:t>
            </w:r>
          </w:p>
        </w:tc>
        <w:tc>
          <w:tcPr>
            <w:tcW w:w="822" w:type="pct"/>
          </w:tcPr>
          <w:p w14:paraId="0C23D7CB" w14:textId="77777777" w:rsidR="00416B43" w:rsidRPr="002701BE" w:rsidRDefault="00416B43" w:rsidP="007F6813">
            <w:pPr>
              <w:pStyle w:val="TableText"/>
              <w:rPr>
                <w:rFonts w:ascii="Times New Roman" w:hAnsi="Times New Roman" w:cs="Times New Roman"/>
                <w:b/>
                <w:sz w:val="18"/>
              </w:rPr>
            </w:pPr>
            <w:r w:rsidRPr="002701BE">
              <w:rPr>
                <w:rFonts w:ascii="Times New Roman" w:hAnsi="Times New Roman" w:cs="Times New Roman"/>
                <w:b/>
                <w:snapToGrid w:val="0"/>
                <w:sz w:val="18"/>
              </w:rPr>
              <w:t>Summary accuracy CT [95% CI]</w:t>
            </w:r>
          </w:p>
        </w:tc>
        <w:tc>
          <w:tcPr>
            <w:tcW w:w="822" w:type="pct"/>
          </w:tcPr>
          <w:p w14:paraId="561A3101" w14:textId="77777777" w:rsidR="00416B43" w:rsidRPr="002701BE" w:rsidRDefault="00416B43" w:rsidP="007F6813">
            <w:pPr>
              <w:pStyle w:val="TableText"/>
              <w:rPr>
                <w:rFonts w:ascii="Times New Roman" w:hAnsi="Times New Roman" w:cs="Times New Roman"/>
                <w:b/>
                <w:sz w:val="18"/>
              </w:rPr>
            </w:pPr>
            <w:r w:rsidRPr="002701BE">
              <w:rPr>
                <w:rFonts w:ascii="Times New Roman" w:hAnsi="Times New Roman" w:cs="Times New Roman"/>
                <w:b/>
                <w:sz w:val="18"/>
              </w:rPr>
              <w:t>Quality of evidence</w:t>
            </w:r>
          </w:p>
        </w:tc>
        <w:tc>
          <w:tcPr>
            <w:tcW w:w="971" w:type="pct"/>
          </w:tcPr>
          <w:p w14:paraId="45D6DE49" w14:textId="77777777" w:rsidR="00416B43" w:rsidRPr="002701BE" w:rsidRDefault="00416B43" w:rsidP="007F6813">
            <w:pPr>
              <w:pStyle w:val="TableText"/>
              <w:rPr>
                <w:rFonts w:ascii="Times New Roman" w:hAnsi="Times New Roman" w:cs="Times New Roman"/>
                <w:b/>
                <w:sz w:val="18"/>
              </w:rPr>
            </w:pPr>
            <w:r w:rsidRPr="002701BE">
              <w:rPr>
                <w:rFonts w:ascii="Times New Roman" w:hAnsi="Times New Roman" w:cs="Times New Roman"/>
                <w:b/>
                <w:sz w:val="18"/>
              </w:rPr>
              <w:t>Comments</w:t>
            </w:r>
          </w:p>
        </w:tc>
      </w:tr>
      <w:tr w:rsidR="00416B43" w:rsidRPr="002701BE" w14:paraId="696B28FE" w14:textId="77777777" w:rsidTr="007F6813">
        <w:tc>
          <w:tcPr>
            <w:tcW w:w="677" w:type="pct"/>
          </w:tcPr>
          <w:p w14:paraId="157D5DC7"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PET/CT in addition to conventional staging (CT±BMAT) for newly diagnosed indolent NHL</w:t>
            </w:r>
          </w:p>
        </w:tc>
        <w:tc>
          <w:tcPr>
            <w:tcW w:w="854" w:type="pct"/>
          </w:tcPr>
          <w:p w14:paraId="05834BDA"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130 (3)</w:t>
            </w:r>
          </w:p>
        </w:tc>
        <w:tc>
          <w:tcPr>
            <w:tcW w:w="854" w:type="pct"/>
          </w:tcPr>
          <w:p w14:paraId="19019249"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 xml:space="preserve">Additional lesions detected in </w:t>
            </w:r>
            <w:r w:rsidRPr="005E215F">
              <w:rPr>
                <w:rFonts w:ascii="Times New Roman" w:hAnsi="Times New Roman" w:cs="Times New Roman"/>
                <w:sz w:val="18"/>
              </w:rPr>
              <w:t>16 to 36%</w:t>
            </w:r>
            <w:r w:rsidRPr="002701BE">
              <w:rPr>
                <w:rFonts w:ascii="Times New Roman" w:hAnsi="Times New Roman" w:cs="Times New Roman"/>
                <w:sz w:val="18"/>
              </w:rPr>
              <w:t xml:space="preserve"> of patients with negative BMB.</w:t>
            </w:r>
          </w:p>
          <w:p w14:paraId="6C55B4D0"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PPV of additional lesions ranged from 0.15 [0.04-0.36] to 1.00 [0.22-1.00]</w:t>
            </w:r>
          </w:p>
        </w:tc>
        <w:tc>
          <w:tcPr>
            <w:tcW w:w="822" w:type="pct"/>
          </w:tcPr>
          <w:p w14:paraId="2F06758B" w14:textId="77777777" w:rsidR="00416B43" w:rsidRPr="002701BE" w:rsidRDefault="00416B43" w:rsidP="007F6813">
            <w:pPr>
              <w:pStyle w:val="Tabletext0"/>
              <w:rPr>
                <w:rFonts w:ascii="Times New Roman" w:hAnsi="Times New Roman"/>
                <w:sz w:val="18"/>
              </w:rPr>
            </w:pPr>
            <w:r w:rsidRPr="002701BE">
              <w:rPr>
                <w:rFonts w:ascii="Times New Roman" w:hAnsi="Times New Roman"/>
                <w:sz w:val="18"/>
              </w:rPr>
              <w:t>NA</w:t>
            </w:r>
          </w:p>
        </w:tc>
        <w:tc>
          <w:tcPr>
            <w:tcW w:w="822" w:type="pct"/>
          </w:tcPr>
          <w:p w14:paraId="25D81137" w14:textId="77777777" w:rsidR="00416B43" w:rsidRPr="002701BE" w:rsidRDefault="00416B43" w:rsidP="007F6813">
            <w:pPr>
              <w:pStyle w:val="TableText"/>
              <w:rPr>
                <w:rFonts w:ascii="Times New Roman" w:hAnsi="Times New Roman" w:cs="Times New Roman"/>
                <w:sz w:val="18"/>
              </w:rPr>
            </w:pPr>
            <w:r w:rsidRPr="002701BE">
              <w:rPr>
                <w:rFonts w:ascii="Cambria Math" w:hAnsi="Cambria Math" w:cs="Cambria Math"/>
                <w:color w:val="00B050"/>
                <w:sz w:val="18"/>
              </w:rPr>
              <w:t>⨁</w:t>
            </w:r>
            <w:r w:rsidRPr="002701BE">
              <w:rPr>
                <w:rFonts w:ascii="Cambria Math" w:hAnsi="Cambria Math" w:cs="Cambria Math"/>
                <w:color w:val="C00000"/>
                <w:sz w:val="18"/>
              </w:rPr>
              <w:t>⨀⨀⨀</w:t>
            </w:r>
          </w:p>
        </w:tc>
        <w:tc>
          <w:tcPr>
            <w:tcW w:w="971" w:type="pct"/>
          </w:tcPr>
          <w:p w14:paraId="6D193BE7"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Different positivity thresholds for PET/CT</w:t>
            </w:r>
          </w:p>
          <w:p w14:paraId="7C1BED59"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Poor reporting in one study</w:t>
            </w:r>
          </w:p>
          <w:p w14:paraId="566D66D7"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Reference standard not well defined</w:t>
            </w:r>
          </w:p>
          <w:p w14:paraId="3E0F3B85"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 xml:space="preserve">High variability in findings </w:t>
            </w:r>
          </w:p>
        </w:tc>
      </w:tr>
      <w:tr w:rsidR="00416B43" w:rsidRPr="002701BE" w14:paraId="45CF2C15" w14:textId="77777777" w:rsidTr="007F6813">
        <w:tc>
          <w:tcPr>
            <w:tcW w:w="677" w:type="pct"/>
          </w:tcPr>
          <w:p w14:paraId="4F1083A5"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PET/CT as a replacement to CT for staging newly diagnosed and relapsed indolent NHL</w:t>
            </w:r>
          </w:p>
        </w:tc>
        <w:tc>
          <w:tcPr>
            <w:tcW w:w="854" w:type="pct"/>
          </w:tcPr>
          <w:p w14:paraId="479735F2"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45 (1)</w:t>
            </w:r>
          </w:p>
        </w:tc>
        <w:tc>
          <w:tcPr>
            <w:tcW w:w="854" w:type="pct"/>
          </w:tcPr>
          <w:p w14:paraId="0EFD5910"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 xml:space="preserve">specificity 0.98 [0.97-0.99] sensitivity 0.77 [0.69-0.84] </w:t>
            </w:r>
          </w:p>
        </w:tc>
        <w:tc>
          <w:tcPr>
            <w:tcW w:w="822" w:type="pct"/>
          </w:tcPr>
          <w:p w14:paraId="284E6D9E"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 xml:space="preserve">specificity 0.98 [0.97-0.99] </w:t>
            </w:r>
          </w:p>
          <w:p w14:paraId="63CFFFB7" w14:textId="77777777" w:rsidR="00416B43" w:rsidRPr="002701BE" w:rsidRDefault="00416B43" w:rsidP="007F6813">
            <w:pPr>
              <w:pStyle w:val="TableText"/>
              <w:rPr>
                <w:rFonts w:ascii="Times New Roman" w:hAnsi="Times New Roman" w:cs="Times New Roman"/>
                <w:color w:val="00B050"/>
                <w:sz w:val="18"/>
              </w:rPr>
            </w:pPr>
            <w:r w:rsidRPr="002701BE">
              <w:rPr>
                <w:rFonts w:ascii="Times New Roman" w:hAnsi="Times New Roman" w:cs="Times New Roman"/>
                <w:sz w:val="18"/>
              </w:rPr>
              <w:t>sensitivity 0.54, [0.45-0.63]</w:t>
            </w:r>
          </w:p>
        </w:tc>
        <w:tc>
          <w:tcPr>
            <w:tcW w:w="822" w:type="pct"/>
          </w:tcPr>
          <w:p w14:paraId="3D920DF6" w14:textId="77777777" w:rsidR="00416B43" w:rsidRPr="002701BE" w:rsidRDefault="00416B43" w:rsidP="007F6813">
            <w:pPr>
              <w:pStyle w:val="TableText"/>
              <w:rPr>
                <w:rFonts w:ascii="Times New Roman" w:hAnsi="Times New Roman" w:cs="Times New Roman"/>
                <w:sz w:val="18"/>
              </w:rPr>
            </w:pPr>
            <w:r w:rsidRPr="002701BE">
              <w:rPr>
                <w:rFonts w:ascii="Cambria Math" w:hAnsi="Cambria Math" w:cs="Cambria Math"/>
                <w:color w:val="00B050"/>
                <w:sz w:val="18"/>
              </w:rPr>
              <w:t>⨁</w:t>
            </w:r>
            <w:r w:rsidRPr="002701BE">
              <w:rPr>
                <w:rFonts w:ascii="Cambria Math" w:hAnsi="Cambria Math" w:cs="Cambria Math"/>
                <w:color w:val="C00000"/>
                <w:sz w:val="18"/>
              </w:rPr>
              <w:t>⨀⨀⨀</w:t>
            </w:r>
          </w:p>
        </w:tc>
        <w:tc>
          <w:tcPr>
            <w:tcW w:w="971" w:type="pct"/>
          </w:tcPr>
          <w:p w14:paraId="272E6139"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Per lesion data</w:t>
            </w:r>
          </w:p>
          <w:p w14:paraId="39548CCB"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Incorporation of CT scan into PET/CT scan</w:t>
            </w:r>
          </w:p>
          <w:p w14:paraId="7BAA0D5A"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A single small study</w:t>
            </w:r>
          </w:p>
        </w:tc>
      </w:tr>
      <w:tr w:rsidR="00416B43" w:rsidRPr="002701BE" w14:paraId="590D4E6D" w14:textId="77777777" w:rsidTr="007F6813">
        <w:tc>
          <w:tcPr>
            <w:tcW w:w="677" w:type="pct"/>
          </w:tcPr>
          <w:p w14:paraId="37DAFB2B"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PET/CT as a replacement to CT for assessment of response to treatment in indolent NHL</w:t>
            </w:r>
          </w:p>
        </w:tc>
        <w:tc>
          <w:tcPr>
            <w:tcW w:w="854" w:type="pct"/>
          </w:tcPr>
          <w:p w14:paraId="66E27CC8"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45 (1)</w:t>
            </w:r>
          </w:p>
        </w:tc>
        <w:tc>
          <w:tcPr>
            <w:tcW w:w="854" w:type="pct"/>
          </w:tcPr>
          <w:p w14:paraId="19D9EE88"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specificity 1.00 [0.87-1.00]</w:t>
            </w:r>
          </w:p>
          <w:p w14:paraId="58A0A422"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sensitivity 0.72 [0.47-0.90]</w:t>
            </w:r>
          </w:p>
          <w:p w14:paraId="25C58631" w14:textId="77777777" w:rsidR="00416B43" w:rsidRPr="002701BE" w:rsidRDefault="00416B43" w:rsidP="007F6813">
            <w:pPr>
              <w:pStyle w:val="TableText"/>
              <w:rPr>
                <w:rFonts w:ascii="Times New Roman" w:hAnsi="Times New Roman" w:cs="Times New Roman"/>
                <w:sz w:val="18"/>
              </w:rPr>
            </w:pPr>
          </w:p>
        </w:tc>
        <w:tc>
          <w:tcPr>
            <w:tcW w:w="822" w:type="pct"/>
          </w:tcPr>
          <w:p w14:paraId="25B9D779"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 xml:space="preserve">specificity: 0.52 [0.32-0.71] </w:t>
            </w:r>
          </w:p>
          <w:p w14:paraId="658C1658" w14:textId="77777777" w:rsidR="00416B43" w:rsidRPr="002701BE" w:rsidRDefault="00416B43" w:rsidP="007F6813">
            <w:pPr>
              <w:pStyle w:val="TableText"/>
              <w:rPr>
                <w:rFonts w:ascii="Times New Roman" w:hAnsi="Times New Roman" w:cs="Times New Roman"/>
                <w:color w:val="00B050"/>
                <w:sz w:val="18"/>
              </w:rPr>
            </w:pPr>
            <w:r w:rsidRPr="002701BE">
              <w:rPr>
                <w:rFonts w:ascii="Times New Roman" w:hAnsi="Times New Roman" w:cs="Times New Roman"/>
                <w:sz w:val="18"/>
              </w:rPr>
              <w:t>sensitivity 0.83 [0.59-0.96]</w:t>
            </w:r>
          </w:p>
        </w:tc>
        <w:tc>
          <w:tcPr>
            <w:tcW w:w="822" w:type="pct"/>
          </w:tcPr>
          <w:p w14:paraId="4A42228F" w14:textId="77777777" w:rsidR="00416B43" w:rsidRPr="002701BE" w:rsidRDefault="00416B43" w:rsidP="007F6813">
            <w:pPr>
              <w:pStyle w:val="TableText"/>
              <w:rPr>
                <w:rFonts w:ascii="Times New Roman" w:hAnsi="Times New Roman" w:cs="Times New Roman"/>
                <w:sz w:val="18"/>
              </w:rPr>
            </w:pPr>
            <w:r w:rsidRPr="002701BE">
              <w:rPr>
                <w:rFonts w:ascii="Cambria Math" w:hAnsi="Cambria Math" w:cs="Cambria Math"/>
                <w:color w:val="00B050"/>
                <w:sz w:val="18"/>
              </w:rPr>
              <w:t>⨁</w:t>
            </w:r>
            <w:r w:rsidRPr="002701BE">
              <w:rPr>
                <w:rFonts w:ascii="Cambria Math" w:hAnsi="Cambria Math" w:cs="Cambria Math"/>
                <w:color w:val="C00000"/>
                <w:sz w:val="18"/>
              </w:rPr>
              <w:t>⨀⨀⨀</w:t>
            </w:r>
          </w:p>
        </w:tc>
        <w:tc>
          <w:tcPr>
            <w:tcW w:w="971" w:type="pct"/>
          </w:tcPr>
          <w:p w14:paraId="663493B3"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Reference standard not defined</w:t>
            </w:r>
          </w:p>
          <w:p w14:paraId="0A132C5F"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Poor reporting</w:t>
            </w:r>
          </w:p>
          <w:p w14:paraId="1C99F309" w14:textId="77777777" w:rsidR="00416B43" w:rsidRPr="002701BE" w:rsidRDefault="00416B43" w:rsidP="007F6813">
            <w:pPr>
              <w:pStyle w:val="TableText"/>
              <w:rPr>
                <w:rFonts w:ascii="Times New Roman" w:hAnsi="Times New Roman" w:cs="Times New Roman"/>
                <w:sz w:val="18"/>
              </w:rPr>
            </w:pPr>
            <w:r w:rsidRPr="002701BE">
              <w:rPr>
                <w:rFonts w:ascii="Times New Roman" w:hAnsi="Times New Roman" w:cs="Times New Roman"/>
                <w:sz w:val="18"/>
              </w:rPr>
              <w:t>A single small study</w:t>
            </w:r>
          </w:p>
        </w:tc>
      </w:tr>
    </w:tbl>
    <w:p w14:paraId="6E86813D" w14:textId="77777777" w:rsidR="00AE6BFA" w:rsidRPr="00AE6BFA" w:rsidRDefault="00416B43" w:rsidP="00AE6BFA">
      <w:pPr>
        <w:spacing w:after="240"/>
        <w:rPr>
          <w:sz w:val="18"/>
          <w:szCs w:val="18"/>
        </w:rPr>
      </w:pPr>
      <w:r w:rsidRPr="002701BE">
        <w:rPr>
          <w:sz w:val="18"/>
          <w:szCs w:val="18"/>
          <w:vertAlign w:val="superscript"/>
        </w:rPr>
        <w:t xml:space="preserve">a </w:t>
      </w:r>
      <w:r w:rsidRPr="002701BE">
        <w:rPr>
          <w:sz w:val="18"/>
          <w:szCs w:val="18"/>
        </w:rPr>
        <w:t xml:space="preserve">GRADE Working Group grades of evidence </w:t>
      </w:r>
      <w:r w:rsidRPr="002701BE">
        <w:rPr>
          <w:sz w:val="18"/>
          <w:szCs w:val="18"/>
        </w:rPr>
        <w:fldChar w:fldCharType="begin"/>
      </w:r>
      <w:r w:rsidRPr="002701BE">
        <w:rPr>
          <w:sz w:val="18"/>
          <w:szCs w:val="18"/>
        </w:rPr>
        <w:instrText xml:space="preserve"> ADDIN EN.CITE &lt;EndNote&gt;&lt;Cite&gt;&lt;Author&gt;Guyatt&lt;/Author&gt;&lt;Year&gt;2013&lt;/Year&gt;&lt;RecNum&gt;53&lt;/RecNum&gt;&lt;DisplayText&gt;(Guyatt et al. 2013)&lt;/DisplayText&gt;&lt;record&gt;&lt;rec-number&gt;53&lt;/rec-number&gt;&lt;foreign-keys&gt;&lt;key app="EN" db-id="zsze0fse752rdaett0159xtpa025pfweww5r" timestamp="1472619192"&gt;53&lt;/key&gt;&lt;/foreign-keys&gt;&lt;ref-type name="Journal Article"&gt;17&lt;/ref-type&gt;&lt;contributors&gt;&lt;authors&gt;&lt;author&gt;Guyatt, Gordon&lt;/author&gt;&lt;author&gt;Oxman, Andrew D.&lt;/author&gt;&lt;author&gt;Sultan, Shahnaz&lt;/author&gt;&lt;author&gt;Brozek, Jan&lt;/author&gt;&lt;author&gt;Glasziou, Paul&lt;/author&gt;&lt;author&gt;Alonso-Coello, Pablo&lt;/author&gt;&lt;author&gt;Atkins, David&lt;/author&gt;&lt;author&gt;Kunz, Regina&lt;/author&gt;&lt;author&gt;Montori, Victor&lt;/author&gt;&lt;author&gt;Jaeschke, Roman&lt;/author&gt;&lt;author&gt;Rind, David&lt;/author&gt;&lt;author&gt;Dahm, Philipp&lt;/author&gt;&lt;author&gt;Akl, Elie A.&lt;/author&gt;&lt;author&gt;Meerpohl, Joerg&lt;/author&gt;&lt;author&gt;Vist, Gunn&lt;/author&gt;&lt;author&gt;Berliner, Elise&lt;/author&gt;&lt;author&gt;Norris, Susan&lt;/author&gt;&lt;author&gt;Falck-Ytter, Yngve&lt;/author&gt;&lt;author&gt;Schünemann, Holger J.&lt;/author&gt;&lt;/authors&gt;&lt;/contributors&gt;&lt;titles&gt;&lt;title&gt;GRADE guidelines: 11. Making an overall rating of confidence in effect estimates for a single outcome and for all outcomes&lt;/title&gt;&lt;secondary-title&gt;Journal of Clinical Epidemiology&lt;/secondary-title&gt;&lt;/titles&gt;&lt;periodical&gt;&lt;full-title&gt;Journal of Clinical Epidemiology&lt;/full-title&gt;&lt;/periodical&gt;&lt;pages&gt;151-157&lt;/pages&gt;&lt;volume&gt;66&lt;/volume&gt;&lt;number&gt;2&lt;/number&gt;&lt;keywords&gt;&lt;keyword&gt;GRADE&lt;/keyword&gt;&lt;keyword&gt;Quality of evidence&lt;/keyword&gt;&lt;keyword&gt;Confidence in estimates&lt;/keyword&gt;&lt;keyword&gt;Guideline methodology&lt;/keyword&gt;&lt;keyword&gt;Systematic review methodology&lt;/keyword&gt;&lt;keyword&gt;Values and preferences&lt;/keyword&gt;&lt;/keywords&gt;&lt;dates&gt;&lt;year&gt;2013&lt;/year&gt;&lt;pub-dates&gt;&lt;date&gt;2//&lt;/date&gt;&lt;/pub-dates&gt;&lt;/dates&gt;&lt;isbn&gt;0895-4356&lt;/isbn&gt;&lt;urls&gt;&lt;related-urls&gt;&lt;url&gt;http://www.sciencedirect.com/science/article/pii/S089543561200025X&lt;/url&gt;&lt;/related-urls&gt;&lt;/urls&gt;&lt;electronic-resource-num&gt;http://dx.doi.org/10.1016/j.jclinepi.2012.01.006&lt;/electronic-resource-num&gt;&lt;/record&gt;&lt;/Cite&gt;&lt;/EndNote&gt;</w:instrText>
      </w:r>
      <w:r w:rsidRPr="002701BE">
        <w:rPr>
          <w:sz w:val="18"/>
          <w:szCs w:val="18"/>
        </w:rPr>
        <w:fldChar w:fldCharType="separate"/>
      </w:r>
      <w:r w:rsidRPr="002701BE">
        <w:rPr>
          <w:noProof/>
          <w:sz w:val="18"/>
          <w:szCs w:val="18"/>
        </w:rPr>
        <w:t>(Guyatt et al. 2013)</w:t>
      </w:r>
      <w:r w:rsidRPr="002701BE">
        <w:rPr>
          <w:sz w:val="18"/>
          <w:szCs w:val="18"/>
        </w:rPr>
        <w:fldChar w:fldCharType="end"/>
      </w:r>
      <w:r w:rsidRPr="002701BE">
        <w:rPr>
          <w:sz w:val="18"/>
          <w:szCs w:val="18"/>
        </w:rPr>
        <w:br/>
      </w:r>
      <w:r w:rsidRPr="002701BE">
        <w:rPr>
          <w:rFonts w:ascii="Cambria Math" w:hAnsi="Cambria Math" w:cs="Cambria Math"/>
          <w:color w:val="00B050"/>
          <w:sz w:val="18"/>
          <w:szCs w:val="18"/>
        </w:rPr>
        <w:t>⨁⨁⨁⨁</w:t>
      </w:r>
      <w:r w:rsidRPr="002701BE">
        <w:rPr>
          <w:color w:val="00B050"/>
          <w:sz w:val="18"/>
          <w:szCs w:val="18"/>
        </w:rPr>
        <w:t xml:space="preserve"> </w:t>
      </w:r>
      <w:r w:rsidRPr="002701BE">
        <w:rPr>
          <w:b/>
          <w:bCs/>
          <w:sz w:val="18"/>
          <w:szCs w:val="18"/>
        </w:rPr>
        <w:t>High quality:</w:t>
      </w:r>
      <w:r w:rsidRPr="002701BE">
        <w:rPr>
          <w:sz w:val="18"/>
          <w:szCs w:val="18"/>
        </w:rPr>
        <w:t xml:space="preserve"> We are very confident that the true effect lies close to that of the estimate of effect. </w:t>
      </w:r>
      <w:r w:rsidRPr="002701BE">
        <w:rPr>
          <w:sz w:val="18"/>
          <w:szCs w:val="18"/>
        </w:rPr>
        <w:br/>
      </w:r>
      <w:r w:rsidRPr="002701BE">
        <w:rPr>
          <w:rFonts w:ascii="Cambria Math" w:hAnsi="Cambria Math" w:cs="Cambria Math"/>
          <w:color w:val="00B050"/>
          <w:sz w:val="18"/>
          <w:szCs w:val="18"/>
        </w:rPr>
        <w:t>⨁⨁⨁</w:t>
      </w:r>
      <w:r w:rsidRPr="002701BE">
        <w:rPr>
          <w:rFonts w:ascii="Cambria Math" w:hAnsi="Cambria Math" w:cs="Cambria Math"/>
          <w:color w:val="C00000"/>
          <w:sz w:val="18"/>
          <w:szCs w:val="18"/>
        </w:rPr>
        <w:t>⨀</w:t>
      </w:r>
      <w:r w:rsidRPr="002701BE">
        <w:rPr>
          <w:color w:val="C00000"/>
          <w:sz w:val="18"/>
          <w:szCs w:val="18"/>
        </w:rPr>
        <w:t xml:space="preserve"> </w:t>
      </w:r>
      <w:r w:rsidRPr="002701BE">
        <w:rPr>
          <w:b/>
          <w:bCs/>
          <w:sz w:val="18"/>
          <w:szCs w:val="18"/>
        </w:rPr>
        <w:t>Moderate quality:</w:t>
      </w:r>
      <w:r w:rsidRPr="002701BE">
        <w:rPr>
          <w:sz w:val="18"/>
          <w:szCs w:val="18"/>
        </w:rPr>
        <w:t xml:space="preserve"> We are moderately confident in the effect estimate: The true effect is likely to be close to the estimate of the effect, but there is a possibility that it is substantially different. </w:t>
      </w:r>
      <w:r w:rsidRPr="002701BE">
        <w:rPr>
          <w:sz w:val="18"/>
          <w:szCs w:val="18"/>
        </w:rPr>
        <w:br/>
      </w:r>
      <w:r w:rsidRPr="002701BE">
        <w:rPr>
          <w:rFonts w:ascii="Cambria Math" w:hAnsi="Cambria Math" w:cs="Cambria Math"/>
          <w:color w:val="00B050"/>
          <w:sz w:val="18"/>
          <w:szCs w:val="18"/>
        </w:rPr>
        <w:t>⨁⨁</w:t>
      </w:r>
      <w:r w:rsidRPr="002701BE">
        <w:rPr>
          <w:rFonts w:ascii="Cambria Math" w:hAnsi="Cambria Math" w:cs="Cambria Math"/>
          <w:color w:val="C00000"/>
          <w:sz w:val="18"/>
          <w:szCs w:val="18"/>
        </w:rPr>
        <w:t>⨀⨀</w:t>
      </w:r>
      <w:r w:rsidRPr="002701BE">
        <w:rPr>
          <w:color w:val="C00000"/>
          <w:sz w:val="18"/>
          <w:szCs w:val="18"/>
        </w:rPr>
        <w:t xml:space="preserve"> </w:t>
      </w:r>
      <w:r w:rsidRPr="002701BE">
        <w:rPr>
          <w:b/>
          <w:bCs/>
          <w:sz w:val="18"/>
          <w:szCs w:val="18"/>
        </w:rPr>
        <w:t>Low quality:</w:t>
      </w:r>
      <w:r w:rsidRPr="002701BE">
        <w:rPr>
          <w:sz w:val="18"/>
          <w:szCs w:val="18"/>
        </w:rPr>
        <w:t xml:space="preserve"> Our confidence in the effect estimate is limited: The true effect may be substantially different from the estimate of the effect.</w:t>
      </w:r>
      <w:r w:rsidRPr="002701BE">
        <w:rPr>
          <w:sz w:val="18"/>
          <w:szCs w:val="18"/>
        </w:rPr>
        <w:br/>
      </w:r>
      <w:r w:rsidRPr="002701BE">
        <w:rPr>
          <w:rFonts w:ascii="Cambria Math" w:hAnsi="Cambria Math" w:cs="Cambria Math"/>
          <w:color w:val="00B050"/>
          <w:sz w:val="18"/>
          <w:szCs w:val="18"/>
        </w:rPr>
        <w:t>⨁</w:t>
      </w:r>
      <w:r w:rsidRPr="002701BE">
        <w:rPr>
          <w:rFonts w:ascii="Cambria Math" w:hAnsi="Cambria Math" w:cs="Cambria Math"/>
          <w:color w:val="C00000"/>
          <w:sz w:val="18"/>
          <w:szCs w:val="18"/>
        </w:rPr>
        <w:t>⨀⨀⨀</w:t>
      </w:r>
      <w:r w:rsidRPr="002701BE">
        <w:rPr>
          <w:color w:val="C00000"/>
          <w:sz w:val="18"/>
          <w:szCs w:val="18"/>
        </w:rPr>
        <w:t xml:space="preserve"> </w:t>
      </w:r>
      <w:r w:rsidRPr="002701BE">
        <w:rPr>
          <w:b/>
          <w:bCs/>
          <w:sz w:val="18"/>
          <w:szCs w:val="18"/>
        </w:rPr>
        <w:t>Very low quality:</w:t>
      </w:r>
      <w:r w:rsidRPr="002701BE">
        <w:rPr>
          <w:sz w:val="18"/>
          <w:szCs w:val="18"/>
        </w:rPr>
        <w:t xml:space="preserve"> We have very little confidence in the effect estimate: The true effect is likely to be substantially differe</w:t>
      </w:r>
      <w:r w:rsidR="00AE6BFA">
        <w:rPr>
          <w:sz w:val="18"/>
          <w:szCs w:val="18"/>
        </w:rPr>
        <w:t>nt from the estimate of effect.</w:t>
      </w:r>
    </w:p>
    <w:p w14:paraId="3918F29A" w14:textId="77777777" w:rsidR="00416B43" w:rsidRPr="00AE6BFA" w:rsidRDefault="00416B43" w:rsidP="00AE6BFA">
      <w:pPr>
        <w:pStyle w:val="TableHeading"/>
        <w:rPr>
          <w:sz w:val="24"/>
          <w:szCs w:val="24"/>
        </w:rPr>
      </w:pPr>
      <w:r w:rsidRPr="00AE6BFA">
        <w:rPr>
          <w:sz w:val="24"/>
          <w:szCs w:val="24"/>
        </w:rPr>
        <w:t>Prognosis</w:t>
      </w:r>
    </w:p>
    <w:p w14:paraId="0D1FD816" w14:textId="77777777" w:rsidR="00416B43" w:rsidRPr="002701BE" w:rsidRDefault="00416B43" w:rsidP="00416B43">
      <w:pPr>
        <w:rPr>
          <w:i/>
        </w:rPr>
      </w:pPr>
      <w:r w:rsidRPr="002701BE">
        <w:rPr>
          <w:i/>
        </w:rPr>
        <w:t>PET/CT as a replacement for CT ±BMAT in the assessment of response to first line treatment in indolent NHL</w:t>
      </w:r>
    </w:p>
    <w:p w14:paraId="19B18B2D" w14:textId="77777777" w:rsidR="00416B43" w:rsidRPr="002701BE" w:rsidRDefault="00416B43" w:rsidP="00416B43">
      <w:pPr>
        <w:spacing w:after="240"/>
      </w:pPr>
      <w:r w:rsidRPr="002701BE">
        <w:t xml:space="preserve">One comparative prognostic study </w:t>
      </w:r>
      <w:r w:rsidRPr="002701BE">
        <w:fldChar w:fldCharType="begin">
          <w:fldData xml:space="preserve">PEVuZE5vdGU+PENpdGU+PEF1dGhvcj5Ucm90bWFuPC9BdXRob3I+PFllYXI+MjAxNDwvWWVhcj48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</w:fldData>
        </w:fldChar>
      </w:r>
      <w:r w:rsidRPr="002701BE">
        <w:instrText xml:space="preserve"> ADDIN EN.CITE </w:instrText>
      </w:r>
      <w:r w:rsidRPr="002701BE">
        <w:fldChar w:fldCharType="begin">
          <w:fldData xml:space="preserve">PEVuZE5vdGU+PENpdGU+PEF1dGhvcj5Ucm90bWFuPC9BdXRob3I+PFllYXI+MjAxNDwvWWVhcj48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</w:fldData>
        </w:fldChar>
      </w:r>
      <w:r w:rsidRPr="002701BE">
        <w:instrText xml:space="preserve"> ADDIN EN.CITE.DATA </w:instrText>
      </w:r>
      <w:r w:rsidRPr="002701BE">
        <w:fldChar w:fldCharType="end"/>
      </w:r>
      <w:r w:rsidRPr="002701BE">
        <w:fldChar w:fldCharType="separate"/>
      </w:r>
      <w:r w:rsidRPr="002701BE">
        <w:rPr>
          <w:noProof/>
        </w:rPr>
        <w:t>(Trotman et al. 2014)</w:t>
      </w:r>
      <w:r w:rsidRPr="002701BE">
        <w:fldChar w:fldCharType="end"/>
      </w:r>
      <w:r w:rsidRPr="002701BE">
        <w:t xml:space="preserve"> was included. It was a pooled analysis of 246 centrally reviewed PET/CT scans from patients enrolled in three follicular lymphoma trials. </w:t>
      </w:r>
    </w:p>
    <w:p w14:paraId="4B350641" w14:textId="77777777" w:rsidR="00416B43" w:rsidRPr="002701BE" w:rsidRDefault="00416B43" w:rsidP="00416B43">
      <w:pPr>
        <w:spacing w:after="240"/>
      </w:pPr>
      <w:r w:rsidRPr="002701BE">
        <w:t>PET/CT results were dichotomised but CT based response assessment was not; therefore</w:t>
      </w:r>
      <w:r>
        <w:t>,</w:t>
      </w:r>
      <w:r w:rsidRPr="002701BE">
        <w:t xml:space="preserve"> it is difficult to directly compare the two tests. Response to treatment based on PET/CT was predictive of both progression free (HR 3.9 (95% CI: 2.5-5.9), p&lt;0.0001) and overall survival (HR 6.7 (95%CI: 2.4-18.5), p=0.0012) (</w:t>
      </w:r>
      <w:r w:rsidR="00183C03">
        <w:fldChar w:fldCharType="begin"/>
      </w:r>
      <w:r w:rsidR="00183C03">
        <w:instrText xml:space="preserve"> REF _Ref460580485 \h </w:instrText>
      </w:r>
      <w:r w:rsidR="00183C03">
        <w:fldChar w:fldCharType="separate"/>
      </w:r>
      <w:r w:rsidR="002938FE" w:rsidRPr="00183C03">
        <w:t xml:space="preserve">Table </w:t>
      </w:r>
      <w:r w:rsidR="002938FE">
        <w:rPr>
          <w:noProof/>
        </w:rPr>
        <w:t>3</w:t>
      </w:r>
      <w:r w:rsidR="00183C03">
        <w:fldChar w:fldCharType="end"/>
      </w:r>
      <w:r w:rsidRPr="002701BE">
        <w:t xml:space="preserve">). Response to treatment based on CT was </w:t>
      </w:r>
      <w:r w:rsidRPr="002701BE">
        <w:lastRenderedPageBreak/>
        <w:t xml:space="preserve">weakly predictive of progression free (HR 1.7 (95% CI 1.1-2.5), p=0.017) but not overall survival (HR 1.4 </w:t>
      </w:r>
      <w:r>
        <w:t>[</w:t>
      </w:r>
      <w:r w:rsidRPr="002701BE">
        <w:t>95% CI 0.4-4.6</w:t>
      </w:r>
      <w:r>
        <w:t>]</w:t>
      </w:r>
      <w:r w:rsidRPr="002701BE">
        <w:t>, p=0.58.</w:t>
      </w:r>
    </w:p>
    <w:p w14:paraId="4C3DBB56" w14:textId="77777777" w:rsidR="00416B43" w:rsidRPr="002701BE" w:rsidRDefault="00416B43" w:rsidP="00416B43">
      <w:pPr>
        <w:spacing w:after="240"/>
      </w:pPr>
      <w:r w:rsidRPr="002701BE">
        <w:t>In multivariate analysis, PET/CT based response remained more predictive than CT based response.</w:t>
      </w:r>
    </w:p>
    <w:p w14:paraId="7748B645" w14:textId="1DF360EC" w:rsidR="00C13A8A" w:rsidRDefault="00C13A8A">
      <w:pPr>
        <w:rPr>
          <w:rFonts w:cs="Tahoma"/>
          <w:b/>
          <w:noProof/>
          <w:sz w:val="20"/>
        </w:rPr>
      </w:pPr>
      <w:bookmarkStart w:id="11" w:name="_Ref460580485"/>
      <w:bookmarkStart w:id="12" w:name="_Toc460835705"/>
    </w:p>
    <w:p w14:paraId="3B8561B7" w14:textId="77777777" w:rsidR="00416B43" w:rsidRPr="00183C03" w:rsidRDefault="00183C03" w:rsidP="00AE6BFA">
      <w:pPr>
        <w:pStyle w:val="TableHeading"/>
        <w:ind w:left="851" w:hanging="851"/>
        <w:rPr>
          <w:rFonts w:ascii="Arial Narrow" w:hAnsi="Arial Narrow" w:cs="Arial"/>
        </w:rPr>
      </w:pPr>
      <w:r w:rsidRPr="00183C03">
        <w:t xml:space="preserve">Table </w:t>
      </w:r>
      <w:r w:rsidRPr="00183C03">
        <w:fldChar w:fldCharType="begin"/>
      </w:r>
      <w:r w:rsidRPr="00183C03">
        <w:instrText xml:space="preserve"> SEQ Table \* ARABIC </w:instrText>
      </w:r>
      <w:r w:rsidRPr="00183C03">
        <w:fldChar w:fldCharType="separate"/>
      </w:r>
      <w:r w:rsidR="002938FE">
        <w:t>3</w:t>
      </w:r>
      <w:r w:rsidRPr="00183C03">
        <w:fldChar w:fldCharType="end"/>
      </w:r>
      <w:bookmarkEnd w:id="11"/>
      <w:r w:rsidR="00453AB5">
        <w:tab/>
      </w:r>
      <w:r w:rsidR="00416B43" w:rsidRPr="00183C03">
        <w:t>Summary of results for the prognostic value of PET/CT compared with CT in the</w:t>
      </w:r>
      <w:r w:rsidR="00AE6BFA">
        <w:t xml:space="preserve"> assessment of </w:t>
      </w:r>
      <w:r w:rsidR="00416B43" w:rsidRPr="002701BE">
        <w:t>response to treatment</w:t>
      </w:r>
      <w:bookmarkEnd w:id="12"/>
    </w:p>
    <w:tbl>
      <w:tblPr>
        <w:tblStyle w:val="TableGrid"/>
        <w:tblW w:w="0" w:type="auto"/>
        <w:tblLook w:val="04A0" w:firstRow="1" w:lastRow="0" w:firstColumn="1" w:lastColumn="0" w:noHBand="0" w:noVBand="1"/>
        <w:tblDescription w:val="Table 4 - Summary of results for the prognostic value of PET/CT compared with CT in the assessment of response to treatment-Results are described in the text above this table."/>
      </w:tblPr>
      <w:tblGrid>
        <w:gridCol w:w="939"/>
        <w:gridCol w:w="1066"/>
        <w:gridCol w:w="927"/>
        <w:gridCol w:w="1510"/>
        <w:gridCol w:w="1642"/>
        <w:gridCol w:w="1456"/>
        <w:gridCol w:w="1702"/>
      </w:tblGrid>
      <w:tr w:rsidR="00416B43" w:rsidRPr="002701BE" w14:paraId="2865AF69" w14:textId="77777777" w:rsidTr="007F6813">
        <w:trPr>
          <w:cantSplit/>
          <w:tblHeader/>
        </w:trPr>
        <w:tc>
          <w:tcPr>
            <w:tcW w:w="0" w:type="auto"/>
            <w:tcBorders>
              <w:bottom w:val="single" w:sz="12" w:space="0" w:color="auto"/>
            </w:tcBorders>
          </w:tcPr>
          <w:p w14:paraId="07026BA5" w14:textId="77777777" w:rsidR="00416B43" w:rsidRPr="002701BE" w:rsidRDefault="00416B43" w:rsidP="007F6813">
            <w:pPr>
              <w:pStyle w:val="Tabletext0"/>
              <w:rPr>
                <w:rFonts w:ascii="Times New Roman" w:hAnsi="Times New Roman"/>
                <w:b/>
              </w:rPr>
            </w:pPr>
            <w:r w:rsidRPr="002701BE">
              <w:rPr>
                <w:rFonts w:ascii="Times New Roman" w:hAnsi="Times New Roman"/>
                <w:b/>
              </w:rPr>
              <w:t>Test</w:t>
            </w:r>
          </w:p>
        </w:tc>
        <w:tc>
          <w:tcPr>
            <w:tcW w:w="0" w:type="auto"/>
            <w:tcBorders>
              <w:bottom w:val="single" w:sz="12" w:space="0" w:color="auto"/>
            </w:tcBorders>
          </w:tcPr>
          <w:p w14:paraId="02E85B55" w14:textId="77777777" w:rsidR="00416B43" w:rsidRPr="002701BE" w:rsidRDefault="00416B43" w:rsidP="007F6813">
            <w:pPr>
              <w:pStyle w:val="Tabletext0"/>
              <w:rPr>
                <w:rFonts w:ascii="Times New Roman" w:hAnsi="Times New Roman"/>
                <w:b/>
              </w:rPr>
            </w:pPr>
            <w:r w:rsidRPr="002701BE">
              <w:rPr>
                <w:rFonts w:ascii="Times New Roman" w:hAnsi="Times New Roman"/>
                <w:b/>
              </w:rPr>
              <w:t>Category</w:t>
            </w:r>
          </w:p>
        </w:tc>
        <w:tc>
          <w:tcPr>
            <w:tcW w:w="0" w:type="auto"/>
            <w:tcBorders>
              <w:bottom w:val="single" w:sz="12" w:space="0" w:color="auto"/>
            </w:tcBorders>
          </w:tcPr>
          <w:p w14:paraId="27047CCF" w14:textId="77777777" w:rsidR="00416B43" w:rsidRPr="002701BE" w:rsidRDefault="00416B43" w:rsidP="007F6813">
            <w:pPr>
              <w:pStyle w:val="Tabletext0"/>
              <w:rPr>
                <w:rFonts w:ascii="Times New Roman" w:hAnsi="Times New Roman"/>
                <w:b/>
              </w:rPr>
            </w:pPr>
            <w:proofErr w:type="gramStart"/>
            <w:r w:rsidRPr="002701BE">
              <w:rPr>
                <w:rFonts w:ascii="Times New Roman" w:hAnsi="Times New Roman"/>
                <w:b/>
              </w:rPr>
              <w:t>n</w:t>
            </w:r>
            <w:proofErr w:type="gramEnd"/>
            <w:r w:rsidRPr="002701BE">
              <w:rPr>
                <w:rFonts w:ascii="Times New Roman" w:hAnsi="Times New Roman"/>
                <w:b/>
              </w:rPr>
              <w:t xml:space="preserve"> (%)</w:t>
            </w:r>
          </w:p>
        </w:tc>
        <w:tc>
          <w:tcPr>
            <w:tcW w:w="0" w:type="auto"/>
            <w:tcBorders>
              <w:bottom w:val="single" w:sz="12" w:space="0" w:color="auto"/>
            </w:tcBorders>
          </w:tcPr>
          <w:p w14:paraId="7234DC21" w14:textId="77777777" w:rsidR="00416B43" w:rsidRPr="002701BE" w:rsidRDefault="00416B43" w:rsidP="007F6813">
            <w:pPr>
              <w:pStyle w:val="Tabletext0"/>
              <w:rPr>
                <w:rFonts w:ascii="Times New Roman" w:hAnsi="Times New Roman"/>
                <w:b/>
              </w:rPr>
            </w:pPr>
            <w:r w:rsidRPr="002701BE">
              <w:rPr>
                <w:rFonts w:ascii="Times New Roman" w:hAnsi="Times New Roman"/>
                <w:b/>
              </w:rPr>
              <w:t>4-year PFS [95% CI]</w:t>
            </w:r>
          </w:p>
        </w:tc>
        <w:tc>
          <w:tcPr>
            <w:tcW w:w="0" w:type="auto"/>
            <w:tcBorders>
              <w:bottom w:val="single" w:sz="12" w:space="0" w:color="auto"/>
            </w:tcBorders>
          </w:tcPr>
          <w:p w14:paraId="70EDC10A" w14:textId="77777777" w:rsidR="00416B43" w:rsidRPr="002701BE" w:rsidRDefault="00416B43" w:rsidP="007F6813">
            <w:pPr>
              <w:pStyle w:val="Tabletext0"/>
              <w:rPr>
                <w:rFonts w:ascii="Times New Roman" w:hAnsi="Times New Roman"/>
                <w:b/>
              </w:rPr>
            </w:pPr>
            <w:r w:rsidRPr="002701BE">
              <w:rPr>
                <w:rFonts w:ascii="Times New Roman" w:hAnsi="Times New Roman"/>
                <w:b/>
              </w:rPr>
              <w:t>HR [95% CI]</w:t>
            </w:r>
          </w:p>
        </w:tc>
        <w:tc>
          <w:tcPr>
            <w:tcW w:w="0" w:type="auto"/>
            <w:tcBorders>
              <w:bottom w:val="single" w:sz="12" w:space="0" w:color="auto"/>
            </w:tcBorders>
          </w:tcPr>
          <w:p w14:paraId="6C13A1EE" w14:textId="77777777" w:rsidR="00416B43" w:rsidRPr="002701BE" w:rsidRDefault="00416B43" w:rsidP="007F6813">
            <w:pPr>
              <w:pStyle w:val="Tabletext0"/>
              <w:rPr>
                <w:rFonts w:ascii="Times New Roman" w:hAnsi="Times New Roman"/>
                <w:b/>
              </w:rPr>
            </w:pPr>
            <w:r w:rsidRPr="002701BE">
              <w:rPr>
                <w:rFonts w:ascii="Times New Roman" w:hAnsi="Times New Roman"/>
                <w:b/>
              </w:rPr>
              <w:t>4-year OS [95% CI]</w:t>
            </w:r>
          </w:p>
        </w:tc>
        <w:tc>
          <w:tcPr>
            <w:tcW w:w="0" w:type="auto"/>
            <w:tcBorders>
              <w:bottom w:val="single" w:sz="12" w:space="0" w:color="auto"/>
            </w:tcBorders>
          </w:tcPr>
          <w:p w14:paraId="483806B2" w14:textId="77777777" w:rsidR="00416B43" w:rsidRPr="002701BE" w:rsidRDefault="00416B43" w:rsidP="007F6813">
            <w:pPr>
              <w:pStyle w:val="Tabletext0"/>
              <w:rPr>
                <w:rFonts w:ascii="Times New Roman" w:hAnsi="Times New Roman"/>
                <w:b/>
              </w:rPr>
            </w:pPr>
            <w:r w:rsidRPr="002701BE">
              <w:rPr>
                <w:rFonts w:ascii="Times New Roman" w:hAnsi="Times New Roman"/>
                <w:b/>
              </w:rPr>
              <w:t>HR [95% CI]</w:t>
            </w:r>
          </w:p>
        </w:tc>
      </w:tr>
      <w:tr w:rsidR="00416B43" w:rsidRPr="002701BE" w14:paraId="0D7A174E" w14:textId="77777777" w:rsidTr="007F6813">
        <w:trPr>
          <w:cantSplit/>
        </w:trPr>
        <w:tc>
          <w:tcPr>
            <w:tcW w:w="0" w:type="auto"/>
            <w:tcBorders>
              <w:top w:val="single" w:sz="12" w:space="0" w:color="auto"/>
            </w:tcBorders>
          </w:tcPr>
          <w:p w14:paraId="60071354" w14:textId="77777777" w:rsidR="00416B43" w:rsidRPr="002701BE" w:rsidRDefault="00416B43" w:rsidP="007F6813">
            <w:pPr>
              <w:pStyle w:val="Tabletext0"/>
              <w:rPr>
                <w:rFonts w:ascii="Times New Roman" w:hAnsi="Times New Roman"/>
                <w:b/>
              </w:rPr>
            </w:pPr>
            <w:r w:rsidRPr="002701BE">
              <w:rPr>
                <w:rFonts w:ascii="Times New Roman" w:hAnsi="Times New Roman"/>
                <w:b/>
              </w:rPr>
              <w:t>PET/CT</w:t>
            </w:r>
          </w:p>
        </w:tc>
        <w:tc>
          <w:tcPr>
            <w:tcW w:w="0" w:type="auto"/>
            <w:tcBorders>
              <w:top w:val="single" w:sz="12" w:space="0" w:color="auto"/>
            </w:tcBorders>
          </w:tcPr>
          <w:p w14:paraId="0A7D6299" w14:textId="77777777" w:rsidR="00416B43" w:rsidRPr="002701BE" w:rsidRDefault="00416B43" w:rsidP="007F6813">
            <w:pPr>
              <w:pStyle w:val="Tabletext0"/>
              <w:rPr>
                <w:rFonts w:ascii="Times New Roman" w:hAnsi="Times New Roman"/>
              </w:rPr>
            </w:pPr>
            <w:r w:rsidRPr="002701BE">
              <w:rPr>
                <w:rFonts w:ascii="Times New Roman" w:hAnsi="Times New Roman"/>
              </w:rPr>
              <w:t>Negative</w:t>
            </w:r>
          </w:p>
        </w:tc>
        <w:tc>
          <w:tcPr>
            <w:tcW w:w="0" w:type="auto"/>
            <w:tcBorders>
              <w:top w:val="single" w:sz="12" w:space="0" w:color="auto"/>
            </w:tcBorders>
          </w:tcPr>
          <w:p w14:paraId="073C3C56" w14:textId="77777777" w:rsidR="00416B43" w:rsidRPr="002701BE" w:rsidRDefault="00416B43" w:rsidP="007F6813">
            <w:pPr>
              <w:pStyle w:val="Tabletext0"/>
              <w:rPr>
                <w:rFonts w:ascii="Times New Roman" w:hAnsi="Times New Roman"/>
              </w:rPr>
            </w:pPr>
            <w:r w:rsidRPr="002701BE">
              <w:rPr>
                <w:rFonts w:ascii="Times New Roman" w:hAnsi="Times New Roman"/>
              </w:rPr>
              <w:t>205 (83%)</w:t>
            </w:r>
          </w:p>
        </w:tc>
        <w:tc>
          <w:tcPr>
            <w:tcW w:w="0" w:type="auto"/>
            <w:tcBorders>
              <w:top w:val="single" w:sz="12" w:space="0" w:color="auto"/>
            </w:tcBorders>
          </w:tcPr>
          <w:p w14:paraId="2CE35DED" w14:textId="77777777" w:rsidR="00416B43" w:rsidRPr="002701BE" w:rsidRDefault="00416B43" w:rsidP="007F6813">
            <w:pPr>
              <w:pStyle w:val="Tabletext0"/>
              <w:rPr>
                <w:rFonts w:ascii="Times New Roman" w:hAnsi="Times New Roman"/>
              </w:rPr>
            </w:pPr>
            <w:r w:rsidRPr="002701BE">
              <w:rPr>
                <w:rFonts w:ascii="Times New Roman" w:hAnsi="Times New Roman"/>
              </w:rPr>
              <w:t>63.4% (55.9-70.0)</w:t>
            </w:r>
          </w:p>
        </w:tc>
        <w:tc>
          <w:tcPr>
            <w:tcW w:w="0" w:type="auto"/>
            <w:tcBorders>
              <w:top w:val="single" w:sz="12" w:space="0" w:color="auto"/>
            </w:tcBorders>
          </w:tcPr>
          <w:p w14:paraId="299706CB"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c>
          <w:tcPr>
            <w:tcW w:w="0" w:type="auto"/>
            <w:tcBorders>
              <w:top w:val="single" w:sz="12" w:space="0" w:color="auto"/>
            </w:tcBorders>
          </w:tcPr>
          <w:p w14:paraId="21EC6E58" w14:textId="77777777" w:rsidR="00416B43" w:rsidRPr="002701BE" w:rsidRDefault="00416B43" w:rsidP="007F6813">
            <w:pPr>
              <w:pStyle w:val="Tabletext0"/>
              <w:rPr>
                <w:rFonts w:ascii="Times New Roman" w:hAnsi="Times New Roman"/>
              </w:rPr>
            </w:pPr>
            <w:r w:rsidRPr="002701BE">
              <w:rPr>
                <w:rFonts w:ascii="Times New Roman" w:hAnsi="Times New Roman"/>
              </w:rPr>
              <w:t>97.1% (93.2-98.8)</w:t>
            </w:r>
          </w:p>
        </w:tc>
        <w:tc>
          <w:tcPr>
            <w:tcW w:w="0" w:type="auto"/>
            <w:tcBorders>
              <w:top w:val="single" w:sz="12" w:space="0" w:color="auto"/>
            </w:tcBorders>
          </w:tcPr>
          <w:p w14:paraId="0651DC38"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r>
      <w:tr w:rsidR="00416B43" w:rsidRPr="002701BE" w14:paraId="5B5BBEEE" w14:textId="77777777" w:rsidTr="007F6813">
        <w:trPr>
          <w:cantSplit/>
        </w:trPr>
        <w:tc>
          <w:tcPr>
            <w:tcW w:w="0" w:type="auto"/>
            <w:tcBorders>
              <w:bottom w:val="single" w:sz="12" w:space="0" w:color="auto"/>
            </w:tcBorders>
          </w:tcPr>
          <w:p w14:paraId="1FDCBF57"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c>
          <w:tcPr>
            <w:tcW w:w="0" w:type="auto"/>
            <w:tcBorders>
              <w:bottom w:val="single" w:sz="12" w:space="0" w:color="auto"/>
            </w:tcBorders>
          </w:tcPr>
          <w:p w14:paraId="72A52254" w14:textId="77777777" w:rsidR="00416B43" w:rsidRPr="002701BE" w:rsidRDefault="00416B43" w:rsidP="007F6813">
            <w:pPr>
              <w:pStyle w:val="Tabletext0"/>
              <w:rPr>
                <w:rFonts w:ascii="Times New Roman" w:hAnsi="Times New Roman"/>
              </w:rPr>
            </w:pPr>
            <w:r w:rsidRPr="002701BE">
              <w:rPr>
                <w:rFonts w:ascii="Times New Roman" w:hAnsi="Times New Roman"/>
              </w:rPr>
              <w:t xml:space="preserve">Positive </w:t>
            </w:r>
          </w:p>
        </w:tc>
        <w:tc>
          <w:tcPr>
            <w:tcW w:w="0" w:type="auto"/>
            <w:tcBorders>
              <w:bottom w:val="single" w:sz="12" w:space="0" w:color="auto"/>
            </w:tcBorders>
          </w:tcPr>
          <w:p w14:paraId="4422D36C" w14:textId="77777777" w:rsidR="00416B43" w:rsidRPr="002701BE" w:rsidRDefault="00416B43" w:rsidP="007F6813">
            <w:pPr>
              <w:pStyle w:val="Tabletext0"/>
              <w:rPr>
                <w:rFonts w:ascii="Times New Roman" w:hAnsi="Times New Roman"/>
              </w:rPr>
            </w:pPr>
            <w:r w:rsidRPr="002701BE">
              <w:rPr>
                <w:rFonts w:ascii="Times New Roman" w:hAnsi="Times New Roman"/>
              </w:rPr>
              <w:t>41 (17%)</w:t>
            </w:r>
          </w:p>
        </w:tc>
        <w:tc>
          <w:tcPr>
            <w:tcW w:w="0" w:type="auto"/>
            <w:tcBorders>
              <w:bottom w:val="single" w:sz="12" w:space="0" w:color="auto"/>
            </w:tcBorders>
          </w:tcPr>
          <w:p w14:paraId="0715A716" w14:textId="77777777" w:rsidR="00416B43" w:rsidRPr="002701BE" w:rsidRDefault="00416B43" w:rsidP="007F6813">
            <w:pPr>
              <w:pStyle w:val="Tabletext0"/>
              <w:rPr>
                <w:rFonts w:ascii="Times New Roman" w:hAnsi="Times New Roman"/>
              </w:rPr>
            </w:pPr>
            <w:r w:rsidRPr="002701BE">
              <w:rPr>
                <w:rFonts w:ascii="Times New Roman" w:hAnsi="Times New Roman"/>
              </w:rPr>
              <w:t>23.2% (11.1-37.9)</w:t>
            </w:r>
          </w:p>
        </w:tc>
        <w:tc>
          <w:tcPr>
            <w:tcW w:w="0" w:type="auto"/>
            <w:tcBorders>
              <w:bottom w:val="single" w:sz="12" w:space="0" w:color="auto"/>
            </w:tcBorders>
          </w:tcPr>
          <w:p w14:paraId="64B7AA17" w14:textId="77777777" w:rsidR="00416B43" w:rsidRPr="002701BE" w:rsidRDefault="00416B43" w:rsidP="007F6813">
            <w:pPr>
              <w:pStyle w:val="Tabletext0"/>
              <w:rPr>
                <w:rFonts w:ascii="Times New Roman" w:hAnsi="Times New Roman"/>
              </w:rPr>
            </w:pPr>
            <w:r w:rsidRPr="002701BE">
              <w:rPr>
                <w:rFonts w:ascii="Times New Roman" w:hAnsi="Times New Roman"/>
              </w:rPr>
              <w:t>3.9 (2.5-5.9), p&lt;0.0001</w:t>
            </w:r>
          </w:p>
        </w:tc>
        <w:tc>
          <w:tcPr>
            <w:tcW w:w="0" w:type="auto"/>
            <w:tcBorders>
              <w:bottom w:val="single" w:sz="12" w:space="0" w:color="auto"/>
            </w:tcBorders>
          </w:tcPr>
          <w:p w14:paraId="75052FE9" w14:textId="77777777" w:rsidR="00416B43" w:rsidRPr="002701BE" w:rsidRDefault="00416B43" w:rsidP="007F6813">
            <w:pPr>
              <w:pStyle w:val="Tabletext0"/>
              <w:rPr>
                <w:rFonts w:ascii="Times New Roman" w:hAnsi="Times New Roman"/>
              </w:rPr>
            </w:pPr>
            <w:r w:rsidRPr="002701BE">
              <w:rPr>
                <w:rFonts w:ascii="Times New Roman" w:hAnsi="Times New Roman"/>
              </w:rPr>
              <w:t>87.2% (71.9-94.5)</w:t>
            </w:r>
          </w:p>
        </w:tc>
        <w:tc>
          <w:tcPr>
            <w:tcW w:w="0" w:type="auto"/>
            <w:tcBorders>
              <w:bottom w:val="single" w:sz="12" w:space="0" w:color="auto"/>
            </w:tcBorders>
          </w:tcPr>
          <w:p w14:paraId="630BEBA3" w14:textId="77777777" w:rsidR="00416B43" w:rsidRPr="002701BE" w:rsidRDefault="00416B43" w:rsidP="007F6813">
            <w:pPr>
              <w:pStyle w:val="Tabletext0"/>
              <w:rPr>
                <w:rFonts w:ascii="Times New Roman" w:hAnsi="Times New Roman"/>
              </w:rPr>
            </w:pPr>
            <w:r w:rsidRPr="002701BE">
              <w:rPr>
                <w:rFonts w:ascii="Times New Roman" w:hAnsi="Times New Roman"/>
              </w:rPr>
              <w:t>6.7 (2.4-18.5), p=0.0012</w:t>
            </w:r>
          </w:p>
        </w:tc>
      </w:tr>
      <w:tr w:rsidR="00416B43" w:rsidRPr="002701BE" w14:paraId="3C22081C" w14:textId="77777777" w:rsidTr="007F6813">
        <w:trPr>
          <w:cantSplit/>
        </w:trPr>
        <w:tc>
          <w:tcPr>
            <w:tcW w:w="0" w:type="auto"/>
            <w:tcBorders>
              <w:top w:val="single" w:sz="12" w:space="0" w:color="auto"/>
            </w:tcBorders>
          </w:tcPr>
          <w:p w14:paraId="69B88DD2" w14:textId="77777777" w:rsidR="00416B43" w:rsidRPr="002701BE" w:rsidRDefault="00416B43" w:rsidP="007F6813">
            <w:pPr>
              <w:pStyle w:val="Tabletext0"/>
              <w:rPr>
                <w:rFonts w:ascii="Times New Roman" w:hAnsi="Times New Roman"/>
                <w:b/>
              </w:rPr>
            </w:pPr>
            <w:r w:rsidRPr="002701BE">
              <w:rPr>
                <w:rFonts w:ascii="Times New Roman" w:hAnsi="Times New Roman"/>
                <w:b/>
              </w:rPr>
              <w:t>CT</w:t>
            </w:r>
          </w:p>
        </w:tc>
        <w:tc>
          <w:tcPr>
            <w:tcW w:w="0" w:type="auto"/>
            <w:tcBorders>
              <w:top w:val="single" w:sz="12" w:space="0" w:color="auto"/>
            </w:tcBorders>
          </w:tcPr>
          <w:p w14:paraId="68259790" w14:textId="77777777" w:rsidR="00416B43" w:rsidRPr="002701BE" w:rsidRDefault="00416B43" w:rsidP="007F6813">
            <w:pPr>
              <w:pStyle w:val="Tabletext0"/>
              <w:rPr>
                <w:rFonts w:ascii="Times New Roman" w:hAnsi="Times New Roman"/>
              </w:rPr>
            </w:pPr>
            <w:r w:rsidRPr="002701BE">
              <w:rPr>
                <w:rFonts w:ascii="Times New Roman" w:hAnsi="Times New Roman"/>
              </w:rPr>
              <w:t xml:space="preserve">CR &amp; </w:t>
            </w:r>
            <w:proofErr w:type="spellStart"/>
            <w:r w:rsidRPr="002701BE">
              <w:rPr>
                <w:rFonts w:ascii="Times New Roman" w:hAnsi="Times New Roman"/>
              </w:rPr>
              <w:t>CRu</w:t>
            </w:r>
            <w:proofErr w:type="spellEnd"/>
            <w:r w:rsidRPr="002701BE">
              <w:rPr>
                <w:rFonts w:ascii="Times New Roman" w:hAnsi="Times New Roman"/>
              </w:rPr>
              <w:t xml:space="preserve"> </w:t>
            </w:r>
          </w:p>
        </w:tc>
        <w:tc>
          <w:tcPr>
            <w:tcW w:w="0" w:type="auto"/>
            <w:tcBorders>
              <w:top w:val="single" w:sz="12" w:space="0" w:color="auto"/>
            </w:tcBorders>
          </w:tcPr>
          <w:p w14:paraId="05346D32" w14:textId="77777777" w:rsidR="00416B43" w:rsidRPr="002701BE" w:rsidRDefault="00416B43" w:rsidP="007F6813">
            <w:pPr>
              <w:pStyle w:val="Tabletext0"/>
              <w:rPr>
                <w:rFonts w:ascii="Times New Roman" w:hAnsi="Times New Roman"/>
              </w:rPr>
            </w:pPr>
            <w:r w:rsidRPr="002701BE">
              <w:rPr>
                <w:rFonts w:ascii="Times New Roman" w:hAnsi="Times New Roman"/>
              </w:rPr>
              <w:t>168 (70%)</w:t>
            </w:r>
          </w:p>
        </w:tc>
        <w:tc>
          <w:tcPr>
            <w:tcW w:w="0" w:type="auto"/>
            <w:tcBorders>
              <w:top w:val="single" w:sz="12" w:space="0" w:color="auto"/>
            </w:tcBorders>
          </w:tcPr>
          <w:p w14:paraId="474DD0A2" w14:textId="77777777" w:rsidR="00416B43" w:rsidRPr="002701BE" w:rsidRDefault="00416B43" w:rsidP="007F6813">
            <w:pPr>
              <w:pStyle w:val="Tabletext0"/>
              <w:rPr>
                <w:rFonts w:ascii="Times New Roman" w:hAnsi="Times New Roman"/>
              </w:rPr>
            </w:pPr>
            <w:r w:rsidRPr="002701BE">
              <w:rPr>
                <w:rFonts w:ascii="Times New Roman" w:hAnsi="Times New Roman"/>
              </w:rPr>
              <w:t>63.1% (54.7-70.4)</w:t>
            </w:r>
          </w:p>
        </w:tc>
        <w:tc>
          <w:tcPr>
            <w:tcW w:w="0" w:type="auto"/>
            <w:tcBorders>
              <w:top w:val="single" w:sz="12" w:space="0" w:color="auto"/>
            </w:tcBorders>
          </w:tcPr>
          <w:p w14:paraId="0F49BCE8"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c>
          <w:tcPr>
            <w:tcW w:w="0" w:type="auto"/>
            <w:tcBorders>
              <w:top w:val="single" w:sz="12" w:space="0" w:color="auto"/>
            </w:tcBorders>
          </w:tcPr>
          <w:p w14:paraId="1AE0D2E5" w14:textId="77777777" w:rsidR="00416B43" w:rsidRPr="002701BE" w:rsidRDefault="00416B43" w:rsidP="007F6813">
            <w:pPr>
              <w:pStyle w:val="Tabletext0"/>
              <w:rPr>
                <w:rFonts w:ascii="Times New Roman" w:hAnsi="Times New Roman"/>
              </w:rPr>
            </w:pPr>
            <w:r w:rsidRPr="002701BE">
              <w:rPr>
                <w:rFonts w:ascii="Times New Roman" w:hAnsi="Times New Roman"/>
              </w:rPr>
              <w:t>96.8 (92.5-98.7)</w:t>
            </w:r>
          </w:p>
        </w:tc>
        <w:tc>
          <w:tcPr>
            <w:tcW w:w="0" w:type="auto"/>
            <w:tcBorders>
              <w:top w:val="single" w:sz="12" w:space="0" w:color="auto"/>
            </w:tcBorders>
          </w:tcPr>
          <w:p w14:paraId="3E076106"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r>
      <w:tr w:rsidR="00416B43" w:rsidRPr="002701BE" w14:paraId="0A79AE1B" w14:textId="77777777" w:rsidTr="007F6813">
        <w:trPr>
          <w:cantSplit/>
        </w:trPr>
        <w:tc>
          <w:tcPr>
            <w:tcW w:w="0" w:type="auto"/>
          </w:tcPr>
          <w:p w14:paraId="009DE75A"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c>
          <w:tcPr>
            <w:tcW w:w="0" w:type="auto"/>
          </w:tcPr>
          <w:p w14:paraId="44C11E9E" w14:textId="77777777" w:rsidR="00416B43" w:rsidRPr="002701BE" w:rsidRDefault="00416B43" w:rsidP="007F6813">
            <w:pPr>
              <w:pStyle w:val="Tabletext0"/>
              <w:rPr>
                <w:rFonts w:ascii="Times New Roman" w:hAnsi="Times New Roman"/>
              </w:rPr>
            </w:pPr>
            <w:r w:rsidRPr="002701BE">
              <w:rPr>
                <w:rFonts w:ascii="Times New Roman" w:hAnsi="Times New Roman"/>
              </w:rPr>
              <w:t>PR</w:t>
            </w:r>
          </w:p>
        </w:tc>
        <w:tc>
          <w:tcPr>
            <w:tcW w:w="0" w:type="auto"/>
          </w:tcPr>
          <w:p w14:paraId="3FC072B5" w14:textId="77777777" w:rsidR="00416B43" w:rsidRPr="002701BE" w:rsidRDefault="00416B43" w:rsidP="007F6813">
            <w:pPr>
              <w:pStyle w:val="Tabletext0"/>
              <w:rPr>
                <w:rFonts w:ascii="Times New Roman" w:hAnsi="Times New Roman"/>
              </w:rPr>
            </w:pPr>
            <w:r w:rsidRPr="002701BE">
              <w:rPr>
                <w:rFonts w:ascii="Times New Roman" w:hAnsi="Times New Roman"/>
              </w:rPr>
              <w:t>62 (26%)</w:t>
            </w:r>
          </w:p>
        </w:tc>
        <w:tc>
          <w:tcPr>
            <w:tcW w:w="0" w:type="auto"/>
          </w:tcPr>
          <w:p w14:paraId="54FD70DB" w14:textId="77777777" w:rsidR="00416B43" w:rsidRPr="002701BE" w:rsidRDefault="00416B43" w:rsidP="007F6813">
            <w:pPr>
              <w:pStyle w:val="Tabletext0"/>
              <w:rPr>
                <w:rFonts w:ascii="Times New Roman" w:hAnsi="Times New Roman"/>
              </w:rPr>
            </w:pPr>
            <w:r w:rsidRPr="002701BE">
              <w:rPr>
                <w:rFonts w:ascii="Times New Roman" w:hAnsi="Times New Roman"/>
              </w:rPr>
              <w:t>49.4 (35.9-61.5)</w:t>
            </w:r>
          </w:p>
        </w:tc>
        <w:tc>
          <w:tcPr>
            <w:tcW w:w="0" w:type="auto"/>
          </w:tcPr>
          <w:p w14:paraId="19DF5901" w14:textId="77777777" w:rsidR="00416B43" w:rsidRPr="002701BE" w:rsidRDefault="00416B43" w:rsidP="007F6813">
            <w:pPr>
              <w:pStyle w:val="Tabletext0"/>
              <w:rPr>
                <w:rFonts w:ascii="Times New Roman" w:hAnsi="Times New Roman"/>
              </w:rPr>
            </w:pPr>
            <w:r w:rsidRPr="002701BE">
              <w:rPr>
                <w:rFonts w:ascii="Times New Roman" w:hAnsi="Times New Roman"/>
              </w:rPr>
              <w:t>1.7 (1.1-2.5), p=0.017*</w:t>
            </w:r>
          </w:p>
        </w:tc>
        <w:tc>
          <w:tcPr>
            <w:tcW w:w="0" w:type="auto"/>
          </w:tcPr>
          <w:p w14:paraId="28662DDE" w14:textId="77777777" w:rsidR="00416B43" w:rsidRPr="002701BE" w:rsidRDefault="00416B43" w:rsidP="007F6813">
            <w:pPr>
              <w:pStyle w:val="Tabletext0"/>
              <w:rPr>
                <w:rFonts w:ascii="Times New Roman" w:hAnsi="Times New Roman"/>
              </w:rPr>
            </w:pPr>
            <w:r w:rsidRPr="002701BE">
              <w:rPr>
                <w:rFonts w:ascii="Times New Roman" w:hAnsi="Times New Roman"/>
              </w:rPr>
              <w:t>95.9 (83.9-99.0)</w:t>
            </w:r>
          </w:p>
        </w:tc>
        <w:tc>
          <w:tcPr>
            <w:tcW w:w="0" w:type="auto"/>
          </w:tcPr>
          <w:p w14:paraId="72FA6175" w14:textId="77777777" w:rsidR="00416B43" w:rsidRPr="002701BE" w:rsidRDefault="00416B43" w:rsidP="007F6813">
            <w:pPr>
              <w:pStyle w:val="Tabletext0"/>
              <w:rPr>
                <w:rFonts w:ascii="Times New Roman" w:hAnsi="Times New Roman"/>
              </w:rPr>
            </w:pPr>
            <w:r w:rsidRPr="002701BE">
              <w:rPr>
                <w:rFonts w:ascii="Times New Roman" w:hAnsi="Times New Roman"/>
              </w:rPr>
              <w:t>1.4 (0.4-4.6), p=0.58*</w:t>
            </w:r>
          </w:p>
        </w:tc>
      </w:tr>
      <w:tr w:rsidR="00416B43" w:rsidRPr="002701BE" w14:paraId="00DB96C2" w14:textId="77777777" w:rsidTr="007F6813">
        <w:trPr>
          <w:cantSplit/>
        </w:trPr>
        <w:tc>
          <w:tcPr>
            <w:tcW w:w="0" w:type="auto"/>
          </w:tcPr>
          <w:p w14:paraId="79190B29"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c>
          <w:tcPr>
            <w:tcW w:w="0" w:type="auto"/>
          </w:tcPr>
          <w:p w14:paraId="50CE1D6D" w14:textId="77777777" w:rsidR="00416B43" w:rsidRPr="002701BE" w:rsidRDefault="00416B43" w:rsidP="007F6813">
            <w:pPr>
              <w:pStyle w:val="Tabletext0"/>
              <w:rPr>
                <w:rFonts w:ascii="Times New Roman" w:hAnsi="Times New Roman"/>
              </w:rPr>
            </w:pPr>
            <w:r w:rsidRPr="002701BE">
              <w:rPr>
                <w:rFonts w:ascii="Times New Roman" w:hAnsi="Times New Roman"/>
              </w:rPr>
              <w:t>PD &amp; SD</w:t>
            </w:r>
          </w:p>
        </w:tc>
        <w:tc>
          <w:tcPr>
            <w:tcW w:w="0" w:type="auto"/>
          </w:tcPr>
          <w:p w14:paraId="0E4BD06B" w14:textId="77777777" w:rsidR="00416B43" w:rsidRPr="002701BE" w:rsidRDefault="00416B43" w:rsidP="007F6813">
            <w:pPr>
              <w:pStyle w:val="Tabletext0"/>
              <w:rPr>
                <w:rFonts w:ascii="Times New Roman" w:hAnsi="Times New Roman"/>
              </w:rPr>
            </w:pPr>
            <w:r w:rsidRPr="002701BE">
              <w:rPr>
                <w:rFonts w:ascii="Times New Roman" w:hAnsi="Times New Roman"/>
              </w:rPr>
              <w:t>10 (4%)</w:t>
            </w:r>
          </w:p>
        </w:tc>
        <w:tc>
          <w:tcPr>
            <w:tcW w:w="0" w:type="auto"/>
          </w:tcPr>
          <w:p w14:paraId="0D8748FA" w14:textId="77777777" w:rsidR="00416B43" w:rsidRPr="002701BE" w:rsidRDefault="00416B43" w:rsidP="007F6813">
            <w:pPr>
              <w:pStyle w:val="Tabletext0"/>
              <w:rPr>
                <w:rFonts w:ascii="Times New Roman" w:hAnsi="Times New Roman"/>
              </w:rPr>
            </w:pPr>
            <w:r w:rsidRPr="002701BE">
              <w:rPr>
                <w:rFonts w:ascii="Times New Roman" w:hAnsi="Times New Roman"/>
              </w:rPr>
              <w:t>12.5 (0.7-41.8)</w:t>
            </w:r>
          </w:p>
        </w:tc>
        <w:tc>
          <w:tcPr>
            <w:tcW w:w="0" w:type="auto"/>
          </w:tcPr>
          <w:p w14:paraId="1A0769D4"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c>
          <w:tcPr>
            <w:tcW w:w="0" w:type="auto"/>
          </w:tcPr>
          <w:p w14:paraId="297396AD" w14:textId="77777777" w:rsidR="00416B43" w:rsidRPr="002701BE" w:rsidRDefault="00416B43" w:rsidP="007F6813">
            <w:pPr>
              <w:pStyle w:val="Tabletext0"/>
              <w:rPr>
                <w:rFonts w:ascii="Times New Roman" w:hAnsi="Times New Roman"/>
              </w:rPr>
            </w:pPr>
            <w:r w:rsidRPr="002701BE">
              <w:rPr>
                <w:rFonts w:ascii="Times New Roman" w:hAnsi="Times New Roman"/>
              </w:rPr>
              <w:t>62.5 (22.9-86.1)</w:t>
            </w:r>
          </w:p>
        </w:tc>
        <w:tc>
          <w:tcPr>
            <w:tcW w:w="0" w:type="auto"/>
          </w:tcPr>
          <w:p w14:paraId="52682837" w14:textId="77777777" w:rsidR="00416B43" w:rsidRPr="002701BE" w:rsidRDefault="00416B43" w:rsidP="007F6813">
            <w:pPr>
              <w:pStyle w:val="Tabletext0"/>
              <w:rPr>
                <w:rFonts w:ascii="Times New Roman" w:hAnsi="Times New Roman"/>
              </w:rPr>
            </w:pPr>
            <w:r w:rsidRPr="002701BE">
              <w:rPr>
                <w:rFonts w:ascii="Times New Roman" w:hAnsi="Times New Roman"/>
              </w:rPr>
              <w:t>-</w:t>
            </w:r>
          </w:p>
        </w:tc>
      </w:tr>
    </w:tbl>
    <w:p w14:paraId="03333C9D" w14:textId="77777777" w:rsidR="00416B43" w:rsidRPr="002701BE" w:rsidRDefault="00416B43" w:rsidP="00416B43">
      <w:pPr>
        <w:pStyle w:val="Tablenotes"/>
        <w:rPr>
          <w:rFonts w:ascii="Times New Roman" w:hAnsi="Times New Roman" w:cs="Times New Roman"/>
        </w:rPr>
      </w:pPr>
      <w:r w:rsidRPr="002701BE">
        <w:rPr>
          <w:rFonts w:ascii="Times New Roman" w:hAnsi="Times New Roman" w:cs="Times New Roman"/>
        </w:rPr>
        <w:t>* HR for CR/</w:t>
      </w:r>
      <w:proofErr w:type="spellStart"/>
      <w:r w:rsidRPr="002701BE">
        <w:rPr>
          <w:rFonts w:ascii="Times New Roman" w:hAnsi="Times New Roman" w:cs="Times New Roman"/>
        </w:rPr>
        <w:t>CRu</w:t>
      </w:r>
      <w:proofErr w:type="spellEnd"/>
      <w:r w:rsidRPr="002701BE">
        <w:rPr>
          <w:rFonts w:ascii="Times New Roman" w:hAnsi="Times New Roman" w:cs="Times New Roman"/>
        </w:rPr>
        <w:t xml:space="preserve"> </w:t>
      </w:r>
      <w:proofErr w:type="spellStart"/>
      <w:r w:rsidRPr="002701BE">
        <w:rPr>
          <w:rFonts w:ascii="Times New Roman" w:hAnsi="Times New Roman" w:cs="Times New Roman"/>
        </w:rPr>
        <w:t>vs</w:t>
      </w:r>
      <w:proofErr w:type="spellEnd"/>
      <w:r w:rsidRPr="002701BE">
        <w:rPr>
          <w:rFonts w:ascii="Times New Roman" w:hAnsi="Times New Roman" w:cs="Times New Roman"/>
        </w:rPr>
        <w:t xml:space="preserve"> PR</w:t>
      </w:r>
      <w:r>
        <w:rPr>
          <w:rFonts w:ascii="Times New Roman" w:hAnsi="Times New Roman" w:cs="Times New Roman"/>
        </w:rPr>
        <w:t xml:space="preserve"> (CR: complete response; </w:t>
      </w:r>
      <w:proofErr w:type="spellStart"/>
      <w:r>
        <w:rPr>
          <w:rFonts w:ascii="Times New Roman" w:hAnsi="Times New Roman" w:cs="Times New Roman"/>
        </w:rPr>
        <w:t>CRu</w:t>
      </w:r>
      <w:proofErr w:type="spellEnd"/>
      <w:r>
        <w:rPr>
          <w:rFonts w:ascii="Times New Roman" w:hAnsi="Times New Roman" w:cs="Times New Roman"/>
        </w:rPr>
        <w:t>: complete response, unconfirmed; PR: partial response; SD: stable disease [International Workshop Criteria, 2009])</w:t>
      </w:r>
    </w:p>
    <w:p w14:paraId="5FA905FC" w14:textId="77777777" w:rsidR="00416B43" w:rsidRPr="00AE6BFA" w:rsidRDefault="00416B43" w:rsidP="00AE6BFA">
      <w:pPr>
        <w:pStyle w:val="TableHeading"/>
        <w:rPr>
          <w:sz w:val="24"/>
          <w:szCs w:val="24"/>
        </w:rPr>
      </w:pPr>
      <w:r w:rsidRPr="00AE6BFA">
        <w:rPr>
          <w:sz w:val="24"/>
          <w:szCs w:val="24"/>
        </w:rPr>
        <w:t>Therapeutic efficacy (change in management)</w:t>
      </w:r>
    </w:p>
    <w:p w14:paraId="72578DAA" w14:textId="77777777" w:rsidR="00416B43" w:rsidRPr="002701BE" w:rsidRDefault="00416B43" w:rsidP="00416B43">
      <w:pPr>
        <w:rPr>
          <w:i/>
        </w:rPr>
      </w:pPr>
      <w:r w:rsidRPr="002701BE">
        <w:rPr>
          <w:i/>
        </w:rPr>
        <w:t xml:space="preserve">PET/CT in addition and/or replacement to conventional staging in the initial staging of indolent NHL </w:t>
      </w:r>
    </w:p>
    <w:p w14:paraId="23E2A0AE" w14:textId="77777777" w:rsidR="00416B43" w:rsidRPr="002701BE" w:rsidRDefault="00416B43" w:rsidP="00416B43">
      <w:pPr>
        <w:spacing w:after="240"/>
      </w:pPr>
      <w:r w:rsidRPr="002701BE">
        <w:t xml:space="preserve">Two Australian studies were included based on post-hoc inclusion criteria. The prospective Australian data collection study (Scott et al. 2009) reported a change in management plan in 34% of patients </w:t>
      </w:r>
      <w:r>
        <w:t>(</w:t>
      </w:r>
      <w:r w:rsidRPr="002701BE">
        <w:t>95% CI: 24-45%</w:t>
      </w:r>
      <w:r>
        <w:t>)</w:t>
      </w:r>
      <w:r w:rsidRPr="002701BE">
        <w:t>. A change from radiotherapy to chemotherapy was documented in 6/74 (8%) and from observation to chemotherapy in 4/74 (5%). A change from chemotherapy to observation was documented in 2/74 (3%) and from radiotherapy to observation in 4/74 (5%).</w:t>
      </w:r>
      <w:r>
        <w:t xml:space="preserve">  This study was considered in the MSAC Ref. 35c Assessment Report.</w:t>
      </w:r>
    </w:p>
    <w:p w14:paraId="483AF8AB" w14:textId="77777777" w:rsidR="00416B43" w:rsidRPr="002701BE" w:rsidRDefault="00416B43" w:rsidP="00416B43">
      <w:pPr>
        <w:spacing w:after="240"/>
      </w:pPr>
      <w:r w:rsidRPr="002701BE">
        <w:t>The second Australian study reported that 27/39 (69%) of patients who were upstaged had a change in management but details of the management change were not reported (Fulham et al. 2006</w:t>
      </w:r>
      <w:r>
        <w:t xml:space="preserve"> – abstract only</w:t>
      </w:r>
      <w:r w:rsidRPr="002701BE">
        <w:t>).</w:t>
      </w:r>
    </w:p>
    <w:p w14:paraId="1962A093" w14:textId="77777777" w:rsidR="00416B43" w:rsidRPr="002701BE" w:rsidRDefault="00416B43" w:rsidP="00416B43">
      <w:r w:rsidRPr="002701BE">
        <w:rPr>
          <w:i/>
        </w:rPr>
        <w:t>PET/CT as a replacement for conventional imaging in the restaging of relapsed indolent NHL</w:t>
      </w:r>
      <w:r w:rsidRPr="002701BE">
        <w:t xml:space="preserve"> </w:t>
      </w:r>
    </w:p>
    <w:p w14:paraId="77B6E2D1" w14:textId="77777777" w:rsidR="00416B43" w:rsidRPr="002701BE" w:rsidRDefault="00416B43" w:rsidP="00416B43">
      <w:pPr>
        <w:spacing w:after="240"/>
      </w:pPr>
      <w:r w:rsidRPr="002701BE">
        <w:t>No studies were identified which reported on changes in clinical management following restaging of clinically suspected disease relapse in patients with indolent NHL.</w:t>
      </w:r>
    </w:p>
    <w:p w14:paraId="3E286DB4" w14:textId="77777777" w:rsidR="00416B43" w:rsidRPr="002701BE" w:rsidRDefault="00416B43" w:rsidP="00416B43">
      <w:pPr>
        <w:rPr>
          <w:i/>
        </w:rPr>
      </w:pPr>
      <w:r w:rsidRPr="002701BE">
        <w:rPr>
          <w:i/>
        </w:rPr>
        <w:t>PET/CT as a replacement for CT ±BMAT in the assessment of response to first line treatment in indolent NHL</w:t>
      </w:r>
    </w:p>
    <w:p w14:paraId="30055CF2" w14:textId="77777777" w:rsidR="00416B43" w:rsidRPr="002701BE" w:rsidRDefault="00416B43" w:rsidP="00453AB5">
      <w:pPr>
        <w:spacing w:after="240"/>
      </w:pPr>
      <w:r w:rsidRPr="002701BE">
        <w:t>No studies were identified which reported on changes in clinical management following PET/CT response assessment in indolent NHL. Two ongoing randomised controlled trials of PET/CT</w:t>
      </w:r>
      <w:r>
        <w:t xml:space="preserve"> </w:t>
      </w:r>
      <w:r w:rsidRPr="002701BE">
        <w:t>response</w:t>
      </w:r>
      <w:r>
        <w:t>-</w:t>
      </w:r>
      <w:r w:rsidRPr="002701BE">
        <w:t>adapted therapy were identified.</w:t>
      </w:r>
    </w:p>
    <w:p w14:paraId="714967CD" w14:textId="77777777" w:rsidR="00F456DC" w:rsidRDefault="00F456DC">
      <w:pPr>
        <w:rPr>
          <w:rFonts w:cs="Tahoma"/>
          <w:b/>
          <w:noProof/>
          <w:szCs w:val="24"/>
        </w:rPr>
      </w:pPr>
      <w:r>
        <w:rPr>
          <w:szCs w:val="24"/>
        </w:rPr>
        <w:br w:type="page"/>
      </w:r>
    </w:p>
    <w:p w14:paraId="58CB7F7D" w14:textId="1CD9F99B" w:rsidR="00416B43" w:rsidRPr="00AE6BFA" w:rsidRDefault="00416B43" w:rsidP="00AE6BFA">
      <w:pPr>
        <w:pStyle w:val="TableHeading"/>
        <w:rPr>
          <w:sz w:val="24"/>
          <w:szCs w:val="24"/>
        </w:rPr>
      </w:pPr>
      <w:r w:rsidRPr="00AE6BFA">
        <w:rPr>
          <w:sz w:val="24"/>
          <w:szCs w:val="24"/>
        </w:rPr>
        <w:lastRenderedPageBreak/>
        <w:t>Therapeutic effectiveness (health benefit from change in management)</w:t>
      </w:r>
    </w:p>
    <w:p w14:paraId="11E6B482" w14:textId="77777777" w:rsidR="00416B43" w:rsidRPr="002701BE" w:rsidRDefault="00416B43" w:rsidP="00416B43">
      <w:r w:rsidRPr="002701BE">
        <w:rPr>
          <w:i/>
        </w:rPr>
        <w:t>PET/CT in addition and/or replacement to conventional staging in the initial staging of indolent NHL</w:t>
      </w:r>
    </w:p>
    <w:p w14:paraId="5AA78763" w14:textId="77777777" w:rsidR="00416B43" w:rsidRPr="002701BE" w:rsidRDefault="00416B43" w:rsidP="00453AB5">
      <w:pPr>
        <w:spacing w:after="240"/>
      </w:pPr>
      <w:r w:rsidRPr="002701BE">
        <w:t xml:space="preserve">In order </w:t>
      </w:r>
      <w:r>
        <w:t>to make</w:t>
      </w:r>
      <w:r w:rsidRPr="002701BE">
        <w:t xml:space="preserve"> a case for the effectiveness of PET/CT in initial staging of patients with indolent NHL (particularly stage III-IV), it must be assumed that in selected patients who have additional disease detected and consequently a change in the duration and/or intensity and/or combination of chemotherapy, the improvements in progression free and overall survival will outweigh the side effects of intensified chemotherapy.</w:t>
      </w:r>
    </w:p>
    <w:p w14:paraId="476AE3FB" w14:textId="77777777" w:rsidR="008E6CBA" w:rsidRDefault="00416B43" w:rsidP="004C0E5A">
      <w:r w:rsidRPr="002701BE">
        <w:t xml:space="preserve">Where PET/CT is used during staging </w:t>
      </w:r>
      <w:r>
        <w:t xml:space="preserve">merely </w:t>
      </w:r>
      <w:r w:rsidRPr="002701BE">
        <w:t>to provide a baseline scan for comparison with a post-treatment PET/CT scan, it is not intended to influence initial management or thereby to alter patient outcomes.</w:t>
      </w:r>
      <w:r w:rsidR="008E6CBA">
        <w:t xml:space="preserve"> Although MSAC noted that the initial PET can influence management by:</w:t>
      </w:r>
    </w:p>
    <w:p w14:paraId="6AB8E242" w14:textId="461FDEB4" w:rsidR="008E6CBA" w:rsidRDefault="008E6CBA" w:rsidP="004C0E5A">
      <w:pPr>
        <w:pStyle w:val="ListParagraph"/>
        <w:numPr>
          <w:ilvl w:val="0"/>
          <w:numId w:val="41"/>
        </w:numPr>
      </w:pPr>
      <w:r>
        <w:t>More accurate definition of active disease extent for involved-site RT in Stage I-</w:t>
      </w:r>
      <w:proofErr w:type="spellStart"/>
      <w:r>
        <w:t>IIa</w:t>
      </w:r>
      <w:proofErr w:type="spellEnd"/>
      <w:r>
        <w:t xml:space="preserve"> disease (the current intent of 61616);</w:t>
      </w:r>
    </w:p>
    <w:p w14:paraId="6801C897" w14:textId="01A0BF7E" w:rsidR="00416B43" w:rsidRPr="002701BE" w:rsidRDefault="008E6CBA" w:rsidP="004C0E5A">
      <w:pPr>
        <w:pStyle w:val="ListParagraph"/>
        <w:numPr>
          <w:ilvl w:val="0"/>
          <w:numId w:val="41"/>
        </w:numPr>
        <w:spacing w:after="240"/>
      </w:pPr>
      <w:r>
        <w:t>Upstaging of apparent Stage I-II disease to Stage III-IV disease, in which case “curative” RT would not be indicated and systemic Rx (immunochemotherapy) would be applicable to symptomatic patients (GELF criteria).</w:t>
      </w:r>
    </w:p>
    <w:p w14:paraId="27792AB7" w14:textId="77777777" w:rsidR="00416B43" w:rsidRPr="002701BE" w:rsidRDefault="00416B43" w:rsidP="00416B43">
      <w:r w:rsidRPr="002701BE">
        <w:rPr>
          <w:i/>
        </w:rPr>
        <w:t>PET/CT as a replacement for conventional imaging in the restaging of relapsed indolent NHL</w:t>
      </w:r>
      <w:r w:rsidRPr="002701BE">
        <w:t xml:space="preserve"> </w:t>
      </w:r>
    </w:p>
    <w:p w14:paraId="6E686A7F" w14:textId="77777777" w:rsidR="00416B43" w:rsidRPr="002701BE" w:rsidRDefault="00416B43" w:rsidP="00416B43">
      <w:pPr>
        <w:spacing w:after="240"/>
      </w:pPr>
      <w:r w:rsidRPr="002701BE">
        <w:t xml:space="preserve">There was insufficient evidence to determine the effectiveness of </w:t>
      </w:r>
      <w:r>
        <w:t xml:space="preserve">restaging </w:t>
      </w:r>
      <w:r w:rsidRPr="002701BE">
        <w:t xml:space="preserve">PET/CT in </w:t>
      </w:r>
      <w:r>
        <w:t>modifying therapy</w:t>
      </w:r>
      <w:r w:rsidRPr="002701BE">
        <w:t xml:space="preserve">. </w:t>
      </w:r>
    </w:p>
    <w:p w14:paraId="36CA76EF" w14:textId="77777777" w:rsidR="00416B43" w:rsidRPr="002701BE" w:rsidRDefault="00416B43" w:rsidP="00416B43">
      <w:pPr>
        <w:spacing w:after="240"/>
      </w:pPr>
      <w:r w:rsidRPr="002701BE">
        <w:t xml:space="preserve">Where </w:t>
      </w:r>
      <w:r>
        <w:t xml:space="preserve">restaging </w:t>
      </w:r>
      <w:r w:rsidRPr="002701BE">
        <w:t xml:space="preserve">PET/CT is used </w:t>
      </w:r>
      <w:r>
        <w:t>merely</w:t>
      </w:r>
      <w:r w:rsidRPr="002701BE">
        <w:t xml:space="preserve"> to provide a </w:t>
      </w:r>
      <w:r>
        <w:t xml:space="preserve">new </w:t>
      </w:r>
      <w:r w:rsidRPr="002701BE">
        <w:t>baseline scan for comparison with a PET/CT scan</w:t>
      </w:r>
      <w:r>
        <w:t xml:space="preserve"> following maintenance or intensification of treatment</w:t>
      </w:r>
      <w:r w:rsidRPr="002701BE">
        <w:t>, it is not intended to influence initial management or thereby to alter patient outcomes.</w:t>
      </w:r>
    </w:p>
    <w:p w14:paraId="10417EC7" w14:textId="77777777" w:rsidR="00416B43" w:rsidRPr="002701BE" w:rsidRDefault="00416B43" w:rsidP="00416B43">
      <w:pPr>
        <w:rPr>
          <w:i/>
        </w:rPr>
      </w:pPr>
      <w:r w:rsidRPr="002701BE">
        <w:rPr>
          <w:i/>
        </w:rPr>
        <w:t>PET/CT as a replacement for CT ±BMAT in the assessment of response to first line treatment in indolent NHL</w:t>
      </w:r>
    </w:p>
    <w:p w14:paraId="3BA94480" w14:textId="77777777" w:rsidR="00416B43" w:rsidRPr="002701BE" w:rsidRDefault="00416B43" w:rsidP="00416B43">
      <w:r w:rsidRPr="002701BE">
        <w:t>The following differences between PET/CT response assessment and CT ±BMAT response assessment are proposed to improve patient quality of life:</w:t>
      </w:r>
    </w:p>
    <w:p w14:paraId="67B5C2C8" w14:textId="77777777" w:rsidR="00416B43" w:rsidRPr="002701BE" w:rsidRDefault="00416B43" w:rsidP="00416B43">
      <w:pPr>
        <w:pStyle w:val="ListParagraph"/>
        <w:numPr>
          <w:ilvl w:val="1"/>
          <w:numId w:val="33"/>
        </w:numPr>
        <w:ind w:left="709" w:hanging="283"/>
        <w:contextualSpacing w:val="0"/>
      </w:pPr>
      <w:r>
        <w:t>non-</w:t>
      </w:r>
      <w:r w:rsidRPr="002701BE">
        <w:t>invasive</w:t>
      </w:r>
      <w:r>
        <w:t xml:space="preserve"> compared to BMAT</w:t>
      </w:r>
    </w:p>
    <w:p w14:paraId="42FE5C28" w14:textId="77777777" w:rsidR="00416B43" w:rsidRPr="002701BE" w:rsidRDefault="00416B43" w:rsidP="00416B43">
      <w:pPr>
        <w:pStyle w:val="ListParagraph"/>
        <w:numPr>
          <w:ilvl w:val="1"/>
          <w:numId w:val="33"/>
        </w:numPr>
        <w:ind w:left="709" w:hanging="283"/>
        <w:contextualSpacing w:val="0"/>
      </w:pPr>
      <w:r w:rsidRPr="002701BE">
        <w:t xml:space="preserve">dichotomous output, replacing </w:t>
      </w:r>
      <w:r>
        <w:t>multiple CT categories based on size of</w:t>
      </w:r>
      <w:r w:rsidRPr="002701BE">
        <w:t xml:space="preserve"> mass </w:t>
      </w:r>
    </w:p>
    <w:p w14:paraId="33223AC8" w14:textId="77777777" w:rsidR="00416B43" w:rsidRPr="002701BE" w:rsidRDefault="00416B43" w:rsidP="00416B43">
      <w:pPr>
        <w:pStyle w:val="ListParagraph"/>
        <w:numPr>
          <w:ilvl w:val="1"/>
          <w:numId w:val="33"/>
        </w:numPr>
        <w:ind w:left="709" w:hanging="283"/>
        <w:contextualSpacing w:val="0"/>
      </w:pPr>
      <w:r w:rsidRPr="002701BE">
        <w:t>less complex</w:t>
      </w:r>
      <w:r>
        <w:t xml:space="preserve"> and therefore more reproducible than CT assessment</w:t>
      </w:r>
    </w:p>
    <w:p w14:paraId="4335D2BD" w14:textId="77777777" w:rsidR="00416B43" w:rsidRPr="002701BE" w:rsidRDefault="00416B43" w:rsidP="00416B43">
      <w:pPr>
        <w:pStyle w:val="ListParagraph"/>
        <w:numPr>
          <w:ilvl w:val="1"/>
          <w:numId w:val="33"/>
        </w:numPr>
        <w:spacing w:after="240"/>
        <w:ind w:left="709" w:hanging="283"/>
        <w:contextualSpacing w:val="0"/>
      </w:pPr>
      <w:proofErr w:type="gramStart"/>
      <w:r>
        <w:t>metabolic</w:t>
      </w:r>
      <w:proofErr w:type="gramEnd"/>
      <w:r>
        <w:t xml:space="preserve"> response (PET/CT) more sensitive, and therefore </w:t>
      </w:r>
      <w:r w:rsidRPr="002701BE">
        <w:t>more predictive</w:t>
      </w:r>
      <w:r>
        <w:t>, than anatomical response (CT)</w:t>
      </w:r>
      <w:r w:rsidRPr="002701BE">
        <w:t>.</w:t>
      </w:r>
    </w:p>
    <w:p w14:paraId="02E26C76" w14:textId="77777777" w:rsidR="00416B43" w:rsidRPr="002701BE" w:rsidRDefault="00416B43" w:rsidP="00416B43">
      <w:r w:rsidRPr="002701BE">
        <w:t>In order to make a case for the clinical effectiveness of PET/CT for response assessment using a linked evidence approach, the following assumptions must be made:</w:t>
      </w:r>
    </w:p>
    <w:p w14:paraId="4367AF80" w14:textId="77777777" w:rsidR="00416B43" w:rsidRPr="002701BE" w:rsidRDefault="00416B43" w:rsidP="00416B43">
      <w:pPr>
        <w:ind w:left="720" w:hanging="294"/>
      </w:pPr>
      <w:r w:rsidRPr="002701BE">
        <w:t>•</w:t>
      </w:r>
      <w:r w:rsidRPr="002701BE">
        <w:tab/>
        <w:t>the initiation of PET/CT response</w:t>
      </w:r>
      <w:r>
        <w:t>-</w:t>
      </w:r>
      <w:r w:rsidRPr="002701BE">
        <w:t xml:space="preserve">adapted maintenance therapy as </w:t>
      </w:r>
      <w:r>
        <w:t xml:space="preserve">currently </w:t>
      </w:r>
      <w:r w:rsidRPr="002701BE">
        <w:t xml:space="preserve">being tested in clinical trials would also </w:t>
      </w:r>
      <w:r>
        <w:t>translate to</w:t>
      </w:r>
      <w:r w:rsidRPr="002701BE">
        <w:t xml:space="preserve"> routine clinical practice, and a proportion of these patients would not have undergone such a management change if response assessment had been based on conventional assessment alone; and</w:t>
      </w:r>
    </w:p>
    <w:p w14:paraId="7BC4AA06" w14:textId="77777777" w:rsidR="00BC1364" w:rsidRPr="00F715D1" w:rsidRDefault="00416B43" w:rsidP="00416B43">
      <w:pPr>
        <w:tabs>
          <w:tab w:val="left" w:pos="720"/>
          <w:tab w:val="left" w:pos="1140"/>
        </w:tabs>
        <w:spacing w:after="240"/>
        <w:rPr>
          <w:szCs w:val="24"/>
        </w:rPr>
      </w:pPr>
      <w:r w:rsidRPr="002701BE">
        <w:t>•</w:t>
      </w:r>
      <w:r w:rsidRPr="002701BE">
        <w:tab/>
        <w:t>PET/CT response</w:t>
      </w:r>
      <w:r>
        <w:t>-</w:t>
      </w:r>
      <w:r w:rsidRPr="002701BE">
        <w:t>adapted maintenance therapy will improve PFS and OS, and those benefits will outweigh the morbidity (and associated quality of life detriments) and mortality associated with escalated therapy.</w:t>
      </w:r>
      <w:r w:rsidR="00DB5833" w:rsidRPr="00F715D1">
        <w:rPr>
          <w:szCs w:val="24"/>
        </w:rPr>
        <w:t xml:space="preserve"> </w:t>
      </w:r>
    </w:p>
    <w:p w14:paraId="42BBA7EF" w14:textId="77777777" w:rsidR="00BC1364" w:rsidRPr="00F715D1" w:rsidRDefault="00BC1364" w:rsidP="00F715D1">
      <w:pPr>
        <w:pStyle w:val="Heading1"/>
      </w:pPr>
      <w:r w:rsidRPr="00F715D1">
        <w:lastRenderedPageBreak/>
        <w:t>Economic evaluation</w:t>
      </w:r>
    </w:p>
    <w:p w14:paraId="34264A20" w14:textId="77777777" w:rsidR="00416B43" w:rsidRPr="002701BE" w:rsidRDefault="00416B43" w:rsidP="001F3C7C">
      <w:pPr>
        <w:spacing w:after="120"/>
      </w:pPr>
      <w:r w:rsidRPr="002701BE">
        <w:t xml:space="preserve">PET/CT is considered to have non-inferior safety and uncertain effectiveness compared to the comparator. A cost-consequence analysis </w:t>
      </w:r>
      <w:r>
        <w:t>was</w:t>
      </w:r>
      <w:r w:rsidRPr="002701BE">
        <w:t xml:space="preserve"> undertaken for </w:t>
      </w:r>
      <w:r w:rsidR="00183C03">
        <w:t>the economic evaluation (</w:t>
      </w:r>
      <w:r w:rsidR="00183C03">
        <w:fldChar w:fldCharType="begin"/>
      </w:r>
      <w:r w:rsidR="00183C03">
        <w:instrText xml:space="preserve"> REF _Ref379483368 \h </w:instrText>
      </w:r>
      <w:r w:rsidR="00183C03">
        <w:fldChar w:fldCharType="separate"/>
      </w:r>
      <w:r w:rsidR="002938FE" w:rsidRPr="00AE6BFA">
        <w:t xml:space="preserve">Table </w:t>
      </w:r>
      <w:r w:rsidR="002938FE">
        <w:rPr>
          <w:noProof/>
        </w:rPr>
        <w:t>4</w:t>
      </w:r>
      <w:r w:rsidR="00183C03">
        <w:fldChar w:fldCharType="end"/>
      </w:r>
      <w:r w:rsidRPr="002701BE">
        <w:t>).</w:t>
      </w:r>
      <w:bookmarkStart w:id="13" w:name="_Ref379404328"/>
    </w:p>
    <w:p w14:paraId="3BF68059" w14:textId="264FD3CF" w:rsidR="00416B43" w:rsidRPr="00AE6BFA" w:rsidRDefault="00183C03" w:rsidP="001F3C7C">
      <w:pPr>
        <w:pStyle w:val="TableHeading"/>
        <w:ind w:left="0" w:firstLine="0"/>
      </w:pPr>
      <w:bookmarkStart w:id="14" w:name="_Ref379483368"/>
      <w:bookmarkStart w:id="15" w:name="_Ref394419656"/>
      <w:bookmarkStart w:id="16" w:name="_Toc460835706"/>
      <w:r w:rsidRPr="00AE6BFA">
        <w:t xml:space="preserve">Table </w:t>
      </w:r>
      <w:r w:rsidRPr="00AE6BFA">
        <w:fldChar w:fldCharType="begin"/>
      </w:r>
      <w:r w:rsidRPr="00AE6BFA">
        <w:instrText xml:space="preserve"> SEQ Table \* ARABIC </w:instrText>
      </w:r>
      <w:r w:rsidRPr="00AE6BFA">
        <w:fldChar w:fldCharType="separate"/>
      </w:r>
      <w:r w:rsidR="002938FE">
        <w:t>4</w:t>
      </w:r>
      <w:r w:rsidRPr="00AE6BFA">
        <w:fldChar w:fldCharType="end"/>
      </w:r>
      <w:bookmarkEnd w:id="13"/>
      <w:bookmarkEnd w:id="14"/>
      <w:r w:rsidR="00453AB5">
        <w:tab/>
      </w:r>
      <w:r w:rsidR="00416B43" w:rsidRPr="00AE6BFA">
        <w:t>Summary of the economic evaluation</w:t>
      </w:r>
      <w:bookmarkEnd w:id="15"/>
      <w:bookmarkEnd w:id="16"/>
      <w:r w:rsidR="00416B43" w:rsidRPr="00AE6BF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4 Summary of the economic evaluation-This table describes the key constructs of the economic evaluation that is provided in the assessment report."/>
      </w:tblPr>
      <w:tblGrid>
        <w:gridCol w:w="4111"/>
        <w:gridCol w:w="4252"/>
      </w:tblGrid>
      <w:tr w:rsidR="00416B43" w:rsidRPr="002701BE" w14:paraId="1D9615D0" w14:textId="77777777" w:rsidTr="001F3C7C">
        <w:trPr>
          <w:trHeight w:val="290"/>
        </w:trPr>
        <w:tc>
          <w:tcPr>
            <w:tcW w:w="4111" w:type="dxa"/>
            <w:tcBorders>
              <w:top w:val="single" w:sz="4" w:space="0" w:color="auto"/>
              <w:left w:val="single" w:sz="4" w:space="0" w:color="auto"/>
              <w:bottom w:val="single" w:sz="4" w:space="0" w:color="auto"/>
              <w:right w:val="single" w:sz="4" w:space="0" w:color="auto"/>
            </w:tcBorders>
            <w:hideMark/>
          </w:tcPr>
          <w:p w14:paraId="7AA69E2F" w14:textId="77777777" w:rsidR="00416B43" w:rsidRPr="002701BE" w:rsidRDefault="00416B43" w:rsidP="001F3C7C">
            <w:pPr>
              <w:pStyle w:val="Tabletext0"/>
              <w:rPr>
                <w:rFonts w:ascii="Times New Roman" w:hAnsi="Times New Roman"/>
                <w:b/>
              </w:rPr>
            </w:pPr>
            <w:r w:rsidRPr="002701BE">
              <w:rPr>
                <w:rFonts w:ascii="Times New Roman" w:hAnsi="Times New Roman"/>
                <w:b/>
              </w:rPr>
              <w:t>Perspective</w:t>
            </w:r>
          </w:p>
        </w:tc>
        <w:tc>
          <w:tcPr>
            <w:tcW w:w="4252" w:type="dxa"/>
            <w:tcBorders>
              <w:top w:val="single" w:sz="4" w:space="0" w:color="auto"/>
              <w:left w:val="single" w:sz="4" w:space="0" w:color="auto"/>
              <w:bottom w:val="single" w:sz="4" w:space="0" w:color="auto"/>
              <w:right w:val="single" w:sz="4" w:space="0" w:color="auto"/>
            </w:tcBorders>
          </w:tcPr>
          <w:p w14:paraId="650F78B1" w14:textId="77777777" w:rsidR="00416B43" w:rsidRPr="002701BE" w:rsidRDefault="00416B43" w:rsidP="001F3C7C">
            <w:pPr>
              <w:pStyle w:val="Tabletext0"/>
              <w:rPr>
                <w:rFonts w:ascii="Times New Roman" w:hAnsi="Times New Roman"/>
              </w:rPr>
            </w:pPr>
            <w:r w:rsidRPr="002701BE">
              <w:rPr>
                <w:rFonts w:ascii="Times New Roman" w:hAnsi="Times New Roman"/>
              </w:rPr>
              <w:t>Healthcare</w:t>
            </w:r>
          </w:p>
        </w:tc>
      </w:tr>
      <w:tr w:rsidR="00416B43" w:rsidRPr="002701BE" w14:paraId="63AF4499" w14:textId="77777777" w:rsidTr="001F3C7C">
        <w:trPr>
          <w:trHeight w:val="383"/>
        </w:trPr>
        <w:tc>
          <w:tcPr>
            <w:tcW w:w="4111" w:type="dxa"/>
            <w:tcBorders>
              <w:top w:val="single" w:sz="4" w:space="0" w:color="auto"/>
              <w:left w:val="single" w:sz="4" w:space="0" w:color="auto"/>
              <w:bottom w:val="single" w:sz="4" w:space="0" w:color="auto"/>
              <w:right w:val="single" w:sz="4" w:space="0" w:color="auto"/>
            </w:tcBorders>
            <w:hideMark/>
          </w:tcPr>
          <w:p w14:paraId="21CF9B8A" w14:textId="77777777" w:rsidR="00416B43" w:rsidRPr="002701BE" w:rsidRDefault="00416B43" w:rsidP="001F3C7C">
            <w:pPr>
              <w:pStyle w:val="Tabletext0"/>
              <w:rPr>
                <w:rFonts w:ascii="Times New Roman" w:hAnsi="Times New Roman"/>
                <w:b/>
              </w:rPr>
            </w:pPr>
            <w:r w:rsidRPr="002701BE">
              <w:rPr>
                <w:rFonts w:ascii="Times New Roman" w:hAnsi="Times New Roman"/>
                <w:b/>
              </w:rPr>
              <w:t>Comparator</w:t>
            </w:r>
          </w:p>
        </w:tc>
        <w:tc>
          <w:tcPr>
            <w:tcW w:w="4252" w:type="dxa"/>
            <w:tcBorders>
              <w:top w:val="single" w:sz="4" w:space="0" w:color="auto"/>
              <w:left w:val="single" w:sz="4" w:space="0" w:color="auto"/>
              <w:bottom w:val="single" w:sz="4" w:space="0" w:color="auto"/>
              <w:right w:val="single" w:sz="4" w:space="0" w:color="auto"/>
            </w:tcBorders>
          </w:tcPr>
          <w:p w14:paraId="348EC1D8" w14:textId="77777777" w:rsidR="00416B43" w:rsidRPr="002701BE" w:rsidRDefault="00416B43" w:rsidP="001F3C7C">
            <w:pPr>
              <w:pStyle w:val="Tabletext0"/>
              <w:rPr>
                <w:rFonts w:ascii="Times New Roman" w:hAnsi="Times New Roman"/>
              </w:rPr>
            </w:pPr>
            <w:r w:rsidRPr="002701BE">
              <w:rPr>
                <w:rFonts w:ascii="Times New Roman" w:hAnsi="Times New Roman"/>
              </w:rPr>
              <w:t>CT</w:t>
            </w:r>
          </w:p>
        </w:tc>
      </w:tr>
      <w:tr w:rsidR="00416B43" w:rsidRPr="002701BE" w14:paraId="67E2C0ED"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55E78636" w14:textId="77777777" w:rsidR="00416B43" w:rsidRPr="002701BE" w:rsidRDefault="00416B43" w:rsidP="001F3C7C">
            <w:pPr>
              <w:pStyle w:val="Tabletext0"/>
              <w:rPr>
                <w:rFonts w:ascii="Times New Roman" w:hAnsi="Times New Roman"/>
                <w:b/>
              </w:rPr>
            </w:pPr>
            <w:r w:rsidRPr="002701BE">
              <w:rPr>
                <w:rFonts w:ascii="Times New Roman" w:hAnsi="Times New Roman"/>
                <w:b/>
              </w:rPr>
              <w:t>Type of economic evaluation</w:t>
            </w:r>
          </w:p>
        </w:tc>
        <w:tc>
          <w:tcPr>
            <w:tcW w:w="4252" w:type="dxa"/>
            <w:tcBorders>
              <w:top w:val="single" w:sz="4" w:space="0" w:color="auto"/>
              <w:left w:val="single" w:sz="4" w:space="0" w:color="auto"/>
              <w:bottom w:val="single" w:sz="4" w:space="0" w:color="auto"/>
              <w:right w:val="single" w:sz="4" w:space="0" w:color="auto"/>
            </w:tcBorders>
          </w:tcPr>
          <w:p w14:paraId="2E149D49" w14:textId="3B34AF72" w:rsidR="00416B43" w:rsidRPr="002701BE" w:rsidRDefault="00416B43" w:rsidP="001F3C7C">
            <w:pPr>
              <w:pStyle w:val="Tabletext0"/>
              <w:rPr>
                <w:rFonts w:ascii="Times New Roman" w:hAnsi="Times New Roman"/>
              </w:rPr>
            </w:pPr>
            <w:r w:rsidRPr="002701BE">
              <w:rPr>
                <w:rFonts w:ascii="Times New Roman" w:hAnsi="Times New Roman"/>
              </w:rPr>
              <w:t>Cost-consequence</w:t>
            </w:r>
          </w:p>
        </w:tc>
      </w:tr>
      <w:tr w:rsidR="00416B43" w:rsidRPr="002701BE" w14:paraId="6C3A2A84"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011021E9" w14:textId="77777777" w:rsidR="00416B43" w:rsidRPr="002701BE" w:rsidRDefault="00416B43" w:rsidP="001F3C7C">
            <w:pPr>
              <w:pStyle w:val="Tabletext0"/>
              <w:rPr>
                <w:rFonts w:ascii="Times New Roman" w:hAnsi="Times New Roman"/>
                <w:b/>
              </w:rPr>
            </w:pPr>
            <w:r w:rsidRPr="002701BE">
              <w:rPr>
                <w:rFonts w:ascii="Times New Roman" w:hAnsi="Times New Roman"/>
                <w:b/>
              </w:rPr>
              <w:t>Sources of evidence</w:t>
            </w:r>
          </w:p>
        </w:tc>
        <w:tc>
          <w:tcPr>
            <w:tcW w:w="4252" w:type="dxa"/>
            <w:tcBorders>
              <w:top w:val="single" w:sz="4" w:space="0" w:color="auto"/>
              <w:left w:val="single" w:sz="4" w:space="0" w:color="auto"/>
              <w:bottom w:val="single" w:sz="4" w:space="0" w:color="auto"/>
              <w:right w:val="single" w:sz="4" w:space="0" w:color="auto"/>
            </w:tcBorders>
          </w:tcPr>
          <w:p w14:paraId="62F1AB01" w14:textId="77777777" w:rsidR="00416B43" w:rsidRPr="002701BE" w:rsidRDefault="00416B43" w:rsidP="001F3C7C">
            <w:pPr>
              <w:pStyle w:val="Tabletext0"/>
              <w:rPr>
                <w:rFonts w:ascii="Times New Roman" w:hAnsi="Times New Roman"/>
              </w:rPr>
            </w:pPr>
            <w:r w:rsidRPr="002701BE">
              <w:rPr>
                <w:rFonts w:ascii="Times New Roman" w:hAnsi="Times New Roman"/>
              </w:rPr>
              <w:t>Systematic review, clinical opinion</w:t>
            </w:r>
          </w:p>
        </w:tc>
      </w:tr>
      <w:tr w:rsidR="00416B43" w:rsidRPr="002701BE" w14:paraId="5DAACF3F"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0E7DF780" w14:textId="77777777" w:rsidR="00416B43" w:rsidRPr="002701BE" w:rsidRDefault="00416B43" w:rsidP="001F3C7C">
            <w:pPr>
              <w:pStyle w:val="Tabletext0"/>
              <w:rPr>
                <w:rFonts w:ascii="Times New Roman" w:hAnsi="Times New Roman"/>
                <w:b/>
              </w:rPr>
            </w:pPr>
            <w:r w:rsidRPr="002701BE">
              <w:rPr>
                <w:rFonts w:ascii="Times New Roman" w:hAnsi="Times New Roman"/>
                <w:b/>
              </w:rPr>
              <w:t>Time horizon</w:t>
            </w:r>
          </w:p>
        </w:tc>
        <w:tc>
          <w:tcPr>
            <w:tcW w:w="4252" w:type="dxa"/>
            <w:tcBorders>
              <w:top w:val="single" w:sz="4" w:space="0" w:color="auto"/>
              <w:left w:val="single" w:sz="4" w:space="0" w:color="auto"/>
              <w:bottom w:val="single" w:sz="4" w:space="0" w:color="auto"/>
              <w:right w:val="single" w:sz="4" w:space="0" w:color="auto"/>
            </w:tcBorders>
          </w:tcPr>
          <w:p w14:paraId="118CB28F" w14:textId="77777777" w:rsidR="00416B43" w:rsidRPr="002701BE" w:rsidRDefault="00416B43" w:rsidP="001F3C7C">
            <w:pPr>
              <w:pStyle w:val="Tabletext0"/>
              <w:rPr>
                <w:rFonts w:ascii="Times New Roman" w:hAnsi="Times New Roman"/>
              </w:rPr>
            </w:pPr>
            <w:r w:rsidRPr="002701BE">
              <w:rPr>
                <w:rFonts w:ascii="Times New Roman" w:hAnsi="Times New Roman"/>
              </w:rPr>
              <w:t>Max: 27 months</w:t>
            </w:r>
          </w:p>
        </w:tc>
      </w:tr>
      <w:tr w:rsidR="00416B43" w:rsidRPr="002701BE" w14:paraId="087B5713"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7CDD7FAC" w14:textId="77777777" w:rsidR="00416B43" w:rsidRPr="002701BE" w:rsidRDefault="00416B43" w:rsidP="001F3C7C">
            <w:pPr>
              <w:pStyle w:val="Tabletext0"/>
              <w:rPr>
                <w:rFonts w:ascii="Times New Roman" w:hAnsi="Times New Roman"/>
                <w:b/>
              </w:rPr>
            </w:pPr>
            <w:r w:rsidRPr="002701BE">
              <w:rPr>
                <w:rFonts w:ascii="Times New Roman" w:hAnsi="Times New Roman"/>
                <w:b/>
              </w:rPr>
              <w:t>Outcomes</w:t>
            </w:r>
          </w:p>
        </w:tc>
        <w:tc>
          <w:tcPr>
            <w:tcW w:w="4252" w:type="dxa"/>
            <w:tcBorders>
              <w:top w:val="single" w:sz="4" w:space="0" w:color="auto"/>
              <w:left w:val="single" w:sz="4" w:space="0" w:color="auto"/>
              <w:bottom w:val="single" w:sz="4" w:space="0" w:color="auto"/>
              <w:right w:val="single" w:sz="4" w:space="0" w:color="auto"/>
            </w:tcBorders>
          </w:tcPr>
          <w:p w14:paraId="5877D6E1" w14:textId="77777777" w:rsidR="00416B43" w:rsidRPr="002701BE" w:rsidRDefault="00416B43" w:rsidP="001F3C7C">
            <w:pPr>
              <w:pStyle w:val="Tabletext0"/>
              <w:rPr>
                <w:rFonts w:ascii="Times New Roman" w:hAnsi="Times New Roman"/>
              </w:rPr>
            </w:pPr>
            <w:r w:rsidRPr="002701BE">
              <w:rPr>
                <w:rFonts w:ascii="Times New Roman" w:hAnsi="Times New Roman"/>
              </w:rPr>
              <w:t>Costs</w:t>
            </w:r>
          </w:p>
        </w:tc>
      </w:tr>
      <w:tr w:rsidR="00416B43" w:rsidRPr="002701BE" w14:paraId="278CBDD8"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7EC82580" w14:textId="77777777" w:rsidR="00416B43" w:rsidRPr="002701BE" w:rsidRDefault="00416B43" w:rsidP="001F3C7C">
            <w:pPr>
              <w:pStyle w:val="Tabletext0"/>
              <w:rPr>
                <w:rFonts w:ascii="Times New Roman" w:hAnsi="Times New Roman"/>
                <w:b/>
              </w:rPr>
            </w:pPr>
            <w:r w:rsidRPr="002701BE">
              <w:rPr>
                <w:rFonts w:ascii="Times New Roman" w:hAnsi="Times New Roman"/>
                <w:b/>
              </w:rPr>
              <w:t>Methods used to generate results</w:t>
            </w:r>
          </w:p>
        </w:tc>
        <w:tc>
          <w:tcPr>
            <w:tcW w:w="4252" w:type="dxa"/>
            <w:tcBorders>
              <w:top w:val="single" w:sz="4" w:space="0" w:color="auto"/>
              <w:left w:val="single" w:sz="4" w:space="0" w:color="auto"/>
              <w:bottom w:val="single" w:sz="4" w:space="0" w:color="auto"/>
              <w:right w:val="single" w:sz="4" w:space="0" w:color="auto"/>
            </w:tcBorders>
          </w:tcPr>
          <w:p w14:paraId="5F53A924" w14:textId="77777777" w:rsidR="00416B43" w:rsidRPr="002701BE" w:rsidRDefault="00416B43" w:rsidP="001F3C7C">
            <w:pPr>
              <w:pStyle w:val="Tabletext0"/>
              <w:rPr>
                <w:rFonts w:ascii="Times New Roman" w:hAnsi="Times New Roman"/>
              </w:rPr>
            </w:pPr>
            <w:r w:rsidRPr="002701BE">
              <w:rPr>
                <w:rFonts w:ascii="Times New Roman" w:hAnsi="Times New Roman"/>
              </w:rPr>
              <w:t>Decision-analytic model</w:t>
            </w:r>
          </w:p>
        </w:tc>
      </w:tr>
      <w:tr w:rsidR="00416B43" w:rsidRPr="002701BE" w14:paraId="0FD16D5A"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5D5BD34B" w14:textId="77777777" w:rsidR="00416B43" w:rsidRPr="002701BE" w:rsidRDefault="00416B43" w:rsidP="001F3C7C">
            <w:pPr>
              <w:pStyle w:val="Tabletext0"/>
              <w:rPr>
                <w:rFonts w:ascii="Times New Roman" w:hAnsi="Times New Roman"/>
                <w:b/>
              </w:rPr>
            </w:pPr>
            <w:r w:rsidRPr="002701BE">
              <w:rPr>
                <w:rFonts w:ascii="Times New Roman" w:hAnsi="Times New Roman"/>
                <w:b/>
              </w:rPr>
              <w:t>Discount rate</w:t>
            </w:r>
          </w:p>
        </w:tc>
        <w:tc>
          <w:tcPr>
            <w:tcW w:w="4252" w:type="dxa"/>
            <w:tcBorders>
              <w:top w:val="single" w:sz="4" w:space="0" w:color="auto"/>
              <w:left w:val="single" w:sz="4" w:space="0" w:color="auto"/>
              <w:bottom w:val="single" w:sz="4" w:space="0" w:color="auto"/>
              <w:right w:val="single" w:sz="4" w:space="0" w:color="auto"/>
            </w:tcBorders>
          </w:tcPr>
          <w:p w14:paraId="26C5DD8F" w14:textId="77777777" w:rsidR="00416B43" w:rsidRPr="002701BE" w:rsidRDefault="00416B43" w:rsidP="001F3C7C">
            <w:pPr>
              <w:pStyle w:val="Tabletext0"/>
              <w:rPr>
                <w:rFonts w:ascii="Times New Roman" w:hAnsi="Times New Roman"/>
              </w:rPr>
            </w:pPr>
            <w:r w:rsidRPr="002701BE">
              <w:rPr>
                <w:rFonts w:ascii="Times New Roman" w:hAnsi="Times New Roman"/>
              </w:rPr>
              <w:t>N/A</w:t>
            </w:r>
          </w:p>
        </w:tc>
      </w:tr>
      <w:tr w:rsidR="00416B43" w:rsidRPr="002701BE" w14:paraId="14E0AFA4" w14:textId="77777777" w:rsidTr="007F6813">
        <w:trPr>
          <w:trHeight w:val="250"/>
        </w:trPr>
        <w:tc>
          <w:tcPr>
            <w:tcW w:w="4111" w:type="dxa"/>
            <w:tcBorders>
              <w:top w:val="single" w:sz="4" w:space="0" w:color="auto"/>
              <w:left w:val="single" w:sz="4" w:space="0" w:color="auto"/>
              <w:bottom w:val="single" w:sz="4" w:space="0" w:color="auto"/>
              <w:right w:val="single" w:sz="4" w:space="0" w:color="auto"/>
            </w:tcBorders>
            <w:hideMark/>
          </w:tcPr>
          <w:p w14:paraId="705CC439" w14:textId="77777777" w:rsidR="00416B43" w:rsidRPr="002701BE" w:rsidRDefault="00416B43" w:rsidP="001F3C7C">
            <w:pPr>
              <w:pStyle w:val="Tabletext0"/>
              <w:rPr>
                <w:rFonts w:ascii="Times New Roman" w:hAnsi="Times New Roman"/>
                <w:b/>
              </w:rPr>
            </w:pPr>
            <w:r w:rsidRPr="002701BE">
              <w:rPr>
                <w:rFonts w:ascii="Times New Roman" w:hAnsi="Times New Roman"/>
                <w:b/>
              </w:rPr>
              <w:t>Software packages used</w:t>
            </w:r>
          </w:p>
        </w:tc>
        <w:tc>
          <w:tcPr>
            <w:tcW w:w="4252" w:type="dxa"/>
            <w:tcBorders>
              <w:top w:val="single" w:sz="4" w:space="0" w:color="auto"/>
              <w:left w:val="single" w:sz="4" w:space="0" w:color="auto"/>
              <w:bottom w:val="single" w:sz="4" w:space="0" w:color="auto"/>
              <w:right w:val="single" w:sz="4" w:space="0" w:color="auto"/>
            </w:tcBorders>
          </w:tcPr>
          <w:p w14:paraId="31E0B731" w14:textId="77777777" w:rsidR="00416B43" w:rsidRPr="002701BE" w:rsidRDefault="00416B43" w:rsidP="001F3C7C">
            <w:pPr>
              <w:pStyle w:val="Tabletext0"/>
              <w:rPr>
                <w:rFonts w:ascii="Times New Roman" w:hAnsi="Times New Roman"/>
              </w:rPr>
            </w:pPr>
            <w:r w:rsidRPr="002701BE">
              <w:rPr>
                <w:rFonts w:ascii="Times New Roman" w:hAnsi="Times New Roman"/>
              </w:rPr>
              <w:t>Microsoft Excel 2010</w:t>
            </w:r>
          </w:p>
        </w:tc>
      </w:tr>
    </w:tbl>
    <w:p w14:paraId="0ABEDC15" w14:textId="77777777" w:rsidR="00416B43" w:rsidRPr="002701BE" w:rsidRDefault="00416B43" w:rsidP="00416B43">
      <w:pPr>
        <w:spacing w:before="240"/>
      </w:pPr>
      <w:r w:rsidRPr="002701BE">
        <w:t>Key structural assumptions of the model are:</w:t>
      </w:r>
    </w:p>
    <w:p w14:paraId="570DB944" w14:textId="77777777" w:rsidR="00416B43" w:rsidRPr="002701BE" w:rsidRDefault="00416B43" w:rsidP="00416B43">
      <w:pPr>
        <w:pStyle w:val="ListParagraph"/>
        <w:numPr>
          <w:ilvl w:val="0"/>
          <w:numId w:val="34"/>
        </w:numPr>
        <w:contextualSpacing w:val="0"/>
      </w:pPr>
      <w:r w:rsidRPr="002701BE">
        <w:t>That all stage I-II indolent NHL patients currently receive staging PET/CT</w:t>
      </w:r>
    </w:p>
    <w:p w14:paraId="448942EA" w14:textId="0C0BF1C7" w:rsidR="00416B43" w:rsidRPr="002701BE" w:rsidRDefault="00416B43" w:rsidP="00416B43">
      <w:pPr>
        <w:pStyle w:val="ListParagraph"/>
        <w:numPr>
          <w:ilvl w:val="0"/>
          <w:numId w:val="34"/>
        </w:numPr>
        <w:contextualSpacing w:val="0"/>
      </w:pPr>
      <w:r w:rsidRPr="002701BE">
        <w:t xml:space="preserve">That a change in stage at initial staging will result in a change in </w:t>
      </w:r>
      <w:r w:rsidR="006808DB">
        <w:t>management</w:t>
      </w:r>
    </w:p>
    <w:p w14:paraId="60D8E359" w14:textId="77777777" w:rsidR="00416B43" w:rsidRPr="002701BE" w:rsidRDefault="00416B43" w:rsidP="00416B43">
      <w:pPr>
        <w:pStyle w:val="ListParagraph"/>
        <w:keepNext/>
        <w:numPr>
          <w:ilvl w:val="0"/>
          <w:numId w:val="34"/>
        </w:numPr>
        <w:ind w:left="714" w:hanging="357"/>
        <w:contextualSpacing w:val="0"/>
      </w:pPr>
      <w:r w:rsidRPr="002701BE">
        <w:t>That PET/CT based assessment of treatment response will result in a different follow-up schedule to CT based assessment of treatment response</w:t>
      </w:r>
    </w:p>
    <w:p w14:paraId="7B96AD16" w14:textId="77777777" w:rsidR="00416B43" w:rsidRPr="002701BE" w:rsidRDefault="00416B43" w:rsidP="00416B43">
      <w:pPr>
        <w:pStyle w:val="ListParagraph"/>
        <w:keepNext/>
        <w:numPr>
          <w:ilvl w:val="0"/>
          <w:numId w:val="34"/>
        </w:numPr>
        <w:spacing w:after="240"/>
        <w:ind w:left="714" w:hanging="357"/>
        <w:contextualSpacing w:val="0"/>
      </w:pPr>
      <w:r w:rsidRPr="002701BE">
        <w:t>Relapsed indolent NHL (staging and response assessment) is not included in the model.</w:t>
      </w:r>
    </w:p>
    <w:p w14:paraId="5E7B2A70" w14:textId="6E987749" w:rsidR="00AF0359" w:rsidRDefault="00416B43" w:rsidP="00AF0359">
      <w:pPr>
        <w:pStyle w:val="TableHeading"/>
        <w:spacing w:before="0" w:after="0"/>
        <w:ind w:left="0" w:firstLine="0"/>
        <w:jc w:val="left"/>
        <w:rPr>
          <w:rFonts w:cs="Times New Roman"/>
          <w:b w:val="0"/>
          <w:noProof w:val="0"/>
          <w:sz w:val="24"/>
        </w:rPr>
      </w:pPr>
      <w:r w:rsidRPr="00F22626">
        <w:rPr>
          <w:rFonts w:cs="Times New Roman"/>
          <w:b w:val="0"/>
          <w:noProof w:val="0"/>
          <w:sz w:val="24"/>
        </w:rPr>
        <w:t xml:space="preserve">The overall costs, and incremental costs as calculated for the testing strategy and comparative testing strategy in the model, and using the base case assumptions, are shown in </w:t>
      </w:r>
      <w:r w:rsidR="00183C03" w:rsidRPr="00F22626">
        <w:rPr>
          <w:rFonts w:cs="Times New Roman"/>
          <w:b w:val="0"/>
          <w:noProof w:val="0"/>
          <w:sz w:val="24"/>
        </w:rPr>
        <w:fldChar w:fldCharType="begin"/>
      </w:r>
      <w:r w:rsidR="00183C03" w:rsidRPr="00F22626">
        <w:rPr>
          <w:rFonts w:cs="Times New Roman"/>
          <w:b w:val="0"/>
          <w:noProof w:val="0"/>
          <w:sz w:val="24"/>
        </w:rPr>
        <w:instrText xml:space="preserve"> REF _Ref467065359 \h </w:instrText>
      </w:r>
      <w:r w:rsidR="00F22626">
        <w:rPr>
          <w:rFonts w:cs="Times New Roman"/>
          <w:b w:val="0"/>
          <w:noProof w:val="0"/>
          <w:sz w:val="24"/>
        </w:rPr>
        <w:instrText xml:space="preserve"> \* MERGEFORMAT </w:instrText>
      </w:r>
      <w:r w:rsidR="00183C03" w:rsidRPr="00F22626">
        <w:rPr>
          <w:rFonts w:cs="Times New Roman"/>
          <w:b w:val="0"/>
          <w:noProof w:val="0"/>
          <w:sz w:val="24"/>
        </w:rPr>
      </w:r>
      <w:r w:rsidR="00183C03" w:rsidRPr="00F22626">
        <w:rPr>
          <w:rFonts w:cs="Times New Roman"/>
          <w:b w:val="0"/>
          <w:noProof w:val="0"/>
          <w:sz w:val="24"/>
        </w:rPr>
        <w:fldChar w:fldCharType="separate"/>
      </w:r>
      <w:r w:rsidR="002938FE" w:rsidRPr="00F22626">
        <w:rPr>
          <w:rFonts w:cs="Times New Roman"/>
          <w:b w:val="0"/>
          <w:noProof w:val="0"/>
          <w:sz w:val="24"/>
        </w:rPr>
        <w:t>Table 5</w:t>
      </w:r>
      <w:r w:rsidR="00183C03" w:rsidRPr="00F22626">
        <w:rPr>
          <w:rFonts w:cs="Times New Roman"/>
          <w:b w:val="0"/>
          <w:noProof w:val="0"/>
          <w:sz w:val="24"/>
        </w:rPr>
        <w:fldChar w:fldCharType="end"/>
      </w:r>
      <w:r w:rsidRPr="00F22626">
        <w:rPr>
          <w:rFonts w:cs="Times New Roman"/>
          <w:b w:val="0"/>
          <w:noProof w:val="0"/>
          <w:sz w:val="24"/>
        </w:rPr>
        <w:t xml:space="preserve"> assuming replacement of CT at initial staging by PET/CT and in</w:t>
      </w:r>
      <w:r w:rsidRPr="001F3C7C">
        <w:rPr>
          <w:rFonts w:cs="Times New Roman"/>
          <w:b w:val="0"/>
          <w:noProof w:val="0"/>
          <w:sz w:val="24"/>
        </w:rPr>
        <w:t xml:space="preserve"> </w:t>
      </w:r>
      <w:r w:rsidR="001F3C7C">
        <w:rPr>
          <w:rFonts w:cs="Times New Roman"/>
          <w:b w:val="0"/>
          <w:noProof w:val="0"/>
          <w:sz w:val="24"/>
        </w:rPr>
        <w:fldChar w:fldCharType="begin"/>
      </w:r>
      <w:r w:rsidR="001F3C7C" w:rsidRPr="001F3C7C">
        <w:rPr>
          <w:rFonts w:cs="Times New Roman"/>
          <w:b w:val="0"/>
          <w:noProof w:val="0"/>
          <w:sz w:val="24"/>
        </w:rPr>
        <w:instrText xml:space="preserve"> REF _Ref469653045 \h </w:instrText>
      </w:r>
      <w:r w:rsidR="001F3C7C">
        <w:rPr>
          <w:rFonts w:cs="Times New Roman"/>
          <w:b w:val="0"/>
          <w:noProof w:val="0"/>
          <w:sz w:val="24"/>
        </w:rPr>
        <w:instrText xml:space="preserve"> \* MERGEFORMAT </w:instrText>
      </w:r>
      <w:r w:rsidR="001F3C7C">
        <w:rPr>
          <w:rFonts w:cs="Times New Roman"/>
          <w:b w:val="0"/>
          <w:noProof w:val="0"/>
          <w:sz w:val="24"/>
        </w:rPr>
      </w:r>
      <w:r w:rsidR="001F3C7C">
        <w:rPr>
          <w:rFonts w:cs="Times New Roman"/>
          <w:b w:val="0"/>
          <w:noProof w:val="0"/>
          <w:sz w:val="24"/>
        </w:rPr>
        <w:fldChar w:fldCharType="separate"/>
      </w:r>
      <w:r w:rsidR="001F3C7C" w:rsidRPr="001F3C7C">
        <w:rPr>
          <w:rFonts w:cs="Times New Roman"/>
          <w:b w:val="0"/>
          <w:noProof w:val="0"/>
          <w:sz w:val="24"/>
        </w:rPr>
        <w:t>Table 6</w:t>
      </w:r>
      <w:r w:rsidR="001F3C7C">
        <w:rPr>
          <w:rFonts w:cs="Times New Roman"/>
          <w:b w:val="0"/>
          <w:noProof w:val="0"/>
          <w:sz w:val="24"/>
        </w:rPr>
        <w:fldChar w:fldCharType="end"/>
      </w:r>
      <w:r w:rsidRPr="00F22626">
        <w:rPr>
          <w:rFonts w:cs="Times New Roman"/>
          <w:b w:val="0"/>
          <w:noProof w:val="0"/>
          <w:sz w:val="24"/>
        </w:rPr>
        <w:t xml:space="preserve"> assuming addition of PET/CT to CT at initial staging.</w:t>
      </w:r>
    </w:p>
    <w:p w14:paraId="3617F7DC" w14:textId="77777777" w:rsidR="00AF0359" w:rsidRPr="00F22626" w:rsidRDefault="00AF0359" w:rsidP="00AF0359">
      <w:pPr>
        <w:pStyle w:val="TableHeading"/>
        <w:spacing w:before="0" w:after="0"/>
        <w:ind w:left="0" w:firstLine="0"/>
        <w:jc w:val="left"/>
        <w:rPr>
          <w:rFonts w:cs="Times New Roman"/>
          <w:b w:val="0"/>
          <w:noProof w:val="0"/>
          <w:sz w:val="24"/>
        </w:rPr>
      </w:pPr>
    </w:p>
    <w:p w14:paraId="270E3216" w14:textId="3BE7E287" w:rsidR="00453AB5" w:rsidRDefault="00183C03" w:rsidP="00937598">
      <w:pPr>
        <w:pStyle w:val="TableHeading"/>
        <w:spacing w:before="0" w:after="0"/>
      </w:pPr>
      <w:bookmarkStart w:id="17" w:name="_Ref467065359"/>
      <w:r w:rsidRPr="00183C03">
        <w:t xml:space="preserve">Table </w:t>
      </w:r>
      <w:r w:rsidRPr="00183C03">
        <w:fldChar w:fldCharType="begin"/>
      </w:r>
      <w:r w:rsidRPr="00183C03">
        <w:instrText xml:space="preserve"> SEQ Table \* ARABIC </w:instrText>
      </w:r>
      <w:r w:rsidRPr="00183C03">
        <w:fldChar w:fldCharType="separate"/>
      </w:r>
      <w:r w:rsidR="002938FE">
        <w:t>5</w:t>
      </w:r>
      <w:r w:rsidRPr="00183C03">
        <w:fldChar w:fldCharType="end"/>
      </w:r>
      <w:bookmarkEnd w:id="17"/>
      <w:r>
        <w:t xml:space="preserve"> </w:t>
      </w:r>
      <w:r w:rsidRPr="00183C03">
        <w:tab/>
        <w:t>Implications for the base case economic evaluation of applying the results of the clinical evaluation (PET/CT in replacement of CT)</w:t>
      </w:r>
      <w:bookmarkStart w:id="18" w:name="_Ref467065401"/>
    </w:p>
    <w:tbl>
      <w:tblPr>
        <w:tblStyle w:val="TableGrid"/>
        <w:tblW w:w="0" w:type="auto"/>
        <w:tblLook w:val="04A0" w:firstRow="1" w:lastRow="0" w:firstColumn="1" w:lastColumn="0" w:noHBand="0" w:noVBand="1"/>
        <w:tblDescription w:val="Implications for the base case economic evaluation of applying the results of the clinical evaluation-Shows the total cost and incremental cost when the individual costs for staging and response to treatment (immuno-chemotherapy, radiotherapy, watch &amp; wait) are combined for PET/CT in replacement of CT"/>
      </w:tblPr>
      <w:tblGrid>
        <w:gridCol w:w="2310"/>
        <w:gridCol w:w="2310"/>
        <w:gridCol w:w="2311"/>
        <w:gridCol w:w="2311"/>
      </w:tblGrid>
      <w:tr w:rsidR="006808DB" w14:paraId="393E59FB" w14:textId="77777777" w:rsidTr="005E215F">
        <w:trPr>
          <w:cantSplit/>
          <w:tblHeader/>
        </w:trPr>
        <w:tc>
          <w:tcPr>
            <w:tcW w:w="2310" w:type="dxa"/>
            <w:tcBorders>
              <w:bottom w:val="single" w:sz="4" w:space="0" w:color="auto"/>
            </w:tcBorders>
          </w:tcPr>
          <w:p w14:paraId="66A436BA" w14:textId="77777777" w:rsidR="006808DB" w:rsidRDefault="006808DB" w:rsidP="005E215F">
            <w:pPr>
              <w:pStyle w:val="Caption"/>
              <w:spacing w:before="60" w:after="60"/>
            </w:pPr>
          </w:p>
        </w:tc>
        <w:tc>
          <w:tcPr>
            <w:tcW w:w="2310" w:type="dxa"/>
            <w:tcBorders>
              <w:bottom w:val="single" w:sz="4" w:space="0" w:color="auto"/>
            </w:tcBorders>
          </w:tcPr>
          <w:p w14:paraId="44D47B60" w14:textId="77777777" w:rsidR="006808DB" w:rsidRDefault="006808DB" w:rsidP="005E215F">
            <w:pPr>
              <w:pStyle w:val="Caption"/>
              <w:spacing w:before="60" w:after="60"/>
              <w:jc w:val="center"/>
            </w:pPr>
            <w:r>
              <w:t>PET/CT</w:t>
            </w:r>
          </w:p>
        </w:tc>
        <w:tc>
          <w:tcPr>
            <w:tcW w:w="2311" w:type="dxa"/>
            <w:tcBorders>
              <w:bottom w:val="single" w:sz="4" w:space="0" w:color="auto"/>
            </w:tcBorders>
          </w:tcPr>
          <w:p w14:paraId="268DEABE" w14:textId="77777777" w:rsidR="006808DB" w:rsidRDefault="006808DB" w:rsidP="005E215F">
            <w:pPr>
              <w:pStyle w:val="Caption"/>
              <w:spacing w:before="60" w:after="60"/>
              <w:jc w:val="center"/>
            </w:pPr>
            <w:r>
              <w:t>CT</w:t>
            </w:r>
          </w:p>
        </w:tc>
        <w:tc>
          <w:tcPr>
            <w:tcW w:w="2311" w:type="dxa"/>
            <w:tcBorders>
              <w:bottom w:val="single" w:sz="4" w:space="0" w:color="auto"/>
            </w:tcBorders>
          </w:tcPr>
          <w:p w14:paraId="2D733ED6" w14:textId="77777777" w:rsidR="006808DB" w:rsidRDefault="006808DB" w:rsidP="005E215F">
            <w:pPr>
              <w:pStyle w:val="Caption"/>
              <w:spacing w:before="60" w:after="60"/>
              <w:jc w:val="center"/>
            </w:pPr>
            <w:r>
              <w:t>Incremental Cost</w:t>
            </w:r>
          </w:p>
        </w:tc>
      </w:tr>
      <w:tr w:rsidR="006808DB" w14:paraId="2A06346B" w14:textId="77777777" w:rsidTr="005E215F">
        <w:trPr>
          <w:cantSplit/>
        </w:trPr>
        <w:tc>
          <w:tcPr>
            <w:tcW w:w="2310" w:type="dxa"/>
            <w:tcBorders>
              <w:right w:val="nil"/>
            </w:tcBorders>
          </w:tcPr>
          <w:p w14:paraId="280EBB8A" w14:textId="77777777" w:rsidR="006808DB" w:rsidRPr="00E3268B" w:rsidRDefault="006808DB" w:rsidP="005E215F">
            <w:pPr>
              <w:pStyle w:val="Tabletext0"/>
              <w:rPr>
                <w:b/>
              </w:rPr>
            </w:pPr>
            <w:r w:rsidRPr="00E3268B">
              <w:rPr>
                <w:b/>
              </w:rPr>
              <w:t>Staging</w:t>
            </w:r>
          </w:p>
        </w:tc>
        <w:tc>
          <w:tcPr>
            <w:tcW w:w="2310" w:type="dxa"/>
            <w:tcBorders>
              <w:left w:val="nil"/>
              <w:right w:val="nil"/>
            </w:tcBorders>
          </w:tcPr>
          <w:p w14:paraId="583D704D" w14:textId="77777777" w:rsidR="006808DB" w:rsidRDefault="006808DB" w:rsidP="005E215F">
            <w:pPr>
              <w:pStyle w:val="Tabletext0"/>
              <w:jc w:val="center"/>
            </w:pPr>
          </w:p>
        </w:tc>
        <w:tc>
          <w:tcPr>
            <w:tcW w:w="2311" w:type="dxa"/>
            <w:tcBorders>
              <w:left w:val="nil"/>
              <w:right w:val="nil"/>
            </w:tcBorders>
          </w:tcPr>
          <w:p w14:paraId="480A2BA4" w14:textId="77777777" w:rsidR="006808DB" w:rsidRDefault="006808DB" w:rsidP="005E215F">
            <w:pPr>
              <w:pStyle w:val="Tabletext0"/>
              <w:jc w:val="center"/>
            </w:pPr>
          </w:p>
        </w:tc>
        <w:tc>
          <w:tcPr>
            <w:tcW w:w="2311" w:type="dxa"/>
            <w:tcBorders>
              <w:left w:val="nil"/>
            </w:tcBorders>
          </w:tcPr>
          <w:p w14:paraId="4938FB1C" w14:textId="77777777" w:rsidR="006808DB" w:rsidRDefault="006808DB" w:rsidP="005E215F">
            <w:pPr>
              <w:pStyle w:val="Tabletext0"/>
              <w:jc w:val="center"/>
            </w:pPr>
          </w:p>
        </w:tc>
      </w:tr>
      <w:tr w:rsidR="006808DB" w14:paraId="5459CB04" w14:textId="77777777" w:rsidTr="005E215F">
        <w:trPr>
          <w:cantSplit/>
        </w:trPr>
        <w:tc>
          <w:tcPr>
            <w:tcW w:w="2310" w:type="dxa"/>
          </w:tcPr>
          <w:p w14:paraId="4B15BF24" w14:textId="77777777" w:rsidR="006808DB" w:rsidRDefault="006808DB" w:rsidP="005E215F">
            <w:pPr>
              <w:pStyle w:val="Tabletext0"/>
            </w:pPr>
            <w:proofErr w:type="spellStart"/>
            <w:r>
              <w:t>Immuno</w:t>
            </w:r>
            <w:proofErr w:type="spellEnd"/>
            <w:r>
              <w:t>-chemotherapy</w:t>
            </w:r>
          </w:p>
        </w:tc>
        <w:tc>
          <w:tcPr>
            <w:tcW w:w="2310" w:type="dxa"/>
            <w:vAlign w:val="center"/>
          </w:tcPr>
          <w:p w14:paraId="1C52B2DA" w14:textId="77777777" w:rsidR="006808DB" w:rsidRDefault="006808DB" w:rsidP="005E215F">
            <w:pPr>
              <w:spacing w:before="40" w:after="40"/>
              <w:jc w:val="center"/>
              <w:rPr>
                <w:rFonts w:ascii="Arial Narrow" w:hAnsi="Arial Narrow"/>
                <w:color w:val="000000"/>
              </w:rPr>
            </w:pPr>
            <w:r>
              <w:rPr>
                <w:rFonts w:ascii="Arial Narrow" w:hAnsi="Arial Narrow"/>
                <w:color w:val="000000"/>
              </w:rPr>
              <w:t>$5,906.11</w:t>
            </w:r>
          </w:p>
        </w:tc>
        <w:tc>
          <w:tcPr>
            <w:tcW w:w="2311" w:type="dxa"/>
            <w:vAlign w:val="center"/>
          </w:tcPr>
          <w:p w14:paraId="2BA428D1" w14:textId="77777777" w:rsidR="006808DB" w:rsidRDefault="006808DB" w:rsidP="005E215F">
            <w:pPr>
              <w:spacing w:before="40" w:after="40"/>
              <w:jc w:val="center"/>
              <w:rPr>
                <w:rFonts w:ascii="Arial Narrow" w:hAnsi="Arial Narrow"/>
                <w:color w:val="000000"/>
              </w:rPr>
            </w:pPr>
            <w:r>
              <w:rPr>
                <w:rFonts w:ascii="Arial Narrow" w:hAnsi="Arial Narrow"/>
                <w:color w:val="000000"/>
              </w:rPr>
              <w:t>$5,864.35</w:t>
            </w:r>
          </w:p>
        </w:tc>
        <w:tc>
          <w:tcPr>
            <w:tcW w:w="2311" w:type="dxa"/>
            <w:vAlign w:val="center"/>
          </w:tcPr>
          <w:p w14:paraId="53BEA8AD" w14:textId="77777777" w:rsidR="006808DB" w:rsidRDefault="006808DB" w:rsidP="005E215F">
            <w:pPr>
              <w:spacing w:before="40" w:after="40"/>
              <w:jc w:val="center"/>
              <w:rPr>
                <w:rFonts w:ascii="Arial Narrow" w:hAnsi="Arial Narrow"/>
                <w:color w:val="000000"/>
              </w:rPr>
            </w:pPr>
            <w:r>
              <w:rPr>
                <w:rFonts w:ascii="Arial Narrow" w:hAnsi="Arial Narrow"/>
                <w:color w:val="000000"/>
              </w:rPr>
              <w:t>$95.76</w:t>
            </w:r>
          </w:p>
        </w:tc>
      </w:tr>
      <w:tr w:rsidR="006808DB" w14:paraId="3856BF87" w14:textId="77777777" w:rsidTr="005E215F">
        <w:trPr>
          <w:cantSplit/>
        </w:trPr>
        <w:tc>
          <w:tcPr>
            <w:tcW w:w="2310" w:type="dxa"/>
          </w:tcPr>
          <w:p w14:paraId="13CE2DF3" w14:textId="77777777" w:rsidR="006808DB" w:rsidRDefault="006808DB" w:rsidP="005E215F">
            <w:pPr>
              <w:pStyle w:val="Tabletext0"/>
            </w:pPr>
            <w:r>
              <w:t>Radiotherapy</w:t>
            </w:r>
          </w:p>
        </w:tc>
        <w:tc>
          <w:tcPr>
            <w:tcW w:w="2310" w:type="dxa"/>
            <w:vAlign w:val="center"/>
          </w:tcPr>
          <w:p w14:paraId="67C5806B" w14:textId="77777777" w:rsidR="006808DB" w:rsidRDefault="006808DB" w:rsidP="005E215F">
            <w:pPr>
              <w:spacing w:before="40" w:after="40"/>
              <w:jc w:val="center"/>
              <w:rPr>
                <w:rFonts w:ascii="Arial Narrow" w:hAnsi="Arial Narrow"/>
                <w:color w:val="000000"/>
              </w:rPr>
            </w:pPr>
            <w:r>
              <w:rPr>
                <w:rFonts w:ascii="Arial Narrow" w:hAnsi="Arial Narrow"/>
                <w:color w:val="000000"/>
              </w:rPr>
              <w:t>$1,537.91</w:t>
            </w:r>
          </w:p>
        </w:tc>
        <w:tc>
          <w:tcPr>
            <w:tcW w:w="2311" w:type="dxa"/>
            <w:vAlign w:val="center"/>
          </w:tcPr>
          <w:p w14:paraId="1EDC6B1B" w14:textId="77777777" w:rsidR="006808DB" w:rsidRDefault="006808DB" w:rsidP="005E215F">
            <w:pPr>
              <w:spacing w:before="40" w:after="40"/>
              <w:jc w:val="center"/>
              <w:rPr>
                <w:rFonts w:ascii="Arial Narrow" w:hAnsi="Arial Narrow"/>
                <w:color w:val="000000"/>
              </w:rPr>
            </w:pPr>
            <w:r>
              <w:rPr>
                <w:rFonts w:ascii="Arial Narrow" w:hAnsi="Arial Narrow"/>
                <w:color w:val="000000"/>
              </w:rPr>
              <w:t>$1,645.70</w:t>
            </w:r>
          </w:p>
        </w:tc>
        <w:tc>
          <w:tcPr>
            <w:tcW w:w="2311" w:type="dxa"/>
            <w:vAlign w:val="center"/>
          </w:tcPr>
          <w:p w14:paraId="0905A34F" w14:textId="77777777" w:rsidR="006808DB" w:rsidRDefault="006808DB" w:rsidP="005E215F">
            <w:pPr>
              <w:spacing w:before="40" w:after="40"/>
              <w:jc w:val="center"/>
              <w:rPr>
                <w:rFonts w:ascii="Arial Narrow" w:hAnsi="Arial Narrow"/>
                <w:color w:val="000000"/>
              </w:rPr>
            </w:pPr>
            <w:r>
              <w:rPr>
                <w:rFonts w:ascii="Arial Narrow" w:hAnsi="Arial Narrow"/>
                <w:color w:val="FF0000"/>
              </w:rPr>
              <w:t>-$107.79</w:t>
            </w:r>
          </w:p>
        </w:tc>
      </w:tr>
      <w:tr w:rsidR="006808DB" w14:paraId="2A9C819E" w14:textId="77777777" w:rsidTr="005E215F">
        <w:trPr>
          <w:cantSplit/>
        </w:trPr>
        <w:tc>
          <w:tcPr>
            <w:tcW w:w="2310" w:type="dxa"/>
            <w:tcBorders>
              <w:bottom w:val="single" w:sz="4" w:space="0" w:color="auto"/>
            </w:tcBorders>
          </w:tcPr>
          <w:p w14:paraId="72FE6FDD" w14:textId="77777777" w:rsidR="006808DB" w:rsidRDefault="006808DB" w:rsidP="005E215F">
            <w:pPr>
              <w:pStyle w:val="Tabletext0"/>
            </w:pPr>
            <w:r>
              <w:t>Watch &amp; Wait</w:t>
            </w:r>
          </w:p>
        </w:tc>
        <w:tc>
          <w:tcPr>
            <w:tcW w:w="2310" w:type="dxa"/>
            <w:tcBorders>
              <w:bottom w:val="single" w:sz="4" w:space="0" w:color="auto"/>
            </w:tcBorders>
            <w:vAlign w:val="center"/>
          </w:tcPr>
          <w:p w14:paraId="2616589D" w14:textId="77777777" w:rsidR="006808DB" w:rsidRDefault="006808DB" w:rsidP="005E215F">
            <w:pPr>
              <w:spacing w:before="40" w:after="40"/>
              <w:jc w:val="center"/>
              <w:rPr>
                <w:rFonts w:ascii="Arial Narrow" w:hAnsi="Arial Narrow"/>
                <w:color w:val="000000"/>
              </w:rPr>
            </w:pPr>
            <w:r>
              <w:rPr>
                <w:rFonts w:ascii="Arial Narrow" w:hAnsi="Arial Narrow"/>
                <w:color w:val="000000"/>
              </w:rPr>
              <w:t>$906.99</w:t>
            </w:r>
          </w:p>
        </w:tc>
        <w:tc>
          <w:tcPr>
            <w:tcW w:w="2311" w:type="dxa"/>
            <w:tcBorders>
              <w:bottom w:val="single" w:sz="4" w:space="0" w:color="auto"/>
            </w:tcBorders>
            <w:vAlign w:val="center"/>
          </w:tcPr>
          <w:p w14:paraId="42524518" w14:textId="77777777" w:rsidR="006808DB" w:rsidRDefault="006808DB" w:rsidP="005E215F">
            <w:pPr>
              <w:spacing w:before="40" w:after="40"/>
              <w:jc w:val="center"/>
              <w:rPr>
                <w:rFonts w:ascii="Arial Narrow" w:hAnsi="Arial Narrow"/>
                <w:color w:val="000000"/>
              </w:rPr>
            </w:pPr>
            <w:r>
              <w:rPr>
                <w:rFonts w:ascii="Arial Narrow" w:hAnsi="Arial Narrow"/>
                <w:color w:val="000000"/>
              </w:rPr>
              <w:t>$686.11</w:t>
            </w:r>
          </w:p>
        </w:tc>
        <w:tc>
          <w:tcPr>
            <w:tcW w:w="2311" w:type="dxa"/>
            <w:tcBorders>
              <w:bottom w:val="single" w:sz="4" w:space="0" w:color="auto"/>
            </w:tcBorders>
            <w:vAlign w:val="center"/>
          </w:tcPr>
          <w:p w14:paraId="69317D30" w14:textId="77777777" w:rsidR="006808DB" w:rsidRDefault="006808DB" w:rsidP="005E215F">
            <w:pPr>
              <w:spacing w:before="40" w:after="40"/>
              <w:jc w:val="center"/>
              <w:rPr>
                <w:rFonts w:ascii="Arial Narrow" w:hAnsi="Arial Narrow"/>
                <w:color w:val="000000"/>
              </w:rPr>
            </w:pPr>
            <w:r>
              <w:rPr>
                <w:rFonts w:ascii="Arial Narrow" w:hAnsi="Arial Narrow"/>
                <w:color w:val="000000"/>
              </w:rPr>
              <w:t>$220.89</w:t>
            </w:r>
          </w:p>
        </w:tc>
      </w:tr>
      <w:tr w:rsidR="006808DB" w14:paraId="1BF44416" w14:textId="77777777" w:rsidTr="005E215F">
        <w:trPr>
          <w:cantSplit/>
        </w:trPr>
        <w:tc>
          <w:tcPr>
            <w:tcW w:w="2310" w:type="dxa"/>
            <w:tcBorders>
              <w:bottom w:val="single" w:sz="4" w:space="0" w:color="auto"/>
            </w:tcBorders>
          </w:tcPr>
          <w:p w14:paraId="51254272" w14:textId="77777777" w:rsidR="006808DB" w:rsidRDefault="006808DB" w:rsidP="005E215F">
            <w:pPr>
              <w:pStyle w:val="Tabletext0"/>
            </w:pPr>
            <w:r>
              <w:t>Total</w:t>
            </w:r>
          </w:p>
        </w:tc>
        <w:tc>
          <w:tcPr>
            <w:tcW w:w="2310" w:type="dxa"/>
            <w:tcBorders>
              <w:bottom w:val="single" w:sz="4" w:space="0" w:color="auto"/>
            </w:tcBorders>
            <w:vAlign w:val="center"/>
          </w:tcPr>
          <w:p w14:paraId="1D72E429" w14:textId="77777777" w:rsidR="006808DB" w:rsidRDefault="006808DB" w:rsidP="005E215F">
            <w:pPr>
              <w:spacing w:before="40" w:after="40"/>
              <w:jc w:val="center"/>
              <w:rPr>
                <w:rFonts w:ascii="Arial Narrow" w:hAnsi="Arial Narrow"/>
                <w:color w:val="000000"/>
              </w:rPr>
            </w:pPr>
            <w:r>
              <w:rPr>
                <w:rFonts w:ascii="Arial Narrow" w:hAnsi="Arial Narrow"/>
                <w:color w:val="000000"/>
              </w:rPr>
              <w:t>$8,404.90</w:t>
            </w:r>
          </w:p>
        </w:tc>
        <w:tc>
          <w:tcPr>
            <w:tcW w:w="2311" w:type="dxa"/>
            <w:tcBorders>
              <w:bottom w:val="single" w:sz="4" w:space="0" w:color="auto"/>
            </w:tcBorders>
            <w:vAlign w:val="center"/>
          </w:tcPr>
          <w:p w14:paraId="5BA7BD14" w14:textId="77777777" w:rsidR="006808DB" w:rsidRDefault="006808DB" w:rsidP="005E215F">
            <w:pPr>
              <w:spacing w:before="40" w:after="40"/>
              <w:jc w:val="center"/>
              <w:rPr>
                <w:rFonts w:ascii="Arial Narrow" w:hAnsi="Arial Narrow"/>
                <w:color w:val="000000"/>
              </w:rPr>
            </w:pPr>
            <w:r>
              <w:rPr>
                <w:rFonts w:ascii="Arial Narrow" w:hAnsi="Arial Narrow"/>
                <w:color w:val="000000"/>
              </w:rPr>
              <w:t>$8,196.05</w:t>
            </w:r>
          </w:p>
        </w:tc>
        <w:tc>
          <w:tcPr>
            <w:tcW w:w="2311" w:type="dxa"/>
            <w:tcBorders>
              <w:bottom w:val="single" w:sz="4" w:space="0" w:color="auto"/>
            </w:tcBorders>
            <w:vAlign w:val="center"/>
          </w:tcPr>
          <w:p w14:paraId="4D0D8D58" w14:textId="77777777" w:rsidR="006808DB" w:rsidRDefault="006808DB" w:rsidP="005E215F">
            <w:pPr>
              <w:spacing w:before="40" w:after="40"/>
              <w:jc w:val="center"/>
              <w:rPr>
                <w:rFonts w:ascii="Arial Narrow" w:hAnsi="Arial Narrow"/>
                <w:color w:val="000000"/>
              </w:rPr>
            </w:pPr>
            <w:r>
              <w:rPr>
                <w:rFonts w:ascii="Arial Narrow" w:hAnsi="Arial Narrow"/>
                <w:color w:val="000000"/>
              </w:rPr>
              <w:t>$208.84</w:t>
            </w:r>
          </w:p>
        </w:tc>
      </w:tr>
      <w:tr w:rsidR="006808DB" w14:paraId="660A440D" w14:textId="77777777" w:rsidTr="005E215F">
        <w:trPr>
          <w:cantSplit/>
        </w:trPr>
        <w:tc>
          <w:tcPr>
            <w:tcW w:w="2310" w:type="dxa"/>
            <w:tcBorders>
              <w:right w:val="nil"/>
            </w:tcBorders>
          </w:tcPr>
          <w:p w14:paraId="04E4AEAD" w14:textId="77777777" w:rsidR="006808DB" w:rsidRPr="00E3268B" w:rsidRDefault="006808DB" w:rsidP="005E215F">
            <w:pPr>
              <w:pStyle w:val="Tabletext0"/>
              <w:rPr>
                <w:b/>
              </w:rPr>
            </w:pPr>
            <w:r w:rsidRPr="00E3268B">
              <w:rPr>
                <w:b/>
              </w:rPr>
              <w:t>Response to Treatment</w:t>
            </w:r>
          </w:p>
        </w:tc>
        <w:tc>
          <w:tcPr>
            <w:tcW w:w="2310" w:type="dxa"/>
            <w:tcBorders>
              <w:left w:val="nil"/>
              <w:right w:val="nil"/>
            </w:tcBorders>
          </w:tcPr>
          <w:p w14:paraId="540DDC8B" w14:textId="77777777" w:rsidR="006808DB" w:rsidRDefault="006808DB" w:rsidP="005E215F">
            <w:pPr>
              <w:pStyle w:val="Tabletext0"/>
              <w:jc w:val="center"/>
            </w:pPr>
          </w:p>
        </w:tc>
        <w:tc>
          <w:tcPr>
            <w:tcW w:w="2311" w:type="dxa"/>
            <w:tcBorders>
              <w:left w:val="nil"/>
              <w:right w:val="nil"/>
            </w:tcBorders>
          </w:tcPr>
          <w:p w14:paraId="32D29517" w14:textId="77777777" w:rsidR="006808DB" w:rsidRDefault="006808DB" w:rsidP="005E215F">
            <w:pPr>
              <w:pStyle w:val="Tabletext0"/>
              <w:jc w:val="center"/>
            </w:pPr>
          </w:p>
        </w:tc>
        <w:tc>
          <w:tcPr>
            <w:tcW w:w="2311" w:type="dxa"/>
            <w:tcBorders>
              <w:left w:val="nil"/>
            </w:tcBorders>
          </w:tcPr>
          <w:p w14:paraId="53AE6FF7" w14:textId="77777777" w:rsidR="006808DB" w:rsidRDefault="006808DB" w:rsidP="005E215F">
            <w:pPr>
              <w:pStyle w:val="Tabletext0"/>
              <w:jc w:val="center"/>
            </w:pPr>
          </w:p>
        </w:tc>
      </w:tr>
      <w:tr w:rsidR="006808DB" w14:paraId="6D8E17D7" w14:textId="77777777" w:rsidTr="005E215F">
        <w:trPr>
          <w:cantSplit/>
        </w:trPr>
        <w:tc>
          <w:tcPr>
            <w:tcW w:w="2310" w:type="dxa"/>
          </w:tcPr>
          <w:p w14:paraId="32E18116" w14:textId="77777777" w:rsidR="006808DB" w:rsidRDefault="006808DB" w:rsidP="005E215F">
            <w:pPr>
              <w:pStyle w:val="Tabletext0"/>
            </w:pPr>
            <w:proofErr w:type="spellStart"/>
            <w:r>
              <w:t>Immuno</w:t>
            </w:r>
            <w:proofErr w:type="spellEnd"/>
            <w:r>
              <w:t>-chemotherapy</w:t>
            </w:r>
          </w:p>
        </w:tc>
        <w:tc>
          <w:tcPr>
            <w:tcW w:w="2310" w:type="dxa"/>
            <w:vAlign w:val="center"/>
          </w:tcPr>
          <w:p w14:paraId="10220515" w14:textId="77777777" w:rsidR="006808DB" w:rsidRDefault="006808DB" w:rsidP="005E215F">
            <w:pPr>
              <w:spacing w:before="40" w:after="40"/>
              <w:jc w:val="center"/>
              <w:rPr>
                <w:rFonts w:ascii="Arial Narrow" w:hAnsi="Arial Narrow"/>
                <w:color w:val="000000"/>
              </w:rPr>
            </w:pPr>
            <w:r>
              <w:rPr>
                <w:rFonts w:ascii="Arial Narrow" w:hAnsi="Arial Narrow"/>
                <w:color w:val="000000"/>
              </w:rPr>
              <w:t>$333.29</w:t>
            </w:r>
          </w:p>
        </w:tc>
        <w:tc>
          <w:tcPr>
            <w:tcW w:w="2311" w:type="dxa"/>
            <w:vAlign w:val="center"/>
          </w:tcPr>
          <w:p w14:paraId="0429B32D" w14:textId="77777777" w:rsidR="006808DB" w:rsidRDefault="006808DB" w:rsidP="005E215F">
            <w:pPr>
              <w:spacing w:before="40" w:after="40"/>
              <w:jc w:val="center"/>
              <w:rPr>
                <w:rFonts w:ascii="Arial Narrow" w:hAnsi="Arial Narrow"/>
                <w:color w:val="000000"/>
              </w:rPr>
            </w:pPr>
            <w:r>
              <w:rPr>
                <w:rFonts w:ascii="Arial Narrow" w:hAnsi="Arial Narrow"/>
                <w:color w:val="000000"/>
              </w:rPr>
              <w:t>$552.16</w:t>
            </w:r>
          </w:p>
        </w:tc>
        <w:tc>
          <w:tcPr>
            <w:tcW w:w="2311" w:type="dxa"/>
            <w:vAlign w:val="center"/>
          </w:tcPr>
          <w:p w14:paraId="4ECB6FD5" w14:textId="77777777" w:rsidR="006808DB" w:rsidRDefault="006808DB" w:rsidP="005E215F">
            <w:pPr>
              <w:spacing w:before="40" w:after="40"/>
              <w:jc w:val="center"/>
              <w:rPr>
                <w:rFonts w:ascii="Arial Narrow" w:hAnsi="Arial Narrow"/>
                <w:color w:val="000000"/>
              </w:rPr>
            </w:pPr>
            <w:r>
              <w:rPr>
                <w:rFonts w:ascii="Arial Narrow" w:hAnsi="Arial Narrow"/>
                <w:color w:val="FF0000"/>
              </w:rPr>
              <w:t>-$218.86</w:t>
            </w:r>
          </w:p>
        </w:tc>
      </w:tr>
      <w:tr w:rsidR="006808DB" w14:paraId="5954EC69" w14:textId="77777777" w:rsidTr="005E215F">
        <w:trPr>
          <w:cantSplit/>
        </w:trPr>
        <w:tc>
          <w:tcPr>
            <w:tcW w:w="2310" w:type="dxa"/>
          </w:tcPr>
          <w:p w14:paraId="7F358EA9" w14:textId="77777777" w:rsidR="006808DB" w:rsidRDefault="006808DB" w:rsidP="005E215F">
            <w:pPr>
              <w:pStyle w:val="Tabletext0"/>
            </w:pPr>
            <w:r>
              <w:t>Radiotherapy</w:t>
            </w:r>
          </w:p>
        </w:tc>
        <w:tc>
          <w:tcPr>
            <w:tcW w:w="2310" w:type="dxa"/>
            <w:vAlign w:val="center"/>
          </w:tcPr>
          <w:p w14:paraId="44AED777"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vAlign w:val="center"/>
          </w:tcPr>
          <w:p w14:paraId="028CC3A1"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vAlign w:val="center"/>
          </w:tcPr>
          <w:p w14:paraId="6D39B155"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r>
      <w:tr w:rsidR="006808DB" w14:paraId="28767DEE" w14:textId="77777777" w:rsidTr="005E215F">
        <w:trPr>
          <w:cantSplit/>
        </w:trPr>
        <w:tc>
          <w:tcPr>
            <w:tcW w:w="2310" w:type="dxa"/>
            <w:tcBorders>
              <w:bottom w:val="single" w:sz="4" w:space="0" w:color="auto"/>
            </w:tcBorders>
          </w:tcPr>
          <w:p w14:paraId="29FE6385" w14:textId="77777777" w:rsidR="006808DB" w:rsidRDefault="006808DB" w:rsidP="005E215F">
            <w:pPr>
              <w:pStyle w:val="Tabletext0"/>
            </w:pPr>
            <w:r>
              <w:t>Watch &amp; Wait</w:t>
            </w:r>
          </w:p>
        </w:tc>
        <w:tc>
          <w:tcPr>
            <w:tcW w:w="2310" w:type="dxa"/>
            <w:tcBorders>
              <w:bottom w:val="single" w:sz="4" w:space="0" w:color="auto"/>
            </w:tcBorders>
            <w:vAlign w:val="center"/>
          </w:tcPr>
          <w:p w14:paraId="1F3CA3F5"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tcBorders>
              <w:bottom w:val="single" w:sz="4" w:space="0" w:color="auto"/>
            </w:tcBorders>
            <w:vAlign w:val="center"/>
          </w:tcPr>
          <w:p w14:paraId="746AC225"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tcBorders>
              <w:bottom w:val="single" w:sz="4" w:space="0" w:color="auto"/>
            </w:tcBorders>
            <w:vAlign w:val="center"/>
          </w:tcPr>
          <w:p w14:paraId="3EA704F8"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r>
      <w:tr w:rsidR="006808DB" w14:paraId="268369C9" w14:textId="77777777" w:rsidTr="005E215F">
        <w:trPr>
          <w:cantSplit/>
        </w:trPr>
        <w:tc>
          <w:tcPr>
            <w:tcW w:w="2310" w:type="dxa"/>
            <w:tcBorders>
              <w:bottom w:val="single" w:sz="4" w:space="0" w:color="auto"/>
            </w:tcBorders>
          </w:tcPr>
          <w:p w14:paraId="64C9D326" w14:textId="77777777" w:rsidR="006808DB" w:rsidRDefault="006808DB" w:rsidP="005E215F">
            <w:pPr>
              <w:pStyle w:val="Tabletext0"/>
            </w:pPr>
            <w:r>
              <w:t>Total</w:t>
            </w:r>
          </w:p>
        </w:tc>
        <w:tc>
          <w:tcPr>
            <w:tcW w:w="2310" w:type="dxa"/>
            <w:tcBorders>
              <w:bottom w:val="single" w:sz="4" w:space="0" w:color="auto"/>
            </w:tcBorders>
            <w:vAlign w:val="center"/>
          </w:tcPr>
          <w:p w14:paraId="2DB641C8" w14:textId="77777777" w:rsidR="006808DB" w:rsidRDefault="006808DB" w:rsidP="005E215F">
            <w:pPr>
              <w:spacing w:before="40" w:after="40"/>
              <w:jc w:val="center"/>
              <w:rPr>
                <w:rFonts w:ascii="Arial Narrow" w:hAnsi="Arial Narrow"/>
                <w:color w:val="000000"/>
              </w:rPr>
            </w:pPr>
            <w:r>
              <w:rPr>
                <w:rFonts w:ascii="Arial Narrow" w:hAnsi="Arial Narrow"/>
                <w:color w:val="000000"/>
              </w:rPr>
              <w:t>$333.29</w:t>
            </w:r>
          </w:p>
        </w:tc>
        <w:tc>
          <w:tcPr>
            <w:tcW w:w="2311" w:type="dxa"/>
            <w:tcBorders>
              <w:bottom w:val="single" w:sz="4" w:space="0" w:color="auto"/>
            </w:tcBorders>
            <w:vAlign w:val="center"/>
          </w:tcPr>
          <w:p w14:paraId="44065B7D" w14:textId="77777777" w:rsidR="006808DB" w:rsidRDefault="006808DB" w:rsidP="005E215F">
            <w:pPr>
              <w:spacing w:before="40" w:after="40"/>
              <w:jc w:val="center"/>
              <w:rPr>
                <w:rFonts w:ascii="Arial Narrow" w:hAnsi="Arial Narrow"/>
                <w:color w:val="000000"/>
              </w:rPr>
            </w:pPr>
            <w:r>
              <w:rPr>
                <w:rFonts w:ascii="Arial Narrow" w:hAnsi="Arial Narrow"/>
                <w:color w:val="000000"/>
              </w:rPr>
              <w:t>$552.16</w:t>
            </w:r>
          </w:p>
        </w:tc>
        <w:tc>
          <w:tcPr>
            <w:tcW w:w="2311" w:type="dxa"/>
            <w:tcBorders>
              <w:bottom w:val="single" w:sz="4" w:space="0" w:color="auto"/>
            </w:tcBorders>
            <w:vAlign w:val="center"/>
          </w:tcPr>
          <w:p w14:paraId="42F0AF57" w14:textId="77777777" w:rsidR="006808DB" w:rsidRDefault="006808DB" w:rsidP="005E215F">
            <w:pPr>
              <w:spacing w:before="40" w:after="40"/>
              <w:jc w:val="center"/>
              <w:rPr>
                <w:rFonts w:ascii="Arial Narrow" w:hAnsi="Arial Narrow"/>
                <w:color w:val="000000"/>
              </w:rPr>
            </w:pPr>
            <w:r>
              <w:rPr>
                <w:rFonts w:ascii="Arial Narrow" w:hAnsi="Arial Narrow"/>
                <w:color w:val="FF0000"/>
              </w:rPr>
              <w:t>-$218.86</w:t>
            </w:r>
          </w:p>
        </w:tc>
      </w:tr>
      <w:tr w:rsidR="006808DB" w14:paraId="3809093A" w14:textId="77777777" w:rsidTr="005E215F">
        <w:trPr>
          <w:cantSplit/>
        </w:trPr>
        <w:tc>
          <w:tcPr>
            <w:tcW w:w="2310" w:type="dxa"/>
            <w:tcBorders>
              <w:right w:val="nil"/>
            </w:tcBorders>
          </w:tcPr>
          <w:p w14:paraId="1A7DFAF2" w14:textId="77777777" w:rsidR="006808DB" w:rsidRPr="00E3268B" w:rsidRDefault="006808DB" w:rsidP="005E215F">
            <w:pPr>
              <w:pStyle w:val="Tabletext0"/>
              <w:rPr>
                <w:b/>
              </w:rPr>
            </w:pPr>
            <w:r w:rsidRPr="00E3268B">
              <w:rPr>
                <w:b/>
              </w:rPr>
              <w:t>Total</w:t>
            </w:r>
          </w:p>
        </w:tc>
        <w:tc>
          <w:tcPr>
            <w:tcW w:w="2310" w:type="dxa"/>
            <w:tcBorders>
              <w:left w:val="nil"/>
              <w:right w:val="nil"/>
            </w:tcBorders>
          </w:tcPr>
          <w:p w14:paraId="6E10CEDB" w14:textId="77777777" w:rsidR="006808DB" w:rsidRDefault="006808DB" w:rsidP="005E215F">
            <w:pPr>
              <w:pStyle w:val="Tabletext0"/>
              <w:jc w:val="center"/>
            </w:pPr>
          </w:p>
        </w:tc>
        <w:tc>
          <w:tcPr>
            <w:tcW w:w="2311" w:type="dxa"/>
            <w:tcBorders>
              <w:left w:val="nil"/>
              <w:right w:val="nil"/>
            </w:tcBorders>
          </w:tcPr>
          <w:p w14:paraId="15DCA990" w14:textId="77777777" w:rsidR="006808DB" w:rsidRDefault="006808DB" w:rsidP="005E215F">
            <w:pPr>
              <w:pStyle w:val="Tabletext0"/>
              <w:jc w:val="center"/>
            </w:pPr>
          </w:p>
        </w:tc>
        <w:tc>
          <w:tcPr>
            <w:tcW w:w="2311" w:type="dxa"/>
            <w:tcBorders>
              <w:left w:val="nil"/>
            </w:tcBorders>
          </w:tcPr>
          <w:p w14:paraId="4D61B27B" w14:textId="77777777" w:rsidR="006808DB" w:rsidRDefault="006808DB" w:rsidP="005E215F">
            <w:pPr>
              <w:pStyle w:val="Tabletext0"/>
              <w:jc w:val="center"/>
            </w:pPr>
          </w:p>
        </w:tc>
      </w:tr>
      <w:tr w:rsidR="006808DB" w14:paraId="5DDC13DC" w14:textId="77777777" w:rsidTr="005E215F">
        <w:trPr>
          <w:cantSplit/>
        </w:trPr>
        <w:tc>
          <w:tcPr>
            <w:tcW w:w="2310" w:type="dxa"/>
          </w:tcPr>
          <w:p w14:paraId="4DB3C92A" w14:textId="77777777" w:rsidR="006808DB" w:rsidRDefault="006808DB" w:rsidP="005E215F">
            <w:pPr>
              <w:pStyle w:val="Tabletext0"/>
            </w:pPr>
            <w:proofErr w:type="spellStart"/>
            <w:r>
              <w:t>Immuno</w:t>
            </w:r>
            <w:proofErr w:type="spellEnd"/>
            <w:r>
              <w:t>-chemotherapy</w:t>
            </w:r>
          </w:p>
        </w:tc>
        <w:tc>
          <w:tcPr>
            <w:tcW w:w="2310" w:type="dxa"/>
            <w:vAlign w:val="center"/>
          </w:tcPr>
          <w:p w14:paraId="05393AF6" w14:textId="77777777" w:rsidR="006808DB" w:rsidRDefault="006808DB" w:rsidP="005E215F">
            <w:pPr>
              <w:spacing w:before="40" w:after="40"/>
              <w:jc w:val="center"/>
              <w:rPr>
                <w:rFonts w:ascii="Arial Narrow" w:hAnsi="Arial Narrow"/>
                <w:color w:val="000000"/>
              </w:rPr>
            </w:pPr>
            <w:r>
              <w:rPr>
                <w:rFonts w:ascii="Arial Narrow" w:hAnsi="Arial Narrow"/>
                <w:color w:val="000000"/>
              </w:rPr>
              <w:t>$6,293.41</w:t>
            </w:r>
          </w:p>
        </w:tc>
        <w:tc>
          <w:tcPr>
            <w:tcW w:w="2311" w:type="dxa"/>
            <w:vAlign w:val="center"/>
          </w:tcPr>
          <w:p w14:paraId="7F9795A7" w14:textId="77777777" w:rsidR="006808DB" w:rsidRDefault="006808DB" w:rsidP="005E215F">
            <w:pPr>
              <w:spacing w:before="40" w:after="40"/>
              <w:jc w:val="center"/>
              <w:rPr>
                <w:rFonts w:ascii="Arial Narrow" w:hAnsi="Arial Narrow"/>
                <w:color w:val="000000"/>
              </w:rPr>
            </w:pPr>
            <w:r>
              <w:rPr>
                <w:rFonts w:ascii="Arial Narrow" w:hAnsi="Arial Narrow"/>
                <w:color w:val="000000"/>
              </w:rPr>
              <w:t>$6,416.51</w:t>
            </w:r>
          </w:p>
        </w:tc>
        <w:tc>
          <w:tcPr>
            <w:tcW w:w="2311" w:type="dxa"/>
            <w:vAlign w:val="center"/>
          </w:tcPr>
          <w:p w14:paraId="755520E6" w14:textId="77777777" w:rsidR="006808DB" w:rsidRDefault="006808DB" w:rsidP="005E215F">
            <w:pPr>
              <w:spacing w:before="40" w:after="40"/>
              <w:jc w:val="center"/>
              <w:rPr>
                <w:rFonts w:ascii="Arial Narrow" w:hAnsi="Arial Narrow"/>
                <w:color w:val="000000"/>
              </w:rPr>
            </w:pPr>
            <w:r>
              <w:rPr>
                <w:rFonts w:ascii="Arial Narrow" w:hAnsi="Arial Narrow"/>
                <w:color w:val="FF0000"/>
              </w:rPr>
              <w:t>-$123.10</w:t>
            </w:r>
          </w:p>
        </w:tc>
      </w:tr>
      <w:tr w:rsidR="006808DB" w14:paraId="1D47ABD8" w14:textId="77777777" w:rsidTr="005E215F">
        <w:trPr>
          <w:cantSplit/>
        </w:trPr>
        <w:tc>
          <w:tcPr>
            <w:tcW w:w="2310" w:type="dxa"/>
          </w:tcPr>
          <w:p w14:paraId="5EF2C5F2" w14:textId="77777777" w:rsidR="006808DB" w:rsidRDefault="006808DB" w:rsidP="005E215F">
            <w:pPr>
              <w:pStyle w:val="Tabletext0"/>
            </w:pPr>
            <w:r>
              <w:t>Radiotherapy</w:t>
            </w:r>
          </w:p>
        </w:tc>
        <w:tc>
          <w:tcPr>
            <w:tcW w:w="2310" w:type="dxa"/>
            <w:vAlign w:val="center"/>
          </w:tcPr>
          <w:p w14:paraId="22A0CBC1" w14:textId="77777777" w:rsidR="006808DB" w:rsidRDefault="006808DB" w:rsidP="005E215F">
            <w:pPr>
              <w:spacing w:before="40" w:after="40"/>
              <w:jc w:val="center"/>
              <w:rPr>
                <w:rFonts w:ascii="Arial Narrow" w:hAnsi="Arial Narrow"/>
                <w:color w:val="000000"/>
              </w:rPr>
            </w:pPr>
            <w:r>
              <w:rPr>
                <w:rFonts w:ascii="Arial Narrow" w:hAnsi="Arial Narrow"/>
                <w:color w:val="000000"/>
              </w:rPr>
              <w:t>$1,537.91</w:t>
            </w:r>
          </w:p>
        </w:tc>
        <w:tc>
          <w:tcPr>
            <w:tcW w:w="2311" w:type="dxa"/>
            <w:vAlign w:val="center"/>
          </w:tcPr>
          <w:p w14:paraId="0DB561BD" w14:textId="77777777" w:rsidR="006808DB" w:rsidRDefault="006808DB" w:rsidP="005E215F">
            <w:pPr>
              <w:spacing w:before="40" w:after="40"/>
              <w:jc w:val="center"/>
              <w:rPr>
                <w:rFonts w:ascii="Arial Narrow" w:hAnsi="Arial Narrow"/>
                <w:color w:val="000000"/>
              </w:rPr>
            </w:pPr>
            <w:r>
              <w:rPr>
                <w:rFonts w:ascii="Arial Narrow" w:hAnsi="Arial Narrow"/>
                <w:color w:val="000000"/>
              </w:rPr>
              <w:t>$1,645.60</w:t>
            </w:r>
          </w:p>
        </w:tc>
        <w:tc>
          <w:tcPr>
            <w:tcW w:w="2311" w:type="dxa"/>
            <w:vAlign w:val="center"/>
          </w:tcPr>
          <w:p w14:paraId="0273531A" w14:textId="77777777" w:rsidR="006808DB" w:rsidRDefault="006808DB" w:rsidP="005E215F">
            <w:pPr>
              <w:spacing w:before="40" w:after="40"/>
              <w:jc w:val="center"/>
              <w:rPr>
                <w:rFonts w:ascii="Arial Narrow" w:hAnsi="Arial Narrow"/>
                <w:color w:val="000000"/>
              </w:rPr>
            </w:pPr>
            <w:r>
              <w:rPr>
                <w:rFonts w:ascii="Arial Narrow" w:hAnsi="Arial Narrow"/>
                <w:color w:val="FF0000"/>
              </w:rPr>
              <w:t>-$107.79</w:t>
            </w:r>
          </w:p>
        </w:tc>
      </w:tr>
      <w:tr w:rsidR="006808DB" w14:paraId="319815D0" w14:textId="77777777" w:rsidTr="005E215F">
        <w:trPr>
          <w:cantSplit/>
        </w:trPr>
        <w:tc>
          <w:tcPr>
            <w:tcW w:w="2310" w:type="dxa"/>
          </w:tcPr>
          <w:p w14:paraId="61983511" w14:textId="77777777" w:rsidR="006808DB" w:rsidRDefault="006808DB" w:rsidP="005E215F">
            <w:pPr>
              <w:pStyle w:val="Tabletext0"/>
            </w:pPr>
            <w:r>
              <w:t>Watch &amp; Wait</w:t>
            </w:r>
          </w:p>
        </w:tc>
        <w:tc>
          <w:tcPr>
            <w:tcW w:w="2310" w:type="dxa"/>
            <w:vAlign w:val="center"/>
          </w:tcPr>
          <w:p w14:paraId="2738B57A" w14:textId="77777777" w:rsidR="006808DB" w:rsidRDefault="006808DB" w:rsidP="005E215F">
            <w:pPr>
              <w:spacing w:before="40" w:after="40"/>
              <w:jc w:val="center"/>
              <w:rPr>
                <w:rFonts w:ascii="Arial Narrow" w:hAnsi="Arial Narrow"/>
                <w:color w:val="000000"/>
              </w:rPr>
            </w:pPr>
            <w:r>
              <w:rPr>
                <w:rFonts w:ascii="Arial Narrow" w:hAnsi="Arial Narrow"/>
                <w:color w:val="000000"/>
              </w:rPr>
              <w:t>$906.99</w:t>
            </w:r>
          </w:p>
        </w:tc>
        <w:tc>
          <w:tcPr>
            <w:tcW w:w="2311" w:type="dxa"/>
            <w:vAlign w:val="center"/>
          </w:tcPr>
          <w:p w14:paraId="4596DD2A" w14:textId="77777777" w:rsidR="006808DB" w:rsidRDefault="006808DB" w:rsidP="005E215F">
            <w:pPr>
              <w:spacing w:before="40" w:after="40"/>
              <w:jc w:val="center"/>
              <w:rPr>
                <w:rFonts w:ascii="Arial Narrow" w:hAnsi="Arial Narrow"/>
                <w:color w:val="000000"/>
              </w:rPr>
            </w:pPr>
            <w:r>
              <w:rPr>
                <w:rFonts w:ascii="Arial Narrow" w:hAnsi="Arial Narrow"/>
                <w:color w:val="000000"/>
              </w:rPr>
              <w:t>$686.11</w:t>
            </w:r>
          </w:p>
        </w:tc>
        <w:tc>
          <w:tcPr>
            <w:tcW w:w="2311" w:type="dxa"/>
            <w:vAlign w:val="center"/>
          </w:tcPr>
          <w:p w14:paraId="47AF77EA" w14:textId="77777777" w:rsidR="006808DB" w:rsidRDefault="006808DB" w:rsidP="005E215F">
            <w:pPr>
              <w:spacing w:before="40" w:after="40"/>
              <w:jc w:val="center"/>
              <w:rPr>
                <w:rFonts w:ascii="Arial Narrow" w:hAnsi="Arial Narrow"/>
                <w:color w:val="000000"/>
              </w:rPr>
            </w:pPr>
            <w:r>
              <w:rPr>
                <w:rFonts w:ascii="Arial Narrow" w:hAnsi="Arial Narrow"/>
                <w:color w:val="000000"/>
              </w:rPr>
              <w:t>$202.89</w:t>
            </w:r>
          </w:p>
        </w:tc>
      </w:tr>
      <w:tr w:rsidR="006808DB" w14:paraId="50046CEC" w14:textId="77777777" w:rsidTr="005E215F">
        <w:trPr>
          <w:cantSplit/>
        </w:trPr>
        <w:tc>
          <w:tcPr>
            <w:tcW w:w="2310" w:type="dxa"/>
          </w:tcPr>
          <w:p w14:paraId="3289A32E" w14:textId="77777777" w:rsidR="006808DB" w:rsidRPr="00E3268B" w:rsidRDefault="006808DB" w:rsidP="005E215F">
            <w:pPr>
              <w:pStyle w:val="Tabletext0"/>
              <w:rPr>
                <w:b/>
              </w:rPr>
            </w:pPr>
            <w:r w:rsidRPr="00E3268B">
              <w:rPr>
                <w:b/>
              </w:rPr>
              <w:t>Total</w:t>
            </w:r>
          </w:p>
        </w:tc>
        <w:tc>
          <w:tcPr>
            <w:tcW w:w="2310" w:type="dxa"/>
            <w:vAlign w:val="center"/>
          </w:tcPr>
          <w:p w14:paraId="6545F4A6" w14:textId="77777777" w:rsidR="006808DB" w:rsidRDefault="006808DB" w:rsidP="005E215F">
            <w:pPr>
              <w:spacing w:before="40" w:after="40"/>
              <w:jc w:val="center"/>
              <w:rPr>
                <w:rFonts w:ascii="Arial Narrow" w:hAnsi="Arial Narrow"/>
                <w:b/>
                <w:bCs/>
                <w:color w:val="000000"/>
              </w:rPr>
            </w:pPr>
            <w:r>
              <w:rPr>
                <w:rFonts w:ascii="Arial Narrow" w:hAnsi="Arial Narrow"/>
                <w:b/>
                <w:bCs/>
                <w:color w:val="000000"/>
              </w:rPr>
              <w:t>$8,738.19</w:t>
            </w:r>
          </w:p>
        </w:tc>
        <w:tc>
          <w:tcPr>
            <w:tcW w:w="2311" w:type="dxa"/>
            <w:vAlign w:val="center"/>
          </w:tcPr>
          <w:p w14:paraId="47C77572" w14:textId="77777777" w:rsidR="006808DB" w:rsidRDefault="006808DB" w:rsidP="005E215F">
            <w:pPr>
              <w:spacing w:before="40" w:after="40"/>
              <w:jc w:val="center"/>
              <w:rPr>
                <w:rFonts w:ascii="Arial Narrow" w:hAnsi="Arial Narrow"/>
                <w:b/>
                <w:bCs/>
                <w:color w:val="000000"/>
              </w:rPr>
            </w:pPr>
            <w:r>
              <w:rPr>
                <w:rFonts w:ascii="Arial Narrow" w:hAnsi="Arial Narrow"/>
                <w:b/>
                <w:bCs/>
                <w:color w:val="000000"/>
              </w:rPr>
              <w:t>$8,748.21</w:t>
            </w:r>
          </w:p>
        </w:tc>
        <w:tc>
          <w:tcPr>
            <w:tcW w:w="2311" w:type="dxa"/>
            <w:vAlign w:val="center"/>
          </w:tcPr>
          <w:p w14:paraId="49F17AE5" w14:textId="77777777" w:rsidR="006808DB" w:rsidRDefault="006808DB" w:rsidP="005E215F">
            <w:pPr>
              <w:spacing w:before="40" w:after="40"/>
              <w:jc w:val="center"/>
              <w:rPr>
                <w:rFonts w:ascii="Arial Narrow" w:hAnsi="Arial Narrow"/>
                <w:b/>
                <w:bCs/>
                <w:color w:val="000000"/>
              </w:rPr>
            </w:pPr>
            <w:r>
              <w:rPr>
                <w:rFonts w:ascii="Arial Narrow" w:hAnsi="Arial Narrow"/>
                <w:b/>
                <w:bCs/>
                <w:color w:val="FF0000"/>
              </w:rPr>
              <w:t>-$10.02</w:t>
            </w:r>
          </w:p>
        </w:tc>
      </w:tr>
    </w:tbl>
    <w:p w14:paraId="61E2A79A" w14:textId="77777777" w:rsidR="001F3C7C" w:rsidRDefault="001F3C7C" w:rsidP="00F456DC">
      <w:pPr>
        <w:pStyle w:val="TableHeading"/>
        <w:ind w:left="0" w:firstLine="0"/>
      </w:pPr>
    </w:p>
    <w:p w14:paraId="19AB3A65" w14:textId="28202207" w:rsidR="001F3C7C" w:rsidRDefault="001F3C7C">
      <w:pPr>
        <w:rPr>
          <w:rFonts w:cs="Tahoma"/>
          <w:b/>
          <w:noProof/>
          <w:sz w:val="20"/>
        </w:rPr>
      </w:pPr>
    </w:p>
    <w:p w14:paraId="714CB8A9" w14:textId="4F44B39C" w:rsidR="006808DB" w:rsidRDefault="00183C03" w:rsidP="00937598">
      <w:pPr>
        <w:pStyle w:val="TableHeading"/>
      </w:pPr>
      <w:bookmarkStart w:id="19" w:name="_Ref469653045"/>
      <w:r w:rsidRPr="00183C03">
        <w:t xml:space="preserve">Table </w:t>
      </w:r>
      <w:r w:rsidRPr="00183C03">
        <w:fldChar w:fldCharType="begin"/>
      </w:r>
      <w:r w:rsidRPr="00183C03">
        <w:instrText xml:space="preserve"> SEQ Table \* ARABIC </w:instrText>
      </w:r>
      <w:r w:rsidRPr="00183C03">
        <w:fldChar w:fldCharType="separate"/>
      </w:r>
      <w:r w:rsidR="002938FE">
        <w:t>6</w:t>
      </w:r>
      <w:r w:rsidRPr="00183C03">
        <w:fldChar w:fldCharType="end"/>
      </w:r>
      <w:bookmarkEnd w:id="18"/>
      <w:bookmarkEnd w:id="19"/>
      <w:r>
        <w:t xml:space="preserve"> </w:t>
      </w:r>
      <w:r w:rsidRPr="00183C03">
        <w:tab/>
        <w:t>Implications for the base case economic evaluation of applying the results of the clinical evaluation (PET/CT in addition to CT)</w:t>
      </w:r>
    </w:p>
    <w:tbl>
      <w:tblPr>
        <w:tblStyle w:val="TableGrid"/>
        <w:tblW w:w="0" w:type="auto"/>
        <w:tblLook w:val="04A0" w:firstRow="1" w:lastRow="0" w:firstColumn="1" w:lastColumn="0" w:noHBand="0" w:noVBand="1"/>
        <w:tblDescription w:val="Implications for the base case economic evaluation of applying the results of the clinical evaluation-Shows the total cost and incremental cost when the individual costs for staging and response to treatment (immuno-chemotherapy, radiotherapy, watch &amp; wait) are combined for PET/CT in addition to CT"/>
      </w:tblPr>
      <w:tblGrid>
        <w:gridCol w:w="2310"/>
        <w:gridCol w:w="2310"/>
        <w:gridCol w:w="2311"/>
        <w:gridCol w:w="2311"/>
      </w:tblGrid>
      <w:tr w:rsidR="006808DB" w14:paraId="23B23EF7" w14:textId="77777777" w:rsidTr="005E215F">
        <w:trPr>
          <w:cantSplit/>
          <w:tblHeader/>
        </w:trPr>
        <w:tc>
          <w:tcPr>
            <w:tcW w:w="2310" w:type="dxa"/>
            <w:tcBorders>
              <w:bottom w:val="single" w:sz="4" w:space="0" w:color="auto"/>
            </w:tcBorders>
          </w:tcPr>
          <w:p w14:paraId="27551D36" w14:textId="77777777" w:rsidR="006808DB" w:rsidRDefault="006808DB" w:rsidP="005E215F">
            <w:pPr>
              <w:pStyle w:val="Caption"/>
              <w:spacing w:before="60" w:after="60"/>
            </w:pPr>
          </w:p>
        </w:tc>
        <w:tc>
          <w:tcPr>
            <w:tcW w:w="2310" w:type="dxa"/>
            <w:tcBorders>
              <w:bottom w:val="single" w:sz="4" w:space="0" w:color="auto"/>
            </w:tcBorders>
          </w:tcPr>
          <w:p w14:paraId="074E772A" w14:textId="77777777" w:rsidR="006808DB" w:rsidRDefault="006808DB" w:rsidP="005E215F">
            <w:pPr>
              <w:pStyle w:val="Caption"/>
              <w:spacing w:before="60" w:after="60"/>
              <w:jc w:val="center"/>
            </w:pPr>
            <w:r>
              <w:t>PET/CT</w:t>
            </w:r>
          </w:p>
        </w:tc>
        <w:tc>
          <w:tcPr>
            <w:tcW w:w="2311" w:type="dxa"/>
            <w:tcBorders>
              <w:bottom w:val="single" w:sz="4" w:space="0" w:color="auto"/>
            </w:tcBorders>
          </w:tcPr>
          <w:p w14:paraId="683E31DD" w14:textId="77777777" w:rsidR="006808DB" w:rsidRDefault="006808DB" w:rsidP="005E215F">
            <w:pPr>
              <w:pStyle w:val="Caption"/>
              <w:spacing w:before="60" w:after="60"/>
              <w:jc w:val="center"/>
            </w:pPr>
            <w:r>
              <w:t>CT</w:t>
            </w:r>
          </w:p>
        </w:tc>
        <w:tc>
          <w:tcPr>
            <w:tcW w:w="2311" w:type="dxa"/>
            <w:tcBorders>
              <w:bottom w:val="single" w:sz="4" w:space="0" w:color="auto"/>
            </w:tcBorders>
          </w:tcPr>
          <w:p w14:paraId="350BE08D" w14:textId="77777777" w:rsidR="006808DB" w:rsidRDefault="006808DB" w:rsidP="005E215F">
            <w:pPr>
              <w:pStyle w:val="Caption"/>
              <w:spacing w:before="60" w:after="60"/>
              <w:jc w:val="center"/>
            </w:pPr>
            <w:r>
              <w:t>Incremental Cost</w:t>
            </w:r>
          </w:p>
        </w:tc>
      </w:tr>
      <w:tr w:rsidR="006808DB" w14:paraId="4B6E00E7" w14:textId="77777777" w:rsidTr="005E215F">
        <w:trPr>
          <w:cantSplit/>
        </w:trPr>
        <w:tc>
          <w:tcPr>
            <w:tcW w:w="2310" w:type="dxa"/>
            <w:tcBorders>
              <w:right w:val="nil"/>
            </w:tcBorders>
          </w:tcPr>
          <w:p w14:paraId="082656FC" w14:textId="77777777" w:rsidR="006808DB" w:rsidRPr="00E3268B" w:rsidRDefault="006808DB" w:rsidP="005E215F">
            <w:pPr>
              <w:pStyle w:val="Tabletext0"/>
              <w:rPr>
                <w:b/>
              </w:rPr>
            </w:pPr>
            <w:r w:rsidRPr="00E3268B">
              <w:rPr>
                <w:b/>
              </w:rPr>
              <w:t>Staging</w:t>
            </w:r>
          </w:p>
        </w:tc>
        <w:tc>
          <w:tcPr>
            <w:tcW w:w="2310" w:type="dxa"/>
            <w:tcBorders>
              <w:left w:val="nil"/>
              <w:right w:val="nil"/>
            </w:tcBorders>
          </w:tcPr>
          <w:p w14:paraId="41E3BF70" w14:textId="77777777" w:rsidR="006808DB" w:rsidRDefault="006808DB" w:rsidP="005E215F">
            <w:pPr>
              <w:pStyle w:val="Tabletext0"/>
              <w:jc w:val="center"/>
            </w:pPr>
          </w:p>
        </w:tc>
        <w:tc>
          <w:tcPr>
            <w:tcW w:w="2311" w:type="dxa"/>
            <w:tcBorders>
              <w:left w:val="nil"/>
              <w:right w:val="nil"/>
            </w:tcBorders>
          </w:tcPr>
          <w:p w14:paraId="593406E0" w14:textId="77777777" w:rsidR="006808DB" w:rsidRDefault="006808DB" w:rsidP="005E215F">
            <w:pPr>
              <w:pStyle w:val="Tabletext0"/>
              <w:jc w:val="center"/>
            </w:pPr>
          </w:p>
        </w:tc>
        <w:tc>
          <w:tcPr>
            <w:tcW w:w="2311" w:type="dxa"/>
            <w:tcBorders>
              <w:left w:val="nil"/>
            </w:tcBorders>
          </w:tcPr>
          <w:p w14:paraId="3BF89B63" w14:textId="77777777" w:rsidR="006808DB" w:rsidRDefault="006808DB" w:rsidP="005E215F">
            <w:pPr>
              <w:pStyle w:val="Tabletext0"/>
              <w:jc w:val="center"/>
            </w:pPr>
          </w:p>
        </w:tc>
      </w:tr>
      <w:tr w:rsidR="006808DB" w14:paraId="62837318" w14:textId="77777777" w:rsidTr="005E215F">
        <w:trPr>
          <w:cantSplit/>
        </w:trPr>
        <w:tc>
          <w:tcPr>
            <w:tcW w:w="2310" w:type="dxa"/>
          </w:tcPr>
          <w:p w14:paraId="562572E3" w14:textId="77777777" w:rsidR="006808DB" w:rsidRDefault="006808DB" w:rsidP="005E215F">
            <w:pPr>
              <w:pStyle w:val="Tabletext0"/>
            </w:pPr>
            <w:proofErr w:type="spellStart"/>
            <w:r>
              <w:t>Immuno</w:t>
            </w:r>
            <w:proofErr w:type="spellEnd"/>
            <w:r>
              <w:t>-chemotherapy</w:t>
            </w:r>
          </w:p>
        </w:tc>
        <w:tc>
          <w:tcPr>
            <w:tcW w:w="2310" w:type="dxa"/>
            <w:vAlign w:val="center"/>
          </w:tcPr>
          <w:p w14:paraId="75B5478D" w14:textId="77777777" w:rsidR="006808DB" w:rsidRDefault="006808DB" w:rsidP="005E215F">
            <w:pPr>
              <w:spacing w:before="40" w:after="40"/>
              <w:jc w:val="center"/>
              <w:rPr>
                <w:rFonts w:ascii="Arial Narrow" w:hAnsi="Arial Narrow"/>
                <w:color w:val="000000"/>
              </w:rPr>
            </w:pPr>
            <w:r>
              <w:rPr>
                <w:rFonts w:ascii="Arial Narrow" w:hAnsi="Arial Narrow"/>
                <w:color w:val="000000"/>
              </w:rPr>
              <w:t>$6,082.82</w:t>
            </w:r>
          </w:p>
        </w:tc>
        <w:tc>
          <w:tcPr>
            <w:tcW w:w="2311" w:type="dxa"/>
            <w:vAlign w:val="center"/>
          </w:tcPr>
          <w:p w14:paraId="4686EB4D" w14:textId="77777777" w:rsidR="006808DB" w:rsidRDefault="006808DB" w:rsidP="005E215F">
            <w:pPr>
              <w:spacing w:before="40" w:after="40"/>
              <w:jc w:val="center"/>
              <w:rPr>
                <w:rFonts w:ascii="Arial Narrow" w:hAnsi="Arial Narrow"/>
                <w:color w:val="000000"/>
              </w:rPr>
            </w:pPr>
            <w:r>
              <w:rPr>
                <w:rFonts w:ascii="Arial Narrow" w:hAnsi="Arial Narrow"/>
                <w:color w:val="000000"/>
              </w:rPr>
              <w:t>$5,864.35</w:t>
            </w:r>
          </w:p>
        </w:tc>
        <w:tc>
          <w:tcPr>
            <w:tcW w:w="2311" w:type="dxa"/>
            <w:vAlign w:val="center"/>
          </w:tcPr>
          <w:p w14:paraId="40FDC536" w14:textId="77777777" w:rsidR="006808DB" w:rsidRDefault="006808DB" w:rsidP="005E215F">
            <w:pPr>
              <w:spacing w:before="40" w:after="40"/>
              <w:jc w:val="center"/>
              <w:rPr>
                <w:rFonts w:ascii="Arial Narrow" w:hAnsi="Arial Narrow"/>
                <w:color w:val="000000"/>
              </w:rPr>
            </w:pPr>
            <w:r>
              <w:rPr>
                <w:rFonts w:ascii="Arial Narrow" w:hAnsi="Arial Narrow"/>
                <w:color w:val="000000"/>
              </w:rPr>
              <w:t>$218.47</w:t>
            </w:r>
          </w:p>
        </w:tc>
      </w:tr>
      <w:tr w:rsidR="006808DB" w14:paraId="0B8C1381" w14:textId="77777777" w:rsidTr="005E215F">
        <w:trPr>
          <w:cantSplit/>
        </w:trPr>
        <w:tc>
          <w:tcPr>
            <w:tcW w:w="2310" w:type="dxa"/>
          </w:tcPr>
          <w:p w14:paraId="67E34EAF" w14:textId="77777777" w:rsidR="006808DB" w:rsidRDefault="006808DB" w:rsidP="005E215F">
            <w:pPr>
              <w:pStyle w:val="Tabletext0"/>
            </w:pPr>
            <w:r>
              <w:t>Radiotherapy</w:t>
            </w:r>
          </w:p>
        </w:tc>
        <w:tc>
          <w:tcPr>
            <w:tcW w:w="2310" w:type="dxa"/>
            <w:vAlign w:val="center"/>
          </w:tcPr>
          <w:p w14:paraId="164E9027" w14:textId="77777777" w:rsidR="006808DB" w:rsidRDefault="006808DB" w:rsidP="005E215F">
            <w:pPr>
              <w:spacing w:before="40" w:after="40"/>
              <w:jc w:val="center"/>
              <w:rPr>
                <w:rFonts w:ascii="Arial Narrow" w:hAnsi="Arial Narrow"/>
                <w:color w:val="000000"/>
              </w:rPr>
            </w:pPr>
            <w:r>
              <w:rPr>
                <w:rFonts w:ascii="Arial Narrow" w:hAnsi="Arial Narrow"/>
                <w:color w:val="000000"/>
              </w:rPr>
              <w:t>$1,673.81</w:t>
            </w:r>
          </w:p>
        </w:tc>
        <w:tc>
          <w:tcPr>
            <w:tcW w:w="2311" w:type="dxa"/>
            <w:vAlign w:val="center"/>
          </w:tcPr>
          <w:p w14:paraId="5EFCF651" w14:textId="77777777" w:rsidR="006808DB" w:rsidRDefault="006808DB" w:rsidP="005E215F">
            <w:pPr>
              <w:spacing w:before="40" w:after="40"/>
              <w:jc w:val="center"/>
              <w:rPr>
                <w:rFonts w:ascii="Arial Narrow" w:hAnsi="Arial Narrow"/>
                <w:color w:val="000000"/>
              </w:rPr>
            </w:pPr>
            <w:r>
              <w:rPr>
                <w:rFonts w:ascii="Arial Narrow" w:hAnsi="Arial Narrow"/>
                <w:color w:val="000000"/>
              </w:rPr>
              <w:t>$1,645.60</w:t>
            </w:r>
          </w:p>
        </w:tc>
        <w:tc>
          <w:tcPr>
            <w:tcW w:w="2311" w:type="dxa"/>
            <w:vAlign w:val="center"/>
          </w:tcPr>
          <w:p w14:paraId="29826C93" w14:textId="77777777" w:rsidR="006808DB" w:rsidRDefault="006808DB" w:rsidP="005E215F">
            <w:pPr>
              <w:spacing w:before="40" w:after="40"/>
              <w:jc w:val="center"/>
              <w:rPr>
                <w:rFonts w:ascii="Arial Narrow" w:hAnsi="Arial Narrow"/>
                <w:color w:val="000000"/>
              </w:rPr>
            </w:pPr>
            <w:r>
              <w:rPr>
                <w:rFonts w:ascii="Arial Narrow" w:hAnsi="Arial Narrow"/>
                <w:color w:val="000000"/>
              </w:rPr>
              <w:t>$28.22</w:t>
            </w:r>
          </w:p>
        </w:tc>
      </w:tr>
      <w:tr w:rsidR="006808DB" w14:paraId="4DC29591" w14:textId="77777777" w:rsidTr="005E215F">
        <w:trPr>
          <w:cantSplit/>
        </w:trPr>
        <w:tc>
          <w:tcPr>
            <w:tcW w:w="2310" w:type="dxa"/>
            <w:tcBorders>
              <w:bottom w:val="single" w:sz="4" w:space="0" w:color="auto"/>
            </w:tcBorders>
          </w:tcPr>
          <w:p w14:paraId="17D4F603" w14:textId="77777777" w:rsidR="006808DB" w:rsidRDefault="006808DB" w:rsidP="005E215F">
            <w:pPr>
              <w:pStyle w:val="Tabletext0"/>
            </w:pPr>
            <w:r>
              <w:t>Watch &amp; Wait</w:t>
            </w:r>
          </w:p>
        </w:tc>
        <w:tc>
          <w:tcPr>
            <w:tcW w:w="2310" w:type="dxa"/>
            <w:tcBorders>
              <w:bottom w:val="single" w:sz="4" w:space="0" w:color="auto"/>
            </w:tcBorders>
            <w:vAlign w:val="center"/>
          </w:tcPr>
          <w:p w14:paraId="5FEE82C4" w14:textId="77777777" w:rsidR="006808DB" w:rsidRDefault="006808DB" w:rsidP="005E215F">
            <w:pPr>
              <w:spacing w:before="40" w:after="40"/>
              <w:jc w:val="center"/>
              <w:rPr>
                <w:rFonts w:ascii="Arial Narrow" w:hAnsi="Arial Narrow"/>
                <w:color w:val="000000"/>
              </w:rPr>
            </w:pPr>
            <w:r>
              <w:rPr>
                <w:rFonts w:ascii="Arial Narrow" w:hAnsi="Arial Narrow"/>
                <w:color w:val="000000"/>
              </w:rPr>
              <w:t>$1,208.27</w:t>
            </w:r>
          </w:p>
        </w:tc>
        <w:tc>
          <w:tcPr>
            <w:tcW w:w="2311" w:type="dxa"/>
            <w:tcBorders>
              <w:bottom w:val="single" w:sz="4" w:space="0" w:color="auto"/>
            </w:tcBorders>
            <w:vAlign w:val="center"/>
          </w:tcPr>
          <w:p w14:paraId="5C1B8373" w14:textId="77777777" w:rsidR="006808DB" w:rsidRDefault="006808DB" w:rsidP="005E215F">
            <w:pPr>
              <w:spacing w:before="40" w:after="40"/>
              <w:jc w:val="center"/>
              <w:rPr>
                <w:rFonts w:ascii="Arial Narrow" w:hAnsi="Arial Narrow"/>
                <w:color w:val="000000"/>
              </w:rPr>
            </w:pPr>
            <w:r>
              <w:rPr>
                <w:rFonts w:ascii="Arial Narrow" w:hAnsi="Arial Narrow"/>
                <w:color w:val="000000"/>
              </w:rPr>
              <w:t>$686.11</w:t>
            </w:r>
          </w:p>
        </w:tc>
        <w:tc>
          <w:tcPr>
            <w:tcW w:w="2311" w:type="dxa"/>
            <w:tcBorders>
              <w:bottom w:val="single" w:sz="4" w:space="0" w:color="auto"/>
            </w:tcBorders>
            <w:vAlign w:val="center"/>
          </w:tcPr>
          <w:p w14:paraId="268EC259" w14:textId="77777777" w:rsidR="006808DB" w:rsidRDefault="006808DB" w:rsidP="005E215F">
            <w:pPr>
              <w:spacing w:before="40" w:after="40"/>
              <w:jc w:val="center"/>
              <w:rPr>
                <w:rFonts w:ascii="Arial Narrow" w:hAnsi="Arial Narrow"/>
                <w:color w:val="000000"/>
              </w:rPr>
            </w:pPr>
            <w:r>
              <w:rPr>
                <w:rFonts w:ascii="Arial Narrow" w:hAnsi="Arial Narrow"/>
                <w:color w:val="000000"/>
              </w:rPr>
              <w:t>$522.16</w:t>
            </w:r>
          </w:p>
        </w:tc>
      </w:tr>
      <w:tr w:rsidR="006808DB" w14:paraId="5F9CD056" w14:textId="77777777" w:rsidTr="005E215F">
        <w:trPr>
          <w:cantSplit/>
        </w:trPr>
        <w:tc>
          <w:tcPr>
            <w:tcW w:w="2310" w:type="dxa"/>
            <w:tcBorders>
              <w:bottom w:val="single" w:sz="4" w:space="0" w:color="auto"/>
            </w:tcBorders>
          </w:tcPr>
          <w:p w14:paraId="3CF0AF39" w14:textId="77777777" w:rsidR="006808DB" w:rsidRDefault="006808DB" w:rsidP="005E215F">
            <w:pPr>
              <w:pStyle w:val="Tabletext0"/>
            </w:pPr>
            <w:r>
              <w:t>Total</w:t>
            </w:r>
          </w:p>
        </w:tc>
        <w:tc>
          <w:tcPr>
            <w:tcW w:w="2310" w:type="dxa"/>
            <w:tcBorders>
              <w:bottom w:val="single" w:sz="4" w:space="0" w:color="auto"/>
            </w:tcBorders>
            <w:vAlign w:val="center"/>
          </w:tcPr>
          <w:p w14:paraId="787EE57C" w14:textId="77777777" w:rsidR="006808DB" w:rsidRDefault="006808DB" w:rsidP="005E215F">
            <w:pPr>
              <w:spacing w:before="40" w:after="40"/>
              <w:jc w:val="center"/>
              <w:rPr>
                <w:rFonts w:ascii="Arial Narrow" w:hAnsi="Arial Narrow"/>
                <w:color w:val="000000"/>
              </w:rPr>
            </w:pPr>
            <w:r>
              <w:rPr>
                <w:rFonts w:ascii="Arial Narrow" w:hAnsi="Arial Narrow"/>
                <w:color w:val="000000"/>
              </w:rPr>
              <w:t>$8,964.90</w:t>
            </w:r>
          </w:p>
        </w:tc>
        <w:tc>
          <w:tcPr>
            <w:tcW w:w="2311" w:type="dxa"/>
            <w:tcBorders>
              <w:bottom w:val="single" w:sz="4" w:space="0" w:color="auto"/>
            </w:tcBorders>
            <w:vAlign w:val="center"/>
          </w:tcPr>
          <w:p w14:paraId="3736C6B3" w14:textId="77777777" w:rsidR="006808DB" w:rsidRDefault="006808DB" w:rsidP="005E215F">
            <w:pPr>
              <w:spacing w:before="40" w:after="40"/>
              <w:jc w:val="center"/>
              <w:rPr>
                <w:rFonts w:ascii="Arial Narrow" w:hAnsi="Arial Narrow"/>
                <w:color w:val="000000"/>
              </w:rPr>
            </w:pPr>
            <w:r>
              <w:rPr>
                <w:rFonts w:ascii="Arial Narrow" w:hAnsi="Arial Narrow"/>
                <w:color w:val="000000"/>
              </w:rPr>
              <w:t>$8,196.05</w:t>
            </w:r>
          </w:p>
        </w:tc>
        <w:tc>
          <w:tcPr>
            <w:tcW w:w="2311" w:type="dxa"/>
            <w:tcBorders>
              <w:bottom w:val="single" w:sz="4" w:space="0" w:color="auto"/>
            </w:tcBorders>
            <w:vAlign w:val="center"/>
          </w:tcPr>
          <w:p w14:paraId="4B719638" w14:textId="77777777" w:rsidR="006808DB" w:rsidRDefault="006808DB" w:rsidP="005E215F">
            <w:pPr>
              <w:spacing w:before="40" w:after="40"/>
              <w:jc w:val="center"/>
              <w:rPr>
                <w:rFonts w:ascii="Arial Narrow" w:hAnsi="Arial Narrow"/>
                <w:color w:val="000000"/>
              </w:rPr>
            </w:pPr>
            <w:r>
              <w:rPr>
                <w:rFonts w:ascii="Arial Narrow" w:hAnsi="Arial Narrow"/>
                <w:color w:val="000000"/>
              </w:rPr>
              <w:t>$768.84</w:t>
            </w:r>
          </w:p>
        </w:tc>
      </w:tr>
      <w:tr w:rsidR="006808DB" w14:paraId="660EFE59" w14:textId="77777777" w:rsidTr="005E215F">
        <w:trPr>
          <w:cantSplit/>
        </w:trPr>
        <w:tc>
          <w:tcPr>
            <w:tcW w:w="2310" w:type="dxa"/>
            <w:tcBorders>
              <w:right w:val="nil"/>
            </w:tcBorders>
          </w:tcPr>
          <w:p w14:paraId="1DF165F6" w14:textId="77777777" w:rsidR="006808DB" w:rsidRPr="00E3268B" w:rsidRDefault="006808DB" w:rsidP="005E215F">
            <w:pPr>
              <w:pStyle w:val="Tabletext0"/>
              <w:rPr>
                <w:b/>
              </w:rPr>
            </w:pPr>
            <w:r w:rsidRPr="00E3268B">
              <w:rPr>
                <w:b/>
              </w:rPr>
              <w:t>Response to Treatment</w:t>
            </w:r>
          </w:p>
        </w:tc>
        <w:tc>
          <w:tcPr>
            <w:tcW w:w="2310" w:type="dxa"/>
            <w:tcBorders>
              <w:left w:val="nil"/>
              <w:right w:val="nil"/>
            </w:tcBorders>
            <w:vAlign w:val="center"/>
          </w:tcPr>
          <w:p w14:paraId="50E1455D" w14:textId="77777777" w:rsidR="006808DB" w:rsidRDefault="006808DB" w:rsidP="005E215F">
            <w:pPr>
              <w:spacing w:before="40" w:after="40"/>
              <w:jc w:val="center"/>
              <w:rPr>
                <w:rFonts w:ascii="Arial Narrow" w:hAnsi="Arial Narrow"/>
                <w:color w:val="000000"/>
              </w:rPr>
            </w:pPr>
          </w:p>
        </w:tc>
        <w:tc>
          <w:tcPr>
            <w:tcW w:w="2311" w:type="dxa"/>
            <w:tcBorders>
              <w:left w:val="nil"/>
              <w:right w:val="nil"/>
            </w:tcBorders>
            <w:vAlign w:val="center"/>
          </w:tcPr>
          <w:p w14:paraId="6D2EE70F" w14:textId="77777777" w:rsidR="006808DB" w:rsidRDefault="006808DB" w:rsidP="005E215F">
            <w:pPr>
              <w:spacing w:before="40" w:after="40"/>
              <w:jc w:val="center"/>
              <w:rPr>
                <w:rFonts w:ascii="Arial Narrow" w:hAnsi="Arial Narrow"/>
                <w:color w:val="000000"/>
              </w:rPr>
            </w:pPr>
          </w:p>
        </w:tc>
        <w:tc>
          <w:tcPr>
            <w:tcW w:w="2311" w:type="dxa"/>
            <w:tcBorders>
              <w:left w:val="nil"/>
            </w:tcBorders>
            <w:vAlign w:val="center"/>
          </w:tcPr>
          <w:p w14:paraId="3B632854" w14:textId="77777777" w:rsidR="006808DB" w:rsidRDefault="006808DB" w:rsidP="005E215F">
            <w:pPr>
              <w:spacing w:before="40" w:after="40"/>
              <w:jc w:val="center"/>
              <w:rPr>
                <w:rFonts w:ascii="Arial Narrow" w:hAnsi="Arial Narrow"/>
                <w:color w:val="000000"/>
              </w:rPr>
            </w:pPr>
          </w:p>
        </w:tc>
      </w:tr>
      <w:tr w:rsidR="006808DB" w14:paraId="60699DC4" w14:textId="77777777" w:rsidTr="005E215F">
        <w:trPr>
          <w:cantSplit/>
        </w:trPr>
        <w:tc>
          <w:tcPr>
            <w:tcW w:w="2310" w:type="dxa"/>
          </w:tcPr>
          <w:p w14:paraId="68408262" w14:textId="77777777" w:rsidR="006808DB" w:rsidRDefault="006808DB" w:rsidP="005E215F">
            <w:pPr>
              <w:pStyle w:val="Tabletext0"/>
            </w:pPr>
            <w:proofErr w:type="spellStart"/>
            <w:r>
              <w:t>Immuno</w:t>
            </w:r>
            <w:proofErr w:type="spellEnd"/>
            <w:r>
              <w:t>-chemotherapy</w:t>
            </w:r>
          </w:p>
        </w:tc>
        <w:tc>
          <w:tcPr>
            <w:tcW w:w="2310" w:type="dxa"/>
            <w:vAlign w:val="center"/>
          </w:tcPr>
          <w:p w14:paraId="0DD6D294" w14:textId="77777777" w:rsidR="006808DB" w:rsidRDefault="006808DB" w:rsidP="005E215F">
            <w:pPr>
              <w:spacing w:before="40" w:after="40"/>
              <w:jc w:val="center"/>
              <w:rPr>
                <w:rFonts w:ascii="Arial Narrow" w:hAnsi="Arial Narrow"/>
                <w:color w:val="000000"/>
              </w:rPr>
            </w:pPr>
            <w:r>
              <w:rPr>
                <w:rFonts w:ascii="Arial Narrow" w:hAnsi="Arial Narrow"/>
                <w:color w:val="000000"/>
              </w:rPr>
              <w:t>$333.29</w:t>
            </w:r>
          </w:p>
        </w:tc>
        <w:tc>
          <w:tcPr>
            <w:tcW w:w="2311" w:type="dxa"/>
            <w:vAlign w:val="center"/>
          </w:tcPr>
          <w:p w14:paraId="05593D9A" w14:textId="77777777" w:rsidR="006808DB" w:rsidRDefault="006808DB" w:rsidP="005E215F">
            <w:pPr>
              <w:spacing w:before="40" w:after="40"/>
              <w:jc w:val="center"/>
              <w:rPr>
                <w:rFonts w:ascii="Arial Narrow" w:hAnsi="Arial Narrow"/>
                <w:color w:val="000000"/>
              </w:rPr>
            </w:pPr>
            <w:r>
              <w:rPr>
                <w:rFonts w:ascii="Arial Narrow" w:hAnsi="Arial Narrow"/>
                <w:color w:val="000000"/>
              </w:rPr>
              <w:t>$552.16</w:t>
            </w:r>
          </w:p>
        </w:tc>
        <w:tc>
          <w:tcPr>
            <w:tcW w:w="2311" w:type="dxa"/>
            <w:vAlign w:val="center"/>
          </w:tcPr>
          <w:p w14:paraId="4B9CFB83" w14:textId="77777777" w:rsidR="006808DB" w:rsidRDefault="006808DB" w:rsidP="005E215F">
            <w:pPr>
              <w:spacing w:before="40" w:after="40"/>
              <w:jc w:val="center"/>
              <w:rPr>
                <w:rFonts w:ascii="Arial Narrow" w:hAnsi="Arial Narrow"/>
                <w:color w:val="000000"/>
              </w:rPr>
            </w:pPr>
            <w:r>
              <w:rPr>
                <w:rFonts w:ascii="Arial Narrow" w:hAnsi="Arial Narrow"/>
                <w:color w:val="FF0000"/>
              </w:rPr>
              <w:t>-$218.86</w:t>
            </w:r>
          </w:p>
        </w:tc>
      </w:tr>
      <w:tr w:rsidR="006808DB" w14:paraId="319959A7" w14:textId="77777777" w:rsidTr="005E215F">
        <w:trPr>
          <w:cantSplit/>
        </w:trPr>
        <w:tc>
          <w:tcPr>
            <w:tcW w:w="2310" w:type="dxa"/>
          </w:tcPr>
          <w:p w14:paraId="4ED6457D" w14:textId="77777777" w:rsidR="006808DB" w:rsidRDefault="006808DB" w:rsidP="005E215F">
            <w:pPr>
              <w:pStyle w:val="Tabletext0"/>
            </w:pPr>
            <w:r>
              <w:t>Radiotherapy</w:t>
            </w:r>
          </w:p>
        </w:tc>
        <w:tc>
          <w:tcPr>
            <w:tcW w:w="2310" w:type="dxa"/>
            <w:vAlign w:val="center"/>
          </w:tcPr>
          <w:p w14:paraId="0D34ABB9"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vAlign w:val="center"/>
          </w:tcPr>
          <w:p w14:paraId="38AC8D7B"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vAlign w:val="center"/>
          </w:tcPr>
          <w:p w14:paraId="4EBC8724"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r>
      <w:tr w:rsidR="006808DB" w14:paraId="272AD9EB" w14:textId="77777777" w:rsidTr="005E215F">
        <w:trPr>
          <w:cantSplit/>
        </w:trPr>
        <w:tc>
          <w:tcPr>
            <w:tcW w:w="2310" w:type="dxa"/>
            <w:tcBorders>
              <w:bottom w:val="single" w:sz="4" w:space="0" w:color="auto"/>
            </w:tcBorders>
          </w:tcPr>
          <w:p w14:paraId="631132E2" w14:textId="77777777" w:rsidR="006808DB" w:rsidRDefault="006808DB" w:rsidP="005E215F">
            <w:pPr>
              <w:pStyle w:val="Tabletext0"/>
            </w:pPr>
            <w:r>
              <w:t>Watch &amp; Wait</w:t>
            </w:r>
          </w:p>
        </w:tc>
        <w:tc>
          <w:tcPr>
            <w:tcW w:w="2310" w:type="dxa"/>
            <w:tcBorders>
              <w:bottom w:val="single" w:sz="4" w:space="0" w:color="auto"/>
            </w:tcBorders>
            <w:vAlign w:val="center"/>
          </w:tcPr>
          <w:p w14:paraId="25D9F26D"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tcBorders>
              <w:bottom w:val="single" w:sz="4" w:space="0" w:color="auto"/>
            </w:tcBorders>
            <w:vAlign w:val="center"/>
          </w:tcPr>
          <w:p w14:paraId="35360FC6"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c>
          <w:tcPr>
            <w:tcW w:w="2311" w:type="dxa"/>
            <w:tcBorders>
              <w:bottom w:val="single" w:sz="4" w:space="0" w:color="auto"/>
            </w:tcBorders>
            <w:vAlign w:val="center"/>
          </w:tcPr>
          <w:p w14:paraId="7607E00A" w14:textId="77777777" w:rsidR="006808DB" w:rsidRDefault="006808DB" w:rsidP="005E215F">
            <w:pPr>
              <w:spacing w:before="40" w:after="40"/>
              <w:jc w:val="center"/>
              <w:rPr>
                <w:rFonts w:ascii="Arial Narrow" w:hAnsi="Arial Narrow"/>
                <w:color w:val="000000"/>
              </w:rPr>
            </w:pPr>
            <w:r>
              <w:rPr>
                <w:rFonts w:ascii="Arial Narrow" w:hAnsi="Arial Narrow"/>
                <w:color w:val="000000"/>
              </w:rPr>
              <w:t>$0.00</w:t>
            </w:r>
          </w:p>
        </w:tc>
      </w:tr>
      <w:tr w:rsidR="006808DB" w14:paraId="3E53B083" w14:textId="77777777" w:rsidTr="005E215F">
        <w:trPr>
          <w:cantSplit/>
        </w:trPr>
        <w:tc>
          <w:tcPr>
            <w:tcW w:w="2310" w:type="dxa"/>
            <w:tcBorders>
              <w:bottom w:val="single" w:sz="4" w:space="0" w:color="auto"/>
            </w:tcBorders>
          </w:tcPr>
          <w:p w14:paraId="31F6D0A2" w14:textId="77777777" w:rsidR="006808DB" w:rsidRDefault="006808DB" w:rsidP="005E215F">
            <w:pPr>
              <w:pStyle w:val="Tabletext0"/>
            </w:pPr>
            <w:r>
              <w:t>Total</w:t>
            </w:r>
          </w:p>
        </w:tc>
        <w:tc>
          <w:tcPr>
            <w:tcW w:w="2310" w:type="dxa"/>
            <w:tcBorders>
              <w:bottom w:val="single" w:sz="4" w:space="0" w:color="auto"/>
            </w:tcBorders>
            <w:vAlign w:val="center"/>
          </w:tcPr>
          <w:p w14:paraId="64AE9C88" w14:textId="77777777" w:rsidR="006808DB" w:rsidRDefault="006808DB" w:rsidP="005E215F">
            <w:pPr>
              <w:spacing w:before="40" w:after="40"/>
              <w:jc w:val="center"/>
              <w:rPr>
                <w:rFonts w:ascii="Arial Narrow" w:hAnsi="Arial Narrow"/>
                <w:color w:val="000000"/>
              </w:rPr>
            </w:pPr>
            <w:r>
              <w:rPr>
                <w:rFonts w:ascii="Arial Narrow" w:hAnsi="Arial Narrow"/>
                <w:color w:val="000000"/>
              </w:rPr>
              <w:t>$333.29</w:t>
            </w:r>
          </w:p>
        </w:tc>
        <w:tc>
          <w:tcPr>
            <w:tcW w:w="2311" w:type="dxa"/>
            <w:tcBorders>
              <w:bottom w:val="single" w:sz="4" w:space="0" w:color="auto"/>
            </w:tcBorders>
            <w:vAlign w:val="center"/>
          </w:tcPr>
          <w:p w14:paraId="19B80AC4" w14:textId="77777777" w:rsidR="006808DB" w:rsidRDefault="006808DB" w:rsidP="005E215F">
            <w:pPr>
              <w:spacing w:before="40" w:after="40"/>
              <w:jc w:val="center"/>
              <w:rPr>
                <w:rFonts w:ascii="Arial Narrow" w:hAnsi="Arial Narrow"/>
                <w:color w:val="000000"/>
              </w:rPr>
            </w:pPr>
            <w:r>
              <w:rPr>
                <w:rFonts w:ascii="Arial Narrow" w:hAnsi="Arial Narrow"/>
                <w:color w:val="000000"/>
              </w:rPr>
              <w:t>$552.16</w:t>
            </w:r>
          </w:p>
        </w:tc>
        <w:tc>
          <w:tcPr>
            <w:tcW w:w="2311" w:type="dxa"/>
            <w:tcBorders>
              <w:bottom w:val="single" w:sz="4" w:space="0" w:color="auto"/>
            </w:tcBorders>
            <w:vAlign w:val="center"/>
          </w:tcPr>
          <w:p w14:paraId="4481B042" w14:textId="77777777" w:rsidR="006808DB" w:rsidRDefault="006808DB" w:rsidP="005E215F">
            <w:pPr>
              <w:spacing w:before="40" w:after="40"/>
              <w:jc w:val="center"/>
              <w:rPr>
                <w:rFonts w:ascii="Arial Narrow" w:hAnsi="Arial Narrow"/>
                <w:color w:val="000000"/>
              </w:rPr>
            </w:pPr>
            <w:r>
              <w:rPr>
                <w:rFonts w:ascii="Arial Narrow" w:hAnsi="Arial Narrow"/>
                <w:color w:val="FF0000"/>
              </w:rPr>
              <w:t>-$218.86</w:t>
            </w:r>
          </w:p>
        </w:tc>
      </w:tr>
      <w:tr w:rsidR="006808DB" w14:paraId="67E8C433" w14:textId="77777777" w:rsidTr="005E215F">
        <w:trPr>
          <w:cantSplit/>
        </w:trPr>
        <w:tc>
          <w:tcPr>
            <w:tcW w:w="2310" w:type="dxa"/>
            <w:tcBorders>
              <w:right w:val="nil"/>
            </w:tcBorders>
          </w:tcPr>
          <w:p w14:paraId="2BA777F2" w14:textId="77777777" w:rsidR="006808DB" w:rsidRPr="00E3268B" w:rsidRDefault="006808DB" w:rsidP="005E215F">
            <w:pPr>
              <w:pStyle w:val="Tabletext0"/>
              <w:rPr>
                <w:b/>
              </w:rPr>
            </w:pPr>
            <w:r w:rsidRPr="00E3268B">
              <w:rPr>
                <w:b/>
              </w:rPr>
              <w:t>Total</w:t>
            </w:r>
          </w:p>
        </w:tc>
        <w:tc>
          <w:tcPr>
            <w:tcW w:w="2310" w:type="dxa"/>
            <w:tcBorders>
              <w:left w:val="nil"/>
              <w:right w:val="nil"/>
            </w:tcBorders>
            <w:vAlign w:val="center"/>
          </w:tcPr>
          <w:p w14:paraId="52B13709" w14:textId="77777777" w:rsidR="006808DB" w:rsidRDefault="006808DB" w:rsidP="005E215F">
            <w:pPr>
              <w:spacing w:before="40" w:after="40"/>
              <w:jc w:val="center"/>
              <w:rPr>
                <w:rFonts w:ascii="Arial Narrow" w:hAnsi="Arial Narrow"/>
                <w:color w:val="000000"/>
              </w:rPr>
            </w:pPr>
          </w:p>
        </w:tc>
        <w:tc>
          <w:tcPr>
            <w:tcW w:w="2311" w:type="dxa"/>
            <w:tcBorders>
              <w:left w:val="nil"/>
              <w:right w:val="nil"/>
            </w:tcBorders>
            <w:vAlign w:val="center"/>
          </w:tcPr>
          <w:p w14:paraId="73992FFB" w14:textId="77777777" w:rsidR="006808DB" w:rsidRDefault="006808DB" w:rsidP="005E215F">
            <w:pPr>
              <w:spacing w:before="40" w:after="40"/>
              <w:jc w:val="center"/>
              <w:rPr>
                <w:rFonts w:ascii="Arial Narrow" w:hAnsi="Arial Narrow"/>
                <w:color w:val="000000"/>
              </w:rPr>
            </w:pPr>
          </w:p>
        </w:tc>
        <w:tc>
          <w:tcPr>
            <w:tcW w:w="2311" w:type="dxa"/>
            <w:tcBorders>
              <w:left w:val="nil"/>
            </w:tcBorders>
            <w:vAlign w:val="center"/>
          </w:tcPr>
          <w:p w14:paraId="56D2969C" w14:textId="77777777" w:rsidR="006808DB" w:rsidRDefault="006808DB" w:rsidP="005E215F">
            <w:pPr>
              <w:spacing w:before="40" w:after="40"/>
              <w:jc w:val="center"/>
              <w:rPr>
                <w:rFonts w:ascii="Arial Narrow" w:hAnsi="Arial Narrow"/>
                <w:color w:val="000000"/>
              </w:rPr>
            </w:pPr>
          </w:p>
        </w:tc>
      </w:tr>
      <w:tr w:rsidR="006808DB" w14:paraId="41A9BFB0" w14:textId="77777777" w:rsidTr="005E215F">
        <w:trPr>
          <w:cantSplit/>
        </w:trPr>
        <w:tc>
          <w:tcPr>
            <w:tcW w:w="2310" w:type="dxa"/>
          </w:tcPr>
          <w:p w14:paraId="67BBB716" w14:textId="77777777" w:rsidR="006808DB" w:rsidRDefault="006808DB" w:rsidP="005E215F">
            <w:pPr>
              <w:pStyle w:val="Tabletext0"/>
            </w:pPr>
            <w:proofErr w:type="spellStart"/>
            <w:r>
              <w:t>Immuno</w:t>
            </w:r>
            <w:proofErr w:type="spellEnd"/>
            <w:r>
              <w:t>-chemotherapy</w:t>
            </w:r>
          </w:p>
        </w:tc>
        <w:tc>
          <w:tcPr>
            <w:tcW w:w="2310" w:type="dxa"/>
            <w:vAlign w:val="center"/>
          </w:tcPr>
          <w:p w14:paraId="276BA9AD" w14:textId="77777777" w:rsidR="006808DB" w:rsidRDefault="006808DB" w:rsidP="005E215F">
            <w:pPr>
              <w:spacing w:before="40" w:after="40"/>
              <w:jc w:val="center"/>
              <w:rPr>
                <w:rFonts w:ascii="Arial Narrow" w:hAnsi="Arial Narrow"/>
                <w:color w:val="000000"/>
              </w:rPr>
            </w:pPr>
            <w:r>
              <w:rPr>
                <w:rFonts w:ascii="Arial Narrow" w:hAnsi="Arial Narrow"/>
                <w:color w:val="000000"/>
              </w:rPr>
              <w:t>$6,416.11</w:t>
            </w:r>
          </w:p>
        </w:tc>
        <w:tc>
          <w:tcPr>
            <w:tcW w:w="2311" w:type="dxa"/>
            <w:vAlign w:val="center"/>
          </w:tcPr>
          <w:p w14:paraId="68590DCA" w14:textId="77777777" w:rsidR="006808DB" w:rsidRDefault="006808DB" w:rsidP="005E215F">
            <w:pPr>
              <w:spacing w:before="40" w:after="40"/>
              <w:jc w:val="center"/>
              <w:rPr>
                <w:rFonts w:ascii="Arial Narrow" w:hAnsi="Arial Narrow"/>
                <w:color w:val="000000"/>
              </w:rPr>
            </w:pPr>
            <w:r>
              <w:rPr>
                <w:rFonts w:ascii="Arial Narrow" w:hAnsi="Arial Narrow"/>
                <w:color w:val="000000"/>
              </w:rPr>
              <w:t>$6,416.51</w:t>
            </w:r>
          </w:p>
        </w:tc>
        <w:tc>
          <w:tcPr>
            <w:tcW w:w="2311" w:type="dxa"/>
            <w:vAlign w:val="center"/>
          </w:tcPr>
          <w:p w14:paraId="3B72E436" w14:textId="77777777" w:rsidR="006808DB" w:rsidRDefault="006808DB" w:rsidP="005E215F">
            <w:pPr>
              <w:spacing w:before="40" w:after="40"/>
              <w:jc w:val="center"/>
              <w:rPr>
                <w:rFonts w:ascii="Arial Narrow" w:hAnsi="Arial Narrow"/>
                <w:color w:val="000000"/>
              </w:rPr>
            </w:pPr>
            <w:r w:rsidRPr="002D2EA5">
              <w:rPr>
                <w:rFonts w:ascii="Arial Narrow" w:hAnsi="Arial Narrow"/>
                <w:color w:val="FF0000"/>
              </w:rPr>
              <w:t>-$0.40</w:t>
            </w:r>
          </w:p>
        </w:tc>
      </w:tr>
      <w:tr w:rsidR="006808DB" w14:paraId="784D8EAC" w14:textId="77777777" w:rsidTr="005E215F">
        <w:trPr>
          <w:cantSplit/>
        </w:trPr>
        <w:tc>
          <w:tcPr>
            <w:tcW w:w="2310" w:type="dxa"/>
          </w:tcPr>
          <w:p w14:paraId="282B9523" w14:textId="77777777" w:rsidR="006808DB" w:rsidRDefault="006808DB" w:rsidP="005E215F">
            <w:pPr>
              <w:pStyle w:val="Tabletext0"/>
            </w:pPr>
            <w:r>
              <w:t>Radiotherapy</w:t>
            </w:r>
          </w:p>
        </w:tc>
        <w:tc>
          <w:tcPr>
            <w:tcW w:w="2310" w:type="dxa"/>
            <w:vAlign w:val="center"/>
          </w:tcPr>
          <w:p w14:paraId="2B051D28" w14:textId="77777777" w:rsidR="006808DB" w:rsidRDefault="006808DB" w:rsidP="005E215F">
            <w:pPr>
              <w:spacing w:before="40" w:after="40"/>
              <w:jc w:val="center"/>
              <w:rPr>
                <w:rFonts w:ascii="Arial Narrow" w:hAnsi="Arial Narrow"/>
                <w:color w:val="000000"/>
              </w:rPr>
            </w:pPr>
            <w:r>
              <w:rPr>
                <w:rFonts w:ascii="Arial Narrow" w:hAnsi="Arial Narrow"/>
                <w:color w:val="000000"/>
              </w:rPr>
              <w:t>$1,673.81</w:t>
            </w:r>
          </w:p>
        </w:tc>
        <w:tc>
          <w:tcPr>
            <w:tcW w:w="2311" w:type="dxa"/>
            <w:vAlign w:val="center"/>
          </w:tcPr>
          <w:p w14:paraId="7E3C5F45" w14:textId="77777777" w:rsidR="006808DB" w:rsidRDefault="006808DB" w:rsidP="005E215F">
            <w:pPr>
              <w:spacing w:before="40" w:after="40"/>
              <w:jc w:val="center"/>
              <w:rPr>
                <w:rFonts w:ascii="Arial Narrow" w:hAnsi="Arial Narrow"/>
                <w:color w:val="000000"/>
              </w:rPr>
            </w:pPr>
            <w:r>
              <w:rPr>
                <w:rFonts w:ascii="Arial Narrow" w:hAnsi="Arial Narrow"/>
                <w:color w:val="000000"/>
              </w:rPr>
              <w:t>$1,645.60</w:t>
            </w:r>
          </w:p>
        </w:tc>
        <w:tc>
          <w:tcPr>
            <w:tcW w:w="2311" w:type="dxa"/>
            <w:vAlign w:val="center"/>
          </w:tcPr>
          <w:p w14:paraId="6D1FCECD" w14:textId="77777777" w:rsidR="006808DB" w:rsidRDefault="006808DB" w:rsidP="005E215F">
            <w:pPr>
              <w:spacing w:before="40" w:after="40"/>
              <w:jc w:val="center"/>
              <w:rPr>
                <w:rFonts w:ascii="Arial Narrow" w:hAnsi="Arial Narrow"/>
                <w:color w:val="000000"/>
              </w:rPr>
            </w:pPr>
            <w:r>
              <w:rPr>
                <w:rFonts w:ascii="Arial Narrow" w:hAnsi="Arial Narrow"/>
                <w:color w:val="000000"/>
              </w:rPr>
              <w:t>$28.22</w:t>
            </w:r>
          </w:p>
        </w:tc>
      </w:tr>
      <w:tr w:rsidR="006808DB" w14:paraId="22733EBD" w14:textId="77777777" w:rsidTr="005E215F">
        <w:trPr>
          <w:cantSplit/>
        </w:trPr>
        <w:tc>
          <w:tcPr>
            <w:tcW w:w="2310" w:type="dxa"/>
          </w:tcPr>
          <w:p w14:paraId="52675498" w14:textId="77777777" w:rsidR="006808DB" w:rsidRDefault="006808DB" w:rsidP="005E215F">
            <w:pPr>
              <w:pStyle w:val="Tabletext0"/>
            </w:pPr>
            <w:r>
              <w:t>Watch &amp; Wait</w:t>
            </w:r>
          </w:p>
        </w:tc>
        <w:tc>
          <w:tcPr>
            <w:tcW w:w="2310" w:type="dxa"/>
            <w:vAlign w:val="center"/>
          </w:tcPr>
          <w:p w14:paraId="61252BA6" w14:textId="77777777" w:rsidR="006808DB" w:rsidRDefault="006808DB" w:rsidP="005E215F">
            <w:pPr>
              <w:spacing w:before="40" w:after="40"/>
              <w:jc w:val="center"/>
              <w:rPr>
                <w:rFonts w:ascii="Arial Narrow" w:hAnsi="Arial Narrow"/>
                <w:color w:val="000000"/>
              </w:rPr>
            </w:pPr>
            <w:r>
              <w:rPr>
                <w:rFonts w:ascii="Arial Narrow" w:hAnsi="Arial Narrow"/>
                <w:color w:val="000000"/>
              </w:rPr>
              <w:t>$1,208.27</w:t>
            </w:r>
          </w:p>
        </w:tc>
        <w:tc>
          <w:tcPr>
            <w:tcW w:w="2311" w:type="dxa"/>
            <w:vAlign w:val="center"/>
          </w:tcPr>
          <w:p w14:paraId="6A0876BD" w14:textId="77777777" w:rsidR="006808DB" w:rsidRDefault="006808DB" w:rsidP="005E215F">
            <w:pPr>
              <w:spacing w:before="40" w:after="40"/>
              <w:jc w:val="center"/>
              <w:rPr>
                <w:rFonts w:ascii="Arial Narrow" w:hAnsi="Arial Narrow"/>
                <w:color w:val="000000"/>
              </w:rPr>
            </w:pPr>
            <w:r>
              <w:rPr>
                <w:rFonts w:ascii="Arial Narrow" w:hAnsi="Arial Narrow"/>
                <w:color w:val="000000"/>
              </w:rPr>
              <w:t>$686.11</w:t>
            </w:r>
          </w:p>
        </w:tc>
        <w:tc>
          <w:tcPr>
            <w:tcW w:w="2311" w:type="dxa"/>
            <w:vAlign w:val="center"/>
          </w:tcPr>
          <w:p w14:paraId="61C01F07" w14:textId="77777777" w:rsidR="006808DB" w:rsidRDefault="006808DB" w:rsidP="005E215F">
            <w:pPr>
              <w:spacing w:before="40" w:after="40"/>
              <w:jc w:val="center"/>
              <w:rPr>
                <w:rFonts w:ascii="Arial Narrow" w:hAnsi="Arial Narrow"/>
                <w:color w:val="000000"/>
              </w:rPr>
            </w:pPr>
            <w:r>
              <w:rPr>
                <w:rFonts w:ascii="Arial Narrow" w:hAnsi="Arial Narrow"/>
                <w:color w:val="000000"/>
              </w:rPr>
              <w:t>$522.16</w:t>
            </w:r>
          </w:p>
        </w:tc>
      </w:tr>
      <w:tr w:rsidR="006808DB" w14:paraId="70D498EF" w14:textId="77777777" w:rsidTr="005E215F">
        <w:trPr>
          <w:cantSplit/>
        </w:trPr>
        <w:tc>
          <w:tcPr>
            <w:tcW w:w="2310" w:type="dxa"/>
          </w:tcPr>
          <w:p w14:paraId="3A3AA16B" w14:textId="77777777" w:rsidR="006808DB" w:rsidRPr="00E3268B" w:rsidRDefault="006808DB" w:rsidP="005E215F">
            <w:pPr>
              <w:pStyle w:val="Tabletext0"/>
              <w:rPr>
                <w:b/>
              </w:rPr>
            </w:pPr>
            <w:r w:rsidRPr="00E3268B">
              <w:rPr>
                <w:b/>
              </w:rPr>
              <w:t>Total</w:t>
            </w:r>
          </w:p>
        </w:tc>
        <w:tc>
          <w:tcPr>
            <w:tcW w:w="2310" w:type="dxa"/>
            <w:vAlign w:val="center"/>
          </w:tcPr>
          <w:p w14:paraId="764F47A8" w14:textId="77777777" w:rsidR="006808DB" w:rsidRDefault="006808DB" w:rsidP="005E215F">
            <w:pPr>
              <w:spacing w:before="40" w:after="40"/>
              <w:jc w:val="center"/>
              <w:rPr>
                <w:rFonts w:ascii="Arial Narrow" w:hAnsi="Arial Narrow"/>
                <w:b/>
                <w:bCs/>
                <w:color w:val="000000"/>
              </w:rPr>
            </w:pPr>
            <w:r>
              <w:rPr>
                <w:rFonts w:ascii="Arial Narrow" w:hAnsi="Arial Narrow"/>
                <w:b/>
                <w:bCs/>
                <w:color w:val="000000"/>
              </w:rPr>
              <w:t>$9,298.19</w:t>
            </w:r>
          </w:p>
        </w:tc>
        <w:tc>
          <w:tcPr>
            <w:tcW w:w="2311" w:type="dxa"/>
            <w:vAlign w:val="center"/>
          </w:tcPr>
          <w:p w14:paraId="5A7CE44D" w14:textId="77777777" w:rsidR="006808DB" w:rsidRDefault="006808DB" w:rsidP="005E215F">
            <w:pPr>
              <w:spacing w:before="40" w:after="40"/>
              <w:jc w:val="center"/>
              <w:rPr>
                <w:rFonts w:ascii="Arial Narrow" w:hAnsi="Arial Narrow"/>
                <w:b/>
                <w:bCs/>
                <w:color w:val="000000"/>
              </w:rPr>
            </w:pPr>
            <w:r>
              <w:rPr>
                <w:rFonts w:ascii="Arial Narrow" w:hAnsi="Arial Narrow"/>
                <w:b/>
                <w:bCs/>
                <w:color w:val="000000"/>
              </w:rPr>
              <w:t>$8,748.21</w:t>
            </w:r>
          </w:p>
        </w:tc>
        <w:tc>
          <w:tcPr>
            <w:tcW w:w="2311" w:type="dxa"/>
            <w:vAlign w:val="center"/>
          </w:tcPr>
          <w:p w14:paraId="044F49F3" w14:textId="77777777" w:rsidR="006808DB" w:rsidRDefault="006808DB" w:rsidP="005E215F">
            <w:pPr>
              <w:spacing w:before="40" w:after="40"/>
              <w:jc w:val="center"/>
              <w:rPr>
                <w:rFonts w:ascii="Arial Narrow" w:hAnsi="Arial Narrow"/>
                <w:color w:val="000000"/>
              </w:rPr>
            </w:pPr>
            <w:r>
              <w:rPr>
                <w:rFonts w:ascii="Arial Narrow" w:hAnsi="Arial Narrow"/>
                <w:color w:val="000000"/>
              </w:rPr>
              <w:t>$549.98</w:t>
            </w:r>
          </w:p>
        </w:tc>
      </w:tr>
    </w:tbl>
    <w:p w14:paraId="26FC08BB" w14:textId="77777777" w:rsidR="00416B43" w:rsidRPr="002701BE" w:rsidRDefault="00416B43" w:rsidP="00416B43">
      <w:pPr>
        <w:spacing w:before="240" w:after="240"/>
      </w:pPr>
      <w:r w:rsidRPr="002701BE">
        <w:t xml:space="preserve">The modelled results were most sensitive to the prevalence of asymptomatic patients, as these patients receive observation rather than </w:t>
      </w:r>
      <w:proofErr w:type="spellStart"/>
      <w:r w:rsidRPr="002701BE">
        <w:t>immuno</w:t>
      </w:r>
      <w:proofErr w:type="spellEnd"/>
      <w:r w:rsidRPr="002701BE">
        <w:t xml:space="preserve">-chemotherapy, and the proportion of patients with stage I-II disease who are treated with </w:t>
      </w:r>
      <w:proofErr w:type="spellStart"/>
      <w:r w:rsidRPr="002701BE">
        <w:t>immuno</w:t>
      </w:r>
      <w:proofErr w:type="spellEnd"/>
      <w:r w:rsidRPr="002701BE">
        <w:t>-chemotherapy (which is determined by the proportion with bulky disease)(</w:t>
      </w:r>
      <w:r w:rsidR="00183C03">
        <w:fldChar w:fldCharType="begin"/>
      </w:r>
      <w:r w:rsidR="00183C03">
        <w:instrText xml:space="preserve"> REF _Ref467065439 \h </w:instrText>
      </w:r>
      <w:r w:rsidR="00183C03">
        <w:fldChar w:fldCharType="separate"/>
      </w:r>
      <w:r w:rsidR="002938FE" w:rsidRPr="00183C03">
        <w:t xml:space="preserve">Table </w:t>
      </w:r>
      <w:r w:rsidR="002938FE">
        <w:rPr>
          <w:noProof/>
        </w:rPr>
        <w:t>7</w:t>
      </w:r>
      <w:r w:rsidR="00183C03">
        <w:fldChar w:fldCharType="end"/>
      </w:r>
      <w:r w:rsidRPr="002701BE">
        <w:t>).</w:t>
      </w:r>
    </w:p>
    <w:p w14:paraId="2DE7A3CF" w14:textId="77777777" w:rsidR="00416B43" w:rsidRPr="00183C03" w:rsidRDefault="00183C03" w:rsidP="00AE6BFA">
      <w:pPr>
        <w:pStyle w:val="TableHeading"/>
        <w:rPr>
          <w:snapToGrid w:val="0"/>
        </w:rPr>
      </w:pPr>
      <w:bookmarkStart w:id="20" w:name="_Ref467065439"/>
      <w:r w:rsidRPr="00183C03">
        <w:t xml:space="preserve">Table </w:t>
      </w:r>
      <w:r w:rsidRPr="00183C03">
        <w:fldChar w:fldCharType="begin"/>
      </w:r>
      <w:r w:rsidRPr="00183C03">
        <w:instrText xml:space="preserve"> SEQ Table \* ARABIC </w:instrText>
      </w:r>
      <w:r w:rsidRPr="00183C03">
        <w:fldChar w:fldCharType="separate"/>
      </w:r>
      <w:r w:rsidR="002938FE">
        <w:t>7</w:t>
      </w:r>
      <w:r w:rsidRPr="00183C03">
        <w:fldChar w:fldCharType="end"/>
      </w:r>
      <w:bookmarkEnd w:id="20"/>
      <w:r w:rsidRPr="00183C03">
        <w:tab/>
      </w:r>
      <w:r w:rsidRPr="00183C03">
        <w:rPr>
          <w:snapToGrid w:val="0"/>
        </w:rPr>
        <w:t>Key drivers of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Key drivers of the economic model--This table describes what factors and assumptions in the economic model affect the incremental cost-effectiveness to the greatest extent."/>
      </w:tblPr>
      <w:tblGrid>
        <w:gridCol w:w="3004"/>
        <w:gridCol w:w="2694"/>
        <w:gridCol w:w="994"/>
        <w:gridCol w:w="2390"/>
      </w:tblGrid>
      <w:tr w:rsidR="00416B43" w:rsidRPr="002701BE" w14:paraId="627BDC37" w14:textId="77777777" w:rsidTr="007F6813">
        <w:trPr>
          <w:cantSplit/>
          <w:tblHeader/>
        </w:trPr>
        <w:tc>
          <w:tcPr>
            <w:tcW w:w="1654" w:type="pct"/>
            <w:shd w:val="clear" w:color="auto" w:fill="auto"/>
          </w:tcPr>
          <w:p w14:paraId="2A8406AE" w14:textId="77777777" w:rsidR="00416B43" w:rsidRPr="002701BE" w:rsidRDefault="00416B43" w:rsidP="007F6813">
            <w:pPr>
              <w:pStyle w:val="TableHeading"/>
              <w:rPr>
                <w:rFonts w:cs="Times New Roman"/>
                <w:snapToGrid w:val="0"/>
                <w:lang w:eastAsia="en-US"/>
              </w:rPr>
            </w:pPr>
            <w:r w:rsidRPr="002701BE">
              <w:rPr>
                <w:rFonts w:cs="Times New Roman"/>
                <w:snapToGrid w:val="0"/>
                <w:lang w:eastAsia="en-US"/>
              </w:rPr>
              <w:t>Description</w:t>
            </w:r>
          </w:p>
        </w:tc>
        <w:tc>
          <w:tcPr>
            <w:tcW w:w="1483" w:type="pct"/>
            <w:shd w:val="clear" w:color="auto" w:fill="auto"/>
          </w:tcPr>
          <w:p w14:paraId="260109D2" w14:textId="77777777" w:rsidR="00416B43" w:rsidRPr="002701BE" w:rsidRDefault="00416B43" w:rsidP="007F6813">
            <w:pPr>
              <w:pStyle w:val="TableHeading"/>
              <w:rPr>
                <w:rFonts w:cs="Times New Roman"/>
                <w:snapToGrid w:val="0"/>
                <w:lang w:eastAsia="en-US"/>
              </w:rPr>
            </w:pPr>
            <w:r w:rsidRPr="002701BE">
              <w:rPr>
                <w:rFonts w:cs="Times New Roman"/>
                <w:snapToGrid w:val="0"/>
                <w:lang w:eastAsia="en-US"/>
              </w:rPr>
              <w:t>Method/Value</w:t>
            </w:r>
          </w:p>
        </w:tc>
        <w:tc>
          <w:tcPr>
            <w:tcW w:w="547" w:type="pct"/>
          </w:tcPr>
          <w:p w14:paraId="10E27125" w14:textId="77777777" w:rsidR="00416B43" w:rsidRPr="002701BE" w:rsidRDefault="00416B43" w:rsidP="007F6813">
            <w:pPr>
              <w:pStyle w:val="TableHeading"/>
              <w:rPr>
                <w:rFonts w:cs="Times New Roman"/>
                <w:snapToGrid w:val="0"/>
                <w:lang w:eastAsia="en-US"/>
              </w:rPr>
            </w:pPr>
            <w:r w:rsidRPr="002701BE">
              <w:rPr>
                <w:rFonts w:cs="Times New Roman"/>
                <w:snapToGrid w:val="0"/>
                <w:lang w:eastAsia="en-US"/>
              </w:rPr>
              <w:t>Estimate</w:t>
            </w:r>
          </w:p>
        </w:tc>
        <w:tc>
          <w:tcPr>
            <w:tcW w:w="1316" w:type="pct"/>
            <w:shd w:val="clear" w:color="auto" w:fill="auto"/>
          </w:tcPr>
          <w:p w14:paraId="5A1B403A" w14:textId="77777777" w:rsidR="00416B43" w:rsidRPr="002701BE" w:rsidRDefault="00416B43" w:rsidP="007F6813">
            <w:pPr>
              <w:pStyle w:val="TableHeading"/>
              <w:rPr>
                <w:rFonts w:cs="Times New Roman"/>
                <w:snapToGrid w:val="0"/>
                <w:lang w:eastAsia="en-US"/>
              </w:rPr>
            </w:pPr>
            <w:r w:rsidRPr="002701BE">
              <w:rPr>
                <w:rFonts w:cs="Times New Roman"/>
                <w:snapToGrid w:val="0"/>
                <w:lang w:eastAsia="en-US"/>
              </w:rPr>
              <w:t>Impact</w:t>
            </w:r>
          </w:p>
        </w:tc>
      </w:tr>
      <w:tr w:rsidR="00416B43" w:rsidRPr="002701BE" w14:paraId="5A9E587C" w14:textId="77777777" w:rsidTr="007F6813">
        <w:trPr>
          <w:cantSplit/>
        </w:trPr>
        <w:tc>
          <w:tcPr>
            <w:tcW w:w="1654" w:type="pct"/>
            <w:shd w:val="clear" w:color="auto" w:fill="auto"/>
          </w:tcPr>
          <w:p w14:paraId="44BC2071" w14:textId="77777777" w:rsidR="00416B43" w:rsidRPr="002701BE" w:rsidRDefault="00416B43" w:rsidP="007F6813">
            <w:pPr>
              <w:pStyle w:val="Tabletext0"/>
              <w:rPr>
                <w:rFonts w:ascii="Times New Roman" w:hAnsi="Times New Roman"/>
                <w:snapToGrid w:val="0"/>
              </w:rPr>
            </w:pPr>
            <w:r w:rsidRPr="002701BE">
              <w:rPr>
                <w:rFonts w:ascii="Times New Roman" w:hAnsi="Times New Roman"/>
                <w:snapToGrid w:val="0"/>
              </w:rPr>
              <w:t>Prevalence of asymptomatic patients</w:t>
            </w:r>
          </w:p>
        </w:tc>
        <w:tc>
          <w:tcPr>
            <w:tcW w:w="1483" w:type="pct"/>
            <w:shd w:val="clear" w:color="auto" w:fill="auto"/>
          </w:tcPr>
          <w:p w14:paraId="00356F90" w14:textId="77777777" w:rsidR="00416B43" w:rsidRPr="002701BE" w:rsidRDefault="00416B43" w:rsidP="007F6813">
            <w:pPr>
              <w:spacing w:before="40" w:after="40"/>
              <w:rPr>
                <w:color w:val="000000"/>
                <w:sz w:val="20"/>
              </w:rPr>
            </w:pPr>
            <w:r w:rsidRPr="002701BE">
              <w:rPr>
                <w:snapToGrid w:val="0"/>
                <w:color w:val="000000"/>
                <w:sz w:val="20"/>
                <w:lang w:eastAsia="en-US"/>
              </w:rPr>
              <w:t>72.5% (58% to 87%)</w:t>
            </w:r>
          </w:p>
        </w:tc>
        <w:tc>
          <w:tcPr>
            <w:tcW w:w="547" w:type="pct"/>
          </w:tcPr>
          <w:p w14:paraId="1D0598FE" w14:textId="77777777" w:rsidR="00416B43" w:rsidRPr="002701BE" w:rsidRDefault="00416B43" w:rsidP="007F6813">
            <w:pPr>
              <w:spacing w:before="40" w:after="40"/>
              <w:rPr>
                <w:color w:val="000000"/>
                <w:sz w:val="20"/>
              </w:rPr>
            </w:pPr>
            <w:r w:rsidRPr="002701BE">
              <w:rPr>
                <w:color w:val="000000"/>
                <w:sz w:val="20"/>
              </w:rPr>
              <w:t>High</w:t>
            </w:r>
          </w:p>
        </w:tc>
        <w:tc>
          <w:tcPr>
            <w:tcW w:w="1316" w:type="pct"/>
            <w:shd w:val="clear" w:color="auto" w:fill="auto"/>
          </w:tcPr>
          <w:p w14:paraId="7ACB0C28"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CT</w:t>
            </w:r>
          </w:p>
        </w:tc>
      </w:tr>
      <w:tr w:rsidR="00416B43" w:rsidRPr="002701BE" w14:paraId="7F050560" w14:textId="77777777" w:rsidTr="007F6813">
        <w:trPr>
          <w:cantSplit/>
        </w:trPr>
        <w:tc>
          <w:tcPr>
            <w:tcW w:w="1654" w:type="pct"/>
            <w:shd w:val="clear" w:color="auto" w:fill="auto"/>
          </w:tcPr>
          <w:p w14:paraId="07B573ED" w14:textId="77777777" w:rsidR="00416B43" w:rsidRPr="002701BE" w:rsidRDefault="00416B43" w:rsidP="007F6813">
            <w:pPr>
              <w:pStyle w:val="Tabletext0"/>
              <w:rPr>
                <w:rFonts w:ascii="Times New Roman" w:hAnsi="Times New Roman"/>
                <w:snapToGrid w:val="0"/>
              </w:rPr>
            </w:pPr>
            <w:r w:rsidRPr="002701BE">
              <w:rPr>
                <w:rFonts w:ascii="Times New Roman" w:hAnsi="Times New Roman"/>
                <w:snapToGrid w:val="0"/>
              </w:rPr>
              <w:t>Proportion of Stage I/II patients treated with immunochemotherapy</w:t>
            </w:r>
          </w:p>
        </w:tc>
        <w:tc>
          <w:tcPr>
            <w:tcW w:w="1483" w:type="pct"/>
            <w:shd w:val="clear" w:color="auto" w:fill="auto"/>
          </w:tcPr>
          <w:p w14:paraId="572D0DA2" w14:textId="77777777" w:rsidR="00416B43" w:rsidRPr="002701BE" w:rsidRDefault="00416B43" w:rsidP="007F6813">
            <w:pPr>
              <w:spacing w:before="40" w:after="40"/>
              <w:rPr>
                <w:color w:val="000000"/>
                <w:sz w:val="20"/>
              </w:rPr>
            </w:pPr>
            <w:r w:rsidRPr="002701BE">
              <w:rPr>
                <w:snapToGrid w:val="0"/>
                <w:color w:val="000000"/>
                <w:sz w:val="20"/>
                <w:lang w:eastAsia="en-US"/>
              </w:rPr>
              <w:t>21.3% (17% to 25.5%)</w:t>
            </w:r>
          </w:p>
        </w:tc>
        <w:tc>
          <w:tcPr>
            <w:tcW w:w="547" w:type="pct"/>
          </w:tcPr>
          <w:p w14:paraId="7670E514" w14:textId="77777777" w:rsidR="00416B43" w:rsidRPr="002701BE" w:rsidRDefault="00416B43" w:rsidP="007F6813">
            <w:pPr>
              <w:spacing w:before="40" w:after="40"/>
              <w:rPr>
                <w:color w:val="000000"/>
                <w:sz w:val="20"/>
              </w:rPr>
            </w:pPr>
            <w:r w:rsidRPr="002701BE">
              <w:rPr>
                <w:color w:val="000000"/>
                <w:sz w:val="20"/>
              </w:rPr>
              <w:t>High</w:t>
            </w:r>
          </w:p>
        </w:tc>
        <w:tc>
          <w:tcPr>
            <w:tcW w:w="1316" w:type="pct"/>
            <w:shd w:val="clear" w:color="auto" w:fill="auto"/>
          </w:tcPr>
          <w:p w14:paraId="64111950"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CT</w:t>
            </w:r>
          </w:p>
        </w:tc>
      </w:tr>
      <w:tr w:rsidR="00416B43" w:rsidRPr="002701BE" w14:paraId="2CD9E459" w14:textId="77777777" w:rsidTr="007F6813">
        <w:trPr>
          <w:cantSplit/>
        </w:trPr>
        <w:tc>
          <w:tcPr>
            <w:tcW w:w="1654" w:type="pct"/>
            <w:shd w:val="clear" w:color="auto" w:fill="auto"/>
          </w:tcPr>
          <w:p w14:paraId="7EAC229E" w14:textId="77777777" w:rsidR="00416B43" w:rsidRPr="002701BE" w:rsidRDefault="00416B43" w:rsidP="007F6813">
            <w:pPr>
              <w:pStyle w:val="Tabletext0"/>
              <w:rPr>
                <w:rFonts w:ascii="Times New Roman" w:hAnsi="Times New Roman"/>
                <w:snapToGrid w:val="0"/>
              </w:rPr>
            </w:pPr>
            <w:r w:rsidRPr="002701BE">
              <w:rPr>
                <w:rFonts w:ascii="Times New Roman" w:hAnsi="Times New Roman"/>
                <w:snapToGrid w:val="0"/>
              </w:rPr>
              <w:t>Cost of PET/CT</w:t>
            </w:r>
          </w:p>
        </w:tc>
        <w:tc>
          <w:tcPr>
            <w:tcW w:w="1483" w:type="pct"/>
            <w:shd w:val="clear" w:color="auto" w:fill="auto"/>
          </w:tcPr>
          <w:p w14:paraId="2CB8F339" w14:textId="77777777" w:rsidR="00416B43" w:rsidRPr="002701BE" w:rsidRDefault="00416B43" w:rsidP="007F6813">
            <w:pPr>
              <w:spacing w:before="40" w:after="40"/>
              <w:rPr>
                <w:color w:val="000000"/>
                <w:sz w:val="20"/>
              </w:rPr>
            </w:pPr>
            <w:r w:rsidRPr="002701BE">
              <w:rPr>
                <w:snapToGrid w:val="0"/>
                <w:color w:val="000000"/>
                <w:sz w:val="20"/>
                <w:lang w:eastAsia="en-US"/>
              </w:rPr>
              <w:t>$953 ($762.40 to $1143.60)</w:t>
            </w:r>
          </w:p>
        </w:tc>
        <w:tc>
          <w:tcPr>
            <w:tcW w:w="547" w:type="pct"/>
          </w:tcPr>
          <w:p w14:paraId="4E5793DE" w14:textId="77777777" w:rsidR="00416B43" w:rsidRPr="002701BE" w:rsidRDefault="00416B43" w:rsidP="007F6813">
            <w:pPr>
              <w:spacing w:before="40" w:after="40"/>
              <w:rPr>
                <w:color w:val="000000"/>
                <w:sz w:val="20"/>
              </w:rPr>
            </w:pPr>
            <w:r w:rsidRPr="002701BE">
              <w:rPr>
                <w:color w:val="000000"/>
                <w:sz w:val="20"/>
              </w:rPr>
              <w:t>Low</w:t>
            </w:r>
          </w:p>
        </w:tc>
        <w:tc>
          <w:tcPr>
            <w:tcW w:w="1316" w:type="pct"/>
            <w:shd w:val="clear" w:color="auto" w:fill="auto"/>
          </w:tcPr>
          <w:p w14:paraId="10D09467"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PET/CT</w:t>
            </w:r>
          </w:p>
        </w:tc>
      </w:tr>
      <w:tr w:rsidR="00416B43" w:rsidRPr="002701BE" w14:paraId="5FB80030" w14:textId="77777777" w:rsidTr="007F6813">
        <w:trPr>
          <w:cantSplit/>
        </w:trPr>
        <w:tc>
          <w:tcPr>
            <w:tcW w:w="1654" w:type="pct"/>
            <w:shd w:val="clear" w:color="auto" w:fill="auto"/>
          </w:tcPr>
          <w:p w14:paraId="3E19F543" w14:textId="77777777" w:rsidR="00416B43" w:rsidRPr="002701BE" w:rsidRDefault="00416B43" w:rsidP="007F6813">
            <w:pPr>
              <w:pStyle w:val="Tabletext0"/>
              <w:rPr>
                <w:rFonts w:ascii="Times New Roman" w:hAnsi="Times New Roman"/>
                <w:snapToGrid w:val="0"/>
              </w:rPr>
            </w:pPr>
            <w:r w:rsidRPr="002701BE">
              <w:rPr>
                <w:rFonts w:ascii="Times New Roman" w:hAnsi="Times New Roman"/>
                <w:snapToGrid w:val="0"/>
              </w:rPr>
              <w:t>Cost of CT</w:t>
            </w:r>
          </w:p>
        </w:tc>
        <w:tc>
          <w:tcPr>
            <w:tcW w:w="1483" w:type="pct"/>
            <w:shd w:val="clear" w:color="auto" w:fill="auto"/>
          </w:tcPr>
          <w:p w14:paraId="04E2D765" w14:textId="77777777" w:rsidR="00416B43" w:rsidRPr="002701BE" w:rsidRDefault="00416B43" w:rsidP="007F6813">
            <w:pPr>
              <w:spacing w:before="40" w:after="40"/>
              <w:rPr>
                <w:color w:val="000000"/>
                <w:sz w:val="20"/>
              </w:rPr>
            </w:pPr>
            <w:r w:rsidRPr="002701BE">
              <w:rPr>
                <w:snapToGrid w:val="0"/>
                <w:color w:val="000000"/>
                <w:sz w:val="20"/>
                <w:lang w:eastAsia="en-US"/>
              </w:rPr>
              <w:t>$560 ($448 to $672)</w:t>
            </w:r>
          </w:p>
        </w:tc>
        <w:tc>
          <w:tcPr>
            <w:tcW w:w="547" w:type="pct"/>
          </w:tcPr>
          <w:p w14:paraId="0D6DFF2F" w14:textId="77777777" w:rsidR="00416B43" w:rsidRPr="002701BE" w:rsidRDefault="00416B43" w:rsidP="007F6813">
            <w:pPr>
              <w:spacing w:before="40" w:after="40"/>
              <w:rPr>
                <w:color w:val="000000"/>
                <w:sz w:val="20"/>
              </w:rPr>
            </w:pPr>
            <w:r w:rsidRPr="002701BE">
              <w:rPr>
                <w:color w:val="000000"/>
                <w:sz w:val="20"/>
              </w:rPr>
              <w:t>Low</w:t>
            </w:r>
          </w:p>
        </w:tc>
        <w:tc>
          <w:tcPr>
            <w:tcW w:w="1316" w:type="pct"/>
            <w:shd w:val="clear" w:color="auto" w:fill="auto"/>
          </w:tcPr>
          <w:p w14:paraId="4FE3581C"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CT</w:t>
            </w:r>
          </w:p>
        </w:tc>
      </w:tr>
      <w:tr w:rsidR="00416B43" w:rsidRPr="002701BE" w14:paraId="2E576B6D" w14:textId="77777777" w:rsidTr="007F6813">
        <w:trPr>
          <w:cantSplit/>
        </w:trPr>
        <w:tc>
          <w:tcPr>
            <w:tcW w:w="1654" w:type="pct"/>
            <w:shd w:val="clear" w:color="auto" w:fill="auto"/>
          </w:tcPr>
          <w:p w14:paraId="30EC1F5C" w14:textId="77777777" w:rsidR="00416B43" w:rsidRPr="002701BE" w:rsidRDefault="00416B43" w:rsidP="007F6813">
            <w:pPr>
              <w:pStyle w:val="Tabletext0"/>
              <w:rPr>
                <w:rFonts w:ascii="Times New Roman" w:hAnsi="Times New Roman"/>
              </w:rPr>
            </w:pPr>
            <w:r w:rsidRPr="002701BE">
              <w:rPr>
                <w:rFonts w:ascii="Times New Roman" w:hAnsi="Times New Roman"/>
              </w:rPr>
              <w:t>Proportion of Patients in Stage I/II</w:t>
            </w:r>
          </w:p>
        </w:tc>
        <w:tc>
          <w:tcPr>
            <w:tcW w:w="1483" w:type="pct"/>
            <w:shd w:val="clear" w:color="auto" w:fill="auto"/>
          </w:tcPr>
          <w:p w14:paraId="6D7BD1CE" w14:textId="77777777" w:rsidR="00416B43" w:rsidRPr="002701BE" w:rsidRDefault="00416B43" w:rsidP="007F6813">
            <w:pPr>
              <w:spacing w:before="40" w:after="40"/>
              <w:rPr>
                <w:color w:val="000000"/>
                <w:sz w:val="20"/>
              </w:rPr>
            </w:pPr>
            <w:r w:rsidRPr="002701BE">
              <w:rPr>
                <w:snapToGrid w:val="0"/>
                <w:color w:val="000000"/>
                <w:sz w:val="20"/>
                <w:lang w:eastAsia="en-US"/>
              </w:rPr>
              <w:t>33% (26.4% to 39.6%)</w:t>
            </w:r>
          </w:p>
        </w:tc>
        <w:tc>
          <w:tcPr>
            <w:tcW w:w="547" w:type="pct"/>
          </w:tcPr>
          <w:p w14:paraId="422CAD51" w14:textId="77777777" w:rsidR="00416B43" w:rsidRPr="002701BE" w:rsidRDefault="00416B43" w:rsidP="007F6813">
            <w:pPr>
              <w:spacing w:before="40" w:after="40"/>
              <w:rPr>
                <w:color w:val="000000"/>
                <w:sz w:val="20"/>
              </w:rPr>
            </w:pPr>
            <w:r w:rsidRPr="002701BE">
              <w:rPr>
                <w:color w:val="000000"/>
                <w:sz w:val="20"/>
              </w:rPr>
              <w:t>High</w:t>
            </w:r>
          </w:p>
        </w:tc>
        <w:tc>
          <w:tcPr>
            <w:tcW w:w="1316" w:type="pct"/>
            <w:shd w:val="clear" w:color="auto" w:fill="auto"/>
          </w:tcPr>
          <w:p w14:paraId="4701E267"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PET/CT</w:t>
            </w:r>
          </w:p>
        </w:tc>
      </w:tr>
      <w:tr w:rsidR="00416B43" w:rsidRPr="002701BE" w14:paraId="7D8DCDE8" w14:textId="77777777" w:rsidTr="007F6813">
        <w:trPr>
          <w:cantSplit/>
        </w:trPr>
        <w:tc>
          <w:tcPr>
            <w:tcW w:w="1654" w:type="pct"/>
            <w:shd w:val="clear" w:color="auto" w:fill="auto"/>
          </w:tcPr>
          <w:p w14:paraId="6AC0FE8D" w14:textId="77777777" w:rsidR="00416B43" w:rsidRPr="002701BE" w:rsidRDefault="00416B43" w:rsidP="007F6813">
            <w:pPr>
              <w:pStyle w:val="Tabletext0"/>
              <w:rPr>
                <w:rFonts w:ascii="Times New Roman" w:hAnsi="Times New Roman"/>
              </w:rPr>
            </w:pPr>
            <w:r w:rsidRPr="002701BE">
              <w:rPr>
                <w:rFonts w:ascii="Times New Roman" w:hAnsi="Times New Roman"/>
              </w:rPr>
              <w:t>Proportion of PET/CT Patients who upstage</w:t>
            </w:r>
          </w:p>
        </w:tc>
        <w:tc>
          <w:tcPr>
            <w:tcW w:w="1483" w:type="pct"/>
            <w:shd w:val="clear" w:color="auto" w:fill="auto"/>
          </w:tcPr>
          <w:p w14:paraId="08F24BC8" w14:textId="77777777" w:rsidR="00416B43" w:rsidRPr="002701BE" w:rsidRDefault="00416B43" w:rsidP="007F6813">
            <w:pPr>
              <w:spacing w:before="40" w:after="40"/>
              <w:rPr>
                <w:color w:val="000000"/>
                <w:sz w:val="20"/>
              </w:rPr>
            </w:pPr>
            <w:r w:rsidRPr="002701BE">
              <w:rPr>
                <w:snapToGrid w:val="0"/>
                <w:color w:val="000000"/>
                <w:sz w:val="20"/>
                <w:lang w:eastAsia="en-US"/>
              </w:rPr>
              <w:t>10.8% (8.6% to 13%)</w:t>
            </w:r>
          </w:p>
        </w:tc>
        <w:tc>
          <w:tcPr>
            <w:tcW w:w="547" w:type="pct"/>
          </w:tcPr>
          <w:p w14:paraId="5251E1FD" w14:textId="77777777" w:rsidR="00416B43" w:rsidRPr="002701BE" w:rsidRDefault="00416B43" w:rsidP="007F6813">
            <w:pPr>
              <w:spacing w:before="40" w:after="40"/>
              <w:rPr>
                <w:color w:val="000000"/>
                <w:sz w:val="20"/>
              </w:rPr>
            </w:pPr>
            <w:r w:rsidRPr="002701BE">
              <w:rPr>
                <w:color w:val="000000"/>
                <w:sz w:val="20"/>
              </w:rPr>
              <w:t>Low</w:t>
            </w:r>
          </w:p>
        </w:tc>
        <w:tc>
          <w:tcPr>
            <w:tcW w:w="1316" w:type="pct"/>
            <w:shd w:val="clear" w:color="auto" w:fill="auto"/>
          </w:tcPr>
          <w:p w14:paraId="2A5798CE"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CT</w:t>
            </w:r>
          </w:p>
        </w:tc>
      </w:tr>
      <w:tr w:rsidR="00416B43" w:rsidRPr="002701BE" w14:paraId="26582CFC" w14:textId="77777777" w:rsidTr="007F6813">
        <w:trPr>
          <w:cantSplit/>
        </w:trPr>
        <w:tc>
          <w:tcPr>
            <w:tcW w:w="1654" w:type="pct"/>
            <w:shd w:val="clear" w:color="auto" w:fill="auto"/>
          </w:tcPr>
          <w:p w14:paraId="44212A87" w14:textId="77777777" w:rsidR="00416B43" w:rsidRPr="002701BE" w:rsidRDefault="00416B43" w:rsidP="007F6813">
            <w:pPr>
              <w:pStyle w:val="Tabletext0"/>
              <w:rPr>
                <w:rFonts w:ascii="Times New Roman" w:hAnsi="Times New Roman"/>
              </w:rPr>
            </w:pPr>
            <w:r w:rsidRPr="002701BE">
              <w:rPr>
                <w:rFonts w:ascii="Times New Roman" w:hAnsi="Times New Roman"/>
              </w:rPr>
              <w:t xml:space="preserve">Proportion of Patients with </w:t>
            </w:r>
            <w:proofErr w:type="spellStart"/>
            <w:r w:rsidRPr="002701BE">
              <w:rPr>
                <w:rFonts w:ascii="Times New Roman" w:hAnsi="Times New Roman"/>
              </w:rPr>
              <w:t>Rituxumab</w:t>
            </w:r>
            <w:proofErr w:type="spellEnd"/>
            <w:r w:rsidRPr="002701BE">
              <w:rPr>
                <w:rFonts w:ascii="Times New Roman" w:hAnsi="Times New Roman"/>
              </w:rPr>
              <w:t xml:space="preserve"> Maintenance</w:t>
            </w:r>
          </w:p>
        </w:tc>
        <w:tc>
          <w:tcPr>
            <w:tcW w:w="1483" w:type="pct"/>
            <w:shd w:val="clear" w:color="auto" w:fill="auto"/>
          </w:tcPr>
          <w:p w14:paraId="47695096" w14:textId="77777777" w:rsidR="00416B43" w:rsidRPr="002701BE" w:rsidRDefault="00416B43" w:rsidP="007F6813">
            <w:pPr>
              <w:spacing w:before="40" w:after="40"/>
              <w:rPr>
                <w:color w:val="000000"/>
                <w:sz w:val="20"/>
              </w:rPr>
            </w:pPr>
            <w:r w:rsidRPr="002701BE">
              <w:rPr>
                <w:snapToGrid w:val="0"/>
                <w:color w:val="000000"/>
                <w:sz w:val="20"/>
                <w:lang w:eastAsia="en-US"/>
              </w:rPr>
              <w:t>50% (40% to 60%)</w:t>
            </w:r>
          </w:p>
        </w:tc>
        <w:tc>
          <w:tcPr>
            <w:tcW w:w="547" w:type="pct"/>
          </w:tcPr>
          <w:p w14:paraId="2E4578A3" w14:textId="77777777" w:rsidR="00416B43" w:rsidRPr="002701BE" w:rsidRDefault="00416B43" w:rsidP="007F6813">
            <w:pPr>
              <w:spacing w:before="40" w:after="40"/>
              <w:rPr>
                <w:color w:val="000000"/>
                <w:sz w:val="20"/>
              </w:rPr>
            </w:pPr>
            <w:r w:rsidRPr="002701BE">
              <w:rPr>
                <w:color w:val="000000"/>
                <w:sz w:val="20"/>
              </w:rPr>
              <w:t>High</w:t>
            </w:r>
          </w:p>
        </w:tc>
        <w:tc>
          <w:tcPr>
            <w:tcW w:w="1316" w:type="pct"/>
            <w:shd w:val="clear" w:color="auto" w:fill="auto"/>
          </w:tcPr>
          <w:p w14:paraId="3A31DF81"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CT</w:t>
            </w:r>
          </w:p>
        </w:tc>
      </w:tr>
      <w:tr w:rsidR="00416B43" w:rsidRPr="002701BE" w14:paraId="4CAFB18A" w14:textId="77777777" w:rsidTr="007F6813">
        <w:trPr>
          <w:cantSplit/>
        </w:trPr>
        <w:tc>
          <w:tcPr>
            <w:tcW w:w="1654" w:type="pct"/>
            <w:shd w:val="clear" w:color="auto" w:fill="auto"/>
          </w:tcPr>
          <w:p w14:paraId="1FC28036" w14:textId="77777777" w:rsidR="00416B43" w:rsidRPr="002701BE" w:rsidRDefault="00416B43" w:rsidP="007F6813">
            <w:pPr>
              <w:pStyle w:val="Tabletext0"/>
              <w:rPr>
                <w:rFonts w:ascii="Times New Roman" w:hAnsi="Times New Roman"/>
              </w:rPr>
            </w:pPr>
            <w:r w:rsidRPr="002701BE">
              <w:rPr>
                <w:rFonts w:ascii="Times New Roman" w:hAnsi="Times New Roman"/>
              </w:rPr>
              <w:t>Cost of Radiotherapy</w:t>
            </w:r>
          </w:p>
        </w:tc>
        <w:tc>
          <w:tcPr>
            <w:tcW w:w="1483" w:type="pct"/>
            <w:shd w:val="clear" w:color="auto" w:fill="auto"/>
          </w:tcPr>
          <w:p w14:paraId="03BD6818" w14:textId="77777777" w:rsidR="00416B43" w:rsidRPr="002701BE" w:rsidRDefault="00416B43" w:rsidP="007F6813">
            <w:pPr>
              <w:spacing w:before="40" w:after="40"/>
              <w:rPr>
                <w:color w:val="000000"/>
                <w:sz w:val="20"/>
              </w:rPr>
            </w:pPr>
            <w:r w:rsidRPr="002701BE">
              <w:rPr>
                <w:snapToGrid w:val="0"/>
                <w:color w:val="000000"/>
                <w:sz w:val="20"/>
                <w:lang w:eastAsia="en-US"/>
              </w:rPr>
              <w:t>$5377.9 ($4302.32 to $6453.48)</w:t>
            </w:r>
          </w:p>
        </w:tc>
        <w:tc>
          <w:tcPr>
            <w:tcW w:w="547" w:type="pct"/>
          </w:tcPr>
          <w:p w14:paraId="144F1758"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393F4E68"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573AA247" w14:textId="77777777" w:rsidTr="007F6813">
        <w:trPr>
          <w:cantSplit/>
        </w:trPr>
        <w:tc>
          <w:tcPr>
            <w:tcW w:w="1654" w:type="pct"/>
            <w:shd w:val="clear" w:color="auto" w:fill="auto"/>
          </w:tcPr>
          <w:p w14:paraId="0B3AD919" w14:textId="77777777" w:rsidR="00416B43" w:rsidRPr="002701BE" w:rsidRDefault="00416B43" w:rsidP="007F6813">
            <w:pPr>
              <w:pStyle w:val="Tabletext0"/>
              <w:rPr>
                <w:rFonts w:ascii="Times New Roman" w:hAnsi="Times New Roman"/>
              </w:rPr>
            </w:pPr>
            <w:r w:rsidRPr="002701BE">
              <w:rPr>
                <w:rFonts w:ascii="Times New Roman" w:hAnsi="Times New Roman"/>
              </w:rPr>
              <w:t>Cost of Immunochemotherapy</w:t>
            </w:r>
          </w:p>
        </w:tc>
        <w:tc>
          <w:tcPr>
            <w:tcW w:w="1483" w:type="pct"/>
            <w:shd w:val="clear" w:color="auto" w:fill="auto"/>
          </w:tcPr>
          <w:p w14:paraId="6BA73F03" w14:textId="77777777" w:rsidR="00416B43" w:rsidRPr="002701BE" w:rsidRDefault="00416B43" w:rsidP="007F6813">
            <w:pPr>
              <w:spacing w:before="40" w:after="40"/>
              <w:rPr>
                <w:color w:val="000000"/>
                <w:sz w:val="20"/>
              </w:rPr>
            </w:pPr>
            <w:r w:rsidRPr="002701BE">
              <w:rPr>
                <w:snapToGrid w:val="0"/>
                <w:color w:val="000000"/>
                <w:sz w:val="20"/>
                <w:lang w:eastAsia="en-US"/>
              </w:rPr>
              <w:t>$20195.81 ($16156.64 to $24234.97)</w:t>
            </w:r>
          </w:p>
        </w:tc>
        <w:tc>
          <w:tcPr>
            <w:tcW w:w="547" w:type="pct"/>
          </w:tcPr>
          <w:p w14:paraId="0A29595E" w14:textId="77777777" w:rsidR="00416B43" w:rsidRPr="002701BE" w:rsidRDefault="00416B43" w:rsidP="007F6813">
            <w:pPr>
              <w:spacing w:before="40" w:after="40"/>
              <w:rPr>
                <w:color w:val="000000"/>
                <w:sz w:val="20"/>
              </w:rPr>
            </w:pPr>
            <w:r w:rsidRPr="002701BE">
              <w:rPr>
                <w:color w:val="000000"/>
                <w:sz w:val="20"/>
              </w:rPr>
              <w:t>Low</w:t>
            </w:r>
          </w:p>
        </w:tc>
        <w:tc>
          <w:tcPr>
            <w:tcW w:w="1316" w:type="pct"/>
            <w:shd w:val="clear" w:color="auto" w:fill="auto"/>
          </w:tcPr>
          <w:p w14:paraId="6F56279D" w14:textId="77777777" w:rsidR="00416B43" w:rsidRPr="002701BE" w:rsidRDefault="00416B43" w:rsidP="007F6813">
            <w:pPr>
              <w:spacing w:before="40" w:after="40"/>
              <w:rPr>
                <w:color w:val="000000"/>
                <w:sz w:val="20"/>
              </w:rPr>
            </w:pPr>
            <w:r w:rsidRPr="002701BE">
              <w:rPr>
                <w:snapToGrid w:val="0"/>
                <w:color w:val="000000"/>
                <w:sz w:val="20"/>
                <w:lang w:eastAsia="en-US"/>
              </w:rPr>
              <w:t>Base case parameter favours CT</w:t>
            </w:r>
          </w:p>
        </w:tc>
      </w:tr>
      <w:tr w:rsidR="00416B43" w:rsidRPr="002701BE" w14:paraId="08C69AEE" w14:textId="77777777" w:rsidTr="007F6813">
        <w:trPr>
          <w:cantSplit/>
        </w:trPr>
        <w:tc>
          <w:tcPr>
            <w:tcW w:w="1654" w:type="pct"/>
            <w:shd w:val="clear" w:color="auto" w:fill="auto"/>
          </w:tcPr>
          <w:p w14:paraId="7F705B86" w14:textId="77777777" w:rsidR="00416B43" w:rsidRPr="002701BE" w:rsidRDefault="00416B43" w:rsidP="007F6813">
            <w:pPr>
              <w:pStyle w:val="Tabletext0"/>
              <w:rPr>
                <w:rFonts w:ascii="Times New Roman" w:hAnsi="Times New Roman"/>
              </w:rPr>
            </w:pPr>
            <w:r w:rsidRPr="002701BE">
              <w:rPr>
                <w:rFonts w:ascii="Times New Roman" w:hAnsi="Times New Roman"/>
              </w:rPr>
              <w:t>Proportion of PET/CT patients who respond to treatment</w:t>
            </w:r>
          </w:p>
        </w:tc>
        <w:tc>
          <w:tcPr>
            <w:tcW w:w="1483" w:type="pct"/>
            <w:shd w:val="clear" w:color="auto" w:fill="auto"/>
          </w:tcPr>
          <w:p w14:paraId="14742CCD" w14:textId="77777777" w:rsidR="00416B43" w:rsidRPr="002701BE" w:rsidRDefault="00416B43" w:rsidP="007F6813">
            <w:pPr>
              <w:spacing w:before="40" w:after="40"/>
              <w:rPr>
                <w:color w:val="000000"/>
                <w:sz w:val="20"/>
              </w:rPr>
            </w:pPr>
            <w:r w:rsidRPr="002701BE">
              <w:rPr>
                <w:snapToGrid w:val="0"/>
                <w:color w:val="000000"/>
                <w:sz w:val="20"/>
                <w:lang w:eastAsia="en-US"/>
              </w:rPr>
              <w:t>83.3% (66.6% to 100%)</w:t>
            </w:r>
          </w:p>
        </w:tc>
        <w:tc>
          <w:tcPr>
            <w:tcW w:w="547" w:type="pct"/>
          </w:tcPr>
          <w:p w14:paraId="47E77789" w14:textId="77777777" w:rsidR="00416B43" w:rsidRPr="002701BE" w:rsidRDefault="00416B43" w:rsidP="007F6813">
            <w:pPr>
              <w:spacing w:before="40" w:after="40"/>
              <w:rPr>
                <w:color w:val="000000"/>
                <w:sz w:val="20"/>
              </w:rPr>
            </w:pPr>
            <w:r w:rsidRPr="002701BE">
              <w:rPr>
                <w:color w:val="000000"/>
                <w:sz w:val="20"/>
              </w:rPr>
              <w:t>Unknown</w:t>
            </w:r>
          </w:p>
        </w:tc>
        <w:tc>
          <w:tcPr>
            <w:tcW w:w="1316" w:type="pct"/>
            <w:shd w:val="clear" w:color="auto" w:fill="auto"/>
          </w:tcPr>
          <w:p w14:paraId="15E18C0D" w14:textId="77777777" w:rsidR="00416B43" w:rsidRPr="002701BE" w:rsidRDefault="00416B43" w:rsidP="007F6813">
            <w:pPr>
              <w:spacing w:before="40" w:after="40"/>
              <w:rPr>
                <w:color w:val="000000"/>
                <w:sz w:val="20"/>
              </w:rPr>
            </w:pPr>
            <w:r w:rsidRPr="002701BE">
              <w:rPr>
                <w:snapToGrid w:val="0"/>
                <w:color w:val="000000"/>
                <w:sz w:val="20"/>
                <w:lang w:eastAsia="en-US"/>
              </w:rPr>
              <w:t>Unknown</w:t>
            </w:r>
          </w:p>
        </w:tc>
      </w:tr>
      <w:tr w:rsidR="00416B43" w:rsidRPr="002701BE" w14:paraId="0A3C3159" w14:textId="77777777" w:rsidTr="007F6813">
        <w:trPr>
          <w:cantSplit/>
        </w:trPr>
        <w:tc>
          <w:tcPr>
            <w:tcW w:w="1654" w:type="pct"/>
            <w:shd w:val="clear" w:color="auto" w:fill="auto"/>
          </w:tcPr>
          <w:p w14:paraId="46324586" w14:textId="77777777" w:rsidR="00416B43" w:rsidRPr="002701BE" w:rsidRDefault="00416B43" w:rsidP="007F6813">
            <w:pPr>
              <w:pStyle w:val="Tabletext0"/>
              <w:rPr>
                <w:rFonts w:ascii="Times New Roman" w:hAnsi="Times New Roman"/>
              </w:rPr>
            </w:pPr>
            <w:r w:rsidRPr="002701BE">
              <w:rPr>
                <w:rFonts w:ascii="Times New Roman" w:hAnsi="Times New Roman"/>
              </w:rPr>
              <w:lastRenderedPageBreak/>
              <w:t>Cost of Observation (CT PR)</w:t>
            </w:r>
          </w:p>
        </w:tc>
        <w:tc>
          <w:tcPr>
            <w:tcW w:w="1483" w:type="pct"/>
            <w:shd w:val="clear" w:color="auto" w:fill="auto"/>
          </w:tcPr>
          <w:p w14:paraId="11A1EDD7" w14:textId="77777777" w:rsidR="00416B43" w:rsidRPr="002701BE" w:rsidRDefault="00416B43" w:rsidP="007F6813">
            <w:pPr>
              <w:spacing w:before="40" w:after="40"/>
              <w:rPr>
                <w:color w:val="000000"/>
                <w:sz w:val="20"/>
              </w:rPr>
            </w:pPr>
            <w:r w:rsidRPr="002701BE">
              <w:rPr>
                <w:snapToGrid w:val="0"/>
                <w:color w:val="000000"/>
                <w:sz w:val="20"/>
                <w:lang w:eastAsia="en-US"/>
              </w:rPr>
              <w:t>$2616.5 ($2093.20 to $3139.80)</w:t>
            </w:r>
          </w:p>
        </w:tc>
        <w:tc>
          <w:tcPr>
            <w:tcW w:w="547" w:type="pct"/>
          </w:tcPr>
          <w:p w14:paraId="0C2E0183"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5BFCBF1A"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2F1DD6C8" w14:textId="77777777" w:rsidTr="007F6813">
        <w:trPr>
          <w:cantSplit/>
        </w:trPr>
        <w:tc>
          <w:tcPr>
            <w:tcW w:w="1654" w:type="pct"/>
            <w:shd w:val="clear" w:color="auto" w:fill="auto"/>
          </w:tcPr>
          <w:p w14:paraId="423DE232" w14:textId="77777777" w:rsidR="00416B43" w:rsidRPr="002701BE" w:rsidRDefault="00416B43" w:rsidP="007F6813">
            <w:pPr>
              <w:pStyle w:val="Tabletext0"/>
              <w:rPr>
                <w:rFonts w:ascii="Times New Roman" w:hAnsi="Times New Roman"/>
              </w:rPr>
            </w:pPr>
            <w:r w:rsidRPr="002701BE">
              <w:rPr>
                <w:rFonts w:ascii="Times New Roman" w:hAnsi="Times New Roman"/>
              </w:rPr>
              <w:t>Proportion of PET/CT Patients who downstage</w:t>
            </w:r>
          </w:p>
        </w:tc>
        <w:tc>
          <w:tcPr>
            <w:tcW w:w="1483" w:type="pct"/>
            <w:shd w:val="clear" w:color="auto" w:fill="auto"/>
          </w:tcPr>
          <w:p w14:paraId="5B1B8136" w14:textId="77777777" w:rsidR="00416B43" w:rsidRPr="002701BE" w:rsidRDefault="00416B43" w:rsidP="007F6813">
            <w:pPr>
              <w:spacing w:before="40" w:after="40"/>
              <w:rPr>
                <w:color w:val="000000"/>
                <w:sz w:val="20"/>
              </w:rPr>
            </w:pPr>
            <w:r w:rsidRPr="002701BE">
              <w:rPr>
                <w:snapToGrid w:val="0"/>
                <w:color w:val="000000"/>
                <w:sz w:val="20"/>
                <w:lang w:eastAsia="en-US"/>
              </w:rPr>
              <w:t>3.6% (2.9% to 4.3%)</w:t>
            </w:r>
          </w:p>
        </w:tc>
        <w:tc>
          <w:tcPr>
            <w:tcW w:w="547" w:type="pct"/>
          </w:tcPr>
          <w:p w14:paraId="4938E7C8" w14:textId="77777777" w:rsidR="00416B43" w:rsidRPr="002701BE" w:rsidRDefault="00416B43" w:rsidP="007F6813">
            <w:pPr>
              <w:spacing w:before="40" w:after="40"/>
              <w:rPr>
                <w:color w:val="000000"/>
                <w:sz w:val="20"/>
              </w:rPr>
            </w:pPr>
            <w:r w:rsidRPr="002701BE">
              <w:rPr>
                <w:color w:val="000000"/>
                <w:sz w:val="20"/>
              </w:rPr>
              <w:t>Unknown</w:t>
            </w:r>
          </w:p>
        </w:tc>
        <w:tc>
          <w:tcPr>
            <w:tcW w:w="1316" w:type="pct"/>
            <w:shd w:val="clear" w:color="auto" w:fill="auto"/>
          </w:tcPr>
          <w:p w14:paraId="2720C477" w14:textId="77777777" w:rsidR="00416B43" w:rsidRPr="002701BE" w:rsidRDefault="00416B43" w:rsidP="007F6813">
            <w:pPr>
              <w:spacing w:before="40" w:after="40"/>
              <w:rPr>
                <w:color w:val="000000"/>
                <w:sz w:val="20"/>
              </w:rPr>
            </w:pPr>
            <w:r w:rsidRPr="002701BE">
              <w:rPr>
                <w:snapToGrid w:val="0"/>
                <w:color w:val="000000"/>
                <w:sz w:val="20"/>
                <w:lang w:eastAsia="en-US"/>
              </w:rPr>
              <w:t>Unknown</w:t>
            </w:r>
          </w:p>
        </w:tc>
      </w:tr>
      <w:tr w:rsidR="00416B43" w:rsidRPr="002701BE" w14:paraId="75818816" w14:textId="77777777" w:rsidTr="007F6813">
        <w:trPr>
          <w:cantSplit/>
        </w:trPr>
        <w:tc>
          <w:tcPr>
            <w:tcW w:w="1654" w:type="pct"/>
            <w:shd w:val="clear" w:color="auto" w:fill="auto"/>
          </w:tcPr>
          <w:p w14:paraId="26C5906C" w14:textId="77777777" w:rsidR="00416B43" w:rsidRPr="002701BE" w:rsidRDefault="00416B43" w:rsidP="007F6813">
            <w:pPr>
              <w:pStyle w:val="Tabletext0"/>
              <w:rPr>
                <w:rFonts w:ascii="Times New Roman" w:hAnsi="Times New Roman"/>
              </w:rPr>
            </w:pPr>
            <w:r w:rsidRPr="002701BE">
              <w:rPr>
                <w:rFonts w:ascii="Times New Roman" w:hAnsi="Times New Roman"/>
              </w:rPr>
              <w:t>Cost of Observation (CT CR)</w:t>
            </w:r>
          </w:p>
        </w:tc>
        <w:tc>
          <w:tcPr>
            <w:tcW w:w="1483" w:type="pct"/>
            <w:shd w:val="clear" w:color="auto" w:fill="auto"/>
          </w:tcPr>
          <w:p w14:paraId="044249F1" w14:textId="77777777" w:rsidR="00416B43" w:rsidRPr="002701BE" w:rsidRDefault="00416B43" w:rsidP="007F6813">
            <w:pPr>
              <w:spacing w:before="40" w:after="40"/>
              <w:rPr>
                <w:color w:val="000000"/>
                <w:sz w:val="20"/>
              </w:rPr>
            </w:pPr>
            <w:r w:rsidRPr="002701BE">
              <w:rPr>
                <w:snapToGrid w:val="0"/>
                <w:color w:val="000000"/>
                <w:sz w:val="20"/>
                <w:lang w:eastAsia="en-US"/>
              </w:rPr>
              <w:t>$1410.50 ($1128.40 to $1692.60)</w:t>
            </w:r>
          </w:p>
        </w:tc>
        <w:tc>
          <w:tcPr>
            <w:tcW w:w="547" w:type="pct"/>
          </w:tcPr>
          <w:p w14:paraId="7E1B59B2"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7A4CF5E0"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748DE8B0" w14:textId="77777777" w:rsidTr="007F6813">
        <w:trPr>
          <w:cantSplit/>
        </w:trPr>
        <w:tc>
          <w:tcPr>
            <w:tcW w:w="1654" w:type="pct"/>
            <w:shd w:val="clear" w:color="auto" w:fill="auto"/>
          </w:tcPr>
          <w:p w14:paraId="054E9B9F" w14:textId="77777777" w:rsidR="00416B43" w:rsidRPr="002701BE" w:rsidRDefault="00416B43" w:rsidP="007F6813">
            <w:pPr>
              <w:pStyle w:val="Tabletext0"/>
              <w:rPr>
                <w:rFonts w:ascii="Times New Roman" w:hAnsi="Times New Roman"/>
              </w:rPr>
            </w:pPr>
            <w:r w:rsidRPr="002701BE">
              <w:rPr>
                <w:rFonts w:ascii="Times New Roman" w:hAnsi="Times New Roman"/>
              </w:rPr>
              <w:t>Proportion of CT with Complete Response</w:t>
            </w:r>
          </w:p>
        </w:tc>
        <w:tc>
          <w:tcPr>
            <w:tcW w:w="1483" w:type="pct"/>
            <w:shd w:val="clear" w:color="auto" w:fill="auto"/>
          </w:tcPr>
          <w:p w14:paraId="33B4DE55" w14:textId="77777777" w:rsidR="00416B43" w:rsidRPr="002701BE" w:rsidRDefault="00416B43" w:rsidP="007F6813">
            <w:pPr>
              <w:spacing w:before="40" w:after="40"/>
              <w:rPr>
                <w:color w:val="000000"/>
                <w:sz w:val="20"/>
              </w:rPr>
            </w:pPr>
            <w:r w:rsidRPr="002701BE">
              <w:rPr>
                <w:snapToGrid w:val="0"/>
                <w:color w:val="000000"/>
                <w:sz w:val="20"/>
                <w:lang w:eastAsia="en-US"/>
              </w:rPr>
              <w:t>38% (30.4% to 45.6%)</w:t>
            </w:r>
          </w:p>
        </w:tc>
        <w:tc>
          <w:tcPr>
            <w:tcW w:w="547" w:type="pct"/>
          </w:tcPr>
          <w:p w14:paraId="3CC225DE" w14:textId="77777777" w:rsidR="00416B43" w:rsidRPr="002701BE" w:rsidRDefault="00416B43" w:rsidP="007F6813">
            <w:pPr>
              <w:spacing w:before="40" w:after="40"/>
              <w:rPr>
                <w:color w:val="000000"/>
                <w:sz w:val="20"/>
              </w:rPr>
            </w:pPr>
            <w:r w:rsidRPr="002701BE">
              <w:rPr>
                <w:color w:val="000000"/>
                <w:sz w:val="20"/>
              </w:rPr>
              <w:t>Unknown</w:t>
            </w:r>
          </w:p>
        </w:tc>
        <w:tc>
          <w:tcPr>
            <w:tcW w:w="1316" w:type="pct"/>
            <w:shd w:val="clear" w:color="auto" w:fill="auto"/>
          </w:tcPr>
          <w:p w14:paraId="7F3377F5" w14:textId="77777777" w:rsidR="00416B43" w:rsidRPr="002701BE" w:rsidRDefault="00416B43" w:rsidP="007F6813">
            <w:pPr>
              <w:spacing w:before="40" w:after="40"/>
              <w:rPr>
                <w:color w:val="000000"/>
                <w:sz w:val="20"/>
              </w:rPr>
            </w:pPr>
            <w:r w:rsidRPr="002701BE">
              <w:rPr>
                <w:snapToGrid w:val="0"/>
                <w:color w:val="000000"/>
                <w:sz w:val="20"/>
                <w:lang w:eastAsia="en-US"/>
              </w:rPr>
              <w:t>Unknown</w:t>
            </w:r>
          </w:p>
        </w:tc>
      </w:tr>
      <w:tr w:rsidR="00416B43" w:rsidRPr="002701BE" w14:paraId="33ADB374" w14:textId="77777777" w:rsidTr="007F6813">
        <w:trPr>
          <w:cantSplit/>
        </w:trPr>
        <w:tc>
          <w:tcPr>
            <w:tcW w:w="1654" w:type="pct"/>
            <w:shd w:val="clear" w:color="auto" w:fill="auto"/>
          </w:tcPr>
          <w:p w14:paraId="03249D5B" w14:textId="77777777" w:rsidR="00416B43" w:rsidRPr="002701BE" w:rsidRDefault="00416B43" w:rsidP="007F6813">
            <w:pPr>
              <w:pStyle w:val="Tabletext0"/>
              <w:rPr>
                <w:rFonts w:ascii="Times New Roman" w:hAnsi="Times New Roman"/>
              </w:rPr>
            </w:pPr>
            <w:r w:rsidRPr="002701BE">
              <w:rPr>
                <w:rFonts w:ascii="Times New Roman" w:hAnsi="Times New Roman"/>
              </w:rPr>
              <w:t xml:space="preserve">Cost of Observation (CT </w:t>
            </w:r>
            <w:proofErr w:type="spellStart"/>
            <w:r w:rsidRPr="002701BE">
              <w:rPr>
                <w:rFonts w:ascii="Times New Roman" w:hAnsi="Times New Roman"/>
              </w:rPr>
              <w:t>CRu</w:t>
            </w:r>
            <w:proofErr w:type="spellEnd"/>
            <w:r w:rsidRPr="002701BE">
              <w:rPr>
                <w:rFonts w:ascii="Times New Roman" w:hAnsi="Times New Roman"/>
              </w:rPr>
              <w:t>)</w:t>
            </w:r>
          </w:p>
        </w:tc>
        <w:tc>
          <w:tcPr>
            <w:tcW w:w="1483" w:type="pct"/>
            <w:shd w:val="clear" w:color="auto" w:fill="auto"/>
          </w:tcPr>
          <w:p w14:paraId="2EB55173" w14:textId="77777777" w:rsidR="00416B43" w:rsidRPr="002701BE" w:rsidRDefault="00416B43" w:rsidP="007F6813">
            <w:pPr>
              <w:spacing w:before="40" w:after="40"/>
              <w:rPr>
                <w:color w:val="000000"/>
                <w:sz w:val="20"/>
              </w:rPr>
            </w:pPr>
            <w:r w:rsidRPr="002701BE">
              <w:rPr>
                <w:snapToGrid w:val="0"/>
                <w:color w:val="000000"/>
                <w:sz w:val="20"/>
                <w:lang w:eastAsia="en-US"/>
              </w:rPr>
              <w:t>$1453.50 ($1162.80 to $1744.20)</w:t>
            </w:r>
          </w:p>
        </w:tc>
        <w:tc>
          <w:tcPr>
            <w:tcW w:w="547" w:type="pct"/>
          </w:tcPr>
          <w:p w14:paraId="7D0274C1"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624607FF"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5A021F16" w14:textId="77777777" w:rsidTr="007F6813">
        <w:trPr>
          <w:cantSplit/>
        </w:trPr>
        <w:tc>
          <w:tcPr>
            <w:tcW w:w="1654" w:type="pct"/>
            <w:shd w:val="clear" w:color="auto" w:fill="auto"/>
          </w:tcPr>
          <w:p w14:paraId="29CA3F9C" w14:textId="77777777" w:rsidR="00416B43" w:rsidRPr="002701BE" w:rsidRDefault="00416B43" w:rsidP="007F6813">
            <w:pPr>
              <w:pStyle w:val="Tabletext0"/>
              <w:rPr>
                <w:rFonts w:ascii="Times New Roman" w:hAnsi="Times New Roman"/>
              </w:rPr>
            </w:pPr>
            <w:r w:rsidRPr="002701BE">
              <w:rPr>
                <w:rFonts w:ascii="Times New Roman" w:hAnsi="Times New Roman"/>
              </w:rPr>
              <w:t xml:space="preserve">Proportion of </w:t>
            </w:r>
            <w:proofErr w:type="spellStart"/>
            <w:r w:rsidRPr="002701BE">
              <w:rPr>
                <w:rFonts w:ascii="Times New Roman" w:hAnsi="Times New Roman"/>
              </w:rPr>
              <w:t>CRu</w:t>
            </w:r>
            <w:proofErr w:type="spellEnd"/>
            <w:r w:rsidRPr="002701BE">
              <w:rPr>
                <w:rFonts w:ascii="Times New Roman" w:hAnsi="Times New Roman"/>
              </w:rPr>
              <w:t xml:space="preserve"> patients</w:t>
            </w:r>
          </w:p>
        </w:tc>
        <w:tc>
          <w:tcPr>
            <w:tcW w:w="1483" w:type="pct"/>
            <w:shd w:val="clear" w:color="auto" w:fill="auto"/>
          </w:tcPr>
          <w:p w14:paraId="4EF70EAD" w14:textId="77777777" w:rsidR="00416B43" w:rsidRPr="002701BE" w:rsidRDefault="00416B43" w:rsidP="007F6813">
            <w:pPr>
              <w:spacing w:before="40" w:after="40"/>
              <w:rPr>
                <w:color w:val="000000"/>
                <w:sz w:val="20"/>
              </w:rPr>
            </w:pPr>
            <w:r w:rsidRPr="002701BE">
              <w:rPr>
                <w:snapToGrid w:val="0"/>
                <w:color w:val="000000"/>
                <w:sz w:val="20"/>
                <w:lang w:eastAsia="en-US"/>
              </w:rPr>
              <w:t>32% (25.6% to 38.4%)</w:t>
            </w:r>
          </w:p>
        </w:tc>
        <w:tc>
          <w:tcPr>
            <w:tcW w:w="547" w:type="pct"/>
          </w:tcPr>
          <w:p w14:paraId="76FAD5DD" w14:textId="77777777" w:rsidR="00416B43" w:rsidRPr="002701BE" w:rsidRDefault="00416B43" w:rsidP="007F6813">
            <w:pPr>
              <w:spacing w:before="40" w:after="40"/>
              <w:rPr>
                <w:color w:val="000000"/>
                <w:sz w:val="20"/>
              </w:rPr>
            </w:pPr>
            <w:r w:rsidRPr="002701BE">
              <w:rPr>
                <w:color w:val="000000"/>
                <w:sz w:val="20"/>
              </w:rPr>
              <w:t>Unknown</w:t>
            </w:r>
          </w:p>
        </w:tc>
        <w:tc>
          <w:tcPr>
            <w:tcW w:w="1316" w:type="pct"/>
            <w:shd w:val="clear" w:color="auto" w:fill="auto"/>
          </w:tcPr>
          <w:p w14:paraId="0FEB8962" w14:textId="77777777" w:rsidR="00416B43" w:rsidRPr="002701BE" w:rsidRDefault="00416B43" w:rsidP="007F6813">
            <w:pPr>
              <w:spacing w:before="40" w:after="40"/>
              <w:rPr>
                <w:color w:val="000000"/>
                <w:sz w:val="20"/>
              </w:rPr>
            </w:pPr>
            <w:r w:rsidRPr="002701BE">
              <w:rPr>
                <w:snapToGrid w:val="0"/>
                <w:color w:val="000000"/>
                <w:sz w:val="20"/>
                <w:lang w:eastAsia="en-US"/>
              </w:rPr>
              <w:t>Unknown</w:t>
            </w:r>
          </w:p>
        </w:tc>
      </w:tr>
      <w:tr w:rsidR="00416B43" w:rsidRPr="002701BE" w14:paraId="287262C0" w14:textId="77777777" w:rsidTr="007F6813">
        <w:trPr>
          <w:cantSplit/>
        </w:trPr>
        <w:tc>
          <w:tcPr>
            <w:tcW w:w="1654" w:type="pct"/>
            <w:shd w:val="clear" w:color="auto" w:fill="auto"/>
          </w:tcPr>
          <w:p w14:paraId="1E6F6875" w14:textId="77777777" w:rsidR="00416B43" w:rsidRPr="002701BE" w:rsidRDefault="00416B43" w:rsidP="007F6813">
            <w:pPr>
              <w:pStyle w:val="Tabletext0"/>
              <w:rPr>
                <w:rFonts w:ascii="Times New Roman" w:hAnsi="Times New Roman"/>
              </w:rPr>
            </w:pPr>
            <w:r w:rsidRPr="002701BE">
              <w:rPr>
                <w:rFonts w:ascii="Times New Roman" w:hAnsi="Times New Roman"/>
              </w:rPr>
              <w:t>Cost of Rituximab Maintenance Therapy</w:t>
            </w:r>
          </w:p>
        </w:tc>
        <w:tc>
          <w:tcPr>
            <w:tcW w:w="1483" w:type="pct"/>
            <w:shd w:val="clear" w:color="auto" w:fill="auto"/>
          </w:tcPr>
          <w:p w14:paraId="330725B3" w14:textId="77777777" w:rsidR="00416B43" w:rsidRPr="002701BE" w:rsidRDefault="00416B43" w:rsidP="007F6813">
            <w:pPr>
              <w:spacing w:before="40" w:after="40"/>
              <w:rPr>
                <w:color w:val="000000"/>
                <w:sz w:val="20"/>
              </w:rPr>
            </w:pPr>
            <w:r w:rsidRPr="002701BE">
              <w:rPr>
                <w:snapToGrid w:val="0"/>
                <w:color w:val="000000"/>
                <w:sz w:val="20"/>
                <w:lang w:eastAsia="en-US"/>
              </w:rPr>
              <w:t>$5377.90 ($8936.13 to $13404.20)</w:t>
            </w:r>
          </w:p>
        </w:tc>
        <w:tc>
          <w:tcPr>
            <w:tcW w:w="547" w:type="pct"/>
          </w:tcPr>
          <w:p w14:paraId="343E0BA9" w14:textId="77777777" w:rsidR="00416B43" w:rsidRPr="002701BE" w:rsidRDefault="00416B43" w:rsidP="007F6813">
            <w:pPr>
              <w:spacing w:before="40" w:after="40"/>
              <w:rPr>
                <w:color w:val="000000"/>
                <w:sz w:val="20"/>
              </w:rPr>
            </w:pPr>
            <w:r w:rsidRPr="002701BE">
              <w:rPr>
                <w:color w:val="000000"/>
                <w:sz w:val="20"/>
              </w:rPr>
              <w:t>High</w:t>
            </w:r>
          </w:p>
        </w:tc>
        <w:tc>
          <w:tcPr>
            <w:tcW w:w="1316" w:type="pct"/>
            <w:shd w:val="clear" w:color="auto" w:fill="auto"/>
          </w:tcPr>
          <w:p w14:paraId="4B521EBF" w14:textId="77777777" w:rsidR="00416B43" w:rsidRPr="002701BE" w:rsidRDefault="00416B43" w:rsidP="007F6813">
            <w:pPr>
              <w:spacing w:before="40" w:after="40"/>
              <w:rPr>
                <w:color w:val="000000"/>
                <w:sz w:val="20"/>
              </w:rPr>
            </w:pPr>
            <w:r w:rsidRPr="002701BE">
              <w:rPr>
                <w:snapToGrid w:val="0"/>
                <w:color w:val="000000"/>
                <w:sz w:val="20"/>
                <w:lang w:eastAsia="en-US"/>
              </w:rPr>
              <w:t>Low</w:t>
            </w:r>
          </w:p>
        </w:tc>
      </w:tr>
      <w:tr w:rsidR="00416B43" w:rsidRPr="002701BE" w14:paraId="0B61DE2D" w14:textId="77777777" w:rsidTr="007F6813">
        <w:trPr>
          <w:cantSplit/>
        </w:trPr>
        <w:tc>
          <w:tcPr>
            <w:tcW w:w="1654" w:type="pct"/>
            <w:shd w:val="clear" w:color="auto" w:fill="auto"/>
          </w:tcPr>
          <w:p w14:paraId="47431FAA" w14:textId="77777777" w:rsidR="00416B43" w:rsidRPr="002701BE" w:rsidRDefault="00416B43" w:rsidP="007F6813">
            <w:pPr>
              <w:pStyle w:val="Tabletext0"/>
              <w:rPr>
                <w:rFonts w:ascii="Times New Roman" w:hAnsi="Times New Roman"/>
              </w:rPr>
            </w:pPr>
            <w:r w:rsidRPr="002701BE">
              <w:rPr>
                <w:rFonts w:ascii="Times New Roman" w:hAnsi="Times New Roman"/>
              </w:rPr>
              <w:t>Cost of Observation over 6 months</w:t>
            </w:r>
          </w:p>
        </w:tc>
        <w:tc>
          <w:tcPr>
            <w:tcW w:w="1483" w:type="pct"/>
            <w:shd w:val="clear" w:color="auto" w:fill="auto"/>
          </w:tcPr>
          <w:p w14:paraId="75229445" w14:textId="77777777" w:rsidR="00416B43" w:rsidRPr="002701BE" w:rsidRDefault="00416B43" w:rsidP="007F6813">
            <w:pPr>
              <w:spacing w:before="40" w:after="40"/>
              <w:rPr>
                <w:color w:val="000000"/>
                <w:sz w:val="20"/>
              </w:rPr>
            </w:pPr>
            <w:r w:rsidRPr="002701BE">
              <w:rPr>
                <w:snapToGrid w:val="0"/>
                <w:color w:val="000000"/>
                <w:sz w:val="20"/>
                <w:lang w:eastAsia="en-US"/>
              </w:rPr>
              <w:t>$527.50 ($422.00 to $633.00)</w:t>
            </w:r>
          </w:p>
        </w:tc>
        <w:tc>
          <w:tcPr>
            <w:tcW w:w="547" w:type="pct"/>
          </w:tcPr>
          <w:p w14:paraId="4A9F2143"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55CBED77"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31E27F38" w14:textId="77777777" w:rsidTr="007F6813">
        <w:trPr>
          <w:cantSplit/>
        </w:trPr>
        <w:tc>
          <w:tcPr>
            <w:tcW w:w="1654" w:type="pct"/>
            <w:shd w:val="clear" w:color="auto" w:fill="auto"/>
          </w:tcPr>
          <w:p w14:paraId="4495260F" w14:textId="77777777" w:rsidR="00416B43" w:rsidRPr="002701BE" w:rsidRDefault="00416B43" w:rsidP="007F6813">
            <w:pPr>
              <w:pStyle w:val="Tabletext0"/>
              <w:rPr>
                <w:rFonts w:ascii="Times New Roman" w:hAnsi="Times New Roman"/>
              </w:rPr>
            </w:pPr>
            <w:r w:rsidRPr="002701BE">
              <w:rPr>
                <w:rFonts w:ascii="Times New Roman" w:hAnsi="Times New Roman"/>
              </w:rPr>
              <w:t>Cost of Increased Observation (PET/CT)</w:t>
            </w:r>
          </w:p>
        </w:tc>
        <w:tc>
          <w:tcPr>
            <w:tcW w:w="1483" w:type="pct"/>
            <w:shd w:val="clear" w:color="auto" w:fill="auto"/>
          </w:tcPr>
          <w:p w14:paraId="28E1F2C1" w14:textId="77777777" w:rsidR="00416B43" w:rsidRPr="002701BE" w:rsidRDefault="00416B43" w:rsidP="007F6813">
            <w:pPr>
              <w:spacing w:before="40" w:after="40"/>
              <w:rPr>
                <w:color w:val="000000"/>
                <w:sz w:val="20"/>
              </w:rPr>
            </w:pPr>
            <w:r w:rsidRPr="002701BE">
              <w:rPr>
                <w:snapToGrid w:val="0"/>
                <w:color w:val="000000"/>
                <w:sz w:val="20"/>
                <w:lang w:eastAsia="en-US"/>
              </w:rPr>
              <w:t>$1216.5 ($973.20 to $1459.80)</w:t>
            </w:r>
          </w:p>
        </w:tc>
        <w:tc>
          <w:tcPr>
            <w:tcW w:w="547" w:type="pct"/>
          </w:tcPr>
          <w:p w14:paraId="7F2A9FC4"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21401140"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3E4F86EB" w14:textId="77777777" w:rsidTr="007F6813">
        <w:trPr>
          <w:cantSplit/>
        </w:trPr>
        <w:tc>
          <w:tcPr>
            <w:tcW w:w="1654" w:type="pct"/>
            <w:shd w:val="clear" w:color="auto" w:fill="auto"/>
          </w:tcPr>
          <w:p w14:paraId="59375F4F" w14:textId="77777777" w:rsidR="00416B43" w:rsidRPr="002701BE" w:rsidRDefault="00416B43" w:rsidP="007F6813">
            <w:pPr>
              <w:pStyle w:val="Tabletext0"/>
              <w:rPr>
                <w:rFonts w:ascii="Times New Roman" w:hAnsi="Times New Roman"/>
              </w:rPr>
            </w:pPr>
            <w:r w:rsidRPr="002701BE">
              <w:rPr>
                <w:rFonts w:ascii="Times New Roman" w:hAnsi="Times New Roman"/>
              </w:rPr>
              <w:t>Cost of Reduced Observation (PET/CT)</w:t>
            </w:r>
          </w:p>
        </w:tc>
        <w:tc>
          <w:tcPr>
            <w:tcW w:w="1483" w:type="pct"/>
            <w:shd w:val="clear" w:color="auto" w:fill="auto"/>
          </w:tcPr>
          <w:p w14:paraId="3C503CFB" w14:textId="77777777" w:rsidR="00416B43" w:rsidRPr="002701BE" w:rsidRDefault="00416B43" w:rsidP="007F6813">
            <w:pPr>
              <w:spacing w:before="40" w:after="40"/>
              <w:rPr>
                <w:color w:val="000000"/>
                <w:sz w:val="20"/>
              </w:rPr>
            </w:pPr>
            <w:r w:rsidRPr="002701BE">
              <w:rPr>
                <w:snapToGrid w:val="0"/>
                <w:color w:val="000000"/>
                <w:sz w:val="20"/>
                <w:lang w:eastAsia="en-US"/>
              </w:rPr>
              <w:t>$204.50 ($163.60 to $245.40)</w:t>
            </w:r>
          </w:p>
        </w:tc>
        <w:tc>
          <w:tcPr>
            <w:tcW w:w="547" w:type="pct"/>
          </w:tcPr>
          <w:p w14:paraId="6D403682"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53780473"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6F10FBA5" w14:textId="77777777" w:rsidTr="007F6813">
        <w:trPr>
          <w:cantSplit/>
        </w:trPr>
        <w:tc>
          <w:tcPr>
            <w:tcW w:w="1654" w:type="pct"/>
            <w:shd w:val="clear" w:color="auto" w:fill="auto"/>
          </w:tcPr>
          <w:p w14:paraId="0BF7C8BB" w14:textId="77777777" w:rsidR="00416B43" w:rsidRPr="002701BE" w:rsidRDefault="00416B43" w:rsidP="007F6813">
            <w:pPr>
              <w:pStyle w:val="Tabletext0"/>
              <w:rPr>
                <w:rFonts w:ascii="Times New Roman" w:hAnsi="Times New Roman"/>
              </w:rPr>
            </w:pPr>
            <w:r w:rsidRPr="002701BE">
              <w:rPr>
                <w:rFonts w:ascii="Times New Roman" w:hAnsi="Times New Roman"/>
              </w:rPr>
              <w:t>Proportion of PR patients</w:t>
            </w:r>
          </w:p>
        </w:tc>
        <w:tc>
          <w:tcPr>
            <w:tcW w:w="1483" w:type="pct"/>
            <w:shd w:val="clear" w:color="auto" w:fill="auto"/>
          </w:tcPr>
          <w:p w14:paraId="3BDC5BDD" w14:textId="77777777" w:rsidR="00416B43" w:rsidRPr="002701BE" w:rsidRDefault="00416B43" w:rsidP="007F6813">
            <w:pPr>
              <w:spacing w:before="40" w:after="40"/>
              <w:rPr>
                <w:color w:val="000000"/>
                <w:sz w:val="20"/>
              </w:rPr>
            </w:pPr>
            <w:r w:rsidRPr="002701BE">
              <w:rPr>
                <w:snapToGrid w:val="0"/>
                <w:color w:val="000000"/>
                <w:sz w:val="20"/>
                <w:lang w:eastAsia="en-US"/>
              </w:rPr>
              <w:t>30% (24% to 36%)</w:t>
            </w:r>
          </w:p>
        </w:tc>
        <w:tc>
          <w:tcPr>
            <w:tcW w:w="547" w:type="pct"/>
          </w:tcPr>
          <w:p w14:paraId="0FBD1464" w14:textId="77777777" w:rsidR="00416B43" w:rsidRPr="002701BE" w:rsidRDefault="00416B43" w:rsidP="007F6813">
            <w:pPr>
              <w:spacing w:before="40" w:after="40"/>
              <w:rPr>
                <w:color w:val="000000"/>
                <w:sz w:val="20"/>
              </w:rPr>
            </w:pPr>
            <w:r w:rsidRPr="002701BE">
              <w:rPr>
                <w:color w:val="000000"/>
                <w:sz w:val="20"/>
              </w:rPr>
              <w:t>Unknown</w:t>
            </w:r>
          </w:p>
        </w:tc>
        <w:tc>
          <w:tcPr>
            <w:tcW w:w="1316" w:type="pct"/>
            <w:shd w:val="clear" w:color="auto" w:fill="auto"/>
          </w:tcPr>
          <w:p w14:paraId="63C3F168" w14:textId="77777777" w:rsidR="00416B43" w:rsidRPr="002701BE" w:rsidRDefault="00416B43" w:rsidP="007F6813">
            <w:pPr>
              <w:spacing w:before="40" w:after="40"/>
              <w:rPr>
                <w:color w:val="000000"/>
                <w:sz w:val="20"/>
              </w:rPr>
            </w:pPr>
            <w:r w:rsidRPr="002701BE">
              <w:rPr>
                <w:snapToGrid w:val="0"/>
                <w:color w:val="000000"/>
                <w:sz w:val="20"/>
                <w:lang w:eastAsia="en-US"/>
              </w:rPr>
              <w:t>Unknown</w:t>
            </w:r>
          </w:p>
        </w:tc>
      </w:tr>
      <w:tr w:rsidR="00416B43" w:rsidRPr="002701BE" w14:paraId="010DEC85" w14:textId="77777777" w:rsidTr="007F6813">
        <w:trPr>
          <w:cantSplit/>
        </w:trPr>
        <w:tc>
          <w:tcPr>
            <w:tcW w:w="1654" w:type="pct"/>
            <w:shd w:val="clear" w:color="auto" w:fill="auto"/>
          </w:tcPr>
          <w:p w14:paraId="7992D31D" w14:textId="77777777" w:rsidR="00416B43" w:rsidRPr="002701BE" w:rsidRDefault="00416B43" w:rsidP="007F6813">
            <w:pPr>
              <w:pStyle w:val="Tabletext0"/>
              <w:rPr>
                <w:rFonts w:ascii="Times New Roman" w:hAnsi="Times New Roman"/>
              </w:rPr>
            </w:pPr>
            <w:r w:rsidRPr="002701BE">
              <w:rPr>
                <w:rFonts w:ascii="Times New Roman" w:hAnsi="Times New Roman"/>
              </w:rPr>
              <w:t>Cost of BMAT</w:t>
            </w:r>
          </w:p>
        </w:tc>
        <w:tc>
          <w:tcPr>
            <w:tcW w:w="1483" w:type="pct"/>
            <w:shd w:val="clear" w:color="auto" w:fill="auto"/>
          </w:tcPr>
          <w:p w14:paraId="10B9E837" w14:textId="77777777" w:rsidR="00416B43" w:rsidRPr="002701BE" w:rsidRDefault="00416B43" w:rsidP="007F6813">
            <w:pPr>
              <w:spacing w:before="40" w:after="40"/>
              <w:rPr>
                <w:color w:val="000000"/>
                <w:sz w:val="20"/>
              </w:rPr>
            </w:pPr>
            <w:r w:rsidRPr="002701BE">
              <w:rPr>
                <w:snapToGrid w:val="0"/>
                <w:color w:val="000000"/>
                <w:sz w:val="20"/>
                <w:lang w:eastAsia="en-US"/>
              </w:rPr>
              <w:t>$709.20 ($567.36 to $851.04)</w:t>
            </w:r>
          </w:p>
        </w:tc>
        <w:tc>
          <w:tcPr>
            <w:tcW w:w="547" w:type="pct"/>
          </w:tcPr>
          <w:p w14:paraId="470E3004" w14:textId="77777777" w:rsidR="00416B43" w:rsidRPr="002701BE" w:rsidRDefault="00416B43" w:rsidP="007F6813">
            <w:pPr>
              <w:spacing w:before="40" w:after="40"/>
              <w:rPr>
                <w:color w:val="000000"/>
                <w:sz w:val="20"/>
              </w:rPr>
            </w:pPr>
            <w:r w:rsidRPr="002701BE">
              <w:rPr>
                <w:color w:val="000000"/>
                <w:sz w:val="20"/>
              </w:rPr>
              <w:t>Indifferent</w:t>
            </w:r>
          </w:p>
        </w:tc>
        <w:tc>
          <w:tcPr>
            <w:tcW w:w="1316" w:type="pct"/>
            <w:shd w:val="clear" w:color="auto" w:fill="auto"/>
          </w:tcPr>
          <w:p w14:paraId="0654DF7A" w14:textId="77777777" w:rsidR="00416B43" w:rsidRPr="002701BE" w:rsidRDefault="00416B43" w:rsidP="007F6813">
            <w:pPr>
              <w:spacing w:before="40" w:after="40"/>
              <w:rPr>
                <w:color w:val="000000"/>
                <w:sz w:val="20"/>
              </w:rPr>
            </w:pPr>
            <w:r w:rsidRPr="002701BE">
              <w:rPr>
                <w:snapToGrid w:val="0"/>
                <w:color w:val="000000"/>
                <w:sz w:val="20"/>
                <w:lang w:eastAsia="en-US"/>
              </w:rPr>
              <w:t>-</w:t>
            </w:r>
          </w:p>
        </w:tc>
      </w:tr>
      <w:tr w:rsidR="00416B43" w:rsidRPr="002701BE" w14:paraId="36D8D0D8" w14:textId="77777777" w:rsidTr="007F6813">
        <w:trPr>
          <w:cantSplit/>
        </w:trPr>
        <w:tc>
          <w:tcPr>
            <w:tcW w:w="1654" w:type="pct"/>
            <w:shd w:val="clear" w:color="auto" w:fill="auto"/>
          </w:tcPr>
          <w:p w14:paraId="0E374957" w14:textId="77777777" w:rsidR="00416B43" w:rsidRPr="002701BE" w:rsidRDefault="00416B43" w:rsidP="007F6813">
            <w:pPr>
              <w:pStyle w:val="Tabletext0"/>
              <w:rPr>
                <w:rFonts w:ascii="Times New Roman" w:hAnsi="Times New Roman"/>
              </w:rPr>
            </w:pPr>
            <w:r w:rsidRPr="002701BE">
              <w:rPr>
                <w:rFonts w:ascii="Times New Roman" w:hAnsi="Times New Roman"/>
              </w:rPr>
              <w:t xml:space="preserve">Proportion of CT patients who are BMAT+ </w:t>
            </w:r>
          </w:p>
        </w:tc>
        <w:tc>
          <w:tcPr>
            <w:tcW w:w="1483" w:type="pct"/>
            <w:shd w:val="clear" w:color="auto" w:fill="auto"/>
          </w:tcPr>
          <w:p w14:paraId="7A0549B9" w14:textId="77777777" w:rsidR="00416B43" w:rsidRPr="002701BE" w:rsidRDefault="00416B43" w:rsidP="007F6813">
            <w:pPr>
              <w:spacing w:before="40" w:after="40"/>
              <w:rPr>
                <w:color w:val="000000"/>
                <w:sz w:val="20"/>
              </w:rPr>
            </w:pPr>
            <w:r w:rsidRPr="002701BE">
              <w:rPr>
                <w:snapToGrid w:val="0"/>
                <w:color w:val="000000"/>
                <w:sz w:val="20"/>
                <w:lang w:eastAsia="en-US"/>
              </w:rPr>
              <w:t>43.8% (35% to 52.5%)</w:t>
            </w:r>
          </w:p>
        </w:tc>
        <w:tc>
          <w:tcPr>
            <w:tcW w:w="547" w:type="pct"/>
          </w:tcPr>
          <w:p w14:paraId="37EA2F9D" w14:textId="77777777" w:rsidR="00416B43" w:rsidRPr="002701BE" w:rsidRDefault="00416B43" w:rsidP="007F6813">
            <w:pPr>
              <w:spacing w:before="40" w:after="40"/>
              <w:rPr>
                <w:color w:val="000000"/>
                <w:sz w:val="20"/>
              </w:rPr>
            </w:pPr>
            <w:r w:rsidRPr="002701BE">
              <w:rPr>
                <w:color w:val="000000"/>
                <w:sz w:val="20"/>
              </w:rPr>
              <w:t>Unknown</w:t>
            </w:r>
          </w:p>
        </w:tc>
        <w:tc>
          <w:tcPr>
            <w:tcW w:w="1316" w:type="pct"/>
            <w:shd w:val="clear" w:color="auto" w:fill="auto"/>
          </w:tcPr>
          <w:p w14:paraId="2E315D66" w14:textId="77777777" w:rsidR="00416B43" w:rsidRPr="002701BE" w:rsidRDefault="00416B43" w:rsidP="007F6813">
            <w:pPr>
              <w:spacing w:before="40" w:after="40"/>
              <w:rPr>
                <w:color w:val="000000"/>
                <w:sz w:val="20"/>
              </w:rPr>
            </w:pPr>
            <w:r w:rsidRPr="002701BE">
              <w:rPr>
                <w:snapToGrid w:val="0"/>
                <w:color w:val="000000"/>
                <w:sz w:val="20"/>
                <w:lang w:eastAsia="en-US"/>
              </w:rPr>
              <w:t>Unknown</w:t>
            </w:r>
          </w:p>
        </w:tc>
      </w:tr>
    </w:tbl>
    <w:p w14:paraId="36D0D08D" w14:textId="77777777" w:rsidR="00416B43" w:rsidRPr="002701BE" w:rsidRDefault="00416B43" w:rsidP="00AF0359">
      <w:pPr>
        <w:spacing w:before="240" w:after="240"/>
      </w:pPr>
      <w:r w:rsidRPr="002701BE">
        <w:t xml:space="preserve">The information needed to identify the total costs associated with PET/CT is minimal, and when available may not be representative of real practice. To account for these </w:t>
      </w:r>
      <w:r>
        <w:t>uncertainties</w:t>
      </w:r>
      <w:r w:rsidRPr="002701BE">
        <w:t>, the values of parameters have been chosen when these inputs favour CT and therefore pro</w:t>
      </w:r>
      <w:r w:rsidR="00AF0359">
        <w:t xml:space="preserve">vide a conservative estimate.  </w:t>
      </w:r>
      <w:r w:rsidR="00AF0359">
        <w:fldChar w:fldCharType="begin"/>
      </w:r>
      <w:r w:rsidR="00AF0359">
        <w:instrText xml:space="preserve"> REF _Ref467065439 \h </w:instrText>
      </w:r>
      <w:r w:rsidR="00AF0359">
        <w:fldChar w:fldCharType="separate"/>
      </w:r>
      <w:r w:rsidR="00AF0359" w:rsidRPr="00183C03">
        <w:t xml:space="preserve">Table </w:t>
      </w:r>
      <w:r w:rsidR="00AF0359">
        <w:rPr>
          <w:noProof/>
        </w:rPr>
        <w:t>7</w:t>
      </w:r>
      <w:r w:rsidR="00AF0359">
        <w:fldChar w:fldCharType="end"/>
      </w:r>
      <w:r w:rsidR="00AF0359">
        <w:t xml:space="preserve"> </w:t>
      </w:r>
      <w:r w:rsidRPr="002701BE">
        <w:t>shows how these values will impact the model and the only parameter which may underestimate the true value and favour the PET/CT arm, the cost of PET/CT, would be offset by the underestimate of the cost of CT.</w:t>
      </w:r>
    </w:p>
    <w:p w14:paraId="03DD8226" w14:textId="77777777" w:rsidR="00416B43" w:rsidRPr="002701BE" w:rsidRDefault="00416B43" w:rsidP="00416B43">
      <w:r w:rsidRPr="002701BE">
        <w:t>While sensitivity analyses have shown that, using conservative estimates, the cost of PET/CT is favourable compared with CT, the main uncertainty of the model is structural, that is, whether clinicians would actually follow the clinical pathway proposed.</w:t>
      </w:r>
      <w:r w:rsidRPr="002701BE" w:rsidDel="00033310">
        <w:t xml:space="preserve"> </w:t>
      </w:r>
    </w:p>
    <w:p w14:paraId="63D6A5DF" w14:textId="77777777" w:rsidR="00BC1364" w:rsidRPr="00F715D1" w:rsidRDefault="00BC1364" w:rsidP="00453AB5">
      <w:pPr>
        <w:pStyle w:val="Heading1"/>
      </w:pPr>
      <w:r w:rsidRPr="00F715D1">
        <w:t>Financial/budgetary impacts</w:t>
      </w:r>
    </w:p>
    <w:p w14:paraId="3CA65373" w14:textId="77777777" w:rsidR="00416B43" w:rsidRPr="00453AB5" w:rsidRDefault="00416B43" w:rsidP="00453AB5">
      <w:pPr>
        <w:pStyle w:val="ListParagraph"/>
        <w:tabs>
          <w:tab w:val="left" w:pos="-142"/>
          <w:tab w:val="left" w:pos="142"/>
          <w:tab w:val="left" w:pos="1140"/>
        </w:tabs>
        <w:spacing w:after="240"/>
        <w:ind w:left="0"/>
        <w:rPr>
          <w:b/>
          <w:szCs w:val="24"/>
        </w:rPr>
      </w:pPr>
      <w:r w:rsidRPr="002701BE">
        <w:t xml:space="preserve">An epidemiological approach has been used to estimate the financial implications of the proposed listing of PET/CT for indolent NHL. </w:t>
      </w:r>
    </w:p>
    <w:p w14:paraId="53DC2AC8" w14:textId="77777777" w:rsidR="00416B43" w:rsidRPr="00DD1C21" w:rsidRDefault="00416B43" w:rsidP="00416B43">
      <w:r w:rsidRPr="002701BE">
        <w:t xml:space="preserve">The financial implications to the MBS resulting from the proposed listing of PET/CT are summarised in </w:t>
      </w:r>
      <w:r w:rsidR="001E090B">
        <w:fldChar w:fldCharType="begin"/>
      </w:r>
      <w:r w:rsidR="001E090B">
        <w:instrText xml:space="preserve"> REF _Ref395200110 \h </w:instrText>
      </w:r>
      <w:r w:rsidR="001E090B">
        <w:fldChar w:fldCharType="separate"/>
      </w:r>
      <w:r w:rsidR="002938FE" w:rsidRPr="002701BE">
        <w:t xml:space="preserve">Table </w:t>
      </w:r>
      <w:r w:rsidR="002938FE">
        <w:rPr>
          <w:noProof/>
        </w:rPr>
        <w:t>8</w:t>
      </w:r>
      <w:r w:rsidR="001E090B">
        <w:fldChar w:fldCharType="end"/>
      </w:r>
      <w:r w:rsidRPr="002701BE">
        <w:t>. These estimates are based on the 100% MBS rebate under the assumption that the proposed population would be eligible for the Medicare safety net.</w:t>
      </w:r>
      <w:r>
        <w:t xml:space="preserve">  The base case assumes that </w:t>
      </w:r>
      <w:r w:rsidRPr="00DD1C21">
        <w:t>PET/CT replaces</w:t>
      </w:r>
      <w:r>
        <w:t>:</w:t>
      </w:r>
      <w:r w:rsidRPr="00DD1C21">
        <w:t xml:space="preserve"> </w:t>
      </w:r>
    </w:p>
    <w:p w14:paraId="406229DA" w14:textId="77777777" w:rsidR="00416B43" w:rsidRPr="00DD1C21" w:rsidRDefault="00416B43" w:rsidP="00416B43">
      <w:pPr>
        <w:numPr>
          <w:ilvl w:val="0"/>
          <w:numId w:val="35"/>
        </w:numPr>
      </w:pPr>
      <w:r>
        <w:t>25% CT for initial staging;</w:t>
      </w:r>
    </w:p>
    <w:p w14:paraId="10EC58F4" w14:textId="77777777" w:rsidR="00416B43" w:rsidRDefault="00416B43" w:rsidP="00416B43">
      <w:pPr>
        <w:numPr>
          <w:ilvl w:val="0"/>
          <w:numId w:val="35"/>
        </w:numPr>
      </w:pPr>
      <w:r w:rsidRPr="00DD1C21">
        <w:t>CT &amp; BMAT for assessment of response to immunochemotherapy</w:t>
      </w:r>
      <w:r>
        <w:t>;</w:t>
      </w:r>
    </w:p>
    <w:p w14:paraId="561D4A6D" w14:textId="77777777" w:rsidR="00416B43" w:rsidRDefault="00416B43" w:rsidP="00453AB5">
      <w:pPr>
        <w:numPr>
          <w:ilvl w:val="0"/>
          <w:numId w:val="35"/>
        </w:numPr>
        <w:spacing w:after="240"/>
      </w:pPr>
      <w:r w:rsidRPr="00DD1C21">
        <w:t xml:space="preserve">50% CT </w:t>
      </w:r>
      <w:r>
        <w:t>for restaging suspected relapse.</w:t>
      </w:r>
    </w:p>
    <w:p w14:paraId="3CBD23DF" w14:textId="6F3B804D" w:rsidR="00416B43" w:rsidRPr="002701BE" w:rsidRDefault="00416B43" w:rsidP="00453AB5">
      <w:pPr>
        <w:spacing w:after="240"/>
      </w:pPr>
      <w:r w:rsidRPr="002701BE">
        <w:t xml:space="preserve">Although a cost saving has been estimated for the MBS, this is offset by a cost to the PBS due to the increased use of </w:t>
      </w:r>
      <w:proofErr w:type="spellStart"/>
      <w:r>
        <w:t>immunochemotherapy</w:t>
      </w:r>
      <w:proofErr w:type="spellEnd"/>
      <w:r w:rsidRPr="002701BE">
        <w:t xml:space="preserve"> </w:t>
      </w:r>
      <w:r>
        <w:t>(</w:t>
      </w:r>
      <w:r w:rsidR="001E090B">
        <w:fldChar w:fldCharType="begin"/>
      </w:r>
      <w:r w:rsidR="001E090B">
        <w:instrText xml:space="preserve"> REF _Ref467065528 \h </w:instrText>
      </w:r>
      <w:r w:rsidR="001E090B">
        <w:fldChar w:fldCharType="separate"/>
      </w:r>
      <w:r w:rsidR="002938FE" w:rsidRPr="001E090B">
        <w:t xml:space="preserve">Table </w:t>
      </w:r>
      <w:r w:rsidR="002938FE">
        <w:rPr>
          <w:noProof/>
        </w:rPr>
        <w:t>9</w:t>
      </w:r>
      <w:r w:rsidR="001E090B">
        <w:fldChar w:fldCharType="end"/>
      </w:r>
      <w:r>
        <w:t xml:space="preserve">) </w:t>
      </w:r>
      <w:r w:rsidRPr="002701BE">
        <w:t>which is estimated to cost the PBS $</w:t>
      </w:r>
      <w:r w:rsidR="0066096C">
        <w:t>225,740</w:t>
      </w:r>
      <w:r w:rsidRPr="002701BE">
        <w:t xml:space="preserve"> in 2020.</w:t>
      </w:r>
    </w:p>
    <w:p w14:paraId="3F15E78C" w14:textId="77777777" w:rsidR="00AF0359" w:rsidRDefault="00AF0359">
      <w:pPr>
        <w:rPr>
          <w:rFonts w:cs="Tahoma"/>
          <w:b/>
          <w:noProof/>
          <w:sz w:val="20"/>
        </w:rPr>
      </w:pPr>
      <w:bookmarkStart w:id="21" w:name="_Ref395200110"/>
      <w:bookmarkStart w:id="22" w:name="_Toc393197779"/>
      <w:bookmarkStart w:id="23" w:name="_Toc393378192"/>
      <w:bookmarkStart w:id="24" w:name="_Toc460835710"/>
      <w:r>
        <w:br w:type="page"/>
      </w:r>
    </w:p>
    <w:p w14:paraId="04161C4D" w14:textId="1E92B67B" w:rsidR="00416B43" w:rsidRDefault="00416B43" w:rsidP="001F3C7C">
      <w:pPr>
        <w:pStyle w:val="TableHeading"/>
      </w:pPr>
      <w:r w:rsidRPr="002701BE">
        <w:lastRenderedPageBreak/>
        <w:t xml:space="preserve">Table </w:t>
      </w:r>
      <w:r w:rsidRPr="002701BE">
        <w:fldChar w:fldCharType="begin"/>
      </w:r>
      <w:r w:rsidRPr="002701BE">
        <w:instrText xml:space="preserve"> SEQ Table \* ARABIC </w:instrText>
      </w:r>
      <w:r w:rsidRPr="002701BE">
        <w:fldChar w:fldCharType="separate"/>
      </w:r>
      <w:r w:rsidR="002938FE">
        <w:t>8</w:t>
      </w:r>
      <w:r w:rsidRPr="002701BE">
        <w:fldChar w:fldCharType="end"/>
      </w:r>
      <w:bookmarkEnd w:id="21"/>
      <w:r w:rsidRPr="002701BE">
        <w:tab/>
        <w:t xml:space="preserve">Estimated total costs to the MBS associated with expanding </w:t>
      </w:r>
      <w:bookmarkEnd w:id="22"/>
      <w:bookmarkEnd w:id="23"/>
      <w:r w:rsidRPr="002701BE">
        <w:t>PET/CT for indolent NHL and the impact of this on subsequent interventions</w:t>
      </w:r>
      <w:bookmarkStart w:id="25" w:name="_Ref460760807"/>
      <w:bookmarkStart w:id="26" w:name="_Toc460835763"/>
      <w:bookmarkEnd w:id="24"/>
    </w:p>
    <w:tbl>
      <w:tblPr>
        <w:tblStyle w:val="TableGrid"/>
        <w:tblW w:w="0" w:type="auto"/>
        <w:tblLook w:val="04A0" w:firstRow="1" w:lastRow="0" w:firstColumn="1" w:lastColumn="0" w:noHBand="0" w:noVBand="1"/>
        <w:tblDescription w:val="Table 8 Estimated total costs to the MBS associated with expanding PET/CT for indolent NHL and the impact of this on subsequent interventions-Estimated total cost per year, for the period 2016 to 2020, to the MBS of the requested listing, assuming all MBS services are eligible for the Medicare Safety Net"/>
      </w:tblPr>
      <w:tblGrid>
        <w:gridCol w:w="2687"/>
        <w:gridCol w:w="1092"/>
        <w:gridCol w:w="1092"/>
        <w:gridCol w:w="1092"/>
        <w:gridCol w:w="1092"/>
        <w:gridCol w:w="1092"/>
      </w:tblGrid>
      <w:tr w:rsidR="006808DB" w:rsidRPr="00C779E4" w14:paraId="2C7CDCC8" w14:textId="77777777" w:rsidTr="005E215F">
        <w:trPr>
          <w:cantSplit/>
          <w:trHeight w:val="315"/>
          <w:tblHeader/>
        </w:trPr>
        <w:tc>
          <w:tcPr>
            <w:tcW w:w="0" w:type="auto"/>
            <w:noWrap/>
          </w:tcPr>
          <w:p w14:paraId="5F485631" w14:textId="77777777" w:rsidR="006808DB" w:rsidRPr="00C779E4" w:rsidRDefault="006808DB" w:rsidP="005E215F">
            <w:pPr>
              <w:pStyle w:val="Tabletext0"/>
              <w:rPr>
                <w:b/>
              </w:rPr>
            </w:pPr>
            <w:r w:rsidRPr="00C779E4">
              <w:rPr>
                <w:b/>
              </w:rPr>
              <w:t>Description</w:t>
            </w:r>
          </w:p>
        </w:tc>
        <w:tc>
          <w:tcPr>
            <w:tcW w:w="0" w:type="auto"/>
            <w:noWrap/>
          </w:tcPr>
          <w:p w14:paraId="751F73AF" w14:textId="77777777" w:rsidR="006808DB" w:rsidRPr="00C779E4" w:rsidRDefault="006808DB" w:rsidP="005E215F">
            <w:pPr>
              <w:pStyle w:val="Tabletext0"/>
              <w:rPr>
                <w:b/>
              </w:rPr>
            </w:pPr>
            <w:r w:rsidRPr="00C779E4">
              <w:rPr>
                <w:b/>
              </w:rPr>
              <w:t>2016</w:t>
            </w:r>
          </w:p>
        </w:tc>
        <w:tc>
          <w:tcPr>
            <w:tcW w:w="0" w:type="auto"/>
            <w:noWrap/>
          </w:tcPr>
          <w:p w14:paraId="52A5F144" w14:textId="77777777" w:rsidR="006808DB" w:rsidRPr="00C779E4" w:rsidRDefault="006808DB" w:rsidP="005E215F">
            <w:pPr>
              <w:pStyle w:val="Tabletext0"/>
              <w:rPr>
                <w:b/>
              </w:rPr>
            </w:pPr>
            <w:r w:rsidRPr="00C779E4">
              <w:rPr>
                <w:b/>
              </w:rPr>
              <w:t>2017</w:t>
            </w:r>
          </w:p>
        </w:tc>
        <w:tc>
          <w:tcPr>
            <w:tcW w:w="0" w:type="auto"/>
            <w:noWrap/>
          </w:tcPr>
          <w:p w14:paraId="43259EBC" w14:textId="77777777" w:rsidR="006808DB" w:rsidRPr="00C779E4" w:rsidRDefault="006808DB" w:rsidP="005E215F">
            <w:pPr>
              <w:pStyle w:val="Tabletext0"/>
              <w:rPr>
                <w:b/>
              </w:rPr>
            </w:pPr>
            <w:r w:rsidRPr="00C779E4">
              <w:rPr>
                <w:b/>
              </w:rPr>
              <w:t>2018</w:t>
            </w:r>
          </w:p>
        </w:tc>
        <w:tc>
          <w:tcPr>
            <w:tcW w:w="0" w:type="auto"/>
            <w:noWrap/>
          </w:tcPr>
          <w:p w14:paraId="154774C1" w14:textId="77777777" w:rsidR="006808DB" w:rsidRPr="00C779E4" w:rsidRDefault="006808DB" w:rsidP="005E215F">
            <w:pPr>
              <w:pStyle w:val="Tabletext0"/>
              <w:rPr>
                <w:b/>
              </w:rPr>
            </w:pPr>
            <w:r w:rsidRPr="00C779E4">
              <w:rPr>
                <w:b/>
              </w:rPr>
              <w:t>2019</w:t>
            </w:r>
          </w:p>
        </w:tc>
        <w:tc>
          <w:tcPr>
            <w:tcW w:w="0" w:type="auto"/>
            <w:noWrap/>
          </w:tcPr>
          <w:p w14:paraId="7156DD83" w14:textId="77777777" w:rsidR="006808DB" w:rsidRPr="00C779E4" w:rsidRDefault="006808DB" w:rsidP="005E215F">
            <w:pPr>
              <w:pStyle w:val="Tabletext0"/>
              <w:rPr>
                <w:b/>
              </w:rPr>
            </w:pPr>
            <w:r w:rsidRPr="00C779E4">
              <w:rPr>
                <w:b/>
              </w:rPr>
              <w:t>2020</w:t>
            </w:r>
          </w:p>
        </w:tc>
      </w:tr>
      <w:tr w:rsidR="006808DB" w:rsidRPr="00C779E4" w14:paraId="20B0C471" w14:textId="77777777" w:rsidTr="005E215F">
        <w:trPr>
          <w:cantSplit/>
          <w:trHeight w:val="315"/>
        </w:trPr>
        <w:tc>
          <w:tcPr>
            <w:tcW w:w="0" w:type="auto"/>
            <w:noWrap/>
            <w:hideMark/>
          </w:tcPr>
          <w:p w14:paraId="4D2EB79A" w14:textId="77777777" w:rsidR="006808DB" w:rsidRPr="00C779E4" w:rsidRDefault="006808DB" w:rsidP="005E215F">
            <w:pPr>
              <w:pStyle w:val="Tabletext0"/>
            </w:pPr>
            <w:r w:rsidRPr="00C779E4">
              <w:t>Number of services</w:t>
            </w:r>
          </w:p>
        </w:tc>
        <w:tc>
          <w:tcPr>
            <w:tcW w:w="0" w:type="auto"/>
            <w:noWrap/>
            <w:hideMark/>
          </w:tcPr>
          <w:p w14:paraId="14466BB6" w14:textId="77777777" w:rsidR="006808DB" w:rsidRPr="00C779E4" w:rsidRDefault="006808DB" w:rsidP="005E215F">
            <w:pPr>
              <w:pStyle w:val="Tabletext0"/>
            </w:pPr>
            <w:r w:rsidRPr="00C779E4">
              <w:t>2,144</w:t>
            </w:r>
          </w:p>
        </w:tc>
        <w:tc>
          <w:tcPr>
            <w:tcW w:w="0" w:type="auto"/>
            <w:noWrap/>
            <w:hideMark/>
          </w:tcPr>
          <w:p w14:paraId="6C9ED3A5" w14:textId="77777777" w:rsidR="006808DB" w:rsidRPr="00C779E4" w:rsidRDefault="006808DB" w:rsidP="005E215F">
            <w:pPr>
              <w:pStyle w:val="Tabletext0"/>
            </w:pPr>
            <w:r w:rsidRPr="00C779E4">
              <w:t>2,209</w:t>
            </w:r>
          </w:p>
        </w:tc>
        <w:tc>
          <w:tcPr>
            <w:tcW w:w="0" w:type="auto"/>
            <w:noWrap/>
            <w:hideMark/>
          </w:tcPr>
          <w:p w14:paraId="242A596E" w14:textId="77777777" w:rsidR="006808DB" w:rsidRPr="00C779E4" w:rsidRDefault="006808DB" w:rsidP="005E215F">
            <w:pPr>
              <w:pStyle w:val="Tabletext0"/>
            </w:pPr>
            <w:r w:rsidRPr="00C779E4">
              <w:t>2,271</w:t>
            </w:r>
          </w:p>
        </w:tc>
        <w:tc>
          <w:tcPr>
            <w:tcW w:w="0" w:type="auto"/>
            <w:noWrap/>
            <w:hideMark/>
          </w:tcPr>
          <w:p w14:paraId="07B58770" w14:textId="77777777" w:rsidR="006808DB" w:rsidRPr="00C779E4" w:rsidRDefault="006808DB" w:rsidP="005E215F">
            <w:pPr>
              <w:pStyle w:val="Tabletext0"/>
            </w:pPr>
            <w:r w:rsidRPr="00C779E4">
              <w:t>2,335</w:t>
            </w:r>
          </w:p>
        </w:tc>
        <w:tc>
          <w:tcPr>
            <w:tcW w:w="0" w:type="auto"/>
            <w:noWrap/>
            <w:hideMark/>
          </w:tcPr>
          <w:p w14:paraId="5A19892F" w14:textId="77777777" w:rsidR="006808DB" w:rsidRPr="00C779E4" w:rsidRDefault="006808DB" w:rsidP="005E215F">
            <w:pPr>
              <w:pStyle w:val="Tabletext0"/>
            </w:pPr>
            <w:r w:rsidRPr="00C779E4">
              <w:t>2,401</w:t>
            </w:r>
          </w:p>
        </w:tc>
      </w:tr>
      <w:tr w:rsidR="006808DB" w:rsidRPr="00C779E4" w14:paraId="478A7261" w14:textId="77777777" w:rsidTr="005E215F">
        <w:trPr>
          <w:cantSplit/>
          <w:trHeight w:val="315"/>
        </w:trPr>
        <w:tc>
          <w:tcPr>
            <w:tcW w:w="0" w:type="auto"/>
            <w:noWrap/>
            <w:hideMark/>
          </w:tcPr>
          <w:p w14:paraId="386CD9E6" w14:textId="77777777" w:rsidR="006808DB" w:rsidRPr="00C779E4" w:rsidRDefault="006808DB" w:rsidP="005E215F">
            <w:pPr>
              <w:pStyle w:val="Tabletext0"/>
            </w:pPr>
            <w:r w:rsidRPr="00C779E4">
              <w:t>Cost of PET/CT</w:t>
            </w:r>
          </w:p>
        </w:tc>
        <w:tc>
          <w:tcPr>
            <w:tcW w:w="0" w:type="auto"/>
            <w:noWrap/>
            <w:hideMark/>
          </w:tcPr>
          <w:p w14:paraId="42F024E5" w14:textId="77777777" w:rsidR="006808DB" w:rsidRPr="00C779E4" w:rsidRDefault="006808DB" w:rsidP="005E215F">
            <w:pPr>
              <w:pStyle w:val="Tabletext0"/>
            </w:pPr>
            <w:r w:rsidRPr="00C779E4">
              <w:t>$2,043,</w:t>
            </w:r>
            <w:r>
              <w:t>526</w:t>
            </w:r>
          </w:p>
        </w:tc>
        <w:tc>
          <w:tcPr>
            <w:tcW w:w="0" w:type="auto"/>
            <w:noWrap/>
            <w:hideMark/>
          </w:tcPr>
          <w:p w14:paraId="11C444F4" w14:textId="77777777" w:rsidR="006808DB" w:rsidRPr="00C779E4" w:rsidRDefault="006808DB" w:rsidP="005E215F">
            <w:pPr>
              <w:pStyle w:val="Tabletext0"/>
            </w:pPr>
            <w:r w:rsidRPr="00C779E4">
              <w:t>$2,105,</w:t>
            </w:r>
            <w:r>
              <w:t>691</w:t>
            </w:r>
          </w:p>
        </w:tc>
        <w:tc>
          <w:tcPr>
            <w:tcW w:w="0" w:type="auto"/>
            <w:noWrap/>
            <w:hideMark/>
          </w:tcPr>
          <w:p w14:paraId="3195FD5D" w14:textId="77777777" w:rsidR="006808DB" w:rsidRPr="00C779E4" w:rsidRDefault="006808DB" w:rsidP="005E215F">
            <w:pPr>
              <w:pStyle w:val="Tabletext0"/>
            </w:pPr>
            <w:r w:rsidRPr="00C779E4">
              <w:t>$2,16</w:t>
            </w:r>
            <w:r>
              <w:t>3,667</w:t>
            </w:r>
          </w:p>
        </w:tc>
        <w:tc>
          <w:tcPr>
            <w:tcW w:w="0" w:type="auto"/>
            <w:noWrap/>
            <w:hideMark/>
          </w:tcPr>
          <w:p w14:paraId="62259F84" w14:textId="77777777" w:rsidR="006808DB" w:rsidRPr="00C779E4" w:rsidRDefault="006808DB" w:rsidP="005E215F">
            <w:pPr>
              <w:pStyle w:val="Tabletext0"/>
            </w:pPr>
            <w:r w:rsidRPr="00C779E4">
              <w:t>$2,225,</w:t>
            </w:r>
            <w:r>
              <w:t>656</w:t>
            </w:r>
          </w:p>
        </w:tc>
        <w:tc>
          <w:tcPr>
            <w:tcW w:w="0" w:type="auto"/>
            <w:noWrap/>
            <w:hideMark/>
          </w:tcPr>
          <w:p w14:paraId="586576C6" w14:textId="77777777" w:rsidR="006808DB" w:rsidRPr="00C779E4" w:rsidRDefault="006808DB" w:rsidP="005E215F">
            <w:pPr>
              <w:pStyle w:val="Tabletext0"/>
            </w:pPr>
            <w:r w:rsidRPr="00C779E4">
              <w:t>$2,28</w:t>
            </w:r>
            <w:r>
              <w:t>7,554</w:t>
            </w:r>
          </w:p>
        </w:tc>
      </w:tr>
      <w:tr w:rsidR="006808DB" w:rsidRPr="00C779E4" w14:paraId="0CD12FC7" w14:textId="77777777" w:rsidTr="005E215F">
        <w:trPr>
          <w:cantSplit/>
          <w:trHeight w:val="315"/>
        </w:trPr>
        <w:tc>
          <w:tcPr>
            <w:tcW w:w="0" w:type="auto"/>
            <w:noWrap/>
          </w:tcPr>
          <w:p w14:paraId="2552D506" w14:textId="77777777" w:rsidR="006808DB" w:rsidRPr="00C779E4" w:rsidRDefault="006808DB" w:rsidP="005E215F">
            <w:pPr>
              <w:pStyle w:val="Tabletext0"/>
              <w:rPr>
                <w:b/>
              </w:rPr>
            </w:pPr>
            <w:r w:rsidRPr="00C779E4">
              <w:rPr>
                <w:b/>
              </w:rPr>
              <w:t>Associated interventions</w:t>
            </w:r>
          </w:p>
        </w:tc>
        <w:tc>
          <w:tcPr>
            <w:tcW w:w="0" w:type="auto"/>
            <w:noWrap/>
          </w:tcPr>
          <w:p w14:paraId="75C2FC3A" w14:textId="77777777" w:rsidR="006808DB" w:rsidRPr="00C779E4" w:rsidRDefault="006808DB" w:rsidP="005E215F">
            <w:pPr>
              <w:pStyle w:val="Tabletext0"/>
            </w:pPr>
            <w:r>
              <w:t>-</w:t>
            </w:r>
          </w:p>
        </w:tc>
        <w:tc>
          <w:tcPr>
            <w:tcW w:w="0" w:type="auto"/>
            <w:noWrap/>
          </w:tcPr>
          <w:p w14:paraId="54532DFD" w14:textId="77777777" w:rsidR="006808DB" w:rsidRPr="00C779E4" w:rsidRDefault="006808DB" w:rsidP="005E215F">
            <w:pPr>
              <w:pStyle w:val="Tabletext0"/>
            </w:pPr>
            <w:r>
              <w:t>-</w:t>
            </w:r>
          </w:p>
        </w:tc>
        <w:tc>
          <w:tcPr>
            <w:tcW w:w="0" w:type="auto"/>
            <w:noWrap/>
          </w:tcPr>
          <w:p w14:paraId="16181290" w14:textId="77777777" w:rsidR="006808DB" w:rsidRPr="00C779E4" w:rsidRDefault="006808DB" w:rsidP="005E215F">
            <w:pPr>
              <w:pStyle w:val="Tabletext0"/>
            </w:pPr>
            <w:r>
              <w:t>-</w:t>
            </w:r>
          </w:p>
        </w:tc>
        <w:tc>
          <w:tcPr>
            <w:tcW w:w="0" w:type="auto"/>
            <w:noWrap/>
          </w:tcPr>
          <w:p w14:paraId="348CD503" w14:textId="77777777" w:rsidR="006808DB" w:rsidRPr="00C779E4" w:rsidRDefault="006808DB" w:rsidP="005E215F">
            <w:pPr>
              <w:pStyle w:val="Tabletext0"/>
            </w:pPr>
            <w:r>
              <w:t>-</w:t>
            </w:r>
          </w:p>
        </w:tc>
        <w:tc>
          <w:tcPr>
            <w:tcW w:w="0" w:type="auto"/>
            <w:noWrap/>
          </w:tcPr>
          <w:p w14:paraId="19D49E7F" w14:textId="77777777" w:rsidR="006808DB" w:rsidRPr="00C779E4" w:rsidRDefault="006808DB" w:rsidP="005E215F">
            <w:pPr>
              <w:pStyle w:val="Tabletext0"/>
            </w:pPr>
            <w:r>
              <w:t>-</w:t>
            </w:r>
          </w:p>
        </w:tc>
      </w:tr>
      <w:tr w:rsidR="006808DB" w:rsidRPr="00C779E4" w14:paraId="4E8A0CE7" w14:textId="77777777" w:rsidTr="005E215F">
        <w:trPr>
          <w:cantSplit/>
          <w:trHeight w:val="315"/>
        </w:trPr>
        <w:tc>
          <w:tcPr>
            <w:tcW w:w="0" w:type="auto"/>
            <w:noWrap/>
            <w:hideMark/>
          </w:tcPr>
          <w:p w14:paraId="50229D44" w14:textId="77777777" w:rsidR="006808DB" w:rsidRPr="00C779E4" w:rsidRDefault="006808DB" w:rsidP="005E215F">
            <w:pPr>
              <w:pStyle w:val="Tabletext0"/>
            </w:pPr>
            <w:r w:rsidRPr="00C779E4">
              <w:t>Change in CT</w:t>
            </w:r>
          </w:p>
        </w:tc>
        <w:tc>
          <w:tcPr>
            <w:tcW w:w="0" w:type="auto"/>
            <w:noWrap/>
            <w:hideMark/>
          </w:tcPr>
          <w:p w14:paraId="5AF8077A" w14:textId="77777777" w:rsidR="006808DB" w:rsidRPr="00C779E4" w:rsidRDefault="006808DB" w:rsidP="005E215F">
            <w:pPr>
              <w:pStyle w:val="Tabletext0"/>
            </w:pPr>
            <w:r w:rsidRPr="00C779E4">
              <w:t>-2133.00</w:t>
            </w:r>
          </w:p>
        </w:tc>
        <w:tc>
          <w:tcPr>
            <w:tcW w:w="0" w:type="auto"/>
            <w:noWrap/>
            <w:hideMark/>
          </w:tcPr>
          <w:p w14:paraId="7843C1FC" w14:textId="77777777" w:rsidR="006808DB" w:rsidRPr="00C779E4" w:rsidRDefault="006808DB" w:rsidP="005E215F">
            <w:pPr>
              <w:pStyle w:val="Tabletext0"/>
            </w:pPr>
            <w:r w:rsidRPr="00C779E4">
              <w:t>-2,322</w:t>
            </w:r>
          </w:p>
        </w:tc>
        <w:tc>
          <w:tcPr>
            <w:tcW w:w="0" w:type="auto"/>
            <w:noWrap/>
            <w:hideMark/>
          </w:tcPr>
          <w:p w14:paraId="5A75EB9D" w14:textId="77777777" w:rsidR="006808DB" w:rsidRPr="00C779E4" w:rsidRDefault="006808DB" w:rsidP="005E215F">
            <w:pPr>
              <w:pStyle w:val="Tabletext0"/>
            </w:pPr>
            <w:r w:rsidRPr="00C779E4">
              <w:t>-2,422</w:t>
            </w:r>
          </w:p>
        </w:tc>
        <w:tc>
          <w:tcPr>
            <w:tcW w:w="0" w:type="auto"/>
            <w:noWrap/>
            <w:hideMark/>
          </w:tcPr>
          <w:p w14:paraId="78DCC4AB" w14:textId="77777777" w:rsidR="006808DB" w:rsidRPr="00C779E4" w:rsidRDefault="006808DB" w:rsidP="005E215F">
            <w:pPr>
              <w:pStyle w:val="Tabletext0"/>
            </w:pPr>
            <w:r w:rsidRPr="00C779E4">
              <w:t>-2,523</w:t>
            </w:r>
          </w:p>
        </w:tc>
        <w:tc>
          <w:tcPr>
            <w:tcW w:w="0" w:type="auto"/>
            <w:noWrap/>
            <w:hideMark/>
          </w:tcPr>
          <w:p w14:paraId="4871BDC5" w14:textId="77777777" w:rsidR="006808DB" w:rsidRPr="00C779E4" w:rsidRDefault="006808DB" w:rsidP="005E215F">
            <w:pPr>
              <w:pStyle w:val="Tabletext0"/>
            </w:pPr>
            <w:r w:rsidRPr="00C779E4">
              <w:t>-2,625</w:t>
            </w:r>
          </w:p>
        </w:tc>
      </w:tr>
      <w:tr w:rsidR="006808DB" w:rsidRPr="00C779E4" w14:paraId="57877D52" w14:textId="77777777" w:rsidTr="005E215F">
        <w:trPr>
          <w:cantSplit/>
          <w:trHeight w:val="315"/>
        </w:trPr>
        <w:tc>
          <w:tcPr>
            <w:tcW w:w="0" w:type="auto"/>
            <w:noWrap/>
            <w:hideMark/>
          </w:tcPr>
          <w:p w14:paraId="211DC7B2" w14:textId="77777777" w:rsidR="006808DB" w:rsidRPr="00C779E4" w:rsidRDefault="006808DB" w:rsidP="005E215F">
            <w:pPr>
              <w:pStyle w:val="Tabletext0"/>
            </w:pPr>
            <w:r>
              <w:t>Cost of CT</w:t>
            </w:r>
          </w:p>
        </w:tc>
        <w:tc>
          <w:tcPr>
            <w:tcW w:w="0" w:type="auto"/>
            <w:noWrap/>
            <w:hideMark/>
          </w:tcPr>
          <w:p w14:paraId="0E82BFF9" w14:textId="77777777" w:rsidR="006808DB" w:rsidRPr="00C779E4" w:rsidRDefault="006808DB" w:rsidP="005E215F">
            <w:pPr>
              <w:pStyle w:val="Tabletext0"/>
            </w:pPr>
            <w:r>
              <w:t>-$1,194,528</w:t>
            </w:r>
          </w:p>
        </w:tc>
        <w:tc>
          <w:tcPr>
            <w:tcW w:w="0" w:type="auto"/>
            <w:noWrap/>
            <w:hideMark/>
          </w:tcPr>
          <w:p w14:paraId="490B71CC" w14:textId="77777777" w:rsidR="006808DB" w:rsidRPr="00C779E4" w:rsidRDefault="006808DB" w:rsidP="005E215F">
            <w:pPr>
              <w:pStyle w:val="Tabletext0"/>
            </w:pPr>
            <w:r>
              <w:t>-$1,300,355</w:t>
            </w:r>
          </w:p>
        </w:tc>
        <w:tc>
          <w:tcPr>
            <w:tcW w:w="0" w:type="auto"/>
            <w:noWrap/>
            <w:hideMark/>
          </w:tcPr>
          <w:p w14:paraId="57197DBE" w14:textId="77777777" w:rsidR="006808DB" w:rsidRPr="00C779E4" w:rsidRDefault="006808DB" w:rsidP="005E215F">
            <w:pPr>
              <w:pStyle w:val="Tabletext0"/>
            </w:pPr>
            <w:r>
              <w:t>-$1,356,120</w:t>
            </w:r>
          </w:p>
        </w:tc>
        <w:tc>
          <w:tcPr>
            <w:tcW w:w="0" w:type="auto"/>
            <w:noWrap/>
            <w:hideMark/>
          </w:tcPr>
          <w:p w14:paraId="07F9CBAD" w14:textId="77777777" w:rsidR="006808DB" w:rsidRPr="00C779E4" w:rsidRDefault="006808DB" w:rsidP="005E215F">
            <w:pPr>
              <w:pStyle w:val="Tabletext0"/>
            </w:pPr>
            <w:r>
              <w:t>-$1,412,609</w:t>
            </w:r>
          </w:p>
        </w:tc>
        <w:tc>
          <w:tcPr>
            <w:tcW w:w="0" w:type="auto"/>
            <w:noWrap/>
            <w:hideMark/>
          </w:tcPr>
          <w:p w14:paraId="150763AC" w14:textId="77777777" w:rsidR="006808DB" w:rsidRPr="00C779E4" w:rsidRDefault="006808DB" w:rsidP="005E215F">
            <w:pPr>
              <w:pStyle w:val="Tabletext0"/>
            </w:pPr>
            <w:r>
              <w:t>-$1,469,738</w:t>
            </w:r>
          </w:p>
        </w:tc>
      </w:tr>
      <w:tr w:rsidR="006808DB" w:rsidRPr="00C779E4" w14:paraId="1602CFE7" w14:textId="77777777" w:rsidTr="005E215F">
        <w:trPr>
          <w:cantSplit/>
          <w:trHeight w:val="315"/>
        </w:trPr>
        <w:tc>
          <w:tcPr>
            <w:tcW w:w="0" w:type="auto"/>
            <w:noWrap/>
            <w:hideMark/>
          </w:tcPr>
          <w:p w14:paraId="03DFA9B4" w14:textId="77777777" w:rsidR="006808DB" w:rsidRPr="00C779E4" w:rsidRDefault="006808DB" w:rsidP="005E215F">
            <w:pPr>
              <w:pStyle w:val="Tabletext0"/>
            </w:pPr>
            <w:r w:rsidRPr="00C779E4">
              <w:t>Change in BMAT</w:t>
            </w:r>
          </w:p>
        </w:tc>
        <w:tc>
          <w:tcPr>
            <w:tcW w:w="0" w:type="auto"/>
            <w:noWrap/>
            <w:hideMark/>
          </w:tcPr>
          <w:p w14:paraId="367E1BFC" w14:textId="77777777" w:rsidR="006808DB" w:rsidRPr="00C779E4" w:rsidRDefault="006808DB" w:rsidP="005E215F">
            <w:pPr>
              <w:pStyle w:val="Tabletext0"/>
            </w:pPr>
            <w:r w:rsidRPr="00C779E4">
              <w:t>-427</w:t>
            </w:r>
          </w:p>
        </w:tc>
        <w:tc>
          <w:tcPr>
            <w:tcW w:w="0" w:type="auto"/>
            <w:noWrap/>
            <w:hideMark/>
          </w:tcPr>
          <w:p w14:paraId="1F0451DD" w14:textId="77777777" w:rsidR="006808DB" w:rsidRPr="00C779E4" w:rsidRDefault="006808DB" w:rsidP="005E215F">
            <w:pPr>
              <w:pStyle w:val="Tabletext0"/>
            </w:pPr>
            <w:r w:rsidRPr="00C779E4">
              <w:t>-440</w:t>
            </w:r>
          </w:p>
        </w:tc>
        <w:tc>
          <w:tcPr>
            <w:tcW w:w="0" w:type="auto"/>
            <w:noWrap/>
            <w:hideMark/>
          </w:tcPr>
          <w:p w14:paraId="03C5516C" w14:textId="77777777" w:rsidR="006808DB" w:rsidRPr="00C779E4" w:rsidRDefault="006808DB" w:rsidP="005E215F">
            <w:pPr>
              <w:pStyle w:val="Tabletext0"/>
            </w:pPr>
            <w:r w:rsidRPr="00C779E4">
              <w:t>-452</w:t>
            </w:r>
          </w:p>
        </w:tc>
        <w:tc>
          <w:tcPr>
            <w:tcW w:w="0" w:type="auto"/>
            <w:noWrap/>
            <w:hideMark/>
          </w:tcPr>
          <w:p w14:paraId="43D1504F" w14:textId="77777777" w:rsidR="006808DB" w:rsidRPr="00C779E4" w:rsidRDefault="006808DB" w:rsidP="005E215F">
            <w:pPr>
              <w:pStyle w:val="Tabletext0"/>
            </w:pPr>
            <w:r w:rsidRPr="00C779E4">
              <w:t>-465</w:t>
            </w:r>
          </w:p>
        </w:tc>
        <w:tc>
          <w:tcPr>
            <w:tcW w:w="0" w:type="auto"/>
            <w:noWrap/>
            <w:hideMark/>
          </w:tcPr>
          <w:p w14:paraId="5002C9C1" w14:textId="77777777" w:rsidR="006808DB" w:rsidRPr="00C779E4" w:rsidRDefault="006808DB" w:rsidP="005E215F">
            <w:pPr>
              <w:pStyle w:val="Tabletext0"/>
            </w:pPr>
            <w:r w:rsidRPr="00C779E4">
              <w:t>-478</w:t>
            </w:r>
          </w:p>
        </w:tc>
      </w:tr>
      <w:tr w:rsidR="006808DB" w:rsidRPr="00C779E4" w14:paraId="6CD6B458" w14:textId="77777777" w:rsidTr="005E215F">
        <w:trPr>
          <w:cantSplit/>
          <w:trHeight w:val="315"/>
        </w:trPr>
        <w:tc>
          <w:tcPr>
            <w:tcW w:w="0" w:type="auto"/>
            <w:noWrap/>
            <w:hideMark/>
          </w:tcPr>
          <w:p w14:paraId="04EE7BC8" w14:textId="77777777" w:rsidR="006808DB" w:rsidRPr="00C779E4" w:rsidRDefault="006808DB" w:rsidP="005E215F">
            <w:pPr>
              <w:pStyle w:val="Tabletext0"/>
            </w:pPr>
            <w:r>
              <w:t>Cost of BMAT</w:t>
            </w:r>
          </w:p>
        </w:tc>
        <w:tc>
          <w:tcPr>
            <w:tcW w:w="0" w:type="auto"/>
            <w:noWrap/>
            <w:hideMark/>
          </w:tcPr>
          <w:p w14:paraId="4C0F573C" w14:textId="77777777" w:rsidR="006808DB" w:rsidRPr="00C779E4" w:rsidRDefault="006808DB" w:rsidP="005E215F">
            <w:pPr>
              <w:pStyle w:val="Tabletext0"/>
            </w:pPr>
            <w:r w:rsidRPr="00C779E4">
              <w:t>-$30</w:t>
            </w:r>
            <w:r>
              <w:t>3,082</w:t>
            </w:r>
          </w:p>
        </w:tc>
        <w:tc>
          <w:tcPr>
            <w:tcW w:w="0" w:type="auto"/>
            <w:noWrap/>
            <w:hideMark/>
          </w:tcPr>
          <w:p w14:paraId="03927FC1" w14:textId="77777777" w:rsidR="006808DB" w:rsidRPr="00C779E4" w:rsidRDefault="006808DB" w:rsidP="005E215F">
            <w:pPr>
              <w:pStyle w:val="Tabletext0"/>
            </w:pPr>
            <w:r w:rsidRPr="00C779E4">
              <w:t>-$312,</w:t>
            </w:r>
            <w:r>
              <w:t>302</w:t>
            </w:r>
          </w:p>
        </w:tc>
        <w:tc>
          <w:tcPr>
            <w:tcW w:w="0" w:type="auto"/>
            <w:noWrap/>
            <w:hideMark/>
          </w:tcPr>
          <w:p w14:paraId="263BB242" w14:textId="77777777" w:rsidR="006808DB" w:rsidRPr="00C779E4" w:rsidRDefault="006808DB" w:rsidP="005E215F">
            <w:pPr>
              <w:pStyle w:val="Tabletext0"/>
            </w:pPr>
            <w:r w:rsidRPr="00C779E4">
              <w:t>-$320,</w:t>
            </w:r>
            <w:r>
              <w:t>900</w:t>
            </w:r>
          </w:p>
        </w:tc>
        <w:tc>
          <w:tcPr>
            <w:tcW w:w="0" w:type="auto"/>
            <w:noWrap/>
            <w:hideMark/>
          </w:tcPr>
          <w:p w14:paraId="5B3248B8" w14:textId="77777777" w:rsidR="006808DB" w:rsidRPr="00C779E4" w:rsidRDefault="006808DB" w:rsidP="005E215F">
            <w:pPr>
              <w:pStyle w:val="Tabletext0"/>
            </w:pPr>
            <w:r w:rsidRPr="00C779E4">
              <w:t>-$3</w:t>
            </w:r>
            <w:r>
              <w:t>30,094</w:t>
            </w:r>
          </w:p>
        </w:tc>
        <w:tc>
          <w:tcPr>
            <w:tcW w:w="0" w:type="auto"/>
            <w:noWrap/>
            <w:hideMark/>
          </w:tcPr>
          <w:p w14:paraId="331CA445" w14:textId="77777777" w:rsidR="006808DB" w:rsidRPr="00C779E4" w:rsidRDefault="006808DB" w:rsidP="005E215F">
            <w:pPr>
              <w:pStyle w:val="Tabletext0"/>
            </w:pPr>
            <w:r w:rsidRPr="00C779E4">
              <w:t>-$33</w:t>
            </w:r>
            <w:r>
              <w:t>9,274</w:t>
            </w:r>
          </w:p>
        </w:tc>
      </w:tr>
      <w:tr w:rsidR="006808DB" w:rsidRPr="00C779E4" w14:paraId="2635A715" w14:textId="77777777" w:rsidTr="005E215F">
        <w:trPr>
          <w:cantSplit/>
          <w:trHeight w:val="315"/>
        </w:trPr>
        <w:tc>
          <w:tcPr>
            <w:tcW w:w="0" w:type="auto"/>
            <w:noWrap/>
            <w:hideMark/>
          </w:tcPr>
          <w:p w14:paraId="03D1868A" w14:textId="77777777" w:rsidR="006808DB" w:rsidRPr="00C779E4" w:rsidRDefault="006808DB" w:rsidP="005E215F">
            <w:pPr>
              <w:pStyle w:val="Tabletext0"/>
            </w:pPr>
            <w:r w:rsidRPr="00C779E4">
              <w:t>Increase in radiotherapy</w:t>
            </w:r>
          </w:p>
        </w:tc>
        <w:tc>
          <w:tcPr>
            <w:tcW w:w="0" w:type="auto"/>
            <w:noWrap/>
            <w:hideMark/>
          </w:tcPr>
          <w:p w14:paraId="18230545" w14:textId="77777777" w:rsidR="006808DB" w:rsidRPr="00C779E4" w:rsidRDefault="006808DB" w:rsidP="005E215F">
            <w:pPr>
              <w:pStyle w:val="Tabletext0"/>
            </w:pPr>
            <w:r w:rsidRPr="00C779E4">
              <w:t>-12</w:t>
            </w:r>
          </w:p>
        </w:tc>
        <w:tc>
          <w:tcPr>
            <w:tcW w:w="0" w:type="auto"/>
            <w:noWrap/>
            <w:hideMark/>
          </w:tcPr>
          <w:p w14:paraId="128DF732" w14:textId="77777777" w:rsidR="006808DB" w:rsidRPr="00C779E4" w:rsidRDefault="006808DB" w:rsidP="005E215F">
            <w:pPr>
              <w:pStyle w:val="Tabletext0"/>
            </w:pPr>
            <w:r w:rsidRPr="00C779E4">
              <w:t>-12</w:t>
            </w:r>
          </w:p>
        </w:tc>
        <w:tc>
          <w:tcPr>
            <w:tcW w:w="0" w:type="auto"/>
            <w:noWrap/>
            <w:hideMark/>
          </w:tcPr>
          <w:p w14:paraId="6B50E572" w14:textId="77777777" w:rsidR="006808DB" w:rsidRPr="00C779E4" w:rsidRDefault="006808DB" w:rsidP="005E215F">
            <w:pPr>
              <w:pStyle w:val="Tabletext0"/>
            </w:pPr>
            <w:r w:rsidRPr="00C779E4">
              <w:t>-13</w:t>
            </w:r>
          </w:p>
        </w:tc>
        <w:tc>
          <w:tcPr>
            <w:tcW w:w="0" w:type="auto"/>
            <w:noWrap/>
            <w:hideMark/>
          </w:tcPr>
          <w:p w14:paraId="197F2DAB" w14:textId="77777777" w:rsidR="006808DB" w:rsidRPr="00C779E4" w:rsidRDefault="006808DB" w:rsidP="005E215F">
            <w:pPr>
              <w:pStyle w:val="Tabletext0"/>
            </w:pPr>
            <w:r w:rsidRPr="00C779E4">
              <w:t>-13</w:t>
            </w:r>
          </w:p>
        </w:tc>
        <w:tc>
          <w:tcPr>
            <w:tcW w:w="0" w:type="auto"/>
            <w:noWrap/>
            <w:hideMark/>
          </w:tcPr>
          <w:p w14:paraId="3F07B849" w14:textId="77777777" w:rsidR="006808DB" w:rsidRPr="00C779E4" w:rsidRDefault="006808DB" w:rsidP="005E215F">
            <w:pPr>
              <w:pStyle w:val="Tabletext0"/>
            </w:pPr>
            <w:r w:rsidRPr="00C779E4">
              <w:t>-13</w:t>
            </w:r>
          </w:p>
        </w:tc>
      </w:tr>
      <w:tr w:rsidR="006808DB" w:rsidRPr="00C779E4" w14:paraId="42A82445" w14:textId="77777777" w:rsidTr="005E215F">
        <w:trPr>
          <w:cantSplit/>
          <w:trHeight w:val="315"/>
        </w:trPr>
        <w:tc>
          <w:tcPr>
            <w:tcW w:w="0" w:type="auto"/>
            <w:noWrap/>
            <w:hideMark/>
          </w:tcPr>
          <w:p w14:paraId="73578CF2" w14:textId="77777777" w:rsidR="006808DB" w:rsidRPr="00C779E4" w:rsidRDefault="006808DB" w:rsidP="005E215F">
            <w:pPr>
              <w:pStyle w:val="Tabletext0"/>
            </w:pPr>
            <w:r>
              <w:t>Cost of radiotherapy</w:t>
            </w:r>
          </w:p>
        </w:tc>
        <w:tc>
          <w:tcPr>
            <w:tcW w:w="0" w:type="auto"/>
            <w:noWrap/>
            <w:hideMark/>
          </w:tcPr>
          <w:p w14:paraId="00C70239" w14:textId="77777777" w:rsidR="006808DB" w:rsidRPr="00C779E4" w:rsidRDefault="006808DB" w:rsidP="005E215F">
            <w:pPr>
              <w:pStyle w:val="Tabletext0"/>
            </w:pPr>
            <w:r w:rsidRPr="00C779E4">
              <w:t>-$64,</w:t>
            </w:r>
            <w:r>
              <w:t>189</w:t>
            </w:r>
          </w:p>
        </w:tc>
        <w:tc>
          <w:tcPr>
            <w:tcW w:w="0" w:type="auto"/>
            <w:noWrap/>
            <w:hideMark/>
          </w:tcPr>
          <w:p w14:paraId="6DAD042B" w14:textId="77777777" w:rsidR="006808DB" w:rsidRPr="00C779E4" w:rsidRDefault="006808DB" w:rsidP="005E215F">
            <w:pPr>
              <w:pStyle w:val="Tabletext0"/>
            </w:pPr>
            <w:r w:rsidRPr="00C779E4">
              <w:t>-$6</w:t>
            </w:r>
            <w:r>
              <w:t>6,142</w:t>
            </w:r>
          </w:p>
        </w:tc>
        <w:tc>
          <w:tcPr>
            <w:tcW w:w="0" w:type="auto"/>
            <w:noWrap/>
            <w:hideMark/>
          </w:tcPr>
          <w:p w14:paraId="2185E00F" w14:textId="77777777" w:rsidR="006808DB" w:rsidRPr="00C779E4" w:rsidRDefault="006808DB" w:rsidP="005E215F">
            <w:pPr>
              <w:pStyle w:val="Tabletext0"/>
            </w:pPr>
            <w:r w:rsidRPr="00C779E4">
              <w:t>-$6</w:t>
            </w:r>
            <w:r>
              <w:t>7,963</w:t>
            </w:r>
          </w:p>
        </w:tc>
        <w:tc>
          <w:tcPr>
            <w:tcW w:w="0" w:type="auto"/>
            <w:noWrap/>
            <w:hideMark/>
          </w:tcPr>
          <w:p w14:paraId="27F156D3" w14:textId="77777777" w:rsidR="006808DB" w:rsidRPr="00C779E4" w:rsidRDefault="006808DB" w:rsidP="005E215F">
            <w:pPr>
              <w:pStyle w:val="Tabletext0"/>
            </w:pPr>
            <w:r w:rsidRPr="00C779E4">
              <w:t>-$69,</w:t>
            </w:r>
            <w:r>
              <w:t>910</w:t>
            </w:r>
          </w:p>
        </w:tc>
        <w:tc>
          <w:tcPr>
            <w:tcW w:w="0" w:type="auto"/>
            <w:noWrap/>
            <w:hideMark/>
          </w:tcPr>
          <w:p w14:paraId="709C990B" w14:textId="77777777" w:rsidR="006808DB" w:rsidRPr="00C779E4" w:rsidRDefault="006808DB" w:rsidP="005E215F">
            <w:pPr>
              <w:pStyle w:val="Tabletext0"/>
            </w:pPr>
            <w:r w:rsidRPr="00C779E4">
              <w:t>-$</w:t>
            </w:r>
            <w:r>
              <w:t>71,854</w:t>
            </w:r>
          </w:p>
        </w:tc>
      </w:tr>
      <w:tr w:rsidR="006808DB" w:rsidRPr="00C779E4" w14:paraId="42D9D346" w14:textId="77777777" w:rsidTr="005E215F">
        <w:trPr>
          <w:cantSplit/>
          <w:trHeight w:val="315"/>
        </w:trPr>
        <w:tc>
          <w:tcPr>
            <w:tcW w:w="0" w:type="auto"/>
            <w:noWrap/>
            <w:hideMark/>
          </w:tcPr>
          <w:p w14:paraId="47844CD9" w14:textId="77777777" w:rsidR="006808DB" w:rsidRPr="00C779E4" w:rsidRDefault="006808DB" w:rsidP="005E215F">
            <w:pPr>
              <w:pStyle w:val="Tabletext0"/>
            </w:pPr>
            <w:r w:rsidRPr="00C779E4">
              <w:t xml:space="preserve">Increase in </w:t>
            </w:r>
            <w:proofErr w:type="spellStart"/>
            <w:r w:rsidRPr="00C779E4">
              <w:t>chemoimmunotherapy</w:t>
            </w:r>
            <w:proofErr w:type="spellEnd"/>
          </w:p>
        </w:tc>
        <w:tc>
          <w:tcPr>
            <w:tcW w:w="0" w:type="auto"/>
            <w:noWrap/>
            <w:hideMark/>
          </w:tcPr>
          <w:p w14:paraId="3984FC3F" w14:textId="77777777" w:rsidR="006808DB" w:rsidRPr="00C779E4" w:rsidRDefault="006808DB" w:rsidP="005E215F">
            <w:pPr>
              <w:pStyle w:val="Tabletext0"/>
            </w:pPr>
            <w:r w:rsidRPr="00C779E4">
              <w:t>8</w:t>
            </w:r>
          </w:p>
        </w:tc>
        <w:tc>
          <w:tcPr>
            <w:tcW w:w="0" w:type="auto"/>
            <w:noWrap/>
            <w:hideMark/>
          </w:tcPr>
          <w:p w14:paraId="3DCDC771" w14:textId="77777777" w:rsidR="006808DB" w:rsidRPr="00C779E4" w:rsidRDefault="006808DB" w:rsidP="005E215F">
            <w:pPr>
              <w:pStyle w:val="Tabletext0"/>
            </w:pPr>
            <w:r w:rsidRPr="00C779E4">
              <w:t>8</w:t>
            </w:r>
          </w:p>
        </w:tc>
        <w:tc>
          <w:tcPr>
            <w:tcW w:w="0" w:type="auto"/>
            <w:noWrap/>
            <w:hideMark/>
          </w:tcPr>
          <w:p w14:paraId="1A6909A1" w14:textId="77777777" w:rsidR="006808DB" w:rsidRPr="00C779E4" w:rsidRDefault="006808DB" w:rsidP="005E215F">
            <w:pPr>
              <w:pStyle w:val="Tabletext0"/>
            </w:pPr>
            <w:r w:rsidRPr="00C779E4">
              <w:t>8</w:t>
            </w:r>
          </w:p>
        </w:tc>
        <w:tc>
          <w:tcPr>
            <w:tcW w:w="0" w:type="auto"/>
            <w:noWrap/>
            <w:hideMark/>
          </w:tcPr>
          <w:p w14:paraId="4AA31538" w14:textId="77777777" w:rsidR="006808DB" w:rsidRPr="00C779E4" w:rsidRDefault="006808DB" w:rsidP="005E215F">
            <w:pPr>
              <w:pStyle w:val="Tabletext0"/>
            </w:pPr>
            <w:r w:rsidRPr="00C779E4">
              <w:t>8</w:t>
            </w:r>
          </w:p>
        </w:tc>
        <w:tc>
          <w:tcPr>
            <w:tcW w:w="0" w:type="auto"/>
            <w:noWrap/>
            <w:hideMark/>
          </w:tcPr>
          <w:p w14:paraId="6D71D3DE" w14:textId="77777777" w:rsidR="006808DB" w:rsidRPr="00C779E4" w:rsidRDefault="006808DB" w:rsidP="005E215F">
            <w:pPr>
              <w:pStyle w:val="Tabletext0"/>
            </w:pPr>
            <w:r w:rsidRPr="00C779E4">
              <w:t>9</w:t>
            </w:r>
          </w:p>
        </w:tc>
      </w:tr>
      <w:tr w:rsidR="006808DB" w:rsidRPr="00C779E4" w14:paraId="3B97FDAA" w14:textId="77777777" w:rsidTr="005E215F">
        <w:trPr>
          <w:cantSplit/>
          <w:trHeight w:val="315"/>
        </w:trPr>
        <w:tc>
          <w:tcPr>
            <w:tcW w:w="0" w:type="auto"/>
            <w:noWrap/>
            <w:hideMark/>
          </w:tcPr>
          <w:p w14:paraId="398B065D" w14:textId="77777777" w:rsidR="006808DB" w:rsidRPr="00C779E4" w:rsidRDefault="006808DB" w:rsidP="005E215F">
            <w:pPr>
              <w:pStyle w:val="Tabletext0"/>
            </w:pPr>
            <w:r>
              <w:t xml:space="preserve">Cost of </w:t>
            </w:r>
            <w:proofErr w:type="spellStart"/>
            <w:r>
              <w:t>chemoimmunotherapy</w:t>
            </w:r>
            <w:proofErr w:type="spellEnd"/>
          </w:p>
        </w:tc>
        <w:tc>
          <w:tcPr>
            <w:tcW w:w="0" w:type="auto"/>
            <w:noWrap/>
            <w:hideMark/>
          </w:tcPr>
          <w:p w14:paraId="257FE0C6" w14:textId="77777777" w:rsidR="006808DB" w:rsidRPr="00C779E4" w:rsidRDefault="006808DB" w:rsidP="005E215F">
            <w:pPr>
              <w:pStyle w:val="Tabletext0"/>
            </w:pPr>
            <w:r w:rsidRPr="00C779E4">
              <w:t>$</w:t>
            </w:r>
            <w:r>
              <w:t>158,750</w:t>
            </w:r>
          </w:p>
        </w:tc>
        <w:tc>
          <w:tcPr>
            <w:tcW w:w="0" w:type="auto"/>
            <w:noWrap/>
            <w:hideMark/>
          </w:tcPr>
          <w:p w14:paraId="35DECE3E" w14:textId="77777777" w:rsidR="006808DB" w:rsidRPr="00C779E4" w:rsidRDefault="006808DB" w:rsidP="005E215F">
            <w:pPr>
              <w:pStyle w:val="Tabletext0"/>
            </w:pPr>
            <w:r w:rsidRPr="00C779E4">
              <w:t>$</w:t>
            </w:r>
            <w:r>
              <w:t>163,579</w:t>
            </w:r>
          </w:p>
        </w:tc>
        <w:tc>
          <w:tcPr>
            <w:tcW w:w="0" w:type="auto"/>
            <w:noWrap/>
            <w:hideMark/>
          </w:tcPr>
          <w:p w14:paraId="3F9AF0D9" w14:textId="77777777" w:rsidR="006808DB" w:rsidRPr="00C779E4" w:rsidRDefault="006808DB" w:rsidP="005E215F">
            <w:pPr>
              <w:pStyle w:val="Tabletext0"/>
            </w:pPr>
            <w:r w:rsidRPr="00C779E4">
              <w:t>$</w:t>
            </w:r>
            <w:r>
              <w:t>168,083</w:t>
            </w:r>
          </w:p>
        </w:tc>
        <w:tc>
          <w:tcPr>
            <w:tcW w:w="0" w:type="auto"/>
            <w:noWrap/>
            <w:hideMark/>
          </w:tcPr>
          <w:p w14:paraId="361683E2" w14:textId="77777777" w:rsidR="006808DB" w:rsidRPr="00C779E4" w:rsidRDefault="006808DB" w:rsidP="005E215F">
            <w:pPr>
              <w:pStyle w:val="Tabletext0"/>
            </w:pPr>
            <w:r w:rsidRPr="00C779E4">
              <w:t>$</w:t>
            </w:r>
            <w:r>
              <w:t>172,899</w:t>
            </w:r>
          </w:p>
        </w:tc>
        <w:tc>
          <w:tcPr>
            <w:tcW w:w="0" w:type="auto"/>
            <w:noWrap/>
            <w:hideMark/>
          </w:tcPr>
          <w:p w14:paraId="18CE40C8" w14:textId="77777777" w:rsidR="006808DB" w:rsidRPr="00C779E4" w:rsidRDefault="006808DB" w:rsidP="005E215F">
            <w:pPr>
              <w:pStyle w:val="Tabletext0"/>
            </w:pPr>
            <w:r w:rsidRPr="00C779E4">
              <w:t>$</w:t>
            </w:r>
            <w:r>
              <w:t>177,707</w:t>
            </w:r>
          </w:p>
        </w:tc>
      </w:tr>
      <w:tr w:rsidR="006808DB" w:rsidRPr="00C779E4" w14:paraId="33782480" w14:textId="77777777" w:rsidTr="005E215F">
        <w:trPr>
          <w:cantSplit/>
          <w:trHeight w:val="315"/>
        </w:trPr>
        <w:tc>
          <w:tcPr>
            <w:tcW w:w="0" w:type="auto"/>
            <w:noWrap/>
            <w:hideMark/>
          </w:tcPr>
          <w:p w14:paraId="50EB47C3" w14:textId="77777777" w:rsidR="006808DB" w:rsidRPr="00C779E4" w:rsidRDefault="006808DB" w:rsidP="005E215F">
            <w:pPr>
              <w:pStyle w:val="Tabletext0"/>
            </w:pPr>
            <w:r w:rsidRPr="00C779E4">
              <w:t>Initial Consultation</w:t>
            </w:r>
          </w:p>
        </w:tc>
        <w:tc>
          <w:tcPr>
            <w:tcW w:w="0" w:type="auto"/>
            <w:noWrap/>
            <w:hideMark/>
          </w:tcPr>
          <w:p w14:paraId="6D2CD7FB" w14:textId="77777777" w:rsidR="006808DB" w:rsidRPr="00C779E4" w:rsidRDefault="006808DB" w:rsidP="005E215F">
            <w:pPr>
              <w:pStyle w:val="Tabletext0"/>
            </w:pPr>
            <w:r w:rsidRPr="00C779E4">
              <w:t>170</w:t>
            </w:r>
          </w:p>
        </w:tc>
        <w:tc>
          <w:tcPr>
            <w:tcW w:w="0" w:type="auto"/>
            <w:noWrap/>
            <w:hideMark/>
          </w:tcPr>
          <w:p w14:paraId="6C66B7B6" w14:textId="77777777" w:rsidR="006808DB" w:rsidRPr="00C779E4" w:rsidRDefault="006808DB" w:rsidP="005E215F">
            <w:pPr>
              <w:pStyle w:val="Tabletext0"/>
            </w:pPr>
            <w:r w:rsidRPr="00C779E4">
              <w:t>175</w:t>
            </w:r>
          </w:p>
        </w:tc>
        <w:tc>
          <w:tcPr>
            <w:tcW w:w="0" w:type="auto"/>
            <w:noWrap/>
            <w:hideMark/>
          </w:tcPr>
          <w:p w14:paraId="3BA2A0F3" w14:textId="77777777" w:rsidR="006808DB" w:rsidRPr="00C779E4" w:rsidRDefault="006808DB" w:rsidP="005E215F">
            <w:pPr>
              <w:pStyle w:val="Tabletext0"/>
            </w:pPr>
            <w:r w:rsidRPr="00C779E4">
              <w:t>180</w:t>
            </w:r>
          </w:p>
        </w:tc>
        <w:tc>
          <w:tcPr>
            <w:tcW w:w="0" w:type="auto"/>
            <w:noWrap/>
            <w:hideMark/>
          </w:tcPr>
          <w:p w14:paraId="69057067" w14:textId="77777777" w:rsidR="006808DB" w:rsidRPr="00C779E4" w:rsidRDefault="006808DB" w:rsidP="005E215F">
            <w:pPr>
              <w:pStyle w:val="Tabletext0"/>
            </w:pPr>
            <w:r w:rsidRPr="00C779E4">
              <w:t>185</w:t>
            </w:r>
          </w:p>
        </w:tc>
        <w:tc>
          <w:tcPr>
            <w:tcW w:w="0" w:type="auto"/>
            <w:noWrap/>
            <w:hideMark/>
          </w:tcPr>
          <w:p w14:paraId="10B60F5D" w14:textId="77777777" w:rsidR="006808DB" w:rsidRPr="00C779E4" w:rsidRDefault="006808DB" w:rsidP="005E215F">
            <w:pPr>
              <w:pStyle w:val="Tabletext0"/>
            </w:pPr>
            <w:r w:rsidRPr="00C779E4">
              <w:t>190</w:t>
            </w:r>
          </w:p>
        </w:tc>
      </w:tr>
      <w:tr w:rsidR="006808DB" w:rsidRPr="00C779E4" w14:paraId="33CB054B" w14:textId="77777777" w:rsidTr="005E215F">
        <w:trPr>
          <w:cantSplit/>
          <w:trHeight w:val="315"/>
        </w:trPr>
        <w:tc>
          <w:tcPr>
            <w:tcW w:w="0" w:type="auto"/>
            <w:noWrap/>
            <w:hideMark/>
          </w:tcPr>
          <w:p w14:paraId="231D0171" w14:textId="77777777" w:rsidR="006808DB" w:rsidRPr="00C779E4" w:rsidRDefault="006808DB" w:rsidP="005E215F">
            <w:pPr>
              <w:pStyle w:val="Tabletext0"/>
            </w:pPr>
            <w:r w:rsidRPr="00C779E4">
              <w:t> </w:t>
            </w:r>
            <w:r>
              <w:t>Cost of initial consultation</w:t>
            </w:r>
          </w:p>
        </w:tc>
        <w:tc>
          <w:tcPr>
            <w:tcW w:w="0" w:type="auto"/>
            <w:noWrap/>
            <w:hideMark/>
          </w:tcPr>
          <w:p w14:paraId="2ACD15B5" w14:textId="77777777" w:rsidR="006808DB" w:rsidRPr="00C779E4" w:rsidRDefault="006808DB" w:rsidP="005E215F">
            <w:pPr>
              <w:pStyle w:val="Tabletext0"/>
            </w:pPr>
            <w:r>
              <w:t>$25,677</w:t>
            </w:r>
          </w:p>
        </w:tc>
        <w:tc>
          <w:tcPr>
            <w:tcW w:w="0" w:type="auto"/>
            <w:noWrap/>
            <w:hideMark/>
          </w:tcPr>
          <w:p w14:paraId="18C68970" w14:textId="77777777" w:rsidR="006808DB" w:rsidRPr="00C779E4" w:rsidRDefault="006808DB" w:rsidP="005E215F">
            <w:pPr>
              <w:pStyle w:val="Tabletext0"/>
            </w:pPr>
            <w:r>
              <w:t>$26,458</w:t>
            </w:r>
          </w:p>
        </w:tc>
        <w:tc>
          <w:tcPr>
            <w:tcW w:w="0" w:type="auto"/>
            <w:noWrap/>
            <w:hideMark/>
          </w:tcPr>
          <w:p w14:paraId="13934882" w14:textId="77777777" w:rsidR="006808DB" w:rsidRPr="00C779E4" w:rsidRDefault="006808DB" w:rsidP="005E215F">
            <w:pPr>
              <w:pStyle w:val="Tabletext0"/>
            </w:pPr>
            <w:r>
              <w:t>$27,186</w:t>
            </w:r>
          </w:p>
        </w:tc>
        <w:tc>
          <w:tcPr>
            <w:tcW w:w="0" w:type="auto"/>
            <w:noWrap/>
            <w:hideMark/>
          </w:tcPr>
          <w:p w14:paraId="14516D42" w14:textId="77777777" w:rsidR="006808DB" w:rsidRPr="00C779E4" w:rsidRDefault="006808DB" w:rsidP="005E215F">
            <w:pPr>
              <w:pStyle w:val="Tabletext0"/>
            </w:pPr>
            <w:r>
              <w:t>$27,965</w:t>
            </w:r>
          </w:p>
        </w:tc>
        <w:tc>
          <w:tcPr>
            <w:tcW w:w="0" w:type="auto"/>
            <w:noWrap/>
            <w:hideMark/>
          </w:tcPr>
          <w:p w14:paraId="12D94223" w14:textId="77777777" w:rsidR="006808DB" w:rsidRPr="00C779E4" w:rsidRDefault="006808DB" w:rsidP="005E215F">
            <w:pPr>
              <w:pStyle w:val="Tabletext0"/>
            </w:pPr>
            <w:r>
              <w:t>$28,743</w:t>
            </w:r>
          </w:p>
        </w:tc>
      </w:tr>
      <w:tr w:rsidR="006808DB" w:rsidRPr="00C779E4" w14:paraId="637ED589" w14:textId="77777777" w:rsidTr="005E215F">
        <w:trPr>
          <w:cantSplit/>
          <w:trHeight w:val="315"/>
        </w:trPr>
        <w:tc>
          <w:tcPr>
            <w:tcW w:w="0" w:type="auto"/>
            <w:noWrap/>
            <w:hideMark/>
          </w:tcPr>
          <w:p w14:paraId="0E96DA27" w14:textId="77777777" w:rsidR="006808DB" w:rsidRPr="00C779E4" w:rsidRDefault="006808DB" w:rsidP="005E215F">
            <w:pPr>
              <w:pStyle w:val="Tabletext0"/>
            </w:pPr>
            <w:r w:rsidRPr="00C779E4">
              <w:t>Follow-up consultation</w:t>
            </w:r>
          </w:p>
        </w:tc>
        <w:tc>
          <w:tcPr>
            <w:tcW w:w="0" w:type="auto"/>
            <w:noWrap/>
            <w:hideMark/>
          </w:tcPr>
          <w:p w14:paraId="4C3BBDB8" w14:textId="77777777" w:rsidR="006808DB" w:rsidRPr="00C779E4" w:rsidRDefault="006808DB" w:rsidP="005E215F">
            <w:pPr>
              <w:pStyle w:val="Tabletext0"/>
            </w:pPr>
            <w:r w:rsidRPr="00C779E4">
              <w:t>-595</w:t>
            </w:r>
          </w:p>
        </w:tc>
        <w:tc>
          <w:tcPr>
            <w:tcW w:w="0" w:type="auto"/>
            <w:noWrap/>
            <w:hideMark/>
          </w:tcPr>
          <w:p w14:paraId="2AEA147C" w14:textId="77777777" w:rsidR="006808DB" w:rsidRPr="00C779E4" w:rsidRDefault="006808DB" w:rsidP="005E215F">
            <w:pPr>
              <w:pStyle w:val="Tabletext0"/>
            </w:pPr>
            <w:r w:rsidRPr="00C779E4">
              <w:t>-613</w:t>
            </w:r>
          </w:p>
        </w:tc>
        <w:tc>
          <w:tcPr>
            <w:tcW w:w="0" w:type="auto"/>
            <w:noWrap/>
            <w:hideMark/>
          </w:tcPr>
          <w:p w14:paraId="7120AE50" w14:textId="77777777" w:rsidR="006808DB" w:rsidRPr="00C779E4" w:rsidRDefault="006808DB" w:rsidP="005E215F">
            <w:pPr>
              <w:pStyle w:val="Tabletext0"/>
            </w:pPr>
            <w:r w:rsidRPr="00C779E4">
              <w:t>-630</w:t>
            </w:r>
          </w:p>
        </w:tc>
        <w:tc>
          <w:tcPr>
            <w:tcW w:w="0" w:type="auto"/>
            <w:noWrap/>
            <w:hideMark/>
          </w:tcPr>
          <w:p w14:paraId="0DCC2807" w14:textId="77777777" w:rsidR="006808DB" w:rsidRPr="00C779E4" w:rsidRDefault="006808DB" w:rsidP="005E215F">
            <w:pPr>
              <w:pStyle w:val="Tabletext0"/>
            </w:pPr>
            <w:r w:rsidRPr="00C779E4">
              <w:t>-648</w:t>
            </w:r>
          </w:p>
        </w:tc>
        <w:tc>
          <w:tcPr>
            <w:tcW w:w="0" w:type="auto"/>
            <w:noWrap/>
            <w:hideMark/>
          </w:tcPr>
          <w:p w14:paraId="6C285CD9" w14:textId="77777777" w:rsidR="006808DB" w:rsidRPr="00C779E4" w:rsidRDefault="006808DB" w:rsidP="005E215F">
            <w:pPr>
              <w:pStyle w:val="Tabletext0"/>
            </w:pPr>
            <w:r w:rsidRPr="00C779E4">
              <w:t>-666</w:t>
            </w:r>
          </w:p>
        </w:tc>
      </w:tr>
      <w:tr w:rsidR="006808DB" w:rsidRPr="00C779E4" w14:paraId="09C5B33D" w14:textId="77777777" w:rsidTr="005E215F">
        <w:trPr>
          <w:cantSplit/>
          <w:trHeight w:val="315"/>
        </w:trPr>
        <w:tc>
          <w:tcPr>
            <w:tcW w:w="0" w:type="auto"/>
            <w:noWrap/>
            <w:hideMark/>
          </w:tcPr>
          <w:p w14:paraId="13D2C768" w14:textId="77777777" w:rsidR="006808DB" w:rsidRPr="00C779E4" w:rsidRDefault="006808DB" w:rsidP="005E215F">
            <w:pPr>
              <w:pStyle w:val="Tabletext0"/>
            </w:pPr>
            <w:r w:rsidRPr="00C779E4">
              <w:t> </w:t>
            </w:r>
            <w:r>
              <w:t>Cost of follow-up consultation</w:t>
            </w:r>
          </w:p>
        </w:tc>
        <w:tc>
          <w:tcPr>
            <w:tcW w:w="0" w:type="auto"/>
            <w:noWrap/>
            <w:hideMark/>
          </w:tcPr>
          <w:p w14:paraId="1838A412" w14:textId="77777777" w:rsidR="006808DB" w:rsidRPr="00C779E4" w:rsidRDefault="006808DB" w:rsidP="005E215F">
            <w:pPr>
              <w:pStyle w:val="Tabletext0"/>
            </w:pPr>
            <w:r w:rsidRPr="00C779E4">
              <w:t>-$</w:t>
            </w:r>
            <w:r>
              <w:t>44,936</w:t>
            </w:r>
          </w:p>
        </w:tc>
        <w:tc>
          <w:tcPr>
            <w:tcW w:w="0" w:type="auto"/>
            <w:noWrap/>
            <w:hideMark/>
          </w:tcPr>
          <w:p w14:paraId="4FFAFE5C" w14:textId="77777777" w:rsidR="006808DB" w:rsidRPr="00C779E4" w:rsidRDefault="006808DB" w:rsidP="005E215F">
            <w:pPr>
              <w:pStyle w:val="Tabletext0"/>
            </w:pPr>
            <w:r w:rsidRPr="00C779E4">
              <w:t>-$</w:t>
            </w:r>
            <w:r>
              <w:t>46,303</w:t>
            </w:r>
          </w:p>
        </w:tc>
        <w:tc>
          <w:tcPr>
            <w:tcW w:w="0" w:type="auto"/>
            <w:noWrap/>
            <w:hideMark/>
          </w:tcPr>
          <w:p w14:paraId="6AFCF59F" w14:textId="77777777" w:rsidR="006808DB" w:rsidRPr="00C779E4" w:rsidRDefault="006808DB" w:rsidP="005E215F">
            <w:pPr>
              <w:pStyle w:val="Tabletext0"/>
            </w:pPr>
            <w:r w:rsidRPr="00C779E4">
              <w:t>-$</w:t>
            </w:r>
            <w:r>
              <w:t>47,578</w:t>
            </w:r>
          </w:p>
        </w:tc>
        <w:tc>
          <w:tcPr>
            <w:tcW w:w="0" w:type="auto"/>
            <w:noWrap/>
            <w:hideMark/>
          </w:tcPr>
          <w:p w14:paraId="0567CBAD" w14:textId="77777777" w:rsidR="006808DB" w:rsidRPr="00C779E4" w:rsidRDefault="006808DB" w:rsidP="005E215F">
            <w:pPr>
              <w:pStyle w:val="Tabletext0"/>
            </w:pPr>
            <w:r w:rsidRPr="00C779E4">
              <w:t>-$</w:t>
            </w:r>
            <w:r>
              <w:t>48,941</w:t>
            </w:r>
          </w:p>
        </w:tc>
        <w:tc>
          <w:tcPr>
            <w:tcW w:w="0" w:type="auto"/>
            <w:noWrap/>
            <w:hideMark/>
          </w:tcPr>
          <w:p w14:paraId="79FD6983" w14:textId="77777777" w:rsidR="006808DB" w:rsidRPr="00C779E4" w:rsidRDefault="006808DB" w:rsidP="005E215F">
            <w:pPr>
              <w:pStyle w:val="Tabletext0"/>
            </w:pPr>
            <w:r w:rsidRPr="00C779E4">
              <w:t>-$</w:t>
            </w:r>
            <w:r>
              <w:t>50,302</w:t>
            </w:r>
          </w:p>
        </w:tc>
      </w:tr>
      <w:tr w:rsidR="006808DB" w:rsidRPr="00C779E4" w14:paraId="7FCC4375" w14:textId="77777777" w:rsidTr="005E215F">
        <w:trPr>
          <w:cantSplit/>
          <w:trHeight w:val="315"/>
        </w:trPr>
        <w:tc>
          <w:tcPr>
            <w:tcW w:w="0" w:type="auto"/>
            <w:noWrap/>
            <w:hideMark/>
          </w:tcPr>
          <w:p w14:paraId="0079ED53" w14:textId="77777777" w:rsidR="006808DB" w:rsidRPr="00C779E4" w:rsidRDefault="006808DB" w:rsidP="005E215F">
            <w:pPr>
              <w:pStyle w:val="Tabletext0"/>
            </w:pPr>
            <w:r>
              <w:t>Follow-up CT s</w:t>
            </w:r>
            <w:r w:rsidRPr="00C779E4">
              <w:t>can</w:t>
            </w:r>
          </w:p>
        </w:tc>
        <w:tc>
          <w:tcPr>
            <w:tcW w:w="0" w:type="auto"/>
            <w:noWrap/>
            <w:hideMark/>
          </w:tcPr>
          <w:p w14:paraId="60924B8A" w14:textId="77777777" w:rsidR="006808DB" w:rsidRPr="00C779E4" w:rsidRDefault="006808DB" w:rsidP="005E215F">
            <w:pPr>
              <w:pStyle w:val="Tabletext0"/>
            </w:pPr>
            <w:r w:rsidRPr="00C779E4">
              <w:t>-839</w:t>
            </w:r>
          </w:p>
        </w:tc>
        <w:tc>
          <w:tcPr>
            <w:tcW w:w="0" w:type="auto"/>
            <w:noWrap/>
            <w:hideMark/>
          </w:tcPr>
          <w:p w14:paraId="6768C46C" w14:textId="77777777" w:rsidR="006808DB" w:rsidRPr="00C779E4" w:rsidRDefault="006808DB" w:rsidP="005E215F">
            <w:pPr>
              <w:pStyle w:val="Tabletext0"/>
            </w:pPr>
            <w:r w:rsidRPr="00C779E4">
              <w:t>-864</w:t>
            </w:r>
          </w:p>
        </w:tc>
        <w:tc>
          <w:tcPr>
            <w:tcW w:w="0" w:type="auto"/>
            <w:noWrap/>
            <w:hideMark/>
          </w:tcPr>
          <w:p w14:paraId="39445FFE" w14:textId="77777777" w:rsidR="006808DB" w:rsidRPr="00C779E4" w:rsidRDefault="006808DB" w:rsidP="005E215F">
            <w:pPr>
              <w:pStyle w:val="Tabletext0"/>
            </w:pPr>
            <w:r w:rsidRPr="00C779E4">
              <w:t>-888</w:t>
            </w:r>
          </w:p>
        </w:tc>
        <w:tc>
          <w:tcPr>
            <w:tcW w:w="0" w:type="auto"/>
            <w:noWrap/>
            <w:hideMark/>
          </w:tcPr>
          <w:p w14:paraId="0F235750" w14:textId="77777777" w:rsidR="006808DB" w:rsidRPr="00C779E4" w:rsidRDefault="006808DB" w:rsidP="005E215F">
            <w:pPr>
              <w:pStyle w:val="Tabletext0"/>
            </w:pPr>
            <w:r w:rsidRPr="00C779E4">
              <w:t>-914</w:t>
            </w:r>
          </w:p>
        </w:tc>
        <w:tc>
          <w:tcPr>
            <w:tcW w:w="0" w:type="auto"/>
            <w:noWrap/>
            <w:hideMark/>
          </w:tcPr>
          <w:p w14:paraId="59D948D7" w14:textId="77777777" w:rsidR="006808DB" w:rsidRPr="00C779E4" w:rsidRDefault="006808DB" w:rsidP="005E215F">
            <w:pPr>
              <w:pStyle w:val="Tabletext0"/>
            </w:pPr>
            <w:r w:rsidRPr="00C779E4">
              <w:t>-939</w:t>
            </w:r>
          </w:p>
        </w:tc>
      </w:tr>
      <w:tr w:rsidR="006808DB" w:rsidRPr="00C779E4" w14:paraId="1BBFA867" w14:textId="77777777" w:rsidTr="005E215F">
        <w:trPr>
          <w:cantSplit/>
          <w:trHeight w:val="300"/>
        </w:trPr>
        <w:tc>
          <w:tcPr>
            <w:tcW w:w="0" w:type="auto"/>
            <w:noWrap/>
            <w:hideMark/>
          </w:tcPr>
          <w:p w14:paraId="5A44DA29" w14:textId="77777777" w:rsidR="006808DB" w:rsidRPr="00C779E4" w:rsidRDefault="006808DB" w:rsidP="005E215F">
            <w:pPr>
              <w:pStyle w:val="Tabletext0"/>
            </w:pPr>
            <w:r>
              <w:t>Cost of follow-up CT scan</w:t>
            </w:r>
          </w:p>
        </w:tc>
        <w:tc>
          <w:tcPr>
            <w:tcW w:w="0" w:type="auto"/>
            <w:noWrap/>
            <w:hideMark/>
          </w:tcPr>
          <w:p w14:paraId="1E723E13" w14:textId="77777777" w:rsidR="006808DB" w:rsidRPr="00C779E4" w:rsidRDefault="006808DB" w:rsidP="005E215F">
            <w:pPr>
              <w:pStyle w:val="Tabletext0"/>
            </w:pPr>
            <w:r>
              <w:t>-$469,471</w:t>
            </w:r>
          </w:p>
        </w:tc>
        <w:tc>
          <w:tcPr>
            <w:tcW w:w="0" w:type="auto"/>
            <w:noWrap/>
            <w:hideMark/>
          </w:tcPr>
          <w:p w14:paraId="1FC416F3" w14:textId="77777777" w:rsidR="006808DB" w:rsidRPr="00C779E4" w:rsidRDefault="006808DB" w:rsidP="005E215F">
            <w:pPr>
              <w:pStyle w:val="Tabletext0"/>
            </w:pPr>
            <w:r>
              <w:t>-$484,031</w:t>
            </w:r>
          </w:p>
        </w:tc>
        <w:tc>
          <w:tcPr>
            <w:tcW w:w="0" w:type="auto"/>
            <w:noWrap/>
            <w:hideMark/>
          </w:tcPr>
          <w:p w14:paraId="40B13D06" w14:textId="77777777" w:rsidR="006808DB" w:rsidRPr="00C779E4" w:rsidRDefault="006808DB" w:rsidP="005E215F">
            <w:pPr>
              <w:pStyle w:val="Tabletext0"/>
            </w:pPr>
            <w:r>
              <w:t>-$497,358</w:t>
            </w:r>
          </w:p>
        </w:tc>
        <w:tc>
          <w:tcPr>
            <w:tcW w:w="0" w:type="auto"/>
            <w:noWrap/>
            <w:hideMark/>
          </w:tcPr>
          <w:p w14:paraId="6A7ED35D" w14:textId="77777777" w:rsidR="006808DB" w:rsidRPr="00C779E4" w:rsidRDefault="006808DB" w:rsidP="005E215F">
            <w:pPr>
              <w:pStyle w:val="Tabletext0"/>
            </w:pPr>
            <w:r>
              <w:t>-$511,607</w:t>
            </w:r>
          </w:p>
        </w:tc>
        <w:tc>
          <w:tcPr>
            <w:tcW w:w="0" w:type="auto"/>
            <w:noWrap/>
            <w:hideMark/>
          </w:tcPr>
          <w:p w14:paraId="1E7F7BDE" w14:textId="77777777" w:rsidR="006808DB" w:rsidRPr="00C779E4" w:rsidRDefault="006808DB" w:rsidP="005E215F">
            <w:pPr>
              <w:pStyle w:val="Tabletext0"/>
            </w:pPr>
            <w:r>
              <w:t>-$525,836</w:t>
            </w:r>
          </w:p>
        </w:tc>
      </w:tr>
      <w:tr w:rsidR="006808DB" w:rsidRPr="00C779E4" w14:paraId="71463EB9" w14:textId="77777777" w:rsidTr="005E215F">
        <w:trPr>
          <w:cantSplit/>
          <w:trHeight w:val="300"/>
        </w:trPr>
        <w:tc>
          <w:tcPr>
            <w:tcW w:w="0" w:type="auto"/>
            <w:noWrap/>
            <w:hideMark/>
          </w:tcPr>
          <w:p w14:paraId="22AC261A" w14:textId="77777777" w:rsidR="006808DB" w:rsidRPr="00C779E4" w:rsidRDefault="006808DB" w:rsidP="005E215F">
            <w:pPr>
              <w:pStyle w:val="Tabletext0"/>
              <w:rPr>
                <w:b/>
              </w:rPr>
            </w:pPr>
            <w:r w:rsidRPr="00C779E4">
              <w:rPr>
                <w:b/>
              </w:rPr>
              <w:t>Total cost</w:t>
            </w:r>
          </w:p>
        </w:tc>
        <w:tc>
          <w:tcPr>
            <w:tcW w:w="0" w:type="auto"/>
            <w:noWrap/>
            <w:hideMark/>
          </w:tcPr>
          <w:p w14:paraId="413E6D24" w14:textId="77777777" w:rsidR="006808DB" w:rsidRPr="00C779E4" w:rsidRDefault="006808DB" w:rsidP="005E215F">
            <w:pPr>
              <w:pStyle w:val="Tabletext0"/>
              <w:rPr>
                <w:b/>
              </w:rPr>
            </w:pPr>
            <w:r w:rsidRPr="00C779E4">
              <w:rPr>
                <w:b/>
              </w:rPr>
              <w:t>$</w:t>
            </w:r>
            <w:r>
              <w:rPr>
                <w:b/>
              </w:rPr>
              <w:t>151,478</w:t>
            </w:r>
          </w:p>
        </w:tc>
        <w:tc>
          <w:tcPr>
            <w:tcW w:w="0" w:type="auto"/>
            <w:noWrap/>
            <w:hideMark/>
          </w:tcPr>
          <w:p w14:paraId="12EDD2AD" w14:textId="77777777" w:rsidR="006808DB" w:rsidRPr="00C779E4" w:rsidRDefault="006808DB" w:rsidP="005E215F">
            <w:pPr>
              <w:pStyle w:val="Tabletext0"/>
              <w:rPr>
                <w:b/>
              </w:rPr>
            </w:pPr>
            <w:r w:rsidRPr="00C779E4">
              <w:rPr>
                <w:b/>
              </w:rPr>
              <w:t>$</w:t>
            </w:r>
            <w:r>
              <w:rPr>
                <w:b/>
              </w:rPr>
              <w:t>86,597</w:t>
            </w:r>
          </w:p>
        </w:tc>
        <w:tc>
          <w:tcPr>
            <w:tcW w:w="0" w:type="auto"/>
            <w:noWrap/>
            <w:hideMark/>
          </w:tcPr>
          <w:p w14:paraId="48B7ED18" w14:textId="77777777" w:rsidR="006808DB" w:rsidRPr="00C779E4" w:rsidRDefault="006808DB" w:rsidP="005E215F">
            <w:pPr>
              <w:pStyle w:val="Tabletext0"/>
              <w:rPr>
                <w:b/>
              </w:rPr>
            </w:pPr>
            <w:r w:rsidRPr="00C779E4">
              <w:rPr>
                <w:b/>
              </w:rPr>
              <w:t>$</w:t>
            </w:r>
            <w:r>
              <w:rPr>
                <w:b/>
              </w:rPr>
              <w:t>69,018</w:t>
            </w:r>
          </w:p>
        </w:tc>
        <w:tc>
          <w:tcPr>
            <w:tcW w:w="0" w:type="auto"/>
            <w:noWrap/>
            <w:hideMark/>
          </w:tcPr>
          <w:p w14:paraId="530F9F0A" w14:textId="77777777" w:rsidR="006808DB" w:rsidRPr="00C779E4" w:rsidRDefault="006808DB" w:rsidP="005E215F">
            <w:pPr>
              <w:pStyle w:val="Tabletext0"/>
              <w:rPr>
                <w:b/>
              </w:rPr>
            </w:pPr>
            <w:r w:rsidRPr="00C779E4">
              <w:rPr>
                <w:b/>
              </w:rPr>
              <w:t>$</w:t>
            </w:r>
            <w:r>
              <w:rPr>
                <w:b/>
              </w:rPr>
              <w:t>53,359</w:t>
            </w:r>
          </w:p>
        </w:tc>
        <w:tc>
          <w:tcPr>
            <w:tcW w:w="0" w:type="auto"/>
            <w:noWrap/>
            <w:hideMark/>
          </w:tcPr>
          <w:p w14:paraId="19551D00" w14:textId="77777777" w:rsidR="006808DB" w:rsidRPr="00C779E4" w:rsidRDefault="006808DB" w:rsidP="005E215F">
            <w:pPr>
              <w:pStyle w:val="Tabletext0"/>
              <w:rPr>
                <w:b/>
              </w:rPr>
            </w:pPr>
            <w:r w:rsidRPr="00C779E4">
              <w:rPr>
                <w:b/>
              </w:rPr>
              <w:t>$</w:t>
            </w:r>
            <w:r>
              <w:rPr>
                <w:b/>
              </w:rPr>
              <w:t>37,001</w:t>
            </w:r>
          </w:p>
        </w:tc>
      </w:tr>
    </w:tbl>
    <w:p w14:paraId="2EE1221D" w14:textId="77777777" w:rsidR="006808DB" w:rsidRPr="00AE6BFA" w:rsidRDefault="006808DB" w:rsidP="00AE6BFA"/>
    <w:p w14:paraId="0827A027" w14:textId="6A25123E" w:rsidR="0066096C" w:rsidRDefault="001E090B" w:rsidP="001F3C7C">
      <w:pPr>
        <w:pStyle w:val="TableHeading"/>
      </w:pPr>
      <w:bookmarkStart w:id="27" w:name="_Ref467065528"/>
      <w:r w:rsidRPr="001E090B">
        <w:t xml:space="preserve">Table </w:t>
      </w:r>
      <w:r w:rsidRPr="001E090B">
        <w:fldChar w:fldCharType="begin"/>
      </w:r>
      <w:r w:rsidRPr="001E090B">
        <w:instrText xml:space="preserve"> SEQ Table \* ARABIC </w:instrText>
      </w:r>
      <w:r w:rsidRPr="001E090B">
        <w:fldChar w:fldCharType="separate"/>
      </w:r>
      <w:r w:rsidR="002938FE">
        <w:t>9</w:t>
      </w:r>
      <w:r w:rsidRPr="001E090B">
        <w:fldChar w:fldCharType="end"/>
      </w:r>
      <w:bookmarkEnd w:id="25"/>
      <w:bookmarkEnd w:id="27"/>
      <w:r w:rsidR="00453AB5">
        <w:tab/>
      </w:r>
      <w:r w:rsidR="00416B43" w:rsidRPr="001E090B">
        <w:t>Estimated financial implications for Government health budgets</w:t>
      </w:r>
      <w:bookmarkEnd w:id="26"/>
    </w:p>
    <w:tbl>
      <w:tblPr>
        <w:tblStyle w:val="TableGrid"/>
        <w:tblW w:w="5000" w:type="pct"/>
        <w:tblLayout w:type="fixed"/>
        <w:tblLook w:val="04A0" w:firstRow="1" w:lastRow="0" w:firstColumn="1" w:lastColumn="0" w:noHBand="0" w:noVBand="1"/>
        <w:tblDescription w:val="Estimated financial implications for Government health budgets-Estimated total cost to the Government health budget, based on the estimated total costs to the MBS and PBS over the period 2016 to 2020"/>
      </w:tblPr>
      <w:tblGrid>
        <w:gridCol w:w="1958"/>
        <w:gridCol w:w="1459"/>
        <w:gridCol w:w="1458"/>
        <w:gridCol w:w="1458"/>
        <w:gridCol w:w="1458"/>
        <w:gridCol w:w="1451"/>
      </w:tblGrid>
      <w:tr w:rsidR="0066096C" w:rsidRPr="000B5E4B" w14:paraId="7965EDA1" w14:textId="77777777" w:rsidTr="005E215F">
        <w:trPr>
          <w:cantSplit/>
          <w:tblHeader/>
        </w:trPr>
        <w:tc>
          <w:tcPr>
            <w:tcW w:w="1059" w:type="pct"/>
            <w:tcBorders>
              <w:bottom w:val="single" w:sz="4" w:space="0" w:color="auto"/>
            </w:tcBorders>
          </w:tcPr>
          <w:p w14:paraId="7337A92B" w14:textId="77777777" w:rsidR="0066096C" w:rsidRPr="000B5E4B" w:rsidRDefault="0066096C" w:rsidP="005E215F">
            <w:pPr>
              <w:pStyle w:val="TableText"/>
              <w:rPr>
                <w:b/>
              </w:rPr>
            </w:pPr>
            <w:r w:rsidRPr="000B5E4B">
              <w:rPr>
                <w:b/>
              </w:rPr>
              <w:t>Description</w:t>
            </w:r>
          </w:p>
        </w:tc>
        <w:tc>
          <w:tcPr>
            <w:tcW w:w="789" w:type="pct"/>
            <w:tcBorders>
              <w:bottom w:val="single" w:sz="4" w:space="0" w:color="auto"/>
            </w:tcBorders>
          </w:tcPr>
          <w:p w14:paraId="3961CEE2" w14:textId="77777777" w:rsidR="0066096C" w:rsidRPr="000B5E4B" w:rsidRDefault="0066096C" w:rsidP="005E215F">
            <w:pPr>
              <w:pStyle w:val="TableText"/>
              <w:jc w:val="center"/>
              <w:rPr>
                <w:b/>
              </w:rPr>
            </w:pPr>
            <w:r w:rsidRPr="000B5E4B">
              <w:rPr>
                <w:b/>
              </w:rPr>
              <w:t>2016</w:t>
            </w:r>
          </w:p>
        </w:tc>
        <w:tc>
          <w:tcPr>
            <w:tcW w:w="789" w:type="pct"/>
            <w:tcBorders>
              <w:bottom w:val="single" w:sz="4" w:space="0" w:color="auto"/>
            </w:tcBorders>
          </w:tcPr>
          <w:p w14:paraId="784A7C1B" w14:textId="77777777" w:rsidR="0066096C" w:rsidRPr="000B5E4B" w:rsidRDefault="0066096C" w:rsidP="005E215F">
            <w:pPr>
              <w:pStyle w:val="TableText"/>
              <w:jc w:val="center"/>
              <w:rPr>
                <w:b/>
              </w:rPr>
            </w:pPr>
            <w:r w:rsidRPr="000B5E4B">
              <w:rPr>
                <w:b/>
              </w:rPr>
              <w:t>2017</w:t>
            </w:r>
          </w:p>
        </w:tc>
        <w:tc>
          <w:tcPr>
            <w:tcW w:w="789" w:type="pct"/>
            <w:tcBorders>
              <w:bottom w:val="single" w:sz="4" w:space="0" w:color="auto"/>
            </w:tcBorders>
          </w:tcPr>
          <w:p w14:paraId="5C880700" w14:textId="77777777" w:rsidR="0066096C" w:rsidRPr="000B5E4B" w:rsidRDefault="0066096C" w:rsidP="005E215F">
            <w:pPr>
              <w:pStyle w:val="TableText"/>
              <w:jc w:val="center"/>
              <w:rPr>
                <w:b/>
              </w:rPr>
            </w:pPr>
            <w:r w:rsidRPr="000B5E4B">
              <w:rPr>
                <w:b/>
              </w:rPr>
              <w:t>2018</w:t>
            </w:r>
          </w:p>
        </w:tc>
        <w:tc>
          <w:tcPr>
            <w:tcW w:w="789" w:type="pct"/>
            <w:tcBorders>
              <w:bottom w:val="single" w:sz="4" w:space="0" w:color="auto"/>
            </w:tcBorders>
          </w:tcPr>
          <w:p w14:paraId="69817A1E" w14:textId="77777777" w:rsidR="0066096C" w:rsidRPr="000B5E4B" w:rsidRDefault="0066096C" w:rsidP="005E215F">
            <w:pPr>
              <w:pStyle w:val="TableText"/>
              <w:jc w:val="center"/>
              <w:rPr>
                <w:b/>
              </w:rPr>
            </w:pPr>
            <w:r w:rsidRPr="000B5E4B">
              <w:rPr>
                <w:b/>
              </w:rPr>
              <w:t>2019</w:t>
            </w:r>
          </w:p>
        </w:tc>
        <w:tc>
          <w:tcPr>
            <w:tcW w:w="785" w:type="pct"/>
            <w:tcBorders>
              <w:bottom w:val="single" w:sz="4" w:space="0" w:color="auto"/>
            </w:tcBorders>
          </w:tcPr>
          <w:p w14:paraId="2736B90D" w14:textId="77777777" w:rsidR="0066096C" w:rsidRPr="000B5E4B" w:rsidRDefault="0066096C" w:rsidP="005E215F">
            <w:pPr>
              <w:pStyle w:val="TableText"/>
              <w:jc w:val="center"/>
              <w:rPr>
                <w:b/>
              </w:rPr>
            </w:pPr>
            <w:r w:rsidRPr="000B5E4B">
              <w:rPr>
                <w:b/>
              </w:rPr>
              <w:t>2020</w:t>
            </w:r>
          </w:p>
        </w:tc>
      </w:tr>
      <w:tr w:rsidR="0066096C" w:rsidRPr="000D2058" w14:paraId="26F288F9" w14:textId="77777777" w:rsidTr="005E215F">
        <w:trPr>
          <w:cantSplit/>
          <w:trHeight w:val="300"/>
        </w:trPr>
        <w:tc>
          <w:tcPr>
            <w:tcW w:w="1059" w:type="pct"/>
            <w:noWrap/>
            <w:vAlign w:val="bottom"/>
          </w:tcPr>
          <w:p w14:paraId="565A2562" w14:textId="77777777" w:rsidR="0066096C" w:rsidRDefault="0066096C" w:rsidP="005E215F">
            <w:pPr>
              <w:pStyle w:val="Tabletext0"/>
            </w:pPr>
            <w:r w:rsidRPr="00F95EBC">
              <w:t xml:space="preserve">Total Cost to </w:t>
            </w:r>
            <w:r>
              <w:t>M</w:t>
            </w:r>
            <w:r w:rsidRPr="00F95EBC">
              <w:t>BS</w:t>
            </w:r>
          </w:p>
        </w:tc>
        <w:tc>
          <w:tcPr>
            <w:tcW w:w="789" w:type="pct"/>
            <w:noWrap/>
            <w:vAlign w:val="bottom"/>
          </w:tcPr>
          <w:p w14:paraId="5B591005" w14:textId="77777777" w:rsidR="0066096C" w:rsidRDefault="0066096C" w:rsidP="005E215F">
            <w:pPr>
              <w:pStyle w:val="TableText"/>
            </w:pPr>
            <w:r>
              <w:t>$143,363</w:t>
            </w:r>
          </w:p>
        </w:tc>
        <w:tc>
          <w:tcPr>
            <w:tcW w:w="789" w:type="pct"/>
            <w:noWrap/>
            <w:vAlign w:val="bottom"/>
          </w:tcPr>
          <w:p w14:paraId="02C86D7B" w14:textId="77777777" w:rsidR="0066096C" w:rsidRDefault="0066096C" w:rsidP="005E215F">
            <w:pPr>
              <w:pStyle w:val="TableText"/>
            </w:pPr>
            <w:r>
              <w:t>$88,100</w:t>
            </w:r>
          </w:p>
        </w:tc>
        <w:tc>
          <w:tcPr>
            <w:tcW w:w="789" w:type="pct"/>
            <w:noWrap/>
            <w:vAlign w:val="bottom"/>
          </w:tcPr>
          <w:p w14:paraId="5E1CBD1B" w14:textId="77777777" w:rsidR="0066096C" w:rsidRDefault="0066096C" w:rsidP="005E215F">
            <w:pPr>
              <w:pStyle w:val="TableText"/>
            </w:pPr>
            <w:r>
              <w:t>$73,397</w:t>
            </w:r>
          </w:p>
        </w:tc>
        <w:tc>
          <w:tcPr>
            <w:tcW w:w="789" w:type="pct"/>
            <w:noWrap/>
            <w:vAlign w:val="bottom"/>
          </w:tcPr>
          <w:p w14:paraId="0F8FA236" w14:textId="77777777" w:rsidR="0066096C" w:rsidRDefault="0066096C" w:rsidP="005E215F">
            <w:pPr>
              <w:pStyle w:val="TableText"/>
            </w:pPr>
            <w:r>
              <w:t>$60,368</w:t>
            </w:r>
          </w:p>
        </w:tc>
        <w:tc>
          <w:tcPr>
            <w:tcW w:w="785" w:type="pct"/>
            <w:noWrap/>
            <w:vAlign w:val="bottom"/>
          </w:tcPr>
          <w:p w14:paraId="144E9D3A" w14:textId="77777777" w:rsidR="0066096C" w:rsidRDefault="0066096C" w:rsidP="005E215F">
            <w:pPr>
              <w:pStyle w:val="TableText"/>
            </w:pPr>
            <w:r>
              <w:t>$46,737</w:t>
            </w:r>
          </w:p>
        </w:tc>
      </w:tr>
      <w:tr w:rsidR="0066096C" w:rsidRPr="000D2058" w14:paraId="5E0A97D2" w14:textId="77777777" w:rsidTr="005E215F">
        <w:trPr>
          <w:cantSplit/>
          <w:trHeight w:val="300"/>
        </w:trPr>
        <w:tc>
          <w:tcPr>
            <w:tcW w:w="1059" w:type="pct"/>
            <w:noWrap/>
            <w:vAlign w:val="bottom"/>
          </w:tcPr>
          <w:p w14:paraId="417D7633" w14:textId="77777777" w:rsidR="0066096C" w:rsidRPr="00F95EBC" w:rsidRDefault="0066096C" w:rsidP="005E215F">
            <w:pPr>
              <w:pStyle w:val="Tabletext0"/>
            </w:pPr>
            <w:r>
              <w:t>Total Cost to the PBS</w:t>
            </w:r>
          </w:p>
        </w:tc>
        <w:tc>
          <w:tcPr>
            <w:tcW w:w="789" w:type="pct"/>
            <w:noWrap/>
          </w:tcPr>
          <w:p w14:paraId="052C4FC8" w14:textId="77777777" w:rsidR="0066096C" w:rsidRPr="00D7162B" w:rsidRDefault="0066096C" w:rsidP="005E215F">
            <w:pPr>
              <w:pStyle w:val="TableText"/>
            </w:pPr>
            <w:r w:rsidRPr="00D7162B">
              <w:t>$</w:t>
            </w:r>
            <w:r>
              <w:t>201,658</w:t>
            </w:r>
          </w:p>
        </w:tc>
        <w:tc>
          <w:tcPr>
            <w:tcW w:w="789" w:type="pct"/>
            <w:noWrap/>
          </w:tcPr>
          <w:p w14:paraId="0FFD698D" w14:textId="77777777" w:rsidR="0066096C" w:rsidRPr="00D7162B" w:rsidRDefault="0066096C" w:rsidP="005E215F">
            <w:pPr>
              <w:pStyle w:val="TableText"/>
            </w:pPr>
            <w:r w:rsidRPr="00D7162B">
              <w:t>$</w:t>
            </w:r>
            <w:r>
              <w:t>207,793</w:t>
            </w:r>
          </w:p>
        </w:tc>
        <w:tc>
          <w:tcPr>
            <w:tcW w:w="789" w:type="pct"/>
            <w:noWrap/>
          </w:tcPr>
          <w:p w14:paraId="07C6FB0D" w14:textId="77777777" w:rsidR="0066096C" w:rsidRPr="00D7162B" w:rsidRDefault="0066096C" w:rsidP="005E215F">
            <w:pPr>
              <w:pStyle w:val="TableText"/>
            </w:pPr>
            <w:r w:rsidRPr="00D7162B">
              <w:t>$</w:t>
            </w:r>
            <w:r>
              <w:t>213,514</w:t>
            </w:r>
          </w:p>
        </w:tc>
        <w:tc>
          <w:tcPr>
            <w:tcW w:w="789" w:type="pct"/>
            <w:noWrap/>
          </w:tcPr>
          <w:p w14:paraId="7799D75E" w14:textId="77777777" w:rsidR="0066096C" w:rsidRPr="00D7162B" w:rsidRDefault="0066096C" w:rsidP="005E215F">
            <w:pPr>
              <w:pStyle w:val="TableText"/>
            </w:pPr>
            <w:r w:rsidRPr="00D7162B">
              <w:t>$</w:t>
            </w:r>
            <w:r>
              <w:t>219,631</w:t>
            </w:r>
          </w:p>
        </w:tc>
        <w:tc>
          <w:tcPr>
            <w:tcW w:w="785" w:type="pct"/>
            <w:noWrap/>
          </w:tcPr>
          <w:p w14:paraId="63E83372" w14:textId="77777777" w:rsidR="0066096C" w:rsidRPr="00D7162B" w:rsidRDefault="0066096C" w:rsidP="005E215F">
            <w:pPr>
              <w:pStyle w:val="TableText"/>
            </w:pPr>
            <w:r w:rsidRPr="00D7162B">
              <w:t>$</w:t>
            </w:r>
            <w:r>
              <w:t>225,740</w:t>
            </w:r>
          </w:p>
        </w:tc>
      </w:tr>
      <w:tr w:rsidR="0066096C" w:rsidRPr="000D2058" w14:paraId="30388D4A" w14:textId="77777777" w:rsidTr="005E215F">
        <w:trPr>
          <w:cantSplit/>
          <w:trHeight w:val="300"/>
        </w:trPr>
        <w:tc>
          <w:tcPr>
            <w:tcW w:w="1059" w:type="pct"/>
            <w:noWrap/>
            <w:vAlign w:val="bottom"/>
          </w:tcPr>
          <w:p w14:paraId="576F3359" w14:textId="77777777" w:rsidR="0066096C" w:rsidRDefault="0066096C" w:rsidP="005E215F">
            <w:pPr>
              <w:pStyle w:val="Tabletext0"/>
            </w:pPr>
            <w:r>
              <w:t>Total Government Health Budget</w:t>
            </w:r>
          </w:p>
        </w:tc>
        <w:tc>
          <w:tcPr>
            <w:tcW w:w="789" w:type="pct"/>
            <w:noWrap/>
            <w:vAlign w:val="bottom"/>
          </w:tcPr>
          <w:p w14:paraId="6011B1ED" w14:textId="77777777" w:rsidR="0066096C" w:rsidRPr="00101CFB" w:rsidRDefault="0066096C" w:rsidP="005E215F">
            <w:pPr>
              <w:pStyle w:val="Tabletext0"/>
              <w:rPr>
                <w:color w:val="000000"/>
                <w:szCs w:val="22"/>
              </w:rPr>
            </w:pPr>
            <w:r w:rsidRPr="00101CFB">
              <w:rPr>
                <w:color w:val="000000"/>
                <w:szCs w:val="22"/>
              </w:rPr>
              <w:t>$</w:t>
            </w:r>
            <w:r>
              <w:rPr>
                <w:color w:val="000000"/>
                <w:szCs w:val="22"/>
              </w:rPr>
              <w:t>345,021</w:t>
            </w:r>
          </w:p>
        </w:tc>
        <w:tc>
          <w:tcPr>
            <w:tcW w:w="789" w:type="pct"/>
            <w:noWrap/>
            <w:vAlign w:val="bottom"/>
          </w:tcPr>
          <w:p w14:paraId="21E3ADB6" w14:textId="77777777" w:rsidR="0066096C" w:rsidRPr="00101CFB" w:rsidRDefault="0066096C" w:rsidP="005E215F">
            <w:pPr>
              <w:pStyle w:val="Tabletext0"/>
              <w:rPr>
                <w:color w:val="000000"/>
                <w:szCs w:val="22"/>
              </w:rPr>
            </w:pPr>
            <w:r w:rsidRPr="00101CFB">
              <w:rPr>
                <w:color w:val="000000"/>
                <w:szCs w:val="22"/>
              </w:rPr>
              <w:t>$</w:t>
            </w:r>
            <w:r>
              <w:rPr>
                <w:color w:val="000000"/>
                <w:szCs w:val="22"/>
              </w:rPr>
              <w:t>295,893</w:t>
            </w:r>
          </w:p>
        </w:tc>
        <w:tc>
          <w:tcPr>
            <w:tcW w:w="789" w:type="pct"/>
            <w:noWrap/>
            <w:vAlign w:val="bottom"/>
          </w:tcPr>
          <w:p w14:paraId="368BE613" w14:textId="77777777" w:rsidR="0066096C" w:rsidRPr="00101CFB" w:rsidRDefault="0066096C" w:rsidP="005E215F">
            <w:pPr>
              <w:pStyle w:val="Tabletext0"/>
              <w:rPr>
                <w:color w:val="000000"/>
                <w:szCs w:val="22"/>
              </w:rPr>
            </w:pPr>
            <w:r w:rsidRPr="00101CFB">
              <w:rPr>
                <w:color w:val="000000"/>
                <w:szCs w:val="22"/>
              </w:rPr>
              <w:t>$</w:t>
            </w:r>
            <w:r>
              <w:rPr>
                <w:color w:val="000000"/>
                <w:szCs w:val="22"/>
              </w:rPr>
              <w:t>286,911</w:t>
            </w:r>
          </w:p>
        </w:tc>
        <w:tc>
          <w:tcPr>
            <w:tcW w:w="789" w:type="pct"/>
            <w:noWrap/>
            <w:vAlign w:val="bottom"/>
          </w:tcPr>
          <w:p w14:paraId="30064144" w14:textId="77777777" w:rsidR="0066096C" w:rsidRPr="00101CFB" w:rsidRDefault="0066096C" w:rsidP="005E215F">
            <w:pPr>
              <w:pStyle w:val="Tabletext0"/>
              <w:rPr>
                <w:color w:val="000000"/>
                <w:szCs w:val="22"/>
              </w:rPr>
            </w:pPr>
            <w:r w:rsidRPr="00101CFB">
              <w:rPr>
                <w:color w:val="000000"/>
                <w:szCs w:val="22"/>
              </w:rPr>
              <w:t>$</w:t>
            </w:r>
            <w:r>
              <w:rPr>
                <w:color w:val="000000"/>
                <w:szCs w:val="22"/>
              </w:rPr>
              <w:t>279,999</w:t>
            </w:r>
          </w:p>
        </w:tc>
        <w:tc>
          <w:tcPr>
            <w:tcW w:w="785" w:type="pct"/>
            <w:noWrap/>
            <w:vAlign w:val="bottom"/>
          </w:tcPr>
          <w:p w14:paraId="7B02A9C9" w14:textId="77777777" w:rsidR="0066096C" w:rsidRPr="00101CFB" w:rsidRDefault="0066096C" w:rsidP="005E215F">
            <w:pPr>
              <w:pStyle w:val="Tabletext0"/>
              <w:rPr>
                <w:color w:val="000000"/>
                <w:szCs w:val="22"/>
              </w:rPr>
            </w:pPr>
            <w:r w:rsidRPr="00101CFB">
              <w:rPr>
                <w:color w:val="000000"/>
                <w:szCs w:val="22"/>
              </w:rPr>
              <w:t>$</w:t>
            </w:r>
            <w:r>
              <w:rPr>
                <w:color w:val="000000"/>
                <w:szCs w:val="22"/>
              </w:rPr>
              <w:t>272,477</w:t>
            </w:r>
          </w:p>
        </w:tc>
      </w:tr>
    </w:tbl>
    <w:p w14:paraId="4EA17F66" w14:textId="77777777" w:rsidR="00416B43" w:rsidRPr="002701BE" w:rsidRDefault="00416B43" w:rsidP="00416B43">
      <w:pPr>
        <w:spacing w:before="240"/>
      </w:pPr>
      <w:r w:rsidRPr="002701BE">
        <w:t>Key uncertainties in the estimation of the financial impact of the proposed listing are:</w:t>
      </w:r>
    </w:p>
    <w:p w14:paraId="24A14140" w14:textId="77777777" w:rsidR="00416B43" w:rsidRPr="002701BE" w:rsidRDefault="00416B43" w:rsidP="00416B43">
      <w:pPr>
        <w:pStyle w:val="ListParagraph"/>
        <w:numPr>
          <w:ilvl w:val="0"/>
          <w:numId w:val="34"/>
        </w:numPr>
        <w:ind w:left="714" w:hanging="357"/>
        <w:contextualSpacing w:val="0"/>
      </w:pPr>
      <w:r w:rsidRPr="002701BE">
        <w:t>the patient numbers for restaging of relapsed disease and assessment of response to second-line therapy</w:t>
      </w:r>
    </w:p>
    <w:p w14:paraId="5950FBE1" w14:textId="77777777" w:rsidR="00416B43" w:rsidRPr="002701BE" w:rsidRDefault="00416B43" w:rsidP="00416B43">
      <w:pPr>
        <w:pStyle w:val="ListParagraph"/>
        <w:numPr>
          <w:ilvl w:val="0"/>
          <w:numId w:val="34"/>
        </w:numPr>
        <w:ind w:left="714" w:hanging="357"/>
        <w:contextualSpacing w:val="0"/>
      </w:pPr>
      <w:r w:rsidRPr="002701BE">
        <w:t xml:space="preserve">the extent to which PET/CT would replace CT, especially in initial staging </w:t>
      </w:r>
    </w:p>
    <w:p w14:paraId="12DBD975" w14:textId="58B60CA5" w:rsidR="00416B43" w:rsidRPr="002701BE" w:rsidRDefault="00416B43" w:rsidP="00416B43">
      <w:pPr>
        <w:pStyle w:val="ListParagraph"/>
        <w:numPr>
          <w:ilvl w:val="0"/>
          <w:numId w:val="34"/>
        </w:numPr>
        <w:ind w:left="714" w:hanging="357"/>
        <w:contextualSpacing w:val="0"/>
      </w:pPr>
      <w:r w:rsidRPr="002701BE">
        <w:t>the treatment changes as a result of listing for staging</w:t>
      </w:r>
      <w:r w:rsidR="0066096C">
        <w:t>;</w:t>
      </w:r>
      <w:r w:rsidR="0066096C" w:rsidRPr="002701BE">
        <w:t xml:space="preserve"> </w:t>
      </w:r>
      <w:r w:rsidRPr="002701BE">
        <w:t>these were derived from the economic analysis which used change in stage as a proxy for change in management</w:t>
      </w:r>
    </w:p>
    <w:p w14:paraId="17321481" w14:textId="77777777" w:rsidR="00416B43" w:rsidRPr="002701BE" w:rsidRDefault="00416B43" w:rsidP="00416B43">
      <w:pPr>
        <w:pStyle w:val="ListParagraph"/>
        <w:numPr>
          <w:ilvl w:val="0"/>
          <w:numId w:val="34"/>
        </w:numPr>
        <w:ind w:left="714" w:hanging="357"/>
        <w:contextualSpacing w:val="0"/>
      </w:pPr>
      <w:proofErr w:type="gramStart"/>
      <w:r w:rsidRPr="002701BE">
        <w:t>the</w:t>
      </w:r>
      <w:proofErr w:type="gramEnd"/>
      <w:r w:rsidRPr="002701BE">
        <w:t xml:space="preserve"> treatment changes as a result of listing for assessment of treatment response; these were derived from the economic analysis which used clinical opinion to model reduced follow-up frequency in PET/CT responders.</w:t>
      </w:r>
    </w:p>
    <w:p w14:paraId="774958C6" w14:textId="77777777" w:rsidR="006A0D97" w:rsidRPr="00F715D1" w:rsidRDefault="006A0D97" w:rsidP="00453AB5">
      <w:pPr>
        <w:pStyle w:val="Heading1"/>
      </w:pPr>
      <w:r w:rsidRPr="00F715D1">
        <w:t>Key issues from ESC for MSAC</w:t>
      </w:r>
    </w:p>
    <w:p w14:paraId="53DFA1CF" w14:textId="77777777" w:rsidR="00815444" w:rsidRDefault="00815444" w:rsidP="00815444">
      <w:pPr>
        <w:tabs>
          <w:tab w:val="left" w:pos="2265"/>
          <w:tab w:val="left" w:pos="3420"/>
          <w:tab w:val="left" w:pos="4320"/>
        </w:tabs>
      </w:pPr>
      <w:r w:rsidRPr="002701BE">
        <w:t xml:space="preserve">ESC raised the question whether MSAC assessment of </w:t>
      </w:r>
      <w:r>
        <w:t>combined positron-emission tomography / computed tomography (</w:t>
      </w:r>
      <w:r w:rsidRPr="002701BE">
        <w:t>PET/CT</w:t>
      </w:r>
      <w:r>
        <w:t xml:space="preserve">) using fluorine-18 </w:t>
      </w:r>
      <w:proofErr w:type="spellStart"/>
      <w:r>
        <w:t>fluorodeoxyglucose</w:t>
      </w:r>
      <w:proofErr w:type="spellEnd"/>
    </w:p>
    <w:p w14:paraId="454F6208" w14:textId="77777777" w:rsidR="00815444" w:rsidRPr="002701BE" w:rsidRDefault="00815444" w:rsidP="00453AB5">
      <w:pPr>
        <w:tabs>
          <w:tab w:val="left" w:pos="2265"/>
          <w:tab w:val="left" w:pos="3420"/>
          <w:tab w:val="left" w:pos="4320"/>
        </w:tabs>
        <w:spacing w:after="240"/>
      </w:pPr>
      <w:r>
        <w:t>(</w:t>
      </w:r>
      <w:r w:rsidRPr="00160F0C">
        <w:rPr>
          <w:vertAlign w:val="superscript"/>
        </w:rPr>
        <w:t>18</w:t>
      </w:r>
      <w:r>
        <w:t>F-FDG)</w:t>
      </w:r>
      <w:r w:rsidRPr="002701BE">
        <w:t xml:space="preserve"> as a modality rather than by each indication might be more </w:t>
      </w:r>
      <w:r>
        <w:t>efficient</w:t>
      </w:r>
      <w:r w:rsidRPr="002701BE">
        <w:t>, similar to the MS</w:t>
      </w:r>
      <w:r w:rsidR="00453AB5">
        <w:t>AC assessment of IMRT and IGRT.</w:t>
      </w:r>
    </w:p>
    <w:p w14:paraId="2B8E49FB" w14:textId="77777777" w:rsidR="00815444" w:rsidRPr="00815444" w:rsidRDefault="00815444" w:rsidP="00815444">
      <w:pPr>
        <w:rPr>
          <w:b/>
          <w:bCs/>
          <w:szCs w:val="24"/>
        </w:rPr>
      </w:pPr>
      <w:r w:rsidRPr="00815444">
        <w:rPr>
          <w:b/>
          <w:bCs/>
          <w:szCs w:val="24"/>
        </w:rPr>
        <w:t>Clinical effectiveness of PET/CT:</w:t>
      </w:r>
    </w:p>
    <w:p w14:paraId="0CB8E805" w14:textId="77777777" w:rsidR="00815444" w:rsidRPr="002701BE" w:rsidRDefault="00815444" w:rsidP="00815444">
      <w:pPr>
        <w:tabs>
          <w:tab w:val="left" w:pos="2265"/>
          <w:tab w:val="left" w:pos="3420"/>
          <w:tab w:val="left" w:pos="4320"/>
        </w:tabs>
      </w:pPr>
      <w:r w:rsidRPr="002701BE">
        <w:t xml:space="preserve">ESC agreed that the clinical effectiveness of PET/CT for indolent non-Hodgkin’s lymphoma </w:t>
      </w:r>
      <w:r>
        <w:t xml:space="preserve">(NHL) </w:t>
      </w:r>
      <w:r w:rsidRPr="002701BE">
        <w:t xml:space="preserve">is uncertain due to the limited available evidence base. There was no available direct </w:t>
      </w:r>
      <w:r w:rsidRPr="002701BE">
        <w:lastRenderedPageBreak/>
        <w:t xml:space="preserve">effectiveness evidence. Evidence was presented from studies assessing test accuracy and therapeutic impact which was linked to evidence about treatment efficacy or improved prognosis. </w:t>
      </w:r>
    </w:p>
    <w:p w14:paraId="2CA9C662" w14:textId="77777777" w:rsidR="00815444" w:rsidRPr="002701BE" w:rsidRDefault="00815444" w:rsidP="00815444">
      <w:pPr>
        <w:numPr>
          <w:ilvl w:val="0"/>
          <w:numId w:val="26"/>
        </w:numPr>
        <w:rPr>
          <w:bCs/>
        </w:rPr>
      </w:pPr>
      <w:r w:rsidRPr="002701BE">
        <w:rPr>
          <w:bCs/>
          <w:i/>
          <w:iCs/>
        </w:rPr>
        <w:t>PET/CT in addition to and/or replacement for conventional staging in initial staging:</w:t>
      </w:r>
    </w:p>
    <w:p w14:paraId="082C6AC8" w14:textId="77777777" w:rsidR="00815444" w:rsidRPr="002701BE" w:rsidRDefault="00815444" w:rsidP="00815444">
      <w:pPr>
        <w:numPr>
          <w:ilvl w:val="1"/>
          <w:numId w:val="26"/>
        </w:numPr>
        <w:spacing w:after="240"/>
        <w:rPr>
          <w:bCs/>
        </w:rPr>
      </w:pPr>
      <w:r w:rsidRPr="002701BE">
        <w:rPr>
          <w:bCs/>
        </w:rPr>
        <w:t xml:space="preserve">ESC noted that there was no new evidence </w:t>
      </w:r>
      <w:r>
        <w:rPr>
          <w:bCs/>
        </w:rPr>
        <w:t xml:space="preserve">of the impact of PET or PET/CT on changes in management </w:t>
      </w:r>
      <w:r w:rsidRPr="002701BE">
        <w:rPr>
          <w:bCs/>
        </w:rPr>
        <w:t>since MBS item 61616 was listed</w:t>
      </w:r>
      <w:r>
        <w:rPr>
          <w:bCs/>
        </w:rPr>
        <w:t xml:space="preserve"> (MSAC Reference 35c: Assessment Report and PSD, 2009); evidence of disease upstaging and, less commonly, </w:t>
      </w:r>
      <w:proofErr w:type="spellStart"/>
      <w:r>
        <w:rPr>
          <w:bCs/>
        </w:rPr>
        <w:t>downstaging</w:t>
      </w:r>
      <w:proofErr w:type="spellEnd"/>
      <w:r>
        <w:rPr>
          <w:bCs/>
        </w:rPr>
        <w:t xml:space="preserve"> was consistent with the findings of the review for Ref. 35c</w:t>
      </w:r>
      <w:r w:rsidRPr="002701BE">
        <w:rPr>
          <w:bCs/>
        </w:rPr>
        <w:t>.</w:t>
      </w:r>
    </w:p>
    <w:p w14:paraId="2B093195" w14:textId="77777777" w:rsidR="00815444" w:rsidRPr="002701BE" w:rsidRDefault="00815444" w:rsidP="00815444">
      <w:pPr>
        <w:numPr>
          <w:ilvl w:val="0"/>
          <w:numId w:val="26"/>
        </w:numPr>
        <w:rPr>
          <w:bCs/>
        </w:rPr>
      </w:pPr>
      <w:r w:rsidRPr="002701BE">
        <w:rPr>
          <w:bCs/>
          <w:i/>
          <w:iCs/>
        </w:rPr>
        <w:t xml:space="preserve">PET/CT as replacement for conventional imaging in restaging relapsed indolent NHL: </w:t>
      </w:r>
    </w:p>
    <w:p w14:paraId="1ABFDA14" w14:textId="77777777" w:rsidR="00815444" w:rsidRPr="002701BE" w:rsidRDefault="00815444" w:rsidP="00815444">
      <w:pPr>
        <w:numPr>
          <w:ilvl w:val="1"/>
          <w:numId w:val="26"/>
        </w:numPr>
        <w:spacing w:after="240"/>
        <w:rPr>
          <w:bCs/>
        </w:rPr>
      </w:pPr>
      <w:r w:rsidRPr="002701BE">
        <w:rPr>
          <w:bCs/>
        </w:rPr>
        <w:t>ESC noted that there was no evidence presented.</w:t>
      </w:r>
    </w:p>
    <w:p w14:paraId="4D1DE68A" w14:textId="77777777" w:rsidR="00815444" w:rsidRPr="002701BE" w:rsidRDefault="00815444" w:rsidP="00815444">
      <w:pPr>
        <w:numPr>
          <w:ilvl w:val="0"/>
          <w:numId w:val="26"/>
        </w:numPr>
        <w:rPr>
          <w:bCs/>
        </w:rPr>
      </w:pPr>
      <w:r w:rsidRPr="002701BE">
        <w:rPr>
          <w:bCs/>
          <w:i/>
          <w:iCs/>
        </w:rPr>
        <w:t xml:space="preserve">PET/CT as replacement for CT ± </w:t>
      </w:r>
      <w:r>
        <w:rPr>
          <w:bCs/>
          <w:i/>
          <w:iCs/>
        </w:rPr>
        <w:t>bone marrow aspiration and trephine (</w:t>
      </w:r>
      <w:r w:rsidRPr="002701BE">
        <w:rPr>
          <w:bCs/>
          <w:i/>
          <w:iCs/>
        </w:rPr>
        <w:t>BMAT</w:t>
      </w:r>
      <w:r>
        <w:rPr>
          <w:bCs/>
          <w:i/>
          <w:iCs/>
        </w:rPr>
        <w:t>)</w:t>
      </w:r>
      <w:r w:rsidRPr="002701BE">
        <w:rPr>
          <w:bCs/>
          <w:i/>
          <w:iCs/>
        </w:rPr>
        <w:t xml:space="preserve"> to assess response to first-line treatment:</w:t>
      </w:r>
    </w:p>
    <w:p w14:paraId="0F221B98" w14:textId="77777777" w:rsidR="00815444" w:rsidRPr="002701BE" w:rsidRDefault="00815444" w:rsidP="00815444">
      <w:pPr>
        <w:numPr>
          <w:ilvl w:val="1"/>
          <w:numId w:val="26"/>
        </w:numPr>
        <w:rPr>
          <w:bCs/>
        </w:rPr>
      </w:pPr>
      <w:r w:rsidRPr="002701BE">
        <w:rPr>
          <w:bCs/>
        </w:rPr>
        <w:t>ESC noted there were no studies of clinical effectiveness although PET/CT did show superior prognostic value.</w:t>
      </w:r>
    </w:p>
    <w:p w14:paraId="2A89596E" w14:textId="77777777" w:rsidR="00815444" w:rsidRPr="00453AB5" w:rsidRDefault="00815444" w:rsidP="00453AB5">
      <w:pPr>
        <w:numPr>
          <w:ilvl w:val="1"/>
          <w:numId w:val="26"/>
        </w:numPr>
        <w:spacing w:after="240"/>
        <w:rPr>
          <w:bCs/>
        </w:rPr>
      </w:pPr>
      <w:r w:rsidRPr="002701BE">
        <w:rPr>
          <w:bCs/>
        </w:rPr>
        <w:t>There are two randomised controlled trials of PET/CT</w:t>
      </w:r>
      <w:r>
        <w:rPr>
          <w:bCs/>
        </w:rPr>
        <w:t xml:space="preserve"> </w:t>
      </w:r>
      <w:r w:rsidRPr="002701BE">
        <w:rPr>
          <w:bCs/>
        </w:rPr>
        <w:t>response</w:t>
      </w:r>
      <w:r>
        <w:rPr>
          <w:bCs/>
        </w:rPr>
        <w:t>-</w:t>
      </w:r>
      <w:r w:rsidRPr="002701BE">
        <w:rPr>
          <w:bCs/>
        </w:rPr>
        <w:t>adapted treatment ongoing.</w:t>
      </w:r>
    </w:p>
    <w:p w14:paraId="7238A82D" w14:textId="77777777" w:rsidR="00815444" w:rsidRPr="002701BE" w:rsidRDefault="00815444" w:rsidP="00AE6BFA">
      <w:pPr>
        <w:tabs>
          <w:tab w:val="left" w:pos="2265"/>
          <w:tab w:val="left" w:pos="3420"/>
          <w:tab w:val="left" w:pos="4320"/>
        </w:tabs>
        <w:spacing w:after="240"/>
      </w:pPr>
      <w:r w:rsidRPr="002701BE">
        <w:t>ESC considered that clinical evidence for the therapeutic impact of PET/CT beyond the currently funded indication was not available and that the value of the prognostic information to patients and their quality of life is difficult to quantify.</w:t>
      </w:r>
    </w:p>
    <w:p w14:paraId="0298B0AD" w14:textId="77777777" w:rsidR="00815444" w:rsidRPr="002701BE" w:rsidRDefault="00815444" w:rsidP="00815444">
      <w:pPr>
        <w:rPr>
          <w:bCs/>
        </w:rPr>
      </w:pPr>
      <w:r w:rsidRPr="002701BE">
        <w:rPr>
          <w:b/>
          <w:bCs/>
        </w:rPr>
        <w:t>Economic model:</w:t>
      </w:r>
    </w:p>
    <w:p w14:paraId="36BE86BC" w14:textId="77777777" w:rsidR="00815444" w:rsidRPr="00160F0C" w:rsidRDefault="00815444" w:rsidP="004C0E5A">
      <w:pPr>
        <w:tabs>
          <w:tab w:val="num" w:pos="720"/>
        </w:tabs>
        <w:spacing w:after="240"/>
        <w:rPr>
          <w:bCs/>
        </w:rPr>
      </w:pPr>
      <w:r w:rsidRPr="002701BE">
        <w:rPr>
          <w:bCs/>
        </w:rPr>
        <w:t xml:space="preserve">ESC considered that the uncertainties and limitation of the clinical effectiveness data flowed on to the cost-consequence analysis presented. ESC was also concerned that the majority of </w:t>
      </w:r>
      <w:r w:rsidRPr="00160F0C">
        <w:rPr>
          <w:bCs/>
        </w:rPr>
        <w:t>assumptions included in the model were based almost entirely on expert opinion rather than being evidence based.  Moreover, it was not clear how extensively expert opinion had been canvassed in order to arrive at the model assumptions.</w:t>
      </w:r>
    </w:p>
    <w:p w14:paraId="2BB94A0B" w14:textId="77777777" w:rsidR="00815444" w:rsidRPr="002701BE" w:rsidRDefault="00815444" w:rsidP="00815444">
      <w:pPr>
        <w:rPr>
          <w:bCs/>
        </w:rPr>
      </w:pPr>
      <w:r w:rsidRPr="002701BE">
        <w:rPr>
          <w:b/>
          <w:bCs/>
        </w:rPr>
        <w:t>Financial impact:</w:t>
      </w:r>
    </w:p>
    <w:p w14:paraId="7E5A4390" w14:textId="77777777" w:rsidR="00815444" w:rsidRPr="002701BE" w:rsidRDefault="00815444" w:rsidP="00453AB5">
      <w:pPr>
        <w:spacing w:after="240"/>
        <w:rPr>
          <w:bCs/>
        </w:rPr>
      </w:pPr>
      <w:r w:rsidRPr="002701BE">
        <w:rPr>
          <w:bCs/>
        </w:rPr>
        <w:t>ESC noted that</w:t>
      </w:r>
      <w:r>
        <w:rPr>
          <w:bCs/>
        </w:rPr>
        <w:t>, comparing epidemiologic projections with actual usage of MBS items, it is likely that PET/CT items</w:t>
      </w:r>
      <w:r w:rsidRPr="002701BE">
        <w:rPr>
          <w:bCs/>
        </w:rPr>
        <w:t xml:space="preserve"> other than item 61616</w:t>
      </w:r>
      <w:r>
        <w:rPr>
          <w:bCs/>
        </w:rPr>
        <w:t xml:space="preserve"> are already being used in patients with</w:t>
      </w:r>
      <w:r w:rsidR="00453AB5">
        <w:rPr>
          <w:bCs/>
        </w:rPr>
        <w:t xml:space="preserve"> indolent NHL.</w:t>
      </w:r>
    </w:p>
    <w:p w14:paraId="67DED4A9" w14:textId="77777777" w:rsidR="00815444" w:rsidRPr="002701BE" w:rsidRDefault="00815444" w:rsidP="00815444">
      <w:pPr>
        <w:spacing w:after="240"/>
        <w:rPr>
          <w:bCs/>
        </w:rPr>
      </w:pPr>
      <w:r w:rsidRPr="002701BE">
        <w:rPr>
          <w:bCs/>
        </w:rPr>
        <w:t>ESC considered that the financial impact was highly uncertain</w:t>
      </w:r>
      <w:r>
        <w:rPr>
          <w:bCs/>
        </w:rPr>
        <w:t>;</w:t>
      </w:r>
      <w:r w:rsidRPr="002701BE">
        <w:rPr>
          <w:bCs/>
        </w:rPr>
        <w:t xml:space="preserve"> however</w:t>
      </w:r>
      <w:r>
        <w:rPr>
          <w:bCs/>
        </w:rPr>
        <w:t>,</w:t>
      </w:r>
      <w:r w:rsidRPr="002701BE">
        <w:rPr>
          <w:bCs/>
        </w:rPr>
        <w:t xml:space="preserve"> if the economic model </w:t>
      </w:r>
      <w:r>
        <w:rPr>
          <w:bCs/>
        </w:rPr>
        <w:t>were to be</w:t>
      </w:r>
      <w:r w:rsidRPr="002701BE">
        <w:rPr>
          <w:bCs/>
        </w:rPr>
        <w:t xml:space="preserve"> accepted, PET/CT may be modestly cost-saving to MBS, but may modestly increase costs to PBS. </w:t>
      </w:r>
    </w:p>
    <w:p w14:paraId="6A914038" w14:textId="77777777" w:rsidR="00D90A38" w:rsidRPr="00F715D1" w:rsidRDefault="00BC1364" w:rsidP="00F715D1">
      <w:pPr>
        <w:pStyle w:val="Heading1"/>
      </w:pPr>
      <w:r w:rsidRPr="00F715D1">
        <w:t>Other significant factors</w:t>
      </w:r>
    </w:p>
    <w:p w14:paraId="6159829A" w14:textId="77777777" w:rsidR="00416B43" w:rsidRPr="002701BE" w:rsidRDefault="00416B43" w:rsidP="00416B43">
      <w:r w:rsidRPr="002701BE">
        <w:t>The assessment report noted three additional considerations:</w:t>
      </w:r>
    </w:p>
    <w:p w14:paraId="41F43B1E" w14:textId="77777777" w:rsidR="00416B43" w:rsidRPr="002701BE" w:rsidRDefault="00416B43" w:rsidP="00416B43">
      <w:pPr>
        <w:pStyle w:val="ListParagraph"/>
        <w:numPr>
          <w:ilvl w:val="0"/>
          <w:numId w:val="31"/>
        </w:numPr>
        <w:spacing w:after="240"/>
        <w:contextualSpacing w:val="0"/>
      </w:pPr>
      <w:r w:rsidRPr="00160F0C">
        <w:rPr>
          <w:i/>
        </w:rPr>
        <w:t>Equity:</w:t>
      </w:r>
      <w:r w:rsidRPr="002701BE">
        <w:t xml:space="preserve"> MBS data use analysis suggest</w:t>
      </w:r>
      <w:r>
        <w:t>ed</w:t>
      </w:r>
      <w:r w:rsidRPr="002701BE">
        <w:t xml:space="preserve"> that </w:t>
      </w:r>
      <w:r>
        <w:t>it is likely that</w:t>
      </w:r>
      <w:r w:rsidRPr="002701BE">
        <w:t xml:space="preserve"> patients with indolent NHL are currently </w:t>
      </w:r>
      <w:r>
        <w:t>referred for</w:t>
      </w:r>
      <w:r w:rsidRPr="002701BE">
        <w:t xml:space="preserve"> PET/CT for staging</w:t>
      </w:r>
      <w:r>
        <w:t xml:space="preserve"> and response assessment</w:t>
      </w:r>
      <w:r w:rsidRPr="002701BE">
        <w:t xml:space="preserve"> </w:t>
      </w:r>
      <w:r>
        <w:t>using items appropriate for aggressive NHL</w:t>
      </w:r>
      <w:r w:rsidRPr="002701BE">
        <w:t xml:space="preserve">. This number is likely to be variable across providers. </w:t>
      </w:r>
    </w:p>
    <w:p w14:paraId="518CBA53" w14:textId="77777777" w:rsidR="00416B43" w:rsidRPr="002701BE" w:rsidRDefault="00416B43" w:rsidP="00416B43">
      <w:pPr>
        <w:pStyle w:val="ListParagraph"/>
        <w:numPr>
          <w:ilvl w:val="0"/>
          <w:numId w:val="31"/>
        </w:numPr>
        <w:spacing w:after="240"/>
        <w:contextualSpacing w:val="0"/>
      </w:pPr>
      <w:r w:rsidRPr="00160F0C">
        <w:rPr>
          <w:i/>
        </w:rPr>
        <w:t>Value of prognostic information:</w:t>
      </w:r>
      <w:r w:rsidRPr="002701BE">
        <w:t xml:space="preserve"> The value of prog</w:t>
      </w:r>
      <w:r>
        <w:t>nostic information to patients wa</w:t>
      </w:r>
      <w:r w:rsidRPr="002701BE">
        <w:t xml:space="preserve">s difficult to measure and </w:t>
      </w:r>
      <w:r>
        <w:t xml:space="preserve">to </w:t>
      </w:r>
      <w:r w:rsidRPr="002701BE">
        <w:t>cost</w:t>
      </w:r>
      <w:r>
        <w:t xml:space="preserve">. </w:t>
      </w:r>
      <w:r w:rsidRPr="002701BE">
        <w:t xml:space="preserve"> </w:t>
      </w:r>
      <w:r>
        <w:t>N</w:t>
      </w:r>
      <w:r w:rsidRPr="002701BE">
        <w:t>evertheless</w:t>
      </w:r>
      <w:r>
        <w:t>,</w:t>
      </w:r>
      <w:r w:rsidRPr="002701BE">
        <w:t xml:space="preserve"> it may have a significant impact on quality of life (patient reassurance, making important life decisions etc.) and on societal costs (patients more likely to remain in the workforce). This information may </w:t>
      </w:r>
      <w:r w:rsidRPr="002701BE">
        <w:lastRenderedPageBreak/>
        <w:t xml:space="preserve">be of particular value in a disease which </w:t>
      </w:r>
      <w:r>
        <w:t>may have</w:t>
      </w:r>
      <w:r w:rsidRPr="002701BE">
        <w:t xml:space="preserve"> a long clinical course, </w:t>
      </w:r>
      <w:r>
        <w:t xml:space="preserve">which </w:t>
      </w:r>
      <w:r w:rsidRPr="002701BE">
        <w:t>affects people in late middle age</w:t>
      </w:r>
      <w:r>
        <w:t>,</w:t>
      </w:r>
      <w:r w:rsidRPr="002701BE">
        <w:t xml:space="preserve"> and which </w:t>
      </w:r>
      <w:r>
        <w:t>patients</w:t>
      </w:r>
      <w:r w:rsidRPr="002701BE">
        <w:t xml:space="preserve"> may die with rather than from.</w:t>
      </w:r>
    </w:p>
    <w:p w14:paraId="1ED4E67C" w14:textId="77777777" w:rsidR="00416B43" w:rsidRPr="002701BE" w:rsidRDefault="00416B43" w:rsidP="00416B43">
      <w:pPr>
        <w:pStyle w:val="ListParagraph"/>
        <w:numPr>
          <w:ilvl w:val="0"/>
          <w:numId w:val="31"/>
        </w:numPr>
        <w:spacing w:after="240"/>
        <w:contextualSpacing w:val="0"/>
      </w:pPr>
      <w:r w:rsidRPr="00160F0C">
        <w:rPr>
          <w:i/>
        </w:rPr>
        <w:t>Methodology of PET assessments:</w:t>
      </w:r>
      <w:r w:rsidRPr="002701BE">
        <w:t xml:space="preserve"> Although little evidence was presented in this assessment, numerous previous assessments of PET in oncology have been undertaken. It may be valid to ‘network’ some consistent findings from these to the current assessment, particularly as PET/CT is now an established imaging modality in oncology and indolent NHL is relatively uncommon, therefore new high-quality evidence on accuracy</w:t>
      </w:r>
      <w:r>
        <w:t xml:space="preserve"> or clinical effectiveness</w:t>
      </w:r>
      <w:r w:rsidRPr="002701BE">
        <w:t xml:space="preserve"> is unlikely.</w:t>
      </w:r>
    </w:p>
    <w:p w14:paraId="689ADED6" w14:textId="77777777" w:rsidR="00BC1364" w:rsidRPr="00F715D1" w:rsidRDefault="00BC1364" w:rsidP="00F715D1">
      <w:pPr>
        <w:pStyle w:val="Heading1"/>
      </w:pPr>
      <w:r w:rsidRPr="00F715D1">
        <w:t xml:space="preserve">Applicant’s comments on MSAC’s </w:t>
      </w:r>
      <w:r w:rsidR="00DA56AA" w:rsidRPr="00F715D1">
        <w:t>Public Summary Document</w:t>
      </w:r>
    </w:p>
    <w:p w14:paraId="1863B600" w14:textId="534546B8" w:rsidR="00BC1364" w:rsidRPr="006F4881" w:rsidRDefault="006F4881" w:rsidP="006F4881">
      <w:pPr>
        <w:pStyle w:val="Normal1"/>
        <w:spacing w:line="240" w:lineRule="auto"/>
        <w:rPr>
          <w:rFonts w:ascii="Times New Roman" w:hAnsi="Times New Roman"/>
          <w:color w:val="auto"/>
          <w:sz w:val="24"/>
          <w:szCs w:val="24"/>
          <w:lang w:val="en-GB"/>
        </w:rPr>
      </w:pPr>
      <w:r w:rsidRPr="006F4881">
        <w:rPr>
          <w:rFonts w:ascii="Times New Roman" w:hAnsi="Times New Roman"/>
          <w:color w:val="auto"/>
          <w:sz w:val="24"/>
          <w:szCs w:val="24"/>
          <w:lang w:val="en-GB"/>
        </w:rPr>
        <w:t xml:space="preserve">With the improved prognosis for most, but not all, patients with indolent NHL in the modern therapeutic era there is an urgent need for reliable lymphoma staging and response assessment using the most sensitive and predictive imaging modality. Australian-led research demonstrates PET to be superior to standard contrast enhanced CT in predicting outcome after initial therapy of advanced stage follicular lymphoma. The inclusion of indolent lymphoma in the indications for MBS-funded PET scanning brings Australia into line with international guidelines for lymphoma imaging. It provides a platform for Australian participation in study of baseline metabolic tumour volume and PET-response adapted therapies, designed to improve outcomes for all patients with indolent lymphoma. </w:t>
      </w:r>
    </w:p>
    <w:p w14:paraId="4449D3F3" w14:textId="77777777" w:rsidR="00BC1364" w:rsidRPr="00F715D1" w:rsidRDefault="00271F18" w:rsidP="00F715D1">
      <w:pPr>
        <w:pStyle w:val="Heading1"/>
      </w:pPr>
      <w:r w:rsidRPr="00F715D1">
        <w:t>Further information on MSAC</w:t>
      </w:r>
    </w:p>
    <w:p w14:paraId="5F54E2B9"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253DA" w15:done="0"/>
  <w15:commentEx w15:paraId="33D7A943" w15:done="0"/>
  <w15:commentEx w15:paraId="73854BB9" w15:done="0"/>
  <w15:commentEx w15:paraId="22004065" w15:done="0"/>
  <w15:commentEx w15:paraId="7EB329CB" w15:done="0"/>
  <w15:commentEx w15:paraId="3A575F69" w15:done="0"/>
  <w15:commentEx w15:paraId="44F412FD" w15:done="0"/>
  <w15:commentEx w15:paraId="62895790" w15:done="0"/>
  <w15:commentEx w15:paraId="4CE6CAE9" w15:done="0"/>
  <w15:commentEx w15:paraId="4D033DC9" w15:done="0"/>
  <w15:commentEx w15:paraId="10662C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F50B" w14:textId="77777777" w:rsidR="00A36530" w:rsidRDefault="00A36530" w:rsidP="00065623">
      <w:r>
        <w:separator/>
      </w:r>
    </w:p>
  </w:endnote>
  <w:endnote w:type="continuationSeparator" w:id="0">
    <w:p w14:paraId="000E4FC3" w14:textId="77777777" w:rsidR="00A36530" w:rsidRDefault="00A3653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23631" w14:textId="77777777" w:rsidR="000D0D81" w:rsidRDefault="000D0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5C75ED9C" w14:textId="77777777" w:rsidR="00A22E49" w:rsidRDefault="00A22E49">
        <w:pPr>
          <w:pStyle w:val="Footer"/>
          <w:jc w:val="right"/>
        </w:pPr>
        <w:r>
          <w:fldChar w:fldCharType="begin"/>
        </w:r>
        <w:r>
          <w:instrText xml:space="preserve"> PAGE   \* MERGEFORMAT </w:instrText>
        </w:r>
        <w:r>
          <w:fldChar w:fldCharType="separate"/>
        </w:r>
        <w:r w:rsidR="000D0D81">
          <w:rPr>
            <w:noProof/>
          </w:rPr>
          <w:t>1</w:t>
        </w:r>
        <w:r>
          <w:rPr>
            <w:noProof/>
          </w:rPr>
          <w:fldChar w:fldCharType="end"/>
        </w:r>
      </w:p>
    </w:sdtContent>
  </w:sdt>
  <w:p w14:paraId="33296173" w14:textId="77777777" w:rsidR="00A22E49" w:rsidRDefault="00A22E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87D5" w14:textId="77777777" w:rsidR="000D0D81" w:rsidRDefault="000D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55DC9" w14:textId="77777777" w:rsidR="00A36530" w:rsidRDefault="00A36530" w:rsidP="00065623">
      <w:r>
        <w:separator/>
      </w:r>
    </w:p>
  </w:footnote>
  <w:footnote w:type="continuationSeparator" w:id="0">
    <w:p w14:paraId="68A2851D" w14:textId="77777777" w:rsidR="00A36530" w:rsidRDefault="00A36530"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B791" w14:textId="77777777" w:rsidR="000D0D81" w:rsidRDefault="000D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D8C7" w14:textId="77777777" w:rsidR="000D0D81" w:rsidRDefault="000D0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81AE4" w14:textId="77777777" w:rsidR="000D0D81" w:rsidRDefault="000D0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4D43E20"/>
    <w:multiLevelType w:val="hybridMultilevel"/>
    <w:tmpl w:val="79DEA218"/>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5">
    <w:nsid w:val="164D2F3F"/>
    <w:multiLevelType w:val="hybridMultilevel"/>
    <w:tmpl w:val="78A4B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526A55"/>
    <w:multiLevelType w:val="hybridMultilevel"/>
    <w:tmpl w:val="0CBA9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780078"/>
    <w:multiLevelType w:val="hybridMultilevel"/>
    <w:tmpl w:val="72CC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7B2A9F"/>
    <w:multiLevelType w:val="hybridMultilevel"/>
    <w:tmpl w:val="C26C5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D4296"/>
    <w:multiLevelType w:val="hybridMultilevel"/>
    <w:tmpl w:val="81F04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3AD2EBB"/>
    <w:multiLevelType w:val="hybridMultilevel"/>
    <w:tmpl w:val="0FC68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94519B"/>
    <w:multiLevelType w:val="hybridMultilevel"/>
    <w:tmpl w:val="EE12B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673E72"/>
    <w:multiLevelType w:val="hybridMultilevel"/>
    <w:tmpl w:val="0A2C8EEE"/>
    <w:lvl w:ilvl="0" w:tplc="0C090001">
      <w:start w:val="1"/>
      <w:numFmt w:val="bullet"/>
      <w:lvlText w:val=""/>
      <w:lvlJc w:val="left"/>
      <w:pPr>
        <w:ind w:left="720" w:hanging="360"/>
      </w:pPr>
      <w:rPr>
        <w:rFonts w:ascii="Symbol" w:hAnsi="Symbol" w:hint="default"/>
      </w:rPr>
    </w:lvl>
    <w:lvl w:ilvl="1" w:tplc="C3EE05A6">
      <w:numFmt w:val="bullet"/>
      <w:lvlText w:val="-"/>
      <w:lvlJc w:val="left"/>
      <w:pPr>
        <w:ind w:left="1440" w:hanging="360"/>
      </w:pPr>
      <w:rPr>
        <w:rFonts w:ascii="Calibri" w:eastAsia="Times New Roman" w:hAnsi="Calibri"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1C7453"/>
    <w:multiLevelType w:val="hybridMultilevel"/>
    <w:tmpl w:val="AFF03912"/>
    <w:lvl w:ilvl="0" w:tplc="B366E4F4">
      <w:start w:val="1"/>
      <w:numFmt w:val="bullet"/>
      <w:lvlText w:val="•"/>
      <w:lvlJc w:val="left"/>
      <w:pPr>
        <w:tabs>
          <w:tab w:val="num" w:pos="720"/>
        </w:tabs>
        <w:ind w:left="720" w:hanging="360"/>
      </w:pPr>
      <w:rPr>
        <w:rFonts w:ascii="Arial" w:hAnsi="Arial" w:hint="default"/>
      </w:rPr>
    </w:lvl>
    <w:lvl w:ilvl="1" w:tplc="F7700A60" w:tentative="1">
      <w:start w:val="1"/>
      <w:numFmt w:val="bullet"/>
      <w:lvlText w:val="•"/>
      <w:lvlJc w:val="left"/>
      <w:pPr>
        <w:tabs>
          <w:tab w:val="num" w:pos="1440"/>
        </w:tabs>
        <w:ind w:left="1440" w:hanging="360"/>
      </w:pPr>
      <w:rPr>
        <w:rFonts w:ascii="Arial" w:hAnsi="Arial" w:hint="default"/>
      </w:rPr>
    </w:lvl>
    <w:lvl w:ilvl="2" w:tplc="4D6EFC18" w:tentative="1">
      <w:start w:val="1"/>
      <w:numFmt w:val="bullet"/>
      <w:lvlText w:val="•"/>
      <w:lvlJc w:val="left"/>
      <w:pPr>
        <w:tabs>
          <w:tab w:val="num" w:pos="2160"/>
        </w:tabs>
        <w:ind w:left="2160" w:hanging="360"/>
      </w:pPr>
      <w:rPr>
        <w:rFonts w:ascii="Arial" w:hAnsi="Arial" w:hint="default"/>
      </w:rPr>
    </w:lvl>
    <w:lvl w:ilvl="3" w:tplc="A6B057B4" w:tentative="1">
      <w:start w:val="1"/>
      <w:numFmt w:val="bullet"/>
      <w:lvlText w:val="•"/>
      <w:lvlJc w:val="left"/>
      <w:pPr>
        <w:tabs>
          <w:tab w:val="num" w:pos="2880"/>
        </w:tabs>
        <w:ind w:left="2880" w:hanging="360"/>
      </w:pPr>
      <w:rPr>
        <w:rFonts w:ascii="Arial" w:hAnsi="Arial" w:hint="default"/>
      </w:rPr>
    </w:lvl>
    <w:lvl w:ilvl="4" w:tplc="FA1A5B56" w:tentative="1">
      <w:start w:val="1"/>
      <w:numFmt w:val="bullet"/>
      <w:lvlText w:val="•"/>
      <w:lvlJc w:val="left"/>
      <w:pPr>
        <w:tabs>
          <w:tab w:val="num" w:pos="3600"/>
        </w:tabs>
        <w:ind w:left="3600" w:hanging="360"/>
      </w:pPr>
      <w:rPr>
        <w:rFonts w:ascii="Arial" w:hAnsi="Arial" w:hint="default"/>
      </w:rPr>
    </w:lvl>
    <w:lvl w:ilvl="5" w:tplc="65EA36B2" w:tentative="1">
      <w:start w:val="1"/>
      <w:numFmt w:val="bullet"/>
      <w:lvlText w:val="•"/>
      <w:lvlJc w:val="left"/>
      <w:pPr>
        <w:tabs>
          <w:tab w:val="num" w:pos="4320"/>
        </w:tabs>
        <w:ind w:left="4320" w:hanging="360"/>
      </w:pPr>
      <w:rPr>
        <w:rFonts w:ascii="Arial" w:hAnsi="Arial" w:hint="default"/>
      </w:rPr>
    </w:lvl>
    <w:lvl w:ilvl="6" w:tplc="D7E40846" w:tentative="1">
      <w:start w:val="1"/>
      <w:numFmt w:val="bullet"/>
      <w:lvlText w:val="•"/>
      <w:lvlJc w:val="left"/>
      <w:pPr>
        <w:tabs>
          <w:tab w:val="num" w:pos="5040"/>
        </w:tabs>
        <w:ind w:left="5040" w:hanging="360"/>
      </w:pPr>
      <w:rPr>
        <w:rFonts w:ascii="Arial" w:hAnsi="Arial" w:hint="default"/>
      </w:rPr>
    </w:lvl>
    <w:lvl w:ilvl="7" w:tplc="BAACDBDE" w:tentative="1">
      <w:start w:val="1"/>
      <w:numFmt w:val="bullet"/>
      <w:lvlText w:val="•"/>
      <w:lvlJc w:val="left"/>
      <w:pPr>
        <w:tabs>
          <w:tab w:val="num" w:pos="5760"/>
        </w:tabs>
        <w:ind w:left="5760" w:hanging="360"/>
      </w:pPr>
      <w:rPr>
        <w:rFonts w:ascii="Arial" w:hAnsi="Arial" w:hint="default"/>
      </w:rPr>
    </w:lvl>
    <w:lvl w:ilvl="8" w:tplc="5AD63C70" w:tentative="1">
      <w:start w:val="1"/>
      <w:numFmt w:val="bullet"/>
      <w:lvlText w:val="•"/>
      <w:lvlJc w:val="left"/>
      <w:pPr>
        <w:tabs>
          <w:tab w:val="num" w:pos="6480"/>
        </w:tabs>
        <w:ind w:left="6480" w:hanging="360"/>
      </w:pPr>
      <w:rPr>
        <w:rFonts w:ascii="Arial" w:hAnsi="Arial"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81738B"/>
    <w:multiLevelType w:val="hybridMultilevel"/>
    <w:tmpl w:val="70666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7B5D6A"/>
    <w:multiLevelType w:val="hybridMultilevel"/>
    <w:tmpl w:val="EAC04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8AE0374"/>
    <w:multiLevelType w:val="hybridMultilevel"/>
    <w:tmpl w:val="A57608EE"/>
    <w:lvl w:ilvl="0" w:tplc="CAF0D9FE">
      <w:start w:val="2"/>
      <w:numFmt w:val="bullet"/>
      <w:lvlText w:val="•"/>
      <w:lvlJc w:val="left"/>
      <w:pPr>
        <w:ind w:left="930" w:hanging="57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24254A"/>
    <w:multiLevelType w:val="hybridMultilevel"/>
    <w:tmpl w:val="869470AC"/>
    <w:lvl w:ilvl="0" w:tplc="FDF8B8BA">
      <w:start w:val="1"/>
      <w:numFmt w:val="bullet"/>
      <w:lvlText w:val="•"/>
      <w:lvlJc w:val="left"/>
      <w:pPr>
        <w:tabs>
          <w:tab w:val="num" w:pos="720"/>
        </w:tabs>
        <w:ind w:left="720" w:hanging="360"/>
      </w:pPr>
      <w:rPr>
        <w:rFonts w:ascii="Arial" w:hAnsi="Arial" w:hint="default"/>
      </w:rPr>
    </w:lvl>
    <w:lvl w:ilvl="1" w:tplc="46B61E0E">
      <w:start w:val="1025"/>
      <w:numFmt w:val="bullet"/>
      <w:lvlText w:val="•"/>
      <w:lvlJc w:val="left"/>
      <w:pPr>
        <w:tabs>
          <w:tab w:val="num" w:pos="1440"/>
        </w:tabs>
        <w:ind w:left="1440" w:hanging="360"/>
      </w:pPr>
      <w:rPr>
        <w:rFonts w:ascii="Arial" w:hAnsi="Arial" w:hint="default"/>
      </w:rPr>
    </w:lvl>
    <w:lvl w:ilvl="2" w:tplc="70E0E41C" w:tentative="1">
      <w:start w:val="1"/>
      <w:numFmt w:val="bullet"/>
      <w:lvlText w:val="•"/>
      <w:lvlJc w:val="left"/>
      <w:pPr>
        <w:tabs>
          <w:tab w:val="num" w:pos="2160"/>
        </w:tabs>
        <w:ind w:left="2160" w:hanging="360"/>
      </w:pPr>
      <w:rPr>
        <w:rFonts w:ascii="Arial" w:hAnsi="Arial" w:hint="default"/>
      </w:rPr>
    </w:lvl>
    <w:lvl w:ilvl="3" w:tplc="C77ECD98" w:tentative="1">
      <w:start w:val="1"/>
      <w:numFmt w:val="bullet"/>
      <w:lvlText w:val="•"/>
      <w:lvlJc w:val="left"/>
      <w:pPr>
        <w:tabs>
          <w:tab w:val="num" w:pos="2880"/>
        </w:tabs>
        <w:ind w:left="2880" w:hanging="360"/>
      </w:pPr>
      <w:rPr>
        <w:rFonts w:ascii="Arial" w:hAnsi="Arial" w:hint="default"/>
      </w:rPr>
    </w:lvl>
    <w:lvl w:ilvl="4" w:tplc="C12E9E0E" w:tentative="1">
      <w:start w:val="1"/>
      <w:numFmt w:val="bullet"/>
      <w:lvlText w:val="•"/>
      <w:lvlJc w:val="left"/>
      <w:pPr>
        <w:tabs>
          <w:tab w:val="num" w:pos="3600"/>
        </w:tabs>
        <w:ind w:left="3600" w:hanging="360"/>
      </w:pPr>
      <w:rPr>
        <w:rFonts w:ascii="Arial" w:hAnsi="Arial" w:hint="default"/>
      </w:rPr>
    </w:lvl>
    <w:lvl w:ilvl="5" w:tplc="FE1E510A" w:tentative="1">
      <w:start w:val="1"/>
      <w:numFmt w:val="bullet"/>
      <w:lvlText w:val="•"/>
      <w:lvlJc w:val="left"/>
      <w:pPr>
        <w:tabs>
          <w:tab w:val="num" w:pos="4320"/>
        </w:tabs>
        <w:ind w:left="4320" w:hanging="360"/>
      </w:pPr>
      <w:rPr>
        <w:rFonts w:ascii="Arial" w:hAnsi="Arial" w:hint="default"/>
      </w:rPr>
    </w:lvl>
    <w:lvl w:ilvl="6" w:tplc="405A1DCA" w:tentative="1">
      <w:start w:val="1"/>
      <w:numFmt w:val="bullet"/>
      <w:lvlText w:val="•"/>
      <w:lvlJc w:val="left"/>
      <w:pPr>
        <w:tabs>
          <w:tab w:val="num" w:pos="5040"/>
        </w:tabs>
        <w:ind w:left="5040" w:hanging="360"/>
      </w:pPr>
      <w:rPr>
        <w:rFonts w:ascii="Arial" w:hAnsi="Arial" w:hint="default"/>
      </w:rPr>
    </w:lvl>
    <w:lvl w:ilvl="7" w:tplc="4954A128" w:tentative="1">
      <w:start w:val="1"/>
      <w:numFmt w:val="bullet"/>
      <w:lvlText w:val="•"/>
      <w:lvlJc w:val="left"/>
      <w:pPr>
        <w:tabs>
          <w:tab w:val="num" w:pos="5760"/>
        </w:tabs>
        <w:ind w:left="5760" w:hanging="360"/>
      </w:pPr>
      <w:rPr>
        <w:rFonts w:ascii="Arial" w:hAnsi="Arial" w:hint="default"/>
      </w:rPr>
    </w:lvl>
    <w:lvl w:ilvl="8" w:tplc="2C981534" w:tentative="1">
      <w:start w:val="1"/>
      <w:numFmt w:val="bullet"/>
      <w:lvlText w:val="•"/>
      <w:lvlJc w:val="left"/>
      <w:pPr>
        <w:tabs>
          <w:tab w:val="num" w:pos="6480"/>
        </w:tabs>
        <w:ind w:left="6480" w:hanging="360"/>
      </w:pPr>
      <w:rPr>
        <w:rFonts w:ascii="Arial" w:hAnsi="Arial" w:hint="default"/>
      </w:rPr>
    </w:lvl>
  </w:abstractNum>
  <w:abstractNum w:abstractNumId="38">
    <w:nsid w:val="79AC19FB"/>
    <w:multiLevelType w:val="hybridMultilevel"/>
    <w:tmpl w:val="BAB659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E817542"/>
    <w:multiLevelType w:val="hybridMultilevel"/>
    <w:tmpl w:val="DA3A6156"/>
    <w:lvl w:ilvl="0" w:tplc="EF5EA84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1"/>
  </w:num>
  <w:num w:numId="4">
    <w:abstractNumId w:val="26"/>
  </w:num>
  <w:num w:numId="5">
    <w:abstractNumId w:val="16"/>
  </w:num>
  <w:num w:numId="6">
    <w:abstractNumId w:val="24"/>
  </w:num>
  <w:num w:numId="7">
    <w:abstractNumId w:val="29"/>
  </w:num>
  <w:num w:numId="8">
    <w:abstractNumId w:val="18"/>
  </w:num>
  <w:num w:numId="9">
    <w:abstractNumId w:val="40"/>
  </w:num>
  <w:num w:numId="10">
    <w:abstractNumId w:val="0"/>
  </w:num>
  <w:num w:numId="11">
    <w:abstractNumId w:val="28"/>
  </w:num>
  <w:num w:numId="12">
    <w:abstractNumId w:val="30"/>
  </w:num>
  <w:num w:numId="13">
    <w:abstractNumId w:val="6"/>
  </w:num>
  <w:num w:numId="14">
    <w:abstractNumId w:val="35"/>
  </w:num>
  <w:num w:numId="15">
    <w:abstractNumId w:val="27"/>
  </w:num>
  <w:num w:numId="16">
    <w:abstractNumId w:val="31"/>
  </w:num>
  <w:num w:numId="17">
    <w:abstractNumId w:val="19"/>
  </w:num>
  <w:num w:numId="18">
    <w:abstractNumId w:val="21"/>
  </w:num>
  <w:num w:numId="19">
    <w:abstractNumId w:val="33"/>
  </w:num>
  <w:num w:numId="20">
    <w:abstractNumId w:val="32"/>
  </w:num>
  <w:num w:numId="21">
    <w:abstractNumId w:val="3"/>
  </w:num>
  <w:num w:numId="22">
    <w:abstractNumId w:val="15"/>
  </w:num>
  <w:num w:numId="23">
    <w:abstractNumId w:val="2"/>
  </w:num>
  <w:num w:numId="24">
    <w:abstractNumId w:val="13"/>
  </w:num>
  <w:num w:numId="25">
    <w:abstractNumId w:val="7"/>
  </w:num>
  <w:num w:numId="26">
    <w:abstractNumId w:val="37"/>
  </w:num>
  <w:num w:numId="27">
    <w:abstractNumId w:val="39"/>
  </w:num>
  <w:num w:numId="28">
    <w:abstractNumId w:val="36"/>
  </w:num>
  <w:num w:numId="29">
    <w:abstractNumId w:val="4"/>
  </w:num>
  <w:num w:numId="30">
    <w:abstractNumId w:val="14"/>
  </w:num>
  <w:num w:numId="31">
    <w:abstractNumId w:val="5"/>
  </w:num>
  <w:num w:numId="32">
    <w:abstractNumId w:val="8"/>
  </w:num>
  <w:num w:numId="33">
    <w:abstractNumId w:val="20"/>
  </w:num>
  <w:num w:numId="34">
    <w:abstractNumId w:val="34"/>
  </w:num>
  <w:num w:numId="35">
    <w:abstractNumId w:val="22"/>
  </w:num>
  <w:num w:numId="36">
    <w:abstractNumId w:val="25"/>
  </w:num>
  <w:num w:numId="37">
    <w:abstractNumId w:val="11"/>
  </w:num>
  <w:num w:numId="38">
    <w:abstractNumId w:val="38"/>
  </w:num>
  <w:num w:numId="39">
    <w:abstractNumId w:val="17"/>
  </w:num>
  <w:num w:numId="40">
    <w:abstractNumId w:val="12"/>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55A6E"/>
    <w:rsid w:val="00065623"/>
    <w:rsid w:val="00067EFD"/>
    <w:rsid w:val="000756B9"/>
    <w:rsid w:val="00092A45"/>
    <w:rsid w:val="00096B67"/>
    <w:rsid w:val="00096DAF"/>
    <w:rsid w:val="000B57EA"/>
    <w:rsid w:val="000C2F47"/>
    <w:rsid w:val="000C61DC"/>
    <w:rsid w:val="000D0D81"/>
    <w:rsid w:val="000D274F"/>
    <w:rsid w:val="000D6C00"/>
    <w:rsid w:val="000E4E04"/>
    <w:rsid w:val="000F14B4"/>
    <w:rsid w:val="000F75DF"/>
    <w:rsid w:val="001328FA"/>
    <w:rsid w:val="00147AAF"/>
    <w:rsid w:val="001552C0"/>
    <w:rsid w:val="001640B1"/>
    <w:rsid w:val="00183C03"/>
    <w:rsid w:val="0018435E"/>
    <w:rsid w:val="00185833"/>
    <w:rsid w:val="001B2CD9"/>
    <w:rsid w:val="001C1A86"/>
    <w:rsid w:val="001E090B"/>
    <w:rsid w:val="001F3C7C"/>
    <w:rsid w:val="002041A1"/>
    <w:rsid w:val="002054F0"/>
    <w:rsid w:val="002102E6"/>
    <w:rsid w:val="00212E8E"/>
    <w:rsid w:val="00227525"/>
    <w:rsid w:val="0023047A"/>
    <w:rsid w:val="00230D6B"/>
    <w:rsid w:val="00232068"/>
    <w:rsid w:val="002330F2"/>
    <w:rsid w:val="00243D9E"/>
    <w:rsid w:val="00253B66"/>
    <w:rsid w:val="00261DF1"/>
    <w:rsid w:val="00271F18"/>
    <w:rsid w:val="00282779"/>
    <w:rsid w:val="0028334D"/>
    <w:rsid w:val="00283355"/>
    <w:rsid w:val="002938FE"/>
    <w:rsid w:val="002B7FFA"/>
    <w:rsid w:val="002C2BCF"/>
    <w:rsid w:val="002F279D"/>
    <w:rsid w:val="002F43B8"/>
    <w:rsid w:val="00302C77"/>
    <w:rsid w:val="00336856"/>
    <w:rsid w:val="0034554D"/>
    <w:rsid w:val="00352224"/>
    <w:rsid w:val="00357FFA"/>
    <w:rsid w:val="003671E6"/>
    <w:rsid w:val="0036773A"/>
    <w:rsid w:val="00384272"/>
    <w:rsid w:val="00386D67"/>
    <w:rsid w:val="003945B8"/>
    <w:rsid w:val="003D7F29"/>
    <w:rsid w:val="003F12AC"/>
    <w:rsid w:val="00405A6B"/>
    <w:rsid w:val="00407B1F"/>
    <w:rsid w:val="00414C57"/>
    <w:rsid w:val="00416B43"/>
    <w:rsid w:val="0041758C"/>
    <w:rsid w:val="004539DE"/>
    <w:rsid w:val="00453AB5"/>
    <w:rsid w:val="0047472D"/>
    <w:rsid w:val="004A2CF1"/>
    <w:rsid w:val="004C0E5A"/>
    <w:rsid w:val="004C3035"/>
    <w:rsid w:val="004C307F"/>
    <w:rsid w:val="004E4BA8"/>
    <w:rsid w:val="004E7287"/>
    <w:rsid w:val="004F340F"/>
    <w:rsid w:val="004F504A"/>
    <w:rsid w:val="004F7B7C"/>
    <w:rsid w:val="0052243D"/>
    <w:rsid w:val="00532435"/>
    <w:rsid w:val="00550354"/>
    <w:rsid w:val="00571236"/>
    <w:rsid w:val="005953A1"/>
    <w:rsid w:val="005B5B52"/>
    <w:rsid w:val="005D0332"/>
    <w:rsid w:val="005D0D8C"/>
    <w:rsid w:val="005E215F"/>
    <w:rsid w:val="0061108B"/>
    <w:rsid w:val="00643218"/>
    <w:rsid w:val="0066016B"/>
    <w:rsid w:val="0066096C"/>
    <w:rsid w:val="00673506"/>
    <w:rsid w:val="006776AE"/>
    <w:rsid w:val="006808DB"/>
    <w:rsid w:val="00683FE5"/>
    <w:rsid w:val="006A0D97"/>
    <w:rsid w:val="006B1F86"/>
    <w:rsid w:val="006C0A91"/>
    <w:rsid w:val="006D3DEE"/>
    <w:rsid w:val="006D4085"/>
    <w:rsid w:val="006E29AB"/>
    <w:rsid w:val="006F4881"/>
    <w:rsid w:val="006F69E5"/>
    <w:rsid w:val="00702EA3"/>
    <w:rsid w:val="007054BB"/>
    <w:rsid w:val="00707064"/>
    <w:rsid w:val="007152BA"/>
    <w:rsid w:val="00730683"/>
    <w:rsid w:val="0075261F"/>
    <w:rsid w:val="0075468E"/>
    <w:rsid w:val="007665D8"/>
    <w:rsid w:val="00766E36"/>
    <w:rsid w:val="007765F4"/>
    <w:rsid w:val="00776633"/>
    <w:rsid w:val="00784D53"/>
    <w:rsid w:val="00785C14"/>
    <w:rsid w:val="00797797"/>
    <w:rsid w:val="007A63C9"/>
    <w:rsid w:val="007B32D1"/>
    <w:rsid w:val="007B7095"/>
    <w:rsid w:val="007D24E1"/>
    <w:rsid w:val="007D6288"/>
    <w:rsid w:val="007F4CE9"/>
    <w:rsid w:val="007F4E20"/>
    <w:rsid w:val="007F6813"/>
    <w:rsid w:val="00812DB6"/>
    <w:rsid w:val="00815444"/>
    <w:rsid w:val="00822C7E"/>
    <w:rsid w:val="00846FEB"/>
    <w:rsid w:val="00847060"/>
    <w:rsid w:val="00856A33"/>
    <w:rsid w:val="00874426"/>
    <w:rsid w:val="00890703"/>
    <w:rsid w:val="00892620"/>
    <w:rsid w:val="008B0D1A"/>
    <w:rsid w:val="008C7D37"/>
    <w:rsid w:val="008D5885"/>
    <w:rsid w:val="008E6CBA"/>
    <w:rsid w:val="009047B7"/>
    <w:rsid w:val="00916590"/>
    <w:rsid w:val="00923FA2"/>
    <w:rsid w:val="00937598"/>
    <w:rsid w:val="00951310"/>
    <w:rsid w:val="0096060D"/>
    <w:rsid w:val="00974A50"/>
    <w:rsid w:val="0097585A"/>
    <w:rsid w:val="009921AA"/>
    <w:rsid w:val="009924B0"/>
    <w:rsid w:val="009942C9"/>
    <w:rsid w:val="009B35C4"/>
    <w:rsid w:val="009B42C9"/>
    <w:rsid w:val="009C630A"/>
    <w:rsid w:val="009E0D98"/>
    <w:rsid w:val="00A068A1"/>
    <w:rsid w:val="00A1207D"/>
    <w:rsid w:val="00A12FD8"/>
    <w:rsid w:val="00A22E49"/>
    <w:rsid w:val="00A346FC"/>
    <w:rsid w:val="00A36530"/>
    <w:rsid w:val="00A822AF"/>
    <w:rsid w:val="00A8347D"/>
    <w:rsid w:val="00A84F93"/>
    <w:rsid w:val="00AB1AC5"/>
    <w:rsid w:val="00AB3BFC"/>
    <w:rsid w:val="00AC4F2E"/>
    <w:rsid w:val="00AD0C37"/>
    <w:rsid w:val="00AD385F"/>
    <w:rsid w:val="00AE6BFA"/>
    <w:rsid w:val="00AE6E2A"/>
    <w:rsid w:val="00AF0359"/>
    <w:rsid w:val="00AF5EFD"/>
    <w:rsid w:val="00B263C2"/>
    <w:rsid w:val="00B31E9C"/>
    <w:rsid w:val="00B35595"/>
    <w:rsid w:val="00B4366B"/>
    <w:rsid w:val="00B51C6D"/>
    <w:rsid w:val="00B86D64"/>
    <w:rsid w:val="00BA4AC5"/>
    <w:rsid w:val="00BB299F"/>
    <w:rsid w:val="00BC1364"/>
    <w:rsid w:val="00BC2667"/>
    <w:rsid w:val="00BC7DE9"/>
    <w:rsid w:val="00BF479B"/>
    <w:rsid w:val="00C02577"/>
    <w:rsid w:val="00C04383"/>
    <w:rsid w:val="00C13A8A"/>
    <w:rsid w:val="00C204FB"/>
    <w:rsid w:val="00C20BEE"/>
    <w:rsid w:val="00C2158D"/>
    <w:rsid w:val="00C43598"/>
    <w:rsid w:val="00C67DD2"/>
    <w:rsid w:val="00C725CB"/>
    <w:rsid w:val="00C76F5C"/>
    <w:rsid w:val="00C95DB6"/>
    <w:rsid w:val="00C96BAD"/>
    <w:rsid w:val="00CA6944"/>
    <w:rsid w:val="00CB0F8E"/>
    <w:rsid w:val="00CB7E7D"/>
    <w:rsid w:val="00CC2911"/>
    <w:rsid w:val="00CE58FD"/>
    <w:rsid w:val="00CF0C6D"/>
    <w:rsid w:val="00CF7307"/>
    <w:rsid w:val="00CF7C68"/>
    <w:rsid w:val="00D124FA"/>
    <w:rsid w:val="00D340DE"/>
    <w:rsid w:val="00D4586E"/>
    <w:rsid w:val="00D55723"/>
    <w:rsid w:val="00D62FAD"/>
    <w:rsid w:val="00D70450"/>
    <w:rsid w:val="00D83BFD"/>
    <w:rsid w:val="00D86DF2"/>
    <w:rsid w:val="00D90A38"/>
    <w:rsid w:val="00DA0515"/>
    <w:rsid w:val="00DA171E"/>
    <w:rsid w:val="00DA56AA"/>
    <w:rsid w:val="00DB5833"/>
    <w:rsid w:val="00DD2858"/>
    <w:rsid w:val="00DD7B47"/>
    <w:rsid w:val="00DF4E15"/>
    <w:rsid w:val="00E03E33"/>
    <w:rsid w:val="00E059E0"/>
    <w:rsid w:val="00E3642A"/>
    <w:rsid w:val="00E415C4"/>
    <w:rsid w:val="00E50016"/>
    <w:rsid w:val="00E50EAA"/>
    <w:rsid w:val="00E656D6"/>
    <w:rsid w:val="00E953E6"/>
    <w:rsid w:val="00E977EE"/>
    <w:rsid w:val="00EA2F24"/>
    <w:rsid w:val="00EA67A2"/>
    <w:rsid w:val="00EB6B6F"/>
    <w:rsid w:val="00EB7141"/>
    <w:rsid w:val="00EC4F98"/>
    <w:rsid w:val="00F12F02"/>
    <w:rsid w:val="00F22626"/>
    <w:rsid w:val="00F32E0D"/>
    <w:rsid w:val="00F35134"/>
    <w:rsid w:val="00F41812"/>
    <w:rsid w:val="00F443A8"/>
    <w:rsid w:val="00F456DC"/>
    <w:rsid w:val="00F52962"/>
    <w:rsid w:val="00F573F8"/>
    <w:rsid w:val="00F715D1"/>
    <w:rsid w:val="00F72F71"/>
    <w:rsid w:val="00F73333"/>
    <w:rsid w:val="00F95D8F"/>
    <w:rsid w:val="00FB350A"/>
    <w:rsid w:val="00FB4C5D"/>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F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9B42C9"/>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416B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42C9"/>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15444"/>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15444"/>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815444"/>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815444"/>
    <w:rPr>
      <w:rFonts w:ascii="Arial Narrow" w:eastAsia="Times New Roman" w:hAnsi="Arial Narrow" w:cs="Tahoma"/>
      <w:sz w:val="20"/>
      <w:lang w:eastAsia="en-US"/>
    </w:rPr>
  </w:style>
  <w:style w:type="paragraph" w:customStyle="1" w:styleId="Tablenotes">
    <w:name w:val="Tablenotes"/>
    <w:basedOn w:val="Normal"/>
    <w:link w:val="TablenotesChar"/>
    <w:qFormat/>
    <w:rsid w:val="000B57E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B57EA"/>
    <w:rPr>
      <w:rFonts w:ascii="Arial Narrow" w:eastAsia="Times New Roman" w:hAnsi="Arial Narrow" w:cs="Arial"/>
      <w:snapToGrid w:val="0"/>
      <w:sz w:val="18"/>
      <w:szCs w:val="20"/>
      <w:lang w:eastAsia="en-US"/>
    </w:rPr>
  </w:style>
  <w:style w:type="character" w:customStyle="1" w:styleId="Heading6Char">
    <w:name w:val="Heading 6 Char"/>
    <w:basedOn w:val="DefaultParagraphFont"/>
    <w:link w:val="Heading6"/>
    <w:uiPriority w:val="9"/>
    <w:semiHidden/>
    <w:rsid w:val="00416B43"/>
    <w:rPr>
      <w:rFonts w:asciiTheme="majorHAnsi" w:eastAsiaTheme="majorEastAsia" w:hAnsiTheme="majorHAnsi" w:cstheme="majorBidi"/>
      <w:i/>
      <w:iCs/>
      <w:color w:val="243F60" w:themeColor="accent1" w:themeShade="7F"/>
      <w:sz w:val="24"/>
      <w:szCs w:val="20"/>
    </w:rPr>
  </w:style>
  <w:style w:type="table" w:styleId="TableGrid">
    <w:name w:val="Table Grid"/>
    <w:basedOn w:val="TableNormal"/>
    <w:uiPriority w:val="99"/>
    <w:locked/>
    <w:rsid w:val="00416B4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416B43"/>
    <w:rPr>
      <w:rFonts w:ascii="Arial Narrow" w:hAnsi="Arial Narrow"/>
      <w:sz w:val="20"/>
      <w:szCs w:val="24"/>
      <w:lang w:eastAsia="en-US"/>
    </w:rPr>
  </w:style>
  <w:style w:type="character" w:customStyle="1" w:styleId="TabletextChar0">
    <w:name w:val="Table text Char"/>
    <w:basedOn w:val="DefaultParagraphFont"/>
    <w:link w:val="Tabletext0"/>
    <w:rsid w:val="00416B43"/>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AE6BFA"/>
    <w:pPr>
      <w:keepNext/>
      <w:spacing w:before="40" w:after="40"/>
      <w:ind w:left="1134" w:hanging="1134"/>
      <w:jc w:val="both"/>
    </w:pPr>
    <w:rPr>
      <w:rFonts w:cs="Tahoma"/>
      <w:b/>
      <w:noProof/>
      <w:sz w:val="20"/>
    </w:rPr>
  </w:style>
  <w:style w:type="character" w:customStyle="1" w:styleId="TableHeadingChar">
    <w:name w:val="TableHeading Char"/>
    <w:link w:val="TableHeading"/>
    <w:rsid w:val="00AE6BFA"/>
    <w:rPr>
      <w:rFonts w:eastAsia="Times New Roman" w:cs="Tahoma"/>
      <w:b/>
      <w:noProof/>
      <w:sz w:val="20"/>
      <w:szCs w:val="20"/>
    </w:rPr>
  </w:style>
  <w:style w:type="character" w:customStyle="1" w:styleId="ListParagraphChar">
    <w:name w:val="List Paragraph Char"/>
    <w:basedOn w:val="DefaultParagraphFont"/>
    <w:link w:val="ListParagraph"/>
    <w:uiPriority w:val="34"/>
    <w:rsid w:val="00067EFD"/>
    <w:rPr>
      <w:rFonts w:eastAsia="Times New Roman"/>
      <w:sz w:val="24"/>
      <w:szCs w:val="20"/>
    </w:rPr>
  </w:style>
  <w:style w:type="paragraph" w:styleId="NormalWeb">
    <w:name w:val="Normal (Web)"/>
    <w:basedOn w:val="Normal"/>
    <w:uiPriority w:val="99"/>
    <w:semiHidden/>
    <w:unhideWhenUsed/>
    <w:rsid w:val="006D4085"/>
    <w:pPr>
      <w:spacing w:before="100" w:beforeAutospacing="1" w:after="100" w:afterAutospacing="1"/>
    </w:pPr>
    <w:rPr>
      <w:szCs w:val="24"/>
    </w:rPr>
  </w:style>
  <w:style w:type="paragraph" w:customStyle="1" w:styleId="Normal1">
    <w:name w:val="Normal1"/>
    <w:basedOn w:val="Normal"/>
    <w:rsid w:val="006F4881"/>
    <w:pPr>
      <w:spacing w:after="200" w:line="276" w:lineRule="auto"/>
    </w:pPr>
    <w:rPr>
      <w:rFonts w:ascii="Calibri" w:eastAsiaTheme="minorHAnsi" w:hAnsi="Calibri"/>
      <w:color w:val="000000"/>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9B42C9"/>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locked/>
    <w:rsid w:val="00416B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42C9"/>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15444"/>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15444"/>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815444"/>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815444"/>
    <w:rPr>
      <w:rFonts w:ascii="Arial Narrow" w:eastAsia="Times New Roman" w:hAnsi="Arial Narrow" w:cs="Tahoma"/>
      <w:sz w:val="20"/>
      <w:lang w:eastAsia="en-US"/>
    </w:rPr>
  </w:style>
  <w:style w:type="paragraph" w:customStyle="1" w:styleId="Tablenotes">
    <w:name w:val="Tablenotes"/>
    <w:basedOn w:val="Normal"/>
    <w:link w:val="TablenotesChar"/>
    <w:qFormat/>
    <w:rsid w:val="000B57E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B57EA"/>
    <w:rPr>
      <w:rFonts w:ascii="Arial Narrow" w:eastAsia="Times New Roman" w:hAnsi="Arial Narrow" w:cs="Arial"/>
      <w:snapToGrid w:val="0"/>
      <w:sz w:val="18"/>
      <w:szCs w:val="20"/>
      <w:lang w:eastAsia="en-US"/>
    </w:rPr>
  </w:style>
  <w:style w:type="character" w:customStyle="1" w:styleId="Heading6Char">
    <w:name w:val="Heading 6 Char"/>
    <w:basedOn w:val="DefaultParagraphFont"/>
    <w:link w:val="Heading6"/>
    <w:uiPriority w:val="9"/>
    <w:semiHidden/>
    <w:rsid w:val="00416B43"/>
    <w:rPr>
      <w:rFonts w:asciiTheme="majorHAnsi" w:eastAsiaTheme="majorEastAsia" w:hAnsiTheme="majorHAnsi" w:cstheme="majorBidi"/>
      <w:i/>
      <w:iCs/>
      <w:color w:val="243F60" w:themeColor="accent1" w:themeShade="7F"/>
      <w:sz w:val="24"/>
      <w:szCs w:val="20"/>
    </w:rPr>
  </w:style>
  <w:style w:type="table" w:styleId="TableGrid">
    <w:name w:val="Table Grid"/>
    <w:basedOn w:val="TableNormal"/>
    <w:uiPriority w:val="99"/>
    <w:locked/>
    <w:rsid w:val="00416B4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416B43"/>
    <w:rPr>
      <w:rFonts w:ascii="Arial Narrow" w:hAnsi="Arial Narrow"/>
      <w:sz w:val="20"/>
      <w:szCs w:val="24"/>
      <w:lang w:eastAsia="en-US"/>
    </w:rPr>
  </w:style>
  <w:style w:type="character" w:customStyle="1" w:styleId="TabletextChar0">
    <w:name w:val="Table text Char"/>
    <w:basedOn w:val="DefaultParagraphFont"/>
    <w:link w:val="Tabletext0"/>
    <w:rsid w:val="00416B43"/>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AE6BFA"/>
    <w:pPr>
      <w:keepNext/>
      <w:spacing w:before="40" w:after="40"/>
      <w:ind w:left="1134" w:hanging="1134"/>
      <w:jc w:val="both"/>
    </w:pPr>
    <w:rPr>
      <w:rFonts w:cs="Tahoma"/>
      <w:b/>
      <w:noProof/>
      <w:sz w:val="20"/>
    </w:rPr>
  </w:style>
  <w:style w:type="character" w:customStyle="1" w:styleId="TableHeadingChar">
    <w:name w:val="TableHeading Char"/>
    <w:link w:val="TableHeading"/>
    <w:rsid w:val="00AE6BFA"/>
    <w:rPr>
      <w:rFonts w:eastAsia="Times New Roman" w:cs="Tahoma"/>
      <w:b/>
      <w:noProof/>
      <w:sz w:val="20"/>
      <w:szCs w:val="20"/>
    </w:rPr>
  </w:style>
  <w:style w:type="character" w:customStyle="1" w:styleId="ListParagraphChar">
    <w:name w:val="List Paragraph Char"/>
    <w:basedOn w:val="DefaultParagraphFont"/>
    <w:link w:val="ListParagraph"/>
    <w:uiPriority w:val="34"/>
    <w:rsid w:val="00067EFD"/>
    <w:rPr>
      <w:rFonts w:eastAsia="Times New Roman"/>
      <w:sz w:val="24"/>
      <w:szCs w:val="20"/>
    </w:rPr>
  </w:style>
  <w:style w:type="paragraph" w:styleId="NormalWeb">
    <w:name w:val="Normal (Web)"/>
    <w:basedOn w:val="Normal"/>
    <w:uiPriority w:val="99"/>
    <w:semiHidden/>
    <w:unhideWhenUsed/>
    <w:rsid w:val="006D4085"/>
    <w:pPr>
      <w:spacing w:before="100" w:beforeAutospacing="1" w:after="100" w:afterAutospacing="1"/>
    </w:pPr>
    <w:rPr>
      <w:szCs w:val="24"/>
    </w:rPr>
  </w:style>
  <w:style w:type="paragraph" w:customStyle="1" w:styleId="Normal1">
    <w:name w:val="Normal1"/>
    <w:basedOn w:val="Normal"/>
    <w:rsid w:val="006F4881"/>
    <w:pPr>
      <w:spacing w:after="200" w:line="276" w:lineRule="auto"/>
    </w:pPr>
    <w:rPr>
      <w:rFonts w:ascii="Calibri" w:eastAsiaTheme="minorHAnsi" w:hAnsi="Calibri"/>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325">
      <w:bodyDiv w:val="1"/>
      <w:marLeft w:val="0"/>
      <w:marRight w:val="0"/>
      <w:marTop w:val="0"/>
      <w:marBottom w:val="0"/>
      <w:divBdr>
        <w:top w:val="none" w:sz="0" w:space="0" w:color="auto"/>
        <w:left w:val="none" w:sz="0" w:space="0" w:color="auto"/>
        <w:bottom w:val="none" w:sz="0" w:space="0" w:color="auto"/>
        <w:right w:val="none" w:sz="0" w:space="0" w:color="auto"/>
      </w:divBdr>
    </w:div>
    <w:div w:id="142625289">
      <w:bodyDiv w:val="1"/>
      <w:marLeft w:val="0"/>
      <w:marRight w:val="0"/>
      <w:marTop w:val="0"/>
      <w:marBottom w:val="0"/>
      <w:divBdr>
        <w:top w:val="none" w:sz="0" w:space="0" w:color="auto"/>
        <w:left w:val="none" w:sz="0" w:space="0" w:color="auto"/>
        <w:bottom w:val="none" w:sz="0" w:space="0" w:color="auto"/>
        <w:right w:val="none" w:sz="0" w:space="0" w:color="auto"/>
      </w:divBdr>
    </w:div>
    <w:div w:id="307562632">
      <w:bodyDiv w:val="1"/>
      <w:marLeft w:val="0"/>
      <w:marRight w:val="0"/>
      <w:marTop w:val="0"/>
      <w:marBottom w:val="0"/>
      <w:divBdr>
        <w:top w:val="none" w:sz="0" w:space="0" w:color="auto"/>
        <w:left w:val="none" w:sz="0" w:space="0" w:color="auto"/>
        <w:bottom w:val="none" w:sz="0" w:space="0" w:color="auto"/>
        <w:right w:val="none" w:sz="0" w:space="0" w:color="auto"/>
      </w:divBdr>
    </w:div>
    <w:div w:id="336421761">
      <w:bodyDiv w:val="1"/>
      <w:marLeft w:val="0"/>
      <w:marRight w:val="0"/>
      <w:marTop w:val="0"/>
      <w:marBottom w:val="0"/>
      <w:divBdr>
        <w:top w:val="none" w:sz="0" w:space="0" w:color="auto"/>
        <w:left w:val="none" w:sz="0" w:space="0" w:color="auto"/>
        <w:bottom w:val="none" w:sz="0" w:space="0" w:color="auto"/>
        <w:right w:val="none" w:sz="0" w:space="0" w:color="auto"/>
      </w:divBdr>
    </w:div>
    <w:div w:id="344744292">
      <w:bodyDiv w:val="1"/>
      <w:marLeft w:val="0"/>
      <w:marRight w:val="0"/>
      <w:marTop w:val="0"/>
      <w:marBottom w:val="0"/>
      <w:divBdr>
        <w:top w:val="none" w:sz="0" w:space="0" w:color="auto"/>
        <w:left w:val="none" w:sz="0" w:space="0" w:color="auto"/>
        <w:bottom w:val="none" w:sz="0" w:space="0" w:color="auto"/>
        <w:right w:val="none" w:sz="0" w:space="0" w:color="auto"/>
      </w:divBdr>
    </w:div>
    <w:div w:id="710769523">
      <w:bodyDiv w:val="1"/>
      <w:marLeft w:val="0"/>
      <w:marRight w:val="0"/>
      <w:marTop w:val="0"/>
      <w:marBottom w:val="0"/>
      <w:divBdr>
        <w:top w:val="none" w:sz="0" w:space="0" w:color="auto"/>
        <w:left w:val="none" w:sz="0" w:space="0" w:color="auto"/>
        <w:bottom w:val="none" w:sz="0" w:space="0" w:color="auto"/>
        <w:right w:val="none" w:sz="0" w:space="0" w:color="auto"/>
      </w:divBdr>
    </w:div>
    <w:div w:id="118740683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73459315">
      <w:bodyDiv w:val="1"/>
      <w:marLeft w:val="0"/>
      <w:marRight w:val="0"/>
      <w:marTop w:val="0"/>
      <w:marBottom w:val="0"/>
      <w:divBdr>
        <w:top w:val="none" w:sz="0" w:space="0" w:color="auto"/>
        <w:left w:val="none" w:sz="0" w:space="0" w:color="auto"/>
        <w:bottom w:val="none" w:sz="0" w:space="0" w:color="auto"/>
        <w:right w:val="none" w:sz="0" w:space="0" w:color="auto"/>
      </w:divBdr>
    </w:div>
    <w:div w:id="1636793451">
      <w:bodyDiv w:val="1"/>
      <w:marLeft w:val="0"/>
      <w:marRight w:val="0"/>
      <w:marTop w:val="0"/>
      <w:marBottom w:val="0"/>
      <w:divBdr>
        <w:top w:val="none" w:sz="0" w:space="0" w:color="auto"/>
        <w:left w:val="none" w:sz="0" w:space="0" w:color="auto"/>
        <w:bottom w:val="none" w:sz="0" w:space="0" w:color="auto"/>
        <w:right w:val="none" w:sz="0" w:space="0" w:color="auto"/>
      </w:divBdr>
    </w:div>
    <w:div w:id="1647854054">
      <w:bodyDiv w:val="1"/>
      <w:marLeft w:val="0"/>
      <w:marRight w:val="0"/>
      <w:marTop w:val="0"/>
      <w:marBottom w:val="0"/>
      <w:divBdr>
        <w:top w:val="none" w:sz="0" w:space="0" w:color="auto"/>
        <w:left w:val="none" w:sz="0" w:space="0" w:color="auto"/>
        <w:bottom w:val="none" w:sz="0" w:space="0" w:color="auto"/>
        <w:right w:val="none" w:sz="0" w:space="0" w:color="auto"/>
      </w:divBdr>
    </w:div>
    <w:div w:id="19161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8491-F503-4F74-BC04-3C89CD54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6014</Words>
  <Characters>37400</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1406 Final PSD</dc:title>
  <dc:creator/>
  <cp:lastModifiedBy/>
  <cp:revision>1</cp:revision>
  <dcterms:created xsi:type="dcterms:W3CDTF">2017-02-13T02:43:00Z</dcterms:created>
  <dcterms:modified xsi:type="dcterms:W3CDTF">2017-02-13T02:43:00Z</dcterms:modified>
</cp:coreProperties>
</file>