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D9A5" w14:textId="77777777" w:rsidR="00F23AA4" w:rsidRPr="00707064" w:rsidRDefault="00F23AA4" w:rsidP="00F23AA4">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66A88B2" wp14:editId="200AFC7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5847A9E" w14:textId="77777777" w:rsidR="00F23AA4" w:rsidRPr="00F715D1" w:rsidRDefault="00F23AA4" w:rsidP="00F23AA4">
      <w:pPr>
        <w:pStyle w:val="Title"/>
        <w:tabs>
          <w:tab w:val="left" w:pos="1926"/>
          <w:tab w:val="center" w:pos="4513"/>
        </w:tabs>
        <w:jc w:val="left"/>
      </w:pPr>
      <w:r>
        <w:tab/>
      </w:r>
      <w:r>
        <w:tab/>
      </w:r>
      <w:r w:rsidRPr="00F715D1">
        <w:t>Public Summary Document</w:t>
      </w:r>
    </w:p>
    <w:p w14:paraId="4660B38C" w14:textId="77777777" w:rsidR="00F23AA4" w:rsidRPr="00F715D1" w:rsidRDefault="00F23AA4" w:rsidP="00F23AA4">
      <w:pPr>
        <w:pStyle w:val="Subtitle"/>
      </w:pPr>
      <w:r w:rsidRPr="00F715D1">
        <w:t xml:space="preserve">Application No. </w:t>
      </w:r>
      <w:r>
        <w:t>1554</w:t>
      </w:r>
      <w:r w:rsidRPr="00F715D1">
        <w:t xml:space="preserve"> – </w:t>
      </w:r>
      <w:r w:rsidRPr="00F23AA4">
        <w:t>Testing of tumour tissue or blood to detect somatic or germline BRCA1 or BRCA2 gene mutations, in a patient with newly diagnosed, advanced (FIGO stage III-IV) high-grade epithelial ovarian, fallopian tube or primary peritoneal cancer (PBAC codependent)</w:t>
      </w:r>
    </w:p>
    <w:p w14:paraId="06D4EBE3" w14:textId="77777777" w:rsidR="00F23AA4" w:rsidRPr="00F715D1" w:rsidRDefault="00F23AA4" w:rsidP="00F23AA4">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5130D8">
        <w:rPr>
          <w:rFonts w:ascii="Arial" w:hAnsi="Arial" w:cs="Arial"/>
          <w:b/>
          <w:szCs w:val="24"/>
        </w:rPr>
        <w:tab/>
      </w:r>
      <w:r>
        <w:rPr>
          <w:rFonts w:ascii="Arial" w:hAnsi="Arial" w:cs="Arial"/>
          <w:b/>
          <w:szCs w:val="24"/>
        </w:rPr>
        <w:t>AstraZeneca</w:t>
      </w:r>
      <w:r w:rsidR="005130D8">
        <w:rPr>
          <w:rFonts w:ascii="Arial" w:hAnsi="Arial" w:cs="Arial"/>
          <w:b/>
          <w:szCs w:val="24"/>
        </w:rPr>
        <w:t xml:space="preserve"> Pty Ltd</w:t>
      </w:r>
    </w:p>
    <w:p w14:paraId="316A17C4" w14:textId="77777777" w:rsidR="00F23AA4" w:rsidRPr="00F715D1" w:rsidRDefault="00F23AA4" w:rsidP="00F23AA4">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4E1E8BCD" w14:textId="77777777" w:rsidR="00F23AA4" w:rsidRPr="00B03EAB" w:rsidRDefault="00F23AA4" w:rsidP="00F23AA4">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04E609E6" w14:textId="77777777" w:rsidR="00F23AA4" w:rsidRPr="00F715D1" w:rsidRDefault="00FA2342" w:rsidP="00F23AA4">
      <w:pPr>
        <w:pStyle w:val="Heading1"/>
      </w:pPr>
      <w:r>
        <w:t>Purpose of application</w:t>
      </w:r>
    </w:p>
    <w:p w14:paraId="0816688B" w14:textId="77777777" w:rsidR="00624B7C" w:rsidRDefault="00624B7C" w:rsidP="00624B7C">
      <w:r w:rsidRPr="00736734">
        <w:t>An application</w:t>
      </w:r>
      <w:r>
        <w:t xml:space="preserve"> (</w:t>
      </w:r>
      <w:r w:rsidR="00743BCC">
        <w:t xml:space="preserve">part of an </w:t>
      </w:r>
      <w:r>
        <w:t>integrated codependent submission)</w:t>
      </w:r>
      <w:r w:rsidRPr="00736734">
        <w:t xml:space="preserve"> </w:t>
      </w:r>
      <w:r>
        <w:t>requesting</w:t>
      </w:r>
      <w:r w:rsidRPr="00736734">
        <w:t xml:space="preserve"> amendment of </w:t>
      </w:r>
      <w:r>
        <w:t xml:space="preserve">existing </w:t>
      </w:r>
      <w:r w:rsidR="0093746D">
        <w:t>Medicare Benefits Schedule (</w:t>
      </w:r>
      <w:r w:rsidRPr="00736734">
        <w:t>MBS</w:t>
      </w:r>
      <w:r w:rsidR="0093746D">
        <w:t>)</w:t>
      </w:r>
      <w:r w:rsidRPr="00736734">
        <w:t xml:space="preserve"> </w:t>
      </w:r>
      <w:r>
        <w:t>funding to include</w:t>
      </w:r>
      <w:r w:rsidRPr="00736734">
        <w:t xml:space="preserve"> testing of tumour tissue or blood to detect somatic or germline </w:t>
      </w:r>
      <w:r w:rsidRPr="00675B50">
        <w:rPr>
          <w:i/>
        </w:rPr>
        <w:t>BRCA1</w:t>
      </w:r>
      <w:r w:rsidRPr="00736734">
        <w:t xml:space="preserve"> or </w:t>
      </w:r>
      <w:r w:rsidRPr="00675B50">
        <w:rPr>
          <w:i/>
        </w:rPr>
        <w:t>BRCA2</w:t>
      </w:r>
      <w:r w:rsidRPr="00736734">
        <w:t xml:space="preserve"> gene mutations</w:t>
      </w:r>
      <w:r w:rsidR="005D0C61">
        <w:t xml:space="preserve"> (</w:t>
      </w:r>
      <w:r w:rsidR="005D0C61" w:rsidRPr="00625ACC">
        <w:rPr>
          <w:i/>
          <w:iCs/>
        </w:rPr>
        <w:t>BRCA</w:t>
      </w:r>
      <w:r w:rsidR="005D0C61">
        <w:t>m)</w:t>
      </w:r>
      <w:r w:rsidRPr="00736734">
        <w:t>, in a patient with newly diagnosed, advanced (FIGO stage III-IV) high-grade epithelial ovarian, fallopian tube or primary peritoneal cancer who are in response (complete or partial) to first-line platinum-based chemotherapy)</w:t>
      </w:r>
      <w:r>
        <w:t xml:space="preserve"> was received from AstraZeneca by</w:t>
      </w:r>
      <w:r w:rsidRPr="00736734">
        <w:t xml:space="preserve"> the Department of Health.</w:t>
      </w:r>
    </w:p>
    <w:p w14:paraId="5EB54182" w14:textId="77777777" w:rsidR="00F23AA4" w:rsidRPr="00F715D1" w:rsidRDefault="00F23AA4" w:rsidP="00F23AA4">
      <w:pPr>
        <w:pStyle w:val="Heading1"/>
      </w:pPr>
      <w:r w:rsidRPr="00F715D1">
        <w:t>MSAC’s advice to the Minister</w:t>
      </w:r>
    </w:p>
    <w:p w14:paraId="72EC577A" w14:textId="60C8C409" w:rsidR="002E545C" w:rsidRPr="002E6BB0" w:rsidRDefault="000205B4" w:rsidP="002E6BB0">
      <w:pPr>
        <w:spacing w:after="240"/>
        <w:rPr>
          <w:bCs/>
          <w:iCs/>
        </w:rPr>
      </w:pPr>
      <w:r w:rsidRPr="001342D1">
        <w:t xml:space="preserve">After considering the strength of the available evidence in relation to comparative safety, </w:t>
      </w:r>
      <w:r>
        <w:t>clinical effectiveness and cost-</w:t>
      </w:r>
      <w:r w:rsidRPr="001342D1">
        <w:t>effectiveness</w:t>
      </w:r>
      <w:r w:rsidRPr="00E25040">
        <w:t xml:space="preserve">, </w:t>
      </w:r>
      <w:r w:rsidRPr="00CD1C57">
        <w:t xml:space="preserve">MSAC </w:t>
      </w:r>
      <w:bookmarkStart w:id="1" w:name="Editing"/>
      <w:bookmarkEnd w:id="1"/>
      <w:r w:rsidRPr="00CD1C57">
        <w:t xml:space="preserve">supported the modification of existing MBS item 73295 and the creation of two new MBS items to fund somatic </w:t>
      </w:r>
      <w:r w:rsidRPr="00CD1C57">
        <w:rPr>
          <w:i/>
        </w:rPr>
        <w:t>BRCA</w:t>
      </w:r>
      <w:r w:rsidRPr="00CD1C57">
        <w:t xml:space="preserve"> testing to help identify additional patients as eligible for PBS-subsidised olaparib </w:t>
      </w:r>
      <w:r w:rsidR="0095513B" w:rsidRPr="00CD1C57">
        <w:t>beyond</w:t>
      </w:r>
      <w:r w:rsidRPr="00CD1C57">
        <w:t xml:space="preserve"> its existing second-line restriction.</w:t>
      </w:r>
    </w:p>
    <w:p w14:paraId="6FE4DC54" w14:textId="77777777" w:rsidR="000205B4" w:rsidRPr="002E545C" w:rsidRDefault="000205B4" w:rsidP="002E545C">
      <w:pPr>
        <w:rPr>
          <w:bCs/>
          <w:iCs/>
        </w:rPr>
      </w:pPr>
      <w:r w:rsidRPr="00E47CCE">
        <w:t xml:space="preserve">MSAC advised that implementation of this advice would need coordination via the </w:t>
      </w:r>
      <w:r w:rsidR="002E545C">
        <w:t>Pharmaceutical Benefits Advisory Committee (</w:t>
      </w:r>
      <w:r w:rsidRPr="00E47CCE">
        <w:t>PBAC</w:t>
      </w:r>
      <w:r w:rsidR="002E545C">
        <w:t>)</w:t>
      </w:r>
      <w:r w:rsidRPr="00E47CCE">
        <w:t xml:space="preserve"> to change the existing PBS restriction for olaparib.</w:t>
      </w:r>
    </w:p>
    <w:p w14:paraId="39E569D8" w14:textId="77777777" w:rsidR="000205B4" w:rsidRDefault="000205B4" w:rsidP="000205B4">
      <w:pPr>
        <w:pStyle w:val="BoxName"/>
      </w:pPr>
      <w:r>
        <w:t>Consumer summary</w:t>
      </w:r>
    </w:p>
    <w:p w14:paraId="311A4987" w14:textId="77777777" w:rsidR="000205B4" w:rsidRDefault="000205B4" w:rsidP="000205B4">
      <w:pPr>
        <w:pStyle w:val="BoxText"/>
      </w:pPr>
      <w:r>
        <w:t xml:space="preserve">AstraZeneca Australia </w:t>
      </w:r>
      <w:r w:rsidRPr="00C60190">
        <w:t xml:space="preserve">applied for public funding </w:t>
      </w:r>
      <w:r>
        <w:t>through</w:t>
      </w:r>
      <w:r w:rsidRPr="00C60190">
        <w:t xml:space="preserve"> the Medicare Benefits Schedule (MBS) </w:t>
      </w:r>
      <w:r>
        <w:t xml:space="preserve">for testing of </w:t>
      </w:r>
      <w:r w:rsidRPr="00DB1B4C">
        <w:rPr>
          <w:i/>
          <w:iCs/>
        </w:rPr>
        <w:t>BRCA</w:t>
      </w:r>
      <w:r>
        <w:t xml:space="preserve"> genes for mutations</w:t>
      </w:r>
      <w:r w:rsidR="000801CA">
        <w:t xml:space="preserve"> in a sample of tumour tissue (somatic testing)</w:t>
      </w:r>
      <w:r>
        <w:t xml:space="preserve">. This application was </w:t>
      </w:r>
      <w:r w:rsidR="000801CA">
        <w:t xml:space="preserve">also </w:t>
      </w:r>
      <w:r>
        <w:t>for testing in women who have just been diagnosed with advanced, high-grade ovarian cancer. Ovarian cancer includes fallopian tub</w:t>
      </w:r>
      <w:r w:rsidR="00307E5A">
        <w:t xml:space="preserve">e cancer and </w:t>
      </w:r>
      <w:r w:rsidR="00E07786">
        <w:t xml:space="preserve">cancer in the </w:t>
      </w:r>
      <w:r w:rsidR="00307E5A">
        <w:t>peritone</w:t>
      </w:r>
      <w:r w:rsidR="00E07786">
        <w:t>um (the tissue that lines the cavity of the abdomen)</w:t>
      </w:r>
      <w:r w:rsidR="00307E5A">
        <w:t>.</w:t>
      </w:r>
    </w:p>
    <w:p w14:paraId="58839383" w14:textId="77777777" w:rsidR="000205B4" w:rsidRDefault="00CE50F9" w:rsidP="00BB70BA">
      <w:pPr>
        <w:pStyle w:val="BoxText"/>
        <w:spacing w:after="240"/>
      </w:pPr>
      <w:r>
        <w:lastRenderedPageBreak/>
        <w:t xml:space="preserve">AstraZeneca markets a drug called olaparib for </w:t>
      </w:r>
      <w:r w:rsidR="000205B4">
        <w:t xml:space="preserve">women with </w:t>
      </w:r>
      <w:r w:rsidR="0093746D">
        <w:t>advanced, high-</w:t>
      </w:r>
      <w:r w:rsidR="00E07786">
        <w:t>grade</w:t>
      </w:r>
      <w:r w:rsidR="000205B4">
        <w:t xml:space="preserve"> ovarian cancer</w:t>
      </w:r>
      <w:r>
        <w:t>. Olaparib is likely to be more effective for</w:t>
      </w:r>
      <w:r w:rsidRPr="00CE50F9">
        <w:t xml:space="preserve"> </w:t>
      </w:r>
      <w:r>
        <w:t>such women if they also</w:t>
      </w:r>
      <w:r w:rsidR="000205B4">
        <w:t xml:space="preserve"> have </w:t>
      </w:r>
      <w:r>
        <w:t xml:space="preserve">a </w:t>
      </w:r>
      <w:r w:rsidR="000205B4">
        <w:t>mutation in the</w:t>
      </w:r>
      <w:r w:rsidR="00E07786">
        <w:t>ir</w:t>
      </w:r>
      <w:r w:rsidR="000205B4">
        <w:t xml:space="preserve"> </w:t>
      </w:r>
      <w:r w:rsidR="000205B4" w:rsidRPr="002C64CA">
        <w:rPr>
          <w:i/>
          <w:iCs/>
        </w:rPr>
        <w:t>BRCA1</w:t>
      </w:r>
      <w:r w:rsidR="000205B4">
        <w:t xml:space="preserve"> </w:t>
      </w:r>
      <w:r>
        <w:t>or</w:t>
      </w:r>
      <w:r w:rsidR="000205B4">
        <w:t xml:space="preserve"> </w:t>
      </w:r>
      <w:r w:rsidR="000205B4" w:rsidRPr="002C64CA">
        <w:rPr>
          <w:i/>
          <w:iCs/>
        </w:rPr>
        <w:t>BRCA2</w:t>
      </w:r>
      <w:r>
        <w:t xml:space="preserve"> genes</w:t>
      </w:r>
      <w:r w:rsidR="000205B4">
        <w:t xml:space="preserve">. Genetic testing is the only way to find out if someone has a </w:t>
      </w:r>
      <w:r w:rsidR="00E07786">
        <w:t xml:space="preserve">gene </w:t>
      </w:r>
      <w:r w:rsidR="000205B4">
        <w:t xml:space="preserve">mutation. Genetic testing can be done on a </w:t>
      </w:r>
      <w:r w:rsidR="00307E5A">
        <w:t xml:space="preserve">blood sample to determine if the mutation is inheritable (germline testing). It can also be done on a </w:t>
      </w:r>
      <w:r w:rsidR="000205B4">
        <w:t xml:space="preserve">sample </w:t>
      </w:r>
      <w:r w:rsidR="00307E5A">
        <w:t>from</w:t>
      </w:r>
      <w:r w:rsidR="000205B4">
        <w:t xml:space="preserve"> the tumour, which can be taken during surgery</w:t>
      </w:r>
      <w:r w:rsidR="00307E5A">
        <w:t xml:space="preserve">, to determine if the mutation is present in the </w:t>
      </w:r>
      <w:r w:rsidR="00122A93">
        <w:t>tumour</w:t>
      </w:r>
      <w:r w:rsidR="00307E5A">
        <w:t xml:space="preserve"> (somatic testing)</w:t>
      </w:r>
      <w:r w:rsidR="000205B4">
        <w:t>.</w:t>
      </w:r>
    </w:p>
    <w:p w14:paraId="4ABEEFC4" w14:textId="77777777" w:rsidR="000205B4" w:rsidRDefault="000205B4" w:rsidP="00BB70BA">
      <w:pPr>
        <w:pStyle w:val="BoxText"/>
        <w:spacing w:after="240"/>
      </w:pPr>
      <w:r>
        <w:t xml:space="preserve">Olaparib is already </w:t>
      </w:r>
      <w:r w:rsidR="00122A93">
        <w:t xml:space="preserve">listed </w:t>
      </w:r>
      <w:r>
        <w:t xml:space="preserve">on the </w:t>
      </w:r>
      <w:r w:rsidR="007D374B">
        <w:t>Pharmaceutical Benefits Scheme (</w:t>
      </w:r>
      <w:r>
        <w:t>PBS</w:t>
      </w:r>
      <w:r w:rsidR="007D374B">
        <w:t>)</w:t>
      </w:r>
      <w:r>
        <w:t xml:space="preserve"> for women with ovarian cancer</w:t>
      </w:r>
      <w:r w:rsidRPr="00FD7531">
        <w:t xml:space="preserve"> </w:t>
      </w:r>
      <w:r>
        <w:t>who</w:t>
      </w:r>
      <w:r w:rsidR="00122A93">
        <w:t>se cancer has</w:t>
      </w:r>
      <w:r>
        <w:t xml:space="preserve"> </w:t>
      </w:r>
      <w:r w:rsidR="00122A93">
        <w:t>come back (relapsed) after initial response</w:t>
      </w:r>
      <w:r>
        <w:t xml:space="preserve"> to treatment. </w:t>
      </w:r>
      <w:r w:rsidR="00307E5A">
        <w:t xml:space="preserve">Subsequent </w:t>
      </w:r>
      <w:r>
        <w:t xml:space="preserve">treatment after the first treatment that </w:t>
      </w:r>
      <w:r w:rsidR="00307E5A">
        <w:t>either wa</w:t>
      </w:r>
      <w:r w:rsidR="00033FB6">
        <w:t xml:space="preserve">s not effective or is no longer </w:t>
      </w:r>
      <w:r w:rsidR="00307E5A">
        <w:t xml:space="preserve">effective </w:t>
      </w:r>
      <w:r>
        <w:t xml:space="preserve">is called second-line treatment. Right now, </w:t>
      </w:r>
      <w:r w:rsidR="00646D36">
        <w:t xml:space="preserve">based on previous MSAC advice, </w:t>
      </w:r>
      <w:r>
        <w:t xml:space="preserve">women with ovarian cancer can be tested to see if they have a </w:t>
      </w:r>
      <w:r w:rsidR="006C5CD1">
        <w:t xml:space="preserve">germline </w:t>
      </w:r>
      <w:r w:rsidRPr="00F02C65">
        <w:rPr>
          <w:i/>
          <w:iCs/>
        </w:rPr>
        <w:t>BRCA</w:t>
      </w:r>
      <w:r>
        <w:t xml:space="preserve"> gene mutation, and if they do they can get olaparib as second-line treatment. But this test is </w:t>
      </w:r>
      <w:r w:rsidR="00646D36">
        <w:t xml:space="preserve">currently </w:t>
      </w:r>
      <w:r w:rsidR="006C5CD1">
        <w:t xml:space="preserve">not </w:t>
      </w:r>
      <w:r>
        <w:t xml:space="preserve">funded on the MBS for </w:t>
      </w:r>
      <w:r w:rsidR="006C5CD1">
        <w:t xml:space="preserve">testing </w:t>
      </w:r>
      <w:r w:rsidR="002F2726">
        <w:t xml:space="preserve">of </w:t>
      </w:r>
      <w:r w:rsidR="002F2726" w:rsidRPr="00DB1B4C">
        <w:rPr>
          <w:i/>
          <w:iCs/>
        </w:rPr>
        <w:t>BRCA</w:t>
      </w:r>
      <w:r w:rsidR="002F2726">
        <w:t xml:space="preserve"> genes for mutations in </w:t>
      </w:r>
      <w:r w:rsidR="006C5CD1">
        <w:t>a sample from the tumour</w:t>
      </w:r>
      <w:r>
        <w:t>.</w:t>
      </w:r>
    </w:p>
    <w:p w14:paraId="1A01109E" w14:textId="77777777" w:rsidR="00410B2B" w:rsidRDefault="000205B4" w:rsidP="00BB70BA">
      <w:pPr>
        <w:pStyle w:val="BoxText"/>
        <w:spacing w:after="240"/>
      </w:pPr>
      <w:r w:rsidRPr="00CD1C57" w:rsidDel="00FD7531">
        <w:t xml:space="preserve">MSAC decided to </w:t>
      </w:r>
      <w:r w:rsidR="00743BCC" w:rsidRPr="00CD1C57">
        <w:t xml:space="preserve">support the </w:t>
      </w:r>
      <w:r w:rsidRPr="00CD1C57" w:rsidDel="00FD7531">
        <w:t>fund</w:t>
      </w:r>
      <w:r w:rsidR="00743BCC" w:rsidRPr="00CD1C57">
        <w:t xml:space="preserve">ing </w:t>
      </w:r>
      <w:r w:rsidR="0093746D" w:rsidRPr="00CD1C57">
        <w:t xml:space="preserve">of </w:t>
      </w:r>
      <w:r w:rsidR="00122A93" w:rsidRPr="00CD1C57">
        <w:t>tumour</w:t>
      </w:r>
      <w:r w:rsidRPr="00CD1C57" w:rsidDel="00FD7531">
        <w:t xml:space="preserve"> </w:t>
      </w:r>
      <w:r w:rsidRPr="00CD1C57">
        <w:t>genetic</w:t>
      </w:r>
      <w:r w:rsidRPr="00CD1C57" w:rsidDel="00FD7531">
        <w:t xml:space="preserve"> test</w:t>
      </w:r>
      <w:r w:rsidRPr="00CD1C57">
        <w:t xml:space="preserve">ing for </w:t>
      </w:r>
      <w:r w:rsidR="002F2726" w:rsidRPr="00CD1C57">
        <w:rPr>
          <w:i/>
          <w:iCs/>
        </w:rPr>
        <w:t>BRCA</w:t>
      </w:r>
      <w:r w:rsidR="002F2726" w:rsidRPr="00CD1C57">
        <w:t xml:space="preserve"> mutations in </w:t>
      </w:r>
      <w:r w:rsidRPr="00CD1C57">
        <w:t>these women</w:t>
      </w:r>
      <w:r w:rsidR="00720226" w:rsidRPr="00CD1C57">
        <w:t>.</w:t>
      </w:r>
      <w:r w:rsidR="00CE50F9" w:rsidRPr="00CD1C57">
        <w:t xml:space="preserve"> </w:t>
      </w:r>
      <w:r w:rsidR="00720226" w:rsidRPr="00CD1C57">
        <w:t xml:space="preserve">This decision was informed by newly provided </w:t>
      </w:r>
      <w:r w:rsidR="00CE50F9" w:rsidRPr="00CD1C57">
        <w:t xml:space="preserve">evidence of acceptable test performance and </w:t>
      </w:r>
      <w:r w:rsidR="00720226" w:rsidRPr="00CD1C57">
        <w:t xml:space="preserve">recently </w:t>
      </w:r>
      <w:r w:rsidR="00CE50F9" w:rsidRPr="00CD1C57">
        <w:t>established quality assurance</w:t>
      </w:r>
      <w:r w:rsidR="00720226" w:rsidRPr="00CD1C57">
        <w:t xml:space="preserve"> for this type of tumour testing</w:t>
      </w:r>
      <w:r w:rsidRPr="00CD1C57" w:rsidDel="00FD7531">
        <w:t>.</w:t>
      </w:r>
    </w:p>
    <w:p w14:paraId="35E72BC8" w14:textId="77777777" w:rsidR="000205B4" w:rsidRDefault="007D374B" w:rsidP="00BB70BA">
      <w:pPr>
        <w:pStyle w:val="BoxText"/>
        <w:spacing w:after="240"/>
      </w:pPr>
      <w:r>
        <w:t xml:space="preserve">MSAC noted that, at its November 2019 meeting, </w:t>
      </w:r>
      <w:r w:rsidR="00410B2B">
        <w:t xml:space="preserve">the Pharmaceutical Benefits Advisory Committee (PBAC) decided </w:t>
      </w:r>
      <w:r>
        <w:t xml:space="preserve">not </w:t>
      </w:r>
      <w:r w:rsidR="00410B2B">
        <w:t xml:space="preserve">to </w:t>
      </w:r>
      <w:r>
        <w:t xml:space="preserve">recommend that </w:t>
      </w:r>
      <w:r w:rsidR="00410B2B">
        <w:t xml:space="preserve">the </w:t>
      </w:r>
      <w:r>
        <w:t xml:space="preserve">PBS </w:t>
      </w:r>
      <w:r w:rsidR="00410B2B">
        <w:t>listing of olaparib</w:t>
      </w:r>
      <w:r w:rsidR="00410B2B" w:rsidDel="00C97154">
        <w:t xml:space="preserve"> </w:t>
      </w:r>
      <w:r>
        <w:t xml:space="preserve">be extended </w:t>
      </w:r>
      <w:r w:rsidR="00410B2B">
        <w:t>to include women who have just been diagnosed with ovarian cancer and are re</w:t>
      </w:r>
      <w:r w:rsidR="00CE50F9">
        <w:t xml:space="preserve">sponding to initial treatment. MSAC therefore did not provide advice on </w:t>
      </w:r>
      <w:r w:rsidR="00CE50F9" w:rsidRPr="00CE50F9">
        <w:rPr>
          <w:i/>
        </w:rPr>
        <w:t>BRCA</w:t>
      </w:r>
      <w:r w:rsidR="00CE50F9">
        <w:t xml:space="preserve"> testing for this population.</w:t>
      </w:r>
    </w:p>
    <w:p w14:paraId="00875BD8" w14:textId="77777777" w:rsidR="000205B4" w:rsidRPr="000A0160" w:rsidRDefault="000205B4" w:rsidP="000205B4">
      <w:pPr>
        <w:pStyle w:val="BoxHeading"/>
      </w:pPr>
      <w:r>
        <w:t xml:space="preserve">MSAC’s </w:t>
      </w:r>
      <w:r w:rsidR="00AC75E7">
        <w:t>advice</w:t>
      </w:r>
      <w:r w:rsidRPr="000A0160">
        <w:t xml:space="preserve"> to the Commonwealth Minister</w:t>
      </w:r>
      <w:r w:rsidR="002E545C">
        <w:t xml:space="preserve"> for Health</w:t>
      </w:r>
    </w:p>
    <w:p w14:paraId="63DB2C2F" w14:textId="77777777" w:rsidR="000205B4" w:rsidRDefault="000205B4" w:rsidP="000205B4">
      <w:pPr>
        <w:pStyle w:val="BoxText"/>
      </w:pPr>
      <w:r>
        <w:t xml:space="preserve">MSAC </w:t>
      </w:r>
      <w:r w:rsidR="00743BCC">
        <w:t xml:space="preserve">supported </w:t>
      </w:r>
      <w:r w:rsidR="00410B2B">
        <w:t xml:space="preserve">public funding of </w:t>
      </w:r>
      <w:r w:rsidR="00743BCC">
        <w:t>testing f</w:t>
      </w:r>
      <w:r w:rsidR="00410B2B">
        <w:t>or</w:t>
      </w:r>
      <w:r>
        <w:t xml:space="preserve"> </w:t>
      </w:r>
      <w:r w:rsidRPr="00F06589">
        <w:rPr>
          <w:i/>
          <w:iCs/>
        </w:rPr>
        <w:t>BRCA</w:t>
      </w:r>
      <w:r>
        <w:t xml:space="preserve"> </w:t>
      </w:r>
      <w:r w:rsidR="00743BCC">
        <w:t xml:space="preserve">mutations in tumour samples from </w:t>
      </w:r>
      <w:r>
        <w:t xml:space="preserve">women with ovarian cancer. This is so they can get treated </w:t>
      </w:r>
      <w:r w:rsidR="00410B2B">
        <w:t>with</w:t>
      </w:r>
      <w:r>
        <w:t xml:space="preserve"> olaparib as a second-line treatment. MSAC decided this because olaparib should </w:t>
      </w:r>
      <w:r w:rsidR="00743BCC">
        <w:t xml:space="preserve">be </w:t>
      </w:r>
      <w:r w:rsidR="002F2726">
        <w:t>similarly</w:t>
      </w:r>
      <w:r w:rsidR="00743BCC">
        <w:t xml:space="preserve"> effective in </w:t>
      </w:r>
      <w:r>
        <w:t>women with ovarian cancer</w:t>
      </w:r>
      <w:r w:rsidR="00743BCC">
        <w:t xml:space="preserve"> and a </w:t>
      </w:r>
      <w:r w:rsidR="00743BCC" w:rsidRPr="00743BCC">
        <w:rPr>
          <w:i/>
        </w:rPr>
        <w:t>BRCA</w:t>
      </w:r>
      <w:r w:rsidR="00743BCC">
        <w:t xml:space="preserve"> mutation, without having to know whether this mutation </w:t>
      </w:r>
      <w:r w:rsidR="002F2726">
        <w:t>wa</w:t>
      </w:r>
      <w:r w:rsidR="00743BCC">
        <w:t>s inherit</w:t>
      </w:r>
      <w:r w:rsidR="001529F2">
        <w:t>ed</w:t>
      </w:r>
      <w:r w:rsidR="00743BCC">
        <w:t xml:space="preserve"> or </w:t>
      </w:r>
      <w:r w:rsidR="002F2726">
        <w:t xml:space="preserve">is </w:t>
      </w:r>
      <w:r w:rsidR="00743BCC">
        <w:t>present only in the tumour</w:t>
      </w:r>
      <w:r>
        <w:t>.</w:t>
      </w:r>
    </w:p>
    <w:p w14:paraId="6A3AE230" w14:textId="77777777" w:rsidR="00F23AA4" w:rsidRPr="00F715D1" w:rsidRDefault="00F23AA4" w:rsidP="00F23AA4">
      <w:pPr>
        <w:pStyle w:val="Heading1"/>
      </w:pPr>
      <w:r w:rsidRPr="00F715D1">
        <w:t xml:space="preserve">Summary of consideration </w:t>
      </w:r>
      <w:r w:rsidR="005D0C61">
        <w:t>and rationale for MSAC’s advice</w:t>
      </w:r>
    </w:p>
    <w:p w14:paraId="6B16BAF4" w14:textId="0480E9DE" w:rsidR="000205B4" w:rsidRDefault="000205B4" w:rsidP="002E6BB0">
      <w:pPr>
        <w:spacing w:after="240"/>
      </w:pPr>
      <w:r>
        <w:t xml:space="preserve">MSAC noted that this application was </w:t>
      </w:r>
      <w:r w:rsidR="00743BCC">
        <w:t xml:space="preserve">part of </w:t>
      </w:r>
      <w:r>
        <w:t>an integrated codependent submission</w:t>
      </w:r>
      <w:r w:rsidR="00985428">
        <w:t>, and that it</w:t>
      </w:r>
      <w:r>
        <w:t xml:space="preserve"> request</w:t>
      </w:r>
      <w:r w:rsidR="00985428">
        <w:t>ed</w:t>
      </w:r>
      <w:r>
        <w:t xml:space="preserve"> amendment of </w:t>
      </w:r>
      <w:r w:rsidR="002E545C">
        <w:t xml:space="preserve">the </w:t>
      </w:r>
      <w:r>
        <w:t xml:space="preserve">existing MBS funding to include testing of tumour tissue or blood to detect somatic or germline </w:t>
      </w:r>
      <w:r w:rsidRPr="002A0C24">
        <w:rPr>
          <w:i/>
          <w:iCs/>
        </w:rPr>
        <w:t>BRCA1</w:t>
      </w:r>
      <w:r>
        <w:t xml:space="preserve"> or </w:t>
      </w:r>
      <w:r w:rsidRPr="002A0C24">
        <w:rPr>
          <w:i/>
          <w:iCs/>
        </w:rPr>
        <w:t>BRCA2</w:t>
      </w:r>
      <w:r>
        <w:t xml:space="preserve"> pathogenic varia</w:t>
      </w:r>
      <w:r w:rsidR="005D0C61">
        <w:t>n</w:t>
      </w:r>
      <w:r>
        <w:t xml:space="preserve">ts, in a patient with newly diagnosed, advanced (FIGO stage III-IV) high-grade epithelial ovarian, fallopian tube or primary peritoneal cancer who are in response </w:t>
      </w:r>
      <w:r w:rsidRPr="002A0C24">
        <w:t>(complete or partial) to first-line platinum-based chemotherapy</w:t>
      </w:r>
      <w:r w:rsidR="00985428">
        <w:t>.</w:t>
      </w:r>
    </w:p>
    <w:p w14:paraId="76712FFA" w14:textId="4DAF6910" w:rsidR="00F17913" w:rsidRDefault="000205B4" w:rsidP="002E6BB0">
      <w:pPr>
        <w:spacing w:after="240"/>
      </w:pPr>
      <w:r>
        <w:t xml:space="preserve">MSAC </w:t>
      </w:r>
      <w:r w:rsidR="005D0C61">
        <w:t xml:space="preserve">was advised </w:t>
      </w:r>
      <w:r>
        <w:t xml:space="preserve">that </w:t>
      </w:r>
      <w:r w:rsidR="00DA4321">
        <w:t xml:space="preserve">the November 2019 </w:t>
      </w:r>
      <w:r>
        <w:t xml:space="preserve">PBAC </w:t>
      </w:r>
      <w:r w:rsidR="00DA4321">
        <w:t xml:space="preserve">meeting </w:t>
      </w:r>
      <w:r w:rsidR="005D0C61">
        <w:t xml:space="preserve">had </w:t>
      </w:r>
      <w:r>
        <w:t xml:space="preserve">not </w:t>
      </w:r>
      <w:r w:rsidRPr="002A0C24">
        <w:t>recommend</w:t>
      </w:r>
      <w:r w:rsidR="005D0C61">
        <w:t>ed</w:t>
      </w:r>
      <w:r w:rsidRPr="002A0C24">
        <w:t xml:space="preserve"> the </w:t>
      </w:r>
      <w:r w:rsidR="005D0C61">
        <w:t xml:space="preserve">extension of the PBS </w:t>
      </w:r>
      <w:r w:rsidRPr="002A0C24">
        <w:t xml:space="preserve">listing of olaparib </w:t>
      </w:r>
      <w:r w:rsidR="005D0C61">
        <w:t xml:space="preserve">to include </w:t>
      </w:r>
      <w:r w:rsidRPr="002A0C24">
        <w:t>the first-line maintenance treatment of ovarian, fallopian tube or primary peritoneal cancer.</w:t>
      </w:r>
      <w:r>
        <w:t xml:space="preserve"> </w:t>
      </w:r>
      <w:r w:rsidR="00E76FF0" w:rsidRPr="00CD1C57">
        <w:t xml:space="preserve">As a result, </w:t>
      </w:r>
      <w:r w:rsidR="00CE0648" w:rsidRPr="00CD1C57">
        <w:t xml:space="preserve">MSAC did not consider </w:t>
      </w:r>
      <w:r w:rsidR="00E76FF0" w:rsidRPr="00CD1C57">
        <w:t xml:space="preserve">the question of considering germline </w:t>
      </w:r>
      <w:r w:rsidR="00E76FF0" w:rsidRPr="00CD1C57">
        <w:rPr>
          <w:i/>
          <w:iCs/>
        </w:rPr>
        <w:t>BRCA</w:t>
      </w:r>
      <w:r w:rsidR="00E76FF0" w:rsidRPr="00CD1C57">
        <w:t xml:space="preserve"> testing in this expanded population (scenario 1 in the submission). </w:t>
      </w:r>
      <w:r w:rsidR="00CE0648" w:rsidRPr="00CD1C57">
        <w:t>Instead</w:t>
      </w:r>
      <w:r w:rsidRPr="00CD1C57">
        <w:t xml:space="preserve">, MSAC </w:t>
      </w:r>
      <w:r w:rsidR="005D0C61" w:rsidRPr="00CD1C57">
        <w:t xml:space="preserve">focussed on the </w:t>
      </w:r>
      <w:r w:rsidR="00E76FF0" w:rsidRPr="00CD1C57">
        <w:t xml:space="preserve">scenario 2 </w:t>
      </w:r>
      <w:r w:rsidR="005D0C61" w:rsidRPr="00CD1C57">
        <w:t xml:space="preserve">question </w:t>
      </w:r>
      <w:r w:rsidR="00E76FF0" w:rsidRPr="00CD1C57">
        <w:t xml:space="preserve">in the submission </w:t>
      </w:r>
      <w:r w:rsidR="005D0C61" w:rsidRPr="00CD1C57">
        <w:t xml:space="preserve">of whether to extend </w:t>
      </w:r>
      <w:r w:rsidRPr="00CD1C57">
        <w:t xml:space="preserve">MBS </w:t>
      </w:r>
      <w:r w:rsidR="005D0C61" w:rsidRPr="00CD1C57">
        <w:t xml:space="preserve">funding </w:t>
      </w:r>
      <w:r w:rsidR="0095513B" w:rsidRPr="00CD1C57">
        <w:t xml:space="preserve">from only germline </w:t>
      </w:r>
      <w:r w:rsidR="0095513B" w:rsidRPr="00CD1C57">
        <w:rPr>
          <w:i/>
        </w:rPr>
        <w:t>BRCA</w:t>
      </w:r>
      <w:r w:rsidR="0095513B" w:rsidRPr="00CD1C57">
        <w:t xml:space="preserve"> testing, to both germline and </w:t>
      </w:r>
      <w:r w:rsidR="00A459B1" w:rsidRPr="00CD1C57">
        <w:t xml:space="preserve">somatic </w:t>
      </w:r>
      <w:r w:rsidRPr="00CD1C57">
        <w:rPr>
          <w:i/>
          <w:iCs/>
        </w:rPr>
        <w:t xml:space="preserve">BRCA </w:t>
      </w:r>
      <w:r w:rsidRPr="00CD1C57">
        <w:t>testing in patients with advanced high-grade epi</w:t>
      </w:r>
      <w:r w:rsidR="005D0C61" w:rsidRPr="00CD1C57">
        <w:t>thelial ovarian cancer (HGEOC)</w:t>
      </w:r>
      <w:r w:rsidR="00E76FF0" w:rsidRPr="00CD1C57">
        <w:t>, but only</w:t>
      </w:r>
      <w:r w:rsidR="005D0C61" w:rsidRPr="00CD1C57">
        <w:t xml:space="preserve"> </w:t>
      </w:r>
      <w:r w:rsidR="00E76FF0" w:rsidRPr="00CD1C57">
        <w:t xml:space="preserve">in the context of </w:t>
      </w:r>
      <w:r w:rsidR="005D0C61" w:rsidRPr="00CD1C57">
        <w:t>the existing PBS listing of olaparib</w:t>
      </w:r>
      <w:r w:rsidR="00A459B1" w:rsidRPr="00CD1C57">
        <w:t xml:space="preserve"> as second-line t</w:t>
      </w:r>
      <w:r w:rsidR="00E76FF0" w:rsidRPr="00CD1C57">
        <w:t>reatment</w:t>
      </w:r>
      <w:r w:rsidR="005D0C61" w:rsidRPr="00CD1C57">
        <w:t>.</w:t>
      </w:r>
    </w:p>
    <w:p w14:paraId="16F498A8" w14:textId="270865FA" w:rsidR="00F17913" w:rsidRDefault="000205B4" w:rsidP="002E6BB0">
      <w:pPr>
        <w:spacing w:after="240"/>
      </w:pPr>
      <w:r>
        <w:lastRenderedPageBreak/>
        <w:t xml:space="preserve">MSAC noted that MBS item 73295 currently </w:t>
      </w:r>
      <w:r w:rsidR="00A459B1">
        <w:t xml:space="preserve">only </w:t>
      </w:r>
      <w:r>
        <w:t>cover</w:t>
      </w:r>
      <w:r w:rsidR="00A459B1">
        <w:t>s</w:t>
      </w:r>
      <w:r>
        <w:t xml:space="preserve"> germline testing for </w:t>
      </w:r>
      <w:r w:rsidRPr="007B0D18">
        <w:rPr>
          <w:i/>
          <w:iCs/>
        </w:rPr>
        <w:t>BRCA</w:t>
      </w:r>
      <w:r>
        <w:t xml:space="preserve"> </w:t>
      </w:r>
      <w:r w:rsidR="00E26B72">
        <w:t>in the context of olaparib</w:t>
      </w:r>
      <w:r>
        <w:t xml:space="preserve">. </w:t>
      </w:r>
      <w:r w:rsidRPr="006726B1">
        <w:t>Th</w:t>
      </w:r>
      <w:r w:rsidR="00E26B72">
        <w:t>is</w:t>
      </w:r>
      <w:r w:rsidRPr="006726B1">
        <w:t xml:space="preserve"> item</w:t>
      </w:r>
      <w:r w:rsidR="00E26B72">
        <w:t xml:space="preserve"> excludes </w:t>
      </w:r>
      <w:r w:rsidRPr="006726B1">
        <w:t>somatic testing</w:t>
      </w:r>
      <w:r w:rsidR="005D0C61">
        <w:t>.</w:t>
      </w:r>
      <w:r w:rsidR="00E26B72">
        <w:t xml:space="preserve"> MBS item 73296 is also limited to </w:t>
      </w:r>
      <w:r w:rsidR="004E4C08">
        <w:t xml:space="preserve">germline testing for </w:t>
      </w:r>
      <w:r w:rsidR="004E4C08" w:rsidRPr="007B0D18">
        <w:rPr>
          <w:i/>
          <w:iCs/>
        </w:rPr>
        <w:t>BRCA</w:t>
      </w:r>
      <w:r w:rsidR="004E4C08">
        <w:rPr>
          <w:iCs/>
        </w:rPr>
        <w:t xml:space="preserve"> and related genes in the context of predisposition testing.</w:t>
      </w:r>
    </w:p>
    <w:p w14:paraId="18521151" w14:textId="075741B0" w:rsidR="00F17913" w:rsidRDefault="000205B4" w:rsidP="002E6BB0">
      <w:pPr>
        <w:spacing w:after="240"/>
      </w:pPr>
      <w:r>
        <w:t xml:space="preserve">MSAC accepted the safety profile of tumour </w:t>
      </w:r>
      <w:r w:rsidRPr="00625ACC">
        <w:rPr>
          <w:i/>
          <w:iCs/>
        </w:rPr>
        <w:t>BRCA</w:t>
      </w:r>
      <w:r w:rsidRPr="002A0C24">
        <w:t xml:space="preserve"> testing</w:t>
      </w:r>
      <w:r>
        <w:t xml:space="preserve">, noting that, although </w:t>
      </w:r>
      <w:r w:rsidR="00A459B1">
        <w:t xml:space="preserve">obtaining a </w:t>
      </w:r>
      <w:r>
        <w:t>tumour biopsy is associated with adverse events, surgical samples suitable for testing should be coll</w:t>
      </w:r>
      <w:r w:rsidR="005D0C61">
        <w:t>ected at the time of diagnosis.</w:t>
      </w:r>
    </w:p>
    <w:p w14:paraId="02B032AD" w14:textId="232A20CE" w:rsidR="00507356" w:rsidRDefault="000205B4" w:rsidP="002E6BB0">
      <w:pPr>
        <w:spacing w:after="240"/>
      </w:pPr>
      <w:r>
        <w:t xml:space="preserve">MSAC discussed the evidentiary standard for </w:t>
      </w:r>
      <w:r w:rsidRPr="00625ACC">
        <w:rPr>
          <w:i/>
          <w:iCs/>
        </w:rPr>
        <w:t>BRCA</w:t>
      </w:r>
      <w:r>
        <w:t xml:space="preserve"> testing on tumour samples, and considered that most studies included as the evidence base </w:t>
      </w:r>
      <w:r w:rsidR="004E4C08">
        <w:t xml:space="preserve">for olaparib and other </w:t>
      </w:r>
      <w:r w:rsidR="00A459B1" w:rsidRPr="00A459B1">
        <w:t xml:space="preserve">poly ADP ribose polymerase </w:t>
      </w:r>
      <w:r w:rsidR="00A459B1">
        <w:t>(</w:t>
      </w:r>
      <w:r w:rsidR="004E4C08">
        <w:t>PARP</w:t>
      </w:r>
      <w:r w:rsidR="00A459B1">
        <w:t>)</w:t>
      </w:r>
      <w:r w:rsidR="004E4C08">
        <w:t xml:space="preserve"> inhibitors </w:t>
      </w:r>
      <w:r>
        <w:t xml:space="preserve">would </w:t>
      </w:r>
      <w:r w:rsidR="004E4C08">
        <w:t xml:space="preserve">most likely </w:t>
      </w:r>
      <w:r>
        <w:t>have used Sanger sequencing</w:t>
      </w:r>
      <w:r w:rsidR="004E4C08">
        <w:t xml:space="preserve"> to determine the </w:t>
      </w:r>
      <w:r w:rsidR="004E4C08" w:rsidRPr="00625ACC">
        <w:rPr>
          <w:i/>
          <w:iCs/>
        </w:rPr>
        <w:t>BRCA</w:t>
      </w:r>
      <w:r w:rsidR="002E545C">
        <w:t xml:space="preserve">m </w:t>
      </w:r>
      <w:r w:rsidR="004E4C08">
        <w:t>status of study participants</w:t>
      </w:r>
      <w:r>
        <w:t xml:space="preserve">. However, most </w:t>
      </w:r>
      <w:r w:rsidR="00A459B1">
        <w:t xml:space="preserve">Australian pathology </w:t>
      </w:r>
      <w:r>
        <w:t>laboratories are now using next-generation sequencing (NGS). NGS is faster, more accurate and more cost-effective than Sanger sequencing. MSAC also agreed with the pre-MSAC response from the applicant, stating that tumour BRCA testing services are becoming more widely available, with increasing use of NGS.</w:t>
      </w:r>
      <w:r w:rsidRPr="00106F13">
        <w:t xml:space="preserve"> </w:t>
      </w:r>
      <w:r>
        <w:t>MSAC accepted that using NGS would pick up marginally more women with</w:t>
      </w:r>
      <w:r w:rsidR="004E4C08" w:rsidRPr="004E4C08">
        <w:rPr>
          <w:i/>
          <w:iCs/>
        </w:rPr>
        <w:t xml:space="preserve"> </w:t>
      </w:r>
      <w:r w:rsidR="004E4C08" w:rsidRPr="00625ACC">
        <w:rPr>
          <w:i/>
          <w:iCs/>
        </w:rPr>
        <w:t>BRCA</w:t>
      </w:r>
      <w:r>
        <w:t xml:space="preserve"> mutations than Sanger</w:t>
      </w:r>
      <w:r w:rsidR="004E4C08">
        <w:t xml:space="preserve"> sequencing</w:t>
      </w:r>
      <w:r>
        <w:t xml:space="preserve">, but this would have a </w:t>
      </w:r>
      <w:r w:rsidRPr="00D91E35">
        <w:t xml:space="preserve">negligible effect on </w:t>
      </w:r>
      <w:r>
        <w:t xml:space="preserve">the overall </w:t>
      </w:r>
      <w:r w:rsidR="004E4C08">
        <w:t xml:space="preserve">estimated </w:t>
      </w:r>
      <w:r>
        <w:t xml:space="preserve">budget </w:t>
      </w:r>
      <w:r w:rsidR="004E4C08">
        <w:t>implications for olaparib</w:t>
      </w:r>
      <w:r w:rsidRPr="00D91E35">
        <w:t>.</w:t>
      </w:r>
    </w:p>
    <w:p w14:paraId="35B20657" w14:textId="20A1AA19" w:rsidR="00F17913" w:rsidRDefault="00507356" w:rsidP="002E6BB0">
      <w:pPr>
        <w:spacing w:after="240"/>
      </w:pPr>
      <w:r>
        <w:t xml:space="preserve">MSAC considered that the analytical performance data of somatic </w:t>
      </w:r>
      <w:r w:rsidRPr="00625ACC">
        <w:rPr>
          <w:i/>
          <w:iCs/>
        </w:rPr>
        <w:t>BRCA</w:t>
      </w:r>
      <w:r>
        <w:t xml:space="preserve"> testing provided in the application formed an acceptable basis to address its previous concerns </w:t>
      </w:r>
      <w:r w:rsidR="00B72C81">
        <w:t xml:space="preserve">about </w:t>
      </w:r>
      <w:r w:rsidR="00CE0648">
        <w:t xml:space="preserve">somatic </w:t>
      </w:r>
      <w:r w:rsidR="00CE0648" w:rsidRPr="007B0D18">
        <w:rPr>
          <w:i/>
          <w:iCs/>
        </w:rPr>
        <w:t>BRCA</w:t>
      </w:r>
      <w:r w:rsidR="00CE0648">
        <w:t xml:space="preserve"> </w:t>
      </w:r>
      <w:r w:rsidR="00B72C81">
        <w:t xml:space="preserve">testing compared to germline </w:t>
      </w:r>
      <w:r w:rsidR="00B72C81" w:rsidRPr="00625ACC">
        <w:rPr>
          <w:i/>
          <w:iCs/>
        </w:rPr>
        <w:t>BRCA</w:t>
      </w:r>
      <w:r w:rsidR="00B72C81">
        <w:t xml:space="preserve"> testing. In addition</w:t>
      </w:r>
      <w:r w:rsidR="0093746D">
        <w:t>,</w:t>
      </w:r>
      <w:r w:rsidR="00B72C81">
        <w:t xml:space="preserve"> MSAC </w:t>
      </w:r>
      <w:r w:rsidR="00CE0648">
        <w:t>accepted</w:t>
      </w:r>
      <w:r w:rsidR="00B72C81">
        <w:t xml:space="preserve"> that quality assurance was</w:t>
      </w:r>
      <w:r w:rsidR="00AC431C">
        <w:t xml:space="preserve"> </w:t>
      </w:r>
      <w:r w:rsidR="00CE0648">
        <w:t>now</w:t>
      </w:r>
      <w:r w:rsidR="00AC431C">
        <w:t xml:space="preserve"> routinely established for somatic </w:t>
      </w:r>
      <w:r w:rsidR="00AC431C" w:rsidRPr="00625ACC">
        <w:rPr>
          <w:i/>
          <w:iCs/>
        </w:rPr>
        <w:t>BRCA</w:t>
      </w:r>
      <w:r w:rsidR="00AC431C">
        <w:t xml:space="preserve"> testing, particularly in relation to dealing with potential contaminants and variants of unknown significance.</w:t>
      </w:r>
    </w:p>
    <w:p w14:paraId="5CF8EDBF" w14:textId="6B6B5D4F" w:rsidR="00F17913" w:rsidRDefault="000205B4" w:rsidP="002E6BB0">
      <w:pPr>
        <w:spacing w:after="240"/>
      </w:pPr>
      <w:r>
        <w:t xml:space="preserve">MSAC noted the clinical need for this test, as women with </w:t>
      </w:r>
      <w:r w:rsidRPr="002A0C24">
        <w:t>HGEOC</w:t>
      </w:r>
      <w:r>
        <w:t xml:space="preserve"> currently have poor outcomes, with more than 70% of women with advanced disease who initially respond to first-line chemotherapy relapsing within 3 years.</w:t>
      </w:r>
    </w:p>
    <w:p w14:paraId="3EB1FCC3" w14:textId="6CCF9C0A" w:rsidR="00F17913" w:rsidRDefault="000205B4" w:rsidP="002E6BB0">
      <w:pPr>
        <w:spacing w:after="240"/>
      </w:pPr>
      <w:r>
        <w:t xml:space="preserve">MSAC discussed the clinical utility of </w:t>
      </w:r>
      <w:r w:rsidRPr="005B7526">
        <w:rPr>
          <w:i/>
          <w:iCs/>
        </w:rPr>
        <w:t>BRCA</w:t>
      </w:r>
      <w:r>
        <w:t xml:space="preserve"> testing and the response to olaparib. </w:t>
      </w:r>
      <w:r w:rsidR="00DA4321">
        <w:t xml:space="preserve">MSAC recalled that it had previously accepted that </w:t>
      </w:r>
      <w:r w:rsidR="00DA4321" w:rsidRPr="006726B1">
        <w:t xml:space="preserve">ovarian cancers </w:t>
      </w:r>
      <w:r w:rsidR="00DA4321">
        <w:t xml:space="preserve">with germline </w:t>
      </w:r>
      <w:r w:rsidR="00DA4321" w:rsidRPr="007B0D18">
        <w:rPr>
          <w:i/>
          <w:iCs/>
        </w:rPr>
        <w:t>BRCA</w:t>
      </w:r>
      <w:r w:rsidR="00DA4321" w:rsidRPr="006726B1">
        <w:t xml:space="preserve"> </w:t>
      </w:r>
      <w:r w:rsidR="00DA4321">
        <w:t xml:space="preserve">mutations </w:t>
      </w:r>
      <w:r w:rsidR="00DA4321" w:rsidRPr="006726B1">
        <w:t>are associated with an improved response to PARP inhibitors (such as o</w:t>
      </w:r>
      <w:r w:rsidR="00DA4321">
        <w:t>l</w:t>
      </w:r>
      <w:r w:rsidR="00DA4321" w:rsidRPr="006726B1">
        <w:t>aparib)</w:t>
      </w:r>
      <w:r w:rsidR="00DA4321">
        <w:t xml:space="preserve"> in the second-line setting than ovarian cancers without a </w:t>
      </w:r>
      <w:r w:rsidR="00DA4321" w:rsidRPr="007B0D18">
        <w:rPr>
          <w:i/>
          <w:iCs/>
        </w:rPr>
        <w:t>BRCA</w:t>
      </w:r>
      <w:r w:rsidR="00DA4321">
        <w:rPr>
          <w:iCs/>
        </w:rPr>
        <w:t xml:space="preserve"> mutation</w:t>
      </w:r>
      <w:r w:rsidR="00DA4321">
        <w:t xml:space="preserve">. </w:t>
      </w:r>
      <w:r>
        <w:t>MSAC noted that, in the stud</w:t>
      </w:r>
      <w:r w:rsidR="00DA4321">
        <w:t>ies</w:t>
      </w:r>
      <w:r>
        <w:t xml:space="preserve"> presented, most women had germline </w:t>
      </w:r>
      <w:r w:rsidRPr="00863CCE">
        <w:rPr>
          <w:i/>
          <w:iCs/>
        </w:rPr>
        <w:t>BRCA</w:t>
      </w:r>
      <w:r>
        <w:t>m</w:t>
      </w:r>
      <w:r w:rsidR="00A459B1">
        <w:t xml:space="preserve"> with or without </w:t>
      </w:r>
      <w:r w:rsidR="00507356">
        <w:t xml:space="preserve">somatic </w:t>
      </w:r>
      <w:r w:rsidR="00507356" w:rsidRPr="00625ACC">
        <w:rPr>
          <w:i/>
          <w:iCs/>
        </w:rPr>
        <w:t>BRCA</w:t>
      </w:r>
      <w:r w:rsidR="00507356">
        <w:rPr>
          <w:iCs/>
        </w:rPr>
        <w:t>m</w:t>
      </w:r>
      <w:r w:rsidR="00CE0648">
        <w:rPr>
          <w:iCs/>
        </w:rPr>
        <w:t>,</w:t>
      </w:r>
      <w:r w:rsidR="00507356">
        <w:rPr>
          <w:iCs/>
        </w:rPr>
        <w:t xml:space="preserve"> rather than somatic </w:t>
      </w:r>
      <w:r w:rsidR="00507356" w:rsidRPr="00625ACC">
        <w:rPr>
          <w:i/>
          <w:iCs/>
        </w:rPr>
        <w:t>BRCA</w:t>
      </w:r>
      <w:r w:rsidR="00507356">
        <w:rPr>
          <w:iCs/>
        </w:rPr>
        <w:t>m alone</w:t>
      </w:r>
      <w:r>
        <w:t>.</w:t>
      </w:r>
      <w:r w:rsidR="00CE0648">
        <w:t xml:space="preserve"> MSAC also considered that the evidence base for the clinical utility of </w:t>
      </w:r>
      <w:r w:rsidR="00CE0648" w:rsidRPr="00D91E35">
        <w:rPr>
          <w:i/>
          <w:iCs/>
        </w:rPr>
        <w:t>BRCA</w:t>
      </w:r>
      <w:r w:rsidR="00CE0648">
        <w:t xml:space="preserve"> </w:t>
      </w:r>
      <w:r w:rsidR="004F698E">
        <w:t xml:space="preserve">testing </w:t>
      </w:r>
      <w:r w:rsidR="00CE0648">
        <w:t>for olaparib and other PARP inhibitors was stronger in the second-line setting than in the first-line setting.</w:t>
      </w:r>
      <w:r>
        <w:t xml:space="preserve"> However, MSAC considered that </w:t>
      </w:r>
      <w:r w:rsidR="004E4C08">
        <w:t xml:space="preserve">it was biologically plausible that </w:t>
      </w:r>
      <w:r>
        <w:t xml:space="preserve">women with somatic </w:t>
      </w:r>
      <w:r w:rsidR="00DA4321">
        <w:t>or</w:t>
      </w:r>
      <w:r>
        <w:t xml:space="preserve"> germline </w:t>
      </w:r>
      <w:r w:rsidRPr="005B7526">
        <w:rPr>
          <w:i/>
          <w:iCs/>
        </w:rPr>
        <w:t>BRCA</w:t>
      </w:r>
      <w:r>
        <w:t xml:space="preserve">m would </w:t>
      </w:r>
      <w:r w:rsidR="00507356">
        <w:t xml:space="preserve">each </w:t>
      </w:r>
      <w:r>
        <w:t>have a</w:t>
      </w:r>
      <w:r w:rsidR="00D1581E">
        <w:t>n</w:t>
      </w:r>
      <w:r w:rsidR="00D1581E" w:rsidRPr="00D1581E">
        <w:t xml:space="preserve"> </w:t>
      </w:r>
      <w:r w:rsidR="00D1581E">
        <w:t>improved</w:t>
      </w:r>
      <w:r>
        <w:t xml:space="preserve"> response to olaparib</w:t>
      </w:r>
      <w:r w:rsidR="00507356">
        <w:t xml:space="preserve"> over women without any </w:t>
      </w:r>
      <w:r w:rsidR="00507356" w:rsidRPr="00625ACC">
        <w:rPr>
          <w:i/>
          <w:iCs/>
        </w:rPr>
        <w:t>BRCA</w:t>
      </w:r>
      <w:r w:rsidR="00507356">
        <w:rPr>
          <w:iCs/>
        </w:rPr>
        <w:t>m</w:t>
      </w:r>
      <w:r>
        <w:t xml:space="preserve">, </w:t>
      </w:r>
      <w:r w:rsidR="00507356">
        <w:t xml:space="preserve">that is, </w:t>
      </w:r>
      <w:r w:rsidR="00DA4321">
        <w:t xml:space="preserve">clinical utility was expected </w:t>
      </w:r>
      <w:r>
        <w:t>regardless of where the</w:t>
      </w:r>
      <w:r w:rsidR="005D0C61">
        <w:t xml:space="preserve"> </w:t>
      </w:r>
      <w:r w:rsidR="00DA4321" w:rsidRPr="00625ACC">
        <w:rPr>
          <w:i/>
          <w:iCs/>
        </w:rPr>
        <w:t>BRCA</w:t>
      </w:r>
      <w:r w:rsidR="00DA4321">
        <w:t xml:space="preserve"> </w:t>
      </w:r>
      <w:r w:rsidR="005D0C61">
        <w:t>pathogenic variant originated.</w:t>
      </w:r>
      <w:r w:rsidR="00D1581E">
        <w:t xml:space="preserve"> As a somatic variant may only have “one hit” whereas germline variants have a “double hit”, it is plausible that the predictive effect would be smaller for somatic than germline variants.</w:t>
      </w:r>
    </w:p>
    <w:p w14:paraId="5DACA1F5" w14:textId="53343311" w:rsidR="00F17913" w:rsidRPr="00617AA2" w:rsidRDefault="000205B4" w:rsidP="002E6BB0">
      <w:pPr>
        <w:spacing w:after="240"/>
      </w:pPr>
      <w:r>
        <w:t xml:space="preserve">MSAC considered that </w:t>
      </w:r>
      <w:r w:rsidR="00AC431C">
        <w:t xml:space="preserve">the low utilisation of MBS item 73295 suggested that </w:t>
      </w:r>
      <w:r>
        <w:t>m</w:t>
      </w:r>
      <w:r w:rsidRPr="00FA7C19">
        <w:t xml:space="preserve">ost patients </w:t>
      </w:r>
      <w:r w:rsidR="004E4C08">
        <w:t xml:space="preserve">considered potentially suitable for olaparib </w:t>
      </w:r>
      <w:r w:rsidR="00AC431C">
        <w:t>w</w:t>
      </w:r>
      <w:r w:rsidRPr="00FA7C19">
        <w:t xml:space="preserve">ould already be eligible for germline </w:t>
      </w:r>
      <w:r w:rsidR="00DA4321" w:rsidRPr="00625ACC">
        <w:rPr>
          <w:i/>
          <w:iCs/>
        </w:rPr>
        <w:t>BRCA</w:t>
      </w:r>
      <w:r w:rsidR="00DA4321">
        <w:t xml:space="preserve"> </w:t>
      </w:r>
      <w:r w:rsidRPr="00FA7C19">
        <w:t xml:space="preserve">testing </w:t>
      </w:r>
      <w:r w:rsidR="00DA4321">
        <w:t xml:space="preserve">via MBS item 73296 </w:t>
      </w:r>
      <w:r w:rsidRPr="00FA7C19">
        <w:t xml:space="preserve">because </w:t>
      </w:r>
      <w:r w:rsidRPr="00617AA2">
        <w:t>of their</w:t>
      </w:r>
      <w:r w:rsidR="00A459B1">
        <w:t xml:space="preserve"> expected</w:t>
      </w:r>
      <w:r w:rsidRPr="00617AA2">
        <w:t xml:space="preserve"> &gt;10% </w:t>
      </w:r>
      <w:r>
        <w:t xml:space="preserve">risk </w:t>
      </w:r>
      <w:r w:rsidRPr="00617AA2">
        <w:t xml:space="preserve">of having a </w:t>
      </w:r>
      <w:r w:rsidRPr="00534360">
        <w:rPr>
          <w:i/>
          <w:iCs/>
        </w:rPr>
        <w:t>BRCA1/2</w:t>
      </w:r>
      <w:r w:rsidRPr="00617AA2">
        <w:t xml:space="preserve"> pathogenic variant. </w:t>
      </w:r>
      <w:r>
        <w:t xml:space="preserve">MSAC </w:t>
      </w:r>
      <w:r w:rsidR="00AC431C">
        <w:t xml:space="preserve">therefore </w:t>
      </w:r>
      <w:r>
        <w:t xml:space="preserve">considered that the number of extra women eligible for testing by including somatic </w:t>
      </w:r>
      <w:r w:rsidR="00A459B1" w:rsidRPr="00625ACC">
        <w:rPr>
          <w:i/>
          <w:iCs/>
        </w:rPr>
        <w:t>BRCA</w:t>
      </w:r>
      <w:r w:rsidR="00A459B1">
        <w:t xml:space="preserve"> </w:t>
      </w:r>
      <w:r>
        <w:t xml:space="preserve">testing would be small. MSAC also noted that somatic </w:t>
      </w:r>
      <w:r w:rsidR="00A459B1" w:rsidRPr="00625ACC">
        <w:rPr>
          <w:i/>
          <w:iCs/>
        </w:rPr>
        <w:t>BRCA</w:t>
      </w:r>
      <w:r w:rsidR="00A459B1">
        <w:t xml:space="preserve"> </w:t>
      </w:r>
      <w:r>
        <w:t>testing is likely to detect about 5% more</w:t>
      </w:r>
      <w:r w:rsidR="00DA4321">
        <w:t xml:space="preserve"> women with</w:t>
      </w:r>
      <w:r>
        <w:t xml:space="preserve"> </w:t>
      </w:r>
      <w:r w:rsidRPr="005A3291">
        <w:rPr>
          <w:i/>
          <w:iCs/>
        </w:rPr>
        <w:t>BRCA</w:t>
      </w:r>
      <w:r>
        <w:t xml:space="preserve"> pathogenic varian</w:t>
      </w:r>
      <w:r w:rsidR="005D0C61">
        <w:t xml:space="preserve">ts than </w:t>
      </w:r>
      <w:r w:rsidR="004E4C08">
        <w:t xml:space="preserve">detected by </w:t>
      </w:r>
      <w:r w:rsidR="005D0C61">
        <w:t xml:space="preserve">germline </w:t>
      </w:r>
      <w:r w:rsidR="00A459B1" w:rsidRPr="00625ACC">
        <w:rPr>
          <w:i/>
          <w:iCs/>
        </w:rPr>
        <w:t>BRCA</w:t>
      </w:r>
      <w:r w:rsidR="00A459B1">
        <w:t xml:space="preserve"> </w:t>
      </w:r>
      <w:r w:rsidR="005D0C61">
        <w:t>testing alone.</w:t>
      </w:r>
    </w:p>
    <w:p w14:paraId="7945E2FC" w14:textId="406CCAE7" w:rsidR="00F17913" w:rsidRDefault="000205B4" w:rsidP="002E6BB0">
      <w:pPr>
        <w:spacing w:after="240"/>
      </w:pPr>
      <w:r>
        <w:t xml:space="preserve">MSAC considered that the order of the testing (e.g. somatic then germline, or germline </w:t>
      </w:r>
      <w:r w:rsidR="00AC431C">
        <w:t>then somatic</w:t>
      </w:r>
      <w:r>
        <w:t xml:space="preserve">) was not </w:t>
      </w:r>
      <w:r w:rsidR="00AC431C">
        <w:t>important to its advice</w:t>
      </w:r>
      <w:r>
        <w:t xml:space="preserve">, and that </w:t>
      </w:r>
      <w:r w:rsidR="00AC431C">
        <w:t xml:space="preserve">the </w:t>
      </w:r>
      <w:r>
        <w:t xml:space="preserve">order of testing would depend on the </w:t>
      </w:r>
      <w:r>
        <w:lastRenderedPageBreak/>
        <w:t xml:space="preserve">clinical situation. MSAC accepted that women </w:t>
      </w:r>
      <w:r w:rsidR="00AC431C">
        <w:t xml:space="preserve">first identified </w:t>
      </w:r>
      <w:r>
        <w:t xml:space="preserve">with a somatic </w:t>
      </w:r>
      <w:r w:rsidRPr="005A3291">
        <w:rPr>
          <w:i/>
          <w:iCs/>
        </w:rPr>
        <w:t>BRCA</w:t>
      </w:r>
      <w:r>
        <w:t>m should be followed up with germline testing, and that predictive</w:t>
      </w:r>
      <w:r w:rsidR="00614954">
        <w:t xml:space="preserve"> (cascade</w:t>
      </w:r>
      <w:r w:rsidR="004E4C08">
        <w:t>)</w:t>
      </w:r>
      <w:r>
        <w:t xml:space="preserve"> testing should </w:t>
      </w:r>
      <w:r w:rsidR="00A459B1">
        <w:t xml:space="preserve">still </w:t>
      </w:r>
      <w:r>
        <w:t xml:space="preserve">be offered </w:t>
      </w:r>
      <w:r w:rsidR="00A459B1">
        <w:t xml:space="preserve">only </w:t>
      </w:r>
      <w:r>
        <w:t xml:space="preserve">to family members of women with confirmed germline </w:t>
      </w:r>
      <w:r w:rsidRPr="005A3291">
        <w:rPr>
          <w:i/>
          <w:iCs/>
        </w:rPr>
        <w:t>BRCA</w:t>
      </w:r>
      <w:r>
        <w:t>m</w:t>
      </w:r>
      <w:r w:rsidR="00A459B1">
        <w:t xml:space="preserve"> (MBS item 73297)</w:t>
      </w:r>
      <w:r>
        <w:t xml:space="preserve">. However, </w:t>
      </w:r>
      <w:r w:rsidR="00507356">
        <w:t xml:space="preserve">this </w:t>
      </w:r>
      <w:r>
        <w:t>predictive testing should not be offered to family members of women with variants of unknown significance.</w:t>
      </w:r>
    </w:p>
    <w:p w14:paraId="0921E938" w14:textId="77777777" w:rsidR="000205B4" w:rsidRPr="00617AA2" w:rsidRDefault="000205B4" w:rsidP="000205B4">
      <w:pPr>
        <w:pStyle w:val="NormalBeforeBullet"/>
      </w:pPr>
      <w:r w:rsidRPr="00617AA2">
        <w:t>MSAC noted the economic evaluation was slightly uncertain as it:</w:t>
      </w:r>
    </w:p>
    <w:p w14:paraId="74FCACA2" w14:textId="77777777" w:rsidR="000205B4" w:rsidRPr="00617AA2" w:rsidRDefault="000205B4" w:rsidP="000205B4">
      <w:pPr>
        <w:pStyle w:val="Bullet"/>
      </w:pPr>
      <w:r w:rsidRPr="00617AA2">
        <w:t xml:space="preserve">underestimated the germline </w:t>
      </w:r>
      <w:r w:rsidRPr="00617AA2">
        <w:rPr>
          <w:i/>
          <w:iCs/>
        </w:rPr>
        <w:t>BRCA</w:t>
      </w:r>
      <w:r w:rsidRPr="00617AA2">
        <w:t xml:space="preserve"> tests displaced</w:t>
      </w:r>
    </w:p>
    <w:p w14:paraId="1C77B1E6" w14:textId="77777777" w:rsidR="000205B4" w:rsidRPr="00617AA2" w:rsidRDefault="000205B4" w:rsidP="000205B4">
      <w:pPr>
        <w:pStyle w:val="Bullet"/>
      </w:pPr>
      <w:r w:rsidRPr="00617AA2">
        <w:t xml:space="preserve">did not include subsequent germline </w:t>
      </w:r>
      <w:r w:rsidRPr="00617AA2">
        <w:rPr>
          <w:i/>
          <w:iCs/>
        </w:rPr>
        <w:t>BRCA</w:t>
      </w:r>
      <w:r w:rsidRPr="00617AA2">
        <w:t xml:space="preserve"> testing (</w:t>
      </w:r>
      <w:r w:rsidR="00A459B1">
        <w:t xml:space="preserve">to identify the need </w:t>
      </w:r>
      <w:r w:rsidRPr="00617AA2">
        <w:t xml:space="preserve">for familial testing) after a positive somatic </w:t>
      </w:r>
      <w:r w:rsidRPr="00617AA2">
        <w:rPr>
          <w:i/>
          <w:iCs/>
        </w:rPr>
        <w:t>BRCA</w:t>
      </w:r>
      <w:r w:rsidRPr="00617AA2">
        <w:t xml:space="preserve"> test</w:t>
      </w:r>
      <w:r w:rsidR="004F698E">
        <w:t xml:space="preserve"> result</w:t>
      </w:r>
      <w:r w:rsidR="0093746D">
        <w:t>; and</w:t>
      </w:r>
    </w:p>
    <w:p w14:paraId="36F07F86" w14:textId="77777777" w:rsidR="000205B4" w:rsidRPr="00617AA2" w:rsidRDefault="000205B4" w:rsidP="000205B4">
      <w:pPr>
        <w:pStyle w:val="BulletLast"/>
      </w:pPr>
      <w:r w:rsidRPr="00617AA2">
        <w:t xml:space="preserve">calculated the overall cost to the MBS using 100% </w:t>
      </w:r>
      <w:r>
        <w:t xml:space="preserve">of the </w:t>
      </w:r>
      <w:r w:rsidRPr="00617AA2">
        <w:t>MBS item fee, rather than applying the 85% or 75% rebate, or a combination of both.</w:t>
      </w:r>
    </w:p>
    <w:p w14:paraId="4ABA1039" w14:textId="1F8DCFDF" w:rsidR="00614954" w:rsidRDefault="000205B4" w:rsidP="002E6BB0">
      <w:pPr>
        <w:spacing w:after="240"/>
      </w:pPr>
      <w:r>
        <w:t>However, MSAC accepted that</w:t>
      </w:r>
      <w:r w:rsidRPr="00923A68">
        <w:t xml:space="preserve"> </w:t>
      </w:r>
      <w:r>
        <w:t xml:space="preserve">these uncertainties would not have a large impact on the overall </w:t>
      </w:r>
      <w:r w:rsidR="00507356">
        <w:t xml:space="preserve">MBS </w:t>
      </w:r>
      <w:r>
        <w:t>budget, because of the few additional women who would become eligible for this test.</w:t>
      </w:r>
    </w:p>
    <w:p w14:paraId="16C5A622" w14:textId="6B8D195F" w:rsidR="00507356" w:rsidRDefault="0093746D" w:rsidP="002E6BB0">
      <w:pPr>
        <w:spacing w:after="240"/>
      </w:pPr>
      <w:r>
        <w:t>In the absence of</w:t>
      </w:r>
      <w:r w:rsidR="00E76FF0">
        <w:t xml:space="preserve"> sufficient justification, MSAC did not support a larger fee for somatic </w:t>
      </w:r>
      <w:r w:rsidR="00E76FF0" w:rsidRPr="00625ACC">
        <w:rPr>
          <w:i/>
          <w:iCs/>
        </w:rPr>
        <w:t>BRCA</w:t>
      </w:r>
      <w:r w:rsidR="00E76FF0">
        <w:t xml:space="preserve"> testing </w:t>
      </w:r>
      <w:r w:rsidR="00614954">
        <w:t xml:space="preserve">(proposed item XXXXX) </w:t>
      </w:r>
      <w:r w:rsidR="00E76FF0">
        <w:t xml:space="preserve">than </w:t>
      </w:r>
      <w:r w:rsidR="00DA4321">
        <w:t xml:space="preserve">for </w:t>
      </w:r>
      <w:r w:rsidR="00614954">
        <w:t xml:space="preserve">existing </w:t>
      </w:r>
      <w:r w:rsidR="00E76FF0">
        <w:t xml:space="preserve">germline </w:t>
      </w:r>
      <w:r w:rsidR="00E76FF0" w:rsidRPr="00625ACC">
        <w:rPr>
          <w:i/>
          <w:iCs/>
        </w:rPr>
        <w:t>BRCA</w:t>
      </w:r>
      <w:r w:rsidR="00E76FF0">
        <w:t xml:space="preserve"> testing</w:t>
      </w:r>
      <w:r w:rsidR="00614954">
        <w:t xml:space="preserve"> (MBS items 73295 and 73296)</w:t>
      </w:r>
      <w:r w:rsidR="00E76FF0">
        <w:t>.</w:t>
      </w:r>
    </w:p>
    <w:p w14:paraId="3B185079" w14:textId="722E3371" w:rsidR="00F17913" w:rsidRDefault="000205B4" w:rsidP="000205B4">
      <w:r>
        <w:t xml:space="preserve">MSAC noted some issues with the proposed descriptor for item XXXXX, and the applicant’s pre-MSAC response suggesting it was amenable to changes to the descriptor. MSAC agreed that an additional item YYYYY be created to </w:t>
      </w:r>
      <w:r w:rsidR="00DA4321">
        <w:t xml:space="preserve">identify the need </w:t>
      </w:r>
      <w:r>
        <w:t>for predictive testing in family members</w:t>
      </w:r>
      <w:r w:rsidR="00614954">
        <w:t xml:space="preserve">, however, MSAC advised that </w:t>
      </w:r>
      <w:r w:rsidR="00D1581E">
        <w:t xml:space="preserve">the fee for </w:t>
      </w:r>
      <w:r w:rsidR="00614954">
        <w:t>this</w:t>
      </w:r>
      <w:r>
        <w:t xml:space="preserve"> targeted testing </w:t>
      </w:r>
      <w:r w:rsidR="00D1581E">
        <w:t xml:space="preserve">item </w:t>
      </w:r>
      <w:r w:rsidR="00614954">
        <w:t>sh</w:t>
      </w:r>
      <w:r>
        <w:t xml:space="preserve">ould </w:t>
      </w:r>
      <w:r w:rsidR="00D1581E">
        <w:t xml:space="preserve">be similar to those for </w:t>
      </w:r>
      <w:r>
        <w:t xml:space="preserve">other </w:t>
      </w:r>
      <w:r w:rsidR="00614954">
        <w:t xml:space="preserve">existing </w:t>
      </w:r>
      <w:r>
        <w:t xml:space="preserve">cascade testing items (i.e. a particular variant is being looked for; the whole gene would not need to be assessed). </w:t>
      </w:r>
      <w:r w:rsidRPr="00CD1C57">
        <w:t xml:space="preserve">MSAC also </w:t>
      </w:r>
      <w:r w:rsidR="00614954" w:rsidRPr="00CD1C57">
        <w:t xml:space="preserve">advised </w:t>
      </w:r>
      <w:r w:rsidRPr="00CD1C57">
        <w:t xml:space="preserve">that MBS item 73295 also needs to be amended for patients for whom the tumour tissue is not suitable for tumour </w:t>
      </w:r>
      <w:r w:rsidRPr="00CD1C57">
        <w:rPr>
          <w:i/>
          <w:iCs/>
        </w:rPr>
        <w:t>BRCA</w:t>
      </w:r>
      <w:r w:rsidRPr="00CD1C57">
        <w:t xml:space="preserve"> testing. </w:t>
      </w:r>
      <w:r w:rsidR="00D1581E" w:rsidRPr="00CD1C57">
        <w:t xml:space="preserve">MSAC affirmed that none of these items should be pathologist determinable. </w:t>
      </w:r>
      <w:r w:rsidRPr="00CD1C57">
        <w:t>MSAC suggested the following changes (in red).</w:t>
      </w:r>
    </w:p>
    <w:tbl>
      <w:tblPr>
        <w:tblStyle w:val="TableGrid"/>
        <w:tblW w:w="0" w:type="auto"/>
        <w:tblLook w:val="04A0" w:firstRow="1" w:lastRow="0" w:firstColumn="1" w:lastColumn="0" w:noHBand="0" w:noVBand="1"/>
        <w:tblDescription w:val="MSAC suggested changes to the MBS descriptors"/>
      </w:tblPr>
      <w:tblGrid>
        <w:gridCol w:w="4505"/>
        <w:gridCol w:w="4511"/>
      </w:tblGrid>
      <w:tr w:rsidR="00F17913" w14:paraId="179EC53E" w14:textId="77777777" w:rsidTr="00296C25">
        <w:trPr>
          <w:tblHeader/>
        </w:trPr>
        <w:tc>
          <w:tcPr>
            <w:tcW w:w="9242" w:type="dxa"/>
            <w:gridSpan w:val="2"/>
            <w:tcBorders>
              <w:top w:val="single" w:sz="4" w:space="0" w:color="auto"/>
              <w:left w:val="single" w:sz="4" w:space="0" w:color="auto"/>
              <w:bottom w:val="single" w:sz="4" w:space="0" w:color="auto"/>
              <w:right w:val="single" w:sz="4" w:space="0" w:color="auto"/>
            </w:tcBorders>
          </w:tcPr>
          <w:p w14:paraId="2ED40A60" w14:textId="77777777" w:rsidR="00F17913" w:rsidRDefault="00F17913" w:rsidP="006C5CD1">
            <w:pPr>
              <w:pStyle w:val="TableText"/>
              <w:spacing w:before="33" w:after="33"/>
              <w:jc w:val="right"/>
            </w:pPr>
            <w:r>
              <w:lastRenderedPageBreak/>
              <w:t>Category 6 – Pathology services</w:t>
            </w:r>
          </w:p>
        </w:tc>
      </w:tr>
      <w:tr w:rsidR="00F17913" w14:paraId="2DC1083C" w14:textId="77777777" w:rsidTr="006C5CD1">
        <w:tc>
          <w:tcPr>
            <w:tcW w:w="4621" w:type="dxa"/>
            <w:tcBorders>
              <w:top w:val="single" w:sz="4" w:space="0" w:color="auto"/>
              <w:left w:val="single" w:sz="4" w:space="0" w:color="auto"/>
              <w:bottom w:val="single" w:sz="4" w:space="0" w:color="auto"/>
              <w:right w:val="single" w:sz="4" w:space="0" w:color="auto"/>
            </w:tcBorders>
          </w:tcPr>
          <w:p w14:paraId="41019020" w14:textId="77777777" w:rsidR="00F17913" w:rsidRDefault="00F17913" w:rsidP="006C5CD1">
            <w:pPr>
              <w:pStyle w:val="TableText"/>
              <w:spacing w:before="33" w:after="33"/>
            </w:pPr>
            <w:r>
              <w:t>MBS item 73295</w:t>
            </w:r>
          </w:p>
        </w:tc>
        <w:tc>
          <w:tcPr>
            <w:tcW w:w="4621" w:type="dxa"/>
            <w:tcBorders>
              <w:top w:val="single" w:sz="4" w:space="0" w:color="auto"/>
              <w:left w:val="single" w:sz="4" w:space="0" w:color="auto"/>
              <w:bottom w:val="single" w:sz="4" w:space="0" w:color="auto"/>
              <w:right w:val="single" w:sz="4" w:space="0" w:color="auto"/>
            </w:tcBorders>
          </w:tcPr>
          <w:p w14:paraId="7402E2BB" w14:textId="77777777" w:rsidR="00F17913" w:rsidRDefault="00F17913" w:rsidP="006C5CD1">
            <w:pPr>
              <w:pStyle w:val="TableText"/>
              <w:spacing w:before="33" w:after="33"/>
              <w:jc w:val="right"/>
            </w:pPr>
            <w:r>
              <w:t>Group P7 – Genetics</w:t>
            </w:r>
          </w:p>
        </w:tc>
      </w:tr>
      <w:tr w:rsidR="00F17913" w14:paraId="451F2A64" w14:textId="77777777" w:rsidTr="006C5CD1">
        <w:tc>
          <w:tcPr>
            <w:tcW w:w="9242" w:type="dxa"/>
            <w:gridSpan w:val="2"/>
            <w:tcBorders>
              <w:top w:val="single" w:sz="4" w:space="0" w:color="auto"/>
              <w:left w:val="single" w:sz="4" w:space="0" w:color="auto"/>
              <w:bottom w:val="single" w:sz="4" w:space="0" w:color="auto"/>
              <w:right w:val="single" w:sz="4" w:space="0" w:color="auto"/>
            </w:tcBorders>
          </w:tcPr>
          <w:p w14:paraId="168FAC3C" w14:textId="494DD1D1" w:rsidR="00F17913" w:rsidRPr="002E6BB0" w:rsidRDefault="00F17913" w:rsidP="002E6BB0">
            <w:pPr>
              <w:pStyle w:val="TableText"/>
              <w:spacing w:before="33" w:after="240"/>
            </w:pPr>
            <w:r>
              <w:t xml:space="preserve">Detection of germline BRCA1 or BRCA2 gene mutations, in a patient </w:t>
            </w:r>
            <w:r w:rsidRPr="000B1B99">
              <w:rPr>
                <w:color w:val="FF0000"/>
              </w:rPr>
              <w:t>advanced (FIGO III-IV) high-grade serous or high-grade epithelial ovarian, fallopian tube or primary peritoneal cancer</w:t>
            </w:r>
            <w:r>
              <w:t xml:space="preserve">, </w:t>
            </w:r>
            <w:r w:rsidRPr="000B1B99">
              <w:rPr>
                <w:strike/>
              </w:rPr>
              <w:t>platinum sensitive relapsed ovarian, fallopian tube or primary peritoneal cancer with high grade serous epithelial features or a high grade serous epithelial component, and who has responded to subsequent platinum based chemotherapy</w:t>
            </w:r>
            <w:r>
              <w:t xml:space="preserve">, </w:t>
            </w:r>
            <w:r w:rsidRPr="000B1B99">
              <w:rPr>
                <w:color w:val="FF0000"/>
              </w:rPr>
              <w:t>for whom testing of tumour tissue is not feasible</w:t>
            </w:r>
            <w:r>
              <w:t>, requested by a specialist or consultant physician, to germline whether the eligibility criteria for olaparib under the Pharmaceutical Benefits Scheme (PBS) are fulfilled.</w:t>
            </w:r>
          </w:p>
          <w:p w14:paraId="4A614190" w14:textId="75B9673F" w:rsidR="00F17913" w:rsidRPr="000B1B99" w:rsidRDefault="002E6BB0" w:rsidP="002E6BB0">
            <w:pPr>
              <w:pStyle w:val="TableText"/>
              <w:spacing w:before="33" w:after="240"/>
              <w:rPr>
                <w:color w:val="000000" w:themeColor="text1"/>
              </w:rPr>
            </w:pPr>
            <w:r>
              <w:rPr>
                <w:color w:val="000000" w:themeColor="text1"/>
              </w:rPr>
              <w:t>Maximum one test per lifetime</w:t>
            </w:r>
          </w:p>
          <w:p w14:paraId="101D0A41" w14:textId="77777777" w:rsidR="00F17913" w:rsidRDefault="00F17913" w:rsidP="006C5CD1">
            <w:pPr>
              <w:pStyle w:val="TableText"/>
              <w:spacing w:before="33" w:after="33"/>
            </w:pPr>
            <w:r w:rsidRPr="000B1B99">
              <w:rPr>
                <w:color w:val="000000" w:themeColor="text1"/>
              </w:rPr>
              <w:t>Fee: $1200.00 Benefit: 75% = $900.00 85% = $1116.60</w:t>
            </w:r>
          </w:p>
        </w:tc>
      </w:tr>
      <w:tr w:rsidR="00F17913" w14:paraId="485D021C" w14:textId="77777777" w:rsidTr="006C5CD1">
        <w:tc>
          <w:tcPr>
            <w:tcW w:w="4621" w:type="dxa"/>
            <w:tcBorders>
              <w:top w:val="single" w:sz="4" w:space="0" w:color="auto"/>
              <w:left w:val="single" w:sz="4" w:space="0" w:color="auto"/>
              <w:bottom w:val="nil"/>
              <w:right w:val="nil"/>
            </w:tcBorders>
          </w:tcPr>
          <w:p w14:paraId="57AA22CE" w14:textId="77777777" w:rsidR="00F17913" w:rsidRDefault="00F17913" w:rsidP="006C5CD1">
            <w:pPr>
              <w:pStyle w:val="TableText"/>
              <w:spacing w:before="33" w:after="33"/>
            </w:pPr>
            <w:r>
              <w:t>MBS item XXXXX</w:t>
            </w:r>
          </w:p>
        </w:tc>
        <w:tc>
          <w:tcPr>
            <w:tcW w:w="4621" w:type="dxa"/>
            <w:tcBorders>
              <w:top w:val="single" w:sz="4" w:space="0" w:color="auto"/>
              <w:left w:val="nil"/>
              <w:bottom w:val="nil"/>
              <w:right w:val="single" w:sz="4" w:space="0" w:color="auto"/>
            </w:tcBorders>
          </w:tcPr>
          <w:p w14:paraId="350628EE" w14:textId="77777777" w:rsidR="00F17913" w:rsidRDefault="00F17913" w:rsidP="006C5CD1">
            <w:pPr>
              <w:pStyle w:val="TableText"/>
              <w:spacing w:before="33" w:after="33"/>
              <w:jc w:val="right"/>
            </w:pPr>
            <w:r>
              <w:t>Group P7 – Genetics</w:t>
            </w:r>
          </w:p>
        </w:tc>
      </w:tr>
      <w:tr w:rsidR="00F17913" w14:paraId="33E596A1" w14:textId="77777777" w:rsidTr="006C5CD1">
        <w:tc>
          <w:tcPr>
            <w:tcW w:w="9242" w:type="dxa"/>
            <w:gridSpan w:val="2"/>
            <w:tcBorders>
              <w:top w:val="nil"/>
              <w:left w:val="single" w:sz="4" w:space="0" w:color="auto"/>
              <w:bottom w:val="single" w:sz="4" w:space="0" w:color="auto"/>
              <w:right w:val="single" w:sz="4" w:space="0" w:color="auto"/>
            </w:tcBorders>
          </w:tcPr>
          <w:p w14:paraId="3326C93C" w14:textId="77777777" w:rsidR="00F17913" w:rsidRDefault="00F17913" w:rsidP="006C5CD1">
            <w:pPr>
              <w:pStyle w:val="TableText"/>
              <w:spacing w:before="33" w:after="33"/>
            </w:pPr>
            <w:r>
              <w:t xml:space="preserve">A test of tumour tissue from a patient diagnosed with advanced, </w:t>
            </w:r>
            <w:r w:rsidRPr="005A21EE">
              <w:rPr>
                <w:strike/>
                <w:color w:val="FF0000"/>
              </w:rPr>
              <w:t>high-grade or</w:t>
            </w:r>
            <w:r w:rsidRPr="005A21EE">
              <w:rPr>
                <w:color w:val="FF0000"/>
              </w:rPr>
              <w:t xml:space="preserve"> </w:t>
            </w:r>
            <w:r>
              <w:t>high grade epithelial ovarian, fallopian tube</w:t>
            </w:r>
            <w:r w:rsidR="00614954">
              <w:t xml:space="preserve"> </w:t>
            </w:r>
            <w:r>
              <w:t>or primary peritoneal cancer requested by a specialist or consultant physician, to determine whether the requirements</w:t>
            </w:r>
            <w:r w:rsidR="00614954">
              <w:t xml:space="preserve"> </w:t>
            </w:r>
            <w:r>
              <w:t>relating to BRCA status for access to olaparib under the Pharmaceutical Benefits Scheme (PBS) are fulfilled.</w:t>
            </w:r>
          </w:p>
          <w:p w14:paraId="06EBEA62" w14:textId="40BCE104" w:rsidR="00F17913" w:rsidRPr="002E6BB0" w:rsidRDefault="00F17913" w:rsidP="002E6BB0">
            <w:pPr>
              <w:pStyle w:val="TableText"/>
              <w:spacing w:before="240" w:after="240"/>
              <w:rPr>
                <w:strike/>
                <w:color w:val="FF0000"/>
              </w:rPr>
            </w:pPr>
            <w:r w:rsidRPr="005A21EE">
              <w:rPr>
                <w:strike/>
                <w:color w:val="FF0000"/>
              </w:rPr>
              <w:t>Maximum one test per lifetime</w:t>
            </w:r>
            <w:r w:rsidRPr="005A21EE">
              <w:rPr>
                <w:color w:val="FF0000"/>
              </w:rPr>
              <w:t xml:space="preserve"> Once per primary tumour diagnosis</w:t>
            </w:r>
          </w:p>
          <w:p w14:paraId="238B5917" w14:textId="28A688F6" w:rsidR="00F17913" w:rsidRDefault="00F17913" w:rsidP="006C5CD1">
            <w:pPr>
              <w:pStyle w:val="TableText"/>
              <w:spacing w:before="33" w:after="33"/>
            </w:pPr>
            <w:r>
              <w:t xml:space="preserve">Fee: </w:t>
            </w:r>
            <w:r w:rsidRPr="00182024">
              <w:rPr>
                <w:strike/>
                <w:color w:val="FF0000"/>
              </w:rPr>
              <w:t>$</w:t>
            </w:r>
            <w:r w:rsidR="00D705FE" w:rsidRPr="00182024">
              <w:rPr>
                <w:b/>
                <w:strike/>
                <w:color w:val="FF0000"/>
              </w:rPr>
              <w:t>redacted</w:t>
            </w:r>
            <w:r w:rsidR="00D705FE" w:rsidRPr="00182024">
              <w:rPr>
                <w:color w:val="FF0000"/>
              </w:rPr>
              <w:t xml:space="preserve"> </w:t>
            </w:r>
            <w:r>
              <w:rPr>
                <w:color w:val="FF0000"/>
              </w:rPr>
              <w:t xml:space="preserve">$1200.00 </w:t>
            </w:r>
            <w:r>
              <w:t xml:space="preserve">Benefit: 75% = </w:t>
            </w:r>
            <w:r w:rsidR="00182024" w:rsidRPr="00182024">
              <w:rPr>
                <w:strike/>
                <w:color w:val="FF0000"/>
              </w:rPr>
              <w:t>$</w:t>
            </w:r>
            <w:r w:rsidR="00182024" w:rsidRPr="00182024">
              <w:rPr>
                <w:b/>
                <w:strike/>
                <w:color w:val="FF0000"/>
              </w:rPr>
              <w:t>redacted</w:t>
            </w:r>
            <w:r w:rsidR="00182024" w:rsidRPr="00182024">
              <w:rPr>
                <w:color w:val="FF0000"/>
              </w:rPr>
              <w:t xml:space="preserve"> </w:t>
            </w:r>
            <w:r>
              <w:rPr>
                <w:color w:val="FF0000"/>
              </w:rPr>
              <w:t xml:space="preserve">$900.00 </w:t>
            </w:r>
            <w:r>
              <w:t xml:space="preserve">85% = </w:t>
            </w:r>
            <w:r w:rsidR="00182024" w:rsidRPr="00182024">
              <w:rPr>
                <w:strike/>
                <w:color w:val="FF0000"/>
              </w:rPr>
              <w:t>$</w:t>
            </w:r>
            <w:r w:rsidR="00182024" w:rsidRPr="00182024">
              <w:rPr>
                <w:b/>
                <w:strike/>
                <w:color w:val="FF0000"/>
              </w:rPr>
              <w:t>redacted</w:t>
            </w:r>
            <w:r w:rsidR="00182024" w:rsidRPr="00182024">
              <w:rPr>
                <w:color w:val="FF0000"/>
              </w:rPr>
              <w:t xml:space="preserve"> </w:t>
            </w:r>
            <w:r>
              <w:rPr>
                <w:color w:val="FF0000"/>
              </w:rPr>
              <w:t>$1116.60</w:t>
            </w:r>
          </w:p>
        </w:tc>
      </w:tr>
      <w:tr w:rsidR="00F17913" w14:paraId="22C644FD" w14:textId="77777777" w:rsidTr="006C5CD1">
        <w:tc>
          <w:tcPr>
            <w:tcW w:w="4621" w:type="dxa"/>
            <w:tcBorders>
              <w:top w:val="single" w:sz="4" w:space="0" w:color="auto"/>
              <w:left w:val="single" w:sz="4" w:space="0" w:color="auto"/>
              <w:bottom w:val="nil"/>
              <w:right w:val="nil"/>
            </w:tcBorders>
          </w:tcPr>
          <w:p w14:paraId="09D07F13" w14:textId="77777777" w:rsidR="00F17913" w:rsidRDefault="00F17913" w:rsidP="006C5CD1">
            <w:pPr>
              <w:pStyle w:val="TableText"/>
              <w:spacing w:before="33" w:after="33"/>
            </w:pPr>
            <w:r>
              <w:t>MBS item YYYYY</w:t>
            </w:r>
          </w:p>
        </w:tc>
        <w:tc>
          <w:tcPr>
            <w:tcW w:w="4621" w:type="dxa"/>
            <w:tcBorders>
              <w:top w:val="single" w:sz="4" w:space="0" w:color="auto"/>
              <w:left w:val="nil"/>
              <w:bottom w:val="nil"/>
              <w:right w:val="single" w:sz="4" w:space="0" w:color="auto"/>
            </w:tcBorders>
          </w:tcPr>
          <w:p w14:paraId="1EA7B48D" w14:textId="77777777" w:rsidR="00F17913" w:rsidRDefault="00F17913" w:rsidP="006C5CD1">
            <w:pPr>
              <w:pStyle w:val="TableText"/>
              <w:spacing w:before="33" w:after="33"/>
              <w:jc w:val="right"/>
            </w:pPr>
            <w:r>
              <w:t>Group P7 – Genetics</w:t>
            </w:r>
          </w:p>
        </w:tc>
      </w:tr>
      <w:tr w:rsidR="00F17913" w14:paraId="118A1B0F" w14:textId="77777777" w:rsidTr="006C5CD1">
        <w:tc>
          <w:tcPr>
            <w:tcW w:w="9242" w:type="dxa"/>
            <w:gridSpan w:val="2"/>
            <w:tcBorders>
              <w:top w:val="nil"/>
              <w:left w:val="single" w:sz="4" w:space="0" w:color="auto"/>
              <w:bottom w:val="single" w:sz="4" w:space="0" w:color="auto"/>
              <w:right w:val="single" w:sz="4" w:space="0" w:color="auto"/>
            </w:tcBorders>
          </w:tcPr>
          <w:p w14:paraId="6CFC0E7C" w14:textId="4AFEE4AF" w:rsidR="00F17913" w:rsidRPr="002E6BB0" w:rsidRDefault="00F17913" w:rsidP="006C5CD1">
            <w:pPr>
              <w:pStyle w:val="TableText"/>
              <w:spacing w:before="33" w:after="33"/>
              <w:rPr>
                <w:color w:val="000000" w:themeColor="text1"/>
              </w:rPr>
            </w:pPr>
            <w:r w:rsidRPr="005A21EE">
              <w:rPr>
                <w:color w:val="FF0000"/>
              </w:rPr>
              <w:t xml:space="preserve">Targeted germline mutation testing </w:t>
            </w:r>
            <w:r w:rsidRPr="005A21EE">
              <w:rPr>
                <w:strike/>
                <w:color w:val="FF0000"/>
              </w:rPr>
              <w:t>Characterisation of germline gene mutations</w:t>
            </w:r>
            <w:r>
              <w:rPr>
                <w:color w:val="000000" w:themeColor="text1"/>
              </w:rPr>
              <w:t xml:space="preserve">, requested by a specialist or consultant physician, </w:t>
            </w:r>
            <w:r w:rsidRPr="005A21EE">
              <w:rPr>
                <w:color w:val="FF0000"/>
              </w:rPr>
              <w:t>for a pathogenic or likely pathogenic mutation (including copy number variants)</w:t>
            </w:r>
            <w:r w:rsidRPr="005A21EE">
              <w:rPr>
                <w:strike/>
                <w:color w:val="FF0000"/>
              </w:rPr>
              <w:t>ion</w:t>
            </w:r>
            <w:r w:rsidRPr="005A21EE">
              <w:rPr>
                <w:color w:val="FF0000"/>
              </w:rPr>
              <w:t xml:space="preserve"> </w:t>
            </w:r>
            <w:r>
              <w:rPr>
                <w:color w:val="000000" w:themeColor="text1"/>
              </w:rPr>
              <w:t xml:space="preserve">in BRCA1 </w:t>
            </w:r>
            <w:r w:rsidRPr="005A21EE">
              <w:rPr>
                <w:strike/>
                <w:color w:val="FF0000"/>
              </w:rPr>
              <w:t>and</w:t>
            </w:r>
            <w:r w:rsidRPr="005A21EE">
              <w:rPr>
                <w:color w:val="FF0000"/>
              </w:rPr>
              <w:t xml:space="preserve"> or BRCA2 genes</w:t>
            </w:r>
            <w:r>
              <w:rPr>
                <w:color w:val="000000" w:themeColor="text1"/>
              </w:rPr>
              <w:t xml:space="preserve"> </w:t>
            </w:r>
            <w:r w:rsidRPr="005A21EE">
              <w:rPr>
                <w:strike/>
                <w:color w:val="FF0000"/>
              </w:rPr>
              <w:t>in a patient who has had a pathogenic or likely pathogenic mutation identified in one or more of the genes specified above</w:t>
            </w:r>
            <w:r w:rsidRPr="005A21EE">
              <w:rPr>
                <w:color w:val="FF0000"/>
              </w:rPr>
              <w:t xml:space="preserve"> </w:t>
            </w:r>
            <w:r w:rsidRPr="001623F0">
              <w:rPr>
                <w:color w:val="FF0000"/>
              </w:rPr>
              <w:t xml:space="preserve">in a patient </w:t>
            </w:r>
            <w:r>
              <w:rPr>
                <w:color w:val="000000" w:themeColor="text1"/>
              </w:rPr>
              <w:t>by tumour testing (MBS item XXXXX).</w:t>
            </w:r>
          </w:p>
          <w:p w14:paraId="3BE2965A" w14:textId="628C4B15" w:rsidR="00F17913" w:rsidRPr="002E6BB0" w:rsidRDefault="00F17913" w:rsidP="002E6BB0">
            <w:pPr>
              <w:pStyle w:val="TableText"/>
              <w:spacing w:before="240" w:after="240"/>
              <w:rPr>
                <w:strike/>
                <w:color w:val="FF0000"/>
              </w:rPr>
            </w:pPr>
            <w:r w:rsidRPr="005A21EE">
              <w:rPr>
                <w:strike/>
                <w:color w:val="FF0000"/>
              </w:rPr>
              <w:t>Maximum one test per lifetime</w:t>
            </w:r>
            <w:r w:rsidRPr="005A21EE">
              <w:rPr>
                <w:color w:val="FF0000"/>
              </w:rPr>
              <w:t xml:space="preserve"> Once per primary tumour diagnosis</w:t>
            </w:r>
          </w:p>
          <w:p w14:paraId="7EAEC35F" w14:textId="77777777" w:rsidR="00F17913" w:rsidRDefault="00F17913" w:rsidP="006C5CD1">
            <w:pPr>
              <w:pStyle w:val="TableText"/>
              <w:spacing w:before="33" w:after="33"/>
            </w:pPr>
            <w:r w:rsidRPr="001623F0">
              <w:rPr>
                <w:color w:val="000000" w:themeColor="text1"/>
              </w:rPr>
              <w:t xml:space="preserve">Fee: $400.00 Benefit: 75% = </w:t>
            </w:r>
            <w:r>
              <w:rPr>
                <w:color w:val="000000" w:themeColor="text1"/>
              </w:rPr>
              <w:t>300</w:t>
            </w:r>
            <w:r w:rsidRPr="001623F0">
              <w:rPr>
                <w:color w:val="000000" w:themeColor="text1"/>
              </w:rPr>
              <w:t>.00 85% = $</w:t>
            </w:r>
            <w:r>
              <w:rPr>
                <w:color w:val="000000" w:themeColor="text1"/>
              </w:rPr>
              <w:t>340.00</w:t>
            </w:r>
            <w:r w:rsidRPr="001623F0">
              <w:rPr>
                <w:color w:val="000000" w:themeColor="text1"/>
              </w:rPr>
              <w:t xml:space="preserve"> </w:t>
            </w:r>
          </w:p>
        </w:tc>
      </w:tr>
      <w:tr w:rsidR="00F17913" w14:paraId="1298B3F0" w14:textId="77777777" w:rsidTr="006C5CD1">
        <w:tc>
          <w:tcPr>
            <w:tcW w:w="9242" w:type="dxa"/>
            <w:gridSpan w:val="2"/>
            <w:tcBorders>
              <w:top w:val="single" w:sz="4" w:space="0" w:color="auto"/>
              <w:left w:val="single" w:sz="4" w:space="0" w:color="auto"/>
              <w:bottom w:val="single" w:sz="4" w:space="0" w:color="auto"/>
              <w:right w:val="single" w:sz="4" w:space="0" w:color="auto"/>
            </w:tcBorders>
          </w:tcPr>
          <w:p w14:paraId="7A3CD88D" w14:textId="77777777" w:rsidR="00F17913" w:rsidRPr="001623F0" w:rsidRDefault="00F17913" w:rsidP="006C5CD1">
            <w:pPr>
              <w:pStyle w:val="TableText"/>
              <w:spacing w:before="33" w:after="33"/>
              <w:rPr>
                <w:b/>
                <w:bCs/>
                <w:color w:val="FF0000"/>
              </w:rPr>
            </w:pPr>
            <w:r w:rsidRPr="001623F0">
              <w:rPr>
                <w:b/>
                <w:bCs/>
                <w:color w:val="FF0000"/>
              </w:rPr>
              <w:t>Explanatory notes</w:t>
            </w:r>
          </w:p>
          <w:p w14:paraId="0B4C8BB7" w14:textId="77777777" w:rsidR="00F17913" w:rsidRPr="005A21EE" w:rsidRDefault="00F17913" w:rsidP="006C5CD1">
            <w:pPr>
              <w:pStyle w:val="TableText"/>
              <w:spacing w:before="33" w:after="33"/>
              <w:rPr>
                <w:color w:val="FF0000"/>
              </w:rPr>
            </w:pPr>
            <w:r>
              <w:rPr>
                <w:color w:val="FF0000"/>
              </w:rPr>
              <w:t>Patients who are found to have a pathogenic or likely pathogenic variant in BRCA1 or BRCA2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1BD30DA0" w14:textId="715C0A23" w:rsidR="00F17913" w:rsidRDefault="00F17913" w:rsidP="002E6BB0">
      <w:pPr>
        <w:spacing w:before="240"/>
      </w:pPr>
      <w:r w:rsidRPr="00CD1C57">
        <w:t xml:space="preserve">MSAC </w:t>
      </w:r>
      <w:r w:rsidR="00AC75E7" w:rsidRPr="00CD1C57">
        <w:t>advised</w:t>
      </w:r>
      <w:r w:rsidRPr="00CD1C57">
        <w:t xml:space="preserve"> that imp</w:t>
      </w:r>
      <w:r w:rsidRPr="00595AB2">
        <w:t>lementation of this advice would need coordination via the PBAC to change the existing PBS restriction for olaparib.</w:t>
      </w:r>
    </w:p>
    <w:p w14:paraId="0ABE772A" w14:textId="77777777" w:rsidR="00F23AA4" w:rsidRPr="00F715D1" w:rsidRDefault="00F23AA4" w:rsidP="00F23AA4">
      <w:pPr>
        <w:pStyle w:val="Heading1"/>
      </w:pPr>
      <w:r w:rsidRPr="00F715D1">
        <w:t>Background</w:t>
      </w:r>
    </w:p>
    <w:p w14:paraId="47EE3709" w14:textId="77777777" w:rsidR="00BF1DC1" w:rsidRDefault="00BF1DC1" w:rsidP="00BF1DC1">
      <w:pPr>
        <w:pStyle w:val="MSACESParagraph"/>
        <w:rPr>
          <w:rFonts w:cs="Arial"/>
          <w:i/>
        </w:rPr>
      </w:pPr>
      <w:r w:rsidRPr="007475E2">
        <w:rPr>
          <w:rFonts w:cs="Times New Roman"/>
        </w:rPr>
        <w:t xml:space="preserve">MSAC has previously considered tumour </w:t>
      </w:r>
      <w:r w:rsidRPr="00675B50">
        <w:rPr>
          <w:rFonts w:cs="Times New Roman"/>
          <w:i/>
        </w:rPr>
        <w:t>BRCA</w:t>
      </w:r>
      <w:r w:rsidRPr="007475E2">
        <w:rPr>
          <w:rFonts w:cs="Times New Roman"/>
        </w:rPr>
        <w:t xml:space="preserve"> testing for access to olaparib for the treatment of advanced high-grade serous ovarian</w:t>
      </w:r>
      <w:r w:rsidRPr="00D80337">
        <w:rPr>
          <w:rFonts w:cs="Times New Roman"/>
        </w:rPr>
        <w:t xml:space="preserve">, fallopian tube or primary peritoneal </w:t>
      </w:r>
      <w:r w:rsidRPr="007475E2">
        <w:rPr>
          <w:rFonts w:cs="Times New Roman"/>
        </w:rPr>
        <w:t>cancer (HGSOC) in the second-line setting. The original application (</w:t>
      </w:r>
      <w:r>
        <w:rPr>
          <w:rFonts w:cs="Times New Roman"/>
        </w:rPr>
        <w:t xml:space="preserve">Application </w:t>
      </w:r>
      <w:r w:rsidRPr="007475E2">
        <w:rPr>
          <w:rFonts w:cs="Times New Roman"/>
        </w:rPr>
        <w:t>1380</w:t>
      </w:r>
      <w:r>
        <w:rPr>
          <w:rFonts w:cs="Times New Roman"/>
        </w:rPr>
        <w:t>; integrated codependent submission</w:t>
      </w:r>
      <w:r w:rsidRPr="007475E2">
        <w:rPr>
          <w:rFonts w:cs="Times New Roman"/>
        </w:rPr>
        <w:t>) was considered by MSAC at its</w:t>
      </w:r>
      <w:r>
        <w:rPr>
          <w:rFonts w:cs="Times New Roman"/>
        </w:rPr>
        <w:t xml:space="preserve"> March and </w:t>
      </w:r>
      <w:r w:rsidRPr="007475E2">
        <w:rPr>
          <w:rFonts w:cs="Times New Roman"/>
        </w:rPr>
        <w:t>November 2016 meeting</w:t>
      </w:r>
      <w:r>
        <w:rPr>
          <w:rFonts w:cs="Times New Roman"/>
        </w:rPr>
        <w:t>s</w:t>
      </w:r>
      <w:r w:rsidRPr="007475E2">
        <w:rPr>
          <w:rFonts w:cs="Times New Roman"/>
        </w:rPr>
        <w:t>.</w:t>
      </w:r>
      <w:r>
        <w:rPr>
          <w:rFonts w:cs="Times New Roman"/>
        </w:rPr>
        <w:t xml:space="preserve"> In brief, </w:t>
      </w:r>
      <w:r>
        <w:t>t</w:t>
      </w:r>
      <w:r w:rsidRPr="008B4D68">
        <w:t xml:space="preserve">he advice to the Minister was: </w:t>
      </w:r>
      <w:r w:rsidRPr="00AE20C9">
        <w:rPr>
          <w:i/>
        </w:rPr>
        <w:t>“</w:t>
      </w:r>
      <w:r w:rsidRPr="00AE20C9">
        <w:rPr>
          <w:rFonts w:cs="Arial"/>
          <w:i/>
        </w:rPr>
        <w:t xml:space="preserve">Following advice from the Pharmaceutical Benefits Advisory Committee (PBAC) that it had recommended to the Minister that olaparib be listed in the PBS, MSAC supported the MBS funding of germline </w:t>
      </w:r>
      <w:r w:rsidRPr="00C24EEE">
        <w:rPr>
          <w:rFonts w:cs="Arial"/>
        </w:rPr>
        <w:t>BRCA</w:t>
      </w:r>
      <w:r w:rsidRPr="00AE20C9">
        <w:rPr>
          <w:rFonts w:cs="Arial"/>
          <w:i/>
        </w:rPr>
        <w:t xml:space="preserve"> mutation testing to determine eligibility for PBS-subsidised olaparib maintenance therapy in patients with platinum-sensitive relapsed ovarian cancer.</w:t>
      </w:r>
      <w:r>
        <w:rPr>
          <w:rFonts w:cs="Arial"/>
          <w:i/>
        </w:rPr>
        <w:t xml:space="preserve"> </w:t>
      </w:r>
      <w:r w:rsidRPr="00AE20C9">
        <w:rPr>
          <w:rFonts w:cs="Arial"/>
          <w:i/>
        </w:rPr>
        <w:t xml:space="preserve">MSAC advised the test should only be performed once </w:t>
      </w:r>
      <w:r>
        <w:rPr>
          <w:rFonts w:cs="Arial"/>
          <w:i/>
        </w:rPr>
        <w:t xml:space="preserve">per lifetime for this purpose.” </w:t>
      </w:r>
      <w:r>
        <w:rPr>
          <w:rFonts w:cs="Arial"/>
        </w:rPr>
        <w:t>(PSD, Application 1380, p1)</w:t>
      </w:r>
      <w:r>
        <w:rPr>
          <w:rFonts w:cs="Arial"/>
          <w:i/>
        </w:rPr>
        <w:t>.</w:t>
      </w:r>
    </w:p>
    <w:p w14:paraId="18C237A1" w14:textId="77777777" w:rsidR="00BF1DC1" w:rsidRPr="00C52FB5" w:rsidRDefault="00BF1DC1" w:rsidP="00BF1DC1">
      <w:pPr>
        <w:pStyle w:val="MSACESParagraph"/>
        <w:rPr>
          <w:rFonts w:cs="Arial"/>
        </w:rPr>
      </w:pPr>
      <w:r w:rsidRPr="002C3A85">
        <w:rPr>
          <w:rFonts w:cs="Times New Roman"/>
        </w:rPr>
        <w:lastRenderedPageBreak/>
        <w:t xml:space="preserve">For Application 1380, the </w:t>
      </w:r>
      <w:r w:rsidR="001529F2" w:rsidRPr="002C3A85">
        <w:rPr>
          <w:rFonts w:cs="Times New Roman"/>
        </w:rPr>
        <w:t>a</w:t>
      </w:r>
      <w:r w:rsidRPr="002C3A85">
        <w:rPr>
          <w:rFonts w:cs="Times New Roman"/>
        </w:rPr>
        <w:t xml:space="preserve">pplicant initially requested testing for both germline and tumour tissue, however tumour testing was removed following the recommendation of MSAC that testing should be for germline mutations only </w:t>
      </w:r>
      <w:r w:rsidRPr="002C3A85">
        <w:rPr>
          <w:rFonts w:cs="Arial"/>
        </w:rPr>
        <w:t>(Public Summary Document [PSD], Application 1380</w:t>
      </w:r>
      <w:r>
        <w:rPr>
          <w:rFonts w:cs="Arial"/>
        </w:rPr>
        <w:t>,</w:t>
      </w:r>
      <w:r w:rsidRPr="002C3A85">
        <w:rPr>
          <w:rFonts w:cs="Arial"/>
        </w:rPr>
        <w:t xml:space="preserve"> p1)</w:t>
      </w:r>
      <w:r w:rsidRPr="002C3A85">
        <w:rPr>
          <w:rFonts w:cs="Arial"/>
          <w:i/>
        </w:rPr>
        <w:t xml:space="preserve">. </w:t>
      </w:r>
      <w:r w:rsidRPr="002C3A85">
        <w:rPr>
          <w:rFonts w:cs="Arial"/>
        </w:rPr>
        <w:t>Key issues identified by MSAC were the:</w:t>
      </w:r>
    </w:p>
    <w:p w14:paraId="6DDCC96B" w14:textId="77777777" w:rsidR="00BF1DC1" w:rsidRPr="00C52FB5" w:rsidRDefault="00BF1DC1" w:rsidP="00BF1DC1">
      <w:pPr>
        <w:pStyle w:val="MSACESParagraph"/>
        <w:numPr>
          <w:ilvl w:val="0"/>
          <w:numId w:val="5"/>
        </w:numPr>
        <w:rPr>
          <w:rFonts w:cs="Arial"/>
        </w:rPr>
      </w:pPr>
      <w:r w:rsidRPr="002C3A85">
        <w:rPr>
          <w:rFonts w:cs="Arial"/>
        </w:rPr>
        <w:t>Difficulty to discern the evidentiary standard:</w:t>
      </w:r>
      <w:r w:rsidRPr="00C52FB5">
        <w:rPr>
          <w:rFonts w:cs="Arial"/>
        </w:rPr>
        <w:t xml:space="preserve"> </w:t>
      </w:r>
      <w:r w:rsidRPr="00C52FB5">
        <w:rPr>
          <w:rFonts w:cs="Arial"/>
          <w:i/>
        </w:rPr>
        <w:t xml:space="preserve">“In brief, MSAC agreed with the joint ESCs advice that, given the approach to </w:t>
      </w:r>
      <w:r w:rsidRPr="00C24EEE">
        <w:rPr>
          <w:rFonts w:cs="Arial"/>
        </w:rPr>
        <w:t>BRCA</w:t>
      </w:r>
      <w:r w:rsidRPr="00C52FB5">
        <w:rPr>
          <w:rFonts w:cs="Arial"/>
          <w:i/>
        </w:rPr>
        <w:t xml:space="preserve"> testing in Study 19 was inadequately presented, it was difficult to discern the evidentiary standard used as the basis for the submission’s claim of codependence with olaparib and thus </w:t>
      </w:r>
      <w:r w:rsidRPr="002C3A85">
        <w:rPr>
          <w:rFonts w:cs="Arial"/>
          <w:i/>
        </w:rPr>
        <w:t>clinical utility.</w:t>
      </w:r>
      <w:r w:rsidRPr="00C52FB5">
        <w:rPr>
          <w:rFonts w:cs="Arial"/>
          <w:i/>
        </w:rPr>
        <w:t xml:space="preserve"> MSAC noted that the claim of codependence between </w:t>
      </w:r>
      <w:r w:rsidRPr="00C24EEE">
        <w:rPr>
          <w:rFonts w:cs="Arial"/>
        </w:rPr>
        <w:t>BRCA</w:t>
      </w:r>
      <w:r w:rsidRPr="00C52FB5">
        <w:rPr>
          <w:rFonts w:cs="Arial"/>
          <w:i/>
        </w:rPr>
        <w:t xml:space="preserve"> testing and olaparib relied on an acceptance that </w:t>
      </w:r>
      <w:r w:rsidRPr="00C24EEE">
        <w:rPr>
          <w:rFonts w:cs="Arial"/>
        </w:rPr>
        <w:t>BRCA</w:t>
      </w:r>
      <w:r w:rsidRPr="00C52FB5">
        <w:rPr>
          <w:rFonts w:cs="Arial"/>
          <w:i/>
        </w:rPr>
        <w:t xml:space="preserve"> testing predicted an important variation between women with and without a detected </w:t>
      </w:r>
      <w:r w:rsidRPr="00C24EEE">
        <w:rPr>
          <w:rFonts w:cs="Arial"/>
        </w:rPr>
        <w:t>BRCA</w:t>
      </w:r>
      <w:r w:rsidRPr="00C24EEE">
        <w:rPr>
          <w:rFonts w:cs="Arial"/>
          <w:i/>
        </w:rPr>
        <w:t xml:space="preserve">m </w:t>
      </w:r>
      <w:r w:rsidRPr="00C52FB5">
        <w:rPr>
          <w:rFonts w:cs="Arial"/>
          <w:i/>
        </w:rPr>
        <w:t xml:space="preserve">with regards to the effectiveness of olaparib, and that this was distinguishable from the prognostic value of </w:t>
      </w:r>
      <w:r w:rsidRPr="00C24EEE">
        <w:rPr>
          <w:rFonts w:cs="Arial"/>
        </w:rPr>
        <w:t>BRCA</w:t>
      </w:r>
      <w:r w:rsidRPr="00C52FB5">
        <w:rPr>
          <w:rFonts w:cs="Arial"/>
          <w:i/>
        </w:rPr>
        <w:t xml:space="preserve"> testing. To help establish this, statistical tests of interaction by </w:t>
      </w:r>
      <w:r w:rsidRPr="00C24EEE">
        <w:rPr>
          <w:rFonts w:cs="Arial"/>
        </w:rPr>
        <w:t>BRCA</w:t>
      </w:r>
      <w:r w:rsidRPr="00C52FB5">
        <w:rPr>
          <w:rFonts w:cs="Arial"/>
          <w:i/>
        </w:rPr>
        <w:t xml:space="preserve"> status were suggested. While this was done for progression free survival (see above), it was not provided for overall survival”</w:t>
      </w:r>
      <w:r w:rsidRPr="00C52FB5">
        <w:rPr>
          <w:rFonts w:cs="Arial"/>
        </w:rPr>
        <w:t xml:space="preserve"> (PSD, Application 1380</w:t>
      </w:r>
      <w:r>
        <w:rPr>
          <w:rFonts w:cs="Arial"/>
        </w:rPr>
        <w:t>,</w:t>
      </w:r>
      <w:r w:rsidRPr="00C52FB5">
        <w:rPr>
          <w:rFonts w:cs="Arial"/>
        </w:rPr>
        <w:t xml:space="preserve"> p4)</w:t>
      </w:r>
      <w:r w:rsidRPr="00C52FB5">
        <w:rPr>
          <w:rFonts w:cs="Arial"/>
          <w:i/>
        </w:rPr>
        <w:t>.</w:t>
      </w:r>
    </w:p>
    <w:p w14:paraId="4A27F4F9" w14:textId="77777777" w:rsidR="00BF1DC1" w:rsidRDefault="00BF1DC1" w:rsidP="00BF1DC1">
      <w:pPr>
        <w:pStyle w:val="MSACESParagraph"/>
        <w:numPr>
          <w:ilvl w:val="0"/>
          <w:numId w:val="5"/>
        </w:numPr>
        <w:rPr>
          <w:rFonts w:cs="Arial"/>
        </w:rPr>
      </w:pPr>
      <w:r w:rsidRPr="002C3A85">
        <w:rPr>
          <w:rFonts w:cs="Arial"/>
        </w:rPr>
        <w:t>Inadequate support for the performance of somatic BRCA testing:</w:t>
      </w:r>
      <w:r w:rsidRPr="00C52FB5">
        <w:rPr>
          <w:rFonts w:cs="Arial"/>
        </w:rPr>
        <w:t xml:space="preserve"> </w:t>
      </w:r>
      <w:r w:rsidRPr="00C52FB5">
        <w:rPr>
          <w:rFonts w:cs="Arial"/>
          <w:i/>
        </w:rPr>
        <w:t>“</w:t>
      </w:r>
      <w:r w:rsidRPr="00991788">
        <w:rPr>
          <w:i/>
          <w:szCs w:val="24"/>
        </w:rPr>
        <w:t xml:space="preserve">MSAC </w:t>
      </w:r>
      <w:r w:rsidRPr="00991788">
        <w:rPr>
          <w:i/>
        </w:rPr>
        <w:t>considered that testing should</w:t>
      </w:r>
      <w:r w:rsidRPr="00991788">
        <w:rPr>
          <w:i/>
          <w:szCs w:val="24"/>
        </w:rPr>
        <w:t xml:space="preserve"> be restricted to germline mutation testing, which is already well established within Australian laboratories and has been shown to be accurate (see above). MSAC noted that there was limited evidence regarding the performance of somatic (tumour) mutation testing. In Study 19, somatic testing missed three of the 96 mutations (4%) detected with germline testing. MSAC considered the technique for somatic testing and its diagnostic accuracy is still to be established. Furthermore, evidence from Study 19 in women in whom germline testing was negative and somatic testing was positive was limited to 18 patients”</w:t>
      </w:r>
      <w:r w:rsidRPr="00991788">
        <w:rPr>
          <w:szCs w:val="24"/>
        </w:rPr>
        <w:t xml:space="preserve"> </w:t>
      </w:r>
      <w:r>
        <w:rPr>
          <w:rFonts w:cs="Arial"/>
        </w:rPr>
        <w:t xml:space="preserve">(PSD, Application </w:t>
      </w:r>
      <w:r w:rsidRPr="00991788">
        <w:rPr>
          <w:rFonts w:cs="Arial"/>
        </w:rPr>
        <w:t>1380</w:t>
      </w:r>
      <w:r>
        <w:rPr>
          <w:rFonts w:cs="Arial"/>
        </w:rPr>
        <w:t>,</w:t>
      </w:r>
      <w:r w:rsidRPr="00991788">
        <w:rPr>
          <w:rFonts w:cs="Arial"/>
        </w:rPr>
        <w:t xml:space="preserve"> pp4-5)</w:t>
      </w:r>
      <w:r w:rsidRPr="00991788">
        <w:rPr>
          <w:rFonts w:cs="Arial"/>
          <w:i/>
        </w:rPr>
        <w:t>.</w:t>
      </w:r>
    </w:p>
    <w:p w14:paraId="79EDCBE5" w14:textId="77777777" w:rsidR="00BF1DC1" w:rsidRPr="00D42A78" w:rsidRDefault="00BF1DC1" w:rsidP="00BF1DC1">
      <w:pPr>
        <w:pStyle w:val="ListParagraph"/>
        <w:numPr>
          <w:ilvl w:val="0"/>
          <w:numId w:val="5"/>
        </w:numPr>
        <w:spacing w:after="240"/>
        <w:rPr>
          <w:szCs w:val="24"/>
        </w:rPr>
      </w:pPr>
      <w:r w:rsidRPr="005B4A87">
        <w:rPr>
          <w:rFonts w:cs="Arial"/>
        </w:rPr>
        <w:t xml:space="preserve">Incremental cost of testing: </w:t>
      </w:r>
      <w:r w:rsidRPr="00D42A78">
        <w:rPr>
          <w:rFonts w:cs="Arial"/>
          <w:i/>
        </w:rPr>
        <w:t>“</w:t>
      </w:r>
      <w:r w:rsidRPr="00D42A78">
        <w:rPr>
          <w:i/>
          <w:szCs w:val="24"/>
        </w:rPr>
        <w:t xml:space="preserve">MSAC recognised that germline </w:t>
      </w:r>
      <w:r w:rsidRPr="00C24EEE">
        <w:rPr>
          <w:szCs w:val="24"/>
        </w:rPr>
        <w:t>BRCA</w:t>
      </w:r>
      <w:r w:rsidRPr="00D42A78">
        <w:rPr>
          <w:i/>
          <w:szCs w:val="24"/>
        </w:rPr>
        <w:t xml:space="preserve"> testing would not identify all women who could benefit from olaparib therapy. However, the lack of evidence on the performance of somatic BRCA testing, the incompleteness of the Study 19 </w:t>
      </w:r>
      <w:r w:rsidRPr="00C24EEE">
        <w:rPr>
          <w:szCs w:val="24"/>
        </w:rPr>
        <w:t>BRCA</w:t>
      </w:r>
      <w:r w:rsidRPr="00D42A78">
        <w:rPr>
          <w:i/>
          <w:szCs w:val="24"/>
        </w:rPr>
        <w:t xml:space="preserve"> testing data (the results of both germline and somatic </w:t>
      </w:r>
      <w:r w:rsidRPr="00C24EEE">
        <w:rPr>
          <w:szCs w:val="24"/>
        </w:rPr>
        <w:t>BRCA</w:t>
      </w:r>
      <w:r w:rsidRPr="00D42A78">
        <w:rPr>
          <w:i/>
          <w:szCs w:val="24"/>
        </w:rPr>
        <w:t xml:space="preserve"> testing were known for only 157/265 (59%) of the study participants), and the inadequate evidence for improved olaparib outcomes for women with an identified somatic </w:t>
      </w:r>
      <w:r w:rsidRPr="00C24EEE">
        <w:rPr>
          <w:szCs w:val="24"/>
        </w:rPr>
        <w:t>BRCA</w:t>
      </w:r>
      <w:r w:rsidRPr="00C24EEE">
        <w:rPr>
          <w:i/>
          <w:szCs w:val="24"/>
        </w:rPr>
        <w:t>m</w:t>
      </w:r>
      <w:r w:rsidRPr="00D42A78">
        <w:rPr>
          <w:i/>
          <w:szCs w:val="24"/>
        </w:rPr>
        <w:t xml:space="preserve"> only, argued against support for funding somatic </w:t>
      </w:r>
      <w:r w:rsidRPr="00C24EEE">
        <w:rPr>
          <w:szCs w:val="24"/>
        </w:rPr>
        <w:t>BRCA</w:t>
      </w:r>
      <w:r w:rsidRPr="00D42A78">
        <w:rPr>
          <w:i/>
          <w:szCs w:val="24"/>
        </w:rPr>
        <w:t xml:space="preserve"> testing at this stage. MSAC noted that if access to somatic </w:t>
      </w:r>
      <w:r w:rsidRPr="00C24EEE">
        <w:rPr>
          <w:szCs w:val="24"/>
        </w:rPr>
        <w:t>BRCA</w:t>
      </w:r>
      <w:r w:rsidRPr="00D42A78">
        <w:rPr>
          <w:i/>
          <w:szCs w:val="24"/>
        </w:rPr>
        <w:t xml:space="preserve"> testing is to be requested in the future, there may be an incremental cost to the MBS because patients without an identified germline </w:t>
      </w:r>
      <w:r w:rsidRPr="00C24EEE">
        <w:rPr>
          <w:szCs w:val="24"/>
        </w:rPr>
        <w:t>BRCA</w:t>
      </w:r>
      <w:r w:rsidRPr="00C24EEE">
        <w:rPr>
          <w:i/>
          <w:szCs w:val="24"/>
        </w:rPr>
        <w:t>m</w:t>
      </w:r>
      <w:r w:rsidRPr="00D42A78">
        <w:rPr>
          <w:i/>
          <w:szCs w:val="24"/>
        </w:rPr>
        <w:t xml:space="preserve"> would need additional tumour testing. As such, MSAC would require a new application before considering the addition of somatic </w:t>
      </w:r>
      <w:r w:rsidRPr="00C24EEE">
        <w:rPr>
          <w:szCs w:val="24"/>
        </w:rPr>
        <w:t>BRCA</w:t>
      </w:r>
      <w:r w:rsidRPr="00D42A78">
        <w:rPr>
          <w:i/>
          <w:szCs w:val="24"/>
        </w:rPr>
        <w:t xml:space="preserve"> testing to the MBS”</w:t>
      </w:r>
      <w:r>
        <w:rPr>
          <w:szCs w:val="24"/>
        </w:rPr>
        <w:t xml:space="preserve"> </w:t>
      </w:r>
      <w:r w:rsidRPr="00991788">
        <w:rPr>
          <w:rFonts w:cs="Arial"/>
        </w:rPr>
        <w:t>(PSD, Application 1380</w:t>
      </w:r>
      <w:r>
        <w:rPr>
          <w:rFonts w:cs="Arial"/>
        </w:rPr>
        <w:t>,</w:t>
      </w:r>
      <w:r w:rsidRPr="00991788">
        <w:rPr>
          <w:rFonts w:cs="Arial"/>
        </w:rPr>
        <w:t xml:space="preserve"> p5)</w:t>
      </w:r>
      <w:r w:rsidRPr="00991788">
        <w:rPr>
          <w:rFonts w:cs="Arial"/>
          <w:i/>
        </w:rPr>
        <w:t>.</w:t>
      </w:r>
    </w:p>
    <w:p w14:paraId="32B40F6C" w14:textId="77777777" w:rsidR="00BF1DC1" w:rsidRPr="00935C4D" w:rsidRDefault="00BF1DC1" w:rsidP="00BF1DC1">
      <w:pPr>
        <w:pStyle w:val="MSACESParagraph"/>
        <w:rPr>
          <w:color w:val="222222"/>
          <w:szCs w:val="24"/>
        </w:rPr>
      </w:pPr>
      <w:r w:rsidRPr="00736734">
        <w:rPr>
          <w:color w:val="222222"/>
          <w:szCs w:val="24"/>
        </w:rPr>
        <w:t xml:space="preserve">Germline </w:t>
      </w:r>
      <w:r w:rsidRPr="00675B50">
        <w:rPr>
          <w:i/>
          <w:color w:val="222222"/>
          <w:szCs w:val="24"/>
        </w:rPr>
        <w:t>BRCA1</w:t>
      </w:r>
      <w:r w:rsidRPr="00736734">
        <w:rPr>
          <w:color w:val="222222"/>
          <w:szCs w:val="24"/>
        </w:rPr>
        <w:t xml:space="preserve"> or </w:t>
      </w:r>
      <w:r w:rsidRPr="00675B50">
        <w:rPr>
          <w:i/>
          <w:color w:val="222222"/>
          <w:szCs w:val="24"/>
        </w:rPr>
        <w:t>BRCA</w:t>
      </w:r>
      <w:r>
        <w:rPr>
          <w:i/>
          <w:color w:val="222222"/>
          <w:szCs w:val="24"/>
        </w:rPr>
        <w:t>2</w:t>
      </w:r>
      <w:r w:rsidRPr="00736734">
        <w:rPr>
          <w:color w:val="222222"/>
          <w:szCs w:val="24"/>
        </w:rPr>
        <w:t xml:space="preserve"> testing to determine eligibility for olaparib maintenance therapy in patients with platinum sensitive, relapsed HGSOC was listed on the MBS (Item 73295) </w:t>
      </w:r>
      <w:r>
        <w:rPr>
          <w:color w:val="222222"/>
          <w:szCs w:val="24"/>
        </w:rPr>
        <w:t xml:space="preserve">alongside </w:t>
      </w:r>
      <w:r w:rsidRPr="00736734">
        <w:rPr>
          <w:color w:val="222222"/>
          <w:szCs w:val="24"/>
        </w:rPr>
        <w:t xml:space="preserve">PBS </w:t>
      </w:r>
      <w:r>
        <w:rPr>
          <w:color w:val="222222"/>
          <w:szCs w:val="24"/>
        </w:rPr>
        <w:t xml:space="preserve">listings for olaparib </w:t>
      </w:r>
      <w:r w:rsidRPr="00736734">
        <w:rPr>
          <w:color w:val="222222"/>
          <w:szCs w:val="24"/>
        </w:rPr>
        <w:t>(Items 11034R an</w:t>
      </w:r>
      <w:r>
        <w:rPr>
          <w:color w:val="222222"/>
          <w:szCs w:val="24"/>
        </w:rPr>
        <w:t xml:space="preserve">d 11050N) since 1 February 2017. </w:t>
      </w:r>
      <w:r w:rsidRPr="00736734">
        <w:rPr>
          <w:color w:val="222222"/>
          <w:szCs w:val="24"/>
        </w:rPr>
        <w:t xml:space="preserve">Subsequently, germline gene mutation testing, including </w:t>
      </w:r>
      <w:r w:rsidRPr="00675B50">
        <w:rPr>
          <w:i/>
          <w:color w:val="222222"/>
          <w:szCs w:val="24"/>
        </w:rPr>
        <w:t>BRCA1</w:t>
      </w:r>
      <w:r w:rsidRPr="00736734">
        <w:rPr>
          <w:color w:val="222222"/>
          <w:szCs w:val="24"/>
        </w:rPr>
        <w:t xml:space="preserve"> and </w:t>
      </w:r>
      <w:r w:rsidRPr="00675B50">
        <w:rPr>
          <w:i/>
          <w:color w:val="222222"/>
          <w:szCs w:val="24"/>
        </w:rPr>
        <w:t>BRCA</w:t>
      </w:r>
      <w:r>
        <w:rPr>
          <w:i/>
          <w:color w:val="222222"/>
          <w:szCs w:val="24"/>
        </w:rPr>
        <w:t>2</w:t>
      </w:r>
      <w:r w:rsidRPr="00736734">
        <w:rPr>
          <w:color w:val="222222"/>
          <w:szCs w:val="24"/>
        </w:rPr>
        <w:t xml:space="preserve"> testing</w:t>
      </w:r>
      <w:r w:rsidR="00614954">
        <w:rPr>
          <w:color w:val="222222"/>
          <w:szCs w:val="24"/>
        </w:rPr>
        <w:t>,</w:t>
      </w:r>
      <w:r w:rsidRPr="00736734">
        <w:rPr>
          <w:color w:val="222222"/>
          <w:szCs w:val="24"/>
        </w:rPr>
        <w:t xml:space="preserve"> at diagnosis of ovarian </w:t>
      </w:r>
      <w:r w:rsidRPr="00A52284">
        <w:rPr>
          <w:rFonts w:cs="Times New Roman"/>
        </w:rPr>
        <w:t>cancer</w:t>
      </w:r>
      <w:r w:rsidRPr="00736734">
        <w:rPr>
          <w:color w:val="222222"/>
          <w:szCs w:val="24"/>
        </w:rPr>
        <w:t xml:space="preserve"> in patients at &gt;10% risk of having a pathogenic gene mutation</w:t>
      </w:r>
      <w:r w:rsidR="001529F2">
        <w:rPr>
          <w:color w:val="222222"/>
          <w:szCs w:val="24"/>
        </w:rPr>
        <w:t>,</w:t>
      </w:r>
      <w:r w:rsidRPr="00736734">
        <w:rPr>
          <w:color w:val="222222"/>
          <w:szCs w:val="24"/>
        </w:rPr>
        <w:t xml:space="preserve"> became available on the MBS f</w:t>
      </w:r>
      <w:r>
        <w:rPr>
          <w:color w:val="222222"/>
          <w:szCs w:val="24"/>
        </w:rPr>
        <w:t>rom November 2017 (Item 73296).</w:t>
      </w:r>
    </w:p>
    <w:p w14:paraId="40C06632" w14:textId="77777777" w:rsidR="00F23AA4" w:rsidRPr="00F715D1" w:rsidRDefault="00F23AA4" w:rsidP="00F23AA4">
      <w:pPr>
        <w:pStyle w:val="Heading1"/>
      </w:pPr>
      <w:r w:rsidRPr="00F715D1">
        <w:t>Prerequisites to implementation of any funding advice</w:t>
      </w:r>
    </w:p>
    <w:p w14:paraId="301D5C57" w14:textId="77777777" w:rsidR="004D0B8A" w:rsidRPr="007475E2" w:rsidRDefault="004D0B8A" w:rsidP="004D0B8A">
      <w:pPr>
        <w:pStyle w:val="MSACESParagraph"/>
        <w:rPr>
          <w:rFonts w:cs="Times New Roman"/>
        </w:rPr>
      </w:pPr>
      <w:r w:rsidRPr="007475E2">
        <w:rPr>
          <w:rFonts w:cs="Times New Roman"/>
        </w:rPr>
        <w:t xml:space="preserve">There are at least ten molecular pathology laboratories that currently perform tumour </w:t>
      </w:r>
      <w:r w:rsidRPr="00675B50">
        <w:rPr>
          <w:rFonts w:cs="Times New Roman"/>
          <w:i/>
        </w:rPr>
        <w:t>BRCA</w:t>
      </w:r>
      <w:r w:rsidRPr="007475E2">
        <w:rPr>
          <w:rFonts w:cs="Times New Roman"/>
        </w:rPr>
        <w:t xml:space="preserve"> testing and germline </w:t>
      </w:r>
      <w:r w:rsidRPr="00675B50">
        <w:rPr>
          <w:rFonts w:cs="Times New Roman"/>
          <w:i/>
        </w:rPr>
        <w:t>BRCA</w:t>
      </w:r>
      <w:r w:rsidRPr="007475E2">
        <w:rPr>
          <w:rFonts w:cs="Times New Roman"/>
        </w:rPr>
        <w:t xml:space="preserve"> testing in Australia us</w:t>
      </w:r>
      <w:r>
        <w:rPr>
          <w:rFonts w:cs="Times New Roman"/>
        </w:rPr>
        <w:t>ing</w:t>
      </w:r>
      <w:r w:rsidRPr="007475E2">
        <w:rPr>
          <w:rFonts w:cs="Times New Roman"/>
        </w:rPr>
        <w:t xml:space="preserve"> in-house developed next generation sequencing (NGS) testing methods.</w:t>
      </w:r>
    </w:p>
    <w:p w14:paraId="716C36B7" w14:textId="77777777" w:rsidR="004D0B8A" w:rsidRPr="007475E2" w:rsidRDefault="004D0B8A" w:rsidP="004D0B8A">
      <w:pPr>
        <w:pStyle w:val="MSACESParagraph"/>
        <w:rPr>
          <w:rFonts w:cs="Times New Roman"/>
        </w:rPr>
      </w:pPr>
      <w:r w:rsidRPr="007475E2">
        <w:rPr>
          <w:rFonts w:cs="Times New Roman"/>
        </w:rPr>
        <w:lastRenderedPageBreak/>
        <w:t xml:space="preserve">To obtain National Association of Testing Authorities (NATA) accreditation to offer medical genetic testing services, including </w:t>
      </w:r>
      <w:r w:rsidRPr="00675B50">
        <w:rPr>
          <w:rFonts w:cs="Times New Roman"/>
          <w:i/>
        </w:rPr>
        <w:t>BRCA</w:t>
      </w:r>
      <w:r w:rsidRPr="007475E2">
        <w:rPr>
          <w:rFonts w:cs="Times New Roman"/>
        </w:rPr>
        <w:t xml:space="preserve"> testing, pathology laboratories must participate in an external quality assurance programme (QAP). The Australian laboratories performing tumour </w:t>
      </w:r>
      <w:r w:rsidRPr="00675B50">
        <w:rPr>
          <w:rFonts w:cs="Times New Roman"/>
          <w:i/>
        </w:rPr>
        <w:t>BRCA</w:t>
      </w:r>
      <w:r w:rsidRPr="007475E2">
        <w:rPr>
          <w:rFonts w:cs="Times New Roman"/>
        </w:rPr>
        <w:t xml:space="preserve"> testing have enrolled in a QAP that has been conducted for the last 2-3 years</w:t>
      </w:r>
      <w:r>
        <w:rPr>
          <w:rFonts w:cs="Times New Roman"/>
        </w:rPr>
        <w:t>.</w:t>
      </w:r>
      <w:r w:rsidRPr="007475E2">
        <w:rPr>
          <w:rFonts w:cs="Times New Roman"/>
        </w:rPr>
        <w:t xml:space="preserve"> </w:t>
      </w:r>
      <w:r>
        <w:rPr>
          <w:rFonts w:cs="Times New Roman"/>
        </w:rPr>
        <w:t>T</w:t>
      </w:r>
      <w:r w:rsidRPr="007475E2">
        <w:rPr>
          <w:rFonts w:cs="Times New Roman"/>
        </w:rPr>
        <w:t xml:space="preserve">he European Molecular Quality Network (EMQN) </w:t>
      </w:r>
      <w:r w:rsidRPr="00AB5D87">
        <w:rPr>
          <w:rFonts w:cs="Times New Roman"/>
        </w:rPr>
        <w:t xml:space="preserve">has conducted the QAP, which has been </w:t>
      </w:r>
      <w:r w:rsidRPr="007475E2">
        <w:rPr>
          <w:rFonts w:cs="Times New Roman"/>
        </w:rPr>
        <w:t>administered by the Royal College of Pathologists of Australasia Quality Assurance Programs Pty Limited (RCPAQAP).</w:t>
      </w:r>
    </w:p>
    <w:p w14:paraId="5F7C04C3" w14:textId="77777777" w:rsidR="004D0B8A" w:rsidRDefault="004D0B8A" w:rsidP="004D0B8A">
      <w:pPr>
        <w:pStyle w:val="MSACESParagraph"/>
        <w:rPr>
          <w:rFonts w:cs="Times New Roman"/>
        </w:rPr>
      </w:pPr>
      <w:r w:rsidRPr="007475E2">
        <w:rPr>
          <w:rFonts w:cs="Times New Roman"/>
        </w:rPr>
        <w:t xml:space="preserve">The </w:t>
      </w:r>
      <w:r>
        <w:rPr>
          <w:rFonts w:cs="Times New Roman"/>
        </w:rPr>
        <w:t xml:space="preserve">currently available </w:t>
      </w:r>
      <w:r w:rsidRPr="007475E2">
        <w:rPr>
          <w:rFonts w:cs="Times New Roman"/>
        </w:rPr>
        <w:t xml:space="preserve">in-house-developed tumour </w:t>
      </w:r>
      <w:r w:rsidRPr="00675B50">
        <w:rPr>
          <w:rFonts w:cs="Times New Roman"/>
          <w:i/>
        </w:rPr>
        <w:t>BRCA</w:t>
      </w:r>
      <w:r w:rsidRPr="007475E2">
        <w:rPr>
          <w:rFonts w:cs="Times New Roman"/>
        </w:rPr>
        <w:t xml:space="preserve"> tests have not yet been </w:t>
      </w:r>
      <w:r>
        <w:rPr>
          <w:rFonts w:cs="Times New Roman"/>
        </w:rPr>
        <w:t>approved by</w:t>
      </w:r>
      <w:r w:rsidRPr="007475E2">
        <w:rPr>
          <w:rFonts w:cs="Times New Roman"/>
        </w:rPr>
        <w:t xml:space="preserve"> the Therapeutic Goods Administration (TGA). The submission indicated that </w:t>
      </w:r>
      <w:r>
        <w:rPr>
          <w:rFonts w:cs="Times New Roman"/>
        </w:rPr>
        <w:t>a</w:t>
      </w:r>
      <w:r w:rsidRPr="007475E2">
        <w:rPr>
          <w:rFonts w:cs="Times New Roman"/>
        </w:rPr>
        <w:t>t least four laboratories ha</w:t>
      </w:r>
      <w:r>
        <w:rPr>
          <w:rFonts w:cs="Times New Roman"/>
        </w:rPr>
        <w:t>d</w:t>
      </w:r>
      <w:r w:rsidRPr="007475E2">
        <w:rPr>
          <w:rFonts w:cs="Times New Roman"/>
        </w:rPr>
        <w:t xml:space="preserve"> submitted their test</w:t>
      </w:r>
      <w:r>
        <w:rPr>
          <w:rFonts w:cs="Times New Roman"/>
        </w:rPr>
        <w:t>s</w:t>
      </w:r>
      <w:r w:rsidRPr="007475E2">
        <w:rPr>
          <w:rFonts w:cs="Times New Roman"/>
        </w:rPr>
        <w:t xml:space="preserve"> to the TGA </w:t>
      </w:r>
      <w:r>
        <w:rPr>
          <w:rFonts w:cs="Times New Roman"/>
        </w:rPr>
        <w:t>and are awaiting</w:t>
      </w:r>
      <w:r w:rsidRPr="007475E2">
        <w:rPr>
          <w:rFonts w:cs="Times New Roman"/>
        </w:rPr>
        <w:t xml:space="preserve"> </w:t>
      </w:r>
      <w:r>
        <w:rPr>
          <w:rFonts w:cs="Times New Roman"/>
        </w:rPr>
        <w:t>approval</w:t>
      </w:r>
      <w:r w:rsidRPr="007475E2">
        <w:rPr>
          <w:rFonts w:cs="Times New Roman"/>
        </w:rPr>
        <w:t>. These in</w:t>
      </w:r>
      <w:r>
        <w:rPr>
          <w:rFonts w:cs="Times New Roman"/>
        </w:rPr>
        <w:t xml:space="preserve">clude: </w:t>
      </w:r>
      <w:r w:rsidRPr="007475E2">
        <w:rPr>
          <w:rFonts w:cs="Times New Roman"/>
        </w:rPr>
        <w:t>Department of Molecular Pathology, Peter McCall</w:t>
      </w:r>
      <w:r>
        <w:rPr>
          <w:rFonts w:cs="Times New Roman"/>
        </w:rPr>
        <w:t xml:space="preserve">um Cancer Centre, Melbourne; </w:t>
      </w:r>
      <w:r w:rsidRPr="007475E2">
        <w:rPr>
          <w:rFonts w:cs="Times New Roman"/>
        </w:rPr>
        <w:t>Hunter Area Pathology Service (HA</w:t>
      </w:r>
      <w:r>
        <w:rPr>
          <w:rFonts w:cs="Times New Roman"/>
        </w:rPr>
        <w:t>PS) Pathology North, Newcastle; Genomics Diagnostics; and Genomics for Life, Brisbane.</w:t>
      </w:r>
    </w:p>
    <w:p w14:paraId="33CF9777" w14:textId="77777777" w:rsidR="006E306E" w:rsidRDefault="006E306E" w:rsidP="006E306E">
      <w:pPr>
        <w:pStyle w:val="Heading2"/>
      </w:pPr>
      <w:r>
        <w:t>Pre-MSAC response</w:t>
      </w:r>
    </w:p>
    <w:p w14:paraId="3DF275EA" w14:textId="77777777" w:rsidR="006E306E" w:rsidRPr="006E306E" w:rsidRDefault="006E306E" w:rsidP="006E306E">
      <w:r>
        <w:t xml:space="preserve">The </w:t>
      </w:r>
      <w:r w:rsidR="00E76FF0">
        <w:t>applicant</w:t>
      </w:r>
      <w:r>
        <w:t xml:space="preserve"> stated that the </w:t>
      </w:r>
      <w:r w:rsidRPr="006E306E">
        <w:t xml:space="preserve">four laboratories listed in the </w:t>
      </w:r>
      <w:r w:rsidR="002E545C">
        <w:t xml:space="preserve">integrated </w:t>
      </w:r>
      <w:r w:rsidRPr="006E306E">
        <w:t xml:space="preserve">codependent submission who have developed and validated their own in-house methods for tumour testing to detect somatic BRCA1/2 mutation have now had their test accredited by the </w:t>
      </w:r>
      <w:r>
        <w:t>NATA</w:t>
      </w:r>
      <w:r w:rsidRPr="006E306E">
        <w:t xml:space="preserve"> and notification provided to the TGA.</w:t>
      </w:r>
    </w:p>
    <w:p w14:paraId="19A26901" w14:textId="77777777" w:rsidR="00F23AA4" w:rsidRPr="00F715D1" w:rsidRDefault="00F23AA4" w:rsidP="00F23AA4">
      <w:pPr>
        <w:pStyle w:val="Heading1"/>
      </w:pPr>
      <w:r w:rsidRPr="00F715D1">
        <w:t>Proposal for public funding</w:t>
      </w:r>
    </w:p>
    <w:p w14:paraId="06A2FA6C" w14:textId="77777777" w:rsidR="004D0B8A" w:rsidRDefault="004D0B8A" w:rsidP="004D0B8A">
      <w:r w:rsidRPr="007475E2">
        <w:t>The submission prop</w:t>
      </w:r>
      <w:r>
        <w:t>osed two scenarios for MBS listing of the proposed testing:</w:t>
      </w:r>
    </w:p>
    <w:p w14:paraId="356DB769" w14:textId="77777777" w:rsidR="004D0B8A" w:rsidRDefault="004D0B8A" w:rsidP="004D0B8A">
      <w:pPr>
        <w:pStyle w:val="ListParagraph"/>
        <w:numPr>
          <w:ilvl w:val="0"/>
          <w:numId w:val="6"/>
        </w:numPr>
      </w:pPr>
      <w:r w:rsidRPr="007475E2">
        <w:t xml:space="preserve">In </w:t>
      </w:r>
      <w:r>
        <w:t>S</w:t>
      </w:r>
      <w:r w:rsidRPr="007475E2">
        <w:t xml:space="preserve">cenario 1, the current MBS item 73295 would be amended to permit its use for the proposed listing of olaparib in the </w:t>
      </w:r>
      <w:r>
        <w:t>first-line maintenance setting (Table 1)</w:t>
      </w:r>
    </w:p>
    <w:p w14:paraId="2B12B1D6" w14:textId="426B2B7C" w:rsidR="004D0B8A" w:rsidRPr="002E6BB0" w:rsidRDefault="004D0B8A" w:rsidP="002E6BB0">
      <w:pPr>
        <w:pStyle w:val="ListParagraph"/>
        <w:numPr>
          <w:ilvl w:val="0"/>
          <w:numId w:val="6"/>
        </w:numPr>
        <w:spacing w:after="240"/>
      </w:pPr>
      <w:r w:rsidRPr="007475E2">
        <w:t xml:space="preserve">In </w:t>
      </w:r>
      <w:r>
        <w:t>S</w:t>
      </w:r>
      <w:r w:rsidRPr="007475E2">
        <w:t xml:space="preserve">cenario 2, a new MBS item </w:t>
      </w:r>
      <w:r w:rsidR="00614954">
        <w:t>would be</w:t>
      </w:r>
      <w:r w:rsidRPr="007475E2">
        <w:t xml:space="preserve"> required to permit tumour </w:t>
      </w:r>
      <w:r w:rsidRPr="00CC097A">
        <w:rPr>
          <w:i/>
        </w:rPr>
        <w:t>BRCA</w:t>
      </w:r>
      <w:r w:rsidRPr="007475E2">
        <w:t xml:space="preserve"> testing in patients with newly diagnosed advanced</w:t>
      </w:r>
      <w:r>
        <w:t xml:space="preserve"> </w:t>
      </w:r>
      <w:r w:rsidRPr="00887DDF">
        <w:t xml:space="preserve">high-grade epithelial ovarian cancer </w:t>
      </w:r>
      <w:r>
        <w:t>(</w:t>
      </w:r>
      <w:r w:rsidRPr="007475E2">
        <w:t>HGEOC</w:t>
      </w:r>
      <w:r>
        <w:t>)</w:t>
      </w:r>
      <w:r w:rsidRPr="007475E2">
        <w:t>, and this scenario w</w:t>
      </w:r>
      <w:r w:rsidR="00614954">
        <w:t>ould</w:t>
      </w:r>
      <w:r w:rsidRPr="007475E2">
        <w:t xml:space="preserve"> also require an amendment to MBS item 73295 for patients for whom the tumour tissue is not suitable for tumour </w:t>
      </w:r>
      <w:r w:rsidRPr="00CC097A">
        <w:rPr>
          <w:i/>
        </w:rPr>
        <w:t>BRCA</w:t>
      </w:r>
      <w:r>
        <w:t xml:space="preserve"> testing (Table 1 and Table 2).</w:t>
      </w:r>
    </w:p>
    <w:p w14:paraId="073D3A75" w14:textId="77777777" w:rsidR="004D0B8A" w:rsidRPr="00296C25" w:rsidRDefault="004D0B8A" w:rsidP="00296C25">
      <w:pPr>
        <w:rPr>
          <w:rFonts w:ascii="Arial Narrow" w:hAnsi="Arial Narrow"/>
          <w:b/>
          <w:sz w:val="20"/>
        </w:rPr>
      </w:pPr>
      <w:bookmarkStart w:id="2" w:name="_Ref10364867"/>
      <w:bookmarkStart w:id="3" w:name="_Toc473037232"/>
      <w:bookmarkStart w:id="4" w:name="_Toc473067128"/>
      <w:bookmarkStart w:id="5" w:name="_Toc473540123"/>
      <w:r w:rsidRPr="00296C25">
        <w:rPr>
          <w:rFonts w:ascii="Arial Narrow" w:hAnsi="Arial Narrow"/>
          <w:b/>
          <w:sz w:val="20"/>
        </w:rPr>
        <w:t xml:space="preserve">Table </w:t>
      </w:r>
      <w:bookmarkEnd w:id="2"/>
      <w:r w:rsidRPr="00296C25">
        <w:rPr>
          <w:rFonts w:ascii="Arial Narrow" w:hAnsi="Arial Narrow"/>
          <w:b/>
          <w:sz w:val="20"/>
        </w:rPr>
        <w:t>1</w:t>
      </w:r>
      <w:r w:rsidRPr="00296C25">
        <w:rPr>
          <w:rFonts w:ascii="Arial Narrow" w:hAnsi="Arial Narrow"/>
          <w:b/>
          <w:sz w:val="20"/>
        </w:rPr>
        <w:tab/>
        <w:t>Proposed amended MBS item 73295 (Scenario 1 and Scenario 2)</w:t>
      </w:r>
    </w:p>
    <w:tbl>
      <w:tblPr>
        <w:tblStyle w:val="TableGrid"/>
        <w:tblW w:w="5000" w:type="pct"/>
        <w:tblLook w:val="04A0" w:firstRow="1" w:lastRow="0" w:firstColumn="1" w:lastColumn="0" w:noHBand="0" w:noVBand="1"/>
        <w:tblCaption w:val="Table 1 Proposed amended MBS item 73295 (Scenario 1 and Scenario 2)"/>
      </w:tblPr>
      <w:tblGrid>
        <w:gridCol w:w="9016"/>
      </w:tblGrid>
      <w:tr w:rsidR="004D0B8A" w14:paraId="453662A8" w14:textId="77777777" w:rsidTr="009824AB">
        <w:trPr>
          <w:tblHeader/>
        </w:trPr>
        <w:tc>
          <w:tcPr>
            <w:tcW w:w="5000" w:type="pct"/>
          </w:tcPr>
          <w:bookmarkEnd w:id="3"/>
          <w:bookmarkEnd w:id="4"/>
          <w:bookmarkEnd w:id="5"/>
          <w:p w14:paraId="52F85A91" w14:textId="77777777" w:rsidR="004D0B8A" w:rsidRPr="003F5772" w:rsidRDefault="004D0B8A" w:rsidP="006E306E">
            <w:pPr>
              <w:pStyle w:val="TableText0"/>
              <w:keepNext/>
              <w:pBdr>
                <w:bottom w:val="single" w:sz="2" w:space="0" w:color="auto"/>
              </w:pBdr>
              <w:spacing w:before="11" w:after="11"/>
            </w:pPr>
            <w:r w:rsidRPr="003F5772">
              <w:t>Category 6 – Pathology Services</w:t>
            </w:r>
          </w:p>
          <w:p w14:paraId="1CB75222" w14:textId="47D7AD4A" w:rsidR="004D0B8A" w:rsidRPr="0086216F" w:rsidRDefault="004D0B8A" w:rsidP="002E6BB0">
            <w:pPr>
              <w:pStyle w:val="TableText0"/>
              <w:keepNext/>
              <w:tabs>
                <w:tab w:val="left" w:pos="6390"/>
              </w:tabs>
              <w:spacing w:before="11" w:after="11"/>
              <w:rPr>
                <w:rFonts w:eastAsia="Times New Roman"/>
              </w:rPr>
            </w:pPr>
            <w:r w:rsidRPr="0086216F">
              <w:rPr>
                <w:rFonts w:eastAsia="Times New Roman"/>
              </w:rPr>
              <w:t xml:space="preserve">MBS </w:t>
            </w:r>
            <w:r>
              <w:rPr>
                <w:rFonts w:eastAsia="Times New Roman"/>
              </w:rPr>
              <w:t>i</w:t>
            </w:r>
            <w:r w:rsidR="002E6BB0">
              <w:rPr>
                <w:rFonts w:eastAsia="Times New Roman"/>
              </w:rPr>
              <w:t>tem 73295</w:t>
            </w:r>
            <w:r w:rsidR="002E6BB0">
              <w:rPr>
                <w:rFonts w:eastAsia="Times New Roman"/>
              </w:rPr>
              <w:tab/>
            </w:r>
            <w:r w:rsidR="002E6BB0">
              <w:rPr>
                <w:rFonts w:eastAsia="Times New Roman"/>
              </w:rPr>
              <w:tab/>
            </w:r>
            <w:r w:rsidRPr="0086216F">
              <w:rPr>
                <w:rFonts w:eastAsia="Times New Roman"/>
              </w:rPr>
              <w:t>Group P7 – Genetics</w:t>
            </w:r>
          </w:p>
          <w:p w14:paraId="3FD69394" w14:textId="77777777" w:rsidR="004D0B8A" w:rsidRPr="0086216F" w:rsidRDefault="004D0B8A" w:rsidP="006E306E">
            <w:pPr>
              <w:pStyle w:val="TableText0"/>
              <w:keepNext/>
              <w:spacing w:before="11" w:after="11"/>
            </w:pPr>
            <w:r w:rsidRPr="0086216F">
              <w:t xml:space="preserve">Detection of germline BRCA1 or BRCA2 gene mutations, in a patient with ovarian, fallopian tube or primary peritoneal cancer with high grade </w:t>
            </w:r>
            <w:r>
              <w:t xml:space="preserve">epithelial </w:t>
            </w:r>
            <w:r w:rsidRPr="0086216F">
              <w:t xml:space="preserve">features or a high grade </w:t>
            </w:r>
            <w:r>
              <w:t>epithelial</w:t>
            </w:r>
            <w:r w:rsidRPr="0086216F">
              <w:t xml:space="preserve"> component, </w:t>
            </w:r>
            <w:r w:rsidRPr="007C5729">
              <w:t>for whom testing of tumour tissue is not feasible</w:t>
            </w:r>
            <w:r>
              <w:t>,</w:t>
            </w:r>
            <w:r w:rsidRPr="0086216F">
              <w:t xml:space="preserve"> requested by a specialist or consultant physician, to determine whether the eligibility criteria for olaparib under the Pharmaceutical Benefits Scheme (PBS) are fulfilled.</w:t>
            </w:r>
          </w:p>
          <w:p w14:paraId="25E87B92" w14:textId="77777777" w:rsidR="004D0B8A" w:rsidRPr="0086216F" w:rsidRDefault="004D0B8A" w:rsidP="006E306E">
            <w:pPr>
              <w:pStyle w:val="TableText0"/>
              <w:keepNext/>
              <w:spacing w:before="11" w:after="11"/>
            </w:pPr>
            <w:r w:rsidRPr="0086216F">
              <w:t>Maximum one test per lifetime</w:t>
            </w:r>
          </w:p>
          <w:p w14:paraId="62D94B9B" w14:textId="77777777" w:rsidR="004D0B8A" w:rsidRPr="006274AB" w:rsidRDefault="004D0B8A" w:rsidP="006E306E">
            <w:pPr>
              <w:pStyle w:val="TableText0"/>
              <w:keepNext/>
              <w:spacing w:before="11" w:after="11"/>
            </w:pPr>
            <w:r w:rsidRPr="00695A94">
              <w:t>Fee: $1,200.00 Benefit: 75% = $900.00 85% = $1,116.60</w:t>
            </w:r>
          </w:p>
        </w:tc>
      </w:tr>
    </w:tbl>
    <w:p w14:paraId="3B288314" w14:textId="2C4EFF9E" w:rsidR="00BB70BA" w:rsidRDefault="004D0B8A" w:rsidP="002E6BB0">
      <w:pPr>
        <w:pStyle w:val="TableFooter"/>
      </w:pPr>
      <w:r w:rsidRPr="00DC08B0">
        <w:t>Source: Table</w:t>
      </w:r>
      <w:r>
        <w:t xml:space="preserve"> ES5, pV of the submission.</w:t>
      </w:r>
    </w:p>
    <w:p w14:paraId="1C396551" w14:textId="77777777" w:rsidR="004D0B8A" w:rsidRPr="00296C25" w:rsidRDefault="004D0B8A" w:rsidP="00296C25">
      <w:pPr>
        <w:rPr>
          <w:rFonts w:ascii="Arial Narrow" w:hAnsi="Arial Narrow"/>
          <w:b/>
          <w:sz w:val="20"/>
        </w:rPr>
      </w:pPr>
      <w:r w:rsidRPr="00296C25">
        <w:rPr>
          <w:rFonts w:ascii="Arial Narrow" w:hAnsi="Arial Narrow"/>
          <w:b/>
          <w:sz w:val="20"/>
        </w:rPr>
        <w:t>Table 2</w:t>
      </w:r>
      <w:r w:rsidRPr="00296C25">
        <w:rPr>
          <w:rFonts w:ascii="Arial Narrow" w:hAnsi="Arial Narrow"/>
          <w:b/>
          <w:sz w:val="20"/>
        </w:rPr>
        <w:tab/>
        <w:t>Proposed new MBS item (Scenario 2)</w:t>
      </w:r>
    </w:p>
    <w:tbl>
      <w:tblPr>
        <w:tblStyle w:val="PBACTableStyle"/>
        <w:tblW w:w="5000" w:type="pct"/>
        <w:tblLook w:val="04A0" w:firstRow="1" w:lastRow="0" w:firstColumn="1" w:lastColumn="0" w:noHBand="0" w:noVBand="1"/>
        <w:tblDescription w:val="Proposed new MBS item (Scenario 2)"/>
      </w:tblPr>
      <w:tblGrid>
        <w:gridCol w:w="9016"/>
      </w:tblGrid>
      <w:tr w:rsidR="004D0B8A" w:rsidRPr="00DC08B0" w14:paraId="0A3AF0D2" w14:textId="77777777" w:rsidTr="00296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60F0A01A" w14:textId="77777777" w:rsidR="004D0B8A" w:rsidRPr="00DC08B0" w:rsidRDefault="004D0B8A" w:rsidP="006E306E">
            <w:pPr>
              <w:pStyle w:val="TableText0"/>
              <w:keepNext/>
              <w:spacing w:before="11" w:after="11" w:line="257" w:lineRule="auto"/>
              <w:jc w:val="right"/>
              <w:rPr>
                <w:sz w:val="24"/>
              </w:rPr>
            </w:pPr>
            <w:r w:rsidRPr="00DC08B0">
              <w:t>Category 6 – Pathology Services</w:t>
            </w:r>
          </w:p>
        </w:tc>
      </w:tr>
      <w:tr w:rsidR="004D0B8A" w:rsidRPr="00DC08B0" w14:paraId="0BED6FB3" w14:textId="77777777" w:rsidTr="00296C25">
        <w:tc>
          <w:tcPr>
            <w:cnfStyle w:val="001000000000" w:firstRow="0" w:lastRow="0" w:firstColumn="1" w:lastColumn="0" w:oddVBand="0" w:evenVBand="0" w:oddHBand="0" w:evenHBand="0" w:firstRowFirstColumn="0" w:firstRowLastColumn="0" w:lastRowFirstColumn="0" w:lastRowLastColumn="0"/>
            <w:tcW w:w="5000" w:type="pct"/>
          </w:tcPr>
          <w:p w14:paraId="123566EF" w14:textId="77777777" w:rsidR="004D0B8A" w:rsidRPr="00DC08B0" w:rsidRDefault="004D0B8A" w:rsidP="006E306E">
            <w:pPr>
              <w:pStyle w:val="TableText0"/>
              <w:tabs>
                <w:tab w:val="right" w:pos="4908"/>
              </w:tabs>
              <w:spacing w:before="11" w:after="67"/>
              <w:rPr>
                <w:snapToGrid w:val="0"/>
              </w:rPr>
            </w:pPr>
            <w:r w:rsidRPr="00DC08B0">
              <w:rPr>
                <w:snapToGrid w:val="0"/>
              </w:rPr>
              <w:t>MBS item XXXXX</w:t>
            </w:r>
            <w:r w:rsidRPr="00DC08B0">
              <w:rPr>
                <w:snapToGrid w:val="0"/>
              </w:rPr>
              <w:tab/>
              <w:t>Group P7 – Genetics</w:t>
            </w:r>
          </w:p>
          <w:p w14:paraId="25BA8C9B" w14:textId="77777777" w:rsidR="004D0B8A" w:rsidRPr="00DC08B0" w:rsidRDefault="004D0B8A" w:rsidP="006E306E">
            <w:pPr>
              <w:pStyle w:val="TableText0"/>
              <w:tabs>
                <w:tab w:val="right" w:pos="4720"/>
              </w:tabs>
              <w:spacing w:before="11" w:after="67"/>
              <w:rPr>
                <w:snapToGrid w:val="0"/>
              </w:rPr>
            </w:pPr>
            <w:r w:rsidRPr="00DC08B0">
              <w:rPr>
                <w:snapToGrid w:val="0"/>
              </w:rPr>
              <w:t>A test of tumour tissue from a patient diagnosed with advanced, high-grade or high grade epithelial ovarian, fallopian tube or primary peritoneal cancer requested by a specialist or consultant physician, to determine whether the requirements relating to BRCA status for access to olaparib under the Pharmaceutical Benefits Scheme (PBS) are fulfilled</w:t>
            </w:r>
            <w:r>
              <w:rPr>
                <w:snapToGrid w:val="0"/>
              </w:rPr>
              <w:t>.</w:t>
            </w:r>
          </w:p>
          <w:p w14:paraId="00B0EF7A" w14:textId="77777777" w:rsidR="004D0B8A" w:rsidRPr="00DC08B0" w:rsidRDefault="004D0B8A" w:rsidP="006E306E">
            <w:pPr>
              <w:pStyle w:val="TableText0"/>
              <w:tabs>
                <w:tab w:val="right" w:pos="4720"/>
              </w:tabs>
              <w:spacing w:before="11" w:after="67"/>
              <w:rPr>
                <w:snapToGrid w:val="0"/>
              </w:rPr>
            </w:pPr>
            <w:r w:rsidRPr="00DC08B0">
              <w:rPr>
                <w:snapToGrid w:val="0"/>
              </w:rPr>
              <w:t>Maximum one test per lifetime</w:t>
            </w:r>
          </w:p>
          <w:p w14:paraId="1EDFD4A5" w14:textId="703294E8" w:rsidR="004D0B8A" w:rsidRPr="00DC08B0" w:rsidRDefault="004D0B8A" w:rsidP="006E306E">
            <w:pPr>
              <w:pStyle w:val="TableText0"/>
              <w:spacing w:before="11" w:after="67" w:line="240" w:lineRule="auto"/>
              <w:rPr>
                <w:snapToGrid w:val="0"/>
                <w:sz w:val="24"/>
              </w:rPr>
            </w:pPr>
            <w:r w:rsidRPr="00DC08B0">
              <w:rPr>
                <w:snapToGrid w:val="0"/>
              </w:rPr>
              <w:t>Fee: $</w:t>
            </w:r>
            <w:r w:rsidR="00CD1C57" w:rsidRPr="00E71810">
              <w:rPr>
                <w:b/>
              </w:rPr>
              <w:t>redacted</w:t>
            </w:r>
            <w:r w:rsidR="00CD1C57" w:rsidRPr="00DC08B0">
              <w:rPr>
                <w:snapToGrid w:val="0"/>
              </w:rPr>
              <w:t xml:space="preserve"> </w:t>
            </w:r>
            <w:r w:rsidRPr="00DC08B0">
              <w:rPr>
                <w:snapToGrid w:val="0"/>
              </w:rPr>
              <w:t>Benefit: 75% = $</w:t>
            </w:r>
            <w:r w:rsidR="00CD1C57" w:rsidRPr="00E71810">
              <w:rPr>
                <w:b/>
              </w:rPr>
              <w:t>redacted</w:t>
            </w:r>
            <w:r w:rsidR="00CD1C57" w:rsidRPr="00DC08B0">
              <w:rPr>
                <w:snapToGrid w:val="0"/>
              </w:rPr>
              <w:t xml:space="preserve"> </w:t>
            </w:r>
            <w:r w:rsidRPr="00DC08B0">
              <w:rPr>
                <w:snapToGrid w:val="0"/>
              </w:rPr>
              <w:t>85% = $</w:t>
            </w:r>
            <w:r w:rsidR="00CD1C57" w:rsidRPr="00E71810">
              <w:rPr>
                <w:b/>
              </w:rPr>
              <w:t xml:space="preserve"> redacted</w:t>
            </w:r>
          </w:p>
        </w:tc>
      </w:tr>
    </w:tbl>
    <w:p w14:paraId="2EE2D605" w14:textId="77777777" w:rsidR="004D0B8A" w:rsidRPr="00DC08B0" w:rsidRDefault="004D0B8A" w:rsidP="004D0B8A">
      <w:pPr>
        <w:pStyle w:val="TableFooter"/>
      </w:pPr>
      <w:r w:rsidRPr="00DC08B0">
        <w:t>Source: Table</w:t>
      </w:r>
      <w:r>
        <w:t xml:space="preserve"> ES6, pV of the submission.</w:t>
      </w:r>
    </w:p>
    <w:p w14:paraId="4F39518C" w14:textId="77777777" w:rsidR="004D0B8A" w:rsidRDefault="004D0B8A" w:rsidP="004D0B8A">
      <w:r>
        <w:lastRenderedPageBreak/>
        <w:t xml:space="preserve">The Commentary noted that </w:t>
      </w:r>
      <w:r w:rsidRPr="00CF193D">
        <w:t>that all patients diagnosed with advanced HGEOC have a greater than 10% risk of having a g</w:t>
      </w:r>
      <w:r w:rsidRPr="00AB55CB">
        <w:rPr>
          <w:i/>
        </w:rPr>
        <w:t>BRCA</w:t>
      </w:r>
      <w:r w:rsidRPr="00CF193D">
        <w:t>m (prevalence rate is 20−2</w:t>
      </w:r>
      <w:r>
        <w:t>3% in the Australian population</w:t>
      </w:r>
      <w:r w:rsidRPr="00CF193D">
        <w:t xml:space="preserve">). Thus, these patients would all be eligible for testing under the current MBS item 73296, making MBS item 73295 redundant in Scenario 1. </w:t>
      </w:r>
      <w:r>
        <w:t>The Commentary stated that t</w:t>
      </w:r>
      <w:r w:rsidRPr="00CF193D">
        <w:t>here should also be a restriction preventing testing under MBS item 73295 if testing has already been undertaken using MBS item 72396 for both scenarios.</w:t>
      </w:r>
      <w:r>
        <w:t xml:space="preserve"> However, the pre-ESC response stated that not all patients would be eligible for germline testing under MBS item 73296, as a quantitative algorithm is required.</w:t>
      </w:r>
    </w:p>
    <w:p w14:paraId="64FA543E" w14:textId="77777777" w:rsidR="00F23AA4" w:rsidRPr="00F715D1" w:rsidRDefault="00F23AA4" w:rsidP="00F23AA4">
      <w:pPr>
        <w:pStyle w:val="Heading1"/>
      </w:pPr>
      <w:r w:rsidRPr="00F715D1">
        <w:t>Summary of</w:t>
      </w:r>
      <w:r w:rsidR="00C30BA7" w:rsidRPr="00F715D1">
        <w:t xml:space="preserve"> public consultation feedback/consumer issues</w:t>
      </w:r>
    </w:p>
    <w:p w14:paraId="0175194C" w14:textId="7EA5067A" w:rsidR="004D0B8A" w:rsidRDefault="004D0B8A" w:rsidP="002E6BB0">
      <w:pPr>
        <w:tabs>
          <w:tab w:val="left" w:pos="720"/>
          <w:tab w:val="left" w:pos="1140"/>
        </w:tabs>
        <w:spacing w:after="240"/>
        <w:rPr>
          <w:szCs w:val="24"/>
        </w:rPr>
      </w:pPr>
      <w:r w:rsidRPr="00260AA9">
        <w:rPr>
          <w:szCs w:val="24"/>
        </w:rPr>
        <w:t xml:space="preserve">Three letters of support were received by the Department of Health, plus one supportive </w:t>
      </w:r>
      <w:r>
        <w:rPr>
          <w:szCs w:val="24"/>
        </w:rPr>
        <w:t xml:space="preserve">feedback from a </w:t>
      </w:r>
      <w:r w:rsidRPr="00260AA9">
        <w:rPr>
          <w:szCs w:val="24"/>
        </w:rPr>
        <w:t>specialist.</w:t>
      </w:r>
    </w:p>
    <w:p w14:paraId="04581B4E" w14:textId="77777777" w:rsidR="004D0B8A" w:rsidRDefault="004D0B8A" w:rsidP="004D0B8A">
      <w:pPr>
        <w:tabs>
          <w:tab w:val="left" w:pos="720"/>
          <w:tab w:val="left" w:pos="1140"/>
        </w:tabs>
        <w:rPr>
          <w:szCs w:val="24"/>
        </w:rPr>
      </w:pPr>
      <w:r>
        <w:rPr>
          <w:szCs w:val="24"/>
        </w:rPr>
        <w:t>T</w:t>
      </w:r>
      <w:r w:rsidR="0093746D">
        <w:rPr>
          <w:szCs w:val="24"/>
        </w:rPr>
        <w:t>he specialist feedback addressed</w:t>
      </w:r>
      <w:r>
        <w:rPr>
          <w:szCs w:val="24"/>
        </w:rPr>
        <w:t xml:space="preserve"> the fact that if this is intervention is approved for MBS funding </w:t>
      </w:r>
      <w:r w:rsidR="0093746D">
        <w:rPr>
          <w:szCs w:val="24"/>
        </w:rPr>
        <w:t>it would also provide access</w:t>
      </w:r>
      <w:r>
        <w:rPr>
          <w:szCs w:val="24"/>
        </w:rPr>
        <w:t xml:space="preserve"> to the women who can</w:t>
      </w:r>
      <w:r w:rsidR="0093746D">
        <w:rPr>
          <w:szCs w:val="24"/>
        </w:rPr>
        <w:t>not</w:t>
      </w:r>
      <w:r>
        <w:rPr>
          <w:szCs w:val="24"/>
        </w:rPr>
        <w:t xml:space="preserve"> financially afford to pay for the test.</w:t>
      </w:r>
    </w:p>
    <w:p w14:paraId="431C36A2" w14:textId="77777777" w:rsidR="00F23AA4" w:rsidRPr="00F715D1" w:rsidRDefault="00F23AA4" w:rsidP="00F23AA4">
      <w:pPr>
        <w:pStyle w:val="Heading1"/>
      </w:pPr>
      <w:r w:rsidRPr="00F715D1">
        <w:t>Proposed intervention’s place in clinical management</w:t>
      </w:r>
    </w:p>
    <w:p w14:paraId="4B6C28CA" w14:textId="65956477" w:rsidR="004D0B8A" w:rsidRPr="00B850DE" w:rsidRDefault="004D0B8A" w:rsidP="002E6BB0">
      <w:pPr>
        <w:autoSpaceDE w:val="0"/>
        <w:autoSpaceDN w:val="0"/>
        <w:adjustRightInd w:val="0"/>
        <w:spacing w:after="240"/>
        <w:rPr>
          <w:lang w:eastAsia="zh-CN"/>
        </w:rPr>
      </w:pPr>
      <w:r w:rsidRPr="00B850DE">
        <w:rPr>
          <w:lang w:eastAsia="zh-CN"/>
        </w:rPr>
        <w:t xml:space="preserve">The current treatment algorithm for advanced HGEOC and the proposed </w:t>
      </w:r>
      <w:r>
        <w:rPr>
          <w:lang w:eastAsia="zh-CN"/>
        </w:rPr>
        <w:t xml:space="preserve">clinical management </w:t>
      </w:r>
      <w:r w:rsidRPr="00B850DE">
        <w:rPr>
          <w:lang w:eastAsia="zh-CN"/>
        </w:rPr>
        <w:t xml:space="preserve">algorithm </w:t>
      </w:r>
      <w:r>
        <w:rPr>
          <w:lang w:eastAsia="zh-CN"/>
        </w:rPr>
        <w:t>for</w:t>
      </w:r>
      <w:r w:rsidRPr="00B850DE">
        <w:rPr>
          <w:lang w:eastAsia="zh-CN"/>
        </w:rPr>
        <w:t xml:space="preserve"> Scenario</w:t>
      </w:r>
      <w:r>
        <w:rPr>
          <w:lang w:eastAsia="zh-CN"/>
        </w:rPr>
        <w:t> 1 and Scenario </w:t>
      </w:r>
      <w:r w:rsidRPr="00B850DE">
        <w:rPr>
          <w:lang w:eastAsia="zh-CN"/>
        </w:rPr>
        <w:t xml:space="preserve">2 are illustrated in </w:t>
      </w:r>
      <w:r>
        <w:rPr>
          <w:lang w:eastAsia="zh-CN"/>
        </w:rPr>
        <w:t>Figure 1.</w:t>
      </w:r>
    </w:p>
    <w:p w14:paraId="4B59B588" w14:textId="3F757917" w:rsidR="004D0B8A" w:rsidRDefault="004D0B8A" w:rsidP="002E6BB0">
      <w:pPr>
        <w:spacing w:after="240"/>
      </w:pPr>
      <w:r w:rsidRPr="007475E2">
        <w:t>In Scenario</w:t>
      </w:r>
      <w:r>
        <w:t> </w:t>
      </w:r>
      <w:r w:rsidRPr="007475E2">
        <w:t xml:space="preserve">1, all patients receive a germline </w:t>
      </w:r>
      <w:r w:rsidRPr="007475E2">
        <w:rPr>
          <w:i/>
        </w:rPr>
        <w:t>BRCA</w:t>
      </w:r>
      <w:r w:rsidRPr="007475E2">
        <w:t xml:space="preserve"> test</w:t>
      </w:r>
      <w:r>
        <w:t>,</w:t>
      </w:r>
      <w:r w:rsidRPr="007475E2">
        <w:t xml:space="preserve"> </w:t>
      </w:r>
      <w:r w:rsidRPr="0067746E">
        <w:t>requir</w:t>
      </w:r>
      <w:r>
        <w:t>ing</w:t>
      </w:r>
      <w:r w:rsidRPr="0067746E">
        <w:t xml:space="preserve"> a blood sample</w:t>
      </w:r>
      <w:r>
        <w:t>,</w:t>
      </w:r>
      <w:r w:rsidRPr="0067746E">
        <w:t xml:space="preserve"> </w:t>
      </w:r>
      <w:r w:rsidRPr="007475E2">
        <w:t xml:space="preserve">at diagnosis of advanced HGEOC. </w:t>
      </w:r>
      <w:r>
        <w:t xml:space="preserve">The Commentary </w:t>
      </w:r>
      <w:r w:rsidR="00044858">
        <w:t>suggested</w:t>
      </w:r>
      <w:r>
        <w:t xml:space="preserve"> that</w:t>
      </w:r>
      <w:r w:rsidR="00044858">
        <w:t>,</w:t>
      </w:r>
      <w:r>
        <w:t xml:space="preserve"> in</w:t>
      </w:r>
      <w:r w:rsidRPr="007475E2">
        <w:t xml:space="preserve"> current clinical practice, all patients diagnosed with advanced HGEOC would be eligible for testing at diagnosis under MBS item 73296.</w:t>
      </w:r>
      <w:r>
        <w:t xml:space="preserve"> However this require</w:t>
      </w:r>
      <w:r w:rsidR="00044858">
        <w:t>d</w:t>
      </w:r>
      <w:r>
        <w:t xml:space="preserve"> clarification as it is unclear whether primary peritoneal and fallopian tube cancers are covered by this item.</w:t>
      </w:r>
    </w:p>
    <w:p w14:paraId="4B96028A" w14:textId="77777777" w:rsidR="004D0B8A" w:rsidRPr="007475E2" w:rsidRDefault="004D0B8A" w:rsidP="004D0B8A">
      <w:pPr>
        <w:pStyle w:val="MSACESParagraph"/>
        <w:rPr>
          <w:rFonts w:cs="Times New Roman"/>
        </w:rPr>
      </w:pPr>
      <w:r w:rsidRPr="007475E2">
        <w:rPr>
          <w:rFonts w:cs="Times New Roman"/>
        </w:rPr>
        <w:t>In Scenario</w:t>
      </w:r>
      <w:r>
        <w:rPr>
          <w:rFonts w:cs="Times New Roman"/>
        </w:rPr>
        <w:t> </w:t>
      </w:r>
      <w:r w:rsidRPr="007475E2">
        <w:rPr>
          <w:rFonts w:cs="Times New Roman"/>
        </w:rPr>
        <w:t xml:space="preserve">2, all patients initially receive a tumour </w:t>
      </w:r>
      <w:r w:rsidRPr="007475E2">
        <w:rPr>
          <w:rFonts w:cs="Times New Roman"/>
          <w:i/>
        </w:rPr>
        <w:t>BRCA</w:t>
      </w:r>
      <w:r w:rsidRPr="007475E2">
        <w:rPr>
          <w:rFonts w:cs="Times New Roman"/>
        </w:rPr>
        <w:t xml:space="preserve"> test, </w:t>
      </w:r>
      <w:r w:rsidRPr="0067746E">
        <w:rPr>
          <w:rFonts w:cs="Times New Roman"/>
        </w:rPr>
        <w:t>requir</w:t>
      </w:r>
      <w:r>
        <w:rPr>
          <w:rFonts w:cs="Times New Roman"/>
        </w:rPr>
        <w:t>ing</w:t>
      </w:r>
      <w:r w:rsidRPr="0067746E">
        <w:rPr>
          <w:rFonts w:cs="Times New Roman"/>
        </w:rPr>
        <w:t xml:space="preserve"> either fresh-frozen or </w:t>
      </w:r>
      <w:r w:rsidRPr="009E2006">
        <w:rPr>
          <w:rFonts w:cs="Times New Roman"/>
        </w:rPr>
        <w:t xml:space="preserve">formalin-fixed paraffin-embedded </w:t>
      </w:r>
      <w:r>
        <w:rPr>
          <w:rFonts w:cs="Times New Roman"/>
        </w:rPr>
        <w:t>(</w:t>
      </w:r>
      <w:r w:rsidRPr="0067746E">
        <w:rPr>
          <w:rFonts w:cs="Times New Roman"/>
        </w:rPr>
        <w:t>FFPE</w:t>
      </w:r>
      <w:r>
        <w:rPr>
          <w:rFonts w:cs="Times New Roman"/>
        </w:rPr>
        <w:t>)</w:t>
      </w:r>
      <w:r w:rsidRPr="0067746E">
        <w:rPr>
          <w:rFonts w:cs="Times New Roman"/>
        </w:rPr>
        <w:t xml:space="preserve"> tumour tissue</w:t>
      </w:r>
      <w:r>
        <w:rPr>
          <w:rFonts w:cs="Times New Roman"/>
        </w:rPr>
        <w:t>.</w:t>
      </w:r>
      <w:r w:rsidRPr="007475E2">
        <w:rPr>
          <w:rFonts w:cs="Times New Roman"/>
        </w:rPr>
        <w:t xml:space="preserve"> </w:t>
      </w:r>
      <w:r>
        <w:rPr>
          <w:rFonts w:cs="Times New Roman"/>
        </w:rPr>
        <w:t>T</w:t>
      </w:r>
      <w:r w:rsidRPr="007475E2">
        <w:rPr>
          <w:rFonts w:cs="Times New Roman"/>
        </w:rPr>
        <w:t xml:space="preserve">hose who </w:t>
      </w:r>
      <w:r>
        <w:rPr>
          <w:rFonts w:cs="Times New Roman"/>
        </w:rPr>
        <w:t>have a positive</w:t>
      </w:r>
      <w:r w:rsidRPr="007475E2">
        <w:rPr>
          <w:rFonts w:cs="Times New Roman"/>
        </w:rPr>
        <w:t xml:space="preserve"> </w:t>
      </w:r>
      <w:r>
        <w:rPr>
          <w:rFonts w:cs="Times New Roman"/>
        </w:rPr>
        <w:t xml:space="preserve">tumour </w:t>
      </w:r>
      <w:r w:rsidRPr="007475E2">
        <w:rPr>
          <w:rFonts w:cs="Times New Roman"/>
          <w:i/>
        </w:rPr>
        <w:t>BRCA</w:t>
      </w:r>
      <w:r>
        <w:rPr>
          <w:rFonts w:cs="Times New Roman"/>
        </w:rPr>
        <w:t xml:space="preserve"> test result</w:t>
      </w:r>
      <w:r w:rsidRPr="007475E2">
        <w:rPr>
          <w:rFonts w:cs="Times New Roman"/>
        </w:rPr>
        <w:t xml:space="preserve"> then receive a germline </w:t>
      </w:r>
      <w:r w:rsidRPr="007475E2">
        <w:rPr>
          <w:rFonts w:cs="Times New Roman"/>
          <w:i/>
        </w:rPr>
        <w:t>BRCA</w:t>
      </w:r>
      <w:r w:rsidRPr="007475E2">
        <w:rPr>
          <w:rFonts w:cs="Times New Roman"/>
        </w:rPr>
        <w:t xml:space="preserve"> test. </w:t>
      </w:r>
      <w:r w:rsidRPr="0067746E">
        <w:rPr>
          <w:rFonts w:cs="Times New Roman"/>
        </w:rPr>
        <w:t xml:space="preserve">If the tumour </w:t>
      </w:r>
      <w:r w:rsidRPr="0067746E">
        <w:rPr>
          <w:rFonts w:cs="Times New Roman"/>
          <w:i/>
        </w:rPr>
        <w:t>BRCA</w:t>
      </w:r>
      <w:r w:rsidRPr="0067746E">
        <w:rPr>
          <w:rFonts w:cs="Times New Roman"/>
        </w:rPr>
        <w:t xml:space="preserve"> test fails due to inadequate tumour tissue, the patient would receive a germline </w:t>
      </w:r>
      <w:r w:rsidRPr="0067746E">
        <w:rPr>
          <w:rFonts w:cs="Times New Roman"/>
          <w:i/>
        </w:rPr>
        <w:t>BRCA</w:t>
      </w:r>
      <w:r w:rsidRPr="0067746E">
        <w:rPr>
          <w:rFonts w:cs="Times New Roman"/>
        </w:rPr>
        <w:t xml:space="preserve"> test instead, requiring a blood sample to be taken.</w:t>
      </w:r>
    </w:p>
    <w:p w14:paraId="54EC43B2" w14:textId="77777777" w:rsidR="004D0B8A" w:rsidRDefault="004D0B8A" w:rsidP="004D0B8A">
      <w:pPr>
        <w:spacing w:after="240"/>
      </w:pPr>
      <w:r w:rsidRPr="0067746E">
        <w:t xml:space="preserve">Testing, in both scenarios, would occur at diagnosis of advanced HGEOC. The patients would undergo surgical debulking and first-line platinum-based chemotherapy. The tumour tissue removed during surgery (stored as either fresh-frozen or FFPE) would most likely be used for the tumour </w:t>
      </w:r>
      <w:r w:rsidRPr="0067746E">
        <w:rPr>
          <w:i/>
        </w:rPr>
        <w:t>BRCA</w:t>
      </w:r>
      <w:r w:rsidRPr="0067746E">
        <w:t xml:space="preserve"> test. The test result would then be available by the time first-line chemotherapy has been completed and it has been determined whether or not the patient has responded to treatment. If the patient has responded and a </w:t>
      </w:r>
      <w:r w:rsidRPr="004F698E">
        <w:t>g</w:t>
      </w:r>
      <w:r w:rsidRPr="004F698E">
        <w:rPr>
          <w:i/>
        </w:rPr>
        <w:t>BRCA</w:t>
      </w:r>
      <w:r w:rsidR="004F698E">
        <w:t xml:space="preserve"> </w:t>
      </w:r>
      <w:r w:rsidRPr="004F698E">
        <w:t>m</w:t>
      </w:r>
      <w:r w:rsidR="004F698E" w:rsidRPr="004F698E">
        <w:t>utation</w:t>
      </w:r>
      <w:r w:rsidRPr="0067746E">
        <w:t xml:space="preserve"> (Scenario</w:t>
      </w:r>
      <w:r>
        <w:t> </w:t>
      </w:r>
      <w:r w:rsidRPr="0067746E">
        <w:t xml:space="preserve">1) identified, the patient would be eligible to receive olaparib maintenance therapy. In </w:t>
      </w:r>
      <w:r>
        <w:t>S</w:t>
      </w:r>
      <w:r w:rsidRPr="0067746E">
        <w:t>cenario</w:t>
      </w:r>
      <w:r>
        <w:t> </w:t>
      </w:r>
      <w:r w:rsidRPr="0067746E">
        <w:t>1</w:t>
      </w:r>
      <w:r>
        <w:t xml:space="preserve">, </w:t>
      </w:r>
      <w:r w:rsidRPr="0067746E">
        <w:t>s</w:t>
      </w:r>
      <w:r w:rsidRPr="0067746E">
        <w:rPr>
          <w:i/>
        </w:rPr>
        <w:t>BRCA</w:t>
      </w:r>
      <w:r w:rsidRPr="0067746E">
        <w:t>m patients are not identified and would not receive olaparib. In Scenario</w:t>
      </w:r>
      <w:r>
        <w:t> </w:t>
      </w:r>
      <w:r w:rsidRPr="0067746E">
        <w:t>2, both g</w:t>
      </w:r>
      <w:r w:rsidRPr="0067746E">
        <w:rPr>
          <w:i/>
        </w:rPr>
        <w:t>BRCA</w:t>
      </w:r>
      <w:r w:rsidRPr="0067746E">
        <w:t>m and s</w:t>
      </w:r>
      <w:r w:rsidRPr="0067746E">
        <w:rPr>
          <w:i/>
        </w:rPr>
        <w:t>BRCA</w:t>
      </w:r>
      <w:r w:rsidRPr="0067746E">
        <w:t>m patients would be identified and both would receive olaparib.</w:t>
      </w:r>
    </w:p>
    <w:p w14:paraId="06EDDC28" w14:textId="77777777" w:rsidR="004D0B8A" w:rsidRDefault="004D0B8A" w:rsidP="004D0B8A">
      <w:pPr>
        <w:spacing w:after="240"/>
      </w:pPr>
      <w:r w:rsidRPr="00E503E9">
        <w:t xml:space="preserve">In current clinical practice, patients with </w:t>
      </w:r>
      <w:r>
        <w:t xml:space="preserve">ovarian cancer and </w:t>
      </w:r>
      <w:r w:rsidRPr="00E503E9">
        <w:t>a greater than 10% risk of having a g</w:t>
      </w:r>
      <w:r w:rsidRPr="00E503E9">
        <w:rPr>
          <w:i/>
        </w:rPr>
        <w:t>BRCA</w:t>
      </w:r>
      <w:r w:rsidRPr="00E503E9">
        <w:t xml:space="preserve">m are eligible for germline </w:t>
      </w:r>
      <w:r w:rsidRPr="00E503E9">
        <w:rPr>
          <w:i/>
        </w:rPr>
        <w:t>BRCA</w:t>
      </w:r>
      <w:r w:rsidRPr="00E503E9">
        <w:t xml:space="preserve"> testing at diagnosis under MBS item 72396. As 20-23% of all patients diagnosed with HGEOC will have a g</w:t>
      </w:r>
      <w:r w:rsidRPr="00E503E9">
        <w:rPr>
          <w:i/>
        </w:rPr>
        <w:t>BRCA</w:t>
      </w:r>
      <w:r w:rsidRPr="00E503E9">
        <w:t xml:space="preserve">m, </w:t>
      </w:r>
      <w:r>
        <w:t>such</w:t>
      </w:r>
      <w:r w:rsidRPr="00E503E9">
        <w:t xml:space="preserve"> patients </w:t>
      </w:r>
      <w:r>
        <w:t xml:space="preserve">with epithelial ovarian cancer </w:t>
      </w:r>
      <w:r w:rsidRPr="00E503E9">
        <w:t>are eligible for testing at diagnosis as per Scenario</w:t>
      </w:r>
      <w:r>
        <w:t> </w:t>
      </w:r>
      <w:r w:rsidRPr="00E503E9">
        <w:t xml:space="preserve">1. </w:t>
      </w:r>
      <w:r>
        <w:t xml:space="preserve">This is also reflected in quantitative algorithms such as the Manchester Score which score an epithelial cancer at 10-15 depending on patient age at diagnosis and grade. </w:t>
      </w:r>
      <w:r w:rsidRPr="00E503E9">
        <w:t>Currently 70% of HGEOC patients are being tested under MBS item 72396, with 30% being tested after response to second-line platinum-based chemotherapy under MBS item 72395.</w:t>
      </w:r>
    </w:p>
    <w:p w14:paraId="6A6B4220" w14:textId="64798453" w:rsidR="004D0B8A" w:rsidRDefault="004D0B8A" w:rsidP="004D0B8A">
      <w:pPr>
        <w:spacing w:after="240"/>
        <w:sectPr w:rsidR="004D0B8A" w:rsidSect="006E306E">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426" w:left="1440" w:header="708" w:footer="708" w:gutter="0"/>
          <w:cols w:space="708"/>
          <w:docGrid w:linePitch="360"/>
        </w:sectPr>
      </w:pPr>
    </w:p>
    <w:tbl>
      <w:tblPr>
        <w:tblStyle w:val="TableGrid"/>
        <w:tblpPr w:leftFromText="180" w:rightFromText="180" w:vertAnchor="page" w:horzAnchor="page" w:tblpX="554" w:tblpY="2101"/>
        <w:tblW w:w="5151" w:type="pct"/>
        <w:tblLayout w:type="fixed"/>
        <w:tblLook w:val="04A0" w:firstRow="1" w:lastRow="0" w:firstColumn="1" w:lastColumn="0" w:noHBand="0" w:noVBand="1"/>
        <w:tblCaption w:val="Figure 1 Current vs proposed clinical management algorithms"/>
      </w:tblPr>
      <w:tblGrid>
        <w:gridCol w:w="4393"/>
        <w:gridCol w:w="5667"/>
        <w:gridCol w:w="5669"/>
      </w:tblGrid>
      <w:tr w:rsidR="008D5A19" w14:paraId="1FB3746A" w14:textId="77777777" w:rsidTr="008D5A19">
        <w:trPr>
          <w:trHeight w:val="4197"/>
          <w:tblHeader/>
        </w:trPr>
        <w:tc>
          <w:tcPr>
            <w:tcW w:w="1396" w:type="pct"/>
          </w:tcPr>
          <w:p w14:paraId="2FD4B38C" w14:textId="77777777" w:rsidR="004D0B8A" w:rsidRPr="001C172C" w:rsidRDefault="004D0B8A" w:rsidP="006E306E">
            <w:pPr>
              <w:rPr>
                <w:rFonts w:ascii="Arial Narrow" w:hAnsi="Arial Narrow"/>
                <w:b/>
              </w:rPr>
            </w:pPr>
            <w:r w:rsidRPr="001C172C">
              <w:rPr>
                <w:rFonts w:ascii="Arial Narrow" w:hAnsi="Arial Narrow"/>
                <w:b/>
              </w:rPr>
              <w:lastRenderedPageBreak/>
              <w:t>Current algorithm</w:t>
            </w:r>
          </w:p>
          <w:p w14:paraId="0DF8C73F" w14:textId="77777777" w:rsidR="004D0B8A" w:rsidRDefault="004D0B8A" w:rsidP="006E306E">
            <w:pPr>
              <w:rPr>
                <w:rFonts w:ascii="Arial Narrow" w:hAnsi="Arial Narrow"/>
              </w:rPr>
            </w:pPr>
            <w:r>
              <w:rPr>
                <w:rFonts w:ascii="Arial Narrow" w:hAnsi="Arial Narrow"/>
                <w:noProof/>
              </w:rPr>
              <w:drawing>
                <wp:inline distT="0" distB="0" distL="0" distR="0" wp14:anchorId="6083447B" wp14:editId="26E6FCD3">
                  <wp:extent cx="2586672" cy="3045709"/>
                  <wp:effectExtent l="0" t="0" r="4445" b="2540"/>
                  <wp:docPr id="4" name="Picture 4" title="Figure 1 Current vs proposed clinical management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9792" cy="3143580"/>
                          </a:xfrm>
                          <a:prstGeom prst="rect">
                            <a:avLst/>
                          </a:prstGeom>
                          <a:noFill/>
                        </pic:spPr>
                      </pic:pic>
                    </a:graphicData>
                  </a:graphic>
                </wp:inline>
              </w:drawing>
            </w:r>
          </w:p>
        </w:tc>
        <w:tc>
          <w:tcPr>
            <w:tcW w:w="1801" w:type="pct"/>
          </w:tcPr>
          <w:p w14:paraId="1C007702" w14:textId="77777777" w:rsidR="004D0B8A" w:rsidRPr="001C172C" w:rsidRDefault="004D0B8A" w:rsidP="006E306E">
            <w:pPr>
              <w:rPr>
                <w:rFonts w:ascii="Arial Narrow" w:hAnsi="Arial Narrow"/>
                <w:b/>
                <w:noProof/>
              </w:rPr>
            </w:pPr>
            <w:r w:rsidRPr="001C172C">
              <w:rPr>
                <w:rFonts w:ascii="Arial Narrow" w:hAnsi="Arial Narrow"/>
                <w:b/>
                <w:noProof/>
              </w:rPr>
              <w:t>Proposed algorithm</w:t>
            </w:r>
            <w:r>
              <w:rPr>
                <w:rFonts w:ascii="Arial Narrow" w:hAnsi="Arial Narrow"/>
                <w:b/>
                <w:noProof/>
              </w:rPr>
              <w:t xml:space="preserve"> – Scenario 1 (gBRCAm only)</w:t>
            </w:r>
          </w:p>
          <w:p w14:paraId="58E24744" w14:textId="77777777" w:rsidR="004D0B8A" w:rsidRDefault="004D0B8A" w:rsidP="006E306E">
            <w:pPr>
              <w:rPr>
                <w:rFonts w:ascii="Arial Narrow" w:hAnsi="Arial Narrow"/>
              </w:rPr>
            </w:pPr>
            <w:r>
              <w:rPr>
                <w:rFonts w:ascii="Arial Narrow" w:hAnsi="Arial Narrow"/>
                <w:noProof/>
              </w:rPr>
              <w:drawing>
                <wp:inline distT="0" distB="0" distL="0" distR="0" wp14:anchorId="067DF1D7" wp14:editId="28B367A6">
                  <wp:extent cx="3387485" cy="2303145"/>
                  <wp:effectExtent l="0" t="0" r="3810" b="1905"/>
                  <wp:docPr id="5" name="Picture 5" title="Proposed algorithm – Scenario 1 (gBRCAm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3723" cy="2354979"/>
                          </a:xfrm>
                          <a:prstGeom prst="rect">
                            <a:avLst/>
                          </a:prstGeom>
                          <a:noFill/>
                        </pic:spPr>
                      </pic:pic>
                    </a:graphicData>
                  </a:graphic>
                </wp:inline>
              </w:drawing>
            </w:r>
          </w:p>
        </w:tc>
        <w:tc>
          <w:tcPr>
            <w:tcW w:w="1802" w:type="pct"/>
          </w:tcPr>
          <w:p w14:paraId="7BD4D6BD" w14:textId="77777777" w:rsidR="004D0B8A" w:rsidRDefault="004D0B8A" w:rsidP="006E306E">
            <w:pPr>
              <w:rPr>
                <w:rFonts w:ascii="Arial Narrow" w:hAnsi="Arial Narrow"/>
                <w:b/>
                <w:noProof/>
              </w:rPr>
            </w:pPr>
            <w:r>
              <w:rPr>
                <w:rFonts w:ascii="Arial Narrow" w:hAnsi="Arial Narrow"/>
                <w:b/>
                <w:noProof/>
              </w:rPr>
              <w:t>Proposed algorithm – Scenario 2 (tBRCAm + gBRCAm)</w:t>
            </w:r>
          </w:p>
          <w:p w14:paraId="2F3F051A" w14:textId="77777777" w:rsidR="004D0B8A" w:rsidRPr="001C172C" w:rsidRDefault="004D0B8A" w:rsidP="001529F2">
            <w:pPr>
              <w:rPr>
                <w:rFonts w:ascii="Arial Narrow" w:hAnsi="Arial Narrow"/>
                <w:b/>
                <w:noProof/>
              </w:rPr>
            </w:pPr>
            <w:r>
              <w:rPr>
                <w:rFonts w:ascii="Arial Narrow" w:hAnsi="Arial Narrow"/>
                <w:b/>
                <w:noProof/>
              </w:rPr>
              <w:drawing>
                <wp:inline distT="0" distB="0" distL="0" distR="0" wp14:anchorId="059C1B08" wp14:editId="50C5BF92">
                  <wp:extent cx="3420928" cy="2303188"/>
                  <wp:effectExtent l="0" t="0" r="8255" b="1905"/>
                  <wp:docPr id="8" name="Picture 8" title="Proposed algorithm – Scenario 2 (tBRCAm + gBR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5376" cy="2312915"/>
                          </a:xfrm>
                          <a:prstGeom prst="rect">
                            <a:avLst/>
                          </a:prstGeom>
                          <a:noFill/>
                        </pic:spPr>
                      </pic:pic>
                    </a:graphicData>
                  </a:graphic>
                </wp:inline>
              </w:drawing>
            </w:r>
          </w:p>
        </w:tc>
      </w:tr>
    </w:tbl>
    <w:p w14:paraId="4285C24D" w14:textId="77777777" w:rsidR="004D0B8A" w:rsidRPr="00E503E9" w:rsidRDefault="004D0B8A" w:rsidP="004D0B8A">
      <w:pPr>
        <w:spacing w:after="240"/>
      </w:pPr>
    </w:p>
    <w:p w14:paraId="4AAE8999" w14:textId="04D18B24" w:rsidR="004D0B8A" w:rsidRPr="00296C25" w:rsidRDefault="004D0B8A" w:rsidP="00296C25">
      <w:pPr>
        <w:rPr>
          <w:rFonts w:ascii="Arial Narrow" w:hAnsi="Arial Narrow"/>
          <w:b/>
          <w:sz w:val="20"/>
        </w:rPr>
      </w:pPr>
      <w:r w:rsidRPr="00296C25">
        <w:rPr>
          <w:rFonts w:ascii="Arial Narrow" w:hAnsi="Arial Narrow"/>
          <w:b/>
          <w:sz w:val="20"/>
        </w:rPr>
        <w:t>Figure 1</w:t>
      </w:r>
      <w:r w:rsidRPr="00296C25">
        <w:rPr>
          <w:rFonts w:ascii="Arial Narrow" w:hAnsi="Arial Narrow"/>
          <w:b/>
          <w:sz w:val="20"/>
        </w:rPr>
        <w:tab/>
        <w:t>Current vs proposed clinical management algorithms</w:t>
      </w:r>
    </w:p>
    <w:p w14:paraId="24E18408" w14:textId="77777777" w:rsidR="004D0B8A" w:rsidRDefault="004D0B8A" w:rsidP="004D0B8A">
      <w:pPr>
        <w:rPr>
          <w:rFonts w:ascii="Arial Narrow" w:hAnsi="Arial Narrow"/>
          <w:sz w:val="18"/>
          <w:szCs w:val="18"/>
          <w:lang w:val="en-GB" w:eastAsia="ja-JP"/>
        </w:rPr>
      </w:pPr>
      <w:r>
        <w:rPr>
          <w:rFonts w:ascii="Arial Narrow" w:hAnsi="Arial Narrow"/>
          <w:sz w:val="18"/>
          <w:szCs w:val="18"/>
          <w:lang w:val="en-GB" w:eastAsia="ja-JP"/>
        </w:rPr>
        <w:t xml:space="preserve">Abbreviations: </w:t>
      </w:r>
      <w:r w:rsidRPr="00550056">
        <w:rPr>
          <w:rFonts w:ascii="Arial Narrow" w:hAnsi="Arial Narrow"/>
          <w:sz w:val="18"/>
          <w:szCs w:val="18"/>
          <w:lang w:val="en-GB" w:eastAsia="ja-JP"/>
        </w:rPr>
        <w:t>FIGO = the International Federation of Gynaecology and Obstetrics; g</w:t>
      </w:r>
      <w:r w:rsidRPr="00675B50">
        <w:rPr>
          <w:rFonts w:ascii="Arial Narrow" w:hAnsi="Arial Narrow"/>
          <w:i/>
          <w:sz w:val="18"/>
          <w:szCs w:val="18"/>
          <w:lang w:val="en-GB" w:eastAsia="ja-JP"/>
        </w:rPr>
        <w:t>BRCA</w:t>
      </w:r>
      <w:r w:rsidRPr="00550056">
        <w:rPr>
          <w:rFonts w:ascii="Arial Narrow" w:hAnsi="Arial Narrow"/>
          <w:sz w:val="18"/>
          <w:szCs w:val="18"/>
          <w:lang w:val="en-GB" w:eastAsia="ja-JP"/>
        </w:rPr>
        <w:t xml:space="preserve">m = germline </w:t>
      </w:r>
      <w:r w:rsidRPr="00675B50">
        <w:rPr>
          <w:rFonts w:ascii="Arial Narrow" w:hAnsi="Arial Narrow"/>
          <w:i/>
          <w:sz w:val="18"/>
          <w:szCs w:val="18"/>
          <w:lang w:val="en-GB" w:eastAsia="ja-JP"/>
        </w:rPr>
        <w:t>BRCA1</w:t>
      </w:r>
      <w:r w:rsidRPr="00550056">
        <w:rPr>
          <w:rFonts w:ascii="Arial Narrow" w:hAnsi="Arial Narrow"/>
          <w:sz w:val="18"/>
          <w:szCs w:val="18"/>
          <w:lang w:val="en-GB" w:eastAsia="ja-JP"/>
        </w:rPr>
        <w:t xml:space="preserve"> or </w:t>
      </w:r>
      <w:r w:rsidRPr="00675B50">
        <w:rPr>
          <w:rFonts w:ascii="Arial Narrow" w:hAnsi="Arial Narrow"/>
          <w:i/>
          <w:sz w:val="18"/>
          <w:szCs w:val="18"/>
          <w:lang w:val="en-GB" w:eastAsia="ja-JP"/>
        </w:rPr>
        <w:t>BRCA2</w:t>
      </w:r>
      <w:r w:rsidRPr="00550056">
        <w:rPr>
          <w:rFonts w:ascii="Arial Narrow" w:hAnsi="Arial Narrow"/>
          <w:sz w:val="18"/>
          <w:szCs w:val="18"/>
          <w:lang w:val="en-GB" w:eastAsia="ja-JP"/>
        </w:rPr>
        <w:t xml:space="preserve"> mutation</w:t>
      </w:r>
      <w:r>
        <w:rPr>
          <w:rFonts w:ascii="Arial Narrow" w:hAnsi="Arial Narrow"/>
          <w:sz w:val="18"/>
          <w:szCs w:val="18"/>
          <w:lang w:val="en-GB" w:eastAsia="ja-JP"/>
        </w:rPr>
        <w:t>; t</w:t>
      </w:r>
      <w:r w:rsidRPr="00675B50">
        <w:rPr>
          <w:rFonts w:ascii="Arial Narrow" w:hAnsi="Arial Narrow"/>
          <w:i/>
          <w:sz w:val="18"/>
          <w:szCs w:val="18"/>
          <w:lang w:val="en-GB" w:eastAsia="ja-JP"/>
        </w:rPr>
        <w:t>BRCA</w:t>
      </w:r>
      <w:r>
        <w:rPr>
          <w:rFonts w:ascii="Arial Narrow" w:hAnsi="Arial Narrow"/>
          <w:sz w:val="18"/>
          <w:szCs w:val="18"/>
          <w:lang w:val="en-GB" w:eastAsia="ja-JP"/>
        </w:rPr>
        <w:t xml:space="preserve">m = tumour (somatic) </w:t>
      </w:r>
      <w:r w:rsidRPr="00675B50">
        <w:rPr>
          <w:rFonts w:ascii="Arial Narrow" w:hAnsi="Arial Narrow"/>
          <w:i/>
          <w:sz w:val="18"/>
          <w:szCs w:val="18"/>
          <w:lang w:val="en-GB" w:eastAsia="ja-JP"/>
        </w:rPr>
        <w:t>BRCA1</w:t>
      </w:r>
      <w:r>
        <w:rPr>
          <w:rFonts w:ascii="Arial Narrow" w:hAnsi="Arial Narrow"/>
          <w:sz w:val="18"/>
          <w:szCs w:val="18"/>
          <w:lang w:val="en-GB" w:eastAsia="ja-JP"/>
        </w:rPr>
        <w:t xml:space="preserve"> or </w:t>
      </w:r>
      <w:r w:rsidRPr="00675B50">
        <w:rPr>
          <w:rFonts w:ascii="Arial Narrow" w:hAnsi="Arial Narrow"/>
          <w:i/>
          <w:sz w:val="18"/>
          <w:szCs w:val="18"/>
          <w:lang w:val="en-GB" w:eastAsia="ja-JP"/>
        </w:rPr>
        <w:t>BRCA</w:t>
      </w:r>
      <w:r>
        <w:rPr>
          <w:rFonts w:ascii="Arial Narrow" w:hAnsi="Arial Narrow"/>
          <w:i/>
          <w:sz w:val="18"/>
          <w:szCs w:val="18"/>
          <w:lang w:val="en-GB" w:eastAsia="ja-JP"/>
        </w:rPr>
        <w:t>2</w:t>
      </w:r>
      <w:r>
        <w:rPr>
          <w:rFonts w:ascii="Arial Narrow" w:hAnsi="Arial Narrow"/>
          <w:sz w:val="18"/>
          <w:szCs w:val="18"/>
          <w:lang w:val="en-GB" w:eastAsia="ja-JP"/>
        </w:rPr>
        <w:t xml:space="preserve"> mutation</w:t>
      </w:r>
    </w:p>
    <w:p w14:paraId="715D35EA" w14:textId="15CB1C58" w:rsidR="004D0B8A" w:rsidRDefault="004D0B8A" w:rsidP="004D0B8A">
      <w:pPr>
        <w:sectPr w:rsidR="004D0B8A" w:rsidSect="004D0B8A">
          <w:pgSz w:w="16838" w:h="11906" w:orient="landscape"/>
          <w:pgMar w:top="1440" w:right="1134" w:bottom="1440" w:left="426" w:header="708" w:footer="708" w:gutter="0"/>
          <w:cols w:space="708"/>
          <w:docGrid w:linePitch="360"/>
        </w:sectPr>
      </w:pPr>
    </w:p>
    <w:p w14:paraId="1FEA4314" w14:textId="77777777" w:rsidR="00F23AA4" w:rsidRPr="00F715D1" w:rsidRDefault="00E76FF0" w:rsidP="00F23AA4">
      <w:pPr>
        <w:pStyle w:val="Heading1"/>
      </w:pPr>
      <w:r>
        <w:lastRenderedPageBreak/>
        <w:t>Comparator</w:t>
      </w:r>
    </w:p>
    <w:p w14:paraId="791C0D7C" w14:textId="77777777" w:rsidR="004D0B8A" w:rsidRPr="007D1065" w:rsidRDefault="004D0B8A" w:rsidP="004D0B8A">
      <w:pPr>
        <w:pStyle w:val="Heading2"/>
      </w:pPr>
      <w:r w:rsidRPr="007D1065">
        <w:t>For Scenario 1</w:t>
      </w:r>
    </w:p>
    <w:p w14:paraId="443E493B" w14:textId="77777777" w:rsidR="004D0B8A" w:rsidRPr="00E503E9" w:rsidRDefault="004D0B8A" w:rsidP="0093746D">
      <w:pPr>
        <w:spacing w:after="240"/>
      </w:pPr>
      <w:r w:rsidRPr="00E503E9">
        <w:t xml:space="preserve">According to the PICO confirmation ratified by PASC, the comparators for germline </w:t>
      </w:r>
      <w:r w:rsidRPr="00E503E9">
        <w:rPr>
          <w:i/>
        </w:rPr>
        <w:t>BRCA</w:t>
      </w:r>
      <w:r w:rsidRPr="00E503E9">
        <w:t xml:space="preserve"> testing at diagnosis of advanced HGEOC in Scenario</w:t>
      </w:r>
      <w:r>
        <w:t> </w:t>
      </w:r>
      <w:r w:rsidRPr="00E503E9">
        <w:t>1 would be no testing for non-</w:t>
      </w:r>
      <w:r>
        <w:t>serous HGEOC</w:t>
      </w:r>
      <w:r w:rsidRPr="00E503E9">
        <w:t xml:space="preserve"> and germline </w:t>
      </w:r>
      <w:r w:rsidRPr="00E503E9">
        <w:rPr>
          <w:i/>
        </w:rPr>
        <w:t>BRCA</w:t>
      </w:r>
      <w:r w:rsidRPr="00E503E9">
        <w:t xml:space="preserve"> testing following response to second-line platinum therapy for </w:t>
      </w:r>
      <w:r>
        <w:t>serous HGEOC</w:t>
      </w:r>
      <w:r w:rsidRPr="00E503E9">
        <w:t xml:space="preserve">. </w:t>
      </w:r>
      <w:r>
        <w:t>It is unclear whether all of these patients are covered by MBS item 73296 (see above).</w:t>
      </w:r>
    </w:p>
    <w:p w14:paraId="248C2797" w14:textId="77777777" w:rsidR="004D0B8A" w:rsidRPr="007D1065" w:rsidRDefault="004D0B8A" w:rsidP="0093746D">
      <w:pPr>
        <w:pStyle w:val="Heading2"/>
      </w:pPr>
      <w:r w:rsidRPr="007D1065">
        <w:t>For Scenario 2</w:t>
      </w:r>
    </w:p>
    <w:p w14:paraId="2FD78673" w14:textId="77777777" w:rsidR="004D0B8A" w:rsidRPr="007475E2" w:rsidRDefault="004D0B8A" w:rsidP="0093746D">
      <w:pPr>
        <w:pStyle w:val="MSACESParagraph"/>
        <w:rPr>
          <w:rFonts w:cs="Times New Roman"/>
          <w:szCs w:val="24"/>
        </w:rPr>
      </w:pPr>
      <w:r w:rsidRPr="007475E2">
        <w:rPr>
          <w:rFonts w:cs="Times New Roman"/>
          <w:szCs w:val="24"/>
        </w:rPr>
        <w:t xml:space="preserve">The comparator </w:t>
      </w:r>
      <w:r>
        <w:rPr>
          <w:rFonts w:cs="Times New Roman"/>
          <w:szCs w:val="24"/>
        </w:rPr>
        <w:t>for</w:t>
      </w:r>
      <w:r w:rsidRPr="007475E2">
        <w:rPr>
          <w:rFonts w:cs="Times New Roman"/>
          <w:szCs w:val="24"/>
        </w:rPr>
        <w:t xml:space="preserve"> tumour </w:t>
      </w:r>
      <w:r w:rsidRPr="007475E2">
        <w:rPr>
          <w:rFonts w:cs="Times New Roman"/>
          <w:i/>
          <w:szCs w:val="24"/>
        </w:rPr>
        <w:t>BRCA</w:t>
      </w:r>
      <w:r w:rsidRPr="007475E2">
        <w:rPr>
          <w:rFonts w:cs="Times New Roman"/>
          <w:szCs w:val="24"/>
        </w:rPr>
        <w:t xml:space="preserve"> testing, according to the PICO </w:t>
      </w:r>
      <w:r>
        <w:rPr>
          <w:rFonts w:cs="Times New Roman"/>
          <w:szCs w:val="24"/>
        </w:rPr>
        <w:t xml:space="preserve">confirmation </w:t>
      </w:r>
      <w:r w:rsidRPr="007475E2">
        <w:rPr>
          <w:rFonts w:cs="Times New Roman"/>
          <w:szCs w:val="24"/>
        </w:rPr>
        <w:t xml:space="preserve">ratified by PASC, would be current practice, which is germline </w:t>
      </w:r>
      <w:r w:rsidRPr="007475E2">
        <w:rPr>
          <w:rFonts w:cs="Times New Roman"/>
          <w:i/>
          <w:szCs w:val="24"/>
        </w:rPr>
        <w:t>BRCA</w:t>
      </w:r>
      <w:r w:rsidRPr="007475E2">
        <w:rPr>
          <w:rFonts w:cs="Times New Roman"/>
          <w:szCs w:val="24"/>
        </w:rPr>
        <w:t xml:space="preserve"> testing for those eligible under MBS item 73296 and </w:t>
      </w:r>
      <w:r>
        <w:rPr>
          <w:rFonts w:cs="Times New Roman"/>
          <w:szCs w:val="24"/>
        </w:rPr>
        <w:t>second-</w:t>
      </w:r>
      <w:r w:rsidRPr="007475E2">
        <w:rPr>
          <w:rFonts w:cs="Times New Roman"/>
          <w:szCs w:val="24"/>
        </w:rPr>
        <w:t xml:space="preserve">line germline </w:t>
      </w:r>
      <w:r w:rsidRPr="007475E2">
        <w:rPr>
          <w:rFonts w:cs="Times New Roman"/>
          <w:i/>
          <w:szCs w:val="24"/>
        </w:rPr>
        <w:t>BRCA</w:t>
      </w:r>
      <w:r w:rsidRPr="007475E2">
        <w:rPr>
          <w:rFonts w:cs="Times New Roman"/>
          <w:szCs w:val="24"/>
        </w:rPr>
        <w:t xml:space="preserve"> testing for those </w:t>
      </w:r>
      <w:r>
        <w:rPr>
          <w:rFonts w:cs="Times New Roman"/>
          <w:szCs w:val="24"/>
        </w:rPr>
        <w:t>eligible</w:t>
      </w:r>
      <w:r w:rsidRPr="007475E2">
        <w:rPr>
          <w:rFonts w:cs="Times New Roman"/>
          <w:szCs w:val="24"/>
        </w:rPr>
        <w:t xml:space="preserve"> under MBS item 73295.</w:t>
      </w:r>
    </w:p>
    <w:p w14:paraId="7A4DC543" w14:textId="77777777" w:rsidR="004D0B8A" w:rsidRPr="007475E2" w:rsidRDefault="004D0B8A" w:rsidP="0093746D">
      <w:pPr>
        <w:pStyle w:val="MSACESParagraph"/>
        <w:rPr>
          <w:rFonts w:cs="Times New Roman"/>
          <w:szCs w:val="24"/>
        </w:rPr>
      </w:pPr>
      <w:r w:rsidRPr="007475E2">
        <w:rPr>
          <w:rFonts w:cs="Times New Roman"/>
          <w:szCs w:val="24"/>
        </w:rPr>
        <w:t xml:space="preserve">The comparator </w:t>
      </w:r>
      <w:r>
        <w:rPr>
          <w:rFonts w:cs="Times New Roman"/>
          <w:szCs w:val="24"/>
        </w:rPr>
        <w:t>for codependent</w:t>
      </w:r>
      <w:r w:rsidRPr="007475E2">
        <w:rPr>
          <w:rFonts w:cs="Times New Roman"/>
          <w:szCs w:val="24"/>
        </w:rPr>
        <w:t xml:space="preserve"> olaparib maintenance therapy following a response to first-line platinum-based chemotherapy is watch and wait for both scenarios. If </w:t>
      </w:r>
      <w:r>
        <w:rPr>
          <w:rFonts w:cs="Times New Roman"/>
          <w:szCs w:val="24"/>
        </w:rPr>
        <w:t>g</w:t>
      </w:r>
      <w:r w:rsidRPr="00DD09A5">
        <w:rPr>
          <w:rFonts w:cs="Times New Roman"/>
          <w:i/>
          <w:szCs w:val="24"/>
        </w:rPr>
        <w:t>BRCA</w:t>
      </w:r>
      <w:r>
        <w:rPr>
          <w:rFonts w:cs="Times New Roman"/>
          <w:szCs w:val="24"/>
        </w:rPr>
        <w:t xml:space="preserve">m </w:t>
      </w:r>
      <w:r w:rsidRPr="007475E2">
        <w:rPr>
          <w:rFonts w:cs="Times New Roman"/>
          <w:szCs w:val="24"/>
        </w:rPr>
        <w:t>patients relapse they would receive second-line platinum-based chemotherapy followed by olaparib maintenance therapy</w:t>
      </w:r>
      <w:r>
        <w:rPr>
          <w:rFonts w:cs="Times New Roman"/>
          <w:szCs w:val="24"/>
        </w:rPr>
        <w:t xml:space="preserve"> in those who responded to treatment</w:t>
      </w:r>
      <w:r w:rsidRPr="007475E2">
        <w:rPr>
          <w:rFonts w:cs="Times New Roman"/>
          <w:szCs w:val="24"/>
        </w:rPr>
        <w:t>.</w:t>
      </w:r>
      <w:r w:rsidRPr="00DD09A5">
        <w:t xml:space="preserve"> </w:t>
      </w:r>
      <w:r w:rsidRPr="00DD09A5">
        <w:rPr>
          <w:rFonts w:cs="Times New Roman"/>
          <w:szCs w:val="24"/>
        </w:rPr>
        <w:t>In patients without a g</w:t>
      </w:r>
      <w:r w:rsidRPr="00DD09A5">
        <w:rPr>
          <w:rFonts w:cs="Times New Roman"/>
          <w:i/>
          <w:szCs w:val="24"/>
        </w:rPr>
        <w:t>BRCA</w:t>
      </w:r>
      <w:r w:rsidRPr="00DD09A5">
        <w:rPr>
          <w:rFonts w:cs="Times New Roman"/>
          <w:szCs w:val="24"/>
        </w:rPr>
        <w:t xml:space="preserve">m, </w:t>
      </w:r>
      <w:r>
        <w:rPr>
          <w:rFonts w:cs="Times New Roman"/>
          <w:szCs w:val="24"/>
        </w:rPr>
        <w:t>regardless of</w:t>
      </w:r>
      <w:r w:rsidRPr="00DD09A5">
        <w:rPr>
          <w:rFonts w:cs="Times New Roman"/>
          <w:szCs w:val="24"/>
        </w:rPr>
        <w:t xml:space="preserve"> s</w:t>
      </w:r>
      <w:r w:rsidRPr="00DD09A5">
        <w:rPr>
          <w:rFonts w:cs="Times New Roman"/>
          <w:i/>
          <w:szCs w:val="24"/>
        </w:rPr>
        <w:t>BRCA</w:t>
      </w:r>
      <w:r w:rsidRPr="00DD09A5">
        <w:rPr>
          <w:rFonts w:cs="Times New Roman"/>
          <w:szCs w:val="24"/>
        </w:rPr>
        <w:t>m status, olaparib maintenance therapy is not currently an option.</w:t>
      </w:r>
    </w:p>
    <w:p w14:paraId="1495933A" w14:textId="77777777" w:rsidR="00F23AA4" w:rsidRPr="00F715D1" w:rsidRDefault="00F23AA4" w:rsidP="00F23AA4">
      <w:pPr>
        <w:pStyle w:val="Heading1"/>
      </w:pPr>
      <w:r w:rsidRPr="00F715D1">
        <w:t>Comparative safety</w:t>
      </w:r>
    </w:p>
    <w:p w14:paraId="493DE386" w14:textId="77777777" w:rsidR="004D0B8A" w:rsidRDefault="004D0B8A" w:rsidP="004D0B8A">
      <w:pPr>
        <w:pStyle w:val="Heading2"/>
      </w:pPr>
      <w:r>
        <w:t>Adverse events from testing</w:t>
      </w:r>
    </w:p>
    <w:p w14:paraId="681816CE" w14:textId="0A283ED1" w:rsidR="004D0B8A" w:rsidRDefault="004D0B8A" w:rsidP="002E6BB0">
      <w:pPr>
        <w:spacing w:after="240"/>
      </w:pPr>
      <w:r w:rsidRPr="007475E2">
        <w:t xml:space="preserve">The submission did not discuss the safety of tumour </w:t>
      </w:r>
      <w:r w:rsidRPr="00B21576">
        <w:rPr>
          <w:i/>
        </w:rPr>
        <w:t>BRCA</w:t>
      </w:r>
      <w:r w:rsidRPr="007475E2">
        <w:t xml:space="preserve"> testing.</w:t>
      </w:r>
      <w:r>
        <w:t xml:space="preserve"> The Commentary outlined two safety issues:</w:t>
      </w:r>
    </w:p>
    <w:p w14:paraId="7F2FD637" w14:textId="77777777" w:rsidR="004D0B8A" w:rsidRDefault="004D0B8A" w:rsidP="004D0B8A">
      <w:pPr>
        <w:pStyle w:val="Heading3"/>
      </w:pPr>
      <w:r>
        <w:t>Rebiopsy</w:t>
      </w:r>
    </w:p>
    <w:p w14:paraId="7207D7BF" w14:textId="0F2E6E09" w:rsidR="004D0B8A" w:rsidRPr="007475E2" w:rsidRDefault="004D0B8A" w:rsidP="002E6BB0">
      <w:pPr>
        <w:spacing w:after="240"/>
      </w:pPr>
      <w:r w:rsidRPr="007475E2">
        <w:t xml:space="preserve">In </w:t>
      </w:r>
      <w:r>
        <w:t>S</w:t>
      </w:r>
      <w:r w:rsidRPr="007475E2">
        <w:t>cenario</w:t>
      </w:r>
      <w:r>
        <w:t> </w:t>
      </w:r>
      <w:r w:rsidRPr="007475E2">
        <w:t>1, if the germline test fails, a repeat test using the pre-prepared DNA should be sufficient. No additional blood samples should be required, thus no safety issues would be associated with repeat testing.</w:t>
      </w:r>
    </w:p>
    <w:p w14:paraId="61B0A552" w14:textId="19C11FC1" w:rsidR="004D0B8A" w:rsidRPr="007475E2" w:rsidRDefault="004D0B8A" w:rsidP="002E6BB0">
      <w:pPr>
        <w:spacing w:after="240"/>
      </w:pPr>
      <w:r w:rsidRPr="007475E2">
        <w:t xml:space="preserve">In </w:t>
      </w:r>
      <w:r>
        <w:t>S</w:t>
      </w:r>
      <w:r w:rsidRPr="007475E2">
        <w:t>cenario</w:t>
      </w:r>
      <w:r>
        <w:t> </w:t>
      </w:r>
      <w:r w:rsidRPr="007475E2">
        <w:t xml:space="preserve">2, patients with inadequate tissue sample or poor quality DNA may need a rebiopsy to have a tumour </w:t>
      </w:r>
      <w:r w:rsidRPr="00B21576">
        <w:rPr>
          <w:i/>
        </w:rPr>
        <w:t>BRCA</w:t>
      </w:r>
      <w:r w:rsidRPr="007475E2">
        <w:t xml:space="preserve"> test. Al</w:t>
      </w:r>
      <w:r>
        <w:t>though adverse events from a re</w:t>
      </w:r>
      <w:r w:rsidRPr="007475E2">
        <w:t xml:space="preserve">biopsy are rare, </w:t>
      </w:r>
      <w:r>
        <w:t>an alternative to a re</w:t>
      </w:r>
      <w:r w:rsidRPr="007475E2">
        <w:t xml:space="preserve">biopsy would be a germline </w:t>
      </w:r>
      <w:r w:rsidRPr="00B21576">
        <w:rPr>
          <w:i/>
        </w:rPr>
        <w:t>BRCA</w:t>
      </w:r>
      <w:r w:rsidRPr="007475E2">
        <w:t xml:space="preserve"> test. The submission </w:t>
      </w:r>
      <w:r w:rsidR="004F698E">
        <w:t>suggested</w:t>
      </w:r>
      <w:r w:rsidRPr="007475E2">
        <w:t xml:space="preserve"> germline </w:t>
      </w:r>
      <w:r w:rsidRPr="00B21576">
        <w:rPr>
          <w:i/>
        </w:rPr>
        <w:t>BRCA</w:t>
      </w:r>
      <w:r w:rsidRPr="007475E2">
        <w:t xml:space="preserve"> testing as an alternate test for those patients whose tumour NGS </w:t>
      </w:r>
      <w:r w:rsidRPr="00B21576">
        <w:rPr>
          <w:i/>
        </w:rPr>
        <w:t>BRCA</w:t>
      </w:r>
      <w:r w:rsidRPr="00AB3596">
        <w:t xml:space="preserve"> </w:t>
      </w:r>
      <w:r w:rsidRPr="007475E2">
        <w:t xml:space="preserve">test fails. As this test uses a blood sample there would be negligible adverse events associated with this test. The number of patients with </w:t>
      </w:r>
      <w:r w:rsidRPr="00B21576">
        <w:rPr>
          <w:i/>
        </w:rPr>
        <w:t>sBRCA</w:t>
      </w:r>
      <w:r w:rsidRPr="002C3A85">
        <w:t>m</w:t>
      </w:r>
      <w:r w:rsidRPr="00B21576">
        <w:rPr>
          <w:i/>
        </w:rPr>
        <w:t xml:space="preserve"> </w:t>
      </w:r>
      <w:r w:rsidRPr="007475E2">
        <w:t xml:space="preserve">who would forgo olaparib maintenance therapy due to retesting using a germline </w:t>
      </w:r>
      <w:r w:rsidRPr="00B21576">
        <w:rPr>
          <w:i/>
        </w:rPr>
        <w:t>BRCA</w:t>
      </w:r>
      <w:r w:rsidRPr="00AB3596">
        <w:t xml:space="preserve"> </w:t>
      </w:r>
      <w:r>
        <w:t>test would be minimal.</w:t>
      </w:r>
    </w:p>
    <w:p w14:paraId="50C336B8" w14:textId="77777777" w:rsidR="004D0B8A" w:rsidRPr="007475E2" w:rsidRDefault="004D0B8A" w:rsidP="004D0B8A">
      <w:pPr>
        <w:pStyle w:val="Heading3"/>
      </w:pPr>
      <w:r w:rsidRPr="007475E2">
        <w:t>Psychological harms</w:t>
      </w:r>
    </w:p>
    <w:p w14:paraId="4D7FD089" w14:textId="20564A8E" w:rsidR="004D0B8A" w:rsidRPr="007475E2" w:rsidRDefault="004D0B8A" w:rsidP="002E6BB0">
      <w:pPr>
        <w:spacing w:after="240"/>
      </w:pPr>
      <w:r w:rsidRPr="007475E2">
        <w:t xml:space="preserve">There are potential psychological harms associated with tumour NGS </w:t>
      </w:r>
      <w:r w:rsidRPr="002C3A85">
        <w:rPr>
          <w:i/>
        </w:rPr>
        <w:t>BRCA</w:t>
      </w:r>
      <w:r w:rsidRPr="007475E2">
        <w:t xml:space="preserve"> testing. Patients who have a tumour with a </w:t>
      </w:r>
      <w:r w:rsidRPr="002C3A85">
        <w:rPr>
          <w:i/>
        </w:rPr>
        <w:t>BRCA</w:t>
      </w:r>
      <w:r w:rsidRPr="007475E2">
        <w:t xml:space="preserve">m or </w:t>
      </w:r>
      <w:r>
        <w:t>variant of unknown significance (</w:t>
      </w:r>
      <w:r w:rsidRPr="007475E2">
        <w:t>VUS</w:t>
      </w:r>
      <w:r>
        <w:t>)</w:t>
      </w:r>
      <w:r w:rsidRPr="007475E2">
        <w:t xml:space="preserve"> could potentially have an increased level of worry and anxiety. They may be concerned about their own risk of developing new cancers, e.g. in the breast, or of family members (especially siblings or their children) being susceptible to cancer.</w:t>
      </w:r>
    </w:p>
    <w:p w14:paraId="5163B608" w14:textId="2E906B31" w:rsidR="004D0B8A" w:rsidRDefault="004D0B8A" w:rsidP="004D0B8A">
      <w:r w:rsidRPr="007475E2">
        <w:t xml:space="preserve">Thus, it </w:t>
      </w:r>
      <w:r>
        <w:t>may be</w:t>
      </w:r>
      <w:r w:rsidRPr="007475E2">
        <w:t xml:space="preserve"> important that these (</w:t>
      </w:r>
      <w:r w:rsidRPr="002C3A85">
        <w:rPr>
          <w:i/>
        </w:rPr>
        <w:t>BRCA</w:t>
      </w:r>
      <w:r w:rsidRPr="007475E2">
        <w:t xml:space="preserve">m and </w:t>
      </w:r>
      <w:r>
        <w:t xml:space="preserve">possibly </w:t>
      </w:r>
      <w:r w:rsidRPr="007475E2">
        <w:t xml:space="preserve">VUS) patients be referred to a family cancer clinic or genetic counsellor for further evaluation and/or germline </w:t>
      </w:r>
      <w:r w:rsidRPr="002C3A85">
        <w:rPr>
          <w:i/>
        </w:rPr>
        <w:t>BRCA</w:t>
      </w:r>
      <w:r w:rsidRPr="007475E2">
        <w:t xml:space="preserve"> testing and, if positive, appropriate cascade testing of family members, as presented in the proposed clinical management algorithm.</w:t>
      </w:r>
    </w:p>
    <w:p w14:paraId="794B347C" w14:textId="77777777" w:rsidR="004D0B8A" w:rsidRPr="007475E2" w:rsidRDefault="004D0B8A" w:rsidP="004D0B8A">
      <w:pPr>
        <w:pStyle w:val="Heading2"/>
      </w:pPr>
      <w:r w:rsidRPr="007475E2">
        <w:t>Adverse events from changes in management</w:t>
      </w:r>
    </w:p>
    <w:p w14:paraId="2FAAE5A0" w14:textId="01DDEB3C" w:rsidR="004D0B8A" w:rsidRPr="002E6BB0" w:rsidRDefault="004D0B8A" w:rsidP="002E6BB0">
      <w:pPr>
        <w:spacing w:after="240"/>
        <w:rPr>
          <w:i/>
        </w:rPr>
      </w:pPr>
      <w:r>
        <w:t xml:space="preserve">The submission did not present any evidence that diagnosis of a </w:t>
      </w:r>
      <w:r w:rsidRPr="002C3A85">
        <w:rPr>
          <w:i/>
        </w:rPr>
        <w:t>BRCA</w:t>
      </w:r>
      <w:r>
        <w:t xml:space="preserve">m would lead to a change in management. However, the Commentary stated there was some evidence to suggest that patients with </w:t>
      </w:r>
      <w:r w:rsidRPr="00B21576">
        <w:rPr>
          <w:i/>
        </w:rPr>
        <w:t>BRCA</w:t>
      </w:r>
      <w:r w:rsidRPr="002C3A85">
        <w:t>m</w:t>
      </w:r>
      <w:r>
        <w:t xml:space="preserve"> will have a greater response to olaparib maintenance therapy than those with </w:t>
      </w:r>
      <w:r w:rsidRPr="00B21576">
        <w:rPr>
          <w:i/>
        </w:rPr>
        <w:t>BRCA</w:t>
      </w:r>
      <w:r w:rsidRPr="004A70A3">
        <w:t xml:space="preserve"> wildtype (</w:t>
      </w:r>
      <w:r>
        <w:rPr>
          <w:i/>
        </w:rPr>
        <w:t>BRCA</w:t>
      </w:r>
      <w:r w:rsidRPr="002C3A85">
        <w:t>wt</w:t>
      </w:r>
      <w:r w:rsidRPr="004A70A3">
        <w:t>)</w:t>
      </w:r>
      <w:r>
        <w:rPr>
          <w:i/>
        </w:rPr>
        <w:t>.</w:t>
      </w:r>
    </w:p>
    <w:p w14:paraId="61F26B99" w14:textId="508D970B" w:rsidR="004D0B8A" w:rsidRDefault="004D0B8A" w:rsidP="002E6BB0">
      <w:pPr>
        <w:spacing w:after="240"/>
      </w:pPr>
      <w:r>
        <w:t xml:space="preserve">The Commentary stated that the safety data presented for Study 19 suggests that the side effects from taking olaparib would not differ between patients with and without a </w:t>
      </w:r>
      <w:r w:rsidRPr="00B21576">
        <w:rPr>
          <w:i/>
        </w:rPr>
        <w:t>BRCA</w:t>
      </w:r>
      <w:r w:rsidRPr="002C3A85">
        <w:t>m</w:t>
      </w:r>
      <w:r>
        <w:t xml:space="preserve"> (somatic or germline).</w:t>
      </w:r>
    </w:p>
    <w:p w14:paraId="00A9F8FB" w14:textId="196ACDD4" w:rsidR="004D0B8A" w:rsidRDefault="004D0B8A" w:rsidP="002E6BB0">
      <w:pPr>
        <w:spacing w:after="240"/>
      </w:pPr>
      <w:r>
        <w:t>Thus, the Commentary stated that false positive patients would experience the same level of side effects as true positive patients, but may receive a reduced benefit from olaparib. This may be acceptable, as false positive patients are not forgoing any potentially beneficial treatment while receiving olaparib maintenance therapy.</w:t>
      </w:r>
    </w:p>
    <w:p w14:paraId="7EF58043" w14:textId="668E6CE8" w:rsidR="004D0B8A" w:rsidRDefault="004D0B8A" w:rsidP="002E6BB0">
      <w:pPr>
        <w:spacing w:after="240"/>
      </w:pPr>
      <w:r>
        <w:t>The Commentary stated that false negative patients would forgo olaparib maintenance therapy for “watch and wait”. They would be monitored to detect disease progression. These patients may progress quicker than true positive patients receiving olaparib, but are still more likely to respond to second-line platinum-based chemotherapy than true negative patients.</w:t>
      </w:r>
    </w:p>
    <w:p w14:paraId="4A3F8F29" w14:textId="74F53DFB" w:rsidR="004D0B8A" w:rsidRDefault="004D0B8A" w:rsidP="002E6BB0">
      <w:pPr>
        <w:spacing w:after="240"/>
      </w:pPr>
      <w:r>
        <w:t xml:space="preserve">The Commentary stated that the effects on overall survival (OS) for both false positive and false negative patients are yet to be determined. The immature data from SOLO1 does not show an OS benefit for any </w:t>
      </w:r>
      <w:r w:rsidRPr="00B21576">
        <w:rPr>
          <w:i/>
        </w:rPr>
        <w:t>BRCA</w:t>
      </w:r>
      <w:r w:rsidRPr="002C3A85">
        <w:t>m</w:t>
      </w:r>
      <w:r>
        <w:t xml:space="preserve"> patients receiving olaparib compared with those receiving placebo.</w:t>
      </w:r>
    </w:p>
    <w:p w14:paraId="0363F75B" w14:textId="77777777" w:rsidR="004D0B8A" w:rsidRDefault="004D0B8A" w:rsidP="004D0B8A">
      <w:r>
        <w:t>However, the Commentary stated it should be noted that there are likely to be few false positive or false negative patients as Sanger sequencing and NGS are generally accepted as highly accurate “gold standard” tests.</w:t>
      </w:r>
    </w:p>
    <w:p w14:paraId="2D152145" w14:textId="77777777" w:rsidR="00F23AA4" w:rsidRPr="00F715D1" w:rsidRDefault="00F23AA4" w:rsidP="00F23AA4">
      <w:pPr>
        <w:pStyle w:val="Heading1"/>
      </w:pPr>
      <w:r w:rsidRPr="00F715D1">
        <w:t>Comparative effectiveness</w:t>
      </w:r>
    </w:p>
    <w:p w14:paraId="014B537C" w14:textId="19CF1A98" w:rsidR="004D0B8A" w:rsidRDefault="004D0B8A" w:rsidP="002F218A">
      <w:pPr>
        <w:spacing w:after="240"/>
      </w:pPr>
      <w:r>
        <w:t xml:space="preserve">The submission </w:t>
      </w:r>
      <w:r w:rsidR="0093746D">
        <w:t>presented</w:t>
      </w:r>
      <w:r>
        <w:t xml:space="preserve"> a linked evidence approach, with supporting evidence as summarised in Table </w:t>
      </w:r>
      <w:r w:rsidR="009824AB">
        <w:t>3</w:t>
      </w:r>
      <w:r>
        <w:t>.</w:t>
      </w:r>
    </w:p>
    <w:p w14:paraId="41CE65DB" w14:textId="77777777" w:rsidR="004D0B8A" w:rsidRPr="00296C25" w:rsidRDefault="004D0B8A" w:rsidP="00296C25">
      <w:pPr>
        <w:keepNext/>
        <w:keepLines/>
        <w:rPr>
          <w:rFonts w:ascii="Arial Narrow" w:hAnsi="Arial Narrow"/>
          <w:b/>
          <w:sz w:val="20"/>
        </w:rPr>
      </w:pPr>
      <w:r w:rsidRPr="00296C25">
        <w:rPr>
          <w:rFonts w:ascii="Arial Narrow" w:hAnsi="Arial Narrow"/>
          <w:b/>
          <w:sz w:val="20"/>
        </w:rPr>
        <w:t xml:space="preserve">Table </w:t>
      </w:r>
      <w:r w:rsidR="009824AB" w:rsidRPr="00296C25">
        <w:rPr>
          <w:rFonts w:ascii="Arial Narrow" w:hAnsi="Arial Narrow"/>
          <w:b/>
          <w:sz w:val="20"/>
        </w:rPr>
        <w:t>3</w:t>
      </w:r>
      <w:r w:rsidRPr="00296C25">
        <w:rPr>
          <w:rFonts w:ascii="Arial Narrow" w:hAnsi="Arial Narrow"/>
          <w:b/>
          <w:sz w:val="20"/>
        </w:rPr>
        <w:tab/>
        <w:t>Summary of the linked evidence approach</w:t>
      </w:r>
    </w:p>
    <w:tbl>
      <w:tblPr>
        <w:tblStyle w:val="PBACTableStyle"/>
        <w:tblW w:w="5000" w:type="pct"/>
        <w:tblLook w:val="04A0" w:firstRow="1" w:lastRow="0" w:firstColumn="1" w:lastColumn="0" w:noHBand="0" w:noVBand="1"/>
        <w:tblDescription w:val="Summary of the linked evidence approach"/>
      </w:tblPr>
      <w:tblGrid>
        <w:gridCol w:w="2313"/>
        <w:gridCol w:w="4234"/>
        <w:gridCol w:w="2469"/>
      </w:tblGrid>
      <w:tr w:rsidR="004D0B8A" w:rsidRPr="00DC08B0" w14:paraId="3D8507C5" w14:textId="77777777" w:rsidTr="00296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3" w:type="pct"/>
          </w:tcPr>
          <w:p w14:paraId="26266A0A" w14:textId="77777777" w:rsidR="004D0B8A" w:rsidRPr="00DC08B0" w:rsidRDefault="004D0B8A" w:rsidP="00296C25">
            <w:pPr>
              <w:pStyle w:val="TableText0"/>
              <w:keepNext/>
              <w:keepLines/>
              <w:spacing w:before="11" w:after="11"/>
              <w:rPr>
                <w:b w:val="0"/>
              </w:rPr>
            </w:pPr>
          </w:p>
        </w:tc>
        <w:tc>
          <w:tcPr>
            <w:tcW w:w="2348" w:type="pct"/>
            <w:hideMark/>
          </w:tcPr>
          <w:p w14:paraId="2ABEBAA8" w14:textId="77777777" w:rsidR="004D0B8A" w:rsidRPr="00DC08B0" w:rsidRDefault="004D0B8A" w:rsidP="00296C25">
            <w:pPr>
              <w:pStyle w:val="TableText0"/>
              <w:keepNext/>
              <w:keepLines/>
              <w:spacing w:before="11" w:after="11"/>
              <w:cnfStyle w:val="100000000000" w:firstRow="1" w:lastRow="0" w:firstColumn="0" w:lastColumn="0" w:oddVBand="0" w:evenVBand="0" w:oddHBand="0" w:evenHBand="0" w:firstRowFirstColumn="0" w:firstRowLastColumn="0" w:lastRowFirstColumn="0" w:lastRowLastColumn="0"/>
              <w:rPr>
                <w:b w:val="0"/>
              </w:rPr>
            </w:pPr>
            <w:r w:rsidRPr="00DC08B0">
              <w:t>Type of evidence supplied</w:t>
            </w:r>
          </w:p>
        </w:tc>
        <w:tc>
          <w:tcPr>
            <w:tcW w:w="1369" w:type="pct"/>
            <w:hideMark/>
          </w:tcPr>
          <w:p w14:paraId="720B7B45" w14:textId="77777777" w:rsidR="004D0B8A" w:rsidRPr="00DC08B0" w:rsidRDefault="004D0B8A" w:rsidP="00296C25">
            <w:pPr>
              <w:pStyle w:val="TableText0"/>
              <w:keepNext/>
              <w:keepLines/>
              <w:spacing w:before="11" w:after="11"/>
              <w:cnfStyle w:val="100000000000" w:firstRow="1" w:lastRow="0" w:firstColumn="0" w:lastColumn="0" w:oddVBand="0" w:evenVBand="0" w:oddHBand="0" w:evenHBand="0" w:firstRowFirstColumn="0" w:firstRowLastColumn="0" w:lastRowFirstColumn="0" w:lastRowLastColumn="0"/>
              <w:rPr>
                <w:b w:val="0"/>
              </w:rPr>
            </w:pPr>
            <w:r w:rsidRPr="00DC08B0">
              <w:t>Extent of evidence supplied</w:t>
            </w:r>
          </w:p>
        </w:tc>
      </w:tr>
      <w:tr w:rsidR="004D0B8A" w:rsidRPr="00DC08B0" w14:paraId="4A7153B0" w14:textId="77777777" w:rsidTr="00296C25">
        <w:tc>
          <w:tcPr>
            <w:cnfStyle w:val="001000000000" w:firstRow="0" w:lastRow="0" w:firstColumn="1" w:lastColumn="0" w:oddVBand="0" w:evenVBand="0" w:oddHBand="0" w:evenHBand="0" w:firstRowFirstColumn="0" w:firstRowLastColumn="0" w:lastRowFirstColumn="0" w:lastRowLastColumn="0"/>
            <w:tcW w:w="1283" w:type="pct"/>
            <w:hideMark/>
          </w:tcPr>
          <w:p w14:paraId="3387D43A" w14:textId="77777777" w:rsidR="004D0B8A" w:rsidRPr="00014DEB" w:rsidRDefault="004D0B8A" w:rsidP="006E306E">
            <w:pPr>
              <w:pStyle w:val="TableText0"/>
              <w:keepNext/>
              <w:keepLines/>
              <w:spacing w:before="11" w:after="11"/>
            </w:pPr>
            <w:r w:rsidRPr="00014DEB">
              <w:t>Accuracy and performance of the test (analytical validity)</w:t>
            </w:r>
          </w:p>
        </w:tc>
        <w:tc>
          <w:tcPr>
            <w:tcW w:w="2348" w:type="pct"/>
            <w:hideMark/>
          </w:tcPr>
          <w:p w14:paraId="7CE58FBB" w14:textId="77777777" w:rsidR="004D0B8A" w:rsidRPr="00DC08B0" w:rsidRDefault="004D0B8A" w:rsidP="006E306E">
            <w:pPr>
              <w:pStyle w:val="TableText0"/>
              <w:keepNext/>
              <w:keepLines/>
              <w:spacing w:before="11" w:after="11"/>
              <w:cnfStyle w:val="000000000000" w:firstRow="0" w:lastRow="0" w:firstColumn="0" w:lastColumn="0" w:oddVBand="0" w:evenVBand="0" w:oddHBand="0" w:evenHBand="0" w:firstRowFirstColumn="0" w:firstRowLastColumn="0" w:lastRowFirstColumn="0" w:lastRowLastColumn="0"/>
            </w:pPr>
            <w:r w:rsidRPr="00DC08B0">
              <w:t>Level III-2 diagnostic accuracy evidence: a comparison with reference standard that does not meet the criteria required for level II (blinded reference standard among consecutive patients) or level III-1 (blinded reference standard among non-consecutive patients)</w:t>
            </w:r>
          </w:p>
        </w:tc>
        <w:tc>
          <w:tcPr>
            <w:tcW w:w="1369" w:type="pct"/>
            <w:hideMark/>
          </w:tcPr>
          <w:p w14:paraId="0DC7F0E6" w14:textId="77777777" w:rsidR="004D0B8A" w:rsidRPr="00DC08B0" w:rsidRDefault="000C35FA" w:rsidP="006E306E">
            <w:pPr>
              <w:pStyle w:val="TableText0"/>
              <w:keepNext/>
              <w:keepLines/>
              <w:tabs>
                <w:tab w:val="left" w:pos="239"/>
              </w:tabs>
              <w:spacing w:before="11" w:after="11"/>
              <w:cnfStyle w:val="000000000000" w:firstRow="0" w:lastRow="0" w:firstColumn="0" w:lastColumn="0" w:oddVBand="0" w:evenVBand="0" w:oddHBand="0" w:evenHBand="0" w:firstRowFirstColumn="0" w:firstRowLastColumn="0" w:lastRowFirstColumn="0" w:lastRowLastColumn="0"/>
            </w:pPr>
            <w:sdt>
              <w:sdtPr>
                <w:id w:val="1550183824"/>
                <w14:checkbox>
                  <w14:checked w14:val="1"/>
                  <w14:checkedState w14:val="2612" w14:font="MS Gothic"/>
                  <w14:uncheckedState w14:val="2610" w14:font="MS Gothic"/>
                </w14:checkbox>
              </w:sdtPr>
              <w:sdtEndPr/>
              <w:sdtContent>
                <w:r w:rsidR="004D0B8A" w:rsidRPr="00DC08B0">
                  <w:rPr>
                    <w:rFonts w:ascii="MS Gothic" w:eastAsia="MS Gothic" w:hAnsi="MS Gothic"/>
                  </w:rPr>
                  <w:t>☒</w:t>
                </w:r>
              </w:sdtContent>
            </w:sdt>
            <w:r w:rsidR="004D0B8A" w:rsidRPr="00DC08B0">
              <w:tab/>
              <w:t>k=11</w:t>
            </w:r>
            <w:r w:rsidR="004D0B8A">
              <w:t>,</w:t>
            </w:r>
            <w:r w:rsidR="004D0B8A" w:rsidRPr="00DC08B0">
              <w:tab/>
              <w:t>n=2,151</w:t>
            </w:r>
          </w:p>
        </w:tc>
      </w:tr>
      <w:tr w:rsidR="004D0B8A" w:rsidRPr="00DC08B0" w14:paraId="1B63ECD6" w14:textId="77777777" w:rsidTr="00296C25">
        <w:tc>
          <w:tcPr>
            <w:cnfStyle w:val="001000000000" w:firstRow="0" w:lastRow="0" w:firstColumn="1" w:lastColumn="0" w:oddVBand="0" w:evenVBand="0" w:oddHBand="0" w:evenHBand="0" w:firstRowFirstColumn="0" w:firstRowLastColumn="0" w:lastRowFirstColumn="0" w:lastRowLastColumn="0"/>
            <w:tcW w:w="1283" w:type="pct"/>
            <w:hideMark/>
          </w:tcPr>
          <w:p w14:paraId="78A46040" w14:textId="77777777" w:rsidR="004D0B8A" w:rsidRPr="00014DEB" w:rsidRDefault="004D0B8A" w:rsidP="006E306E">
            <w:pPr>
              <w:pStyle w:val="TableText0"/>
              <w:keepNext/>
              <w:keepLines/>
              <w:spacing w:before="11" w:after="11"/>
            </w:pPr>
            <w:r w:rsidRPr="00014DEB">
              <w:t>Prognostic evidence</w:t>
            </w:r>
          </w:p>
        </w:tc>
        <w:tc>
          <w:tcPr>
            <w:tcW w:w="2348" w:type="pct"/>
            <w:hideMark/>
          </w:tcPr>
          <w:p w14:paraId="550D64DE" w14:textId="77777777" w:rsidR="004D0B8A" w:rsidRPr="00DC08B0" w:rsidRDefault="004D0B8A" w:rsidP="006E306E">
            <w:pPr>
              <w:pStyle w:val="TableText0"/>
              <w:keepNext/>
              <w:keepLines/>
              <w:spacing w:before="11" w:after="11"/>
              <w:cnfStyle w:val="000000000000" w:firstRow="0" w:lastRow="0" w:firstColumn="0" w:lastColumn="0" w:oddVBand="0" w:evenVBand="0" w:oddHBand="0" w:evenHBand="0" w:firstRowFirstColumn="0" w:firstRowLastColumn="0" w:lastRowFirstColumn="0" w:lastRowLastColumn="0"/>
            </w:pPr>
            <w:r w:rsidRPr="00DC08B0">
              <w:t>Level I prognostic evidence: SR of level II evidence</w:t>
            </w:r>
          </w:p>
          <w:p w14:paraId="7DE38EF5" w14:textId="77777777" w:rsidR="004D0B8A" w:rsidRPr="00DC08B0" w:rsidRDefault="004D0B8A" w:rsidP="006E306E">
            <w:pPr>
              <w:pStyle w:val="TableText0"/>
              <w:keepNext/>
              <w:keepLines/>
              <w:spacing w:before="11" w:after="11"/>
              <w:cnfStyle w:val="000000000000" w:firstRow="0" w:lastRow="0" w:firstColumn="0" w:lastColumn="0" w:oddVBand="0" w:evenVBand="0" w:oddHBand="0" w:evenHBand="0" w:firstRowFirstColumn="0" w:firstRowLastColumn="0" w:lastRowFirstColumn="0" w:lastRowLastColumn="0"/>
            </w:pPr>
            <w:r w:rsidRPr="00DC08B0">
              <w:t>Level II prospective cohort study</w:t>
            </w:r>
          </w:p>
        </w:tc>
        <w:tc>
          <w:tcPr>
            <w:tcW w:w="1369" w:type="pct"/>
            <w:hideMark/>
          </w:tcPr>
          <w:p w14:paraId="1DF045F1" w14:textId="77777777" w:rsidR="004D0B8A" w:rsidRPr="00DC08B0" w:rsidRDefault="000C35FA" w:rsidP="006E306E">
            <w:pPr>
              <w:pStyle w:val="TableText0"/>
              <w:keepNext/>
              <w:keepLines/>
              <w:tabs>
                <w:tab w:val="left" w:pos="257"/>
              </w:tabs>
              <w:spacing w:before="11" w:after="11"/>
              <w:cnfStyle w:val="000000000000" w:firstRow="0" w:lastRow="0" w:firstColumn="0" w:lastColumn="0" w:oddVBand="0" w:evenVBand="0" w:oddHBand="0" w:evenHBand="0" w:firstRowFirstColumn="0" w:firstRowLastColumn="0" w:lastRowFirstColumn="0" w:lastRowLastColumn="0"/>
            </w:pPr>
            <w:sdt>
              <w:sdtPr>
                <w:id w:val="-955172914"/>
                <w14:checkbox>
                  <w14:checked w14:val="1"/>
                  <w14:checkedState w14:val="2612" w14:font="MS Gothic"/>
                  <w14:uncheckedState w14:val="2610" w14:font="MS Gothic"/>
                </w14:checkbox>
              </w:sdtPr>
              <w:sdtEndPr/>
              <w:sdtContent>
                <w:r w:rsidR="004D0B8A" w:rsidRPr="00DC08B0">
                  <w:rPr>
                    <w:rFonts w:ascii="MS Gothic" w:eastAsia="MS Gothic" w:hAnsi="MS Gothic"/>
                  </w:rPr>
                  <w:t>☒</w:t>
                </w:r>
              </w:sdtContent>
            </w:sdt>
            <w:r w:rsidR="004D0B8A" w:rsidRPr="00DC08B0">
              <w:tab/>
              <w:t>k=1 SR</w:t>
            </w:r>
            <w:r w:rsidR="004D0B8A">
              <w:t>,</w:t>
            </w:r>
            <w:r w:rsidR="004D0B8A" w:rsidRPr="00DC08B0">
              <w:tab/>
              <w:t>n=18,396</w:t>
            </w:r>
          </w:p>
          <w:p w14:paraId="25B7E89F" w14:textId="77777777" w:rsidR="004D0B8A" w:rsidRPr="00DC08B0" w:rsidRDefault="004D0B8A" w:rsidP="006E306E">
            <w:pPr>
              <w:pStyle w:val="TableText0"/>
              <w:keepNext/>
              <w:keepLines/>
              <w:tabs>
                <w:tab w:val="left" w:pos="257"/>
              </w:tabs>
              <w:spacing w:before="11" w:after="11"/>
              <w:cnfStyle w:val="000000000000" w:firstRow="0" w:lastRow="0" w:firstColumn="0" w:lastColumn="0" w:oddVBand="0" w:evenVBand="0" w:oddHBand="0" w:evenHBand="0" w:firstRowFirstColumn="0" w:firstRowLastColumn="0" w:lastRowFirstColumn="0" w:lastRowLastColumn="0"/>
            </w:pPr>
            <w:r w:rsidRPr="00DC08B0">
              <w:tab/>
              <w:t>k=2 cohort</w:t>
            </w:r>
            <w:r>
              <w:t>,</w:t>
            </w:r>
            <w:r w:rsidRPr="00DC08B0">
              <w:tab/>
              <w:t>n=702</w:t>
            </w:r>
          </w:p>
        </w:tc>
      </w:tr>
      <w:tr w:rsidR="004D0B8A" w:rsidRPr="00DC08B0" w14:paraId="1D7E5954" w14:textId="77777777" w:rsidTr="00296C25">
        <w:tc>
          <w:tcPr>
            <w:cnfStyle w:val="001000000000" w:firstRow="0" w:lastRow="0" w:firstColumn="1" w:lastColumn="0" w:oddVBand="0" w:evenVBand="0" w:oddHBand="0" w:evenHBand="0" w:firstRowFirstColumn="0" w:firstRowLastColumn="0" w:lastRowFirstColumn="0" w:lastRowLastColumn="0"/>
            <w:tcW w:w="1283" w:type="pct"/>
            <w:hideMark/>
          </w:tcPr>
          <w:p w14:paraId="638195BF" w14:textId="77777777" w:rsidR="004D0B8A" w:rsidRPr="00014DEB" w:rsidRDefault="004D0B8A" w:rsidP="006E306E">
            <w:pPr>
              <w:pStyle w:val="TableText0"/>
              <w:keepNext/>
              <w:keepLines/>
              <w:spacing w:before="11" w:after="11" w:line="257" w:lineRule="auto"/>
            </w:pPr>
            <w:r w:rsidRPr="00DC08B0">
              <w:t xml:space="preserve">Clinical utility of the test </w:t>
            </w:r>
          </w:p>
        </w:tc>
        <w:tc>
          <w:tcPr>
            <w:tcW w:w="2348" w:type="pct"/>
            <w:hideMark/>
          </w:tcPr>
          <w:p w14:paraId="7D5AAF94" w14:textId="77777777" w:rsidR="004D0B8A" w:rsidRPr="00014DEB" w:rsidRDefault="004D0B8A" w:rsidP="006E306E">
            <w:pPr>
              <w:pStyle w:val="TableText0"/>
              <w:keepNext/>
              <w:keepLines/>
              <w:spacing w:before="11" w:after="11" w:line="257"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69" w:type="pct"/>
            <w:hideMark/>
          </w:tcPr>
          <w:p w14:paraId="1B0EAFE3" w14:textId="77777777" w:rsidR="004D0B8A" w:rsidRPr="00014DEB" w:rsidRDefault="004D0B8A" w:rsidP="006E306E">
            <w:pPr>
              <w:pStyle w:val="TableText0"/>
              <w:keepNext/>
              <w:keepLines/>
              <w:spacing w:before="11" w:after="11" w:line="257"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4D0B8A" w:rsidRPr="00DC08B0" w14:paraId="57D08027" w14:textId="77777777" w:rsidTr="00296C25">
        <w:tc>
          <w:tcPr>
            <w:cnfStyle w:val="001000000000" w:firstRow="0" w:lastRow="0" w:firstColumn="1" w:lastColumn="0" w:oddVBand="0" w:evenVBand="0" w:oddHBand="0" w:evenHBand="0" w:firstRowFirstColumn="0" w:firstRowLastColumn="0" w:lastRowFirstColumn="0" w:lastRowLastColumn="0"/>
            <w:tcW w:w="1283" w:type="pct"/>
          </w:tcPr>
          <w:p w14:paraId="1335B865" w14:textId="77777777" w:rsidR="004D0B8A" w:rsidRPr="00DC08B0" w:rsidRDefault="004D0B8A" w:rsidP="006E306E">
            <w:pPr>
              <w:pStyle w:val="TableText0"/>
              <w:keepNext/>
              <w:keepLines/>
              <w:spacing w:before="11" w:after="11" w:line="257" w:lineRule="auto"/>
            </w:pPr>
            <w:r w:rsidRPr="00DC08B0">
              <w:t>Predictive effect</w:t>
            </w:r>
          </w:p>
          <w:p w14:paraId="0EEFBC1B" w14:textId="77777777" w:rsidR="004D0B8A" w:rsidRPr="00DC08B0" w:rsidRDefault="004D0B8A" w:rsidP="006E306E">
            <w:pPr>
              <w:pStyle w:val="TableText0"/>
              <w:keepNext/>
              <w:keepLines/>
              <w:spacing w:before="11" w:after="11" w:line="257" w:lineRule="auto"/>
            </w:pPr>
            <w:r w:rsidRPr="00DC08B0">
              <w:t>(treatment effect variation)</w:t>
            </w:r>
          </w:p>
        </w:tc>
        <w:tc>
          <w:tcPr>
            <w:tcW w:w="2348" w:type="pct"/>
          </w:tcPr>
          <w:p w14:paraId="1E10213E" w14:textId="77777777" w:rsidR="004D0B8A" w:rsidRPr="00DC08B0" w:rsidRDefault="004D0B8A" w:rsidP="006E306E">
            <w:pPr>
              <w:pStyle w:val="TableText0"/>
              <w:keepNext/>
              <w:keepLines/>
              <w:spacing w:before="11" w:after="11" w:line="257" w:lineRule="auto"/>
              <w:cnfStyle w:val="000000000000" w:firstRow="0" w:lastRow="0" w:firstColumn="0" w:lastColumn="0" w:oddVBand="0" w:evenVBand="0" w:oddHBand="0" w:evenHBand="0" w:firstRowFirstColumn="0" w:firstRowLastColumn="0" w:lastRowFirstColumn="0" w:lastRowLastColumn="0"/>
            </w:pPr>
            <w:r w:rsidRPr="00DC08B0">
              <w:t xml:space="preserve">Four randomised, controlled trials comparing PARP inhibitor maintenance therapy to placebo in the </w:t>
            </w:r>
            <w:r>
              <w:t>second</w:t>
            </w:r>
            <w:r w:rsidRPr="00DC08B0">
              <w:t>-line setting</w:t>
            </w:r>
          </w:p>
        </w:tc>
        <w:tc>
          <w:tcPr>
            <w:tcW w:w="1369" w:type="pct"/>
          </w:tcPr>
          <w:p w14:paraId="6BD7FB4C" w14:textId="77777777" w:rsidR="004D0B8A" w:rsidRPr="00DC08B0" w:rsidRDefault="000C35FA" w:rsidP="006E306E">
            <w:pPr>
              <w:pStyle w:val="TableText0"/>
              <w:keepNext/>
              <w:keepLines/>
              <w:tabs>
                <w:tab w:val="left" w:pos="239"/>
              </w:tabs>
              <w:spacing w:before="11" w:after="11" w:line="257" w:lineRule="auto"/>
              <w:cnfStyle w:val="000000000000" w:firstRow="0" w:lastRow="0" w:firstColumn="0" w:lastColumn="0" w:oddVBand="0" w:evenVBand="0" w:oddHBand="0" w:evenHBand="0" w:firstRowFirstColumn="0" w:firstRowLastColumn="0" w:lastRowFirstColumn="0" w:lastRowLastColumn="0"/>
            </w:pPr>
            <w:sdt>
              <w:sdtPr>
                <w:id w:val="-1794818044"/>
                <w14:checkbox>
                  <w14:checked w14:val="1"/>
                  <w14:checkedState w14:val="2612" w14:font="MS Gothic"/>
                  <w14:uncheckedState w14:val="2610" w14:font="MS Gothic"/>
                </w14:checkbox>
              </w:sdtPr>
              <w:sdtEndPr/>
              <w:sdtContent>
                <w:r w:rsidR="004D0B8A" w:rsidRPr="00DC08B0">
                  <w:rPr>
                    <w:rFonts w:ascii="MS Gothic" w:eastAsia="MS Gothic" w:hAnsi="MS Gothic"/>
                  </w:rPr>
                  <w:t>☒</w:t>
                </w:r>
              </w:sdtContent>
            </w:sdt>
            <w:r w:rsidR="004D0B8A" w:rsidRPr="00DC08B0">
              <w:tab/>
              <w:t>k=4</w:t>
            </w:r>
            <w:r w:rsidR="004D0B8A">
              <w:t>,</w:t>
            </w:r>
            <w:r w:rsidR="004D0B8A" w:rsidRPr="00DC08B0">
              <w:tab/>
              <w:t>n=1,138</w:t>
            </w:r>
          </w:p>
        </w:tc>
      </w:tr>
      <w:tr w:rsidR="004D0B8A" w:rsidRPr="00DC08B0" w14:paraId="12DABFC8" w14:textId="77777777" w:rsidTr="00296C25">
        <w:tc>
          <w:tcPr>
            <w:cnfStyle w:val="001000000000" w:firstRow="0" w:lastRow="0" w:firstColumn="1" w:lastColumn="0" w:oddVBand="0" w:evenVBand="0" w:oddHBand="0" w:evenHBand="0" w:firstRowFirstColumn="0" w:firstRowLastColumn="0" w:lastRowFirstColumn="0" w:lastRowLastColumn="0"/>
            <w:tcW w:w="1283" w:type="pct"/>
          </w:tcPr>
          <w:p w14:paraId="74D14795" w14:textId="77777777" w:rsidR="004D0B8A" w:rsidRPr="00DC08B0" w:rsidRDefault="004D0B8A" w:rsidP="006E306E">
            <w:pPr>
              <w:pStyle w:val="TableText0"/>
              <w:keepNext/>
              <w:keepLines/>
              <w:spacing w:before="11" w:after="11" w:line="257" w:lineRule="auto"/>
            </w:pPr>
            <w:r w:rsidRPr="00DC08B0">
              <w:t>Change in management</w:t>
            </w:r>
          </w:p>
        </w:tc>
        <w:tc>
          <w:tcPr>
            <w:tcW w:w="2348" w:type="pct"/>
          </w:tcPr>
          <w:p w14:paraId="1BB42328" w14:textId="77777777" w:rsidR="004D0B8A" w:rsidRPr="00DC08B0" w:rsidRDefault="004D0B8A" w:rsidP="006E306E">
            <w:pPr>
              <w:pStyle w:val="TableText0"/>
              <w:keepNext/>
              <w:keepLines/>
              <w:spacing w:before="11" w:after="11" w:line="257" w:lineRule="auto"/>
              <w:cnfStyle w:val="000000000000" w:firstRow="0" w:lastRow="0" w:firstColumn="0" w:lastColumn="0" w:oddVBand="0" w:evenVBand="0" w:oddHBand="0" w:evenHBand="0" w:firstRowFirstColumn="0" w:firstRowLastColumn="0" w:lastRowFirstColumn="0" w:lastRowLastColumn="0"/>
            </w:pPr>
            <w:r w:rsidRPr="00DC08B0">
              <w:t>Evidence to show that biomarker determination guides decisions about treatment with the medicine</w:t>
            </w:r>
          </w:p>
        </w:tc>
        <w:tc>
          <w:tcPr>
            <w:tcW w:w="1369" w:type="pct"/>
          </w:tcPr>
          <w:p w14:paraId="68B56B1A" w14:textId="77777777" w:rsidR="004D0B8A" w:rsidRPr="00DC08B0" w:rsidRDefault="000C35FA" w:rsidP="006E306E">
            <w:pPr>
              <w:pStyle w:val="TableText0"/>
              <w:keepNext/>
              <w:keepLines/>
              <w:tabs>
                <w:tab w:val="left" w:pos="239"/>
              </w:tabs>
              <w:spacing w:before="11" w:after="11" w:line="257" w:lineRule="auto"/>
              <w:ind w:left="1"/>
              <w:cnfStyle w:val="000000000000" w:firstRow="0" w:lastRow="0" w:firstColumn="0" w:lastColumn="0" w:oddVBand="0" w:evenVBand="0" w:oddHBand="0" w:evenHBand="0" w:firstRowFirstColumn="0" w:firstRowLastColumn="0" w:lastRowFirstColumn="0" w:lastRowLastColumn="0"/>
            </w:pPr>
            <w:sdt>
              <w:sdtPr>
                <w:id w:val="517356273"/>
                <w14:checkbox>
                  <w14:checked w14:val="0"/>
                  <w14:checkedState w14:val="2612" w14:font="MS Gothic"/>
                  <w14:uncheckedState w14:val="2610" w14:font="MS Gothic"/>
                </w14:checkbox>
              </w:sdtPr>
              <w:sdtEndPr/>
              <w:sdtContent>
                <w:r w:rsidR="004D0B8A" w:rsidRPr="00DC08B0">
                  <w:rPr>
                    <w:rFonts w:ascii="MS Gothic" w:eastAsia="MS Gothic" w:hAnsi="MS Gothic"/>
                  </w:rPr>
                  <w:t>☐</w:t>
                </w:r>
              </w:sdtContent>
            </w:sdt>
            <w:r w:rsidR="004D0B8A" w:rsidRPr="00DC08B0">
              <w:tab/>
              <w:t>k=0</w:t>
            </w:r>
            <w:r w:rsidR="004D0B8A">
              <w:t>,</w:t>
            </w:r>
            <w:r w:rsidR="004D0B8A" w:rsidRPr="00DC08B0">
              <w:tab/>
              <w:t>n=0</w:t>
            </w:r>
          </w:p>
        </w:tc>
      </w:tr>
      <w:tr w:rsidR="004D0B8A" w:rsidRPr="00DC08B0" w14:paraId="52F6F53C" w14:textId="77777777" w:rsidTr="00296C25">
        <w:tc>
          <w:tcPr>
            <w:cnfStyle w:val="001000000000" w:firstRow="0" w:lastRow="0" w:firstColumn="1" w:lastColumn="0" w:oddVBand="0" w:evenVBand="0" w:oddHBand="0" w:evenHBand="0" w:firstRowFirstColumn="0" w:firstRowLastColumn="0" w:lastRowFirstColumn="0" w:lastRowLastColumn="0"/>
            <w:tcW w:w="1283" w:type="pct"/>
          </w:tcPr>
          <w:p w14:paraId="6CFC0E61" w14:textId="77777777" w:rsidR="004D0B8A" w:rsidRPr="00DC08B0" w:rsidRDefault="004D0B8A" w:rsidP="006E306E">
            <w:pPr>
              <w:pStyle w:val="TableText0"/>
              <w:keepNext/>
              <w:keepLines/>
              <w:spacing w:before="11" w:after="11"/>
            </w:pPr>
            <w:r w:rsidRPr="00DC08B0">
              <w:t>Treatment effect (enriched)</w:t>
            </w:r>
          </w:p>
        </w:tc>
        <w:tc>
          <w:tcPr>
            <w:tcW w:w="2348" w:type="pct"/>
          </w:tcPr>
          <w:p w14:paraId="1CC09E52" w14:textId="77777777" w:rsidR="004D0B8A" w:rsidRPr="00DC08B0" w:rsidRDefault="004D0B8A" w:rsidP="006E306E">
            <w:pPr>
              <w:pStyle w:val="TableText0"/>
              <w:keepNext/>
              <w:keepLines/>
              <w:spacing w:before="11" w:after="11"/>
              <w:cnfStyle w:val="000000000000" w:firstRow="0" w:lastRow="0" w:firstColumn="0" w:lastColumn="0" w:oddVBand="0" w:evenVBand="0" w:oddHBand="0" w:evenHBand="0" w:firstRowFirstColumn="0" w:firstRowLastColumn="0" w:lastRowFirstColumn="0" w:lastRowLastColumn="0"/>
            </w:pPr>
            <w:r w:rsidRPr="00DC08B0">
              <w:t>Single randomised controlled trial of olaparib vs placebo in patients that are test positive in both arms</w:t>
            </w:r>
          </w:p>
        </w:tc>
        <w:tc>
          <w:tcPr>
            <w:tcW w:w="1369" w:type="pct"/>
          </w:tcPr>
          <w:p w14:paraId="248665AA" w14:textId="77777777" w:rsidR="004D0B8A" w:rsidRPr="00DC08B0" w:rsidRDefault="000C35FA" w:rsidP="006E306E">
            <w:pPr>
              <w:pStyle w:val="TableText0"/>
              <w:keepNext/>
              <w:keepLines/>
              <w:tabs>
                <w:tab w:val="left" w:pos="239"/>
              </w:tabs>
              <w:spacing w:before="11" w:after="11"/>
              <w:cnfStyle w:val="000000000000" w:firstRow="0" w:lastRow="0" w:firstColumn="0" w:lastColumn="0" w:oddVBand="0" w:evenVBand="0" w:oddHBand="0" w:evenHBand="0" w:firstRowFirstColumn="0" w:firstRowLastColumn="0" w:lastRowFirstColumn="0" w:lastRowLastColumn="0"/>
            </w:pPr>
            <w:sdt>
              <w:sdtPr>
                <w:id w:val="272982153"/>
                <w14:checkbox>
                  <w14:checked w14:val="1"/>
                  <w14:checkedState w14:val="2612" w14:font="MS Gothic"/>
                  <w14:uncheckedState w14:val="2610" w14:font="MS Gothic"/>
                </w14:checkbox>
              </w:sdtPr>
              <w:sdtEndPr/>
              <w:sdtContent>
                <w:r w:rsidR="004D0B8A" w:rsidRPr="00DC08B0">
                  <w:rPr>
                    <w:rFonts w:ascii="MS Gothic" w:eastAsia="MS Gothic" w:hAnsi="MS Gothic"/>
                  </w:rPr>
                  <w:t>☒</w:t>
                </w:r>
              </w:sdtContent>
            </w:sdt>
            <w:r w:rsidR="004D0B8A" w:rsidRPr="00DC08B0">
              <w:tab/>
              <w:t>k=1</w:t>
            </w:r>
            <w:r w:rsidR="004D0B8A">
              <w:t>,</w:t>
            </w:r>
            <w:r w:rsidR="004D0B8A" w:rsidRPr="00DC08B0">
              <w:tab/>
              <w:t>n=391</w:t>
            </w:r>
          </w:p>
        </w:tc>
      </w:tr>
    </w:tbl>
    <w:p w14:paraId="672AEDC3" w14:textId="77777777" w:rsidR="004D0B8A" w:rsidRPr="002F218A" w:rsidRDefault="004D0B8A" w:rsidP="002F218A">
      <w:pPr>
        <w:rPr>
          <w:rFonts w:ascii="Arial Narrow" w:hAnsi="Arial Narrow"/>
          <w:sz w:val="20"/>
        </w:rPr>
      </w:pPr>
      <w:r w:rsidRPr="002F218A">
        <w:rPr>
          <w:rFonts w:ascii="Arial Narrow" w:hAnsi="Arial Narrow"/>
          <w:sz w:val="20"/>
        </w:rPr>
        <w:t>SR = systematic review</w:t>
      </w:r>
    </w:p>
    <w:p w14:paraId="74F0526A" w14:textId="77777777" w:rsidR="004D0B8A" w:rsidRPr="002F218A" w:rsidRDefault="004D0B8A" w:rsidP="002F218A">
      <w:pPr>
        <w:rPr>
          <w:rFonts w:ascii="Arial Narrow" w:hAnsi="Arial Narrow"/>
          <w:sz w:val="20"/>
        </w:rPr>
      </w:pPr>
      <w:r w:rsidRPr="002F218A">
        <w:rPr>
          <w:rFonts w:ascii="Arial Narrow" w:hAnsi="Arial Narrow"/>
          <w:sz w:val="20"/>
        </w:rPr>
        <w:t>k=number of studies, n=number of patients.</w:t>
      </w:r>
    </w:p>
    <w:p w14:paraId="4296A105" w14:textId="77777777" w:rsidR="004D0B8A" w:rsidRPr="002F218A" w:rsidRDefault="004D0B8A" w:rsidP="002F218A">
      <w:pPr>
        <w:rPr>
          <w:rFonts w:ascii="Arial Narrow" w:hAnsi="Arial Narrow"/>
          <w:sz w:val="18"/>
          <w:szCs w:val="18"/>
        </w:rPr>
      </w:pPr>
      <w:r w:rsidRPr="002F218A">
        <w:rPr>
          <w:rFonts w:ascii="Arial Narrow" w:hAnsi="Arial Narrow"/>
          <w:sz w:val="18"/>
          <w:szCs w:val="18"/>
        </w:rPr>
        <w:t>Source: Constructed during evaluation.</w:t>
      </w:r>
    </w:p>
    <w:p w14:paraId="27AC280A" w14:textId="77777777" w:rsidR="004D0B8A" w:rsidRDefault="004D0B8A" w:rsidP="004D0B8A">
      <w:pPr>
        <w:pStyle w:val="Heading2"/>
      </w:pPr>
      <w:r>
        <w:t>Prognostic evidence</w:t>
      </w:r>
    </w:p>
    <w:p w14:paraId="27D4556A" w14:textId="7B780FFF" w:rsidR="004D0B8A" w:rsidRPr="007475E2" w:rsidRDefault="004D0B8A" w:rsidP="002E6BB0">
      <w:pPr>
        <w:spacing w:after="240"/>
      </w:pPr>
      <w:r w:rsidRPr="007475E2">
        <w:t>The submission included a recent systematic review and meta-analysis by Xu et al</w:t>
      </w:r>
      <w:r>
        <w:t>.</w:t>
      </w:r>
      <w:r w:rsidRPr="007475E2">
        <w:t xml:space="preserve"> (2017) that determined the effect of </w:t>
      </w:r>
      <w:r w:rsidRPr="007475E2">
        <w:rPr>
          <w:i/>
        </w:rPr>
        <w:t>BRCA</w:t>
      </w:r>
      <w:r w:rsidRPr="007475E2">
        <w:t xml:space="preserve">m on the survival outcomes of women with ovarian cancer in 18,396 patients and a cohort study from The Cancer Genome Atlas (TCGA) that analysed the </w:t>
      </w:r>
      <w:r>
        <w:t>progression-free survival (</w:t>
      </w:r>
      <w:r w:rsidRPr="007475E2">
        <w:t>PFS</w:t>
      </w:r>
      <w:r>
        <w:t>)</w:t>
      </w:r>
      <w:r w:rsidRPr="007475E2">
        <w:t xml:space="preserve"> and OS outcomes of 467 patients within the ovarian cancer</w:t>
      </w:r>
      <w:r>
        <w:t xml:space="preserve"> (Lai et al. 2019)</w:t>
      </w:r>
      <w:r w:rsidRPr="007475E2">
        <w:t>. This study included a subgroup analysis of patients with g</w:t>
      </w:r>
      <w:r w:rsidRPr="007475E2">
        <w:rPr>
          <w:i/>
        </w:rPr>
        <w:t>BRCA</w:t>
      </w:r>
      <w:r w:rsidRPr="007475E2">
        <w:t>m compared with s</w:t>
      </w:r>
      <w:r w:rsidRPr="007475E2">
        <w:rPr>
          <w:i/>
        </w:rPr>
        <w:t>BRCA</w:t>
      </w:r>
      <w:r w:rsidRPr="007475E2">
        <w:t>m.</w:t>
      </w:r>
      <w:r>
        <w:t xml:space="preserve"> The Commentary </w:t>
      </w:r>
      <w:r w:rsidR="00044858">
        <w:t xml:space="preserve">concluded from these </w:t>
      </w:r>
      <w:r w:rsidRPr="005B4A87">
        <w:t xml:space="preserve">data that women with ovarian cancer and a </w:t>
      </w:r>
      <w:r w:rsidRPr="005B4A87">
        <w:rPr>
          <w:i/>
        </w:rPr>
        <w:t>BRCA</w:t>
      </w:r>
      <w:r w:rsidRPr="002C3A85">
        <w:t>m</w:t>
      </w:r>
      <w:r w:rsidRPr="005B4A87">
        <w:t xml:space="preserve">, regardless whether it is somatic or germline in origin, have a better prognosis, with longer PFS and OS after surgery and platinum-based chemotherapy, compared to women who have ovarian cancers with </w:t>
      </w:r>
      <w:r w:rsidRPr="005B4A87">
        <w:rPr>
          <w:i/>
        </w:rPr>
        <w:t>BRCA</w:t>
      </w:r>
      <w:r w:rsidRPr="002C3A85">
        <w:t>wt</w:t>
      </w:r>
      <w:r w:rsidRPr="00AB3596">
        <w:t>.</w:t>
      </w:r>
    </w:p>
    <w:p w14:paraId="17DD9BED" w14:textId="77777777" w:rsidR="004D0B8A" w:rsidRDefault="004D0B8A" w:rsidP="004D0B8A">
      <w:pPr>
        <w:pStyle w:val="Heading2"/>
      </w:pPr>
      <w:r>
        <w:t>Predictive evidence</w:t>
      </w:r>
    </w:p>
    <w:p w14:paraId="2BB39376" w14:textId="77777777" w:rsidR="004D0B8A" w:rsidRPr="007475E2" w:rsidRDefault="004D0B8A" w:rsidP="004D0B8A">
      <w:pPr>
        <w:pStyle w:val="MSACESParagraph"/>
        <w:rPr>
          <w:rFonts w:cs="Times New Roman"/>
        </w:rPr>
      </w:pPr>
      <w:r w:rsidRPr="007475E2">
        <w:rPr>
          <w:rFonts w:cs="Times New Roman"/>
        </w:rPr>
        <w:t xml:space="preserve">There was no </w:t>
      </w:r>
      <w:r>
        <w:rPr>
          <w:rFonts w:cs="Times New Roman"/>
        </w:rPr>
        <w:t xml:space="preserve">direct </w:t>
      </w:r>
      <w:r w:rsidRPr="007475E2">
        <w:rPr>
          <w:rFonts w:cs="Times New Roman"/>
        </w:rPr>
        <w:t>predictive evidence available in the first-line setting.</w:t>
      </w:r>
    </w:p>
    <w:p w14:paraId="232CF0D5" w14:textId="77777777" w:rsidR="004D0B8A" w:rsidRPr="007475E2" w:rsidRDefault="004D0B8A" w:rsidP="004D0B8A">
      <w:pPr>
        <w:pStyle w:val="Heading3"/>
      </w:pPr>
      <w:r w:rsidRPr="007475E2">
        <w:t xml:space="preserve">Response to olaparib maintenance therapy compared with placebo in the </w:t>
      </w:r>
      <w:r>
        <w:t>second</w:t>
      </w:r>
      <w:r w:rsidRPr="007475E2">
        <w:t>-line setting</w:t>
      </w:r>
    </w:p>
    <w:p w14:paraId="0E1FE27D" w14:textId="77777777" w:rsidR="004D0B8A" w:rsidRPr="00497A33" w:rsidRDefault="004D0B8A" w:rsidP="004D0B8A">
      <w:pPr>
        <w:pStyle w:val="Heading4"/>
        <w:rPr>
          <w:rFonts w:ascii="Times New Roman" w:hAnsi="Times New Roman"/>
          <w:iCs w:val="0"/>
          <w:color w:val="auto"/>
          <w:szCs w:val="26"/>
        </w:rPr>
      </w:pPr>
      <w:r w:rsidRPr="00497A33">
        <w:rPr>
          <w:rFonts w:ascii="Times New Roman" w:hAnsi="Times New Roman"/>
          <w:iCs w:val="0"/>
          <w:color w:val="auto"/>
          <w:szCs w:val="26"/>
        </w:rPr>
        <w:t>HGSOC patients with sBRCAm versus those with gBRCAm</w:t>
      </w:r>
    </w:p>
    <w:p w14:paraId="60FB052D" w14:textId="2E2EB194" w:rsidR="00BB70BA" w:rsidRDefault="004D0B8A" w:rsidP="002F218A">
      <w:pPr>
        <w:spacing w:after="240"/>
      </w:pPr>
      <w:r w:rsidRPr="007475E2">
        <w:t xml:space="preserve">The outcomes from the four studies that reported on the PFS (and OS) for patients receiving olaparib maintenance therapy compared to placebo in patents with either a germline or a somatic </w:t>
      </w:r>
      <w:r w:rsidRPr="007475E2">
        <w:rPr>
          <w:i/>
        </w:rPr>
        <w:t>BRCA</w:t>
      </w:r>
      <w:r w:rsidRPr="007475E2">
        <w:t>m are summarised in</w:t>
      </w:r>
      <w:r>
        <w:t xml:space="preserve"> Table </w:t>
      </w:r>
      <w:r w:rsidR="009824AB">
        <w:t>4</w:t>
      </w:r>
      <w:r>
        <w:t>.</w:t>
      </w:r>
    </w:p>
    <w:p w14:paraId="19027314" w14:textId="77777777" w:rsidR="004D0B8A" w:rsidRPr="009824AB" w:rsidRDefault="004D0B8A" w:rsidP="009824AB">
      <w:pPr>
        <w:pStyle w:val="Caption"/>
      </w:pPr>
      <w:bookmarkStart w:id="6" w:name="_Ref18319852"/>
      <w:r w:rsidRPr="009824AB">
        <w:t xml:space="preserve">Table </w:t>
      </w:r>
      <w:bookmarkEnd w:id="6"/>
      <w:r w:rsidR="009824AB" w:rsidRPr="009824AB">
        <w:t>4</w:t>
      </w:r>
      <w:r w:rsidRPr="009824AB">
        <w:tab/>
        <w:t>Summary of the included evidence</w:t>
      </w:r>
    </w:p>
    <w:tbl>
      <w:tblPr>
        <w:tblStyle w:val="PBACTableStyle2"/>
        <w:tblW w:w="5000" w:type="pct"/>
        <w:tblLook w:val="04A0" w:firstRow="1" w:lastRow="0" w:firstColumn="1" w:lastColumn="0" w:noHBand="0" w:noVBand="1"/>
        <w:tblCaption w:val="Table 4 Summary of the included evidence"/>
      </w:tblPr>
      <w:tblGrid>
        <w:gridCol w:w="845"/>
        <w:gridCol w:w="1277"/>
        <w:gridCol w:w="970"/>
        <w:gridCol w:w="1946"/>
        <w:gridCol w:w="1944"/>
        <w:gridCol w:w="2034"/>
      </w:tblGrid>
      <w:tr w:rsidR="004D0B8A" w:rsidRPr="005113F1" w14:paraId="69259FDE" w14:textId="77777777" w:rsidTr="009824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vAlign w:val="top"/>
            <w:hideMark/>
          </w:tcPr>
          <w:p w14:paraId="0E05970B" w14:textId="77777777" w:rsidR="004D0B8A" w:rsidRPr="00EF78E5" w:rsidRDefault="004D0B8A" w:rsidP="006E306E">
            <w:pPr>
              <w:spacing w:before="22" w:after="22" w:line="256" w:lineRule="auto"/>
              <w:ind w:right="0"/>
              <w:contextualSpacing w:val="0"/>
              <w:jc w:val="left"/>
              <w:rPr>
                <w:rFonts w:ascii="Arial Narrow" w:hAnsi="Arial Narrow"/>
                <w:color w:val="auto"/>
                <w:szCs w:val="22"/>
                <w:lang w:eastAsia="en-US"/>
              </w:rPr>
            </w:pPr>
            <w:r w:rsidRPr="00EF78E5">
              <w:rPr>
                <w:rFonts w:ascii="Arial Narrow" w:hAnsi="Arial Narrow"/>
                <w:color w:val="auto"/>
                <w:szCs w:val="22"/>
                <w:lang w:eastAsia="en-US"/>
              </w:rPr>
              <w:t>Trial</w:t>
            </w:r>
          </w:p>
        </w:tc>
        <w:tc>
          <w:tcPr>
            <w:tcW w:w="708" w:type="pct"/>
            <w:tcBorders>
              <w:top w:val="single" w:sz="4" w:space="0" w:color="auto"/>
              <w:left w:val="single" w:sz="4" w:space="0" w:color="auto"/>
              <w:bottom w:val="single" w:sz="4" w:space="0" w:color="auto"/>
              <w:right w:val="single" w:sz="4" w:space="0" w:color="auto"/>
            </w:tcBorders>
            <w:vAlign w:val="top"/>
            <w:hideMark/>
          </w:tcPr>
          <w:p w14:paraId="07802D22" w14:textId="77777777" w:rsidR="004D0B8A" w:rsidRPr="00EF78E5"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EF78E5">
              <w:rPr>
                <w:rFonts w:ascii="Arial Narrow" w:hAnsi="Arial Narrow"/>
                <w:color w:val="auto"/>
                <w:szCs w:val="22"/>
                <w:lang w:eastAsia="en-US"/>
              </w:rPr>
              <w:t>N</w:t>
            </w:r>
          </w:p>
        </w:tc>
        <w:tc>
          <w:tcPr>
            <w:tcW w:w="538" w:type="pct"/>
            <w:tcBorders>
              <w:top w:val="single" w:sz="4" w:space="0" w:color="auto"/>
              <w:left w:val="single" w:sz="4" w:space="0" w:color="auto"/>
              <w:bottom w:val="single" w:sz="4" w:space="0" w:color="auto"/>
              <w:right w:val="single" w:sz="4" w:space="0" w:color="auto"/>
            </w:tcBorders>
            <w:vAlign w:val="top"/>
            <w:hideMark/>
          </w:tcPr>
          <w:p w14:paraId="5B50244D" w14:textId="77777777" w:rsidR="004D0B8A" w:rsidRPr="00EF78E5" w:rsidRDefault="004D0B8A" w:rsidP="006E306E">
            <w:pPr>
              <w:spacing w:before="22" w:after="22" w:line="256" w:lineRule="auto"/>
              <w:ind w:right="0"/>
              <w:contextualSpacing w:val="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EF78E5">
              <w:rPr>
                <w:rFonts w:ascii="Arial Narrow" w:hAnsi="Arial Narrow"/>
                <w:color w:val="auto"/>
                <w:szCs w:val="22"/>
                <w:lang w:eastAsia="en-US"/>
              </w:rPr>
              <w:t>Design</w:t>
            </w:r>
          </w:p>
        </w:tc>
        <w:tc>
          <w:tcPr>
            <w:tcW w:w="1079" w:type="pct"/>
            <w:tcBorders>
              <w:top w:val="single" w:sz="4" w:space="0" w:color="auto"/>
              <w:left w:val="single" w:sz="4" w:space="0" w:color="auto"/>
              <w:bottom w:val="single" w:sz="4" w:space="0" w:color="auto"/>
              <w:right w:val="single" w:sz="4" w:space="0" w:color="auto"/>
            </w:tcBorders>
            <w:vAlign w:val="top"/>
            <w:hideMark/>
          </w:tcPr>
          <w:p w14:paraId="2C8D8B98" w14:textId="77777777" w:rsidR="004D0B8A" w:rsidRPr="00EF78E5" w:rsidRDefault="004D0B8A" w:rsidP="006E306E">
            <w:pPr>
              <w:spacing w:before="22" w:after="22" w:line="256" w:lineRule="auto"/>
              <w:ind w:right="0"/>
              <w:contextualSpacing w:val="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EF78E5">
              <w:rPr>
                <w:rFonts w:ascii="Arial Narrow" w:hAnsi="Arial Narrow"/>
                <w:color w:val="auto"/>
                <w:szCs w:val="22"/>
                <w:lang w:eastAsia="en-US"/>
              </w:rPr>
              <w:t>Patient population</w:t>
            </w:r>
          </w:p>
        </w:tc>
        <w:tc>
          <w:tcPr>
            <w:tcW w:w="1078" w:type="pct"/>
            <w:tcBorders>
              <w:top w:val="single" w:sz="4" w:space="0" w:color="auto"/>
              <w:left w:val="single" w:sz="4" w:space="0" w:color="auto"/>
              <w:bottom w:val="single" w:sz="4" w:space="0" w:color="auto"/>
              <w:right w:val="single" w:sz="4" w:space="0" w:color="auto"/>
            </w:tcBorders>
            <w:vAlign w:val="bottom"/>
            <w:hideMark/>
          </w:tcPr>
          <w:p w14:paraId="4D311618" w14:textId="77777777" w:rsidR="004D0B8A"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EF78E5">
              <w:rPr>
                <w:rFonts w:ascii="Arial Narrow" w:hAnsi="Arial Narrow"/>
                <w:color w:val="auto"/>
                <w:szCs w:val="22"/>
                <w:lang w:eastAsia="en-US"/>
              </w:rPr>
              <w:t>Outcomes</w:t>
            </w:r>
            <w:r w:rsidRPr="005113F1">
              <w:rPr>
                <w:rFonts w:ascii="Arial Narrow" w:hAnsi="Arial Narrow"/>
                <w:color w:val="auto"/>
                <w:szCs w:val="22"/>
                <w:lang w:eastAsia="en-US"/>
              </w:rPr>
              <w:t>: s</w:t>
            </w:r>
            <w:r w:rsidRPr="005113F1">
              <w:rPr>
                <w:rFonts w:ascii="Arial Narrow" w:hAnsi="Arial Narrow"/>
                <w:i/>
                <w:color w:val="auto"/>
                <w:szCs w:val="22"/>
                <w:lang w:eastAsia="en-US"/>
              </w:rPr>
              <w:t>BRCA</w:t>
            </w:r>
            <w:r w:rsidRPr="005113F1">
              <w:rPr>
                <w:rFonts w:ascii="Arial Narrow" w:hAnsi="Arial Narrow"/>
                <w:color w:val="auto"/>
                <w:szCs w:val="22"/>
                <w:lang w:eastAsia="en-US"/>
              </w:rPr>
              <w:t>m</w:t>
            </w:r>
          </w:p>
          <w:p w14:paraId="6F296252" w14:textId="77777777" w:rsidR="004D0B8A" w:rsidRPr="00EF78E5"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Pr>
                <w:rFonts w:ascii="Arial Narrow" w:hAnsi="Arial Narrow"/>
              </w:rPr>
              <w:t>HR</w:t>
            </w:r>
            <w:r w:rsidRPr="00766F1F">
              <w:rPr>
                <w:rFonts w:ascii="Arial Narrow" w:hAnsi="Arial Narrow"/>
              </w:rPr>
              <w:t xml:space="preserve"> (95% CI)</w:t>
            </w:r>
          </w:p>
        </w:tc>
        <w:tc>
          <w:tcPr>
            <w:tcW w:w="1128" w:type="pct"/>
            <w:tcBorders>
              <w:top w:val="single" w:sz="4" w:space="0" w:color="auto"/>
              <w:left w:val="single" w:sz="4" w:space="0" w:color="auto"/>
              <w:bottom w:val="single" w:sz="4" w:space="0" w:color="auto"/>
              <w:right w:val="single" w:sz="4" w:space="0" w:color="auto"/>
            </w:tcBorders>
            <w:vAlign w:val="bottom"/>
          </w:tcPr>
          <w:p w14:paraId="21ADC832" w14:textId="77777777" w:rsidR="004D0B8A"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5113F1">
              <w:rPr>
                <w:rFonts w:ascii="Arial Narrow" w:hAnsi="Arial Narrow"/>
                <w:color w:val="auto"/>
                <w:szCs w:val="22"/>
                <w:lang w:eastAsia="en-US"/>
              </w:rPr>
              <w:t>Outcomes: g</w:t>
            </w:r>
            <w:r w:rsidRPr="005113F1">
              <w:rPr>
                <w:rFonts w:ascii="Arial Narrow" w:hAnsi="Arial Narrow"/>
                <w:i/>
                <w:color w:val="auto"/>
                <w:szCs w:val="22"/>
                <w:lang w:eastAsia="en-US"/>
              </w:rPr>
              <w:t>BRCA</w:t>
            </w:r>
            <w:r w:rsidRPr="005113F1">
              <w:rPr>
                <w:rFonts w:ascii="Arial Narrow" w:hAnsi="Arial Narrow"/>
                <w:color w:val="auto"/>
                <w:szCs w:val="22"/>
                <w:lang w:eastAsia="en-US"/>
              </w:rPr>
              <w:t>m</w:t>
            </w:r>
          </w:p>
          <w:p w14:paraId="22E5E8ED" w14:textId="77777777" w:rsidR="004D0B8A" w:rsidRPr="005113F1"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Pr>
                <w:rFonts w:ascii="Arial Narrow" w:hAnsi="Arial Narrow"/>
              </w:rPr>
              <w:t>HR</w:t>
            </w:r>
            <w:r w:rsidRPr="00766F1F">
              <w:rPr>
                <w:rFonts w:ascii="Arial Narrow" w:hAnsi="Arial Narrow"/>
              </w:rPr>
              <w:t xml:space="preserve"> (95% CI)</w:t>
            </w:r>
          </w:p>
        </w:tc>
      </w:tr>
      <w:tr w:rsidR="004D0B8A" w:rsidRPr="005113F1" w14:paraId="68D800C6" w14:textId="77777777" w:rsidTr="006E306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hideMark/>
          </w:tcPr>
          <w:p w14:paraId="6372E455" w14:textId="77777777" w:rsidR="004D0B8A" w:rsidRPr="00EF78E5" w:rsidRDefault="004D0B8A" w:rsidP="006E306E">
            <w:pPr>
              <w:pStyle w:val="TableText0"/>
              <w:spacing w:before="11" w:after="11"/>
              <w:rPr>
                <w:color w:val="auto"/>
                <w:szCs w:val="22"/>
              </w:rPr>
            </w:pPr>
            <w:r w:rsidRPr="005113F1">
              <w:t>Study 19</w:t>
            </w:r>
          </w:p>
        </w:tc>
        <w:tc>
          <w:tcPr>
            <w:tcW w:w="708" w:type="pct"/>
            <w:tcBorders>
              <w:top w:val="single" w:sz="4" w:space="0" w:color="auto"/>
              <w:left w:val="single" w:sz="4" w:space="0" w:color="auto"/>
              <w:bottom w:val="single" w:sz="4" w:space="0" w:color="auto"/>
              <w:right w:val="single" w:sz="4" w:space="0" w:color="auto"/>
            </w:tcBorders>
            <w:hideMark/>
          </w:tcPr>
          <w:p w14:paraId="49AE852B" w14:textId="77777777" w:rsidR="004D0B8A"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113</w:t>
            </w:r>
          </w:p>
          <w:p w14:paraId="473798DD" w14:textId="77777777" w:rsidR="004D0B8A" w:rsidRPr="00EF78E5"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Pr>
                <w:color w:val="auto"/>
                <w:szCs w:val="22"/>
                <w:lang w:eastAsia="en-US"/>
              </w:rPr>
              <w:t>20 sBRCAm</w:t>
            </w:r>
          </w:p>
        </w:tc>
        <w:tc>
          <w:tcPr>
            <w:tcW w:w="538" w:type="pct"/>
            <w:tcBorders>
              <w:top w:val="single" w:sz="4" w:space="0" w:color="auto"/>
              <w:left w:val="single" w:sz="4" w:space="0" w:color="auto"/>
              <w:bottom w:val="single" w:sz="4" w:space="0" w:color="auto"/>
              <w:right w:val="single" w:sz="4" w:space="0" w:color="auto"/>
            </w:tcBorders>
            <w:hideMark/>
          </w:tcPr>
          <w:p w14:paraId="3AF032BF"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EF78E5">
              <w:rPr>
                <w:color w:val="auto"/>
                <w:szCs w:val="22"/>
                <w:lang w:eastAsia="en-US"/>
              </w:rPr>
              <w:t>R, DB</w:t>
            </w:r>
            <w:r>
              <w:rPr>
                <w:color w:val="auto"/>
                <w:szCs w:val="22"/>
                <w:lang w:eastAsia="en-US"/>
              </w:rPr>
              <w:t>, MC</w:t>
            </w:r>
          </w:p>
        </w:tc>
        <w:tc>
          <w:tcPr>
            <w:tcW w:w="1079" w:type="pct"/>
            <w:tcBorders>
              <w:top w:val="single" w:sz="4" w:space="0" w:color="auto"/>
              <w:left w:val="single" w:sz="4" w:space="0" w:color="auto"/>
              <w:bottom w:val="single" w:sz="4" w:space="0" w:color="auto"/>
              <w:right w:val="single" w:sz="4" w:space="0" w:color="auto"/>
            </w:tcBorders>
            <w:hideMark/>
          </w:tcPr>
          <w:p w14:paraId="2BD7A8C6"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Patients with platinum-sensitive HGSOC</w:t>
            </w:r>
          </w:p>
        </w:tc>
        <w:tc>
          <w:tcPr>
            <w:tcW w:w="1078" w:type="pct"/>
            <w:tcBorders>
              <w:top w:val="single" w:sz="4" w:space="0" w:color="auto"/>
              <w:left w:val="single" w:sz="4" w:space="0" w:color="auto"/>
              <w:bottom w:val="single" w:sz="4" w:space="0" w:color="auto"/>
              <w:right w:val="single" w:sz="4" w:space="0" w:color="auto"/>
            </w:tcBorders>
            <w:hideMark/>
          </w:tcPr>
          <w:p w14:paraId="0B72702D" w14:textId="77777777" w:rsidR="004D0B8A" w:rsidRPr="005113F1"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b/>
                <w:color w:val="auto"/>
                <w:szCs w:val="22"/>
                <w:lang w:eastAsia="en-US"/>
              </w:rPr>
              <w:t>PFS:</w:t>
            </w:r>
            <w:r w:rsidRPr="005113F1">
              <w:rPr>
                <w:b/>
                <w:color w:val="auto"/>
                <w:szCs w:val="22"/>
                <w:lang w:eastAsia="en-US"/>
              </w:rPr>
              <w:tab/>
            </w:r>
            <w:r w:rsidRPr="005113F1">
              <w:rPr>
                <w:color w:val="auto"/>
                <w:szCs w:val="22"/>
                <w:lang w:eastAsia="en-US"/>
              </w:rPr>
              <w:t>0.23 (0.04, 1.12)</w:t>
            </w:r>
          </w:p>
          <w:p w14:paraId="40462353" w14:textId="77777777" w:rsidR="004D0B8A" w:rsidRPr="00EF78E5"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EF78E5">
              <w:rPr>
                <w:b/>
                <w:color w:val="auto"/>
                <w:szCs w:val="22"/>
                <w:lang w:eastAsia="en-US"/>
              </w:rPr>
              <w:t>OS</w:t>
            </w:r>
            <w:r w:rsidRPr="005113F1">
              <w:rPr>
                <w:b/>
                <w:color w:val="auto"/>
                <w:szCs w:val="22"/>
                <w:lang w:eastAsia="en-US"/>
              </w:rPr>
              <w:t>:</w:t>
            </w:r>
            <w:r w:rsidRPr="005113F1">
              <w:rPr>
                <w:b/>
                <w:color w:val="auto"/>
                <w:szCs w:val="22"/>
                <w:lang w:eastAsia="en-US"/>
              </w:rPr>
              <w:tab/>
            </w:r>
            <w:r w:rsidRPr="003B3072">
              <w:rPr>
                <w:b/>
              </w:rPr>
              <w:t>0.15 (0.02, 0.88)</w:t>
            </w:r>
          </w:p>
        </w:tc>
        <w:tc>
          <w:tcPr>
            <w:tcW w:w="1128" w:type="pct"/>
            <w:tcBorders>
              <w:top w:val="single" w:sz="4" w:space="0" w:color="auto"/>
              <w:left w:val="single" w:sz="4" w:space="0" w:color="auto"/>
              <w:bottom w:val="single" w:sz="4" w:space="0" w:color="auto"/>
              <w:right w:val="single" w:sz="4" w:space="0" w:color="auto"/>
            </w:tcBorders>
          </w:tcPr>
          <w:p w14:paraId="5DC5EABC" w14:textId="77777777" w:rsidR="004D0B8A" w:rsidRPr="005113F1" w:rsidRDefault="004D0B8A" w:rsidP="006E306E">
            <w:pPr>
              <w:tabs>
                <w:tab w:val="left" w:pos="283"/>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b/>
                <w:color w:val="auto"/>
                <w:szCs w:val="22"/>
                <w:lang w:eastAsia="en-US"/>
              </w:rPr>
              <w:t>PFS:</w:t>
            </w:r>
            <w:r w:rsidRPr="005113F1">
              <w:rPr>
                <w:b/>
                <w:color w:val="auto"/>
                <w:szCs w:val="22"/>
                <w:lang w:eastAsia="en-US"/>
              </w:rPr>
              <w:tab/>
            </w:r>
            <w:r w:rsidRPr="003B3072">
              <w:rPr>
                <w:b/>
              </w:rPr>
              <w:t>0.17 (0.09, 0.34)</w:t>
            </w:r>
          </w:p>
          <w:p w14:paraId="0CCB285C" w14:textId="77777777" w:rsidR="004D0B8A" w:rsidRPr="005113F1" w:rsidRDefault="004D0B8A" w:rsidP="006E306E">
            <w:pPr>
              <w:tabs>
                <w:tab w:val="left" w:pos="290"/>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pPr>
            <w:r w:rsidRPr="00EF78E5">
              <w:rPr>
                <w:b/>
                <w:color w:val="auto"/>
                <w:szCs w:val="22"/>
                <w:lang w:eastAsia="en-US"/>
              </w:rPr>
              <w:t>OS</w:t>
            </w:r>
            <w:r w:rsidRPr="005113F1">
              <w:rPr>
                <w:b/>
                <w:color w:val="auto"/>
                <w:szCs w:val="22"/>
                <w:lang w:eastAsia="en-US"/>
              </w:rPr>
              <w:t>:</w:t>
            </w:r>
            <w:r w:rsidRPr="005113F1">
              <w:rPr>
                <w:b/>
                <w:color w:val="auto"/>
                <w:szCs w:val="22"/>
                <w:lang w:eastAsia="en-US"/>
              </w:rPr>
              <w:tab/>
            </w:r>
            <w:r w:rsidRPr="005113F1">
              <w:rPr>
                <w:color w:val="auto"/>
                <w:szCs w:val="22"/>
                <w:lang w:eastAsia="en-US"/>
              </w:rPr>
              <w:t>0.62 (0.34, 1.12)</w:t>
            </w:r>
          </w:p>
        </w:tc>
      </w:tr>
      <w:tr w:rsidR="004D0B8A" w:rsidRPr="005113F1" w14:paraId="45CD6781" w14:textId="77777777" w:rsidTr="006E306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hideMark/>
          </w:tcPr>
          <w:p w14:paraId="41A2A457" w14:textId="77777777" w:rsidR="004D0B8A" w:rsidRPr="00EF78E5" w:rsidRDefault="004D0B8A" w:rsidP="006E306E">
            <w:pPr>
              <w:spacing w:before="22" w:after="22" w:line="256" w:lineRule="auto"/>
              <w:contextualSpacing w:val="0"/>
              <w:rPr>
                <w:rFonts w:ascii="Arial Narrow" w:hAnsi="Arial Narrow"/>
              </w:rPr>
            </w:pPr>
            <w:r w:rsidRPr="005113F1">
              <w:rPr>
                <w:rFonts w:ascii="Arial Narrow" w:hAnsi="Arial Narrow"/>
              </w:rPr>
              <w:t>SOLO2</w:t>
            </w:r>
          </w:p>
        </w:tc>
        <w:tc>
          <w:tcPr>
            <w:tcW w:w="708" w:type="pct"/>
            <w:tcBorders>
              <w:top w:val="single" w:sz="4" w:space="0" w:color="auto"/>
              <w:left w:val="single" w:sz="4" w:space="0" w:color="auto"/>
              <w:bottom w:val="single" w:sz="4" w:space="0" w:color="auto"/>
              <w:right w:val="single" w:sz="4" w:space="0" w:color="auto"/>
            </w:tcBorders>
            <w:hideMark/>
          </w:tcPr>
          <w:p w14:paraId="1787737A" w14:textId="77777777" w:rsidR="004D0B8A" w:rsidRPr="00EF78E5"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286</w:t>
            </w:r>
            <w:r>
              <w:rPr>
                <w:color w:val="auto"/>
                <w:szCs w:val="22"/>
                <w:lang w:eastAsia="en-US"/>
              </w:rPr>
              <w:t xml:space="preserve"> gBRCAm</w:t>
            </w:r>
          </w:p>
        </w:tc>
        <w:tc>
          <w:tcPr>
            <w:tcW w:w="538" w:type="pct"/>
            <w:tcBorders>
              <w:top w:val="single" w:sz="4" w:space="0" w:color="auto"/>
              <w:left w:val="single" w:sz="4" w:space="0" w:color="auto"/>
              <w:bottom w:val="single" w:sz="4" w:space="0" w:color="auto"/>
              <w:right w:val="single" w:sz="4" w:space="0" w:color="auto"/>
            </w:tcBorders>
            <w:hideMark/>
          </w:tcPr>
          <w:p w14:paraId="4265C8F1"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EF78E5">
              <w:rPr>
                <w:color w:val="auto"/>
                <w:szCs w:val="22"/>
                <w:lang w:eastAsia="en-US"/>
              </w:rPr>
              <w:t xml:space="preserve">R, </w:t>
            </w:r>
            <w:r w:rsidRPr="005113F1">
              <w:rPr>
                <w:color w:val="auto"/>
                <w:szCs w:val="22"/>
                <w:lang w:eastAsia="en-US"/>
              </w:rPr>
              <w:t>DB</w:t>
            </w:r>
            <w:r>
              <w:rPr>
                <w:color w:val="auto"/>
                <w:szCs w:val="22"/>
                <w:lang w:eastAsia="en-US"/>
              </w:rPr>
              <w:t>, MC</w:t>
            </w:r>
          </w:p>
        </w:tc>
        <w:tc>
          <w:tcPr>
            <w:tcW w:w="1079" w:type="pct"/>
            <w:tcBorders>
              <w:top w:val="single" w:sz="4" w:space="0" w:color="auto"/>
              <w:left w:val="single" w:sz="4" w:space="0" w:color="auto"/>
              <w:bottom w:val="single" w:sz="4" w:space="0" w:color="auto"/>
              <w:right w:val="single" w:sz="4" w:space="0" w:color="auto"/>
            </w:tcBorders>
            <w:hideMark/>
          </w:tcPr>
          <w:p w14:paraId="55DA932D"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Patients with platinum-sensitive HGEOC</w:t>
            </w:r>
          </w:p>
        </w:tc>
        <w:tc>
          <w:tcPr>
            <w:tcW w:w="1078" w:type="pct"/>
            <w:tcBorders>
              <w:top w:val="single" w:sz="4" w:space="0" w:color="auto"/>
              <w:left w:val="single" w:sz="4" w:space="0" w:color="auto"/>
              <w:bottom w:val="single" w:sz="4" w:space="0" w:color="auto"/>
              <w:right w:val="single" w:sz="4" w:space="0" w:color="auto"/>
            </w:tcBorders>
          </w:tcPr>
          <w:p w14:paraId="3D4D0615" w14:textId="77777777" w:rsidR="004D0B8A" w:rsidRPr="00D02D98"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D02D98">
              <w:rPr>
                <w:color w:val="auto"/>
                <w:szCs w:val="22"/>
                <w:lang w:eastAsia="en-US"/>
              </w:rPr>
              <w:t>-</w:t>
            </w:r>
          </w:p>
        </w:tc>
        <w:tc>
          <w:tcPr>
            <w:tcW w:w="1128" w:type="pct"/>
            <w:tcBorders>
              <w:top w:val="single" w:sz="4" w:space="0" w:color="auto"/>
              <w:left w:val="single" w:sz="4" w:space="0" w:color="auto"/>
              <w:bottom w:val="single" w:sz="4" w:space="0" w:color="auto"/>
              <w:right w:val="single" w:sz="4" w:space="0" w:color="auto"/>
            </w:tcBorders>
          </w:tcPr>
          <w:p w14:paraId="4EEF1A36" w14:textId="77777777" w:rsidR="004D0B8A" w:rsidRPr="005113F1" w:rsidRDefault="004D0B8A" w:rsidP="006E306E">
            <w:pPr>
              <w:tabs>
                <w:tab w:val="left" w:pos="290"/>
              </w:tabs>
              <w:spacing w:before="22" w:after="22" w:line="256" w:lineRule="auto"/>
              <w:jc w:val="left"/>
              <w:cnfStyle w:val="000000000000" w:firstRow="0" w:lastRow="0" w:firstColumn="0" w:lastColumn="0" w:oddVBand="0" w:evenVBand="0" w:oddHBand="0" w:evenHBand="0" w:firstRowFirstColumn="0" w:firstRowLastColumn="0" w:lastRowFirstColumn="0" w:lastRowLastColumn="0"/>
            </w:pPr>
            <w:r w:rsidRPr="005113F1">
              <w:rPr>
                <w:b/>
                <w:color w:val="auto"/>
                <w:szCs w:val="22"/>
                <w:lang w:eastAsia="en-US"/>
              </w:rPr>
              <w:t>PFS:</w:t>
            </w:r>
            <w:r w:rsidRPr="005113F1">
              <w:rPr>
                <w:b/>
                <w:color w:val="auto"/>
                <w:szCs w:val="22"/>
                <w:lang w:eastAsia="en-US"/>
              </w:rPr>
              <w:tab/>
            </w:r>
            <w:r w:rsidRPr="003B3072">
              <w:rPr>
                <w:b/>
              </w:rPr>
              <w:t>0.33 (0.24, 0.44)</w:t>
            </w:r>
          </w:p>
        </w:tc>
      </w:tr>
      <w:tr w:rsidR="004D0B8A" w:rsidRPr="005113F1" w14:paraId="4ACCC4FF" w14:textId="77777777" w:rsidTr="006E306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hideMark/>
          </w:tcPr>
          <w:p w14:paraId="74088A30" w14:textId="77777777" w:rsidR="004D0B8A" w:rsidRPr="00EF78E5" w:rsidRDefault="004D0B8A" w:rsidP="006E306E">
            <w:pPr>
              <w:spacing w:before="22" w:after="22" w:line="256" w:lineRule="auto"/>
              <w:contextualSpacing w:val="0"/>
              <w:rPr>
                <w:rFonts w:ascii="Arial Narrow" w:hAnsi="Arial Narrow"/>
              </w:rPr>
            </w:pPr>
            <w:r w:rsidRPr="005113F1">
              <w:rPr>
                <w:rFonts w:ascii="Arial Narrow" w:hAnsi="Arial Narrow"/>
              </w:rPr>
              <w:t>NOVA</w:t>
            </w:r>
          </w:p>
        </w:tc>
        <w:tc>
          <w:tcPr>
            <w:tcW w:w="708" w:type="pct"/>
            <w:tcBorders>
              <w:top w:val="single" w:sz="4" w:space="0" w:color="auto"/>
              <w:left w:val="single" w:sz="4" w:space="0" w:color="auto"/>
              <w:bottom w:val="single" w:sz="4" w:space="0" w:color="auto"/>
              <w:right w:val="single" w:sz="4" w:space="0" w:color="auto"/>
            </w:tcBorders>
            <w:hideMark/>
          </w:tcPr>
          <w:p w14:paraId="06AA5AD6" w14:textId="77777777" w:rsidR="004D0B8A"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553</w:t>
            </w:r>
          </w:p>
          <w:p w14:paraId="506B7FE9" w14:textId="77777777" w:rsidR="004D0B8A" w:rsidRPr="00EF78E5"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Pr>
                <w:color w:val="auto"/>
                <w:szCs w:val="22"/>
                <w:lang w:eastAsia="en-US"/>
              </w:rPr>
              <w:t>47 sBRCAm</w:t>
            </w:r>
          </w:p>
        </w:tc>
        <w:tc>
          <w:tcPr>
            <w:tcW w:w="538" w:type="pct"/>
            <w:tcBorders>
              <w:top w:val="single" w:sz="4" w:space="0" w:color="auto"/>
              <w:left w:val="single" w:sz="4" w:space="0" w:color="auto"/>
              <w:bottom w:val="single" w:sz="4" w:space="0" w:color="auto"/>
              <w:right w:val="single" w:sz="4" w:space="0" w:color="auto"/>
            </w:tcBorders>
            <w:hideMark/>
          </w:tcPr>
          <w:p w14:paraId="4716E204"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Pr>
                <w:color w:val="auto"/>
                <w:szCs w:val="22"/>
                <w:lang w:eastAsia="en-US"/>
              </w:rPr>
              <w:t>R, DB, MC</w:t>
            </w:r>
          </w:p>
        </w:tc>
        <w:tc>
          <w:tcPr>
            <w:tcW w:w="1079" w:type="pct"/>
            <w:tcBorders>
              <w:top w:val="single" w:sz="4" w:space="0" w:color="auto"/>
              <w:left w:val="single" w:sz="4" w:space="0" w:color="auto"/>
              <w:bottom w:val="single" w:sz="4" w:space="0" w:color="auto"/>
              <w:right w:val="single" w:sz="4" w:space="0" w:color="auto"/>
            </w:tcBorders>
            <w:hideMark/>
          </w:tcPr>
          <w:p w14:paraId="53E97B29" w14:textId="77777777" w:rsidR="004D0B8A" w:rsidRPr="00EF78E5"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Patients with platinum-sensitive HGEOC</w:t>
            </w:r>
          </w:p>
        </w:tc>
        <w:tc>
          <w:tcPr>
            <w:tcW w:w="1078" w:type="pct"/>
            <w:tcBorders>
              <w:top w:val="single" w:sz="4" w:space="0" w:color="auto"/>
              <w:left w:val="single" w:sz="4" w:space="0" w:color="auto"/>
              <w:bottom w:val="single" w:sz="4" w:space="0" w:color="auto"/>
              <w:right w:val="single" w:sz="4" w:space="0" w:color="auto"/>
            </w:tcBorders>
          </w:tcPr>
          <w:p w14:paraId="3F26A737" w14:textId="77777777" w:rsidR="004D0B8A" w:rsidRPr="003B3072"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b/>
                <w:color w:val="auto"/>
                <w:szCs w:val="22"/>
                <w:lang w:eastAsia="en-US"/>
              </w:rPr>
            </w:pPr>
            <w:r w:rsidRPr="00A674E3">
              <w:rPr>
                <w:b/>
                <w:color w:val="auto"/>
                <w:szCs w:val="22"/>
                <w:lang w:eastAsia="en-US"/>
              </w:rPr>
              <w:t>PFS:</w:t>
            </w:r>
            <w:r w:rsidRPr="00A674E3">
              <w:rPr>
                <w:b/>
                <w:color w:val="auto"/>
                <w:szCs w:val="22"/>
                <w:lang w:eastAsia="en-US"/>
              </w:rPr>
              <w:tab/>
            </w:r>
            <w:r w:rsidRPr="003B3072">
              <w:rPr>
                <w:b/>
              </w:rPr>
              <w:t>0.27 (0.08, 0.90)</w:t>
            </w:r>
          </w:p>
        </w:tc>
        <w:tc>
          <w:tcPr>
            <w:tcW w:w="1128" w:type="pct"/>
            <w:tcBorders>
              <w:top w:val="single" w:sz="4" w:space="0" w:color="auto"/>
              <w:left w:val="single" w:sz="4" w:space="0" w:color="auto"/>
              <w:bottom w:val="single" w:sz="4" w:space="0" w:color="auto"/>
              <w:right w:val="single" w:sz="4" w:space="0" w:color="auto"/>
            </w:tcBorders>
          </w:tcPr>
          <w:p w14:paraId="48E9C238" w14:textId="77777777" w:rsidR="004D0B8A" w:rsidRPr="005113F1" w:rsidRDefault="004D0B8A" w:rsidP="006E306E">
            <w:pPr>
              <w:tabs>
                <w:tab w:val="left" w:pos="290"/>
              </w:tabs>
              <w:spacing w:before="22" w:after="22" w:line="256" w:lineRule="auto"/>
              <w:jc w:val="left"/>
              <w:cnfStyle w:val="000000000000" w:firstRow="0" w:lastRow="0" w:firstColumn="0" w:lastColumn="0" w:oddVBand="0" w:evenVBand="0" w:oddHBand="0" w:evenHBand="0" w:firstRowFirstColumn="0" w:firstRowLastColumn="0" w:lastRowFirstColumn="0" w:lastRowLastColumn="0"/>
            </w:pPr>
            <w:r w:rsidRPr="005113F1">
              <w:rPr>
                <w:b/>
                <w:color w:val="auto"/>
                <w:szCs w:val="22"/>
                <w:lang w:eastAsia="en-US"/>
              </w:rPr>
              <w:t>PFS:</w:t>
            </w:r>
            <w:r w:rsidRPr="005113F1">
              <w:rPr>
                <w:b/>
                <w:color w:val="auto"/>
                <w:szCs w:val="22"/>
                <w:lang w:eastAsia="en-US"/>
              </w:rPr>
              <w:tab/>
            </w:r>
            <w:r w:rsidRPr="003B3072">
              <w:rPr>
                <w:b/>
              </w:rPr>
              <w:t>0.27 (0.17, 0.41)</w:t>
            </w:r>
          </w:p>
        </w:tc>
      </w:tr>
      <w:tr w:rsidR="004D0B8A" w:rsidRPr="005113F1" w14:paraId="3DA4B9FC" w14:textId="77777777" w:rsidTr="006E306E">
        <w:tc>
          <w:tcPr>
            <w:cnfStyle w:val="001000000000" w:firstRow="0" w:lastRow="0" w:firstColumn="1" w:lastColumn="0" w:oddVBand="0" w:evenVBand="0" w:oddHBand="0" w:evenHBand="0" w:firstRowFirstColumn="0" w:firstRowLastColumn="0" w:lastRowFirstColumn="0" w:lastRowLastColumn="0"/>
            <w:tcW w:w="469" w:type="pct"/>
          </w:tcPr>
          <w:p w14:paraId="2CAE3EA2" w14:textId="77777777" w:rsidR="004D0B8A" w:rsidRPr="005113F1" w:rsidRDefault="004D0B8A" w:rsidP="006E306E">
            <w:pPr>
              <w:spacing w:before="22" w:after="22" w:line="256" w:lineRule="auto"/>
              <w:rPr>
                <w:rFonts w:ascii="Arial Narrow" w:hAnsi="Arial Narrow"/>
              </w:rPr>
            </w:pPr>
            <w:r w:rsidRPr="005113F1">
              <w:rPr>
                <w:rFonts w:ascii="Arial Narrow" w:hAnsi="Arial Narrow"/>
              </w:rPr>
              <w:t>ARIEL3</w:t>
            </w:r>
          </w:p>
        </w:tc>
        <w:tc>
          <w:tcPr>
            <w:tcW w:w="708" w:type="pct"/>
            <w:tcBorders>
              <w:top w:val="single" w:sz="4" w:space="0" w:color="auto"/>
              <w:left w:val="single" w:sz="4" w:space="0" w:color="auto"/>
              <w:bottom w:val="single" w:sz="4" w:space="0" w:color="auto"/>
              <w:right w:val="single" w:sz="4" w:space="0" w:color="auto"/>
            </w:tcBorders>
          </w:tcPr>
          <w:p w14:paraId="33A59815" w14:textId="77777777" w:rsidR="004D0B8A" w:rsidRDefault="004D0B8A" w:rsidP="006E306E">
            <w:pPr>
              <w:spacing w:before="22" w:after="22" w:line="256" w:lineRule="auto"/>
              <w:cnfStyle w:val="000000000000" w:firstRow="0" w:lastRow="0" w:firstColumn="0" w:lastColumn="0" w:oddVBand="0" w:evenVBand="0" w:oddHBand="0" w:evenHBand="0" w:firstRowFirstColumn="0" w:firstRowLastColumn="0" w:lastRowFirstColumn="0" w:lastRowLastColumn="0"/>
            </w:pPr>
            <w:r w:rsidRPr="005113F1">
              <w:t>186</w:t>
            </w:r>
          </w:p>
          <w:p w14:paraId="72C81F30" w14:textId="77777777" w:rsidR="004D0B8A" w:rsidRPr="005113F1" w:rsidRDefault="004D0B8A" w:rsidP="006E306E">
            <w:pPr>
              <w:spacing w:before="22" w:after="22" w:line="256" w:lineRule="auto"/>
              <w:cnfStyle w:val="000000000000" w:firstRow="0" w:lastRow="0" w:firstColumn="0" w:lastColumn="0" w:oddVBand="0" w:evenVBand="0" w:oddHBand="0" w:evenHBand="0" w:firstRowFirstColumn="0" w:firstRowLastColumn="0" w:lastRowFirstColumn="0" w:lastRowLastColumn="0"/>
            </w:pPr>
            <w:r>
              <w:t>56 sBRCAm</w:t>
            </w:r>
          </w:p>
        </w:tc>
        <w:tc>
          <w:tcPr>
            <w:tcW w:w="538" w:type="pct"/>
            <w:tcBorders>
              <w:top w:val="single" w:sz="4" w:space="0" w:color="auto"/>
              <w:left w:val="single" w:sz="4" w:space="0" w:color="auto"/>
              <w:bottom w:val="single" w:sz="4" w:space="0" w:color="auto"/>
              <w:right w:val="single" w:sz="4" w:space="0" w:color="auto"/>
            </w:tcBorders>
          </w:tcPr>
          <w:p w14:paraId="0261722C" w14:textId="77777777" w:rsidR="004D0B8A" w:rsidRPr="00246639"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Pr>
                <w:color w:val="auto"/>
                <w:szCs w:val="22"/>
                <w:lang w:eastAsia="en-US"/>
              </w:rPr>
              <w:t>R, DB, MC</w:t>
            </w:r>
          </w:p>
        </w:tc>
        <w:tc>
          <w:tcPr>
            <w:tcW w:w="1079" w:type="pct"/>
            <w:tcBorders>
              <w:top w:val="single" w:sz="4" w:space="0" w:color="auto"/>
              <w:left w:val="single" w:sz="4" w:space="0" w:color="auto"/>
              <w:bottom w:val="single" w:sz="4" w:space="0" w:color="auto"/>
              <w:right w:val="single" w:sz="4" w:space="0" w:color="auto"/>
            </w:tcBorders>
          </w:tcPr>
          <w:p w14:paraId="6F65ADAA" w14:textId="77777777" w:rsidR="004D0B8A" w:rsidRPr="005113F1" w:rsidRDefault="004D0B8A" w:rsidP="006E306E">
            <w:pPr>
              <w:spacing w:before="22" w:after="22" w:line="256" w:lineRule="auto"/>
              <w:jc w:val="left"/>
              <w:cnfStyle w:val="000000000000" w:firstRow="0" w:lastRow="0" w:firstColumn="0" w:lastColumn="0" w:oddVBand="0" w:evenVBand="0" w:oddHBand="0" w:evenHBand="0" w:firstRowFirstColumn="0" w:firstRowLastColumn="0" w:lastRowFirstColumn="0" w:lastRowLastColumn="0"/>
            </w:pPr>
            <w:r w:rsidRPr="005113F1">
              <w:rPr>
                <w:color w:val="auto"/>
                <w:szCs w:val="22"/>
                <w:lang w:eastAsia="en-US"/>
              </w:rPr>
              <w:t>Patients with platinum-sensitive HGEOC</w:t>
            </w:r>
          </w:p>
        </w:tc>
        <w:tc>
          <w:tcPr>
            <w:tcW w:w="1078" w:type="pct"/>
            <w:tcBorders>
              <w:top w:val="single" w:sz="4" w:space="0" w:color="auto"/>
              <w:left w:val="single" w:sz="4" w:space="0" w:color="auto"/>
              <w:bottom w:val="single" w:sz="4" w:space="0" w:color="auto"/>
              <w:right w:val="single" w:sz="4" w:space="0" w:color="auto"/>
            </w:tcBorders>
          </w:tcPr>
          <w:p w14:paraId="2AC44EFE" w14:textId="77777777" w:rsidR="004D0B8A" w:rsidRPr="003B3072" w:rsidRDefault="004D0B8A" w:rsidP="006E306E">
            <w:pPr>
              <w:tabs>
                <w:tab w:val="left" w:pos="271"/>
              </w:tabs>
              <w:spacing w:before="22" w:after="22" w:line="256" w:lineRule="auto"/>
              <w:jc w:val="left"/>
              <w:cnfStyle w:val="000000000000" w:firstRow="0" w:lastRow="0" w:firstColumn="0" w:lastColumn="0" w:oddVBand="0" w:evenVBand="0" w:oddHBand="0" w:evenHBand="0" w:firstRowFirstColumn="0" w:firstRowLastColumn="0" w:lastRowFirstColumn="0" w:lastRowLastColumn="0"/>
              <w:rPr>
                <w:b/>
              </w:rPr>
            </w:pPr>
            <w:r w:rsidRPr="00A674E3">
              <w:rPr>
                <w:b/>
                <w:color w:val="auto"/>
                <w:szCs w:val="22"/>
                <w:lang w:eastAsia="en-US"/>
              </w:rPr>
              <w:t>PFS:</w:t>
            </w:r>
            <w:r w:rsidRPr="00A674E3">
              <w:rPr>
                <w:b/>
                <w:color w:val="auto"/>
                <w:szCs w:val="22"/>
                <w:lang w:eastAsia="en-US"/>
              </w:rPr>
              <w:tab/>
            </w:r>
            <w:r w:rsidRPr="003B3072">
              <w:rPr>
                <w:b/>
              </w:rPr>
              <w:t>0.23 (0.10, 0.54)</w:t>
            </w:r>
          </w:p>
        </w:tc>
        <w:tc>
          <w:tcPr>
            <w:tcW w:w="1128" w:type="pct"/>
            <w:tcBorders>
              <w:top w:val="single" w:sz="4" w:space="0" w:color="auto"/>
              <w:left w:val="single" w:sz="4" w:space="0" w:color="auto"/>
              <w:bottom w:val="single" w:sz="4" w:space="0" w:color="auto"/>
              <w:right w:val="single" w:sz="4" w:space="0" w:color="auto"/>
            </w:tcBorders>
          </w:tcPr>
          <w:p w14:paraId="481736F9" w14:textId="77777777" w:rsidR="004D0B8A" w:rsidRPr="003B3072" w:rsidRDefault="004D0B8A" w:rsidP="006E306E">
            <w:pPr>
              <w:tabs>
                <w:tab w:val="left" w:pos="290"/>
              </w:tabs>
              <w:spacing w:before="22" w:after="22" w:line="256" w:lineRule="auto"/>
              <w:jc w:val="left"/>
              <w:cnfStyle w:val="000000000000" w:firstRow="0" w:lastRow="0" w:firstColumn="0" w:lastColumn="0" w:oddVBand="0" w:evenVBand="0" w:oddHBand="0" w:evenHBand="0" w:firstRowFirstColumn="0" w:firstRowLastColumn="0" w:lastRowFirstColumn="0" w:lastRowLastColumn="0"/>
              <w:rPr>
                <w:b/>
              </w:rPr>
            </w:pPr>
            <w:r w:rsidRPr="00A674E3">
              <w:rPr>
                <w:b/>
                <w:color w:val="auto"/>
                <w:szCs w:val="22"/>
                <w:lang w:eastAsia="en-US"/>
              </w:rPr>
              <w:t>PFS:</w:t>
            </w:r>
            <w:r w:rsidRPr="00A674E3">
              <w:rPr>
                <w:b/>
                <w:color w:val="auto"/>
                <w:szCs w:val="22"/>
                <w:lang w:eastAsia="en-US"/>
              </w:rPr>
              <w:tab/>
            </w:r>
            <w:r w:rsidRPr="003B3072">
              <w:rPr>
                <w:b/>
              </w:rPr>
              <w:t>0.25 (0.16, 0.39)</w:t>
            </w:r>
          </w:p>
        </w:tc>
      </w:tr>
      <w:tr w:rsidR="004D0B8A" w:rsidRPr="005113F1" w14:paraId="7D608DD8" w14:textId="77777777" w:rsidTr="006E306E">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hideMark/>
          </w:tcPr>
          <w:p w14:paraId="737FD5FB" w14:textId="77777777" w:rsidR="004D0B8A" w:rsidRPr="00EF78E5" w:rsidRDefault="004D0B8A" w:rsidP="006E306E">
            <w:pPr>
              <w:spacing w:before="22" w:after="22" w:line="256" w:lineRule="auto"/>
              <w:contextualSpacing w:val="0"/>
              <w:rPr>
                <w:rFonts w:ascii="Arial Narrow" w:hAnsi="Arial Narrow"/>
                <w:color w:val="auto"/>
                <w:szCs w:val="22"/>
                <w:lang w:eastAsia="en-US"/>
              </w:rPr>
            </w:pPr>
            <w:r w:rsidRPr="00EF78E5">
              <w:rPr>
                <w:rFonts w:ascii="Arial Narrow" w:hAnsi="Arial Narrow"/>
                <w:color w:val="auto"/>
                <w:szCs w:val="22"/>
                <w:lang w:eastAsia="en-US"/>
              </w:rPr>
              <w:t>Meta-analysis</w:t>
            </w:r>
          </w:p>
        </w:tc>
        <w:tc>
          <w:tcPr>
            <w:tcW w:w="708" w:type="pct"/>
            <w:tcBorders>
              <w:top w:val="single" w:sz="4" w:space="0" w:color="auto"/>
              <w:left w:val="single" w:sz="4" w:space="0" w:color="auto"/>
              <w:bottom w:val="single" w:sz="4" w:space="0" w:color="auto"/>
              <w:right w:val="single" w:sz="4" w:space="0" w:color="auto"/>
            </w:tcBorders>
            <w:hideMark/>
          </w:tcPr>
          <w:p w14:paraId="0A40EB6F" w14:textId="77777777" w:rsidR="004D0B8A"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5113F1">
              <w:rPr>
                <w:color w:val="auto"/>
                <w:szCs w:val="22"/>
                <w:lang w:eastAsia="en-US"/>
              </w:rPr>
              <w:t>1,138</w:t>
            </w:r>
          </w:p>
          <w:p w14:paraId="7794AE81" w14:textId="77777777" w:rsidR="004D0B8A" w:rsidRPr="00EF78E5" w:rsidRDefault="004D0B8A" w:rsidP="006E306E">
            <w:pPr>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Pr>
                <w:color w:val="auto"/>
                <w:szCs w:val="22"/>
                <w:lang w:eastAsia="en-US"/>
              </w:rPr>
              <w:t>123 sBRCAm</w:t>
            </w:r>
          </w:p>
        </w:tc>
        <w:tc>
          <w:tcPr>
            <w:tcW w:w="1617" w:type="pct"/>
            <w:gridSpan w:val="2"/>
            <w:tcBorders>
              <w:top w:val="single" w:sz="4" w:space="0" w:color="auto"/>
              <w:left w:val="single" w:sz="4" w:space="0" w:color="auto"/>
              <w:bottom w:val="single" w:sz="4" w:space="0" w:color="auto"/>
              <w:right w:val="single" w:sz="4" w:space="0" w:color="auto"/>
            </w:tcBorders>
            <w:hideMark/>
          </w:tcPr>
          <w:p w14:paraId="1DF77903" w14:textId="77777777" w:rsidR="004D0B8A" w:rsidRPr="005113F1" w:rsidRDefault="004D0B8A" w:rsidP="006E306E">
            <w:pPr>
              <w:spacing w:before="22" w:after="22" w:line="256" w:lineRule="auto"/>
              <w:jc w:val="left"/>
              <w:cnfStyle w:val="000000000000" w:firstRow="0" w:lastRow="0" w:firstColumn="0" w:lastColumn="0" w:oddVBand="0" w:evenVBand="0" w:oddHBand="0" w:evenHBand="0" w:firstRowFirstColumn="0" w:firstRowLastColumn="0" w:lastRowFirstColumn="0" w:lastRowLastColumn="0"/>
            </w:pPr>
            <w:r w:rsidRPr="005113F1">
              <w:t>Included Study 19, NOVA, ARIEL3, SOLO2</w:t>
            </w:r>
          </w:p>
        </w:tc>
        <w:tc>
          <w:tcPr>
            <w:tcW w:w="1078" w:type="pct"/>
            <w:tcBorders>
              <w:top w:val="single" w:sz="4" w:space="0" w:color="auto"/>
              <w:left w:val="single" w:sz="4" w:space="0" w:color="auto"/>
              <w:bottom w:val="single" w:sz="4" w:space="0" w:color="auto"/>
              <w:right w:val="single" w:sz="4" w:space="0" w:color="auto"/>
            </w:tcBorders>
          </w:tcPr>
          <w:p w14:paraId="39EA1C2A" w14:textId="77777777" w:rsidR="004D0B8A" w:rsidRPr="003B3072"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b/>
                <w:color w:val="auto"/>
                <w:szCs w:val="22"/>
                <w:lang w:eastAsia="en-US"/>
              </w:rPr>
            </w:pPr>
            <w:r w:rsidRPr="00A674E3">
              <w:rPr>
                <w:b/>
                <w:color w:val="auto"/>
                <w:szCs w:val="22"/>
                <w:lang w:eastAsia="en-US"/>
              </w:rPr>
              <w:t>PFS:</w:t>
            </w:r>
            <w:r w:rsidRPr="00A674E3">
              <w:rPr>
                <w:b/>
                <w:color w:val="auto"/>
                <w:szCs w:val="22"/>
                <w:lang w:eastAsia="en-US"/>
              </w:rPr>
              <w:tab/>
            </w:r>
            <w:r w:rsidRPr="003B3072">
              <w:rPr>
                <w:b/>
              </w:rPr>
              <w:t>0.24 (0.13, 0.46)</w:t>
            </w:r>
          </w:p>
        </w:tc>
        <w:tc>
          <w:tcPr>
            <w:tcW w:w="1128" w:type="pct"/>
            <w:tcBorders>
              <w:top w:val="single" w:sz="4" w:space="0" w:color="auto"/>
              <w:left w:val="single" w:sz="4" w:space="0" w:color="auto"/>
              <w:bottom w:val="single" w:sz="4" w:space="0" w:color="auto"/>
              <w:right w:val="single" w:sz="4" w:space="0" w:color="auto"/>
            </w:tcBorders>
          </w:tcPr>
          <w:p w14:paraId="65475A50" w14:textId="77777777" w:rsidR="004D0B8A" w:rsidRPr="003B3072" w:rsidRDefault="004D0B8A" w:rsidP="006E306E">
            <w:pPr>
              <w:tabs>
                <w:tab w:val="left" w:pos="290"/>
              </w:tabs>
              <w:spacing w:before="22" w:after="22" w:line="256" w:lineRule="auto"/>
              <w:jc w:val="left"/>
              <w:cnfStyle w:val="000000000000" w:firstRow="0" w:lastRow="0" w:firstColumn="0" w:lastColumn="0" w:oddVBand="0" w:evenVBand="0" w:oddHBand="0" w:evenHBand="0" w:firstRowFirstColumn="0" w:firstRowLastColumn="0" w:lastRowFirstColumn="0" w:lastRowLastColumn="0"/>
              <w:rPr>
                <w:b/>
              </w:rPr>
            </w:pPr>
            <w:r w:rsidRPr="00A674E3">
              <w:rPr>
                <w:b/>
                <w:color w:val="auto"/>
                <w:szCs w:val="22"/>
                <w:lang w:eastAsia="en-US"/>
              </w:rPr>
              <w:t>PFS:</w:t>
            </w:r>
            <w:r w:rsidRPr="00A674E3">
              <w:rPr>
                <w:b/>
                <w:color w:val="auto"/>
                <w:szCs w:val="22"/>
                <w:lang w:eastAsia="en-US"/>
              </w:rPr>
              <w:tab/>
            </w:r>
            <w:r w:rsidRPr="003B3072">
              <w:rPr>
                <w:b/>
              </w:rPr>
              <w:t>0.27 (0.09, 0.33)</w:t>
            </w:r>
          </w:p>
        </w:tc>
      </w:tr>
    </w:tbl>
    <w:p w14:paraId="7C2E8F0D" w14:textId="77777777" w:rsidR="004D0B8A" w:rsidRPr="005113F1" w:rsidRDefault="004D0B8A" w:rsidP="004D0B8A">
      <w:pPr>
        <w:pStyle w:val="TableFooter"/>
      </w:pPr>
      <w:r w:rsidRPr="005113F1">
        <w:rPr>
          <w:i/>
        </w:rPr>
        <w:t>BRCA</w:t>
      </w:r>
      <w:r w:rsidRPr="005113F1">
        <w:t xml:space="preserve"> = breast cancer gene 1 and 2; DB=double blind; g</w:t>
      </w:r>
      <w:r w:rsidRPr="005113F1">
        <w:rPr>
          <w:i/>
        </w:rPr>
        <w:t>BRCA</w:t>
      </w:r>
      <w:r w:rsidRPr="005113F1">
        <w:t xml:space="preserve">m = germline </w:t>
      </w:r>
      <w:r w:rsidRPr="005113F1">
        <w:rPr>
          <w:i/>
        </w:rPr>
        <w:t>BRCA</w:t>
      </w:r>
      <w:r w:rsidRPr="005113F1">
        <w:t xml:space="preserve"> pathological or likely pathological variant; </w:t>
      </w:r>
      <w:r>
        <w:t>CI = confidence interval; HGEOC = high grade epithelial ovarian cancer; HGSOC = high grade serous ovarian cancer;</w:t>
      </w:r>
      <w:r w:rsidRPr="005904A4">
        <w:rPr>
          <w:i/>
        </w:rPr>
        <w:t xml:space="preserve"> </w:t>
      </w:r>
      <w:r w:rsidRPr="0073351A">
        <w:t xml:space="preserve">HR = hazard ratio; </w:t>
      </w:r>
      <w:r>
        <w:t xml:space="preserve">MC = multicentre; </w:t>
      </w:r>
      <w:r w:rsidRPr="005113F1">
        <w:t>OS</w:t>
      </w:r>
      <w:r>
        <w:t xml:space="preserve"> </w:t>
      </w:r>
      <w:r w:rsidRPr="005113F1">
        <w:t>=</w:t>
      </w:r>
      <w:r>
        <w:t xml:space="preserve"> </w:t>
      </w:r>
      <w:r w:rsidRPr="005113F1">
        <w:t>overall survival; PFS</w:t>
      </w:r>
      <w:r>
        <w:t xml:space="preserve"> </w:t>
      </w:r>
      <w:r w:rsidRPr="005113F1">
        <w:t>=</w:t>
      </w:r>
      <w:r>
        <w:t xml:space="preserve"> </w:t>
      </w:r>
      <w:r w:rsidRPr="005113F1">
        <w:t>progression-free survival; R</w:t>
      </w:r>
      <w:r>
        <w:t xml:space="preserve"> </w:t>
      </w:r>
      <w:r w:rsidRPr="005113F1">
        <w:t>=</w:t>
      </w:r>
      <w:r>
        <w:t xml:space="preserve"> </w:t>
      </w:r>
      <w:r w:rsidRPr="005113F1">
        <w:t>randomised; s</w:t>
      </w:r>
      <w:r w:rsidRPr="005113F1">
        <w:rPr>
          <w:i/>
        </w:rPr>
        <w:t>BRCA</w:t>
      </w:r>
      <w:r w:rsidRPr="005113F1">
        <w:t xml:space="preserve">m = somatic </w:t>
      </w:r>
      <w:r w:rsidRPr="005113F1">
        <w:rPr>
          <w:i/>
        </w:rPr>
        <w:t>BRCA</w:t>
      </w:r>
      <w:r w:rsidRPr="005113F1">
        <w:t xml:space="preserve"> pathological or likely pathological variant</w:t>
      </w:r>
      <w:r>
        <w:t xml:space="preserve">; </w:t>
      </w:r>
      <w:r w:rsidRPr="00860689">
        <w:rPr>
          <w:b/>
        </w:rPr>
        <w:t>bold</w:t>
      </w:r>
      <w:r>
        <w:t xml:space="preserve"> = statistically significant</w:t>
      </w:r>
    </w:p>
    <w:p w14:paraId="2132E208" w14:textId="77777777" w:rsidR="004D0B8A" w:rsidRPr="00FD4A82" w:rsidRDefault="004D0B8A" w:rsidP="004D0B8A">
      <w:pPr>
        <w:pStyle w:val="TableFooter"/>
      </w:pPr>
      <w:r w:rsidRPr="003B3072">
        <w:t xml:space="preserve">Source: </w:t>
      </w:r>
      <w:r>
        <w:t>Table 2-28, Figures 2-25 and 2-26 in section 2.2.D.11.3 of the submission.</w:t>
      </w:r>
    </w:p>
    <w:p w14:paraId="38160D92" w14:textId="77777777" w:rsidR="004D0B8A" w:rsidRPr="00497A33" w:rsidRDefault="004D0B8A" w:rsidP="004D0B8A">
      <w:pPr>
        <w:pStyle w:val="Heading4"/>
        <w:rPr>
          <w:rFonts w:ascii="Times New Roman" w:hAnsi="Times New Roman"/>
          <w:iCs w:val="0"/>
          <w:color w:val="auto"/>
          <w:szCs w:val="26"/>
        </w:rPr>
      </w:pPr>
      <w:r w:rsidRPr="00497A33">
        <w:rPr>
          <w:rFonts w:ascii="Times New Roman" w:hAnsi="Times New Roman"/>
          <w:iCs w:val="0"/>
          <w:color w:val="auto"/>
          <w:szCs w:val="26"/>
        </w:rPr>
        <w:t>HGSOC patients with BRCAm versus those with BRCAwt</w:t>
      </w:r>
    </w:p>
    <w:p w14:paraId="64033028" w14:textId="45E62330" w:rsidR="002F218A" w:rsidRDefault="004D0B8A" w:rsidP="002F218A">
      <w:pPr>
        <w:spacing w:after="240"/>
      </w:pPr>
      <w:r>
        <w:t xml:space="preserve">The Commentary noted that, </w:t>
      </w:r>
      <w:r w:rsidRPr="004D24C4">
        <w:t xml:space="preserve">of the studies reporting on response to olaparib maintenance therapy in </w:t>
      </w:r>
      <w:r w:rsidRPr="004D24C4">
        <w:rPr>
          <w:i/>
        </w:rPr>
        <w:t>sBRCA</w:t>
      </w:r>
      <w:r w:rsidRPr="00DA0CD4">
        <w:t xml:space="preserve">m </w:t>
      </w:r>
      <w:r w:rsidRPr="004D24C4">
        <w:t xml:space="preserve">compared to </w:t>
      </w:r>
      <w:r w:rsidRPr="004D24C4">
        <w:rPr>
          <w:i/>
        </w:rPr>
        <w:t>gBRCA</w:t>
      </w:r>
      <w:r w:rsidRPr="00DA0CD4">
        <w:t>m</w:t>
      </w:r>
      <w:r>
        <w:t>, two</w:t>
      </w:r>
      <w:r w:rsidRPr="004D24C4">
        <w:t xml:space="preserve"> also reported on the response in </w:t>
      </w:r>
      <w:r w:rsidRPr="004D24C4">
        <w:rPr>
          <w:i/>
        </w:rPr>
        <w:t>BRCA</w:t>
      </w:r>
      <w:r w:rsidRPr="00DA0CD4">
        <w:t>m</w:t>
      </w:r>
      <w:r w:rsidRPr="004D24C4">
        <w:t xml:space="preserve"> compared with </w:t>
      </w:r>
      <w:r w:rsidRPr="004D24C4">
        <w:rPr>
          <w:i/>
        </w:rPr>
        <w:t>BRCA</w:t>
      </w:r>
      <w:r w:rsidRPr="00DA0CD4">
        <w:t xml:space="preserve">wt </w:t>
      </w:r>
      <w:r>
        <w:t xml:space="preserve">(Table </w:t>
      </w:r>
      <w:r w:rsidR="009824AB">
        <w:t>5</w:t>
      </w:r>
      <w:r>
        <w:t>).</w:t>
      </w:r>
      <w:r w:rsidR="002F218A">
        <w:br w:type="page"/>
      </w:r>
    </w:p>
    <w:p w14:paraId="4C24F133" w14:textId="77777777" w:rsidR="004D0B8A" w:rsidRPr="00445C84" w:rsidRDefault="004D0B8A" w:rsidP="004D0B8A">
      <w:pPr>
        <w:pStyle w:val="Caption"/>
      </w:pPr>
      <w:bookmarkStart w:id="7" w:name="_Ref18319899"/>
      <w:r w:rsidRPr="00445C84">
        <w:t xml:space="preserve">Table </w:t>
      </w:r>
      <w:bookmarkEnd w:id="7"/>
      <w:r w:rsidR="009824AB">
        <w:t>5</w:t>
      </w:r>
      <w:r w:rsidRPr="00445C84">
        <w:tab/>
        <w:t>Summary of the included evidence</w:t>
      </w:r>
    </w:p>
    <w:tbl>
      <w:tblPr>
        <w:tblStyle w:val="PBACTableStyle2"/>
        <w:tblW w:w="5000" w:type="pct"/>
        <w:tblLook w:val="04A0" w:firstRow="1" w:lastRow="0" w:firstColumn="1" w:lastColumn="0" w:noHBand="0" w:noVBand="1"/>
        <w:tblCaption w:val="Table 5 Summary of the included evidence"/>
      </w:tblPr>
      <w:tblGrid>
        <w:gridCol w:w="1190"/>
        <w:gridCol w:w="635"/>
        <w:gridCol w:w="1147"/>
        <w:gridCol w:w="1985"/>
        <w:gridCol w:w="1984"/>
        <w:gridCol w:w="2075"/>
      </w:tblGrid>
      <w:tr w:rsidR="004D0B8A" w:rsidRPr="00445C84" w14:paraId="01E84137" w14:textId="77777777" w:rsidTr="006E30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0" w:type="pct"/>
            <w:tcBorders>
              <w:top w:val="single" w:sz="4" w:space="0" w:color="auto"/>
              <w:left w:val="single" w:sz="4" w:space="0" w:color="auto"/>
              <w:bottom w:val="single" w:sz="4" w:space="0" w:color="auto"/>
              <w:right w:val="single" w:sz="4" w:space="0" w:color="auto"/>
            </w:tcBorders>
            <w:vAlign w:val="top"/>
            <w:hideMark/>
          </w:tcPr>
          <w:p w14:paraId="40461DA6" w14:textId="77777777" w:rsidR="004D0B8A" w:rsidRPr="00445C84" w:rsidRDefault="004D0B8A" w:rsidP="006E306E">
            <w:pPr>
              <w:spacing w:before="22" w:after="22" w:line="256" w:lineRule="auto"/>
              <w:ind w:right="0"/>
              <w:contextualSpacing w:val="0"/>
              <w:jc w:val="left"/>
              <w:rPr>
                <w:rFonts w:ascii="Arial Narrow" w:hAnsi="Arial Narrow"/>
                <w:color w:val="auto"/>
                <w:szCs w:val="22"/>
                <w:lang w:eastAsia="en-US"/>
              </w:rPr>
            </w:pPr>
            <w:r w:rsidRPr="00445C84">
              <w:rPr>
                <w:rFonts w:ascii="Arial Narrow" w:hAnsi="Arial Narrow"/>
                <w:color w:val="auto"/>
                <w:szCs w:val="22"/>
                <w:lang w:eastAsia="en-US"/>
              </w:rPr>
              <w:t>Trial</w:t>
            </w:r>
          </w:p>
        </w:tc>
        <w:tc>
          <w:tcPr>
            <w:tcW w:w="352" w:type="pct"/>
            <w:tcBorders>
              <w:top w:val="single" w:sz="4" w:space="0" w:color="auto"/>
              <w:left w:val="single" w:sz="4" w:space="0" w:color="auto"/>
              <w:bottom w:val="single" w:sz="4" w:space="0" w:color="auto"/>
              <w:right w:val="single" w:sz="4" w:space="0" w:color="auto"/>
            </w:tcBorders>
            <w:vAlign w:val="top"/>
            <w:hideMark/>
          </w:tcPr>
          <w:p w14:paraId="5CEC4743" w14:textId="77777777" w:rsidR="004D0B8A" w:rsidRPr="00445C84" w:rsidRDefault="004D0B8A" w:rsidP="006E306E">
            <w:pPr>
              <w:spacing w:before="22" w:after="22" w:line="256" w:lineRule="auto"/>
              <w:ind w:right="0"/>
              <w:contextualSpacing w:val="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N</w:t>
            </w:r>
          </w:p>
        </w:tc>
        <w:tc>
          <w:tcPr>
            <w:tcW w:w="636" w:type="pct"/>
            <w:tcBorders>
              <w:top w:val="single" w:sz="4" w:space="0" w:color="auto"/>
              <w:left w:val="single" w:sz="4" w:space="0" w:color="auto"/>
              <w:bottom w:val="single" w:sz="4" w:space="0" w:color="auto"/>
              <w:right w:val="single" w:sz="4" w:space="0" w:color="auto"/>
            </w:tcBorders>
            <w:vAlign w:val="top"/>
            <w:hideMark/>
          </w:tcPr>
          <w:p w14:paraId="6F76CCFF" w14:textId="77777777" w:rsidR="004D0B8A" w:rsidRPr="00445C84" w:rsidRDefault="004D0B8A" w:rsidP="006E306E">
            <w:pPr>
              <w:spacing w:before="22" w:after="22" w:line="256" w:lineRule="auto"/>
              <w:ind w:right="0"/>
              <w:contextualSpacing w:val="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Design/ duration</w:t>
            </w:r>
          </w:p>
        </w:tc>
        <w:tc>
          <w:tcPr>
            <w:tcW w:w="1101" w:type="pct"/>
            <w:tcBorders>
              <w:top w:val="single" w:sz="4" w:space="0" w:color="auto"/>
              <w:left w:val="single" w:sz="4" w:space="0" w:color="auto"/>
              <w:bottom w:val="single" w:sz="4" w:space="0" w:color="auto"/>
              <w:right w:val="single" w:sz="4" w:space="0" w:color="auto"/>
            </w:tcBorders>
            <w:vAlign w:val="top"/>
            <w:hideMark/>
          </w:tcPr>
          <w:p w14:paraId="3BA355E9" w14:textId="77777777" w:rsidR="004D0B8A" w:rsidRPr="00445C84" w:rsidRDefault="004D0B8A" w:rsidP="006E306E">
            <w:pPr>
              <w:spacing w:before="22" w:after="22" w:line="256" w:lineRule="auto"/>
              <w:ind w:right="0"/>
              <w:contextualSpacing w:val="0"/>
              <w:jc w:val="left"/>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Patient population</w:t>
            </w:r>
          </w:p>
        </w:tc>
        <w:tc>
          <w:tcPr>
            <w:tcW w:w="1100" w:type="pct"/>
            <w:tcBorders>
              <w:top w:val="single" w:sz="4" w:space="0" w:color="auto"/>
              <w:left w:val="single" w:sz="4" w:space="0" w:color="auto"/>
              <w:bottom w:val="single" w:sz="4" w:space="0" w:color="auto"/>
              <w:right w:val="single" w:sz="4" w:space="0" w:color="auto"/>
            </w:tcBorders>
            <w:vAlign w:val="top"/>
            <w:hideMark/>
          </w:tcPr>
          <w:p w14:paraId="0423AE7B" w14:textId="77777777" w:rsidR="004D0B8A" w:rsidRPr="00445C84"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 xml:space="preserve">Outcomes: </w:t>
            </w:r>
            <w:r w:rsidRPr="0073351A">
              <w:rPr>
                <w:rFonts w:ascii="Arial Narrow" w:hAnsi="Arial Narrow"/>
                <w:i/>
                <w:color w:val="auto"/>
                <w:szCs w:val="22"/>
                <w:lang w:eastAsia="en-US"/>
              </w:rPr>
              <w:t>BRCA</w:t>
            </w:r>
            <w:r w:rsidRPr="00445C84">
              <w:rPr>
                <w:rFonts w:ascii="Arial Narrow" w:hAnsi="Arial Narrow"/>
                <w:color w:val="auto"/>
                <w:szCs w:val="22"/>
                <w:lang w:eastAsia="en-US"/>
              </w:rPr>
              <w:t>m</w:t>
            </w:r>
          </w:p>
          <w:p w14:paraId="67E94833" w14:textId="77777777" w:rsidR="004D0B8A" w:rsidRPr="00445C84"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HR (95% CI)</w:t>
            </w:r>
          </w:p>
        </w:tc>
        <w:tc>
          <w:tcPr>
            <w:tcW w:w="1151" w:type="pct"/>
            <w:tcBorders>
              <w:top w:val="single" w:sz="4" w:space="0" w:color="auto"/>
              <w:left w:val="single" w:sz="4" w:space="0" w:color="auto"/>
              <w:bottom w:val="single" w:sz="4" w:space="0" w:color="auto"/>
              <w:right w:val="single" w:sz="4" w:space="0" w:color="auto"/>
            </w:tcBorders>
            <w:vAlign w:val="top"/>
          </w:tcPr>
          <w:p w14:paraId="7B83AA1C" w14:textId="77777777" w:rsidR="004D0B8A" w:rsidRPr="00445C84"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 xml:space="preserve">Outcomes: </w:t>
            </w:r>
            <w:r w:rsidRPr="0073351A">
              <w:rPr>
                <w:rFonts w:ascii="Arial Narrow" w:hAnsi="Arial Narrow"/>
                <w:i/>
                <w:color w:val="auto"/>
                <w:szCs w:val="22"/>
                <w:lang w:eastAsia="en-US"/>
              </w:rPr>
              <w:t>BRCA</w:t>
            </w:r>
            <w:r w:rsidRPr="00445C84">
              <w:rPr>
                <w:rFonts w:ascii="Arial Narrow" w:hAnsi="Arial Narrow"/>
                <w:color w:val="auto"/>
                <w:szCs w:val="22"/>
                <w:lang w:eastAsia="en-US"/>
              </w:rPr>
              <w:t>wt</w:t>
            </w:r>
          </w:p>
          <w:p w14:paraId="0521EF5C" w14:textId="77777777" w:rsidR="004D0B8A" w:rsidRPr="00445C84" w:rsidRDefault="004D0B8A" w:rsidP="006E306E">
            <w:pPr>
              <w:spacing w:before="22" w:after="22" w:line="256" w:lineRule="auto"/>
              <w:ind w:right="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olor w:val="auto"/>
                <w:szCs w:val="22"/>
                <w:lang w:eastAsia="en-US"/>
              </w:rPr>
            </w:pPr>
            <w:r w:rsidRPr="00445C84">
              <w:rPr>
                <w:rFonts w:ascii="Arial Narrow" w:hAnsi="Arial Narrow"/>
                <w:color w:val="auto"/>
                <w:szCs w:val="22"/>
                <w:lang w:eastAsia="en-US"/>
              </w:rPr>
              <w:t>HR (95% CI)</w:t>
            </w:r>
          </w:p>
        </w:tc>
      </w:tr>
      <w:tr w:rsidR="004D0B8A" w:rsidRPr="00445C84" w14:paraId="503B78F5" w14:textId="77777777" w:rsidTr="006E306E">
        <w:tc>
          <w:tcPr>
            <w:cnfStyle w:val="001000000000" w:firstRow="0" w:lastRow="0" w:firstColumn="1" w:lastColumn="0" w:oddVBand="0" w:evenVBand="0" w:oddHBand="0" w:evenHBand="0" w:firstRowFirstColumn="0" w:firstRowLastColumn="0" w:lastRowFirstColumn="0" w:lastRowLastColumn="0"/>
            <w:tcW w:w="660" w:type="pct"/>
            <w:tcBorders>
              <w:top w:val="single" w:sz="4" w:space="0" w:color="auto"/>
              <w:left w:val="single" w:sz="4" w:space="0" w:color="auto"/>
              <w:bottom w:val="single" w:sz="4" w:space="0" w:color="auto"/>
              <w:right w:val="single" w:sz="4" w:space="0" w:color="auto"/>
            </w:tcBorders>
            <w:hideMark/>
          </w:tcPr>
          <w:p w14:paraId="461A9593" w14:textId="77777777" w:rsidR="004D0B8A" w:rsidRPr="00445C84" w:rsidRDefault="004D0B8A" w:rsidP="006E306E">
            <w:pPr>
              <w:pStyle w:val="TableText0"/>
              <w:spacing w:before="11" w:after="11"/>
              <w:rPr>
                <w:color w:val="auto"/>
                <w:szCs w:val="22"/>
              </w:rPr>
            </w:pPr>
            <w:r w:rsidRPr="00445C84">
              <w:t>Study 19</w:t>
            </w:r>
          </w:p>
        </w:tc>
        <w:tc>
          <w:tcPr>
            <w:tcW w:w="352" w:type="pct"/>
            <w:tcBorders>
              <w:top w:val="single" w:sz="4" w:space="0" w:color="auto"/>
              <w:left w:val="single" w:sz="4" w:space="0" w:color="auto"/>
              <w:bottom w:val="single" w:sz="4" w:space="0" w:color="auto"/>
              <w:right w:val="single" w:sz="4" w:space="0" w:color="auto"/>
            </w:tcBorders>
            <w:hideMark/>
          </w:tcPr>
          <w:p w14:paraId="04E903E5" w14:textId="77777777" w:rsidR="004D0B8A" w:rsidRPr="00445C84" w:rsidRDefault="004D0B8A" w:rsidP="006E306E">
            <w:pPr>
              <w:tabs>
                <w:tab w:val="decimal" w:pos="103"/>
              </w:tabs>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265</w:t>
            </w:r>
          </w:p>
        </w:tc>
        <w:tc>
          <w:tcPr>
            <w:tcW w:w="636" w:type="pct"/>
            <w:tcBorders>
              <w:top w:val="single" w:sz="4" w:space="0" w:color="auto"/>
              <w:left w:val="single" w:sz="4" w:space="0" w:color="auto"/>
              <w:bottom w:val="single" w:sz="4" w:space="0" w:color="auto"/>
              <w:right w:val="single" w:sz="4" w:space="0" w:color="auto"/>
            </w:tcBorders>
            <w:hideMark/>
          </w:tcPr>
          <w:p w14:paraId="7A472A5A" w14:textId="77777777" w:rsidR="004D0B8A" w:rsidRPr="00445C84"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R, DB, MC</w:t>
            </w:r>
          </w:p>
        </w:tc>
        <w:tc>
          <w:tcPr>
            <w:tcW w:w="1101" w:type="pct"/>
            <w:tcBorders>
              <w:top w:val="single" w:sz="4" w:space="0" w:color="auto"/>
              <w:left w:val="single" w:sz="4" w:space="0" w:color="auto"/>
              <w:bottom w:val="single" w:sz="4" w:space="0" w:color="auto"/>
              <w:right w:val="single" w:sz="4" w:space="0" w:color="auto"/>
            </w:tcBorders>
            <w:hideMark/>
          </w:tcPr>
          <w:p w14:paraId="1730A773" w14:textId="77777777" w:rsidR="004D0B8A" w:rsidRPr="00445C84"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Patients with platinum-sensitive HGSOC</w:t>
            </w:r>
          </w:p>
        </w:tc>
        <w:tc>
          <w:tcPr>
            <w:tcW w:w="1100" w:type="pct"/>
            <w:tcBorders>
              <w:top w:val="single" w:sz="4" w:space="0" w:color="auto"/>
              <w:left w:val="single" w:sz="4" w:space="0" w:color="auto"/>
              <w:bottom w:val="single" w:sz="4" w:space="0" w:color="auto"/>
              <w:right w:val="single" w:sz="4" w:space="0" w:color="auto"/>
            </w:tcBorders>
            <w:hideMark/>
          </w:tcPr>
          <w:p w14:paraId="409497DB" w14:textId="77777777" w:rsidR="004D0B8A" w:rsidRPr="00445C84"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b/>
                <w:color w:val="auto"/>
                <w:szCs w:val="22"/>
                <w:lang w:eastAsia="en-US"/>
              </w:rPr>
              <w:t>PFS:</w:t>
            </w:r>
            <w:r w:rsidRPr="00445C84">
              <w:rPr>
                <w:b/>
                <w:color w:val="auto"/>
                <w:szCs w:val="22"/>
                <w:lang w:eastAsia="en-US"/>
              </w:rPr>
              <w:tab/>
            </w:r>
            <w:r w:rsidRPr="00445C84">
              <w:rPr>
                <w:color w:val="auto"/>
                <w:szCs w:val="22"/>
                <w:lang w:eastAsia="en-US"/>
              </w:rPr>
              <w:t>0.18 (0.10, 0.31)</w:t>
            </w:r>
          </w:p>
          <w:p w14:paraId="1F92856D" w14:textId="77777777" w:rsidR="004D0B8A" w:rsidRPr="00445C84"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b/>
                <w:color w:val="auto"/>
                <w:szCs w:val="22"/>
                <w:lang w:eastAsia="en-US"/>
              </w:rPr>
              <w:t>OS:</w:t>
            </w:r>
            <w:r w:rsidRPr="00445C84">
              <w:rPr>
                <w:b/>
                <w:color w:val="auto"/>
                <w:szCs w:val="22"/>
                <w:lang w:eastAsia="en-US"/>
              </w:rPr>
              <w:tab/>
            </w:r>
            <w:r w:rsidRPr="00445C84">
              <w:rPr>
                <w:color w:val="auto"/>
                <w:szCs w:val="22"/>
                <w:lang w:eastAsia="en-US"/>
              </w:rPr>
              <w:t>0.62 (0.41, 0.94)</w:t>
            </w:r>
          </w:p>
        </w:tc>
        <w:tc>
          <w:tcPr>
            <w:tcW w:w="1151" w:type="pct"/>
            <w:tcBorders>
              <w:top w:val="single" w:sz="4" w:space="0" w:color="auto"/>
              <w:left w:val="single" w:sz="4" w:space="0" w:color="auto"/>
              <w:bottom w:val="single" w:sz="4" w:space="0" w:color="auto"/>
              <w:right w:val="single" w:sz="4" w:space="0" w:color="auto"/>
            </w:tcBorders>
          </w:tcPr>
          <w:p w14:paraId="53156A68" w14:textId="77777777" w:rsidR="004D0B8A" w:rsidRPr="00445C84" w:rsidRDefault="004D0B8A" w:rsidP="006E306E">
            <w:pPr>
              <w:tabs>
                <w:tab w:val="left" w:pos="283"/>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b/>
                <w:color w:val="auto"/>
                <w:szCs w:val="22"/>
                <w:lang w:eastAsia="en-US"/>
              </w:rPr>
              <w:t>PFS:</w:t>
            </w:r>
            <w:r w:rsidRPr="00445C84">
              <w:rPr>
                <w:b/>
                <w:color w:val="auto"/>
                <w:szCs w:val="22"/>
                <w:lang w:eastAsia="en-US"/>
              </w:rPr>
              <w:tab/>
            </w:r>
            <w:r w:rsidRPr="00445C84">
              <w:rPr>
                <w:color w:val="auto"/>
                <w:szCs w:val="22"/>
                <w:lang w:eastAsia="en-US"/>
              </w:rPr>
              <w:t>0.54 (0.34, 0.85)</w:t>
            </w:r>
          </w:p>
          <w:p w14:paraId="77A00061" w14:textId="77777777" w:rsidR="004D0B8A" w:rsidRPr="00445C84" w:rsidRDefault="004D0B8A" w:rsidP="006E306E">
            <w:pPr>
              <w:tabs>
                <w:tab w:val="left" w:pos="290"/>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pPr>
            <w:r w:rsidRPr="00445C84">
              <w:rPr>
                <w:b/>
                <w:color w:val="auto"/>
                <w:szCs w:val="22"/>
                <w:lang w:eastAsia="en-US"/>
              </w:rPr>
              <w:t>OS:</w:t>
            </w:r>
            <w:r w:rsidRPr="00445C84">
              <w:rPr>
                <w:b/>
                <w:color w:val="auto"/>
                <w:szCs w:val="22"/>
                <w:lang w:eastAsia="en-US"/>
              </w:rPr>
              <w:tab/>
            </w:r>
            <w:r w:rsidRPr="00445C84">
              <w:rPr>
                <w:color w:val="auto"/>
                <w:szCs w:val="22"/>
                <w:lang w:eastAsia="en-US"/>
              </w:rPr>
              <w:t>0.83 (0.55, 1.24)</w:t>
            </w:r>
          </w:p>
        </w:tc>
      </w:tr>
      <w:tr w:rsidR="004D0B8A" w:rsidRPr="00445C84" w14:paraId="195877C0" w14:textId="77777777" w:rsidTr="006E306E">
        <w:tc>
          <w:tcPr>
            <w:cnfStyle w:val="001000000000" w:firstRow="0" w:lastRow="0" w:firstColumn="1" w:lastColumn="0" w:oddVBand="0" w:evenVBand="0" w:oddHBand="0" w:evenHBand="0" w:firstRowFirstColumn="0" w:firstRowLastColumn="0" w:lastRowFirstColumn="0" w:lastRowLastColumn="0"/>
            <w:tcW w:w="660" w:type="pct"/>
            <w:tcBorders>
              <w:top w:val="single" w:sz="4" w:space="0" w:color="auto"/>
              <w:left w:val="single" w:sz="4" w:space="0" w:color="auto"/>
              <w:bottom w:val="single" w:sz="4" w:space="0" w:color="auto"/>
              <w:right w:val="single" w:sz="4" w:space="0" w:color="auto"/>
            </w:tcBorders>
            <w:hideMark/>
          </w:tcPr>
          <w:p w14:paraId="149C2241" w14:textId="77777777" w:rsidR="004D0B8A" w:rsidRPr="00445C84" w:rsidRDefault="004D0B8A" w:rsidP="006E306E">
            <w:pPr>
              <w:spacing w:before="22" w:after="22" w:line="256" w:lineRule="auto"/>
              <w:contextualSpacing w:val="0"/>
              <w:rPr>
                <w:rFonts w:ascii="Arial Narrow" w:hAnsi="Arial Narrow"/>
              </w:rPr>
            </w:pPr>
            <w:r w:rsidRPr="00445C84">
              <w:rPr>
                <w:rFonts w:ascii="Arial Narrow" w:hAnsi="Arial Narrow"/>
              </w:rPr>
              <w:t>NOVA</w:t>
            </w:r>
          </w:p>
        </w:tc>
        <w:tc>
          <w:tcPr>
            <w:tcW w:w="352" w:type="pct"/>
            <w:tcBorders>
              <w:top w:val="single" w:sz="4" w:space="0" w:color="auto"/>
              <w:left w:val="single" w:sz="4" w:space="0" w:color="auto"/>
              <w:bottom w:val="single" w:sz="4" w:space="0" w:color="auto"/>
              <w:right w:val="single" w:sz="4" w:space="0" w:color="auto"/>
            </w:tcBorders>
            <w:hideMark/>
          </w:tcPr>
          <w:p w14:paraId="44DAC385" w14:textId="77777777" w:rsidR="004D0B8A" w:rsidRPr="00445C84" w:rsidRDefault="004D0B8A" w:rsidP="006E306E">
            <w:pPr>
              <w:tabs>
                <w:tab w:val="decimal" w:pos="103"/>
              </w:tabs>
              <w:spacing w:before="22" w:after="22" w:line="256" w:lineRule="auto"/>
              <w:contextualSpacing w:val="0"/>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553</w:t>
            </w:r>
          </w:p>
        </w:tc>
        <w:tc>
          <w:tcPr>
            <w:tcW w:w="636" w:type="pct"/>
            <w:tcBorders>
              <w:top w:val="single" w:sz="4" w:space="0" w:color="auto"/>
              <w:left w:val="single" w:sz="4" w:space="0" w:color="auto"/>
              <w:bottom w:val="single" w:sz="4" w:space="0" w:color="auto"/>
              <w:right w:val="single" w:sz="4" w:space="0" w:color="auto"/>
            </w:tcBorders>
            <w:hideMark/>
          </w:tcPr>
          <w:p w14:paraId="178BB018" w14:textId="77777777" w:rsidR="004D0B8A" w:rsidRPr="00445C84"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R, DB, MC</w:t>
            </w:r>
          </w:p>
        </w:tc>
        <w:tc>
          <w:tcPr>
            <w:tcW w:w="1101" w:type="pct"/>
            <w:tcBorders>
              <w:top w:val="single" w:sz="4" w:space="0" w:color="auto"/>
              <w:left w:val="single" w:sz="4" w:space="0" w:color="auto"/>
              <w:bottom w:val="single" w:sz="4" w:space="0" w:color="auto"/>
              <w:right w:val="single" w:sz="4" w:space="0" w:color="auto"/>
            </w:tcBorders>
            <w:hideMark/>
          </w:tcPr>
          <w:p w14:paraId="64EF35F9" w14:textId="77777777" w:rsidR="004D0B8A" w:rsidRPr="00445C84" w:rsidRDefault="004D0B8A" w:rsidP="006E306E">
            <w:pPr>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color w:val="auto"/>
                <w:szCs w:val="22"/>
                <w:lang w:eastAsia="en-US"/>
              </w:rPr>
              <w:t>Patients with platinum-sensitive HGEOC</w:t>
            </w:r>
          </w:p>
        </w:tc>
        <w:tc>
          <w:tcPr>
            <w:tcW w:w="1100" w:type="pct"/>
            <w:tcBorders>
              <w:top w:val="single" w:sz="4" w:space="0" w:color="auto"/>
              <w:left w:val="single" w:sz="4" w:space="0" w:color="auto"/>
              <w:bottom w:val="single" w:sz="4" w:space="0" w:color="auto"/>
              <w:right w:val="single" w:sz="4" w:space="0" w:color="auto"/>
            </w:tcBorders>
          </w:tcPr>
          <w:p w14:paraId="47F68692" w14:textId="77777777" w:rsidR="004D0B8A" w:rsidRPr="00445C84" w:rsidRDefault="004D0B8A" w:rsidP="006E306E">
            <w:pPr>
              <w:tabs>
                <w:tab w:val="left" w:pos="271"/>
              </w:tabs>
              <w:spacing w:before="22" w:after="22" w:line="256" w:lineRule="auto"/>
              <w:contextualSpacing w:val="0"/>
              <w:jc w:val="left"/>
              <w:cnfStyle w:val="000000000000" w:firstRow="0" w:lastRow="0" w:firstColumn="0" w:lastColumn="0" w:oddVBand="0" w:evenVBand="0" w:oddHBand="0" w:evenHBand="0" w:firstRowFirstColumn="0" w:firstRowLastColumn="0" w:lastRowFirstColumn="0" w:lastRowLastColumn="0"/>
              <w:rPr>
                <w:color w:val="auto"/>
                <w:szCs w:val="22"/>
                <w:lang w:eastAsia="en-US"/>
              </w:rPr>
            </w:pPr>
            <w:r w:rsidRPr="00445C84">
              <w:rPr>
                <w:b/>
                <w:color w:val="auto"/>
                <w:szCs w:val="22"/>
                <w:lang w:eastAsia="en-US"/>
              </w:rPr>
              <w:t>PFS:</w:t>
            </w:r>
            <w:r w:rsidRPr="00445C84">
              <w:rPr>
                <w:b/>
                <w:color w:val="auto"/>
                <w:szCs w:val="22"/>
                <w:lang w:eastAsia="en-US"/>
              </w:rPr>
              <w:tab/>
            </w:r>
            <w:r w:rsidRPr="00445C84">
              <w:rPr>
                <w:color w:val="auto"/>
                <w:szCs w:val="22"/>
                <w:lang w:eastAsia="en-US"/>
              </w:rPr>
              <w:t>0.27 (0.17, 0.41)</w:t>
            </w:r>
          </w:p>
        </w:tc>
        <w:tc>
          <w:tcPr>
            <w:tcW w:w="1151" w:type="pct"/>
            <w:tcBorders>
              <w:top w:val="single" w:sz="4" w:space="0" w:color="auto"/>
              <w:left w:val="single" w:sz="4" w:space="0" w:color="auto"/>
              <w:bottom w:val="single" w:sz="4" w:space="0" w:color="auto"/>
              <w:right w:val="single" w:sz="4" w:space="0" w:color="auto"/>
            </w:tcBorders>
          </w:tcPr>
          <w:p w14:paraId="57956535" w14:textId="77777777" w:rsidR="004D0B8A" w:rsidRPr="00445C84" w:rsidRDefault="004D0B8A" w:rsidP="006E306E">
            <w:pPr>
              <w:tabs>
                <w:tab w:val="left" w:pos="290"/>
              </w:tabs>
              <w:spacing w:before="22" w:after="22" w:line="256" w:lineRule="auto"/>
              <w:jc w:val="left"/>
              <w:cnfStyle w:val="000000000000" w:firstRow="0" w:lastRow="0" w:firstColumn="0" w:lastColumn="0" w:oddVBand="0" w:evenVBand="0" w:oddHBand="0" w:evenHBand="0" w:firstRowFirstColumn="0" w:firstRowLastColumn="0" w:lastRowFirstColumn="0" w:lastRowLastColumn="0"/>
            </w:pPr>
            <w:r w:rsidRPr="00445C84">
              <w:rPr>
                <w:b/>
                <w:color w:val="auto"/>
                <w:szCs w:val="22"/>
                <w:lang w:eastAsia="en-US"/>
              </w:rPr>
              <w:t>PFS:</w:t>
            </w:r>
            <w:r w:rsidRPr="00445C84">
              <w:rPr>
                <w:b/>
                <w:color w:val="auto"/>
                <w:szCs w:val="22"/>
                <w:lang w:eastAsia="en-US"/>
              </w:rPr>
              <w:tab/>
            </w:r>
            <w:r w:rsidRPr="00445C84">
              <w:rPr>
                <w:color w:val="auto"/>
                <w:szCs w:val="22"/>
                <w:lang w:eastAsia="en-US"/>
              </w:rPr>
              <w:t>0.58 (0.36, 0.92)</w:t>
            </w:r>
          </w:p>
        </w:tc>
      </w:tr>
    </w:tbl>
    <w:p w14:paraId="71F6BDE4" w14:textId="77777777" w:rsidR="004D0B8A" w:rsidRPr="00445C84" w:rsidRDefault="004D0B8A" w:rsidP="004D0B8A">
      <w:pPr>
        <w:pStyle w:val="TableFooter"/>
      </w:pPr>
      <w:r w:rsidRPr="00044858">
        <w:rPr>
          <w:i/>
        </w:rPr>
        <w:t>BRCA</w:t>
      </w:r>
      <w:r w:rsidRPr="00445C84">
        <w:t xml:space="preserve"> = breast cancer gene 1 and 2; </w:t>
      </w:r>
      <w:r w:rsidRPr="00044858">
        <w:rPr>
          <w:i/>
        </w:rPr>
        <w:t>BRCA</w:t>
      </w:r>
      <w:r w:rsidRPr="00445C84">
        <w:t xml:space="preserve">m = </w:t>
      </w:r>
      <w:r w:rsidRPr="00044858">
        <w:rPr>
          <w:i/>
        </w:rPr>
        <w:t>BRCA</w:t>
      </w:r>
      <w:r w:rsidRPr="00445C84">
        <w:t xml:space="preserve"> pathological or likely pathological variant; </w:t>
      </w:r>
      <w:r w:rsidRPr="00044858">
        <w:rPr>
          <w:i/>
        </w:rPr>
        <w:t>BRCA</w:t>
      </w:r>
      <w:r w:rsidRPr="00445C84">
        <w:t xml:space="preserve">wt = </w:t>
      </w:r>
      <w:r w:rsidRPr="00044858">
        <w:rPr>
          <w:i/>
        </w:rPr>
        <w:t>BRCA</w:t>
      </w:r>
      <w:r w:rsidRPr="00445C84">
        <w:t xml:space="preserve"> wild type; CI = confidence interval; DB=double blind; HR = hazard ratio; MC = multicentre; OS=overall survival; PFS=progression-free survival; R=randomised</w:t>
      </w:r>
    </w:p>
    <w:p w14:paraId="21DFB610" w14:textId="77777777" w:rsidR="004D0B8A" w:rsidRPr="00445C84" w:rsidRDefault="004D0B8A" w:rsidP="004D0B8A">
      <w:pPr>
        <w:pStyle w:val="TableFooter"/>
      </w:pPr>
      <w:r w:rsidRPr="00445C84">
        <w:t xml:space="preserve">Source: Constructed during </w:t>
      </w:r>
      <w:r>
        <w:t xml:space="preserve">the </w:t>
      </w:r>
      <w:r w:rsidRPr="00445C84">
        <w:t>evaluation</w:t>
      </w:r>
      <w:r>
        <w:t>.</w:t>
      </w:r>
    </w:p>
    <w:p w14:paraId="1E583C63" w14:textId="77777777" w:rsidR="004D0B8A" w:rsidRPr="00497A33" w:rsidRDefault="004D0B8A" w:rsidP="004D0B8A">
      <w:pPr>
        <w:pStyle w:val="Heading4"/>
        <w:rPr>
          <w:rFonts w:ascii="Times New Roman" w:hAnsi="Times New Roman"/>
          <w:iCs w:val="0"/>
          <w:color w:val="auto"/>
          <w:szCs w:val="26"/>
        </w:rPr>
      </w:pPr>
      <w:r w:rsidRPr="00497A33">
        <w:rPr>
          <w:rFonts w:ascii="Times New Roman" w:hAnsi="Times New Roman"/>
          <w:iCs w:val="0"/>
          <w:color w:val="auto"/>
          <w:szCs w:val="26"/>
        </w:rPr>
        <w:t>Comparative analytical performance</w:t>
      </w:r>
    </w:p>
    <w:p w14:paraId="46D3B88A" w14:textId="15EAC61C" w:rsidR="00BB70BA" w:rsidRDefault="004D0B8A" w:rsidP="002F218A">
      <w:pPr>
        <w:spacing w:after="240"/>
      </w:pPr>
      <w:r>
        <w:t xml:space="preserve">The Commentary presented the results of concordance of </w:t>
      </w:r>
      <w:r w:rsidRPr="000A3169">
        <w:t xml:space="preserve">tumour NGS </w:t>
      </w:r>
      <w:r w:rsidRPr="000A3169">
        <w:rPr>
          <w:i/>
        </w:rPr>
        <w:t>BRCA</w:t>
      </w:r>
      <w:r w:rsidRPr="00DA0CD4">
        <w:t xml:space="preserve"> </w:t>
      </w:r>
      <w:r w:rsidRPr="000A3169">
        <w:t xml:space="preserve">testing with germline </w:t>
      </w:r>
      <w:r w:rsidRPr="000A3169">
        <w:rPr>
          <w:i/>
        </w:rPr>
        <w:t>BRCA</w:t>
      </w:r>
      <w:r w:rsidRPr="00DA0CD4">
        <w:t xml:space="preserve"> </w:t>
      </w:r>
      <w:r w:rsidRPr="000A3169">
        <w:t>testing</w:t>
      </w:r>
      <w:r>
        <w:t xml:space="preserve"> in Table </w:t>
      </w:r>
      <w:r w:rsidR="009824AB">
        <w:t>6</w:t>
      </w:r>
      <w:r>
        <w:t>.</w:t>
      </w:r>
    </w:p>
    <w:p w14:paraId="435B6DD5" w14:textId="77777777" w:rsidR="004D0B8A" w:rsidRPr="0073351A" w:rsidRDefault="004D0B8A" w:rsidP="004D0B8A">
      <w:pPr>
        <w:pStyle w:val="Caption"/>
      </w:pPr>
      <w:r w:rsidRPr="0073351A">
        <w:t xml:space="preserve">Table </w:t>
      </w:r>
      <w:r w:rsidR="009824AB">
        <w:t>6</w:t>
      </w:r>
      <w:r w:rsidRPr="0073351A">
        <w:tab/>
        <w:t xml:space="preserve">Concordance of tumour NGS </w:t>
      </w:r>
      <w:r w:rsidRPr="0073351A">
        <w:rPr>
          <w:i/>
        </w:rPr>
        <w:t>BRCA</w:t>
      </w:r>
      <w:r w:rsidRPr="0073351A">
        <w:t xml:space="preserve"> testing with germline </w:t>
      </w:r>
      <w:r w:rsidRPr="0073351A">
        <w:rPr>
          <w:i/>
        </w:rPr>
        <w:t>BRCA</w:t>
      </w:r>
      <w:r w:rsidRPr="0073351A">
        <w:t xml:space="preserve"> testing</w:t>
      </w:r>
    </w:p>
    <w:tbl>
      <w:tblPr>
        <w:tblStyle w:val="PBACTableStyle"/>
        <w:tblW w:w="5000" w:type="pct"/>
        <w:tblLook w:val="04A0" w:firstRow="1" w:lastRow="0" w:firstColumn="1" w:lastColumn="0" w:noHBand="0" w:noVBand="1"/>
        <w:tblDescription w:val="Concordance of tumour NGS BRCA testing with germline BRCA testing"/>
      </w:tblPr>
      <w:tblGrid>
        <w:gridCol w:w="1980"/>
        <w:gridCol w:w="3826"/>
        <w:gridCol w:w="3210"/>
      </w:tblGrid>
      <w:tr w:rsidR="004D0B8A" w:rsidRPr="0073351A" w14:paraId="7F667B3E" w14:textId="77777777" w:rsidTr="00296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8" w:type="pct"/>
          </w:tcPr>
          <w:p w14:paraId="25916D35" w14:textId="77777777" w:rsidR="004D0B8A" w:rsidRPr="0073351A" w:rsidRDefault="004D0B8A" w:rsidP="006E306E">
            <w:pPr>
              <w:pStyle w:val="TableText0"/>
              <w:keepNext/>
              <w:spacing w:before="11" w:after="11" w:line="257" w:lineRule="auto"/>
              <w:jc w:val="center"/>
              <w:rPr>
                <w:b w:val="0"/>
              </w:rPr>
            </w:pPr>
            <w:r w:rsidRPr="0073351A">
              <w:t>Study</w:t>
            </w:r>
          </w:p>
        </w:tc>
        <w:tc>
          <w:tcPr>
            <w:tcW w:w="2122" w:type="pct"/>
            <w:hideMark/>
          </w:tcPr>
          <w:p w14:paraId="57174226" w14:textId="77777777" w:rsidR="004D0B8A" w:rsidRPr="0073351A" w:rsidRDefault="004D0B8A" w:rsidP="006E306E">
            <w:pPr>
              <w:pStyle w:val="TableText0"/>
              <w:keepNext/>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73351A">
              <w:t xml:space="preserve">Concordance tumour vs germline </w:t>
            </w:r>
            <w:r w:rsidRPr="0073351A">
              <w:rPr>
                <w:i/>
              </w:rPr>
              <w:t>BRCA</w:t>
            </w:r>
            <w:r w:rsidRPr="0073351A">
              <w:t xml:space="preserve"> testing</w:t>
            </w:r>
          </w:p>
        </w:tc>
        <w:tc>
          <w:tcPr>
            <w:tcW w:w="1780" w:type="pct"/>
          </w:tcPr>
          <w:p w14:paraId="325198FA" w14:textId="77777777" w:rsidR="004D0B8A" w:rsidRPr="0073351A" w:rsidRDefault="004D0B8A" w:rsidP="006E306E">
            <w:pPr>
              <w:pStyle w:val="TableText0"/>
              <w:keepNext/>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73351A">
              <w:t>Concordance of g</w:t>
            </w:r>
            <w:r w:rsidRPr="0073351A">
              <w:rPr>
                <w:i/>
              </w:rPr>
              <w:t>BRCA</w:t>
            </w:r>
            <w:r w:rsidRPr="0073351A">
              <w:t xml:space="preserve"> results only for tumour vs germline testing</w:t>
            </w:r>
          </w:p>
        </w:tc>
      </w:tr>
      <w:tr w:rsidR="004D0B8A" w:rsidRPr="0073351A" w14:paraId="7175B282"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19930438" w14:textId="77777777" w:rsidR="004D0B8A" w:rsidRPr="0073351A" w:rsidRDefault="004D0B8A" w:rsidP="006E306E">
            <w:pPr>
              <w:pStyle w:val="TableText0"/>
              <w:spacing w:before="11" w:after="11"/>
              <w:rPr>
                <w:b/>
                <w:color w:val="FFFFFF" w:themeColor="background1"/>
              </w:rPr>
            </w:pPr>
          </w:p>
        </w:tc>
        <w:tc>
          <w:tcPr>
            <w:tcW w:w="2122" w:type="pct"/>
          </w:tcPr>
          <w:p w14:paraId="38159436"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rPr>
                <w:b/>
              </w:rPr>
            </w:pPr>
            <w:r w:rsidRPr="0073351A">
              <w:rPr>
                <w:b/>
              </w:rPr>
              <w:t>Tumour NGS vs germline NGS</w:t>
            </w:r>
          </w:p>
        </w:tc>
        <w:tc>
          <w:tcPr>
            <w:tcW w:w="1780" w:type="pct"/>
          </w:tcPr>
          <w:p w14:paraId="2EE3BA7A"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D0B8A" w:rsidRPr="0073351A" w14:paraId="7CB6610D"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4B4E1D69" w14:textId="77777777" w:rsidR="004D0B8A" w:rsidRPr="0073351A" w:rsidRDefault="004D0B8A" w:rsidP="006E306E">
            <w:pPr>
              <w:pStyle w:val="TableText0"/>
              <w:spacing w:before="11" w:after="11"/>
            </w:pPr>
            <w:r w:rsidRPr="0073351A">
              <w:t>Chao et al 2016</w:t>
            </w:r>
          </w:p>
        </w:tc>
        <w:tc>
          <w:tcPr>
            <w:tcW w:w="2122" w:type="pct"/>
          </w:tcPr>
          <w:p w14:paraId="0ECB2C79"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7/12 (58.3%) positive concordance</w:t>
            </w:r>
          </w:p>
        </w:tc>
        <w:tc>
          <w:tcPr>
            <w:tcW w:w="1780" w:type="pct"/>
          </w:tcPr>
          <w:p w14:paraId="2375E3F1"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7/7 (100%) positive concordance</w:t>
            </w:r>
          </w:p>
        </w:tc>
      </w:tr>
      <w:tr w:rsidR="004D0B8A" w:rsidRPr="0073351A" w14:paraId="1E7D0C36"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7BB61B04" w14:textId="77777777" w:rsidR="004D0B8A" w:rsidRPr="0073351A" w:rsidRDefault="004D0B8A" w:rsidP="006E306E">
            <w:pPr>
              <w:pStyle w:val="TableText0"/>
              <w:spacing w:before="11" w:after="11"/>
            </w:pPr>
            <w:r w:rsidRPr="0073351A">
              <w:t>de Jonge et al 2018</w:t>
            </w:r>
          </w:p>
        </w:tc>
        <w:tc>
          <w:tcPr>
            <w:tcW w:w="2122" w:type="pct"/>
          </w:tcPr>
          <w:p w14:paraId="14376CDB"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49/54 (90.7%) overall concordance</w:t>
            </w:r>
          </w:p>
          <w:p w14:paraId="2D57BF8A"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6/11 (54.5%) positive concordance</w:t>
            </w:r>
          </w:p>
          <w:p w14:paraId="1A5BCA88"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43/48 (89.6%) negative concordance</w:t>
            </w:r>
          </w:p>
        </w:tc>
        <w:tc>
          <w:tcPr>
            <w:tcW w:w="1780" w:type="pct"/>
          </w:tcPr>
          <w:p w14:paraId="4E757C20"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49/49 (100%) overall concordance</w:t>
            </w:r>
          </w:p>
          <w:p w14:paraId="0C27C4B9"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6/6 (100%) positive concordance</w:t>
            </w:r>
          </w:p>
          <w:p w14:paraId="6CB2B2AA"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43/43 (100%) negative concordance</w:t>
            </w:r>
          </w:p>
        </w:tc>
      </w:tr>
      <w:tr w:rsidR="004D0B8A" w:rsidRPr="0073351A" w14:paraId="66B2BE11"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3E4A2F30" w14:textId="77777777" w:rsidR="004D0B8A" w:rsidRPr="0073351A" w:rsidRDefault="004D0B8A" w:rsidP="006E306E">
            <w:pPr>
              <w:pStyle w:val="TableText0"/>
              <w:spacing w:before="11" w:after="11"/>
            </w:pPr>
            <w:r w:rsidRPr="0073351A">
              <w:t>Enyedi et al 2016</w:t>
            </w:r>
          </w:p>
        </w:tc>
        <w:tc>
          <w:tcPr>
            <w:tcW w:w="2122" w:type="pct"/>
          </w:tcPr>
          <w:p w14:paraId="3F01076C"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9/10 (90%) overall concordance</w:t>
            </w:r>
          </w:p>
          <w:p w14:paraId="2586A2E9"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3/4 (75%) positive concordance</w:t>
            </w:r>
          </w:p>
          <w:p w14:paraId="392494F8"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6/7 (85.7%) negative concordance</w:t>
            </w:r>
          </w:p>
        </w:tc>
        <w:tc>
          <w:tcPr>
            <w:tcW w:w="1780" w:type="pct"/>
          </w:tcPr>
          <w:p w14:paraId="4B73BD2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9/9 (100%) overall concordance</w:t>
            </w:r>
          </w:p>
          <w:p w14:paraId="322C001F"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3/3 (100%) positive concordance</w:t>
            </w:r>
          </w:p>
          <w:p w14:paraId="5D0D6A4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6/6 (100%) negative concordance</w:t>
            </w:r>
          </w:p>
        </w:tc>
      </w:tr>
      <w:tr w:rsidR="004D0B8A" w:rsidRPr="0073351A" w14:paraId="4AD6CFD3"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72328CAE" w14:textId="77777777" w:rsidR="004D0B8A" w:rsidRPr="0073351A" w:rsidRDefault="004D0B8A" w:rsidP="006E306E">
            <w:pPr>
              <w:pStyle w:val="TableText0"/>
              <w:spacing w:before="11" w:after="11"/>
            </w:pPr>
            <w:r w:rsidRPr="0073351A">
              <w:t>Mafficini et al 2016</w:t>
            </w:r>
          </w:p>
        </w:tc>
        <w:tc>
          <w:tcPr>
            <w:tcW w:w="2122" w:type="pct"/>
          </w:tcPr>
          <w:p w14:paraId="184BEEBE"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10/13 (76.9%) positive concordance</w:t>
            </w:r>
          </w:p>
        </w:tc>
        <w:tc>
          <w:tcPr>
            <w:tcW w:w="1780" w:type="pct"/>
          </w:tcPr>
          <w:p w14:paraId="3412A87F"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10/10 (100%) positive concordance</w:t>
            </w:r>
          </w:p>
        </w:tc>
      </w:tr>
      <w:tr w:rsidR="004D0B8A" w:rsidRPr="0073351A" w14:paraId="3BE39336"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2DEFBAA1" w14:textId="77777777" w:rsidR="004D0B8A" w:rsidRPr="0073351A" w:rsidRDefault="004D0B8A" w:rsidP="006E306E">
            <w:pPr>
              <w:pStyle w:val="TableText0"/>
              <w:spacing w:before="11" w:after="11"/>
            </w:pPr>
            <w:r w:rsidRPr="0073351A">
              <w:t>Pennington et al 2014</w:t>
            </w:r>
          </w:p>
        </w:tc>
        <w:tc>
          <w:tcPr>
            <w:tcW w:w="2122" w:type="pct"/>
          </w:tcPr>
          <w:p w14:paraId="60D77852"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286/306 (93.5%) overall concordance</w:t>
            </w:r>
          </w:p>
          <w:p w14:paraId="452FC6B8"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63/83 (75.9%) positive concordance</w:t>
            </w:r>
          </w:p>
          <w:p w14:paraId="54E74E0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223/243 (91.8%) negative concordance</w:t>
            </w:r>
          </w:p>
        </w:tc>
        <w:tc>
          <w:tcPr>
            <w:tcW w:w="1780" w:type="pct"/>
          </w:tcPr>
          <w:p w14:paraId="48A8F31A" w14:textId="77777777" w:rsidR="004D0B8A" w:rsidRPr="0073351A" w:rsidRDefault="004D0B8A" w:rsidP="006E306E">
            <w:pPr>
              <w:pStyle w:val="TableNumber"/>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73351A">
              <w:t>286/286 (100%) overall concordance</w:t>
            </w:r>
          </w:p>
          <w:p w14:paraId="14830BC2" w14:textId="77777777" w:rsidR="004D0B8A" w:rsidRPr="0073351A" w:rsidRDefault="004D0B8A" w:rsidP="006E306E">
            <w:pPr>
              <w:pStyle w:val="TableNumber"/>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73351A">
              <w:t>63/63 (100%) positive concordance</w:t>
            </w:r>
          </w:p>
          <w:p w14:paraId="0266C6C1"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223/223 (100%) negative concordance</w:t>
            </w:r>
          </w:p>
        </w:tc>
      </w:tr>
      <w:tr w:rsidR="004D0B8A" w:rsidRPr="0073351A" w14:paraId="5736FAA5"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249341D5" w14:textId="77777777" w:rsidR="004D0B8A" w:rsidRPr="0073351A" w:rsidRDefault="004D0B8A" w:rsidP="006E306E">
            <w:pPr>
              <w:pStyle w:val="TableText0"/>
              <w:spacing w:before="11" w:after="11"/>
            </w:pPr>
            <w:r w:rsidRPr="0073351A">
              <w:t>Zhao et al 2017</w:t>
            </w:r>
          </w:p>
        </w:tc>
        <w:tc>
          <w:tcPr>
            <w:tcW w:w="2122" w:type="pct"/>
          </w:tcPr>
          <w:p w14:paraId="4051503C"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48/50 (96%) overall concordance</w:t>
            </w:r>
          </w:p>
          <w:p w14:paraId="0A7FEF0F"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12/14 (85.7%) positive concordance</w:t>
            </w:r>
          </w:p>
          <w:p w14:paraId="6902BD1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36/38 (94.7%) negative concordance</w:t>
            </w:r>
          </w:p>
        </w:tc>
        <w:tc>
          <w:tcPr>
            <w:tcW w:w="1780" w:type="pct"/>
          </w:tcPr>
          <w:p w14:paraId="291CB608" w14:textId="77777777" w:rsidR="004D0B8A" w:rsidRPr="0073351A" w:rsidRDefault="004D0B8A" w:rsidP="006E306E">
            <w:pPr>
              <w:pStyle w:val="TableNumber"/>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73351A">
              <w:t>48/48 (100%) overall concordance</w:t>
            </w:r>
          </w:p>
          <w:p w14:paraId="4D801DDB" w14:textId="77777777" w:rsidR="004D0B8A" w:rsidRPr="0073351A" w:rsidRDefault="004D0B8A" w:rsidP="006E306E">
            <w:pPr>
              <w:pStyle w:val="TableNumber"/>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73351A">
              <w:t>12/12 (100%) positive concordance</w:t>
            </w:r>
          </w:p>
          <w:p w14:paraId="4706494D"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36/36 (100%) negative concordance</w:t>
            </w:r>
          </w:p>
        </w:tc>
      </w:tr>
      <w:tr w:rsidR="004D0B8A" w:rsidRPr="0073351A" w14:paraId="175F2A34"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733A6674" w14:textId="77777777" w:rsidR="004D0B8A" w:rsidRPr="0073351A" w:rsidRDefault="004D0B8A" w:rsidP="006E306E">
            <w:pPr>
              <w:pStyle w:val="TableText0"/>
              <w:keepNext/>
              <w:spacing w:before="11" w:after="11" w:line="257" w:lineRule="auto"/>
              <w:rPr>
                <w:b/>
                <w:color w:val="FFFFFF" w:themeColor="background1"/>
              </w:rPr>
            </w:pPr>
          </w:p>
        </w:tc>
        <w:tc>
          <w:tcPr>
            <w:tcW w:w="2122" w:type="pct"/>
          </w:tcPr>
          <w:p w14:paraId="22795A2B"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rPr>
            </w:pPr>
            <w:r w:rsidRPr="0073351A">
              <w:rPr>
                <w:b/>
              </w:rPr>
              <w:t>Tumour NGS vs germline Sanger sequencing</w:t>
            </w:r>
          </w:p>
        </w:tc>
        <w:tc>
          <w:tcPr>
            <w:tcW w:w="1780" w:type="pct"/>
          </w:tcPr>
          <w:p w14:paraId="2484D7FF"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D0B8A" w:rsidRPr="0073351A" w14:paraId="2B16961A"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38E2DB31" w14:textId="77777777" w:rsidR="004D0B8A" w:rsidRPr="0073351A" w:rsidRDefault="004D0B8A" w:rsidP="006E306E">
            <w:pPr>
              <w:pStyle w:val="TableText0"/>
              <w:spacing w:before="11" w:after="11"/>
            </w:pPr>
            <w:r w:rsidRPr="0073351A">
              <w:t>Koczkowska et al 2016</w:t>
            </w:r>
          </w:p>
        </w:tc>
        <w:tc>
          <w:tcPr>
            <w:tcW w:w="2122" w:type="pct"/>
          </w:tcPr>
          <w:p w14:paraId="71FFB98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18/22 (81.8%) positive concordance</w:t>
            </w:r>
          </w:p>
        </w:tc>
        <w:tc>
          <w:tcPr>
            <w:tcW w:w="1780" w:type="pct"/>
          </w:tcPr>
          <w:p w14:paraId="7A7D1188"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18/18 (100%) positive concordance</w:t>
            </w:r>
          </w:p>
        </w:tc>
      </w:tr>
      <w:tr w:rsidR="004D0B8A" w:rsidRPr="0073351A" w14:paraId="3CBFF129"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1C893B7D" w14:textId="77777777" w:rsidR="004D0B8A" w:rsidRPr="0073351A" w:rsidRDefault="004D0B8A" w:rsidP="006E306E">
            <w:pPr>
              <w:pStyle w:val="TableText0"/>
              <w:keepNext/>
              <w:spacing w:before="11" w:after="11" w:line="257" w:lineRule="auto"/>
              <w:rPr>
                <w:b/>
                <w:color w:val="FFFFFF" w:themeColor="background1"/>
              </w:rPr>
            </w:pPr>
          </w:p>
        </w:tc>
        <w:tc>
          <w:tcPr>
            <w:tcW w:w="2122" w:type="pct"/>
          </w:tcPr>
          <w:p w14:paraId="57BBEE4B"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rPr>
            </w:pPr>
            <w:r w:rsidRPr="0073351A">
              <w:rPr>
                <w:b/>
              </w:rPr>
              <w:t>Tumour NGS vs germline Myriad</w:t>
            </w:r>
          </w:p>
        </w:tc>
        <w:tc>
          <w:tcPr>
            <w:tcW w:w="1780" w:type="pct"/>
          </w:tcPr>
          <w:p w14:paraId="5FB1A2D0"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D0B8A" w:rsidRPr="0073351A" w14:paraId="57238550"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2A938571" w14:textId="77777777" w:rsidR="004D0B8A" w:rsidRPr="0073351A" w:rsidRDefault="004D0B8A" w:rsidP="006E306E">
            <w:pPr>
              <w:pStyle w:val="TableText0"/>
              <w:spacing w:before="11" w:after="11"/>
            </w:pPr>
            <w:r w:rsidRPr="0073351A">
              <w:t>AstraZeneca 2018</w:t>
            </w:r>
          </w:p>
        </w:tc>
        <w:tc>
          <w:tcPr>
            <w:tcW w:w="2122" w:type="pct"/>
          </w:tcPr>
          <w:p w14:paraId="787307D4"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323/341 (94.7%) positive concordance</w:t>
            </w:r>
          </w:p>
        </w:tc>
        <w:tc>
          <w:tcPr>
            <w:tcW w:w="1780" w:type="pct"/>
          </w:tcPr>
          <w:p w14:paraId="700050AA"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323/323 (100%) positive concordance</w:t>
            </w:r>
          </w:p>
        </w:tc>
      </w:tr>
      <w:tr w:rsidR="004D0B8A" w:rsidRPr="0073351A" w14:paraId="25B64782"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08BE3C23" w14:textId="77777777" w:rsidR="004D0B8A" w:rsidRPr="0073351A" w:rsidRDefault="004D0B8A" w:rsidP="006E306E">
            <w:pPr>
              <w:pStyle w:val="TableText0"/>
              <w:spacing w:before="11" w:after="11" w:line="257" w:lineRule="auto"/>
            </w:pPr>
            <w:r w:rsidRPr="0073351A">
              <w:t>Dougherty et al 2017</w:t>
            </w:r>
          </w:p>
        </w:tc>
        <w:tc>
          <w:tcPr>
            <w:tcW w:w="2122" w:type="pct"/>
          </w:tcPr>
          <w:p w14:paraId="0515B7AD" w14:textId="77777777" w:rsidR="004D0B8A" w:rsidRPr="0073351A" w:rsidRDefault="004D0B8A" w:rsidP="006E306E">
            <w:pPr>
              <w:pStyle w:val="TableNumber"/>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pPr>
            <w:r w:rsidRPr="0073351A">
              <w:t>137/154 (89.0%) overall concordance</w:t>
            </w:r>
          </w:p>
          <w:p w14:paraId="2D341ABA" w14:textId="77777777" w:rsidR="004D0B8A" w:rsidRPr="0073351A" w:rsidRDefault="004D0B8A" w:rsidP="006E306E">
            <w:pPr>
              <w:pStyle w:val="TableNumber"/>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pPr>
            <w:r w:rsidRPr="0073351A">
              <w:t>71/74 (95.9%) positive concordance</w:t>
            </w:r>
          </w:p>
          <w:p w14:paraId="42F211DC" w14:textId="77777777" w:rsidR="004D0B8A" w:rsidRPr="0073351A" w:rsidRDefault="004D0B8A" w:rsidP="006E306E">
            <w:pPr>
              <w:pStyle w:val="TableNumber"/>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pPr>
            <w:r w:rsidRPr="0073351A">
              <w:t>66/80 (82.5%) negative concordance</w:t>
            </w:r>
          </w:p>
        </w:tc>
        <w:tc>
          <w:tcPr>
            <w:tcW w:w="1780" w:type="pct"/>
          </w:tcPr>
          <w:p w14:paraId="5BA3F8EA" w14:textId="77777777" w:rsidR="004D0B8A" w:rsidRPr="0073351A" w:rsidRDefault="004D0B8A" w:rsidP="006E306E">
            <w:pPr>
              <w:pStyle w:val="TableNumber"/>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pPr>
            <w:r w:rsidRPr="0073351A">
              <w:t>71/74 (95.9%) positive concordance</w:t>
            </w:r>
          </w:p>
          <w:p w14:paraId="3C911A9A" w14:textId="77777777" w:rsidR="004D0B8A" w:rsidRPr="0073351A" w:rsidRDefault="004D0B8A" w:rsidP="006E306E">
            <w:pPr>
              <w:pStyle w:val="TableNumber"/>
              <w:tabs>
                <w:tab w:val="clear" w:pos="396"/>
              </w:tabs>
              <w:spacing w:before="22" w:after="22" w:line="257" w:lineRule="auto"/>
              <w:jc w:val="left"/>
              <w:cnfStyle w:val="000000000000" w:firstRow="0" w:lastRow="0" w:firstColumn="0" w:lastColumn="0" w:oddVBand="0" w:evenVBand="0" w:oddHBand="0" w:evenHBand="0" w:firstRowFirstColumn="0" w:firstRowLastColumn="0" w:lastRowFirstColumn="0" w:lastRowLastColumn="0"/>
            </w:pPr>
            <w:r w:rsidRPr="0073351A">
              <w:t>3 discordant results due to large insertions or deletions no</w:t>
            </w:r>
            <w:r>
              <w:t>t</w:t>
            </w:r>
            <w:r w:rsidRPr="0073351A">
              <w:t xml:space="preserve"> detectable by the NGS used nor by Sanger sequencing</w:t>
            </w:r>
          </w:p>
        </w:tc>
      </w:tr>
      <w:tr w:rsidR="004D0B8A" w:rsidRPr="0073351A" w14:paraId="1CD1CD3E"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5CE21D97" w14:textId="77777777" w:rsidR="004D0B8A" w:rsidRPr="0073351A" w:rsidRDefault="004D0B8A" w:rsidP="006E306E">
            <w:pPr>
              <w:pStyle w:val="TableText0"/>
              <w:keepNext/>
              <w:spacing w:before="11" w:after="11" w:line="257" w:lineRule="auto"/>
              <w:rPr>
                <w:b/>
                <w:color w:val="FFFFFF" w:themeColor="background1"/>
              </w:rPr>
            </w:pPr>
          </w:p>
        </w:tc>
        <w:tc>
          <w:tcPr>
            <w:tcW w:w="2122" w:type="pct"/>
          </w:tcPr>
          <w:p w14:paraId="6996221D"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rPr>
            </w:pPr>
            <w:r w:rsidRPr="0073351A">
              <w:rPr>
                <w:b/>
              </w:rPr>
              <w:t>Tumour Myriad vs germline Myriad</w:t>
            </w:r>
          </w:p>
        </w:tc>
        <w:tc>
          <w:tcPr>
            <w:tcW w:w="1780" w:type="pct"/>
          </w:tcPr>
          <w:p w14:paraId="3FA7A0D4" w14:textId="77777777" w:rsidR="004D0B8A" w:rsidRPr="0073351A" w:rsidRDefault="004D0B8A" w:rsidP="006E306E">
            <w:pPr>
              <w:pStyle w:val="TableNumber"/>
              <w:keepNext/>
              <w:tabs>
                <w:tab w:val="clear" w:pos="396"/>
              </w:tabs>
              <w:spacing w:before="22" w:after="22" w:line="257"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D0B8A" w:rsidRPr="0073351A" w14:paraId="54DCC356" w14:textId="77777777" w:rsidTr="00296C25">
        <w:tc>
          <w:tcPr>
            <w:cnfStyle w:val="001000000000" w:firstRow="0" w:lastRow="0" w:firstColumn="1" w:lastColumn="0" w:oddVBand="0" w:evenVBand="0" w:oddHBand="0" w:evenHBand="0" w:firstRowFirstColumn="0" w:firstRowLastColumn="0" w:lastRowFirstColumn="0" w:lastRowLastColumn="0"/>
            <w:tcW w:w="1098" w:type="pct"/>
          </w:tcPr>
          <w:p w14:paraId="37BB9067" w14:textId="77777777" w:rsidR="004D0B8A" w:rsidRPr="0073351A" w:rsidRDefault="004D0B8A" w:rsidP="006E306E">
            <w:pPr>
              <w:pStyle w:val="TableText0"/>
              <w:spacing w:before="11" w:after="11"/>
            </w:pPr>
            <w:r w:rsidRPr="0073351A">
              <w:t>Hennessy et al 2010</w:t>
            </w:r>
          </w:p>
        </w:tc>
        <w:tc>
          <w:tcPr>
            <w:tcW w:w="2122" w:type="pct"/>
          </w:tcPr>
          <w:p w14:paraId="319F80D5"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17/28 (60.7%) positive concordance</w:t>
            </w:r>
          </w:p>
        </w:tc>
        <w:tc>
          <w:tcPr>
            <w:tcW w:w="1780" w:type="pct"/>
          </w:tcPr>
          <w:p w14:paraId="4F1E34CF" w14:textId="77777777" w:rsidR="004D0B8A" w:rsidRPr="0073351A" w:rsidRDefault="004D0B8A" w:rsidP="006E306E">
            <w:pPr>
              <w:pStyle w:val="TableNumber"/>
              <w:tabs>
                <w:tab w:val="clear" w:pos="396"/>
              </w:tabs>
              <w:spacing w:before="22" w:after="22"/>
              <w:cnfStyle w:val="000000000000" w:firstRow="0" w:lastRow="0" w:firstColumn="0" w:lastColumn="0" w:oddVBand="0" w:evenVBand="0" w:oddHBand="0" w:evenHBand="0" w:firstRowFirstColumn="0" w:firstRowLastColumn="0" w:lastRowFirstColumn="0" w:lastRowLastColumn="0"/>
            </w:pPr>
            <w:r w:rsidRPr="0073351A">
              <w:t>-</w:t>
            </w:r>
          </w:p>
        </w:tc>
      </w:tr>
    </w:tbl>
    <w:p w14:paraId="343EA7CA" w14:textId="77777777" w:rsidR="004D0B8A" w:rsidRPr="0073351A" w:rsidRDefault="004D0B8A" w:rsidP="004D0B8A">
      <w:pPr>
        <w:pStyle w:val="TableFooter"/>
      </w:pPr>
      <w:r w:rsidRPr="00044858">
        <w:rPr>
          <w:i/>
        </w:rPr>
        <w:t>BRCA</w:t>
      </w:r>
      <w:r w:rsidRPr="0073351A">
        <w:t xml:space="preserve"> = breast cancer gene 1 and 2; EOC = epithelial ovarian, fallopian tube or primary peritoneal cancer; HGSOC = high-grade serous ovarian, fallopian tube or primary peritoneal cancer; NGS = next generation sequencing; SOC = serous ovarian, fallopian tube or primary peritoneal cancer</w:t>
      </w:r>
    </w:p>
    <w:p w14:paraId="62B7B949" w14:textId="77777777" w:rsidR="004D0B8A" w:rsidRPr="0073351A" w:rsidRDefault="004D0B8A" w:rsidP="004D0B8A">
      <w:pPr>
        <w:pStyle w:val="TableFooter"/>
      </w:pPr>
      <w:r w:rsidRPr="0073351A">
        <w:t>Source: Constructed during the evaluation.</w:t>
      </w:r>
    </w:p>
    <w:p w14:paraId="3D4C1B9B" w14:textId="77777777" w:rsidR="004D0B8A" w:rsidRPr="00497A33" w:rsidRDefault="004D0B8A" w:rsidP="004D0B8A">
      <w:pPr>
        <w:pStyle w:val="Heading4"/>
        <w:spacing w:before="240"/>
        <w:rPr>
          <w:rFonts w:ascii="Times New Roman" w:hAnsi="Times New Roman"/>
          <w:iCs w:val="0"/>
          <w:color w:val="auto"/>
          <w:szCs w:val="26"/>
        </w:rPr>
      </w:pPr>
      <w:r w:rsidRPr="00497A33">
        <w:rPr>
          <w:rFonts w:ascii="Times New Roman" w:hAnsi="Times New Roman"/>
          <w:iCs w:val="0"/>
          <w:color w:val="auto"/>
          <w:szCs w:val="26"/>
        </w:rPr>
        <w:t>Prevalence</w:t>
      </w:r>
    </w:p>
    <w:p w14:paraId="2BCBED57" w14:textId="77777777" w:rsidR="004D0B8A" w:rsidRDefault="004D0B8A" w:rsidP="004D0B8A">
      <w:r w:rsidRPr="007475E2">
        <w:t xml:space="preserve">As NGS is a highly accurate methodology, the diagnostic yield of the tumour NGS </w:t>
      </w:r>
      <w:r w:rsidRPr="007475E2">
        <w:rPr>
          <w:i/>
        </w:rPr>
        <w:t>BRCA</w:t>
      </w:r>
      <w:r w:rsidRPr="007475E2">
        <w:t xml:space="preserve"> test is likely to be equivalent to the prevalence of germline plus somatic variants in HGSOC</w:t>
      </w:r>
      <w:r>
        <w:t>. A somatic</w:t>
      </w:r>
      <w:r w:rsidRPr="007475E2">
        <w:t xml:space="preserve"> </w:t>
      </w:r>
      <w:r w:rsidRPr="007475E2">
        <w:rPr>
          <w:i/>
        </w:rPr>
        <w:t>BRCA</w:t>
      </w:r>
      <w:r w:rsidRPr="007475E2">
        <w:t xml:space="preserve">m </w:t>
      </w:r>
      <w:r>
        <w:t>was</w:t>
      </w:r>
      <w:r w:rsidRPr="007475E2">
        <w:t xml:space="preserve"> identified in 20.4−27.7% of patients with HGSOC in </w:t>
      </w:r>
      <w:r>
        <w:t>four</w:t>
      </w:r>
      <w:r w:rsidRPr="007475E2">
        <w:t xml:space="preserve"> included accuracy studies.</w:t>
      </w:r>
    </w:p>
    <w:p w14:paraId="495CE8E3" w14:textId="77777777" w:rsidR="004D0B8A" w:rsidRPr="00497A33" w:rsidRDefault="004D0B8A" w:rsidP="004D0B8A">
      <w:pPr>
        <w:pStyle w:val="Heading4"/>
        <w:spacing w:before="240"/>
        <w:rPr>
          <w:rFonts w:ascii="Times New Roman" w:hAnsi="Times New Roman"/>
          <w:iCs w:val="0"/>
          <w:color w:val="auto"/>
          <w:szCs w:val="26"/>
        </w:rPr>
      </w:pPr>
      <w:r w:rsidRPr="00497A33">
        <w:rPr>
          <w:rFonts w:ascii="Times New Roman" w:hAnsi="Times New Roman"/>
          <w:iCs w:val="0"/>
          <w:color w:val="auto"/>
          <w:szCs w:val="26"/>
        </w:rPr>
        <w:t>Change in management in practice</w:t>
      </w:r>
    </w:p>
    <w:p w14:paraId="3B7AF6EB" w14:textId="78AE002F" w:rsidR="004D0B8A" w:rsidRPr="007475E2" w:rsidRDefault="004D0B8A" w:rsidP="002E6BB0">
      <w:pPr>
        <w:spacing w:after="240"/>
      </w:pPr>
      <w:r w:rsidRPr="007475E2">
        <w:t xml:space="preserve">The submission provided no </w:t>
      </w:r>
      <w:r>
        <w:t xml:space="preserve">direct </w:t>
      </w:r>
      <w:r w:rsidRPr="007475E2">
        <w:t xml:space="preserve">evidence to determine whether the tumour </w:t>
      </w:r>
      <w:r w:rsidRPr="007475E2">
        <w:rPr>
          <w:i/>
        </w:rPr>
        <w:t>BRCA</w:t>
      </w:r>
      <w:r w:rsidRPr="007475E2">
        <w:t xml:space="preserve"> test results guides changes in treatment dec</w:t>
      </w:r>
      <w:r>
        <w:t>isions in the clinical setting.</w:t>
      </w:r>
    </w:p>
    <w:p w14:paraId="775F74E7" w14:textId="77777777" w:rsidR="004D0B8A" w:rsidRPr="007475E2" w:rsidRDefault="004D0B8A" w:rsidP="004D0B8A">
      <w:r w:rsidRPr="007475E2">
        <w:t>However, given that olaparib is a new treatment in the first-</w:t>
      </w:r>
      <w:r w:rsidR="00AB4403">
        <w:t xml:space="preserve">line setting, and germline </w:t>
      </w:r>
      <w:r w:rsidR="00AB4403" w:rsidRPr="00AB4403">
        <w:rPr>
          <w:i/>
        </w:rPr>
        <w:t>BRCA</w:t>
      </w:r>
      <w:r w:rsidRPr="007475E2">
        <w:t xml:space="preserve"> testing is already available, clinicians are very likely to use the test result to guide the use of olaparib maintenance therapy after response to first-line platinum-based chemotherapy as there are no other treatments available.</w:t>
      </w:r>
    </w:p>
    <w:p w14:paraId="2414B276" w14:textId="77777777" w:rsidR="004D0B8A" w:rsidRPr="00497A33" w:rsidRDefault="004D0B8A" w:rsidP="004D0B8A">
      <w:pPr>
        <w:pStyle w:val="Heading4"/>
        <w:spacing w:before="240"/>
        <w:rPr>
          <w:rFonts w:ascii="Times New Roman" w:hAnsi="Times New Roman"/>
          <w:iCs w:val="0"/>
          <w:color w:val="auto"/>
          <w:szCs w:val="26"/>
        </w:rPr>
      </w:pPr>
      <w:r w:rsidRPr="00497A33">
        <w:rPr>
          <w:rFonts w:ascii="Times New Roman" w:hAnsi="Times New Roman"/>
          <w:iCs w:val="0"/>
          <w:color w:val="auto"/>
          <w:szCs w:val="26"/>
        </w:rPr>
        <w:t>Clinical utility of the test in the second-line setting</w:t>
      </w:r>
    </w:p>
    <w:p w14:paraId="490F2C1D" w14:textId="77777777" w:rsidR="004D0B8A" w:rsidRDefault="004D0B8A" w:rsidP="004D0B8A">
      <w:r>
        <w:t>The Commentary stated that t</w:t>
      </w:r>
      <w:r w:rsidRPr="00A75368">
        <w:t xml:space="preserve">here is currently no evidence for the effectiveness of olaparib in the first-line setting in an unselected or </w:t>
      </w:r>
      <w:r w:rsidRPr="00A75368">
        <w:rPr>
          <w:i/>
        </w:rPr>
        <w:t>BRCA</w:t>
      </w:r>
      <w:r w:rsidRPr="00A75368">
        <w:t xml:space="preserve">wt population. However, as noted above, the predictive evidence for second-line treatment indicates that olaparib may confer some benefit (at least in terms of PFS) in </w:t>
      </w:r>
      <w:r w:rsidRPr="00A75368">
        <w:rPr>
          <w:i/>
        </w:rPr>
        <w:t>BRCA</w:t>
      </w:r>
      <w:r w:rsidRPr="00A75368">
        <w:t>wt patients in the second-line setting compared with no treatment</w:t>
      </w:r>
      <w:r>
        <w:t xml:space="preserve">. </w:t>
      </w:r>
      <w:r w:rsidRPr="00A75368">
        <w:t xml:space="preserve">There is still a treatment effect variation associated with </w:t>
      </w:r>
      <w:r w:rsidRPr="00A75368">
        <w:rPr>
          <w:i/>
        </w:rPr>
        <w:t>BRCA</w:t>
      </w:r>
      <w:r w:rsidRPr="00A75368">
        <w:t>m in the second-line setting. However</w:t>
      </w:r>
      <w:r w:rsidR="0093746D">
        <w:t>,</w:t>
      </w:r>
      <w:r w:rsidRPr="00A75368">
        <w:t xml:space="preserve"> the test may not be necessary as patients who respond to platinum-based chemotherapy, an eligibility criterion for second-line treatment, appear likely to respond to olaparib.</w:t>
      </w:r>
      <w:r>
        <w:rPr>
          <w:rFonts w:ascii="Arial" w:hAnsi="Arial" w:cs="Arial"/>
          <w:sz w:val="20"/>
        </w:rPr>
        <w:t xml:space="preserve"> </w:t>
      </w:r>
      <w:r w:rsidRPr="00A75368">
        <w:t xml:space="preserve">Regulatory agencies have removed reference to </w:t>
      </w:r>
      <w:r w:rsidRPr="00A75368">
        <w:rPr>
          <w:i/>
        </w:rPr>
        <w:t>BRCA</w:t>
      </w:r>
      <w:r w:rsidRPr="00A75368">
        <w:t xml:space="preserve">m in the indication for second-line olaparib in HGEOC, and the </w:t>
      </w:r>
      <w:r>
        <w:t>National Comprehensive Cancer Network (</w:t>
      </w:r>
      <w:r w:rsidRPr="00A75368">
        <w:t>NCCN</w:t>
      </w:r>
      <w:r>
        <w:t>)</w:t>
      </w:r>
      <w:r w:rsidRPr="00A75368">
        <w:t xml:space="preserve"> Ovarian Guidelines (2019) only require that patients are in response to platinum-based chemotherapy.</w:t>
      </w:r>
    </w:p>
    <w:p w14:paraId="661C26CE" w14:textId="77777777" w:rsidR="004D0B8A" w:rsidRPr="00497A33" w:rsidRDefault="004D0B8A" w:rsidP="004D0B8A">
      <w:pPr>
        <w:pStyle w:val="Heading4"/>
        <w:spacing w:before="240"/>
        <w:rPr>
          <w:rFonts w:ascii="Times New Roman" w:hAnsi="Times New Roman"/>
          <w:iCs w:val="0"/>
          <w:color w:val="auto"/>
          <w:szCs w:val="26"/>
        </w:rPr>
      </w:pPr>
      <w:r w:rsidRPr="00497A33">
        <w:rPr>
          <w:rFonts w:ascii="Times New Roman" w:hAnsi="Times New Roman"/>
          <w:iCs w:val="0"/>
          <w:color w:val="auto"/>
          <w:szCs w:val="26"/>
        </w:rPr>
        <w:t>Clinical effectiveness</w:t>
      </w:r>
    </w:p>
    <w:p w14:paraId="6109979B" w14:textId="77777777" w:rsidR="009824AB" w:rsidRPr="00BB70BA" w:rsidRDefault="004D0B8A" w:rsidP="00BB70BA">
      <w:pPr>
        <w:spacing w:after="240"/>
      </w:pPr>
      <w:r w:rsidRPr="007475E2">
        <w:t>The clinical effectiveness evidence was provided by the SOLO1 randomised trial. SOLO1 enrolled patients with g</w:t>
      </w:r>
      <w:r w:rsidRPr="00A75368">
        <w:rPr>
          <w:i/>
        </w:rPr>
        <w:t>BRCA</w:t>
      </w:r>
      <w:r w:rsidRPr="007475E2">
        <w:t>m advanced HGEOC who responded to first-line platinum-based chemotherapy (only two patients had s</w:t>
      </w:r>
      <w:r w:rsidRPr="007475E2">
        <w:rPr>
          <w:i/>
        </w:rPr>
        <w:t>BRCA</w:t>
      </w:r>
      <w:r w:rsidRPr="007475E2">
        <w:t xml:space="preserve">m). These patients were randomised to receive either </w:t>
      </w:r>
      <w:r w:rsidRPr="0073344C">
        <w:t>olaparib maintenance therapy or placebo for a period of 2 years or until progression.</w:t>
      </w:r>
    </w:p>
    <w:p w14:paraId="480A0F4B" w14:textId="77777777" w:rsidR="00F23AA4" w:rsidRDefault="00F23AA4" w:rsidP="00BB70BA">
      <w:pPr>
        <w:keepNext/>
        <w:tabs>
          <w:tab w:val="left" w:pos="720"/>
          <w:tab w:val="left" w:pos="1140"/>
        </w:tabs>
        <w:spacing w:after="120"/>
        <w:rPr>
          <w:b/>
          <w:szCs w:val="24"/>
        </w:rPr>
      </w:pPr>
      <w:r w:rsidRPr="00F37B9C">
        <w:rPr>
          <w:b/>
          <w:szCs w:val="24"/>
        </w:rPr>
        <w:t xml:space="preserve">Clinical </w:t>
      </w:r>
      <w:r w:rsidR="00D57A18" w:rsidRPr="00F37B9C">
        <w:rPr>
          <w:b/>
          <w:szCs w:val="24"/>
        </w:rPr>
        <w:t>c</w:t>
      </w:r>
      <w:r w:rsidRPr="00F37B9C">
        <w:rPr>
          <w:b/>
          <w:szCs w:val="24"/>
        </w:rPr>
        <w:t>laim</w:t>
      </w:r>
    </w:p>
    <w:p w14:paraId="44F97EFF" w14:textId="77777777" w:rsidR="009824AB" w:rsidRDefault="009824AB" w:rsidP="00F23AA4">
      <w:pPr>
        <w:tabs>
          <w:tab w:val="left" w:pos="720"/>
          <w:tab w:val="left" w:pos="1140"/>
        </w:tabs>
        <w:spacing w:after="240"/>
        <w:rPr>
          <w:b/>
          <w:szCs w:val="24"/>
        </w:rPr>
      </w:pPr>
      <w:r w:rsidRPr="00DC08B0">
        <w:t>The overall clinical claim provide</w:t>
      </w:r>
      <w:r>
        <w:t>d</w:t>
      </w:r>
      <w:r w:rsidRPr="00DC08B0">
        <w:t xml:space="preserve"> in the submission is that olaparib maintenance treatment following response to platinum-based chemotherapy in a patient </w:t>
      </w:r>
      <w:r>
        <w:t>with</w:t>
      </w:r>
      <w:r w:rsidRPr="00DC08B0">
        <w:t xml:space="preserve"> </w:t>
      </w:r>
      <w:r w:rsidRPr="00DE3011">
        <w:rPr>
          <w:i/>
        </w:rPr>
        <w:t>BRCA</w:t>
      </w:r>
      <w:r w:rsidRPr="00DC08B0">
        <w:t>m (germline or somatic) is superior in terms of efficacy, with a manageable safety and tolerability profile compared to placebo</w:t>
      </w:r>
      <w:r>
        <w:t>.</w:t>
      </w:r>
    </w:p>
    <w:p w14:paraId="3289D2CE" w14:textId="77777777" w:rsidR="00F23AA4" w:rsidRPr="00F715D1" w:rsidRDefault="00F23AA4" w:rsidP="00F23AA4">
      <w:pPr>
        <w:pStyle w:val="Heading1"/>
      </w:pPr>
      <w:r w:rsidRPr="00F715D1">
        <w:t>Economic evaluation</w:t>
      </w:r>
    </w:p>
    <w:p w14:paraId="7C32B5B5" w14:textId="172EC936" w:rsidR="002F218A" w:rsidRDefault="009824AB" w:rsidP="002F218A">
      <w:pPr>
        <w:pStyle w:val="MSACESParagraph"/>
      </w:pPr>
      <w:r>
        <w:t>The submission presented cost-effectiveness and cost-utility analyses, measuring outcomes in terms of life-years gained and quality-adjusted life years (QALYs) gained, respectively, consistent with the submission’s clinical claim of superior effectiveness and manageable (but inferior) safety. The economic evaluation involved a decision tree for the testing phase followed by partitioned survival analysis for the treatment phase. Outcomes were modelled for time horizon of 25 years (versus the 41 months median follow-up in the SOLO1 trial), and utility weights from SOLO1 and Havrilesky et al (2009)</w:t>
      </w:r>
      <w:r w:rsidDel="00FE3FB9">
        <w:t xml:space="preserve"> </w:t>
      </w:r>
      <w:r>
        <w:t>were</w:t>
      </w:r>
      <w:r w:rsidDel="00D42139">
        <w:t xml:space="preserve"> </w:t>
      </w:r>
      <w:r>
        <w:t>applied. The results from the two testing scenarios are provided in Table 7, which includes the Commentary’s re-specified model values.</w:t>
      </w:r>
      <w:r w:rsidR="002F218A">
        <w:br w:type="page"/>
      </w:r>
    </w:p>
    <w:p w14:paraId="12F1C006" w14:textId="77777777" w:rsidR="009824AB" w:rsidRPr="00296C25" w:rsidRDefault="009824AB" w:rsidP="00296C25">
      <w:pPr>
        <w:rPr>
          <w:rFonts w:ascii="Arial Narrow" w:hAnsi="Arial Narrow"/>
          <w:b/>
          <w:sz w:val="20"/>
        </w:rPr>
      </w:pPr>
      <w:r w:rsidRPr="00296C25">
        <w:rPr>
          <w:rFonts w:ascii="Arial Narrow" w:hAnsi="Arial Narrow"/>
          <w:b/>
          <w:sz w:val="20"/>
        </w:rPr>
        <w:t>Table 7</w:t>
      </w:r>
      <w:r w:rsidRPr="00296C25">
        <w:rPr>
          <w:rFonts w:ascii="Arial Narrow" w:hAnsi="Arial Narrow"/>
          <w:b/>
          <w:sz w:val="20"/>
        </w:rPr>
        <w:tab/>
        <w:t xml:space="preserve">ICERs and considerations of various BRCA testing and olaparib funding scenarios (from </w:t>
      </w:r>
      <w:r w:rsidR="00044858" w:rsidRPr="00296C25">
        <w:rPr>
          <w:rFonts w:ascii="Arial Narrow" w:hAnsi="Arial Narrow"/>
          <w:b/>
          <w:sz w:val="20"/>
        </w:rPr>
        <w:t xml:space="preserve">the </w:t>
      </w:r>
      <w:r w:rsidRPr="00296C25">
        <w:rPr>
          <w:rFonts w:ascii="Arial Narrow" w:hAnsi="Arial Narrow"/>
          <w:b/>
          <w:sz w:val="20"/>
        </w:rPr>
        <w:t>Commentary)</w:t>
      </w:r>
    </w:p>
    <w:tbl>
      <w:tblPr>
        <w:tblStyle w:val="PBACTableStyle"/>
        <w:tblW w:w="5000" w:type="pct"/>
        <w:tblLook w:val="04A0" w:firstRow="1" w:lastRow="0" w:firstColumn="1" w:lastColumn="0" w:noHBand="0" w:noVBand="1"/>
        <w:tblCaption w:val="Table 7 ICERs and considerations of various BRCAm testing and olaparib funding scenarios (from Commentary)"/>
      </w:tblPr>
      <w:tblGrid>
        <w:gridCol w:w="3540"/>
        <w:gridCol w:w="5476"/>
      </w:tblGrid>
      <w:tr w:rsidR="009824AB" w:rsidRPr="00962538" w14:paraId="45D24D89" w14:textId="77777777" w:rsidTr="006E306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63" w:type="pct"/>
            <w:vAlign w:val="bottom"/>
          </w:tcPr>
          <w:p w14:paraId="5F60620C" w14:textId="77777777" w:rsidR="009824AB" w:rsidRPr="00962538" w:rsidRDefault="009824AB" w:rsidP="006E306E">
            <w:pPr>
              <w:pStyle w:val="TableText0"/>
              <w:spacing w:before="11" w:after="11"/>
              <w:ind w:right="31"/>
            </w:pPr>
          </w:p>
        </w:tc>
        <w:tc>
          <w:tcPr>
            <w:tcW w:w="3037" w:type="pct"/>
            <w:vAlign w:val="bottom"/>
          </w:tcPr>
          <w:p w14:paraId="0F9E4539" w14:textId="77777777" w:rsidR="009824AB" w:rsidRPr="00962538" w:rsidRDefault="009824AB" w:rsidP="006E306E">
            <w:pPr>
              <w:pStyle w:val="TableText0"/>
              <w:spacing w:before="11" w:after="11"/>
              <w:ind w:right="31"/>
              <w:cnfStyle w:val="100000000000" w:firstRow="1" w:lastRow="0" w:firstColumn="0" w:lastColumn="0" w:oddVBand="0" w:evenVBand="0" w:oddHBand="0" w:evenHBand="0" w:firstRowFirstColumn="0" w:firstRowLastColumn="0" w:lastRowFirstColumn="0" w:lastRowLastColumn="0"/>
            </w:pPr>
            <w:r>
              <w:t>Proposed PBAC funded first-line maintenance olaparib</w:t>
            </w:r>
          </w:p>
        </w:tc>
      </w:tr>
      <w:tr w:rsidR="009824AB" w:rsidRPr="00E772FE" w14:paraId="30539B0F" w14:textId="77777777" w:rsidTr="006E306E">
        <w:trPr>
          <w:trHeight w:val="282"/>
        </w:trPr>
        <w:tc>
          <w:tcPr>
            <w:cnfStyle w:val="001000000000" w:firstRow="0" w:lastRow="0" w:firstColumn="1" w:lastColumn="0" w:oddVBand="0" w:evenVBand="0" w:oddHBand="0" w:evenHBand="0" w:firstRowFirstColumn="0" w:firstRowLastColumn="0" w:lastRowFirstColumn="0" w:lastRowLastColumn="0"/>
            <w:tcW w:w="1963" w:type="pct"/>
          </w:tcPr>
          <w:p w14:paraId="2FF55298" w14:textId="77777777" w:rsidR="009824AB" w:rsidRPr="00E772FE" w:rsidRDefault="009824AB" w:rsidP="006E306E">
            <w:pPr>
              <w:pStyle w:val="TableText0"/>
              <w:spacing w:before="11" w:after="11"/>
              <w:rPr>
                <w:color w:val="auto"/>
              </w:rPr>
            </w:pPr>
            <w:r w:rsidRPr="00E772FE">
              <w:rPr>
                <w:color w:val="auto"/>
              </w:rPr>
              <w:t>No MSAC funded test</w:t>
            </w:r>
          </w:p>
        </w:tc>
        <w:tc>
          <w:tcPr>
            <w:tcW w:w="3037" w:type="pct"/>
          </w:tcPr>
          <w:p w14:paraId="716E522E" w14:textId="77777777"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color w:val="auto"/>
              </w:rPr>
            </w:pPr>
            <w:r w:rsidRPr="00E772FE">
              <w:rPr>
                <w:color w:val="auto"/>
              </w:rPr>
              <w:t>Not modelled and inadequate clinical</w:t>
            </w:r>
            <w:r>
              <w:rPr>
                <w:color w:val="auto"/>
              </w:rPr>
              <w:t xml:space="preserve"> evidence available to estimate</w:t>
            </w:r>
          </w:p>
        </w:tc>
      </w:tr>
      <w:tr w:rsidR="009824AB" w:rsidRPr="00E772FE" w14:paraId="77BE0809" w14:textId="77777777" w:rsidTr="002F218A">
        <w:trPr>
          <w:trHeight w:val="648"/>
        </w:trPr>
        <w:tc>
          <w:tcPr>
            <w:cnfStyle w:val="001000000000" w:firstRow="0" w:lastRow="0" w:firstColumn="1" w:lastColumn="0" w:oddVBand="0" w:evenVBand="0" w:oddHBand="0" w:evenHBand="0" w:firstRowFirstColumn="0" w:firstRowLastColumn="0" w:lastRowFirstColumn="0" w:lastRowLastColumn="0"/>
            <w:tcW w:w="1963" w:type="pct"/>
            <w:tcBorders>
              <w:bottom w:val="single" w:sz="4" w:space="0" w:color="auto"/>
            </w:tcBorders>
          </w:tcPr>
          <w:p w14:paraId="12705B1B" w14:textId="77777777" w:rsidR="009824AB" w:rsidRPr="00E772FE" w:rsidRDefault="009824AB" w:rsidP="006E306E">
            <w:pPr>
              <w:pStyle w:val="TableText0"/>
              <w:spacing w:before="11" w:after="11"/>
              <w:rPr>
                <w:color w:val="auto"/>
              </w:rPr>
            </w:pPr>
            <w:r w:rsidRPr="00E772FE">
              <w:rPr>
                <w:color w:val="auto"/>
              </w:rPr>
              <w:t>MSAC funded test: Restricted to germline mutation testing only</w:t>
            </w:r>
          </w:p>
        </w:tc>
        <w:tc>
          <w:tcPr>
            <w:tcW w:w="3037" w:type="pct"/>
            <w:tcBorders>
              <w:bottom w:val="single" w:sz="4" w:space="0" w:color="auto"/>
            </w:tcBorders>
          </w:tcPr>
          <w:p w14:paraId="7B63C750" w14:textId="2D1C2C63"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color w:val="auto"/>
              </w:rPr>
            </w:pPr>
            <w:r w:rsidRPr="00E772FE">
              <w:rPr>
                <w:color w:val="auto"/>
              </w:rPr>
              <w:t>S</w:t>
            </w:r>
            <w:r w:rsidR="002E545C">
              <w:rPr>
                <w:color w:val="auto"/>
              </w:rPr>
              <w:t>ubmission estimated ICER: $</w:t>
            </w:r>
            <w:r w:rsidR="00DC792F" w:rsidRPr="00182024">
              <w:rPr>
                <w:b/>
              </w:rPr>
              <w:t>redacted</w:t>
            </w:r>
            <w:r w:rsidR="002E545C">
              <w:rPr>
                <w:color w:val="auto"/>
              </w:rPr>
              <w:t xml:space="preserve">/QALY </w:t>
            </w:r>
            <w:r w:rsidRPr="00E772FE">
              <w:rPr>
                <w:color w:val="auto"/>
              </w:rPr>
              <w:t>(or $</w:t>
            </w:r>
            <w:r w:rsidR="00DC792F" w:rsidRPr="00182024">
              <w:rPr>
                <w:b/>
              </w:rPr>
              <w:t>redacted</w:t>
            </w:r>
            <w:r w:rsidRPr="00E772FE">
              <w:rPr>
                <w:color w:val="auto"/>
              </w:rPr>
              <w:t>/LY)</w:t>
            </w:r>
          </w:p>
          <w:p w14:paraId="3DE24438" w14:textId="77777777"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color w:val="auto"/>
              </w:rPr>
            </w:pPr>
          </w:p>
          <w:p w14:paraId="2C5FF16F" w14:textId="7AF62903"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i/>
                <w:color w:val="auto"/>
              </w:rPr>
            </w:pPr>
            <w:r w:rsidRPr="00E772FE">
              <w:rPr>
                <w:i/>
                <w:color w:val="auto"/>
              </w:rPr>
              <w:t xml:space="preserve">Evaluation re-specified model: </w:t>
            </w:r>
            <w:r w:rsidRPr="00E772FE">
              <w:rPr>
                <w:i/>
                <w:iCs/>
                <w:color w:val="auto"/>
              </w:rPr>
              <w:t>$</w:t>
            </w:r>
            <w:r w:rsidR="00DC792F" w:rsidRPr="00182024">
              <w:rPr>
                <w:b/>
                <w:i/>
                <w:iCs/>
              </w:rPr>
              <w:t>redacted</w:t>
            </w:r>
            <w:r w:rsidRPr="00E772FE">
              <w:rPr>
                <w:i/>
                <w:iCs/>
                <w:color w:val="auto"/>
              </w:rPr>
              <w:t>/QALY (or $</w:t>
            </w:r>
            <w:r w:rsidR="00DC792F" w:rsidRPr="00182024">
              <w:rPr>
                <w:b/>
                <w:i/>
                <w:iCs/>
              </w:rPr>
              <w:t>redacted</w:t>
            </w:r>
            <w:r w:rsidRPr="00E772FE">
              <w:rPr>
                <w:i/>
                <w:iCs/>
                <w:color w:val="auto"/>
              </w:rPr>
              <w:t>/LY)</w:t>
            </w:r>
          </w:p>
        </w:tc>
      </w:tr>
      <w:tr w:rsidR="009824AB" w:rsidRPr="00E772FE" w14:paraId="70DFAD91" w14:textId="77777777" w:rsidTr="002F218A">
        <w:trPr>
          <w:trHeight w:val="616"/>
        </w:trPr>
        <w:tc>
          <w:tcPr>
            <w:cnfStyle w:val="001000000000" w:firstRow="0" w:lastRow="0" w:firstColumn="1" w:lastColumn="0" w:oddVBand="0" w:evenVBand="0" w:oddHBand="0" w:evenHBand="0" w:firstRowFirstColumn="0" w:firstRowLastColumn="0" w:lastRowFirstColumn="0" w:lastRowLastColumn="0"/>
            <w:tcW w:w="1963" w:type="pct"/>
            <w:tcBorders>
              <w:top w:val="single" w:sz="4" w:space="0" w:color="auto"/>
              <w:left w:val="single" w:sz="4" w:space="0" w:color="auto"/>
              <w:bottom w:val="single" w:sz="4" w:space="0" w:color="auto"/>
              <w:right w:val="single" w:sz="4" w:space="0" w:color="auto"/>
            </w:tcBorders>
          </w:tcPr>
          <w:p w14:paraId="504743DE" w14:textId="77777777" w:rsidR="009824AB" w:rsidRPr="00E772FE" w:rsidRDefault="009824AB" w:rsidP="006E306E">
            <w:pPr>
              <w:pStyle w:val="TableText0"/>
              <w:spacing w:before="11" w:after="11"/>
              <w:rPr>
                <w:color w:val="auto"/>
              </w:rPr>
            </w:pPr>
            <w:r w:rsidRPr="00E772FE">
              <w:rPr>
                <w:color w:val="auto"/>
              </w:rPr>
              <w:t>MSAC funded test: Proposed tumour testing (identifying germline and somatic mutations)</w:t>
            </w:r>
          </w:p>
        </w:tc>
        <w:tc>
          <w:tcPr>
            <w:tcW w:w="3037" w:type="pct"/>
            <w:tcBorders>
              <w:top w:val="single" w:sz="4" w:space="0" w:color="auto"/>
              <w:left w:val="single" w:sz="4" w:space="0" w:color="auto"/>
              <w:bottom w:val="single" w:sz="4" w:space="0" w:color="auto"/>
              <w:right w:val="single" w:sz="4" w:space="0" w:color="auto"/>
            </w:tcBorders>
          </w:tcPr>
          <w:p w14:paraId="59038C90" w14:textId="41EA6B18"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color w:val="auto"/>
              </w:rPr>
            </w:pPr>
            <w:r w:rsidRPr="00E772FE">
              <w:rPr>
                <w:color w:val="auto"/>
              </w:rPr>
              <w:t>S</w:t>
            </w:r>
            <w:r w:rsidR="002E545C">
              <w:rPr>
                <w:color w:val="auto"/>
              </w:rPr>
              <w:t>ubmission estimated ICER: $</w:t>
            </w:r>
            <w:r w:rsidR="00DC792F" w:rsidRPr="00182024">
              <w:rPr>
                <w:b/>
              </w:rPr>
              <w:t>redacted</w:t>
            </w:r>
            <w:r w:rsidR="002E545C">
              <w:rPr>
                <w:color w:val="auto"/>
              </w:rPr>
              <w:t xml:space="preserve">/QALY </w:t>
            </w:r>
            <w:r w:rsidRPr="00E772FE">
              <w:rPr>
                <w:color w:val="auto"/>
              </w:rPr>
              <w:t>(or $</w:t>
            </w:r>
            <w:r w:rsidR="00DC792F" w:rsidRPr="00182024">
              <w:rPr>
                <w:b/>
              </w:rPr>
              <w:t>redacted</w:t>
            </w:r>
            <w:r w:rsidRPr="00E772FE">
              <w:rPr>
                <w:color w:val="auto"/>
              </w:rPr>
              <w:t>/LY)</w:t>
            </w:r>
          </w:p>
          <w:p w14:paraId="7834663F" w14:textId="77777777"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color w:val="auto"/>
              </w:rPr>
            </w:pPr>
          </w:p>
          <w:p w14:paraId="0D437B59" w14:textId="3DEF9FD0" w:rsidR="009824AB" w:rsidRPr="00E772FE" w:rsidRDefault="009824AB" w:rsidP="006E306E">
            <w:pPr>
              <w:pStyle w:val="TableText0"/>
              <w:spacing w:before="11" w:after="11"/>
              <w:cnfStyle w:val="000000000000" w:firstRow="0" w:lastRow="0" w:firstColumn="0" w:lastColumn="0" w:oddVBand="0" w:evenVBand="0" w:oddHBand="0" w:evenHBand="0" w:firstRowFirstColumn="0" w:firstRowLastColumn="0" w:lastRowFirstColumn="0" w:lastRowLastColumn="0"/>
              <w:rPr>
                <w:i/>
                <w:color w:val="auto"/>
              </w:rPr>
            </w:pPr>
            <w:r w:rsidRPr="00E772FE">
              <w:rPr>
                <w:i/>
                <w:color w:val="auto"/>
              </w:rPr>
              <w:t>Evaluation re-specified model: $</w:t>
            </w:r>
            <w:r w:rsidR="00DC792F" w:rsidRPr="00182024">
              <w:rPr>
                <w:b/>
                <w:i/>
              </w:rPr>
              <w:t>redacted</w:t>
            </w:r>
            <w:r>
              <w:rPr>
                <w:i/>
                <w:color w:val="auto"/>
              </w:rPr>
              <w:t>/QALY (or $</w:t>
            </w:r>
            <w:r w:rsidR="00DC792F" w:rsidRPr="00182024">
              <w:rPr>
                <w:b/>
                <w:i/>
              </w:rPr>
              <w:t>redacted</w:t>
            </w:r>
            <w:r>
              <w:rPr>
                <w:i/>
                <w:color w:val="auto"/>
              </w:rPr>
              <w:t>/LY)</w:t>
            </w:r>
          </w:p>
        </w:tc>
      </w:tr>
    </w:tbl>
    <w:p w14:paraId="50128245" w14:textId="77777777" w:rsidR="009824AB" w:rsidRDefault="009824AB" w:rsidP="009824AB">
      <w:pPr>
        <w:pStyle w:val="TableFooter"/>
      </w:pPr>
      <w:r w:rsidRPr="00E772FE">
        <w:rPr>
          <w:vertAlign w:val="superscript"/>
        </w:rPr>
        <w:t>a</w:t>
      </w:r>
      <w:r w:rsidRPr="00E772FE">
        <w:t xml:space="preserve"> Base-case was respecifie</w:t>
      </w:r>
      <w:r w:rsidRPr="005D7686">
        <w:t xml:space="preserve">d during the evaluation </w:t>
      </w:r>
      <w:r w:rsidRPr="00407285">
        <w:t xml:space="preserve">by </w:t>
      </w:r>
      <w:r>
        <w:t>adjusting</w:t>
      </w:r>
      <w:r w:rsidRPr="00407285">
        <w:t xml:space="preserve"> OS curves</w:t>
      </w:r>
      <w:r>
        <w:t xml:space="preserve"> </w:t>
      </w:r>
      <w:r w:rsidRPr="00407285">
        <w:t>in</w:t>
      </w:r>
      <w:r w:rsidR="00AB4403">
        <w:t xml:space="preserve"> patients with a</w:t>
      </w:r>
      <w:r w:rsidRPr="00407285">
        <w:t xml:space="preserve"> </w:t>
      </w:r>
      <w:r w:rsidRPr="00407285">
        <w:rPr>
          <w:i/>
        </w:rPr>
        <w:t>BRCA</w:t>
      </w:r>
      <w:r w:rsidRPr="00407285">
        <w:t xml:space="preserve">m </w:t>
      </w:r>
      <w:r>
        <w:t xml:space="preserve">to be the </w:t>
      </w:r>
      <w:r w:rsidRPr="00407285">
        <w:t>same across both olaparib and placebo arms</w:t>
      </w:r>
      <w:r>
        <w:t xml:space="preserve"> after 41 months,</w:t>
      </w:r>
      <w:r w:rsidRPr="00407285">
        <w:t xml:space="preserve"> utility values for PFS2 and PD</w:t>
      </w:r>
      <w:r>
        <w:t xml:space="preserve"> sourced from Study 19, corrected modelled cost of olaparib, including downstream germline testing costs in the tumour positives and prevalence of g</w:t>
      </w:r>
      <w:r>
        <w:rPr>
          <w:i/>
        </w:rPr>
        <w:t>BRCA</w:t>
      </w:r>
      <w:r>
        <w:t>m as 20.3%</w:t>
      </w:r>
    </w:p>
    <w:p w14:paraId="711C6ECD" w14:textId="77777777" w:rsidR="009824AB" w:rsidRDefault="009824AB" w:rsidP="009824AB">
      <w:pPr>
        <w:pStyle w:val="TableFooter"/>
      </w:pPr>
      <w:r w:rsidRPr="000E4517">
        <w:rPr>
          <w:i/>
        </w:rPr>
        <w:t>BRCA</w:t>
      </w:r>
      <w:r w:rsidRPr="00C857FA">
        <w:t>m</w:t>
      </w:r>
      <w:r>
        <w:t xml:space="preserve"> = </w:t>
      </w:r>
      <w:r w:rsidRPr="000E4517">
        <w:rPr>
          <w:i/>
        </w:rPr>
        <w:t>BRCA1</w:t>
      </w:r>
      <w:r w:rsidRPr="00793201">
        <w:t xml:space="preserve"> or </w:t>
      </w:r>
      <w:r>
        <w:rPr>
          <w:i/>
        </w:rPr>
        <w:t>BRAC2</w:t>
      </w:r>
      <w:r w:rsidRPr="000E4517">
        <w:rPr>
          <w:i/>
        </w:rPr>
        <w:t xml:space="preserve"> </w:t>
      </w:r>
      <w:r>
        <w:t>mutation; ICER= incremental cost-effectiveness ratio; LY = life year; MSAC =</w:t>
      </w:r>
      <w:r w:rsidRPr="000E4517">
        <w:t xml:space="preserve"> Medi</w:t>
      </w:r>
      <w:r>
        <w:t xml:space="preserve">cal Services Advisory Committee; OS = overall survival; PBAC = </w:t>
      </w:r>
      <w:r w:rsidRPr="005F3D96">
        <w:t>Pharmaceutical Benefits Advisory Committee</w:t>
      </w:r>
      <w:r>
        <w:t xml:space="preserve">; PD = progressive disease; PFS2 = </w:t>
      </w:r>
      <w:r w:rsidRPr="00135AFF">
        <w:t>progression-free survival after the first progression</w:t>
      </w:r>
      <w:r>
        <w:t>; QALY = quality-adjusted life year</w:t>
      </w:r>
    </w:p>
    <w:p w14:paraId="6AD3913A" w14:textId="77777777" w:rsidR="009824AB" w:rsidRPr="00FC703D" w:rsidRDefault="009824AB" w:rsidP="009824AB">
      <w:pPr>
        <w:pStyle w:val="TableFooter"/>
      </w:pPr>
      <w:r>
        <w:t>Source: Constructed during the evaluation based on results presented in Section 3A.8 of the submission.</w:t>
      </w:r>
    </w:p>
    <w:p w14:paraId="5177477E" w14:textId="77777777" w:rsidR="009824AB" w:rsidRDefault="009824AB" w:rsidP="009824AB">
      <w:r>
        <w:t>There was considerable uncertainty regarding the submission-estimated ICERs due to:</w:t>
      </w:r>
    </w:p>
    <w:p w14:paraId="67FE9C7D" w14:textId="77777777" w:rsidR="009824AB" w:rsidRDefault="009824AB" w:rsidP="009824AB">
      <w:pPr>
        <w:pStyle w:val="ListParagraph"/>
        <w:numPr>
          <w:ilvl w:val="0"/>
          <w:numId w:val="8"/>
        </w:numPr>
      </w:pPr>
      <w:r>
        <w:t>There being no unadjusted OS benefit demonstrated from the SOLO1 trial. A substantial survival gain is generated in the modelled economic evaluation.</w:t>
      </w:r>
    </w:p>
    <w:p w14:paraId="2DC660F2" w14:textId="77777777" w:rsidR="009824AB" w:rsidRDefault="009824AB" w:rsidP="009824AB">
      <w:pPr>
        <w:pStyle w:val="ListParagraph"/>
        <w:numPr>
          <w:ilvl w:val="0"/>
          <w:numId w:val="8"/>
        </w:numPr>
      </w:pPr>
      <w:r>
        <w:t xml:space="preserve">The use of </w:t>
      </w:r>
      <w:r w:rsidRPr="006715E3">
        <w:t xml:space="preserve">(predominantly extrapolated) PFS2 SOLO1 as a direct predictor of </w:t>
      </w:r>
      <w:r>
        <w:t xml:space="preserve">OS by applying </w:t>
      </w:r>
      <w:r w:rsidRPr="006715E3">
        <w:t>Australian Ovarian Cancer Study Registry mortality dat</w:t>
      </w:r>
      <w:r>
        <w:t>a</w:t>
      </w:r>
      <w:r w:rsidRPr="006715E3">
        <w:t xml:space="preserve"> to modelled PFS2 curves to model long term OS</w:t>
      </w:r>
      <w:r>
        <w:t xml:space="preserve"> rather than extrapolate from the OS results of the trial. This generated significantly different OS curves. However, n</w:t>
      </w:r>
      <w:r w:rsidRPr="00664458">
        <w:t xml:space="preserve">o clinical evidence </w:t>
      </w:r>
      <w:r>
        <w:t xml:space="preserve">was </w:t>
      </w:r>
      <w:r w:rsidRPr="00664458">
        <w:t xml:space="preserve">provided to support translation of </w:t>
      </w:r>
      <w:r>
        <w:t xml:space="preserve">the </w:t>
      </w:r>
      <w:r w:rsidRPr="00664458">
        <w:t xml:space="preserve">second progression to </w:t>
      </w:r>
      <w:r>
        <w:t>OS and so the d</w:t>
      </w:r>
      <w:r w:rsidRPr="006715E3">
        <w:t xml:space="preserve">ivergent modelled OS curves </w:t>
      </w:r>
      <w:r>
        <w:t xml:space="preserve">were </w:t>
      </w:r>
      <w:r w:rsidRPr="006715E3">
        <w:t>not supported by the clinical trial results</w:t>
      </w:r>
      <w:r>
        <w:t xml:space="preserve"> and were h</w:t>
      </w:r>
      <w:r w:rsidRPr="006715E3">
        <w:t xml:space="preserve">ighly favourable to </w:t>
      </w:r>
      <w:r>
        <w:t>the intervention.</w:t>
      </w:r>
    </w:p>
    <w:p w14:paraId="2E81EF38" w14:textId="77777777" w:rsidR="009824AB" w:rsidRDefault="009824AB" w:rsidP="009824AB">
      <w:pPr>
        <w:pStyle w:val="ListParagraph"/>
        <w:numPr>
          <w:ilvl w:val="0"/>
          <w:numId w:val="8"/>
        </w:numPr>
      </w:pPr>
      <w:r>
        <w:t xml:space="preserve">The use of </w:t>
      </w:r>
      <w:r w:rsidRPr="006715E3">
        <w:t xml:space="preserve">selected utility values from </w:t>
      </w:r>
      <w:r>
        <w:t xml:space="preserve">the </w:t>
      </w:r>
      <w:r w:rsidRPr="006715E3">
        <w:t>literature for PFS2 and PD</w:t>
      </w:r>
      <w:r>
        <w:t>, which</w:t>
      </w:r>
      <w:r w:rsidRPr="006715E3">
        <w:t xml:space="preserve"> are low relative to PFS1</w:t>
      </w:r>
      <w:r>
        <w:t xml:space="preserve"> and which</w:t>
      </w:r>
      <w:r w:rsidRPr="006715E3">
        <w:t xml:space="preserve"> favours </w:t>
      </w:r>
      <w:r>
        <w:t>the intervention</w:t>
      </w:r>
    </w:p>
    <w:p w14:paraId="49C2FFE0" w14:textId="77777777" w:rsidR="009824AB" w:rsidRPr="00666122" w:rsidRDefault="009824AB" w:rsidP="009824AB">
      <w:pPr>
        <w:pStyle w:val="ListParagraph"/>
        <w:numPr>
          <w:ilvl w:val="0"/>
          <w:numId w:val="8"/>
        </w:numPr>
      </w:pPr>
      <w:r w:rsidRPr="00A149E3">
        <w:rPr>
          <w:lang w:val="en-US"/>
        </w:rPr>
        <w:t>Under-estimat</w:t>
      </w:r>
      <w:r>
        <w:rPr>
          <w:lang w:val="en-US"/>
        </w:rPr>
        <w:t xml:space="preserve">ing the </w:t>
      </w:r>
      <w:r w:rsidRPr="00A149E3">
        <w:rPr>
          <w:lang w:val="en-US"/>
        </w:rPr>
        <w:t>cost of testing per patient</w:t>
      </w:r>
      <w:r>
        <w:rPr>
          <w:lang w:val="en-US"/>
        </w:rPr>
        <w:t>.</w:t>
      </w:r>
    </w:p>
    <w:p w14:paraId="7F343108" w14:textId="582C9C52" w:rsidR="009824AB" w:rsidRDefault="009824AB" w:rsidP="002E6BB0">
      <w:pPr>
        <w:spacing w:before="240" w:after="240"/>
      </w:pPr>
      <w:r>
        <w:rPr>
          <w:lang w:val="en-US"/>
        </w:rPr>
        <w:t>The Commentary’s re-specified base cases accounted for the above issues. ESC considered that these should be considered the preferred base cases.</w:t>
      </w:r>
    </w:p>
    <w:p w14:paraId="1049EAAF" w14:textId="77777777" w:rsidR="009824AB" w:rsidRDefault="009824AB" w:rsidP="009824AB">
      <w:pPr>
        <w:pStyle w:val="Heading2"/>
      </w:pPr>
      <w:r>
        <w:t>ICERs by germline and somatic subgroups</w:t>
      </w:r>
    </w:p>
    <w:p w14:paraId="303FE200" w14:textId="07890771" w:rsidR="006E306E" w:rsidRDefault="009824AB" w:rsidP="002E6BB0">
      <w:pPr>
        <w:spacing w:after="240"/>
      </w:pPr>
      <w:r>
        <w:t xml:space="preserve">The germline </w:t>
      </w:r>
      <w:r w:rsidRPr="00174C69">
        <w:rPr>
          <w:i/>
        </w:rPr>
        <w:t>BRCA</w:t>
      </w:r>
      <w:r>
        <w:t>m subgroup respecified model predicted a very high ICER</w:t>
      </w:r>
      <w:r w:rsidRPr="005B6F49">
        <w:t xml:space="preserve"> </w:t>
      </w:r>
      <w:r w:rsidRPr="003F6CBD">
        <w:t>($</w:t>
      </w:r>
      <w:r w:rsidR="00DC792F" w:rsidRPr="00182024">
        <w:rPr>
          <w:b/>
        </w:rPr>
        <w:t>redacted</w:t>
      </w:r>
      <w:r w:rsidRPr="003F6CBD">
        <w:t>/QALY),</w:t>
      </w:r>
      <w:r>
        <w:t xml:space="preserve"> </w:t>
      </w:r>
      <w:r w:rsidRPr="003F6CBD">
        <w:t xml:space="preserve">suggesting </w:t>
      </w:r>
      <w:r>
        <w:t xml:space="preserve">a </w:t>
      </w:r>
      <w:r w:rsidRPr="003F6CBD">
        <w:t>relatively small incremental benefit associated with moving from second</w:t>
      </w:r>
      <w:r>
        <w:t>-</w:t>
      </w:r>
      <w:r w:rsidRPr="003F6CBD">
        <w:t xml:space="preserve"> to first</w:t>
      </w:r>
      <w:r>
        <w:t>-</w:t>
      </w:r>
      <w:r w:rsidRPr="003F6CBD">
        <w:t xml:space="preserve">line testing. </w:t>
      </w:r>
      <w:r>
        <w:t>The s</w:t>
      </w:r>
      <w:r w:rsidRPr="003F6CBD">
        <w:t>omatic BRCA</w:t>
      </w:r>
      <w:r>
        <w:t xml:space="preserve"> subgroup </w:t>
      </w:r>
      <w:r w:rsidRPr="003F6CBD">
        <w:t xml:space="preserve">respecified base case </w:t>
      </w:r>
      <w:r>
        <w:t>(</w:t>
      </w:r>
      <w:r w:rsidRPr="003F6CBD">
        <w:t>$</w:t>
      </w:r>
      <w:r w:rsidR="00DC792F" w:rsidRPr="00182024">
        <w:rPr>
          <w:b/>
        </w:rPr>
        <w:t>redacted</w:t>
      </w:r>
      <w:r w:rsidRPr="003F6CBD">
        <w:t>/QALY</w:t>
      </w:r>
      <w:r>
        <w:t xml:space="preserve">) was driven by benefit gained through access to treatment; however, this model was based on </w:t>
      </w:r>
      <w:r w:rsidRPr="003F6CBD">
        <w:t>indirect evidence</w:t>
      </w:r>
      <w:r>
        <w:t>.</w:t>
      </w:r>
    </w:p>
    <w:p w14:paraId="1DCDEC0D" w14:textId="77777777" w:rsidR="006E306E" w:rsidRDefault="006E306E" w:rsidP="00D57A18">
      <w:pPr>
        <w:pStyle w:val="Heading2"/>
      </w:pPr>
      <w:r>
        <w:t>Pre-MSAC response</w:t>
      </w:r>
    </w:p>
    <w:p w14:paraId="5C40A2B2" w14:textId="23374ECB" w:rsidR="002F218A" w:rsidRDefault="006E306E" w:rsidP="002F218A">
      <w:pPr>
        <w:spacing w:after="240"/>
      </w:pPr>
      <w:r>
        <w:t xml:space="preserve">The </w:t>
      </w:r>
      <w:r w:rsidR="00D57A18">
        <w:t>applicant</w:t>
      </w:r>
      <w:r>
        <w:t xml:space="preserve"> presented results for the revised base case model in which utilities are taken from the NICE review </w:t>
      </w:r>
      <w:r w:rsidRPr="006E306E">
        <w:t>(PFS2: 0.63; PD: 0.34), and the prevalen</w:t>
      </w:r>
      <w:r>
        <w:t>ce of g</w:t>
      </w:r>
      <w:r w:rsidRPr="00AB4403">
        <w:rPr>
          <w:i/>
        </w:rPr>
        <w:t>BRCA</w:t>
      </w:r>
      <w:r w:rsidR="00AB4403">
        <w:t>m</w:t>
      </w:r>
      <w:r>
        <w:t xml:space="preserve"> is 20.3% (Table 8).</w:t>
      </w:r>
      <w:r w:rsidR="002F218A">
        <w:br w:type="page"/>
      </w:r>
    </w:p>
    <w:p w14:paraId="08E761CA" w14:textId="77777777" w:rsidR="006E306E" w:rsidRPr="00296C25" w:rsidRDefault="006E306E" w:rsidP="00296C25">
      <w:pPr>
        <w:rPr>
          <w:rFonts w:ascii="Arial Narrow" w:hAnsi="Arial Narrow"/>
          <w:b/>
          <w:sz w:val="20"/>
        </w:rPr>
      </w:pPr>
      <w:bookmarkStart w:id="8" w:name="_Ref23174871"/>
      <w:r w:rsidRPr="00296C25">
        <w:rPr>
          <w:rFonts w:ascii="Arial Narrow" w:hAnsi="Arial Narrow"/>
          <w:b/>
          <w:sz w:val="20"/>
        </w:rPr>
        <w:t xml:space="preserve">Table </w:t>
      </w:r>
      <w:bookmarkEnd w:id="8"/>
      <w:r w:rsidRPr="00296C25">
        <w:rPr>
          <w:rFonts w:ascii="Arial Narrow" w:hAnsi="Arial Narrow"/>
          <w:b/>
          <w:sz w:val="20"/>
        </w:rPr>
        <w:t>8</w:t>
      </w:r>
      <w:r w:rsidR="00D57A18" w:rsidRPr="00296C25">
        <w:rPr>
          <w:rFonts w:ascii="Arial Narrow" w:hAnsi="Arial Narrow"/>
          <w:b/>
          <w:sz w:val="20"/>
        </w:rPr>
        <w:tab/>
      </w:r>
      <w:r w:rsidR="00AB4403" w:rsidRPr="00296C25">
        <w:rPr>
          <w:rFonts w:ascii="Arial Narrow" w:hAnsi="Arial Narrow"/>
          <w:b/>
          <w:sz w:val="20"/>
        </w:rPr>
        <w:t>Applicant’s</w:t>
      </w:r>
      <w:r w:rsidRPr="00296C25">
        <w:rPr>
          <w:rFonts w:ascii="Arial Narrow" w:hAnsi="Arial Narrow"/>
          <w:b/>
          <w:sz w:val="20"/>
        </w:rPr>
        <w:t xml:space="preserve"> revised base-case</w:t>
      </w:r>
    </w:p>
    <w:tbl>
      <w:tblPr>
        <w:tblStyle w:val="PBACTableStyle"/>
        <w:tblW w:w="5000" w:type="pct"/>
        <w:tblLayout w:type="fixed"/>
        <w:tblLook w:val="04A0" w:firstRow="1" w:lastRow="0" w:firstColumn="1" w:lastColumn="0" w:noHBand="0" w:noVBand="1"/>
        <w:tblDescription w:val="Applicant’s revised base-case"/>
      </w:tblPr>
      <w:tblGrid>
        <w:gridCol w:w="2120"/>
        <w:gridCol w:w="1149"/>
        <w:gridCol w:w="1122"/>
        <w:gridCol w:w="1177"/>
        <w:gridCol w:w="1149"/>
        <w:gridCol w:w="1075"/>
        <w:gridCol w:w="1224"/>
      </w:tblGrid>
      <w:tr w:rsidR="006E306E" w:rsidRPr="007755D2" w14:paraId="3CD71E69" w14:textId="77777777" w:rsidTr="00296C25">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76" w:type="pct"/>
            <w:vMerge w:val="restart"/>
            <w:noWrap/>
            <w:hideMark/>
          </w:tcPr>
          <w:p w14:paraId="2F9F43B9" w14:textId="77777777" w:rsidR="006E306E" w:rsidRPr="00D57A18" w:rsidRDefault="006E306E" w:rsidP="00D57A18">
            <w:pPr>
              <w:pStyle w:val="TableText0"/>
              <w:spacing w:before="11" w:after="11"/>
              <w:rPr>
                <w:b w:val="0"/>
              </w:rPr>
            </w:pPr>
          </w:p>
        </w:tc>
        <w:tc>
          <w:tcPr>
            <w:tcW w:w="1912" w:type="pct"/>
            <w:gridSpan w:val="3"/>
          </w:tcPr>
          <w:p w14:paraId="0BF5D2AC" w14:textId="77777777" w:rsidR="006E306E" w:rsidRPr="00D57A18" w:rsidRDefault="006E306E" w:rsidP="00D57A18">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b w:val="0"/>
              </w:rPr>
            </w:pPr>
            <w:r w:rsidRPr="00D57A18">
              <w:t>Proposed scenario 1 (available to first-line g</w:t>
            </w:r>
            <w:r w:rsidRPr="00AB4403">
              <w:rPr>
                <w:i/>
              </w:rPr>
              <w:t>BRCA</w:t>
            </w:r>
            <w:r w:rsidRPr="00D57A18">
              <w:t>m patients only)</w:t>
            </w:r>
          </w:p>
        </w:tc>
        <w:tc>
          <w:tcPr>
            <w:tcW w:w="1912" w:type="pct"/>
            <w:gridSpan w:val="3"/>
          </w:tcPr>
          <w:p w14:paraId="709FC861" w14:textId="77777777" w:rsidR="006E306E" w:rsidRPr="00D57A18" w:rsidRDefault="006E306E" w:rsidP="00D57A18">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b w:val="0"/>
              </w:rPr>
            </w:pPr>
            <w:r w:rsidRPr="00D57A18">
              <w:t xml:space="preserve">Proposed scenario 2 (available to all first-line </w:t>
            </w:r>
            <w:r w:rsidRPr="00AB4403">
              <w:rPr>
                <w:i/>
              </w:rPr>
              <w:t>BRCA</w:t>
            </w:r>
            <w:r w:rsidRPr="00D57A18">
              <w:t>m patients (g+s)</w:t>
            </w:r>
          </w:p>
        </w:tc>
      </w:tr>
      <w:tr w:rsidR="006E306E" w:rsidRPr="007755D2" w14:paraId="4144E0C4" w14:textId="77777777" w:rsidTr="00296C25">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76" w:type="pct"/>
            <w:vMerge/>
            <w:noWrap/>
          </w:tcPr>
          <w:p w14:paraId="23B66EA6" w14:textId="77777777" w:rsidR="006E306E" w:rsidRPr="00BB70BA" w:rsidRDefault="006E306E" w:rsidP="00BB70BA">
            <w:pPr>
              <w:pStyle w:val="TableText0"/>
              <w:spacing w:before="11" w:after="11"/>
              <w:rPr>
                <w:b w:val="0"/>
              </w:rPr>
            </w:pPr>
          </w:p>
        </w:tc>
        <w:tc>
          <w:tcPr>
            <w:tcW w:w="637" w:type="pct"/>
          </w:tcPr>
          <w:p w14:paraId="28BF9B3E" w14:textId="77777777" w:rsidR="006E306E" w:rsidRPr="00BB70BA"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BB70BA">
              <w:rPr>
                <w:rFonts w:eastAsia="MS Gothic"/>
              </w:rPr>
              <w:t>Proposed scenario</w:t>
            </w:r>
          </w:p>
        </w:tc>
        <w:tc>
          <w:tcPr>
            <w:tcW w:w="622" w:type="pct"/>
          </w:tcPr>
          <w:p w14:paraId="59B35132" w14:textId="77777777" w:rsidR="006E306E" w:rsidRPr="00BB70BA"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BB70BA">
              <w:rPr>
                <w:rFonts w:eastAsia="MS Gothic"/>
              </w:rPr>
              <w:t>Current scenario</w:t>
            </w:r>
          </w:p>
        </w:tc>
        <w:tc>
          <w:tcPr>
            <w:tcW w:w="653" w:type="pct"/>
          </w:tcPr>
          <w:p w14:paraId="4F3EC36E" w14:textId="77777777" w:rsidR="006E306E" w:rsidRPr="00BB70BA"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BB70BA">
              <w:rPr>
                <w:rFonts w:eastAsia="MS Gothic"/>
              </w:rPr>
              <w:t>Incremental</w:t>
            </w:r>
          </w:p>
        </w:tc>
        <w:tc>
          <w:tcPr>
            <w:tcW w:w="637" w:type="pct"/>
            <w:noWrap/>
          </w:tcPr>
          <w:p w14:paraId="35DC2BC0" w14:textId="77777777" w:rsidR="006E306E" w:rsidRPr="00BB70BA"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BB70BA">
              <w:rPr>
                <w:rFonts w:eastAsia="MS Gothic"/>
              </w:rPr>
              <w:t>Proposed scenario</w:t>
            </w:r>
          </w:p>
        </w:tc>
        <w:tc>
          <w:tcPr>
            <w:tcW w:w="596" w:type="pct"/>
            <w:noWrap/>
          </w:tcPr>
          <w:p w14:paraId="5A8747F4" w14:textId="77777777" w:rsidR="006E306E" w:rsidRPr="00D57A18"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D57A18">
              <w:rPr>
                <w:rFonts w:eastAsia="MS Gothic"/>
              </w:rPr>
              <w:t>Current scenario</w:t>
            </w:r>
          </w:p>
        </w:tc>
        <w:tc>
          <w:tcPr>
            <w:tcW w:w="679" w:type="pct"/>
            <w:noWrap/>
          </w:tcPr>
          <w:p w14:paraId="12E0485D" w14:textId="77777777" w:rsidR="006E306E" w:rsidRPr="00D57A18" w:rsidRDefault="006E306E" w:rsidP="00AB4403">
            <w:pPr>
              <w:pStyle w:val="TableText0"/>
              <w:spacing w:before="11" w:after="11"/>
              <w:jc w:val="center"/>
              <w:cnfStyle w:val="100000000000" w:firstRow="1" w:lastRow="0" w:firstColumn="0" w:lastColumn="0" w:oddVBand="0" w:evenVBand="0" w:oddHBand="0" w:evenHBand="0" w:firstRowFirstColumn="0" w:firstRowLastColumn="0" w:lastRowFirstColumn="0" w:lastRowLastColumn="0"/>
              <w:rPr>
                <w:rFonts w:eastAsia="MS Gothic"/>
                <w:b w:val="0"/>
              </w:rPr>
            </w:pPr>
            <w:r w:rsidRPr="00D57A18">
              <w:rPr>
                <w:rFonts w:eastAsia="MS Gothic"/>
              </w:rPr>
              <w:t>Incremental</w:t>
            </w:r>
          </w:p>
        </w:tc>
      </w:tr>
      <w:tr w:rsidR="006E306E" w:rsidRPr="007755D2" w14:paraId="23E098E9" w14:textId="77777777" w:rsidTr="00296C25">
        <w:trPr>
          <w:trHeight w:val="288"/>
        </w:trPr>
        <w:tc>
          <w:tcPr>
            <w:cnfStyle w:val="001000000000" w:firstRow="0" w:lastRow="0" w:firstColumn="1" w:lastColumn="0" w:oddVBand="0" w:evenVBand="0" w:oddHBand="0" w:evenHBand="0" w:firstRowFirstColumn="0" w:firstRowLastColumn="0" w:lastRowFirstColumn="0" w:lastRowLastColumn="0"/>
            <w:tcW w:w="1176" w:type="pct"/>
            <w:noWrap/>
            <w:hideMark/>
          </w:tcPr>
          <w:p w14:paraId="0A6F95E6" w14:textId="77777777" w:rsidR="006E306E" w:rsidRPr="007755D2" w:rsidRDefault="006E306E" w:rsidP="00D57A18">
            <w:pPr>
              <w:pStyle w:val="TableText0"/>
              <w:spacing w:before="11" w:after="11"/>
              <w:rPr>
                <w:rFonts w:eastAsia="MS Gothic"/>
              </w:rPr>
            </w:pPr>
            <w:r w:rsidRPr="007755D2">
              <w:rPr>
                <w:rFonts w:eastAsia="MS Gothic"/>
              </w:rPr>
              <w:t>Discounted costs</w:t>
            </w:r>
          </w:p>
        </w:tc>
        <w:tc>
          <w:tcPr>
            <w:tcW w:w="637" w:type="pct"/>
          </w:tcPr>
          <w:p w14:paraId="75D65219" w14:textId="7FED22F2" w:rsidR="006E306E" w:rsidRPr="007755D2" w:rsidRDefault="006E306E"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4C2885">
              <w:rPr>
                <w:rFonts w:eastAsia="MS Gothic"/>
              </w:rPr>
              <w:t>$</w:t>
            </w:r>
            <w:r w:rsidR="00DC792F" w:rsidRPr="00182024">
              <w:rPr>
                <w:rFonts w:eastAsia="MS Gothic"/>
                <w:b/>
              </w:rPr>
              <w:t>redacted</w:t>
            </w:r>
          </w:p>
        </w:tc>
        <w:tc>
          <w:tcPr>
            <w:tcW w:w="622" w:type="pct"/>
          </w:tcPr>
          <w:p w14:paraId="3A18761A" w14:textId="49A844A2" w:rsidR="006E306E" w:rsidRPr="007755D2" w:rsidRDefault="006E306E"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4C2885">
              <w:rPr>
                <w:rFonts w:eastAsia="MS Gothic"/>
              </w:rPr>
              <w:t>$</w:t>
            </w:r>
            <w:r w:rsidR="00DC792F" w:rsidRPr="00182024">
              <w:rPr>
                <w:rFonts w:eastAsia="MS Gothic"/>
                <w:b/>
              </w:rPr>
              <w:t>redacted</w:t>
            </w:r>
          </w:p>
        </w:tc>
        <w:tc>
          <w:tcPr>
            <w:tcW w:w="653" w:type="pct"/>
          </w:tcPr>
          <w:p w14:paraId="5777A85F" w14:textId="0815E3EE" w:rsidR="006E306E" w:rsidRPr="007755D2" w:rsidRDefault="006E306E"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4C2885">
              <w:rPr>
                <w:rFonts w:eastAsia="MS Gothic"/>
              </w:rPr>
              <w:t>$</w:t>
            </w:r>
            <w:r w:rsidR="00DC792F" w:rsidRPr="00182024">
              <w:rPr>
                <w:rFonts w:eastAsia="MS Gothic"/>
                <w:b/>
              </w:rPr>
              <w:t>redacted</w:t>
            </w:r>
          </w:p>
        </w:tc>
        <w:tc>
          <w:tcPr>
            <w:tcW w:w="637" w:type="pct"/>
            <w:noWrap/>
          </w:tcPr>
          <w:p w14:paraId="2483380E" w14:textId="1910DC4D" w:rsidR="006E306E" w:rsidRPr="007755D2" w:rsidRDefault="006E306E"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4C2885">
              <w:rPr>
                <w:rFonts w:eastAsia="MS Gothic"/>
              </w:rPr>
              <w:t>$</w:t>
            </w:r>
            <w:r w:rsidR="00DC792F" w:rsidRPr="00182024">
              <w:rPr>
                <w:rFonts w:eastAsia="MS Gothic"/>
                <w:b/>
              </w:rPr>
              <w:t>redacted</w:t>
            </w:r>
          </w:p>
        </w:tc>
        <w:tc>
          <w:tcPr>
            <w:tcW w:w="596" w:type="pct"/>
            <w:noWrap/>
          </w:tcPr>
          <w:p w14:paraId="590A2802" w14:textId="35A39DB2" w:rsidR="006E306E" w:rsidRPr="00AB4403" w:rsidRDefault="006E306E" w:rsidP="00AB4403">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AB4403">
              <w:rPr>
                <w:rFonts w:eastAsia="MS Gothic"/>
              </w:rPr>
              <w:t>$</w:t>
            </w:r>
            <w:r w:rsidR="00DC792F" w:rsidRPr="00182024">
              <w:rPr>
                <w:rFonts w:eastAsia="MS Gothic"/>
                <w:b/>
              </w:rPr>
              <w:t>redacted</w:t>
            </w:r>
          </w:p>
        </w:tc>
        <w:tc>
          <w:tcPr>
            <w:tcW w:w="679" w:type="pct"/>
            <w:noWrap/>
          </w:tcPr>
          <w:p w14:paraId="75ADB408" w14:textId="6F29F21F" w:rsidR="006E306E" w:rsidRPr="00AB4403" w:rsidRDefault="006E306E" w:rsidP="00AB4403">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AB4403">
              <w:rPr>
                <w:rFonts w:eastAsia="MS Gothic"/>
              </w:rPr>
              <w:t>$</w:t>
            </w:r>
            <w:r w:rsidR="00DC792F" w:rsidRPr="00182024">
              <w:rPr>
                <w:rFonts w:eastAsia="MS Gothic"/>
                <w:b/>
              </w:rPr>
              <w:t>redacted</w:t>
            </w:r>
          </w:p>
        </w:tc>
      </w:tr>
      <w:tr w:rsidR="006E306E" w:rsidRPr="007755D2" w14:paraId="7244E187" w14:textId="77777777" w:rsidTr="00296C25">
        <w:trPr>
          <w:trHeight w:val="288"/>
        </w:trPr>
        <w:tc>
          <w:tcPr>
            <w:cnfStyle w:val="001000000000" w:firstRow="0" w:lastRow="0" w:firstColumn="1" w:lastColumn="0" w:oddVBand="0" w:evenVBand="0" w:oddHBand="0" w:evenHBand="0" w:firstRowFirstColumn="0" w:firstRowLastColumn="0" w:lastRowFirstColumn="0" w:lastRowLastColumn="0"/>
            <w:tcW w:w="1176" w:type="pct"/>
            <w:noWrap/>
            <w:hideMark/>
          </w:tcPr>
          <w:p w14:paraId="7A56DBD0" w14:textId="77777777" w:rsidR="006E306E" w:rsidRPr="007755D2" w:rsidRDefault="006E306E" w:rsidP="00D57A18">
            <w:pPr>
              <w:pStyle w:val="TableText0"/>
              <w:spacing w:before="11" w:after="11"/>
              <w:rPr>
                <w:rFonts w:eastAsia="MS Gothic"/>
              </w:rPr>
            </w:pPr>
            <w:r w:rsidRPr="007755D2">
              <w:rPr>
                <w:rFonts w:eastAsia="MS Gothic"/>
              </w:rPr>
              <w:t>Discounted QALYs</w:t>
            </w:r>
          </w:p>
        </w:tc>
        <w:tc>
          <w:tcPr>
            <w:tcW w:w="637" w:type="pct"/>
          </w:tcPr>
          <w:p w14:paraId="713BAB1A" w14:textId="69885C6E" w:rsidR="006E306E" w:rsidRPr="007755D2" w:rsidRDefault="00DC792F"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r</w:t>
            </w:r>
            <w:r w:rsidRPr="00182024">
              <w:rPr>
                <w:rFonts w:eastAsia="MS Gothic"/>
                <w:b/>
              </w:rPr>
              <w:t>edacted</w:t>
            </w:r>
          </w:p>
        </w:tc>
        <w:tc>
          <w:tcPr>
            <w:tcW w:w="622" w:type="pct"/>
          </w:tcPr>
          <w:p w14:paraId="191FFE0E" w14:textId="5B5B2580" w:rsidR="006E306E" w:rsidRPr="007755D2" w:rsidRDefault="00DC792F"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182024">
              <w:rPr>
                <w:rFonts w:eastAsia="MS Gothic"/>
                <w:b/>
              </w:rPr>
              <w:t>redacted</w:t>
            </w:r>
          </w:p>
        </w:tc>
        <w:tc>
          <w:tcPr>
            <w:tcW w:w="653" w:type="pct"/>
          </w:tcPr>
          <w:p w14:paraId="7B62316E" w14:textId="18035ED5" w:rsidR="006E306E" w:rsidRPr="007755D2" w:rsidRDefault="00DC792F"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182024">
              <w:rPr>
                <w:rFonts w:eastAsia="MS Gothic"/>
                <w:b/>
              </w:rPr>
              <w:t>redacted</w:t>
            </w:r>
          </w:p>
        </w:tc>
        <w:tc>
          <w:tcPr>
            <w:tcW w:w="637" w:type="pct"/>
            <w:noWrap/>
          </w:tcPr>
          <w:p w14:paraId="010F3AB5" w14:textId="0CD829CA" w:rsidR="006E306E" w:rsidRPr="007755D2" w:rsidRDefault="00DC792F" w:rsidP="00D57A18">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182024">
              <w:rPr>
                <w:rFonts w:eastAsia="MS Gothic"/>
                <w:b/>
              </w:rPr>
              <w:t>redacted</w:t>
            </w:r>
          </w:p>
        </w:tc>
        <w:tc>
          <w:tcPr>
            <w:tcW w:w="596" w:type="pct"/>
            <w:noWrap/>
          </w:tcPr>
          <w:p w14:paraId="404BDB0A" w14:textId="2AF4B763" w:rsidR="006E306E" w:rsidRPr="00AB4403" w:rsidRDefault="00DC792F" w:rsidP="00AB4403">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182024">
              <w:rPr>
                <w:rFonts w:eastAsia="MS Gothic"/>
                <w:b/>
              </w:rPr>
              <w:t>redacted</w:t>
            </w:r>
          </w:p>
        </w:tc>
        <w:tc>
          <w:tcPr>
            <w:tcW w:w="679" w:type="pct"/>
            <w:noWrap/>
          </w:tcPr>
          <w:p w14:paraId="391EEBB2" w14:textId="09CC292B" w:rsidR="006E306E" w:rsidRPr="00AB4403" w:rsidRDefault="00DC792F" w:rsidP="00AB4403">
            <w:pPr>
              <w:pStyle w:val="TableText0"/>
              <w:spacing w:before="11" w:after="11"/>
              <w:jc w:val="center"/>
              <w:cnfStyle w:val="000000000000" w:firstRow="0" w:lastRow="0" w:firstColumn="0" w:lastColumn="0" w:oddVBand="0" w:evenVBand="0" w:oddHBand="0" w:evenHBand="0" w:firstRowFirstColumn="0" w:firstRowLastColumn="0" w:lastRowFirstColumn="0" w:lastRowLastColumn="0"/>
              <w:rPr>
                <w:rFonts w:eastAsia="MS Gothic"/>
              </w:rPr>
            </w:pPr>
            <w:r w:rsidRPr="00182024">
              <w:rPr>
                <w:rFonts w:eastAsia="MS Gothic"/>
                <w:b/>
              </w:rPr>
              <w:t>redacted</w:t>
            </w:r>
          </w:p>
        </w:tc>
      </w:tr>
      <w:tr w:rsidR="006E306E" w:rsidRPr="007755D2" w14:paraId="3A846759" w14:textId="77777777" w:rsidTr="00296C25">
        <w:trPr>
          <w:trHeight w:val="288"/>
        </w:trPr>
        <w:tc>
          <w:tcPr>
            <w:cnfStyle w:val="001000000000" w:firstRow="0" w:lastRow="0" w:firstColumn="1" w:lastColumn="0" w:oddVBand="0" w:evenVBand="0" w:oddHBand="0" w:evenHBand="0" w:firstRowFirstColumn="0" w:firstRowLastColumn="0" w:lastRowFirstColumn="0" w:lastRowLastColumn="0"/>
            <w:tcW w:w="1176" w:type="pct"/>
            <w:noWrap/>
          </w:tcPr>
          <w:p w14:paraId="578CFE63" w14:textId="77777777" w:rsidR="006E306E" w:rsidRPr="007755D2" w:rsidRDefault="006E306E" w:rsidP="00D57A18">
            <w:pPr>
              <w:pStyle w:val="TableText0"/>
              <w:spacing w:before="11" w:after="11"/>
            </w:pPr>
            <w:r>
              <w:rPr>
                <w:rFonts w:eastAsia="Times New Roman"/>
              </w:rPr>
              <w:t>ICER</w:t>
            </w:r>
          </w:p>
        </w:tc>
        <w:tc>
          <w:tcPr>
            <w:tcW w:w="1912" w:type="pct"/>
            <w:gridSpan w:val="3"/>
          </w:tcPr>
          <w:p w14:paraId="57081007" w14:textId="75699D75" w:rsidR="006E306E" w:rsidRPr="007755D2" w:rsidRDefault="006E306E" w:rsidP="00AB4403">
            <w:pPr>
              <w:pStyle w:val="TableText0"/>
              <w:spacing w:before="11" w:after="11"/>
              <w:jc w:val="right"/>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w:t>
            </w:r>
            <w:r w:rsidR="00DC792F" w:rsidRPr="00182024">
              <w:rPr>
                <w:rFonts w:eastAsia="MS Gothic"/>
                <w:b/>
              </w:rPr>
              <w:t>redacted</w:t>
            </w:r>
          </w:p>
        </w:tc>
        <w:tc>
          <w:tcPr>
            <w:tcW w:w="1912" w:type="pct"/>
            <w:gridSpan w:val="3"/>
            <w:noWrap/>
          </w:tcPr>
          <w:p w14:paraId="6B5BC43E" w14:textId="688119B9" w:rsidR="006E306E" w:rsidRPr="007755D2" w:rsidRDefault="006E306E" w:rsidP="00AB4403">
            <w:pPr>
              <w:pStyle w:val="TableText0"/>
              <w:spacing w:before="11" w:after="11"/>
              <w:jc w:val="right"/>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w:t>
            </w:r>
            <w:r w:rsidR="001D420B" w:rsidRPr="00182024">
              <w:rPr>
                <w:rFonts w:eastAsia="MS Gothic"/>
                <w:b/>
              </w:rPr>
              <w:t>redacted</w:t>
            </w:r>
          </w:p>
        </w:tc>
      </w:tr>
    </w:tbl>
    <w:p w14:paraId="047D9FAC" w14:textId="77777777" w:rsidR="006E306E" w:rsidRDefault="00044858" w:rsidP="00D57A18">
      <w:pPr>
        <w:pStyle w:val="TableFooter"/>
      </w:pPr>
      <w:r w:rsidRPr="005113F1">
        <w:rPr>
          <w:i/>
        </w:rPr>
        <w:t>BRCA</w:t>
      </w:r>
      <w:r w:rsidRPr="005113F1">
        <w:t xml:space="preserve"> = breast cancer gene 1 and 2; g</w:t>
      </w:r>
      <w:r w:rsidRPr="005113F1">
        <w:rPr>
          <w:i/>
        </w:rPr>
        <w:t>BRCA</w:t>
      </w:r>
      <w:r w:rsidRPr="005113F1">
        <w:t xml:space="preserve">m = germline </w:t>
      </w:r>
      <w:r w:rsidRPr="005113F1">
        <w:rPr>
          <w:i/>
        </w:rPr>
        <w:t>BRCA</w:t>
      </w:r>
      <w:r w:rsidRPr="005113F1">
        <w:t xml:space="preserve"> pathological or likely pathological variant; </w:t>
      </w:r>
      <w:r w:rsidR="006E306E">
        <w:t>ICER = incremental cost-effectiveness ratio; QALY = quality-adjusted life-years</w:t>
      </w:r>
      <w:r w:rsidR="00C30BA7">
        <w:t xml:space="preserve">; </w:t>
      </w:r>
      <w:r w:rsidR="00C30BA7" w:rsidRPr="005113F1">
        <w:t>s</w:t>
      </w:r>
      <w:r w:rsidR="00C30BA7" w:rsidRPr="005113F1">
        <w:rPr>
          <w:i/>
        </w:rPr>
        <w:t>BRCA</w:t>
      </w:r>
      <w:r w:rsidR="00C30BA7" w:rsidRPr="005113F1">
        <w:t xml:space="preserve">m = somatic </w:t>
      </w:r>
      <w:r w:rsidR="00C30BA7" w:rsidRPr="005113F1">
        <w:rPr>
          <w:i/>
        </w:rPr>
        <w:t>BRCA</w:t>
      </w:r>
      <w:r w:rsidR="00C30BA7" w:rsidRPr="005113F1">
        <w:t xml:space="preserve"> pathological or likely pathological variant</w:t>
      </w:r>
    </w:p>
    <w:p w14:paraId="626330E5" w14:textId="77777777" w:rsidR="006E306E" w:rsidRPr="000205B4" w:rsidRDefault="006E306E" w:rsidP="00D57A18">
      <w:pPr>
        <w:pStyle w:val="TableFooter"/>
      </w:pPr>
      <w:r w:rsidRPr="00BD0050">
        <w:t xml:space="preserve">Source: </w:t>
      </w:r>
      <w:r>
        <w:t>Calculated for th</w:t>
      </w:r>
      <w:r w:rsidR="009B6F00">
        <w:t>e pre</w:t>
      </w:r>
      <w:r w:rsidR="00D57A18">
        <w:t>-MSAC</w:t>
      </w:r>
      <w:r>
        <w:t xml:space="preserve"> response</w:t>
      </w:r>
    </w:p>
    <w:p w14:paraId="1257AFDD" w14:textId="77777777" w:rsidR="00F23AA4" w:rsidRPr="00F715D1" w:rsidRDefault="00F23AA4" w:rsidP="00F23AA4">
      <w:pPr>
        <w:pStyle w:val="Heading1"/>
      </w:pPr>
      <w:r w:rsidRPr="00F715D1">
        <w:t>Financial/budgetary impacts</w:t>
      </w:r>
    </w:p>
    <w:p w14:paraId="49026FA0" w14:textId="77777777" w:rsidR="009824AB" w:rsidRDefault="009824AB" w:rsidP="009B6F00">
      <w:pPr>
        <w:pStyle w:val="MSACESParagraph"/>
        <w:rPr>
          <w:szCs w:val="24"/>
          <w:lang w:eastAsia="zh-CN"/>
        </w:rPr>
      </w:pPr>
      <w:r w:rsidRPr="00414542">
        <w:rPr>
          <w:rFonts w:cs="Times New Roman"/>
          <w:szCs w:val="24"/>
          <w:lang w:eastAsia="zh-CN"/>
        </w:rPr>
        <w:t xml:space="preserve">The predicted use and cost to the Commonwealth </w:t>
      </w:r>
      <w:r>
        <w:rPr>
          <w:rFonts w:cs="Times New Roman"/>
          <w:szCs w:val="24"/>
          <w:lang w:eastAsia="zh-CN"/>
        </w:rPr>
        <w:t xml:space="preserve">of extended </w:t>
      </w:r>
      <w:r w:rsidRPr="008D4D97">
        <w:rPr>
          <w:rFonts w:cs="Times New Roman"/>
          <w:i/>
          <w:szCs w:val="24"/>
          <w:lang w:eastAsia="zh-CN"/>
        </w:rPr>
        <w:t>BRCA</w:t>
      </w:r>
      <w:r>
        <w:rPr>
          <w:rFonts w:cs="Times New Roman"/>
          <w:szCs w:val="24"/>
          <w:lang w:eastAsia="zh-CN"/>
        </w:rPr>
        <w:t xml:space="preserve"> testing under requested Scenario 2</w:t>
      </w:r>
      <w:r w:rsidR="00E07786">
        <w:rPr>
          <w:rFonts w:cs="Times New Roman"/>
          <w:szCs w:val="24"/>
          <w:lang w:eastAsia="zh-CN"/>
        </w:rPr>
        <w:t>,</w:t>
      </w:r>
      <w:r>
        <w:rPr>
          <w:rFonts w:cs="Times New Roman"/>
          <w:szCs w:val="24"/>
          <w:lang w:eastAsia="zh-CN"/>
        </w:rPr>
        <w:t xml:space="preserve"> and </w:t>
      </w:r>
      <w:r w:rsidRPr="00414542">
        <w:rPr>
          <w:rFonts w:cs="Times New Roman"/>
          <w:szCs w:val="24"/>
          <w:lang w:eastAsia="zh-CN"/>
        </w:rPr>
        <w:t xml:space="preserve">associated with the listing of olaparib on the PBS for the first-line maintenance treatment of a patient newly diagnosed with advanced HGEOC, </w:t>
      </w:r>
      <w:r w:rsidR="00E07786">
        <w:rPr>
          <w:rFonts w:cs="Times New Roman"/>
          <w:szCs w:val="24"/>
          <w:lang w:eastAsia="zh-CN"/>
        </w:rPr>
        <w:t>wa</w:t>
      </w:r>
      <w:r w:rsidRPr="00414542">
        <w:rPr>
          <w:rFonts w:cs="Times New Roman"/>
          <w:szCs w:val="24"/>
          <w:lang w:eastAsia="zh-CN"/>
        </w:rPr>
        <w:t xml:space="preserve">s estimated using an epidemiological approach over </w:t>
      </w:r>
      <w:r>
        <w:rPr>
          <w:rFonts w:cs="Times New Roman"/>
          <w:szCs w:val="24"/>
          <w:lang w:eastAsia="zh-CN"/>
        </w:rPr>
        <w:t>six</w:t>
      </w:r>
      <w:r w:rsidRPr="00414542">
        <w:rPr>
          <w:rFonts w:cs="Times New Roman"/>
          <w:szCs w:val="24"/>
          <w:lang w:eastAsia="zh-CN"/>
        </w:rPr>
        <w:t xml:space="preserve"> full calendar years from</w:t>
      </w:r>
      <w:r>
        <w:rPr>
          <w:rFonts w:cs="Times New Roman"/>
          <w:szCs w:val="24"/>
          <w:lang w:eastAsia="zh-CN"/>
        </w:rPr>
        <w:t xml:space="preserve"> 2021 (Year 1) to 2026 (Year 6) [Table </w:t>
      </w:r>
      <w:r w:rsidR="006E306E">
        <w:rPr>
          <w:rFonts w:cs="Times New Roman"/>
          <w:szCs w:val="24"/>
          <w:lang w:eastAsia="zh-CN"/>
        </w:rPr>
        <w:t>9</w:t>
      </w:r>
      <w:r>
        <w:rPr>
          <w:rFonts w:cs="Times New Roman"/>
          <w:szCs w:val="24"/>
          <w:lang w:eastAsia="zh-CN"/>
        </w:rPr>
        <w:t xml:space="preserve">; as presented in the </w:t>
      </w:r>
      <w:r>
        <w:t>Commentary</w:t>
      </w:r>
      <w:r>
        <w:rPr>
          <w:rFonts w:cs="Times New Roman"/>
          <w:szCs w:val="24"/>
          <w:lang w:eastAsia="zh-CN"/>
        </w:rPr>
        <w:t>]. The submission’s financial estimates were uncertain as: they under-estimated the g</w:t>
      </w:r>
      <w:r w:rsidRPr="005B6F49">
        <w:rPr>
          <w:rFonts w:cs="Times New Roman"/>
          <w:i/>
          <w:szCs w:val="24"/>
          <w:lang w:eastAsia="zh-CN"/>
        </w:rPr>
        <w:t>BRCA</w:t>
      </w:r>
      <w:r>
        <w:rPr>
          <w:rFonts w:cs="Times New Roman"/>
          <w:szCs w:val="24"/>
          <w:lang w:eastAsia="zh-CN"/>
        </w:rPr>
        <w:t xml:space="preserve"> tests displaced; did not include subsequent g</w:t>
      </w:r>
      <w:r w:rsidRPr="005B6F49">
        <w:rPr>
          <w:rFonts w:cs="Times New Roman"/>
          <w:i/>
          <w:szCs w:val="24"/>
          <w:lang w:eastAsia="zh-CN"/>
        </w:rPr>
        <w:t>BRCA</w:t>
      </w:r>
      <w:r>
        <w:rPr>
          <w:rFonts w:cs="Times New Roman"/>
          <w:szCs w:val="24"/>
          <w:lang w:eastAsia="zh-CN"/>
        </w:rPr>
        <w:t xml:space="preserve"> testing (for familial testing) required following </w:t>
      </w:r>
      <w:r w:rsidR="00AB4403">
        <w:rPr>
          <w:rFonts w:cs="Times New Roman"/>
          <w:szCs w:val="24"/>
          <w:lang w:eastAsia="zh-CN"/>
        </w:rPr>
        <w:t xml:space="preserve">a </w:t>
      </w:r>
      <w:r>
        <w:rPr>
          <w:rFonts w:cs="Times New Roman"/>
          <w:szCs w:val="24"/>
          <w:lang w:eastAsia="zh-CN"/>
        </w:rPr>
        <w:t xml:space="preserve">positive tumour </w:t>
      </w:r>
      <w:r w:rsidRPr="005B6F49">
        <w:rPr>
          <w:rFonts w:cs="Times New Roman"/>
          <w:i/>
          <w:szCs w:val="24"/>
          <w:lang w:eastAsia="zh-CN"/>
        </w:rPr>
        <w:t>BRCA</w:t>
      </w:r>
      <w:r>
        <w:rPr>
          <w:rFonts w:cs="Times New Roman"/>
          <w:szCs w:val="24"/>
          <w:lang w:eastAsia="zh-CN"/>
        </w:rPr>
        <w:t xml:space="preserve"> test</w:t>
      </w:r>
      <w:r w:rsidR="00AB4403">
        <w:rPr>
          <w:rFonts w:cs="Times New Roman"/>
          <w:szCs w:val="24"/>
          <w:lang w:eastAsia="zh-CN"/>
        </w:rPr>
        <w:t xml:space="preserve"> result</w:t>
      </w:r>
      <w:r>
        <w:rPr>
          <w:rFonts w:cs="Times New Roman"/>
          <w:szCs w:val="24"/>
          <w:lang w:eastAsia="zh-CN"/>
        </w:rPr>
        <w:t xml:space="preserve">; and calculated cost to MBS using 100% MBS item fee rather than applying 85% or 75% MBS rebate or combination of both. The Commentary noted that the </w:t>
      </w:r>
      <w:r w:rsidRPr="00666122">
        <w:rPr>
          <w:szCs w:val="24"/>
          <w:lang w:eastAsia="zh-CN"/>
        </w:rPr>
        <w:t xml:space="preserve">methodology used in the financial model </w:t>
      </w:r>
      <w:r>
        <w:rPr>
          <w:szCs w:val="24"/>
          <w:lang w:eastAsia="zh-CN"/>
        </w:rPr>
        <w:t>was</w:t>
      </w:r>
      <w:r w:rsidRPr="00666122">
        <w:rPr>
          <w:szCs w:val="24"/>
          <w:lang w:eastAsia="zh-CN"/>
        </w:rPr>
        <w:t xml:space="preserve"> particularly complex (e.g. different approaches to cost</w:t>
      </w:r>
      <w:r>
        <w:rPr>
          <w:szCs w:val="24"/>
          <w:lang w:eastAsia="zh-CN"/>
        </w:rPr>
        <w:t>s</w:t>
      </w:r>
      <w:r w:rsidRPr="00666122">
        <w:rPr>
          <w:szCs w:val="24"/>
          <w:lang w:eastAsia="zh-CN"/>
        </w:rPr>
        <w:t xml:space="preserve"> </w:t>
      </w:r>
      <w:r w:rsidRPr="005B6F49">
        <w:rPr>
          <w:i/>
          <w:szCs w:val="24"/>
          <w:lang w:eastAsia="zh-CN"/>
        </w:rPr>
        <w:t>vs.</w:t>
      </w:r>
      <w:r w:rsidRPr="00666122">
        <w:rPr>
          <w:szCs w:val="24"/>
          <w:lang w:eastAsia="zh-CN"/>
        </w:rPr>
        <w:t xml:space="preserve"> cost offsets)</w:t>
      </w:r>
      <w:r>
        <w:rPr>
          <w:szCs w:val="24"/>
          <w:lang w:eastAsia="zh-CN"/>
        </w:rPr>
        <w:t xml:space="preserve"> making it difficult to </w:t>
      </w:r>
      <w:r w:rsidRPr="00D31DF3">
        <w:rPr>
          <w:szCs w:val="24"/>
          <w:lang w:eastAsia="zh-CN"/>
        </w:rPr>
        <w:t xml:space="preserve">amend the financial model to incorporate </w:t>
      </w:r>
      <w:r>
        <w:rPr>
          <w:szCs w:val="24"/>
          <w:lang w:eastAsia="zh-CN"/>
        </w:rPr>
        <w:t>alternative data or assumptions.</w:t>
      </w:r>
    </w:p>
    <w:p w14:paraId="7D812BC2" w14:textId="77777777" w:rsidR="009824AB" w:rsidRPr="00296C25" w:rsidRDefault="009824AB" w:rsidP="00296C25">
      <w:pPr>
        <w:keepNext/>
        <w:keepLines/>
        <w:rPr>
          <w:rFonts w:ascii="Arial Narrow" w:hAnsi="Arial Narrow"/>
          <w:b/>
          <w:sz w:val="20"/>
        </w:rPr>
      </w:pPr>
      <w:r w:rsidRPr="00296C25">
        <w:rPr>
          <w:rFonts w:ascii="Arial Narrow" w:hAnsi="Arial Narrow"/>
          <w:b/>
          <w:sz w:val="20"/>
        </w:rPr>
        <w:t xml:space="preserve">Table </w:t>
      </w:r>
      <w:r w:rsidR="006E306E" w:rsidRPr="00296C25">
        <w:rPr>
          <w:rFonts w:ascii="Arial Narrow" w:hAnsi="Arial Narrow"/>
          <w:b/>
          <w:sz w:val="20"/>
        </w:rPr>
        <w:t>9</w:t>
      </w:r>
      <w:r w:rsidRPr="00296C25">
        <w:rPr>
          <w:rFonts w:ascii="Arial Narrow" w:hAnsi="Arial Narrow"/>
          <w:b/>
          <w:sz w:val="20"/>
        </w:rPr>
        <w:tab/>
        <w:t>The estimated financial implications to the MBS of tumour BRCA testing</w:t>
      </w:r>
    </w:p>
    <w:tbl>
      <w:tblPr>
        <w:tblStyle w:val="PBACTableStyle"/>
        <w:tblW w:w="5000" w:type="pct"/>
        <w:tblLook w:val="04A0" w:firstRow="1" w:lastRow="0" w:firstColumn="1" w:lastColumn="0" w:noHBand="0" w:noVBand="1"/>
        <w:tblDescription w:val="The estimated financial implications to the MBS of tumour BRCA testing"/>
      </w:tblPr>
      <w:tblGrid>
        <w:gridCol w:w="3070"/>
        <w:gridCol w:w="991"/>
        <w:gridCol w:w="991"/>
        <w:gridCol w:w="991"/>
        <w:gridCol w:w="991"/>
        <w:gridCol w:w="991"/>
        <w:gridCol w:w="991"/>
      </w:tblGrid>
      <w:tr w:rsidR="001D420B" w:rsidRPr="00DC08B0" w14:paraId="5766A122" w14:textId="77777777" w:rsidTr="00296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5F789B20" w14:textId="77777777" w:rsidR="009824AB" w:rsidRPr="00DC08B0" w:rsidRDefault="009824AB" w:rsidP="00296C25">
            <w:pPr>
              <w:pStyle w:val="TableText0"/>
              <w:keepNext/>
              <w:keepLines/>
              <w:spacing w:before="11" w:after="11" w:line="257" w:lineRule="auto"/>
              <w:jc w:val="center"/>
              <w:rPr>
                <w:b w:val="0"/>
              </w:rPr>
            </w:pPr>
          </w:p>
        </w:tc>
        <w:tc>
          <w:tcPr>
            <w:tcW w:w="537" w:type="pct"/>
          </w:tcPr>
          <w:p w14:paraId="30E3F8F6"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1</w:t>
            </w:r>
          </w:p>
        </w:tc>
        <w:tc>
          <w:tcPr>
            <w:tcW w:w="537" w:type="pct"/>
          </w:tcPr>
          <w:p w14:paraId="34D2C325"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2</w:t>
            </w:r>
          </w:p>
        </w:tc>
        <w:tc>
          <w:tcPr>
            <w:tcW w:w="538" w:type="pct"/>
          </w:tcPr>
          <w:p w14:paraId="14952AC0"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3</w:t>
            </w:r>
          </w:p>
        </w:tc>
        <w:tc>
          <w:tcPr>
            <w:tcW w:w="537" w:type="pct"/>
          </w:tcPr>
          <w:p w14:paraId="3995C617"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4</w:t>
            </w:r>
          </w:p>
        </w:tc>
        <w:tc>
          <w:tcPr>
            <w:tcW w:w="537" w:type="pct"/>
          </w:tcPr>
          <w:p w14:paraId="41DD3EFD"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5</w:t>
            </w:r>
          </w:p>
        </w:tc>
        <w:tc>
          <w:tcPr>
            <w:tcW w:w="538" w:type="pct"/>
          </w:tcPr>
          <w:p w14:paraId="5FC6598F" w14:textId="77777777" w:rsidR="009824AB" w:rsidRPr="00DC08B0" w:rsidRDefault="009824AB" w:rsidP="00296C25">
            <w:pPr>
              <w:pStyle w:val="TableText0"/>
              <w:keepNext/>
              <w:keepLines/>
              <w:spacing w:before="11" w:after="11" w:line="257" w:lineRule="auto"/>
              <w:jc w:val="center"/>
              <w:cnfStyle w:val="100000000000" w:firstRow="1" w:lastRow="0" w:firstColumn="0" w:lastColumn="0" w:oddVBand="0" w:evenVBand="0" w:oddHBand="0" w:evenHBand="0" w:firstRowFirstColumn="0" w:firstRowLastColumn="0" w:lastRowFirstColumn="0" w:lastRowLastColumn="0"/>
              <w:rPr>
                <w:b w:val="0"/>
              </w:rPr>
            </w:pPr>
            <w:r w:rsidRPr="00DC08B0">
              <w:t>Year 6</w:t>
            </w:r>
          </w:p>
        </w:tc>
      </w:tr>
      <w:tr w:rsidR="009824AB" w:rsidRPr="00DC08B0" w14:paraId="1FD0C723" w14:textId="77777777" w:rsidTr="00296C25">
        <w:tc>
          <w:tcPr>
            <w:cnfStyle w:val="001000000000" w:firstRow="0" w:lastRow="0" w:firstColumn="1" w:lastColumn="0" w:oddVBand="0" w:evenVBand="0" w:oddHBand="0" w:evenHBand="0" w:firstRowFirstColumn="0" w:firstRowLastColumn="0" w:lastRowFirstColumn="0" w:lastRowLastColumn="0"/>
            <w:tcW w:w="5000" w:type="pct"/>
            <w:gridSpan w:val="7"/>
          </w:tcPr>
          <w:p w14:paraId="17407B8E" w14:textId="77777777" w:rsidR="009824AB" w:rsidRPr="00DC08B0" w:rsidRDefault="009824AB" w:rsidP="00296C25">
            <w:pPr>
              <w:pStyle w:val="TableText0"/>
              <w:keepNext/>
              <w:keepLines/>
              <w:spacing w:before="11" w:after="11" w:line="257" w:lineRule="auto"/>
              <w:rPr>
                <w:b/>
              </w:rPr>
            </w:pPr>
            <w:r w:rsidRPr="00DC08B0">
              <w:rPr>
                <w:b/>
              </w:rPr>
              <w:t xml:space="preserve">Estimated extent of use </w:t>
            </w:r>
            <w:r>
              <w:rPr>
                <w:b/>
              </w:rPr>
              <w:t xml:space="preserve">and financial implications </w:t>
            </w:r>
            <w:r w:rsidRPr="00DC08B0">
              <w:rPr>
                <w:b/>
              </w:rPr>
              <w:t xml:space="preserve">of </w:t>
            </w:r>
            <w:r>
              <w:rPr>
                <w:b/>
              </w:rPr>
              <w:t xml:space="preserve">tumour </w:t>
            </w:r>
            <w:r w:rsidRPr="004D56F7">
              <w:rPr>
                <w:b/>
                <w:i/>
                <w:iCs/>
              </w:rPr>
              <w:t>BRCA</w:t>
            </w:r>
            <w:r>
              <w:rPr>
                <w:b/>
              </w:rPr>
              <w:t xml:space="preserve"> testing</w:t>
            </w:r>
          </w:p>
        </w:tc>
      </w:tr>
      <w:tr w:rsidR="001D420B" w:rsidRPr="00DC08B0" w14:paraId="7C2261FD"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2774474F" w14:textId="77777777" w:rsidR="009824AB" w:rsidRPr="00DC08B0" w:rsidRDefault="009824AB" w:rsidP="00296C25">
            <w:pPr>
              <w:pStyle w:val="TableText0"/>
              <w:keepNext/>
              <w:keepLines/>
              <w:spacing w:before="11" w:after="11"/>
            </w:pPr>
            <w:r w:rsidRPr="00DC08B0">
              <w:t>Number of patients tested</w:t>
            </w:r>
            <w:r>
              <w:t xml:space="preserve"> with tumour </w:t>
            </w:r>
            <w:r w:rsidRPr="00BC387B">
              <w:rPr>
                <w:i/>
                <w:iCs/>
              </w:rPr>
              <w:t>BRCA</w:t>
            </w:r>
            <w:r>
              <w:t xml:space="preserve"> test</w:t>
            </w:r>
          </w:p>
        </w:tc>
        <w:tc>
          <w:tcPr>
            <w:tcW w:w="537" w:type="pct"/>
          </w:tcPr>
          <w:p w14:paraId="32E06104" w14:textId="2FE8EBC2" w:rsidR="009824AB" w:rsidRPr="00DC08B0" w:rsidRDefault="00595AB2" w:rsidP="00296C25">
            <w:pPr>
              <w:pStyle w:val="TableNumber"/>
              <w:keepNext/>
              <w:keepLines/>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c>
          <w:tcPr>
            <w:tcW w:w="537" w:type="pct"/>
          </w:tcPr>
          <w:p w14:paraId="64F69C96" w14:textId="15A937C4" w:rsidR="009824AB" w:rsidRPr="00DC08B0" w:rsidRDefault="00595AB2" w:rsidP="00296C25">
            <w:pPr>
              <w:pStyle w:val="TableText0"/>
              <w:keepNext/>
              <w:keepLines/>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c>
          <w:tcPr>
            <w:tcW w:w="538" w:type="pct"/>
          </w:tcPr>
          <w:p w14:paraId="63E200EE" w14:textId="17CD0CDC" w:rsidR="009824AB" w:rsidRPr="00DC08B0" w:rsidRDefault="00595AB2" w:rsidP="00296C25">
            <w:pPr>
              <w:pStyle w:val="TableText0"/>
              <w:keepNext/>
              <w:keepLines/>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c>
          <w:tcPr>
            <w:tcW w:w="537" w:type="pct"/>
          </w:tcPr>
          <w:p w14:paraId="704A8D83" w14:textId="3072FF4E" w:rsidR="009824AB" w:rsidRPr="00DC08B0" w:rsidRDefault="00595AB2" w:rsidP="00296C25">
            <w:pPr>
              <w:pStyle w:val="TableText0"/>
              <w:keepNext/>
              <w:keepLines/>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c>
          <w:tcPr>
            <w:tcW w:w="537" w:type="pct"/>
          </w:tcPr>
          <w:p w14:paraId="7723DFBC" w14:textId="46B933B2" w:rsidR="009824AB" w:rsidRPr="00DC08B0" w:rsidRDefault="00595AB2" w:rsidP="00296C25">
            <w:pPr>
              <w:pStyle w:val="TableText0"/>
              <w:keepNext/>
              <w:keepLines/>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c>
          <w:tcPr>
            <w:tcW w:w="538" w:type="pct"/>
          </w:tcPr>
          <w:p w14:paraId="364B26F5" w14:textId="4A00FDC5" w:rsidR="009824AB" w:rsidRPr="00DC08B0" w:rsidRDefault="00595AB2" w:rsidP="00296C25">
            <w:pPr>
              <w:pStyle w:val="TableText0"/>
              <w:keepNext/>
              <w:keepLines/>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BA561A" w:rsidDel="00595AB2">
              <w:t xml:space="preserve"> </w:t>
            </w:r>
          </w:p>
        </w:tc>
      </w:tr>
      <w:tr w:rsidR="001D420B" w:rsidRPr="00DC08B0" w14:paraId="2350ADFB"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4E1610B5" w14:textId="77777777" w:rsidR="009824AB" w:rsidRPr="00DC08B0" w:rsidRDefault="009824AB" w:rsidP="006E306E">
            <w:pPr>
              <w:pStyle w:val="TableText0"/>
              <w:spacing w:before="11" w:after="11"/>
            </w:pPr>
            <w:r>
              <w:t xml:space="preserve">Number of patients tested with germline </w:t>
            </w:r>
            <w:r w:rsidRPr="00BC387B">
              <w:rPr>
                <w:i/>
                <w:iCs/>
              </w:rPr>
              <w:t>BRCA</w:t>
            </w:r>
            <w:r>
              <w:t xml:space="preserve"> test</w:t>
            </w:r>
            <w:r w:rsidRPr="00BC387B">
              <w:rPr>
                <w:vertAlign w:val="superscript"/>
              </w:rPr>
              <w:t>a</w:t>
            </w:r>
          </w:p>
        </w:tc>
        <w:tc>
          <w:tcPr>
            <w:tcW w:w="537" w:type="pct"/>
          </w:tcPr>
          <w:p w14:paraId="3F8BDBE0" w14:textId="23143AB2" w:rsidR="009824AB" w:rsidRPr="002E3D47" w:rsidRDefault="00595AB2" w:rsidP="006E306E">
            <w:pPr>
              <w:pStyle w:val="TableNumber"/>
              <w:tabs>
                <w:tab w:val="clear" w:pos="396"/>
                <w:tab w:val="decimal" w:pos="221"/>
              </w:tabs>
              <w:spacing w:before="22" w:after="22"/>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c>
          <w:tcPr>
            <w:tcW w:w="537" w:type="pct"/>
          </w:tcPr>
          <w:p w14:paraId="737EFE55" w14:textId="5A1C871E" w:rsidR="009824AB" w:rsidRPr="002E3D47" w:rsidRDefault="00595AB2" w:rsidP="006E306E">
            <w:pPr>
              <w:pStyle w:val="TableText0"/>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c>
          <w:tcPr>
            <w:tcW w:w="538" w:type="pct"/>
          </w:tcPr>
          <w:p w14:paraId="69EFFA8A" w14:textId="13787C8B" w:rsidR="009824AB" w:rsidRPr="002E3D47" w:rsidRDefault="00595AB2" w:rsidP="006E306E">
            <w:pPr>
              <w:pStyle w:val="TableText0"/>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c>
          <w:tcPr>
            <w:tcW w:w="537" w:type="pct"/>
          </w:tcPr>
          <w:p w14:paraId="366B5D1F" w14:textId="104E9087" w:rsidR="009824AB" w:rsidRPr="002E3D47" w:rsidRDefault="00595AB2" w:rsidP="006E306E">
            <w:pPr>
              <w:pStyle w:val="TableText0"/>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c>
          <w:tcPr>
            <w:tcW w:w="537" w:type="pct"/>
          </w:tcPr>
          <w:p w14:paraId="4FE031B2" w14:textId="310B4F14" w:rsidR="009824AB" w:rsidRPr="002E3D47" w:rsidRDefault="00595AB2" w:rsidP="006E306E">
            <w:pPr>
              <w:pStyle w:val="TableText0"/>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c>
          <w:tcPr>
            <w:tcW w:w="538" w:type="pct"/>
          </w:tcPr>
          <w:p w14:paraId="66DF65C9" w14:textId="19E58969" w:rsidR="009824AB" w:rsidRPr="002E3D47" w:rsidRDefault="00595AB2" w:rsidP="006E306E">
            <w:pPr>
              <w:pStyle w:val="TableText0"/>
              <w:tabs>
                <w:tab w:val="decimal" w:pos="221"/>
              </w:tabs>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RPr="005513BB" w:rsidDel="00595AB2">
              <w:t xml:space="preserve"> </w:t>
            </w:r>
          </w:p>
        </w:tc>
      </w:tr>
      <w:tr w:rsidR="001D420B" w:rsidRPr="00DC08B0" w14:paraId="208896AB"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692F477B" w14:textId="77777777" w:rsidR="009824AB" w:rsidRPr="00DC08B0" w:rsidRDefault="009824AB" w:rsidP="006E306E">
            <w:pPr>
              <w:pStyle w:val="TableText0"/>
              <w:spacing w:before="11" w:after="11"/>
            </w:pPr>
            <w:r w:rsidRPr="00DC08B0">
              <w:t>Cost to the MBS less copayments</w:t>
            </w:r>
          </w:p>
        </w:tc>
        <w:tc>
          <w:tcPr>
            <w:tcW w:w="537" w:type="pct"/>
          </w:tcPr>
          <w:p w14:paraId="55D61698" w14:textId="15D53E24"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c>
          <w:tcPr>
            <w:tcW w:w="537" w:type="pct"/>
          </w:tcPr>
          <w:p w14:paraId="112DA80D" w14:textId="30BD9903"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c>
          <w:tcPr>
            <w:tcW w:w="538" w:type="pct"/>
          </w:tcPr>
          <w:p w14:paraId="1F94C49B" w14:textId="74A3C8D3"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c>
          <w:tcPr>
            <w:tcW w:w="537" w:type="pct"/>
          </w:tcPr>
          <w:p w14:paraId="29472588" w14:textId="4A5C4475"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c>
          <w:tcPr>
            <w:tcW w:w="537" w:type="pct"/>
          </w:tcPr>
          <w:p w14:paraId="2977A73A" w14:textId="50BB1571"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c>
          <w:tcPr>
            <w:tcW w:w="538" w:type="pct"/>
          </w:tcPr>
          <w:p w14:paraId="6E572739" w14:textId="34328132" w:rsidR="009824AB" w:rsidRPr="00DC08B0" w:rsidRDefault="009824A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B7E32">
              <w:t>$</w:t>
            </w:r>
            <w:r w:rsidR="001D420B" w:rsidRPr="00182024">
              <w:rPr>
                <w:b/>
              </w:rPr>
              <w:t>redacted</w:t>
            </w:r>
          </w:p>
        </w:tc>
      </w:tr>
      <w:tr w:rsidR="009824AB" w:rsidRPr="00DC08B0" w14:paraId="74A2A926" w14:textId="77777777" w:rsidTr="00296C25">
        <w:tc>
          <w:tcPr>
            <w:cnfStyle w:val="001000000000" w:firstRow="0" w:lastRow="0" w:firstColumn="1" w:lastColumn="0" w:oddVBand="0" w:evenVBand="0" w:oddHBand="0" w:evenHBand="0" w:firstRowFirstColumn="0" w:firstRowLastColumn="0" w:lastRowFirstColumn="0" w:lastRowLastColumn="0"/>
            <w:tcW w:w="5000" w:type="pct"/>
            <w:gridSpan w:val="7"/>
          </w:tcPr>
          <w:p w14:paraId="3308D365" w14:textId="77777777" w:rsidR="009824AB" w:rsidRPr="00DC08B0" w:rsidRDefault="009824AB" w:rsidP="006E306E">
            <w:pPr>
              <w:pStyle w:val="TableText0"/>
              <w:spacing w:before="11" w:after="11"/>
              <w:rPr>
                <w:b/>
              </w:rPr>
            </w:pPr>
            <w:r w:rsidRPr="00DC08B0">
              <w:rPr>
                <w:b/>
              </w:rPr>
              <w:t xml:space="preserve">Estimated </w:t>
            </w:r>
            <w:r>
              <w:rPr>
                <w:b/>
              </w:rPr>
              <w:t xml:space="preserve">reduction in the extent of the use and financial implications of germline </w:t>
            </w:r>
            <w:r w:rsidRPr="00BC387B">
              <w:rPr>
                <w:b/>
                <w:i/>
                <w:iCs/>
              </w:rPr>
              <w:t>BRCA</w:t>
            </w:r>
            <w:r>
              <w:rPr>
                <w:b/>
              </w:rPr>
              <w:t xml:space="preserve"> testing</w:t>
            </w:r>
          </w:p>
        </w:tc>
      </w:tr>
      <w:tr w:rsidR="001D420B" w:rsidRPr="00DC08B0" w14:paraId="72E26FF2"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1F400062" w14:textId="77777777" w:rsidR="009824AB" w:rsidRPr="00DC08B0" w:rsidRDefault="009824AB" w:rsidP="006E306E">
            <w:pPr>
              <w:pStyle w:val="TableText0"/>
              <w:spacing w:before="11" w:after="11"/>
            </w:pPr>
            <w:r>
              <w:t>Number of patients no longer receiving germline testing</w:t>
            </w:r>
          </w:p>
        </w:tc>
        <w:tc>
          <w:tcPr>
            <w:tcW w:w="537" w:type="pct"/>
          </w:tcPr>
          <w:p w14:paraId="755B6087" w14:textId="10931948"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182024">
              <w:rPr>
                <w:b/>
              </w:rPr>
              <w:t>redacted</w:t>
            </w:r>
          </w:p>
        </w:tc>
        <w:tc>
          <w:tcPr>
            <w:tcW w:w="537" w:type="pct"/>
          </w:tcPr>
          <w:p w14:paraId="4D930C56" w14:textId="763DA8E2"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Del="001D420B">
              <w:t xml:space="preserve"> </w:t>
            </w:r>
          </w:p>
        </w:tc>
        <w:tc>
          <w:tcPr>
            <w:tcW w:w="538" w:type="pct"/>
          </w:tcPr>
          <w:p w14:paraId="1D4D0B4C" w14:textId="3684DC1D"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Del="001D420B">
              <w:t xml:space="preserve"> </w:t>
            </w:r>
          </w:p>
        </w:tc>
        <w:tc>
          <w:tcPr>
            <w:tcW w:w="537" w:type="pct"/>
          </w:tcPr>
          <w:p w14:paraId="2FB72419" w14:textId="21FD21AC"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Del="001D420B">
              <w:t xml:space="preserve"> </w:t>
            </w:r>
          </w:p>
        </w:tc>
        <w:tc>
          <w:tcPr>
            <w:tcW w:w="537" w:type="pct"/>
          </w:tcPr>
          <w:p w14:paraId="1FF0A37B" w14:textId="070194DC"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Del="001D420B">
              <w:t xml:space="preserve"> </w:t>
            </w:r>
          </w:p>
        </w:tc>
        <w:tc>
          <w:tcPr>
            <w:tcW w:w="538" w:type="pct"/>
          </w:tcPr>
          <w:p w14:paraId="6DBC7BB3" w14:textId="62B87970" w:rsidR="009824AB" w:rsidRPr="00DC08B0" w:rsidRDefault="001D420B" w:rsidP="006E306E">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E71810">
              <w:rPr>
                <w:b/>
              </w:rPr>
              <w:t>redacted</w:t>
            </w:r>
            <w:r w:rsidDel="001D420B">
              <w:t xml:space="preserve"> </w:t>
            </w:r>
          </w:p>
        </w:tc>
      </w:tr>
      <w:tr w:rsidR="001D420B" w:rsidRPr="00DC08B0" w14:paraId="17D0446B"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73ED82BC" w14:textId="77777777" w:rsidR="009824AB" w:rsidRPr="00DC08B0" w:rsidRDefault="009824AB" w:rsidP="006E306E">
            <w:pPr>
              <w:pStyle w:val="TableText0"/>
              <w:spacing w:before="11" w:after="11"/>
            </w:pPr>
            <w:r>
              <w:t>Saving</w:t>
            </w:r>
            <w:r w:rsidRPr="00DC08B0">
              <w:t xml:space="preserve"> to </w:t>
            </w:r>
            <w:r>
              <w:t xml:space="preserve">MBS </w:t>
            </w:r>
            <w:r w:rsidRPr="00DC08B0">
              <w:t>less copayments</w:t>
            </w:r>
            <w:r w:rsidRPr="004D56F7">
              <w:rPr>
                <w:vertAlign w:val="superscript"/>
              </w:rPr>
              <w:t>b</w:t>
            </w:r>
          </w:p>
        </w:tc>
        <w:tc>
          <w:tcPr>
            <w:tcW w:w="537" w:type="pct"/>
          </w:tcPr>
          <w:p w14:paraId="79BD4ED2" w14:textId="4377C5A8"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c>
          <w:tcPr>
            <w:tcW w:w="537" w:type="pct"/>
          </w:tcPr>
          <w:p w14:paraId="6E85B71C" w14:textId="2FC1E67D"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c>
          <w:tcPr>
            <w:tcW w:w="538" w:type="pct"/>
          </w:tcPr>
          <w:p w14:paraId="1ACEB1DF" w14:textId="5EE0AFC5"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c>
          <w:tcPr>
            <w:tcW w:w="537" w:type="pct"/>
          </w:tcPr>
          <w:p w14:paraId="068A85DE" w14:textId="434B4365"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c>
          <w:tcPr>
            <w:tcW w:w="537" w:type="pct"/>
          </w:tcPr>
          <w:p w14:paraId="0B3E3E90" w14:textId="56CFC682"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c>
          <w:tcPr>
            <w:tcW w:w="538" w:type="pct"/>
          </w:tcPr>
          <w:p w14:paraId="6DF2D488" w14:textId="4C4C25EB"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A273D">
              <w:t>$</w:t>
            </w:r>
            <w:r w:rsidR="001D420B" w:rsidRPr="00E71810">
              <w:rPr>
                <w:b/>
              </w:rPr>
              <w:t>redacted</w:t>
            </w:r>
            <w:r w:rsidR="001D420B" w:rsidRPr="007A273D" w:rsidDel="001D420B">
              <w:t xml:space="preserve"> </w:t>
            </w:r>
          </w:p>
        </w:tc>
      </w:tr>
      <w:tr w:rsidR="009824AB" w:rsidRPr="00DC08B0" w14:paraId="6B0342CB" w14:textId="77777777" w:rsidTr="00296C25">
        <w:tc>
          <w:tcPr>
            <w:cnfStyle w:val="001000000000" w:firstRow="0" w:lastRow="0" w:firstColumn="1" w:lastColumn="0" w:oddVBand="0" w:evenVBand="0" w:oddHBand="0" w:evenHBand="0" w:firstRowFirstColumn="0" w:firstRowLastColumn="0" w:lastRowFirstColumn="0" w:lastRowLastColumn="0"/>
            <w:tcW w:w="5000" w:type="pct"/>
            <w:gridSpan w:val="7"/>
          </w:tcPr>
          <w:p w14:paraId="2BDD7CA3" w14:textId="77777777" w:rsidR="009824AB" w:rsidRPr="00DC08B0" w:rsidRDefault="009824AB" w:rsidP="006E306E">
            <w:pPr>
              <w:pStyle w:val="TableText0"/>
              <w:spacing w:before="11" w:after="11"/>
              <w:rPr>
                <w:b/>
              </w:rPr>
            </w:pPr>
            <w:r w:rsidRPr="00DC08B0">
              <w:rPr>
                <w:b/>
              </w:rPr>
              <w:t>Net financial implications</w:t>
            </w:r>
          </w:p>
        </w:tc>
      </w:tr>
      <w:tr w:rsidR="001D420B" w:rsidRPr="00DC08B0" w14:paraId="37D5C8E7" w14:textId="77777777" w:rsidTr="00296C25">
        <w:tc>
          <w:tcPr>
            <w:cnfStyle w:val="001000000000" w:firstRow="0" w:lastRow="0" w:firstColumn="1" w:lastColumn="0" w:oddVBand="0" w:evenVBand="0" w:oddHBand="0" w:evenHBand="0" w:firstRowFirstColumn="0" w:firstRowLastColumn="0" w:lastRowFirstColumn="0" w:lastRowLastColumn="0"/>
            <w:tcW w:w="1775" w:type="pct"/>
          </w:tcPr>
          <w:p w14:paraId="77264DD2" w14:textId="77777777" w:rsidR="009824AB" w:rsidRPr="00DC08B0" w:rsidRDefault="009824AB" w:rsidP="006E306E">
            <w:pPr>
              <w:pStyle w:val="TableText0"/>
              <w:spacing w:before="11" w:after="11"/>
              <w:rPr>
                <w:rFonts w:ascii="Times" w:eastAsia="Times New Roman" w:hAnsi="Times" w:cs="Times New Roman"/>
              </w:rPr>
            </w:pPr>
            <w:r w:rsidRPr="00DC08B0">
              <w:t>Net cost to MBS</w:t>
            </w:r>
          </w:p>
        </w:tc>
        <w:tc>
          <w:tcPr>
            <w:tcW w:w="537" w:type="pct"/>
          </w:tcPr>
          <w:p w14:paraId="138456AC" w14:textId="5921A09B"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c>
          <w:tcPr>
            <w:tcW w:w="537" w:type="pct"/>
          </w:tcPr>
          <w:p w14:paraId="56FDAED1" w14:textId="4F7345F6"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c>
          <w:tcPr>
            <w:tcW w:w="538" w:type="pct"/>
          </w:tcPr>
          <w:p w14:paraId="5D2879D1" w14:textId="6C703DEF"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c>
          <w:tcPr>
            <w:tcW w:w="537" w:type="pct"/>
          </w:tcPr>
          <w:p w14:paraId="74D6245C" w14:textId="61869C2A"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c>
          <w:tcPr>
            <w:tcW w:w="537" w:type="pct"/>
          </w:tcPr>
          <w:p w14:paraId="563DCAAB" w14:textId="10C1C321"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c>
          <w:tcPr>
            <w:tcW w:w="538" w:type="pct"/>
          </w:tcPr>
          <w:p w14:paraId="1B94D5AB" w14:textId="1003F09A" w:rsidR="009824AB" w:rsidRPr="00DC08B0" w:rsidRDefault="009824AB" w:rsidP="00182024">
            <w:pPr>
              <w:pStyle w:val="TableText0"/>
              <w:spacing w:before="11" w:after="11"/>
              <w:jc w:val="center"/>
              <w:cnfStyle w:val="000000000000" w:firstRow="0" w:lastRow="0" w:firstColumn="0" w:lastColumn="0" w:oddVBand="0" w:evenVBand="0" w:oddHBand="0" w:evenHBand="0" w:firstRowFirstColumn="0" w:firstRowLastColumn="0" w:lastRowFirstColumn="0" w:lastRowLastColumn="0"/>
            </w:pPr>
            <w:r w:rsidRPr="007E7797">
              <w:t>$</w:t>
            </w:r>
            <w:r w:rsidR="001D420B" w:rsidRPr="00E71810">
              <w:rPr>
                <w:b/>
              </w:rPr>
              <w:t>redacted</w:t>
            </w:r>
            <w:r w:rsidR="001D420B" w:rsidRPr="007E7797" w:rsidDel="001D420B">
              <w:t xml:space="preserve"> </w:t>
            </w:r>
          </w:p>
        </w:tc>
      </w:tr>
    </w:tbl>
    <w:p w14:paraId="1F892035" w14:textId="77777777" w:rsidR="009824AB" w:rsidRDefault="009824AB" w:rsidP="009824AB">
      <w:pPr>
        <w:pStyle w:val="TableFooter"/>
      </w:pPr>
      <w:r w:rsidRPr="004D56F7">
        <w:rPr>
          <w:vertAlign w:val="superscript"/>
        </w:rPr>
        <w:t>a</w:t>
      </w:r>
      <w:r>
        <w:t>MBS item 73296 (&gt;10% risk) or 73295 (proposed to be amended to permit use for first-line olaparib).</w:t>
      </w:r>
    </w:p>
    <w:p w14:paraId="6AA5665F" w14:textId="77777777" w:rsidR="009824AB" w:rsidRDefault="009824AB" w:rsidP="009824AB">
      <w:pPr>
        <w:pStyle w:val="TableFooter"/>
      </w:pPr>
      <w:r w:rsidRPr="004D56F7">
        <w:rPr>
          <w:vertAlign w:val="superscript"/>
        </w:rPr>
        <w:t>b</w:t>
      </w:r>
      <w:r>
        <w:t>Re-calculated during the evaluation to account for a higher proportion of patients receiving a germline test at baseline.</w:t>
      </w:r>
    </w:p>
    <w:p w14:paraId="049FDFA5" w14:textId="725DEB6C" w:rsidR="002F218A" w:rsidRDefault="009824AB" w:rsidP="002F218A">
      <w:pPr>
        <w:pStyle w:val="TableFooter"/>
      </w:pPr>
      <w:r w:rsidRPr="00DC08B0">
        <w:t xml:space="preserve">Source: </w:t>
      </w:r>
      <w:r>
        <w:t>Table 4-28 and Table 4.29, p334 of the submission.</w:t>
      </w:r>
      <w:r w:rsidR="002F218A">
        <w:br w:type="page"/>
      </w:r>
    </w:p>
    <w:p w14:paraId="6D5A4B9A" w14:textId="77777777" w:rsidR="00F23AA4" w:rsidRPr="00F715D1" w:rsidRDefault="00F23AA4" w:rsidP="00F23AA4">
      <w:pPr>
        <w:pStyle w:val="Heading1"/>
      </w:pPr>
      <w:r w:rsidRPr="00F715D1">
        <w:t>Key issues from ESC for MSAC</w:t>
      </w:r>
    </w:p>
    <w:tbl>
      <w:tblPr>
        <w:tblStyle w:val="TableGrid"/>
        <w:tblW w:w="0" w:type="auto"/>
        <w:tblLook w:val="04A0" w:firstRow="1" w:lastRow="0" w:firstColumn="1" w:lastColumn="0" w:noHBand="0" w:noVBand="1"/>
        <w:tblCaption w:val="Key issues from ESC for MSAC"/>
      </w:tblPr>
      <w:tblGrid>
        <w:gridCol w:w="2093"/>
        <w:gridCol w:w="6923"/>
      </w:tblGrid>
      <w:tr w:rsidR="00624B7C" w:rsidRPr="00624B7C" w14:paraId="244E22FE" w14:textId="77777777" w:rsidTr="006E306E">
        <w:trPr>
          <w:tblHeader/>
        </w:trPr>
        <w:tc>
          <w:tcPr>
            <w:tcW w:w="2093" w:type="dxa"/>
          </w:tcPr>
          <w:p w14:paraId="3C13564C" w14:textId="77777777" w:rsidR="00624B7C" w:rsidRPr="00624B7C" w:rsidRDefault="00624B7C" w:rsidP="006E306E">
            <w:pPr>
              <w:pStyle w:val="TableHeading"/>
              <w:keepNext w:val="0"/>
              <w:widowControl w:val="0"/>
              <w:spacing w:before="22" w:after="22"/>
              <w:ind w:left="635" w:hanging="635"/>
            </w:pPr>
            <w:r w:rsidRPr="00624B7C">
              <w:t>ESC key issue</w:t>
            </w:r>
          </w:p>
        </w:tc>
        <w:tc>
          <w:tcPr>
            <w:tcW w:w="6923" w:type="dxa"/>
          </w:tcPr>
          <w:p w14:paraId="4CE2651F" w14:textId="77777777" w:rsidR="00624B7C" w:rsidRPr="00624B7C" w:rsidRDefault="00624B7C" w:rsidP="006E306E">
            <w:pPr>
              <w:pStyle w:val="TableHeading"/>
              <w:keepNext w:val="0"/>
              <w:widowControl w:val="0"/>
              <w:spacing w:before="22" w:after="22"/>
              <w:ind w:left="635" w:hanging="635"/>
            </w:pPr>
            <w:r w:rsidRPr="00624B7C">
              <w:t>ESC advice to MSAC</w:t>
            </w:r>
          </w:p>
        </w:tc>
      </w:tr>
      <w:tr w:rsidR="00624B7C" w:rsidRPr="00624B7C" w14:paraId="3D8BA8A0" w14:textId="77777777" w:rsidTr="006E306E">
        <w:tc>
          <w:tcPr>
            <w:tcW w:w="2093" w:type="dxa"/>
          </w:tcPr>
          <w:p w14:paraId="64A11DBF" w14:textId="77777777" w:rsidR="00624B7C" w:rsidRPr="00624B7C" w:rsidRDefault="00624B7C" w:rsidP="006E306E">
            <w:pPr>
              <w:pStyle w:val="TableText"/>
              <w:keepNext w:val="0"/>
              <w:widowControl w:val="0"/>
              <w:spacing w:before="33" w:after="33"/>
              <w:rPr>
                <w:rFonts w:ascii="Arial Narrow" w:hAnsi="Arial Narrow"/>
                <w:sz w:val="20"/>
                <w:szCs w:val="20"/>
                <w:vertAlign w:val="superscript"/>
              </w:rPr>
            </w:pPr>
            <w:r w:rsidRPr="00624B7C">
              <w:rPr>
                <w:rFonts w:ascii="Arial Narrow" w:hAnsi="Arial Narrow"/>
                <w:sz w:val="20"/>
                <w:szCs w:val="20"/>
              </w:rPr>
              <w:t>Discerning the evidentiary standard for s</w:t>
            </w:r>
            <w:r w:rsidRPr="00624B7C">
              <w:rPr>
                <w:rFonts w:ascii="Arial Narrow" w:hAnsi="Arial Narrow"/>
                <w:i/>
                <w:sz w:val="20"/>
                <w:szCs w:val="20"/>
              </w:rPr>
              <w:t>BRCA</w:t>
            </w:r>
            <w:r w:rsidRPr="00624B7C">
              <w:rPr>
                <w:rFonts w:ascii="Arial Narrow" w:hAnsi="Arial Narrow"/>
                <w:sz w:val="20"/>
                <w:szCs w:val="20"/>
              </w:rPr>
              <w:t xml:space="preserve"> testing</w:t>
            </w:r>
            <w:r w:rsidRPr="00624B7C">
              <w:rPr>
                <w:rFonts w:ascii="Arial Narrow" w:hAnsi="Arial Narrow"/>
                <w:sz w:val="20"/>
                <w:szCs w:val="20"/>
                <w:vertAlign w:val="superscript"/>
              </w:rPr>
              <w:t>a</w:t>
            </w:r>
          </w:p>
        </w:tc>
        <w:tc>
          <w:tcPr>
            <w:tcW w:w="6923" w:type="dxa"/>
          </w:tcPr>
          <w:p w14:paraId="13FF206D" w14:textId="77777777" w:rsidR="00624B7C" w:rsidRPr="00624B7C" w:rsidRDefault="00624B7C" w:rsidP="006E306E">
            <w:pPr>
              <w:pStyle w:val="TableText"/>
              <w:keepNext w:val="0"/>
              <w:widowControl w:val="0"/>
              <w:spacing w:before="33" w:after="33"/>
              <w:rPr>
                <w:rFonts w:ascii="Arial Narrow" w:hAnsi="Arial Narrow"/>
                <w:sz w:val="20"/>
                <w:szCs w:val="20"/>
                <w:vertAlign w:val="superscript"/>
              </w:rPr>
            </w:pPr>
            <w:r w:rsidRPr="00624B7C">
              <w:rPr>
                <w:rFonts w:ascii="Arial Narrow" w:hAnsi="Arial Narrow"/>
                <w:sz w:val="20"/>
                <w:szCs w:val="20"/>
              </w:rPr>
              <w:t xml:space="preserve">This remained uncertain, as the submission provided limited information on the evidentiary standard (defined as the detailed description of the test(s) as performed in the study/ies provided as evidence to the support the claim of clinical utility or predictive value) for somatic </w:t>
            </w:r>
            <w:r w:rsidRPr="00624B7C">
              <w:rPr>
                <w:rFonts w:ascii="Arial Narrow" w:hAnsi="Arial Narrow"/>
                <w:i/>
                <w:sz w:val="20"/>
                <w:szCs w:val="20"/>
              </w:rPr>
              <w:t xml:space="preserve">BRCA </w:t>
            </w:r>
            <w:r w:rsidRPr="00624B7C">
              <w:rPr>
                <w:rFonts w:ascii="Arial Narrow" w:hAnsi="Arial Narrow"/>
                <w:sz w:val="20"/>
                <w:szCs w:val="20"/>
              </w:rPr>
              <w:t>testing.</w:t>
            </w:r>
          </w:p>
        </w:tc>
      </w:tr>
      <w:tr w:rsidR="00624B7C" w:rsidRPr="00624B7C" w14:paraId="50DD7FC1" w14:textId="77777777" w:rsidTr="006E306E">
        <w:tc>
          <w:tcPr>
            <w:tcW w:w="2093" w:type="dxa"/>
          </w:tcPr>
          <w:p w14:paraId="31D0D05A" w14:textId="77777777" w:rsidR="00624B7C" w:rsidRPr="00624B7C" w:rsidRDefault="00624B7C" w:rsidP="006E306E">
            <w:pPr>
              <w:pStyle w:val="TableText"/>
              <w:keepNext w:val="0"/>
              <w:widowControl w:val="0"/>
              <w:spacing w:before="33" w:after="33"/>
              <w:rPr>
                <w:rFonts w:ascii="Arial Narrow" w:hAnsi="Arial Narrow"/>
                <w:sz w:val="20"/>
                <w:szCs w:val="20"/>
                <w:vertAlign w:val="superscript"/>
              </w:rPr>
            </w:pPr>
            <w:r w:rsidRPr="00624B7C">
              <w:rPr>
                <w:rFonts w:ascii="Arial Narrow" w:hAnsi="Arial Narrow"/>
                <w:sz w:val="20"/>
                <w:szCs w:val="20"/>
              </w:rPr>
              <w:t>Evidence for analytical validity of s</w:t>
            </w:r>
            <w:r w:rsidRPr="00624B7C">
              <w:rPr>
                <w:rFonts w:ascii="Arial Narrow" w:hAnsi="Arial Narrow"/>
                <w:i/>
                <w:sz w:val="20"/>
                <w:szCs w:val="20"/>
              </w:rPr>
              <w:t xml:space="preserve">BRCA </w:t>
            </w:r>
            <w:r w:rsidRPr="00624B7C">
              <w:rPr>
                <w:rFonts w:ascii="Arial Narrow" w:hAnsi="Arial Narrow"/>
                <w:sz w:val="20"/>
                <w:szCs w:val="20"/>
              </w:rPr>
              <w:t>testing using tumour samples</w:t>
            </w:r>
            <w:r w:rsidRPr="00624B7C">
              <w:rPr>
                <w:rFonts w:ascii="Arial Narrow" w:hAnsi="Arial Narrow"/>
                <w:sz w:val="20"/>
                <w:szCs w:val="20"/>
                <w:vertAlign w:val="superscript"/>
              </w:rPr>
              <w:t>a</w:t>
            </w:r>
          </w:p>
        </w:tc>
        <w:tc>
          <w:tcPr>
            <w:tcW w:w="6923" w:type="dxa"/>
          </w:tcPr>
          <w:p w14:paraId="32D5D873" w14:textId="77777777" w:rsidR="00624B7C" w:rsidRPr="00624B7C" w:rsidRDefault="00624B7C" w:rsidP="006E306E">
            <w:pPr>
              <w:pStyle w:val="TableText"/>
              <w:keepNext w:val="0"/>
              <w:widowControl w:val="0"/>
              <w:spacing w:before="33" w:after="33"/>
              <w:rPr>
                <w:rFonts w:ascii="Arial Narrow" w:hAnsi="Arial Narrow"/>
                <w:sz w:val="20"/>
                <w:szCs w:val="20"/>
                <w:u w:val="single"/>
              </w:rPr>
            </w:pPr>
            <w:r w:rsidRPr="00624B7C">
              <w:rPr>
                <w:rFonts w:ascii="Arial Narrow" w:hAnsi="Arial Narrow"/>
                <w:sz w:val="20"/>
                <w:szCs w:val="20"/>
              </w:rPr>
              <w:t xml:space="preserve">The diagnostic performance of somatic BRCA testing was established to have high sensitivity and specificity taken from indirect evidence. However, ESC was concerned with missing data from 55/253 samples in Dougherty et al. 2017 (Study 19) which informed the concordance of tumour next generation sequencing (NGS) </w:t>
            </w:r>
            <w:r w:rsidRPr="00624B7C">
              <w:rPr>
                <w:rFonts w:ascii="Arial Narrow" w:hAnsi="Arial Narrow"/>
                <w:i/>
                <w:sz w:val="20"/>
                <w:szCs w:val="20"/>
              </w:rPr>
              <w:t>vs.</w:t>
            </w:r>
            <w:r w:rsidRPr="00624B7C">
              <w:rPr>
                <w:rFonts w:ascii="Arial Narrow" w:hAnsi="Arial Narrow"/>
                <w:sz w:val="20"/>
                <w:szCs w:val="20"/>
              </w:rPr>
              <w:t xml:space="preserve"> germline Sanger sequencing.</w:t>
            </w:r>
          </w:p>
        </w:tc>
      </w:tr>
      <w:tr w:rsidR="00624B7C" w:rsidRPr="00624B7C" w14:paraId="40387A2D" w14:textId="77777777" w:rsidTr="006E306E">
        <w:tc>
          <w:tcPr>
            <w:tcW w:w="2093" w:type="dxa"/>
          </w:tcPr>
          <w:p w14:paraId="5C7AEFFF" w14:textId="77777777" w:rsidR="00624B7C" w:rsidRPr="00624B7C" w:rsidRDefault="00624B7C" w:rsidP="006E306E">
            <w:pPr>
              <w:pStyle w:val="TableText"/>
              <w:keepNext w:val="0"/>
              <w:widowControl w:val="0"/>
              <w:spacing w:before="33" w:after="33"/>
              <w:rPr>
                <w:rFonts w:ascii="Arial Narrow" w:hAnsi="Arial Narrow"/>
                <w:sz w:val="20"/>
                <w:szCs w:val="20"/>
                <w:vertAlign w:val="superscript"/>
              </w:rPr>
            </w:pPr>
            <w:r w:rsidRPr="00624B7C">
              <w:rPr>
                <w:rFonts w:ascii="Arial Narrow" w:hAnsi="Arial Narrow"/>
                <w:sz w:val="20"/>
                <w:szCs w:val="20"/>
              </w:rPr>
              <w:t>Evidence of clinical utility in patients with only a somatic mutation</w:t>
            </w:r>
            <w:r w:rsidRPr="00624B7C">
              <w:rPr>
                <w:rFonts w:ascii="Arial Narrow" w:hAnsi="Arial Narrow"/>
                <w:sz w:val="20"/>
                <w:szCs w:val="20"/>
                <w:vertAlign w:val="superscript"/>
              </w:rPr>
              <w:t>a</w:t>
            </w:r>
          </w:p>
        </w:tc>
        <w:tc>
          <w:tcPr>
            <w:tcW w:w="6923" w:type="dxa"/>
          </w:tcPr>
          <w:p w14:paraId="7355DE27"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This remained uncertain, as it was unclear if patients with </w:t>
            </w:r>
            <w:r w:rsidRPr="00624B7C">
              <w:rPr>
                <w:rFonts w:ascii="Arial Narrow" w:hAnsi="Arial Narrow"/>
                <w:color w:val="auto"/>
                <w:sz w:val="20"/>
                <w:szCs w:val="20"/>
              </w:rPr>
              <w:t>s</w:t>
            </w:r>
            <w:r w:rsidRPr="00624B7C">
              <w:rPr>
                <w:rFonts w:ascii="Arial Narrow" w:hAnsi="Arial Narrow"/>
                <w:i/>
                <w:color w:val="auto"/>
                <w:sz w:val="20"/>
                <w:szCs w:val="20"/>
              </w:rPr>
              <w:t>BRCA</w:t>
            </w:r>
            <w:r w:rsidRPr="00624B7C">
              <w:rPr>
                <w:rFonts w:ascii="Arial Narrow" w:hAnsi="Arial Narrow"/>
                <w:color w:val="auto"/>
                <w:sz w:val="20"/>
                <w:szCs w:val="20"/>
              </w:rPr>
              <w:t>m in the absence of g</w:t>
            </w:r>
            <w:r w:rsidRPr="00624B7C">
              <w:rPr>
                <w:rFonts w:ascii="Arial Narrow" w:hAnsi="Arial Narrow"/>
                <w:i/>
                <w:color w:val="auto"/>
                <w:sz w:val="20"/>
                <w:szCs w:val="20"/>
              </w:rPr>
              <w:t>BRCA</w:t>
            </w:r>
            <w:r w:rsidRPr="00624B7C">
              <w:rPr>
                <w:rFonts w:ascii="Arial Narrow" w:hAnsi="Arial Narrow"/>
                <w:color w:val="auto"/>
                <w:sz w:val="20"/>
                <w:szCs w:val="20"/>
              </w:rPr>
              <w:t>m were included in the</w:t>
            </w:r>
            <w:r w:rsidRPr="00624B7C">
              <w:rPr>
                <w:rFonts w:ascii="Arial Narrow" w:hAnsi="Arial Narrow"/>
                <w:sz w:val="20"/>
                <w:szCs w:val="20"/>
              </w:rPr>
              <w:t xml:space="preserve"> meta-analysis of several PARP inhibitors in the second-line setting. In addition, ESC noted that the key comparative trial (SOLO1) for PBAC consideration in the requested maintenance setting identified only two patients from this subgroup.</w:t>
            </w:r>
          </w:p>
        </w:tc>
      </w:tr>
      <w:tr w:rsidR="00624B7C" w:rsidRPr="00624B7C" w14:paraId="7D8233AB" w14:textId="77777777" w:rsidTr="006E306E">
        <w:tc>
          <w:tcPr>
            <w:tcW w:w="2093" w:type="dxa"/>
          </w:tcPr>
          <w:p w14:paraId="51B3DB80"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MBS items and descriptors</w:t>
            </w:r>
          </w:p>
        </w:tc>
        <w:tc>
          <w:tcPr>
            <w:tcW w:w="6923" w:type="dxa"/>
          </w:tcPr>
          <w:p w14:paraId="7BF89E74"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The wording of item descriptor for MBS item 73296 needs clarification regarding coverage of fallopian tube/primary peritoneal cancer.</w:t>
            </w:r>
          </w:p>
          <w:p w14:paraId="0BE3C9FF"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The tumour </w:t>
            </w:r>
            <w:r w:rsidRPr="00624B7C">
              <w:rPr>
                <w:rFonts w:ascii="Arial Narrow" w:hAnsi="Arial Narrow"/>
                <w:i/>
                <w:sz w:val="20"/>
                <w:szCs w:val="20"/>
              </w:rPr>
              <w:t>BRCA</w:t>
            </w:r>
            <w:r w:rsidRPr="00624B7C">
              <w:rPr>
                <w:rFonts w:ascii="Arial Narrow" w:hAnsi="Arial Narrow"/>
                <w:sz w:val="20"/>
                <w:szCs w:val="20"/>
              </w:rPr>
              <w:t xml:space="preserve"> testing fee could be revisited due to the overlap with MBS item 72860.</w:t>
            </w:r>
          </w:p>
          <w:p w14:paraId="3CC8E6DF"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The descriptors should include clear definitions of test scope (eg somatic testing should specify sequence and copy number variants, subsequent germline confirmatory testing as needed should be targeted, and the germline sample should be tested in parallel with the original somatic sample to reduce false negatives).</w:t>
            </w:r>
          </w:p>
          <w:p w14:paraId="024DCB70"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The ‘once per lifetime’ restriction for somatic testing may be inappropriate.</w:t>
            </w:r>
          </w:p>
        </w:tc>
      </w:tr>
      <w:tr w:rsidR="00624B7C" w:rsidRPr="00624B7C" w14:paraId="7D35374F" w14:textId="77777777" w:rsidTr="006E306E">
        <w:tc>
          <w:tcPr>
            <w:tcW w:w="2093" w:type="dxa"/>
          </w:tcPr>
          <w:p w14:paraId="070518DE"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Somatic variants of unknown significance (VUSs)</w:t>
            </w:r>
          </w:p>
        </w:tc>
        <w:tc>
          <w:tcPr>
            <w:tcW w:w="6923" w:type="dxa"/>
          </w:tcPr>
          <w:p w14:paraId="6997BCDC"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ESC suggested that these not be eligible for confirmatory germline testing unless they are formally reclassified by the testing laboratory as ‘likely pathogenic’ or ‘pathogenic’.</w:t>
            </w:r>
          </w:p>
        </w:tc>
      </w:tr>
      <w:tr w:rsidR="00624B7C" w:rsidRPr="00624B7C" w14:paraId="57D9DD7F" w14:textId="77777777" w:rsidTr="006E306E">
        <w:tc>
          <w:tcPr>
            <w:tcW w:w="2093" w:type="dxa"/>
          </w:tcPr>
          <w:p w14:paraId="7D97C768"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In-house-developed tumour </w:t>
            </w:r>
            <w:r w:rsidRPr="00624B7C">
              <w:rPr>
                <w:rFonts w:ascii="Arial Narrow" w:hAnsi="Arial Narrow"/>
                <w:i/>
                <w:iCs/>
                <w:sz w:val="20"/>
                <w:szCs w:val="20"/>
              </w:rPr>
              <w:t>BRCA</w:t>
            </w:r>
            <w:r w:rsidRPr="00624B7C">
              <w:rPr>
                <w:rFonts w:ascii="Arial Narrow" w:hAnsi="Arial Narrow"/>
                <w:sz w:val="20"/>
                <w:szCs w:val="20"/>
              </w:rPr>
              <w:t xml:space="preserve"> tests</w:t>
            </w:r>
          </w:p>
        </w:tc>
        <w:tc>
          <w:tcPr>
            <w:tcW w:w="6923" w:type="dxa"/>
          </w:tcPr>
          <w:p w14:paraId="42C9EEC5"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The test from one pathology laboratory is already included on the Australian Register of Therapeutic Goods, with tests from three others under consideration by the TGA. Evidence for the analytical sensitivity and specificity of somatic </w:t>
            </w:r>
            <w:r w:rsidRPr="00624B7C">
              <w:rPr>
                <w:rFonts w:ascii="Arial Narrow" w:hAnsi="Arial Narrow"/>
                <w:i/>
                <w:sz w:val="20"/>
                <w:szCs w:val="20"/>
              </w:rPr>
              <w:t>BRCA</w:t>
            </w:r>
            <w:r w:rsidRPr="00624B7C">
              <w:rPr>
                <w:rFonts w:ascii="Arial Narrow" w:hAnsi="Arial Narrow"/>
                <w:sz w:val="20"/>
                <w:szCs w:val="20"/>
              </w:rPr>
              <w:t xml:space="preserve"> testing has strengthened since the last submission.</w:t>
            </w:r>
          </w:p>
        </w:tc>
      </w:tr>
      <w:tr w:rsidR="00624B7C" w:rsidRPr="00624B7C" w14:paraId="65117C87" w14:textId="77777777" w:rsidTr="006E306E">
        <w:tc>
          <w:tcPr>
            <w:tcW w:w="2093" w:type="dxa"/>
          </w:tcPr>
          <w:p w14:paraId="5C133A7C"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Codependence – test versus no test</w:t>
            </w:r>
          </w:p>
        </w:tc>
        <w:tc>
          <w:tcPr>
            <w:tcW w:w="6923" w:type="dxa"/>
          </w:tcPr>
          <w:p w14:paraId="68B78FB8"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Codependence is unclear. ESC noted (uncertain) evidence of effectiveness of olaparib in </w:t>
            </w:r>
            <w:r w:rsidRPr="00624B7C">
              <w:rPr>
                <w:rFonts w:ascii="Arial Narrow" w:hAnsi="Arial Narrow"/>
                <w:i/>
                <w:sz w:val="20"/>
                <w:szCs w:val="20"/>
              </w:rPr>
              <w:t>BRCA</w:t>
            </w:r>
            <w:r w:rsidRPr="00624B7C">
              <w:rPr>
                <w:rFonts w:ascii="Arial Narrow" w:hAnsi="Arial Narrow"/>
                <w:sz w:val="20"/>
                <w:szCs w:val="20"/>
              </w:rPr>
              <w:t xml:space="preserve"> wildtype (wt) patients in the second-line setting; however, any broadening of population would reduce incremental effectiveness and increase the ICER (at a given price).</w:t>
            </w:r>
          </w:p>
        </w:tc>
      </w:tr>
      <w:tr w:rsidR="00624B7C" w:rsidRPr="00624B7C" w14:paraId="4F38C5E5" w14:textId="77777777" w:rsidTr="006E306E">
        <w:tc>
          <w:tcPr>
            <w:tcW w:w="2093" w:type="dxa"/>
          </w:tcPr>
          <w:p w14:paraId="6AE33C74"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Should Scenario 1 (germline only) or 2 (germline + somatic) be considered?</w:t>
            </w:r>
          </w:p>
        </w:tc>
        <w:tc>
          <w:tcPr>
            <w:tcW w:w="6923" w:type="dxa"/>
          </w:tcPr>
          <w:p w14:paraId="2A93202F"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This also depends on the recommended PBS listing. Scenario 2 would have wider coverage. However, the ICERs were noted to be high and uncertain:</w:t>
            </w:r>
          </w:p>
          <w:p w14:paraId="6946703B" w14:textId="00CCA059" w:rsidR="00624B7C" w:rsidRPr="00624B7C" w:rsidRDefault="00624B7C" w:rsidP="00624B7C">
            <w:pPr>
              <w:pStyle w:val="TableBullet"/>
              <w:tabs>
                <w:tab w:val="clear" w:pos="216"/>
                <w:tab w:val="left" w:pos="120"/>
              </w:tabs>
              <w:spacing w:before="33" w:after="33"/>
              <w:ind w:left="120" w:hanging="120"/>
              <w:rPr>
                <w:rFonts w:ascii="Arial Narrow" w:hAnsi="Arial Narrow"/>
                <w:sz w:val="20"/>
                <w:szCs w:val="20"/>
              </w:rPr>
            </w:pPr>
            <w:r w:rsidRPr="00624B7C">
              <w:rPr>
                <w:rFonts w:ascii="Arial Narrow" w:hAnsi="Arial Narrow"/>
                <w:sz w:val="20"/>
                <w:szCs w:val="20"/>
              </w:rPr>
              <w:t>Scenario 1, Commentary’s respecified ICER: $</w:t>
            </w:r>
            <w:r w:rsidR="00D705FE" w:rsidRPr="00E71810">
              <w:rPr>
                <w:b/>
              </w:rPr>
              <w:t>redacted</w:t>
            </w:r>
            <w:r w:rsidR="00D705FE" w:rsidRPr="00624B7C">
              <w:rPr>
                <w:rFonts w:ascii="Arial Narrow" w:hAnsi="Arial Narrow"/>
                <w:sz w:val="20"/>
                <w:szCs w:val="20"/>
              </w:rPr>
              <w:t xml:space="preserve"> </w:t>
            </w:r>
            <w:r w:rsidRPr="00624B7C">
              <w:rPr>
                <w:rFonts w:ascii="Arial Narrow" w:hAnsi="Arial Narrow"/>
                <w:sz w:val="20"/>
                <w:szCs w:val="20"/>
              </w:rPr>
              <w:t>/QALY</w:t>
            </w:r>
          </w:p>
          <w:p w14:paraId="4E4C7A5F" w14:textId="377C5C26" w:rsidR="00624B7C" w:rsidRPr="00624B7C" w:rsidRDefault="00624B7C" w:rsidP="00624B7C">
            <w:pPr>
              <w:pStyle w:val="TableBullet"/>
              <w:tabs>
                <w:tab w:val="clear" w:pos="216"/>
                <w:tab w:val="left" w:pos="120"/>
              </w:tabs>
              <w:spacing w:before="33" w:after="33"/>
              <w:ind w:left="120" w:hanging="120"/>
              <w:rPr>
                <w:rFonts w:ascii="Arial Narrow" w:hAnsi="Arial Narrow"/>
                <w:sz w:val="20"/>
                <w:szCs w:val="20"/>
              </w:rPr>
            </w:pPr>
            <w:r w:rsidRPr="00624B7C">
              <w:rPr>
                <w:rFonts w:ascii="Arial Narrow" w:hAnsi="Arial Narrow"/>
                <w:sz w:val="20"/>
                <w:szCs w:val="20"/>
              </w:rPr>
              <w:t>Scenario 2, Commentary’s respecified ICER: $</w:t>
            </w:r>
            <w:r w:rsidR="00D705FE" w:rsidRPr="00E71810">
              <w:rPr>
                <w:b/>
              </w:rPr>
              <w:t>redacted</w:t>
            </w:r>
            <w:r w:rsidR="00D705FE" w:rsidRPr="00624B7C">
              <w:rPr>
                <w:rFonts w:ascii="Arial Narrow" w:hAnsi="Arial Narrow"/>
                <w:sz w:val="20"/>
                <w:szCs w:val="20"/>
              </w:rPr>
              <w:t xml:space="preserve"> </w:t>
            </w:r>
            <w:r w:rsidRPr="00624B7C">
              <w:rPr>
                <w:rFonts w:ascii="Arial Narrow" w:hAnsi="Arial Narrow"/>
                <w:sz w:val="20"/>
                <w:szCs w:val="20"/>
              </w:rPr>
              <w:t>/QALY.</w:t>
            </w:r>
          </w:p>
          <w:p w14:paraId="66FF80C6" w14:textId="02A37C83" w:rsidR="00624B7C" w:rsidRPr="00624B7C" w:rsidRDefault="00624B7C" w:rsidP="00624B7C">
            <w:pPr>
              <w:pStyle w:val="TableBullet"/>
              <w:tabs>
                <w:tab w:val="clear" w:pos="216"/>
                <w:tab w:val="left" w:pos="120"/>
              </w:tabs>
              <w:spacing w:before="33" w:after="33"/>
              <w:ind w:left="120" w:hanging="120"/>
              <w:rPr>
                <w:rFonts w:ascii="Arial Narrow" w:hAnsi="Arial Narrow"/>
                <w:b/>
                <w:sz w:val="20"/>
                <w:szCs w:val="20"/>
              </w:rPr>
            </w:pPr>
            <w:r w:rsidRPr="00624B7C">
              <w:rPr>
                <w:rFonts w:ascii="Arial Narrow" w:hAnsi="Arial Narrow"/>
                <w:sz w:val="20"/>
                <w:szCs w:val="20"/>
              </w:rPr>
              <w:t>Further sensitivity analysis post PBAC ESC reducing the time horizon from 25 to 10 years further increased the ICER to $</w:t>
            </w:r>
            <w:r w:rsidR="00D705FE" w:rsidRPr="00E71810">
              <w:rPr>
                <w:b/>
              </w:rPr>
              <w:t>redacted</w:t>
            </w:r>
            <w:r w:rsidR="00D705FE" w:rsidRPr="00624B7C">
              <w:rPr>
                <w:rFonts w:ascii="Arial Narrow" w:hAnsi="Arial Narrow"/>
                <w:sz w:val="20"/>
                <w:szCs w:val="20"/>
              </w:rPr>
              <w:t xml:space="preserve"> </w:t>
            </w:r>
            <w:r w:rsidRPr="00624B7C">
              <w:rPr>
                <w:rFonts w:ascii="Arial Narrow" w:hAnsi="Arial Narrow"/>
                <w:sz w:val="20"/>
                <w:szCs w:val="20"/>
              </w:rPr>
              <w:t xml:space="preserve">/QALY in the respecified base case for scenario 2. </w:t>
            </w:r>
          </w:p>
          <w:p w14:paraId="72FC2C34" w14:textId="77777777" w:rsidR="00624B7C" w:rsidRPr="00624B7C" w:rsidRDefault="00624B7C" w:rsidP="00624B7C">
            <w:pPr>
              <w:pStyle w:val="TableBullet"/>
              <w:tabs>
                <w:tab w:val="clear" w:pos="216"/>
                <w:tab w:val="left" w:pos="120"/>
              </w:tabs>
              <w:spacing w:before="33" w:after="33"/>
              <w:ind w:left="120" w:hanging="120"/>
              <w:rPr>
                <w:rFonts w:ascii="Arial Narrow" w:hAnsi="Arial Narrow"/>
                <w:b/>
                <w:sz w:val="20"/>
                <w:szCs w:val="20"/>
              </w:rPr>
            </w:pPr>
            <w:r w:rsidRPr="00624B7C">
              <w:rPr>
                <w:rFonts w:ascii="Arial Narrow" w:hAnsi="Arial Narrow"/>
                <w:sz w:val="20"/>
                <w:szCs w:val="20"/>
              </w:rPr>
              <w:t>Use Commentary’s respecified base case as the new base case</w:t>
            </w:r>
          </w:p>
        </w:tc>
      </w:tr>
      <w:tr w:rsidR="00624B7C" w:rsidRPr="00624B7C" w14:paraId="301D45B7" w14:textId="77777777" w:rsidTr="002F218A">
        <w:trPr>
          <w:trHeight w:val="1090"/>
        </w:trPr>
        <w:tc>
          <w:tcPr>
            <w:tcW w:w="2093" w:type="dxa"/>
          </w:tcPr>
          <w:p w14:paraId="500CB789"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Unjustified modelled separation of OS curves</w:t>
            </w:r>
          </w:p>
        </w:tc>
        <w:tc>
          <w:tcPr>
            <w:tcW w:w="6923" w:type="dxa"/>
          </w:tcPr>
          <w:p w14:paraId="12E9D857"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The overall survival (OS) results are immature for the requested use of olaparib as first-line maintenance therapy and more mature data are required to establish any OS gain. Progression-free survival (PFS) results are mature, although the PFS results are not as clinically relevant.</w:t>
            </w:r>
          </w:p>
        </w:tc>
      </w:tr>
      <w:tr w:rsidR="00624B7C" w:rsidRPr="00624B7C" w14:paraId="7B9BF490" w14:textId="77777777" w:rsidTr="006E306E">
        <w:tc>
          <w:tcPr>
            <w:tcW w:w="2093" w:type="dxa"/>
          </w:tcPr>
          <w:p w14:paraId="6E085B97"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Subgroup somatic only versus germline only</w:t>
            </w:r>
          </w:p>
        </w:tc>
        <w:tc>
          <w:tcPr>
            <w:tcW w:w="6923" w:type="dxa"/>
          </w:tcPr>
          <w:p w14:paraId="51AE8F17" w14:textId="09A749AA"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The ICER for somatic only ($</w:t>
            </w:r>
            <w:r w:rsidR="00D705FE" w:rsidRPr="00E71810">
              <w:rPr>
                <w:b/>
              </w:rPr>
              <w:t>redacted</w:t>
            </w:r>
            <w:r w:rsidRPr="00624B7C">
              <w:rPr>
                <w:rFonts w:ascii="Arial Narrow" w:hAnsi="Arial Narrow"/>
                <w:sz w:val="20"/>
                <w:szCs w:val="20"/>
              </w:rPr>
              <w:t>) is much lower than the ICER for germline only ($</w:t>
            </w:r>
            <w:r w:rsidR="00D705FE" w:rsidRPr="00E71810">
              <w:rPr>
                <w:b/>
              </w:rPr>
              <w:t>redacted</w:t>
            </w:r>
            <w:r w:rsidRPr="00624B7C">
              <w:rPr>
                <w:rFonts w:ascii="Arial Narrow" w:hAnsi="Arial Narrow"/>
                <w:sz w:val="20"/>
                <w:szCs w:val="20"/>
              </w:rPr>
              <w:t>), but:</w:t>
            </w:r>
          </w:p>
          <w:p w14:paraId="30B43A1A" w14:textId="77777777" w:rsidR="00624B7C" w:rsidRPr="00624B7C" w:rsidRDefault="00624B7C" w:rsidP="00624B7C">
            <w:pPr>
              <w:pStyle w:val="TableBullet"/>
              <w:keepNext w:val="0"/>
              <w:widowControl w:val="0"/>
              <w:tabs>
                <w:tab w:val="clear" w:pos="216"/>
                <w:tab w:val="left" w:pos="120"/>
              </w:tabs>
              <w:spacing w:before="33" w:after="33"/>
              <w:ind w:left="120" w:hanging="120"/>
              <w:rPr>
                <w:rFonts w:ascii="Arial Narrow" w:hAnsi="Arial Narrow"/>
                <w:sz w:val="20"/>
                <w:szCs w:val="20"/>
              </w:rPr>
            </w:pPr>
            <w:r w:rsidRPr="00624B7C">
              <w:rPr>
                <w:rFonts w:ascii="Arial Narrow" w:hAnsi="Arial Narrow"/>
                <w:sz w:val="20"/>
                <w:szCs w:val="20"/>
              </w:rPr>
              <w:t>the ICERs are uncertain</w:t>
            </w:r>
          </w:p>
          <w:p w14:paraId="0D25BBA2" w14:textId="77777777" w:rsidR="00624B7C" w:rsidRPr="00624B7C" w:rsidRDefault="00624B7C" w:rsidP="00624B7C">
            <w:pPr>
              <w:pStyle w:val="TableBullet"/>
              <w:keepNext w:val="0"/>
              <w:widowControl w:val="0"/>
              <w:tabs>
                <w:tab w:val="clear" w:pos="216"/>
                <w:tab w:val="left" w:pos="120"/>
              </w:tabs>
              <w:spacing w:before="33" w:after="33"/>
              <w:ind w:left="120" w:hanging="120"/>
              <w:rPr>
                <w:rFonts w:ascii="Arial Narrow" w:hAnsi="Arial Narrow"/>
                <w:sz w:val="20"/>
                <w:szCs w:val="20"/>
              </w:rPr>
            </w:pPr>
            <w:r w:rsidRPr="00624B7C">
              <w:rPr>
                <w:rFonts w:ascii="Arial Narrow" w:hAnsi="Arial Narrow"/>
                <w:sz w:val="20"/>
                <w:szCs w:val="20"/>
              </w:rPr>
              <w:t>the subgroups need further analysis.</w:t>
            </w:r>
          </w:p>
        </w:tc>
      </w:tr>
      <w:tr w:rsidR="00624B7C" w:rsidRPr="00624B7C" w14:paraId="5C3CC9A0" w14:textId="77777777" w:rsidTr="006E306E">
        <w:tc>
          <w:tcPr>
            <w:tcW w:w="2093" w:type="dxa"/>
          </w:tcPr>
          <w:p w14:paraId="290239CA" w14:textId="77777777" w:rsidR="00624B7C" w:rsidRPr="00624B7C" w:rsidRDefault="00624B7C" w:rsidP="006E306E">
            <w:pPr>
              <w:pStyle w:val="CommentText"/>
              <w:rPr>
                <w:rFonts w:ascii="Arial Narrow" w:hAnsi="Arial Narrow"/>
              </w:rPr>
            </w:pPr>
            <w:r w:rsidRPr="00624B7C">
              <w:rPr>
                <w:rFonts w:ascii="Arial Narrow" w:hAnsi="Arial Narrow"/>
              </w:rPr>
              <w:t>Uncertain financial estimates</w:t>
            </w:r>
          </w:p>
        </w:tc>
        <w:tc>
          <w:tcPr>
            <w:tcW w:w="6923" w:type="dxa"/>
          </w:tcPr>
          <w:p w14:paraId="556FCF6D" w14:textId="77777777" w:rsidR="00624B7C" w:rsidRPr="00624B7C" w:rsidRDefault="00624B7C" w:rsidP="006E306E">
            <w:pPr>
              <w:pStyle w:val="TableText"/>
              <w:keepNext w:val="0"/>
              <w:widowControl w:val="0"/>
              <w:spacing w:before="33" w:after="33"/>
              <w:rPr>
                <w:rFonts w:ascii="Arial Narrow" w:hAnsi="Arial Narrow"/>
                <w:color w:val="auto"/>
                <w:sz w:val="20"/>
                <w:szCs w:val="20"/>
              </w:rPr>
            </w:pPr>
            <w:r w:rsidRPr="00624B7C">
              <w:rPr>
                <w:rFonts w:ascii="Arial Narrow" w:hAnsi="Arial Narrow"/>
                <w:sz w:val="20"/>
                <w:szCs w:val="20"/>
              </w:rPr>
              <w:t>The submission underestimated g</w:t>
            </w:r>
            <w:r w:rsidRPr="00624B7C">
              <w:rPr>
                <w:rFonts w:ascii="Arial Narrow" w:hAnsi="Arial Narrow"/>
                <w:i/>
                <w:sz w:val="20"/>
                <w:szCs w:val="20"/>
              </w:rPr>
              <w:t>BRCA</w:t>
            </w:r>
            <w:r w:rsidRPr="00624B7C">
              <w:rPr>
                <w:rFonts w:ascii="Arial Narrow" w:hAnsi="Arial Narrow"/>
                <w:sz w:val="20"/>
                <w:szCs w:val="20"/>
              </w:rPr>
              <w:t xml:space="preserve"> tests displaced (due to reduced second-line testing); did not account for </w:t>
            </w:r>
            <w:r w:rsidRPr="00624B7C">
              <w:rPr>
                <w:rFonts w:ascii="Arial Narrow" w:hAnsi="Arial Narrow"/>
                <w:color w:val="auto"/>
                <w:sz w:val="20"/>
                <w:szCs w:val="20"/>
              </w:rPr>
              <w:t>g</w:t>
            </w:r>
            <w:r w:rsidRPr="00624B7C">
              <w:rPr>
                <w:rFonts w:ascii="Arial Narrow" w:hAnsi="Arial Narrow"/>
                <w:i/>
                <w:iCs/>
                <w:color w:val="auto"/>
                <w:sz w:val="20"/>
                <w:szCs w:val="20"/>
              </w:rPr>
              <w:t xml:space="preserve">BRCA </w:t>
            </w:r>
            <w:r w:rsidRPr="00624B7C">
              <w:rPr>
                <w:rFonts w:ascii="Arial Narrow" w:hAnsi="Arial Narrow"/>
                <w:color w:val="auto"/>
                <w:sz w:val="20"/>
                <w:szCs w:val="20"/>
              </w:rPr>
              <w:t>testing (for familial testing) subsequent to a positive s</w:t>
            </w:r>
            <w:r w:rsidRPr="00624B7C">
              <w:rPr>
                <w:rFonts w:ascii="Arial Narrow" w:hAnsi="Arial Narrow"/>
                <w:i/>
                <w:iCs/>
                <w:color w:val="auto"/>
                <w:sz w:val="20"/>
                <w:szCs w:val="20"/>
              </w:rPr>
              <w:t>BRCA</w:t>
            </w:r>
            <w:r w:rsidRPr="00624B7C">
              <w:rPr>
                <w:rFonts w:ascii="Arial Narrow" w:hAnsi="Arial Narrow"/>
                <w:color w:val="auto"/>
                <w:sz w:val="20"/>
                <w:szCs w:val="20"/>
              </w:rPr>
              <w:t xml:space="preserve"> test</w:t>
            </w:r>
            <w:r w:rsidR="00FA2342">
              <w:rPr>
                <w:rFonts w:ascii="Arial Narrow" w:hAnsi="Arial Narrow"/>
                <w:color w:val="auto"/>
                <w:sz w:val="20"/>
                <w:szCs w:val="20"/>
              </w:rPr>
              <w:t xml:space="preserve"> result</w:t>
            </w:r>
            <w:r w:rsidRPr="00624B7C">
              <w:rPr>
                <w:rFonts w:ascii="Arial Narrow" w:hAnsi="Arial Narrow"/>
                <w:color w:val="auto"/>
                <w:sz w:val="20"/>
                <w:szCs w:val="20"/>
              </w:rPr>
              <w:t>; and calculated estimates using MBS fee rather than MBS rebate.</w:t>
            </w:r>
          </w:p>
          <w:p w14:paraId="3D7568A8" w14:textId="77777777" w:rsidR="00624B7C" w:rsidRPr="00624B7C" w:rsidRDefault="00624B7C" w:rsidP="006E306E">
            <w:pPr>
              <w:pStyle w:val="TableText"/>
              <w:keepNext w:val="0"/>
              <w:widowControl w:val="0"/>
              <w:spacing w:before="33" w:after="33"/>
              <w:rPr>
                <w:rFonts w:ascii="Arial Narrow" w:hAnsi="Arial Narrow"/>
                <w:sz w:val="20"/>
                <w:szCs w:val="20"/>
              </w:rPr>
            </w:pPr>
            <w:r w:rsidRPr="00624B7C">
              <w:rPr>
                <w:rFonts w:ascii="Arial Narrow" w:hAnsi="Arial Narrow"/>
                <w:sz w:val="20"/>
                <w:szCs w:val="20"/>
              </w:rPr>
              <w:t xml:space="preserve">In addition, ESC noted the complex methodology used in the financial model (e.g. </w:t>
            </w:r>
            <w:r w:rsidRPr="00624B7C">
              <w:rPr>
                <w:rFonts w:ascii="Arial Narrow" w:hAnsi="Arial Narrow"/>
                <w:sz w:val="20"/>
                <w:szCs w:val="20"/>
                <w:lang w:eastAsia="zh-CN"/>
              </w:rPr>
              <w:t xml:space="preserve">different approaches to costs </w:t>
            </w:r>
            <w:r w:rsidRPr="00624B7C">
              <w:rPr>
                <w:rFonts w:ascii="Arial Narrow" w:hAnsi="Arial Narrow"/>
                <w:i/>
                <w:sz w:val="20"/>
                <w:szCs w:val="20"/>
                <w:lang w:eastAsia="zh-CN"/>
              </w:rPr>
              <w:t>vs.</w:t>
            </w:r>
            <w:r w:rsidRPr="00624B7C">
              <w:rPr>
                <w:rFonts w:ascii="Arial Narrow" w:hAnsi="Arial Narrow"/>
                <w:sz w:val="20"/>
                <w:szCs w:val="20"/>
                <w:lang w:eastAsia="zh-CN"/>
              </w:rPr>
              <w:t xml:space="preserve"> cost offsets</w:t>
            </w:r>
            <w:r w:rsidRPr="00624B7C">
              <w:rPr>
                <w:rFonts w:ascii="Arial Narrow" w:hAnsi="Arial Narrow"/>
                <w:sz w:val="20"/>
                <w:szCs w:val="20"/>
              </w:rPr>
              <w:t>) and considered that any future resubmission should involve a simplified financial analysis.</w:t>
            </w:r>
          </w:p>
        </w:tc>
      </w:tr>
    </w:tbl>
    <w:p w14:paraId="230FDBBD" w14:textId="77777777" w:rsidR="00290F01" w:rsidRPr="00290F01" w:rsidRDefault="00290F01" w:rsidP="00290F01">
      <w:pPr>
        <w:spacing w:before="240" w:after="120"/>
        <w:rPr>
          <w:b/>
          <w:color w:val="000000"/>
        </w:rPr>
      </w:pPr>
      <w:r>
        <w:rPr>
          <w:b/>
          <w:color w:val="000000"/>
        </w:rPr>
        <w:t>ESC d</w:t>
      </w:r>
      <w:r w:rsidRPr="00290F01">
        <w:rPr>
          <w:b/>
          <w:color w:val="000000"/>
        </w:rPr>
        <w:t>iscussion</w:t>
      </w:r>
    </w:p>
    <w:p w14:paraId="326DA89E" w14:textId="77777777" w:rsidR="00624B7C" w:rsidRPr="00C266E1" w:rsidRDefault="00624B7C" w:rsidP="00290F01">
      <w:pPr>
        <w:spacing w:before="120" w:after="240"/>
        <w:rPr>
          <w:color w:val="000000"/>
        </w:rPr>
      </w:pPr>
      <w:r w:rsidRPr="00C266E1">
        <w:rPr>
          <w:color w:val="000000"/>
        </w:rPr>
        <w:t xml:space="preserve">ESC noted the two scenarios under consideration. ESC noted </w:t>
      </w:r>
      <w:r>
        <w:rPr>
          <w:color w:val="000000"/>
        </w:rPr>
        <w:t xml:space="preserve">that </w:t>
      </w:r>
      <w:r w:rsidRPr="00C266E1">
        <w:rPr>
          <w:color w:val="000000"/>
        </w:rPr>
        <w:t>Scenario</w:t>
      </w:r>
      <w:r>
        <w:rPr>
          <w:color w:val="000000"/>
        </w:rPr>
        <w:t> </w:t>
      </w:r>
      <w:r w:rsidRPr="00C266E1">
        <w:rPr>
          <w:color w:val="000000"/>
        </w:rPr>
        <w:t xml:space="preserve">2, </w:t>
      </w:r>
      <w:r>
        <w:rPr>
          <w:color w:val="000000"/>
        </w:rPr>
        <w:t xml:space="preserve">which </w:t>
      </w:r>
      <w:r w:rsidRPr="00C266E1">
        <w:rPr>
          <w:color w:val="000000"/>
        </w:rPr>
        <w:t>covers both somatic</w:t>
      </w:r>
      <w:r>
        <w:rPr>
          <w:color w:val="000000"/>
        </w:rPr>
        <w:t xml:space="preserve"> (tumour)</w:t>
      </w:r>
      <w:r w:rsidRPr="00C266E1">
        <w:rPr>
          <w:color w:val="000000"/>
        </w:rPr>
        <w:t xml:space="preserve"> and germline </w:t>
      </w:r>
      <w:r w:rsidRPr="00B27C0C">
        <w:rPr>
          <w:i/>
          <w:color w:val="000000"/>
        </w:rPr>
        <w:t>BRCA</w:t>
      </w:r>
      <w:r>
        <w:rPr>
          <w:color w:val="000000"/>
        </w:rPr>
        <w:t xml:space="preserve"> </w:t>
      </w:r>
      <w:r w:rsidRPr="00C266E1">
        <w:rPr>
          <w:color w:val="000000"/>
        </w:rPr>
        <w:t xml:space="preserve">mutations, </w:t>
      </w:r>
      <w:r>
        <w:rPr>
          <w:color w:val="000000"/>
        </w:rPr>
        <w:t xml:space="preserve">would </w:t>
      </w:r>
      <w:r w:rsidRPr="00C266E1">
        <w:rPr>
          <w:color w:val="000000"/>
        </w:rPr>
        <w:t xml:space="preserve">depend on </w:t>
      </w:r>
      <w:r>
        <w:rPr>
          <w:color w:val="000000"/>
        </w:rPr>
        <w:t xml:space="preserve">MSAC’s acceptance of </w:t>
      </w:r>
      <w:r w:rsidRPr="00C266E1">
        <w:rPr>
          <w:color w:val="000000"/>
        </w:rPr>
        <w:t xml:space="preserve">the </w:t>
      </w:r>
      <w:r>
        <w:rPr>
          <w:color w:val="000000"/>
        </w:rPr>
        <w:t>basis provided to reverse its previous advice</w:t>
      </w:r>
      <w:r w:rsidRPr="00C266E1">
        <w:rPr>
          <w:color w:val="000000"/>
        </w:rPr>
        <w:t>. ESC noted that</w:t>
      </w:r>
      <w:r>
        <w:rPr>
          <w:color w:val="000000"/>
        </w:rPr>
        <w:t xml:space="preserve"> somatic </w:t>
      </w:r>
      <w:r w:rsidRPr="00B82834">
        <w:rPr>
          <w:i/>
          <w:color w:val="000000"/>
        </w:rPr>
        <w:t>BRCA</w:t>
      </w:r>
      <w:r>
        <w:rPr>
          <w:color w:val="000000"/>
        </w:rPr>
        <w:t xml:space="preserve"> testing</w:t>
      </w:r>
      <w:r w:rsidRPr="00C266E1">
        <w:rPr>
          <w:color w:val="000000"/>
        </w:rPr>
        <w:t xml:space="preserve"> has implications for </w:t>
      </w:r>
      <w:r>
        <w:rPr>
          <w:color w:val="000000"/>
        </w:rPr>
        <w:t xml:space="preserve">patients and possibly their </w:t>
      </w:r>
      <w:r w:rsidRPr="00C266E1">
        <w:rPr>
          <w:color w:val="000000"/>
        </w:rPr>
        <w:t>relatives</w:t>
      </w:r>
      <w:r>
        <w:rPr>
          <w:color w:val="000000"/>
        </w:rPr>
        <w:t xml:space="preserve"> since they would then need to have germline </w:t>
      </w:r>
      <w:r w:rsidRPr="00B82834">
        <w:rPr>
          <w:i/>
          <w:color w:val="000000"/>
        </w:rPr>
        <w:t>BRCA</w:t>
      </w:r>
      <w:r>
        <w:rPr>
          <w:color w:val="000000"/>
        </w:rPr>
        <w:t xml:space="preserve"> testing (which was not accounted for in the submission)</w:t>
      </w:r>
      <w:r w:rsidRPr="00C266E1">
        <w:rPr>
          <w:color w:val="000000"/>
        </w:rPr>
        <w:t>.</w:t>
      </w:r>
    </w:p>
    <w:p w14:paraId="33EA8FC3" w14:textId="77777777" w:rsidR="00624B7C" w:rsidRPr="00C266E1" w:rsidRDefault="00624B7C" w:rsidP="00624B7C">
      <w:pPr>
        <w:spacing w:after="240"/>
        <w:rPr>
          <w:color w:val="000000"/>
        </w:rPr>
      </w:pPr>
      <w:r w:rsidRPr="00C266E1">
        <w:rPr>
          <w:color w:val="000000"/>
        </w:rPr>
        <w:t xml:space="preserve">ESC noted the descriptor for MBS item 73296, which relates to breast and ovarian cancer. ESC confirmed the assumption that ‘ovarian’ cancer </w:t>
      </w:r>
      <w:r>
        <w:rPr>
          <w:color w:val="000000"/>
        </w:rPr>
        <w:t>sh</w:t>
      </w:r>
      <w:r w:rsidRPr="00C266E1">
        <w:rPr>
          <w:color w:val="000000"/>
        </w:rPr>
        <w:t xml:space="preserve">ould include fallopian cancer and </w:t>
      </w:r>
      <w:r>
        <w:rPr>
          <w:color w:val="000000"/>
        </w:rPr>
        <w:t xml:space="preserve">primary </w:t>
      </w:r>
      <w:r w:rsidRPr="00C266E1">
        <w:rPr>
          <w:color w:val="000000"/>
        </w:rPr>
        <w:t xml:space="preserve">peritoneal cancer, as </w:t>
      </w:r>
      <w:r>
        <w:rPr>
          <w:color w:val="000000"/>
        </w:rPr>
        <w:t xml:space="preserve">it is assumed that </w:t>
      </w:r>
      <w:r w:rsidRPr="00C266E1">
        <w:rPr>
          <w:color w:val="000000"/>
        </w:rPr>
        <w:t xml:space="preserve">patients with fallopian and peritoneal cancer would respond the same as for ovarian cancer. ESC recommended changing the </w:t>
      </w:r>
      <w:r>
        <w:rPr>
          <w:color w:val="000000"/>
        </w:rPr>
        <w:t xml:space="preserve">item </w:t>
      </w:r>
      <w:r w:rsidRPr="00C266E1">
        <w:rPr>
          <w:color w:val="000000"/>
        </w:rPr>
        <w:t>descriptor for MBS item 73296 to reflect these assumptions.</w:t>
      </w:r>
    </w:p>
    <w:p w14:paraId="489A07ED" w14:textId="77777777" w:rsidR="00624B7C" w:rsidRPr="00C266E1" w:rsidRDefault="00624B7C" w:rsidP="00624B7C">
      <w:pPr>
        <w:spacing w:after="240"/>
        <w:rPr>
          <w:color w:val="000000"/>
        </w:rPr>
      </w:pPr>
      <w:r w:rsidRPr="00C266E1">
        <w:rPr>
          <w:color w:val="000000"/>
        </w:rPr>
        <w:t xml:space="preserve">ESC </w:t>
      </w:r>
      <w:r w:rsidR="00044858">
        <w:rPr>
          <w:color w:val="000000"/>
        </w:rPr>
        <w:t xml:space="preserve">considered </w:t>
      </w:r>
      <w:r w:rsidRPr="00C266E1">
        <w:rPr>
          <w:color w:val="000000"/>
        </w:rPr>
        <w:t>that the genetic testing methods require</w:t>
      </w:r>
      <w:r w:rsidR="00044858">
        <w:rPr>
          <w:color w:val="000000"/>
        </w:rPr>
        <w:t>d</w:t>
      </w:r>
      <w:r w:rsidRPr="00C266E1">
        <w:rPr>
          <w:color w:val="000000"/>
        </w:rPr>
        <w:t xml:space="preserve"> clarification. Currently, </w:t>
      </w:r>
      <w:r>
        <w:rPr>
          <w:color w:val="000000"/>
        </w:rPr>
        <w:t xml:space="preserve">proposed </w:t>
      </w:r>
      <w:r w:rsidRPr="00C266E1">
        <w:rPr>
          <w:color w:val="000000"/>
        </w:rPr>
        <w:t>MBS item XXXX</w:t>
      </w:r>
      <w:r>
        <w:rPr>
          <w:color w:val="000000"/>
        </w:rPr>
        <w:t>X</w:t>
      </w:r>
      <w:r w:rsidRPr="00C266E1">
        <w:rPr>
          <w:color w:val="000000"/>
        </w:rPr>
        <w:t xml:space="preserve"> states ‘requirements relating to </w:t>
      </w:r>
      <w:r w:rsidRPr="00C266E1">
        <w:rPr>
          <w:i/>
          <w:iCs/>
          <w:color w:val="000000"/>
        </w:rPr>
        <w:t>BRCA</w:t>
      </w:r>
      <w:r w:rsidRPr="00C266E1">
        <w:rPr>
          <w:color w:val="000000"/>
        </w:rPr>
        <w:t xml:space="preserve"> status’ and does not specify the scope of testing. ESC considered that the type of test, such as including copy number variation testing</w:t>
      </w:r>
      <w:r>
        <w:rPr>
          <w:color w:val="000000"/>
        </w:rPr>
        <w:t>,</w:t>
      </w:r>
      <w:r w:rsidRPr="00C266E1">
        <w:rPr>
          <w:color w:val="000000"/>
        </w:rPr>
        <w:t xml:space="preserve"> </w:t>
      </w:r>
      <w:r>
        <w:rPr>
          <w:color w:val="000000"/>
        </w:rPr>
        <w:t>should</w:t>
      </w:r>
      <w:r w:rsidRPr="00C266E1">
        <w:rPr>
          <w:color w:val="000000"/>
        </w:rPr>
        <w:t xml:space="preserve"> be stipulated in the </w:t>
      </w:r>
      <w:r w:rsidR="00044858">
        <w:rPr>
          <w:color w:val="000000"/>
        </w:rPr>
        <w:t xml:space="preserve">MBS item </w:t>
      </w:r>
      <w:r w:rsidRPr="00C266E1">
        <w:rPr>
          <w:color w:val="000000"/>
        </w:rPr>
        <w:t xml:space="preserve">descriptor. ESC </w:t>
      </w:r>
      <w:r w:rsidR="00044858">
        <w:rPr>
          <w:color w:val="000000"/>
        </w:rPr>
        <w:t xml:space="preserve">considered that </w:t>
      </w:r>
      <w:r w:rsidRPr="00C266E1">
        <w:rPr>
          <w:color w:val="000000"/>
        </w:rPr>
        <w:t xml:space="preserve">the </w:t>
      </w:r>
      <w:r>
        <w:rPr>
          <w:color w:val="000000"/>
        </w:rPr>
        <w:t>Commentary</w:t>
      </w:r>
      <w:r w:rsidRPr="00C266E1">
        <w:rPr>
          <w:color w:val="000000"/>
        </w:rPr>
        <w:t xml:space="preserve"> included some misconceptions regarding genetic testing methods – for example, </w:t>
      </w:r>
      <w:r w:rsidRPr="002E7783">
        <w:rPr>
          <w:color w:val="000000"/>
        </w:rPr>
        <w:t xml:space="preserve">Multiplex Ligation-dependent Probe Amplification </w:t>
      </w:r>
      <w:r>
        <w:rPr>
          <w:color w:val="000000"/>
        </w:rPr>
        <w:t>(</w:t>
      </w:r>
      <w:r w:rsidRPr="00C266E1">
        <w:rPr>
          <w:color w:val="000000"/>
        </w:rPr>
        <w:t>MLPA</w:t>
      </w:r>
      <w:r>
        <w:rPr>
          <w:color w:val="000000"/>
        </w:rPr>
        <w:t>)</w:t>
      </w:r>
      <w:r w:rsidRPr="00C266E1">
        <w:rPr>
          <w:color w:val="000000"/>
        </w:rPr>
        <w:t xml:space="preserve"> cannot detect indels and gene </w:t>
      </w:r>
      <w:r>
        <w:rPr>
          <w:color w:val="000000"/>
        </w:rPr>
        <w:t>re</w:t>
      </w:r>
      <w:r w:rsidRPr="00C266E1">
        <w:rPr>
          <w:color w:val="000000"/>
        </w:rPr>
        <w:t>arrangements.</w:t>
      </w:r>
    </w:p>
    <w:p w14:paraId="582EF200" w14:textId="77777777" w:rsidR="00624B7C" w:rsidRPr="00C266E1" w:rsidRDefault="00624B7C" w:rsidP="00624B7C">
      <w:pPr>
        <w:spacing w:after="240"/>
        <w:rPr>
          <w:color w:val="000000"/>
        </w:rPr>
      </w:pPr>
      <w:r w:rsidRPr="00C266E1">
        <w:rPr>
          <w:color w:val="000000"/>
        </w:rPr>
        <w:t>In addition, the sequence of tests is an issue for Scenario 2. ESC considered that it might be practical to perform somatic testing first, as this w</w:t>
      </w:r>
      <w:r>
        <w:rPr>
          <w:color w:val="000000"/>
        </w:rPr>
        <w:t>ould</w:t>
      </w:r>
      <w:r w:rsidRPr="00C266E1">
        <w:rPr>
          <w:color w:val="000000"/>
        </w:rPr>
        <w:t xml:space="preserve"> detect all mutations and provide access to the drug, then germline and cascade testing could be performed as necessary. </w:t>
      </w:r>
      <w:r>
        <w:rPr>
          <w:color w:val="000000"/>
        </w:rPr>
        <w:t xml:space="preserve">If this is the case, then the wording of the somatic testing item would need to be as prescriptive as the existing germline items as to the scope of testing (ie sequencing and copy number variation) as this may be the only </w:t>
      </w:r>
      <w:r w:rsidRPr="00174C69">
        <w:rPr>
          <w:i/>
          <w:color w:val="000000"/>
        </w:rPr>
        <w:t>BRCA</w:t>
      </w:r>
      <w:r w:rsidRPr="00793201">
        <w:rPr>
          <w:i/>
          <w:color w:val="000000"/>
        </w:rPr>
        <w:t>1</w:t>
      </w:r>
      <w:r w:rsidRPr="00793201">
        <w:rPr>
          <w:color w:val="000000"/>
        </w:rPr>
        <w:t xml:space="preserve"> </w:t>
      </w:r>
      <w:r>
        <w:rPr>
          <w:color w:val="000000"/>
        </w:rPr>
        <w:t>and</w:t>
      </w:r>
      <w:r w:rsidRPr="00793201">
        <w:rPr>
          <w:color w:val="000000"/>
        </w:rPr>
        <w:t xml:space="preserve"> </w:t>
      </w:r>
      <w:r>
        <w:rPr>
          <w:i/>
          <w:color w:val="000000"/>
        </w:rPr>
        <w:t>BRCA</w:t>
      </w:r>
      <w:r w:rsidRPr="00793201">
        <w:rPr>
          <w:i/>
          <w:color w:val="000000"/>
        </w:rPr>
        <w:t>2</w:t>
      </w:r>
      <w:r>
        <w:rPr>
          <w:color w:val="000000"/>
        </w:rPr>
        <w:t xml:space="preserve"> test that the patient may have. </w:t>
      </w:r>
      <w:r w:rsidRPr="00C266E1">
        <w:rPr>
          <w:color w:val="000000"/>
        </w:rPr>
        <w:t xml:space="preserve">ESC also considered that the </w:t>
      </w:r>
      <w:r>
        <w:rPr>
          <w:color w:val="000000"/>
        </w:rPr>
        <w:t xml:space="preserve">downstream </w:t>
      </w:r>
      <w:r w:rsidRPr="00C266E1">
        <w:rPr>
          <w:color w:val="000000"/>
        </w:rPr>
        <w:t xml:space="preserve">germline </w:t>
      </w:r>
      <w:r>
        <w:rPr>
          <w:color w:val="000000"/>
        </w:rPr>
        <w:t>test to confirm a somatic variant should be targeted and involve testing the original somatic sample in parallel, as is best practice for predictive testing, to avoid the potential for false negative results.</w:t>
      </w:r>
    </w:p>
    <w:p w14:paraId="1C06E137" w14:textId="77777777" w:rsidR="00624B7C" w:rsidRPr="00C266E1" w:rsidRDefault="00624B7C" w:rsidP="00624B7C">
      <w:pPr>
        <w:spacing w:after="240"/>
        <w:rPr>
          <w:color w:val="000000"/>
        </w:rPr>
      </w:pPr>
      <w:r w:rsidRPr="00C266E1">
        <w:rPr>
          <w:color w:val="000000"/>
        </w:rPr>
        <w:t>ESC considered that the</w:t>
      </w:r>
      <w:r>
        <w:rPr>
          <w:color w:val="000000"/>
        </w:rPr>
        <w:t xml:space="preserve"> restriction of</w:t>
      </w:r>
      <w:r w:rsidRPr="00C266E1">
        <w:rPr>
          <w:color w:val="000000"/>
        </w:rPr>
        <w:t xml:space="preserve"> ‘once per lifetime testing’ for somatic testing was unnecessary. Although the requirement for additional testing would be rare, it may be inappropriate to restrict the test</w:t>
      </w:r>
      <w:r>
        <w:rPr>
          <w:color w:val="000000"/>
        </w:rPr>
        <w:t xml:space="preserve"> on once per lifetime</w:t>
      </w:r>
      <w:r w:rsidRPr="00C266E1">
        <w:rPr>
          <w:color w:val="000000"/>
        </w:rPr>
        <w:t>. ‘Once per primary maligna</w:t>
      </w:r>
      <w:r>
        <w:rPr>
          <w:color w:val="000000"/>
        </w:rPr>
        <w:t>ncy’ might be more appropriate.</w:t>
      </w:r>
    </w:p>
    <w:p w14:paraId="4EFAAE15" w14:textId="26B5519D" w:rsidR="00624B7C" w:rsidRPr="00C266E1" w:rsidRDefault="00624B7C" w:rsidP="00624B7C">
      <w:pPr>
        <w:spacing w:after="240"/>
        <w:rPr>
          <w:color w:val="000000"/>
        </w:rPr>
      </w:pPr>
      <w:r w:rsidRPr="00C266E1">
        <w:rPr>
          <w:color w:val="000000"/>
        </w:rPr>
        <w:t xml:space="preserve">ESC also </w:t>
      </w:r>
      <w:r w:rsidR="00044858">
        <w:rPr>
          <w:color w:val="000000"/>
        </w:rPr>
        <w:t xml:space="preserve">considered that </w:t>
      </w:r>
      <w:r w:rsidRPr="00C266E1">
        <w:rPr>
          <w:color w:val="000000"/>
        </w:rPr>
        <w:t xml:space="preserve">the cost for this </w:t>
      </w:r>
      <w:r>
        <w:rPr>
          <w:color w:val="000000"/>
        </w:rPr>
        <w:t xml:space="preserve">tumour </w:t>
      </w:r>
      <w:r w:rsidRPr="00C266E1">
        <w:rPr>
          <w:color w:val="000000"/>
        </w:rPr>
        <w:t>test ($</w:t>
      </w:r>
      <w:r w:rsidR="00D705FE" w:rsidRPr="00E71810">
        <w:rPr>
          <w:b/>
        </w:rPr>
        <w:t>redacted</w:t>
      </w:r>
      <w:r w:rsidRPr="00C266E1">
        <w:rPr>
          <w:color w:val="000000"/>
        </w:rPr>
        <w:t xml:space="preserve">) may be too high, as this likely includes costs for sample retrieval, but there is a separate </w:t>
      </w:r>
      <w:r>
        <w:rPr>
          <w:color w:val="000000"/>
        </w:rPr>
        <w:t xml:space="preserve">MBS </w:t>
      </w:r>
      <w:r w:rsidRPr="00C266E1">
        <w:rPr>
          <w:color w:val="000000"/>
        </w:rPr>
        <w:t>item (72860) for sample retrieval that can be claimed if the retrieving and testing laboratories are different.</w:t>
      </w:r>
    </w:p>
    <w:p w14:paraId="01F530D4" w14:textId="77777777" w:rsidR="00624B7C" w:rsidRDefault="00624B7C" w:rsidP="00624B7C">
      <w:pPr>
        <w:spacing w:after="240"/>
        <w:rPr>
          <w:color w:val="000000"/>
        </w:rPr>
      </w:pPr>
      <w:r w:rsidRPr="00C266E1">
        <w:rPr>
          <w:color w:val="000000"/>
        </w:rPr>
        <w:t xml:space="preserve">ESC noted the immature overall survival (OS) </w:t>
      </w:r>
      <w:r>
        <w:rPr>
          <w:color w:val="000000"/>
        </w:rPr>
        <w:t xml:space="preserve">results from </w:t>
      </w:r>
      <w:r w:rsidRPr="00C266E1">
        <w:rPr>
          <w:color w:val="000000"/>
        </w:rPr>
        <w:t xml:space="preserve">SOLO1. Although the progression-free survival (PFS) </w:t>
      </w:r>
      <w:r>
        <w:rPr>
          <w:color w:val="000000"/>
        </w:rPr>
        <w:t>results</w:t>
      </w:r>
      <w:r w:rsidRPr="00C266E1">
        <w:rPr>
          <w:color w:val="000000"/>
        </w:rPr>
        <w:t xml:space="preserve"> look promising, ESC queried the clinical </w:t>
      </w:r>
      <w:r>
        <w:rPr>
          <w:color w:val="000000"/>
        </w:rPr>
        <w:t>acceptability</w:t>
      </w:r>
      <w:r w:rsidRPr="00C266E1">
        <w:rPr>
          <w:color w:val="000000"/>
        </w:rPr>
        <w:t xml:space="preserve"> of </w:t>
      </w:r>
      <w:r>
        <w:rPr>
          <w:color w:val="000000"/>
        </w:rPr>
        <w:t xml:space="preserve">extrapolating from these </w:t>
      </w:r>
      <w:r w:rsidRPr="00C266E1">
        <w:rPr>
          <w:color w:val="000000"/>
        </w:rPr>
        <w:t xml:space="preserve">PFS </w:t>
      </w:r>
      <w:r>
        <w:rPr>
          <w:color w:val="000000"/>
        </w:rPr>
        <w:t>results</w:t>
      </w:r>
      <w:r w:rsidRPr="00C266E1">
        <w:rPr>
          <w:color w:val="000000"/>
        </w:rPr>
        <w:t xml:space="preserve">; the </w:t>
      </w:r>
      <w:r w:rsidRPr="00B82834">
        <w:t>PFS gain was only associated with a grade of 3 out of 5 on the European Society for Medical Oncology (ESMO)-Magnitude of Clinical Benefit Scale version 1</w:t>
      </w:r>
      <w:r>
        <w:rPr>
          <w:color w:val="000000"/>
        </w:rPr>
        <w:t>.</w:t>
      </w:r>
    </w:p>
    <w:p w14:paraId="365ED649" w14:textId="77777777" w:rsidR="00624B7C" w:rsidRPr="00C266E1" w:rsidRDefault="00624B7C" w:rsidP="00624B7C">
      <w:pPr>
        <w:spacing w:after="240"/>
        <w:rPr>
          <w:color w:val="000000"/>
        </w:rPr>
      </w:pPr>
      <w:r w:rsidRPr="00C266E1">
        <w:rPr>
          <w:color w:val="000000"/>
        </w:rPr>
        <w:t xml:space="preserve">ESC also noted the lack of data for </w:t>
      </w:r>
      <w:r w:rsidRPr="00C266E1">
        <w:rPr>
          <w:i/>
          <w:iCs/>
          <w:color w:val="000000"/>
        </w:rPr>
        <w:t>BRCA</w:t>
      </w:r>
      <w:r w:rsidRPr="00C266E1">
        <w:rPr>
          <w:color w:val="000000"/>
        </w:rPr>
        <w:t xml:space="preserve"> testing compared with no testing. SOLO1 did not include </w:t>
      </w:r>
      <w:r w:rsidRPr="00C266E1">
        <w:rPr>
          <w:i/>
          <w:iCs/>
          <w:color w:val="000000"/>
        </w:rPr>
        <w:t>BRCA</w:t>
      </w:r>
      <w:r w:rsidRPr="00C266E1">
        <w:rPr>
          <w:color w:val="000000"/>
        </w:rPr>
        <w:t xml:space="preserve">wt patients, so the olaparib treatment effect variation by </w:t>
      </w:r>
      <w:r w:rsidRPr="00C266E1">
        <w:rPr>
          <w:i/>
          <w:iCs/>
          <w:color w:val="000000"/>
        </w:rPr>
        <w:t>BRCA</w:t>
      </w:r>
      <w:r w:rsidRPr="00C266E1">
        <w:rPr>
          <w:color w:val="000000"/>
        </w:rPr>
        <w:t xml:space="preserve"> status cannot be determined</w:t>
      </w:r>
      <w:r>
        <w:rPr>
          <w:color w:val="000000"/>
        </w:rPr>
        <w:t xml:space="preserve"> from this trial</w:t>
      </w:r>
      <w:r w:rsidRPr="00C266E1">
        <w:rPr>
          <w:color w:val="000000"/>
        </w:rPr>
        <w:t xml:space="preserve">. Thus, ESC raised concerns regarding the codependency </w:t>
      </w:r>
      <w:r>
        <w:rPr>
          <w:color w:val="000000"/>
        </w:rPr>
        <w:t>claim in this</w:t>
      </w:r>
      <w:r w:rsidRPr="00C266E1">
        <w:rPr>
          <w:color w:val="000000"/>
        </w:rPr>
        <w:t xml:space="preserve"> application</w:t>
      </w:r>
      <w:r>
        <w:rPr>
          <w:color w:val="000000"/>
        </w:rPr>
        <w:t xml:space="preserve"> based on SOLO1</w:t>
      </w:r>
      <w:r w:rsidRPr="00C266E1">
        <w:rPr>
          <w:color w:val="000000"/>
        </w:rPr>
        <w:t>, a</w:t>
      </w:r>
      <w:r>
        <w:rPr>
          <w:color w:val="000000"/>
        </w:rPr>
        <w:t>n important</w:t>
      </w:r>
      <w:r w:rsidRPr="00C266E1">
        <w:rPr>
          <w:color w:val="000000"/>
        </w:rPr>
        <w:t xml:space="preserve"> point that t</w:t>
      </w:r>
      <w:r>
        <w:rPr>
          <w:color w:val="000000"/>
        </w:rPr>
        <w:t>he applicant has not addressed.</w:t>
      </w:r>
    </w:p>
    <w:p w14:paraId="6F4F7ADF" w14:textId="77777777" w:rsidR="00624B7C" w:rsidRDefault="00624B7C" w:rsidP="00624B7C">
      <w:pPr>
        <w:spacing w:after="240"/>
      </w:pPr>
      <w:r w:rsidRPr="00C266E1">
        <w:rPr>
          <w:color w:val="000000"/>
        </w:rPr>
        <w:t xml:space="preserve">Previously, MSAC queried the reliability of somatic </w:t>
      </w:r>
      <w:r w:rsidRPr="00C266E1">
        <w:rPr>
          <w:i/>
          <w:iCs/>
          <w:color w:val="000000"/>
        </w:rPr>
        <w:t>BRCA</w:t>
      </w:r>
      <w:r w:rsidRPr="00C266E1">
        <w:rPr>
          <w:color w:val="000000"/>
        </w:rPr>
        <w:t xml:space="preserve"> testing</w:t>
      </w:r>
      <w:r>
        <w:rPr>
          <w:color w:val="000000"/>
        </w:rPr>
        <w:t xml:space="preserve"> (Application 1380)</w:t>
      </w:r>
      <w:r w:rsidRPr="00C266E1">
        <w:rPr>
          <w:color w:val="000000"/>
        </w:rPr>
        <w:t xml:space="preserve">, but somatic </w:t>
      </w:r>
      <w:r w:rsidRPr="00C266E1">
        <w:rPr>
          <w:i/>
          <w:iCs/>
          <w:color w:val="000000"/>
        </w:rPr>
        <w:t>BRCA</w:t>
      </w:r>
      <w:r w:rsidRPr="00C266E1">
        <w:rPr>
          <w:color w:val="000000"/>
        </w:rPr>
        <w:t xml:space="preserve"> testing is now shown to have high </w:t>
      </w:r>
      <w:r>
        <w:rPr>
          <w:color w:val="000000"/>
        </w:rPr>
        <w:t xml:space="preserve">analytical </w:t>
      </w:r>
      <w:r w:rsidRPr="00C266E1">
        <w:rPr>
          <w:color w:val="000000"/>
        </w:rPr>
        <w:t>sensitivity and specificity</w:t>
      </w:r>
      <w:r>
        <w:rPr>
          <w:color w:val="000000"/>
        </w:rPr>
        <w:t xml:space="preserve">, from </w:t>
      </w:r>
      <w:r w:rsidRPr="00C266E1">
        <w:rPr>
          <w:color w:val="000000"/>
        </w:rPr>
        <w:t>indirect</w:t>
      </w:r>
      <w:r>
        <w:rPr>
          <w:color w:val="000000"/>
        </w:rPr>
        <w:t xml:space="preserve"> evidence. </w:t>
      </w:r>
      <w:r>
        <w:t xml:space="preserve">However, ESC was concerned with missing data from 55/253 samples (the causes of failure are described for only 44 samples) in Dougherty et al. 2017 (Study 19) which informed the concordance of tumour NGS </w:t>
      </w:r>
      <w:r w:rsidRPr="004C1020">
        <w:rPr>
          <w:i/>
        </w:rPr>
        <w:t>vs.</w:t>
      </w:r>
      <w:r>
        <w:t xml:space="preserve"> germline Sanger sequencing and was the basis of MSAC’s previous consideration of somatic </w:t>
      </w:r>
      <w:r w:rsidRPr="00A01C12">
        <w:rPr>
          <w:i/>
        </w:rPr>
        <w:t>BRCA</w:t>
      </w:r>
      <w:r>
        <w:t xml:space="preserve"> testing. In addition, ESC considered that there remained uncertainty associated with the identification of the evidentiary standard</w:t>
      </w:r>
      <w:r>
        <w:rPr>
          <w:rStyle w:val="FootnoteReference"/>
        </w:rPr>
        <w:footnoteReference w:id="1"/>
      </w:r>
      <w:r>
        <w:t xml:space="preserve"> for somatic </w:t>
      </w:r>
      <w:r w:rsidRPr="00E772FE">
        <w:rPr>
          <w:i/>
        </w:rPr>
        <w:t>BRCA</w:t>
      </w:r>
      <w:r>
        <w:t xml:space="preserve"> testing</w:t>
      </w:r>
      <w:r w:rsidRPr="00622BC0">
        <w:t xml:space="preserve"> </w:t>
      </w:r>
      <w:r>
        <w:t>as the submission provided limited information on this.</w:t>
      </w:r>
    </w:p>
    <w:p w14:paraId="5729B160" w14:textId="77777777" w:rsidR="00624B7C" w:rsidRPr="00C266E1" w:rsidRDefault="00624B7C" w:rsidP="00624B7C">
      <w:pPr>
        <w:spacing w:after="240"/>
        <w:rPr>
          <w:color w:val="000000"/>
        </w:rPr>
      </w:pPr>
      <w:r w:rsidRPr="00C266E1">
        <w:rPr>
          <w:color w:val="000000"/>
        </w:rPr>
        <w:t>ESC also noted th</w:t>
      </w:r>
      <w:r>
        <w:rPr>
          <w:color w:val="000000"/>
        </w:rPr>
        <w:t xml:space="preserve">at the evidence to support the clinical utility of the tumour </w:t>
      </w:r>
      <w:r w:rsidRPr="00E772FE">
        <w:rPr>
          <w:i/>
          <w:color w:val="000000"/>
        </w:rPr>
        <w:t>BRCA</w:t>
      </w:r>
      <w:r>
        <w:rPr>
          <w:color w:val="000000"/>
        </w:rPr>
        <w:t xml:space="preserve"> test was based on a meta-analysis of several PARP inhibitors in the second-line setting, suggesting similar effectiveness in those with somatic </w:t>
      </w:r>
      <w:r w:rsidRPr="00E772FE">
        <w:rPr>
          <w:i/>
          <w:color w:val="000000"/>
        </w:rPr>
        <w:t>BRCA</w:t>
      </w:r>
      <w:r>
        <w:rPr>
          <w:i/>
          <w:color w:val="000000"/>
        </w:rPr>
        <w:t xml:space="preserve"> </w:t>
      </w:r>
      <w:r>
        <w:rPr>
          <w:color w:val="000000"/>
        </w:rPr>
        <w:t>mutation (s</w:t>
      </w:r>
      <w:r w:rsidRPr="00E772FE">
        <w:rPr>
          <w:i/>
          <w:color w:val="000000"/>
        </w:rPr>
        <w:t>BRCA</w:t>
      </w:r>
      <w:r>
        <w:rPr>
          <w:color w:val="000000"/>
        </w:rPr>
        <w:t xml:space="preserve">m) and germline </w:t>
      </w:r>
      <w:r w:rsidRPr="00E772FE">
        <w:rPr>
          <w:i/>
          <w:color w:val="000000"/>
        </w:rPr>
        <w:t>BRCA</w:t>
      </w:r>
      <w:r>
        <w:rPr>
          <w:i/>
          <w:color w:val="000000"/>
        </w:rPr>
        <w:t xml:space="preserve"> </w:t>
      </w:r>
      <w:r>
        <w:rPr>
          <w:color w:val="000000"/>
        </w:rPr>
        <w:t>mutation (g</w:t>
      </w:r>
      <w:r w:rsidRPr="00E772FE">
        <w:rPr>
          <w:i/>
          <w:color w:val="000000"/>
        </w:rPr>
        <w:t>BRCA</w:t>
      </w:r>
      <w:r>
        <w:rPr>
          <w:color w:val="000000"/>
        </w:rPr>
        <w:t>m). However, it was unclear if the patients identified with a s</w:t>
      </w:r>
      <w:r w:rsidRPr="00FB21CF">
        <w:rPr>
          <w:i/>
          <w:color w:val="000000"/>
        </w:rPr>
        <w:t>BRCA</w:t>
      </w:r>
      <w:r>
        <w:rPr>
          <w:color w:val="000000"/>
        </w:rPr>
        <w:t>m in the absence of a g</w:t>
      </w:r>
      <w:r w:rsidRPr="00FB21CF">
        <w:rPr>
          <w:i/>
          <w:color w:val="000000"/>
        </w:rPr>
        <w:t>BRCA</w:t>
      </w:r>
      <w:r>
        <w:rPr>
          <w:color w:val="000000"/>
        </w:rPr>
        <w:t xml:space="preserve">m. Therefore, ESC considered there remained </w:t>
      </w:r>
      <w:r w:rsidRPr="00C266E1">
        <w:rPr>
          <w:color w:val="000000"/>
        </w:rPr>
        <w:t xml:space="preserve">insufficient evidence of clinical utility in patients with only a somatic </w:t>
      </w:r>
      <w:r w:rsidRPr="00C266E1">
        <w:rPr>
          <w:i/>
          <w:iCs/>
          <w:color w:val="000000"/>
        </w:rPr>
        <w:t xml:space="preserve">BRCA </w:t>
      </w:r>
      <w:r w:rsidRPr="00C266E1">
        <w:rPr>
          <w:color w:val="000000"/>
        </w:rPr>
        <w:t>mutation</w:t>
      </w:r>
      <w:r>
        <w:rPr>
          <w:color w:val="000000"/>
        </w:rPr>
        <w:t xml:space="preserve">. In addition, ESC noted that the </w:t>
      </w:r>
      <w:r>
        <w:t>key comparative trial (SOLO1) for PBAC consideration in the requested maintenance setting identified only 2 patients from this subgroup (those</w:t>
      </w:r>
      <w:r w:rsidRPr="00E772FE">
        <w:t xml:space="preserve"> with s</w:t>
      </w:r>
      <w:r w:rsidRPr="00E772FE">
        <w:rPr>
          <w:i/>
        </w:rPr>
        <w:t>BRCA</w:t>
      </w:r>
      <w:r w:rsidRPr="00E772FE">
        <w:t>m in the absence of g</w:t>
      </w:r>
      <w:r w:rsidRPr="00E772FE">
        <w:rPr>
          <w:i/>
        </w:rPr>
        <w:t>BRCA</w:t>
      </w:r>
      <w:r w:rsidRPr="00E772FE">
        <w:t>m</w:t>
      </w:r>
      <w:r>
        <w:t>).</w:t>
      </w:r>
    </w:p>
    <w:p w14:paraId="75868D28" w14:textId="367D27B4" w:rsidR="00624B7C" w:rsidRDefault="00624B7C" w:rsidP="00624B7C">
      <w:pPr>
        <w:spacing w:after="240"/>
        <w:rPr>
          <w:color w:val="000000"/>
        </w:rPr>
      </w:pPr>
      <w:r w:rsidRPr="00C266E1">
        <w:rPr>
          <w:color w:val="000000"/>
        </w:rPr>
        <w:t xml:space="preserve">ESC noted the </w:t>
      </w:r>
      <w:r>
        <w:rPr>
          <w:color w:val="000000"/>
        </w:rPr>
        <w:t>Commentary</w:t>
      </w:r>
      <w:r w:rsidRPr="00C266E1">
        <w:rPr>
          <w:color w:val="000000"/>
        </w:rPr>
        <w:t xml:space="preserve"> re-specified the base case</w:t>
      </w:r>
      <w:r>
        <w:rPr>
          <w:color w:val="000000"/>
        </w:rPr>
        <w:t xml:space="preserve"> </w:t>
      </w:r>
      <w:r w:rsidRPr="00F80B3F">
        <w:rPr>
          <w:color w:val="000000"/>
        </w:rPr>
        <w:t xml:space="preserve">by adjusting </w:t>
      </w:r>
      <w:r>
        <w:rPr>
          <w:color w:val="000000"/>
        </w:rPr>
        <w:t xml:space="preserve">the </w:t>
      </w:r>
      <w:r w:rsidRPr="00F80B3F">
        <w:rPr>
          <w:color w:val="000000"/>
        </w:rPr>
        <w:t xml:space="preserve">OS curves in </w:t>
      </w:r>
      <w:r w:rsidRPr="00E772FE">
        <w:rPr>
          <w:i/>
          <w:color w:val="000000"/>
        </w:rPr>
        <w:t>BRCA</w:t>
      </w:r>
      <w:r w:rsidRPr="00F80B3F">
        <w:rPr>
          <w:color w:val="000000"/>
        </w:rPr>
        <w:t xml:space="preserve">m positives to be </w:t>
      </w:r>
      <w:r>
        <w:rPr>
          <w:color w:val="000000"/>
        </w:rPr>
        <w:t xml:space="preserve">the </w:t>
      </w:r>
      <w:r w:rsidRPr="00F80B3F">
        <w:rPr>
          <w:color w:val="000000"/>
        </w:rPr>
        <w:t xml:space="preserve">same across both olaparib and placebo arms after 41 months, utility values for </w:t>
      </w:r>
      <w:r>
        <w:rPr>
          <w:color w:val="000000"/>
        </w:rPr>
        <w:t>progression-free survival after the first progression (</w:t>
      </w:r>
      <w:r w:rsidRPr="00F80B3F">
        <w:rPr>
          <w:color w:val="000000"/>
        </w:rPr>
        <w:t>PFS2</w:t>
      </w:r>
      <w:r>
        <w:rPr>
          <w:color w:val="000000"/>
        </w:rPr>
        <w:t>)</w:t>
      </w:r>
      <w:r w:rsidRPr="00F80B3F">
        <w:rPr>
          <w:color w:val="000000"/>
        </w:rPr>
        <w:t xml:space="preserve"> and </w:t>
      </w:r>
      <w:r>
        <w:rPr>
          <w:color w:val="000000"/>
        </w:rPr>
        <w:t>progressive disease (</w:t>
      </w:r>
      <w:r w:rsidRPr="00F80B3F">
        <w:rPr>
          <w:color w:val="000000"/>
        </w:rPr>
        <w:t>PD</w:t>
      </w:r>
      <w:r>
        <w:rPr>
          <w:color w:val="000000"/>
        </w:rPr>
        <w:t>)</w:t>
      </w:r>
      <w:r w:rsidRPr="00F80B3F">
        <w:rPr>
          <w:color w:val="000000"/>
        </w:rPr>
        <w:t xml:space="preserve"> sourced from Study 19, corrected modelled cost of olaparib, including downstream germline testing costs in the tumour positives and prevalence of g</w:t>
      </w:r>
      <w:r w:rsidRPr="00E772FE">
        <w:rPr>
          <w:i/>
          <w:color w:val="000000"/>
        </w:rPr>
        <w:t>BRCA</w:t>
      </w:r>
      <w:r w:rsidRPr="00F80B3F">
        <w:rPr>
          <w:color w:val="000000"/>
        </w:rPr>
        <w:t>m as 20.3%</w:t>
      </w:r>
      <w:r w:rsidRPr="00C266E1">
        <w:rPr>
          <w:color w:val="000000"/>
        </w:rPr>
        <w:t>.</w:t>
      </w:r>
      <w:r w:rsidRPr="00F67268">
        <w:rPr>
          <w:color w:val="000000"/>
        </w:rPr>
        <w:t xml:space="preserve"> </w:t>
      </w:r>
      <w:r>
        <w:rPr>
          <w:color w:val="000000"/>
        </w:rPr>
        <w:t>This increased the incremental cost-effectiveness ratio’s (ICERs) to $</w:t>
      </w:r>
      <w:r w:rsidR="00D705FE" w:rsidRPr="00E71810">
        <w:rPr>
          <w:b/>
        </w:rPr>
        <w:t>redacted</w:t>
      </w:r>
      <w:r w:rsidR="00D705FE">
        <w:rPr>
          <w:color w:val="000000"/>
        </w:rPr>
        <w:t xml:space="preserve"> </w:t>
      </w:r>
      <w:r>
        <w:rPr>
          <w:color w:val="000000"/>
        </w:rPr>
        <w:t>/quality-adjusted life year (QALY) for Scenario 1 and $</w:t>
      </w:r>
      <w:r w:rsidR="00D705FE" w:rsidRPr="00E71810">
        <w:rPr>
          <w:b/>
        </w:rPr>
        <w:t>redacted</w:t>
      </w:r>
      <w:r w:rsidR="00D705FE">
        <w:rPr>
          <w:color w:val="000000"/>
        </w:rPr>
        <w:t xml:space="preserve"> </w:t>
      </w:r>
      <w:r>
        <w:rPr>
          <w:color w:val="000000"/>
        </w:rPr>
        <w:t>/QALY for Scenario 2</w:t>
      </w:r>
      <w:r w:rsidRPr="00C266E1">
        <w:rPr>
          <w:color w:val="000000"/>
        </w:rPr>
        <w:t xml:space="preserve"> ESC </w:t>
      </w:r>
      <w:r>
        <w:rPr>
          <w:color w:val="000000"/>
        </w:rPr>
        <w:t xml:space="preserve">advised </w:t>
      </w:r>
      <w:r w:rsidRPr="00C266E1">
        <w:rPr>
          <w:color w:val="000000"/>
        </w:rPr>
        <w:t xml:space="preserve">that the </w:t>
      </w:r>
      <w:r>
        <w:rPr>
          <w:color w:val="000000"/>
        </w:rPr>
        <w:t>Commentary</w:t>
      </w:r>
      <w:r w:rsidRPr="00C266E1">
        <w:rPr>
          <w:color w:val="000000"/>
        </w:rPr>
        <w:t xml:space="preserve"> base case should be </w:t>
      </w:r>
      <w:r>
        <w:rPr>
          <w:color w:val="000000"/>
        </w:rPr>
        <w:t>preferred over the submission base case</w:t>
      </w:r>
      <w:r w:rsidRPr="00C266E1">
        <w:rPr>
          <w:color w:val="000000"/>
        </w:rPr>
        <w:t>.</w:t>
      </w:r>
      <w:r>
        <w:rPr>
          <w:color w:val="000000"/>
        </w:rPr>
        <w:t xml:space="preserve"> ESC noted f</w:t>
      </w:r>
      <w:r w:rsidRPr="00B86127">
        <w:rPr>
          <w:color w:val="000000"/>
        </w:rPr>
        <w:t>urther sensitivity analysis post PBAC ESC reducing the time horizon from 25 to 10 years further increased the ICER to $</w:t>
      </w:r>
      <w:r w:rsidR="00D705FE" w:rsidRPr="00E71810">
        <w:rPr>
          <w:b/>
        </w:rPr>
        <w:t>redacted</w:t>
      </w:r>
      <w:r w:rsidR="00D705FE" w:rsidRPr="00B86127">
        <w:rPr>
          <w:color w:val="000000"/>
        </w:rPr>
        <w:t xml:space="preserve"> </w:t>
      </w:r>
      <w:r w:rsidRPr="00B86127">
        <w:rPr>
          <w:color w:val="000000"/>
        </w:rPr>
        <w:t xml:space="preserve">/QALY </w:t>
      </w:r>
      <w:r>
        <w:rPr>
          <w:color w:val="000000"/>
        </w:rPr>
        <w:t>for S</w:t>
      </w:r>
      <w:r w:rsidRPr="00B86127">
        <w:rPr>
          <w:color w:val="000000"/>
        </w:rPr>
        <w:t>cenario 2</w:t>
      </w:r>
      <w:r>
        <w:rPr>
          <w:color w:val="000000"/>
        </w:rPr>
        <w:t>.</w:t>
      </w:r>
    </w:p>
    <w:p w14:paraId="45E23D34" w14:textId="77777777" w:rsidR="00624B7C" w:rsidRDefault="00624B7C" w:rsidP="00624B7C">
      <w:pPr>
        <w:spacing w:after="240"/>
        <w:rPr>
          <w:color w:val="000000"/>
        </w:rPr>
      </w:pPr>
      <w:r w:rsidRPr="00C266E1">
        <w:rPr>
          <w:color w:val="000000"/>
        </w:rPr>
        <w:t xml:space="preserve">ESC </w:t>
      </w:r>
      <w:r>
        <w:rPr>
          <w:color w:val="000000"/>
        </w:rPr>
        <w:t xml:space="preserve">considered that </w:t>
      </w:r>
      <w:r w:rsidRPr="00C266E1">
        <w:rPr>
          <w:color w:val="000000"/>
        </w:rPr>
        <w:t>the ICERs</w:t>
      </w:r>
      <w:r>
        <w:rPr>
          <w:color w:val="000000"/>
        </w:rPr>
        <w:t xml:space="preserve"> were high and remained uncertain even with the Commentary re-specifications</w:t>
      </w:r>
      <w:r w:rsidRPr="00C266E1">
        <w:rPr>
          <w:color w:val="000000"/>
        </w:rPr>
        <w:t>. Scenario</w:t>
      </w:r>
      <w:r>
        <w:rPr>
          <w:color w:val="000000"/>
        </w:rPr>
        <w:t> </w:t>
      </w:r>
      <w:r w:rsidRPr="00C266E1">
        <w:rPr>
          <w:color w:val="000000"/>
        </w:rPr>
        <w:t>1 has more evidence but higher ICERs; the ICERs for Scenario 2 are lower but are based on less evidence.</w:t>
      </w:r>
    </w:p>
    <w:p w14:paraId="1352CF88" w14:textId="77777777" w:rsidR="00624B7C" w:rsidRPr="00C266E1" w:rsidRDefault="00624B7C" w:rsidP="00624B7C">
      <w:pPr>
        <w:spacing w:after="240"/>
        <w:rPr>
          <w:color w:val="000000"/>
        </w:rPr>
      </w:pPr>
      <w:r>
        <w:rPr>
          <w:color w:val="000000"/>
        </w:rPr>
        <w:t xml:space="preserve">ESC considered that the financial estimates were uncertain, due to </w:t>
      </w:r>
      <w:r w:rsidRPr="00F83EAF">
        <w:rPr>
          <w:color w:val="000000"/>
        </w:rPr>
        <w:t>underestimated g</w:t>
      </w:r>
      <w:r w:rsidRPr="00B82834">
        <w:rPr>
          <w:i/>
          <w:color w:val="000000"/>
        </w:rPr>
        <w:t>BRCA</w:t>
      </w:r>
      <w:r w:rsidRPr="00F83EAF">
        <w:rPr>
          <w:color w:val="000000"/>
        </w:rPr>
        <w:t xml:space="preserve"> tests displaced (due to reduced second-line testing); did not account for g</w:t>
      </w:r>
      <w:r w:rsidRPr="00B82834">
        <w:rPr>
          <w:i/>
          <w:color w:val="000000"/>
        </w:rPr>
        <w:t>BRCA</w:t>
      </w:r>
      <w:r w:rsidRPr="00F83EAF">
        <w:rPr>
          <w:color w:val="000000"/>
        </w:rPr>
        <w:t xml:space="preserve"> testing (for familial testing) subsequent to a positive s</w:t>
      </w:r>
      <w:r w:rsidRPr="00B82834">
        <w:rPr>
          <w:i/>
          <w:color w:val="000000"/>
        </w:rPr>
        <w:t>BRCA</w:t>
      </w:r>
      <w:r w:rsidRPr="00F83EAF">
        <w:rPr>
          <w:color w:val="000000"/>
        </w:rPr>
        <w:t xml:space="preserve"> test</w:t>
      </w:r>
      <w:r w:rsidR="004F698E">
        <w:rPr>
          <w:color w:val="000000"/>
        </w:rPr>
        <w:t xml:space="preserve"> result</w:t>
      </w:r>
      <w:r w:rsidRPr="00F83EAF">
        <w:rPr>
          <w:color w:val="000000"/>
        </w:rPr>
        <w:t xml:space="preserve">; and calculated estimates using </w:t>
      </w:r>
      <w:r>
        <w:rPr>
          <w:color w:val="000000"/>
        </w:rPr>
        <w:t xml:space="preserve">MBS fees rather than MBS rebates. </w:t>
      </w:r>
      <w:r w:rsidRPr="00F83EAF">
        <w:rPr>
          <w:color w:val="000000"/>
        </w:rPr>
        <w:t>In addition, ESC noted the complex methodology used in the financial model (e.g. different approaches used</w:t>
      </w:r>
      <w:r>
        <w:rPr>
          <w:color w:val="000000"/>
        </w:rPr>
        <w:t xml:space="preserve"> for costs and cost off-sets</w:t>
      </w:r>
      <w:r w:rsidRPr="00F83EAF">
        <w:rPr>
          <w:color w:val="000000"/>
        </w:rPr>
        <w:t xml:space="preserve">) and considered </w:t>
      </w:r>
      <w:r>
        <w:rPr>
          <w:color w:val="000000"/>
        </w:rPr>
        <w:t xml:space="preserve">that any </w:t>
      </w:r>
      <w:r w:rsidRPr="00F83EAF">
        <w:rPr>
          <w:color w:val="000000"/>
        </w:rPr>
        <w:t xml:space="preserve">future resubmission should involve </w:t>
      </w:r>
      <w:r>
        <w:rPr>
          <w:color w:val="000000"/>
        </w:rPr>
        <w:t>a</w:t>
      </w:r>
      <w:r w:rsidRPr="00F83EAF">
        <w:rPr>
          <w:color w:val="000000"/>
        </w:rPr>
        <w:t xml:space="preserve"> simplified financial analysis</w:t>
      </w:r>
      <w:r>
        <w:rPr>
          <w:color w:val="000000"/>
        </w:rPr>
        <w:t>.</w:t>
      </w:r>
    </w:p>
    <w:p w14:paraId="6AF04D80" w14:textId="77777777" w:rsidR="00624B7C" w:rsidRPr="00C266E1" w:rsidRDefault="00624B7C" w:rsidP="00624B7C">
      <w:pPr>
        <w:spacing w:after="240"/>
        <w:rPr>
          <w:color w:val="000000"/>
        </w:rPr>
      </w:pPr>
      <w:r w:rsidRPr="00C266E1">
        <w:rPr>
          <w:color w:val="000000"/>
        </w:rPr>
        <w:t>ESC noted that the TGA has changed the indication</w:t>
      </w:r>
      <w:r>
        <w:rPr>
          <w:color w:val="000000"/>
        </w:rPr>
        <w:t xml:space="preserve"> for olaparib for patients with ovarian cancer which has relapsed</w:t>
      </w:r>
      <w:r w:rsidRPr="00C266E1">
        <w:rPr>
          <w:color w:val="000000"/>
        </w:rPr>
        <w:t xml:space="preserve">, so that access to olaparib does not depend on </w:t>
      </w:r>
      <w:r w:rsidRPr="00C266E1">
        <w:rPr>
          <w:i/>
          <w:iCs/>
          <w:color w:val="000000"/>
        </w:rPr>
        <w:t>BRCA</w:t>
      </w:r>
      <w:r w:rsidRPr="00C266E1">
        <w:rPr>
          <w:color w:val="000000"/>
        </w:rPr>
        <w:t xml:space="preserve"> status after second-line platinum chemotherapy. This affects the ‘watch and wait’ group, as the</w:t>
      </w:r>
      <w:r>
        <w:rPr>
          <w:color w:val="000000"/>
        </w:rPr>
        <w:t>se patients</w:t>
      </w:r>
      <w:r w:rsidRPr="00C266E1">
        <w:rPr>
          <w:color w:val="000000"/>
        </w:rPr>
        <w:t xml:space="preserve"> </w:t>
      </w:r>
      <w:r>
        <w:rPr>
          <w:color w:val="000000"/>
        </w:rPr>
        <w:t>c</w:t>
      </w:r>
      <w:r w:rsidRPr="00C266E1">
        <w:rPr>
          <w:color w:val="000000"/>
        </w:rPr>
        <w:t xml:space="preserve">ould gain access to olaparib </w:t>
      </w:r>
      <w:r>
        <w:rPr>
          <w:color w:val="000000"/>
        </w:rPr>
        <w:t xml:space="preserve">beyond the PBS </w:t>
      </w:r>
      <w:r w:rsidRPr="00C266E1">
        <w:rPr>
          <w:color w:val="000000"/>
        </w:rPr>
        <w:t xml:space="preserve">without genetic testing; thus, the potential benefits would </w:t>
      </w:r>
      <w:r>
        <w:rPr>
          <w:color w:val="000000"/>
        </w:rPr>
        <w:t>likely reduce</w:t>
      </w:r>
      <w:r w:rsidRPr="00C266E1">
        <w:rPr>
          <w:color w:val="000000"/>
        </w:rPr>
        <w:t xml:space="preserve"> and the ICERs w</w:t>
      </w:r>
      <w:r>
        <w:rPr>
          <w:color w:val="000000"/>
        </w:rPr>
        <w:t>ould</w:t>
      </w:r>
      <w:r w:rsidRPr="00C266E1">
        <w:rPr>
          <w:color w:val="000000"/>
        </w:rPr>
        <w:t xml:space="preserve"> likely increase.</w:t>
      </w:r>
    </w:p>
    <w:p w14:paraId="1FDA1114" w14:textId="77777777" w:rsidR="00624B7C" w:rsidRPr="00C266E1" w:rsidRDefault="00624B7C" w:rsidP="00624B7C">
      <w:pPr>
        <w:spacing w:after="240"/>
        <w:rPr>
          <w:color w:val="000000"/>
        </w:rPr>
      </w:pPr>
      <w:r w:rsidRPr="00C266E1">
        <w:rPr>
          <w:color w:val="000000"/>
        </w:rPr>
        <w:t xml:space="preserve">ESC noted the variants of unknown significance (VUSs) that could be identified in </w:t>
      </w:r>
      <w:r>
        <w:rPr>
          <w:color w:val="000000"/>
        </w:rPr>
        <w:t>tumour</w:t>
      </w:r>
      <w:r w:rsidRPr="00C266E1">
        <w:rPr>
          <w:color w:val="000000"/>
        </w:rPr>
        <w:t xml:space="preserve"> testing in Scenario</w:t>
      </w:r>
      <w:r>
        <w:rPr>
          <w:color w:val="000000"/>
        </w:rPr>
        <w:t> </w:t>
      </w:r>
      <w:r w:rsidRPr="00C266E1">
        <w:rPr>
          <w:color w:val="000000"/>
        </w:rPr>
        <w:t>2 should not be eligible for confirmatory germline testing unless formally reclassified by the testing laboratory as ‘likely pathogenic’ or ‘pathogenic’.</w:t>
      </w:r>
    </w:p>
    <w:p w14:paraId="0BCDDD33" w14:textId="77777777" w:rsidR="00624B7C" w:rsidRPr="00C266E1" w:rsidRDefault="00624B7C" w:rsidP="00624B7C">
      <w:pPr>
        <w:spacing w:after="240"/>
        <w:rPr>
          <w:color w:val="000000"/>
        </w:rPr>
      </w:pPr>
      <w:r w:rsidRPr="00C266E1">
        <w:rPr>
          <w:color w:val="000000"/>
        </w:rPr>
        <w:t>ESC noted that</w:t>
      </w:r>
      <w:r>
        <w:rPr>
          <w:color w:val="000000"/>
        </w:rPr>
        <w:t>, since lodgement of the submission,</w:t>
      </w:r>
      <w:r w:rsidRPr="00C266E1">
        <w:rPr>
          <w:color w:val="000000"/>
        </w:rPr>
        <w:t xml:space="preserve"> one </w:t>
      </w:r>
      <w:r>
        <w:rPr>
          <w:color w:val="000000"/>
        </w:rPr>
        <w:t xml:space="preserve">pathology </w:t>
      </w:r>
      <w:r w:rsidRPr="00C266E1">
        <w:rPr>
          <w:color w:val="000000"/>
        </w:rPr>
        <w:t xml:space="preserve">laboratory has now received TGA approval for </w:t>
      </w:r>
      <w:r>
        <w:rPr>
          <w:color w:val="000000"/>
        </w:rPr>
        <w:t>its</w:t>
      </w:r>
      <w:r w:rsidRPr="00C266E1">
        <w:rPr>
          <w:color w:val="000000"/>
        </w:rPr>
        <w:t xml:space="preserve"> in-house-developed tumour </w:t>
      </w:r>
      <w:r w:rsidRPr="00C266E1">
        <w:rPr>
          <w:i/>
          <w:iCs/>
          <w:color w:val="000000"/>
        </w:rPr>
        <w:t>BRCA</w:t>
      </w:r>
      <w:r w:rsidRPr="00C266E1">
        <w:rPr>
          <w:color w:val="000000"/>
        </w:rPr>
        <w:t xml:space="preserve"> test, and </w:t>
      </w:r>
      <w:r>
        <w:rPr>
          <w:color w:val="000000"/>
        </w:rPr>
        <w:t xml:space="preserve">considered </w:t>
      </w:r>
      <w:r w:rsidRPr="00C266E1">
        <w:rPr>
          <w:color w:val="000000"/>
        </w:rPr>
        <w:t>that access to the te</w:t>
      </w:r>
      <w:r>
        <w:rPr>
          <w:color w:val="000000"/>
        </w:rPr>
        <w:t>sting should not be of concern if supported by MSAC.</w:t>
      </w:r>
    </w:p>
    <w:p w14:paraId="73AB9217" w14:textId="77777777" w:rsidR="00624B7C" w:rsidRPr="00624B7C" w:rsidRDefault="00624B7C" w:rsidP="00624B7C">
      <w:pPr>
        <w:spacing w:after="240"/>
        <w:rPr>
          <w:color w:val="000000"/>
        </w:rPr>
      </w:pPr>
      <w:r w:rsidRPr="00C266E1">
        <w:rPr>
          <w:color w:val="000000"/>
        </w:rPr>
        <w:t>ESC noted that consultation feedback was limited but supportive. One organisation noted that the testing is complex and should only be performed by laboratories with demonstrated experience of germline and somatic testing.</w:t>
      </w:r>
    </w:p>
    <w:p w14:paraId="18106EC6" w14:textId="77777777" w:rsidR="00F23AA4" w:rsidRPr="00F715D1" w:rsidRDefault="00F23AA4" w:rsidP="00F23AA4">
      <w:pPr>
        <w:pStyle w:val="Heading1"/>
      </w:pPr>
      <w:r w:rsidRPr="00F715D1">
        <w:t>Other significant factors</w:t>
      </w:r>
    </w:p>
    <w:p w14:paraId="4976637E" w14:textId="77777777" w:rsidR="00F23AA4" w:rsidRPr="00D57A18" w:rsidRDefault="00F23AA4" w:rsidP="00F23AA4">
      <w:pPr>
        <w:spacing w:after="240"/>
        <w:rPr>
          <w:szCs w:val="24"/>
        </w:rPr>
      </w:pPr>
      <w:r w:rsidRPr="00D57A18">
        <w:rPr>
          <w:szCs w:val="24"/>
        </w:rPr>
        <w:t>Nil</w:t>
      </w:r>
      <w:r w:rsidR="00D57A18">
        <w:rPr>
          <w:szCs w:val="24"/>
        </w:rPr>
        <w:t>.</w:t>
      </w:r>
    </w:p>
    <w:p w14:paraId="5DD3B023" w14:textId="77777777" w:rsidR="00F23AA4" w:rsidRPr="00F715D1" w:rsidRDefault="00F23AA4" w:rsidP="00F23AA4">
      <w:pPr>
        <w:pStyle w:val="Heading1"/>
      </w:pPr>
      <w:r w:rsidRPr="00F715D1">
        <w:t>Applicant’s comments on MSAC’s Public Summary Document</w:t>
      </w:r>
    </w:p>
    <w:p w14:paraId="1D1926FA" w14:textId="340C1052" w:rsidR="00F23AA4" w:rsidRPr="00182024" w:rsidRDefault="004440F3" w:rsidP="00F23AA4">
      <w:pPr>
        <w:spacing w:after="240"/>
        <w:rPr>
          <w:szCs w:val="24"/>
        </w:rPr>
      </w:pPr>
      <w:r w:rsidRPr="00182024">
        <w:rPr>
          <w:szCs w:val="24"/>
        </w:rPr>
        <w:t>The applicant had no comment.</w:t>
      </w:r>
    </w:p>
    <w:p w14:paraId="68F90CC0" w14:textId="77777777" w:rsidR="00F23AA4" w:rsidRPr="00F715D1" w:rsidRDefault="00F23AA4" w:rsidP="00F23AA4">
      <w:pPr>
        <w:pStyle w:val="Heading1"/>
      </w:pPr>
      <w:r w:rsidRPr="00F715D1">
        <w:t>Further information on MSAC</w:t>
      </w:r>
    </w:p>
    <w:p w14:paraId="356B09FA" w14:textId="77777777" w:rsidR="00280050" w:rsidRPr="00D57A18" w:rsidRDefault="00F23AA4" w:rsidP="00D57A18">
      <w:pPr>
        <w:spacing w:after="240"/>
        <w:rPr>
          <w:szCs w:val="24"/>
        </w:rPr>
      </w:pPr>
      <w:r w:rsidRPr="00F715D1">
        <w:rPr>
          <w:szCs w:val="24"/>
        </w:rPr>
        <w:t xml:space="preserve">MSAC Terms of Reference and other information are available on the MSAC Website: </w:t>
      </w:r>
      <w:r>
        <w:rPr>
          <w:szCs w:val="24"/>
        </w:rPr>
        <w:br/>
      </w:r>
      <w:hyperlink r:id="rId18" w:tooltip="Link to Medical Services Advisory Committee website" w:history="1">
        <w:r w:rsidRPr="00F715D1">
          <w:rPr>
            <w:rStyle w:val="Hyperlink"/>
            <w:szCs w:val="24"/>
          </w:rPr>
          <w:t>visit the MSAC website</w:t>
        </w:r>
      </w:hyperlink>
    </w:p>
    <w:sectPr w:rsidR="00280050" w:rsidRPr="00D57A18" w:rsidSect="006E306E">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C109E" w14:textId="77777777" w:rsidR="006E24C0" w:rsidRDefault="006E24C0">
      <w:r>
        <w:separator/>
      </w:r>
    </w:p>
  </w:endnote>
  <w:endnote w:type="continuationSeparator" w:id="0">
    <w:p w14:paraId="265FE3C6" w14:textId="77777777" w:rsidR="006E24C0" w:rsidRDefault="006E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80B9" w14:textId="77777777" w:rsidR="006431AA" w:rsidRDefault="00643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2F926E9" w14:textId="3BB4A23E" w:rsidR="0054787D" w:rsidRDefault="0054787D">
        <w:pPr>
          <w:pStyle w:val="Footer"/>
          <w:jc w:val="right"/>
        </w:pPr>
        <w:r>
          <w:fldChar w:fldCharType="begin"/>
        </w:r>
        <w:r>
          <w:instrText xml:space="preserve"> PAGE   \* MERGEFORMAT </w:instrText>
        </w:r>
        <w:r>
          <w:fldChar w:fldCharType="separate"/>
        </w:r>
        <w:r w:rsidR="000C35FA">
          <w:rPr>
            <w:noProof/>
          </w:rPr>
          <w:t>1</w:t>
        </w:r>
        <w:r>
          <w:rPr>
            <w:noProof/>
          </w:rPr>
          <w:fldChar w:fldCharType="end"/>
        </w:r>
      </w:p>
    </w:sdtContent>
  </w:sdt>
  <w:p w14:paraId="4B568033" w14:textId="77777777" w:rsidR="0054787D" w:rsidRDefault="00547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7110" w14:textId="77777777" w:rsidR="006431AA" w:rsidRDefault="0064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5356" w14:textId="77777777" w:rsidR="006E24C0" w:rsidRDefault="006E24C0">
      <w:r>
        <w:separator/>
      </w:r>
    </w:p>
  </w:footnote>
  <w:footnote w:type="continuationSeparator" w:id="0">
    <w:p w14:paraId="2419E30B" w14:textId="77777777" w:rsidR="006E24C0" w:rsidRDefault="006E24C0">
      <w:r>
        <w:continuationSeparator/>
      </w:r>
    </w:p>
  </w:footnote>
  <w:footnote w:id="1">
    <w:p w14:paraId="58C6868C" w14:textId="77777777" w:rsidR="0054787D" w:rsidRDefault="0054787D" w:rsidP="00624B7C">
      <w:pPr>
        <w:pStyle w:val="FootnoteText"/>
      </w:pPr>
      <w:r>
        <w:rPr>
          <w:rStyle w:val="FootnoteReference"/>
        </w:rPr>
        <w:footnoteRef/>
      </w:r>
      <w:r>
        <w:t xml:space="preserve"> Defined as the detailed description of the test(s) as performed in the study/ies provided as evidence to the support the claim of clinical utility or predictive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66D1" w14:textId="77777777" w:rsidR="006431AA" w:rsidRDefault="00643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306C" w14:textId="77777777" w:rsidR="006431AA" w:rsidRDefault="00643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5FAC" w14:textId="77777777" w:rsidR="006431AA" w:rsidRDefault="00643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D42D7"/>
    <w:multiLevelType w:val="hybridMultilevel"/>
    <w:tmpl w:val="EC0C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97F42"/>
    <w:multiLevelType w:val="hybridMultilevel"/>
    <w:tmpl w:val="1B50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3593E"/>
    <w:multiLevelType w:val="hybridMultilevel"/>
    <w:tmpl w:val="CF2E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8"/>
  </w:num>
  <w:num w:numId="6">
    <w:abstractNumId w:val="6"/>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A4"/>
    <w:rsid w:val="00004628"/>
    <w:rsid w:val="00005A65"/>
    <w:rsid w:val="000205B4"/>
    <w:rsid w:val="00033FB6"/>
    <w:rsid w:val="00044858"/>
    <w:rsid w:val="000801CA"/>
    <w:rsid w:val="000C35FA"/>
    <w:rsid w:val="000D3F20"/>
    <w:rsid w:val="00122A93"/>
    <w:rsid w:val="00131119"/>
    <w:rsid w:val="001529F2"/>
    <w:rsid w:val="00182024"/>
    <w:rsid w:val="001D420B"/>
    <w:rsid w:val="00280050"/>
    <w:rsid w:val="0029088F"/>
    <w:rsid w:val="00290F01"/>
    <w:rsid w:val="00292034"/>
    <w:rsid w:val="00296C25"/>
    <w:rsid w:val="002A433D"/>
    <w:rsid w:val="002E545C"/>
    <w:rsid w:val="002E6BB0"/>
    <w:rsid w:val="002F218A"/>
    <w:rsid w:val="002F2726"/>
    <w:rsid w:val="00307E5A"/>
    <w:rsid w:val="00403B15"/>
    <w:rsid w:val="00410B2B"/>
    <w:rsid w:val="004440F3"/>
    <w:rsid w:val="00497A33"/>
    <w:rsid w:val="004B6742"/>
    <w:rsid w:val="004D0B8A"/>
    <w:rsid w:val="004E4C08"/>
    <w:rsid w:val="004F698E"/>
    <w:rsid w:val="00507356"/>
    <w:rsid w:val="005130D8"/>
    <w:rsid w:val="0054787D"/>
    <w:rsid w:val="005565B2"/>
    <w:rsid w:val="00595AB2"/>
    <w:rsid w:val="005D0C61"/>
    <w:rsid w:val="005F2FDC"/>
    <w:rsid w:val="00614954"/>
    <w:rsid w:val="00624B7C"/>
    <w:rsid w:val="00633341"/>
    <w:rsid w:val="006431AA"/>
    <w:rsid w:val="00646D36"/>
    <w:rsid w:val="006C5CD1"/>
    <w:rsid w:val="006E24C0"/>
    <w:rsid w:val="006E306E"/>
    <w:rsid w:val="00720226"/>
    <w:rsid w:val="00732A99"/>
    <w:rsid w:val="00743BCC"/>
    <w:rsid w:val="007D374B"/>
    <w:rsid w:val="008B45B8"/>
    <w:rsid w:val="008D5A19"/>
    <w:rsid w:val="0093746D"/>
    <w:rsid w:val="0095513B"/>
    <w:rsid w:val="009824AB"/>
    <w:rsid w:val="00985428"/>
    <w:rsid w:val="0098629F"/>
    <w:rsid w:val="00987A14"/>
    <w:rsid w:val="00992AAC"/>
    <w:rsid w:val="009B6F00"/>
    <w:rsid w:val="00A459B1"/>
    <w:rsid w:val="00AB4403"/>
    <w:rsid w:val="00AC431C"/>
    <w:rsid w:val="00AC75E7"/>
    <w:rsid w:val="00B72C81"/>
    <w:rsid w:val="00BB70BA"/>
    <w:rsid w:val="00BD7715"/>
    <w:rsid w:val="00BE3107"/>
    <w:rsid w:val="00BF1DC1"/>
    <w:rsid w:val="00C30BA7"/>
    <w:rsid w:val="00CB0999"/>
    <w:rsid w:val="00CD1C57"/>
    <w:rsid w:val="00CE0648"/>
    <w:rsid w:val="00CE50F9"/>
    <w:rsid w:val="00D1581E"/>
    <w:rsid w:val="00D50C24"/>
    <w:rsid w:val="00D57A18"/>
    <w:rsid w:val="00D705FE"/>
    <w:rsid w:val="00DA4321"/>
    <w:rsid w:val="00DC792F"/>
    <w:rsid w:val="00DF4367"/>
    <w:rsid w:val="00E07786"/>
    <w:rsid w:val="00E2368E"/>
    <w:rsid w:val="00E26B72"/>
    <w:rsid w:val="00E76FF0"/>
    <w:rsid w:val="00EC66FD"/>
    <w:rsid w:val="00F116D8"/>
    <w:rsid w:val="00F14D6C"/>
    <w:rsid w:val="00F17913"/>
    <w:rsid w:val="00F23AA4"/>
    <w:rsid w:val="00F93524"/>
    <w:rsid w:val="00FA2342"/>
    <w:rsid w:val="00FC3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3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A4"/>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F23AA4"/>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4D0B8A"/>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D0B8A"/>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4D0B8A"/>
    <w:pPr>
      <w:keepNext/>
      <w:keepLines/>
      <w:spacing w:before="20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3AA4"/>
    <w:rPr>
      <w:rFonts w:ascii="Arial" w:eastAsia="Times New Roman" w:hAnsi="Arial"/>
      <w:b/>
      <w:bCs/>
      <w:szCs w:val="28"/>
      <w:lang w:eastAsia="en-AU"/>
    </w:rPr>
  </w:style>
  <w:style w:type="character" w:styleId="Hyperlink">
    <w:name w:val="Hyperlink"/>
    <w:basedOn w:val="DefaultParagraphFont"/>
    <w:uiPriority w:val="99"/>
    <w:rsid w:val="00F23AA4"/>
    <w:rPr>
      <w:rFonts w:cs="Times New Roman"/>
      <w:color w:val="0000FF"/>
      <w:u w:val="single"/>
    </w:rPr>
  </w:style>
  <w:style w:type="paragraph" w:styleId="ListParagraph">
    <w:name w:val="List Paragraph"/>
    <w:aliases w:val="Styl moj,Akapit z listą1,Akapit z listą11,Bullet 1,Bullet1,Summary Bullets,PBAC ES Paragraph,BulletPoints"/>
    <w:basedOn w:val="Normal"/>
    <w:link w:val="ListParagraphChar"/>
    <w:uiPriority w:val="34"/>
    <w:qFormat/>
    <w:rsid w:val="00F23AA4"/>
    <w:pPr>
      <w:ind w:left="720"/>
      <w:contextualSpacing/>
    </w:pPr>
  </w:style>
  <w:style w:type="paragraph" w:styleId="Footer">
    <w:name w:val="footer"/>
    <w:basedOn w:val="Normal"/>
    <w:link w:val="FooterChar"/>
    <w:uiPriority w:val="99"/>
    <w:rsid w:val="00F23AA4"/>
    <w:pPr>
      <w:tabs>
        <w:tab w:val="center" w:pos="4513"/>
        <w:tab w:val="right" w:pos="9026"/>
      </w:tabs>
    </w:pPr>
  </w:style>
  <w:style w:type="character" w:customStyle="1" w:styleId="FooterChar">
    <w:name w:val="Footer Char"/>
    <w:basedOn w:val="DefaultParagraphFont"/>
    <w:link w:val="Footer"/>
    <w:uiPriority w:val="99"/>
    <w:rsid w:val="00F23AA4"/>
    <w:rPr>
      <w:rFonts w:eastAsia="Times New Roman"/>
      <w:szCs w:val="20"/>
      <w:lang w:eastAsia="en-AU"/>
    </w:rPr>
  </w:style>
  <w:style w:type="paragraph" w:customStyle="1" w:styleId="Default">
    <w:name w:val="Default"/>
    <w:rsid w:val="00F23AA4"/>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F23AA4"/>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23AA4"/>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F23AA4"/>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23AA4"/>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4D0B8A"/>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E23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24B7C"/>
    <w:rPr>
      <w:sz w:val="20"/>
    </w:rPr>
  </w:style>
  <w:style w:type="character" w:customStyle="1" w:styleId="CommentTextChar">
    <w:name w:val="Comment Text Char"/>
    <w:basedOn w:val="DefaultParagraphFont"/>
    <w:link w:val="CommentText"/>
    <w:uiPriority w:val="99"/>
    <w:rsid w:val="00624B7C"/>
    <w:rPr>
      <w:rFonts w:eastAsia="Times New Roman"/>
      <w:sz w:val="20"/>
      <w:szCs w:val="20"/>
      <w:lang w:eastAsia="en-AU"/>
    </w:rPr>
  </w:style>
  <w:style w:type="paragraph" w:customStyle="1" w:styleId="TableHeading">
    <w:name w:val="TableHeading"/>
    <w:basedOn w:val="Normal"/>
    <w:link w:val="TableHeadingChar"/>
    <w:qFormat/>
    <w:rsid w:val="00624B7C"/>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624B7C"/>
    <w:rPr>
      <w:rFonts w:ascii="Arial Narrow" w:eastAsia="Times New Roman" w:hAnsi="Arial Narrow" w:cs="Tahoma"/>
      <w:b/>
      <w:noProof/>
      <w:sz w:val="20"/>
      <w:szCs w:val="20"/>
      <w:lang w:eastAsia="en-AU"/>
    </w:rPr>
  </w:style>
  <w:style w:type="paragraph" w:customStyle="1" w:styleId="TableText">
    <w:name w:val="TableText"/>
    <w:basedOn w:val="Normal"/>
    <w:rsid w:val="00624B7C"/>
    <w:pPr>
      <w:keepNext/>
      <w:spacing w:before="60" w:after="60"/>
    </w:pPr>
    <w:rPr>
      <w:color w:val="000000"/>
      <w:sz w:val="21"/>
      <w:szCs w:val="21"/>
    </w:rPr>
  </w:style>
  <w:style w:type="paragraph" w:customStyle="1" w:styleId="TableBullet">
    <w:name w:val="TableBullet"/>
    <w:basedOn w:val="TableText"/>
    <w:rsid w:val="00624B7C"/>
    <w:pPr>
      <w:numPr>
        <w:numId w:val="4"/>
      </w:numPr>
      <w:tabs>
        <w:tab w:val="clear" w:pos="360"/>
        <w:tab w:val="left" w:pos="216"/>
      </w:tabs>
      <w:ind w:left="216" w:hanging="216"/>
    </w:pPr>
  </w:style>
  <w:style w:type="paragraph" w:styleId="FootnoteText">
    <w:name w:val="footnote text"/>
    <w:basedOn w:val="Normal"/>
    <w:link w:val="FootnoteTextChar"/>
    <w:uiPriority w:val="99"/>
    <w:semiHidden/>
    <w:rsid w:val="00624B7C"/>
    <w:rPr>
      <w:sz w:val="20"/>
    </w:rPr>
  </w:style>
  <w:style w:type="character" w:customStyle="1" w:styleId="FootnoteTextChar">
    <w:name w:val="Footnote Text Char"/>
    <w:basedOn w:val="DefaultParagraphFont"/>
    <w:link w:val="FootnoteText"/>
    <w:uiPriority w:val="99"/>
    <w:semiHidden/>
    <w:rsid w:val="00624B7C"/>
    <w:rPr>
      <w:rFonts w:eastAsia="Times New Roman"/>
      <w:sz w:val="20"/>
      <w:szCs w:val="20"/>
      <w:lang w:eastAsia="en-AU"/>
    </w:rPr>
  </w:style>
  <w:style w:type="character" w:styleId="FootnoteReference">
    <w:name w:val="footnote reference"/>
    <w:basedOn w:val="DefaultParagraphFont"/>
    <w:uiPriority w:val="99"/>
    <w:semiHidden/>
    <w:rsid w:val="00624B7C"/>
    <w:rPr>
      <w:vertAlign w:val="superscript"/>
    </w:rPr>
  </w:style>
  <w:style w:type="character" w:customStyle="1" w:styleId="ListParagraphChar">
    <w:name w:val="List Paragraph Char"/>
    <w:aliases w:val="Styl moj Char,Akapit z listą1 Char,Akapit z listą11 Char,Bullet 1 Char,Bullet1 Char,Summary Bullets Char,PBAC ES Paragraph Char,BulletPoints Char"/>
    <w:link w:val="ListParagraph"/>
    <w:uiPriority w:val="34"/>
    <w:rsid w:val="00BF1DC1"/>
    <w:rPr>
      <w:rFonts w:eastAsia="Times New Roman"/>
      <w:szCs w:val="20"/>
      <w:lang w:eastAsia="en-AU"/>
    </w:rPr>
  </w:style>
  <w:style w:type="paragraph" w:customStyle="1" w:styleId="MSACESParagraph">
    <w:name w:val="MSAC ES Paragraph"/>
    <w:link w:val="MSACESParagraphChar"/>
    <w:uiPriority w:val="1"/>
    <w:qFormat/>
    <w:rsid w:val="00BF1DC1"/>
    <w:pPr>
      <w:spacing w:after="240" w:line="240" w:lineRule="auto"/>
    </w:pPr>
    <w:rPr>
      <w:rFonts w:cstheme="minorBidi"/>
      <w:szCs w:val="22"/>
    </w:rPr>
  </w:style>
  <w:style w:type="character" w:customStyle="1" w:styleId="MSACESParagraphChar">
    <w:name w:val="MSAC ES Paragraph Char"/>
    <w:basedOn w:val="DefaultParagraphFont"/>
    <w:link w:val="MSACESParagraph"/>
    <w:uiPriority w:val="1"/>
    <w:rsid w:val="00BF1DC1"/>
    <w:rPr>
      <w:rFonts w:cstheme="minorBidi"/>
      <w:szCs w:val="22"/>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4D0B8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4D0B8A"/>
    <w:rPr>
      <w:rFonts w:ascii="Arial Narrow" w:eastAsia="Times New Roman" w:hAnsi="Arial Narrow" w:cs="Arial"/>
      <w:b/>
      <w:bCs/>
      <w:iCs/>
      <w:sz w:val="20"/>
      <w:szCs w:val="20"/>
    </w:rPr>
  </w:style>
  <w:style w:type="paragraph" w:customStyle="1" w:styleId="TableText0">
    <w:name w:val="Table Text"/>
    <w:basedOn w:val="Normal"/>
    <w:link w:val="TableTextChar"/>
    <w:qFormat/>
    <w:rsid w:val="004D0B8A"/>
    <w:pPr>
      <w:spacing w:before="20" w:after="20" w:line="276" w:lineRule="auto"/>
      <w:jc w:val="both"/>
    </w:pPr>
    <w:rPr>
      <w:rFonts w:ascii="Arial Narrow" w:eastAsiaTheme="majorEastAsia" w:hAnsi="Arial Narrow" w:cs="Arial"/>
      <w:sz w:val="20"/>
      <w:lang w:eastAsia="en-US" w:bidi="en-US"/>
    </w:rPr>
  </w:style>
  <w:style w:type="character" w:customStyle="1" w:styleId="TableTextChar">
    <w:name w:val="Table Text Char"/>
    <w:link w:val="TableText0"/>
    <w:rsid w:val="004D0B8A"/>
    <w:rPr>
      <w:rFonts w:ascii="Arial Narrow" w:eastAsiaTheme="majorEastAsia" w:hAnsi="Arial Narrow" w:cs="Arial"/>
      <w:sz w:val="20"/>
      <w:szCs w:val="20"/>
      <w:lang w:bidi="en-US"/>
    </w:rPr>
  </w:style>
  <w:style w:type="paragraph" w:customStyle="1" w:styleId="TableFooter">
    <w:name w:val="Table Footer"/>
    <w:basedOn w:val="Normal"/>
    <w:link w:val="TableFooterChar"/>
    <w:uiPriority w:val="1"/>
    <w:qFormat/>
    <w:rsid w:val="004D0B8A"/>
    <w:pPr>
      <w:widowControl w:val="0"/>
      <w:spacing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1"/>
    <w:rsid w:val="004D0B8A"/>
    <w:rPr>
      <w:rFonts w:ascii="Arial Narrow" w:eastAsia="Times New Roman" w:hAnsi="Arial Narrow" w:cs="Arial"/>
      <w:snapToGrid w:val="0"/>
      <w:sz w:val="18"/>
      <w:szCs w:val="20"/>
    </w:rPr>
  </w:style>
  <w:style w:type="character" w:customStyle="1" w:styleId="Heading3Char">
    <w:name w:val="Heading 3 Char"/>
    <w:basedOn w:val="DefaultParagraphFont"/>
    <w:link w:val="Heading3"/>
    <w:uiPriority w:val="9"/>
    <w:rsid w:val="004D0B8A"/>
    <w:rPr>
      <w:rFonts w:eastAsiaTheme="majorEastAsia" w:cstheme="majorBidi"/>
      <w:u w:val="single"/>
      <w:lang w:eastAsia="en-AU"/>
    </w:rPr>
  </w:style>
  <w:style w:type="character" w:customStyle="1" w:styleId="Heading4Char">
    <w:name w:val="Heading 4 Char"/>
    <w:basedOn w:val="DefaultParagraphFont"/>
    <w:link w:val="Heading4"/>
    <w:uiPriority w:val="9"/>
    <w:rsid w:val="004D0B8A"/>
    <w:rPr>
      <w:rFonts w:asciiTheme="majorHAnsi" w:eastAsiaTheme="majorEastAsia" w:hAnsiTheme="majorHAnsi" w:cstheme="majorBidi"/>
      <w:i/>
      <w:iCs/>
      <w:color w:val="2E74B5" w:themeColor="accent1" w:themeShade="BF"/>
      <w:szCs w:val="20"/>
      <w:lang w:eastAsia="en-AU"/>
    </w:rPr>
  </w:style>
  <w:style w:type="table" w:customStyle="1" w:styleId="PBACTableStyle2">
    <w:name w:val="PBAC Table Style2"/>
    <w:basedOn w:val="TableGrid1"/>
    <w:uiPriority w:val="99"/>
    <w:rsid w:val="004D0B8A"/>
    <w:pPr>
      <w:widowControl w:val="0"/>
      <w:spacing w:before="120"/>
      <w:contextualSpacing/>
      <w:jc w:val="center"/>
    </w:pPr>
    <w:rPr>
      <w:rFonts w:ascii="Arial Narrow" w:hAnsi="Arial Narrow" w:cstheme="minorBidi"/>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TableNumber">
    <w:name w:val="Table Number"/>
    <w:basedOn w:val="TableText0"/>
    <w:link w:val="TableNumberChar"/>
    <w:qFormat/>
    <w:rsid w:val="004D0B8A"/>
    <w:pPr>
      <w:widowControl w:val="0"/>
      <w:tabs>
        <w:tab w:val="decimal" w:pos="396"/>
      </w:tabs>
      <w:spacing w:before="40" w:after="40" w:line="256" w:lineRule="auto"/>
      <w:jc w:val="center"/>
    </w:pPr>
  </w:style>
  <w:style w:type="character" w:customStyle="1" w:styleId="TableNumberChar">
    <w:name w:val="Table Number Char"/>
    <w:basedOn w:val="TableTextChar"/>
    <w:link w:val="TableNumber"/>
    <w:rsid w:val="004D0B8A"/>
    <w:rPr>
      <w:rFonts w:ascii="Arial Narrow" w:eastAsiaTheme="majorEastAsia" w:hAnsi="Arial Narrow" w:cs="Arial"/>
      <w:sz w:val="20"/>
      <w:szCs w:val="20"/>
      <w:lang w:bidi="en-US"/>
    </w:rPr>
  </w:style>
  <w:style w:type="table" w:styleId="TableGrid1">
    <w:name w:val="Table Grid 1"/>
    <w:basedOn w:val="TableNormal"/>
    <w:uiPriority w:val="99"/>
    <w:semiHidden/>
    <w:unhideWhenUsed/>
    <w:rsid w:val="004D0B8A"/>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BACTableStyle">
    <w:name w:val="PBAC Table Style"/>
    <w:basedOn w:val="TableGrid1"/>
    <w:uiPriority w:val="99"/>
    <w:rsid w:val="009824AB"/>
    <w:pPr>
      <w:widowControl w:val="0"/>
      <w:spacing w:before="120"/>
      <w:contextualSpacing/>
      <w:jc w:val="center"/>
    </w:pPr>
    <w:rPr>
      <w:rFonts w:ascii="Arial Narrow" w:hAnsi="Arial Narrow" w:cstheme="minorBidi"/>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ahoma" w:hAnsi="Tahoma"/>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ahoma" w:hAnsi="Tahoma"/>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ahoma" w:hAnsi="Tahoma"/>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20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B4"/>
    <w:rPr>
      <w:rFonts w:ascii="Segoe UI" w:eastAsia="Times New Roman" w:hAnsi="Segoe UI" w:cs="Segoe UI"/>
      <w:sz w:val="18"/>
      <w:szCs w:val="18"/>
      <w:lang w:eastAsia="en-AU"/>
    </w:rPr>
  </w:style>
  <w:style w:type="paragraph" w:styleId="Revision">
    <w:name w:val="Revision"/>
    <w:hidden/>
    <w:uiPriority w:val="99"/>
    <w:semiHidden/>
    <w:rsid w:val="000205B4"/>
    <w:pPr>
      <w:spacing w:after="0" w:line="240" w:lineRule="auto"/>
    </w:pPr>
    <w:rPr>
      <w:rFonts w:eastAsia="Times New Roman"/>
      <w:szCs w:val="20"/>
      <w:lang w:eastAsia="en-AU"/>
    </w:rPr>
  </w:style>
  <w:style w:type="paragraph" w:customStyle="1" w:styleId="BoxText">
    <w:name w:val="BoxText"/>
    <w:basedOn w:val="Normal"/>
    <w:qFormat/>
    <w:rsid w:val="000205B4"/>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0205B4"/>
    <w:pPr>
      <w:keepNext/>
      <w:spacing w:before="180"/>
      <w:ind w:left="1080" w:hanging="1080"/>
    </w:pPr>
    <w:rPr>
      <w:b/>
      <w:bCs/>
    </w:rPr>
  </w:style>
  <w:style w:type="paragraph" w:customStyle="1" w:styleId="BoxHeading">
    <w:name w:val="BoxHeading"/>
    <w:basedOn w:val="BoxText"/>
    <w:rsid w:val="000205B4"/>
    <w:pPr>
      <w:keepNext/>
      <w:spacing w:before="120" w:after="60"/>
    </w:pPr>
    <w:rPr>
      <w:b/>
      <w:bCs/>
    </w:rPr>
  </w:style>
  <w:style w:type="paragraph" w:customStyle="1" w:styleId="BulletBeforeDash">
    <w:name w:val="BulletBeforeDash"/>
    <w:basedOn w:val="Normal"/>
    <w:rsid w:val="000205B4"/>
    <w:pPr>
      <w:numPr>
        <w:numId w:val="9"/>
      </w:numPr>
      <w:ind w:left="720"/>
    </w:pPr>
    <w:rPr>
      <w:color w:val="000000"/>
    </w:rPr>
  </w:style>
  <w:style w:type="paragraph" w:customStyle="1" w:styleId="Bullet">
    <w:name w:val="Bullet"/>
    <w:basedOn w:val="BulletBeforeDash"/>
    <w:qFormat/>
    <w:rsid w:val="000205B4"/>
    <w:pPr>
      <w:spacing w:after="120"/>
    </w:pPr>
  </w:style>
  <w:style w:type="paragraph" w:customStyle="1" w:styleId="BulletLast">
    <w:name w:val="BulletLast"/>
    <w:basedOn w:val="Bullet"/>
    <w:qFormat/>
    <w:rsid w:val="000205B4"/>
    <w:pPr>
      <w:spacing w:after="240"/>
    </w:pPr>
  </w:style>
  <w:style w:type="paragraph" w:customStyle="1" w:styleId="Dash">
    <w:name w:val="Dash"/>
    <w:basedOn w:val="Normal"/>
    <w:rsid w:val="000205B4"/>
    <w:pPr>
      <w:numPr>
        <w:numId w:val="10"/>
      </w:numPr>
      <w:tabs>
        <w:tab w:val="clear" w:pos="216"/>
        <w:tab w:val="left" w:pos="720"/>
      </w:tabs>
      <w:ind w:left="1080" w:hanging="360"/>
    </w:pPr>
    <w:rPr>
      <w:color w:val="000000"/>
    </w:rPr>
  </w:style>
  <w:style w:type="paragraph" w:customStyle="1" w:styleId="NormalBeforeBullet">
    <w:name w:val="NormalBeforeBullet"/>
    <w:basedOn w:val="Normal"/>
    <w:qFormat/>
    <w:rsid w:val="000205B4"/>
    <w:pPr>
      <w:keepNext/>
      <w:spacing w:after="120"/>
    </w:pPr>
    <w:rPr>
      <w:color w:val="000000"/>
    </w:rPr>
  </w:style>
  <w:style w:type="paragraph" w:styleId="Header">
    <w:name w:val="header"/>
    <w:basedOn w:val="Normal"/>
    <w:link w:val="HeaderChar"/>
    <w:uiPriority w:val="99"/>
    <w:unhideWhenUsed/>
    <w:rsid w:val="00633341"/>
    <w:pPr>
      <w:tabs>
        <w:tab w:val="center" w:pos="4513"/>
        <w:tab w:val="right" w:pos="9026"/>
      </w:tabs>
    </w:pPr>
  </w:style>
  <w:style w:type="character" w:customStyle="1" w:styleId="HeaderChar">
    <w:name w:val="Header Char"/>
    <w:basedOn w:val="DefaultParagraphFont"/>
    <w:link w:val="Header"/>
    <w:uiPriority w:val="99"/>
    <w:rsid w:val="00633341"/>
    <w:rPr>
      <w:rFonts w:eastAsia="Times New Roman"/>
      <w:szCs w:val="20"/>
      <w:lang w:eastAsia="en-AU"/>
    </w:rPr>
  </w:style>
  <w:style w:type="character" w:styleId="CommentReference">
    <w:name w:val="annotation reference"/>
    <w:basedOn w:val="DefaultParagraphFont"/>
    <w:uiPriority w:val="99"/>
    <w:semiHidden/>
    <w:unhideWhenUsed/>
    <w:rsid w:val="00D50C24"/>
    <w:rPr>
      <w:sz w:val="16"/>
      <w:szCs w:val="16"/>
    </w:rPr>
  </w:style>
  <w:style w:type="paragraph" w:styleId="CommentSubject">
    <w:name w:val="annotation subject"/>
    <w:basedOn w:val="CommentText"/>
    <w:next w:val="CommentText"/>
    <w:link w:val="CommentSubjectChar"/>
    <w:uiPriority w:val="99"/>
    <w:semiHidden/>
    <w:unhideWhenUsed/>
    <w:rsid w:val="00D50C24"/>
    <w:rPr>
      <w:b/>
      <w:bCs/>
    </w:rPr>
  </w:style>
  <w:style w:type="character" w:customStyle="1" w:styleId="CommentSubjectChar">
    <w:name w:val="Comment Subject Char"/>
    <w:basedOn w:val="CommentTextChar"/>
    <w:link w:val="CommentSubject"/>
    <w:uiPriority w:val="99"/>
    <w:semiHidden/>
    <w:rsid w:val="00D50C24"/>
    <w:rPr>
      <w:rFonts w:eastAsia="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hyperlink" Target="http://www.msac.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8945</Words>
  <Characters>50185</Characters>
  <Application>Microsoft Office Word</Application>
  <DocSecurity>0</DocSecurity>
  <Lines>1045</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2020-03-05T23:48:00Z</dcterms:created>
  <dcterms:modified xsi:type="dcterms:W3CDTF">2020-03-05T23:55:00Z</dcterms:modified>
</cp:coreProperties>
</file>