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9F96B" w14:textId="77777777" w:rsidR="00BC1364" w:rsidRPr="00707064" w:rsidRDefault="00C67DD2" w:rsidP="00EB00DD">
      <w:pPr>
        <w:spacing w:after="240"/>
        <w:jc w:val="center"/>
        <w:rPr>
          <w:b/>
          <w:i/>
          <w:szCs w:val="24"/>
          <w:highlight w:val="yellow"/>
        </w:rPr>
      </w:pPr>
      <w:r>
        <w:rPr>
          <w:rFonts w:ascii="Arial" w:hAnsi="Arial" w:cs="Arial"/>
          <w:b/>
          <w:noProof/>
          <w:color w:val="000080"/>
          <w:sz w:val="28"/>
          <w:szCs w:val="28"/>
        </w:rPr>
        <w:drawing>
          <wp:inline distT="0" distB="0" distL="0" distR="0" wp14:anchorId="56F47F58" wp14:editId="7CC63FC3">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5AF24341"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1B0AF619" w14:textId="52537CFA" w:rsidR="00BC1364" w:rsidRPr="00F715D1" w:rsidRDefault="00BC1364" w:rsidP="00F715D1">
      <w:pPr>
        <w:pStyle w:val="Subtitle"/>
      </w:pPr>
      <w:r w:rsidRPr="00F715D1">
        <w:t xml:space="preserve">Application No. </w:t>
      </w:r>
      <w:r w:rsidR="004A7E0B">
        <w:t>1610</w:t>
      </w:r>
      <w:r w:rsidRPr="00F715D1">
        <w:t xml:space="preserve"> – </w:t>
      </w:r>
      <w:r w:rsidR="00595B59">
        <w:t>C</w:t>
      </w:r>
      <w:r w:rsidR="00704555">
        <w:t>lostridium botulinum t</w:t>
      </w:r>
      <w:r w:rsidR="004A7E0B">
        <w:t xml:space="preserve">ype </w:t>
      </w:r>
      <w:proofErr w:type="gramStart"/>
      <w:r w:rsidR="004A7E0B">
        <w:t>A</w:t>
      </w:r>
      <w:proofErr w:type="gramEnd"/>
      <w:r w:rsidR="00595B59">
        <w:t xml:space="preserve"> </w:t>
      </w:r>
      <w:r w:rsidR="00595B59">
        <w:br/>
        <w:t>toxin</w:t>
      </w:r>
      <w:r w:rsidR="004A7E0B">
        <w:t>-</w:t>
      </w:r>
      <w:proofErr w:type="spellStart"/>
      <w:r w:rsidR="00704555">
        <w:t>haemagglutin</w:t>
      </w:r>
      <w:r w:rsidR="004F1129">
        <w:t>in</w:t>
      </w:r>
      <w:proofErr w:type="spellEnd"/>
      <w:r w:rsidR="00704555">
        <w:t xml:space="preserve"> co</w:t>
      </w:r>
      <w:r w:rsidR="004A7E0B">
        <w:t>mplex (</w:t>
      </w:r>
      <w:proofErr w:type="spellStart"/>
      <w:r w:rsidR="004A7E0B">
        <w:t>Dysport</w:t>
      </w:r>
      <w:proofErr w:type="spellEnd"/>
      <w:r w:rsidR="004A7E0B" w:rsidRPr="00704555">
        <w:rPr>
          <w:vertAlign w:val="superscript"/>
        </w:rPr>
        <w:t>®</w:t>
      </w:r>
      <w:r w:rsidR="004A7E0B">
        <w:t>) for the treatment of moderate to severe upper-limb spasticity due to cerebral palsy</w:t>
      </w:r>
    </w:p>
    <w:p w14:paraId="0E8FDCA0" w14:textId="51900B4E" w:rsidR="00BC1364" w:rsidRPr="00F715D1" w:rsidRDefault="00B35595" w:rsidP="00D64355">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proofErr w:type="spellStart"/>
      <w:r w:rsidR="004A7E0B">
        <w:rPr>
          <w:rFonts w:ascii="Arial" w:hAnsi="Arial" w:cs="Arial"/>
          <w:b/>
          <w:szCs w:val="24"/>
        </w:rPr>
        <w:t>Ipsen</w:t>
      </w:r>
      <w:proofErr w:type="spellEnd"/>
      <w:r w:rsidR="00EA1B2D">
        <w:rPr>
          <w:rFonts w:ascii="Arial" w:hAnsi="Arial" w:cs="Arial"/>
          <w:b/>
          <w:szCs w:val="24"/>
        </w:rPr>
        <w:t xml:space="preserve"> Pty Ltd</w:t>
      </w:r>
    </w:p>
    <w:p w14:paraId="400F9ACD"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F878CB">
        <w:rPr>
          <w:rFonts w:ascii="Arial" w:hAnsi="Arial" w:cs="Arial"/>
          <w:b/>
          <w:szCs w:val="24"/>
        </w:rPr>
        <w:t>79</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F878CB">
        <w:rPr>
          <w:rFonts w:ascii="Arial" w:hAnsi="Arial" w:cs="Arial"/>
          <w:b/>
          <w:szCs w:val="24"/>
        </w:rPr>
        <w:t>28-29 July 2020</w:t>
      </w:r>
    </w:p>
    <w:p w14:paraId="31B2788D"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26C7770A" w14:textId="2BDF1810" w:rsidR="003D7F29" w:rsidRPr="00F715D1" w:rsidRDefault="003D7F29" w:rsidP="00F715D1">
      <w:pPr>
        <w:pStyle w:val="Heading1"/>
      </w:pPr>
      <w:r w:rsidRPr="00F715D1">
        <w:t>Purpose of application</w:t>
      </w:r>
    </w:p>
    <w:p w14:paraId="4D2E8EDA" w14:textId="43B919F2" w:rsidR="00C204FB" w:rsidRPr="0041184F" w:rsidRDefault="001901AA" w:rsidP="00010F5E">
      <w:r>
        <w:t>An application for a streamlined</w:t>
      </w:r>
      <w:r w:rsidR="003D7F29" w:rsidRPr="0041184F">
        <w:t xml:space="preserve"> </w:t>
      </w:r>
      <w:r w:rsidR="00FE3C25">
        <w:t>co</w:t>
      </w:r>
      <w:r w:rsidR="00FE3C25" w:rsidRPr="0041184F">
        <w:t>-dependent</w:t>
      </w:r>
      <w:r w:rsidR="00C204FB" w:rsidRPr="0041184F">
        <w:t xml:space="preserve"> </w:t>
      </w:r>
      <w:r>
        <w:t xml:space="preserve">consideration </w:t>
      </w:r>
      <w:r w:rsidR="004F340F" w:rsidRPr="0041184F">
        <w:t>requested</w:t>
      </w:r>
      <w:r w:rsidR="00C204FB" w:rsidRPr="0041184F">
        <w:t>:</w:t>
      </w:r>
    </w:p>
    <w:p w14:paraId="0E2B2155" w14:textId="7E781E48" w:rsidR="00C204FB" w:rsidRDefault="001901AA" w:rsidP="00010F5E">
      <w:pPr>
        <w:pStyle w:val="ListParagraph"/>
        <w:numPr>
          <w:ilvl w:val="0"/>
          <w:numId w:val="26"/>
        </w:numPr>
      </w:pPr>
      <w:r>
        <w:t>e</w:t>
      </w:r>
      <w:r w:rsidR="00010F5E">
        <w:t xml:space="preserve">xtension to the </w:t>
      </w:r>
      <w:r w:rsidR="00C204FB" w:rsidRPr="0041184F">
        <w:t xml:space="preserve">Pharmaceutical Benefits Scheme (PBS) </w:t>
      </w:r>
      <w:r w:rsidR="008F364B">
        <w:t>Section 100 Botulinum Toxin P</w:t>
      </w:r>
      <w:r w:rsidR="008F364B" w:rsidRPr="00010F5E">
        <w:t xml:space="preserve">rogram </w:t>
      </w:r>
      <w:r w:rsidR="00010F5E">
        <w:t xml:space="preserve">to include </w:t>
      </w:r>
      <w:r w:rsidR="00010F5E" w:rsidRPr="00B470FF">
        <w:t xml:space="preserve">clostridium botulinum </w:t>
      </w:r>
      <w:r w:rsidR="00704555" w:rsidRPr="00B470FF">
        <w:t>t</w:t>
      </w:r>
      <w:r w:rsidR="00010F5E" w:rsidRPr="00B470FF">
        <w:t>ype A toxin-</w:t>
      </w:r>
      <w:proofErr w:type="spellStart"/>
      <w:r w:rsidR="00010F5E" w:rsidRPr="00B470FF">
        <w:t>haemagglutinin</w:t>
      </w:r>
      <w:proofErr w:type="spellEnd"/>
      <w:r w:rsidR="00010F5E" w:rsidRPr="00B470FF">
        <w:t xml:space="preserve"> complex</w:t>
      </w:r>
      <w:r w:rsidR="00010F5E">
        <w:t xml:space="preserve"> (</w:t>
      </w:r>
      <w:proofErr w:type="spellStart"/>
      <w:r w:rsidR="00010F5E" w:rsidRPr="00B470FF">
        <w:t>Dysport</w:t>
      </w:r>
      <w:proofErr w:type="spellEnd"/>
      <w:r w:rsidR="00704555" w:rsidRPr="00704555">
        <w:rPr>
          <w:vertAlign w:val="superscript"/>
        </w:rPr>
        <w:t>®</w:t>
      </w:r>
      <w:r w:rsidR="00010F5E">
        <w:t>)</w:t>
      </w:r>
      <w:r w:rsidR="00010F5E" w:rsidRPr="00B470FF">
        <w:t>, for the treatment of moderate to severe focal spasticity of the upper limb in patients with cerebral palsy</w:t>
      </w:r>
    </w:p>
    <w:p w14:paraId="27AA6F14" w14:textId="0164F676" w:rsidR="001901AA" w:rsidRPr="0041184F" w:rsidRDefault="001901AA" w:rsidP="00CF4FEE">
      <w:pPr>
        <w:pStyle w:val="ListParagraph"/>
        <w:numPr>
          <w:ilvl w:val="0"/>
          <w:numId w:val="26"/>
        </w:numPr>
      </w:pPr>
      <w:proofErr w:type="gramStart"/>
      <w:r>
        <w:t>an</w:t>
      </w:r>
      <w:proofErr w:type="gramEnd"/>
      <w:r>
        <w:t xml:space="preserve"> amendment of </w:t>
      </w:r>
      <w:r w:rsidRPr="0041184F">
        <w:t>Medicare Benefits Schedule (MBS)</w:t>
      </w:r>
      <w:r>
        <w:t xml:space="preserve"> item 18361 to include</w:t>
      </w:r>
      <w:r w:rsidRPr="00010F5E">
        <w:t xml:space="preserve"> the injection of</w:t>
      </w:r>
      <w:r w:rsidRPr="008F364B">
        <w:rPr>
          <w:rFonts w:cstheme="minorHAnsi"/>
        </w:rPr>
        <w:t xml:space="preserve"> </w:t>
      </w:r>
      <w:r w:rsidR="00704555" w:rsidRPr="008F364B">
        <w:rPr>
          <w:rFonts w:cstheme="minorHAnsi"/>
        </w:rPr>
        <w:t>clostridium botulinum t</w:t>
      </w:r>
      <w:r w:rsidRPr="008F364B">
        <w:rPr>
          <w:rFonts w:cstheme="minorHAnsi"/>
        </w:rPr>
        <w:t xml:space="preserve">ype A </w:t>
      </w:r>
      <w:r w:rsidR="00704555" w:rsidRPr="008F364B">
        <w:rPr>
          <w:rFonts w:cstheme="minorHAnsi"/>
        </w:rPr>
        <w:t>toxin-</w:t>
      </w:r>
      <w:proofErr w:type="spellStart"/>
      <w:r w:rsidR="00704555" w:rsidRPr="008F364B">
        <w:rPr>
          <w:rFonts w:cstheme="minorHAnsi"/>
        </w:rPr>
        <w:t>haemagglutinin</w:t>
      </w:r>
      <w:proofErr w:type="spellEnd"/>
      <w:r w:rsidR="00704555" w:rsidRPr="008F364B">
        <w:rPr>
          <w:rFonts w:cstheme="minorHAnsi"/>
        </w:rPr>
        <w:t xml:space="preserve"> c</w:t>
      </w:r>
      <w:r w:rsidRPr="008F364B">
        <w:rPr>
          <w:rFonts w:cstheme="minorHAnsi"/>
        </w:rPr>
        <w:t>omplex</w:t>
      </w:r>
      <w:r w:rsidRPr="00010F5E">
        <w:t xml:space="preserve"> </w:t>
      </w:r>
      <w:r>
        <w:t>(</w:t>
      </w:r>
      <w:proofErr w:type="spellStart"/>
      <w:r w:rsidRPr="00010F5E">
        <w:t>Dysport</w:t>
      </w:r>
      <w:proofErr w:type="spellEnd"/>
      <w:r w:rsidR="00704555" w:rsidRPr="00704555">
        <w:rPr>
          <w:vertAlign w:val="superscript"/>
        </w:rPr>
        <w:t>®</w:t>
      </w:r>
      <w:r>
        <w:t>)</w:t>
      </w:r>
      <w:r w:rsidRPr="00010F5E">
        <w:t xml:space="preserve"> for the treatment of paediatric patients with upper-limb spasticity due to cerebral palsy</w:t>
      </w:r>
      <w:r w:rsidR="008F364B">
        <w:t>.</w:t>
      </w:r>
    </w:p>
    <w:p w14:paraId="50742AC1" w14:textId="77777777" w:rsidR="00E977EE" w:rsidRPr="00F715D1" w:rsidRDefault="00E977EE" w:rsidP="00F715D1">
      <w:pPr>
        <w:pStyle w:val="Heading1"/>
      </w:pPr>
      <w:r w:rsidRPr="00F715D1">
        <w:t>MSAC’s advice to the Minister</w:t>
      </w:r>
    </w:p>
    <w:p w14:paraId="163941B9" w14:textId="35B57EF7" w:rsidR="00EB00DD" w:rsidRPr="007D25BE" w:rsidRDefault="00EB00DD" w:rsidP="007D25BE">
      <w:pPr>
        <w:spacing w:before="240" w:after="240"/>
      </w:pPr>
      <w:r w:rsidRPr="007D25BE">
        <w:t xml:space="preserve">In alignment with the extended Pharmaceutical Benefits Scheme (PBS) listing of </w:t>
      </w:r>
      <w:r w:rsidR="00704555" w:rsidRPr="007D25BE">
        <w:t>clostridium botulinum</w:t>
      </w:r>
      <w:r w:rsidRPr="007D25BE">
        <w:t xml:space="preserve"> type </w:t>
      </w:r>
      <w:proofErr w:type="gramStart"/>
      <w:r w:rsidRPr="007D25BE">
        <w:t>A</w:t>
      </w:r>
      <w:proofErr w:type="gramEnd"/>
      <w:r w:rsidRPr="007D25BE">
        <w:t xml:space="preserve"> toxin-</w:t>
      </w:r>
      <w:proofErr w:type="spellStart"/>
      <w:r w:rsidRPr="007D25BE">
        <w:t>haemagglutinin</w:t>
      </w:r>
      <w:proofErr w:type="spellEnd"/>
      <w:r w:rsidRPr="007D25BE">
        <w:t xml:space="preserve"> complex as recommended by the Pharmaceutical Benefits Advisory Committee (PBAC) in July 2020, MSAC supported the modification of existing MBS item 18361 to include </w:t>
      </w:r>
      <w:r w:rsidR="00704555" w:rsidRPr="007D25BE">
        <w:t xml:space="preserve">injection of </w:t>
      </w:r>
      <w:r w:rsidRPr="007D25BE">
        <w:t>this medicine.</w:t>
      </w:r>
    </w:p>
    <w:tbl>
      <w:tblPr>
        <w:tblStyle w:val="TableGrid"/>
        <w:tblW w:w="0" w:type="auto"/>
        <w:tblLook w:val="04A0" w:firstRow="1" w:lastRow="0" w:firstColumn="1" w:lastColumn="0" w:noHBand="0" w:noVBand="1"/>
        <w:tblDescription w:val="Consumer summary of MSAC consideration"/>
      </w:tblPr>
      <w:tblGrid>
        <w:gridCol w:w="9016"/>
      </w:tblGrid>
      <w:tr w:rsidR="007D25BE" w14:paraId="6603D00E" w14:textId="77777777" w:rsidTr="007D25BE">
        <w:trPr>
          <w:tblHeader/>
        </w:trPr>
        <w:tc>
          <w:tcPr>
            <w:tcW w:w="9016" w:type="dxa"/>
          </w:tcPr>
          <w:p w14:paraId="5772B12C" w14:textId="2F7A2F0F" w:rsidR="007D25BE" w:rsidRPr="007D25BE" w:rsidRDefault="007D25BE" w:rsidP="007D25BE">
            <w:pPr>
              <w:pStyle w:val="Default"/>
              <w:spacing w:before="120" w:after="120"/>
              <w:rPr>
                <w:b/>
                <w:color w:val="auto"/>
              </w:rPr>
            </w:pPr>
            <w:r w:rsidRPr="00C06B0B">
              <w:rPr>
                <w:b/>
                <w:color w:val="auto"/>
              </w:rPr>
              <w:t>Consumer summary</w:t>
            </w:r>
          </w:p>
        </w:tc>
      </w:tr>
      <w:tr w:rsidR="007D25BE" w14:paraId="44574A65" w14:textId="77777777" w:rsidTr="007D25BE">
        <w:tc>
          <w:tcPr>
            <w:tcW w:w="9016" w:type="dxa"/>
          </w:tcPr>
          <w:p w14:paraId="2B2C5275" w14:textId="77777777" w:rsidR="007D25BE" w:rsidRPr="00EB00DD" w:rsidRDefault="007D25BE" w:rsidP="007D25BE">
            <w:pPr>
              <w:pStyle w:val="Default"/>
              <w:spacing w:before="120" w:after="240"/>
              <w:rPr>
                <w:color w:val="auto"/>
              </w:rPr>
            </w:pPr>
            <w:proofErr w:type="spellStart"/>
            <w:r w:rsidRPr="00EB00DD">
              <w:rPr>
                <w:color w:val="auto"/>
              </w:rPr>
              <w:t>Ipsen</w:t>
            </w:r>
            <w:proofErr w:type="spellEnd"/>
            <w:r w:rsidRPr="00EB00DD">
              <w:rPr>
                <w:color w:val="auto"/>
              </w:rPr>
              <w:t xml:space="preserve"> </w:t>
            </w:r>
            <w:r>
              <w:rPr>
                <w:color w:val="auto"/>
              </w:rPr>
              <w:t xml:space="preserve">Pty Ltd </w:t>
            </w:r>
            <w:r w:rsidRPr="00EB00DD">
              <w:rPr>
                <w:color w:val="auto"/>
              </w:rPr>
              <w:t>applied for public funding of clostridium botulinum type A</w:t>
            </w:r>
            <w:r>
              <w:rPr>
                <w:color w:val="auto"/>
              </w:rPr>
              <w:t xml:space="preserve"> toxin</w:t>
            </w:r>
            <w:r w:rsidRPr="00EB00DD">
              <w:rPr>
                <w:color w:val="auto"/>
              </w:rPr>
              <w:t>-</w:t>
            </w:r>
            <w:proofErr w:type="spellStart"/>
            <w:r w:rsidRPr="00EB00DD">
              <w:rPr>
                <w:color w:val="auto"/>
              </w:rPr>
              <w:t>haemagglutinin</w:t>
            </w:r>
            <w:proofErr w:type="spellEnd"/>
            <w:r w:rsidRPr="00EB00DD">
              <w:rPr>
                <w:color w:val="auto"/>
              </w:rPr>
              <w:t xml:space="preserve"> complex, </w:t>
            </w:r>
            <w:proofErr w:type="spellStart"/>
            <w:r w:rsidRPr="00EB00DD">
              <w:rPr>
                <w:color w:val="auto"/>
              </w:rPr>
              <w:t>Dysport</w:t>
            </w:r>
            <w:proofErr w:type="spellEnd"/>
            <w:r w:rsidRPr="00704555">
              <w:rPr>
                <w:color w:val="auto"/>
                <w:vertAlign w:val="superscript"/>
              </w:rPr>
              <w:t>®</w:t>
            </w:r>
            <w:r w:rsidRPr="00EB00DD">
              <w:rPr>
                <w:color w:val="auto"/>
              </w:rPr>
              <w:t>, to treat moderate to severe upper-limb spasticity due to cerebral palsy.</w:t>
            </w:r>
          </w:p>
          <w:p w14:paraId="5E641DF5" w14:textId="77777777" w:rsidR="007D25BE" w:rsidRPr="00EB00DD" w:rsidRDefault="007D25BE" w:rsidP="007D25BE">
            <w:pPr>
              <w:pStyle w:val="Default"/>
              <w:spacing w:before="120" w:after="240"/>
              <w:rPr>
                <w:color w:val="auto"/>
              </w:rPr>
            </w:pPr>
            <w:r w:rsidRPr="00EB00DD">
              <w:rPr>
                <w:color w:val="auto"/>
              </w:rPr>
              <w:t xml:space="preserve">Cerebral palsy affects a person’s ability to control their muscle movements, which can result in having stiff arms, called spasticity. </w:t>
            </w:r>
            <w:proofErr w:type="spellStart"/>
            <w:r w:rsidRPr="00EB00DD">
              <w:rPr>
                <w:color w:val="auto"/>
              </w:rPr>
              <w:t>Dysport</w:t>
            </w:r>
            <w:proofErr w:type="spellEnd"/>
            <w:r w:rsidRPr="00704555">
              <w:rPr>
                <w:color w:val="auto"/>
                <w:vertAlign w:val="superscript"/>
              </w:rPr>
              <w:t>®</w:t>
            </w:r>
            <w:r w:rsidRPr="00EB00DD">
              <w:rPr>
                <w:color w:val="auto"/>
              </w:rPr>
              <w:t xml:space="preserve"> can help relax this stiffness</w:t>
            </w:r>
            <w:r>
              <w:rPr>
                <w:color w:val="auto"/>
              </w:rPr>
              <w:t>.</w:t>
            </w:r>
          </w:p>
          <w:p w14:paraId="41DE1679" w14:textId="77777777" w:rsidR="007D25BE" w:rsidRPr="00EB00DD" w:rsidRDefault="007D25BE" w:rsidP="007D25BE">
            <w:pPr>
              <w:pStyle w:val="Default"/>
              <w:spacing w:before="120" w:after="240"/>
              <w:rPr>
                <w:color w:val="auto"/>
              </w:rPr>
            </w:pPr>
            <w:r w:rsidRPr="00EB00DD">
              <w:rPr>
                <w:color w:val="auto"/>
              </w:rPr>
              <w:t xml:space="preserve">MSAC noted that </w:t>
            </w:r>
            <w:r>
              <w:rPr>
                <w:color w:val="auto"/>
              </w:rPr>
              <w:t xml:space="preserve">the July 2020 Pharmaceutical Benefits Advisory Committee meeting had advised that </w:t>
            </w:r>
            <w:r w:rsidRPr="00EB00DD">
              <w:rPr>
                <w:color w:val="auto"/>
              </w:rPr>
              <w:t xml:space="preserve">this treatment was </w:t>
            </w:r>
            <w:r>
              <w:rPr>
                <w:color w:val="auto"/>
              </w:rPr>
              <w:t>similar in</w:t>
            </w:r>
            <w:r w:rsidRPr="00EB00DD">
              <w:rPr>
                <w:color w:val="auto"/>
              </w:rPr>
              <w:t xml:space="preserve"> effectiveness and safety to </w:t>
            </w:r>
            <w:r>
              <w:rPr>
                <w:color w:val="auto"/>
              </w:rPr>
              <w:t xml:space="preserve">another botulinum </w:t>
            </w:r>
            <w:r>
              <w:rPr>
                <w:color w:val="auto"/>
              </w:rPr>
              <w:lastRenderedPageBreak/>
              <w:t>toxin (</w:t>
            </w:r>
            <w:r w:rsidRPr="00EB00DD">
              <w:rPr>
                <w:color w:val="auto"/>
              </w:rPr>
              <w:t>Botox</w:t>
            </w:r>
            <w:r w:rsidRPr="00704555">
              <w:rPr>
                <w:color w:val="auto"/>
                <w:vertAlign w:val="superscript"/>
              </w:rPr>
              <w:t>®</w:t>
            </w:r>
            <w:r>
              <w:rPr>
                <w:color w:val="auto"/>
              </w:rPr>
              <w:t>)</w:t>
            </w:r>
            <w:r w:rsidRPr="00EB00DD">
              <w:rPr>
                <w:color w:val="auto"/>
              </w:rPr>
              <w:t>, which is already being used for the same moderate to severe paediatric upper-limb spasticity. Botox</w:t>
            </w:r>
            <w:r w:rsidRPr="00704555">
              <w:rPr>
                <w:color w:val="auto"/>
                <w:vertAlign w:val="superscript"/>
              </w:rPr>
              <w:t>®</w:t>
            </w:r>
            <w:r w:rsidRPr="00EB00DD">
              <w:rPr>
                <w:color w:val="auto"/>
              </w:rPr>
              <w:t xml:space="preserve"> administration is already publicly funded under Medicare Benefits Schedule (MBS) item 18361, and </w:t>
            </w:r>
            <w:r>
              <w:rPr>
                <w:color w:val="auto"/>
              </w:rPr>
              <w:t xml:space="preserve">MSAC considered that </w:t>
            </w:r>
            <w:proofErr w:type="spellStart"/>
            <w:r w:rsidRPr="00EB00DD">
              <w:rPr>
                <w:color w:val="auto"/>
              </w:rPr>
              <w:t>Dysport</w:t>
            </w:r>
            <w:proofErr w:type="spellEnd"/>
            <w:r w:rsidRPr="00704555">
              <w:rPr>
                <w:color w:val="auto"/>
                <w:vertAlign w:val="superscript"/>
              </w:rPr>
              <w:t>®</w:t>
            </w:r>
            <w:r w:rsidRPr="00EB00DD">
              <w:rPr>
                <w:color w:val="auto"/>
              </w:rPr>
              <w:t xml:space="preserve"> administration </w:t>
            </w:r>
            <w:r>
              <w:rPr>
                <w:color w:val="auto"/>
              </w:rPr>
              <w:t>sh</w:t>
            </w:r>
            <w:r w:rsidRPr="00EB00DD">
              <w:rPr>
                <w:color w:val="auto"/>
              </w:rPr>
              <w:t xml:space="preserve">ould </w:t>
            </w:r>
            <w:r>
              <w:rPr>
                <w:color w:val="auto"/>
              </w:rPr>
              <w:t xml:space="preserve">therefore </w:t>
            </w:r>
            <w:r w:rsidRPr="00EB00DD">
              <w:rPr>
                <w:color w:val="auto"/>
              </w:rPr>
              <w:t>be covered under the same item.</w:t>
            </w:r>
          </w:p>
          <w:p w14:paraId="0010EAF7" w14:textId="77777777" w:rsidR="007D25BE" w:rsidRDefault="007D25BE" w:rsidP="007D25BE">
            <w:pPr>
              <w:pStyle w:val="Default"/>
              <w:spacing w:after="120"/>
              <w:rPr>
                <w:b/>
                <w:color w:val="auto"/>
              </w:rPr>
            </w:pPr>
            <w:r w:rsidRPr="00C06B0B">
              <w:rPr>
                <w:b/>
                <w:color w:val="auto"/>
              </w:rPr>
              <w:t xml:space="preserve">MSAC’s </w:t>
            </w:r>
            <w:r>
              <w:rPr>
                <w:b/>
                <w:color w:val="auto"/>
              </w:rPr>
              <w:t>advice</w:t>
            </w:r>
            <w:r w:rsidRPr="00C06B0B">
              <w:rPr>
                <w:b/>
                <w:color w:val="auto"/>
              </w:rPr>
              <w:t xml:space="preserve"> to the Commonwealth Minister</w:t>
            </w:r>
            <w:r>
              <w:rPr>
                <w:b/>
                <w:color w:val="auto"/>
              </w:rPr>
              <w:t xml:space="preserve"> for Health</w:t>
            </w:r>
          </w:p>
          <w:p w14:paraId="3B519894" w14:textId="2412B264" w:rsidR="007D25BE" w:rsidRDefault="007D25BE" w:rsidP="007D25BE">
            <w:r w:rsidRPr="00EB00DD">
              <w:t xml:space="preserve">MSAC supported public funding of </w:t>
            </w:r>
            <w:r>
              <w:t xml:space="preserve">the administration of </w:t>
            </w:r>
            <w:proofErr w:type="spellStart"/>
            <w:r w:rsidRPr="00EB00DD">
              <w:t>Dysport</w:t>
            </w:r>
            <w:proofErr w:type="spellEnd"/>
            <w:r w:rsidRPr="00704555">
              <w:rPr>
                <w:vertAlign w:val="superscript"/>
              </w:rPr>
              <w:t>®</w:t>
            </w:r>
            <w:r>
              <w:t xml:space="preserve"> for the requested population</w:t>
            </w:r>
            <w:r w:rsidRPr="00EB00DD">
              <w:t xml:space="preserve">. MSAC was satisfied that </w:t>
            </w:r>
            <w:r>
              <w:t>this administration</w:t>
            </w:r>
            <w:r w:rsidRPr="00EB00DD">
              <w:t xml:space="preserve"> is effective, safe and cost-effective.</w:t>
            </w:r>
          </w:p>
        </w:tc>
      </w:tr>
    </w:tbl>
    <w:p w14:paraId="78C90B30" w14:textId="10BCC00F" w:rsidR="00550354" w:rsidRPr="00F715D1" w:rsidRDefault="00550354" w:rsidP="00F715D1">
      <w:pPr>
        <w:pStyle w:val="Heading1"/>
      </w:pPr>
      <w:r w:rsidRPr="00F715D1">
        <w:lastRenderedPageBreak/>
        <w:t xml:space="preserve">Summary of consideration </w:t>
      </w:r>
      <w:r w:rsidR="00704555">
        <w:t>and rationale for MSAC’s advice</w:t>
      </w:r>
    </w:p>
    <w:p w14:paraId="0175BD17" w14:textId="619764E5" w:rsidR="00EB00DD" w:rsidRDefault="00EB00DD" w:rsidP="00EB00DD">
      <w:r>
        <w:t xml:space="preserve">MSAC noted that this application was for </w:t>
      </w:r>
      <w:r w:rsidRPr="002E0261">
        <w:t xml:space="preserve">the addition of </w:t>
      </w:r>
      <w:r w:rsidR="00704555" w:rsidRPr="00704555">
        <w:rPr>
          <w:iCs/>
        </w:rPr>
        <w:t>clostridium botulinum</w:t>
      </w:r>
      <w:r w:rsidR="00704555" w:rsidRPr="00704555">
        <w:t xml:space="preserve"> </w:t>
      </w:r>
      <w:r w:rsidRPr="002E0261">
        <w:t xml:space="preserve">type </w:t>
      </w:r>
      <w:proofErr w:type="gramStart"/>
      <w:r w:rsidRPr="002E0261">
        <w:t>A</w:t>
      </w:r>
      <w:proofErr w:type="gramEnd"/>
      <w:r w:rsidR="00704555">
        <w:t xml:space="preserve"> toxin</w:t>
      </w:r>
      <w:r w:rsidRPr="002E0261">
        <w:t>-</w:t>
      </w:r>
      <w:proofErr w:type="spellStart"/>
      <w:r w:rsidRPr="002E0261">
        <w:t>haemagglutinin</w:t>
      </w:r>
      <w:proofErr w:type="spellEnd"/>
      <w:r w:rsidRPr="002E0261">
        <w:t xml:space="preserve"> complex, </w:t>
      </w:r>
      <w:proofErr w:type="spellStart"/>
      <w:r w:rsidRPr="002E0261">
        <w:t>Dysport</w:t>
      </w:r>
      <w:proofErr w:type="spellEnd"/>
      <w:r w:rsidRPr="002E0261">
        <w:rPr>
          <w:vertAlign w:val="superscript"/>
        </w:rPr>
        <w:t>®</w:t>
      </w:r>
      <w:r w:rsidRPr="002E0261">
        <w:t>, to the descriptor of M</w:t>
      </w:r>
      <w:r>
        <w:t>edicare Benefits Schedule (M</w:t>
      </w:r>
      <w:r w:rsidRPr="002E0261">
        <w:t>BS</w:t>
      </w:r>
      <w:r>
        <w:t>)</w:t>
      </w:r>
      <w:r w:rsidRPr="002E0261">
        <w:t xml:space="preserve"> item 18361 for the treatment of moderate to severe paediatric upper-limb spasticity due to cerebral palsy</w:t>
      </w:r>
      <w:r>
        <w:t>.</w:t>
      </w:r>
    </w:p>
    <w:p w14:paraId="1CE3BB34" w14:textId="5AE26C3A" w:rsidR="00EB00DD" w:rsidRDefault="00EB00DD" w:rsidP="00EB00DD">
      <w:pPr>
        <w:spacing w:before="240"/>
      </w:pPr>
      <w:r>
        <w:t xml:space="preserve">MSAC noted that, in July 2020, the Pharmaceutical Benefits Advisory Committee (PBAC) </w:t>
      </w:r>
      <w:r w:rsidRPr="002E0261">
        <w:t xml:space="preserve">recommended </w:t>
      </w:r>
      <w:r>
        <w:t xml:space="preserve">that </w:t>
      </w:r>
      <w:r w:rsidR="00704555">
        <w:t xml:space="preserve">the Pharmaceutical Benefits Scheme (PBS) listing of </w:t>
      </w:r>
      <w:proofErr w:type="spellStart"/>
      <w:r w:rsidRPr="002E0261">
        <w:t>Dysport</w:t>
      </w:r>
      <w:proofErr w:type="spellEnd"/>
      <w:r w:rsidRPr="002E0261">
        <w:rPr>
          <w:vertAlign w:val="superscript"/>
        </w:rPr>
        <w:t>®</w:t>
      </w:r>
      <w:r>
        <w:t xml:space="preserve"> </w:t>
      </w:r>
      <w:r w:rsidR="00704555">
        <w:t xml:space="preserve">be extended </w:t>
      </w:r>
      <w:r>
        <w:t>to</w:t>
      </w:r>
      <w:r w:rsidRPr="002E0261">
        <w:t xml:space="preserve"> </w:t>
      </w:r>
      <w:r w:rsidR="00704555">
        <w:t xml:space="preserve">include the </w:t>
      </w:r>
      <w:r w:rsidRPr="002E0261">
        <w:t>treat</w:t>
      </w:r>
      <w:r w:rsidR="00704555">
        <w:t>ment of</w:t>
      </w:r>
      <w:r w:rsidRPr="002E0261">
        <w:t xml:space="preserve"> moderate to severe focal spasticity of the upper limb in patients with cerebral palsy.</w:t>
      </w:r>
      <w:r>
        <w:t xml:space="preserve"> MSAC also noted that the Therapeutic Goods Administration approved </w:t>
      </w:r>
      <w:r w:rsidR="00704555">
        <w:t xml:space="preserve">the related </w:t>
      </w:r>
      <w:r w:rsidRPr="002E0261">
        <w:t>new indication “For symptomatic treatment of focal spasticity of upper limbs in children aged 2</w:t>
      </w:r>
      <w:r>
        <w:t> </w:t>
      </w:r>
      <w:r w:rsidRPr="002E0261">
        <w:t>years and older</w:t>
      </w:r>
      <w:r>
        <w:t xml:space="preserve">” for </w:t>
      </w:r>
      <w:proofErr w:type="spellStart"/>
      <w:r>
        <w:t>Dysport</w:t>
      </w:r>
      <w:proofErr w:type="spellEnd"/>
      <w:r w:rsidRPr="002E0261">
        <w:rPr>
          <w:vertAlign w:val="superscript"/>
        </w:rPr>
        <w:t>®</w:t>
      </w:r>
      <w:r>
        <w:t xml:space="preserve"> in July 2020.</w:t>
      </w:r>
    </w:p>
    <w:p w14:paraId="679174EF" w14:textId="090E1245" w:rsidR="00EB00DD" w:rsidRPr="002E0261" w:rsidRDefault="00EB00DD" w:rsidP="00704555">
      <w:pPr>
        <w:pStyle w:val="NormalBeforeBullet"/>
        <w:keepNext w:val="0"/>
        <w:spacing w:before="240"/>
      </w:pPr>
      <w:r>
        <w:t xml:space="preserve">MSAC noted that the </w:t>
      </w:r>
      <w:r w:rsidRPr="002E0261">
        <w:t>proposed fee remains unchanged at $12</w:t>
      </w:r>
      <w:r w:rsidR="00203F65">
        <w:t>8</w:t>
      </w:r>
      <w:r w:rsidRPr="002E0261">
        <w:t>.</w:t>
      </w:r>
      <w:r w:rsidR="00203F65">
        <w:t>7</w:t>
      </w:r>
      <w:r w:rsidRPr="002E0261">
        <w:t xml:space="preserve">5 </w:t>
      </w:r>
      <w:r>
        <w:t>a</w:t>
      </w:r>
      <w:r w:rsidRPr="002E0261">
        <w:t>s per the existing MBS item number 18361</w:t>
      </w:r>
      <w:r w:rsidR="00704555">
        <w:t>.</w:t>
      </w:r>
    </w:p>
    <w:p w14:paraId="523FDF42" w14:textId="3B5EDFB6" w:rsidR="00EB00DD" w:rsidRDefault="00EB00DD" w:rsidP="00EB00DD">
      <w:pPr>
        <w:pStyle w:val="NormalBeforeBullet"/>
      </w:pPr>
      <w:r>
        <w:t xml:space="preserve">MSAC </w:t>
      </w:r>
      <w:r w:rsidR="00704555">
        <w:t>noted</w:t>
      </w:r>
      <w:r>
        <w:t xml:space="preserve"> the PBAC’s conclusion:</w:t>
      </w:r>
    </w:p>
    <w:p w14:paraId="7764D4D2" w14:textId="77777777" w:rsidR="00EB00DD" w:rsidRDefault="00EB00DD" w:rsidP="00EB00DD">
      <w:pPr>
        <w:pStyle w:val="Quote"/>
      </w:pPr>
      <w:r w:rsidRPr="002E0261">
        <w:t xml:space="preserve">Although the indirect comparison between </w:t>
      </w:r>
      <w:proofErr w:type="spellStart"/>
      <w:r w:rsidRPr="002E0261">
        <w:t>Dysport</w:t>
      </w:r>
      <w:proofErr w:type="spellEnd"/>
      <w:r w:rsidRPr="00704555">
        <w:rPr>
          <w:vertAlign w:val="superscript"/>
        </w:rPr>
        <w:t>®</w:t>
      </w:r>
      <w:r w:rsidRPr="002E0261">
        <w:t xml:space="preserve"> and the nominated comparator, Botox</w:t>
      </w:r>
      <w:r w:rsidRPr="002E0261">
        <w:rPr>
          <w:vertAlign w:val="superscript"/>
        </w:rPr>
        <w:t>®</w:t>
      </w:r>
      <w:r w:rsidRPr="002E0261">
        <w:t xml:space="preserve">, had a number of issues including small patient numbers and heterogeneity, the PBAC was satisfied that </w:t>
      </w:r>
      <w:proofErr w:type="spellStart"/>
      <w:r w:rsidRPr="002E0261">
        <w:t>Dysport</w:t>
      </w:r>
      <w:proofErr w:type="spellEnd"/>
      <w:r w:rsidRPr="002E0261">
        <w:rPr>
          <w:vertAlign w:val="superscript"/>
        </w:rPr>
        <w:t>®</w:t>
      </w:r>
      <w:r w:rsidRPr="002E0261">
        <w:t xml:space="preserve"> was non</w:t>
      </w:r>
      <w:r>
        <w:t>-</w:t>
      </w:r>
      <w:r w:rsidRPr="002E0261">
        <w:t>inferior to Botox</w:t>
      </w:r>
      <w:r w:rsidRPr="00704555">
        <w:rPr>
          <w:vertAlign w:val="superscript"/>
        </w:rPr>
        <w:t>®</w:t>
      </w:r>
      <w:r w:rsidRPr="002E0261">
        <w:t xml:space="preserve"> in terms of comparative efficacy and safety.</w:t>
      </w:r>
    </w:p>
    <w:p w14:paraId="7DFD1387" w14:textId="77777777" w:rsidR="00704555" w:rsidRDefault="00EB00DD" w:rsidP="00704555">
      <w:pPr>
        <w:spacing w:before="240"/>
      </w:pPr>
      <w:r>
        <w:t>MSAC noted the p</w:t>
      </w:r>
      <w:r w:rsidRPr="002E0261">
        <w:t>otential for small cost-saving</w:t>
      </w:r>
      <w:r>
        <w:t>s</w:t>
      </w:r>
      <w:r w:rsidRPr="002E0261">
        <w:t xml:space="preserve"> </w:t>
      </w:r>
      <w:r>
        <w:t>due to the</w:t>
      </w:r>
      <w:r w:rsidRPr="002E0261">
        <w:t xml:space="preserve"> difference in recommended tim</w:t>
      </w:r>
      <w:r>
        <w:t>ing</w:t>
      </w:r>
      <w:r w:rsidRPr="002E0261">
        <w:t xml:space="preserve"> between treatments (</w:t>
      </w:r>
      <w:proofErr w:type="spellStart"/>
      <w:r w:rsidRPr="002E0261">
        <w:t>Dysport</w:t>
      </w:r>
      <w:proofErr w:type="spellEnd"/>
      <w:r w:rsidRPr="00704555">
        <w:rPr>
          <w:vertAlign w:val="superscript"/>
        </w:rPr>
        <w:t>®</w:t>
      </w:r>
      <w:r w:rsidRPr="002E0261">
        <w:t xml:space="preserve"> min</w:t>
      </w:r>
      <w:r>
        <w:t>imum of</w:t>
      </w:r>
      <w:r w:rsidRPr="002E0261">
        <w:t xml:space="preserve"> 16 weeks, Botox</w:t>
      </w:r>
      <w:r w:rsidRPr="00ED4E1C">
        <w:rPr>
          <w:vertAlign w:val="superscript"/>
        </w:rPr>
        <w:t>®</w:t>
      </w:r>
      <w:r w:rsidRPr="002E0261">
        <w:t xml:space="preserve"> min</w:t>
      </w:r>
      <w:r>
        <w:t>imum of</w:t>
      </w:r>
      <w:r w:rsidRPr="002E0261">
        <w:t xml:space="preserve"> 12</w:t>
      </w:r>
      <w:r>
        <w:t> </w:t>
      </w:r>
      <w:r w:rsidRPr="002E0261">
        <w:t xml:space="preserve">weeks), </w:t>
      </w:r>
      <w:r>
        <w:t xml:space="preserve">which could lead to a </w:t>
      </w:r>
      <w:r w:rsidR="00704555">
        <w:t xml:space="preserve">small </w:t>
      </w:r>
      <w:r w:rsidRPr="002E0261">
        <w:t>reduction in MBS costs</w:t>
      </w:r>
      <w:r>
        <w:t>.</w:t>
      </w:r>
    </w:p>
    <w:p w14:paraId="6AA9AEDA" w14:textId="09692222" w:rsidR="00EB00DD" w:rsidRPr="00ED4E1C" w:rsidRDefault="00EB00DD" w:rsidP="00704555">
      <w:pPr>
        <w:spacing w:before="240"/>
      </w:pPr>
      <w:r>
        <w:t xml:space="preserve">MSAC accepted the applicant’s </w:t>
      </w:r>
      <w:r w:rsidRPr="00ED4E1C">
        <w:t>estimate</w:t>
      </w:r>
      <w:r>
        <w:t>d</w:t>
      </w:r>
      <w:r w:rsidRPr="00ED4E1C">
        <w:t xml:space="preserve"> 50% uptake of </w:t>
      </w:r>
      <w:proofErr w:type="spellStart"/>
      <w:r w:rsidRPr="00ED4E1C">
        <w:t>Dysport</w:t>
      </w:r>
      <w:proofErr w:type="spellEnd"/>
      <w:r w:rsidRPr="00ED4E1C">
        <w:rPr>
          <w:vertAlign w:val="superscript"/>
        </w:rPr>
        <w:t>®</w:t>
      </w:r>
      <w:r w:rsidRPr="00ED4E1C">
        <w:t xml:space="preserve"> across the first 6 years of listing</w:t>
      </w:r>
      <w:r w:rsidR="00704555">
        <w:t xml:space="preserve"> compared with Botox</w:t>
      </w:r>
      <w:r w:rsidR="00704555" w:rsidRPr="00704555">
        <w:rPr>
          <w:vertAlign w:val="superscript"/>
        </w:rPr>
        <w:t>®</w:t>
      </w:r>
      <w:r w:rsidR="00704555">
        <w:t>.</w:t>
      </w:r>
    </w:p>
    <w:p w14:paraId="15D3B99D" w14:textId="7652E921" w:rsidR="00EB00DD" w:rsidRPr="00EB00DD" w:rsidRDefault="00EB00DD" w:rsidP="00EB00DD">
      <w:pPr>
        <w:spacing w:before="240"/>
      </w:pPr>
      <w:r>
        <w:t xml:space="preserve">MSAC considered that </w:t>
      </w:r>
      <w:r w:rsidR="00004128">
        <w:t xml:space="preserve">the requested change </w:t>
      </w:r>
      <w:r>
        <w:t>was likely to be cost-neutral</w:t>
      </w:r>
      <w:r w:rsidR="00004128">
        <w:t xml:space="preserve"> to the MBS</w:t>
      </w:r>
      <w:r>
        <w:t>.</w:t>
      </w:r>
    </w:p>
    <w:p w14:paraId="531A540A" w14:textId="77777777" w:rsidR="00BC1364" w:rsidRPr="00F715D1" w:rsidRDefault="00BC1364" w:rsidP="00F715D1">
      <w:pPr>
        <w:pStyle w:val="Heading1"/>
      </w:pPr>
      <w:r w:rsidRPr="00F715D1">
        <w:t>Background</w:t>
      </w:r>
    </w:p>
    <w:p w14:paraId="4CFA0702" w14:textId="4CBE7325" w:rsidR="00BC1364" w:rsidRDefault="00584878" w:rsidP="00E90E25">
      <w:r>
        <w:t xml:space="preserve">This is the first </w:t>
      </w:r>
      <w:r w:rsidR="00D86DBF">
        <w:t>application</w:t>
      </w:r>
      <w:r w:rsidR="00B32D99">
        <w:t xml:space="preserve"> to MSAC</w:t>
      </w:r>
      <w:r>
        <w:t xml:space="preserve"> seeking amendment of MBS item</w:t>
      </w:r>
      <w:r w:rsidR="008F364B">
        <w:t xml:space="preserve"> 18361</w:t>
      </w:r>
      <w:r>
        <w:t xml:space="preserve"> to include </w:t>
      </w:r>
      <w:r w:rsidRPr="00584878">
        <w:t xml:space="preserve">injection of </w:t>
      </w:r>
      <w:proofErr w:type="spellStart"/>
      <w:r w:rsidRPr="00584878">
        <w:t>Dysport</w:t>
      </w:r>
      <w:proofErr w:type="spellEnd"/>
      <w:r w:rsidR="00004128" w:rsidRPr="00704555">
        <w:rPr>
          <w:vertAlign w:val="superscript"/>
        </w:rPr>
        <w:t>®</w:t>
      </w:r>
      <w:r w:rsidRPr="00584878">
        <w:t xml:space="preserve"> for the treatment of paediatric patients with upper-limb spasticity due to cerebral palsy</w:t>
      </w:r>
      <w:r w:rsidR="00E90E25">
        <w:t>.</w:t>
      </w:r>
    </w:p>
    <w:p w14:paraId="329D643E" w14:textId="77777777" w:rsidR="00BC1364" w:rsidRPr="00F715D1" w:rsidRDefault="00BC1364" w:rsidP="00F715D1">
      <w:pPr>
        <w:pStyle w:val="Heading1"/>
      </w:pPr>
      <w:r w:rsidRPr="00F715D1">
        <w:t>Prerequisites to implementation of any funding advice</w:t>
      </w:r>
    </w:p>
    <w:p w14:paraId="662DFCCD" w14:textId="0ED9A22B" w:rsidR="00F211EB" w:rsidRPr="00183E4D" w:rsidRDefault="00A62E35" w:rsidP="00F211EB">
      <w:pPr>
        <w:spacing w:after="240"/>
      </w:pPr>
      <w:proofErr w:type="spellStart"/>
      <w:r>
        <w:t>Dysport</w:t>
      </w:r>
      <w:proofErr w:type="spellEnd"/>
      <w:r w:rsidR="00004128" w:rsidRPr="00704555">
        <w:rPr>
          <w:vertAlign w:val="superscript"/>
        </w:rPr>
        <w:t>®</w:t>
      </w:r>
      <w:r>
        <w:t xml:space="preserve"> is included on the</w:t>
      </w:r>
      <w:r w:rsidR="00F211EB" w:rsidRPr="00183E4D">
        <w:t xml:space="preserve"> </w:t>
      </w:r>
      <w:r w:rsidR="00F211EB" w:rsidRPr="00226269">
        <w:t>Australian Register of Therapeutic Goods (ARTG)</w:t>
      </w:r>
      <w:r>
        <w:t>,</w:t>
      </w:r>
      <w:r w:rsidR="00F211EB" w:rsidRPr="00226269">
        <w:t xml:space="preserve"> </w:t>
      </w:r>
      <w:r>
        <w:t xml:space="preserve">as a registered </w:t>
      </w:r>
      <w:r w:rsidR="00004128">
        <w:t>p</w:t>
      </w:r>
      <w:r>
        <w:t xml:space="preserve">rescription medicine approved for multiple specific indications including the use </w:t>
      </w:r>
      <w:r>
        <w:lastRenderedPageBreak/>
        <w:t>for</w:t>
      </w:r>
      <w:r w:rsidRPr="00A62E35">
        <w:t xml:space="preserve"> symptomatic treatment of upper limb focal spas</w:t>
      </w:r>
      <w:r>
        <w:t>ticity in adults and children aged 2 years and older, as</w:t>
      </w:r>
      <w:r w:rsidR="00F211EB" w:rsidRPr="00EE07D5">
        <w:t xml:space="preserve"> shown in </w:t>
      </w:r>
      <w:r w:rsidR="00F211EB" w:rsidRPr="00EE07D5">
        <w:fldChar w:fldCharType="begin"/>
      </w:r>
      <w:r w:rsidR="00F211EB" w:rsidRPr="00EE07D5">
        <w:instrText xml:space="preserve"> REF _Ref364240778 \h  \* MERGEFORMAT </w:instrText>
      </w:r>
      <w:r w:rsidR="00F211EB" w:rsidRPr="00EE07D5">
        <w:fldChar w:fldCharType="separate"/>
      </w:r>
      <w:r w:rsidR="00F211EB" w:rsidRPr="00153BF4">
        <w:t>Table</w:t>
      </w:r>
      <w:r w:rsidR="00F211EB">
        <w:t xml:space="preserve"> 1</w:t>
      </w:r>
      <w:r w:rsidR="00F211EB" w:rsidRPr="00EE07D5">
        <w:fldChar w:fldCharType="end"/>
      </w:r>
      <w:r w:rsidR="00F211EB" w:rsidRPr="00EE07D5">
        <w:t>.</w:t>
      </w:r>
    </w:p>
    <w:p w14:paraId="0D483F6F" w14:textId="7DC63F30" w:rsidR="00F211EB" w:rsidRPr="007D25BE" w:rsidRDefault="00F211EB" w:rsidP="007D25BE">
      <w:pPr>
        <w:rPr>
          <w:rFonts w:ascii="Arial Narrow" w:hAnsi="Arial Narrow"/>
          <w:b/>
          <w:sz w:val="20"/>
        </w:rPr>
      </w:pPr>
      <w:bookmarkStart w:id="0" w:name="_Ref364240778"/>
      <w:bookmarkStart w:id="1" w:name="_Toc381969859"/>
      <w:bookmarkStart w:id="2" w:name="_Toc22047109"/>
      <w:r w:rsidRPr="007D25BE">
        <w:rPr>
          <w:rFonts w:ascii="Arial Narrow" w:hAnsi="Arial Narrow"/>
          <w:b/>
          <w:sz w:val="20"/>
        </w:rPr>
        <w:t xml:space="preserve">Table </w:t>
      </w:r>
      <w:r w:rsidR="00C25CF3" w:rsidRPr="007D25BE">
        <w:rPr>
          <w:rFonts w:ascii="Arial Narrow" w:hAnsi="Arial Narrow"/>
          <w:b/>
          <w:sz w:val="20"/>
        </w:rPr>
        <w:fldChar w:fldCharType="begin"/>
      </w:r>
      <w:r w:rsidR="00C25CF3" w:rsidRPr="007D25BE">
        <w:rPr>
          <w:rFonts w:ascii="Arial Narrow" w:hAnsi="Arial Narrow"/>
          <w:b/>
          <w:sz w:val="20"/>
        </w:rPr>
        <w:instrText xml:space="preserve"> SEQ Table \* ARABIC </w:instrText>
      </w:r>
      <w:r w:rsidR="00C25CF3" w:rsidRPr="007D25BE">
        <w:rPr>
          <w:rFonts w:ascii="Arial Narrow" w:hAnsi="Arial Narrow"/>
          <w:b/>
          <w:sz w:val="20"/>
        </w:rPr>
        <w:fldChar w:fldCharType="separate"/>
      </w:r>
      <w:r w:rsidR="00222A99" w:rsidRPr="007D25BE">
        <w:rPr>
          <w:rFonts w:ascii="Arial Narrow" w:hAnsi="Arial Narrow"/>
          <w:b/>
          <w:sz w:val="20"/>
        </w:rPr>
        <w:t>1</w:t>
      </w:r>
      <w:r w:rsidR="00C25CF3" w:rsidRPr="007D25BE">
        <w:rPr>
          <w:rFonts w:ascii="Arial Narrow" w:hAnsi="Arial Narrow"/>
          <w:b/>
          <w:sz w:val="20"/>
        </w:rPr>
        <w:fldChar w:fldCharType="end"/>
      </w:r>
      <w:bookmarkEnd w:id="0"/>
      <w:r w:rsidR="001E3317" w:rsidRPr="007D25BE">
        <w:rPr>
          <w:rFonts w:ascii="Arial Narrow" w:hAnsi="Arial Narrow"/>
          <w:b/>
          <w:sz w:val="20"/>
        </w:rPr>
        <w:t xml:space="preserve"> Relevant </w:t>
      </w:r>
      <w:proofErr w:type="spellStart"/>
      <w:r w:rsidR="001E3317" w:rsidRPr="007D25BE">
        <w:rPr>
          <w:rFonts w:ascii="Arial Narrow" w:hAnsi="Arial Narrow"/>
          <w:b/>
          <w:sz w:val="20"/>
        </w:rPr>
        <w:t>Dysport</w:t>
      </w:r>
      <w:proofErr w:type="spellEnd"/>
      <w:r w:rsidR="00004128" w:rsidRPr="007D25BE">
        <w:rPr>
          <w:rFonts w:ascii="Arial Narrow" w:hAnsi="Arial Narrow"/>
          <w:b/>
          <w:sz w:val="20"/>
        </w:rPr>
        <w:t>®</w:t>
      </w:r>
      <w:r w:rsidR="001E3317" w:rsidRPr="007D25BE">
        <w:rPr>
          <w:rFonts w:ascii="Arial Narrow" w:hAnsi="Arial Narrow"/>
          <w:b/>
          <w:sz w:val="20"/>
        </w:rPr>
        <w:t xml:space="preserve"> </w:t>
      </w:r>
      <w:r w:rsidR="00004128" w:rsidRPr="007D25BE">
        <w:rPr>
          <w:rFonts w:ascii="Arial Narrow" w:hAnsi="Arial Narrow"/>
          <w:b/>
          <w:sz w:val="20"/>
        </w:rPr>
        <w:t>indications</w:t>
      </w:r>
      <w:r w:rsidR="001E3317" w:rsidRPr="007D25BE">
        <w:rPr>
          <w:rFonts w:ascii="Arial Narrow" w:hAnsi="Arial Narrow"/>
          <w:b/>
          <w:sz w:val="20"/>
        </w:rPr>
        <w:t xml:space="preserve"> registered</w:t>
      </w:r>
      <w:r w:rsidRPr="007D25BE">
        <w:rPr>
          <w:rFonts w:ascii="Arial Narrow" w:hAnsi="Arial Narrow"/>
          <w:b/>
          <w:sz w:val="20"/>
        </w:rPr>
        <w:t xml:space="preserve"> on the ARTG</w:t>
      </w:r>
      <w:bookmarkEnd w:id="1"/>
      <w:bookmarkEnd w:id="2"/>
    </w:p>
    <w:tbl>
      <w:tblPr>
        <w:tblStyle w:val="TableGrid"/>
        <w:tblW w:w="0" w:type="auto"/>
        <w:tblLook w:val="04A0" w:firstRow="1" w:lastRow="0" w:firstColumn="1" w:lastColumn="0" w:noHBand="0" w:noVBand="1"/>
        <w:tblCaption w:val="Table 10 XXX listed on the Australian Register of Therapeutic Goods"/>
        <w:tblDescription w:val="This table provides the registry number, product number, product description, product category and sponsor for products that relate to the technology being assessed and that are currently registered on the Australian Register of Therapeutic Goods."/>
      </w:tblPr>
      <w:tblGrid>
        <w:gridCol w:w="1331"/>
        <w:gridCol w:w="1074"/>
        <w:gridCol w:w="2268"/>
        <w:gridCol w:w="3283"/>
        <w:gridCol w:w="1060"/>
      </w:tblGrid>
      <w:tr w:rsidR="00F211EB" w:rsidRPr="00183E4D" w14:paraId="11E2C255" w14:textId="77777777" w:rsidTr="00F211EB">
        <w:trPr>
          <w:tblHeader/>
        </w:trPr>
        <w:tc>
          <w:tcPr>
            <w:tcW w:w="1331" w:type="dxa"/>
          </w:tcPr>
          <w:p w14:paraId="27B63B93" w14:textId="77777777" w:rsidR="00F211EB" w:rsidRPr="00F56CB3" w:rsidRDefault="00F211EB" w:rsidP="0032254E">
            <w:pPr>
              <w:pStyle w:val="Tabletext"/>
              <w:keepNext/>
              <w:keepLines/>
              <w:rPr>
                <w:b/>
              </w:rPr>
            </w:pPr>
            <w:r w:rsidRPr="00F56CB3">
              <w:rPr>
                <w:b/>
              </w:rPr>
              <w:t>ARTG no.</w:t>
            </w:r>
          </w:p>
        </w:tc>
        <w:tc>
          <w:tcPr>
            <w:tcW w:w="1074" w:type="dxa"/>
          </w:tcPr>
          <w:p w14:paraId="15183D5D" w14:textId="4703D2D3" w:rsidR="00F211EB" w:rsidRPr="00F56CB3" w:rsidRDefault="00F211EB" w:rsidP="00F211EB">
            <w:pPr>
              <w:pStyle w:val="Tabletext"/>
              <w:keepNext/>
              <w:keepLines/>
              <w:rPr>
                <w:b/>
              </w:rPr>
            </w:pPr>
            <w:r w:rsidRPr="00F56CB3">
              <w:rPr>
                <w:b/>
              </w:rPr>
              <w:t>Product  category</w:t>
            </w:r>
          </w:p>
        </w:tc>
        <w:tc>
          <w:tcPr>
            <w:tcW w:w="2268" w:type="dxa"/>
          </w:tcPr>
          <w:p w14:paraId="5DF6CCC9" w14:textId="77777777" w:rsidR="00F211EB" w:rsidRPr="00F56CB3" w:rsidRDefault="00F211EB" w:rsidP="0032254E">
            <w:pPr>
              <w:pStyle w:val="Tabletext"/>
              <w:keepNext/>
              <w:keepLines/>
              <w:rPr>
                <w:b/>
              </w:rPr>
            </w:pPr>
            <w:r w:rsidRPr="00F56CB3">
              <w:rPr>
                <w:b/>
              </w:rPr>
              <w:t>Product description</w:t>
            </w:r>
          </w:p>
        </w:tc>
        <w:tc>
          <w:tcPr>
            <w:tcW w:w="3283" w:type="dxa"/>
          </w:tcPr>
          <w:p w14:paraId="601B171B" w14:textId="620A316D" w:rsidR="00F211EB" w:rsidRPr="00F56CB3" w:rsidRDefault="00F211EB" w:rsidP="0032254E">
            <w:pPr>
              <w:pStyle w:val="Tabletext"/>
              <w:keepNext/>
              <w:keepLines/>
              <w:rPr>
                <w:b/>
              </w:rPr>
            </w:pPr>
            <w:r>
              <w:rPr>
                <w:b/>
              </w:rPr>
              <w:t>Specific Indications</w:t>
            </w:r>
          </w:p>
        </w:tc>
        <w:tc>
          <w:tcPr>
            <w:tcW w:w="1060" w:type="dxa"/>
          </w:tcPr>
          <w:p w14:paraId="0A5249B8" w14:textId="77777777" w:rsidR="00F211EB" w:rsidRPr="00F56CB3" w:rsidRDefault="00F211EB" w:rsidP="0032254E">
            <w:pPr>
              <w:pStyle w:val="Tabletext"/>
              <w:keepNext/>
              <w:keepLines/>
              <w:rPr>
                <w:b/>
              </w:rPr>
            </w:pPr>
            <w:r w:rsidRPr="00F56CB3">
              <w:rPr>
                <w:b/>
              </w:rPr>
              <w:t>Sponsor</w:t>
            </w:r>
          </w:p>
        </w:tc>
      </w:tr>
      <w:tr w:rsidR="00F211EB" w:rsidRPr="00183E4D" w14:paraId="3B301B41" w14:textId="77777777" w:rsidTr="00F211EB">
        <w:tc>
          <w:tcPr>
            <w:tcW w:w="1331" w:type="dxa"/>
          </w:tcPr>
          <w:p w14:paraId="4345E9FB" w14:textId="2C9BE441" w:rsidR="00F211EB" w:rsidRDefault="000337AE" w:rsidP="0032254E">
            <w:pPr>
              <w:pStyle w:val="Tabletext"/>
            </w:pPr>
            <w:hyperlink r:id="rId10" w:history="1">
              <w:r w:rsidR="00F211EB" w:rsidRPr="00DE363E">
                <w:rPr>
                  <w:rStyle w:val="Hyperlink"/>
                </w:rPr>
                <w:t>74124</w:t>
              </w:r>
            </w:hyperlink>
          </w:p>
          <w:p w14:paraId="6C2E1760" w14:textId="59D40EE3" w:rsidR="00F211EB" w:rsidRPr="00183E4D" w:rsidRDefault="00F211EB" w:rsidP="00F211EB">
            <w:pPr>
              <w:pStyle w:val="Tabletext"/>
              <w:spacing w:before="240"/>
            </w:pPr>
            <w:r>
              <w:t>Date ARTG last updated: 27/07/2020</w:t>
            </w:r>
          </w:p>
        </w:tc>
        <w:tc>
          <w:tcPr>
            <w:tcW w:w="1074" w:type="dxa"/>
          </w:tcPr>
          <w:p w14:paraId="3F43ABDF" w14:textId="0FBC4EAB" w:rsidR="00F211EB" w:rsidRPr="00183E4D" w:rsidRDefault="00F211EB" w:rsidP="0032254E">
            <w:pPr>
              <w:pStyle w:val="Tabletext"/>
            </w:pPr>
            <w:r w:rsidRPr="00F211EB">
              <w:t>Medicine Registered</w:t>
            </w:r>
          </w:p>
        </w:tc>
        <w:tc>
          <w:tcPr>
            <w:tcW w:w="2268" w:type="dxa"/>
          </w:tcPr>
          <w:p w14:paraId="0D6F0B26" w14:textId="4A3BBBA4" w:rsidR="00F211EB" w:rsidRPr="00183E4D" w:rsidRDefault="00F211EB" w:rsidP="00004128">
            <w:pPr>
              <w:pStyle w:val="Tabletext"/>
            </w:pPr>
            <w:r w:rsidRPr="00F211EB">
              <w:t xml:space="preserve">DYSPORT clostridium botulinum type A toxin - </w:t>
            </w:r>
            <w:proofErr w:type="spellStart"/>
            <w:r w:rsidRPr="00F211EB">
              <w:t>haemagglutinin</w:t>
            </w:r>
            <w:proofErr w:type="spellEnd"/>
            <w:r w:rsidRPr="00F211EB">
              <w:t xml:space="preserve"> complex 500 </w:t>
            </w:r>
            <w:proofErr w:type="spellStart"/>
            <w:r w:rsidRPr="00F211EB">
              <w:t>Ipsen</w:t>
            </w:r>
            <w:proofErr w:type="spellEnd"/>
            <w:r w:rsidRPr="00F211EB">
              <w:t xml:space="preserve"> Units powder for</w:t>
            </w:r>
            <w:r w:rsidR="00004128">
              <w:t xml:space="preserve"> </w:t>
            </w:r>
            <w:r w:rsidRPr="00F211EB">
              <w:t>injection vial</w:t>
            </w:r>
          </w:p>
        </w:tc>
        <w:tc>
          <w:tcPr>
            <w:tcW w:w="3283" w:type="dxa"/>
          </w:tcPr>
          <w:p w14:paraId="3CEA5139" w14:textId="77777777" w:rsidR="00F211EB" w:rsidRDefault="00F211EB" w:rsidP="00F211EB">
            <w:pPr>
              <w:pStyle w:val="Tabletext"/>
            </w:pPr>
            <w:proofErr w:type="spellStart"/>
            <w:r>
              <w:t>Dysport</w:t>
            </w:r>
            <w:proofErr w:type="spellEnd"/>
            <w:r>
              <w:t xml:space="preserve"> is indicated for symptomatic treatment of focal spasticity of:</w:t>
            </w:r>
          </w:p>
          <w:p w14:paraId="043ACF87" w14:textId="2BBAAC6C" w:rsidR="00F211EB" w:rsidRDefault="00F211EB" w:rsidP="00F211EB">
            <w:pPr>
              <w:pStyle w:val="Tabletext"/>
              <w:numPr>
                <w:ilvl w:val="0"/>
                <w:numId w:val="31"/>
              </w:numPr>
              <w:ind w:left="320" w:hanging="243"/>
            </w:pPr>
            <w:r>
              <w:t>Upper limbs in adults</w:t>
            </w:r>
          </w:p>
          <w:p w14:paraId="5F381D05" w14:textId="18429AB9" w:rsidR="00F211EB" w:rsidRDefault="00F211EB" w:rsidP="00F211EB">
            <w:pPr>
              <w:pStyle w:val="Tabletext"/>
              <w:numPr>
                <w:ilvl w:val="0"/>
                <w:numId w:val="31"/>
              </w:numPr>
              <w:ind w:left="320" w:hanging="243"/>
            </w:pPr>
            <w:r>
              <w:t>Lower limbs in adults</w:t>
            </w:r>
          </w:p>
          <w:p w14:paraId="50258DDF" w14:textId="77777777" w:rsidR="00F211EB" w:rsidRDefault="00F211EB" w:rsidP="00F211EB">
            <w:pPr>
              <w:pStyle w:val="Tabletext"/>
              <w:numPr>
                <w:ilvl w:val="0"/>
                <w:numId w:val="31"/>
              </w:numPr>
              <w:ind w:left="320" w:hanging="243"/>
            </w:pPr>
            <w:r>
              <w:t>Upper limbs in children aged 2 years and older</w:t>
            </w:r>
          </w:p>
          <w:p w14:paraId="05FD6DA5" w14:textId="77777777" w:rsidR="00F211EB" w:rsidRDefault="00F211EB" w:rsidP="00F211EB">
            <w:pPr>
              <w:pStyle w:val="Tabletext"/>
              <w:numPr>
                <w:ilvl w:val="0"/>
                <w:numId w:val="31"/>
              </w:numPr>
              <w:ind w:left="320" w:hanging="243"/>
            </w:pPr>
            <w:r>
              <w:t>Lower limbs in children aged 2 years and older,</w:t>
            </w:r>
          </w:p>
          <w:p w14:paraId="4C603DDC" w14:textId="27FF3E15" w:rsidR="00F211EB" w:rsidRDefault="00F211EB" w:rsidP="00F211EB">
            <w:pPr>
              <w:pStyle w:val="Tabletext"/>
              <w:tabs>
                <w:tab w:val="clear" w:pos="426"/>
              </w:tabs>
            </w:pPr>
            <w:proofErr w:type="spellStart"/>
            <w:r>
              <w:t>Dysport</w:t>
            </w:r>
            <w:proofErr w:type="spellEnd"/>
            <w:r>
              <w:t xml:space="preserve"> is indicated in adults for the treatment of:</w:t>
            </w:r>
          </w:p>
          <w:p w14:paraId="2331FF09" w14:textId="6CE17760" w:rsidR="00F211EB" w:rsidRDefault="00F211EB" w:rsidP="00F211EB">
            <w:pPr>
              <w:pStyle w:val="Tabletext"/>
              <w:numPr>
                <w:ilvl w:val="0"/>
                <w:numId w:val="32"/>
              </w:numPr>
              <w:ind w:left="320" w:hanging="243"/>
            </w:pPr>
            <w:r>
              <w:t>Spasmodic torticollis</w:t>
            </w:r>
          </w:p>
          <w:p w14:paraId="5011B524" w14:textId="20AD8D12" w:rsidR="00F211EB" w:rsidRDefault="00F211EB" w:rsidP="00F211EB">
            <w:pPr>
              <w:pStyle w:val="Tabletext"/>
              <w:numPr>
                <w:ilvl w:val="0"/>
                <w:numId w:val="32"/>
              </w:numPr>
              <w:ind w:left="320" w:hanging="243"/>
            </w:pPr>
            <w:proofErr w:type="spellStart"/>
            <w:r>
              <w:t>Blepharospasm</w:t>
            </w:r>
            <w:proofErr w:type="spellEnd"/>
          </w:p>
          <w:p w14:paraId="525EFABF" w14:textId="3D09B44C" w:rsidR="00F211EB" w:rsidRDefault="00F211EB" w:rsidP="00F211EB">
            <w:pPr>
              <w:pStyle w:val="Tabletext"/>
              <w:numPr>
                <w:ilvl w:val="0"/>
                <w:numId w:val="32"/>
              </w:numPr>
              <w:ind w:left="320" w:hanging="243"/>
            </w:pPr>
            <w:proofErr w:type="spellStart"/>
            <w:r>
              <w:t>Hemifacial</w:t>
            </w:r>
            <w:proofErr w:type="spellEnd"/>
            <w:r>
              <w:t xml:space="preserve"> spasm</w:t>
            </w:r>
          </w:p>
          <w:p w14:paraId="780B70B7" w14:textId="38568966" w:rsidR="00F211EB" w:rsidRPr="00183E4D" w:rsidRDefault="00F211EB" w:rsidP="00F211EB">
            <w:pPr>
              <w:pStyle w:val="Tabletext"/>
              <w:numPr>
                <w:ilvl w:val="0"/>
                <w:numId w:val="32"/>
              </w:numPr>
              <w:ind w:left="320" w:hanging="243"/>
            </w:pPr>
            <w:r>
              <w:t xml:space="preserve">Moderate to severe glabellar lines and / or lateral </w:t>
            </w:r>
            <w:proofErr w:type="spellStart"/>
            <w:r>
              <w:t>canthal</w:t>
            </w:r>
            <w:proofErr w:type="spellEnd"/>
            <w:r>
              <w:t xml:space="preserve"> lines (crow's feet)</w:t>
            </w:r>
          </w:p>
        </w:tc>
        <w:tc>
          <w:tcPr>
            <w:tcW w:w="1060" w:type="dxa"/>
          </w:tcPr>
          <w:p w14:paraId="69F01A5C" w14:textId="11ED931A" w:rsidR="00F211EB" w:rsidRPr="00183E4D" w:rsidRDefault="00F211EB" w:rsidP="0032254E">
            <w:pPr>
              <w:pStyle w:val="Tabletext"/>
            </w:pPr>
            <w:proofErr w:type="spellStart"/>
            <w:r w:rsidRPr="00F211EB">
              <w:t>Ipsen</w:t>
            </w:r>
            <w:proofErr w:type="spellEnd"/>
            <w:r w:rsidRPr="00F211EB">
              <w:t xml:space="preserve"> Pty Ltd</w:t>
            </w:r>
          </w:p>
        </w:tc>
      </w:tr>
      <w:tr w:rsidR="00A62E35" w:rsidRPr="00183E4D" w14:paraId="1A0C3C2E" w14:textId="77777777" w:rsidTr="00F211EB">
        <w:tc>
          <w:tcPr>
            <w:tcW w:w="1331" w:type="dxa"/>
          </w:tcPr>
          <w:p w14:paraId="68D09204" w14:textId="4629DFAB" w:rsidR="00A62E35" w:rsidRDefault="000337AE" w:rsidP="00A62E35">
            <w:pPr>
              <w:pStyle w:val="Tabletext"/>
            </w:pPr>
            <w:hyperlink r:id="rId11" w:history="1">
              <w:r w:rsidR="00A62E35" w:rsidRPr="00DE363E">
                <w:rPr>
                  <w:rStyle w:val="Hyperlink"/>
                </w:rPr>
                <w:t>170651</w:t>
              </w:r>
            </w:hyperlink>
          </w:p>
          <w:p w14:paraId="44A607C5" w14:textId="5DCE98D5" w:rsidR="00A62E35" w:rsidRPr="00F211EB" w:rsidRDefault="00A62E35" w:rsidP="003F4A12">
            <w:pPr>
              <w:pStyle w:val="Tabletext"/>
              <w:spacing w:before="240"/>
            </w:pPr>
            <w:r>
              <w:t>Date ARTG last updated: 27/07/2020</w:t>
            </w:r>
          </w:p>
        </w:tc>
        <w:tc>
          <w:tcPr>
            <w:tcW w:w="1074" w:type="dxa"/>
          </w:tcPr>
          <w:p w14:paraId="3084DC52" w14:textId="1A06FAD6" w:rsidR="00A62E35" w:rsidRPr="00F211EB" w:rsidRDefault="00A62E35" w:rsidP="00A62E35">
            <w:pPr>
              <w:pStyle w:val="Tabletext"/>
            </w:pPr>
            <w:r w:rsidRPr="00F211EB">
              <w:t>Medicine Registered</w:t>
            </w:r>
          </w:p>
        </w:tc>
        <w:tc>
          <w:tcPr>
            <w:tcW w:w="2268" w:type="dxa"/>
          </w:tcPr>
          <w:p w14:paraId="740501C3" w14:textId="042C1D71" w:rsidR="00A62E35" w:rsidRPr="00F211EB" w:rsidRDefault="00A62E35" w:rsidP="00004128">
            <w:pPr>
              <w:pStyle w:val="Tabletext"/>
            </w:pPr>
            <w:r>
              <w:t xml:space="preserve">DYSPORT clostridium botulinum type A toxin - </w:t>
            </w:r>
            <w:proofErr w:type="spellStart"/>
            <w:r>
              <w:t>haemagglutinin</w:t>
            </w:r>
            <w:proofErr w:type="spellEnd"/>
            <w:r>
              <w:t xml:space="preserve"> complex 300 </w:t>
            </w:r>
            <w:proofErr w:type="spellStart"/>
            <w:r>
              <w:t>Ipsen</w:t>
            </w:r>
            <w:proofErr w:type="spellEnd"/>
            <w:r>
              <w:t xml:space="preserve"> Units powder for</w:t>
            </w:r>
            <w:r w:rsidR="00004128">
              <w:t xml:space="preserve"> </w:t>
            </w:r>
            <w:r>
              <w:t>injection vial</w:t>
            </w:r>
          </w:p>
        </w:tc>
        <w:tc>
          <w:tcPr>
            <w:tcW w:w="3283" w:type="dxa"/>
          </w:tcPr>
          <w:p w14:paraId="33FAA31A" w14:textId="77777777" w:rsidR="00DE363E" w:rsidRDefault="00DE363E" w:rsidP="00DE363E">
            <w:pPr>
              <w:pStyle w:val="Tabletext"/>
            </w:pPr>
            <w:proofErr w:type="spellStart"/>
            <w:r>
              <w:t>Dysport</w:t>
            </w:r>
            <w:proofErr w:type="spellEnd"/>
            <w:r>
              <w:t xml:space="preserve"> is indicated for symptomatic treatment of focal spasticity of:</w:t>
            </w:r>
          </w:p>
          <w:p w14:paraId="314FDB50" w14:textId="77777777" w:rsidR="00DE363E" w:rsidRDefault="00DE363E" w:rsidP="00DE363E">
            <w:pPr>
              <w:pStyle w:val="Tabletext"/>
              <w:numPr>
                <w:ilvl w:val="0"/>
                <w:numId w:val="31"/>
              </w:numPr>
              <w:ind w:left="320" w:hanging="243"/>
            </w:pPr>
            <w:r>
              <w:t>Upper limbs in adults</w:t>
            </w:r>
          </w:p>
          <w:p w14:paraId="5F9D4EBF" w14:textId="77777777" w:rsidR="00DE363E" w:rsidRDefault="00DE363E" w:rsidP="00DE363E">
            <w:pPr>
              <w:pStyle w:val="Tabletext"/>
              <w:numPr>
                <w:ilvl w:val="0"/>
                <w:numId w:val="31"/>
              </w:numPr>
              <w:ind w:left="320" w:hanging="243"/>
            </w:pPr>
            <w:r>
              <w:t>Lower limbs in adults</w:t>
            </w:r>
          </w:p>
          <w:p w14:paraId="30E2E88E" w14:textId="77777777" w:rsidR="00DE363E" w:rsidRDefault="00DE363E" w:rsidP="00DE363E">
            <w:pPr>
              <w:pStyle w:val="Tabletext"/>
              <w:numPr>
                <w:ilvl w:val="0"/>
                <w:numId w:val="31"/>
              </w:numPr>
              <w:ind w:left="320" w:hanging="243"/>
            </w:pPr>
            <w:r>
              <w:t>Upper limbs in children aged 2 years and older</w:t>
            </w:r>
          </w:p>
          <w:p w14:paraId="0C004A09" w14:textId="77777777" w:rsidR="00DE363E" w:rsidRDefault="00DE363E" w:rsidP="00DE363E">
            <w:pPr>
              <w:pStyle w:val="Tabletext"/>
              <w:numPr>
                <w:ilvl w:val="0"/>
                <w:numId w:val="31"/>
              </w:numPr>
              <w:ind w:left="320" w:hanging="243"/>
            </w:pPr>
            <w:r>
              <w:t>Lower limbs in children aged 2 years and older,</w:t>
            </w:r>
          </w:p>
          <w:p w14:paraId="0224E276" w14:textId="77777777" w:rsidR="00DE363E" w:rsidRDefault="00DE363E" w:rsidP="00DE363E">
            <w:pPr>
              <w:pStyle w:val="Tabletext"/>
              <w:tabs>
                <w:tab w:val="clear" w:pos="426"/>
              </w:tabs>
            </w:pPr>
            <w:proofErr w:type="spellStart"/>
            <w:r>
              <w:t>Dysport</w:t>
            </w:r>
            <w:proofErr w:type="spellEnd"/>
            <w:r>
              <w:t xml:space="preserve"> is indicated in adults for the treatment of:</w:t>
            </w:r>
          </w:p>
          <w:p w14:paraId="5C107C44" w14:textId="77777777" w:rsidR="00DE363E" w:rsidRDefault="00DE363E" w:rsidP="00DE363E">
            <w:pPr>
              <w:pStyle w:val="Tabletext"/>
              <w:numPr>
                <w:ilvl w:val="0"/>
                <w:numId w:val="32"/>
              </w:numPr>
              <w:ind w:left="320" w:hanging="243"/>
            </w:pPr>
            <w:r>
              <w:t>Spasmodic torticollis</w:t>
            </w:r>
          </w:p>
          <w:p w14:paraId="7F7C2DC5" w14:textId="77777777" w:rsidR="00DE363E" w:rsidRDefault="00DE363E" w:rsidP="00DE363E">
            <w:pPr>
              <w:pStyle w:val="Tabletext"/>
              <w:numPr>
                <w:ilvl w:val="0"/>
                <w:numId w:val="32"/>
              </w:numPr>
              <w:ind w:left="320" w:hanging="243"/>
            </w:pPr>
            <w:proofErr w:type="spellStart"/>
            <w:r>
              <w:t>Blepharospasm</w:t>
            </w:r>
            <w:proofErr w:type="spellEnd"/>
          </w:p>
          <w:p w14:paraId="59F4D314" w14:textId="77777777" w:rsidR="00DE363E" w:rsidRDefault="00DE363E" w:rsidP="00DE363E">
            <w:pPr>
              <w:pStyle w:val="Tabletext"/>
              <w:numPr>
                <w:ilvl w:val="0"/>
                <w:numId w:val="32"/>
              </w:numPr>
              <w:ind w:left="320" w:hanging="243"/>
            </w:pPr>
            <w:proofErr w:type="spellStart"/>
            <w:r>
              <w:t>Hemifacial</w:t>
            </w:r>
            <w:proofErr w:type="spellEnd"/>
            <w:r>
              <w:t xml:space="preserve"> spasm</w:t>
            </w:r>
          </w:p>
          <w:p w14:paraId="7F219D15" w14:textId="2052917E" w:rsidR="00A62E35" w:rsidRDefault="00DE363E" w:rsidP="00DE363E">
            <w:pPr>
              <w:pStyle w:val="Tabletext"/>
            </w:pPr>
            <w:r>
              <w:t xml:space="preserve">Moderate to severe glabellar lines and / or lateral </w:t>
            </w:r>
            <w:proofErr w:type="spellStart"/>
            <w:r>
              <w:t>canthal</w:t>
            </w:r>
            <w:proofErr w:type="spellEnd"/>
            <w:r>
              <w:t xml:space="preserve"> lines (crow's feet)</w:t>
            </w:r>
          </w:p>
        </w:tc>
        <w:tc>
          <w:tcPr>
            <w:tcW w:w="1060" w:type="dxa"/>
          </w:tcPr>
          <w:p w14:paraId="47942996" w14:textId="76ACDB17" w:rsidR="00A62E35" w:rsidRPr="00F211EB" w:rsidRDefault="00A62E35" w:rsidP="00A62E35">
            <w:pPr>
              <w:pStyle w:val="Tabletext"/>
            </w:pPr>
            <w:proofErr w:type="spellStart"/>
            <w:r w:rsidRPr="00F211EB">
              <w:t>Ipsen</w:t>
            </w:r>
            <w:proofErr w:type="spellEnd"/>
            <w:r w:rsidRPr="00F211EB">
              <w:t xml:space="preserve"> Pty Ltd</w:t>
            </w:r>
          </w:p>
        </w:tc>
      </w:tr>
    </w:tbl>
    <w:p w14:paraId="4B7CDFE2" w14:textId="2413CC2A" w:rsidR="00F211EB" w:rsidRPr="00982635" w:rsidRDefault="00A62E35" w:rsidP="00A62E35">
      <w:pPr>
        <w:pStyle w:val="TableFooter"/>
      </w:pPr>
      <w:r>
        <w:t>Source: ARTG, accessed 30 July 2020.</w:t>
      </w:r>
    </w:p>
    <w:p w14:paraId="4894B191" w14:textId="77777777" w:rsidR="00BC1364" w:rsidRPr="00F715D1" w:rsidRDefault="00BC1364" w:rsidP="00F715D1">
      <w:pPr>
        <w:pStyle w:val="Heading1"/>
      </w:pPr>
      <w:r w:rsidRPr="00F715D1">
        <w:t>Proposal for public funding</w:t>
      </w:r>
    </w:p>
    <w:p w14:paraId="219AF38D" w14:textId="77AF4CC0" w:rsidR="008A4EB1" w:rsidRDefault="00364C54" w:rsidP="00364C54">
      <w:pPr>
        <w:autoSpaceDE w:val="0"/>
        <w:autoSpaceDN w:val="0"/>
        <w:adjustRightInd w:val="0"/>
      </w:pPr>
      <w:r>
        <w:t>The</w:t>
      </w:r>
      <w:r w:rsidR="009C4994">
        <w:t xml:space="preserve"> applicant proposed </w:t>
      </w:r>
      <w:r w:rsidR="008A4EB1">
        <w:t xml:space="preserve">addition of </w:t>
      </w:r>
      <w:proofErr w:type="spellStart"/>
      <w:r w:rsidR="008A4EB1">
        <w:t>Dysport</w:t>
      </w:r>
      <w:proofErr w:type="spellEnd"/>
      <w:r w:rsidR="00004128" w:rsidRPr="00704555">
        <w:rPr>
          <w:vertAlign w:val="superscript"/>
        </w:rPr>
        <w:t>®</w:t>
      </w:r>
      <w:r w:rsidR="008A4EB1">
        <w:t xml:space="preserve"> to </w:t>
      </w:r>
      <w:r>
        <w:t>MBS item 18361</w:t>
      </w:r>
      <w:r w:rsidR="00F86308">
        <w:t xml:space="preserve"> </w:t>
      </w:r>
      <w:r w:rsidR="008A4EB1">
        <w:t>as shown</w:t>
      </w:r>
      <w:r w:rsidR="0009192E">
        <w:t xml:space="preserve"> </w:t>
      </w:r>
      <w:r>
        <w:t xml:space="preserve">in </w:t>
      </w:r>
      <w:r w:rsidR="00004128">
        <w:t>Table 2</w:t>
      </w:r>
      <w:r>
        <w:t>.</w:t>
      </w:r>
    </w:p>
    <w:p w14:paraId="757E8567" w14:textId="22202ACF" w:rsidR="00A038D6" w:rsidRPr="003F4A12" w:rsidRDefault="008A4EB1" w:rsidP="003F4A12">
      <w:pPr>
        <w:autoSpaceDE w:val="0"/>
        <w:autoSpaceDN w:val="0"/>
        <w:adjustRightInd w:val="0"/>
        <w:spacing w:before="240"/>
      </w:pPr>
      <w:r>
        <w:t xml:space="preserve">The Department also proposed </w:t>
      </w:r>
      <w:r w:rsidRPr="008A4EB1">
        <w:t>removal of paragraph (b) from item 18361, (irr</w:t>
      </w:r>
      <w:r w:rsidR="0009192E">
        <w:t xml:space="preserve">espective of the outcome of MSAC’s and </w:t>
      </w:r>
      <w:r w:rsidRPr="008A4EB1">
        <w:t>PBAC’s considerat</w:t>
      </w:r>
      <w:r>
        <w:t xml:space="preserve">ion of the </w:t>
      </w:r>
      <w:proofErr w:type="spellStart"/>
      <w:r>
        <w:t>Dysport</w:t>
      </w:r>
      <w:proofErr w:type="spellEnd"/>
      <w:r w:rsidRPr="00004128">
        <w:rPr>
          <w:vertAlign w:val="superscript"/>
        </w:rPr>
        <w:t>®</w:t>
      </w:r>
      <w:r>
        <w:t xml:space="preserve"> submission). This proposed change is to align the MBS with the PBS following a recommendation by the PBAC to remove the requirement for adult cerebral palsy patients to have commenced treatment with botulinum toxin type A as a paediatric patient, which was implemented 1 May 2019</w:t>
      </w:r>
      <w:r w:rsidR="007442AA">
        <w:t>.</w:t>
      </w:r>
      <w:bookmarkStart w:id="3" w:name="_Ref46758956"/>
      <w:r w:rsidR="00A038D6">
        <w:br w:type="page"/>
      </w:r>
    </w:p>
    <w:p w14:paraId="15A24F23" w14:textId="3E0F8C1A" w:rsidR="00364C54" w:rsidRPr="007D25BE" w:rsidRDefault="00364C54" w:rsidP="007D25BE">
      <w:pPr>
        <w:rPr>
          <w:rFonts w:ascii="Arial Narrow" w:hAnsi="Arial Narrow"/>
          <w:b/>
          <w:sz w:val="20"/>
        </w:rPr>
      </w:pPr>
      <w:r w:rsidRPr="007D25BE">
        <w:rPr>
          <w:rFonts w:ascii="Arial Narrow" w:hAnsi="Arial Narrow"/>
          <w:b/>
          <w:sz w:val="20"/>
        </w:rPr>
        <w:lastRenderedPageBreak/>
        <w:t xml:space="preserve">Table </w:t>
      </w:r>
      <w:r w:rsidR="00C25CF3" w:rsidRPr="007D25BE">
        <w:rPr>
          <w:rFonts w:ascii="Arial Narrow" w:hAnsi="Arial Narrow"/>
          <w:b/>
          <w:sz w:val="20"/>
        </w:rPr>
        <w:fldChar w:fldCharType="begin"/>
      </w:r>
      <w:r w:rsidR="00C25CF3" w:rsidRPr="007D25BE">
        <w:rPr>
          <w:rFonts w:ascii="Arial Narrow" w:hAnsi="Arial Narrow"/>
          <w:b/>
          <w:sz w:val="20"/>
        </w:rPr>
        <w:instrText xml:space="preserve"> SEQ Table \* ARABIC </w:instrText>
      </w:r>
      <w:r w:rsidR="00C25CF3" w:rsidRPr="007D25BE">
        <w:rPr>
          <w:rFonts w:ascii="Arial Narrow" w:hAnsi="Arial Narrow"/>
          <w:b/>
          <w:sz w:val="20"/>
        </w:rPr>
        <w:fldChar w:fldCharType="separate"/>
      </w:r>
      <w:r w:rsidR="00222A99" w:rsidRPr="007D25BE">
        <w:rPr>
          <w:rFonts w:ascii="Arial Narrow" w:hAnsi="Arial Narrow"/>
          <w:b/>
          <w:sz w:val="20"/>
        </w:rPr>
        <w:t>2</w:t>
      </w:r>
      <w:r w:rsidR="00C25CF3" w:rsidRPr="007D25BE">
        <w:rPr>
          <w:rFonts w:ascii="Arial Narrow" w:hAnsi="Arial Narrow"/>
          <w:b/>
          <w:sz w:val="20"/>
        </w:rPr>
        <w:fldChar w:fldCharType="end"/>
      </w:r>
      <w:bookmarkEnd w:id="3"/>
      <w:r w:rsidRPr="007D25BE">
        <w:rPr>
          <w:rFonts w:ascii="Arial Narrow" w:hAnsi="Arial Narrow"/>
          <w:b/>
          <w:sz w:val="20"/>
        </w:rPr>
        <w:t xml:space="preserve"> Proposed amendments to MBS item 18361 descriptor</w:t>
      </w:r>
    </w:p>
    <w:tbl>
      <w:tblPr>
        <w:tblStyle w:val="TableGrid"/>
        <w:tblW w:w="0" w:type="auto"/>
        <w:tblLook w:val="04A0" w:firstRow="1" w:lastRow="0" w:firstColumn="1" w:lastColumn="0" w:noHBand="0" w:noVBand="1"/>
        <w:tblDescription w:val="Proposed amendments to MBS item 18361 descriptor"/>
      </w:tblPr>
      <w:tblGrid>
        <w:gridCol w:w="9016"/>
      </w:tblGrid>
      <w:tr w:rsidR="00F86308" w:rsidRPr="00A9601A" w14:paraId="5B9022C0" w14:textId="77777777" w:rsidTr="007D25BE">
        <w:trPr>
          <w:tblHeader/>
        </w:trPr>
        <w:tc>
          <w:tcPr>
            <w:tcW w:w="9016" w:type="dxa"/>
          </w:tcPr>
          <w:p w14:paraId="0EC2A066" w14:textId="77777777" w:rsidR="00F86308" w:rsidRPr="00A9601A" w:rsidRDefault="00F86308" w:rsidP="00F86308">
            <w:pPr>
              <w:pStyle w:val="Tabletext"/>
            </w:pPr>
            <w:r w:rsidRPr="00A9601A">
              <w:t>MBS Item 18361</w:t>
            </w:r>
          </w:p>
        </w:tc>
      </w:tr>
      <w:tr w:rsidR="00364C54" w:rsidRPr="00A9601A" w14:paraId="5157B094" w14:textId="77777777" w:rsidTr="00364C54">
        <w:tc>
          <w:tcPr>
            <w:tcW w:w="9016" w:type="dxa"/>
          </w:tcPr>
          <w:p w14:paraId="4391F458" w14:textId="77777777" w:rsidR="00364C54" w:rsidRPr="00A9601A" w:rsidRDefault="00364C54" w:rsidP="00F86308">
            <w:pPr>
              <w:pStyle w:val="Tabletext"/>
              <w:jc w:val="right"/>
            </w:pPr>
            <w:r w:rsidRPr="00A9601A">
              <w:t>Category 3 – THERAPEUTIC PROCEDURES</w:t>
            </w:r>
          </w:p>
        </w:tc>
      </w:tr>
      <w:tr w:rsidR="00364C54" w:rsidRPr="00A9601A" w14:paraId="179C255C" w14:textId="77777777" w:rsidTr="00364C54">
        <w:tc>
          <w:tcPr>
            <w:tcW w:w="9016" w:type="dxa"/>
          </w:tcPr>
          <w:p w14:paraId="2C1E0B16" w14:textId="77777777" w:rsidR="00364C54" w:rsidRPr="00A9601A" w:rsidRDefault="00F86308" w:rsidP="00F86308">
            <w:pPr>
              <w:pStyle w:val="Tabletext"/>
              <w:jc w:val="right"/>
            </w:pPr>
            <w:r w:rsidRPr="00A9601A">
              <w:t>Group T11 – Botulinum Toxin Injections</w:t>
            </w:r>
          </w:p>
        </w:tc>
      </w:tr>
      <w:tr w:rsidR="00364C54" w:rsidRPr="00A9601A" w14:paraId="08246003" w14:textId="77777777" w:rsidTr="00364C54">
        <w:tc>
          <w:tcPr>
            <w:tcW w:w="9016" w:type="dxa"/>
          </w:tcPr>
          <w:p w14:paraId="5C51F025" w14:textId="77777777" w:rsidR="00364C54" w:rsidRPr="00A9601A" w:rsidRDefault="00364C54" w:rsidP="00F86308">
            <w:pPr>
              <w:pStyle w:val="Tabletext"/>
              <w:rPr>
                <w:color w:val="222222"/>
              </w:rPr>
            </w:pPr>
            <w:r w:rsidRPr="00A9601A">
              <w:rPr>
                <w:i/>
                <w:color w:val="0070C0"/>
              </w:rPr>
              <w:t>Clostridium Botulinum Type A Toxin-</w:t>
            </w:r>
            <w:proofErr w:type="spellStart"/>
            <w:r w:rsidRPr="00A9601A">
              <w:rPr>
                <w:i/>
                <w:color w:val="0070C0"/>
              </w:rPr>
              <w:t>Haemagglutin</w:t>
            </w:r>
            <w:proofErr w:type="spellEnd"/>
            <w:r w:rsidRPr="00A9601A">
              <w:rPr>
                <w:i/>
                <w:color w:val="0070C0"/>
              </w:rPr>
              <w:t xml:space="preserve"> Complex (</w:t>
            </w:r>
            <w:proofErr w:type="spellStart"/>
            <w:r w:rsidRPr="00A9601A">
              <w:rPr>
                <w:i/>
                <w:color w:val="0070C0"/>
              </w:rPr>
              <w:t>Dysport</w:t>
            </w:r>
            <w:proofErr w:type="spellEnd"/>
            <w:r w:rsidRPr="00A9601A">
              <w:rPr>
                <w:i/>
                <w:color w:val="0070C0"/>
              </w:rPr>
              <w:t>)</w:t>
            </w:r>
            <w:r w:rsidRPr="00A9601A">
              <w:rPr>
                <w:color w:val="222222"/>
              </w:rPr>
              <w:t xml:space="preserve"> or Botulinum Toxin Type A Purified Neurotoxin Complex (Botox), injection of, for the treatment of moderate to severe upper limb spasticity due to cerebral palsy if: </w:t>
            </w:r>
          </w:p>
          <w:p w14:paraId="4E769E59" w14:textId="0A7817DD" w:rsidR="00364C54" w:rsidRPr="00A9601A" w:rsidRDefault="007D25BE" w:rsidP="00F86308">
            <w:pPr>
              <w:pStyle w:val="Tabletext"/>
              <w:ind w:left="456"/>
              <w:rPr>
                <w:color w:val="222222"/>
              </w:rPr>
            </w:pPr>
            <w:r>
              <w:rPr>
                <w:color w:val="222222"/>
              </w:rPr>
              <w:t>(a)  </w:t>
            </w:r>
            <w:r w:rsidR="00364C54" w:rsidRPr="00A9601A">
              <w:rPr>
                <w:color w:val="222222"/>
              </w:rPr>
              <w:t xml:space="preserve">the patient is at least 2 years of age, and </w:t>
            </w:r>
          </w:p>
          <w:p w14:paraId="37A58D2E" w14:textId="1A314A3E" w:rsidR="00364C54" w:rsidRPr="00A9601A" w:rsidRDefault="007D25BE" w:rsidP="00F86308">
            <w:pPr>
              <w:pStyle w:val="Tabletext"/>
              <w:ind w:left="456"/>
              <w:rPr>
                <w:i/>
                <w:strike/>
                <w:color w:val="FF0000"/>
              </w:rPr>
            </w:pPr>
            <w:r>
              <w:rPr>
                <w:i/>
                <w:strike/>
                <w:color w:val="FF0000"/>
              </w:rPr>
              <w:t>(b)  </w:t>
            </w:r>
            <w:r w:rsidR="00364C54" w:rsidRPr="00A9601A">
              <w:rPr>
                <w:i/>
                <w:strike/>
                <w:color w:val="FF0000"/>
              </w:rPr>
              <w:t>for a patient who is at least 18 years of age - before the patient turned 18, the patient had commenced treatment for</w:t>
            </w:r>
            <w:r>
              <w:rPr>
                <w:i/>
                <w:strike/>
                <w:color w:val="FF0000"/>
              </w:rPr>
              <w:t xml:space="preserve"> </w:t>
            </w:r>
            <w:r w:rsidR="00364C54" w:rsidRPr="00A9601A">
              <w:rPr>
                <w:i/>
                <w:strike/>
                <w:color w:val="FF0000"/>
              </w:rPr>
              <w:t xml:space="preserve">the spasticity with botulinum toxin supplied under the pharmaceutical benefits scheme; and </w:t>
            </w:r>
          </w:p>
          <w:p w14:paraId="7C884E8A" w14:textId="343E354E" w:rsidR="00F86308" w:rsidRPr="00A9601A" w:rsidRDefault="00364C54" w:rsidP="003F4A12">
            <w:pPr>
              <w:pStyle w:val="Tabletext"/>
              <w:ind w:left="456"/>
              <w:rPr>
                <w:color w:val="222222"/>
              </w:rPr>
            </w:pPr>
            <w:r w:rsidRPr="00A9601A">
              <w:rPr>
                <w:color w:val="222222"/>
              </w:rPr>
              <w:t>(</w:t>
            </w:r>
            <w:proofErr w:type="spellStart"/>
            <w:r w:rsidRPr="00A9601A">
              <w:rPr>
                <w:strike/>
                <w:color w:val="FF0000"/>
              </w:rPr>
              <w:t>c</w:t>
            </w:r>
            <w:r w:rsidRPr="00A9601A">
              <w:rPr>
                <w:color w:val="0070C0"/>
              </w:rPr>
              <w:t>b</w:t>
            </w:r>
            <w:proofErr w:type="spellEnd"/>
            <w:r w:rsidR="007D25BE">
              <w:rPr>
                <w:color w:val="222222"/>
              </w:rPr>
              <w:t>)  </w:t>
            </w:r>
            <w:r w:rsidRPr="00A9601A">
              <w:rPr>
                <w:color w:val="222222"/>
              </w:rPr>
              <w:t xml:space="preserve">the treatment is for all or any of the muscles sub-serving one functional activity and supplied by one motor nerve, with a maximum of 4 sets of injections for the patient on any one day (with a maximum of 2 sets of injections for each upper limb), including all injections per set </w:t>
            </w:r>
          </w:p>
          <w:p w14:paraId="0E0AA858" w14:textId="5E9CA040" w:rsidR="00F86308" w:rsidRPr="00A9601A" w:rsidRDefault="00246F08" w:rsidP="003F4A12">
            <w:pPr>
              <w:pStyle w:val="Tabletext"/>
              <w:spacing w:before="240" w:after="240"/>
              <w:rPr>
                <w:color w:val="222222"/>
              </w:rPr>
            </w:pPr>
            <w:r>
              <w:rPr>
                <w:color w:val="222222"/>
              </w:rPr>
              <w:t>(</w:t>
            </w:r>
            <w:proofErr w:type="spellStart"/>
            <w:r>
              <w:rPr>
                <w:color w:val="222222"/>
              </w:rPr>
              <w:t>Anaes</w:t>
            </w:r>
            <w:proofErr w:type="spellEnd"/>
            <w:r>
              <w:rPr>
                <w:color w:val="222222"/>
              </w:rPr>
              <w:t>.)</w:t>
            </w:r>
          </w:p>
          <w:p w14:paraId="49E8EEF7" w14:textId="55540DA3" w:rsidR="00364C54" w:rsidRPr="00A9601A" w:rsidRDefault="00364C54" w:rsidP="00F86308">
            <w:pPr>
              <w:pStyle w:val="Tabletext"/>
              <w:rPr>
                <w:color w:val="222222"/>
              </w:rPr>
            </w:pPr>
            <w:r w:rsidRPr="00A9601A">
              <w:rPr>
                <w:b/>
                <w:bCs/>
                <w:color w:val="222222"/>
              </w:rPr>
              <w:t>Fee:</w:t>
            </w:r>
            <w:r w:rsidRPr="00A9601A">
              <w:rPr>
                <w:color w:val="222222"/>
              </w:rPr>
              <w:t xml:space="preserve"> $12</w:t>
            </w:r>
            <w:r w:rsidR="00203F65">
              <w:rPr>
                <w:color w:val="222222"/>
              </w:rPr>
              <w:t>8</w:t>
            </w:r>
            <w:r w:rsidRPr="00A9601A">
              <w:rPr>
                <w:color w:val="222222"/>
              </w:rPr>
              <w:t>.</w:t>
            </w:r>
            <w:r w:rsidR="00203F65">
              <w:rPr>
                <w:color w:val="222222"/>
              </w:rPr>
              <w:t>7</w:t>
            </w:r>
            <w:r w:rsidRPr="00A9601A">
              <w:rPr>
                <w:color w:val="222222"/>
              </w:rPr>
              <w:t xml:space="preserve">5 </w:t>
            </w:r>
            <w:r w:rsidRPr="00A9601A">
              <w:rPr>
                <w:b/>
                <w:bCs/>
                <w:color w:val="222222"/>
              </w:rPr>
              <w:t>Benefit:</w:t>
            </w:r>
            <w:r w:rsidRPr="00A9601A">
              <w:rPr>
                <w:color w:val="222222"/>
              </w:rPr>
              <w:t xml:space="preserve"> 75% = $9</w:t>
            </w:r>
            <w:r w:rsidR="00203F65">
              <w:rPr>
                <w:color w:val="222222"/>
              </w:rPr>
              <w:t>6</w:t>
            </w:r>
            <w:r w:rsidRPr="00A9601A">
              <w:rPr>
                <w:color w:val="222222"/>
              </w:rPr>
              <w:t>.</w:t>
            </w:r>
            <w:r w:rsidR="00203F65">
              <w:rPr>
                <w:color w:val="222222"/>
              </w:rPr>
              <w:t>60</w:t>
            </w:r>
            <w:r w:rsidRPr="00A9601A">
              <w:rPr>
                <w:color w:val="222222"/>
              </w:rPr>
              <w:t xml:space="preserve"> 85% = $10</w:t>
            </w:r>
            <w:r w:rsidR="00203F65">
              <w:rPr>
                <w:color w:val="222222"/>
              </w:rPr>
              <w:t>9</w:t>
            </w:r>
            <w:r w:rsidRPr="00A9601A">
              <w:rPr>
                <w:color w:val="222222"/>
              </w:rPr>
              <w:t>.</w:t>
            </w:r>
            <w:r w:rsidR="00203F65">
              <w:rPr>
                <w:color w:val="222222"/>
              </w:rPr>
              <w:t>4</w:t>
            </w:r>
            <w:r w:rsidRPr="00A9601A">
              <w:rPr>
                <w:color w:val="222222"/>
              </w:rPr>
              <w:t>5</w:t>
            </w:r>
          </w:p>
        </w:tc>
      </w:tr>
    </w:tbl>
    <w:p w14:paraId="41A39E5B" w14:textId="2DD4577D" w:rsidR="00BC1364" w:rsidRPr="00F715D1" w:rsidRDefault="00BC1364" w:rsidP="00F715D1">
      <w:pPr>
        <w:pStyle w:val="Heading1"/>
      </w:pPr>
      <w:r w:rsidRPr="00F715D1">
        <w:t xml:space="preserve">Summary of </w:t>
      </w:r>
      <w:r w:rsidR="00C06B0B">
        <w:t>public c</w:t>
      </w:r>
      <w:r w:rsidR="003D7F29" w:rsidRPr="00F715D1">
        <w:t>onsultation</w:t>
      </w:r>
      <w:r w:rsidR="00C06B0B">
        <w:t xml:space="preserve"> f</w:t>
      </w:r>
      <w:r w:rsidRPr="00F715D1">
        <w:t>eedback</w:t>
      </w:r>
      <w:r w:rsidR="00C06B0B">
        <w:t>/c</w:t>
      </w:r>
      <w:r w:rsidR="003D7F29" w:rsidRPr="00F715D1">
        <w:t xml:space="preserve">onsumer </w:t>
      </w:r>
      <w:r w:rsidR="00C25CF3" w:rsidRPr="00F715D1">
        <w:t>i</w:t>
      </w:r>
      <w:r w:rsidR="003D7F29" w:rsidRPr="00F715D1">
        <w:t>ssues</w:t>
      </w:r>
    </w:p>
    <w:p w14:paraId="3CFEEF30" w14:textId="77777777" w:rsidR="00BC1364" w:rsidRPr="007442AA" w:rsidRDefault="00F86308" w:rsidP="00F715D1">
      <w:pPr>
        <w:spacing w:after="240"/>
        <w:rPr>
          <w:szCs w:val="24"/>
        </w:rPr>
      </w:pPr>
      <w:r w:rsidRPr="007442AA">
        <w:rPr>
          <w:szCs w:val="24"/>
        </w:rPr>
        <w:t>Nil.</w:t>
      </w:r>
    </w:p>
    <w:p w14:paraId="1B2ACE05" w14:textId="77777777" w:rsidR="00BC1364" w:rsidRPr="00F715D1" w:rsidRDefault="00BC1364" w:rsidP="00F715D1">
      <w:pPr>
        <w:pStyle w:val="Heading1"/>
      </w:pPr>
      <w:r w:rsidRPr="00F715D1">
        <w:t>Proposed intervention’s place in clinical management</w:t>
      </w:r>
    </w:p>
    <w:p w14:paraId="542E5787" w14:textId="39848F88" w:rsidR="00CF4E81" w:rsidRDefault="00CF4E81" w:rsidP="00393620">
      <w:pPr>
        <w:pStyle w:val="Heading2"/>
      </w:pPr>
      <w:r w:rsidRPr="00CF4E81">
        <w:t xml:space="preserve">Description of </w:t>
      </w:r>
      <w:r w:rsidR="00246F08" w:rsidRPr="00CF4E81">
        <w:t>proposed in</w:t>
      </w:r>
      <w:r w:rsidRPr="00CF4E81">
        <w:t>tervention</w:t>
      </w:r>
    </w:p>
    <w:p w14:paraId="44E0D932" w14:textId="59B02D97" w:rsidR="00491A29" w:rsidRPr="00491A29" w:rsidRDefault="00491A29" w:rsidP="00491A29">
      <w:proofErr w:type="spellStart"/>
      <w:r>
        <w:t>Dysport</w:t>
      </w:r>
      <w:proofErr w:type="spellEnd"/>
      <w:r w:rsidRPr="00246F08">
        <w:rPr>
          <w:vertAlign w:val="superscript"/>
        </w:rPr>
        <w:t>®</w:t>
      </w:r>
      <w:r>
        <w:t xml:space="preserve"> is a neuromuscular blocking agent (neurotoxin) which blocks cholinergic transmission at the neuromuscular junction by a presynaptic action at a site proximal to</w:t>
      </w:r>
      <w:r w:rsidR="00246F08">
        <w:t xml:space="preserve"> the release of acetylcholine. </w:t>
      </w:r>
      <w:r w:rsidRPr="00A40AA1">
        <w:rPr>
          <w:lang w:val="en-US" w:eastAsia="zh-CN"/>
        </w:rPr>
        <w:t xml:space="preserve">The toxin acts within the nerve ending to </w:t>
      </w:r>
      <w:r>
        <w:rPr>
          <w:lang w:val="en-US" w:eastAsia="zh-CN"/>
        </w:rPr>
        <w:t xml:space="preserve">antagonize </w:t>
      </w:r>
      <w:r w:rsidRPr="00A40AA1">
        <w:rPr>
          <w:lang w:val="en-US" w:eastAsia="zh-CN"/>
        </w:rPr>
        <w:t>those events that are triggered by Ca</w:t>
      </w:r>
      <w:r w:rsidRPr="00246F08">
        <w:rPr>
          <w:vertAlign w:val="superscript"/>
          <w:lang w:val="en-US" w:eastAsia="zh-CN"/>
        </w:rPr>
        <w:t>2+</w:t>
      </w:r>
      <w:r w:rsidRPr="00A40AA1">
        <w:rPr>
          <w:lang w:val="en-US" w:eastAsia="zh-CN"/>
        </w:rPr>
        <w:t xml:space="preserve"> which cul</w:t>
      </w:r>
      <w:r w:rsidR="00246F08">
        <w:rPr>
          <w:lang w:val="en-US" w:eastAsia="zh-CN"/>
        </w:rPr>
        <w:t xml:space="preserve">minate in transmitter release. </w:t>
      </w:r>
      <w:r w:rsidRPr="00A40AA1">
        <w:rPr>
          <w:lang w:val="en-US" w:eastAsia="zh-CN"/>
        </w:rPr>
        <w:t>This results in a reduction in muscle contraction and a dose-dependent reversible reduction in muscle power. Active neuromuscular junctions take up toxin more avidly tha</w:t>
      </w:r>
      <w:r w:rsidR="00246F08">
        <w:rPr>
          <w:lang w:val="en-US" w:eastAsia="zh-CN"/>
        </w:rPr>
        <w:t>n</w:t>
      </w:r>
      <w:r w:rsidRPr="00A40AA1">
        <w:rPr>
          <w:lang w:val="en-US" w:eastAsia="zh-CN"/>
        </w:rPr>
        <w:t xml:space="preserve"> neuromuscular junctions at rest.</w:t>
      </w:r>
      <w:r w:rsidR="00246F08">
        <w:rPr>
          <w:lang w:val="en-US" w:eastAsia="zh-CN"/>
        </w:rPr>
        <w:t xml:space="preserve"> </w:t>
      </w:r>
      <w:r w:rsidRPr="00A40AA1">
        <w:rPr>
          <w:lang w:val="en-US" w:eastAsia="zh-CN"/>
        </w:rPr>
        <w:t>The onset of drug effect in patients with spasticity usually occurs after 3 to 4 days; the effect peaks at 4 weeks and lasts for 12 to 16 weeks.</w:t>
      </w:r>
    </w:p>
    <w:p w14:paraId="10E0BB59" w14:textId="75C3A8AD" w:rsidR="00CF4E81" w:rsidRPr="00CF4E81" w:rsidRDefault="00CF4E81" w:rsidP="003F4A12">
      <w:pPr>
        <w:pStyle w:val="Heading2"/>
        <w:spacing w:before="240"/>
      </w:pPr>
      <w:r w:rsidRPr="00CF4E81">
        <w:t>Description of</w:t>
      </w:r>
      <w:r w:rsidR="00246F08" w:rsidRPr="00CF4E81">
        <w:t xml:space="preserve"> medical c</w:t>
      </w:r>
      <w:r w:rsidRPr="00CF4E81">
        <w:t>ondition(s)</w:t>
      </w:r>
    </w:p>
    <w:p w14:paraId="18800EFD" w14:textId="2A832CD8" w:rsidR="00CF4E81" w:rsidRDefault="00491A29" w:rsidP="003F4A12">
      <w:r w:rsidRPr="00914AB7">
        <w:t xml:space="preserve">Spasticity is a chronic manifestation of upper motor neuron syndrome due to lesions of the pyramidal tract (an aggregation of upper motor neurons). The most common cause of the </w:t>
      </w:r>
      <w:r>
        <w:t>central nervous system (</w:t>
      </w:r>
      <w:r w:rsidRPr="00914AB7">
        <w:t>CNS</w:t>
      </w:r>
      <w:r>
        <w:t>)</w:t>
      </w:r>
      <w:r w:rsidRPr="00914AB7">
        <w:t xml:space="preserve"> lesions leading to paediatric upper</w:t>
      </w:r>
      <w:r>
        <w:t xml:space="preserve"> </w:t>
      </w:r>
      <w:r w:rsidRPr="00914AB7">
        <w:t xml:space="preserve">limb spasticity is </w:t>
      </w:r>
      <w:r>
        <w:t>cerebral palsy</w:t>
      </w:r>
      <w:r w:rsidRPr="00914AB7">
        <w:t xml:space="preserve">. </w:t>
      </w:r>
      <w:r>
        <w:t>The ADAR stated that the majority of children with cerebral palsy are affected by spasticity, which can be defined as hypertonia in which one or both of the following signs are present: 1) resistance to externally imposed movement increases with increasing speed of stretch and varies with the direction of joint movement; 2) resistance to externally imposed movement rises rapidly above a threshold speed of joint angle.</w:t>
      </w:r>
    </w:p>
    <w:p w14:paraId="121825ED" w14:textId="281AAC4B" w:rsidR="00491A29" w:rsidRDefault="00491A29" w:rsidP="003F4A12">
      <w:pPr>
        <w:autoSpaceDE w:val="0"/>
        <w:autoSpaceDN w:val="0"/>
        <w:adjustRightInd w:val="0"/>
        <w:spacing w:before="240"/>
      </w:pPr>
      <w:r w:rsidRPr="00D13A3E">
        <w:t>The clinical management algorithm for</w:t>
      </w:r>
      <w:r>
        <w:t xml:space="preserve"> current practice and for</w:t>
      </w:r>
      <w:r w:rsidRPr="00D13A3E">
        <w:t xml:space="preserve"> the intended use of </w:t>
      </w:r>
      <w:proofErr w:type="spellStart"/>
      <w:r>
        <w:t>Dysport</w:t>
      </w:r>
      <w:proofErr w:type="spellEnd"/>
      <w:r w:rsidR="00246F08" w:rsidRPr="00704555">
        <w:rPr>
          <w:vertAlign w:val="superscript"/>
        </w:rPr>
        <w:t>®</w:t>
      </w:r>
      <w:r>
        <w:t xml:space="preserve"> for the treatment of </w:t>
      </w:r>
      <w:r w:rsidR="007D2302">
        <w:t>upper limb focal spasticity (</w:t>
      </w:r>
      <w:r>
        <w:t>ULFS</w:t>
      </w:r>
      <w:r w:rsidR="007D2302">
        <w:t>)</w:t>
      </w:r>
      <w:r>
        <w:t xml:space="preserve"> in patients with cerebral palsy</w:t>
      </w:r>
      <w:r w:rsidRPr="00D13A3E">
        <w:t xml:space="preserve"> is presented in </w:t>
      </w:r>
      <w:r>
        <w:fldChar w:fldCharType="begin"/>
      </w:r>
      <w:r>
        <w:instrText xml:space="preserve"> REF _Ref46840659 \h </w:instrText>
      </w:r>
      <w:r>
        <w:fldChar w:fldCharType="separate"/>
      </w:r>
      <w:r>
        <w:t xml:space="preserve">Figure </w:t>
      </w:r>
      <w:r>
        <w:rPr>
          <w:noProof/>
        </w:rPr>
        <w:t>1</w:t>
      </w:r>
      <w:r>
        <w:fldChar w:fldCharType="end"/>
      </w:r>
      <w:r w:rsidR="00246F08">
        <w:t xml:space="preserve">. </w:t>
      </w:r>
      <w:proofErr w:type="spellStart"/>
      <w:r>
        <w:t>Dysport</w:t>
      </w:r>
      <w:proofErr w:type="spellEnd"/>
      <w:r w:rsidR="00246F08" w:rsidRPr="00704555">
        <w:rPr>
          <w:vertAlign w:val="superscript"/>
        </w:rPr>
        <w:t>®</w:t>
      </w:r>
      <w:r>
        <w:t xml:space="preserve"> is proposed to substitute for Botox</w:t>
      </w:r>
      <w:r w:rsidR="00246F08" w:rsidRPr="00704555">
        <w:rPr>
          <w:vertAlign w:val="superscript"/>
        </w:rPr>
        <w:t>®</w:t>
      </w:r>
      <w:r>
        <w:t xml:space="preserve"> in the current treatment algorithm where it is used alongside other treatment modalities including physical therapy as well as other drugs.</w:t>
      </w:r>
    </w:p>
    <w:p w14:paraId="73314530" w14:textId="450B74B1" w:rsidR="00491A29" w:rsidRPr="007D25BE" w:rsidRDefault="00491A29" w:rsidP="007D25BE">
      <w:pPr>
        <w:keepNext/>
        <w:keepLines/>
        <w:rPr>
          <w:rFonts w:ascii="Arial Narrow" w:hAnsi="Arial Narrow"/>
          <w:b/>
          <w:sz w:val="20"/>
        </w:rPr>
      </w:pPr>
      <w:bookmarkStart w:id="4" w:name="_Ref46840659"/>
      <w:bookmarkStart w:id="5" w:name="_Ref46840652"/>
      <w:r w:rsidRPr="007D25BE">
        <w:rPr>
          <w:rFonts w:ascii="Arial Narrow" w:hAnsi="Arial Narrow"/>
          <w:b/>
          <w:sz w:val="20"/>
        </w:rPr>
        <w:lastRenderedPageBreak/>
        <w:t xml:space="preserve">Figure </w:t>
      </w:r>
      <w:r w:rsidR="00C25CF3" w:rsidRPr="007D25BE">
        <w:rPr>
          <w:rFonts w:ascii="Arial Narrow" w:hAnsi="Arial Narrow"/>
          <w:b/>
          <w:sz w:val="20"/>
        </w:rPr>
        <w:fldChar w:fldCharType="begin"/>
      </w:r>
      <w:r w:rsidR="00C25CF3" w:rsidRPr="007D25BE">
        <w:rPr>
          <w:rFonts w:ascii="Arial Narrow" w:hAnsi="Arial Narrow"/>
          <w:b/>
          <w:sz w:val="20"/>
        </w:rPr>
        <w:instrText xml:space="preserve"> SEQ Figure \* ARABIC </w:instrText>
      </w:r>
      <w:r w:rsidR="00C25CF3" w:rsidRPr="007D25BE">
        <w:rPr>
          <w:rFonts w:ascii="Arial Narrow" w:hAnsi="Arial Narrow"/>
          <w:b/>
          <w:sz w:val="20"/>
        </w:rPr>
        <w:fldChar w:fldCharType="separate"/>
      </w:r>
      <w:r w:rsidRPr="007D25BE">
        <w:rPr>
          <w:rFonts w:ascii="Arial Narrow" w:hAnsi="Arial Narrow"/>
          <w:b/>
          <w:sz w:val="20"/>
        </w:rPr>
        <w:t>1</w:t>
      </w:r>
      <w:r w:rsidR="00C25CF3" w:rsidRPr="007D25BE">
        <w:rPr>
          <w:rFonts w:ascii="Arial Narrow" w:hAnsi="Arial Narrow"/>
          <w:b/>
          <w:sz w:val="20"/>
        </w:rPr>
        <w:fldChar w:fldCharType="end"/>
      </w:r>
      <w:bookmarkEnd w:id="4"/>
      <w:r w:rsidRPr="007D25BE">
        <w:rPr>
          <w:rFonts w:ascii="Arial Narrow" w:hAnsi="Arial Narrow"/>
          <w:b/>
          <w:sz w:val="20"/>
        </w:rPr>
        <w:t xml:space="preserve"> Proposed clinical management algorithm</w:t>
      </w:r>
      <w:bookmarkEnd w:id="5"/>
    </w:p>
    <w:p w14:paraId="44383228" w14:textId="77777777" w:rsidR="00491A29" w:rsidRDefault="00491A29" w:rsidP="007D25BE">
      <w:pPr>
        <w:keepNext/>
        <w:keepLines/>
        <w:rPr>
          <w:lang w:val="fr-FR"/>
        </w:rPr>
      </w:pPr>
      <w:r>
        <w:rPr>
          <w:noProof/>
        </w:rPr>
        <w:drawing>
          <wp:inline distT="0" distB="0" distL="0" distR="0" wp14:anchorId="170FD391" wp14:editId="44EB2028">
            <wp:extent cx="3305471" cy="5117123"/>
            <wp:effectExtent l="0" t="0" r="9525" b="7620"/>
            <wp:docPr id="728475076" name="Picture 64" descr="Proposed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pic:nvPicPr>
                  <pic:blipFill>
                    <a:blip r:embed="rId12">
                      <a:extLst>
                        <a:ext uri="{28A0092B-C50C-407E-A947-70E740481C1C}">
                          <a14:useLocalDpi xmlns:a14="http://schemas.microsoft.com/office/drawing/2010/main" val="0"/>
                        </a:ext>
                      </a:extLst>
                    </a:blip>
                    <a:stretch>
                      <a:fillRect/>
                    </a:stretch>
                  </pic:blipFill>
                  <pic:spPr>
                    <a:xfrm>
                      <a:off x="0" y="0"/>
                      <a:ext cx="3308171" cy="5121303"/>
                    </a:xfrm>
                    <a:prstGeom prst="rect">
                      <a:avLst/>
                    </a:prstGeom>
                  </pic:spPr>
                </pic:pic>
              </a:graphicData>
            </a:graphic>
          </wp:inline>
        </w:drawing>
      </w:r>
    </w:p>
    <w:p w14:paraId="0409DA3E" w14:textId="16ACA0EB" w:rsidR="00491A29" w:rsidRDefault="00491A29" w:rsidP="00491A29">
      <w:pPr>
        <w:autoSpaceDE w:val="0"/>
        <w:autoSpaceDN w:val="0"/>
        <w:adjustRightInd w:val="0"/>
      </w:pPr>
      <w:r w:rsidRPr="00E532F7">
        <w:rPr>
          <w:rFonts w:ascii="Arial Narrow" w:hAnsi="Arial Narrow"/>
          <w:sz w:val="18"/>
          <w:szCs w:val="18"/>
          <w:lang w:val="fr-FR"/>
        </w:rPr>
        <w:t xml:space="preserve">Source :  Figure 1-1, p26 of the </w:t>
      </w:r>
      <w:r w:rsidR="007B1632">
        <w:rPr>
          <w:rFonts w:ascii="Arial Narrow" w:hAnsi="Arial Narrow"/>
          <w:sz w:val="18"/>
          <w:szCs w:val="18"/>
          <w:lang w:val="fr-FR"/>
        </w:rPr>
        <w:t>application.</w:t>
      </w:r>
    </w:p>
    <w:p w14:paraId="3BDB2A0A" w14:textId="559747A3" w:rsidR="00BC1364" w:rsidRPr="00F715D1" w:rsidRDefault="00246F08" w:rsidP="00F715D1">
      <w:pPr>
        <w:pStyle w:val="Heading1"/>
      </w:pPr>
      <w:r>
        <w:t>Comparator</w:t>
      </w:r>
    </w:p>
    <w:p w14:paraId="61E88BA9" w14:textId="7AF9B737" w:rsidR="00DB5833" w:rsidRPr="00F86308" w:rsidRDefault="00F86308" w:rsidP="00F715D1">
      <w:pPr>
        <w:tabs>
          <w:tab w:val="num" w:pos="426"/>
        </w:tabs>
        <w:spacing w:after="240"/>
        <w:rPr>
          <w:szCs w:val="24"/>
        </w:rPr>
      </w:pPr>
      <w:r>
        <w:t xml:space="preserve">The comparator is </w:t>
      </w:r>
      <w:r w:rsidRPr="00F86308">
        <w:t>Botox</w:t>
      </w:r>
      <w:r w:rsidR="00246F08" w:rsidRPr="00704555">
        <w:rPr>
          <w:vertAlign w:val="superscript"/>
        </w:rPr>
        <w:t>®</w:t>
      </w:r>
      <w:r w:rsidRPr="00F86308">
        <w:t xml:space="preserve">, another </w:t>
      </w:r>
      <w:r>
        <w:t>botulinum toxin type A.</w:t>
      </w:r>
    </w:p>
    <w:p w14:paraId="3C75CCDB" w14:textId="492682AE" w:rsidR="00BC1364" w:rsidRPr="00F715D1" w:rsidRDefault="00BC1364" w:rsidP="00F715D1">
      <w:pPr>
        <w:pStyle w:val="Heading1"/>
      </w:pPr>
      <w:r w:rsidRPr="00F715D1">
        <w:t>Financial/budgetary impacts</w:t>
      </w:r>
    </w:p>
    <w:p w14:paraId="3119B10D" w14:textId="4EE584FA" w:rsidR="00D86DBF" w:rsidRPr="00B470FF" w:rsidRDefault="00D86DBF" w:rsidP="00D05D40">
      <w:pPr>
        <w:rPr>
          <w:i/>
        </w:rPr>
      </w:pPr>
      <w:r w:rsidRPr="00D86DBF">
        <w:t xml:space="preserve">The </w:t>
      </w:r>
      <w:r>
        <w:t>application</w:t>
      </w:r>
      <w:r w:rsidRPr="00D86DBF">
        <w:t xml:space="preserve"> applied a market share approach to estimate the number of </w:t>
      </w:r>
      <w:proofErr w:type="spellStart"/>
      <w:r w:rsidRPr="00D86DBF">
        <w:t>Dysport</w:t>
      </w:r>
      <w:proofErr w:type="spellEnd"/>
      <w:r w:rsidRPr="00246F08">
        <w:rPr>
          <w:vertAlign w:val="superscript"/>
        </w:rPr>
        <w:t>®</w:t>
      </w:r>
      <w:r w:rsidRPr="00D86DBF">
        <w:t xml:space="preserve"> scripts that will be used for treatment of upper limb spasticity due to cerebral palsy. </w:t>
      </w:r>
      <w:r>
        <w:t xml:space="preserve">The application did not propose a change to the </w:t>
      </w:r>
      <w:r w:rsidR="00D05D40">
        <w:t xml:space="preserve">estimates of patient numbers and did not include MBS costs for administration of </w:t>
      </w:r>
      <w:proofErr w:type="spellStart"/>
      <w:r w:rsidR="00D05D40">
        <w:t>Dysport</w:t>
      </w:r>
      <w:proofErr w:type="spellEnd"/>
      <w:r w:rsidR="00246F08" w:rsidRPr="00704555">
        <w:rPr>
          <w:vertAlign w:val="superscript"/>
        </w:rPr>
        <w:t>®</w:t>
      </w:r>
      <w:r w:rsidR="00D05D40">
        <w:t xml:space="preserve"> or Botox</w:t>
      </w:r>
      <w:r w:rsidR="00246F08" w:rsidRPr="00704555">
        <w:rPr>
          <w:vertAlign w:val="superscript"/>
        </w:rPr>
        <w:t>®</w:t>
      </w:r>
      <w:r w:rsidR="00D05D40">
        <w:t xml:space="preserve"> in the financial impact analysis. The applicant claimed that </w:t>
      </w:r>
      <w:r w:rsidR="00D05D40" w:rsidRPr="00D05D40">
        <w:t xml:space="preserve">given the potential differences between treatment durations, it is likely that </w:t>
      </w:r>
      <w:proofErr w:type="spellStart"/>
      <w:r w:rsidR="00D05D40" w:rsidRPr="00D05D40">
        <w:t>Dysport</w:t>
      </w:r>
      <w:proofErr w:type="spellEnd"/>
      <w:r w:rsidR="00D05D40" w:rsidRPr="00246F08">
        <w:rPr>
          <w:vertAlign w:val="superscript"/>
        </w:rPr>
        <w:t>®</w:t>
      </w:r>
      <w:r w:rsidR="00D05D40" w:rsidRPr="00D05D40">
        <w:t xml:space="preserve"> will result in fewer MBS items being processed.</w:t>
      </w:r>
    </w:p>
    <w:p w14:paraId="359F5FB3" w14:textId="77777777" w:rsidR="00D90A38" w:rsidRPr="00F715D1" w:rsidRDefault="00BC1364" w:rsidP="00F715D1">
      <w:pPr>
        <w:pStyle w:val="Heading1"/>
      </w:pPr>
      <w:r w:rsidRPr="00F715D1">
        <w:t>Other significant factors</w:t>
      </w:r>
    </w:p>
    <w:p w14:paraId="3E27259A" w14:textId="0A1C1207" w:rsidR="00BC1364" w:rsidRPr="00D05D40" w:rsidRDefault="00BC1364" w:rsidP="00F715D1">
      <w:pPr>
        <w:spacing w:after="240"/>
        <w:rPr>
          <w:szCs w:val="24"/>
        </w:rPr>
      </w:pPr>
      <w:r w:rsidRPr="00D05D40">
        <w:rPr>
          <w:szCs w:val="24"/>
        </w:rPr>
        <w:t>Nil</w:t>
      </w:r>
      <w:r w:rsidR="00D05D40">
        <w:rPr>
          <w:szCs w:val="24"/>
        </w:rPr>
        <w:t>.</w:t>
      </w:r>
    </w:p>
    <w:p w14:paraId="7EDA5B09" w14:textId="77777777" w:rsidR="00BC1364" w:rsidRPr="00F715D1" w:rsidRDefault="00C06B0B" w:rsidP="00F715D1">
      <w:pPr>
        <w:pStyle w:val="Heading1"/>
      </w:pPr>
      <w:r>
        <w:t>Applicant</w:t>
      </w:r>
      <w:r w:rsidR="00BC1364" w:rsidRPr="00F715D1">
        <w:t xml:space="preserve"> comments on MSAC’s </w:t>
      </w:r>
      <w:r w:rsidR="00DA56AA" w:rsidRPr="00F715D1">
        <w:t>Public Summary Document</w:t>
      </w:r>
    </w:p>
    <w:p w14:paraId="19E35D29" w14:textId="417BF944" w:rsidR="00BC1364" w:rsidRPr="000337AE" w:rsidRDefault="000337AE" w:rsidP="00F715D1">
      <w:pPr>
        <w:spacing w:after="240"/>
        <w:rPr>
          <w:szCs w:val="24"/>
        </w:rPr>
      </w:pPr>
      <w:r w:rsidRPr="000337AE">
        <w:rPr>
          <w:szCs w:val="24"/>
        </w:rPr>
        <w:t>The app</w:t>
      </w:r>
      <w:bookmarkStart w:id="6" w:name="_GoBack"/>
      <w:bookmarkEnd w:id="6"/>
      <w:r w:rsidRPr="000337AE">
        <w:rPr>
          <w:szCs w:val="24"/>
        </w:rPr>
        <w:t>licant had no comment.</w:t>
      </w:r>
    </w:p>
    <w:p w14:paraId="4279AF28" w14:textId="77777777" w:rsidR="00BC1364" w:rsidRPr="00F715D1" w:rsidRDefault="00271F18" w:rsidP="00F715D1">
      <w:pPr>
        <w:pStyle w:val="Heading1"/>
      </w:pPr>
      <w:r w:rsidRPr="00F715D1">
        <w:lastRenderedPageBreak/>
        <w:t>Further information on MSAC</w:t>
      </w:r>
    </w:p>
    <w:p w14:paraId="51417363"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3" w:tooltip="Link to Medical Services Advisory Committee website" w:history="1">
        <w:r w:rsidR="00BC2667" w:rsidRPr="00F715D1">
          <w:rPr>
            <w:rStyle w:val="Hyperlink"/>
            <w:szCs w:val="24"/>
          </w:rPr>
          <w:t>visit the MSAC website</w:t>
        </w:r>
      </w:hyperlink>
    </w:p>
    <w:sectPr w:rsidR="00BC1364" w:rsidRPr="00F715D1" w:rsidSect="00271F18">
      <w:headerReference w:type="even" r:id="rId14"/>
      <w:headerReference w:type="default" r:id="rId15"/>
      <w:footerReference w:type="even" r:id="rId16"/>
      <w:footerReference w:type="default" r:id="rId17"/>
      <w:headerReference w:type="first" r:id="rId18"/>
      <w:footerReference w:type="first" r:id="rId19"/>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7EB6E" w14:textId="77777777" w:rsidR="005E0E4E" w:rsidRDefault="005E0E4E" w:rsidP="00065623">
      <w:r>
        <w:separator/>
      </w:r>
    </w:p>
  </w:endnote>
  <w:endnote w:type="continuationSeparator" w:id="0">
    <w:p w14:paraId="71D2EB18" w14:textId="77777777" w:rsidR="005E0E4E" w:rsidRDefault="005E0E4E"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Liti">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35E16" w14:textId="77777777" w:rsidR="00C72D19" w:rsidRDefault="00C72D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036B307E" w14:textId="021BBE0D" w:rsidR="00407AD8" w:rsidRDefault="00407AD8">
        <w:pPr>
          <w:pStyle w:val="Footer"/>
          <w:jc w:val="right"/>
        </w:pPr>
        <w:r>
          <w:fldChar w:fldCharType="begin"/>
        </w:r>
        <w:r>
          <w:instrText xml:space="preserve"> PAGE   \* MERGEFORMAT </w:instrText>
        </w:r>
        <w:r>
          <w:fldChar w:fldCharType="separate"/>
        </w:r>
        <w:r w:rsidR="000337AE">
          <w:rPr>
            <w:noProof/>
          </w:rPr>
          <w:t>5</w:t>
        </w:r>
        <w:r>
          <w:rPr>
            <w:noProof/>
          </w:rPr>
          <w:fldChar w:fldCharType="end"/>
        </w:r>
      </w:p>
    </w:sdtContent>
  </w:sdt>
  <w:p w14:paraId="422FF105" w14:textId="77777777" w:rsidR="00407AD8" w:rsidRDefault="00407A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EB21E" w14:textId="77777777" w:rsidR="00C72D19" w:rsidRDefault="00C72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AE34C" w14:textId="77777777" w:rsidR="005E0E4E" w:rsidRDefault="005E0E4E" w:rsidP="00065623">
      <w:r>
        <w:separator/>
      </w:r>
    </w:p>
  </w:footnote>
  <w:footnote w:type="continuationSeparator" w:id="0">
    <w:p w14:paraId="75FE0EEF" w14:textId="77777777" w:rsidR="005E0E4E" w:rsidRDefault="005E0E4E" w:rsidP="00065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554D7" w14:textId="77777777" w:rsidR="00C72D19" w:rsidRDefault="00C72D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4F221" w14:textId="77777777" w:rsidR="00C72D19" w:rsidRDefault="00C72D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46CEF" w14:textId="77777777" w:rsidR="00C72D19" w:rsidRDefault="00C72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2820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FF1A8D"/>
    <w:multiLevelType w:val="hybridMultilevel"/>
    <w:tmpl w:val="71EAB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D82E57"/>
    <w:multiLevelType w:val="hybridMultilevel"/>
    <w:tmpl w:val="12C6B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617066"/>
    <w:multiLevelType w:val="hybridMultilevel"/>
    <w:tmpl w:val="66EA7412"/>
    <w:lvl w:ilvl="0" w:tplc="0C090001">
      <w:start w:val="1"/>
      <w:numFmt w:val="bullet"/>
      <w:lvlText w:val=""/>
      <w:lvlJc w:val="left"/>
      <w:pPr>
        <w:ind w:left="720" w:hanging="360"/>
      </w:pPr>
      <w:rPr>
        <w:rFonts w:ascii="Symbol" w:hAnsi="Symbol" w:hint="default"/>
      </w:rPr>
    </w:lvl>
    <w:lvl w:ilvl="1" w:tplc="4AA63980">
      <w:numFmt w:val="bullet"/>
      <w:lvlText w:val="·"/>
      <w:lvlJc w:val="left"/>
      <w:pPr>
        <w:ind w:left="1440" w:hanging="360"/>
      </w:pPr>
      <w:rPr>
        <w:rFonts w:ascii="Arial Narrow" w:eastAsia="Times New Roman" w:hAnsi="Arial Narrow"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C724F8"/>
    <w:multiLevelType w:val="hybridMultilevel"/>
    <w:tmpl w:val="0C628992"/>
    <w:lvl w:ilvl="0" w:tplc="90407CA0">
      <w:numFmt w:val="bullet"/>
      <w:lvlText w:val="•"/>
      <w:lvlJc w:val="left"/>
      <w:pPr>
        <w:ind w:left="720" w:hanging="360"/>
      </w:pPr>
      <w:rPr>
        <w:rFonts w:ascii="Times New Roman" w:eastAsia="Times New Roman" w:hAnsi="Times New Roman" w:hint="default"/>
      </w:rPr>
    </w:lvl>
    <w:lvl w:ilvl="1" w:tplc="4AA63980">
      <w:numFmt w:val="bullet"/>
      <w:lvlText w:val="·"/>
      <w:lvlJc w:val="left"/>
      <w:pPr>
        <w:ind w:left="1440" w:hanging="360"/>
      </w:pPr>
      <w:rPr>
        <w:rFonts w:ascii="Arial Narrow" w:eastAsia="Times New Roman" w:hAnsi="Arial Narrow"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445E58"/>
    <w:multiLevelType w:val="hybridMultilevel"/>
    <w:tmpl w:val="44B06F78"/>
    <w:lvl w:ilvl="0" w:tplc="90407CA0">
      <w:numFmt w:val="bullet"/>
      <w:lvlText w:val="•"/>
      <w:lvlJc w:val="left"/>
      <w:pPr>
        <w:ind w:left="720" w:hanging="360"/>
      </w:pPr>
      <w:rPr>
        <w:rFonts w:ascii="Times New Roman" w:eastAsia="Times New Roman" w:hAnsi="Times New Roman" w:hint="default"/>
      </w:rPr>
    </w:lvl>
    <w:lvl w:ilvl="1" w:tplc="4AA63980">
      <w:numFmt w:val="bullet"/>
      <w:lvlText w:val="·"/>
      <w:lvlJc w:val="left"/>
      <w:pPr>
        <w:ind w:left="1440" w:hanging="360"/>
      </w:pPr>
      <w:rPr>
        <w:rFonts w:ascii="Arial Narrow" w:eastAsia="Times New Roman" w:hAnsi="Arial Narrow"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862"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9"/>
  </w:num>
  <w:num w:numId="3">
    <w:abstractNumId w:val="3"/>
  </w:num>
  <w:num w:numId="4">
    <w:abstractNumId w:val="21"/>
  </w:num>
  <w:num w:numId="5">
    <w:abstractNumId w:val="12"/>
  </w:num>
  <w:num w:numId="6">
    <w:abstractNumId w:val="20"/>
  </w:num>
  <w:num w:numId="7">
    <w:abstractNumId w:val="24"/>
  </w:num>
  <w:num w:numId="8">
    <w:abstractNumId w:val="14"/>
  </w:num>
  <w:num w:numId="9">
    <w:abstractNumId w:val="31"/>
  </w:num>
  <w:num w:numId="10">
    <w:abstractNumId w:val="2"/>
  </w:num>
  <w:num w:numId="11">
    <w:abstractNumId w:val="23"/>
  </w:num>
  <w:num w:numId="12">
    <w:abstractNumId w:val="25"/>
  </w:num>
  <w:num w:numId="13">
    <w:abstractNumId w:val="6"/>
  </w:num>
  <w:num w:numId="14">
    <w:abstractNumId w:val="29"/>
  </w:num>
  <w:num w:numId="15">
    <w:abstractNumId w:val="22"/>
  </w:num>
  <w:num w:numId="16">
    <w:abstractNumId w:val="26"/>
  </w:num>
  <w:num w:numId="17">
    <w:abstractNumId w:val="15"/>
  </w:num>
  <w:num w:numId="18">
    <w:abstractNumId w:val="18"/>
  </w:num>
  <w:num w:numId="19">
    <w:abstractNumId w:val="28"/>
  </w:num>
  <w:num w:numId="20">
    <w:abstractNumId w:val="27"/>
  </w:num>
  <w:num w:numId="21">
    <w:abstractNumId w:val="5"/>
  </w:num>
  <w:num w:numId="22">
    <w:abstractNumId w:val="11"/>
  </w:num>
  <w:num w:numId="23">
    <w:abstractNumId w:val="4"/>
  </w:num>
  <w:num w:numId="24">
    <w:abstractNumId w:val="10"/>
  </w:num>
  <w:num w:numId="25">
    <w:abstractNumId w:val="7"/>
  </w:num>
  <w:num w:numId="26">
    <w:abstractNumId w:val="13"/>
  </w:num>
  <w:num w:numId="27">
    <w:abstractNumId w:val="30"/>
  </w:num>
  <w:num w:numId="28">
    <w:abstractNumId w:val="0"/>
  </w:num>
  <w:num w:numId="29">
    <w:abstractNumId w:val="1"/>
  </w:num>
  <w:num w:numId="30">
    <w:abstractNumId w:val="9"/>
  </w:num>
  <w:num w:numId="31">
    <w:abstractNumId w:val="17"/>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4128"/>
    <w:rsid w:val="00007312"/>
    <w:rsid w:val="00010F5E"/>
    <w:rsid w:val="00011A36"/>
    <w:rsid w:val="0001311B"/>
    <w:rsid w:val="000317F2"/>
    <w:rsid w:val="000337AE"/>
    <w:rsid w:val="00047606"/>
    <w:rsid w:val="00065623"/>
    <w:rsid w:val="000756B9"/>
    <w:rsid w:val="0009192E"/>
    <w:rsid w:val="00096B67"/>
    <w:rsid w:val="00096DAF"/>
    <w:rsid w:val="000C2F47"/>
    <w:rsid w:val="000D28D4"/>
    <w:rsid w:val="000D2B9A"/>
    <w:rsid w:val="000D6C00"/>
    <w:rsid w:val="000E4E04"/>
    <w:rsid w:val="000F14B4"/>
    <w:rsid w:val="000F75DF"/>
    <w:rsid w:val="001023DC"/>
    <w:rsid w:val="00104621"/>
    <w:rsid w:val="00111EE1"/>
    <w:rsid w:val="00131A39"/>
    <w:rsid w:val="001328FA"/>
    <w:rsid w:val="00147AAF"/>
    <w:rsid w:val="001552C0"/>
    <w:rsid w:val="001640B1"/>
    <w:rsid w:val="001842B7"/>
    <w:rsid w:val="0018435E"/>
    <w:rsid w:val="001901AA"/>
    <w:rsid w:val="001C7FFB"/>
    <w:rsid w:val="001E3317"/>
    <w:rsid w:val="001E40E6"/>
    <w:rsid w:val="001E4ACF"/>
    <w:rsid w:val="001E5D6C"/>
    <w:rsid w:val="001F67F6"/>
    <w:rsid w:val="00203F65"/>
    <w:rsid w:val="002041A1"/>
    <w:rsid w:val="002054F0"/>
    <w:rsid w:val="00222A99"/>
    <w:rsid w:val="00230D6B"/>
    <w:rsid w:val="00232068"/>
    <w:rsid w:val="002330F2"/>
    <w:rsid w:val="00243D9E"/>
    <w:rsid w:val="00246F08"/>
    <w:rsid w:val="00253B66"/>
    <w:rsid w:val="00261DF1"/>
    <w:rsid w:val="00271F18"/>
    <w:rsid w:val="0028237B"/>
    <w:rsid w:val="00282779"/>
    <w:rsid w:val="0028334D"/>
    <w:rsid w:val="002B7FFA"/>
    <w:rsid w:val="002C2BCF"/>
    <w:rsid w:val="002F279D"/>
    <w:rsid w:val="002F43B8"/>
    <w:rsid w:val="00336856"/>
    <w:rsid w:val="0034554D"/>
    <w:rsid w:val="00350B8D"/>
    <w:rsid w:val="00352224"/>
    <w:rsid w:val="00360586"/>
    <w:rsid w:val="00364C54"/>
    <w:rsid w:val="003671E6"/>
    <w:rsid w:val="00384272"/>
    <w:rsid w:val="00386D67"/>
    <w:rsid w:val="00393620"/>
    <w:rsid w:val="003945B8"/>
    <w:rsid w:val="003D7F29"/>
    <w:rsid w:val="003E70F4"/>
    <w:rsid w:val="003F4A12"/>
    <w:rsid w:val="00405A6B"/>
    <w:rsid w:val="00407AD8"/>
    <w:rsid w:val="00407B1F"/>
    <w:rsid w:val="0041184F"/>
    <w:rsid w:val="00414C57"/>
    <w:rsid w:val="0041758C"/>
    <w:rsid w:val="004539DE"/>
    <w:rsid w:val="00491A29"/>
    <w:rsid w:val="004A2CF1"/>
    <w:rsid w:val="004A7E0B"/>
    <w:rsid w:val="004C3035"/>
    <w:rsid w:val="004C307F"/>
    <w:rsid w:val="004D56F9"/>
    <w:rsid w:val="004E4BA8"/>
    <w:rsid w:val="004F1129"/>
    <w:rsid w:val="004F340F"/>
    <w:rsid w:val="004F7B7C"/>
    <w:rsid w:val="005174CD"/>
    <w:rsid w:val="0052243D"/>
    <w:rsid w:val="00532435"/>
    <w:rsid w:val="0053673E"/>
    <w:rsid w:val="00550354"/>
    <w:rsid w:val="00571236"/>
    <w:rsid w:val="00584878"/>
    <w:rsid w:val="005953A1"/>
    <w:rsid w:val="00595B59"/>
    <w:rsid w:val="005A4362"/>
    <w:rsid w:val="005B5434"/>
    <w:rsid w:val="005C1007"/>
    <w:rsid w:val="005D0332"/>
    <w:rsid w:val="005D0D8C"/>
    <w:rsid w:val="005E0E4E"/>
    <w:rsid w:val="0063677F"/>
    <w:rsid w:val="00640A46"/>
    <w:rsid w:val="006776AE"/>
    <w:rsid w:val="006A0D97"/>
    <w:rsid w:val="006B1F86"/>
    <w:rsid w:val="006C0A91"/>
    <w:rsid w:val="00704555"/>
    <w:rsid w:val="007054BB"/>
    <w:rsid w:val="00707064"/>
    <w:rsid w:val="00724C12"/>
    <w:rsid w:val="00730683"/>
    <w:rsid w:val="007442AA"/>
    <w:rsid w:val="0075261F"/>
    <w:rsid w:val="0075468E"/>
    <w:rsid w:val="00757328"/>
    <w:rsid w:val="007665D8"/>
    <w:rsid w:val="00766E36"/>
    <w:rsid w:val="007765F4"/>
    <w:rsid w:val="00776633"/>
    <w:rsid w:val="00784D53"/>
    <w:rsid w:val="00797797"/>
    <w:rsid w:val="007A63C9"/>
    <w:rsid w:val="007B1632"/>
    <w:rsid w:val="007B32D1"/>
    <w:rsid w:val="007B7095"/>
    <w:rsid w:val="007C18CA"/>
    <w:rsid w:val="007D2302"/>
    <w:rsid w:val="007D24E1"/>
    <w:rsid w:val="007D25BE"/>
    <w:rsid w:val="007D6288"/>
    <w:rsid w:val="007D63F2"/>
    <w:rsid w:val="007F4CE9"/>
    <w:rsid w:val="007F4E20"/>
    <w:rsid w:val="008075F4"/>
    <w:rsid w:val="00822C7E"/>
    <w:rsid w:val="00847060"/>
    <w:rsid w:val="00847A36"/>
    <w:rsid w:val="00856A33"/>
    <w:rsid w:val="00863DE8"/>
    <w:rsid w:val="0087527B"/>
    <w:rsid w:val="00890ADB"/>
    <w:rsid w:val="00892620"/>
    <w:rsid w:val="008A4EB1"/>
    <w:rsid w:val="008A6BA5"/>
    <w:rsid w:val="008C778E"/>
    <w:rsid w:val="008C7D37"/>
    <w:rsid w:val="008D5885"/>
    <w:rsid w:val="008F364B"/>
    <w:rsid w:val="008F5602"/>
    <w:rsid w:val="008F786C"/>
    <w:rsid w:val="00907BF9"/>
    <w:rsid w:val="00911DB6"/>
    <w:rsid w:val="00923FA2"/>
    <w:rsid w:val="0096060D"/>
    <w:rsid w:val="00974A50"/>
    <w:rsid w:val="0097585A"/>
    <w:rsid w:val="00982635"/>
    <w:rsid w:val="009924B0"/>
    <w:rsid w:val="009942C9"/>
    <w:rsid w:val="009B35C4"/>
    <w:rsid w:val="009C4994"/>
    <w:rsid w:val="009C596F"/>
    <w:rsid w:val="009C630A"/>
    <w:rsid w:val="009E0D98"/>
    <w:rsid w:val="00A038D6"/>
    <w:rsid w:val="00A068A1"/>
    <w:rsid w:val="00A1207D"/>
    <w:rsid w:val="00A12FD8"/>
    <w:rsid w:val="00A346FC"/>
    <w:rsid w:val="00A46D77"/>
    <w:rsid w:val="00A62E35"/>
    <w:rsid w:val="00A6376C"/>
    <w:rsid w:val="00A846F2"/>
    <w:rsid w:val="00A84F93"/>
    <w:rsid w:val="00A9601A"/>
    <w:rsid w:val="00AB1AC5"/>
    <w:rsid w:val="00AB3BFC"/>
    <w:rsid w:val="00AC4F2E"/>
    <w:rsid w:val="00AD0C37"/>
    <w:rsid w:val="00AD385F"/>
    <w:rsid w:val="00AE6E2A"/>
    <w:rsid w:val="00AF4529"/>
    <w:rsid w:val="00B03EAB"/>
    <w:rsid w:val="00B31E9C"/>
    <w:rsid w:val="00B32D99"/>
    <w:rsid w:val="00B35595"/>
    <w:rsid w:val="00B379D8"/>
    <w:rsid w:val="00B51C6D"/>
    <w:rsid w:val="00B7172A"/>
    <w:rsid w:val="00B83DD2"/>
    <w:rsid w:val="00B86D64"/>
    <w:rsid w:val="00BA4AC5"/>
    <w:rsid w:val="00BC1364"/>
    <w:rsid w:val="00BC2667"/>
    <w:rsid w:val="00BC7DE9"/>
    <w:rsid w:val="00BF479B"/>
    <w:rsid w:val="00C02577"/>
    <w:rsid w:val="00C06B0B"/>
    <w:rsid w:val="00C204FB"/>
    <w:rsid w:val="00C20BEE"/>
    <w:rsid w:val="00C2158D"/>
    <w:rsid w:val="00C25CF3"/>
    <w:rsid w:val="00C6009D"/>
    <w:rsid w:val="00C67DD2"/>
    <w:rsid w:val="00C725CB"/>
    <w:rsid w:val="00C72D19"/>
    <w:rsid w:val="00C76F5C"/>
    <w:rsid w:val="00C96BAD"/>
    <w:rsid w:val="00CA6944"/>
    <w:rsid w:val="00CB0F8E"/>
    <w:rsid w:val="00CB7E7D"/>
    <w:rsid w:val="00CC2911"/>
    <w:rsid w:val="00CD11E2"/>
    <w:rsid w:val="00CF0C6D"/>
    <w:rsid w:val="00CF4E81"/>
    <w:rsid w:val="00CF4FEE"/>
    <w:rsid w:val="00CF7307"/>
    <w:rsid w:val="00CF7C68"/>
    <w:rsid w:val="00D05D40"/>
    <w:rsid w:val="00D124FA"/>
    <w:rsid w:val="00D340DE"/>
    <w:rsid w:val="00D55723"/>
    <w:rsid w:val="00D62FAD"/>
    <w:rsid w:val="00D64355"/>
    <w:rsid w:val="00D70450"/>
    <w:rsid w:val="00D83BFD"/>
    <w:rsid w:val="00D86DBF"/>
    <w:rsid w:val="00D90A38"/>
    <w:rsid w:val="00D95739"/>
    <w:rsid w:val="00DA0515"/>
    <w:rsid w:val="00DA171E"/>
    <w:rsid w:val="00DA56AA"/>
    <w:rsid w:val="00DB5833"/>
    <w:rsid w:val="00DD2858"/>
    <w:rsid w:val="00DD578C"/>
    <w:rsid w:val="00DE363E"/>
    <w:rsid w:val="00DF489D"/>
    <w:rsid w:val="00E03E33"/>
    <w:rsid w:val="00E059E0"/>
    <w:rsid w:val="00E12B54"/>
    <w:rsid w:val="00E3642A"/>
    <w:rsid w:val="00E415C4"/>
    <w:rsid w:val="00E50016"/>
    <w:rsid w:val="00E50EAA"/>
    <w:rsid w:val="00E656D6"/>
    <w:rsid w:val="00E90E25"/>
    <w:rsid w:val="00E977EE"/>
    <w:rsid w:val="00EA1B2D"/>
    <w:rsid w:val="00EA2F24"/>
    <w:rsid w:val="00EA5C0E"/>
    <w:rsid w:val="00EA67A2"/>
    <w:rsid w:val="00EB00DD"/>
    <w:rsid w:val="00EB21B5"/>
    <w:rsid w:val="00EB630F"/>
    <w:rsid w:val="00EB6B6F"/>
    <w:rsid w:val="00EC4F98"/>
    <w:rsid w:val="00EE6525"/>
    <w:rsid w:val="00EF316E"/>
    <w:rsid w:val="00F12F02"/>
    <w:rsid w:val="00F211EB"/>
    <w:rsid w:val="00F32E0D"/>
    <w:rsid w:val="00F35134"/>
    <w:rsid w:val="00F37B9C"/>
    <w:rsid w:val="00F41812"/>
    <w:rsid w:val="00F53620"/>
    <w:rsid w:val="00F56D7F"/>
    <w:rsid w:val="00F715D1"/>
    <w:rsid w:val="00F72715"/>
    <w:rsid w:val="00F73333"/>
    <w:rsid w:val="00F86308"/>
    <w:rsid w:val="00F878CB"/>
    <w:rsid w:val="00F95D8F"/>
    <w:rsid w:val="00FB350A"/>
    <w:rsid w:val="00FB4C5D"/>
    <w:rsid w:val="00FC7A31"/>
    <w:rsid w:val="00FD0063"/>
    <w:rsid w:val="00FE1C3F"/>
    <w:rsid w:val="00FE3C25"/>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46023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393620"/>
    <w:pPr>
      <w:tabs>
        <w:tab w:val="left" w:pos="720"/>
        <w:tab w:val="left" w:pos="1140"/>
      </w:tabs>
      <w:spacing w:after="120"/>
      <w:outlineLvl w:val="1"/>
    </w:pPr>
    <w:rPr>
      <w:b/>
      <w:szCs w:val="24"/>
    </w:rPr>
  </w:style>
  <w:style w:type="paragraph" w:styleId="Heading3">
    <w:name w:val="heading 3"/>
    <w:basedOn w:val="Normal"/>
    <w:next w:val="Normal"/>
    <w:link w:val="Heading3Char"/>
    <w:unhideWhenUsed/>
    <w:qFormat/>
    <w:locked/>
    <w:rsid w:val="008F5602"/>
    <w:pPr>
      <w:keepNext/>
      <w:keepLines/>
      <w:spacing w:before="40"/>
      <w:outlineLvl w:val="2"/>
    </w:pPr>
    <w:rPr>
      <w:rFonts w:eastAsiaTheme="majorEastAsia" w:cstheme="majorBidi"/>
      <w:i/>
      <w:color w:val="000000" w:themeColor="text1"/>
      <w:szCs w:val="24"/>
    </w:rPr>
  </w:style>
  <w:style w:type="paragraph" w:styleId="Heading4">
    <w:name w:val="heading 4"/>
    <w:basedOn w:val="Normal"/>
    <w:next w:val="Normal"/>
    <w:link w:val="Heading4Char"/>
    <w:unhideWhenUsed/>
    <w:qFormat/>
    <w:locked/>
    <w:rsid w:val="008F560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aliases w:val="Table Title"/>
    <w:basedOn w:val="DefaultParagraphFont"/>
    <w:uiPriority w:val="99"/>
    <w:qFormat/>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393620"/>
    <w:rPr>
      <w:rFonts w:eastAsia="Times New Roman"/>
      <w:b/>
      <w:sz w:val="24"/>
      <w:szCs w:val="24"/>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aliases w:val="Summary box,Table Gridbeth,CMA Table Template,ASD Table,new style,PBAC table,MSD Table Grid"/>
    <w:basedOn w:val="TableNormal"/>
    <w:uiPriority w:val="39"/>
    <w:locked/>
    <w:rsid w:val="00A6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locked/>
    <w:rsid w:val="00104621"/>
    <w:pPr>
      <w:keepNext/>
      <w:spacing w:after="200"/>
      <w:outlineLvl w:val="4"/>
    </w:pPr>
    <w:rPr>
      <w:rFonts w:ascii="Arial Narrow" w:hAnsi="Arial Narrow"/>
      <w:b/>
      <w:iCs/>
      <w:sz w:val="20"/>
      <w:szCs w:val="18"/>
    </w:rPr>
  </w:style>
  <w:style w:type="paragraph" w:customStyle="1" w:styleId="Tabletext">
    <w:name w:val="Table text"/>
    <w:basedOn w:val="Normal"/>
    <w:link w:val="TabletextChar"/>
    <w:uiPriority w:val="2"/>
    <w:qFormat/>
    <w:rsid w:val="00F86308"/>
    <w:pPr>
      <w:tabs>
        <w:tab w:val="num" w:pos="426"/>
      </w:tabs>
    </w:pPr>
    <w:rPr>
      <w:rFonts w:ascii="Arial Narrow" w:hAnsi="Arial Narrow"/>
      <w:sz w:val="20"/>
    </w:rPr>
  </w:style>
  <w:style w:type="paragraph" w:customStyle="1" w:styleId="TableFooter">
    <w:name w:val="Table Footer"/>
    <w:basedOn w:val="Normal"/>
    <w:link w:val="TableFooterChar"/>
    <w:qFormat/>
    <w:rsid w:val="00F86308"/>
    <w:pPr>
      <w:jc w:val="both"/>
    </w:pPr>
    <w:rPr>
      <w:rFonts w:ascii="Arial Narrow" w:hAnsi="Arial Narrow"/>
      <w:sz w:val="18"/>
      <w:szCs w:val="24"/>
      <w:lang w:eastAsia="en-GB"/>
    </w:rPr>
  </w:style>
  <w:style w:type="character" w:customStyle="1" w:styleId="TabletextChar">
    <w:name w:val="Table text Char"/>
    <w:basedOn w:val="DefaultParagraphFont"/>
    <w:link w:val="Tabletext"/>
    <w:uiPriority w:val="2"/>
    <w:rsid w:val="00F86308"/>
    <w:rPr>
      <w:rFonts w:ascii="Arial Narrow" w:eastAsia="Times New Roman" w:hAnsi="Arial Narrow"/>
      <w:sz w:val="20"/>
      <w:szCs w:val="20"/>
    </w:rPr>
  </w:style>
  <w:style w:type="character" w:customStyle="1" w:styleId="TableFooterChar">
    <w:name w:val="Table Footer Char"/>
    <w:link w:val="TableFooter"/>
    <w:rsid w:val="00F86308"/>
    <w:rPr>
      <w:rFonts w:ascii="Arial Narrow" w:eastAsia="Times New Roman" w:hAnsi="Arial Narrow"/>
      <w:sz w:val="18"/>
      <w:szCs w:val="24"/>
      <w:lang w:eastAsia="en-GB"/>
    </w:rPr>
  </w:style>
  <w:style w:type="paragraph" w:customStyle="1" w:styleId="TableText0">
    <w:name w:val="Table Text"/>
    <w:link w:val="TableTextChar0"/>
    <w:qFormat/>
    <w:rsid w:val="00F86308"/>
    <w:pPr>
      <w:keepNext/>
    </w:pPr>
    <w:rPr>
      <w:rFonts w:ascii="Arial Narrow" w:eastAsiaTheme="majorEastAsia" w:hAnsi="Arial Narrow" w:cstheme="majorBidi"/>
      <w:bCs/>
      <w:sz w:val="20"/>
      <w:szCs w:val="24"/>
    </w:rPr>
  </w:style>
  <w:style w:type="paragraph" w:customStyle="1" w:styleId="In-tableHeading">
    <w:name w:val="In-table Heading"/>
    <w:qFormat/>
    <w:rsid w:val="00F86308"/>
    <w:pPr>
      <w:keepNext/>
    </w:pPr>
    <w:rPr>
      <w:rFonts w:ascii="Arial Narrow" w:eastAsiaTheme="majorEastAsia" w:hAnsi="Arial Narrow"/>
      <w:b/>
      <w:sz w:val="20"/>
      <w:szCs w:val="24"/>
      <w:lang w:val="en-US"/>
    </w:rPr>
  </w:style>
  <w:style w:type="paragraph" w:customStyle="1" w:styleId="2-SectionHeading">
    <w:name w:val="2-Section Heading"/>
    <w:qFormat/>
    <w:rsid w:val="00F86308"/>
    <w:pPr>
      <w:keepNext/>
      <w:numPr>
        <w:numId w:val="27"/>
      </w:numPr>
      <w:spacing w:before="240" w:after="120"/>
      <w:outlineLvl w:val="0"/>
    </w:pPr>
    <w:rPr>
      <w:rFonts w:asciiTheme="minorHAnsi" w:eastAsia="Times New Roman" w:hAnsiTheme="minorHAnsi" w:cs="Arial"/>
      <w:b/>
      <w:snapToGrid w:val="0"/>
      <w:sz w:val="32"/>
      <w:szCs w:val="32"/>
    </w:rPr>
  </w:style>
  <w:style w:type="paragraph" w:customStyle="1" w:styleId="TableFigureHeading">
    <w:name w:val="Table/Figure Heading"/>
    <w:next w:val="In-tableHeading"/>
    <w:link w:val="TableFigureHeadingChar"/>
    <w:qFormat/>
    <w:rsid w:val="00F86308"/>
    <w:pPr>
      <w:keepNext/>
    </w:pPr>
    <w:rPr>
      <w:rFonts w:ascii="Arial Narrow" w:eastAsiaTheme="majorEastAsia" w:hAnsi="Arial Narrow" w:cstheme="majorBidi"/>
      <w:b/>
      <w:bCs/>
      <w:sz w:val="20"/>
      <w:szCs w:val="24"/>
    </w:rPr>
  </w:style>
  <w:style w:type="character" w:customStyle="1" w:styleId="TableFigureHeadingChar">
    <w:name w:val="Table/Figure Heading Char"/>
    <w:basedOn w:val="DefaultParagraphFont"/>
    <w:link w:val="TableFigureHeading"/>
    <w:rsid w:val="00F86308"/>
    <w:rPr>
      <w:rFonts w:ascii="Arial Narrow" w:eastAsiaTheme="majorEastAsia" w:hAnsi="Arial Narrow" w:cstheme="majorBidi"/>
      <w:b/>
      <w:bCs/>
      <w:sz w:val="20"/>
      <w:szCs w:val="24"/>
    </w:rPr>
  </w:style>
  <w:style w:type="paragraph" w:customStyle="1" w:styleId="3-BodyText">
    <w:name w:val="3-Body Text"/>
    <w:basedOn w:val="ListParagraph"/>
    <w:link w:val="3-BodyTextChar"/>
    <w:rsid w:val="00F86308"/>
    <w:pPr>
      <w:numPr>
        <w:ilvl w:val="1"/>
        <w:numId w:val="27"/>
      </w:numPr>
      <w:spacing w:after="120"/>
      <w:contextualSpacing w:val="0"/>
      <w:jc w:val="both"/>
    </w:pPr>
    <w:rPr>
      <w:rFonts w:asciiTheme="minorHAnsi" w:hAnsiTheme="minorHAnsi" w:cs="Arial"/>
      <w:snapToGrid w:val="0"/>
      <w:szCs w:val="24"/>
    </w:rPr>
  </w:style>
  <w:style w:type="character" w:customStyle="1" w:styleId="3-BodyTextChar">
    <w:name w:val="3-Body Text Char"/>
    <w:basedOn w:val="DefaultParagraphFont"/>
    <w:link w:val="3-BodyText"/>
    <w:rsid w:val="00F86308"/>
    <w:rPr>
      <w:rFonts w:asciiTheme="minorHAnsi" w:eastAsia="Times New Roman" w:hAnsiTheme="minorHAnsi" w:cs="Arial"/>
      <w:snapToGrid w:val="0"/>
      <w:sz w:val="24"/>
      <w:szCs w:val="24"/>
    </w:rPr>
  </w:style>
  <w:style w:type="character" w:customStyle="1" w:styleId="TableTextChar0">
    <w:name w:val="Table Text Char"/>
    <w:basedOn w:val="DefaultParagraphFont"/>
    <w:link w:val="TableText0"/>
    <w:rsid w:val="00F86308"/>
    <w:rPr>
      <w:rFonts w:ascii="Arial Narrow" w:eastAsiaTheme="majorEastAsia" w:hAnsi="Arial Narrow" w:cstheme="majorBidi"/>
      <w:bCs/>
      <w:sz w:val="20"/>
      <w:szCs w:val="24"/>
    </w:rPr>
  </w:style>
  <w:style w:type="paragraph" w:customStyle="1" w:styleId="TableFigureFooter">
    <w:name w:val="Table/Figure Footer"/>
    <w:basedOn w:val="Normal"/>
    <w:link w:val="TableFigureFooterChar"/>
    <w:qFormat/>
    <w:rsid w:val="00104621"/>
    <w:pPr>
      <w:spacing w:after="160"/>
      <w:contextualSpacing/>
      <w:jc w:val="both"/>
    </w:pPr>
    <w:rPr>
      <w:rFonts w:ascii="Arial Narrow" w:hAnsi="Arial Narrow"/>
      <w:snapToGrid w:val="0"/>
      <w:sz w:val="18"/>
      <w:szCs w:val="22"/>
      <w:lang w:eastAsia="en-GB"/>
    </w:rPr>
  </w:style>
  <w:style w:type="character" w:customStyle="1" w:styleId="TableFigureFooterChar">
    <w:name w:val="Table/Figure Footer Char"/>
    <w:link w:val="TableFigureFooter"/>
    <w:rsid w:val="00104621"/>
    <w:rPr>
      <w:rFonts w:ascii="Arial Narrow" w:eastAsia="Times New Roman" w:hAnsi="Arial Narrow"/>
      <w:snapToGrid w:val="0"/>
      <w:sz w:val="18"/>
      <w:lang w:eastAsia="en-GB"/>
    </w:rPr>
  </w:style>
  <w:style w:type="paragraph" w:customStyle="1" w:styleId="V50Instructions">
    <w:name w:val="V5.0 Instructions"/>
    <w:basedOn w:val="Normal"/>
    <w:link w:val="V50InstructionsChar"/>
    <w:qFormat/>
    <w:rsid w:val="00907BF9"/>
    <w:pPr>
      <w:spacing w:before="120" w:after="160"/>
      <w:jc w:val="both"/>
    </w:pPr>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907BF9"/>
    <w:rPr>
      <w:rFonts w:asciiTheme="minorHAnsi" w:eastAsiaTheme="minorHAnsi" w:hAnsiTheme="minorHAnsi" w:cstheme="minorBidi"/>
      <w:color w:val="4BACC6" w:themeColor="accent5"/>
      <w:sz w:val="24"/>
      <w:lang w:eastAsia="en-US"/>
    </w:rPr>
  </w:style>
  <w:style w:type="paragraph" w:customStyle="1" w:styleId="TableLeft">
    <w:name w:val="Table Left"/>
    <w:basedOn w:val="Normal"/>
    <w:link w:val="TableLeftChar"/>
    <w:uiPriority w:val="99"/>
    <w:qFormat/>
    <w:rsid w:val="00CF4FEE"/>
    <w:pPr>
      <w:jc w:val="both"/>
    </w:pPr>
    <w:rPr>
      <w:rFonts w:ascii="Calibri" w:eastAsiaTheme="majorEastAsia" w:hAnsi="Calibri" w:cstheme="majorBidi"/>
      <w:sz w:val="18"/>
      <w:szCs w:val="22"/>
      <w:lang w:eastAsia="en-US" w:bidi="en-US"/>
    </w:rPr>
  </w:style>
  <w:style w:type="character" w:customStyle="1" w:styleId="TableLeftChar">
    <w:name w:val="Table Left Char"/>
    <w:basedOn w:val="DefaultParagraphFont"/>
    <w:link w:val="TableLeft"/>
    <w:uiPriority w:val="99"/>
    <w:locked/>
    <w:rsid w:val="00CF4FEE"/>
    <w:rPr>
      <w:rFonts w:ascii="Calibri" w:eastAsiaTheme="majorEastAsia" w:hAnsi="Calibri" w:cstheme="majorBidi"/>
      <w:sz w:val="18"/>
      <w:lang w:eastAsia="en-US" w:bidi="en-US"/>
    </w:rPr>
  </w:style>
  <w:style w:type="paragraph" w:customStyle="1" w:styleId="TableCentre">
    <w:name w:val="Table Centre"/>
    <w:basedOn w:val="Normal"/>
    <w:qFormat/>
    <w:rsid w:val="00CF4FEE"/>
    <w:pPr>
      <w:jc w:val="center"/>
    </w:pPr>
    <w:rPr>
      <w:rFonts w:ascii="Calibri" w:eastAsiaTheme="majorEastAsia" w:hAnsi="Calibri" w:cstheme="majorBidi"/>
      <w:sz w:val="18"/>
      <w:szCs w:val="22"/>
      <w:lang w:eastAsia="en-US" w:bidi="en-US"/>
    </w:rPr>
  </w:style>
  <w:style w:type="table" w:customStyle="1" w:styleId="Submissionstandard1">
    <w:name w:val="Submission standard1"/>
    <w:basedOn w:val="TableNormal"/>
    <w:uiPriority w:val="99"/>
    <w:qFormat/>
    <w:rsid w:val="00CF4FEE"/>
    <w:rPr>
      <w:rFonts w:ascii="Arial Narrow" w:eastAsiaTheme="majorEastAsia" w:hAnsi="Arial Narrow" w:cstheme="majorBidi"/>
      <w:sz w:val="20"/>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STLiti" w:hAnsi="STLiti"/>
        <w:b/>
        <w:sz w:val="20"/>
      </w:rPr>
      <w:tblPr/>
      <w:tcPr>
        <w:shd w:val="clear" w:color="auto" w:fill="BFBFBF" w:themeFill="background1" w:themeFillShade="BF"/>
      </w:tcPr>
    </w:tblStylePr>
  </w:style>
  <w:style w:type="paragraph" w:styleId="ListBullet">
    <w:name w:val="List Bullet"/>
    <w:basedOn w:val="Normal"/>
    <w:unhideWhenUsed/>
    <w:rsid w:val="00491A29"/>
    <w:pPr>
      <w:numPr>
        <w:numId w:val="28"/>
      </w:numPr>
      <w:contextualSpacing/>
      <w:jc w:val="both"/>
    </w:pPr>
    <w:rPr>
      <w:rFonts w:ascii="Calibri" w:hAnsi="Calibri"/>
      <w:szCs w:val="24"/>
      <w:lang w:eastAsia="en-GB"/>
    </w:rPr>
  </w:style>
  <w:style w:type="character" w:customStyle="1" w:styleId="Heading3Char">
    <w:name w:val="Heading 3 Char"/>
    <w:basedOn w:val="DefaultParagraphFont"/>
    <w:link w:val="Heading3"/>
    <w:rsid w:val="008F5602"/>
    <w:rPr>
      <w:rFonts w:eastAsiaTheme="majorEastAsia" w:cstheme="majorBidi"/>
      <w:i/>
      <w:color w:val="000000" w:themeColor="text1"/>
      <w:sz w:val="24"/>
      <w:szCs w:val="24"/>
    </w:rPr>
  </w:style>
  <w:style w:type="character" w:customStyle="1" w:styleId="Heading4Char">
    <w:name w:val="Heading 4 Char"/>
    <w:basedOn w:val="DefaultParagraphFont"/>
    <w:link w:val="Heading4"/>
    <w:rsid w:val="008F5602"/>
    <w:rPr>
      <w:rFonts w:asciiTheme="majorHAnsi" w:eastAsiaTheme="majorEastAsia" w:hAnsiTheme="majorHAnsi" w:cstheme="majorBidi"/>
      <w:i/>
      <w:iCs/>
      <w:color w:val="365F91" w:themeColor="accent1" w:themeShade="BF"/>
      <w:sz w:val="24"/>
      <w:szCs w:val="20"/>
    </w:rPr>
  </w:style>
  <w:style w:type="paragraph" w:styleId="Quote">
    <w:name w:val="Quote"/>
    <w:basedOn w:val="Normal"/>
    <w:link w:val="QuoteChar"/>
    <w:rsid w:val="00EB00DD"/>
    <w:pPr>
      <w:spacing w:after="240"/>
      <w:ind w:left="720" w:right="720"/>
    </w:pPr>
    <w:rPr>
      <w:color w:val="000000"/>
      <w:sz w:val="20"/>
    </w:rPr>
  </w:style>
  <w:style w:type="character" w:customStyle="1" w:styleId="QuoteChar">
    <w:name w:val="Quote Char"/>
    <w:basedOn w:val="DefaultParagraphFont"/>
    <w:link w:val="Quote"/>
    <w:rsid w:val="00EB00DD"/>
    <w:rPr>
      <w:rFonts w:eastAsia="Times New Roman"/>
      <w:color w:val="000000"/>
      <w:sz w:val="20"/>
      <w:szCs w:val="20"/>
    </w:rPr>
  </w:style>
  <w:style w:type="paragraph" w:customStyle="1" w:styleId="NormalBeforeBullet">
    <w:name w:val="NormalBeforeBullet"/>
    <w:basedOn w:val="Normal"/>
    <w:qFormat/>
    <w:rsid w:val="00EB00DD"/>
    <w:pPr>
      <w:keepNext/>
      <w:spacing w:after="12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sac.gov.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ga-search.clients.funnelback.com/s/search.html?collection=tga-artg&amp;profile=record&amp;meta_i=17065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tga-search.clients.funnelback.com/s/search.html?collection=tga-artg&amp;profile=record&amp;meta_i=7412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1702C-2490-487C-9931-F75E338DF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1600</Words>
  <Characters>9489</Characters>
  <Application>Microsoft Office Word</Application>
  <DocSecurity>0</DocSecurity>
  <Lines>79</Lines>
  <Paragraphs>22</Paragraphs>
  <ScaleCrop>false</ScaleCrop>
  <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2020-09-08T00:57:00Z</dcterms:created>
  <dcterms:modified xsi:type="dcterms:W3CDTF">2020-10-12T23:15:00Z</dcterms:modified>
</cp:coreProperties>
</file>