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F005" w14:textId="00D185B8" w:rsidR="00DB2224" w:rsidRDefault="00DB2224" w:rsidP="009379EB">
      <w:pPr>
        <w:jc w:val="center"/>
      </w:pPr>
    </w:p>
    <w:p w14:paraId="34A1E7C1" w14:textId="77777777" w:rsidR="0056015F" w:rsidRDefault="0056015F" w:rsidP="0056015F"/>
    <w:p w14:paraId="42449F6B" w14:textId="2A01B21E" w:rsidR="0056015F" w:rsidRDefault="00242A01" w:rsidP="0056015F">
      <w:pPr>
        <w:pStyle w:val="TitleBlue"/>
      </w:pPr>
      <w:r>
        <w:rPr>
          <w:color w:val="538DD3"/>
        </w:rPr>
        <w:t>TECARTUS (</w:t>
      </w:r>
      <w:r w:rsidR="005C3989">
        <w:rPr>
          <w:color w:val="538DD3"/>
        </w:rPr>
        <w:t>b</w:t>
      </w:r>
      <w:r>
        <w:rPr>
          <w:color w:val="538DD3"/>
        </w:rPr>
        <w:t>rexucabtagene autoleucel) for relapsed or refractory</w:t>
      </w:r>
      <w:r>
        <w:rPr>
          <w:color w:val="538DD3"/>
          <w:spacing w:val="1"/>
        </w:rPr>
        <w:t xml:space="preserve"> adult </w:t>
      </w:r>
      <w:r w:rsidR="00D30891" w:rsidRPr="00D30891">
        <w:rPr>
          <w:color w:val="538DD3"/>
          <w:spacing w:val="1"/>
        </w:rPr>
        <w:t xml:space="preserve">B-precursor </w:t>
      </w:r>
      <w:r>
        <w:rPr>
          <w:color w:val="538DD3"/>
        </w:rPr>
        <w:t>acute lymphoblastic</w:t>
      </w:r>
      <w:r>
        <w:rPr>
          <w:color w:val="538DD3"/>
          <w:spacing w:val="-1"/>
        </w:rPr>
        <w:t xml:space="preserve"> </w:t>
      </w:r>
      <w:r>
        <w:rPr>
          <w:color w:val="538DD3"/>
        </w:rPr>
        <w:t>l</w:t>
      </w:r>
      <w:r w:rsidR="00713D22">
        <w:rPr>
          <w:color w:val="538DD3"/>
        </w:rPr>
        <w:t>euk</w:t>
      </w:r>
      <w:r w:rsidR="00F84675">
        <w:rPr>
          <w:color w:val="538DD3"/>
        </w:rPr>
        <w:t>a</w:t>
      </w:r>
      <w:r w:rsidR="00BE39FC">
        <w:rPr>
          <w:color w:val="538DD3"/>
        </w:rPr>
        <w:t>e</w:t>
      </w:r>
      <w:r w:rsidR="00713D22">
        <w:rPr>
          <w:color w:val="538DD3"/>
        </w:rPr>
        <w:t>mia</w:t>
      </w:r>
      <w:r>
        <w:rPr>
          <w:color w:val="538DD3"/>
        </w:rPr>
        <w:t xml:space="preserve"> (</w:t>
      </w:r>
      <w:r w:rsidR="00713D22">
        <w:rPr>
          <w:color w:val="538DD3"/>
        </w:rPr>
        <w:t>R/R aALL</w:t>
      </w:r>
      <w:r>
        <w:rPr>
          <w:color w:val="538DD3"/>
        </w:rPr>
        <w:t>)</w:t>
      </w:r>
    </w:p>
    <w:p w14:paraId="4477DBBB" w14:textId="7D193FBD" w:rsidR="00242A01" w:rsidRPr="0056015F" w:rsidRDefault="001122FD" w:rsidP="0056015F">
      <w:pPr>
        <w:pStyle w:val="TitleBlue"/>
      </w:pPr>
      <w:r>
        <w:t xml:space="preserve">Resubmission </w:t>
      </w:r>
      <w:r w:rsidRPr="001122FD">
        <w:t>MSAC Application 1723.1</w:t>
      </w:r>
    </w:p>
    <w:p w14:paraId="5DA4B093"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w:t>
      </w:r>
      <w:r w:rsidR="00554E7A">
        <w:rPr>
          <w:sz w:val="28"/>
          <w:szCs w:val="28"/>
        </w:rPr>
        <w:t xml:space="preserve"> / or</w:t>
      </w:r>
      <w:r w:rsidR="001906CD" w:rsidRPr="00D73646">
        <w:rPr>
          <w:sz w:val="28"/>
          <w:szCs w:val="28"/>
        </w:rPr>
        <w:t xml:space="preserve"> Amended</w:t>
      </w:r>
    </w:p>
    <w:p w14:paraId="1216D60A" w14:textId="77777777" w:rsidR="00E44B80" w:rsidRPr="00D73646" w:rsidRDefault="00554E7A" w:rsidP="00D73646">
      <w:pPr>
        <w:pStyle w:val="Title"/>
        <w:spacing w:before="240"/>
        <w:rPr>
          <w:sz w:val="28"/>
          <w:szCs w:val="28"/>
        </w:rPr>
      </w:pPr>
      <w:r>
        <w:rPr>
          <w:sz w:val="28"/>
          <w:szCs w:val="28"/>
        </w:rPr>
        <w:t>Request</w:t>
      </w:r>
      <w:r w:rsidR="003433D1" w:rsidRPr="00D73646">
        <w:rPr>
          <w:sz w:val="28"/>
          <w:szCs w:val="28"/>
        </w:rPr>
        <w:t xml:space="preserve"> for Public Funding</w:t>
      </w:r>
      <w:r w:rsidR="008B2610" w:rsidRPr="00D73646">
        <w:rPr>
          <w:sz w:val="28"/>
          <w:szCs w:val="28"/>
        </w:rPr>
        <w:t>)</w:t>
      </w:r>
    </w:p>
    <w:p w14:paraId="111E00EC" w14:textId="77777777" w:rsidR="003013A9" w:rsidRPr="00D73646" w:rsidRDefault="003013A9" w:rsidP="0056015F">
      <w:pPr>
        <w:pStyle w:val="Title"/>
        <w:spacing w:before="240" w:after="440"/>
        <w:rPr>
          <w:sz w:val="28"/>
          <w:szCs w:val="28"/>
        </w:rPr>
      </w:pPr>
      <w:r w:rsidRPr="00D73646">
        <w:rPr>
          <w:sz w:val="28"/>
          <w:szCs w:val="28"/>
        </w:rPr>
        <w:t xml:space="preserve">(Version </w:t>
      </w:r>
      <w:r w:rsidR="00554E7A">
        <w:rPr>
          <w:sz w:val="28"/>
          <w:szCs w:val="28"/>
        </w:rPr>
        <w:t>2.4</w:t>
      </w:r>
      <w:r w:rsidRPr="00D73646">
        <w:rPr>
          <w:sz w:val="28"/>
          <w:szCs w:val="28"/>
        </w:rPr>
        <w:t>)</w:t>
      </w:r>
    </w:p>
    <w:p w14:paraId="4716158E"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proofErr w:type="gramStart"/>
      <w:r w:rsidR="008B2610" w:rsidRPr="00154B00">
        <w:t xml:space="preserve">.  </w:t>
      </w:r>
      <w:proofErr w:type="gramEnd"/>
      <w:r w:rsidR="008B2610" w:rsidRPr="00154B00">
        <w:t>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3545CECA"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w:t>
      </w:r>
      <w:proofErr w:type="gramStart"/>
      <w:r w:rsidRPr="00154B00">
        <w:t xml:space="preserve">.  </w:t>
      </w:r>
      <w:proofErr w:type="gramEnd"/>
      <w:r w:rsidRPr="00154B00">
        <w:t>Please complete all questions that are applicable to the proposed service, providing relevant information only</w:t>
      </w:r>
      <w:proofErr w:type="gramStart"/>
      <w:r w:rsidRPr="00154B00">
        <w:t>.</w:t>
      </w:r>
      <w:r w:rsidR="009F5758" w:rsidRPr="00154B00">
        <w:t xml:space="preserve">  </w:t>
      </w:r>
      <w:proofErr w:type="gramEnd"/>
      <w:r w:rsidR="009F5758" w:rsidRPr="00154B00">
        <w:t xml:space="preserve">Applications not completed in full will not </w:t>
      </w:r>
      <w:proofErr w:type="gramStart"/>
      <w:r w:rsidR="009F5758" w:rsidRPr="00154B00">
        <w:t>be accepted</w:t>
      </w:r>
      <w:proofErr w:type="gramEnd"/>
      <w:r w:rsidR="009F5758" w:rsidRPr="00154B00">
        <w:t>.</w:t>
      </w:r>
      <w:r w:rsidR="003B605D" w:rsidRPr="003B605D">
        <w:t xml:space="preserve"> The separate </w:t>
      </w:r>
      <w:r w:rsidR="003B605D" w:rsidRPr="003B605D">
        <w:rPr>
          <w:u w:val="single"/>
        </w:rPr>
        <w:t>MSAC Guidelines</w:t>
      </w:r>
      <w:r w:rsidR="003B605D" w:rsidRPr="003B605D">
        <w:t xml:space="preserve"> should </w:t>
      </w:r>
      <w:proofErr w:type="gramStart"/>
      <w:r w:rsidR="003B605D" w:rsidRPr="003B605D">
        <w:t>be used</w:t>
      </w:r>
      <w:proofErr w:type="gramEnd"/>
      <w:r w:rsidR="003B605D" w:rsidRPr="003B605D">
        <w:t xml:space="preserve"> to guide health technology assessment (HTA) content of the Application Form</w:t>
      </w:r>
    </w:p>
    <w:p w14:paraId="521AEBEE"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6DD9ED6A" w14:textId="77777777" w:rsidR="009F5758" w:rsidRPr="00154B00" w:rsidRDefault="009F5758" w:rsidP="003F7CB9">
      <w:pPr>
        <w:spacing w:before="0" w:after="0"/>
      </w:pPr>
    </w:p>
    <w:p w14:paraId="5C75E12F" w14:textId="770122F3" w:rsidR="009F5758" w:rsidRPr="00154B00" w:rsidRDefault="009F5758" w:rsidP="003F7CB9">
      <w:pPr>
        <w:spacing w:before="0" w:after="0"/>
      </w:pPr>
      <w:r w:rsidRPr="00154B00">
        <w:t xml:space="preserve">Email:  </w:t>
      </w:r>
      <w:r w:rsidRPr="001B3A6F">
        <w:rPr>
          <w:szCs w:val="20"/>
        </w:rPr>
        <w:t>hta@health.gov.au</w:t>
      </w:r>
    </w:p>
    <w:p w14:paraId="314CB4A6" w14:textId="11F58F5C" w:rsidR="009F5758" w:rsidRPr="00154B00" w:rsidRDefault="009F5758" w:rsidP="003F7CB9">
      <w:pPr>
        <w:spacing w:before="0" w:after="0"/>
      </w:pPr>
      <w:r w:rsidRPr="00154B00">
        <w:t xml:space="preserve">Website:  </w:t>
      </w:r>
      <w:r w:rsidR="008E6227" w:rsidRPr="001B3A6F">
        <w:t>www.msac.gov.au</w:t>
      </w:r>
      <w:r w:rsidR="008E6227">
        <w:t xml:space="preserve"> </w:t>
      </w:r>
      <w:r w:rsidR="001A02E3">
        <w:t xml:space="preserve"> </w:t>
      </w:r>
    </w:p>
    <w:p w14:paraId="66BAFF59"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2EE2D844"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F8F87DD" w14:textId="4735C55D"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505BF6FC" w14:textId="076F7AB6" w:rsidR="00C171FB" w:rsidRDefault="00C171FB" w:rsidP="00005B53">
      <w:pPr>
        <w:pBdr>
          <w:top w:val="single" w:sz="4" w:space="1" w:color="auto"/>
          <w:left w:val="single" w:sz="4" w:space="4" w:color="auto"/>
          <w:bottom w:val="single" w:sz="4" w:space="1" w:color="auto"/>
          <w:right w:val="single" w:sz="4" w:space="4" w:color="auto"/>
        </w:pBdr>
        <w:shd w:val="clear" w:color="auto" w:fill="FFFFFF" w:themeFill="background1"/>
      </w:pPr>
      <w:r>
        <w:t xml:space="preserve">Corporation name: </w:t>
      </w:r>
      <w:r w:rsidR="00E05451" w:rsidRPr="00005B53">
        <w:rPr>
          <w:noProof/>
        </w:rPr>
        <w:t>Gilead Sciences Pty Limited</w:t>
      </w:r>
    </w:p>
    <w:p w14:paraId="731F093F" w14:textId="1A600AFB"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F84FF9">
        <w:t>REDACTED</w:t>
      </w:r>
    </w:p>
    <w:p w14:paraId="08B29EB7" w14:textId="0E0DE4C0"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E05451" w:rsidRPr="00005B53">
        <w:rPr>
          <w:noProof/>
        </w:rPr>
        <w:t>Gilead Sciences Pty Limited</w:t>
      </w:r>
    </w:p>
    <w:p w14:paraId="477F8A74" w14:textId="77777777" w:rsidR="00C171FB" w:rsidRPr="00C171FB" w:rsidRDefault="00C171FB" w:rsidP="00C171FB"/>
    <w:p w14:paraId="02EF51EC" w14:textId="26EA6AAB" w:rsidR="00C171FB" w:rsidRPr="00C171FB" w:rsidRDefault="00C171FB" w:rsidP="00C171FB">
      <w:pPr>
        <w:rPr>
          <w:b/>
        </w:rPr>
      </w:pPr>
      <w:r>
        <w:rPr>
          <w:b/>
        </w:rPr>
        <w:t xml:space="preserve">Primary contact name: </w:t>
      </w:r>
      <w:r w:rsidR="00F84FF9">
        <w:t>REDACTED</w:t>
      </w:r>
    </w:p>
    <w:p w14:paraId="32266CA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07240D8F" w14:textId="0FF44CBD"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84FF9">
        <w:t>REDACTED</w:t>
      </w:r>
    </w:p>
    <w:p w14:paraId="0D28CFDD" w14:textId="27A4B5E2"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F84FF9">
        <w:t>REDACTED</w:t>
      </w:r>
    </w:p>
    <w:p w14:paraId="71BB0B80" w14:textId="4379088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84FF9">
        <w:t>REDACTED</w:t>
      </w:r>
    </w:p>
    <w:p w14:paraId="2FB532E0" w14:textId="77777777" w:rsidR="00C171FB" w:rsidRDefault="00C171FB" w:rsidP="00C171FB">
      <w:pPr>
        <w:rPr>
          <w:b/>
        </w:rPr>
      </w:pPr>
    </w:p>
    <w:p w14:paraId="556D7B23" w14:textId="2A4B2689" w:rsidR="00C171FB" w:rsidRPr="00C171FB" w:rsidRDefault="00C171FB" w:rsidP="00C171FB">
      <w:pPr>
        <w:rPr>
          <w:b/>
        </w:rPr>
      </w:pPr>
      <w:r>
        <w:rPr>
          <w:b/>
        </w:rPr>
        <w:t xml:space="preserve">Alternative contact name: </w:t>
      </w:r>
      <w:r w:rsidR="00F84FF9">
        <w:t>REDACTED</w:t>
      </w:r>
    </w:p>
    <w:p w14:paraId="6419DDA8"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F595E1B" w14:textId="08726BED"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F84FF9">
        <w:t>REDACTED</w:t>
      </w:r>
    </w:p>
    <w:p w14:paraId="327C171D" w14:textId="38BEB5D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F84FF9">
        <w:t>REDACTED</w:t>
      </w:r>
    </w:p>
    <w:p w14:paraId="5D8F7D30" w14:textId="00678CE3"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F84FF9">
        <w:t>REDACTED</w:t>
      </w:r>
    </w:p>
    <w:p w14:paraId="64C2897B" w14:textId="77777777" w:rsidR="00C171FB" w:rsidRPr="00C171FB" w:rsidRDefault="00C171FB" w:rsidP="00C171FB"/>
    <w:p w14:paraId="162114DE" w14:textId="77777777" w:rsidR="00AD2E85" w:rsidRDefault="00AD2E85" w:rsidP="004A0BF4">
      <w:pPr>
        <w:pStyle w:val="Heading2"/>
      </w:pPr>
      <w:r>
        <w:t xml:space="preserve">(a) </w:t>
      </w:r>
      <w:r w:rsidRPr="00AD2E85">
        <w:t>Are you a consultant acting on behalf on an applicant?</w:t>
      </w:r>
    </w:p>
    <w:p w14:paraId="0E2A52AE" w14:textId="098C1F2A" w:rsidR="00AD2E85" w:rsidRDefault="00A73EFA" w:rsidP="00AD2E85">
      <w:pPr>
        <w:spacing w:before="0" w:after="0"/>
        <w:ind w:left="426"/>
        <w:rPr>
          <w:szCs w:val="20"/>
        </w:rPr>
      </w:pPr>
      <w:r>
        <w:rPr>
          <w:szCs w:val="20"/>
        </w:rPr>
        <w:fldChar w:fldCharType="begin">
          <w:ffData>
            <w:name w:val=""/>
            <w:enabled w:val="0"/>
            <w:calcOnExit w:val="0"/>
            <w:checkBox>
              <w:sizeAuto/>
              <w:default w:val="0"/>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AD2E85">
        <w:rPr>
          <w:szCs w:val="20"/>
        </w:rPr>
        <w:t xml:space="preserve"> Yes</w:t>
      </w:r>
    </w:p>
    <w:p w14:paraId="08B2A260" w14:textId="11442863" w:rsidR="00AD2E85" w:rsidRPr="00753C44" w:rsidRDefault="005C3989" w:rsidP="00AD2E85">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AD2E85">
        <w:rPr>
          <w:szCs w:val="20"/>
        </w:rPr>
        <w:t xml:space="preserve"> No</w:t>
      </w:r>
      <w:r w:rsidR="00AD2E85" w:rsidRPr="00753C44">
        <w:rPr>
          <w:szCs w:val="20"/>
        </w:rPr>
        <w:t xml:space="preserve">  </w:t>
      </w:r>
    </w:p>
    <w:p w14:paraId="480BE317" w14:textId="77777777" w:rsidR="00AD2E85" w:rsidRPr="00AD2E85" w:rsidRDefault="00AD2E85" w:rsidP="00AD2E85">
      <w:pPr>
        <w:ind w:firstLine="360"/>
        <w:rPr>
          <w:b/>
        </w:rPr>
      </w:pPr>
      <w:r w:rsidRPr="00AD2E85">
        <w:rPr>
          <w:b/>
        </w:rPr>
        <w:t>(b) If yes what is the Applicant(s) name that you are acting on behalf of?</w:t>
      </w:r>
    </w:p>
    <w:p w14:paraId="0B13B543" w14:textId="77777777" w:rsidR="00AD2E85" w:rsidRPr="00AD2E85" w:rsidRDefault="00AD2E85" w:rsidP="00AD2E85"/>
    <w:p w14:paraId="0E1D7EE5" w14:textId="77777777" w:rsidR="00534C5F" w:rsidRPr="00154B00" w:rsidRDefault="00494011" w:rsidP="004A0BF4">
      <w:pPr>
        <w:pStyle w:val="Heading2"/>
      </w:pPr>
      <w:r>
        <w:t xml:space="preserve">(a) </w:t>
      </w:r>
      <w:r w:rsidR="00534C5F">
        <w:t>Are you a lobbyist acting on behalf of an Applicant?</w:t>
      </w:r>
    </w:p>
    <w:p w14:paraId="1C99C979"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w:t>
      </w:r>
    </w:p>
    <w:p w14:paraId="52D2D5DC" w14:textId="3FDB4868" w:rsidR="00A6491A" w:rsidRPr="00753C44" w:rsidRDefault="00746D2E"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9C6C24">
        <w:rPr>
          <w:szCs w:val="20"/>
        </w:rPr>
      </w:r>
      <w:r w:rsidR="009C6C24">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14:paraId="7D634DE2" w14:textId="77777777" w:rsidR="00534C5F" w:rsidRPr="00154B00" w:rsidRDefault="00534C5F" w:rsidP="00056F06">
      <w:pPr>
        <w:pStyle w:val="Heading2"/>
        <w:numPr>
          <w:ilvl w:val="0"/>
          <w:numId w:val="2"/>
        </w:numPr>
      </w:pPr>
      <w:r w:rsidRPr="00154B00">
        <w:t xml:space="preserve">If yes, </w:t>
      </w:r>
      <w:r>
        <w:t xml:space="preserve">are </w:t>
      </w:r>
      <w:r w:rsidRPr="00FE33A6">
        <w:t>you</w:t>
      </w:r>
      <w:r>
        <w:t xml:space="preserve"> listed on the Register of Lobbyists?</w:t>
      </w:r>
    </w:p>
    <w:p w14:paraId="65AFC5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w:t>
      </w:r>
    </w:p>
    <w:p w14:paraId="23401B67"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No</w:t>
      </w:r>
      <w:r w:rsidRPr="00753C44">
        <w:rPr>
          <w:szCs w:val="20"/>
        </w:rPr>
        <w:t xml:space="preserve">  </w:t>
      </w:r>
    </w:p>
    <w:p w14:paraId="6D67FACF" w14:textId="3EAA0DE6" w:rsidR="00CE0F9E" w:rsidRPr="00154B00" w:rsidRDefault="00CE0F9E" w:rsidP="00056F06">
      <w:pPr>
        <w:pStyle w:val="Heading2"/>
        <w:numPr>
          <w:ilvl w:val="0"/>
          <w:numId w:val="2"/>
        </w:numPr>
      </w:pPr>
      <w:r>
        <w:t>Have you engaged a consultant on your behalf?</w:t>
      </w:r>
      <w:r w:rsidR="00B5456E">
        <w:t xml:space="preserve"> </w:t>
      </w:r>
    </w:p>
    <w:p w14:paraId="490DC079"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 </w:t>
      </w:r>
    </w:p>
    <w:p w14:paraId="2F9DC3BD" w14:textId="551BF38A" w:rsidR="00CE0F9E" w:rsidRDefault="00DB2224"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CE0F9E">
        <w:rPr>
          <w:szCs w:val="20"/>
        </w:rPr>
        <w:t xml:space="preserve"> No</w:t>
      </w:r>
      <w:r w:rsidR="00CE0F9E" w:rsidRPr="00753C44">
        <w:rPr>
          <w:szCs w:val="20"/>
        </w:rPr>
        <w:t xml:space="preserve">  </w:t>
      </w:r>
    </w:p>
    <w:p w14:paraId="526B0512" w14:textId="77777777" w:rsidR="00CE0F9E" w:rsidRDefault="00CE0F9E" w:rsidP="00CE0F9E">
      <w:pPr>
        <w:spacing w:before="0" w:after="0"/>
        <w:ind w:left="426"/>
        <w:rPr>
          <w:szCs w:val="20"/>
        </w:rPr>
      </w:pPr>
    </w:p>
    <w:p w14:paraId="6EAE7474" w14:textId="77777777" w:rsidR="00CE0F9E" w:rsidRPr="00753C44" w:rsidRDefault="00CE0F9E" w:rsidP="00CE0F9E">
      <w:pPr>
        <w:spacing w:before="0" w:after="0"/>
        <w:ind w:left="426"/>
        <w:rPr>
          <w:szCs w:val="20"/>
        </w:rPr>
      </w:pPr>
    </w:p>
    <w:p w14:paraId="35B67C14" w14:textId="77777777" w:rsidR="00E04FB3" w:rsidRDefault="00E04FB3" w:rsidP="005C333E">
      <w:pPr>
        <w:spacing w:before="0" w:after="0"/>
        <w:ind w:left="426"/>
        <w:rPr>
          <w:b/>
          <w:szCs w:val="20"/>
        </w:rPr>
      </w:pPr>
      <w:r w:rsidRPr="00154B00">
        <w:rPr>
          <w:b/>
          <w:szCs w:val="20"/>
        </w:rPr>
        <w:br w:type="page"/>
      </w:r>
    </w:p>
    <w:p w14:paraId="34C2E182"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0BD5ED7F" w14:textId="4A517E21" w:rsidR="00713D22" w:rsidRPr="00005B53" w:rsidRDefault="00713D22" w:rsidP="00713D22">
      <w:pPr>
        <w:rPr>
          <w:b/>
          <w:bCs/>
        </w:rPr>
      </w:pPr>
      <w:r w:rsidRPr="00005B53">
        <w:rPr>
          <w:b/>
          <w:bCs/>
        </w:rPr>
        <w:t xml:space="preserve">Rationale for this </w:t>
      </w:r>
      <w:r w:rsidR="001122FD" w:rsidRPr="00005B53">
        <w:rPr>
          <w:b/>
          <w:bCs/>
        </w:rPr>
        <w:t>Re-</w:t>
      </w:r>
      <w:r w:rsidRPr="00005B53">
        <w:rPr>
          <w:b/>
          <w:bCs/>
        </w:rPr>
        <w:t>Application (MSAC Application 1723.1)</w:t>
      </w:r>
    </w:p>
    <w:p w14:paraId="63CB9CAB" w14:textId="6F7CDFA2" w:rsidR="00713D22" w:rsidRPr="00005B53" w:rsidRDefault="00713D22" w:rsidP="00713D22">
      <w:r w:rsidRPr="00005B53">
        <w:t xml:space="preserve">This re-application is being submitted following the MSAC decision to not support public funding of brexucabtagene autoleucel (brexu-cel, TECARTUS) for relapsed or refractory adult B-precursor acute lymphoblastic </w:t>
      </w:r>
      <w:r w:rsidR="006B3789" w:rsidRPr="00005B53">
        <w:t>leukaemia</w:t>
      </w:r>
      <w:r w:rsidRPr="00005B53">
        <w:t xml:space="preserve"> (R/R aALL</w:t>
      </w:r>
      <w:r w:rsidR="00E30A87" w:rsidRPr="00005B53">
        <w:t xml:space="preserve">; </w:t>
      </w:r>
      <w:r w:rsidRPr="00005B53">
        <w:t>MSAC Application 1723)</w:t>
      </w:r>
      <w:proofErr w:type="gramStart"/>
      <w:r w:rsidRPr="00005B53">
        <w:t xml:space="preserve">.  </w:t>
      </w:r>
      <w:proofErr w:type="gramEnd"/>
    </w:p>
    <w:p w14:paraId="2904CCAC" w14:textId="28580483" w:rsidR="00713D22" w:rsidRPr="00005B53" w:rsidRDefault="00713D22" w:rsidP="00713D22">
      <w:r w:rsidRPr="00005B53">
        <w:t>MSAC did not recommend funding for the intervention but outlined issues to address in any subsequent submission</w:t>
      </w:r>
      <w:proofErr w:type="gramStart"/>
      <w:r w:rsidRPr="00005B53">
        <w:t xml:space="preserve">.  </w:t>
      </w:r>
      <w:proofErr w:type="gramEnd"/>
    </w:p>
    <w:p w14:paraId="4D18E044" w14:textId="1B8A15E9" w:rsidR="00E30A87" w:rsidRPr="00005B53" w:rsidRDefault="00713D22" w:rsidP="00713D22">
      <w:r w:rsidRPr="00005B53">
        <w:t xml:space="preserve">The applicant was advised by the MSAC Secretariat to submit this application form </w:t>
      </w:r>
      <w:r w:rsidR="003234E9" w:rsidRPr="00005B53">
        <w:t xml:space="preserve">by </w:t>
      </w:r>
      <w:r w:rsidRPr="00005B53">
        <w:t xml:space="preserve">the </w:t>
      </w:r>
      <w:proofErr w:type="gramStart"/>
      <w:r w:rsidRPr="00005B53">
        <w:t>10</w:t>
      </w:r>
      <w:r w:rsidRPr="00005B53">
        <w:rPr>
          <w:vertAlign w:val="superscript"/>
        </w:rPr>
        <w:t>th</w:t>
      </w:r>
      <w:proofErr w:type="gramEnd"/>
      <w:r w:rsidRPr="00005B53">
        <w:t xml:space="preserve"> May 2023 Notification deadline, as PASC can by bypassed. </w:t>
      </w:r>
    </w:p>
    <w:p w14:paraId="15690C6A" w14:textId="496F91EA" w:rsidR="00713D22" w:rsidRPr="00005B53" w:rsidRDefault="00713D22" w:rsidP="00713D22">
      <w:r w:rsidRPr="00005B53">
        <w:t xml:space="preserve">The re-application ADAR will be submitted </w:t>
      </w:r>
      <w:r w:rsidR="003234E9" w:rsidRPr="00005B53">
        <w:t xml:space="preserve">by </w:t>
      </w:r>
      <w:r w:rsidRPr="00005B53">
        <w:t xml:space="preserve">the </w:t>
      </w:r>
      <w:proofErr w:type="gramStart"/>
      <w:r w:rsidRPr="00005B53">
        <w:t>7</w:t>
      </w:r>
      <w:r w:rsidRPr="00005B53">
        <w:rPr>
          <w:vertAlign w:val="superscript"/>
        </w:rPr>
        <w:t>th</w:t>
      </w:r>
      <w:proofErr w:type="gramEnd"/>
      <w:r w:rsidRPr="00005B53">
        <w:t xml:space="preserve"> June 2023 </w:t>
      </w:r>
      <w:r w:rsidR="003234E9" w:rsidRPr="00005B53">
        <w:t>l</w:t>
      </w:r>
      <w:r w:rsidRPr="00005B53">
        <w:t>odgement deadline to be considered at the 23-24 November 2023 MSAC meeting.</w:t>
      </w:r>
    </w:p>
    <w:p w14:paraId="3128BE3B" w14:textId="7D6878E1" w:rsidR="00713D22" w:rsidRPr="00005B53" w:rsidRDefault="00713D22" w:rsidP="00713D22">
      <w:r w:rsidRPr="00005B53">
        <w:t xml:space="preserve">Updates and changes from the 1732 Application </w:t>
      </w:r>
      <w:r w:rsidR="003234E9" w:rsidRPr="00005B53">
        <w:t>F</w:t>
      </w:r>
      <w:r w:rsidRPr="00005B53">
        <w:t xml:space="preserve">orm will </w:t>
      </w:r>
      <w:proofErr w:type="gramStart"/>
      <w:r w:rsidRPr="00005B53">
        <w:t>be highlighted</w:t>
      </w:r>
      <w:proofErr w:type="gramEnd"/>
      <w:r w:rsidRPr="00005B53">
        <w:t xml:space="preserve"> in this</w:t>
      </w:r>
      <w:r w:rsidR="00E30A87" w:rsidRPr="00005B53">
        <w:t xml:space="preserve"> </w:t>
      </w:r>
      <w:r w:rsidR="003234E9" w:rsidRPr="00005B53">
        <w:t>1732.1 A</w:t>
      </w:r>
      <w:r w:rsidR="00E30A87" w:rsidRPr="00005B53">
        <w:t xml:space="preserve">pplication </w:t>
      </w:r>
      <w:r w:rsidR="003234E9" w:rsidRPr="00005B53">
        <w:t>F</w:t>
      </w:r>
      <w:r w:rsidR="00E30A87" w:rsidRPr="00005B53">
        <w:t>or</w:t>
      </w:r>
      <w:r w:rsidR="003234E9" w:rsidRPr="00005B53">
        <w:t>m</w:t>
      </w:r>
      <w:r w:rsidR="00E30A87" w:rsidRPr="00005B53">
        <w:t xml:space="preserve"> in</w:t>
      </w:r>
      <w:r w:rsidRPr="00005B53">
        <w:t xml:space="preserve"> bl</w:t>
      </w:r>
      <w:r w:rsidR="001122FD" w:rsidRPr="00005B53">
        <w:t>ue</w:t>
      </w:r>
      <w:r w:rsidRPr="00005B53">
        <w:t xml:space="preserve"> text for ease of reference.</w:t>
      </w:r>
    </w:p>
    <w:p w14:paraId="154A55E1" w14:textId="77777777" w:rsidR="00713D22" w:rsidRPr="00713D22" w:rsidRDefault="00713D22" w:rsidP="00713D22"/>
    <w:p w14:paraId="335214B0" w14:textId="1EE6411A" w:rsidR="000B3CD0" w:rsidRDefault="000B3CD0" w:rsidP="00730C04">
      <w:pPr>
        <w:pStyle w:val="Heading2"/>
      </w:pPr>
      <w:r w:rsidRPr="00154B00">
        <w:t>Application title</w:t>
      </w:r>
      <w:r w:rsidR="00A8732C">
        <w:t xml:space="preserve"> </w:t>
      </w:r>
    </w:p>
    <w:p w14:paraId="222331BC" w14:textId="16AE6D1E" w:rsidR="00713D22" w:rsidRPr="00005B53" w:rsidRDefault="00746D2E" w:rsidP="00727401">
      <w:pPr>
        <w:ind w:left="284"/>
      </w:pPr>
      <w:r w:rsidRPr="00005B53">
        <w:t xml:space="preserve">Brexucabtagene autoleucel for the treatment of adult patients </w:t>
      </w:r>
      <w:r w:rsidR="00FA3FD2" w:rsidRPr="00005B53">
        <w:t>(</w:t>
      </w:r>
      <w:r w:rsidR="00FA3FD2" w:rsidRPr="00005B53">
        <w:rPr>
          <w:szCs w:val="20"/>
        </w:rPr>
        <w:t>≥26</w:t>
      </w:r>
      <w:r w:rsidR="001122FD" w:rsidRPr="00005B53">
        <w:t xml:space="preserve"> years of age</w:t>
      </w:r>
      <w:r w:rsidR="007E2BC5" w:rsidRPr="00005B53">
        <w:t xml:space="preserve">) </w:t>
      </w:r>
      <w:r w:rsidRPr="00005B53">
        <w:t xml:space="preserve">with relapsed or refractory B-precursor </w:t>
      </w:r>
      <w:r w:rsidR="00713D22" w:rsidRPr="00005B53">
        <w:t xml:space="preserve">adult </w:t>
      </w:r>
      <w:r w:rsidRPr="00005B53">
        <w:t>acute lymphoblastic leukaemia</w:t>
      </w:r>
      <w:r w:rsidR="007E2BC5" w:rsidRPr="00005B53">
        <w:t xml:space="preserve"> (</w:t>
      </w:r>
      <w:r w:rsidR="00713D22" w:rsidRPr="00005B53">
        <w:t>R/R aALL</w:t>
      </w:r>
      <w:r w:rsidR="007E2BC5" w:rsidRPr="00005B53">
        <w:t>)</w:t>
      </w:r>
      <w:r w:rsidR="00727401" w:rsidRPr="00005B53">
        <w:t xml:space="preserve">. </w:t>
      </w:r>
    </w:p>
    <w:p w14:paraId="6B141D26" w14:textId="39A1A5FD" w:rsidR="00133CC7" w:rsidRDefault="00713D22" w:rsidP="00727401">
      <w:pPr>
        <w:ind w:left="284"/>
      </w:pPr>
      <w:r w:rsidRPr="00005B53">
        <w:t>For the purpose of the application, in the key trial ZUMA-3, r</w:t>
      </w:r>
      <w:r w:rsidR="00727401" w:rsidRPr="00005B53">
        <w:t xml:space="preserve">elapsed </w:t>
      </w:r>
      <w:r w:rsidR="00727401" w:rsidRPr="00727401">
        <w:t xml:space="preserve">or refractory disease </w:t>
      </w:r>
      <w:proofErr w:type="gramStart"/>
      <w:r w:rsidR="00133CC7">
        <w:t>is</w:t>
      </w:r>
      <w:r w:rsidR="00727401" w:rsidRPr="00727401">
        <w:t xml:space="preserve"> defined</w:t>
      </w:r>
      <w:proofErr w:type="gramEnd"/>
      <w:r w:rsidR="00727401" w:rsidRPr="00727401">
        <w:t xml:space="preserve"> as</w:t>
      </w:r>
      <w:r w:rsidR="00763FB4">
        <w:t xml:space="preserve"> the following</w:t>
      </w:r>
      <w:r w:rsidR="00133CC7">
        <w:t xml:space="preserve">: </w:t>
      </w:r>
    </w:p>
    <w:p w14:paraId="3ACF2590" w14:textId="238D7CA7" w:rsidR="00133CC7" w:rsidRDefault="00133CC7" w:rsidP="00056F06">
      <w:pPr>
        <w:pStyle w:val="ListParagraph"/>
        <w:numPr>
          <w:ilvl w:val="0"/>
          <w:numId w:val="20"/>
        </w:numPr>
      </w:pPr>
      <w:r>
        <w:t>P</w:t>
      </w:r>
      <w:r w:rsidR="00727401" w:rsidRPr="00727401">
        <w:t xml:space="preserve">rimary refractory </w:t>
      </w:r>
    </w:p>
    <w:p w14:paraId="47457F34" w14:textId="1C92C2D3" w:rsidR="00133CC7" w:rsidRDefault="00133CC7" w:rsidP="00056F06">
      <w:pPr>
        <w:pStyle w:val="ListParagraph"/>
        <w:numPr>
          <w:ilvl w:val="0"/>
          <w:numId w:val="20"/>
        </w:numPr>
      </w:pPr>
      <w:r>
        <w:t>F</w:t>
      </w:r>
      <w:r w:rsidR="00727401" w:rsidRPr="00727401">
        <w:t xml:space="preserve">irst relapse </w:t>
      </w:r>
      <w:r w:rsidR="000034E5">
        <w:t xml:space="preserve">if </w:t>
      </w:r>
      <w:r w:rsidR="00727401" w:rsidRPr="00727401">
        <w:t xml:space="preserve">remission </w:t>
      </w:r>
      <w:r w:rsidR="000034E5">
        <w:t>was</w:t>
      </w:r>
      <w:r w:rsidR="00727401" w:rsidRPr="00727401">
        <w:t xml:space="preserve"> 12 months or less </w:t>
      </w:r>
    </w:p>
    <w:p w14:paraId="08B89293" w14:textId="1755826F" w:rsidR="00133CC7" w:rsidRDefault="00133CC7" w:rsidP="00056F06">
      <w:pPr>
        <w:pStyle w:val="ListParagraph"/>
        <w:numPr>
          <w:ilvl w:val="0"/>
          <w:numId w:val="20"/>
        </w:numPr>
      </w:pPr>
      <w:r>
        <w:t>R</w:t>
      </w:r>
      <w:r w:rsidR="00727401" w:rsidRPr="00727401">
        <w:t xml:space="preserve">elapsed or refractory after two </w:t>
      </w:r>
      <w:r w:rsidR="000034E5">
        <w:t>or more</w:t>
      </w:r>
      <w:r w:rsidR="000034E5" w:rsidRPr="00727401">
        <w:t xml:space="preserve"> </w:t>
      </w:r>
      <w:r w:rsidR="00727401" w:rsidRPr="00727401">
        <w:t>lines of systemic therapy</w:t>
      </w:r>
    </w:p>
    <w:p w14:paraId="4A97E0C3" w14:textId="010E3E76" w:rsidR="008D3743" w:rsidRDefault="00133CC7" w:rsidP="00056F06">
      <w:pPr>
        <w:pStyle w:val="ListParagraph"/>
        <w:numPr>
          <w:ilvl w:val="0"/>
          <w:numId w:val="20"/>
        </w:numPr>
      </w:pPr>
      <w:r>
        <w:t>R</w:t>
      </w:r>
      <w:r w:rsidR="00727401" w:rsidRPr="00727401">
        <w:t xml:space="preserve">elapsed or refractory after </w:t>
      </w:r>
      <w:r w:rsidR="003F2DB4">
        <w:t>allogeneic stem-cell transplant</w:t>
      </w:r>
    </w:p>
    <w:p w14:paraId="1A7EE0DA" w14:textId="77777777" w:rsidR="00B87234" w:rsidRDefault="00B87234" w:rsidP="00713D22">
      <w:pPr>
        <w:pStyle w:val="ListParagraph"/>
        <w:ind w:left="284"/>
      </w:pPr>
    </w:p>
    <w:p w14:paraId="1BEAC366"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w:t>
      </w:r>
      <w:proofErr w:type="gramStart"/>
      <w:r w:rsidR="00F93784">
        <w:t xml:space="preserve">be </w:t>
      </w:r>
      <w:r w:rsidR="00C847AE">
        <w:t>requested</w:t>
      </w:r>
      <w:proofErr w:type="gramEnd"/>
      <w:r w:rsidR="00C847AE">
        <w:t xml:space="preserve"> </w:t>
      </w:r>
      <w:r w:rsidR="003F2711">
        <w:t>at Part F</w:t>
      </w:r>
      <w:r w:rsidR="00C847AE">
        <w:t xml:space="preserve"> of the Application Form</w:t>
      </w:r>
      <w:r w:rsidR="000955E7" w:rsidRPr="00154B00">
        <w:t>)</w:t>
      </w:r>
    </w:p>
    <w:p w14:paraId="504D219B" w14:textId="0CD2473E" w:rsidR="001122FD" w:rsidRPr="00005B53" w:rsidRDefault="001122FD" w:rsidP="0028052F">
      <w:pPr>
        <w:ind w:left="284"/>
      </w:pPr>
      <w:r w:rsidRPr="00005B53">
        <w:t>No change.</w:t>
      </w:r>
    </w:p>
    <w:p w14:paraId="0A86DA0E" w14:textId="3D252EAF" w:rsidR="00492BCA" w:rsidRPr="008B77F7" w:rsidRDefault="007B0274" w:rsidP="0028052F">
      <w:pPr>
        <w:ind w:left="284"/>
      </w:pPr>
      <w:r w:rsidRPr="00B570A1">
        <w:t>A</w:t>
      </w:r>
      <w:r w:rsidR="00185675" w:rsidRPr="00B570A1">
        <w:t>cute lymphoblastic leuk</w:t>
      </w:r>
      <w:r w:rsidR="00916434" w:rsidRPr="00B570A1">
        <w:t>a</w:t>
      </w:r>
      <w:r w:rsidR="00185675" w:rsidRPr="00B570A1">
        <w:t>emia (ALL) is a h</w:t>
      </w:r>
      <w:r w:rsidR="00FB3012" w:rsidRPr="00B570A1">
        <w:t>a</w:t>
      </w:r>
      <w:r w:rsidR="00185675" w:rsidRPr="00B570A1">
        <w:t>ematologic malignancy propagated by impaired differentiation, proliferation, and accumulation of lymphoid progenitor cells in the bone marrow and</w:t>
      </w:r>
      <w:r w:rsidR="00D33E32" w:rsidRPr="00B570A1">
        <w:t>/</w:t>
      </w:r>
      <w:r w:rsidR="00185675" w:rsidRPr="00B570A1">
        <w:t xml:space="preserve">or extramedullary sites (Paul </w:t>
      </w:r>
      <w:r w:rsidR="003771D3" w:rsidRPr="00B570A1">
        <w:t xml:space="preserve">et al., </w:t>
      </w:r>
      <w:r w:rsidR="00185675" w:rsidRPr="00B570A1">
        <w:t>2016</w:t>
      </w:r>
      <w:r w:rsidR="008B77F7" w:rsidRPr="00B570A1">
        <w:rPr>
          <w:noProof/>
          <w:vertAlign w:val="superscript"/>
        </w:rPr>
        <w:t>1</w:t>
      </w:r>
      <w:r w:rsidR="00185675" w:rsidRPr="00B570A1">
        <w:t>).</w:t>
      </w:r>
      <w:r w:rsidR="00661B0D" w:rsidRPr="00B570A1">
        <w:t xml:space="preserve"> </w:t>
      </w:r>
      <w:r w:rsidR="00816045" w:rsidRPr="00B570A1">
        <w:t xml:space="preserve">In Australia, approximately 446 people </w:t>
      </w:r>
      <w:r w:rsidR="00DB2224">
        <w:t xml:space="preserve">(children and adults) </w:t>
      </w:r>
      <w:r w:rsidR="00816045" w:rsidRPr="00B570A1">
        <w:t>diagnose</w:t>
      </w:r>
      <w:r w:rsidR="002C164B" w:rsidRPr="00B570A1">
        <w:t>d</w:t>
      </w:r>
      <w:r w:rsidR="00816045" w:rsidRPr="00B570A1">
        <w:t xml:space="preserve"> with</w:t>
      </w:r>
      <w:r w:rsidR="002C164B" w:rsidRPr="00B570A1">
        <w:t>,</w:t>
      </w:r>
      <w:r w:rsidR="00816045" w:rsidRPr="00B570A1">
        <w:t xml:space="preserve"> and 109 deaths from</w:t>
      </w:r>
      <w:r w:rsidR="002C164B" w:rsidRPr="00B570A1">
        <w:t>,</w:t>
      </w:r>
      <w:r w:rsidR="00816045" w:rsidRPr="00B570A1">
        <w:t xml:space="preserve"> ALL </w:t>
      </w:r>
      <w:proofErr w:type="gramStart"/>
      <w:r w:rsidR="003E2BC8" w:rsidRPr="00B570A1">
        <w:t>are expected</w:t>
      </w:r>
      <w:proofErr w:type="gramEnd"/>
      <w:r w:rsidR="003E2BC8" w:rsidRPr="00B570A1">
        <w:t xml:space="preserve"> </w:t>
      </w:r>
      <w:r w:rsidR="00816045" w:rsidRPr="00B570A1">
        <w:t xml:space="preserve">in 2021 </w:t>
      </w:r>
      <w:r w:rsidR="003771D3" w:rsidRPr="00B570A1">
        <w:t>(AIHW 2021</w:t>
      </w:r>
      <w:r w:rsidR="007C0AAE" w:rsidRPr="00B570A1">
        <w:rPr>
          <w:noProof/>
          <w:vertAlign w:val="superscript"/>
        </w:rPr>
        <w:t>2</w:t>
      </w:r>
      <w:r w:rsidR="00816045" w:rsidRPr="00B570A1">
        <w:t xml:space="preserve">). </w:t>
      </w:r>
      <w:r w:rsidR="00DC70BE" w:rsidRPr="00B570A1">
        <w:t xml:space="preserve">ALL </w:t>
      </w:r>
      <w:r w:rsidR="009D0888" w:rsidRPr="00B570A1">
        <w:t xml:space="preserve">occurs with a bimodal age distribution and </w:t>
      </w:r>
      <w:r w:rsidR="00661B0D" w:rsidRPr="00B570A1">
        <w:t xml:space="preserve">is </w:t>
      </w:r>
      <w:proofErr w:type="gramStart"/>
      <w:r w:rsidR="00661B0D" w:rsidRPr="00B570A1">
        <w:t>mainly considered</w:t>
      </w:r>
      <w:proofErr w:type="gramEnd"/>
      <w:r w:rsidR="00661B0D" w:rsidRPr="00B570A1">
        <w:t xml:space="preserve"> a </w:t>
      </w:r>
      <w:r w:rsidR="00DC70BE" w:rsidRPr="00B570A1">
        <w:t>paediatric</w:t>
      </w:r>
      <w:r w:rsidR="00661B0D" w:rsidRPr="00B570A1">
        <w:t xml:space="preserve"> leuk</w:t>
      </w:r>
      <w:r w:rsidR="00D33E32" w:rsidRPr="00B570A1">
        <w:t>a</w:t>
      </w:r>
      <w:r w:rsidR="00661B0D" w:rsidRPr="00B570A1">
        <w:t>emia with 80% of cases occurring in children and 20% occurring in adults</w:t>
      </w:r>
      <w:r w:rsidR="0094574B" w:rsidRPr="00B570A1">
        <w:t xml:space="preserve"> (≥ 18 years of age</w:t>
      </w:r>
      <w:r w:rsidR="003771D3" w:rsidRPr="00B570A1">
        <w:t>; Paul et al., 2016</w:t>
      </w:r>
      <w:r w:rsidR="008B77F7" w:rsidRPr="00B570A1">
        <w:rPr>
          <w:noProof/>
          <w:vertAlign w:val="superscript"/>
        </w:rPr>
        <w:t>1</w:t>
      </w:r>
      <w:r w:rsidR="003771D3" w:rsidRPr="00B570A1">
        <w:t>).</w:t>
      </w:r>
      <w:r w:rsidR="00C42AB0" w:rsidRPr="00B570A1">
        <w:t xml:space="preserve"> </w:t>
      </w:r>
      <w:r w:rsidR="009E3EB1" w:rsidRPr="00B570A1">
        <w:t>While</w:t>
      </w:r>
      <w:r w:rsidR="00271BE4" w:rsidRPr="00B570A1">
        <w:t xml:space="preserve"> </w:t>
      </w:r>
      <w:r w:rsidR="006E110D" w:rsidRPr="00B570A1">
        <w:t xml:space="preserve">5-year overall survival (OS) is approximately 90% in children, </w:t>
      </w:r>
      <w:r w:rsidR="0028052F" w:rsidRPr="00B570A1">
        <w:t xml:space="preserve">the treatment success of paediatric ALL has not been </w:t>
      </w:r>
      <w:r w:rsidR="00CA6582" w:rsidRPr="00B570A1">
        <w:t xml:space="preserve">achieved </w:t>
      </w:r>
      <w:r w:rsidR="0028052F" w:rsidRPr="00B570A1">
        <w:t>in adult ALL</w:t>
      </w:r>
      <w:r w:rsidR="0028052F" w:rsidRPr="00B570A1">
        <w:rPr>
          <w:rFonts w:ascii="AdvOT561cdbbe" w:eastAsia="Times New Roman" w:hAnsi="AdvOT561cdbbe" w:cs="Times New Roman"/>
          <w:szCs w:val="20"/>
          <w:lang w:eastAsia="en-GB"/>
        </w:rPr>
        <w:t xml:space="preserve">, </w:t>
      </w:r>
      <w:r w:rsidR="0028052F" w:rsidRPr="00DB2224">
        <w:rPr>
          <w:rFonts w:eastAsia="Times New Roman" w:cstheme="minorHAnsi"/>
          <w:szCs w:val="20"/>
          <w:lang w:eastAsia="en-GB"/>
        </w:rPr>
        <w:t>with</w:t>
      </w:r>
      <w:r w:rsidR="00A721FD" w:rsidRPr="00DB2224">
        <w:rPr>
          <w:rFonts w:eastAsia="Times New Roman" w:cstheme="minorHAnsi"/>
          <w:szCs w:val="20"/>
          <w:lang w:eastAsia="en-GB"/>
        </w:rPr>
        <w:t xml:space="preserve"> 5-year</w:t>
      </w:r>
      <w:r w:rsidR="0028052F" w:rsidRPr="00DB2224">
        <w:rPr>
          <w:rFonts w:eastAsia="Times New Roman" w:cstheme="minorHAnsi"/>
          <w:szCs w:val="20"/>
          <w:lang w:eastAsia="en-GB"/>
        </w:rPr>
        <w:t xml:space="preserve"> </w:t>
      </w:r>
      <w:r w:rsidR="00B570A1">
        <w:t>survival</w:t>
      </w:r>
      <w:r w:rsidR="0028052F" w:rsidRPr="00B570A1">
        <w:t xml:space="preserve"> </w:t>
      </w:r>
      <w:r w:rsidR="006E110D" w:rsidRPr="00B570A1">
        <w:t>rates from 20% to 40% in adults and elderly patients (NCCN 2021</w:t>
      </w:r>
      <w:r w:rsidR="007C0AAE" w:rsidRPr="00B570A1">
        <w:rPr>
          <w:noProof/>
          <w:vertAlign w:val="superscript"/>
        </w:rPr>
        <w:t>3</w:t>
      </w:r>
      <w:r w:rsidR="006E110D" w:rsidRPr="00B570A1">
        <w:t xml:space="preserve">; </w:t>
      </w:r>
      <w:r w:rsidR="003771D3" w:rsidRPr="00B570A1">
        <w:t>Paul et al., 2016</w:t>
      </w:r>
      <w:r w:rsidR="008B77F7" w:rsidRPr="00B570A1">
        <w:rPr>
          <w:noProof/>
          <w:vertAlign w:val="superscript"/>
        </w:rPr>
        <w:t>1</w:t>
      </w:r>
      <w:r w:rsidR="003771D3" w:rsidRPr="00B570A1">
        <w:t>)</w:t>
      </w:r>
      <w:proofErr w:type="gramStart"/>
      <w:r w:rsidR="003771D3" w:rsidRPr="00B570A1">
        <w:t>.</w:t>
      </w:r>
      <w:r w:rsidR="006E110D" w:rsidRPr="00B570A1">
        <w:t xml:space="preserve">  </w:t>
      </w:r>
      <w:proofErr w:type="gramEnd"/>
      <w:r w:rsidR="006E110D" w:rsidRPr="00B570A1">
        <w:t>Therefore, prognosis and s</w:t>
      </w:r>
      <w:r w:rsidR="00661B0D" w:rsidRPr="00B570A1">
        <w:t xml:space="preserve">urvival </w:t>
      </w:r>
      <w:r w:rsidR="006E110D" w:rsidRPr="00B570A1">
        <w:t xml:space="preserve">are </w:t>
      </w:r>
      <w:r w:rsidR="00661B0D" w:rsidRPr="00B570A1">
        <w:t>particularly poor among adults</w:t>
      </w:r>
      <w:r w:rsidR="00DC70BE" w:rsidRPr="00B570A1">
        <w:t xml:space="preserve"> (Katz 2015)</w:t>
      </w:r>
      <w:r w:rsidR="00BE1FE9" w:rsidRPr="00B570A1">
        <w:t xml:space="preserve"> and represents a devastating disease when it occurs in adults </w:t>
      </w:r>
      <w:r w:rsidR="003771D3" w:rsidRPr="00B570A1">
        <w:t>(Terwiliger et. al., 2017</w:t>
      </w:r>
      <w:r w:rsidR="007C0AAE" w:rsidRPr="00B570A1">
        <w:rPr>
          <w:noProof/>
          <w:vertAlign w:val="superscript"/>
        </w:rPr>
        <w:t>4</w:t>
      </w:r>
      <w:r w:rsidR="00BE1FE9" w:rsidRPr="00B570A1">
        <w:t>)</w:t>
      </w:r>
      <w:r w:rsidR="006E110D" w:rsidRPr="00B570A1">
        <w:t xml:space="preserve"> compared to children</w:t>
      </w:r>
      <w:r w:rsidR="00661B0D" w:rsidRPr="00B570A1">
        <w:t>.</w:t>
      </w:r>
      <w:r w:rsidR="00492BCA" w:rsidRPr="008B77F7">
        <w:t xml:space="preserve"> </w:t>
      </w:r>
    </w:p>
    <w:p w14:paraId="4CD60B28" w14:textId="077D4983" w:rsidR="00DA5534" w:rsidRDefault="00BE1FE9" w:rsidP="00595440">
      <w:pPr>
        <w:ind w:left="284"/>
      </w:pPr>
      <w:bookmarkStart w:id="2" w:name="_Hlk99362990"/>
      <w:bookmarkStart w:id="3" w:name="_Hlk99363052"/>
      <w:r w:rsidRPr="008B77F7">
        <w:t>Precursor B-cell ALL</w:t>
      </w:r>
      <w:bookmarkEnd w:id="2"/>
      <w:r w:rsidRPr="008B77F7">
        <w:t xml:space="preserve"> (B-ALL) is the most common type in adults </w:t>
      </w:r>
      <w:r w:rsidR="003771D3" w:rsidRPr="008B77F7">
        <w:t>(Bassan et. al., 2019</w:t>
      </w:r>
      <w:r w:rsidR="007C0AAE" w:rsidRPr="007C0AAE">
        <w:rPr>
          <w:noProof/>
          <w:vertAlign w:val="superscript"/>
        </w:rPr>
        <w:t>5</w:t>
      </w:r>
      <w:r w:rsidRPr="008B77F7">
        <w:t>)</w:t>
      </w:r>
      <w:r w:rsidR="008F6B83" w:rsidRPr="008B77F7">
        <w:t xml:space="preserve"> </w:t>
      </w:r>
      <w:r w:rsidR="002C164B" w:rsidRPr="008B77F7">
        <w:t xml:space="preserve">representing </w:t>
      </w:r>
      <w:r w:rsidR="00661B0D" w:rsidRPr="008B77F7">
        <w:t>75%</w:t>
      </w:r>
      <w:r w:rsidR="00C42AB0" w:rsidRPr="008B77F7">
        <w:t>-80%</w:t>
      </w:r>
      <w:r w:rsidR="00661B0D" w:rsidRPr="008B77F7">
        <w:t xml:space="preserve"> of </w:t>
      </w:r>
      <w:r w:rsidR="002C164B" w:rsidRPr="008B77F7">
        <w:t xml:space="preserve">adult </w:t>
      </w:r>
      <w:r w:rsidR="00661B0D" w:rsidRPr="008B77F7">
        <w:t>cases, and the accumulation of lymphoblasts can spread to the bloodstream, affecting various organs</w:t>
      </w:r>
      <w:r w:rsidRPr="008B77F7">
        <w:t xml:space="preserve"> </w:t>
      </w:r>
      <w:bookmarkEnd w:id="3"/>
      <w:r w:rsidRPr="008B77F7">
        <w:t>(</w:t>
      </w:r>
      <w:r w:rsidR="003771D3" w:rsidRPr="008B77F7">
        <w:t>Terwiliger et. al., 2017</w:t>
      </w:r>
      <w:r w:rsidR="007C0AAE" w:rsidRPr="007C0AAE">
        <w:rPr>
          <w:noProof/>
          <w:vertAlign w:val="superscript"/>
        </w:rPr>
        <w:t>4</w:t>
      </w:r>
      <w:r w:rsidR="00C42AB0" w:rsidRPr="008B77F7">
        <w:t>; Leukaemia Foundation 2020</w:t>
      </w:r>
      <w:r w:rsidR="007C0AAE" w:rsidRPr="007C0AAE">
        <w:rPr>
          <w:noProof/>
          <w:vertAlign w:val="superscript"/>
        </w:rPr>
        <w:t>6</w:t>
      </w:r>
      <w:r w:rsidR="00C42AB0" w:rsidRPr="008B77F7">
        <w:t>)</w:t>
      </w:r>
      <w:r w:rsidRPr="008B77F7">
        <w:t xml:space="preserve">. </w:t>
      </w:r>
      <w:r w:rsidR="00022978" w:rsidRPr="008B77F7">
        <w:t xml:space="preserve">The </w:t>
      </w:r>
      <w:r w:rsidR="00DC70BE" w:rsidRPr="008B77F7">
        <w:t xml:space="preserve">mainstay treatment for </w:t>
      </w:r>
      <w:r w:rsidR="00022978" w:rsidRPr="008B77F7">
        <w:t xml:space="preserve">adult ALL </w:t>
      </w:r>
      <w:r w:rsidR="00DC70BE" w:rsidRPr="008B77F7">
        <w:t>patients with B-ALL</w:t>
      </w:r>
      <w:r w:rsidR="00022978" w:rsidRPr="008B77F7">
        <w:t xml:space="preserve"> is </w:t>
      </w:r>
      <w:r w:rsidR="00DC70BE" w:rsidRPr="008B77F7">
        <w:t xml:space="preserve">induction </w:t>
      </w:r>
      <w:r w:rsidR="00022978" w:rsidRPr="008B77F7">
        <w:t>chemotherapy</w:t>
      </w:r>
      <w:r w:rsidR="00DC70BE" w:rsidRPr="008B77F7">
        <w:t xml:space="preserve">, followed by </w:t>
      </w:r>
      <w:r w:rsidR="00022978" w:rsidRPr="008B77F7">
        <w:t>consolidation, and long-term maintenance therapy (</w:t>
      </w:r>
      <w:r w:rsidR="003771D3" w:rsidRPr="008B77F7">
        <w:t>Paul et al., 2016</w:t>
      </w:r>
      <w:r w:rsidR="008B77F7" w:rsidRPr="008B77F7">
        <w:rPr>
          <w:noProof/>
          <w:vertAlign w:val="superscript"/>
        </w:rPr>
        <w:t>1</w:t>
      </w:r>
      <w:r w:rsidR="003771D3" w:rsidRPr="008B77F7">
        <w:t xml:space="preserve">). </w:t>
      </w:r>
      <w:r w:rsidR="008F6B83" w:rsidRPr="008B77F7">
        <w:t xml:space="preserve">Allogeneic stem-cell transplant (allo-SCT) </w:t>
      </w:r>
      <w:proofErr w:type="gramStart"/>
      <w:r w:rsidR="008F6B83" w:rsidRPr="008B77F7">
        <w:t>is recommended</w:t>
      </w:r>
      <w:proofErr w:type="gramEnd"/>
      <w:r w:rsidR="008F6B83" w:rsidRPr="008B77F7">
        <w:t xml:space="preserve"> following consolidation in selected high-risk groups </w:t>
      </w:r>
      <w:r w:rsidR="003771D3" w:rsidRPr="008B77F7">
        <w:t>(Bassan et. al., 2019</w:t>
      </w:r>
      <w:r w:rsidR="007C0AAE" w:rsidRPr="007C0AAE">
        <w:rPr>
          <w:noProof/>
          <w:vertAlign w:val="superscript"/>
        </w:rPr>
        <w:t>5</w:t>
      </w:r>
      <w:r w:rsidR="003771D3" w:rsidRPr="008B77F7">
        <w:t xml:space="preserve">). </w:t>
      </w:r>
      <w:r w:rsidR="00BD3FCD" w:rsidRPr="008B77F7">
        <w:t xml:space="preserve">After initial treatment, </w:t>
      </w:r>
      <w:r w:rsidR="007B0274" w:rsidRPr="008B77F7">
        <w:t xml:space="preserve">40–50% of </w:t>
      </w:r>
      <w:r w:rsidR="00BD3FCD" w:rsidRPr="008B77F7">
        <w:t xml:space="preserve">adults with B-ALL </w:t>
      </w:r>
      <w:r w:rsidR="007B0274" w:rsidRPr="008B77F7">
        <w:t xml:space="preserve">relapse </w:t>
      </w:r>
      <w:r w:rsidR="00BD3FCD" w:rsidRPr="008B77F7">
        <w:t xml:space="preserve">and have </w:t>
      </w:r>
      <w:r w:rsidR="007B0274" w:rsidRPr="008B77F7">
        <w:t xml:space="preserve">poor prognosis </w:t>
      </w:r>
      <w:r w:rsidR="003771D3" w:rsidRPr="008B77F7">
        <w:t>(Paul et al., 2016</w:t>
      </w:r>
      <w:r w:rsidR="008B77F7" w:rsidRPr="008B77F7">
        <w:rPr>
          <w:noProof/>
          <w:vertAlign w:val="superscript"/>
        </w:rPr>
        <w:t>1</w:t>
      </w:r>
      <w:r w:rsidR="003771D3" w:rsidRPr="008B77F7">
        <w:t>).</w:t>
      </w:r>
      <w:r w:rsidR="006A3FFA" w:rsidRPr="008B77F7">
        <w:t xml:space="preserve"> The 1-year overall survival rate is </w:t>
      </w:r>
      <w:r w:rsidR="00CA6582" w:rsidRPr="008B77F7">
        <w:t xml:space="preserve">low and has </w:t>
      </w:r>
      <w:proofErr w:type="gramStart"/>
      <w:r w:rsidR="00CA6582" w:rsidRPr="008B77F7">
        <w:t>been reported</w:t>
      </w:r>
      <w:proofErr w:type="gramEnd"/>
      <w:r w:rsidR="00CA6582" w:rsidRPr="008B77F7">
        <w:t xml:space="preserve"> as </w:t>
      </w:r>
      <w:r w:rsidR="006A3FFA" w:rsidRPr="008B77F7">
        <w:t>26% after first salvage therapy</w:t>
      </w:r>
      <w:r w:rsidR="00CA6582" w:rsidRPr="008B77F7">
        <w:t>,</w:t>
      </w:r>
      <w:r w:rsidR="006A3FFA" w:rsidRPr="008B77F7">
        <w:t xml:space="preserve"> decreas</w:t>
      </w:r>
      <w:r w:rsidR="00CA6582" w:rsidRPr="008B77F7">
        <w:t>ing</w:t>
      </w:r>
      <w:r w:rsidR="006A3FFA" w:rsidRPr="008B77F7">
        <w:t xml:space="preserve"> with subsequent relapses</w:t>
      </w:r>
      <w:r w:rsidR="003C1C5A" w:rsidRPr="008B77F7">
        <w:t xml:space="preserve"> (</w:t>
      </w:r>
      <w:r w:rsidR="003771D3" w:rsidRPr="008B77F7">
        <w:t>Gokbuget et. al., 2016</w:t>
      </w:r>
      <w:r w:rsidR="007C0AAE" w:rsidRPr="007C0AAE">
        <w:rPr>
          <w:noProof/>
          <w:vertAlign w:val="superscript"/>
        </w:rPr>
        <w:t>7</w:t>
      </w:r>
      <w:r w:rsidR="003C1C5A" w:rsidRPr="008B77F7">
        <w:t xml:space="preserve">; </w:t>
      </w:r>
      <w:r w:rsidR="003771D3" w:rsidRPr="008B77F7">
        <w:t>Paul et al., 2016</w:t>
      </w:r>
      <w:r w:rsidR="008B77F7" w:rsidRPr="008B77F7">
        <w:rPr>
          <w:noProof/>
          <w:vertAlign w:val="superscript"/>
        </w:rPr>
        <w:t>1</w:t>
      </w:r>
      <w:r w:rsidR="003771D3" w:rsidRPr="008B77F7">
        <w:t>)</w:t>
      </w:r>
      <w:proofErr w:type="gramStart"/>
      <w:r w:rsidR="003771D3" w:rsidRPr="008B77F7">
        <w:t>.</w:t>
      </w:r>
      <w:r w:rsidR="003C1C5A" w:rsidRPr="006A3FFA">
        <w:t xml:space="preserve"> </w:t>
      </w:r>
      <w:r w:rsidR="006A3FFA" w:rsidRPr="006A3FFA">
        <w:t xml:space="preserve"> </w:t>
      </w:r>
      <w:proofErr w:type="gramEnd"/>
    </w:p>
    <w:p w14:paraId="5328A067" w14:textId="77777777" w:rsidR="00B87234" w:rsidRDefault="00B87234" w:rsidP="00595440">
      <w:pPr>
        <w:ind w:left="284"/>
      </w:pPr>
    </w:p>
    <w:p w14:paraId="5637577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w:t>
      </w:r>
      <w:proofErr w:type="gramStart"/>
      <w:r w:rsidR="00F93784">
        <w:t xml:space="preserve">be </w:t>
      </w:r>
      <w:r w:rsidR="00C847AE">
        <w:t>requested</w:t>
      </w:r>
      <w:proofErr w:type="gramEnd"/>
      <w:r w:rsidR="00F93784">
        <w:t xml:space="preserve"> </w:t>
      </w:r>
      <w:r w:rsidR="00883641">
        <w:t>at</w:t>
      </w:r>
      <w:r w:rsidR="00C847AE">
        <w:t xml:space="preserve"> </w:t>
      </w:r>
      <w:r w:rsidR="00026412">
        <w:t>Part 6</w:t>
      </w:r>
      <w:r w:rsidR="00C847AE">
        <w:t xml:space="preserve"> of the Application Form</w:t>
      </w:r>
      <w:r w:rsidRPr="00154B00">
        <w:t>)</w:t>
      </w:r>
    </w:p>
    <w:p w14:paraId="798049C5" w14:textId="75DE9D0F" w:rsidR="00CC15B3" w:rsidRDefault="00CC15B3" w:rsidP="00CC15B3">
      <w:pPr>
        <w:ind w:left="284"/>
      </w:pPr>
      <w:bookmarkStart w:id="4" w:name="_Hlk99363629"/>
      <w:bookmarkStart w:id="5" w:name="_Hlk99363595"/>
      <w:r>
        <w:t>Brexucabtagene autoleucel</w:t>
      </w:r>
      <w:r w:rsidR="002E0843">
        <w:t xml:space="preserve"> (TECARTUS</w:t>
      </w:r>
      <w:r w:rsidR="00595764">
        <w:t>®</w:t>
      </w:r>
      <w:r w:rsidR="002E0843">
        <w:t>)</w:t>
      </w:r>
      <w:r>
        <w:t xml:space="preserve"> is</w:t>
      </w:r>
      <w:r w:rsidRPr="003C7B9E">
        <w:t xml:space="preserve"> an </w:t>
      </w:r>
      <w:r>
        <w:t xml:space="preserve">autologous </w:t>
      </w:r>
      <w:r w:rsidRPr="003C7B9E">
        <w:t>anti-CD19 chimeric antigen receptor (CAR) T-cell</w:t>
      </w:r>
      <w:r>
        <w:t xml:space="preserve"> product.</w:t>
      </w:r>
    </w:p>
    <w:p w14:paraId="18673B31" w14:textId="6DE5B854" w:rsidR="004A63C9" w:rsidRDefault="00CC15B3" w:rsidP="004A63C9">
      <w:pPr>
        <w:ind w:left="284"/>
      </w:pPr>
      <w:r>
        <w:t>CAR T-cell</w:t>
      </w:r>
      <w:r w:rsidRPr="00F2705A">
        <w:t xml:space="preserve"> therapy is a type of immunotherapy in which a patient’s T-cells </w:t>
      </w:r>
      <w:r>
        <w:t>(</w:t>
      </w:r>
      <w:r w:rsidRPr="00F2705A">
        <w:t>immune cells with anti</w:t>
      </w:r>
      <w:r>
        <w:t>cancer</w:t>
      </w:r>
      <w:r w:rsidRPr="00F2705A">
        <w:t xml:space="preserve"> activity</w:t>
      </w:r>
      <w:r>
        <w:t>)</w:t>
      </w:r>
      <w:r w:rsidRPr="00F2705A">
        <w:t xml:space="preserve"> </w:t>
      </w:r>
      <w:proofErr w:type="gramStart"/>
      <w:r w:rsidRPr="00F2705A">
        <w:t>are collected</w:t>
      </w:r>
      <w:proofErr w:type="gramEnd"/>
      <w:r w:rsidRPr="00F2705A">
        <w:t xml:space="preserve"> and </w:t>
      </w:r>
      <w:r w:rsidRPr="00BF5D41">
        <w:t>genetically modified</w:t>
      </w:r>
      <w:r w:rsidRPr="00F2705A">
        <w:t xml:space="preserve"> in </w:t>
      </w:r>
      <w:r w:rsidR="00CA6582">
        <w:t xml:space="preserve">a </w:t>
      </w:r>
      <w:r w:rsidRPr="00F2705A">
        <w:t>lab</w:t>
      </w:r>
      <w:r>
        <w:t>oratory</w:t>
      </w:r>
      <w:r w:rsidRPr="00F2705A">
        <w:t xml:space="preserve"> </w:t>
      </w:r>
      <w:r w:rsidR="00CA6582">
        <w:t xml:space="preserve">process </w:t>
      </w:r>
      <w:r w:rsidRPr="00F2705A">
        <w:t>to recogni</w:t>
      </w:r>
      <w:r>
        <w:t>s</w:t>
      </w:r>
      <w:r w:rsidRPr="00F2705A">
        <w:t xml:space="preserve">e cancer </w:t>
      </w:r>
      <w:r>
        <w:t>cells that express CD19 on their surface</w:t>
      </w:r>
      <w:r w:rsidR="004A63C9">
        <w:t xml:space="preserve"> l</w:t>
      </w:r>
      <w:r w:rsidR="004A63C9" w:rsidRPr="004A63C9">
        <w:t>inked to CD3ζ and CD28 T-cell activation and signalling domains that result in elimination of CD19-expressing cells</w:t>
      </w:r>
      <w:r w:rsidRPr="00F2705A">
        <w:t xml:space="preserve">. </w:t>
      </w:r>
      <w:r>
        <w:t xml:space="preserve">The modified T-cells </w:t>
      </w:r>
      <w:proofErr w:type="gramStart"/>
      <w:r>
        <w:t xml:space="preserve">are </w:t>
      </w:r>
      <w:r w:rsidRPr="00F2705A">
        <w:t>expanded</w:t>
      </w:r>
      <w:proofErr w:type="gramEnd"/>
      <w:r w:rsidRPr="00F2705A">
        <w:t xml:space="preserve"> to several million </w:t>
      </w:r>
      <w:r>
        <w:t xml:space="preserve">and </w:t>
      </w:r>
      <w:r w:rsidRPr="00F2705A">
        <w:t>the</w:t>
      </w:r>
      <w:r w:rsidR="00CA6582">
        <w:t>se</w:t>
      </w:r>
      <w:r w:rsidRPr="00F2705A">
        <w:t xml:space="preserve"> modified cells are </w:t>
      </w:r>
      <w:r>
        <w:t xml:space="preserve">then </w:t>
      </w:r>
      <w:r w:rsidRPr="00F2705A">
        <w:t>infused back into the patient, where they target and kill cancer cells.</w:t>
      </w:r>
    </w:p>
    <w:bookmarkEnd w:id="4"/>
    <w:p w14:paraId="1AE8B623" w14:textId="68CD5364" w:rsidR="001E6381" w:rsidRDefault="004A63C9" w:rsidP="00DA5534">
      <w:pPr>
        <w:ind w:left="284"/>
      </w:pPr>
      <w:r w:rsidRPr="004A63C9">
        <w:t xml:space="preserve">Following CAR engagement with CD19+ target cells, the CD3ζ domain activates the downstream signalling cascade that leads to T-cell activation, proliferation, and acquisition of effector functions, such as cytotoxicity. The intracellular signalling domain of CD28 provides a costimulatory signal that works in concert with the primary CD3ζ signal to augment T-cell function, including interleukin (IL)-2 production. Together, these signals stimulate proliferation of the CAR T cells and direct killing of target cells. In addition, activated T cells secrete cytokines, chemokines, and other molecules that can recruit and activate additional antitumor immune cells. </w:t>
      </w:r>
    </w:p>
    <w:bookmarkEnd w:id="5"/>
    <w:p w14:paraId="226CBBC9" w14:textId="7D1DF1EA" w:rsidR="00847662" w:rsidRPr="00B570A1" w:rsidRDefault="002E0843" w:rsidP="009E3EB1">
      <w:pPr>
        <w:ind w:left="284"/>
      </w:pPr>
      <w:r>
        <w:t>An application (</w:t>
      </w:r>
      <w:r w:rsidRPr="001B3A6F">
        <w:t>MSAC Application 1647</w:t>
      </w:r>
      <w:r>
        <w:t xml:space="preserve">) requesting joint public funding by the Commonwealth and the States and Territories under the National Health Reform Agreement (NHRA) of brexucabtagene autoleucel </w:t>
      </w:r>
      <w:r w:rsidRPr="00B570A1">
        <w:t>(</w:t>
      </w:r>
      <w:r w:rsidR="00595764" w:rsidRPr="00B570A1">
        <w:t>TECARTUS</w:t>
      </w:r>
      <w:r w:rsidRPr="00B570A1">
        <w:t xml:space="preserve">®) for the treatment of patients with relapsed or refractory mantle cell lymphoma (R/R MCL) </w:t>
      </w:r>
      <w:proofErr w:type="gramStart"/>
      <w:r w:rsidRPr="00B570A1">
        <w:t>was reviewed</w:t>
      </w:r>
      <w:proofErr w:type="gramEnd"/>
      <w:r w:rsidRPr="00B570A1">
        <w:t xml:space="preserve"> by MSAC at the 82nd MSAC Meeting, 29-30 July 2021</w:t>
      </w:r>
      <w:r w:rsidR="00537757" w:rsidRPr="00B570A1">
        <w:t>,</w:t>
      </w:r>
      <w:r w:rsidRPr="00B570A1">
        <w:t xml:space="preserve"> and </w:t>
      </w:r>
      <w:r w:rsidR="002D4E54" w:rsidRPr="00B570A1">
        <w:t xml:space="preserve">the committee </w:t>
      </w:r>
      <w:r w:rsidR="00595764" w:rsidRPr="00B570A1">
        <w:t xml:space="preserve">supported public funding (see redacted </w:t>
      </w:r>
      <w:r w:rsidR="00595764" w:rsidRPr="001B3A6F">
        <w:t>Public Summary Document</w:t>
      </w:r>
      <w:r w:rsidR="00595764" w:rsidRPr="00B570A1">
        <w:rPr>
          <w:rStyle w:val="FootnoteReference"/>
        </w:rPr>
        <w:footnoteReference w:id="1"/>
      </w:r>
      <w:r w:rsidR="00595764" w:rsidRPr="00B570A1">
        <w:t>).</w:t>
      </w:r>
    </w:p>
    <w:p w14:paraId="65A1CD60" w14:textId="0563EC6D" w:rsidR="008D59CE" w:rsidRPr="00B570A1" w:rsidRDefault="00C40993" w:rsidP="008D59CE">
      <w:pPr>
        <w:ind w:left="284"/>
      </w:pPr>
      <w:bookmarkStart w:id="6" w:name="_Hlk97724394"/>
      <w:r w:rsidRPr="00B570A1">
        <w:t>Gilead would like to request</w:t>
      </w:r>
      <w:r w:rsidR="00AA29E8">
        <w:t xml:space="preserve"> the application</w:t>
      </w:r>
      <w:r w:rsidRPr="00B570A1">
        <w:t xml:space="preserve"> to bypass </w:t>
      </w:r>
      <w:r w:rsidR="008652AF">
        <w:t xml:space="preserve">the </w:t>
      </w:r>
      <w:r w:rsidRPr="00B570A1">
        <w:t>PASC</w:t>
      </w:r>
      <w:r w:rsidR="008D59CE" w:rsidRPr="00B570A1">
        <w:t>,</w:t>
      </w:r>
      <w:r w:rsidRPr="00B570A1">
        <w:t xml:space="preserve"> considering</w:t>
      </w:r>
      <w:r w:rsidR="008D59CE" w:rsidRPr="00B570A1">
        <w:t>:</w:t>
      </w:r>
    </w:p>
    <w:p w14:paraId="409C5103" w14:textId="77777777" w:rsidR="008D59CE" w:rsidRPr="00B570A1" w:rsidRDefault="00C40993" w:rsidP="008D59CE">
      <w:pPr>
        <w:pStyle w:val="ListParagraph"/>
        <w:numPr>
          <w:ilvl w:val="0"/>
          <w:numId w:val="31"/>
        </w:numPr>
      </w:pPr>
      <w:r w:rsidRPr="00B570A1">
        <w:t xml:space="preserve">previous application for brexucabtagene autoleucel </w:t>
      </w:r>
      <w:r w:rsidR="008D59CE" w:rsidRPr="00B570A1">
        <w:t xml:space="preserve">(TECARTUS) </w:t>
      </w:r>
      <w:r w:rsidRPr="00B570A1">
        <w:t xml:space="preserve">in refractory/replaced mantle cell lymphoma (R/R MCL) </w:t>
      </w:r>
      <w:proofErr w:type="gramStart"/>
      <w:r w:rsidRPr="00B570A1">
        <w:t>was recently expedited</w:t>
      </w:r>
      <w:proofErr w:type="gramEnd"/>
      <w:r w:rsidRPr="00B570A1">
        <w:t xml:space="preserve"> bypassing PASC</w:t>
      </w:r>
      <w:r w:rsidR="008D59CE" w:rsidRPr="00B570A1">
        <w:t xml:space="preserve"> and </w:t>
      </w:r>
    </w:p>
    <w:p w14:paraId="4C74BD61" w14:textId="65E5AAD0" w:rsidR="008D59CE" w:rsidRPr="00B570A1" w:rsidRDefault="008D59CE" w:rsidP="008D59CE">
      <w:pPr>
        <w:pStyle w:val="ListParagraph"/>
        <w:numPr>
          <w:ilvl w:val="0"/>
          <w:numId w:val="31"/>
        </w:numPr>
      </w:pPr>
      <w:r w:rsidRPr="00B570A1">
        <w:t xml:space="preserve">the ratified PICO for tisagenlecleucel (Kymriah) for treatment of confirmed </w:t>
      </w:r>
      <w:r w:rsidR="00C64596" w:rsidRPr="00B570A1">
        <w:t>for R/R ALL</w:t>
      </w:r>
      <w:r w:rsidRPr="00B570A1">
        <w:t xml:space="preserve"> up</w:t>
      </w:r>
      <w:r w:rsidR="00463FCA">
        <w:t xml:space="preserve"> </w:t>
      </w:r>
      <w:r w:rsidRPr="00B570A1">
        <w:t>to age 25</w:t>
      </w:r>
      <w:r w:rsidR="00C64596" w:rsidRPr="00B570A1">
        <w:t xml:space="preserve"> </w:t>
      </w:r>
      <w:r w:rsidRPr="00B570A1">
        <w:t>is available</w:t>
      </w:r>
      <w:proofErr w:type="gramStart"/>
      <w:r w:rsidRPr="00B570A1">
        <w:t xml:space="preserve">.  </w:t>
      </w:r>
      <w:proofErr w:type="gramEnd"/>
    </w:p>
    <w:bookmarkEnd w:id="6"/>
    <w:p w14:paraId="5630245A" w14:textId="58CCA61B" w:rsidR="002E0843" w:rsidRDefault="008D59CE" w:rsidP="00B56382">
      <w:pPr>
        <w:ind w:left="284"/>
      </w:pPr>
      <w:r w:rsidRPr="00B570A1">
        <w:t xml:space="preserve">Table </w:t>
      </w:r>
      <w:r w:rsidRPr="00B570A1">
        <w:rPr>
          <w:noProof/>
        </w:rPr>
        <w:t>8</w:t>
      </w:r>
      <w:r w:rsidRPr="00B570A1">
        <w:t>, in Section 8 of this application, summarises the proposed key components of the PICO criteria to be addressed in a submission</w:t>
      </w:r>
      <w:proofErr w:type="gramStart"/>
      <w:r w:rsidR="0059684D">
        <w:t xml:space="preserve">.  </w:t>
      </w:r>
      <w:proofErr w:type="gramEnd"/>
      <w:r w:rsidR="0059684D">
        <w:t>The application is requested to be expedited (bypassing</w:t>
      </w:r>
      <w:r w:rsidR="00935ED0">
        <w:t xml:space="preserve"> the</w:t>
      </w:r>
      <w:r w:rsidR="0059684D">
        <w:t xml:space="preserve"> PASC) as the </w:t>
      </w:r>
      <w:r w:rsidR="00B56382">
        <w:t>proposed</w:t>
      </w:r>
      <w:r w:rsidR="0059684D">
        <w:t xml:space="preserve"> PICO is based on </w:t>
      </w:r>
      <w:r w:rsidR="00B56382" w:rsidRPr="001B3A6F">
        <w:t>A</w:t>
      </w:r>
      <w:r w:rsidR="0059684D" w:rsidRPr="001B3A6F">
        <w:t xml:space="preserve">pplication </w:t>
      </w:r>
      <w:r w:rsidR="00B56382" w:rsidRPr="001B3A6F">
        <w:t>1519</w:t>
      </w:r>
      <w:r w:rsidR="0059684D">
        <w:t xml:space="preserve"> </w:t>
      </w:r>
      <w:r w:rsidR="00B56382">
        <w:t xml:space="preserve">(and accompanying Ratified PICO) </w:t>
      </w:r>
      <w:r w:rsidR="0059684D">
        <w:t xml:space="preserve">for </w:t>
      </w:r>
      <w:r w:rsidR="00B56382" w:rsidRPr="00B56382">
        <w:t xml:space="preserve">tisagenlecleucel (Kymriah) </w:t>
      </w:r>
      <w:r w:rsidR="0059684D">
        <w:t xml:space="preserve">which MSAC recommended for funding to treat </w:t>
      </w:r>
      <w:r w:rsidR="00B56382" w:rsidRPr="00B56382">
        <w:t>relapsed/refractory CD19-positive ALL in children and young adults up to 25 years old</w:t>
      </w:r>
      <w:r w:rsidR="00B56382">
        <w:t xml:space="preserve">; </w:t>
      </w:r>
      <w:proofErr w:type="gramStart"/>
      <w:r w:rsidR="00B56382">
        <w:t>a very similar</w:t>
      </w:r>
      <w:proofErr w:type="gramEnd"/>
      <w:r w:rsidR="00B56382">
        <w:t xml:space="preserve"> and overlapping indication for this application.</w:t>
      </w:r>
    </w:p>
    <w:p w14:paraId="50CFC3D2" w14:textId="77777777" w:rsidR="00B87234" w:rsidRPr="004A63C9" w:rsidRDefault="00B87234" w:rsidP="00B56382">
      <w:pPr>
        <w:ind w:left="284"/>
      </w:pPr>
    </w:p>
    <w:p w14:paraId="202FE150"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7E38C1B" w14:textId="77777777"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w:t>
      </w:r>
    </w:p>
    <w:p w14:paraId="1F82E40B" w14:textId="1CCFD7C1" w:rsidR="00753C44" w:rsidRDefault="005970C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B6390">
        <w:rPr>
          <w:szCs w:val="20"/>
        </w:rPr>
        <w:t xml:space="preserve"> No</w:t>
      </w:r>
      <w:r w:rsidR="00753C44" w:rsidRPr="00753C44">
        <w:rPr>
          <w:szCs w:val="20"/>
        </w:rPr>
        <w:t xml:space="preserve">  </w:t>
      </w:r>
    </w:p>
    <w:p w14:paraId="6C94C05B" w14:textId="21A45A92" w:rsidR="00C54610" w:rsidRDefault="00C54610" w:rsidP="00A6491A">
      <w:pPr>
        <w:spacing w:before="0" w:after="0"/>
        <w:ind w:left="284"/>
        <w:rPr>
          <w:szCs w:val="20"/>
        </w:rPr>
      </w:pPr>
    </w:p>
    <w:p w14:paraId="39336217" w14:textId="22FFBA3C" w:rsidR="00C54610" w:rsidRPr="00753C44" w:rsidRDefault="00C54610" w:rsidP="00671A37">
      <w:pPr>
        <w:spacing w:before="0" w:after="0"/>
        <w:ind w:left="284"/>
        <w:rPr>
          <w:szCs w:val="20"/>
        </w:rPr>
      </w:pPr>
      <w:r w:rsidRPr="00C54610">
        <w:rPr>
          <w:szCs w:val="20"/>
        </w:rPr>
        <w:t xml:space="preserve">Brexucabtagene autoleucel </w:t>
      </w:r>
      <w:r w:rsidR="002D4E54">
        <w:rPr>
          <w:szCs w:val="20"/>
        </w:rPr>
        <w:t xml:space="preserve">is </w:t>
      </w:r>
      <w:r w:rsidRPr="00C54610">
        <w:rPr>
          <w:szCs w:val="20"/>
        </w:rPr>
        <w:t xml:space="preserve">not eligible for funding through the MBS or PBS. </w:t>
      </w:r>
    </w:p>
    <w:p w14:paraId="7B73339D" w14:textId="77777777" w:rsidR="000B3CD0" w:rsidRPr="0011036E" w:rsidRDefault="000B3CD0"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w:t>
      </w:r>
      <w:proofErr w:type="gramStart"/>
      <w:r w:rsidR="00F83566" w:rsidRPr="0011036E">
        <w:rPr>
          <w:rStyle w:val="Strong"/>
          <w:rFonts w:asciiTheme="minorHAnsi" w:eastAsiaTheme="minorHAnsi" w:hAnsiTheme="minorHAnsi" w:cstheme="minorBidi"/>
          <w:b/>
        </w:rPr>
        <w:t xml:space="preserve">be </w:t>
      </w:r>
      <w:r w:rsidRPr="0011036E">
        <w:rPr>
          <w:rStyle w:val="Strong"/>
          <w:rFonts w:asciiTheme="minorHAnsi" w:eastAsiaTheme="minorHAnsi" w:hAnsiTheme="minorHAnsi" w:cstheme="minorBidi"/>
          <w:b/>
        </w:rPr>
        <w:t>covered</w:t>
      </w:r>
      <w:proofErr w:type="gramEnd"/>
      <w:r w:rsidRPr="0011036E">
        <w:rPr>
          <w:rStyle w:val="Strong"/>
          <w:rFonts w:asciiTheme="minorHAnsi" w:eastAsiaTheme="minorHAnsi" w:hAnsiTheme="minorHAnsi" w:cstheme="minorBidi"/>
          <w:b/>
        </w:rPr>
        <w:t xml:space="preserve">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0D900207"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8AA80E9"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70205796" w14:textId="77777777" w:rsidR="000B3CD0" w:rsidRPr="0011036E" w:rsidRDefault="000B3CD0"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w:t>
      </w:r>
      <w:proofErr w:type="gramStart"/>
      <w:r w:rsidR="00126B33" w:rsidRPr="0011036E">
        <w:rPr>
          <w:rStyle w:val="Strong"/>
          <w:rFonts w:asciiTheme="minorHAnsi" w:eastAsiaTheme="minorHAnsi" w:hAnsiTheme="minorHAnsi" w:cstheme="minorBidi"/>
          <w:b/>
        </w:rPr>
        <w:t>being sought</w:t>
      </w:r>
      <w:proofErr w:type="gramEnd"/>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65F28EF0" w14:textId="7E044D0C" w:rsidR="00AE7431" w:rsidRPr="00CB12EC" w:rsidRDefault="001141ED" w:rsidP="00671A37">
      <w:pPr>
        <w:ind w:left="284"/>
      </w:pPr>
      <w:r>
        <w:t>N/A</w:t>
      </w:r>
    </w:p>
    <w:p w14:paraId="0E61586E" w14:textId="77777777" w:rsidR="006C0843" w:rsidRPr="0011036E" w:rsidRDefault="006C0843" w:rsidP="00056F06">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w:t>
      </w:r>
      <w:proofErr w:type="gramStart"/>
      <w:r w:rsidRPr="0011036E">
        <w:rPr>
          <w:rStyle w:val="Strong"/>
          <w:rFonts w:asciiTheme="minorHAnsi" w:eastAsiaTheme="minorHAnsi" w:hAnsiTheme="minorHAnsi" w:cstheme="minorBidi"/>
          <w:b/>
        </w:rPr>
        <w:t>being sought</w:t>
      </w:r>
      <w:proofErr w:type="gramEnd"/>
      <w:r w:rsidRPr="0011036E">
        <w:rPr>
          <w:rStyle w:val="Strong"/>
          <w:rFonts w:asciiTheme="minorHAnsi" w:eastAsiaTheme="minorHAnsi" w:hAnsiTheme="minorHAnsi" w:cstheme="minorBidi"/>
          <w:b/>
        </w:rPr>
        <w: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78A3599"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 xml:space="preserve">An amendment to the way the service </w:t>
      </w:r>
      <w:proofErr w:type="gramStart"/>
      <w:r w:rsidRPr="004A263B">
        <w:rPr>
          <w:rStyle w:val="Strong"/>
          <w:b w:val="0"/>
        </w:rPr>
        <w:t>is clinically delivered</w:t>
      </w:r>
      <w:proofErr w:type="gramEnd"/>
      <w:r w:rsidRPr="004A263B">
        <w:rPr>
          <w:rStyle w:val="Strong"/>
          <w:b w:val="0"/>
        </w:rPr>
        <w:t xml:space="preserve"> under the existing item(s)</w:t>
      </w:r>
    </w:p>
    <w:p w14:paraId="1C370CEB"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06F76127"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B56B71C"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8BB91E1"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ED81D03"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 xml:space="preserve">Minor amendments to the item descriptor that does not affect how the service </w:t>
      </w:r>
      <w:proofErr w:type="gramStart"/>
      <w:r w:rsidRPr="004A263B">
        <w:rPr>
          <w:rStyle w:val="Strong"/>
          <w:b w:val="0"/>
        </w:rPr>
        <w:t>is delivered</w:t>
      </w:r>
      <w:proofErr w:type="gramEnd"/>
    </w:p>
    <w:p w14:paraId="03DDBF61"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6D03A40F" w14:textId="77777777" w:rsidR="002A270B" w:rsidRPr="004A263B" w:rsidRDefault="002A270B" w:rsidP="00056F06">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3FB9B9A7" w14:textId="77777777" w:rsidR="002A270B" w:rsidRDefault="004A263B" w:rsidP="00056F06">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C6C24">
        <w:rPr>
          <w:b/>
          <w:szCs w:val="20"/>
        </w:rPr>
      </w:r>
      <w:r w:rsidR="009C6C24">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F0ACA5A" w14:textId="6BE65869" w:rsidR="00AE7431" w:rsidRPr="00CB12EC" w:rsidRDefault="00AE7431" w:rsidP="00671A37">
      <w:pPr>
        <w:ind w:left="284"/>
      </w:pPr>
      <w:r>
        <w:t>Not applicable</w:t>
      </w:r>
    </w:p>
    <w:p w14:paraId="43257DEF" w14:textId="77777777" w:rsidR="00534C5F" w:rsidRPr="007E39E4" w:rsidRDefault="000770BA"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w:t>
      </w:r>
      <w:proofErr w:type="gramStart"/>
      <w:r w:rsidRPr="007E39E4">
        <w:rPr>
          <w:rStyle w:val="Strong"/>
          <w:rFonts w:asciiTheme="minorHAnsi" w:eastAsiaTheme="minorHAnsi" w:hAnsiTheme="minorHAnsi" w:cstheme="minorBidi"/>
          <w:b/>
        </w:rPr>
        <w:t>a new item</w:t>
      </w:r>
      <w:proofErr w:type="gramEnd"/>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05D1F81" w14:textId="77777777" w:rsidR="006B6390" w:rsidRPr="00AA2CFE" w:rsidRDefault="006B6390" w:rsidP="00056F06">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C6C24">
        <w:rPr>
          <w:b/>
          <w:szCs w:val="20"/>
        </w:rPr>
      </w:r>
      <w:r w:rsidR="009C6C24">
        <w:rPr>
          <w:b/>
          <w:szCs w:val="20"/>
        </w:rPr>
        <w:fldChar w:fldCharType="separate"/>
      </w:r>
      <w:r w:rsidRPr="00AA2CFE">
        <w:rPr>
          <w:b/>
          <w:szCs w:val="20"/>
        </w:rPr>
        <w:fldChar w:fldCharType="end"/>
      </w:r>
      <w:r w:rsidRPr="00AA2CFE">
        <w:rPr>
          <w:b/>
          <w:szCs w:val="20"/>
        </w:rPr>
        <w:t xml:space="preserve"> </w:t>
      </w:r>
      <w:proofErr w:type="gramStart"/>
      <w:r w:rsidRPr="00AA2CFE">
        <w:rPr>
          <w:rStyle w:val="Strong"/>
          <w:b w:val="0"/>
        </w:rPr>
        <w:t>A new item</w:t>
      </w:r>
      <w:proofErr w:type="gramEnd"/>
      <w:r w:rsidRPr="00AA2CFE">
        <w:rPr>
          <w:rStyle w:val="Strong"/>
          <w:b w:val="0"/>
        </w:rPr>
        <w:t xml:space="preserve"> which also seeks to allow access to the MBS for a specific health practitioner group</w:t>
      </w:r>
    </w:p>
    <w:p w14:paraId="5F8E5DFF" w14:textId="77777777" w:rsidR="006B6390" w:rsidRPr="00AA2CFE" w:rsidRDefault="006B6390" w:rsidP="00056F06">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C6C24">
        <w:rPr>
          <w:b/>
          <w:szCs w:val="20"/>
        </w:rPr>
      </w:r>
      <w:r w:rsidR="009C6C24">
        <w:rPr>
          <w:b/>
          <w:szCs w:val="20"/>
        </w:rPr>
        <w:fldChar w:fldCharType="separate"/>
      </w:r>
      <w:r w:rsidRPr="00AA2CFE">
        <w:rPr>
          <w:b/>
          <w:szCs w:val="20"/>
        </w:rPr>
        <w:fldChar w:fldCharType="end"/>
      </w:r>
      <w:r w:rsidRPr="00AA2CFE">
        <w:rPr>
          <w:b/>
          <w:szCs w:val="20"/>
        </w:rPr>
        <w:t xml:space="preserve"> </w:t>
      </w:r>
      <w:proofErr w:type="gramStart"/>
      <w:r w:rsidRPr="00AA2CFE">
        <w:rPr>
          <w:rStyle w:val="Strong"/>
          <w:b w:val="0"/>
        </w:rPr>
        <w:t>A new item</w:t>
      </w:r>
      <w:proofErr w:type="gramEnd"/>
      <w:r w:rsidRPr="00AA2CFE">
        <w:rPr>
          <w:rStyle w:val="Strong"/>
          <w:b w:val="0"/>
        </w:rPr>
        <w:t xml:space="preserve"> that is proposing a way of clinically delivering a service that is new to the MBS (in terms of new technology and / or population)</w:t>
      </w:r>
    </w:p>
    <w:p w14:paraId="73B8DA13" w14:textId="77777777" w:rsidR="006B6390" w:rsidRPr="00AA2CFE" w:rsidRDefault="006B6390" w:rsidP="00056F06">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C6C24">
        <w:rPr>
          <w:b/>
          <w:szCs w:val="20"/>
        </w:rPr>
      </w:r>
      <w:r w:rsidR="009C6C24">
        <w:rPr>
          <w:b/>
          <w:szCs w:val="20"/>
        </w:rPr>
        <w:fldChar w:fldCharType="separate"/>
      </w:r>
      <w:r w:rsidRPr="00AA2CFE">
        <w:rPr>
          <w:b/>
          <w:szCs w:val="20"/>
        </w:rPr>
        <w:fldChar w:fldCharType="end"/>
      </w:r>
      <w:r w:rsidRPr="00AA2CFE">
        <w:rPr>
          <w:b/>
          <w:szCs w:val="20"/>
        </w:rPr>
        <w:t xml:space="preserve"> </w:t>
      </w:r>
      <w:proofErr w:type="gramStart"/>
      <w:r w:rsidRPr="00AA2CFE">
        <w:rPr>
          <w:rStyle w:val="Strong"/>
          <w:b w:val="0"/>
        </w:rPr>
        <w:t>A new item</w:t>
      </w:r>
      <w:proofErr w:type="gramEnd"/>
      <w:r w:rsidRPr="00AA2CFE">
        <w:rPr>
          <w:rStyle w:val="Strong"/>
          <w:b w:val="0"/>
        </w:rPr>
        <w:t xml:space="preserve"> for a specific single consultation item</w:t>
      </w:r>
    </w:p>
    <w:p w14:paraId="1592EDF6" w14:textId="77777777" w:rsidR="006B6390" w:rsidRPr="00AA2CFE" w:rsidRDefault="006B6390" w:rsidP="00056F06">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C6C24">
        <w:rPr>
          <w:b/>
          <w:szCs w:val="20"/>
        </w:rPr>
      </w:r>
      <w:r w:rsidR="009C6C24">
        <w:rPr>
          <w:b/>
          <w:szCs w:val="20"/>
        </w:rPr>
        <w:fldChar w:fldCharType="separate"/>
      </w:r>
      <w:r w:rsidRPr="00AA2CFE">
        <w:rPr>
          <w:b/>
          <w:szCs w:val="20"/>
        </w:rPr>
        <w:fldChar w:fldCharType="end"/>
      </w:r>
      <w:r w:rsidRPr="00AA2CFE">
        <w:rPr>
          <w:b/>
          <w:szCs w:val="20"/>
        </w:rPr>
        <w:t xml:space="preserve"> </w:t>
      </w:r>
      <w:proofErr w:type="gramStart"/>
      <w:r w:rsidRPr="00AA2CFE">
        <w:rPr>
          <w:rStyle w:val="Strong"/>
          <w:b w:val="0"/>
        </w:rPr>
        <w:t>A new item</w:t>
      </w:r>
      <w:proofErr w:type="gramEnd"/>
      <w:r w:rsidRPr="00AA2CFE">
        <w:rPr>
          <w:rStyle w:val="Strong"/>
          <w:b w:val="0"/>
        </w:rPr>
        <w:t xml:space="preserve"> for a global consultation item(s)</w:t>
      </w:r>
    </w:p>
    <w:p w14:paraId="40BFAEF0" w14:textId="77777777" w:rsidR="003027BB" w:rsidRPr="007E39E4" w:rsidRDefault="00F30C22"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4A70C59" w14:textId="6FC3CB8F" w:rsidR="000A5B32" w:rsidRDefault="005970C3" w:rsidP="00A6491A">
      <w:pPr>
        <w:spacing w:before="0" w:after="0"/>
        <w:ind w:left="284"/>
        <w:rPr>
          <w:szCs w:val="20"/>
        </w:rPr>
      </w:pPr>
      <w:r>
        <w:rPr>
          <w:szCs w:val="20"/>
        </w:rPr>
        <w:fldChar w:fldCharType="begin">
          <w:ffData>
            <w:name w:val="Check1"/>
            <w:enabled/>
            <w:calcOnExit w:val="0"/>
            <w:checkBox>
              <w:sizeAuto/>
              <w:default w:val="1"/>
            </w:checkBox>
          </w:ffData>
        </w:fldChar>
      </w:r>
      <w:bookmarkStart w:id="7" w:name="Check1"/>
      <w:r>
        <w:rPr>
          <w:szCs w:val="20"/>
        </w:rPr>
        <w:instrText xml:space="preserve"> FORMCHECKBOX </w:instrText>
      </w:r>
      <w:r w:rsidR="009C6C24">
        <w:rPr>
          <w:szCs w:val="20"/>
        </w:rPr>
      </w:r>
      <w:r w:rsidR="009C6C24">
        <w:rPr>
          <w:szCs w:val="20"/>
        </w:rPr>
        <w:fldChar w:fldCharType="separate"/>
      </w:r>
      <w:r>
        <w:rPr>
          <w:szCs w:val="20"/>
        </w:rPr>
        <w:fldChar w:fldCharType="end"/>
      </w:r>
      <w:bookmarkEnd w:id="7"/>
      <w:r w:rsidR="000A5B32" w:rsidRPr="000A5B32">
        <w:rPr>
          <w:szCs w:val="20"/>
        </w:rPr>
        <w:t xml:space="preserve"> Yes</w:t>
      </w:r>
    </w:p>
    <w:p w14:paraId="43DD1522" w14:textId="2D1680A6" w:rsidR="00626365" w:rsidRPr="00626365" w:rsidRDefault="000A5B32" w:rsidP="001C7E51">
      <w:pPr>
        <w:spacing w:before="0" w:after="0"/>
        <w:ind w:left="284"/>
        <w:rPr>
          <w:rStyle w:val="Strong"/>
          <w:rFonts w:asciiTheme="minorHAnsi" w:eastAsiaTheme="minorHAnsi" w:hAnsiTheme="minorHAnsi" w:cstheme="minorBidi"/>
          <w:b w:val="0"/>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No</w:t>
      </w:r>
    </w:p>
    <w:p w14:paraId="1380979D" w14:textId="77777777" w:rsidR="003027BB" w:rsidRPr="007E39E4" w:rsidRDefault="003027BB" w:rsidP="00056F06">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0286E9D7" w14:textId="77777777" w:rsidR="00763FB4" w:rsidRDefault="0030475F" w:rsidP="00AE7431">
      <w:pPr>
        <w:pStyle w:val="BodyText"/>
        <w:spacing w:before="119"/>
        <w:ind w:left="360" w:right="422"/>
      </w:pPr>
      <w:r w:rsidRPr="00004B96">
        <w:t>The</w:t>
      </w:r>
      <w:r>
        <w:t xml:space="preserve"> </w:t>
      </w:r>
      <w:r w:rsidRPr="00004B96">
        <w:t>Commonwealth and the States currently jointly fund</w:t>
      </w:r>
      <w:r>
        <w:t xml:space="preserve"> various CAR T-cell therapies as Highly Specialised Therapies under the Addendum to the </w:t>
      </w:r>
      <w:r w:rsidRPr="00004B96">
        <w:t>National Health Reform</w:t>
      </w:r>
      <w:r>
        <w:t xml:space="preserve"> Agreement</w:t>
      </w:r>
      <w:r w:rsidRPr="00004B96">
        <w:t xml:space="preserve"> </w:t>
      </w:r>
      <w:r>
        <w:t xml:space="preserve">2020-2025 </w:t>
      </w:r>
      <w:r w:rsidRPr="00004B96">
        <w:t>(NHRA)</w:t>
      </w:r>
      <w:r>
        <w:t xml:space="preserve">. </w:t>
      </w:r>
    </w:p>
    <w:p w14:paraId="29EF7C30" w14:textId="189C9120" w:rsidR="00C54610" w:rsidRDefault="0030475F" w:rsidP="00AE7431">
      <w:pPr>
        <w:pStyle w:val="BodyText"/>
        <w:spacing w:before="119"/>
        <w:ind w:left="360" w:right="422"/>
      </w:pPr>
      <w:r>
        <w:t>This application proposes that the same funding mechanism be used to fund brexu</w:t>
      </w:r>
      <w:r w:rsidRPr="00296913">
        <w:t xml:space="preserve">cabtagene </w:t>
      </w:r>
      <w:r>
        <w:t>auto</w:t>
      </w:r>
      <w:r w:rsidRPr="00296913">
        <w:t>leucel</w:t>
      </w:r>
      <w:r>
        <w:t xml:space="preserve"> when used in adult </w:t>
      </w:r>
      <w:r w:rsidRPr="00005B53">
        <w:t xml:space="preserve">patients </w:t>
      </w:r>
      <w:r w:rsidR="00763FB4" w:rsidRPr="00005B53">
        <w:t>(</w:t>
      </w:r>
      <w:r w:rsidR="00763FB4" w:rsidRPr="00005B53">
        <w:rPr>
          <w:lang w:val="en-AU"/>
        </w:rPr>
        <w:t>&gt;25</w:t>
      </w:r>
      <w:r w:rsidRPr="00005B53">
        <w:rPr>
          <w:lang w:val="en-AU"/>
        </w:rPr>
        <w:t xml:space="preserve"> </w:t>
      </w:r>
      <w:r w:rsidRPr="00C54610">
        <w:rPr>
          <w:lang w:val="en-AU"/>
        </w:rPr>
        <w:t xml:space="preserve">years of age) with relapsed or </w:t>
      </w:r>
      <w:r w:rsidRPr="00005B53">
        <w:rPr>
          <w:lang w:val="en-AU"/>
        </w:rPr>
        <w:t xml:space="preserve">refractory </w:t>
      </w:r>
      <w:r w:rsidR="00763FB4" w:rsidRPr="00005B53">
        <w:rPr>
          <w:lang w:val="en-AU"/>
        </w:rPr>
        <w:t xml:space="preserve">adult </w:t>
      </w:r>
      <w:r w:rsidRPr="00005B53">
        <w:rPr>
          <w:lang w:val="en-AU"/>
        </w:rPr>
        <w:t>B-</w:t>
      </w:r>
      <w:r w:rsidRPr="00C54610">
        <w:rPr>
          <w:lang w:val="en-AU"/>
        </w:rPr>
        <w:t>precursor acute lymphoblastic leukaemia (B-ALL</w:t>
      </w:r>
      <w:r>
        <w:rPr>
          <w:lang w:val="en-AU"/>
        </w:rPr>
        <w:t>)</w:t>
      </w:r>
      <w:r>
        <w:t>.</w:t>
      </w:r>
    </w:p>
    <w:p w14:paraId="130D83CC" w14:textId="77777777" w:rsidR="0030475F" w:rsidRDefault="0030475F" w:rsidP="00AE7431">
      <w:pPr>
        <w:pStyle w:val="BodyText"/>
        <w:spacing w:before="119"/>
        <w:ind w:left="360" w:right="422"/>
      </w:pPr>
    </w:p>
    <w:p w14:paraId="433CB2E5" w14:textId="77777777" w:rsidR="000B3CD0" w:rsidRDefault="000B3CD0" w:rsidP="00730C04">
      <w:pPr>
        <w:pStyle w:val="Heading2"/>
      </w:pPr>
      <w:r w:rsidRPr="00154B00">
        <w:t xml:space="preserve">What is the type of </w:t>
      </w:r>
      <w:r w:rsidR="00B45CA5">
        <w:t xml:space="preserve">medical </w:t>
      </w:r>
      <w:r w:rsidRPr="00154B00">
        <w:t>service</w:t>
      </w:r>
      <w:r w:rsidR="00B45CA5">
        <w:t>/technology?</w:t>
      </w:r>
    </w:p>
    <w:p w14:paraId="0AA7DF8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Therapeutic medical service</w:t>
      </w:r>
    </w:p>
    <w:p w14:paraId="6536D37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Investigative medical service</w:t>
      </w:r>
    </w:p>
    <w:p w14:paraId="035BA0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Single consultation medical service</w:t>
      </w:r>
    </w:p>
    <w:p w14:paraId="6D36812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Global consultation medical service</w:t>
      </w:r>
    </w:p>
    <w:p w14:paraId="5F0539E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Allied health service</w:t>
      </w:r>
    </w:p>
    <w:p w14:paraId="668AA46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Co-dependent technology</w:t>
      </w:r>
    </w:p>
    <w:p w14:paraId="6FD14B85" w14:textId="4D983305" w:rsidR="00A6594E" w:rsidRDefault="00F8120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C6C24">
        <w:rPr>
          <w:b/>
          <w:szCs w:val="20"/>
        </w:rPr>
      </w:r>
      <w:r w:rsidR="009C6C24">
        <w:rPr>
          <w:b/>
          <w:szCs w:val="20"/>
        </w:rPr>
        <w:fldChar w:fldCharType="separate"/>
      </w:r>
      <w:r>
        <w:rPr>
          <w:b/>
          <w:szCs w:val="20"/>
        </w:rPr>
        <w:fldChar w:fldCharType="end"/>
      </w:r>
      <w:r w:rsidR="00A6594E" w:rsidRPr="0027105F">
        <w:rPr>
          <w:b/>
          <w:szCs w:val="20"/>
        </w:rPr>
        <w:t xml:space="preserve"> </w:t>
      </w:r>
      <w:r w:rsidR="00A6594E">
        <w:t>Hybrid health technology</w:t>
      </w:r>
    </w:p>
    <w:p w14:paraId="62EA1796" w14:textId="77777777" w:rsidR="00B87234" w:rsidRPr="00A6594E" w:rsidRDefault="00B87234" w:rsidP="00A6491A">
      <w:pPr>
        <w:spacing w:before="0" w:after="0"/>
        <w:ind w:left="284"/>
      </w:pPr>
    </w:p>
    <w:p w14:paraId="4B4B1A30"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B387A6F" w14:textId="77777777" w:rsidR="00A6594E" w:rsidRDefault="00A6594E" w:rsidP="00056F06">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C6C24">
        <w:rPr>
          <w:b/>
          <w:szCs w:val="20"/>
        </w:rPr>
      </w:r>
      <w:r w:rsidR="009C6C24">
        <w:rPr>
          <w:b/>
          <w:szCs w:val="20"/>
        </w:rPr>
        <w:fldChar w:fldCharType="separate"/>
      </w:r>
      <w:r w:rsidRPr="00AF4466">
        <w:rPr>
          <w:b/>
          <w:szCs w:val="20"/>
        </w:rPr>
        <w:fldChar w:fldCharType="end"/>
      </w:r>
      <w:r w:rsidRPr="00AF4466">
        <w:rPr>
          <w:b/>
          <w:szCs w:val="20"/>
        </w:rPr>
        <w:t xml:space="preserve"> </w:t>
      </w:r>
      <w:r>
        <w:t xml:space="preserve">To </w:t>
      </w:r>
      <w:proofErr w:type="gramStart"/>
      <w:r>
        <w:t>be used</w:t>
      </w:r>
      <w:proofErr w:type="gramEnd"/>
      <w:r>
        <w:t xml:space="preserve"> as a screening tool in asymptomatic populations </w:t>
      </w:r>
    </w:p>
    <w:p w14:paraId="60BDA361" w14:textId="77777777" w:rsidR="00A6594E" w:rsidRDefault="00A6594E" w:rsidP="00056F06">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C6C24">
        <w:rPr>
          <w:b/>
          <w:szCs w:val="20"/>
        </w:rPr>
      </w:r>
      <w:r w:rsidR="009C6C24">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66319CC6" w14:textId="77777777" w:rsidR="00A6594E" w:rsidRDefault="00A6594E" w:rsidP="00056F06">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C6C24">
        <w:rPr>
          <w:b/>
          <w:szCs w:val="20"/>
        </w:rPr>
      </w:r>
      <w:r w:rsidR="009C6C24">
        <w:rPr>
          <w:b/>
          <w:szCs w:val="20"/>
        </w:rPr>
        <w:fldChar w:fldCharType="separate"/>
      </w:r>
      <w:r w:rsidRPr="00AF4466">
        <w:rPr>
          <w:b/>
          <w:szCs w:val="20"/>
        </w:rPr>
        <w:fldChar w:fldCharType="end"/>
      </w:r>
      <w:r w:rsidRPr="00AF4466">
        <w:rPr>
          <w:b/>
          <w:szCs w:val="20"/>
        </w:rPr>
        <w:t xml:space="preserve"> </w:t>
      </w:r>
      <w:r>
        <w:t>Provides information about prognosis</w:t>
      </w:r>
    </w:p>
    <w:p w14:paraId="18583E49" w14:textId="77777777" w:rsidR="00A6594E" w:rsidRDefault="00A6594E" w:rsidP="00056F06">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C6C24">
        <w:rPr>
          <w:b/>
          <w:szCs w:val="20"/>
        </w:rPr>
      </w:r>
      <w:r w:rsidR="009C6C24">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0C5A2EA5" w14:textId="4997CE5A" w:rsidR="00A6594E" w:rsidRDefault="00A6594E" w:rsidP="00056F06">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C6C24">
        <w:rPr>
          <w:b/>
          <w:szCs w:val="20"/>
        </w:rPr>
      </w:r>
      <w:r w:rsidR="009C6C24">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5FD42C02" w14:textId="77777777" w:rsidR="00B87234" w:rsidRPr="00A6594E" w:rsidRDefault="00B87234" w:rsidP="00B87234">
      <w:pPr>
        <w:pStyle w:val="ListParagraph"/>
        <w:spacing w:before="0" w:after="0"/>
        <w:ind w:left="851"/>
      </w:pPr>
    </w:p>
    <w:p w14:paraId="7ABC254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EEF6E50" w14:textId="2FF5E860" w:rsidR="00FE16C1" w:rsidRDefault="00F81206"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C6C24">
        <w:rPr>
          <w:b/>
          <w:szCs w:val="20"/>
        </w:rPr>
      </w:r>
      <w:r w:rsidR="009C6C24">
        <w:rPr>
          <w:b/>
          <w:szCs w:val="20"/>
        </w:rPr>
        <w:fldChar w:fldCharType="separate"/>
      </w:r>
      <w:r>
        <w:rPr>
          <w:b/>
          <w:szCs w:val="20"/>
        </w:rPr>
        <w:fldChar w:fldCharType="end"/>
      </w:r>
      <w:r w:rsidR="00FE16C1" w:rsidRPr="0027105F">
        <w:rPr>
          <w:b/>
          <w:szCs w:val="20"/>
        </w:rPr>
        <w:t xml:space="preserve"> </w:t>
      </w:r>
      <w:r w:rsidR="00FE16C1">
        <w:t>Pharmaceutical / Biological</w:t>
      </w:r>
    </w:p>
    <w:p w14:paraId="6267B23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Prosthesis or device</w:t>
      </w:r>
    </w:p>
    <w:p w14:paraId="3F2D39A1" w14:textId="0F0B2C1B" w:rsidR="00FE16C1" w:rsidRDefault="00FE16C1" w:rsidP="00A6491A">
      <w:pPr>
        <w:spacing w:before="0" w:after="0"/>
        <w:ind w:left="284"/>
      </w:pPr>
      <w:r w:rsidRPr="0027105F">
        <w:rPr>
          <w:b/>
          <w:szCs w:val="20"/>
        </w:rPr>
        <w:lastRenderedPageBreak/>
        <w:fldChar w:fldCharType="begin">
          <w:ffData>
            <w:name w:val=""/>
            <w:enabled/>
            <w:calcOnExit w:val="0"/>
            <w:checkBox>
              <w:sizeAuto/>
              <w:default w:val="0"/>
            </w:checkBox>
          </w:ffData>
        </w:fldChar>
      </w:r>
      <w:r w:rsidRPr="0027105F">
        <w:rPr>
          <w:b/>
          <w:szCs w:val="20"/>
        </w:rPr>
        <w:instrText xml:space="preserve"> FORMCHECKBOX </w:instrText>
      </w:r>
      <w:r w:rsidR="009C6C24">
        <w:rPr>
          <w:b/>
          <w:szCs w:val="20"/>
        </w:rPr>
      </w:r>
      <w:r w:rsidR="009C6C24">
        <w:rPr>
          <w:b/>
          <w:szCs w:val="20"/>
        </w:rPr>
        <w:fldChar w:fldCharType="separate"/>
      </w:r>
      <w:r w:rsidRPr="0027105F">
        <w:rPr>
          <w:b/>
          <w:szCs w:val="20"/>
        </w:rPr>
        <w:fldChar w:fldCharType="end"/>
      </w:r>
      <w:r w:rsidRPr="0027105F">
        <w:rPr>
          <w:b/>
          <w:szCs w:val="20"/>
        </w:rPr>
        <w:t xml:space="preserve"> </w:t>
      </w:r>
      <w:r>
        <w:t>No</w:t>
      </w:r>
    </w:p>
    <w:p w14:paraId="1B96C435" w14:textId="77777777" w:rsidR="00B87234" w:rsidRPr="00FE16C1" w:rsidRDefault="00B87234" w:rsidP="00A6491A">
      <w:pPr>
        <w:spacing w:before="0" w:after="0"/>
        <w:ind w:left="284"/>
      </w:pPr>
    </w:p>
    <w:p w14:paraId="4508B82B"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A8E2BEC" w14:textId="1E3016AB" w:rsidR="00FE16C1" w:rsidRDefault="00833DB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FE16C1" w:rsidRPr="000A5B32">
        <w:rPr>
          <w:szCs w:val="20"/>
        </w:rPr>
        <w:t xml:space="preserve"> Yes</w:t>
      </w:r>
    </w:p>
    <w:p w14:paraId="3DCEBE74" w14:textId="53521C06" w:rsidR="00CE23B0" w:rsidRDefault="00FE16C1" w:rsidP="001C7E51">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No  </w:t>
      </w:r>
    </w:p>
    <w:p w14:paraId="028C3932" w14:textId="77777777" w:rsidR="0030475F" w:rsidRPr="008007DF" w:rsidRDefault="0030475F" w:rsidP="0030475F">
      <w:pPr>
        <w:ind w:left="284"/>
        <w:rPr>
          <w:b/>
          <w:bCs/>
        </w:rPr>
      </w:pPr>
      <w:r w:rsidRPr="008007DF">
        <w:rPr>
          <w:b/>
          <w:bCs/>
        </w:rPr>
        <w:t>Bridging therapy</w:t>
      </w:r>
    </w:p>
    <w:p w14:paraId="587AE37E" w14:textId="77777777" w:rsidR="0030475F" w:rsidRDefault="0030475F" w:rsidP="0030475F">
      <w:pPr>
        <w:ind w:left="284"/>
      </w:pPr>
      <w:r w:rsidRPr="00833DBA">
        <w:t xml:space="preserve">Prespecified bridging chemotherapy to stabilise the patient’s condition during </w:t>
      </w:r>
      <w:r>
        <w:t>brexucabtagene autoleucel</w:t>
      </w:r>
      <w:r w:rsidRPr="00833DBA">
        <w:t xml:space="preserve"> manufacturing </w:t>
      </w:r>
      <w:proofErr w:type="gramStart"/>
      <w:r>
        <w:t>is</w:t>
      </w:r>
      <w:r w:rsidRPr="00833DBA">
        <w:t xml:space="preserve"> allowed</w:t>
      </w:r>
      <w:proofErr w:type="gramEnd"/>
      <w:r w:rsidRPr="00833DBA">
        <w:t xml:space="preserve"> at the physician’s discretion. </w:t>
      </w:r>
    </w:p>
    <w:p w14:paraId="7D7638AE" w14:textId="77777777" w:rsidR="0030475F" w:rsidRDefault="0030475F" w:rsidP="0030475F">
      <w:pPr>
        <w:ind w:left="284"/>
      </w:pPr>
      <w:r>
        <w:t>In the pivotal ZUMA-3 study, b</w:t>
      </w:r>
      <w:r w:rsidRPr="008007DF">
        <w:t xml:space="preserve">ridging therapy </w:t>
      </w:r>
      <w:proofErr w:type="gramStart"/>
      <w:r>
        <w:t>was</w:t>
      </w:r>
      <w:r w:rsidRPr="008007DF">
        <w:t xml:space="preserve"> administered</w:t>
      </w:r>
      <w:proofErr w:type="gramEnd"/>
      <w:r w:rsidRPr="008007DF">
        <w:t xml:space="preserve"> after leukapheresis and prior to lymphodepleting chemotherapy</w:t>
      </w:r>
      <w:r>
        <w:t>.</w:t>
      </w:r>
      <w:r w:rsidRPr="008007DF">
        <w:t xml:space="preserve"> </w:t>
      </w:r>
      <w:r>
        <w:t>B</w:t>
      </w:r>
      <w:r w:rsidRPr="008007DF">
        <w:t xml:space="preserve">ridging chemotherapy </w:t>
      </w:r>
      <w:proofErr w:type="gramStart"/>
      <w:r w:rsidRPr="008007DF">
        <w:t>was recommended</w:t>
      </w:r>
      <w:proofErr w:type="gramEnd"/>
      <w:r w:rsidRPr="008007DF">
        <w:t xml:space="preserve"> for all subjects, particularly those subjects with high disease burden at baseline (M3 marrow</w:t>
      </w:r>
      <w:r>
        <w:t xml:space="preserve"> </w:t>
      </w:r>
      <w:r w:rsidRPr="008007DF">
        <w:t>[&gt; 25% leukemic blasts] or ≥ 1,000 blasts/mm</w:t>
      </w:r>
      <w:r w:rsidRPr="00F67A83">
        <w:rPr>
          <w:vertAlign w:val="superscript"/>
        </w:rPr>
        <w:t>3</w:t>
      </w:r>
      <w:r w:rsidRPr="008007DF">
        <w:t xml:space="preserve"> in the peripheral circulation). If prescribed, bridging chemotherapy was administered after leukapheresis and completed at least 7 days or </w:t>
      </w:r>
      <w:proofErr w:type="gramStart"/>
      <w:r w:rsidRPr="008007DF">
        <w:t>5</w:t>
      </w:r>
      <w:proofErr w:type="gramEnd"/>
      <w:r w:rsidRPr="008007DF">
        <w:t xml:space="preserve"> half-lives, whichever was shorter, prior to initiating lymphodepleting chemotherapy. </w:t>
      </w:r>
      <w:r>
        <w:t>The most commonly administered bridging therapy administered in the pivotal study was</w:t>
      </w:r>
      <w:r>
        <w:rPr>
          <w:spacing w:val="1"/>
        </w:rPr>
        <w:t xml:space="preserve"> </w:t>
      </w:r>
      <w:r>
        <w:t xml:space="preserve">dexamethasone, which </w:t>
      </w:r>
      <w:proofErr w:type="gramStart"/>
      <w:r>
        <w:t>is listed</w:t>
      </w:r>
      <w:proofErr w:type="gramEnd"/>
      <w:r>
        <w:t xml:space="preserve"> on the PBS as an unrestricted benefit.</w:t>
      </w:r>
    </w:p>
    <w:p w14:paraId="56DD2CBC" w14:textId="77777777" w:rsidR="0030475F" w:rsidRDefault="0030475F" w:rsidP="00AE7431">
      <w:pPr>
        <w:ind w:left="284"/>
        <w:rPr>
          <w:b/>
          <w:bCs/>
        </w:rPr>
      </w:pPr>
    </w:p>
    <w:p w14:paraId="6B0A3FA9" w14:textId="3B696F3C" w:rsidR="008007DF" w:rsidRPr="008007DF" w:rsidRDefault="008007DF" w:rsidP="00AE7431">
      <w:pPr>
        <w:ind w:left="284"/>
        <w:rPr>
          <w:b/>
          <w:bCs/>
        </w:rPr>
      </w:pPr>
      <w:r w:rsidRPr="008007DF">
        <w:rPr>
          <w:b/>
          <w:bCs/>
        </w:rPr>
        <w:t xml:space="preserve">Lymphodepleting chemotherapy </w:t>
      </w:r>
    </w:p>
    <w:p w14:paraId="10ECB910" w14:textId="50E059B7" w:rsidR="00CE23B0" w:rsidRDefault="00CE23B0" w:rsidP="00AE7431">
      <w:pPr>
        <w:ind w:left="284"/>
      </w:pPr>
      <w:r>
        <w:t xml:space="preserve">Conditioning chemotherapy </w:t>
      </w:r>
      <w:proofErr w:type="gramStart"/>
      <w:r>
        <w:t>is required</w:t>
      </w:r>
      <w:proofErr w:type="gramEnd"/>
      <w:r>
        <w:t xml:space="preserve"> to be administered prior to infusion of brexucabtagene autoleucel.</w:t>
      </w:r>
      <w:r>
        <w:rPr>
          <w:spacing w:val="-43"/>
        </w:rPr>
        <w:t xml:space="preserve"> </w:t>
      </w:r>
      <w:r>
        <w:t xml:space="preserve">The lymphodepleting chemotherapy regimen administered in the </w:t>
      </w:r>
      <w:r w:rsidR="005E7024">
        <w:t xml:space="preserve">pivotal </w:t>
      </w:r>
      <w:r>
        <w:t>ZUMA-3 study consisted of:</w:t>
      </w:r>
      <w:r>
        <w:rPr>
          <w:spacing w:val="1"/>
        </w:rPr>
        <w:t xml:space="preserve"> </w:t>
      </w:r>
      <w:r>
        <w:t>fludarabine 25 mg/m</w:t>
      </w:r>
      <w:r>
        <w:rPr>
          <w:vertAlign w:val="superscript"/>
        </w:rPr>
        <w:t>2</w:t>
      </w:r>
      <w:r>
        <w:t xml:space="preserve"> intravenous (IV) administered on the</w:t>
      </w:r>
      <w:r>
        <w:rPr>
          <w:spacing w:val="1"/>
        </w:rPr>
        <w:t xml:space="preserve"> </w:t>
      </w:r>
      <w:r>
        <w:t>fourth, third and second day prior to infusion of brexucabtagene autoleucel and cyclophosphamide 900 mg/m</w:t>
      </w:r>
      <w:r>
        <w:rPr>
          <w:vertAlign w:val="superscript"/>
        </w:rPr>
        <w:t>2</w:t>
      </w:r>
      <w:r>
        <w:t xml:space="preserve"> IV administered on the</w:t>
      </w:r>
      <w:r>
        <w:rPr>
          <w:spacing w:val="1"/>
        </w:rPr>
        <w:t xml:space="preserve"> </w:t>
      </w:r>
      <w:r>
        <w:t>second day prior to infusion of brexucabtagene autoleucel. Both of these therapies are</w:t>
      </w:r>
      <w:r>
        <w:rPr>
          <w:spacing w:val="1"/>
        </w:rPr>
        <w:t xml:space="preserve"> </w:t>
      </w:r>
      <w:r>
        <w:t>available</w:t>
      </w:r>
      <w:r>
        <w:rPr>
          <w:spacing w:val="-1"/>
        </w:rPr>
        <w:t xml:space="preserve"> </w:t>
      </w:r>
      <w:r>
        <w:t>as unrestricted</w:t>
      </w:r>
      <w:r>
        <w:rPr>
          <w:spacing w:val="-1"/>
        </w:rPr>
        <w:t xml:space="preserve"> </w:t>
      </w:r>
      <w:r>
        <w:t>benefits</w:t>
      </w:r>
      <w:r>
        <w:rPr>
          <w:spacing w:val="-1"/>
        </w:rPr>
        <w:t xml:space="preserve"> </w:t>
      </w:r>
      <w:r>
        <w:t>on the PBS.</w:t>
      </w:r>
    </w:p>
    <w:p w14:paraId="49FFEF8A" w14:textId="3C76FA39" w:rsidR="008007DF" w:rsidRPr="008007DF" w:rsidRDefault="008007DF" w:rsidP="00AE7431">
      <w:pPr>
        <w:ind w:left="284"/>
        <w:rPr>
          <w:b/>
          <w:bCs/>
        </w:rPr>
      </w:pPr>
      <w:r>
        <w:rPr>
          <w:b/>
          <w:bCs/>
        </w:rPr>
        <w:t>Cerebrospinal fluid (</w:t>
      </w:r>
      <w:r w:rsidRPr="008007DF">
        <w:rPr>
          <w:b/>
          <w:bCs/>
        </w:rPr>
        <w:t>C</w:t>
      </w:r>
      <w:r>
        <w:rPr>
          <w:b/>
          <w:bCs/>
        </w:rPr>
        <w:t>SF)</w:t>
      </w:r>
      <w:r w:rsidRPr="008007DF">
        <w:rPr>
          <w:b/>
          <w:bCs/>
        </w:rPr>
        <w:t xml:space="preserve"> prophylaxis</w:t>
      </w:r>
    </w:p>
    <w:p w14:paraId="0FC282C4" w14:textId="1DCA89D3" w:rsidR="008007DF" w:rsidRDefault="008007DF" w:rsidP="00AE7431">
      <w:pPr>
        <w:ind w:left="284"/>
      </w:pPr>
      <w:r w:rsidRPr="008007DF">
        <w:t xml:space="preserve">All subjects </w:t>
      </w:r>
      <w:r w:rsidR="006A74CB">
        <w:t>in the ZUMA-3 study</w:t>
      </w:r>
      <w:r w:rsidR="006A74CB" w:rsidRPr="008007DF">
        <w:t xml:space="preserve"> </w:t>
      </w:r>
      <w:r w:rsidRPr="008007DF">
        <w:t>receive</w:t>
      </w:r>
      <w:r w:rsidR="006A74CB">
        <w:t>d</w:t>
      </w:r>
      <w:r w:rsidRPr="008007DF">
        <w:t xml:space="preserve"> CSF prophylaxis, consisting of an intrathecal regimen (e</w:t>
      </w:r>
      <w:r w:rsidR="0089736D">
        <w:t>.</w:t>
      </w:r>
      <w:r w:rsidRPr="008007DF">
        <w:t>g</w:t>
      </w:r>
      <w:r w:rsidR="0089736D">
        <w:t>.</w:t>
      </w:r>
      <w:r w:rsidRPr="008007DF">
        <w:t xml:space="preserve"> methotrexate 12 to 15 mg, cytosine arabinoside 40 mg, or dexamethasone 4 mg or equivalent steroid dose). CSF prophylaxis was supplied by the investigative site and administered any time during screening (e</w:t>
      </w:r>
      <w:r w:rsidR="0089736D">
        <w:t>.</w:t>
      </w:r>
      <w:r w:rsidRPr="008007DF">
        <w:t>g</w:t>
      </w:r>
      <w:r w:rsidR="0089736D">
        <w:t>.</w:t>
      </w:r>
      <w:r w:rsidRPr="008007DF">
        <w:t xml:space="preserve"> at the time of the screening lumbar puncture) through 7 days prior to </w:t>
      </w:r>
      <w:r w:rsidR="006A74CB">
        <w:t>CAR-T</w:t>
      </w:r>
      <w:r w:rsidRPr="008007DF">
        <w:t xml:space="preserve"> infusion</w:t>
      </w:r>
      <w:proofErr w:type="gramStart"/>
      <w:r w:rsidRPr="008007DF">
        <w:t>.</w:t>
      </w:r>
      <w:r w:rsidR="00C113CB">
        <w:t xml:space="preserve">  </w:t>
      </w:r>
      <w:proofErr w:type="gramEnd"/>
      <w:r w:rsidR="00C113CB">
        <w:t>Both cytosine arabinoside (</w:t>
      </w:r>
      <w:r w:rsidR="00547180">
        <w:t xml:space="preserve">i.e. </w:t>
      </w:r>
      <w:r w:rsidR="00C113CB">
        <w:t xml:space="preserve">cytarabine) and dexamethasone </w:t>
      </w:r>
      <w:proofErr w:type="gramStart"/>
      <w:r w:rsidR="00C113CB">
        <w:t>are listed</w:t>
      </w:r>
      <w:proofErr w:type="gramEnd"/>
      <w:r w:rsidR="00C113CB">
        <w:t xml:space="preserve"> on the PBS as unrestricted benefits.</w:t>
      </w:r>
      <w:r w:rsidRPr="008007DF">
        <w:t xml:space="preserve"> </w:t>
      </w:r>
    </w:p>
    <w:p w14:paraId="30C7CBFF" w14:textId="54749160" w:rsidR="00F67A83" w:rsidRDefault="00F67A83" w:rsidP="00AE7431">
      <w:pPr>
        <w:ind w:left="284"/>
        <w:rPr>
          <w:b/>
          <w:bCs/>
        </w:rPr>
      </w:pPr>
      <w:r>
        <w:rPr>
          <w:b/>
          <w:bCs/>
        </w:rPr>
        <w:t>Concomitant therapies</w:t>
      </w:r>
    </w:p>
    <w:p w14:paraId="16893703" w14:textId="7968490F" w:rsidR="0089736D" w:rsidRDefault="0089736D" w:rsidP="00AE7431">
      <w:pPr>
        <w:ind w:left="284"/>
      </w:pPr>
      <w:r>
        <w:t xml:space="preserve">As with the other CAR T-cell therapies, corticosteroids and tocilizumab may </w:t>
      </w:r>
      <w:proofErr w:type="gramStart"/>
      <w:r>
        <w:t>be administered</w:t>
      </w:r>
      <w:proofErr w:type="gramEnd"/>
      <w:r>
        <w:t xml:space="preserve"> to patients</w:t>
      </w:r>
      <w:r w:rsidRPr="0089736D">
        <w:t xml:space="preserve"> </w:t>
      </w:r>
      <w:r>
        <w:t xml:space="preserve">requiring management of cytokine release syndrome (CRS). Although tocilizumab </w:t>
      </w:r>
      <w:proofErr w:type="gramStart"/>
      <w:r>
        <w:t>is PBS-listed</w:t>
      </w:r>
      <w:proofErr w:type="gramEnd"/>
      <w:r>
        <w:t>, it is not</w:t>
      </w:r>
      <w:r w:rsidRPr="0089736D">
        <w:t xml:space="preserve"> </w:t>
      </w:r>
      <w:r>
        <w:t>reimbursed</w:t>
      </w:r>
      <w:r w:rsidRPr="0089736D">
        <w:t xml:space="preserve"> </w:t>
      </w:r>
      <w:r>
        <w:t>for</w:t>
      </w:r>
      <w:r w:rsidRPr="0089736D">
        <w:t xml:space="preserve"> </w:t>
      </w:r>
      <w:r>
        <w:t>the management of</w:t>
      </w:r>
      <w:r w:rsidRPr="0089736D">
        <w:t xml:space="preserve"> </w:t>
      </w:r>
      <w:r>
        <w:t>CRS.</w:t>
      </w:r>
    </w:p>
    <w:p w14:paraId="6C41ADD3" w14:textId="51D1EB6C" w:rsidR="0089736D" w:rsidRDefault="0089736D" w:rsidP="00AE7431">
      <w:pPr>
        <w:ind w:left="284"/>
      </w:pPr>
      <w:r>
        <w:t xml:space="preserve">As with the other CAR T-cell therapies, immunoglobulin </w:t>
      </w:r>
      <w:proofErr w:type="gramStart"/>
      <w:r>
        <w:t>was administered</w:t>
      </w:r>
      <w:proofErr w:type="gramEnd"/>
      <w:r>
        <w:t xml:space="preserve"> to some patients in the ZUMA-</w:t>
      </w:r>
      <w:r w:rsidR="006A74CB">
        <w:t>3</w:t>
      </w:r>
      <w:r w:rsidRPr="0089736D">
        <w:t xml:space="preserve"> </w:t>
      </w:r>
      <w:r>
        <w:t>study.</w:t>
      </w:r>
      <w:r w:rsidRPr="0089736D">
        <w:t xml:space="preserve"> </w:t>
      </w:r>
      <w:r>
        <w:t>Immunoglobulin</w:t>
      </w:r>
      <w:r w:rsidRPr="0089736D">
        <w:t xml:space="preserve"> </w:t>
      </w:r>
      <w:proofErr w:type="gramStart"/>
      <w:r>
        <w:t>is funded</w:t>
      </w:r>
      <w:proofErr w:type="gramEnd"/>
      <w:r w:rsidRPr="0089736D">
        <w:t xml:space="preserve"> </w:t>
      </w:r>
      <w:r>
        <w:t>via the</w:t>
      </w:r>
      <w:r w:rsidRPr="0089736D">
        <w:t xml:space="preserve"> </w:t>
      </w:r>
      <w:r>
        <w:t>National</w:t>
      </w:r>
      <w:r w:rsidRPr="0089736D">
        <w:t xml:space="preserve"> </w:t>
      </w:r>
      <w:r>
        <w:t>Blood</w:t>
      </w:r>
      <w:r w:rsidRPr="0089736D">
        <w:t xml:space="preserve"> </w:t>
      </w:r>
      <w:r>
        <w:t>Authority.</w:t>
      </w:r>
    </w:p>
    <w:p w14:paraId="6E078F88" w14:textId="77777777" w:rsidR="00AE7431" w:rsidRPr="00CE23B0" w:rsidRDefault="00AE7431" w:rsidP="00AE7431">
      <w:pPr>
        <w:ind w:left="284"/>
      </w:pPr>
    </w:p>
    <w:p w14:paraId="6FBB403D" w14:textId="77777777" w:rsidR="00EC127A" w:rsidRPr="001E6958" w:rsidRDefault="000E5439" w:rsidP="00056F06">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02AD654" w14:textId="01451A63" w:rsidR="00E64A93" w:rsidRDefault="00CB177B" w:rsidP="00E64A93">
      <w:pPr>
        <w:ind w:left="360"/>
      </w:pPr>
      <w:r>
        <w:t xml:space="preserve">Dexamethasone: </w:t>
      </w:r>
      <w:r w:rsidR="00045480">
        <w:tab/>
      </w:r>
      <w:r>
        <w:t>1292B,</w:t>
      </w:r>
      <w:r w:rsidRPr="00CB177B">
        <w:t xml:space="preserve"> </w:t>
      </w:r>
      <w:r>
        <w:t>2507Y,</w:t>
      </w:r>
      <w:r w:rsidRPr="00CB177B">
        <w:t xml:space="preserve"> </w:t>
      </w:r>
      <w:r>
        <w:t>1291Y,</w:t>
      </w:r>
      <w:r w:rsidRPr="00CB177B">
        <w:t xml:space="preserve"> </w:t>
      </w:r>
      <w:r>
        <w:t>2509C,</w:t>
      </w:r>
      <w:r w:rsidRPr="00CB177B">
        <w:t xml:space="preserve"> </w:t>
      </w:r>
      <w:r>
        <w:t>3472R</w:t>
      </w:r>
    </w:p>
    <w:p w14:paraId="4331510E" w14:textId="74DC44BA" w:rsidR="00E64A93" w:rsidRDefault="00A7513F" w:rsidP="00E64A93">
      <w:pPr>
        <w:ind w:left="360"/>
      </w:pPr>
      <w:r>
        <w:t xml:space="preserve">Fludarabine: </w:t>
      </w:r>
      <w:r w:rsidR="00045480">
        <w:tab/>
      </w:r>
      <w:r w:rsidR="00045480">
        <w:tab/>
      </w:r>
      <w:r>
        <w:t>4393F</w:t>
      </w:r>
    </w:p>
    <w:p w14:paraId="6B9AE0AA" w14:textId="414599C4" w:rsidR="00D37070" w:rsidRDefault="00A7513F" w:rsidP="00E64A93">
      <w:pPr>
        <w:ind w:left="360"/>
      </w:pPr>
      <w:r>
        <w:t xml:space="preserve">Cyclophosphamide: </w:t>
      </w:r>
      <w:r w:rsidR="00045480">
        <w:tab/>
      </w:r>
      <w:r>
        <w:t>4327R</w:t>
      </w:r>
    </w:p>
    <w:p w14:paraId="76C682B1" w14:textId="2628DA55" w:rsidR="00A121D2" w:rsidRDefault="00E64A93" w:rsidP="004E71F0">
      <w:pPr>
        <w:ind w:left="360"/>
      </w:pPr>
      <w:r>
        <w:t xml:space="preserve">Methotrexate: </w:t>
      </w:r>
      <w:r w:rsidR="00045480">
        <w:tab/>
      </w:r>
      <w:r>
        <w:t>4502Y, 4512L, 7250N, 7251P</w:t>
      </w:r>
    </w:p>
    <w:p w14:paraId="04F43F9B" w14:textId="024D4895" w:rsidR="00E64A93" w:rsidRDefault="00A121D2" w:rsidP="004E71F0">
      <w:pPr>
        <w:ind w:left="360"/>
      </w:pPr>
      <w:r>
        <w:t xml:space="preserve">Cytarabine: </w:t>
      </w:r>
      <w:r w:rsidR="00045480">
        <w:tab/>
      </w:r>
      <w:r w:rsidR="00045480">
        <w:tab/>
      </w:r>
      <w:r>
        <w:t>4357H, 7227J</w:t>
      </w:r>
      <w:r w:rsidR="00E64A93">
        <w:t xml:space="preserve"> </w:t>
      </w:r>
    </w:p>
    <w:p w14:paraId="79D13DAF" w14:textId="69E63B11" w:rsidR="0089736D" w:rsidRPr="0089736D" w:rsidRDefault="0089736D" w:rsidP="004E71F0">
      <w:pPr>
        <w:ind w:left="360"/>
      </w:pPr>
      <w:r>
        <w:t>Tocilizumab:</w:t>
      </w:r>
      <w:r>
        <w:tab/>
      </w:r>
      <w:r w:rsidR="00045480">
        <w:tab/>
      </w:r>
      <w:r>
        <w:t>not reimbursed for the CRS indication</w:t>
      </w:r>
      <w:r w:rsidRPr="0089736D">
        <w:t xml:space="preserve"> </w:t>
      </w:r>
    </w:p>
    <w:p w14:paraId="2FA9820C" w14:textId="2F7879F1" w:rsidR="00045480" w:rsidRDefault="0089736D" w:rsidP="00045480">
      <w:pPr>
        <w:ind w:left="2127" w:hanging="1767"/>
        <w:rPr>
          <w:lang w:val="en-US"/>
        </w:rPr>
      </w:pPr>
      <w:r>
        <w:t xml:space="preserve">Immunoglobulin: </w:t>
      </w:r>
      <w:r w:rsidR="00045480">
        <w:tab/>
      </w:r>
      <w:r w:rsidR="00045480" w:rsidRPr="00045480">
        <w:rPr>
          <w:lang w:val="en-US"/>
        </w:rPr>
        <w:t>funded through the National Blood Authority (see</w:t>
      </w:r>
      <w:bookmarkStart w:id="8" w:name="(c)_If_no,_is_an_application_(submission"/>
      <w:bookmarkEnd w:id="8"/>
      <w:r w:rsidR="00045480">
        <w:rPr>
          <w:lang w:val="en-US"/>
        </w:rPr>
        <w:t xml:space="preserve"> </w:t>
      </w:r>
      <w:r w:rsidR="00045480" w:rsidRPr="001B3A6F">
        <w:rPr>
          <w:lang w:val="en-US"/>
        </w:rPr>
        <w:t xml:space="preserve">https://www.blood.gov.au/national-product-list </w:t>
      </w:r>
      <w:r w:rsidR="00045480" w:rsidRPr="00045480">
        <w:rPr>
          <w:lang w:val="en-US"/>
        </w:rPr>
        <w:t xml:space="preserve">[Last accessed: </w:t>
      </w:r>
      <w:r w:rsidR="00045480">
        <w:rPr>
          <w:lang w:val="en-US"/>
        </w:rPr>
        <w:t xml:space="preserve">24 Oct </w:t>
      </w:r>
      <w:r w:rsidR="00045480" w:rsidRPr="00045480">
        <w:rPr>
          <w:lang w:val="en-US"/>
        </w:rPr>
        <w:t>202</w:t>
      </w:r>
      <w:r w:rsidR="00045480">
        <w:rPr>
          <w:lang w:val="en-US"/>
        </w:rPr>
        <w:t>1</w:t>
      </w:r>
      <w:r w:rsidR="00045480" w:rsidRPr="00045480">
        <w:rPr>
          <w:lang w:val="en-US"/>
        </w:rPr>
        <w:t>])</w:t>
      </w:r>
    </w:p>
    <w:p w14:paraId="73A936C5" w14:textId="77777777" w:rsidR="00411735" w:rsidRPr="001E6958" w:rsidRDefault="00411735" w:rsidP="00056F06">
      <w:pPr>
        <w:pStyle w:val="Heading2"/>
        <w:numPr>
          <w:ilvl w:val="0"/>
          <w:numId w:val="4"/>
        </w:numPr>
      </w:pPr>
      <w:r w:rsidRPr="001E6958">
        <w:lastRenderedPageBreak/>
        <w:t xml:space="preserve">If no, is an application </w:t>
      </w:r>
      <w:r w:rsidR="001E23EA" w:rsidRPr="001E6958">
        <w:t xml:space="preserve">(submission) </w:t>
      </w:r>
      <w:r w:rsidRPr="001E6958">
        <w:t xml:space="preserve">in the process of </w:t>
      </w:r>
      <w:proofErr w:type="gramStart"/>
      <w:r w:rsidRPr="001E6958">
        <w:t>being considered</w:t>
      </w:r>
      <w:proofErr w:type="gramEnd"/>
      <w:r w:rsidRPr="001E6958">
        <w:t xml:space="preserve"> by the </w:t>
      </w:r>
      <w:r w:rsidR="00802553" w:rsidRPr="001E6958">
        <w:t>Pharmaceutical Benefits Advisory Committee (</w:t>
      </w:r>
      <w:r w:rsidRPr="001E6958">
        <w:t>PBAC</w:t>
      </w:r>
      <w:r w:rsidR="00802553" w:rsidRPr="001E6958">
        <w:t>)</w:t>
      </w:r>
      <w:r w:rsidRPr="001E6958">
        <w:t>?</w:t>
      </w:r>
    </w:p>
    <w:p w14:paraId="3DA709B2"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4C2BBB51" w14:textId="331A3849" w:rsidR="001E6919" w:rsidRDefault="006A74CB"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1E6919">
        <w:rPr>
          <w:szCs w:val="20"/>
        </w:rPr>
        <w:t xml:space="preserve"> No</w:t>
      </w:r>
    </w:p>
    <w:p w14:paraId="0FEE274F" w14:textId="77777777" w:rsidR="00AE7431" w:rsidRDefault="00AE7431" w:rsidP="001E6919">
      <w:pPr>
        <w:spacing w:before="0"/>
        <w:ind w:left="284"/>
        <w:rPr>
          <w:szCs w:val="20"/>
        </w:rPr>
      </w:pPr>
    </w:p>
    <w:p w14:paraId="484B39C7" w14:textId="77777777" w:rsidR="000E5439" w:rsidRDefault="000E5439" w:rsidP="00056F06">
      <w:pPr>
        <w:pStyle w:val="Heading2"/>
        <w:numPr>
          <w:ilvl w:val="0"/>
          <w:numId w:val="4"/>
        </w:numPr>
      </w:pPr>
      <w:r w:rsidRPr="007E39E4">
        <w:t>If you are seeking both MBS and PBS listing</w:t>
      </w:r>
      <w:r w:rsidR="00B75965" w:rsidRPr="007E39E4">
        <w:t>, what is the trade name and generic name of the pharmaceutical?</w:t>
      </w:r>
    </w:p>
    <w:p w14:paraId="08F45153" w14:textId="303E72FF" w:rsidR="001E6958" w:rsidRDefault="001E6958" w:rsidP="00A6491A">
      <w:pPr>
        <w:spacing w:before="0" w:after="0"/>
        <w:ind w:left="284"/>
      </w:pPr>
      <w:r>
        <w:t xml:space="preserve">Trade name: </w:t>
      </w:r>
      <w:r w:rsidR="0047484A">
        <w:t>N</w:t>
      </w:r>
      <w:r w:rsidR="00AE7431">
        <w:t>ot applicable</w:t>
      </w:r>
    </w:p>
    <w:p w14:paraId="1FE0A250" w14:textId="0CD4652D" w:rsidR="001E6958" w:rsidRDefault="001E6958" w:rsidP="00A6491A">
      <w:pPr>
        <w:spacing w:before="0" w:after="0"/>
        <w:ind w:left="284"/>
      </w:pPr>
      <w:r>
        <w:t xml:space="preserve">Generic name: </w:t>
      </w:r>
      <w:r w:rsidR="00AE7431">
        <w:t>Not applicable</w:t>
      </w:r>
    </w:p>
    <w:p w14:paraId="03F6BFE5" w14:textId="77777777" w:rsidR="00AE7431" w:rsidRPr="001E6958" w:rsidRDefault="00AE7431" w:rsidP="00A6491A">
      <w:pPr>
        <w:spacing w:before="0" w:after="0"/>
        <w:ind w:left="284"/>
      </w:pPr>
    </w:p>
    <w:p w14:paraId="07BFA3A5"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5DF5967B"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Yes</w:t>
      </w:r>
    </w:p>
    <w:p w14:paraId="372BC3FA" w14:textId="126D7246" w:rsidR="001E6919" w:rsidRDefault="001E6958" w:rsidP="0047484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No  </w:t>
      </w:r>
    </w:p>
    <w:p w14:paraId="0BC59B35" w14:textId="36E00770" w:rsidR="00AE7431" w:rsidRDefault="00AE7431" w:rsidP="0047484A">
      <w:pPr>
        <w:spacing w:before="0" w:after="0"/>
        <w:ind w:left="284"/>
        <w:rPr>
          <w:szCs w:val="20"/>
        </w:rPr>
      </w:pPr>
    </w:p>
    <w:p w14:paraId="4B8A1C98" w14:textId="6E962A25" w:rsidR="00AE7431" w:rsidRDefault="001141ED" w:rsidP="0047484A">
      <w:pPr>
        <w:spacing w:before="0" w:after="0"/>
        <w:ind w:left="284"/>
      </w:pPr>
      <w:r>
        <w:t>N/A</w:t>
      </w:r>
    </w:p>
    <w:p w14:paraId="26D6A986" w14:textId="77777777" w:rsidR="00AE7431" w:rsidRPr="001E6958" w:rsidRDefault="00AE7431" w:rsidP="0047484A">
      <w:pPr>
        <w:spacing w:before="0" w:after="0"/>
        <w:ind w:left="284"/>
        <w:rPr>
          <w:szCs w:val="20"/>
        </w:rPr>
      </w:pPr>
    </w:p>
    <w:p w14:paraId="250A1C6C" w14:textId="77777777" w:rsidR="00B75965" w:rsidRDefault="00B75965" w:rsidP="00056F06">
      <w:pPr>
        <w:pStyle w:val="Heading2"/>
        <w:numPr>
          <w:ilvl w:val="0"/>
          <w:numId w:val="5"/>
        </w:numPr>
      </w:pPr>
      <w:r w:rsidRPr="001E6958">
        <w:t xml:space="preserve">If yes, </w:t>
      </w:r>
      <w:r w:rsidR="00C73B62" w:rsidRPr="001E6958">
        <w:t xml:space="preserve">please provide the following information (where relevant): </w:t>
      </w:r>
    </w:p>
    <w:p w14:paraId="0FF12378" w14:textId="0855CF82" w:rsidR="001E6958" w:rsidRDefault="001E6958" w:rsidP="00A6491A">
      <w:pPr>
        <w:spacing w:before="0" w:after="0"/>
        <w:ind w:left="284"/>
      </w:pPr>
      <w:r>
        <w:t xml:space="preserve">Billing code(s): </w:t>
      </w:r>
      <w:r w:rsidR="0047484A">
        <w:t>N</w:t>
      </w:r>
      <w:r w:rsidR="001141ED">
        <w:t>/</w:t>
      </w:r>
      <w:r w:rsidR="0047484A">
        <w:t>A</w:t>
      </w:r>
    </w:p>
    <w:p w14:paraId="30EA69F8" w14:textId="5F066D04" w:rsidR="001E6958" w:rsidRDefault="001E6958" w:rsidP="00A6491A">
      <w:pPr>
        <w:spacing w:before="0" w:after="0"/>
        <w:ind w:left="284"/>
      </w:pPr>
      <w:r>
        <w:t xml:space="preserve">Trade name of prostheses: </w:t>
      </w:r>
      <w:r w:rsidR="0047484A">
        <w:t>N</w:t>
      </w:r>
      <w:r w:rsidR="001141ED">
        <w:t>/</w:t>
      </w:r>
      <w:r w:rsidR="0047484A">
        <w:t>A</w:t>
      </w:r>
    </w:p>
    <w:p w14:paraId="2BF00B7D" w14:textId="1491148A" w:rsidR="001E6958" w:rsidRDefault="001E6958" w:rsidP="00A6491A">
      <w:pPr>
        <w:spacing w:before="0" w:after="0"/>
        <w:ind w:left="284"/>
      </w:pPr>
      <w:r>
        <w:t xml:space="preserve">Clinical name of prostheses: </w:t>
      </w:r>
      <w:r w:rsidR="0047484A">
        <w:t>N</w:t>
      </w:r>
      <w:r w:rsidR="001141ED">
        <w:t>/</w:t>
      </w:r>
      <w:r w:rsidR="0047484A">
        <w:t>A</w:t>
      </w:r>
    </w:p>
    <w:p w14:paraId="4E7F5523" w14:textId="1CCD9CB2" w:rsidR="0047484A" w:rsidRDefault="001E6958" w:rsidP="0047484A">
      <w:pPr>
        <w:spacing w:before="0" w:after="0"/>
        <w:ind w:left="284"/>
      </w:pPr>
      <w:r>
        <w:t xml:space="preserve">Other device components delivered as part of the service: </w:t>
      </w:r>
      <w:r w:rsidR="0047484A">
        <w:t>N</w:t>
      </w:r>
      <w:r w:rsidR="001141ED">
        <w:t>/</w:t>
      </w:r>
      <w:r w:rsidR="0047484A">
        <w:t>A</w:t>
      </w:r>
    </w:p>
    <w:p w14:paraId="32AEA095" w14:textId="77777777" w:rsidR="00411735" w:rsidRDefault="00411735" w:rsidP="00056F06">
      <w:pPr>
        <w:pStyle w:val="Heading2"/>
        <w:numPr>
          <w:ilvl w:val="0"/>
          <w:numId w:val="5"/>
        </w:numPr>
      </w:pPr>
      <w:r w:rsidRPr="001E6958">
        <w:t xml:space="preserve">If no, is an application in the process of </w:t>
      </w:r>
      <w:proofErr w:type="gramStart"/>
      <w:r w:rsidRPr="001E6958">
        <w:t>being considered</w:t>
      </w:r>
      <w:proofErr w:type="gramEnd"/>
      <w:r w:rsidRPr="001E6958">
        <w:t xml:space="preserve">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705342C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Yes</w:t>
      </w:r>
    </w:p>
    <w:p w14:paraId="4536A809"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No  </w:t>
      </w:r>
    </w:p>
    <w:p w14:paraId="5CD93AF5" w14:textId="77777777" w:rsidR="00016B6E" w:rsidRPr="009939DC" w:rsidRDefault="00016B6E" w:rsidP="00056F06">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4B7B31B"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Yes</w:t>
      </w:r>
    </w:p>
    <w:p w14:paraId="665ECE13"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No  </w:t>
      </w:r>
    </w:p>
    <w:p w14:paraId="5E14A2BD" w14:textId="77777777" w:rsidR="009939DC" w:rsidRDefault="00016B6E" w:rsidP="00056F06">
      <w:pPr>
        <w:pStyle w:val="Heading2"/>
        <w:numPr>
          <w:ilvl w:val="0"/>
          <w:numId w:val="5"/>
        </w:numPr>
      </w:pPr>
      <w:r w:rsidRPr="009939DC">
        <w:t>If yes, please provide the name(s) of the spon</w:t>
      </w:r>
      <w:r w:rsidR="009939DC">
        <w:t>sor(s) and / or manufacturer(s):</w:t>
      </w:r>
    </w:p>
    <w:p w14:paraId="093CC6ED" w14:textId="51E99068" w:rsidR="0047484A" w:rsidRDefault="0047484A" w:rsidP="00A6491A">
      <w:pPr>
        <w:ind w:left="284"/>
      </w:pPr>
      <w:r>
        <w:t>N</w:t>
      </w:r>
      <w:r w:rsidR="001141ED">
        <w:t>/</w:t>
      </w:r>
      <w:r>
        <w:t>A</w:t>
      </w:r>
    </w:p>
    <w:p w14:paraId="39B1E5F7" w14:textId="77777777" w:rsidR="00B87234" w:rsidRPr="009939DC" w:rsidRDefault="00B87234" w:rsidP="00A6491A">
      <w:pPr>
        <w:ind w:left="284"/>
      </w:pPr>
    </w:p>
    <w:p w14:paraId="121BB81E"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D7540AC" w14:textId="02375EF8" w:rsidR="0047484A" w:rsidRDefault="0047484A" w:rsidP="00AE7431">
      <w:pPr>
        <w:spacing w:before="0" w:after="0"/>
        <w:ind w:left="284"/>
      </w:pPr>
      <w:r>
        <w:t xml:space="preserve">There are </w:t>
      </w:r>
      <w:proofErr w:type="gramStart"/>
      <w:r>
        <w:t>a number of</w:t>
      </w:r>
      <w:proofErr w:type="gramEnd"/>
      <w:r>
        <w:t xml:space="preserve"> stages in the process of delivering brexucabtagene autoleucel that require the use</w:t>
      </w:r>
      <w:r>
        <w:rPr>
          <w:spacing w:val="1"/>
        </w:rPr>
        <w:t xml:space="preserve"> </w:t>
      </w:r>
      <w:r>
        <w:t>of consumables e.g. collection of leucocytes from the patient by leukapheresis; administration of bridging</w:t>
      </w:r>
      <w:r>
        <w:rPr>
          <w:spacing w:val="-43"/>
        </w:rPr>
        <w:t xml:space="preserve"> </w:t>
      </w:r>
      <w:r>
        <w:t>therapy,</w:t>
      </w:r>
      <w:r w:rsidR="00723BEF">
        <w:t xml:space="preserve"> administration of intrathecal CSF prophylaxis, </w:t>
      </w:r>
      <w:r>
        <w:t>administration</w:t>
      </w:r>
      <w:r>
        <w:rPr>
          <w:spacing w:val="-1"/>
        </w:rPr>
        <w:t xml:space="preserve"> </w:t>
      </w:r>
      <w:r>
        <w:t>of</w:t>
      </w:r>
      <w:r>
        <w:rPr>
          <w:spacing w:val="-2"/>
        </w:rPr>
        <w:t xml:space="preserve"> </w:t>
      </w:r>
      <w:r>
        <w:t>conditioning</w:t>
      </w:r>
      <w:r>
        <w:rPr>
          <w:spacing w:val="-2"/>
        </w:rPr>
        <w:t xml:space="preserve"> </w:t>
      </w:r>
      <w:r>
        <w:t>chemotherapy</w:t>
      </w:r>
      <w:r w:rsidR="00C113CB">
        <w:t xml:space="preserve"> and</w:t>
      </w:r>
      <w:r>
        <w:rPr>
          <w:spacing w:val="-2"/>
        </w:rPr>
        <w:t xml:space="preserve"> </w:t>
      </w:r>
      <w:r>
        <w:t>infusion</w:t>
      </w:r>
      <w:r>
        <w:rPr>
          <w:spacing w:val="-2"/>
        </w:rPr>
        <w:t xml:space="preserve"> </w:t>
      </w:r>
      <w:r>
        <w:t>of</w:t>
      </w:r>
      <w:r>
        <w:rPr>
          <w:spacing w:val="-1"/>
        </w:rPr>
        <w:t xml:space="preserve"> </w:t>
      </w:r>
      <w:r>
        <w:t>brexucabtagene</w:t>
      </w:r>
      <w:r>
        <w:rPr>
          <w:spacing w:val="-2"/>
        </w:rPr>
        <w:t xml:space="preserve"> </w:t>
      </w:r>
      <w:r>
        <w:t>autoleucel.</w:t>
      </w:r>
    </w:p>
    <w:p w14:paraId="5583FE13" w14:textId="77777777" w:rsidR="0047484A" w:rsidRDefault="0047484A" w:rsidP="00AE7431">
      <w:pPr>
        <w:spacing w:before="0" w:after="0"/>
        <w:ind w:left="284"/>
      </w:pPr>
    </w:p>
    <w:p w14:paraId="24FEBB60" w14:textId="4CC551FB" w:rsidR="0047484A" w:rsidRDefault="0047484A" w:rsidP="00AE7431">
      <w:pPr>
        <w:spacing w:before="0" w:after="0"/>
        <w:ind w:left="284"/>
      </w:pPr>
      <w:r>
        <w:t xml:space="preserve">Consumables that are likely to </w:t>
      </w:r>
      <w:proofErr w:type="gramStart"/>
      <w:r>
        <w:t>be required</w:t>
      </w:r>
      <w:proofErr w:type="gramEnd"/>
      <w:r>
        <w:t xml:space="preserve"> include: gloves, masks, sterile alcohol wipes, sterile field</w:t>
      </w:r>
      <w:r>
        <w:rPr>
          <w:spacing w:val="1"/>
        </w:rPr>
        <w:t xml:space="preserve"> </w:t>
      </w:r>
      <w:r>
        <w:t>procedural mats, spill kits, labels, syringes, needles, gauze, plasma collection sets, collection containers,</w:t>
      </w:r>
      <w:r>
        <w:rPr>
          <w:spacing w:val="-43"/>
        </w:rPr>
        <w:t xml:space="preserve"> </w:t>
      </w:r>
      <w:r>
        <w:t>adhesive</w:t>
      </w:r>
      <w:r>
        <w:rPr>
          <w:spacing w:val="-1"/>
        </w:rPr>
        <w:t xml:space="preserve"> </w:t>
      </w:r>
      <w:r>
        <w:t>tapes,</w:t>
      </w:r>
      <w:r>
        <w:rPr>
          <w:spacing w:val="-1"/>
        </w:rPr>
        <w:t xml:space="preserve"> </w:t>
      </w:r>
      <w:r>
        <w:t>IV</w:t>
      </w:r>
      <w:r>
        <w:rPr>
          <w:spacing w:val="-1"/>
        </w:rPr>
        <w:t xml:space="preserve"> </w:t>
      </w:r>
      <w:r>
        <w:t>administration sets,</w:t>
      </w:r>
      <w:r>
        <w:rPr>
          <w:spacing w:val="-1"/>
        </w:rPr>
        <w:t xml:space="preserve"> </w:t>
      </w:r>
      <w:r>
        <w:t>filters, IV fluids</w:t>
      </w:r>
      <w:r>
        <w:rPr>
          <w:spacing w:val="-2"/>
        </w:rPr>
        <w:t xml:space="preserve"> </w:t>
      </w:r>
      <w:r>
        <w:t xml:space="preserve">(e.g. </w:t>
      </w:r>
      <w:r w:rsidR="00447928">
        <w:t>standard</w:t>
      </w:r>
      <w:r>
        <w:rPr>
          <w:spacing w:val="-1"/>
        </w:rPr>
        <w:t xml:space="preserve"> </w:t>
      </w:r>
      <w:r>
        <w:t>saline).</w:t>
      </w:r>
    </w:p>
    <w:p w14:paraId="1F8F0166" w14:textId="77777777" w:rsidR="00D37070" w:rsidRDefault="00D37070" w:rsidP="00AE7431">
      <w:pPr>
        <w:spacing w:before="0" w:after="0"/>
        <w:ind w:left="284"/>
      </w:pPr>
    </w:p>
    <w:p w14:paraId="74E050DB" w14:textId="09568989" w:rsidR="00F301F1" w:rsidRPr="00855944" w:rsidRDefault="00F301F1" w:rsidP="00A6491A">
      <w:pPr>
        <w:spacing w:before="0" w:after="0"/>
        <w:ind w:left="284"/>
      </w:pPr>
      <w:r w:rsidRPr="00855944">
        <w:br w:type="page"/>
      </w:r>
    </w:p>
    <w:p w14:paraId="5C8AC570"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2C53879" w14:textId="77777777" w:rsidR="001A1ADF" w:rsidRPr="00A6491A" w:rsidRDefault="000E2E02" w:rsidP="000E2E02">
      <w:pPr>
        <w:pStyle w:val="Heading2"/>
      </w:pPr>
      <w:r>
        <w:t xml:space="preserve">(a) </w:t>
      </w:r>
      <w:r w:rsidRPr="000E2E02">
        <w:t>If the proposed medical service involves use of a medical de</w:t>
      </w:r>
      <w:r w:rsidR="000F3129">
        <w:t xml:space="preserve">vice, in-vitro diagnostic test, </w:t>
      </w:r>
      <w:r w:rsidRPr="000E2E02">
        <w:t>pharmaceutical product, radioactive tracer, or any other type of therapeutic good, please provide details</w:t>
      </w:r>
    </w:p>
    <w:p w14:paraId="73144B2D" w14:textId="5BD1BFDF" w:rsidR="00A26343" w:rsidRPr="00A26343" w:rsidRDefault="004D3846" w:rsidP="001C579F">
      <w:pPr>
        <w:spacing w:before="0" w:after="0"/>
        <w:rPr>
          <w:szCs w:val="20"/>
        </w:rPr>
      </w:pPr>
      <w:r>
        <w:rPr>
          <w:szCs w:val="20"/>
        </w:rPr>
        <w:t xml:space="preserve">        </w:t>
      </w:r>
      <w:r w:rsidR="00A26343" w:rsidRPr="00A26343">
        <w:rPr>
          <w:szCs w:val="20"/>
        </w:rPr>
        <w:t>Type of therapeutic good</w:t>
      </w:r>
      <w:r w:rsidR="00A26343">
        <w:rPr>
          <w:szCs w:val="20"/>
        </w:rPr>
        <w:t xml:space="preserve">: </w:t>
      </w:r>
      <w:r w:rsidR="00045480">
        <w:rPr>
          <w:szCs w:val="20"/>
        </w:rPr>
        <w:tab/>
      </w:r>
      <w:r>
        <w:t>Class 4 biological product</w:t>
      </w:r>
    </w:p>
    <w:p w14:paraId="6C94F9A7" w14:textId="18BABC89" w:rsidR="00A26343" w:rsidRPr="00A26343" w:rsidRDefault="004D3846" w:rsidP="001C579F">
      <w:pPr>
        <w:spacing w:before="0" w:after="0"/>
        <w:rPr>
          <w:szCs w:val="20"/>
        </w:rPr>
      </w:pPr>
      <w:r>
        <w:rPr>
          <w:szCs w:val="20"/>
        </w:rPr>
        <w:t xml:space="preserve">        </w:t>
      </w:r>
      <w:r w:rsidR="00A26343" w:rsidRPr="00A26343">
        <w:rPr>
          <w:szCs w:val="20"/>
        </w:rPr>
        <w:t>Manufacturer’s name</w:t>
      </w:r>
      <w:r w:rsidR="00A26343">
        <w:rPr>
          <w:szCs w:val="20"/>
        </w:rPr>
        <w:t xml:space="preserve">: </w:t>
      </w:r>
      <w:r w:rsidR="00045480">
        <w:rPr>
          <w:szCs w:val="20"/>
        </w:rPr>
        <w:tab/>
      </w:r>
      <w:r>
        <w:t>Kite Pharma, a Gilead Company</w:t>
      </w:r>
    </w:p>
    <w:p w14:paraId="2A3A62B2" w14:textId="6FDE72DC" w:rsidR="00A26343" w:rsidRDefault="004D3846" w:rsidP="001C579F">
      <w:pPr>
        <w:spacing w:before="0" w:after="0"/>
      </w:pPr>
      <w:r>
        <w:rPr>
          <w:szCs w:val="20"/>
        </w:rPr>
        <w:t xml:space="preserve">        </w:t>
      </w:r>
      <w:r w:rsidR="00A26343" w:rsidRPr="00A26343">
        <w:rPr>
          <w:szCs w:val="20"/>
        </w:rPr>
        <w:t>Sponsor’s name</w:t>
      </w:r>
      <w:r w:rsidR="00A26343">
        <w:rPr>
          <w:szCs w:val="20"/>
        </w:rPr>
        <w:t xml:space="preserve">: </w:t>
      </w:r>
      <w:r w:rsidR="00045480">
        <w:rPr>
          <w:szCs w:val="20"/>
        </w:rPr>
        <w:tab/>
      </w:r>
      <w:r w:rsidR="00045480">
        <w:rPr>
          <w:szCs w:val="20"/>
        </w:rPr>
        <w:tab/>
      </w:r>
      <w:r>
        <w:t>Gilead</w:t>
      </w:r>
      <w:r>
        <w:rPr>
          <w:spacing w:val="-1"/>
        </w:rPr>
        <w:t xml:space="preserve"> </w:t>
      </w:r>
      <w:r>
        <w:t>Sciences</w:t>
      </w:r>
      <w:r>
        <w:rPr>
          <w:spacing w:val="-1"/>
        </w:rPr>
        <w:t xml:space="preserve"> </w:t>
      </w:r>
      <w:r>
        <w:t>Pty</w:t>
      </w:r>
      <w:r>
        <w:rPr>
          <w:spacing w:val="-1"/>
        </w:rPr>
        <w:t xml:space="preserve"> </w:t>
      </w:r>
      <w:r>
        <w:t>Ltd</w:t>
      </w:r>
    </w:p>
    <w:p w14:paraId="1CE91737" w14:textId="77777777" w:rsidR="000E2E02" w:rsidRPr="00A26343" w:rsidRDefault="000E2E02" w:rsidP="00A75D46">
      <w:pPr>
        <w:spacing w:before="0" w:after="0"/>
        <w:rPr>
          <w:szCs w:val="20"/>
        </w:rPr>
      </w:pPr>
    </w:p>
    <w:p w14:paraId="010204B9" w14:textId="25CCB2F8" w:rsidR="00704082" w:rsidRDefault="000E2E02" w:rsidP="00056F06">
      <w:pPr>
        <w:pStyle w:val="Heading2"/>
        <w:numPr>
          <w:ilvl w:val="0"/>
          <w:numId w:val="6"/>
        </w:numPr>
      </w:pPr>
      <w:r>
        <w:t xml:space="preserve">Has it </w:t>
      </w:r>
      <w:proofErr w:type="gramStart"/>
      <w:r>
        <w:t>been listed</w:t>
      </w:r>
      <w:proofErr w:type="gramEnd"/>
      <w:r>
        <w:t xml:space="preserve"> on the Australian Register of Therapeutic Goods (ARTG) by the Therapeutic Goods</w:t>
      </w:r>
      <w:r w:rsidR="000F3129">
        <w:t xml:space="preserve"> </w:t>
      </w:r>
      <w:r>
        <w:t xml:space="preserve">Administration (TGA)? If the therapeutic good has </w:t>
      </w:r>
      <w:proofErr w:type="gramStart"/>
      <w:r>
        <w:t>been listed</w:t>
      </w:r>
      <w:proofErr w:type="gramEnd"/>
      <w:r>
        <w:t xml:space="preserve"> on the ARTG, please state the ARTG identification numbers, TGA-approved indication(s), and TGA-approved purpose(s).</w:t>
      </w:r>
    </w:p>
    <w:p w14:paraId="4D950C39" w14:textId="6366E985" w:rsidR="00547180" w:rsidRDefault="00547180" w:rsidP="00E30A87">
      <w:pPr>
        <w:ind w:left="283"/>
        <w:contextualSpacing/>
      </w:pPr>
      <w:r>
        <w:t>Brexucabtagene autoleucel was listed on the ARTG on 21</w:t>
      </w:r>
      <w:r w:rsidRPr="001E4482">
        <w:rPr>
          <w:vertAlign w:val="superscript"/>
        </w:rPr>
        <w:t>st</w:t>
      </w:r>
      <w:r>
        <w:t xml:space="preserve"> July 2021</w:t>
      </w:r>
      <w:proofErr w:type="gramStart"/>
      <w:r>
        <w:t xml:space="preserve">.  </w:t>
      </w:r>
      <w:proofErr w:type="gramEnd"/>
      <w:r>
        <w:t xml:space="preserve">Details of the registration </w:t>
      </w:r>
      <w:proofErr w:type="gramStart"/>
      <w:r>
        <w:t>are</w:t>
      </w:r>
      <w:r w:rsidR="00841BBC">
        <w:t xml:space="preserve"> </w:t>
      </w:r>
      <w:r>
        <w:t>provided</w:t>
      </w:r>
      <w:proofErr w:type="gramEnd"/>
      <w:r w:rsidR="007B67C5">
        <w:t xml:space="preserve"> </w:t>
      </w:r>
      <w:r>
        <w:t>below:</w:t>
      </w:r>
    </w:p>
    <w:p w14:paraId="4C52A9D1" w14:textId="0C68095A" w:rsidR="007B67C5" w:rsidRPr="001E4482" w:rsidRDefault="008C251B" w:rsidP="001E4482">
      <w:pPr>
        <w:ind w:left="283"/>
        <w:contextualSpacing/>
        <w:rPr>
          <w:szCs w:val="20"/>
        </w:rPr>
      </w:pPr>
      <w:r>
        <w:t>A</w:t>
      </w:r>
      <w:r w:rsidR="00704082">
        <w:t>R</w:t>
      </w:r>
      <w:r>
        <w:t>T</w:t>
      </w:r>
      <w:r w:rsidR="00704082">
        <w:t xml:space="preserve">G ID: </w:t>
      </w:r>
      <w:r w:rsidR="008908DC">
        <w:t>371431</w:t>
      </w:r>
    </w:p>
    <w:p w14:paraId="1B59EAB0" w14:textId="2775E202" w:rsidR="0044007C" w:rsidRDefault="00E30A87" w:rsidP="001E4482">
      <w:pPr>
        <w:ind w:left="283"/>
        <w:contextualSpacing/>
        <w:rPr>
          <w:szCs w:val="20"/>
        </w:rPr>
      </w:pPr>
      <w:r>
        <w:rPr>
          <w:szCs w:val="20"/>
        </w:rPr>
        <w:t>T</w:t>
      </w:r>
      <w:r w:rsidR="00917DEB" w:rsidRPr="0047581D">
        <w:rPr>
          <w:szCs w:val="20"/>
        </w:rPr>
        <w:t>GA approved indication(s), if applicable</w:t>
      </w:r>
      <w:r w:rsidR="00917DEB">
        <w:rPr>
          <w:szCs w:val="20"/>
        </w:rPr>
        <w:t xml:space="preserve">:  </w:t>
      </w:r>
    </w:p>
    <w:p w14:paraId="4591AE3A" w14:textId="77777777" w:rsidR="00E30A87" w:rsidRDefault="00E30A87" w:rsidP="00E30A87">
      <w:pPr>
        <w:spacing w:before="0" w:after="0"/>
        <w:ind w:left="283"/>
        <w:rPr>
          <w:szCs w:val="20"/>
        </w:rPr>
      </w:pPr>
      <w:r w:rsidRPr="00AE7431">
        <w:rPr>
          <w:szCs w:val="20"/>
        </w:rPr>
        <w:t>TECARTUS is a genetically modified autologous immunocellular therapy for the</w:t>
      </w:r>
      <w:r>
        <w:rPr>
          <w:szCs w:val="20"/>
        </w:rPr>
        <w:t xml:space="preserve"> </w:t>
      </w:r>
      <w:r w:rsidRPr="00AE7431">
        <w:rPr>
          <w:szCs w:val="20"/>
        </w:rPr>
        <w:t>treatment of</w:t>
      </w:r>
      <w:r>
        <w:rPr>
          <w:szCs w:val="20"/>
        </w:rPr>
        <w:t>:</w:t>
      </w:r>
    </w:p>
    <w:p w14:paraId="00D5AF9B" w14:textId="77777777" w:rsidR="00E30A87" w:rsidRDefault="00E30A87" w:rsidP="00E30A87">
      <w:pPr>
        <w:spacing w:before="0" w:after="0"/>
        <w:ind w:left="283"/>
        <w:rPr>
          <w:szCs w:val="20"/>
        </w:rPr>
      </w:pPr>
    </w:p>
    <w:p w14:paraId="20BE7A31" w14:textId="77777777" w:rsidR="00E30A87" w:rsidRDefault="00E30A87" w:rsidP="00E30A87">
      <w:pPr>
        <w:spacing w:before="0" w:after="0"/>
        <w:ind w:left="283"/>
        <w:rPr>
          <w:szCs w:val="20"/>
        </w:rPr>
      </w:pPr>
      <w:r>
        <w:rPr>
          <w:szCs w:val="20"/>
        </w:rPr>
        <w:t>Mantle Cell Lymphoma</w:t>
      </w:r>
    </w:p>
    <w:p w14:paraId="46627C13" w14:textId="77777777" w:rsidR="00E30A87" w:rsidRDefault="00E30A87" w:rsidP="00E30A87">
      <w:pPr>
        <w:spacing w:before="0" w:after="0"/>
        <w:ind w:left="283"/>
        <w:rPr>
          <w:szCs w:val="20"/>
        </w:rPr>
      </w:pPr>
      <w:r>
        <w:rPr>
          <w:szCs w:val="20"/>
        </w:rPr>
        <w:t>P</w:t>
      </w:r>
      <w:r w:rsidRPr="00AE7431">
        <w:rPr>
          <w:szCs w:val="20"/>
        </w:rPr>
        <w:t>atients with relapsed or refractory mantle cell lymphoma (MCL), who have</w:t>
      </w:r>
      <w:r>
        <w:rPr>
          <w:szCs w:val="20"/>
        </w:rPr>
        <w:t xml:space="preserve"> </w:t>
      </w:r>
      <w:r w:rsidRPr="00AE7431">
        <w:rPr>
          <w:szCs w:val="20"/>
        </w:rPr>
        <w:t>received two or more lines of therapy, including a BTK inhibitor (unless ineligible or</w:t>
      </w:r>
      <w:r>
        <w:rPr>
          <w:szCs w:val="20"/>
        </w:rPr>
        <w:t xml:space="preserve"> </w:t>
      </w:r>
      <w:r w:rsidRPr="00AE7431">
        <w:rPr>
          <w:szCs w:val="20"/>
        </w:rPr>
        <w:t>intolerant to treatment with a BTK inhibitor).</w:t>
      </w:r>
    </w:p>
    <w:p w14:paraId="32938021" w14:textId="60625633" w:rsidR="008908DC" w:rsidRPr="00E30A87" w:rsidRDefault="008908DC" w:rsidP="001E4482">
      <w:pPr>
        <w:spacing w:before="0" w:after="0"/>
        <w:ind w:left="283"/>
        <w:rPr>
          <w:color w:val="0070C0"/>
          <w:szCs w:val="20"/>
        </w:rPr>
      </w:pPr>
    </w:p>
    <w:p w14:paraId="29C8E574" w14:textId="39693542" w:rsidR="00E30A87" w:rsidRPr="00005B53" w:rsidRDefault="00E30A87" w:rsidP="00E30A87">
      <w:pPr>
        <w:ind w:left="283"/>
        <w:contextualSpacing/>
      </w:pPr>
      <w:r w:rsidRPr="00005B53">
        <w:t>Brexucabtagene autoleucel was listed on the ARTG on 30</w:t>
      </w:r>
      <w:r w:rsidRPr="00005B53">
        <w:rPr>
          <w:vertAlign w:val="superscript"/>
        </w:rPr>
        <w:t>th</w:t>
      </w:r>
      <w:r w:rsidRPr="00005B53">
        <w:t xml:space="preserve"> September 2022</w:t>
      </w:r>
      <w:proofErr w:type="gramStart"/>
      <w:r w:rsidRPr="00005B53">
        <w:t xml:space="preserve">.  </w:t>
      </w:r>
      <w:proofErr w:type="gramEnd"/>
      <w:r w:rsidRPr="00005B53">
        <w:t xml:space="preserve">Details of the registration </w:t>
      </w:r>
      <w:proofErr w:type="gramStart"/>
      <w:r w:rsidRPr="00005B53">
        <w:t>are provided</w:t>
      </w:r>
      <w:proofErr w:type="gramEnd"/>
      <w:r w:rsidRPr="00005B53">
        <w:t xml:space="preserve"> below:</w:t>
      </w:r>
    </w:p>
    <w:p w14:paraId="1B175741" w14:textId="706C303B" w:rsidR="00E30A87" w:rsidRPr="00005B53" w:rsidRDefault="00E30A87" w:rsidP="00E30A87">
      <w:pPr>
        <w:ind w:left="283"/>
        <w:contextualSpacing/>
        <w:rPr>
          <w:szCs w:val="20"/>
        </w:rPr>
      </w:pPr>
      <w:r w:rsidRPr="00005B53">
        <w:t>ARTG ID: 396794</w:t>
      </w:r>
    </w:p>
    <w:p w14:paraId="697B105C" w14:textId="0183288B" w:rsidR="00E30A87" w:rsidRPr="00005B53" w:rsidRDefault="00E30A87" w:rsidP="00E30A87">
      <w:pPr>
        <w:ind w:left="283"/>
        <w:contextualSpacing/>
        <w:rPr>
          <w:szCs w:val="20"/>
        </w:rPr>
      </w:pPr>
      <w:r w:rsidRPr="00005B53">
        <w:rPr>
          <w:szCs w:val="20"/>
        </w:rPr>
        <w:t xml:space="preserve">TGA approved indication(s), if applicable:  </w:t>
      </w:r>
    </w:p>
    <w:p w14:paraId="3D2A37FD" w14:textId="77777777" w:rsidR="00E30A87" w:rsidRPr="00005B53" w:rsidRDefault="00E30A87" w:rsidP="00E30A87">
      <w:pPr>
        <w:spacing w:before="0" w:after="0"/>
        <w:ind w:left="283"/>
        <w:rPr>
          <w:szCs w:val="20"/>
        </w:rPr>
      </w:pPr>
      <w:r w:rsidRPr="00005B53">
        <w:rPr>
          <w:szCs w:val="20"/>
        </w:rPr>
        <w:t xml:space="preserve">Approved TGA indication for this application is: </w:t>
      </w:r>
    </w:p>
    <w:p w14:paraId="3FAB71DE" w14:textId="77777777" w:rsidR="00E30A87" w:rsidRPr="00005B53" w:rsidRDefault="00E30A87" w:rsidP="00E30A87">
      <w:pPr>
        <w:spacing w:before="0" w:after="0"/>
        <w:ind w:left="283"/>
        <w:rPr>
          <w:szCs w:val="20"/>
        </w:rPr>
      </w:pPr>
    </w:p>
    <w:p w14:paraId="17B2C9EB" w14:textId="4B3EB4D0" w:rsidR="00E30A87" w:rsidRPr="00005B53" w:rsidRDefault="00E30A87" w:rsidP="00E30A87">
      <w:pPr>
        <w:spacing w:before="0" w:after="0"/>
        <w:ind w:left="283"/>
        <w:rPr>
          <w:szCs w:val="20"/>
        </w:rPr>
      </w:pPr>
      <w:r w:rsidRPr="00005B53">
        <w:rPr>
          <w:szCs w:val="20"/>
        </w:rPr>
        <w:t>TECARTUS is a genetically modified autologous immunocellular therapy for the treatment of:</w:t>
      </w:r>
    </w:p>
    <w:p w14:paraId="40F90128" w14:textId="77777777" w:rsidR="00E30A87" w:rsidRPr="00005B53" w:rsidRDefault="00E30A87" w:rsidP="00E30A87">
      <w:pPr>
        <w:spacing w:before="0" w:after="0"/>
        <w:ind w:left="283"/>
        <w:rPr>
          <w:szCs w:val="20"/>
        </w:rPr>
      </w:pPr>
    </w:p>
    <w:p w14:paraId="2BAE2BA2" w14:textId="77777777" w:rsidR="00E30A87" w:rsidRPr="00005B53" w:rsidRDefault="00E30A87" w:rsidP="00E30A87">
      <w:pPr>
        <w:spacing w:before="0" w:after="0"/>
        <w:ind w:left="283"/>
        <w:rPr>
          <w:szCs w:val="20"/>
        </w:rPr>
      </w:pPr>
      <w:r w:rsidRPr="00005B53">
        <w:rPr>
          <w:szCs w:val="20"/>
        </w:rPr>
        <w:t>Acute Lymphoblastic Leukaemia</w:t>
      </w:r>
    </w:p>
    <w:p w14:paraId="53CC9FFF" w14:textId="77777777" w:rsidR="00E30A87" w:rsidRPr="00005B53" w:rsidRDefault="00E30A87" w:rsidP="00E30A87">
      <w:pPr>
        <w:spacing w:before="0" w:after="0"/>
        <w:ind w:left="283"/>
        <w:rPr>
          <w:szCs w:val="20"/>
        </w:rPr>
      </w:pPr>
      <w:r w:rsidRPr="00005B53">
        <w:rPr>
          <w:szCs w:val="20"/>
        </w:rPr>
        <w:t>Adult patients ≥18 years of age with relapsed or refractory B-cell precursor acute lymphoblastic leukaemia (ALL).</w:t>
      </w:r>
    </w:p>
    <w:p w14:paraId="58D77828" w14:textId="77777777" w:rsidR="001C7E51" w:rsidRPr="001C7E51" w:rsidRDefault="001C7E51" w:rsidP="001C7E51">
      <w:pPr>
        <w:spacing w:before="0" w:after="0"/>
        <w:rPr>
          <w:szCs w:val="20"/>
        </w:rPr>
      </w:pPr>
    </w:p>
    <w:p w14:paraId="20152DCC" w14:textId="77777777" w:rsidR="000E2E02" w:rsidRPr="00154B00" w:rsidRDefault="000E2E02" w:rsidP="00056F06">
      <w:pPr>
        <w:pStyle w:val="Heading2"/>
        <w:numPr>
          <w:ilvl w:val="0"/>
          <w:numId w:val="6"/>
        </w:numPr>
        <w:spacing w:before="0" w:after="0"/>
        <w:ind w:left="709" w:hanging="357"/>
      </w:pPr>
      <w:r>
        <w:t>If a</w:t>
      </w:r>
      <w:r w:rsidRPr="000E2E02">
        <w:t xml:space="preserve"> medical device is involved, has the medical device </w:t>
      </w:r>
      <w:proofErr w:type="gramStart"/>
      <w:r w:rsidRPr="000E2E02">
        <w:t>been classified</w:t>
      </w:r>
      <w:proofErr w:type="gramEnd"/>
      <w:r w:rsidRPr="000E2E02">
        <w:t xml:space="preserve"> by TGA as a Class III OR Active Implantable Medical Device (AIMD) under the TGA regulatory scheme for devices?</w:t>
      </w:r>
    </w:p>
    <w:p w14:paraId="678AADB8" w14:textId="77777777" w:rsidR="000E2E02" w:rsidRPr="00615F42" w:rsidRDefault="000E2E02" w:rsidP="000E2E02">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w:t>
      </w:r>
      <w:r w:rsidRPr="00615F42">
        <w:rPr>
          <w:szCs w:val="20"/>
        </w:rPr>
        <w:t>Class III</w:t>
      </w:r>
    </w:p>
    <w:p w14:paraId="4E37580A" w14:textId="77777777" w:rsidR="000E2E02" w:rsidRPr="00615F42" w:rsidRDefault="000E2E02" w:rsidP="000E2E02">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sidRPr="000A5B32">
        <w:rPr>
          <w:szCs w:val="20"/>
        </w:rPr>
        <w:t xml:space="preserve"> </w:t>
      </w:r>
      <w:r w:rsidRPr="00615F42">
        <w:rPr>
          <w:szCs w:val="20"/>
        </w:rPr>
        <w:t>AIMD</w:t>
      </w:r>
    </w:p>
    <w:p w14:paraId="3C395C90" w14:textId="3002C310" w:rsidR="000E2E02" w:rsidRDefault="004D3846" w:rsidP="000E2E02">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0E2E02" w:rsidRPr="000A5B32">
        <w:rPr>
          <w:szCs w:val="20"/>
        </w:rPr>
        <w:t xml:space="preserve"> </w:t>
      </w:r>
      <w:r w:rsidR="000E2E02" w:rsidRPr="00615F42">
        <w:rPr>
          <w:szCs w:val="20"/>
        </w:rPr>
        <w:t>N/A</w:t>
      </w:r>
    </w:p>
    <w:p w14:paraId="7FA0CD7C" w14:textId="77777777" w:rsidR="000F3129" w:rsidRPr="00154B00" w:rsidRDefault="000F3129" w:rsidP="000E2E02">
      <w:pPr>
        <w:spacing w:before="0" w:after="0"/>
        <w:ind w:left="284"/>
        <w:rPr>
          <w:szCs w:val="20"/>
        </w:rPr>
      </w:pPr>
    </w:p>
    <w:p w14:paraId="56F811B2" w14:textId="1659B5CF" w:rsidR="000E2E02" w:rsidRDefault="000E2E02" w:rsidP="00056F06">
      <w:pPr>
        <w:pStyle w:val="Heading2"/>
        <w:numPr>
          <w:ilvl w:val="0"/>
          <w:numId w:val="6"/>
        </w:numPr>
        <w:rPr>
          <w:bCs/>
          <w:lang w:val="en-GB"/>
        </w:rPr>
      </w:pPr>
      <w:r w:rsidRPr="000E2E02">
        <w:rPr>
          <w:bCs/>
          <w:lang w:val="en-GB"/>
        </w:rPr>
        <w:t>Is the therapeutic good classified by TGA for Research Use Only (RUO)?</w:t>
      </w:r>
    </w:p>
    <w:p w14:paraId="05CBB90D" w14:textId="78CFF77E" w:rsidR="000E2E02" w:rsidRDefault="007B67C5" w:rsidP="000E2E02">
      <w:pPr>
        <w:rPr>
          <w:lang w:val="en-GB"/>
        </w:rPr>
      </w:pPr>
      <w:r>
        <w:rPr>
          <w:lang w:val="en-GB"/>
        </w:rPr>
        <w:t xml:space="preserve">      </w:t>
      </w:r>
      <w:r w:rsidR="00841BBC">
        <w:rPr>
          <w:lang w:val="en-GB"/>
        </w:rPr>
        <w:t xml:space="preserve"> </w:t>
      </w:r>
      <w:r>
        <w:rPr>
          <w:lang w:val="en-GB"/>
        </w:rPr>
        <w:t xml:space="preserve"> </w:t>
      </w:r>
      <w:r w:rsidR="00AE7431">
        <w:rPr>
          <w:lang w:val="en-GB"/>
        </w:rPr>
        <w:t>No</w:t>
      </w:r>
    </w:p>
    <w:p w14:paraId="5D56878B" w14:textId="77777777" w:rsidR="00B87234" w:rsidRPr="000E2E02" w:rsidRDefault="00B87234" w:rsidP="000E2E02">
      <w:pPr>
        <w:rPr>
          <w:lang w:val="en-GB"/>
        </w:rPr>
      </w:pPr>
    </w:p>
    <w:p w14:paraId="7386E3F6" w14:textId="77777777" w:rsidR="003421AE" w:rsidRPr="00A6491A" w:rsidRDefault="0011369B" w:rsidP="00F24FD6">
      <w:pPr>
        <w:pStyle w:val="Heading2"/>
      </w:pPr>
      <w:r>
        <w:t xml:space="preserve">(a) </w:t>
      </w:r>
      <w:r w:rsidR="00F24FD6" w:rsidRPr="00FF23B8">
        <w:rPr>
          <w:u w:val="single"/>
        </w:rPr>
        <w:t>If not listed on the ARTG</w:t>
      </w:r>
      <w:r w:rsidR="00F24FD6">
        <w:t>, i</w:t>
      </w:r>
      <w:r w:rsidR="003421AE" w:rsidRPr="00A6491A">
        <w:t xml:space="preserve">s the </w:t>
      </w:r>
      <w:r w:rsidR="003421AE" w:rsidRPr="0043654D">
        <w:t>therapeutic</w:t>
      </w:r>
      <w:r w:rsidR="003421AE" w:rsidRPr="00A6491A">
        <w:t xml:space="preserve"> good to </w:t>
      </w:r>
      <w:proofErr w:type="gramStart"/>
      <w:r w:rsidR="003421AE" w:rsidRPr="00A6491A">
        <w:t>be used</w:t>
      </w:r>
      <w:proofErr w:type="gramEnd"/>
      <w:r w:rsidR="003421AE" w:rsidRPr="00A6491A">
        <w:t xml:space="preserve"> in the service exempt from the regulatory requirements of the </w:t>
      </w:r>
      <w:r w:rsidR="003421AE" w:rsidRPr="00A6491A">
        <w:rPr>
          <w:i/>
        </w:rPr>
        <w:t>Therapeutic Goods Act 1989</w:t>
      </w:r>
      <w:r w:rsidR="003421AE" w:rsidRPr="00A6491A">
        <w:t>?</w:t>
      </w:r>
    </w:p>
    <w:p w14:paraId="18E45612" w14:textId="114310F3" w:rsidR="00615F42" w:rsidRDefault="00763F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15F42">
        <w:rPr>
          <w:szCs w:val="20"/>
        </w:rPr>
        <w:t xml:space="preserve"> </w:t>
      </w:r>
      <w:r w:rsidR="00615F42" w:rsidRPr="00005B53">
        <w:rPr>
          <w:szCs w:val="20"/>
        </w:rPr>
        <w:t>Yes (If yes, please provide supporting documentation as an attachment to this application form)</w:t>
      </w:r>
    </w:p>
    <w:p w14:paraId="0AC6B434" w14:textId="31D365F7" w:rsidR="00F24FD6" w:rsidRDefault="00763FB4" w:rsidP="00D56765">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15F42">
        <w:rPr>
          <w:szCs w:val="20"/>
        </w:rPr>
        <w:t xml:space="preserve"> No</w:t>
      </w:r>
    </w:p>
    <w:p w14:paraId="03FBE332" w14:textId="77777777" w:rsidR="00D56765" w:rsidRPr="00D56765" w:rsidRDefault="00D56765" w:rsidP="00D56765">
      <w:pPr>
        <w:spacing w:before="0" w:after="0"/>
        <w:ind w:left="284"/>
        <w:rPr>
          <w:b/>
          <w:szCs w:val="20"/>
        </w:rPr>
      </w:pPr>
    </w:p>
    <w:p w14:paraId="430D8B78" w14:textId="18609894" w:rsidR="004D3846" w:rsidRPr="004D3846" w:rsidRDefault="00FF23B8" w:rsidP="00056F06">
      <w:pPr>
        <w:pStyle w:val="Heading2"/>
        <w:numPr>
          <w:ilvl w:val="0"/>
          <w:numId w:val="7"/>
        </w:numPr>
        <w:spacing w:before="0" w:after="0"/>
      </w:pPr>
      <w:r w:rsidRPr="00154B00">
        <w:t xml:space="preserve">If </w:t>
      </w:r>
      <w:r>
        <w:t xml:space="preserve">the therapeutic good is </w:t>
      </w:r>
      <w:r w:rsidRPr="00296405">
        <w:rPr>
          <w:u w:val="single"/>
        </w:rPr>
        <w:t>not ARTG listed</w:t>
      </w:r>
      <w:r>
        <w:t xml:space="preserve">, is the therapeutic good </w:t>
      </w:r>
      <w:r w:rsidR="00B80335">
        <w:t xml:space="preserve">in the process of </w:t>
      </w:r>
      <w:proofErr w:type="gramStart"/>
      <w:r w:rsidR="00B80335">
        <w:t>being considered</w:t>
      </w:r>
      <w:proofErr w:type="gramEnd"/>
      <w:r w:rsidR="00B80335">
        <w:t xml:space="preserve"> by TGA</w:t>
      </w:r>
      <w:r>
        <w:t>?</w:t>
      </w:r>
    </w:p>
    <w:p w14:paraId="52B389AA" w14:textId="01A4425C" w:rsidR="00FF23B8" w:rsidRPr="00F24FD6" w:rsidRDefault="004D3846" w:rsidP="00FF23B8">
      <w:pPr>
        <w:pStyle w:val="Heading2"/>
        <w:numPr>
          <w:ilvl w:val="0"/>
          <w:numId w:val="0"/>
        </w:numPr>
        <w:spacing w:before="0" w:after="0"/>
        <w:ind w:left="360" w:hanging="76"/>
      </w:pPr>
      <w:r>
        <w:lastRenderedPageBreak/>
        <w:fldChar w:fldCharType="begin">
          <w:ffData>
            <w:name w:val=""/>
            <w:enabled/>
            <w:calcOnExit w:val="0"/>
            <w:checkBox>
              <w:sizeAuto/>
              <w:default w:val="1"/>
            </w:checkBox>
          </w:ffData>
        </w:fldChar>
      </w:r>
      <w:r>
        <w:instrText xml:space="preserve"> FORMCHECKBOX </w:instrText>
      </w:r>
      <w:r w:rsidR="009C6C24">
        <w:fldChar w:fldCharType="separate"/>
      </w:r>
      <w:r>
        <w:fldChar w:fldCharType="end"/>
      </w:r>
      <w:r w:rsidR="00FF23B8" w:rsidRPr="00F24FD6">
        <w:t xml:space="preserve"> Yes (if yes, please provide details below)</w:t>
      </w:r>
    </w:p>
    <w:p w14:paraId="4CB53080" w14:textId="77777777" w:rsidR="00FF23B8" w:rsidRDefault="00FF23B8" w:rsidP="00FF23B8">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rsidRPr="00F24FD6">
        <w:rPr>
          <w:b/>
          <w:szCs w:val="20"/>
        </w:rPr>
        <w:t>No</w:t>
      </w:r>
    </w:p>
    <w:p w14:paraId="5E126DFF" w14:textId="15FB8475" w:rsidR="00FF23B8" w:rsidRDefault="00FF23B8" w:rsidP="001E4482">
      <w:pPr>
        <w:spacing w:before="0" w:after="0"/>
        <w:ind w:left="283"/>
        <w:rPr>
          <w:b/>
          <w:szCs w:val="20"/>
        </w:rPr>
      </w:pPr>
    </w:p>
    <w:p w14:paraId="0B4F0331" w14:textId="6D6AFAC5" w:rsidR="00176C14" w:rsidRPr="00005B53" w:rsidRDefault="004D3846" w:rsidP="00763FB4">
      <w:pPr>
        <w:spacing w:before="0" w:after="0"/>
        <w:ind w:left="283"/>
        <w:rPr>
          <w:i/>
          <w:iCs/>
        </w:rPr>
      </w:pPr>
      <w:bookmarkStart w:id="9" w:name="_Hlk89352780"/>
      <w:r w:rsidRPr="00005B53">
        <w:rPr>
          <w:szCs w:val="20"/>
        </w:rPr>
        <w:t xml:space="preserve">      </w:t>
      </w:r>
      <w:r w:rsidR="00763FB4" w:rsidRPr="001B3A6F">
        <w:rPr>
          <w:szCs w:val="20"/>
        </w:rPr>
        <w:t>ARTG ID 396794</w:t>
      </w:r>
      <w:r w:rsidR="00763FB4" w:rsidRPr="00005B53">
        <w:rPr>
          <w:szCs w:val="20"/>
        </w:rPr>
        <w:t xml:space="preserve"> </w:t>
      </w:r>
    </w:p>
    <w:p w14:paraId="6E67E897" w14:textId="77777777" w:rsidR="00176C14" w:rsidRDefault="00176C14" w:rsidP="001E4482">
      <w:pPr>
        <w:spacing w:before="0" w:after="0"/>
        <w:ind w:left="283"/>
      </w:pPr>
    </w:p>
    <w:p w14:paraId="24296339" w14:textId="5225C8C5" w:rsidR="00841BBC" w:rsidRDefault="004D3846" w:rsidP="001E4482">
      <w:pPr>
        <w:spacing w:before="0" w:after="0"/>
        <w:ind w:left="283"/>
        <w:rPr>
          <w:szCs w:val="20"/>
        </w:rPr>
      </w:pPr>
      <w:r>
        <w:rPr>
          <w:szCs w:val="20"/>
        </w:rPr>
        <w:t xml:space="preserve">     </w:t>
      </w:r>
      <w:r w:rsidR="00FF23B8" w:rsidRPr="0047581D">
        <w:rPr>
          <w:szCs w:val="20"/>
        </w:rPr>
        <w:t>TGA approved purpose(s), if applicable</w:t>
      </w:r>
      <w:r w:rsidR="00FF23B8">
        <w:rPr>
          <w:szCs w:val="20"/>
        </w:rPr>
        <w:t xml:space="preserve">:  </w:t>
      </w:r>
    </w:p>
    <w:p w14:paraId="4D2BDE23" w14:textId="77777777" w:rsidR="00841BBC" w:rsidRPr="0047581D" w:rsidRDefault="00841BBC" w:rsidP="001E4482">
      <w:pPr>
        <w:spacing w:before="0" w:after="0"/>
        <w:ind w:left="283"/>
        <w:rPr>
          <w:szCs w:val="20"/>
        </w:rPr>
      </w:pPr>
    </w:p>
    <w:bookmarkEnd w:id="9"/>
    <w:p w14:paraId="5B900497" w14:textId="70EDD2F5" w:rsidR="00BD6323" w:rsidRPr="00005B53" w:rsidRDefault="00763FB4" w:rsidP="00763FB4">
      <w:pPr>
        <w:spacing w:before="0" w:after="0"/>
        <w:ind w:left="283"/>
        <w:rPr>
          <w:szCs w:val="20"/>
        </w:rPr>
      </w:pPr>
      <w:r w:rsidRPr="00005B53">
        <w:rPr>
          <w:szCs w:val="20"/>
        </w:rPr>
        <w:t>Approved</w:t>
      </w:r>
      <w:r w:rsidR="00707512" w:rsidRPr="00005B53">
        <w:rPr>
          <w:szCs w:val="20"/>
        </w:rPr>
        <w:t xml:space="preserve"> TGA indication for this application is: </w:t>
      </w:r>
    </w:p>
    <w:p w14:paraId="6EC2EB06" w14:textId="3FFB0166" w:rsidR="002C2BFE" w:rsidRPr="00005B53" w:rsidRDefault="002C2BFE" w:rsidP="00763FB4">
      <w:pPr>
        <w:spacing w:before="0" w:after="0"/>
        <w:ind w:left="283"/>
        <w:rPr>
          <w:szCs w:val="20"/>
        </w:rPr>
      </w:pPr>
      <w:r w:rsidRPr="00005B53">
        <w:rPr>
          <w:szCs w:val="20"/>
        </w:rPr>
        <w:t>TECARTUS is a genetically modified autologous immunocellular therapy for the treatment of:</w:t>
      </w:r>
    </w:p>
    <w:p w14:paraId="1B7181D8" w14:textId="06CEC86C" w:rsidR="00A54122" w:rsidRPr="00005B53" w:rsidRDefault="00A54122" w:rsidP="00763FB4">
      <w:pPr>
        <w:spacing w:before="0" w:after="0"/>
        <w:ind w:left="283"/>
        <w:rPr>
          <w:szCs w:val="20"/>
        </w:rPr>
      </w:pPr>
    </w:p>
    <w:p w14:paraId="45EB9B1F" w14:textId="5689BFE9" w:rsidR="00A54122" w:rsidRPr="00005B53" w:rsidRDefault="00A54122" w:rsidP="00763FB4">
      <w:pPr>
        <w:spacing w:before="0" w:after="0"/>
        <w:ind w:left="283"/>
        <w:rPr>
          <w:szCs w:val="20"/>
        </w:rPr>
      </w:pPr>
      <w:r w:rsidRPr="00005B53">
        <w:rPr>
          <w:szCs w:val="20"/>
        </w:rPr>
        <w:t>Acute Lymphoblastic Leukaemia</w:t>
      </w:r>
    </w:p>
    <w:p w14:paraId="40856921" w14:textId="79B56BF1" w:rsidR="002C2BFE" w:rsidRPr="00005B53" w:rsidRDefault="00763FB4" w:rsidP="00A54122">
      <w:pPr>
        <w:spacing w:before="0" w:after="0"/>
        <w:ind w:left="283"/>
        <w:rPr>
          <w:szCs w:val="20"/>
        </w:rPr>
      </w:pPr>
      <w:r w:rsidRPr="00005B53">
        <w:rPr>
          <w:szCs w:val="20"/>
        </w:rPr>
        <w:t>Adult patients ≥18 years of age with relapsed or refractory B-cell precursor acute lymphoblastic leukaemia (ALL).</w:t>
      </w:r>
    </w:p>
    <w:p w14:paraId="65DD35E3" w14:textId="4BA9FB82" w:rsidR="002C2BFE" w:rsidRPr="00005B53" w:rsidRDefault="002C2BFE" w:rsidP="002C2BFE">
      <w:pPr>
        <w:spacing w:before="0" w:after="0"/>
        <w:ind w:left="283"/>
        <w:rPr>
          <w:i/>
          <w:iCs/>
        </w:rPr>
      </w:pPr>
      <w:r w:rsidRPr="00005B53">
        <w:rPr>
          <w:szCs w:val="20"/>
        </w:rPr>
        <w:t xml:space="preserve">TECARTUS </w:t>
      </w:r>
      <w:proofErr w:type="gramStart"/>
      <w:r w:rsidRPr="00005B53">
        <w:rPr>
          <w:szCs w:val="20"/>
        </w:rPr>
        <w:t>is approved</w:t>
      </w:r>
      <w:proofErr w:type="gramEnd"/>
      <w:r w:rsidRPr="00005B53">
        <w:rPr>
          <w:szCs w:val="20"/>
        </w:rPr>
        <w:t xml:space="preserve"> for R/R ALL (</w:t>
      </w:r>
      <w:r w:rsidRPr="001B3A6F">
        <w:rPr>
          <w:szCs w:val="20"/>
        </w:rPr>
        <w:t>ARTG ID 396794</w:t>
      </w:r>
      <w:r w:rsidRPr="00005B53">
        <w:rPr>
          <w:szCs w:val="20"/>
        </w:rPr>
        <w:t>).</w:t>
      </w:r>
    </w:p>
    <w:p w14:paraId="11F8B2FA" w14:textId="77777777" w:rsidR="002C2BFE" w:rsidRDefault="002C2BFE" w:rsidP="001E4482">
      <w:pPr>
        <w:spacing w:before="0" w:after="0"/>
        <w:ind w:left="283"/>
        <w:rPr>
          <w:color w:val="0070C0"/>
          <w:szCs w:val="20"/>
        </w:rPr>
      </w:pPr>
    </w:p>
    <w:p w14:paraId="6644DA9E" w14:textId="77777777" w:rsidR="00707512" w:rsidRDefault="00707512" w:rsidP="00A75D46">
      <w:pPr>
        <w:spacing w:before="0" w:after="0"/>
        <w:rPr>
          <w:szCs w:val="20"/>
        </w:rPr>
      </w:pPr>
    </w:p>
    <w:p w14:paraId="747D90DC" w14:textId="4FC4284A" w:rsidR="00BC19F3" w:rsidRPr="00BD6323" w:rsidRDefault="00AE7431" w:rsidP="00BD6323">
      <w:pPr>
        <w:spacing w:before="0" w:after="0"/>
        <w:ind w:left="283"/>
      </w:pPr>
      <w:r>
        <w:rPr>
          <w:szCs w:val="20"/>
        </w:rPr>
        <w:t xml:space="preserve">TECARTUS </w:t>
      </w:r>
      <w:proofErr w:type="gramStart"/>
      <w:r>
        <w:rPr>
          <w:szCs w:val="20"/>
        </w:rPr>
        <w:t>is approved</w:t>
      </w:r>
      <w:proofErr w:type="gramEnd"/>
      <w:r>
        <w:rPr>
          <w:szCs w:val="20"/>
        </w:rPr>
        <w:t xml:space="preserve"> for </w:t>
      </w:r>
      <w:r w:rsidR="00C53013">
        <w:rPr>
          <w:szCs w:val="20"/>
        </w:rPr>
        <w:t>R/R MCL (</w:t>
      </w:r>
      <w:r w:rsidR="00C53013" w:rsidRPr="001B3A6F">
        <w:rPr>
          <w:szCs w:val="20"/>
        </w:rPr>
        <w:t xml:space="preserve">ARTG </w:t>
      </w:r>
      <w:r w:rsidR="00C53013" w:rsidRPr="001B3A6F">
        <w:t>ID 371431</w:t>
      </w:r>
      <w:r w:rsidR="00C53013">
        <w:t>)</w:t>
      </w:r>
      <w:r w:rsidR="002C2BFE">
        <w:t>.</w:t>
      </w:r>
    </w:p>
    <w:p w14:paraId="03BE52D8" w14:textId="77777777" w:rsidR="002C2BFE" w:rsidRDefault="00AE7431" w:rsidP="001E4482">
      <w:pPr>
        <w:spacing w:before="0" w:after="0"/>
        <w:ind w:left="283"/>
        <w:rPr>
          <w:szCs w:val="20"/>
        </w:rPr>
      </w:pPr>
      <w:r w:rsidRPr="00AE7431">
        <w:rPr>
          <w:szCs w:val="20"/>
        </w:rPr>
        <w:t>TECARTUS is a genetically modified autologous immunocellular therapy for the</w:t>
      </w:r>
      <w:r>
        <w:rPr>
          <w:szCs w:val="20"/>
        </w:rPr>
        <w:t xml:space="preserve"> </w:t>
      </w:r>
      <w:r w:rsidRPr="00AE7431">
        <w:rPr>
          <w:szCs w:val="20"/>
        </w:rPr>
        <w:t>treatment of</w:t>
      </w:r>
      <w:r w:rsidR="002C2BFE">
        <w:rPr>
          <w:szCs w:val="20"/>
        </w:rPr>
        <w:t>:</w:t>
      </w:r>
    </w:p>
    <w:p w14:paraId="496E02D9" w14:textId="77777777" w:rsidR="002C2BFE" w:rsidRDefault="002C2BFE" w:rsidP="001E4482">
      <w:pPr>
        <w:spacing w:before="0" w:after="0"/>
        <w:ind w:left="283"/>
        <w:rPr>
          <w:szCs w:val="20"/>
        </w:rPr>
      </w:pPr>
    </w:p>
    <w:p w14:paraId="2E8A8900" w14:textId="77777777" w:rsidR="002C2BFE" w:rsidRDefault="002C2BFE" w:rsidP="001E4482">
      <w:pPr>
        <w:spacing w:before="0" w:after="0"/>
        <w:ind w:left="283"/>
        <w:rPr>
          <w:szCs w:val="20"/>
        </w:rPr>
      </w:pPr>
      <w:r>
        <w:rPr>
          <w:szCs w:val="20"/>
        </w:rPr>
        <w:t>Mantle Cell Lymphoma</w:t>
      </w:r>
    </w:p>
    <w:p w14:paraId="3A92C30B" w14:textId="70275775" w:rsidR="00AE7431" w:rsidRDefault="002C2BFE" w:rsidP="001E4482">
      <w:pPr>
        <w:spacing w:before="0" w:after="0"/>
        <w:ind w:left="283"/>
        <w:rPr>
          <w:szCs w:val="20"/>
        </w:rPr>
      </w:pPr>
      <w:r>
        <w:rPr>
          <w:szCs w:val="20"/>
        </w:rPr>
        <w:t>P</w:t>
      </w:r>
      <w:r w:rsidR="00AE7431" w:rsidRPr="00AE7431">
        <w:rPr>
          <w:szCs w:val="20"/>
        </w:rPr>
        <w:t>atients with relapsed or refractory mantle cell lymphoma (MCL), who have</w:t>
      </w:r>
      <w:r w:rsidR="00AE7431">
        <w:rPr>
          <w:szCs w:val="20"/>
        </w:rPr>
        <w:t xml:space="preserve"> </w:t>
      </w:r>
      <w:r w:rsidR="00AE7431" w:rsidRPr="00AE7431">
        <w:rPr>
          <w:szCs w:val="20"/>
        </w:rPr>
        <w:t>received two or more lines of therapy, including a BTK inhibitor (unless ineligible or</w:t>
      </w:r>
      <w:r w:rsidR="00AE7431">
        <w:rPr>
          <w:szCs w:val="20"/>
        </w:rPr>
        <w:t xml:space="preserve"> </w:t>
      </w:r>
      <w:r w:rsidR="00AE7431" w:rsidRPr="00AE7431">
        <w:rPr>
          <w:szCs w:val="20"/>
        </w:rPr>
        <w:t>intolerant to treatment with a BTK inhibitor).</w:t>
      </w:r>
    </w:p>
    <w:p w14:paraId="30530656" w14:textId="7C26DB31" w:rsidR="002C2BFE" w:rsidRDefault="002C2BFE" w:rsidP="001E4482">
      <w:pPr>
        <w:spacing w:before="0" w:after="0"/>
        <w:ind w:left="283"/>
        <w:rPr>
          <w:szCs w:val="20"/>
        </w:rPr>
      </w:pPr>
    </w:p>
    <w:p w14:paraId="074CF0B2" w14:textId="77777777" w:rsidR="002C2BFE" w:rsidRPr="00005B53" w:rsidRDefault="002C2BFE" w:rsidP="002C2BFE">
      <w:pPr>
        <w:spacing w:before="0" w:after="0"/>
        <w:ind w:left="283"/>
        <w:rPr>
          <w:szCs w:val="20"/>
        </w:rPr>
      </w:pPr>
      <w:r w:rsidRPr="00005B53">
        <w:rPr>
          <w:szCs w:val="20"/>
        </w:rPr>
        <w:t>Attached: Approved Product Information</w:t>
      </w:r>
    </w:p>
    <w:p w14:paraId="79B3F1B7" w14:textId="77777777" w:rsidR="002C2BFE" w:rsidRDefault="002C2BFE" w:rsidP="002C2BFE">
      <w:pPr>
        <w:spacing w:before="0" w:after="0"/>
        <w:rPr>
          <w:szCs w:val="20"/>
        </w:rPr>
      </w:pPr>
    </w:p>
    <w:p w14:paraId="67722476" w14:textId="77777777" w:rsidR="00AE7431" w:rsidRDefault="00AE7431" w:rsidP="00A75D46">
      <w:pPr>
        <w:spacing w:before="0" w:after="0"/>
        <w:rPr>
          <w:szCs w:val="20"/>
        </w:rPr>
      </w:pPr>
    </w:p>
    <w:p w14:paraId="68A3AE27" w14:textId="77777777" w:rsidR="00FF23B8" w:rsidRPr="00FF23B8" w:rsidRDefault="00FF23B8" w:rsidP="00056F06">
      <w:pPr>
        <w:pStyle w:val="ListParagraph"/>
        <w:numPr>
          <w:ilvl w:val="0"/>
          <w:numId w:val="7"/>
        </w:numPr>
        <w:rPr>
          <w:b/>
          <w:szCs w:val="20"/>
        </w:rPr>
      </w:pPr>
      <w:r>
        <w:t xml:space="preserve">If </w:t>
      </w:r>
      <w:r w:rsidRPr="00FF23B8">
        <w:rPr>
          <w:b/>
          <w:szCs w:val="20"/>
        </w:rPr>
        <w:t xml:space="preserve">the therapeutic good is NOT </w:t>
      </w:r>
      <w:r>
        <w:rPr>
          <w:b/>
          <w:szCs w:val="20"/>
        </w:rPr>
        <w:t xml:space="preserve">in the process of </w:t>
      </w:r>
      <w:proofErr w:type="gramStart"/>
      <w:r>
        <w:rPr>
          <w:b/>
          <w:szCs w:val="20"/>
        </w:rPr>
        <w:t>being considered</w:t>
      </w:r>
      <w:proofErr w:type="gramEnd"/>
      <w:r w:rsidRPr="00FF23B8">
        <w:rPr>
          <w:b/>
          <w:szCs w:val="20"/>
        </w:rPr>
        <w:t xml:space="preserve"> by TGA, is an application to TGA being prepared?</w:t>
      </w:r>
    </w:p>
    <w:p w14:paraId="6A5CFB09" w14:textId="5735D893" w:rsidR="0047581D" w:rsidRDefault="00230973" w:rsidP="00FF23B8">
      <w:pPr>
        <w:spacing w:before="0" w:after="0"/>
        <w:ind w:firstLine="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47581D">
        <w:rPr>
          <w:szCs w:val="20"/>
        </w:rPr>
        <w:t xml:space="preserve"> Yes (please provide details below)</w:t>
      </w:r>
    </w:p>
    <w:p w14:paraId="0C17858E" w14:textId="1289FB0A" w:rsidR="0047581D" w:rsidRDefault="00230973"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47581D">
        <w:rPr>
          <w:szCs w:val="20"/>
        </w:rPr>
        <w:t xml:space="preserve"> No</w:t>
      </w:r>
    </w:p>
    <w:p w14:paraId="7D6B40AB" w14:textId="77777777" w:rsidR="000A110D" w:rsidRDefault="000A110D" w:rsidP="00971EDB">
      <w:pPr>
        <w:spacing w:before="0" w:after="0"/>
        <w:rPr>
          <w:szCs w:val="20"/>
        </w:rPr>
      </w:pPr>
    </w:p>
    <w:p w14:paraId="169CE725" w14:textId="34D503F9" w:rsidR="00971EDB" w:rsidRPr="00971EDB" w:rsidRDefault="00971EDB" w:rsidP="00BC19F3">
      <w:pPr>
        <w:spacing w:before="0" w:after="0"/>
        <w:ind w:left="283"/>
        <w:rPr>
          <w:szCs w:val="20"/>
        </w:rPr>
      </w:pPr>
      <w:r w:rsidRPr="00971EDB">
        <w:rPr>
          <w:szCs w:val="20"/>
        </w:rPr>
        <w:t>Estimated date of submission to TGA</w:t>
      </w:r>
      <w:r>
        <w:rPr>
          <w:szCs w:val="20"/>
        </w:rPr>
        <w:t xml:space="preserve">: </w:t>
      </w:r>
      <w:r w:rsidR="00005B53">
        <w:rPr>
          <w:szCs w:val="20"/>
        </w:rPr>
        <w:t>N/A</w:t>
      </w:r>
      <w:r w:rsidR="00707512">
        <w:rPr>
          <w:szCs w:val="20"/>
        </w:rPr>
        <w:tab/>
      </w:r>
    </w:p>
    <w:p w14:paraId="52D6C0BC" w14:textId="7E6F4EA7" w:rsidR="00176C14" w:rsidRPr="00971EDB" w:rsidRDefault="00971EDB" w:rsidP="00005B53">
      <w:pPr>
        <w:spacing w:before="0" w:after="0"/>
        <w:ind w:left="283"/>
        <w:rPr>
          <w:szCs w:val="20"/>
        </w:rPr>
      </w:pPr>
      <w:r w:rsidRPr="00971EDB">
        <w:rPr>
          <w:szCs w:val="20"/>
        </w:rPr>
        <w:t>Proposed indication(s), if applicable</w:t>
      </w:r>
      <w:r>
        <w:rPr>
          <w:szCs w:val="20"/>
        </w:rPr>
        <w:t xml:space="preserve">: </w:t>
      </w:r>
      <w:r w:rsidR="00005B53">
        <w:rPr>
          <w:szCs w:val="20"/>
        </w:rPr>
        <w:t>N/A</w:t>
      </w:r>
      <w:r w:rsidR="00707512">
        <w:rPr>
          <w:szCs w:val="20"/>
        </w:rPr>
        <w:tab/>
      </w:r>
    </w:p>
    <w:p w14:paraId="189858D6" w14:textId="7DAC47C3" w:rsidR="00971EDB" w:rsidRDefault="00971EDB" w:rsidP="00BC19F3">
      <w:pPr>
        <w:spacing w:before="0" w:after="0"/>
        <w:ind w:left="283"/>
      </w:pPr>
      <w:r w:rsidRPr="00971EDB">
        <w:rPr>
          <w:szCs w:val="20"/>
        </w:rPr>
        <w:t>Proposed purpose(s), if applicable</w:t>
      </w:r>
      <w:r>
        <w:rPr>
          <w:szCs w:val="20"/>
        </w:rPr>
        <w:t xml:space="preserve">: </w:t>
      </w:r>
      <w:r w:rsidR="00005B53">
        <w:rPr>
          <w:szCs w:val="20"/>
        </w:rPr>
        <w:t>N/A</w:t>
      </w:r>
      <w:r w:rsidR="00707512">
        <w:rPr>
          <w:szCs w:val="20"/>
        </w:rPr>
        <w:tab/>
      </w:r>
    </w:p>
    <w:p w14:paraId="583E4063" w14:textId="67390B4D" w:rsidR="00707512" w:rsidRDefault="00707512" w:rsidP="00BC19F3">
      <w:pPr>
        <w:spacing w:before="0" w:after="0"/>
        <w:ind w:left="283"/>
      </w:pPr>
    </w:p>
    <w:p w14:paraId="1273740C" w14:textId="77777777" w:rsidR="00707512" w:rsidRPr="00971EDB" w:rsidRDefault="00707512" w:rsidP="00971EDB">
      <w:pPr>
        <w:spacing w:before="0" w:after="0"/>
        <w:rPr>
          <w:szCs w:val="20"/>
        </w:rPr>
      </w:pPr>
    </w:p>
    <w:p w14:paraId="2794CB75" w14:textId="77777777" w:rsidR="00F83A9D" w:rsidRPr="00154B00" w:rsidRDefault="00F83A9D" w:rsidP="00F83A9D">
      <w:pPr>
        <w:rPr>
          <w:szCs w:val="20"/>
        </w:rPr>
      </w:pPr>
    </w:p>
    <w:p w14:paraId="124E0672" w14:textId="77777777" w:rsidR="00DD308E" w:rsidRDefault="00DD308E">
      <w:pPr>
        <w:rPr>
          <w:b/>
          <w:sz w:val="32"/>
          <w:szCs w:val="32"/>
        </w:rPr>
        <w:sectPr w:rsidR="00DD308E" w:rsidSect="00991E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565A0D11"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7B43438" w14:textId="5769F689" w:rsidR="00DD308E" w:rsidRDefault="00643755" w:rsidP="00643755">
      <w:pPr>
        <w:pStyle w:val="Heading2"/>
      </w:pPr>
      <w:r w:rsidRPr="00643755">
        <w:t>Provide one or more recent (published) high quality clinical studies that support use of the proposed health service/technology. At ‘Application Form lodgement</w:t>
      </w:r>
      <w:proofErr w:type="gramStart"/>
      <w:r w:rsidRPr="00643755">
        <w:t>’,</w:t>
      </w:r>
      <w:proofErr w:type="gramEnd"/>
      <w:r w:rsidRPr="00643755">
        <w:t xml:space="preserve"> please do not attach full text articles; just provide a summary.</w:t>
      </w:r>
    </w:p>
    <w:p w14:paraId="504DE5D3" w14:textId="66BB5303" w:rsidR="00707512" w:rsidRDefault="00707512" w:rsidP="00707512">
      <w:r>
        <w:t xml:space="preserve">Note: There is a single Phase 1/2 trial (ZUMA-3) with separate publications </w:t>
      </w:r>
      <w:r w:rsidR="007D5706">
        <w:t>for</w:t>
      </w:r>
      <w:r>
        <w:t xml:space="preserve"> Phase 1, Phase 2 or combined Phase 1/2</w:t>
      </w:r>
      <w:proofErr w:type="gramStart"/>
      <w:r>
        <w:t xml:space="preserve">.  </w:t>
      </w:r>
      <w:proofErr w:type="gramEnd"/>
      <w:r>
        <w:t xml:space="preserve">The trial can </w:t>
      </w:r>
      <w:proofErr w:type="gramStart"/>
      <w:r>
        <w:t>be identified</w:t>
      </w:r>
      <w:proofErr w:type="gramEnd"/>
      <w:r>
        <w:t xml:space="preserve"> on Clintrials.gov </w:t>
      </w:r>
      <w:r w:rsidR="007D5706">
        <w:t xml:space="preserve">by study number NCT02614066, </w:t>
      </w:r>
      <w:r w:rsidR="007D5706" w:rsidRPr="007D5706">
        <w:t xml:space="preserve">A Study Evaluating Brexucabtagene Autoleucel (KTE-X19) in Adult Subjects </w:t>
      </w:r>
      <w:r w:rsidR="00304D9C" w:rsidRPr="007D5706">
        <w:t>with</w:t>
      </w:r>
      <w:r w:rsidR="007D5706" w:rsidRPr="007D5706">
        <w:t xml:space="preserve"> Relapsed/Refractory B-precursor Acute Lymphoblastic Leukemia (ZUMA-3) (ZUMA-3)</w:t>
      </w:r>
      <w:r w:rsidR="007D5706">
        <w:t xml:space="preserve"> </w:t>
      </w:r>
      <w:r w:rsidR="007D5706" w:rsidRPr="001B3A6F">
        <w:t>https://clinicaltrials.gov/ct2/show/NCT02614066</w:t>
      </w:r>
    </w:p>
    <w:p w14:paraId="6C3FB82A" w14:textId="77777777" w:rsidR="007D5706" w:rsidRPr="00707512" w:rsidRDefault="007D5706" w:rsidP="00707512"/>
    <w:tbl>
      <w:tblPr>
        <w:tblStyle w:val="TableGrid"/>
        <w:tblW w:w="5000" w:type="pct"/>
        <w:tblLayout w:type="fixed"/>
        <w:tblLook w:val="04A0" w:firstRow="1" w:lastRow="0" w:firstColumn="1" w:lastColumn="0" w:noHBand="0" w:noVBand="1"/>
      </w:tblPr>
      <w:tblGrid>
        <w:gridCol w:w="369"/>
        <w:gridCol w:w="2037"/>
        <w:gridCol w:w="3262"/>
        <w:gridCol w:w="4109"/>
        <w:gridCol w:w="2550"/>
        <w:gridCol w:w="1621"/>
      </w:tblGrid>
      <w:tr w:rsidR="00CF0D9F" w14:paraId="419D1DF9" w14:textId="77777777" w:rsidTr="007C0AAE">
        <w:trPr>
          <w:cantSplit/>
          <w:tblHeader/>
        </w:trPr>
        <w:tc>
          <w:tcPr>
            <w:tcW w:w="132" w:type="pct"/>
            <w:shd w:val="pct20" w:color="auto" w:fill="auto"/>
          </w:tcPr>
          <w:p w14:paraId="37442987" w14:textId="77777777" w:rsidR="00DD308E" w:rsidRDefault="00DD308E" w:rsidP="00855944">
            <w:pPr>
              <w:pStyle w:val="TableHEADER"/>
            </w:pPr>
          </w:p>
        </w:tc>
        <w:tc>
          <w:tcPr>
            <w:tcW w:w="730" w:type="pct"/>
            <w:shd w:val="pct20" w:color="auto" w:fill="auto"/>
          </w:tcPr>
          <w:p w14:paraId="4CF9EA12" w14:textId="77777777" w:rsidR="00DD308E" w:rsidRDefault="00DD308E" w:rsidP="00855944">
            <w:pPr>
              <w:pStyle w:val="TableHEADER"/>
            </w:pPr>
            <w:r>
              <w:t>Type of study design*</w:t>
            </w:r>
          </w:p>
        </w:tc>
        <w:tc>
          <w:tcPr>
            <w:tcW w:w="1169" w:type="pct"/>
            <w:shd w:val="pct20" w:color="auto" w:fill="auto"/>
          </w:tcPr>
          <w:p w14:paraId="2A95A010" w14:textId="5E3D2740" w:rsidR="00DD308E" w:rsidRDefault="00DD308E" w:rsidP="00855944">
            <w:pPr>
              <w:pStyle w:val="TableHEADER"/>
            </w:pPr>
            <w:r>
              <w:t xml:space="preserve">Title of journal </w:t>
            </w:r>
            <w:r w:rsidR="001B0DC7">
              <w:t>article or</w:t>
            </w:r>
            <w:r>
              <w:t xml:space="preserve"> research project (including any trial identifier or study lead if relevant)</w:t>
            </w:r>
          </w:p>
        </w:tc>
        <w:tc>
          <w:tcPr>
            <w:tcW w:w="1473" w:type="pct"/>
            <w:shd w:val="pct20" w:color="auto" w:fill="auto"/>
          </w:tcPr>
          <w:p w14:paraId="492A5264" w14:textId="0638D419" w:rsidR="00DD308E" w:rsidRDefault="00DD308E" w:rsidP="00855944">
            <w:pPr>
              <w:pStyle w:val="TableHEADER"/>
            </w:pPr>
            <w:proofErr w:type="gramStart"/>
            <w:r>
              <w:t>Short description</w:t>
            </w:r>
            <w:proofErr w:type="gramEnd"/>
            <w:r>
              <w:t xml:space="preserve"> of </w:t>
            </w:r>
            <w:r w:rsidR="001B0DC7">
              <w:t>research (</w:t>
            </w:r>
            <w:r>
              <w:t>max 50 words)**</w:t>
            </w:r>
          </w:p>
        </w:tc>
        <w:tc>
          <w:tcPr>
            <w:tcW w:w="914" w:type="pct"/>
            <w:shd w:val="pct20" w:color="auto" w:fill="auto"/>
          </w:tcPr>
          <w:p w14:paraId="77A7923A" w14:textId="77777777" w:rsidR="00DD308E" w:rsidRDefault="00DD308E" w:rsidP="00855944">
            <w:pPr>
              <w:pStyle w:val="TableHEADER"/>
            </w:pPr>
            <w:r w:rsidRPr="00E82F54">
              <w:t xml:space="preserve">Website link to </w:t>
            </w:r>
            <w:r>
              <w:t>journal article or research (if available)</w:t>
            </w:r>
          </w:p>
        </w:tc>
        <w:tc>
          <w:tcPr>
            <w:tcW w:w="581" w:type="pct"/>
            <w:shd w:val="pct20" w:color="auto" w:fill="auto"/>
          </w:tcPr>
          <w:p w14:paraId="72A1BB58" w14:textId="77777777" w:rsidR="00DD308E" w:rsidRDefault="00DD308E" w:rsidP="00855944">
            <w:pPr>
              <w:pStyle w:val="TableHEADER"/>
            </w:pPr>
            <w:r w:rsidRPr="00E82F54">
              <w:t>Date</w:t>
            </w:r>
            <w:r>
              <w:t xml:space="preserve"> of publication</w:t>
            </w:r>
            <w:r w:rsidRPr="00E82F54">
              <w:t>*</w:t>
            </w:r>
            <w:r>
              <w:t>**</w:t>
            </w:r>
          </w:p>
        </w:tc>
      </w:tr>
      <w:tr w:rsidR="00CF0D9F" w14:paraId="248C4167" w14:textId="77777777" w:rsidTr="007C0AAE">
        <w:trPr>
          <w:cantSplit/>
        </w:trPr>
        <w:tc>
          <w:tcPr>
            <w:tcW w:w="132" w:type="pct"/>
          </w:tcPr>
          <w:p w14:paraId="4393AECD" w14:textId="77777777" w:rsidR="00DD308E" w:rsidRPr="00965B6B" w:rsidRDefault="00DD308E" w:rsidP="00DD308E">
            <w:pPr>
              <w:rPr>
                <w:szCs w:val="20"/>
              </w:rPr>
            </w:pPr>
            <w:r w:rsidRPr="00965B6B">
              <w:rPr>
                <w:szCs w:val="20"/>
              </w:rPr>
              <w:t>1</w:t>
            </w:r>
            <w:r>
              <w:rPr>
                <w:szCs w:val="20"/>
              </w:rPr>
              <w:t>.</w:t>
            </w:r>
          </w:p>
        </w:tc>
        <w:tc>
          <w:tcPr>
            <w:tcW w:w="730" w:type="pct"/>
          </w:tcPr>
          <w:p w14:paraId="0FCCCE8F" w14:textId="77777777" w:rsidR="00DD308E" w:rsidRDefault="00CF0D9F"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CF0D9F">
              <w:rPr>
                <w:rFonts w:asciiTheme="minorHAnsi" w:eastAsiaTheme="minorHAnsi" w:hAnsiTheme="minorHAnsi" w:cstheme="minorBidi"/>
                <w:sz w:val="20"/>
                <w:szCs w:val="22"/>
                <w:lang w:eastAsia="en-US"/>
              </w:rPr>
              <w:t>phase 2</w:t>
            </w:r>
            <w:r w:rsidR="009A52DA">
              <w:rPr>
                <w:rFonts w:asciiTheme="minorHAnsi" w:eastAsiaTheme="minorHAnsi" w:hAnsiTheme="minorHAnsi" w:cstheme="minorBidi"/>
                <w:sz w:val="20"/>
                <w:szCs w:val="22"/>
                <w:lang w:eastAsia="en-US"/>
              </w:rPr>
              <w:t xml:space="preserve"> </w:t>
            </w:r>
            <w:r w:rsidRPr="00CF0D9F">
              <w:rPr>
                <w:rFonts w:asciiTheme="minorHAnsi" w:eastAsiaTheme="minorHAnsi" w:hAnsiTheme="minorHAnsi" w:cstheme="minorBidi"/>
                <w:sz w:val="20"/>
                <w:szCs w:val="22"/>
                <w:lang w:eastAsia="en-US"/>
              </w:rPr>
              <w:t xml:space="preserve">single-arm, open-label ZUMA-3 study </w:t>
            </w:r>
            <w:r w:rsidR="009A52DA">
              <w:rPr>
                <w:rFonts w:asciiTheme="minorHAnsi" w:eastAsiaTheme="minorHAnsi" w:hAnsiTheme="minorHAnsi" w:cstheme="minorBidi"/>
                <w:sz w:val="20"/>
                <w:szCs w:val="22"/>
                <w:lang w:eastAsia="en-US"/>
              </w:rPr>
              <w:t>at 25 sites in the USA, Canada and Europe</w:t>
            </w:r>
            <w:r w:rsidR="00707512">
              <w:rPr>
                <w:rFonts w:asciiTheme="minorHAnsi" w:eastAsiaTheme="minorHAnsi" w:hAnsiTheme="minorHAnsi" w:cstheme="minorBidi"/>
                <w:sz w:val="20"/>
                <w:szCs w:val="22"/>
                <w:lang w:eastAsia="en-US"/>
              </w:rPr>
              <w:t xml:space="preserve"> </w:t>
            </w:r>
            <w:r w:rsidR="0085794F">
              <w:rPr>
                <w:rFonts w:asciiTheme="minorHAnsi" w:eastAsiaTheme="minorHAnsi" w:hAnsiTheme="minorHAnsi" w:cstheme="minorBidi"/>
                <w:sz w:val="20"/>
                <w:szCs w:val="22"/>
                <w:lang w:eastAsia="en-US"/>
              </w:rPr>
              <w:t>(</w:t>
            </w:r>
            <w:r w:rsidR="0085794F" w:rsidRPr="0085794F">
              <w:rPr>
                <w:rFonts w:asciiTheme="minorHAnsi" w:eastAsiaTheme="minorHAnsi" w:hAnsiTheme="minorHAnsi" w:cstheme="minorBidi"/>
                <w:sz w:val="20"/>
                <w:szCs w:val="22"/>
                <w:lang w:eastAsia="en-US"/>
              </w:rPr>
              <w:t>NCT02614066</w:t>
            </w:r>
            <w:r w:rsidR="0085794F">
              <w:rPr>
                <w:rFonts w:asciiTheme="minorHAnsi" w:eastAsiaTheme="minorHAnsi" w:hAnsiTheme="minorHAnsi" w:cstheme="minorBidi"/>
                <w:sz w:val="20"/>
                <w:szCs w:val="22"/>
                <w:lang w:eastAsia="en-US"/>
              </w:rPr>
              <w:t>)</w:t>
            </w:r>
          </w:p>
          <w:p w14:paraId="13A5C40B" w14:textId="4BACDA36" w:rsidR="007D5706" w:rsidRPr="007D5706" w:rsidRDefault="007D5706" w:rsidP="00BC19F3">
            <w:pPr>
              <w:pStyle w:val="NormalWeb"/>
              <w:jc w:val="left"/>
              <w:rPr>
                <w:rFonts w:asciiTheme="minorHAnsi" w:hAnsiTheme="minorHAnsi" w:cstheme="minorHAnsi"/>
                <w:sz w:val="20"/>
                <w:szCs w:val="20"/>
              </w:rPr>
            </w:pPr>
            <w:r w:rsidRPr="007D5706">
              <w:rPr>
                <w:rFonts w:asciiTheme="minorHAnsi" w:hAnsiTheme="minorHAnsi" w:cstheme="minorHAnsi"/>
                <w:sz w:val="20"/>
                <w:szCs w:val="20"/>
              </w:rPr>
              <w:t>Manuscript</w:t>
            </w:r>
          </w:p>
        </w:tc>
        <w:tc>
          <w:tcPr>
            <w:tcW w:w="1169" w:type="pct"/>
          </w:tcPr>
          <w:p w14:paraId="595E9E1B" w14:textId="57CC62EF" w:rsidR="00DD308E" w:rsidRPr="00CF0D9F" w:rsidRDefault="00CF0D9F" w:rsidP="00BC19F3">
            <w:pPr>
              <w:pStyle w:val="NormalWeb"/>
              <w:jc w:val="left"/>
            </w:pPr>
            <w:r w:rsidRPr="00CF0D9F">
              <w:rPr>
                <w:rFonts w:asciiTheme="minorHAnsi" w:eastAsiaTheme="minorHAnsi" w:hAnsiTheme="minorHAnsi" w:cstheme="minorBidi"/>
                <w:sz w:val="20"/>
                <w:szCs w:val="22"/>
                <w:lang w:eastAsia="en-US"/>
              </w:rPr>
              <w:t>KTE-X19 for relapsed or refractory adult B-cell acute lymphoblastic leukaemia: phase 2 results of the single-arm, open-label, multicentre ZUMA-3 study</w:t>
            </w:r>
            <w:r>
              <w:rPr>
                <w:rFonts w:ascii="Shaker2Lancet" w:hAnsi="Shaker2Lancet"/>
                <w:b/>
                <w:bCs/>
                <w:sz w:val="36"/>
                <w:szCs w:val="36"/>
              </w:rPr>
              <w:t xml:space="preserve"> </w:t>
            </w:r>
          </w:p>
        </w:tc>
        <w:tc>
          <w:tcPr>
            <w:tcW w:w="1473" w:type="pct"/>
          </w:tcPr>
          <w:p w14:paraId="1DE44FEC" w14:textId="645B6E7E" w:rsidR="00DD308E" w:rsidRPr="00CF0D9F" w:rsidRDefault="001B0DC7" w:rsidP="00BC19F3">
            <w:pPr>
              <w:pStyle w:val="NormalWeb"/>
              <w:jc w:val="left"/>
              <w:rPr>
                <w:rFonts w:asciiTheme="minorHAnsi" w:eastAsiaTheme="minorHAnsi" w:hAnsiTheme="minorHAnsi" w:cstheme="minorBidi"/>
                <w:sz w:val="20"/>
                <w:szCs w:val="22"/>
                <w:lang w:eastAsia="en-US"/>
              </w:rPr>
            </w:pPr>
            <w:r w:rsidRPr="00CF0D9F">
              <w:rPr>
                <w:rFonts w:asciiTheme="minorHAnsi" w:eastAsiaTheme="minorHAnsi" w:hAnsiTheme="minorHAnsi" w:cstheme="minorBidi"/>
                <w:sz w:val="20"/>
                <w:szCs w:val="22"/>
                <w:lang w:eastAsia="en-US"/>
              </w:rPr>
              <w:t xml:space="preserve">KTE-X19 </w:t>
            </w:r>
            <w:r w:rsidR="00974733" w:rsidRPr="00974733">
              <w:rPr>
                <w:rFonts w:asciiTheme="minorHAnsi" w:eastAsiaTheme="minorHAnsi" w:hAnsiTheme="minorHAnsi" w:cstheme="minorBidi"/>
                <w:sz w:val="20"/>
                <w:szCs w:val="22"/>
                <w:lang w:eastAsia="en-US"/>
              </w:rPr>
              <w:t xml:space="preserve">showed a high rate of complete remission or complete remission with incomplete haematological recovery in adult patients with relapsed or refractory B-precursor acute lymphoblastic leukaemia, with the median overall survival not reached in responding patients, and a manageable safety profile. These findings indicate that KTE-X19 has the potential to confer long-term clinical benefit to these patients. </w:t>
            </w:r>
          </w:p>
        </w:tc>
        <w:tc>
          <w:tcPr>
            <w:tcW w:w="914" w:type="pct"/>
          </w:tcPr>
          <w:p w14:paraId="7076480D" w14:textId="2D80FE47" w:rsidR="00CF0D9F" w:rsidRPr="007C0AAE" w:rsidRDefault="00CF0D9F" w:rsidP="00DD308E">
            <w:pPr>
              <w:rPr>
                <w:rStyle w:val="Hyperlink"/>
              </w:rPr>
            </w:pPr>
            <w:r w:rsidRPr="001B3A6F">
              <w:t>https://www.thelancet.com/journals/lancet/article/PIIS0140-6736(21)01222-8/fulltext</w:t>
            </w:r>
          </w:p>
          <w:p w14:paraId="7BAB54A4" w14:textId="77777777" w:rsidR="007C0AAE" w:rsidRPr="007C0AAE" w:rsidRDefault="007C0AAE" w:rsidP="00DD308E">
            <w:pPr>
              <w:rPr>
                <w:rStyle w:val="Hyperlink"/>
              </w:rPr>
            </w:pPr>
          </w:p>
          <w:p w14:paraId="5ADAC99B" w14:textId="304948CD" w:rsidR="007C0AAE" w:rsidRPr="007C0AAE" w:rsidRDefault="007C0AAE" w:rsidP="00DD308E">
            <w:r w:rsidRPr="007C0AAE">
              <w:t>(Shah et. al., 2021</w:t>
            </w:r>
            <w:r w:rsidRPr="007C0AAE">
              <w:rPr>
                <w:noProof/>
                <w:vertAlign w:val="superscript"/>
              </w:rPr>
              <w:t>8</w:t>
            </w:r>
            <w:r w:rsidRPr="007C0AAE">
              <w:t>)</w:t>
            </w:r>
          </w:p>
        </w:tc>
        <w:tc>
          <w:tcPr>
            <w:tcW w:w="581" w:type="pct"/>
          </w:tcPr>
          <w:p w14:paraId="167513FB" w14:textId="05306C20" w:rsidR="00DD308E" w:rsidRPr="00E82F54" w:rsidRDefault="00CF0D9F" w:rsidP="00DD308E">
            <w:pPr>
              <w:rPr>
                <w:b/>
                <w:szCs w:val="20"/>
              </w:rPr>
            </w:pPr>
            <w:r>
              <w:t>2021</w:t>
            </w:r>
          </w:p>
        </w:tc>
      </w:tr>
      <w:tr w:rsidR="00CF0D9F" w14:paraId="2213B546" w14:textId="77777777" w:rsidTr="007C0AAE">
        <w:trPr>
          <w:cantSplit/>
        </w:trPr>
        <w:tc>
          <w:tcPr>
            <w:tcW w:w="132" w:type="pct"/>
          </w:tcPr>
          <w:p w14:paraId="33B5CF41" w14:textId="77777777" w:rsidR="00DD308E" w:rsidRPr="00965B6B" w:rsidRDefault="00DD308E" w:rsidP="00DD308E">
            <w:pPr>
              <w:rPr>
                <w:szCs w:val="20"/>
              </w:rPr>
            </w:pPr>
            <w:r>
              <w:rPr>
                <w:szCs w:val="20"/>
              </w:rPr>
              <w:t>2.</w:t>
            </w:r>
          </w:p>
        </w:tc>
        <w:tc>
          <w:tcPr>
            <w:tcW w:w="730" w:type="pct"/>
          </w:tcPr>
          <w:p w14:paraId="6964C8F5" w14:textId="39835FE3" w:rsidR="0046041E" w:rsidRDefault="0046041E"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46041E">
              <w:rPr>
                <w:rFonts w:asciiTheme="minorHAnsi" w:eastAsiaTheme="minorHAnsi" w:hAnsiTheme="minorHAnsi" w:cstheme="minorBidi"/>
                <w:sz w:val="20"/>
                <w:szCs w:val="22"/>
                <w:lang w:eastAsia="en-US"/>
              </w:rPr>
              <w:t>Phase 1 of ZUMA-3 conducted at 19 sites in the United States</w:t>
            </w:r>
            <w:r w:rsidR="007D5706">
              <w:rPr>
                <w:rFonts w:asciiTheme="minorHAnsi" w:eastAsiaTheme="minorHAnsi" w:hAnsiTheme="minorHAnsi" w:cstheme="minorBidi"/>
                <w:sz w:val="20"/>
                <w:szCs w:val="22"/>
                <w:lang w:eastAsia="en-US"/>
              </w:rPr>
              <w:t>.</w:t>
            </w:r>
          </w:p>
          <w:p w14:paraId="000268CD" w14:textId="4FBF64F5" w:rsidR="007D5706" w:rsidRDefault="007D5706"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Manuscript</w:t>
            </w:r>
          </w:p>
          <w:p w14:paraId="60DCCB5A" w14:textId="23A3B867" w:rsidR="00DD308E" w:rsidRPr="006C6734" w:rsidRDefault="0070751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t>
            </w:r>
            <w:r w:rsidRPr="0085794F">
              <w:rPr>
                <w:rFonts w:asciiTheme="minorHAnsi" w:eastAsiaTheme="minorHAnsi" w:hAnsiTheme="minorHAnsi" w:cstheme="minorBidi"/>
                <w:sz w:val="20"/>
                <w:szCs w:val="22"/>
                <w:lang w:eastAsia="en-US"/>
              </w:rPr>
              <w:t>NCT02614066</w:t>
            </w:r>
            <w:r>
              <w:rPr>
                <w:rFonts w:asciiTheme="minorHAnsi" w:eastAsiaTheme="minorHAnsi" w:hAnsiTheme="minorHAnsi" w:cstheme="minorBidi"/>
                <w:sz w:val="20"/>
                <w:szCs w:val="22"/>
                <w:lang w:eastAsia="en-US"/>
              </w:rPr>
              <w:t>)</w:t>
            </w:r>
          </w:p>
        </w:tc>
        <w:tc>
          <w:tcPr>
            <w:tcW w:w="1169" w:type="pct"/>
          </w:tcPr>
          <w:p w14:paraId="11721444" w14:textId="68D108FC" w:rsidR="00DD308E" w:rsidRPr="0046041E" w:rsidRDefault="0046041E" w:rsidP="00BC19F3">
            <w:pPr>
              <w:pStyle w:val="NormalWeb"/>
              <w:jc w:val="left"/>
              <w:rPr>
                <w:rFonts w:asciiTheme="minorHAnsi" w:eastAsiaTheme="minorHAnsi" w:hAnsiTheme="minorHAnsi" w:cstheme="minorBidi"/>
                <w:sz w:val="20"/>
                <w:szCs w:val="22"/>
                <w:lang w:eastAsia="en-US"/>
              </w:rPr>
            </w:pPr>
            <w:r w:rsidRPr="0046041E">
              <w:rPr>
                <w:rFonts w:asciiTheme="minorHAnsi" w:eastAsiaTheme="minorHAnsi" w:hAnsiTheme="minorHAnsi" w:cstheme="minorBidi"/>
                <w:sz w:val="20"/>
                <w:szCs w:val="22"/>
                <w:lang w:eastAsia="en-US"/>
              </w:rPr>
              <w:t xml:space="preserve">KTE-X19 anti-CD19 CAR T-cell therapy in adult relapsed/refractory acute lymphoblastic leukemia: ZUMA-3 phase 1 results </w:t>
            </w:r>
          </w:p>
        </w:tc>
        <w:tc>
          <w:tcPr>
            <w:tcW w:w="1473" w:type="pct"/>
          </w:tcPr>
          <w:p w14:paraId="60801CA3" w14:textId="0B2AA015" w:rsidR="00DD308E" w:rsidRPr="0046041E" w:rsidRDefault="0046041E" w:rsidP="00BC19F3">
            <w:pPr>
              <w:pStyle w:val="NormalWeb"/>
              <w:jc w:val="left"/>
              <w:rPr>
                <w:rFonts w:asciiTheme="minorHAnsi" w:eastAsiaTheme="minorHAnsi" w:hAnsiTheme="minorHAnsi" w:cstheme="minorBidi"/>
                <w:sz w:val="20"/>
                <w:szCs w:val="22"/>
                <w:lang w:eastAsia="en-US"/>
              </w:rPr>
            </w:pPr>
            <w:r w:rsidRPr="0046041E">
              <w:rPr>
                <w:rFonts w:asciiTheme="minorHAnsi" w:eastAsiaTheme="minorHAnsi" w:hAnsiTheme="minorHAnsi" w:cstheme="minorBidi"/>
                <w:sz w:val="20"/>
                <w:szCs w:val="22"/>
                <w:lang w:eastAsia="en-US"/>
              </w:rPr>
              <w:t xml:space="preserve">Adults with R/R B-ALL achieved high rates of CR and undetectable bone marrow minimal residual disease with a tolerable safety profile after treatment with KTE-X19. </w:t>
            </w:r>
          </w:p>
        </w:tc>
        <w:tc>
          <w:tcPr>
            <w:tcW w:w="914" w:type="pct"/>
          </w:tcPr>
          <w:p w14:paraId="35C877F6" w14:textId="43277562" w:rsidR="0046041E" w:rsidRPr="007C0AAE" w:rsidRDefault="0046041E" w:rsidP="00DD308E">
            <w:pPr>
              <w:rPr>
                <w:rStyle w:val="Hyperlink"/>
              </w:rPr>
            </w:pPr>
            <w:r w:rsidRPr="001B3A6F">
              <w:t>https://ashpublications.org/blood/article/138/1/11/475697/KTE-X19-anti-CD19-CAR-T-cell-therapy-in-adult</w:t>
            </w:r>
          </w:p>
          <w:p w14:paraId="2DD7924D" w14:textId="0FBB6B54" w:rsidR="007C0AAE" w:rsidRPr="007C0AAE" w:rsidRDefault="007C0AAE" w:rsidP="00DD308E">
            <w:r w:rsidRPr="007C0AAE">
              <w:t>(Shah et. al., 2021</w:t>
            </w:r>
            <w:r w:rsidRPr="007C0AAE">
              <w:rPr>
                <w:noProof/>
                <w:vertAlign w:val="superscript"/>
              </w:rPr>
              <w:t>9</w:t>
            </w:r>
            <w:r w:rsidRPr="007C0AAE">
              <w:t>)</w:t>
            </w:r>
          </w:p>
        </w:tc>
        <w:tc>
          <w:tcPr>
            <w:tcW w:w="581" w:type="pct"/>
          </w:tcPr>
          <w:p w14:paraId="42145BD4" w14:textId="5629732B" w:rsidR="00DD308E" w:rsidRPr="00E82F54" w:rsidRDefault="0046041E" w:rsidP="00DD308E">
            <w:pPr>
              <w:rPr>
                <w:b/>
                <w:szCs w:val="20"/>
              </w:rPr>
            </w:pPr>
            <w:r>
              <w:t>2021</w:t>
            </w:r>
          </w:p>
        </w:tc>
      </w:tr>
      <w:tr w:rsidR="00CF0D9F" w14:paraId="3FC3E4C2" w14:textId="77777777" w:rsidTr="007C0AAE">
        <w:trPr>
          <w:cantSplit/>
        </w:trPr>
        <w:tc>
          <w:tcPr>
            <w:tcW w:w="132" w:type="pct"/>
          </w:tcPr>
          <w:p w14:paraId="691E0F6D" w14:textId="77777777" w:rsidR="00DD308E" w:rsidRPr="00965B6B" w:rsidRDefault="00DD308E" w:rsidP="00DD308E">
            <w:pPr>
              <w:rPr>
                <w:szCs w:val="20"/>
              </w:rPr>
            </w:pPr>
            <w:r>
              <w:rPr>
                <w:szCs w:val="20"/>
              </w:rPr>
              <w:lastRenderedPageBreak/>
              <w:t>3.</w:t>
            </w:r>
          </w:p>
        </w:tc>
        <w:tc>
          <w:tcPr>
            <w:tcW w:w="730" w:type="pct"/>
          </w:tcPr>
          <w:p w14:paraId="4CAF456B" w14:textId="77777777" w:rsidR="007D5706" w:rsidRDefault="001A46B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CF0D9F">
              <w:rPr>
                <w:rFonts w:asciiTheme="minorHAnsi" w:eastAsiaTheme="minorHAnsi" w:hAnsiTheme="minorHAnsi" w:cstheme="minorBidi"/>
                <w:sz w:val="20"/>
                <w:szCs w:val="22"/>
                <w:lang w:eastAsia="en-US"/>
              </w:rPr>
              <w:t xml:space="preserve">phase </w:t>
            </w:r>
            <w:r>
              <w:rPr>
                <w:rFonts w:asciiTheme="minorHAnsi" w:eastAsiaTheme="minorHAnsi" w:hAnsiTheme="minorHAnsi" w:cstheme="minorBidi"/>
                <w:sz w:val="20"/>
                <w:szCs w:val="22"/>
                <w:lang w:eastAsia="en-US"/>
              </w:rPr>
              <w:t>1/</w:t>
            </w:r>
            <w:r w:rsidRPr="00CF0D9F">
              <w:rPr>
                <w:rFonts w:asciiTheme="minorHAnsi" w:eastAsiaTheme="minorHAnsi" w:hAnsiTheme="minorHAnsi" w:cstheme="minorBidi"/>
                <w:sz w:val="20"/>
                <w:szCs w:val="22"/>
                <w:lang w:eastAsia="en-US"/>
              </w:rPr>
              <w:t>2</w:t>
            </w:r>
            <w:r>
              <w:rPr>
                <w:rFonts w:asciiTheme="minorHAnsi" w:eastAsiaTheme="minorHAnsi" w:hAnsiTheme="minorHAnsi" w:cstheme="minorBidi"/>
                <w:sz w:val="20"/>
                <w:szCs w:val="22"/>
                <w:lang w:eastAsia="en-US"/>
              </w:rPr>
              <w:t xml:space="preserve"> </w:t>
            </w:r>
            <w:r w:rsidRPr="00CF0D9F">
              <w:rPr>
                <w:rFonts w:asciiTheme="minorHAnsi" w:eastAsiaTheme="minorHAnsi" w:hAnsiTheme="minorHAnsi" w:cstheme="minorBidi"/>
                <w:sz w:val="20"/>
                <w:szCs w:val="22"/>
                <w:lang w:eastAsia="en-US"/>
              </w:rPr>
              <w:t xml:space="preserve">single-arm, open-label ZUMA-3 </w:t>
            </w:r>
            <w:r>
              <w:rPr>
                <w:rFonts w:asciiTheme="minorHAnsi" w:eastAsiaTheme="minorHAnsi" w:hAnsiTheme="minorHAnsi" w:cstheme="minorBidi"/>
                <w:sz w:val="20"/>
                <w:szCs w:val="22"/>
                <w:lang w:eastAsia="en-US"/>
              </w:rPr>
              <w:t xml:space="preserve">multicentre </w:t>
            </w:r>
            <w:r w:rsidRPr="00CF0D9F">
              <w:rPr>
                <w:rFonts w:asciiTheme="minorHAnsi" w:eastAsiaTheme="minorHAnsi" w:hAnsiTheme="minorHAnsi" w:cstheme="minorBidi"/>
                <w:sz w:val="20"/>
                <w:szCs w:val="22"/>
                <w:lang w:eastAsia="en-US"/>
              </w:rPr>
              <w:t>study</w:t>
            </w:r>
          </w:p>
          <w:p w14:paraId="2F25C56F" w14:textId="56A06931" w:rsidR="00DD308E" w:rsidRDefault="001A46B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Abstract</w:t>
            </w:r>
          </w:p>
          <w:p w14:paraId="4142B000" w14:textId="57140931" w:rsidR="00707512" w:rsidRPr="001A46B2" w:rsidRDefault="00707512"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t>
            </w:r>
            <w:r w:rsidRPr="0085794F">
              <w:rPr>
                <w:rFonts w:asciiTheme="minorHAnsi" w:eastAsiaTheme="minorHAnsi" w:hAnsiTheme="minorHAnsi" w:cstheme="minorBidi"/>
                <w:sz w:val="20"/>
                <w:szCs w:val="22"/>
                <w:lang w:eastAsia="en-US"/>
              </w:rPr>
              <w:t>NCT02614066</w:t>
            </w:r>
            <w:r>
              <w:rPr>
                <w:rFonts w:asciiTheme="minorHAnsi" w:eastAsiaTheme="minorHAnsi" w:hAnsiTheme="minorHAnsi" w:cstheme="minorBidi"/>
                <w:sz w:val="20"/>
                <w:szCs w:val="22"/>
                <w:lang w:eastAsia="en-US"/>
              </w:rPr>
              <w:t>)</w:t>
            </w:r>
          </w:p>
        </w:tc>
        <w:tc>
          <w:tcPr>
            <w:tcW w:w="1169" w:type="pct"/>
          </w:tcPr>
          <w:p w14:paraId="3666BCF4" w14:textId="1CE1E9E2" w:rsidR="00DD308E" w:rsidRPr="001A46B2" w:rsidRDefault="001A46B2" w:rsidP="00BC19F3">
            <w:pPr>
              <w:pStyle w:val="NormalWeb"/>
              <w:jc w:val="left"/>
              <w:rPr>
                <w:rFonts w:asciiTheme="minorHAnsi" w:eastAsiaTheme="minorHAnsi" w:hAnsiTheme="minorHAnsi" w:cstheme="minorBidi"/>
                <w:sz w:val="20"/>
                <w:szCs w:val="22"/>
                <w:lang w:eastAsia="en-US"/>
              </w:rPr>
            </w:pPr>
            <w:r w:rsidRPr="001A46B2">
              <w:rPr>
                <w:rFonts w:asciiTheme="minorHAnsi" w:eastAsiaTheme="minorHAnsi" w:hAnsiTheme="minorHAnsi" w:cstheme="minorBidi"/>
                <w:sz w:val="20"/>
                <w:szCs w:val="22"/>
                <w:lang w:eastAsia="en-US"/>
              </w:rPr>
              <w:t>Phase 2 results of the ZUMA-3 study evaluating KTE-X19, an anti-CD19 chimeric antigen receptor (CAR) T-cell therapy, in adult patients (pts) with relapsed/refractory B-cell acute lymphoblastic leukemia (R/R B-ALL)</w:t>
            </w:r>
          </w:p>
        </w:tc>
        <w:tc>
          <w:tcPr>
            <w:tcW w:w="1473" w:type="pct"/>
          </w:tcPr>
          <w:p w14:paraId="1E6BA506" w14:textId="520CF8A5" w:rsidR="001A46B2" w:rsidRPr="001A46B2" w:rsidRDefault="001A46B2" w:rsidP="00DD2E5D">
            <w:pPr>
              <w:spacing w:before="0"/>
              <w:jc w:val="left"/>
            </w:pPr>
            <w:r w:rsidRPr="001A46B2">
              <w:t>After a median follow-up of 16.4 mo</w:t>
            </w:r>
            <w:r>
              <w:t>nths</w:t>
            </w:r>
            <w:r w:rsidRPr="001A46B2">
              <w:t>, KTE-X19 demonstrated compelling clinical benefit in heavily pre</w:t>
            </w:r>
            <w:r w:rsidR="00707512">
              <w:t>-</w:t>
            </w:r>
            <w:r w:rsidRPr="001A46B2">
              <w:t>treated adults with R/R B-ALL, with the median OS not yet reached for responding p</w:t>
            </w:r>
            <w:r>
              <w:t>a</w:t>
            </w:r>
            <w:r w:rsidRPr="001A46B2">
              <w:t>t</w:t>
            </w:r>
            <w:r>
              <w:t>ient</w:t>
            </w:r>
            <w:r w:rsidRPr="001A46B2">
              <w:t>s and a manageable safety profile</w:t>
            </w:r>
            <w:r>
              <w:t>.</w:t>
            </w:r>
          </w:p>
        </w:tc>
        <w:tc>
          <w:tcPr>
            <w:tcW w:w="914" w:type="pct"/>
          </w:tcPr>
          <w:p w14:paraId="22A69C7E" w14:textId="26C1E090" w:rsidR="001A46B2" w:rsidRPr="007D5706" w:rsidRDefault="001A46B2" w:rsidP="00DD308E">
            <w:r w:rsidRPr="001B3A6F">
              <w:t>https://ascopubs.org/doi/abs/10.1200/JCO.2021.39.15_suppl.7002</w:t>
            </w:r>
          </w:p>
        </w:tc>
        <w:tc>
          <w:tcPr>
            <w:tcW w:w="581" w:type="pct"/>
          </w:tcPr>
          <w:p w14:paraId="6CCE41EC" w14:textId="60790D45" w:rsidR="00DD308E" w:rsidRPr="00E82F54" w:rsidRDefault="001A46B2" w:rsidP="00DD308E">
            <w:pPr>
              <w:rPr>
                <w:b/>
                <w:szCs w:val="20"/>
              </w:rPr>
            </w:pPr>
            <w:r>
              <w:t>2021</w:t>
            </w:r>
          </w:p>
        </w:tc>
      </w:tr>
      <w:tr w:rsidR="00CF0D9F" w14:paraId="2BB4F237" w14:textId="77777777" w:rsidTr="007C0AAE">
        <w:trPr>
          <w:cantSplit/>
        </w:trPr>
        <w:tc>
          <w:tcPr>
            <w:tcW w:w="132" w:type="pct"/>
          </w:tcPr>
          <w:p w14:paraId="592BC137" w14:textId="77777777" w:rsidR="00DD308E" w:rsidRPr="00965B6B" w:rsidRDefault="00DD308E" w:rsidP="00DD308E">
            <w:pPr>
              <w:rPr>
                <w:szCs w:val="20"/>
              </w:rPr>
            </w:pPr>
            <w:r>
              <w:rPr>
                <w:szCs w:val="20"/>
              </w:rPr>
              <w:t>4.</w:t>
            </w:r>
          </w:p>
        </w:tc>
        <w:tc>
          <w:tcPr>
            <w:tcW w:w="730" w:type="pct"/>
          </w:tcPr>
          <w:p w14:paraId="13F25D6F" w14:textId="7709670A" w:rsidR="00DD308E" w:rsidRDefault="00F67A83"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 xml:space="preserve">A </w:t>
            </w:r>
            <w:r w:rsidRPr="0046041E">
              <w:rPr>
                <w:rFonts w:asciiTheme="minorHAnsi" w:eastAsiaTheme="minorHAnsi" w:hAnsiTheme="minorHAnsi" w:cstheme="minorBidi"/>
                <w:sz w:val="20"/>
                <w:szCs w:val="22"/>
                <w:lang w:eastAsia="en-US"/>
              </w:rPr>
              <w:t>Phase 1 of ZUMA-3</w:t>
            </w:r>
          </w:p>
          <w:p w14:paraId="3EC2EA63" w14:textId="38D2E25E" w:rsidR="007D5706" w:rsidRDefault="007D5706" w:rsidP="00BC19F3">
            <w:pPr>
              <w:pStyle w:val="NormalWeb"/>
              <w:jc w:val="left"/>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Abstract</w:t>
            </w:r>
          </w:p>
          <w:p w14:paraId="20132615" w14:textId="77777777" w:rsidR="00707512" w:rsidRPr="001122FD" w:rsidRDefault="00707512" w:rsidP="00BC19F3">
            <w:pPr>
              <w:pStyle w:val="NormalWeb"/>
              <w:jc w:val="left"/>
              <w:rPr>
                <w:rFonts w:asciiTheme="minorHAnsi" w:eastAsiaTheme="minorHAnsi" w:hAnsiTheme="minorHAnsi" w:cstheme="minorHAnsi"/>
                <w:sz w:val="20"/>
                <w:szCs w:val="22"/>
                <w:lang w:eastAsia="en-US"/>
              </w:rPr>
            </w:pPr>
            <w:r w:rsidRPr="001122FD">
              <w:rPr>
                <w:rFonts w:asciiTheme="minorHAnsi" w:eastAsiaTheme="minorHAnsi" w:hAnsiTheme="minorHAnsi" w:cstheme="minorHAnsi"/>
                <w:sz w:val="20"/>
                <w:szCs w:val="22"/>
                <w:lang w:eastAsia="en-US"/>
              </w:rPr>
              <w:t>(NCT02614066)</w:t>
            </w:r>
          </w:p>
          <w:p w14:paraId="7EA0338B" w14:textId="23BA5448" w:rsidR="001122FD" w:rsidRPr="00F67A83" w:rsidRDefault="001122FD" w:rsidP="00BC19F3">
            <w:pPr>
              <w:pStyle w:val="NormalWeb"/>
              <w:jc w:val="left"/>
            </w:pPr>
          </w:p>
        </w:tc>
        <w:tc>
          <w:tcPr>
            <w:tcW w:w="1169" w:type="pct"/>
          </w:tcPr>
          <w:p w14:paraId="62E65028" w14:textId="44A4FC62" w:rsidR="00DD308E" w:rsidRDefault="00F67A83" w:rsidP="00DD2E5D">
            <w:pPr>
              <w:spacing w:before="0"/>
              <w:jc w:val="left"/>
              <w:rPr>
                <w:b/>
                <w:szCs w:val="20"/>
              </w:rPr>
            </w:pPr>
            <w:r w:rsidRPr="00F67A83">
              <w:t>Updated Phase 1 Results of Zuma-3: Kte-X19, an Anti-CD19 Chimeric Antigen Receptor T Cell Therapy, in Adult Patients with Relapsed/Refractory Acute Lymphoblastic Leukemia</w:t>
            </w:r>
          </w:p>
        </w:tc>
        <w:tc>
          <w:tcPr>
            <w:tcW w:w="1473" w:type="pct"/>
          </w:tcPr>
          <w:p w14:paraId="389E07B1" w14:textId="17DED0B6" w:rsidR="00DD308E" w:rsidRPr="00F67A83" w:rsidRDefault="00F67A83" w:rsidP="00DD2E5D">
            <w:pPr>
              <w:spacing w:before="0"/>
              <w:jc w:val="left"/>
              <w:rPr>
                <w:szCs w:val="24"/>
              </w:rPr>
            </w:pPr>
            <w:r w:rsidRPr="00F67A83">
              <w:t xml:space="preserve">High remission rates were achieved by adult pts with R/R ALL, with </w:t>
            </w:r>
            <w:r>
              <w:t xml:space="preserve">approximately </w:t>
            </w:r>
            <w:proofErr w:type="gramStart"/>
            <w:r w:rsidRPr="00F67A83">
              <w:t>3/4</w:t>
            </w:r>
            <w:proofErr w:type="gramEnd"/>
            <w:r w:rsidRPr="00F67A83">
              <w:t xml:space="preserve"> of p</w:t>
            </w:r>
            <w:r>
              <w:t>a</w:t>
            </w:r>
            <w:r w:rsidRPr="00F67A83">
              <w:t>t</w:t>
            </w:r>
            <w:r>
              <w:t>ient</w:t>
            </w:r>
            <w:r w:rsidRPr="00F67A83">
              <w:t xml:space="preserve">s achieving CR or CRi with undetectable MRD after a single dose of KTE-X19 in ZUMA-3. The safety profile was </w:t>
            </w:r>
            <w:proofErr w:type="gramStart"/>
            <w:r w:rsidRPr="00F67A83">
              <w:t>generally manageable</w:t>
            </w:r>
            <w:proofErr w:type="gramEnd"/>
            <w:r w:rsidRPr="00F67A83">
              <w:t>, and most cases of high-grade CRS and neurologic events resolved. These results demonstrate that KTE-X19 offers clinical benefit for p</w:t>
            </w:r>
            <w:r>
              <w:t>a</w:t>
            </w:r>
            <w:r w:rsidRPr="00F67A83">
              <w:t>t</w:t>
            </w:r>
            <w:r>
              <w:t>ient</w:t>
            </w:r>
            <w:r w:rsidRPr="00F67A83">
              <w:t>s with otherwise limited treatment options.</w:t>
            </w:r>
            <w:r>
              <w:rPr>
                <w:rFonts w:ascii="AdvOT5fa4e291" w:hAnsi="AdvOT5fa4e291"/>
                <w:sz w:val="16"/>
                <w:szCs w:val="16"/>
              </w:rPr>
              <w:t xml:space="preserve"> </w:t>
            </w:r>
          </w:p>
        </w:tc>
        <w:tc>
          <w:tcPr>
            <w:tcW w:w="914" w:type="pct"/>
          </w:tcPr>
          <w:p w14:paraId="08469403" w14:textId="6C092F5F" w:rsidR="00F67A83" w:rsidRDefault="00F67A83" w:rsidP="00DD308E">
            <w:pPr>
              <w:rPr>
                <w:rStyle w:val="Hyperlink"/>
              </w:rPr>
            </w:pPr>
            <w:r w:rsidRPr="001B3A6F">
              <w:t>https://www.astctjournal.org/action/showPdf?pii=S1083-8791%2818%2931153-4</w:t>
            </w:r>
          </w:p>
          <w:p w14:paraId="2199E021" w14:textId="608C98F3" w:rsidR="007C0AAE" w:rsidRPr="007D5706" w:rsidRDefault="007C0AAE" w:rsidP="00DD308E"/>
        </w:tc>
        <w:tc>
          <w:tcPr>
            <w:tcW w:w="581" w:type="pct"/>
          </w:tcPr>
          <w:p w14:paraId="273808C3" w14:textId="758EDB71" w:rsidR="00DD308E" w:rsidRPr="00E82F54" w:rsidRDefault="00F67A83" w:rsidP="00DD308E">
            <w:pPr>
              <w:rPr>
                <w:b/>
                <w:szCs w:val="20"/>
              </w:rPr>
            </w:pPr>
            <w:r>
              <w:t>2019</w:t>
            </w:r>
          </w:p>
        </w:tc>
      </w:tr>
      <w:tr w:rsidR="003D0499" w14:paraId="5C391B5E" w14:textId="77777777" w:rsidTr="007C0AAE">
        <w:trPr>
          <w:cantSplit/>
        </w:trPr>
        <w:tc>
          <w:tcPr>
            <w:tcW w:w="132" w:type="pct"/>
          </w:tcPr>
          <w:p w14:paraId="57BCE57F" w14:textId="589E8CEF" w:rsidR="003D0499" w:rsidRPr="00965B6B" w:rsidRDefault="00C06363" w:rsidP="003D0499">
            <w:pPr>
              <w:rPr>
                <w:szCs w:val="20"/>
              </w:rPr>
            </w:pPr>
            <w:r>
              <w:rPr>
                <w:szCs w:val="20"/>
              </w:rPr>
              <w:lastRenderedPageBreak/>
              <w:t>5</w:t>
            </w:r>
            <w:r w:rsidR="003D0499">
              <w:rPr>
                <w:szCs w:val="20"/>
              </w:rPr>
              <w:t>.</w:t>
            </w:r>
          </w:p>
        </w:tc>
        <w:tc>
          <w:tcPr>
            <w:tcW w:w="730" w:type="pct"/>
          </w:tcPr>
          <w:p w14:paraId="04BD17DA" w14:textId="790AF431" w:rsidR="003D0499" w:rsidRPr="00472946" w:rsidRDefault="003D0499" w:rsidP="003D0499">
            <w:pPr>
              <w:spacing w:before="0" w:after="0"/>
              <w:jc w:val="left"/>
            </w:pPr>
            <w:r w:rsidRPr="00472946">
              <w:t>A retrospective cohort study</w:t>
            </w:r>
          </w:p>
        </w:tc>
        <w:tc>
          <w:tcPr>
            <w:tcW w:w="1169" w:type="pct"/>
          </w:tcPr>
          <w:p w14:paraId="6548AA16" w14:textId="53193920" w:rsidR="003D0499" w:rsidRPr="00472946" w:rsidRDefault="003D0499" w:rsidP="003D0499">
            <w:pPr>
              <w:pStyle w:val="NormalWeb"/>
              <w:jc w:val="left"/>
              <w:rPr>
                <w:rFonts w:asciiTheme="minorHAnsi" w:eastAsiaTheme="minorHAnsi" w:hAnsiTheme="minorHAnsi" w:cstheme="minorBidi"/>
                <w:sz w:val="20"/>
                <w:szCs w:val="22"/>
                <w:lang w:eastAsia="en-US"/>
              </w:rPr>
            </w:pPr>
            <w:r w:rsidRPr="007C0AAE">
              <w:rPr>
                <w:rFonts w:asciiTheme="minorHAnsi" w:eastAsiaTheme="minorHAnsi" w:hAnsiTheme="minorHAnsi" w:cstheme="minorBidi"/>
                <w:sz w:val="20"/>
                <w:szCs w:val="22"/>
                <w:lang w:eastAsia="en-US"/>
              </w:rPr>
              <w:t>The Comparison of Kte-X19 to Current Standards of Care: A Pre-Specified Synthetic Control Study Utilizing Individual Patient Level Data from Historic Clinical Trials (SCHOLAR-3)</w:t>
            </w:r>
            <w:r>
              <w:rPr>
                <w:rFonts w:asciiTheme="minorHAnsi" w:eastAsiaTheme="minorHAnsi" w:hAnsiTheme="minorHAnsi" w:cstheme="minorBidi"/>
                <w:sz w:val="20"/>
                <w:szCs w:val="22"/>
                <w:lang w:eastAsia="en-US"/>
              </w:rPr>
              <w:t>.</w:t>
            </w:r>
          </w:p>
        </w:tc>
        <w:tc>
          <w:tcPr>
            <w:tcW w:w="1473" w:type="pct"/>
          </w:tcPr>
          <w:p w14:paraId="7A09BC7B" w14:textId="5C895C6F" w:rsidR="003D0499" w:rsidRDefault="003D0499" w:rsidP="003D0499">
            <w:pPr>
              <w:spacing w:before="0" w:after="0"/>
              <w:jc w:val="left"/>
            </w:pPr>
            <w:r w:rsidRPr="00CE30B2">
              <w:t xml:space="preserve">Analysis of the </w:t>
            </w:r>
            <w:r>
              <w:t>synthetic control arm (</w:t>
            </w:r>
            <w:r w:rsidRPr="00CE30B2">
              <w:t>SCA</w:t>
            </w:r>
            <w:r>
              <w:t>)</w:t>
            </w:r>
            <w:r w:rsidRPr="00CE30B2">
              <w:t xml:space="preserve">-1 cohort shows an </w:t>
            </w:r>
            <w:r>
              <w:t>objective complete response rate at week 24 (</w:t>
            </w:r>
            <w:r w:rsidRPr="00CE30B2">
              <w:t>OCR24</w:t>
            </w:r>
            <w:r>
              <w:t>)</w:t>
            </w:r>
            <w:r w:rsidRPr="00CE30B2">
              <w:t xml:space="preserve"> of 85% (95% CI 62.1%, 96.8%) in the Zuma-3 patients and 35.0% (95% CI 15.4, 59.2) among propensity matched controls. This corresponds to an </w:t>
            </w:r>
            <w:r>
              <w:t>odds ratio</w:t>
            </w:r>
            <w:r w:rsidRPr="00CE30B2">
              <w:t xml:space="preserve"> of 10.5 (95% CI 2.3, 48.7; p-value 0.0031). No OCR24 data was available for SCA-2.</w:t>
            </w:r>
          </w:p>
          <w:p w14:paraId="30D93297" w14:textId="1CF81585" w:rsidR="003D0499" w:rsidRPr="00CE30B2" w:rsidRDefault="003D0499" w:rsidP="003D0499">
            <w:pPr>
              <w:pStyle w:val="NormalWeb"/>
              <w:jc w:val="left"/>
              <w:textAlignment w:val="baseline"/>
              <w:rPr>
                <w:rFonts w:asciiTheme="minorHAnsi" w:eastAsiaTheme="minorHAnsi" w:hAnsiTheme="minorHAnsi" w:cstheme="minorBidi"/>
                <w:sz w:val="20"/>
                <w:szCs w:val="22"/>
                <w:lang w:eastAsia="en-US"/>
              </w:rPr>
            </w:pPr>
            <w:r w:rsidRPr="00CE30B2">
              <w:rPr>
                <w:rFonts w:asciiTheme="minorHAnsi" w:eastAsiaTheme="minorHAnsi" w:hAnsiTheme="minorHAnsi" w:cstheme="minorBidi"/>
                <w:sz w:val="20"/>
                <w:szCs w:val="22"/>
                <w:lang w:eastAsia="en-US"/>
              </w:rPr>
              <w:t>The comparison of overall survival (OS) between all matched ZUMA-3 and all SCA patients demonstrated a significantly higher median OS of 18.20 months (95% CI</w:t>
            </w:r>
            <w:r>
              <w:rPr>
                <w:rFonts w:asciiTheme="minorHAnsi" w:eastAsiaTheme="minorHAnsi" w:hAnsiTheme="minorHAnsi" w:cstheme="minorBidi"/>
                <w:sz w:val="20"/>
                <w:szCs w:val="22"/>
                <w:lang w:eastAsia="en-US"/>
              </w:rPr>
              <w:t>:</w:t>
            </w:r>
            <w:r w:rsidRPr="00CE30B2">
              <w:rPr>
                <w:rFonts w:asciiTheme="minorHAnsi" w:eastAsiaTheme="minorHAnsi" w:hAnsiTheme="minorHAnsi" w:cstheme="minorBidi"/>
                <w:sz w:val="20"/>
                <w:szCs w:val="22"/>
                <w:lang w:eastAsia="en-US"/>
              </w:rPr>
              <w:t xml:space="preserve"> 12.22, NE months) for patients in ZUMA-3 versus 5.49 months (95% CI</w:t>
            </w:r>
            <w:r>
              <w:rPr>
                <w:rFonts w:asciiTheme="minorHAnsi" w:eastAsiaTheme="minorHAnsi" w:hAnsiTheme="minorHAnsi" w:cstheme="minorBidi"/>
                <w:sz w:val="20"/>
                <w:szCs w:val="22"/>
                <w:lang w:eastAsia="en-US"/>
              </w:rPr>
              <w:t>:</w:t>
            </w:r>
            <w:r w:rsidRPr="00CE30B2">
              <w:rPr>
                <w:rFonts w:asciiTheme="minorHAnsi" w:eastAsiaTheme="minorHAnsi" w:hAnsiTheme="minorHAnsi" w:cstheme="minorBidi"/>
                <w:sz w:val="20"/>
                <w:szCs w:val="22"/>
                <w:lang w:eastAsia="en-US"/>
              </w:rPr>
              <w:t xml:space="preserve"> 3.32, 9.23 months) in SCA-3. A cox regression model showed that ZUMA-3 patients had a 64% lower risk of death with a hazard ratio 0.36 (95% CI 0.20, 0.66) p-value 0.0005.</w:t>
            </w:r>
          </w:p>
          <w:p w14:paraId="2FB1E80F" w14:textId="3CE82A19" w:rsidR="003D0499" w:rsidRPr="00CE30B2" w:rsidRDefault="003D0499" w:rsidP="003D0499">
            <w:pPr>
              <w:pStyle w:val="NormalWeb"/>
              <w:spacing w:before="0" w:after="0"/>
              <w:jc w:val="left"/>
              <w:textAlignment w:val="baseline"/>
              <w:rPr>
                <w:rFonts w:ascii="Helvetica" w:hAnsi="Helvetica"/>
                <w:color w:val="1A1A1A"/>
              </w:rPr>
            </w:pPr>
            <w:r w:rsidRPr="00CE30B2">
              <w:rPr>
                <w:rFonts w:asciiTheme="minorHAnsi" w:eastAsiaTheme="minorHAnsi" w:hAnsiTheme="minorHAnsi" w:cstheme="minorBidi"/>
                <w:sz w:val="20"/>
                <w:szCs w:val="22"/>
                <w:lang w:eastAsia="en-US"/>
              </w:rPr>
              <w:t xml:space="preserve">This comparative </w:t>
            </w:r>
            <w:r>
              <w:rPr>
                <w:rFonts w:asciiTheme="minorHAnsi" w:eastAsiaTheme="minorHAnsi" w:hAnsiTheme="minorHAnsi" w:cstheme="minorBidi"/>
                <w:sz w:val="20"/>
                <w:szCs w:val="22"/>
                <w:lang w:eastAsia="en-US"/>
              </w:rPr>
              <w:t xml:space="preserve">analysis of ZUMA-3 versus historical controls </w:t>
            </w:r>
            <w:r w:rsidRPr="00CE30B2">
              <w:rPr>
                <w:rFonts w:asciiTheme="minorHAnsi" w:eastAsiaTheme="minorHAnsi" w:hAnsiTheme="minorHAnsi" w:cstheme="minorBidi"/>
                <w:sz w:val="20"/>
                <w:szCs w:val="22"/>
                <w:lang w:eastAsia="en-US"/>
              </w:rPr>
              <w:t xml:space="preserve">demonstrated a clinically relevant improvement of OCR24 and OS following KTE-X19 vs available therapies and provides </w:t>
            </w:r>
            <w:proofErr w:type="gramStart"/>
            <w:r w:rsidRPr="00CE30B2">
              <w:rPr>
                <w:rFonts w:asciiTheme="minorHAnsi" w:eastAsiaTheme="minorHAnsi" w:hAnsiTheme="minorHAnsi" w:cstheme="minorBidi"/>
                <w:sz w:val="20"/>
                <w:szCs w:val="22"/>
                <w:lang w:eastAsia="en-US"/>
              </w:rPr>
              <w:t>strong evidence</w:t>
            </w:r>
            <w:proofErr w:type="gramEnd"/>
            <w:r w:rsidRPr="00CE30B2">
              <w:rPr>
                <w:rFonts w:asciiTheme="minorHAnsi" w:eastAsiaTheme="minorHAnsi" w:hAnsiTheme="minorHAnsi" w:cstheme="minorBidi"/>
                <w:sz w:val="20"/>
                <w:szCs w:val="22"/>
                <w:lang w:eastAsia="en-US"/>
              </w:rPr>
              <w:t xml:space="preserve"> for its use in adult patients with R/R B-ALL</w:t>
            </w:r>
          </w:p>
        </w:tc>
        <w:tc>
          <w:tcPr>
            <w:tcW w:w="914" w:type="pct"/>
          </w:tcPr>
          <w:p w14:paraId="75D102EA" w14:textId="533DA895" w:rsidR="003D0499" w:rsidRDefault="003D0499" w:rsidP="003D0499">
            <w:pPr>
              <w:rPr>
                <w:rStyle w:val="Hyperlink"/>
              </w:rPr>
            </w:pPr>
            <w:r w:rsidRPr="001B3A6F">
              <w:t>https://ashpublications.org/blood/article-split/138/Supplement%201/3844/481068/The-Comparison-of-Kte-X19-to-Current-Standards-of</w:t>
            </w:r>
          </w:p>
          <w:p w14:paraId="7FFAEA08" w14:textId="77777777" w:rsidR="003D0499" w:rsidRDefault="003D0499" w:rsidP="003D0499"/>
          <w:p w14:paraId="77F3F217" w14:textId="64609040" w:rsidR="003D0499" w:rsidRDefault="003D0499" w:rsidP="003D0499">
            <w:r>
              <w:t>ABSTRACT: Shah et. al., 2021</w:t>
            </w:r>
            <w:r w:rsidRPr="00B570A1">
              <w:rPr>
                <w:noProof/>
                <w:vertAlign w:val="superscript"/>
              </w:rPr>
              <w:t>10</w:t>
            </w:r>
          </w:p>
          <w:p w14:paraId="38A4DB67" w14:textId="77777777" w:rsidR="003D0499" w:rsidRDefault="003D0499" w:rsidP="003D0499"/>
          <w:p w14:paraId="572047A9" w14:textId="30D02F41" w:rsidR="003D0499" w:rsidRPr="00CE30B2" w:rsidRDefault="003D0499" w:rsidP="003D0499">
            <w:r>
              <w:t>POSTER: Shah et. al., 2021</w:t>
            </w:r>
            <w:r w:rsidRPr="00B570A1">
              <w:rPr>
                <w:noProof/>
                <w:vertAlign w:val="superscript"/>
              </w:rPr>
              <w:t>11</w:t>
            </w:r>
          </w:p>
        </w:tc>
        <w:tc>
          <w:tcPr>
            <w:tcW w:w="581" w:type="pct"/>
          </w:tcPr>
          <w:p w14:paraId="0C6A11CA" w14:textId="67F57DED" w:rsidR="003D0499" w:rsidRPr="00E82F54" w:rsidRDefault="003D0499" w:rsidP="003D0499">
            <w:pPr>
              <w:rPr>
                <w:b/>
                <w:szCs w:val="20"/>
              </w:rPr>
            </w:pPr>
            <w:r w:rsidRPr="00472946">
              <w:t>2021</w:t>
            </w:r>
          </w:p>
        </w:tc>
      </w:tr>
    </w:tbl>
    <w:p w14:paraId="15DBCCB4"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w:t>
      </w:r>
      <w:proofErr w:type="gramStart"/>
      <w:r>
        <w:rPr>
          <w:i/>
          <w:szCs w:val="20"/>
        </w:rPr>
        <w:t>etc.</w:t>
      </w:r>
      <w:proofErr w:type="gramEnd"/>
      <w:r>
        <w:rPr>
          <w:i/>
          <w:szCs w:val="20"/>
        </w:rPr>
        <w:t xml:space="preserve"> </w:t>
      </w:r>
    </w:p>
    <w:p w14:paraId="2C48C9EB" w14:textId="77777777" w:rsidR="00DD308E" w:rsidRDefault="00DD308E" w:rsidP="00DD308E">
      <w:pPr>
        <w:spacing w:after="0"/>
        <w:ind w:left="426"/>
        <w:rPr>
          <w:i/>
          <w:szCs w:val="20"/>
        </w:rPr>
      </w:pPr>
      <w:r>
        <w:rPr>
          <w:i/>
          <w:szCs w:val="20"/>
        </w:rPr>
        <w:t xml:space="preserve">**Provide high level information including population numbers and whether patients are </w:t>
      </w:r>
      <w:proofErr w:type="gramStart"/>
      <w:r>
        <w:rPr>
          <w:i/>
          <w:szCs w:val="20"/>
        </w:rPr>
        <w:t>being recruited</w:t>
      </w:r>
      <w:proofErr w:type="gramEnd"/>
      <w:r>
        <w:rPr>
          <w:i/>
          <w:szCs w:val="20"/>
        </w:rPr>
        <w:t xml:space="preserve"> or in post-recruitment, including providing the trial registration number to allow for tracking purposes.</w:t>
      </w:r>
    </w:p>
    <w:p w14:paraId="7F76FC82"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12C1F3A7" w14:textId="77777777" w:rsidR="00DD308E" w:rsidRDefault="00DD308E" w:rsidP="00DD308E">
      <w:pPr>
        <w:rPr>
          <w:i/>
          <w:szCs w:val="20"/>
        </w:rPr>
      </w:pPr>
      <w:r>
        <w:rPr>
          <w:i/>
          <w:szCs w:val="20"/>
        </w:rPr>
        <w:br w:type="page"/>
      </w:r>
    </w:p>
    <w:p w14:paraId="35ACFADA"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482044FA" w14:textId="77777777" w:rsidR="004C49EF" w:rsidRDefault="00643755" w:rsidP="00643755">
      <w:pPr>
        <w:pStyle w:val="Heading2"/>
      </w:pPr>
      <w:r w:rsidRPr="00643755">
        <w:lastRenderedPageBreak/>
        <w:t xml:space="preserve">Identify </w:t>
      </w:r>
      <w:r w:rsidRPr="00643755">
        <w:rPr>
          <w:u w:val="single"/>
        </w:rPr>
        <w:t>yet-to-be-published</w:t>
      </w:r>
      <w:r w:rsidRPr="00643755">
        <w:t xml:space="preserve"> research that may have results available in the near future (that could be relevant to your application). Do not attach full text a</w:t>
      </w:r>
      <w:r>
        <w:t>rticles; this is just a summary</w:t>
      </w:r>
      <w:r w:rsidR="004C49EF" w:rsidRPr="00643755">
        <w:rPr>
          <w:i/>
        </w:rPr>
        <w:t>.</w:t>
      </w:r>
    </w:p>
    <w:tbl>
      <w:tblPr>
        <w:tblStyle w:val="TableGrid"/>
        <w:tblW w:w="5000" w:type="pct"/>
        <w:tblLook w:val="04A0" w:firstRow="1" w:lastRow="0" w:firstColumn="1" w:lastColumn="0" w:noHBand="0" w:noVBand="1"/>
      </w:tblPr>
      <w:tblGrid>
        <w:gridCol w:w="909"/>
        <w:gridCol w:w="2497"/>
        <w:gridCol w:w="3138"/>
        <w:gridCol w:w="2466"/>
        <w:gridCol w:w="3476"/>
        <w:gridCol w:w="1462"/>
      </w:tblGrid>
      <w:tr w:rsidR="0034112E" w14:paraId="0B314DAE" w14:textId="77777777" w:rsidTr="004C49EF">
        <w:trPr>
          <w:cantSplit/>
          <w:tblHeader/>
        </w:trPr>
        <w:tc>
          <w:tcPr>
            <w:tcW w:w="326" w:type="pct"/>
          </w:tcPr>
          <w:p w14:paraId="1903051D" w14:textId="77777777" w:rsidR="004C49EF" w:rsidRDefault="004C49EF" w:rsidP="00855944">
            <w:pPr>
              <w:pStyle w:val="TableHEADER"/>
            </w:pPr>
          </w:p>
        </w:tc>
        <w:tc>
          <w:tcPr>
            <w:tcW w:w="895" w:type="pct"/>
          </w:tcPr>
          <w:p w14:paraId="23E7D84B" w14:textId="77777777" w:rsidR="004C49EF" w:rsidRDefault="004C49EF" w:rsidP="00855944">
            <w:pPr>
              <w:pStyle w:val="TableHEADER"/>
            </w:pPr>
            <w:r>
              <w:t>Type of study design*</w:t>
            </w:r>
          </w:p>
        </w:tc>
        <w:tc>
          <w:tcPr>
            <w:tcW w:w="1125" w:type="pct"/>
          </w:tcPr>
          <w:p w14:paraId="106175EA" w14:textId="77777777" w:rsidR="004C49EF" w:rsidRDefault="004C49EF" w:rsidP="00855944">
            <w:pPr>
              <w:pStyle w:val="TableHEADER"/>
            </w:pPr>
            <w:r>
              <w:t>Title of research (including any trial identifier if relevant)</w:t>
            </w:r>
          </w:p>
        </w:tc>
        <w:tc>
          <w:tcPr>
            <w:tcW w:w="884" w:type="pct"/>
          </w:tcPr>
          <w:p w14:paraId="05F53C1F" w14:textId="77777777" w:rsidR="004C49EF" w:rsidRDefault="00367C1B" w:rsidP="00855944">
            <w:pPr>
              <w:pStyle w:val="TableHEADER"/>
            </w:pPr>
            <w:proofErr w:type="gramStart"/>
            <w:r>
              <w:t>Short description</w:t>
            </w:r>
            <w:proofErr w:type="gramEnd"/>
            <w:r>
              <w:t xml:space="preserve"> of research </w:t>
            </w:r>
            <w:r w:rsidR="004C49EF">
              <w:t>(max 50 words)**</w:t>
            </w:r>
          </w:p>
        </w:tc>
        <w:tc>
          <w:tcPr>
            <w:tcW w:w="1246" w:type="pct"/>
          </w:tcPr>
          <w:p w14:paraId="2C1027E3" w14:textId="77777777" w:rsidR="004C49EF" w:rsidRDefault="004C49EF" w:rsidP="00855944">
            <w:pPr>
              <w:pStyle w:val="TableHEADER"/>
            </w:pPr>
            <w:r w:rsidRPr="00E82F54">
              <w:t xml:space="preserve">Website link to </w:t>
            </w:r>
            <w:r>
              <w:t>research (if available)</w:t>
            </w:r>
          </w:p>
        </w:tc>
        <w:tc>
          <w:tcPr>
            <w:tcW w:w="524" w:type="pct"/>
          </w:tcPr>
          <w:p w14:paraId="02D6F2E8" w14:textId="77777777" w:rsidR="004C49EF" w:rsidRDefault="004C49EF" w:rsidP="00855944">
            <w:pPr>
              <w:pStyle w:val="TableHEADER"/>
            </w:pPr>
            <w:r w:rsidRPr="00E82F54">
              <w:t>Date*</w:t>
            </w:r>
            <w:r>
              <w:t>**</w:t>
            </w:r>
          </w:p>
        </w:tc>
      </w:tr>
      <w:tr w:rsidR="0034112E" w:rsidRPr="00C06363" w14:paraId="1CCD6B53" w14:textId="77777777" w:rsidTr="00C06363">
        <w:trPr>
          <w:cantSplit/>
        </w:trPr>
        <w:tc>
          <w:tcPr>
            <w:tcW w:w="326" w:type="pct"/>
          </w:tcPr>
          <w:p w14:paraId="5BE6E616" w14:textId="3BC5C67B" w:rsidR="00E2732F" w:rsidRPr="00C06363" w:rsidRDefault="00230C5C" w:rsidP="001A2A46">
            <w:pPr>
              <w:rPr>
                <w:color w:val="000000" w:themeColor="text1"/>
                <w:szCs w:val="20"/>
              </w:rPr>
            </w:pPr>
            <w:r>
              <w:rPr>
                <w:color w:val="000000" w:themeColor="text1"/>
                <w:szCs w:val="20"/>
              </w:rPr>
              <w:t>1.</w:t>
            </w:r>
          </w:p>
        </w:tc>
        <w:tc>
          <w:tcPr>
            <w:tcW w:w="895" w:type="pct"/>
          </w:tcPr>
          <w:p w14:paraId="6A6CC439" w14:textId="77777777" w:rsidR="00230C5C" w:rsidRPr="00C06363" w:rsidRDefault="00230C5C" w:rsidP="00230C5C">
            <w:pPr>
              <w:pStyle w:val="NormalWeb"/>
              <w:jc w:val="left"/>
              <w:rPr>
                <w:rFonts w:asciiTheme="minorHAnsi" w:eastAsiaTheme="minorHAnsi" w:hAnsiTheme="minorHAnsi" w:cstheme="minorBidi"/>
                <w:color w:val="000000" w:themeColor="text1"/>
                <w:sz w:val="20"/>
                <w:szCs w:val="22"/>
                <w:lang w:eastAsia="en-US"/>
              </w:rPr>
            </w:pPr>
            <w:r w:rsidRPr="00C06363">
              <w:rPr>
                <w:rFonts w:asciiTheme="minorHAnsi" w:eastAsiaTheme="minorHAnsi" w:hAnsiTheme="minorHAnsi" w:cstheme="minorBidi"/>
                <w:color w:val="000000" w:themeColor="text1"/>
                <w:sz w:val="20"/>
                <w:szCs w:val="22"/>
                <w:lang w:eastAsia="en-US"/>
              </w:rPr>
              <w:t>A phase 1/2 single-arm, open-label ZUMA-3 multicentre study</w:t>
            </w:r>
          </w:p>
          <w:p w14:paraId="69B0A86E" w14:textId="77777777" w:rsidR="00230C5C" w:rsidRPr="00C06363" w:rsidRDefault="00230C5C" w:rsidP="00230C5C">
            <w:pPr>
              <w:pStyle w:val="NormalWeb"/>
              <w:jc w:val="left"/>
              <w:rPr>
                <w:rFonts w:asciiTheme="minorHAnsi" w:eastAsiaTheme="minorHAnsi" w:hAnsiTheme="minorHAnsi" w:cstheme="minorHAnsi"/>
                <w:color w:val="000000" w:themeColor="text1"/>
                <w:sz w:val="20"/>
                <w:szCs w:val="22"/>
                <w:lang w:eastAsia="en-US"/>
              </w:rPr>
            </w:pPr>
            <w:r w:rsidRPr="00C06363">
              <w:rPr>
                <w:rFonts w:asciiTheme="minorHAnsi" w:eastAsiaTheme="minorHAnsi" w:hAnsiTheme="minorHAnsi" w:cstheme="minorHAnsi"/>
                <w:color w:val="000000" w:themeColor="text1"/>
                <w:sz w:val="20"/>
                <w:szCs w:val="22"/>
                <w:lang w:eastAsia="en-US"/>
              </w:rPr>
              <w:t>(NCT02614066)</w:t>
            </w:r>
          </w:p>
          <w:p w14:paraId="4415BFBF" w14:textId="393A691D" w:rsidR="00E2732F" w:rsidRPr="00C06363" w:rsidRDefault="00230C5C" w:rsidP="00230C5C">
            <w:pPr>
              <w:pStyle w:val="NormalWeb"/>
              <w:jc w:val="left"/>
              <w:rPr>
                <w:rFonts w:asciiTheme="minorHAnsi" w:eastAsiaTheme="minorHAnsi" w:hAnsiTheme="minorHAnsi" w:cstheme="minorBidi"/>
                <w:color w:val="000000" w:themeColor="text1"/>
                <w:sz w:val="20"/>
                <w:szCs w:val="22"/>
                <w:lang w:eastAsia="en-US"/>
              </w:rPr>
            </w:pPr>
            <w:r w:rsidRPr="00C06363">
              <w:rPr>
                <w:rFonts w:asciiTheme="minorHAnsi" w:hAnsiTheme="minorHAnsi" w:cstheme="minorHAnsi"/>
                <w:color w:val="000000" w:themeColor="text1"/>
                <w:sz w:val="20"/>
                <w:szCs w:val="22"/>
              </w:rPr>
              <w:t>21 Month Data</w:t>
            </w:r>
          </w:p>
        </w:tc>
        <w:tc>
          <w:tcPr>
            <w:tcW w:w="1125" w:type="pct"/>
          </w:tcPr>
          <w:p w14:paraId="2FA3228B" w14:textId="77777777" w:rsidR="00EE5F80" w:rsidRDefault="00EE5F80" w:rsidP="00EE5F80">
            <w:pPr>
              <w:spacing w:before="0"/>
              <w:jc w:val="left"/>
              <w:rPr>
                <w:color w:val="000000" w:themeColor="text1"/>
              </w:rPr>
            </w:pPr>
            <w:r>
              <w:rPr>
                <w:color w:val="000000" w:themeColor="text1"/>
              </w:rPr>
              <w:t>Primary Analysis</w:t>
            </w:r>
          </w:p>
          <w:p w14:paraId="296B60BC" w14:textId="6C771665" w:rsidR="00EE5F80" w:rsidRPr="00C06363" w:rsidRDefault="00EE5F80" w:rsidP="00EE5F80">
            <w:pPr>
              <w:spacing w:before="0"/>
              <w:jc w:val="left"/>
              <w:rPr>
                <w:color w:val="000000" w:themeColor="text1"/>
              </w:rPr>
            </w:pPr>
            <w:r w:rsidRPr="00C06363">
              <w:rPr>
                <w:color w:val="000000" w:themeColor="text1"/>
              </w:rPr>
              <w:t>Clinical Study Report (CSR) Addendum</w:t>
            </w:r>
          </w:p>
          <w:p w14:paraId="1169CF7E" w14:textId="176AE012" w:rsidR="00E2732F" w:rsidRPr="00C06363" w:rsidRDefault="00EE5F80" w:rsidP="00EE5F80">
            <w:pPr>
              <w:spacing w:before="0"/>
              <w:jc w:val="left"/>
              <w:rPr>
                <w:color w:val="000000" w:themeColor="text1"/>
              </w:rPr>
            </w:pPr>
            <w:r w:rsidRPr="00C06363">
              <w:rPr>
                <w:color w:val="000000" w:themeColor="text1"/>
              </w:rPr>
              <w:t>A Phase 1/2 Multi-Center Study Evaluating the Safety and Efficacy of KTE-X19 in Adult Subjects with Relapsed/Refractory B-precursor Acute Lymphoblastic Leukemia (r/r ALL) (ZUMA-3)</w:t>
            </w:r>
          </w:p>
        </w:tc>
        <w:tc>
          <w:tcPr>
            <w:tcW w:w="884" w:type="pct"/>
          </w:tcPr>
          <w:p w14:paraId="2349C4BB" w14:textId="5DBC7682" w:rsidR="00E2732F" w:rsidRPr="00C06363" w:rsidRDefault="00EE5F80" w:rsidP="001A2A46">
            <w:pPr>
              <w:spacing w:before="0"/>
              <w:jc w:val="left"/>
              <w:rPr>
                <w:color w:val="000000" w:themeColor="text1"/>
              </w:rPr>
            </w:pPr>
            <w:r w:rsidRPr="00C06363">
              <w:rPr>
                <w:color w:val="000000" w:themeColor="text1"/>
              </w:rPr>
              <w:t xml:space="preserve">Last Observation for this Report: </w:t>
            </w:r>
            <w:r>
              <w:rPr>
                <w:color w:val="000000" w:themeColor="text1"/>
              </w:rPr>
              <w:t>09 Sep</w:t>
            </w:r>
            <w:r w:rsidRPr="00C06363">
              <w:rPr>
                <w:color w:val="000000" w:themeColor="text1"/>
              </w:rPr>
              <w:t xml:space="preserve"> Jul 202</w:t>
            </w:r>
            <w:r>
              <w:rPr>
                <w:color w:val="000000" w:themeColor="text1"/>
              </w:rPr>
              <w:t>0</w:t>
            </w:r>
          </w:p>
        </w:tc>
        <w:tc>
          <w:tcPr>
            <w:tcW w:w="1246" w:type="pct"/>
          </w:tcPr>
          <w:p w14:paraId="600CF700" w14:textId="14AC656A" w:rsidR="00E2732F" w:rsidRPr="00C06363" w:rsidRDefault="00EE5F80" w:rsidP="001A2A46">
            <w:pPr>
              <w:rPr>
                <w:color w:val="000000" w:themeColor="text1"/>
              </w:rPr>
            </w:pPr>
            <w:r w:rsidRPr="00C06363">
              <w:rPr>
                <w:color w:val="000000" w:themeColor="text1"/>
              </w:rPr>
              <w:t>Unpublished</w:t>
            </w:r>
          </w:p>
        </w:tc>
        <w:tc>
          <w:tcPr>
            <w:tcW w:w="524" w:type="pct"/>
          </w:tcPr>
          <w:p w14:paraId="6C6C9643" w14:textId="2327C0D7" w:rsidR="00E2732F" w:rsidRPr="00C06363" w:rsidRDefault="00EE5F80" w:rsidP="001A2A46">
            <w:pPr>
              <w:rPr>
                <w:bCs/>
                <w:color w:val="000000" w:themeColor="text1"/>
                <w:szCs w:val="20"/>
              </w:rPr>
            </w:pPr>
            <w:r>
              <w:rPr>
                <w:bCs/>
                <w:color w:val="000000" w:themeColor="text1"/>
                <w:szCs w:val="20"/>
              </w:rPr>
              <w:t>9</w:t>
            </w:r>
            <w:r w:rsidRPr="00EE5F80">
              <w:rPr>
                <w:bCs/>
                <w:color w:val="000000" w:themeColor="text1"/>
                <w:szCs w:val="20"/>
                <w:vertAlign w:val="superscript"/>
              </w:rPr>
              <w:t>th</w:t>
            </w:r>
            <w:r>
              <w:rPr>
                <w:bCs/>
                <w:color w:val="000000" w:themeColor="text1"/>
                <w:szCs w:val="20"/>
              </w:rPr>
              <w:t xml:space="preserve"> Feb 2021</w:t>
            </w:r>
          </w:p>
        </w:tc>
      </w:tr>
      <w:tr w:rsidR="0034112E" w:rsidRPr="00C06363" w14:paraId="1AB8BAD0" w14:textId="77777777" w:rsidTr="00C06363">
        <w:trPr>
          <w:cantSplit/>
        </w:trPr>
        <w:tc>
          <w:tcPr>
            <w:tcW w:w="326" w:type="pct"/>
          </w:tcPr>
          <w:p w14:paraId="2BEC14FB" w14:textId="4875EF86" w:rsidR="00C06363" w:rsidRPr="00C06363" w:rsidRDefault="00E2732F" w:rsidP="001A2A46">
            <w:pPr>
              <w:rPr>
                <w:color w:val="000000" w:themeColor="text1"/>
                <w:szCs w:val="20"/>
              </w:rPr>
            </w:pPr>
            <w:r>
              <w:rPr>
                <w:color w:val="000000" w:themeColor="text1"/>
                <w:szCs w:val="20"/>
              </w:rPr>
              <w:t>2</w:t>
            </w:r>
            <w:r w:rsidR="00C06363" w:rsidRPr="00C06363">
              <w:rPr>
                <w:color w:val="000000" w:themeColor="text1"/>
                <w:szCs w:val="20"/>
              </w:rPr>
              <w:t>.</w:t>
            </w:r>
          </w:p>
        </w:tc>
        <w:tc>
          <w:tcPr>
            <w:tcW w:w="895" w:type="pct"/>
          </w:tcPr>
          <w:p w14:paraId="1AED9F01" w14:textId="77777777" w:rsidR="00C06363" w:rsidRPr="00C06363" w:rsidRDefault="00C06363" w:rsidP="001A2A46">
            <w:pPr>
              <w:pStyle w:val="NormalWeb"/>
              <w:jc w:val="left"/>
              <w:rPr>
                <w:rFonts w:asciiTheme="minorHAnsi" w:eastAsiaTheme="minorHAnsi" w:hAnsiTheme="minorHAnsi" w:cstheme="minorBidi"/>
                <w:color w:val="000000" w:themeColor="text1"/>
                <w:sz w:val="20"/>
                <w:szCs w:val="22"/>
                <w:lang w:eastAsia="en-US"/>
              </w:rPr>
            </w:pPr>
            <w:r w:rsidRPr="00C06363">
              <w:rPr>
                <w:rFonts w:asciiTheme="minorHAnsi" w:eastAsiaTheme="minorHAnsi" w:hAnsiTheme="minorHAnsi" w:cstheme="minorBidi"/>
                <w:color w:val="000000" w:themeColor="text1"/>
                <w:sz w:val="20"/>
                <w:szCs w:val="22"/>
                <w:lang w:eastAsia="en-US"/>
              </w:rPr>
              <w:t>A phase 1/2 single-arm, open-label ZUMA-3 multicentre study</w:t>
            </w:r>
          </w:p>
          <w:p w14:paraId="28F99739" w14:textId="77777777" w:rsidR="00C06363" w:rsidRPr="00C06363" w:rsidRDefault="00C06363" w:rsidP="001A2A46">
            <w:pPr>
              <w:pStyle w:val="NormalWeb"/>
              <w:jc w:val="left"/>
              <w:rPr>
                <w:rFonts w:asciiTheme="minorHAnsi" w:eastAsiaTheme="minorHAnsi" w:hAnsiTheme="minorHAnsi" w:cstheme="minorHAnsi"/>
                <w:color w:val="000000" w:themeColor="text1"/>
                <w:sz w:val="20"/>
                <w:szCs w:val="22"/>
                <w:lang w:eastAsia="en-US"/>
              </w:rPr>
            </w:pPr>
            <w:r w:rsidRPr="00C06363">
              <w:rPr>
                <w:rFonts w:asciiTheme="minorHAnsi" w:eastAsiaTheme="minorHAnsi" w:hAnsiTheme="minorHAnsi" w:cstheme="minorHAnsi"/>
                <w:color w:val="000000" w:themeColor="text1"/>
                <w:sz w:val="20"/>
                <w:szCs w:val="22"/>
                <w:lang w:eastAsia="en-US"/>
              </w:rPr>
              <w:t>(NCT02614066)</w:t>
            </w:r>
          </w:p>
          <w:p w14:paraId="0A2B1F7B" w14:textId="77777777" w:rsidR="00C06363" w:rsidRPr="00C06363" w:rsidRDefault="00C06363" w:rsidP="001A2A46">
            <w:pPr>
              <w:pStyle w:val="NormalWeb"/>
              <w:jc w:val="left"/>
              <w:rPr>
                <w:color w:val="000000" w:themeColor="text1"/>
              </w:rPr>
            </w:pPr>
            <w:r w:rsidRPr="00C06363">
              <w:rPr>
                <w:rFonts w:asciiTheme="minorHAnsi" w:hAnsiTheme="minorHAnsi" w:cstheme="minorHAnsi"/>
                <w:color w:val="000000" w:themeColor="text1"/>
                <w:sz w:val="20"/>
                <w:szCs w:val="22"/>
              </w:rPr>
              <w:t>21 Month Data</w:t>
            </w:r>
          </w:p>
        </w:tc>
        <w:tc>
          <w:tcPr>
            <w:tcW w:w="1125" w:type="pct"/>
          </w:tcPr>
          <w:p w14:paraId="336366E2" w14:textId="77777777" w:rsidR="00C06363" w:rsidRPr="00C06363" w:rsidRDefault="00C06363" w:rsidP="001A2A46">
            <w:pPr>
              <w:spacing w:before="0"/>
              <w:jc w:val="left"/>
              <w:rPr>
                <w:color w:val="000000" w:themeColor="text1"/>
              </w:rPr>
            </w:pPr>
            <w:r w:rsidRPr="00C06363">
              <w:rPr>
                <w:color w:val="000000" w:themeColor="text1"/>
              </w:rPr>
              <w:t>Updated Clinical Study Report (CSR) Addendum</w:t>
            </w:r>
          </w:p>
          <w:p w14:paraId="076EC498" w14:textId="77777777" w:rsidR="00C06363" w:rsidRPr="00C06363" w:rsidRDefault="00C06363" w:rsidP="001A2A46">
            <w:pPr>
              <w:spacing w:before="0"/>
              <w:jc w:val="left"/>
              <w:rPr>
                <w:b/>
                <w:color w:val="000000" w:themeColor="text1"/>
                <w:szCs w:val="20"/>
              </w:rPr>
            </w:pPr>
            <w:r w:rsidRPr="00C06363">
              <w:rPr>
                <w:color w:val="000000" w:themeColor="text1"/>
              </w:rPr>
              <w:t>A Phase 1/2 Multi-Center Study Evaluating the Safety and Efficacy of KTE-X19 in Adult Subjects with Relapsed/Refractory B-precursor Acute Lymphoblastic Leukemia (r/r ALL) (ZUMA-3)</w:t>
            </w:r>
          </w:p>
        </w:tc>
        <w:tc>
          <w:tcPr>
            <w:tcW w:w="884" w:type="pct"/>
          </w:tcPr>
          <w:p w14:paraId="3F78C28D" w14:textId="77777777" w:rsidR="00C06363" w:rsidRPr="00C06363" w:rsidRDefault="00C06363" w:rsidP="001A2A46">
            <w:pPr>
              <w:spacing w:before="0"/>
              <w:jc w:val="left"/>
              <w:rPr>
                <w:color w:val="000000" w:themeColor="text1"/>
                <w:szCs w:val="24"/>
              </w:rPr>
            </w:pPr>
            <w:r w:rsidRPr="00C06363">
              <w:rPr>
                <w:color w:val="000000" w:themeColor="text1"/>
              </w:rPr>
              <w:t>Last Observation for this Report: 23 Jul 2021</w:t>
            </w:r>
          </w:p>
        </w:tc>
        <w:tc>
          <w:tcPr>
            <w:tcW w:w="1246" w:type="pct"/>
          </w:tcPr>
          <w:p w14:paraId="16CC7211" w14:textId="77777777" w:rsidR="00C06363" w:rsidRPr="00C06363" w:rsidRDefault="00C06363" w:rsidP="001A2A46">
            <w:pPr>
              <w:rPr>
                <w:color w:val="000000" w:themeColor="text1"/>
              </w:rPr>
            </w:pPr>
            <w:r w:rsidRPr="00C06363">
              <w:rPr>
                <w:color w:val="000000" w:themeColor="text1"/>
              </w:rPr>
              <w:t>Unpublished</w:t>
            </w:r>
          </w:p>
        </w:tc>
        <w:tc>
          <w:tcPr>
            <w:tcW w:w="524" w:type="pct"/>
          </w:tcPr>
          <w:p w14:paraId="3C40BDA8" w14:textId="77777777" w:rsidR="00C06363" w:rsidRPr="00C06363" w:rsidRDefault="00C06363" w:rsidP="001A2A46">
            <w:pPr>
              <w:rPr>
                <w:bCs/>
                <w:color w:val="000000" w:themeColor="text1"/>
                <w:szCs w:val="20"/>
              </w:rPr>
            </w:pPr>
            <w:r w:rsidRPr="00C06363">
              <w:rPr>
                <w:bCs/>
                <w:color w:val="000000" w:themeColor="text1"/>
                <w:szCs w:val="20"/>
              </w:rPr>
              <w:t>2</w:t>
            </w:r>
            <w:r w:rsidRPr="00C06363">
              <w:rPr>
                <w:bCs/>
                <w:color w:val="000000" w:themeColor="text1"/>
                <w:szCs w:val="20"/>
                <w:vertAlign w:val="superscript"/>
              </w:rPr>
              <w:t>nd</w:t>
            </w:r>
            <w:r w:rsidRPr="00C06363">
              <w:rPr>
                <w:bCs/>
                <w:color w:val="000000" w:themeColor="text1"/>
                <w:szCs w:val="20"/>
              </w:rPr>
              <w:t xml:space="preserve"> May 2022</w:t>
            </w:r>
          </w:p>
        </w:tc>
      </w:tr>
      <w:tr w:rsidR="00005B53" w:rsidRPr="00005B53" w14:paraId="1A70DFD9" w14:textId="77777777" w:rsidTr="00C06363">
        <w:trPr>
          <w:cantSplit/>
        </w:trPr>
        <w:tc>
          <w:tcPr>
            <w:tcW w:w="326" w:type="pct"/>
          </w:tcPr>
          <w:p w14:paraId="3BE37CCD" w14:textId="1F34EB7A" w:rsidR="00C06363" w:rsidRPr="00005B53" w:rsidRDefault="00E2732F" w:rsidP="001A2A46">
            <w:pPr>
              <w:rPr>
                <w:szCs w:val="20"/>
              </w:rPr>
            </w:pPr>
            <w:r w:rsidRPr="00005B53">
              <w:rPr>
                <w:szCs w:val="20"/>
              </w:rPr>
              <w:t>3</w:t>
            </w:r>
            <w:r w:rsidR="00C06363" w:rsidRPr="00005B53">
              <w:rPr>
                <w:szCs w:val="20"/>
              </w:rPr>
              <w:t>.</w:t>
            </w:r>
          </w:p>
        </w:tc>
        <w:tc>
          <w:tcPr>
            <w:tcW w:w="895" w:type="pct"/>
          </w:tcPr>
          <w:p w14:paraId="2137AA01" w14:textId="77777777" w:rsidR="00C06363" w:rsidRPr="00005B53" w:rsidRDefault="00C06363" w:rsidP="001A2A46">
            <w:pPr>
              <w:pStyle w:val="NormalWeb"/>
              <w:jc w:val="left"/>
              <w:rPr>
                <w:rFonts w:asciiTheme="minorHAnsi" w:eastAsiaTheme="minorHAnsi" w:hAnsiTheme="minorHAnsi" w:cstheme="minorBidi"/>
                <w:sz w:val="20"/>
                <w:szCs w:val="22"/>
                <w:lang w:eastAsia="en-US"/>
              </w:rPr>
            </w:pPr>
            <w:r w:rsidRPr="00005B53">
              <w:rPr>
                <w:rFonts w:asciiTheme="minorHAnsi" w:eastAsiaTheme="minorHAnsi" w:hAnsiTheme="minorHAnsi" w:cstheme="minorBidi"/>
                <w:sz w:val="20"/>
                <w:szCs w:val="22"/>
                <w:lang w:eastAsia="en-US"/>
              </w:rPr>
              <w:t>A phase 1/2 single-arm, open-label ZUMA-3 multicentre study</w:t>
            </w:r>
          </w:p>
          <w:p w14:paraId="6F81A08F" w14:textId="77777777" w:rsidR="00C06363" w:rsidRPr="00005B53" w:rsidRDefault="00C06363" w:rsidP="001A2A46">
            <w:pPr>
              <w:pStyle w:val="NormalWeb"/>
              <w:jc w:val="left"/>
              <w:rPr>
                <w:rFonts w:asciiTheme="minorHAnsi" w:eastAsiaTheme="minorHAnsi" w:hAnsiTheme="minorHAnsi" w:cstheme="minorBidi"/>
                <w:sz w:val="20"/>
                <w:szCs w:val="22"/>
                <w:lang w:eastAsia="en-US"/>
              </w:rPr>
            </w:pPr>
            <w:r w:rsidRPr="00005B53">
              <w:rPr>
                <w:rFonts w:asciiTheme="minorHAnsi" w:eastAsiaTheme="minorHAnsi" w:hAnsiTheme="minorHAnsi" w:cstheme="minorBidi"/>
                <w:sz w:val="20"/>
                <w:szCs w:val="22"/>
                <w:lang w:eastAsia="en-US"/>
              </w:rPr>
              <w:t>33 Month Data</w:t>
            </w:r>
          </w:p>
          <w:p w14:paraId="5AF970A1" w14:textId="77777777" w:rsidR="00C06363" w:rsidRPr="00005B53" w:rsidRDefault="00C06363" w:rsidP="001A2A46">
            <w:pPr>
              <w:pStyle w:val="NormalWeb"/>
              <w:jc w:val="left"/>
              <w:rPr>
                <w:rFonts w:asciiTheme="minorHAnsi" w:eastAsiaTheme="minorHAnsi" w:hAnsiTheme="minorHAnsi" w:cstheme="minorBidi"/>
                <w:sz w:val="20"/>
                <w:szCs w:val="22"/>
                <w:lang w:eastAsia="en-US"/>
              </w:rPr>
            </w:pPr>
            <w:r w:rsidRPr="00005B53">
              <w:rPr>
                <w:rFonts w:asciiTheme="minorHAnsi" w:eastAsiaTheme="minorHAnsi" w:hAnsiTheme="minorHAnsi" w:cstheme="minorBidi"/>
                <w:sz w:val="20"/>
                <w:szCs w:val="22"/>
                <w:lang w:eastAsia="en-US"/>
              </w:rPr>
              <w:t>(NCT02614066)</w:t>
            </w:r>
          </w:p>
        </w:tc>
        <w:tc>
          <w:tcPr>
            <w:tcW w:w="1125" w:type="pct"/>
          </w:tcPr>
          <w:p w14:paraId="2E62B2DF" w14:textId="77777777" w:rsidR="00C06363" w:rsidRPr="00005B53" w:rsidRDefault="00C06363" w:rsidP="001A2A46">
            <w:pPr>
              <w:spacing w:before="0"/>
              <w:jc w:val="left"/>
            </w:pPr>
            <w:r w:rsidRPr="00005B53">
              <w:t>Updated Clinical Study Report (CSR) Addendum</w:t>
            </w:r>
          </w:p>
          <w:p w14:paraId="1B74DB72" w14:textId="77777777" w:rsidR="00C06363" w:rsidRPr="00005B53" w:rsidRDefault="00C06363" w:rsidP="001A2A46">
            <w:pPr>
              <w:spacing w:before="0"/>
              <w:jc w:val="left"/>
            </w:pPr>
            <w:r w:rsidRPr="00005B53">
              <w:t>A Phase 1/2 Multi-Center Study Evaluating the Safety and Efficacy of KTE-X19 in Adult Subjects with Relapsed/Refractory B-precursor Acute Lymphoblastic Leukemia (r/r ALL) (ZUMA-3)</w:t>
            </w:r>
          </w:p>
        </w:tc>
        <w:tc>
          <w:tcPr>
            <w:tcW w:w="884" w:type="pct"/>
          </w:tcPr>
          <w:p w14:paraId="2A105FA7" w14:textId="77777777" w:rsidR="00C06363" w:rsidRPr="00005B53" w:rsidRDefault="00C06363" w:rsidP="001A2A46">
            <w:pPr>
              <w:spacing w:before="0"/>
              <w:jc w:val="left"/>
            </w:pPr>
            <w:r w:rsidRPr="00005B53">
              <w:t>Last Observation for this Report: 23 Jul 2022</w:t>
            </w:r>
          </w:p>
          <w:p w14:paraId="6D13745C" w14:textId="689F0A27" w:rsidR="00E2732F" w:rsidRPr="00005B53" w:rsidRDefault="00E2732F" w:rsidP="001A2A46">
            <w:pPr>
              <w:spacing w:before="0"/>
              <w:jc w:val="left"/>
            </w:pPr>
            <w:r w:rsidRPr="00005B53">
              <w:t xml:space="preserve">Main analyses to </w:t>
            </w:r>
            <w:proofErr w:type="gramStart"/>
            <w:r w:rsidRPr="00005B53">
              <w:t>be presented</w:t>
            </w:r>
            <w:proofErr w:type="gramEnd"/>
            <w:r w:rsidRPr="00005B53">
              <w:t xml:space="preserve"> in resubmission</w:t>
            </w:r>
          </w:p>
        </w:tc>
        <w:tc>
          <w:tcPr>
            <w:tcW w:w="1246" w:type="pct"/>
          </w:tcPr>
          <w:p w14:paraId="59D8F2F4" w14:textId="77777777" w:rsidR="00C06363" w:rsidRPr="00005B53" w:rsidRDefault="00C06363" w:rsidP="001A2A46">
            <w:r w:rsidRPr="00005B53">
              <w:t>Unpublished</w:t>
            </w:r>
          </w:p>
          <w:p w14:paraId="1E63E65C" w14:textId="5952ECF7" w:rsidR="00EE5F80" w:rsidRPr="00005B53" w:rsidRDefault="00EE5F80" w:rsidP="001A2A46">
            <w:r w:rsidRPr="00005B53">
              <w:t xml:space="preserve">New data/analyses to </w:t>
            </w:r>
            <w:proofErr w:type="gramStart"/>
            <w:r w:rsidRPr="00005B53">
              <w:t>be presented</w:t>
            </w:r>
            <w:proofErr w:type="gramEnd"/>
            <w:r w:rsidRPr="00005B53">
              <w:t xml:space="preserve"> in the resubmission</w:t>
            </w:r>
          </w:p>
        </w:tc>
        <w:tc>
          <w:tcPr>
            <w:tcW w:w="524" w:type="pct"/>
          </w:tcPr>
          <w:p w14:paraId="7989117D" w14:textId="77777777" w:rsidR="00C06363" w:rsidRPr="00005B53" w:rsidRDefault="00C06363" w:rsidP="001A2A46">
            <w:r w:rsidRPr="00005B53">
              <w:t>31</w:t>
            </w:r>
            <w:r w:rsidRPr="00005B53">
              <w:rPr>
                <w:vertAlign w:val="superscript"/>
              </w:rPr>
              <w:t>st</w:t>
            </w:r>
            <w:r w:rsidRPr="00005B53">
              <w:t xml:space="preserve"> Oct 2022</w:t>
            </w:r>
          </w:p>
        </w:tc>
      </w:tr>
      <w:tr w:rsidR="00005B53" w:rsidRPr="00005B53" w14:paraId="07E4C380" w14:textId="77777777" w:rsidTr="00C06363">
        <w:trPr>
          <w:cantSplit/>
        </w:trPr>
        <w:tc>
          <w:tcPr>
            <w:tcW w:w="326" w:type="pct"/>
          </w:tcPr>
          <w:p w14:paraId="77484FFC" w14:textId="75DC943A" w:rsidR="00C06363" w:rsidRPr="00005B53" w:rsidRDefault="00E2732F" w:rsidP="001A2A46">
            <w:pPr>
              <w:rPr>
                <w:szCs w:val="20"/>
              </w:rPr>
            </w:pPr>
            <w:r w:rsidRPr="00005B53">
              <w:rPr>
                <w:szCs w:val="20"/>
              </w:rPr>
              <w:lastRenderedPageBreak/>
              <w:t>4</w:t>
            </w:r>
            <w:r w:rsidR="00C06363" w:rsidRPr="00005B53">
              <w:rPr>
                <w:szCs w:val="20"/>
              </w:rPr>
              <w:t>.</w:t>
            </w:r>
          </w:p>
        </w:tc>
        <w:tc>
          <w:tcPr>
            <w:tcW w:w="895" w:type="pct"/>
          </w:tcPr>
          <w:p w14:paraId="2C3173AE" w14:textId="4D362585" w:rsidR="00C06363" w:rsidRPr="00005B53" w:rsidRDefault="00C06363" w:rsidP="001A2A46">
            <w:pPr>
              <w:pStyle w:val="NormalWeb"/>
              <w:jc w:val="left"/>
              <w:rPr>
                <w:rFonts w:asciiTheme="minorHAnsi" w:eastAsiaTheme="minorHAnsi" w:hAnsiTheme="minorHAnsi" w:cstheme="minorBidi"/>
                <w:sz w:val="20"/>
                <w:szCs w:val="22"/>
                <w:lang w:eastAsia="en-US"/>
              </w:rPr>
            </w:pPr>
            <w:r w:rsidRPr="00005B53">
              <w:rPr>
                <w:rFonts w:asciiTheme="minorHAnsi" w:eastAsiaTheme="minorHAnsi" w:hAnsiTheme="minorHAnsi" w:cstheme="minorBidi"/>
                <w:sz w:val="20"/>
                <w:szCs w:val="22"/>
                <w:lang w:eastAsia="en-US"/>
              </w:rPr>
              <w:t>Matching-Adjusted Indirect Comparison (MAIC)</w:t>
            </w:r>
          </w:p>
        </w:tc>
        <w:tc>
          <w:tcPr>
            <w:tcW w:w="1125" w:type="pct"/>
          </w:tcPr>
          <w:p w14:paraId="002F9AE1" w14:textId="77777777" w:rsidR="00C06363" w:rsidRPr="00005B53" w:rsidRDefault="00C06363" w:rsidP="001A2A46">
            <w:pPr>
              <w:spacing w:before="0"/>
              <w:jc w:val="left"/>
            </w:pPr>
            <w:r w:rsidRPr="00005B53">
              <w:t>Matching-Adjusted Indirect Comparison for Adult Patients with Relapsed/Refractory B-precursor Acute Lymphoblastic Leukemia</w:t>
            </w:r>
          </w:p>
        </w:tc>
        <w:tc>
          <w:tcPr>
            <w:tcW w:w="884" w:type="pct"/>
          </w:tcPr>
          <w:p w14:paraId="3D5553D9" w14:textId="77777777" w:rsidR="00C06363" w:rsidRPr="00005B53" w:rsidRDefault="00C06363" w:rsidP="001A2A46">
            <w:pPr>
              <w:spacing w:before="0"/>
              <w:jc w:val="left"/>
            </w:pPr>
            <w:r w:rsidRPr="00005B53">
              <w:t>Obtain relative treatment effect estimates in terms of OS and DOR/EFS of brexu-cel versus interventions considered to be SOC reflected by the pivotal RCTs for inotuzumab (INO-VATE) and blinatumomab (TOWER) and their chemotherapy control arms by means of an MAIC using 33-month data from ZUMA-3.</w:t>
            </w:r>
          </w:p>
        </w:tc>
        <w:tc>
          <w:tcPr>
            <w:tcW w:w="1246" w:type="pct"/>
          </w:tcPr>
          <w:p w14:paraId="57DE796D" w14:textId="77777777" w:rsidR="00C06363" w:rsidRPr="00005B53" w:rsidRDefault="00C06363" w:rsidP="001A2A46">
            <w:r w:rsidRPr="00005B53">
              <w:t>Unpublished</w:t>
            </w:r>
            <w:r w:rsidR="00EE5F80" w:rsidRPr="00005B53">
              <w:t>.</w:t>
            </w:r>
          </w:p>
          <w:p w14:paraId="0D7E88D3" w14:textId="0CE541AA" w:rsidR="00EE5F80" w:rsidRPr="00005B53" w:rsidRDefault="00EE5F80" w:rsidP="001A2A46">
            <w:r w:rsidRPr="00005B53">
              <w:t xml:space="preserve">New data/analyses to </w:t>
            </w:r>
            <w:proofErr w:type="gramStart"/>
            <w:r w:rsidRPr="00005B53">
              <w:t>be presented</w:t>
            </w:r>
            <w:proofErr w:type="gramEnd"/>
            <w:r w:rsidRPr="00005B53">
              <w:t xml:space="preserve"> in the resubmission</w:t>
            </w:r>
          </w:p>
        </w:tc>
        <w:tc>
          <w:tcPr>
            <w:tcW w:w="524" w:type="pct"/>
          </w:tcPr>
          <w:p w14:paraId="4A53B21C" w14:textId="77777777" w:rsidR="00C06363" w:rsidRPr="00005B53" w:rsidRDefault="00C06363" w:rsidP="001A2A46">
            <w:r w:rsidRPr="00005B53">
              <w:t>Mar 2023</w:t>
            </w:r>
          </w:p>
        </w:tc>
      </w:tr>
    </w:tbl>
    <w:p w14:paraId="361BCA0F"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w:t>
      </w:r>
      <w:proofErr w:type="gramStart"/>
      <w:r>
        <w:rPr>
          <w:i/>
          <w:szCs w:val="20"/>
        </w:rPr>
        <w:t>etc.</w:t>
      </w:r>
      <w:proofErr w:type="gramEnd"/>
      <w:r>
        <w:rPr>
          <w:i/>
          <w:szCs w:val="20"/>
        </w:rPr>
        <w:t xml:space="preserve"> </w:t>
      </w:r>
    </w:p>
    <w:p w14:paraId="632369AE" w14:textId="77777777" w:rsidR="004C49EF" w:rsidRDefault="004C49EF" w:rsidP="004C49EF">
      <w:pPr>
        <w:spacing w:after="0"/>
        <w:ind w:left="426"/>
        <w:rPr>
          <w:i/>
          <w:szCs w:val="20"/>
        </w:rPr>
      </w:pPr>
      <w:r>
        <w:rPr>
          <w:i/>
          <w:szCs w:val="20"/>
        </w:rPr>
        <w:t xml:space="preserve">**Provide high level information including population numbers and whether patients are </w:t>
      </w:r>
      <w:proofErr w:type="gramStart"/>
      <w:r>
        <w:rPr>
          <w:i/>
          <w:szCs w:val="20"/>
        </w:rPr>
        <w:t>being recruited</w:t>
      </w:r>
      <w:proofErr w:type="gramEnd"/>
      <w:r>
        <w:rPr>
          <w:i/>
          <w:szCs w:val="20"/>
        </w:rPr>
        <w:t xml:space="preserve"> or in post-recruitment.</w:t>
      </w:r>
    </w:p>
    <w:p w14:paraId="609A15F2"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 xml:space="preserve">will </w:t>
      </w:r>
      <w:proofErr w:type="gramStart"/>
      <w:r>
        <w:rPr>
          <w:i/>
          <w:szCs w:val="20"/>
        </w:rPr>
        <w:t>be</w:t>
      </w:r>
      <w:r w:rsidRPr="00E82F54">
        <w:rPr>
          <w:i/>
          <w:szCs w:val="20"/>
        </w:rPr>
        <w:t xml:space="preserve"> made</w:t>
      </w:r>
      <w:proofErr w:type="gramEnd"/>
      <w:r w:rsidRPr="00E82F54">
        <w:rPr>
          <w:i/>
          <w:szCs w:val="20"/>
        </w:rPr>
        <w:t xml:space="preserve"> available</w:t>
      </w:r>
      <w:r>
        <w:rPr>
          <w:i/>
          <w:szCs w:val="20"/>
        </w:rPr>
        <w:t xml:space="preserve"> (to the best of your knowledge)</w:t>
      </w:r>
      <w:r w:rsidRPr="00E82F54">
        <w:rPr>
          <w:i/>
          <w:szCs w:val="20"/>
        </w:rPr>
        <w:t>.</w:t>
      </w:r>
    </w:p>
    <w:p w14:paraId="1248C7AC"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0D20D466"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F810866" w14:textId="77777777" w:rsidR="00E82F54" w:rsidRDefault="00E82F54" w:rsidP="00282B37">
      <w:pPr>
        <w:pStyle w:val="Heading2"/>
      </w:pPr>
      <w:r w:rsidRPr="00CA26DD">
        <w:t>List</w:t>
      </w:r>
      <w:r w:rsidR="00282B37" w:rsidRPr="00282B37">
        <w:t xml:space="preserve"> all appropriate professional bodies/organisations representing the health professionals who provide the service. For </w:t>
      </w:r>
      <w:r w:rsidR="00282B37" w:rsidRPr="00282B37">
        <w:rPr>
          <w:u w:val="single"/>
        </w:rPr>
        <w:t>MBS-related applications</w:t>
      </w:r>
      <w:r w:rsidR="00282B37" w:rsidRPr="00282B37">
        <w:t xml:space="preserve"> ONLY, please attach a brief ‘Statement of Clinical Relevance’ from the most relevant college/society.</w:t>
      </w:r>
    </w:p>
    <w:p w14:paraId="54F0EBB1" w14:textId="3C7A954C" w:rsidR="006C6734" w:rsidRDefault="00E05451" w:rsidP="006C6734">
      <w:pPr>
        <w:ind w:left="426"/>
      </w:pPr>
      <w:r>
        <w:rPr>
          <w:noProof/>
        </w:rPr>
        <w:t>Haematology Society of Australia and New Zealand (HSANZ)</w:t>
      </w:r>
    </w:p>
    <w:p w14:paraId="398EC450" w14:textId="2BE06356" w:rsidR="006C6734" w:rsidRDefault="00E05451" w:rsidP="006C6734">
      <w:pPr>
        <w:ind w:left="426"/>
      </w:pPr>
      <w:r>
        <w:rPr>
          <w:noProof/>
        </w:rPr>
        <w:t>Australasian Leukaemia &amp; Lymphoma Group (ALLG)</w:t>
      </w:r>
    </w:p>
    <w:p w14:paraId="1C210FE6" w14:textId="3565BA87" w:rsidR="006C6734" w:rsidRDefault="009A39FE" w:rsidP="009A39FE">
      <w:pPr>
        <w:ind w:left="426"/>
      </w:pPr>
      <w:r>
        <w:rPr>
          <w:noProof/>
        </w:rPr>
        <w:t>The Australian and New Zealand Transplant and Cellular Therapies (ANZTCT)</w:t>
      </w:r>
    </w:p>
    <w:p w14:paraId="5E98F24D" w14:textId="5E1D36C7" w:rsidR="00B87234" w:rsidRDefault="00B87234" w:rsidP="009A39FE">
      <w:pPr>
        <w:ind w:left="426"/>
      </w:pPr>
    </w:p>
    <w:p w14:paraId="37DBCE2D"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w:t>
      </w:r>
      <w:proofErr w:type="gramStart"/>
      <w:r>
        <w:t>be impacted</w:t>
      </w:r>
      <w:proofErr w:type="gramEnd"/>
      <w:r>
        <w:t xml:space="preserve"> by this medical service</w:t>
      </w:r>
      <w:r w:rsidR="00F93784">
        <w:t xml:space="preserve"> (i.e. those who provide the comparator service)</w:t>
      </w:r>
      <w:r w:rsidR="00197D29">
        <w:t>:</w:t>
      </w:r>
    </w:p>
    <w:p w14:paraId="5EA3274F" w14:textId="50360B24" w:rsidR="006C6734" w:rsidRDefault="00E05451" w:rsidP="001238BD">
      <w:pPr>
        <w:ind w:left="426"/>
      </w:pPr>
      <w:r>
        <w:rPr>
          <w:noProof/>
        </w:rPr>
        <w:t>The same groups as above</w:t>
      </w:r>
    </w:p>
    <w:p w14:paraId="550EC178" w14:textId="77777777" w:rsidR="00B87234" w:rsidRDefault="00B87234" w:rsidP="001238BD">
      <w:pPr>
        <w:ind w:left="426"/>
      </w:pPr>
    </w:p>
    <w:p w14:paraId="2CD4CB7A" w14:textId="77777777" w:rsidR="00E82F54" w:rsidRPr="00154B00" w:rsidRDefault="00E82F54" w:rsidP="00A75D46">
      <w:pPr>
        <w:pStyle w:val="Heading2"/>
      </w:pPr>
      <w:bookmarkStart w:id="10" w:name="_Hlk89251468"/>
      <w:r w:rsidRPr="00154B00">
        <w:t>List</w:t>
      </w:r>
      <w:r w:rsidR="00A75D46" w:rsidRPr="00A75D46">
        <w:t xml:space="preserve"> the consumer organisations relevant to the proposed medical service (noting there is </w:t>
      </w:r>
      <w:r w:rsidR="00A75D46" w:rsidRPr="00A75D46">
        <w:rPr>
          <w:u w:val="single"/>
        </w:rPr>
        <w:t>NO NEED</w:t>
      </w:r>
      <w:r w:rsidR="00A75D46" w:rsidRPr="00A75D46">
        <w:t xml:space="preserve"> to attach a support letter at the ‘Application Lodgement’ stage of the MSAC process)</w:t>
      </w:r>
      <w:r w:rsidR="00197D29">
        <w:t>:</w:t>
      </w:r>
    </w:p>
    <w:p w14:paraId="7A8EC415" w14:textId="7E0E7AB9" w:rsidR="00E82F54" w:rsidRDefault="00E05451" w:rsidP="00A727B6">
      <w:pPr>
        <w:ind w:left="426"/>
      </w:pPr>
      <w:r>
        <w:rPr>
          <w:noProof/>
        </w:rPr>
        <w:t>The Leukaemia Foundation (TLF)</w:t>
      </w:r>
    </w:p>
    <w:p w14:paraId="0F29B75F" w14:textId="54498236" w:rsidR="006C6734" w:rsidRDefault="00E05451" w:rsidP="006C6734">
      <w:pPr>
        <w:ind w:left="426"/>
      </w:pPr>
      <w:r>
        <w:rPr>
          <w:noProof/>
        </w:rPr>
        <w:t>Rare Cancers Australia (RCA)</w:t>
      </w:r>
    </w:p>
    <w:p w14:paraId="2320868F" w14:textId="3220F894" w:rsidR="006C6734" w:rsidRDefault="00006C45" w:rsidP="001238BD">
      <w:pPr>
        <w:ind w:left="426"/>
      </w:pPr>
      <w:r>
        <w:t>Snowdome Foundation</w:t>
      </w:r>
      <w:bookmarkEnd w:id="10"/>
    </w:p>
    <w:p w14:paraId="35ED1364" w14:textId="77777777" w:rsidR="00B87234" w:rsidRPr="001238BD" w:rsidRDefault="00B87234" w:rsidP="001238BD">
      <w:pPr>
        <w:ind w:left="426"/>
      </w:pPr>
    </w:p>
    <w:p w14:paraId="520565BE" w14:textId="77777777" w:rsidR="003433D1" w:rsidRDefault="003433D1" w:rsidP="00530204">
      <w:pPr>
        <w:pStyle w:val="Heading2"/>
      </w:pPr>
      <w:r>
        <w:t xml:space="preserve">List the relevant </w:t>
      </w:r>
      <w:r w:rsidRPr="00EE6450">
        <w:t>sponsor</w:t>
      </w:r>
      <w:r>
        <w:t xml:space="preserve">(s) and / or manufacturer(s) who produce </w:t>
      </w:r>
      <w:proofErr w:type="gramStart"/>
      <w:r w:rsidRPr="00282B37">
        <w:rPr>
          <w:u w:val="single"/>
        </w:rPr>
        <w:t>similar</w:t>
      </w:r>
      <w:r>
        <w:t xml:space="preserve"> products</w:t>
      </w:r>
      <w:proofErr w:type="gramEnd"/>
      <w:r>
        <w:t xml:space="preserve"> relevant </w:t>
      </w:r>
      <w:r w:rsidR="00197D29">
        <w:t>to the proposed medical service:</w:t>
      </w:r>
    </w:p>
    <w:p w14:paraId="188E4AD9" w14:textId="41FC60DE" w:rsidR="00A12B09" w:rsidRDefault="00287170" w:rsidP="00156969">
      <w:pPr>
        <w:ind w:left="426"/>
      </w:pPr>
      <w:r>
        <w:t>Novartis</w:t>
      </w:r>
      <w:r>
        <w:rPr>
          <w:spacing w:val="-4"/>
        </w:rPr>
        <w:t xml:space="preserve"> </w:t>
      </w:r>
      <w:r>
        <w:t>Pharmaceuticals</w:t>
      </w:r>
      <w:r>
        <w:rPr>
          <w:spacing w:val="-4"/>
        </w:rPr>
        <w:t xml:space="preserve"> </w:t>
      </w:r>
      <w:r>
        <w:t>Australia</w:t>
      </w:r>
      <w:r>
        <w:rPr>
          <w:spacing w:val="-3"/>
        </w:rPr>
        <w:t xml:space="preserve"> </w:t>
      </w:r>
      <w:r>
        <w:t>Pty</w:t>
      </w:r>
      <w:r>
        <w:rPr>
          <w:spacing w:val="-4"/>
        </w:rPr>
        <w:t xml:space="preserve"> </w:t>
      </w:r>
      <w:r>
        <w:t>Ltd</w:t>
      </w:r>
      <w:r>
        <w:rPr>
          <w:spacing w:val="-4"/>
        </w:rPr>
        <w:t xml:space="preserve"> </w:t>
      </w:r>
      <w:r w:rsidR="00A12B09">
        <w:t xml:space="preserve">is the sponsor for </w:t>
      </w:r>
      <w:r>
        <w:t>tisagenlecleucel</w:t>
      </w:r>
      <w:r w:rsidR="0091147C">
        <w:t xml:space="preserve"> (Kymriah) for</w:t>
      </w:r>
    </w:p>
    <w:p w14:paraId="706EDC16" w14:textId="5BA9E093" w:rsidR="00287170" w:rsidRDefault="0091147C" w:rsidP="001238BD">
      <w:pPr>
        <w:pStyle w:val="ListParagraph"/>
        <w:numPr>
          <w:ilvl w:val="0"/>
          <w:numId w:val="24"/>
        </w:numPr>
      </w:pPr>
      <w:r w:rsidRPr="0091147C">
        <w:t>treatment of confirmed relapsed/refractory CD19-positive ALL in children and young adults up to 25 years old</w:t>
      </w:r>
    </w:p>
    <w:p w14:paraId="1F195819" w14:textId="77777777" w:rsidR="00B87234" w:rsidRDefault="00B87234" w:rsidP="00B87234">
      <w:pPr>
        <w:pStyle w:val="ListParagraph"/>
        <w:ind w:left="1192"/>
      </w:pPr>
    </w:p>
    <w:p w14:paraId="0DF808C9" w14:textId="7C9B964A" w:rsidR="00A96329" w:rsidRPr="00421503" w:rsidRDefault="00BA72E3" w:rsidP="00A96329">
      <w:pPr>
        <w:numPr>
          <w:ilvl w:val="0"/>
          <w:numId w:val="1"/>
        </w:numPr>
        <w:rPr>
          <w:b/>
          <w:szCs w:val="20"/>
        </w:rPr>
      </w:pPr>
      <w:r w:rsidRPr="00BA72E3">
        <w:rPr>
          <w:b/>
          <w:szCs w:val="20"/>
        </w:rPr>
        <w:t xml:space="preserve">Nominate two experts that can </w:t>
      </w:r>
      <w:proofErr w:type="gramStart"/>
      <w:r w:rsidRPr="00BA72E3">
        <w:rPr>
          <w:b/>
          <w:szCs w:val="20"/>
        </w:rPr>
        <w:t>be contacted</w:t>
      </w:r>
      <w:proofErr w:type="gramEnd"/>
      <w:r w:rsidRPr="00BA72E3">
        <w:rPr>
          <w:b/>
          <w:szCs w:val="20"/>
        </w:rPr>
        <w:t xml:space="preserve"> about the proposed medical service, and current clinical management of the condition</w:t>
      </w:r>
      <w:r>
        <w:rPr>
          <w:b/>
          <w:szCs w:val="20"/>
        </w:rPr>
        <w:t>:</w:t>
      </w:r>
    </w:p>
    <w:p w14:paraId="7F75BCAA" w14:textId="219A9AA0" w:rsidR="00987ABE" w:rsidRPr="00987ABE" w:rsidRDefault="00987ABE" w:rsidP="00987ABE">
      <w:pPr>
        <w:ind w:left="426"/>
        <w:rPr>
          <w:szCs w:val="20"/>
        </w:rPr>
      </w:pPr>
      <w:r>
        <w:rPr>
          <w:szCs w:val="20"/>
        </w:rPr>
        <w:t xml:space="preserve">Name of expert 1: </w:t>
      </w:r>
      <w:r w:rsidR="00F84FF9">
        <w:t>REDACTED</w:t>
      </w:r>
    </w:p>
    <w:p w14:paraId="62D3C80E" w14:textId="5550A795" w:rsidR="00987ABE" w:rsidRPr="00987ABE" w:rsidRDefault="00987ABE" w:rsidP="00987ABE">
      <w:pPr>
        <w:ind w:left="426"/>
        <w:rPr>
          <w:szCs w:val="20"/>
        </w:rPr>
      </w:pPr>
      <w:r>
        <w:rPr>
          <w:szCs w:val="20"/>
        </w:rPr>
        <w:t xml:space="preserve">Telephone number(s): </w:t>
      </w:r>
      <w:r w:rsidR="00F84FF9">
        <w:t>REDACTED</w:t>
      </w:r>
    </w:p>
    <w:p w14:paraId="71AEBC7D" w14:textId="51032B3B" w:rsidR="00987ABE" w:rsidRPr="00987ABE" w:rsidRDefault="00987ABE" w:rsidP="00987ABE">
      <w:pPr>
        <w:ind w:left="426"/>
        <w:rPr>
          <w:szCs w:val="20"/>
        </w:rPr>
      </w:pPr>
      <w:r>
        <w:rPr>
          <w:szCs w:val="20"/>
        </w:rPr>
        <w:t xml:space="preserve">Email address: </w:t>
      </w:r>
      <w:r w:rsidR="00F84FF9">
        <w:t>REDACTED</w:t>
      </w:r>
    </w:p>
    <w:p w14:paraId="57820DD5" w14:textId="30E4E5D4" w:rsidR="00987ABE" w:rsidRPr="00987ABE" w:rsidRDefault="00987ABE" w:rsidP="00987ABE">
      <w:pPr>
        <w:ind w:left="426"/>
        <w:rPr>
          <w:szCs w:val="20"/>
        </w:rPr>
      </w:pPr>
      <w:r>
        <w:rPr>
          <w:szCs w:val="20"/>
        </w:rPr>
        <w:t xml:space="preserve">Justification of expertise: </w:t>
      </w:r>
      <w:r w:rsidR="00F84FF9">
        <w:t>REDACTED</w:t>
      </w:r>
    </w:p>
    <w:p w14:paraId="33597920" w14:textId="77777777" w:rsidR="00987ABE" w:rsidRPr="00987ABE" w:rsidRDefault="00987ABE" w:rsidP="00987ABE">
      <w:pPr>
        <w:ind w:left="426"/>
        <w:rPr>
          <w:szCs w:val="20"/>
        </w:rPr>
      </w:pPr>
    </w:p>
    <w:p w14:paraId="0A8884D0" w14:textId="532D3DED" w:rsidR="00987ABE" w:rsidRPr="00987ABE" w:rsidRDefault="00987ABE" w:rsidP="00987ABE">
      <w:pPr>
        <w:ind w:left="426"/>
        <w:rPr>
          <w:szCs w:val="20"/>
        </w:rPr>
      </w:pPr>
      <w:r>
        <w:rPr>
          <w:szCs w:val="20"/>
        </w:rPr>
        <w:t xml:space="preserve">Name of expert 2: </w:t>
      </w:r>
      <w:r w:rsidR="00F84FF9">
        <w:t>REDACTED</w:t>
      </w:r>
    </w:p>
    <w:p w14:paraId="325BDE47" w14:textId="5FE524F4" w:rsidR="00987ABE" w:rsidRPr="00987ABE" w:rsidRDefault="00987ABE" w:rsidP="00987ABE">
      <w:pPr>
        <w:ind w:left="426"/>
        <w:rPr>
          <w:szCs w:val="20"/>
        </w:rPr>
      </w:pPr>
      <w:r>
        <w:rPr>
          <w:szCs w:val="20"/>
        </w:rPr>
        <w:t xml:space="preserve">Telephone number(s): </w:t>
      </w:r>
      <w:r w:rsidR="00F84FF9">
        <w:t>REDACTED</w:t>
      </w:r>
    </w:p>
    <w:p w14:paraId="096B24E9" w14:textId="284E3830" w:rsidR="00987ABE" w:rsidRPr="00987ABE" w:rsidRDefault="00987ABE" w:rsidP="00987ABE">
      <w:pPr>
        <w:ind w:left="426"/>
        <w:rPr>
          <w:szCs w:val="20"/>
        </w:rPr>
      </w:pPr>
      <w:r>
        <w:rPr>
          <w:szCs w:val="20"/>
        </w:rPr>
        <w:t xml:space="preserve">Email address: </w:t>
      </w:r>
      <w:r w:rsidR="00F84FF9">
        <w:t>REDACTED</w:t>
      </w:r>
    </w:p>
    <w:p w14:paraId="6E73AD53" w14:textId="15B28444" w:rsidR="00E82F54" w:rsidRPr="00154B00" w:rsidRDefault="00987ABE" w:rsidP="00987ABE">
      <w:pPr>
        <w:ind w:left="426"/>
        <w:rPr>
          <w:szCs w:val="20"/>
        </w:rPr>
      </w:pPr>
      <w:r>
        <w:rPr>
          <w:szCs w:val="20"/>
        </w:rPr>
        <w:t xml:space="preserve">Justification of expertise: </w:t>
      </w:r>
      <w:r w:rsidR="00F84FF9">
        <w:t>REDACTED</w:t>
      </w:r>
    </w:p>
    <w:p w14:paraId="66CD2935" w14:textId="77777777" w:rsidR="00987ABE" w:rsidRDefault="00987ABE" w:rsidP="00E82F54">
      <w:pPr>
        <w:ind w:left="426"/>
        <w:rPr>
          <w:i/>
          <w:szCs w:val="20"/>
        </w:rPr>
      </w:pPr>
    </w:p>
    <w:p w14:paraId="5216A0F8" w14:textId="2A5571C1" w:rsidR="003433D1" w:rsidRDefault="00E82F54" w:rsidP="00B87234">
      <w:pPr>
        <w:ind w:left="426"/>
        <w:rPr>
          <w:b/>
          <w:sz w:val="32"/>
          <w:szCs w:val="32"/>
        </w:rPr>
      </w:pPr>
      <w:r w:rsidRPr="00154B00">
        <w:rPr>
          <w:i/>
          <w:szCs w:val="20"/>
        </w:rPr>
        <w:t>Please note that the Department may also consult with other referrers, proceduralists and disease specialists to obtain their insight.</w:t>
      </w:r>
      <w:r w:rsidR="003433D1">
        <w:rPr>
          <w:b/>
          <w:sz w:val="32"/>
          <w:szCs w:val="32"/>
        </w:rPr>
        <w:br w:type="page"/>
      </w:r>
    </w:p>
    <w:p w14:paraId="492A2F2C"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2608618" w14:textId="77777777" w:rsidR="0021185D" w:rsidRPr="005C3AE7" w:rsidRDefault="005C3AE7" w:rsidP="005C3AE7">
      <w:pPr>
        <w:pStyle w:val="Subtitle"/>
      </w:pPr>
      <w:r w:rsidRPr="005C3AE7">
        <w:t xml:space="preserve">PART 6a – </w:t>
      </w:r>
      <w:r w:rsidR="0021185D" w:rsidRPr="005C3AE7">
        <w:t>INFORMATION ABOUT THE PROPOSED POPULATION</w:t>
      </w:r>
    </w:p>
    <w:p w14:paraId="25DC7790" w14:textId="2BBCCEF5" w:rsidR="00A31250" w:rsidRPr="00A31250" w:rsidRDefault="0021185D" w:rsidP="00A31250">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w:t>
      </w:r>
      <w:r w:rsidR="00282B37">
        <w:t>(</w:t>
      </w:r>
      <w:r w:rsidR="0054594B" w:rsidRPr="00A96329">
        <w:t>in terms of both morbidity and mortality</w:t>
      </w:r>
      <w:r w:rsidR="00282B37">
        <w:t>)</w:t>
      </w:r>
      <w:r w:rsidR="00197D29">
        <w:t>:</w:t>
      </w:r>
    </w:p>
    <w:p w14:paraId="3A84E463" w14:textId="10BA7019" w:rsidR="000322FD" w:rsidRPr="006C6734" w:rsidRDefault="008F6B83" w:rsidP="00C85213">
      <w:pPr>
        <w:ind w:left="284"/>
        <w:rPr>
          <w:b/>
          <w:bCs/>
          <w:u w:val="single"/>
        </w:rPr>
      </w:pPr>
      <w:r w:rsidRPr="006C6734">
        <w:rPr>
          <w:b/>
          <w:bCs/>
          <w:u w:val="single"/>
        </w:rPr>
        <w:t>Acute lymphoblastic leuk</w:t>
      </w:r>
      <w:r w:rsidR="00173012" w:rsidRPr="006C6734">
        <w:rPr>
          <w:b/>
          <w:bCs/>
          <w:u w:val="single"/>
        </w:rPr>
        <w:t>a</w:t>
      </w:r>
      <w:r w:rsidRPr="006C6734">
        <w:rPr>
          <w:b/>
          <w:bCs/>
          <w:u w:val="single"/>
        </w:rPr>
        <w:t xml:space="preserve">emia </w:t>
      </w:r>
    </w:p>
    <w:p w14:paraId="6164982C" w14:textId="4B0427C5" w:rsidR="00C85213" w:rsidRPr="00421503" w:rsidRDefault="000322FD" w:rsidP="00560B7E">
      <w:pPr>
        <w:ind w:left="284"/>
      </w:pPr>
      <w:r w:rsidRPr="00421503">
        <w:t>Acute lymphoblastic leuk</w:t>
      </w:r>
      <w:r w:rsidR="00916434" w:rsidRPr="00421503">
        <w:t>a</w:t>
      </w:r>
      <w:r w:rsidRPr="00421503">
        <w:t xml:space="preserve">emia </w:t>
      </w:r>
      <w:r w:rsidR="008F6B83" w:rsidRPr="00421503">
        <w:t>(ALL) is a h</w:t>
      </w:r>
      <w:r w:rsidR="00916434" w:rsidRPr="00421503">
        <w:t>a</w:t>
      </w:r>
      <w:r w:rsidR="008F6B83" w:rsidRPr="00421503">
        <w:t xml:space="preserve">ematologic malignancy propagated by impaired differentiation, proliferation, and accumulation of lymphoid progenitor cells in the bone marrow and/or extramedullary sites </w:t>
      </w:r>
      <w:r w:rsidR="00700D33" w:rsidRPr="00421503">
        <w:t>(Paul et al., 2016</w:t>
      </w:r>
      <w:r w:rsidR="008B77F7" w:rsidRPr="00421503">
        <w:rPr>
          <w:noProof/>
          <w:vertAlign w:val="superscript"/>
        </w:rPr>
        <w:t>1</w:t>
      </w:r>
      <w:r w:rsidR="00700D33" w:rsidRPr="00421503">
        <w:t xml:space="preserve">). </w:t>
      </w:r>
    </w:p>
    <w:p w14:paraId="2539B4EC" w14:textId="0ECE6239" w:rsidR="009619E4" w:rsidRPr="00421503" w:rsidRDefault="00C85213" w:rsidP="00560B7E">
      <w:pPr>
        <w:ind w:left="284"/>
      </w:pPr>
      <w:r w:rsidRPr="00421503">
        <w:t xml:space="preserve">In Australia, </w:t>
      </w:r>
      <w:r w:rsidR="00DA7763" w:rsidRPr="00421503">
        <w:t>approximately</w:t>
      </w:r>
      <w:r w:rsidRPr="00421503">
        <w:t xml:space="preserve"> 446 diagnose</w:t>
      </w:r>
      <w:r w:rsidR="00173012" w:rsidRPr="00421503">
        <w:t>s</w:t>
      </w:r>
      <w:r w:rsidR="00DB2224">
        <w:t xml:space="preserve"> (in both children and adults)</w:t>
      </w:r>
      <w:r w:rsidRPr="00421503">
        <w:t xml:space="preserve"> with </w:t>
      </w:r>
      <w:r w:rsidR="00816045" w:rsidRPr="00421503">
        <w:t xml:space="preserve">and 109 deaths from ALL </w:t>
      </w:r>
      <w:proofErr w:type="gramStart"/>
      <w:r w:rsidR="00173012" w:rsidRPr="00421503">
        <w:t>are expected</w:t>
      </w:r>
      <w:proofErr w:type="gramEnd"/>
      <w:r w:rsidR="00173012" w:rsidRPr="00421503">
        <w:t xml:space="preserve"> </w:t>
      </w:r>
      <w:r w:rsidRPr="00421503">
        <w:t>in 2021 (AIHW 2021)</w:t>
      </w:r>
      <w:r w:rsidR="006C6734" w:rsidRPr="00421503">
        <w:rPr>
          <w:rStyle w:val="FootnoteReference"/>
        </w:rPr>
        <w:footnoteReference w:id="2"/>
      </w:r>
      <w:r w:rsidRPr="00421503">
        <w:t xml:space="preserve">. </w:t>
      </w:r>
      <w:r w:rsidR="008F6B83" w:rsidRPr="00421503">
        <w:t xml:space="preserve">ALL is </w:t>
      </w:r>
      <w:proofErr w:type="gramStart"/>
      <w:r w:rsidR="008F6B83" w:rsidRPr="00421503">
        <w:t>mainly considered</w:t>
      </w:r>
      <w:proofErr w:type="gramEnd"/>
      <w:r w:rsidR="008F6B83" w:rsidRPr="00421503">
        <w:t xml:space="preserve"> a paediatric leuk</w:t>
      </w:r>
      <w:r w:rsidR="00916434" w:rsidRPr="00421503">
        <w:t>a</w:t>
      </w:r>
      <w:r w:rsidR="008F6B83" w:rsidRPr="00421503">
        <w:t xml:space="preserve">emia with 80% of cases occurring in children and 20% occurring in adults </w:t>
      </w:r>
      <w:r w:rsidR="00700D33" w:rsidRPr="00421503">
        <w:t>(Paul et al., 2016</w:t>
      </w:r>
      <w:r w:rsidR="008B77F7" w:rsidRPr="00421503">
        <w:rPr>
          <w:noProof/>
          <w:vertAlign w:val="superscript"/>
        </w:rPr>
        <w:t>1</w:t>
      </w:r>
      <w:r w:rsidR="00700D33" w:rsidRPr="00421503">
        <w:t xml:space="preserve">).  </w:t>
      </w:r>
      <w:r w:rsidR="00FF1B7C" w:rsidRPr="00421503">
        <w:t xml:space="preserve">The median age at diagnosis for ALL is 17 years old. The disease occurs with a bimodal age distribution, with 53.5% of patients diagnosed at younger than 20 years old and </w:t>
      </w:r>
      <w:r w:rsidR="002E6E2A" w:rsidRPr="00421503">
        <w:t xml:space="preserve">of the remainder: </w:t>
      </w:r>
      <w:r w:rsidR="00FF1B7C" w:rsidRPr="00421503">
        <w:t>29.6% of cases diagnosed in adult patients ≥ 45 years old and 13.7% of patients diagnosed at ≥ 65 years (</w:t>
      </w:r>
      <w:r w:rsidR="008B77F7" w:rsidRPr="00421503">
        <w:t>NCCN 2021</w:t>
      </w:r>
      <w:r w:rsidR="007C0AAE" w:rsidRPr="00421503">
        <w:rPr>
          <w:noProof/>
          <w:vertAlign w:val="superscript"/>
        </w:rPr>
        <w:t>3</w:t>
      </w:r>
      <w:r w:rsidR="00FF1B7C" w:rsidRPr="00421503">
        <w:t>). S</w:t>
      </w:r>
      <w:r w:rsidR="008F6B83" w:rsidRPr="00421503">
        <w:t xml:space="preserve">urvival is particularly poor among adults (Katz </w:t>
      </w:r>
      <w:r w:rsidR="00B570A1" w:rsidRPr="00421503">
        <w:t xml:space="preserve">et. al., </w:t>
      </w:r>
      <w:r w:rsidR="008F6B83" w:rsidRPr="00421503">
        <w:t>2015</w:t>
      </w:r>
      <w:r w:rsidR="00B570A1" w:rsidRPr="00421503">
        <w:rPr>
          <w:noProof/>
          <w:vertAlign w:val="superscript"/>
        </w:rPr>
        <w:t>12</w:t>
      </w:r>
      <w:r w:rsidR="008F6B83" w:rsidRPr="00421503">
        <w:t>) and represents a devastating disease when it occurs in adults</w:t>
      </w:r>
      <w:r w:rsidR="002E6E2A" w:rsidRPr="00421503">
        <w:t xml:space="preserve"> with high mortality</w:t>
      </w:r>
      <w:r w:rsidR="008F6B83" w:rsidRPr="00421503">
        <w:t xml:space="preserve"> (</w:t>
      </w:r>
      <w:r w:rsidR="008B77F7" w:rsidRPr="00421503">
        <w:t>Terwiliger et. al., 2017</w:t>
      </w:r>
      <w:r w:rsidR="007C0AAE" w:rsidRPr="00421503">
        <w:rPr>
          <w:noProof/>
          <w:vertAlign w:val="superscript"/>
        </w:rPr>
        <w:t>4</w:t>
      </w:r>
      <w:r w:rsidR="008F6B83" w:rsidRPr="00421503">
        <w:t>).</w:t>
      </w:r>
      <w:r w:rsidR="001F0AAD" w:rsidRPr="00421503">
        <w:t xml:space="preserve"> </w:t>
      </w:r>
    </w:p>
    <w:p w14:paraId="59E1CBCC" w14:textId="3C9A89C6" w:rsidR="00560B7E" w:rsidRPr="00421503" w:rsidRDefault="001F0AAD" w:rsidP="00560B7E">
      <w:pPr>
        <w:ind w:left="284"/>
      </w:pPr>
      <w:r w:rsidRPr="00421503">
        <w:t xml:space="preserve">The 5- year overall survival (OS) is approximately 90% in children </w:t>
      </w:r>
      <w:r w:rsidR="001D317C">
        <w:t xml:space="preserve">but only </w:t>
      </w:r>
      <w:r w:rsidRPr="00421503">
        <w:t>20% to 40% in adults and elderly patients (</w:t>
      </w:r>
      <w:r w:rsidR="008B77F7" w:rsidRPr="00421503">
        <w:t>NCCN 2021</w:t>
      </w:r>
      <w:r w:rsidR="007C0AAE" w:rsidRPr="00421503">
        <w:rPr>
          <w:noProof/>
          <w:vertAlign w:val="superscript"/>
        </w:rPr>
        <w:t>3</w:t>
      </w:r>
      <w:r w:rsidRPr="00421503">
        <w:t xml:space="preserve">; </w:t>
      </w:r>
      <w:r w:rsidR="00700D33" w:rsidRPr="00421503">
        <w:t>Paul et al., 2016</w:t>
      </w:r>
      <w:r w:rsidR="008B77F7" w:rsidRPr="00421503">
        <w:rPr>
          <w:noProof/>
          <w:vertAlign w:val="superscript"/>
        </w:rPr>
        <w:t>1</w:t>
      </w:r>
      <w:r w:rsidR="00700D33" w:rsidRPr="00421503">
        <w:t xml:space="preserve">). </w:t>
      </w:r>
    </w:p>
    <w:p w14:paraId="0036BC8B" w14:textId="5C32FCBA" w:rsidR="001F0AAD" w:rsidRPr="00421503" w:rsidRDefault="00560B7E" w:rsidP="00560B7E">
      <w:pPr>
        <w:ind w:left="284"/>
      </w:pPr>
      <w:r w:rsidRPr="00421503">
        <w:t xml:space="preserve">Unfortunately, the treatment success of paediatric ALL has not </w:t>
      </w:r>
      <w:proofErr w:type="gramStart"/>
      <w:r w:rsidRPr="00421503">
        <w:t xml:space="preserve">been </w:t>
      </w:r>
      <w:r w:rsidR="00A721FD" w:rsidRPr="00421503">
        <w:t>achieved</w:t>
      </w:r>
      <w:proofErr w:type="gramEnd"/>
      <w:r w:rsidR="00A721FD" w:rsidRPr="00421503">
        <w:t xml:space="preserve"> </w:t>
      </w:r>
      <w:r w:rsidRPr="00421503">
        <w:t xml:space="preserve">in adult ALL. </w:t>
      </w:r>
      <w:r w:rsidR="00A77E47" w:rsidRPr="00421503">
        <w:t>Therefore, there remains a high unmet clinical need for adult patients with relapsed or refractory ALL, compared to the paediatric population</w:t>
      </w:r>
      <w:r w:rsidR="005A7322" w:rsidRPr="00421503">
        <w:t xml:space="preserve"> with a similar condition</w:t>
      </w:r>
      <w:r w:rsidR="00A77E47" w:rsidRPr="00421503">
        <w:t xml:space="preserve"> in whom tisagenlecleucel (Kymriah</w:t>
      </w:r>
      <w:r w:rsidR="00A77E47" w:rsidRPr="00421503">
        <w:rPr>
          <w:rFonts w:cstheme="minorHAnsi"/>
        </w:rPr>
        <w:t>®</w:t>
      </w:r>
      <w:r w:rsidR="00A77E47" w:rsidRPr="00421503">
        <w:t xml:space="preserve">) </w:t>
      </w:r>
      <w:proofErr w:type="gramStart"/>
      <w:r w:rsidR="00A77E47" w:rsidRPr="00421503">
        <w:t>is currently funded</w:t>
      </w:r>
      <w:proofErr w:type="gramEnd"/>
      <w:r w:rsidR="00A77E47" w:rsidRPr="00421503">
        <w:t xml:space="preserve"> in public hospitals in Australia. </w:t>
      </w:r>
    </w:p>
    <w:p w14:paraId="4173AEE5" w14:textId="76BD639B" w:rsidR="000322FD" w:rsidRPr="00853C2E" w:rsidRDefault="00C85213" w:rsidP="00560B7E">
      <w:pPr>
        <w:ind w:left="284"/>
      </w:pPr>
      <w:r w:rsidRPr="00421503">
        <w:t xml:space="preserve">ALL can develop from </w:t>
      </w:r>
      <w:proofErr w:type="gramStart"/>
      <w:r w:rsidRPr="00421503">
        <w:t>different types</w:t>
      </w:r>
      <w:proofErr w:type="gramEnd"/>
      <w:r w:rsidRPr="00421503">
        <w:t xml:space="preserve"> of lymphocytes, including B-cells or T-cells. </w:t>
      </w:r>
      <w:r w:rsidR="008F6B83" w:rsidRPr="00421503">
        <w:t xml:space="preserve">Precursor B-cell ALL (B-ALL) </w:t>
      </w:r>
      <w:r w:rsidR="008F6B83" w:rsidRPr="00853C2E">
        <w:t>is the most common type in adults (</w:t>
      </w:r>
      <w:r w:rsidR="008B77F7" w:rsidRPr="00853C2E">
        <w:t>Bassan et. al., 2019</w:t>
      </w:r>
      <w:r w:rsidR="007C0AAE" w:rsidRPr="00853C2E">
        <w:rPr>
          <w:noProof/>
          <w:vertAlign w:val="superscript"/>
        </w:rPr>
        <w:t>5</w:t>
      </w:r>
      <w:r w:rsidR="008F6B83" w:rsidRPr="00853C2E">
        <w:t xml:space="preserve">) </w:t>
      </w:r>
      <w:r w:rsidR="00EF6F71" w:rsidRPr="00853C2E">
        <w:t xml:space="preserve">representing </w:t>
      </w:r>
      <w:r w:rsidR="008F6B83" w:rsidRPr="00853C2E">
        <w:t>75%</w:t>
      </w:r>
      <w:r w:rsidR="00DA7763" w:rsidRPr="00853C2E">
        <w:t>-80%</w:t>
      </w:r>
      <w:r w:rsidR="008F6B83" w:rsidRPr="00853C2E">
        <w:t xml:space="preserve"> of cases, and the accumulation of lymphoblasts can spread to the bloodstream, affecting various organs (</w:t>
      </w:r>
      <w:r w:rsidR="008B77F7" w:rsidRPr="00853C2E">
        <w:t>Terwiliger et. al., 2017</w:t>
      </w:r>
      <w:r w:rsidR="007C0AAE" w:rsidRPr="00853C2E">
        <w:rPr>
          <w:noProof/>
          <w:vertAlign w:val="superscript"/>
        </w:rPr>
        <w:t>4</w:t>
      </w:r>
      <w:r w:rsidR="00DA7763" w:rsidRPr="00853C2E">
        <w:t>; Leukaemia Foundation</w:t>
      </w:r>
      <w:r w:rsidR="000322FD" w:rsidRPr="00853C2E">
        <w:t xml:space="preserve"> 2020</w:t>
      </w:r>
      <w:r w:rsidR="008F6B83" w:rsidRPr="00853C2E">
        <w:t>)</w:t>
      </w:r>
      <w:r w:rsidR="006C6734" w:rsidRPr="00853C2E">
        <w:rPr>
          <w:rStyle w:val="FootnoteReference"/>
        </w:rPr>
        <w:t xml:space="preserve"> </w:t>
      </w:r>
      <w:r w:rsidR="006C6734" w:rsidRPr="00853C2E">
        <w:rPr>
          <w:rStyle w:val="FootnoteReference"/>
        </w:rPr>
        <w:footnoteReference w:id="3"/>
      </w:r>
      <w:r w:rsidR="008F6B83" w:rsidRPr="00853C2E">
        <w:t xml:space="preserve">. </w:t>
      </w:r>
    </w:p>
    <w:p w14:paraId="7B30A0A9" w14:textId="59594BEE" w:rsidR="000322FD" w:rsidRPr="00853C2E" w:rsidRDefault="00146160" w:rsidP="000322FD">
      <w:pPr>
        <w:ind w:left="284"/>
        <w:rPr>
          <w:b/>
          <w:bCs/>
          <w:u w:val="single"/>
        </w:rPr>
      </w:pPr>
      <w:r w:rsidRPr="00853C2E">
        <w:rPr>
          <w:b/>
          <w:bCs/>
          <w:u w:val="single"/>
        </w:rPr>
        <w:t xml:space="preserve">Risk factors, early </w:t>
      </w:r>
      <w:r w:rsidR="004B1547" w:rsidRPr="00853C2E">
        <w:rPr>
          <w:b/>
          <w:bCs/>
          <w:u w:val="single"/>
        </w:rPr>
        <w:t>symptoms</w:t>
      </w:r>
      <w:r w:rsidRPr="00853C2E">
        <w:rPr>
          <w:b/>
          <w:bCs/>
          <w:u w:val="single"/>
        </w:rPr>
        <w:t xml:space="preserve"> and </w:t>
      </w:r>
      <w:r w:rsidR="005A7322" w:rsidRPr="00853C2E">
        <w:rPr>
          <w:b/>
          <w:bCs/>
          <w:u w:val="single"/>
        </w:rPr>
        <w:t>d</w:t>
      </w:r>
      <w:r w:rsidR="000322FD" w:rsidRPr="00853C2E">
        <w:rPr>
          <w:b/>
          <w:bCs/>
          <w:u w:val="single"/>
        </w:rPr>
        <w:t>iagnosis</w:t>
      </w:r>
    </w:p>
    <w:p w14:paraId="58C18D6D" w14:textId="21E4E972" w:rsidR="000322FD" w:rsidRPr="00853C2E" w:rsidRDefault="00DA7763" w:rsidP="00560B7E">
      <w:pPr>
        <w:ind w:left="284"/>
      </w:pPr>
      <w:r w:rsidRPr="00853C2E">
        <w:t xml:space="preserve">The exact causes of ALL remain </w:t>
      </w:r>
      <w:proofErr w:type="gramStart"/>
      <w:r w:rsidRPr="00853C2E">
        <w:t>largely unknown</w:t>
      </w:r>
      <w:proofErr w:type="gramEnd"/>
      <w:r w:rsidRPr="00853C2E">
        <w:t xml:space="preserve"> but it is thought to result from mutations in one or more of the genes that normally control blood cell development. This mutation will result in abnormal growth (Leukaemia Foundation</w:t>
      </w:r>
      <w:r w:rsidR="000322FD" w:rsidRPr="00853C2E">
        <w:t xml:space="preserve"> 2020</w:t>
      </w:r>
      <w:r w:rsidRPr="00853C2E">
        <w:t>)</w:t>
      </w:r>
      <w:r w:rsidR="006C6734" w:rsidRPr="00853C2E">
        <w:rPr>
          <w:rStyle w:val="FootnoteReference"/>
        </w:rPr>
        <w:footnoteReference w:id="4"/>
      </w:r>
      <w:r w:rsidR="000322FD" w:rsidRPr="00853C2E">
        <w:t xml:space="preserve">. The main symptoms of ALL </w:t>
      </w:r>
      <w:proofErr w:type="gramStart"/>
      <w:r w:rsidR="000322FD" w:rsidRPr="00853C2E">
        <w:t>are caused</w:t>
      </w:r>
      <w:proofErr w:type="gramEnd"/>
      <w:r w:rsidR="000322FD" w:rsidRPr="00853C2E">
        <w:t xml:space="preserve"> by a lack of normal circulating blood cells. ALL develops quickly, so people are usually only unwell for only </w:t>
      </w:r>
      <w:proofErr w:type="gramStart"/>
      <w:r w:rsidR="000322FD" w:rsidRPr="00853C2E">
        <w:t>a short period</w:t>
      </w:r>
      <w:proofErr w:type="gramEnd"/>
      <w:r w:rsidR="000322FD" w:rsidRPr="00853C2E">
        <w:t xml:space="preserve"> (it could be days, or weeks) before diagnosis. </w:t>
      </w:r>
      <w:proofErr w:type="gramStart"/>
      <w:r w:rsidR="000322FD" w:rsidRPr="00853C2E">
        <w:t>Possible signs</w:t>
      </w:r>
      <w:proofErr w:type="gramEnd"/>
      <w:r w:rsidR="000322FD" w:rsidRPr="00853C2E">
        <w:t xml:space="preserve"> of adult ALL include fever, feeling tired and increased or unexplained bleeding or bruising due to a low platelet count. ALL </w:t>
      </w:r>
      <w:proofErr w:type="gramStart"/>
      <w:r w:rsidR="000322FD" w:rsidRPr="00853C2E">
        <w:t>is diagnosed</w:t>
      </w:r>
      <w:proofErr w:type="gramEnd"/>
      <w:r w:rsidR="000322FD" w:rsidRPr="00853C2E">
        <w:t xml:space="preserve"> by examining samples of </w:t>
      </w:r>
      <w:r w:rsidR="00AE40E7" w:rsidRPr="00853C2E">
        <w:t xml:space="preserve">patient’s </w:t>
      </w:r>
      <w:r w:rsidR="000322FD" w:rsidRPr="00853C2E">
        <w:t>blood and bone marrow in a variety of tests (Rare</w:t>
      </w:r>
      <w:r w:rsidR="00146160" w:rsidRPr="00853C2E">
        <w:t xml:space="preserve"> </w:t>
      </w:r>
      <w:r w:rsidR="000322FD" w:rsidRPr="00853C2E">
        <w:t>Cancer</w:t>
      </w:r>
      <w:r w:rsidR="00146160" w:rsidRPr="00853C2E">
        <w:t>s Australia</w:t>
      </w:r>
      <w:r w:rsidR="00FD54E8" w:rsidRPr="00853C2E">
        <w:t xml:space="preserve"> 2021</w:t>
      </w:r>
      <w:r w:rsidR="00146160" w:rsidRPr="00853C2E">
        <w:t>)</w:t>
      </w:r>
      <w:r w:rsidR="006C6734" w:rsidRPr="00853C2E">
        <w:rPr>
          <w:rStyle w:val="FootnoteReference"/>
        </w:rPr>
        <w:footnoteReference w:id="5"/>
      </w:r>
      <w:r w:rsidR="000322FD" w:rsidRPr="00853C2E">
        <w:t>.</w:t>
      </w:r>
      <w:r w:rsidR="00A81998" w:rsidRPr="00853C2E">
        <w:t xml:space="preserve"> The diagnosis of ALL </w:t>
      </w:r>
      <w:proofErr w:type="gramStart"/>
      <w:r w:rsidR="00A81998" w:rsidRPr="00853C2E">
        <w:t>generally requires</w:t>
      </w:r>
      <w:proofErr w:type="gramEnd"/>
      <w:r w:rsidR="00A81998" w:rsidRPr="00853C2E">
        <w:t xml:space="preserve"> demonstration of ≥20% bone marrow lymphoblasts, upon </w:t>
      </w:r>
      <w:r w:rsidR="00AE40E7" w:rsidRPr="00853C2E">
        <w:t>hematopathology</w:t>
      </w:r>
      <w:r w:rsidR="00A81998" w:rsidRPr="00853C2E">
        <w:t xml:space="preserve"> review of bone marrow aspirate and biopsy materials (</w:t>
      </w:r>
      <w:r w:rsidR="008B77F7" w:rsidRPr="00853C2E">
        <w:t>NCCN 2021</w:t>
      </w:r>
      <w:r w:rsidR="007C0AAE" w:rsidRPr="00853C2E">
        <w:rPr>
          <w:noProof/>
          <w:vertAlign w:val="superscript"/>
        </w:rPr>
        <w:t>3</w:t>
      </w:r>
      <w:r w:rsidR="00A81998" w:rsidRPr="00853C2E">
        <w:t>).</w:t>
      </w:r>
    </w:p>
    <w:p w14:paraId="19CF0DD2" w14:textId="77777777" w:rsidR="00F15CA9" w:rsidRPr="00853C2E" w:rsidRDefault="00F15CA9" w:rsidP="00F15CA9">
      <w:pPr>
        <w:ind w:left="284"/>
        <w:rPr>
          <w:b/>
          <w:bCs/>
          <w:u w:val="single"/>
        </w:rPr>
      </w:pPr>
      <w:r w:rsidRPr="00853C2E">
        <w:rPr>
          <w:b/>
          <w:bCs/>
          <w:u w:val="single"/>
        </w:rPr>
        <w:t>Prognosis and t</w:t>
      </w:r>
      <w:r w:rsidR="00146160" w:rsidRPr="00853C2E">
        <w:rPr>
          <w:b/>
          <w:bCs/>
          <w:u w:val="single"/>
        </w:rPr>
        <w:t>reatment</w:t>
      </w:r>
    </w:p>
    <w:p w14:paraId="2487840A" w14:textId="542DF5F4" w:rsidR="00D86738" w:rsidRDefault="00F15CA9" w:rsidP="00560B7E">
      <w:pPr>
        <w:ind w:left="284"/>
      </w:pPr>
      <w:r w:rsidRPr="00853C2E">
        <w:t>Accurate assessment of prognosis is central to the management of ALL. Risk stratification allows the</w:t>
      </w:r>
      <w:r w:rsidRPr="00F15CA9">
        <w:t xml:space="preserve"> physician to determine the most appropriate initial treatment regimen as well as when to consider </w:t>
      </w:r>
      <w:r w:rsidR="00EF6F71">
        <w:t>a</w:t>
      </w:r>
      <w:r w:rsidRPr="00F15CA9">
        <w:t xml:space="preserve">llo-SCT. </w:t>
      </w:r>
      <w:r w:rsidR="00DB00A2" w:rsidRPr="00DB00A2">
        <w:lastRenderedPageBreak/>
        <w:t>A comprehensive diagnostic approach requires the study of cell morphology, immunophenotype, genetics/cytogenetics and genomics, as detailed in the 2008 World Health Organi</w:t>
      </w:r>
      <w:r w:rsidR="00DC5E83">
        <w:t>s</w:t>
      </w:r>
      <w:r w:rsidR="00DB00A2" w:rsidRPr="00DB00A2">
        <w:t xml:space="preserve">ation (WHO) classification </w:t>
      </w:r>
      <w:r w:rsidR="00E24FB8" w:rsidRPr="007471D5">
        <w:t xml:space="preserve">which </w:t>
      </w:r>
      <w:proofErr w:type="gramStart"/>
      <w:r w:rsidR="00E24FB8" w:rsidRPr="007471D5">
        <w:t>was recently updated</w:t>
      </w:r>
      <w:proofErr w:type="gramEnd"/>
      <w:r w:rsidR="00DB00A2" w:rsidRPr="007471D5">
        <w:t xml:space="preserve"> (Hoelzer </w:t>
      </w:r>
      <w:r w:rsidR="00853C2E" w:rsidRPr="007471D5">
        <w:t xml:space="preserve">et. al., </w:t>
      </w:r>
      <w:r w:rsidR="00DB00A2" w:rsidRPr="007471D5">
        <w:t>2016</w:t>
      </w:r>
      <w:r w:rsidR="007471D5" w:rsidRPr="007471D5">
        <w:rPr>
          <w:noProof/>
          <w:vertAlign w:val="superscript"/>
        </w:rPr>
        <w:t>13</w:t>
      </w:r>
      <w:r w:rsidR="00853C2E" w:rsidRPr="007471D5">
        <w:t xml:space="preserve">; </w:t>
      </w:r>
      <w:r w:rsidR="007847A6" w:rsidRPr="007471D5">
        <w:t xml:space="preserve">Figure </w:t>
      </w:r>
      <w:r w:rsidR="007847A6" w:rsidRPr="007471D5">
        <w:rPr>
          <w:noProof/>
        </w:rPr>
        <w:t>1</w:t>
      </w:r>
      <w:r w:rsidR="00DB00A2" w:rsidRPr="007471D5">
        <w:t>).</w:t>
      </w:r>
      <w:r w:rsidR="00DB00A2" w:rsidRPr="00DB00A2">
        <w:t xml:space="preserve"> </w:t>
      </w:r>
    </w:p>
    <w:p w14:paraId="6A98F995" w14:textId="034793A9" w:rsidR="00D86738" w:rsidRDefault="00D86738" w:rsidP="00D86738">
      <w:pPr>
        <w:pStyle w:val="Caption"/>
      </w:pPr>
      <w:r>
        <w:t xml:space="preserve">       </w:t>
      </w:r>
      <w:bookmarkStart w:id="11" w:name="_Ref84068287"/>
      <w:r>
        <w:t xml:space="preserve">Figure </w:t>
      </w:r>
      <w:r w:rsidR="007847A6">
        <w:rPr>
          <w:noProof/>
        </w:rPr>
        <w:t>1</w:t>
      </w:r>
      <w:bookmarkEnd w:id="11"/>
      <w:r>
        <w:t xml:space="preserve"> Diagnostic work-up in adult ALL</w:t>
      </w:r>
      <w:r w:rsidR="00D37070">
        <w:t xml:space="preserve"> (ESMO)</w:t>
      </w:r>
    </w:p>
    <w:p w14:paraId="6D2A4F91" w14:textId="4311B00E" w:rsidR="00DB00A2" w:rsidRDefault="00DB00A2" w:rsidP="00853C2E">
      <w:pPr>
        <w:spacing w:after="0"/>
        <w:ind w:left="284"/>
      </w:pPr>
      <w:r w:rsidRPr="00DB00A2">
        <w:rPr>
          <w:noProof/>
        </w:rPr>
        <w:drawing>
          <wp:inline distT="0" distB="0" distL="0" distR="0" wp14:anchorId="4FBD66D9" wp14:editId="5588EC96">
            <wp:extent cx="5731510" cy="6229350"/>
            <wp:effectExtent l="12700" t="12700" r="8890" b="19050"/>
            <wp:docPr id="2" name="Picture 2" descr="Figure 1 Diagnostic work-up in adult ALL (E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Diagnostic work-up in adult ALL (ESMO)"/>
                    <pic:cNvPicPr/>
                  </pic:nvPicPr>
                  <pic:blipFill>
                    <a:blip r:embed="rId14"/>
                    <a:stretch>
                      <a:fillRect/>
                    </a:stretch>
                  </pic:blipFill>
                  <pic:spPr>
                    <a:xfrm>
                      <a:off x="0" y="0"/>
                      <a:ext cx="5731510" cy="6229350"/>
                    </a:xfrm>
                    <a:prstGeom prst="rect">
                      <a:avLst/>
                    </a:prstGeom>
                    <a:ln>
                      <a:solidFill>
                        <a:schemeClr val="tx1"/>
                      </a:solidFill>
                    </a:ln>
                  </pic:spPr>
                </pic:pic>
              </a:graphicData>
            </a:graphic>
          </wp:inline>
        </w:drawing>
      </w:r>
    </w:p>
    <w:p w14:paraId="189BD477" w14:textId="2E192F3B" w:rsidR="00853C2E" w:rsidRPr="007471D5" w:rsidRDefault="00853C2E" w:rsidP="00853C2E">
      <w:pPr>
        <w:spacing w:before="0" w:after="240"/>
        <w:ind w:left="284"/>
        <w:rPr>
          <w:sz w:val="16"/>
          <w:szCs w:val="16"/>
        </w:rPr>
      </w:pPr>
      <w:r w:rsidRPr="007471D5">
        <w:rPr>
          <w:sz w:val="16"/>
          <w:szCs w:val="16"/>
        </w:rPr>
        <w:t>Source: (Hoelzer et. al., 2016</w:t>
      </w:r>
      <w:r w:rsidR="007471D5" w:rsidRPr="007471D5">
        <w:rPr>
          <w:noProof/>
          <w:sz w:val="16"/>
          <w:szCs w:val="16"/>
          <w:vertAlign w:val="superscript"/>
        </w:rPr>
        <w:t>13</w:t>
      </w:r>
      <w:r w:rsidRPr="007471D5">
        <w:rPr>
          <w:sz w:val="16"/>
          <w:szCs w:val="16"/>
        </w:rPr>
        <w:t>)</w:t>
      </w:r>
    </w:p>
    <w:p w14:paraId="7D2DBDE8" w14:textId="1A13718F" w:rsidR="008F6B83" w:rsidRPr="007471D5" w:rsidRDefault="008F6B83" w:rsidP="00C85213">
      <w:pPr>
        <w:ind w:left="284"/>
      </w:pPr>
      <w:r w:rsidRPr="007471D5">
        <w:t xml:space="preserve">The mainstay treatment for adult ALL patients with B-ALL is induction chemotherapy, followed by consolidation, and long-term maintenance therapy along with central nervous system (CNS) prophylaxis interwoven during the first year of treatment. The purpose of this multi-drug treatment approach is to eradicate the disease and restore normal haematopoiesis, provide prophylaxis to “sanctuary sites,” and prevent an upsurge of resistant clones that may lead to relapse </w:t>
      </w:r>
      <w:r w:rsidR="00700D33" w:rsidRPr="007471D5">
        <w:t>(Paul et al., 2016</w:t>
      </w:r>
      <w:r w:rsidR="008B77F7" w:rsidRPr="007471D5">
        <w:rPr>
          <w:noProof/>
          <w:vertAlign w:val="superscript"/>
        </w:rPr>
        <w:t>1</w:t>
      </w:r>
      <w:r w:rsidR="00700D33" w:rsidRPr="007471D5">
        <w:t>).</w:t>
      </w:r>
      <w:r w:rsidRPr="007471D5">
        <w:t xml:space="preserve"> </w:t>
      </w:r>
      <w:r w:rsidR="004B1547" w:rsidRPr="007471D5">
        <w:t>A</w:t>
      </w:r>
      <w:r w:rsidRPr="007471D5">
        <w:t xml:space="preserve">llo-SCT </w:t>
      </w:r>
      <w:proofErr w:type="gramStart"/>
      <w:r w:rsidRPr="007471D5">
        <w:t>is recommended</w:t>
      </w:r>
      <w:proofErr w:type="gramEnd"/>
      <w:r w:rsidRPr="007471D5">
        <w:t xml:space="preserve"> following consolidation in selected high-risk groups (</w:t>
      </w:r>
      <w:r w:rsidR="008B77F7" w:rsidRPr="007471D5">
        <w:t>Bassan et. al., 2019</w:t>
      </w:r>
      <w:r w:rsidR="007C0AAE" w:rsidRPr="007471D5">
        <w:rPr>
          <w:noProof/>
          <w:vertAlign w:val="superscript"/>
        </w:rPr>
        <w:t>5</w:t>
      </w:r>
      <w:r w:rsidRPr="007471D5">
        <w:t>).</w:t>
      </w:r>
    </w:p>
    <w:p w14:paraId="5EDB5F05" w14:textId="4C5AE996" w:rsidR="008F6B83" w:rsidRDefault="008F6B83" w:rsidP="008F6B83">
      <w:pPr>
        <w:ind w:left="284"/>
      </w:pPr>
      <w:r w:rsidRPr="007471D5">
        <w:t>Although adults with B-</w:t>
      </w:r>
      <w:r w:rsidR="006455A5" w:rsidRPr="007471D5">
        <w:t>ALL</w:t>
      </w:r>
      <w:r w:rsidRPr="007471D5">
        <w:t xml:space="preserve"> respond to initial treatment, 40–50% of patients relapse with poor prognosis </w:t>
      </w:r>
      <w:r w:rsidR="00700D33" w:rsidRPr="007471D5">
        <w:t>(Paul et al., 2016</w:t>
      </w:r>
      <w:r w:rsidR="008B77F7" w:rsidRPr="007471D5">
        <w:rPr>
          <w:noProof/>
          <w:vertAlign w:val="superscript"/>
        </w:rPr>
        <w:t>1</w:t>
      </w:r>
      <w:r w:rsidR="00700D33" w:rsidRPr="007471D5">
        <w:t xml:space="preserve">). </w:t>
      </w:r>
      <w:r w:rsidRPr="007471D5">
        <w:t>The 1-year overall survival rate is 26% after first salvage therapy and decreases with subsequent relapses (</w:t>
      </w:r>
      <w:r w:rsidR="008B77F7" w:rsidRPr="007471D5">
        <w:t>Gokbuget et. al., 2016</w:t>
      </w:r>
      <w:r w:rsidR="007C0AAE" w:rsidRPr="007471D5">
        <w:rPr>
          <w:noProof/>
          <w:vertAlign w:val="superscript"/>
        </w:rPr>
        <w:t>7</w:t>
      </w:r>
      <w:r w:rsidRPr="007471D5">
        <w:t xml:space="preserve">; </w:t>
      </w:r>
      <w:r w:rsidR="00700D33" w:rsidRPr="007471D5">
        <w:t>Paul et al., 2016</w:t>
      </w:r>
      <w:r w:rsidR="008B77F7" w:rsidRPr="007471D5">
        <w:rPr>
          <w:noProof/>
          <w:vertAlign w:val="superscript"/>
        </w:rPr>
        <w:t>1</w:t>
      </w:r>
      <w:r w:rsidR="00700D33" w:rsidRPr="007471D5">
        <w:t>).</w:t>
      </w:r>
      <w:r w:rsidRPr="007471D5">
        <w:t xml:space="preserve"> Although the novel agents blinatumomab </w:t>
      </w:r>
      <w:r w:rsidRPr="007471D5">
        <w:lastRenderedPageBreak/>
        <w:t xml:space="preserve">and </w:t>
      </w:r>
      <w:r w:rsidR="005C055A" w:rsidRPr="007471D5">
        <w:t>i</w:t>
      </w:r>
      <w:r w:rsidRPr="007471D5">
        <w:t>notuzumab ozogamicin lead to a proportion of patients with complete remission or complete remission with incomplete haematological recovery of 35</w:t>
      </w:r>
      <w:r w:rsidR="001D317C">
        <w:t>.</w:t>
      </w:r>
      <w:r w:rsidRPr="007471D5">
        <w:t>1% (blinatumomab) and 80</w:t>
      </w:r>
      <w:r w:rsidR="001D317C">
        <w:t>.</w:t>
      </w:r>
      <w:r w:rsidRPr="007471D5">
        <w:t xml:space="preserve">7% (inotuzumab ozogamicin), median overall survival remains at less than 8 months and is </w:t>
      </w:r>
      <w:proofErr w:type="gramStart"/>
      <w:r w:rsidRPr="007471D5">
        <w:t>largely contingent</w:t>
      </w:r>
      <w:proofErr w:type="gramEnd"/>
      <w:r w:rsidRPr="007471D5">
        <w:t xml:space="preserve"> on </w:t>
      </w:r>
      <w:r w:rsidR="004B1547" w:rsidRPr="007471D5">
        <w:t>a</w:t>
      </w:r>
      <w:r w:rsidRPr="007471D5">
        <w:t xml:space="preserve">llo-SCT consolidation (Shah </w:t>
      </w:r>
      <w:r w:rsidR="007C0AAE" w:rsidRPr="007471D5">
        <w:t xml:space="preserve">et. al., </w:t>
      </w:r>
      <w:r w:rsidRPr="007471D5">
        <w:t>20</w:t>
      </w:r>
      <w:r w:rsidR="004B1547" w:rsidRPr="007471D5">
        <w:t>2</w:t>
      </w:r>
      <w:r w:rsidRPr="007471D5">
        <w:t>1</w:t>
      </w:r>
      <w:r w:rsidR="00B570A1" w:rsidRPr="007471D5">
        <w:rPr>
          <w:noProof/>
          <w:vertAlign w:val="superscript"/>
        </w:rPr>
        <w:t>9</w:t>
      </w:r>
      <w:r w:rsidR="007C0AAE" w:rsidRPr="007471D5">
        <w:t>; Shah et. al., 2021</w:t>
      </w:r>
      <w:r w:rsidR="00B570A1" w:rsidRPr="007471D5">
        <w:rPr>
          <w:noProof/>
          <w:vertAlign w:val="superscript"/>
        </w:rPr>
        <w:t>8</w:t>
      </w:r>
      <w:r w:rsidRPr="007471D5">
        <w:t>).</w:t>
      </w:r>
    </w:p>
    <w:p w14:paraId="48A97FA8" w14:textId="77777777" w:rsidR="00B87234" w:rsidRDefault="00B87234" w:rsidP="008F6B83">
      <w:pPr>
        <w:ind w:left="284"/>
      </w:pPr>
    </w:p>
    <w:p w14:paraId="0FD1DF1E" w14:textId="77777777" w:rsidR="00AA5FDA" w:rsidRPr="00154B00" w:rsidRDefault="00E95FE2" w:rsidP="00E95FE2">
      <w:pPr>
        <w:pStyle w:val="Heading2"/>
        <w:spacing w:before="0" w:after="200" w:line="276" w:lineRule="auto"/>
      </w:pPr>
      <w:r>
        <w:t xml:space="preserve">Specify the </w:t>
      </w:r>
      <w:r w:rsidRPr="00154B00">
        <w:t xml:space="preserve">characteristics </w:t>
      </w:r>
      <w:r>
        <w:t xml:space="preserve">of </w:t>
      </w:r>
      <w:r w:rsidRPr="00154B00">
        <w:t xml:space="preserve">patients with </w:t>
      </w:r>
      <w:r>
        <w:t xml:space="preserve">(or suspected of having) </w:t>
      </w:r>
      <w:r w:rsidRPr="00154B00">
        <w:t>the medical condition</w:t>
      </w:r>
      <w:r>
        <w:t xml:space="preserve">, </w:t>
      </w:r>
      <w:r w:rsidRPr="00154B00">
        <w:t xml:space="preserve">who </w:t>
      </w:r>
      <w:r>
        <w:t xml:space="preserve">would be </w:t>
      </w:r>
      <w:r w:rsidRPr="00154B00">
        <w:t xml:space="preserve">eligible for the proposed </w:t>
      </w:r>
      <w:r>
        <w:t xml:space="preserve">medical </w:t>
      </w:r>
      <w:r w:rsidRPr="00154B00">
        <w:t>service</w:t>
      </w:r>
      <w:r>
        <w:t>/technology (including details on</w:t>
      </w:r>
      <w:r w:rsidRPr="00154B00">
        <w:t xml:space="preserve"> how a patient would </w:t>
      </w:r>
      <w:proofErr w:type="gramStart"/>
      <w:r w:rsidRPr="00154B00">
        <w:t>be investigated</w:t>
      </w:r>
      <w:proofErr w:type="gramEnd"/>
      <w:r w:rsidRPr="00154B00">
        <w:t>, managed and referred within the Australian health care system</w:t>
      </w:r>
      <w:r>
        <w:t>,</w:t>
      </w:r>
      <w:r w:rsidRPr="00154B00">
        <w:t xml:space="preserve"> in the lead up to being eligible for the service</w:t>
      </w:r>
      <w:r>
        <w:t>):</w:t>
      </w:r>
    </w:p>
    <w:p w14:paraId="0E0CECEF" w14:textId="30886768" w:rsidR="005E3382" w:rsidRDefault="005E3382" w:rsidP="005E3382">
      <w:pPr>
        <w:ind w:left="426"/>
      </w:pPr>
      <w:r>
        <w:t xml:space="preserve">The population for whom reimbursement of brexucabtagene autoleucel </w:t>
      </w:r>
      <w:proofErr w:type="gramStart"/>
      <w:r>
        <w:t>is proposed</w:t>
      </w:r>
      <w:proofErr w:type="gramEnd"/>
      <w:r>
        <w:t xml:space="preserve"> is intended to be</w:t>
      </w:r>
      <w:r>
        <w:rPr>
          <w:spacing w:val="1"/>
        </w:rPr>
        <w:t xml:space="preserve"> </w:t>
      </w:r>
      <w:r>
        <w:t>consistent with the proposed indication for brexucabtagene autoleucel and the eligibility criteria that</w:t>
      </w:r>
      <w:r>
        <w:rPr>
          <w:spacing w:val="1"/>
        </w:rPr>
        <w:t xml:space="preserve"> </w:t>
      </w:r>
      <w:r>
        <w:t>were applied in recruiting patients to the ZUMA-</w:t>
      </w:r>
      <w:r w:rsidR="00107459">
        <w:t>3</w:t>
      </w:r>
      <w:r>
        <w:t xml:space="preserve"> pivotal study investigating the efficacy and safety of</w:t>
      </w:r>
      <w:r>
        <w:rPr>
          <w:spacing w:val="-43"/>
        </w:rPr>
        <w:t xml:space="preserve"> </w:t>
      </w:r>
      <w:r>
        <w:t xml:space="preserve">brexucabtagene autoleucel. The population of patients for whom it </w:t>
      </w:r>
      <w:proofErr w:type="gramStart"/>
      <w:r>
        <w:t>is proposed</w:t>
      </w:r>
      <w:proofErr w:type="gramEnd"/>
      <w:r>
        <w:t xml:space="preserve"> that brexucabtagene</w:t>
      </w:r>
      <w:r>
        <w:rPr>
          <w:spacing w:val="1"/>
        </w:rPr>
        <w:t xml:space="preserve"> </w:t>
      </w:r>
      <w:r>
        <w:t>autoleucel</w:t>
      </w:r>
      <w:r>
        <w:rPr>
          <w:spacing w:val="-2"/>
        </w:rPr>
        <w:t xml:space="preserve"> </w:t>
      </w:r>
      <w:r>
        <w:t>be</w:t>
      </w:r>
      <w:r>
        <w:rPr>
          <w:spacing w:val="-3"/>
        </w:rPr>
        <w:t xml:space="preserve"> </w:t>
      </w:r>
      <w:r>
        <w:t>made available</w:t>
      </w:r>
      <w:r>
        <w:rPr>
          <w:spacing w:val="-1"/>
        </w:rPr>
        <w:t xml:space="preserve"> </w:t>
      </w:r>
      <w:r>
        <w:t>can</w:t>
      </w:r>
      <w:r>
        <w:rPr>
          <w:spacing w:val="-1"/>
        </w:rPr>
        <w:t xml:space="preserve"> </w:t>
      </w:r>
      <w:r>
        <w:t>be</w:t>
      </w:r>
      <w:r>
        <w:rPr>
          <w:spacing w:val="-2"/>
        </w:rPr>
        <w:t xml:space="preserve"> </w:t>
      </w:r>
      <w:r>
        <w:t>summarised as follows:</w:t>
      </w:r>
    </w:p>
    <w:p w14:paraId="3F4AA275" w14:textId="7404916E" w:rsidR="00E2732F" w:rsidRPr="00E2732F" w:rsidRDefault="005E3382" w:rsidP="00813072">
      <w:pPr>
        <w:ind w:left="426"/>
        <w:rPr>
          <w:color w:val="0070C0"/>
        </w:rPr>
      </w:pPr>
      <w:r w:rsidRPr="005E3382">
        <w:t xml:space="preserve">Patients aged </w:t>
      </w:r>
      <w:r w:rsidR="00562E46">
        <w:t xml:space="preserve">26 </w:t>
      </w:r>
      <w:r w:rsidRPr="005E3382">
        <w:t>years or older, ha</w:t>
      </w:r>
      <w:r w:rsidR="006455A5">
        <w:t>s</w:t>
      </w:r>
      <w:r w:rsidRPr="005E3382">
        <w:t xml:space="preserve"> Eastern Cooperative Oncology Group performance status of 0</w:t>
      </w:r>
      <w:r w:rsidR="00107459">
        <w:t>-</w:t>
      </w:r>
      <w:r w:rsidRPr="005E3382">
        <w:t>1, and ha</w:t>
      </w:r>
      <w:r w:rsidR="006455A5">
        <w:t>s</w:t>
      </w:r>
      <w:r w:rsidRPr="005E3382">
        <w:t xml:space="preserve"> relapsed or refractory B-precursor acute lymphoblastic leukaemia with morphological disease in the bone marrow (&gt;5% blasts). </w:t>
      </w:r>
      <w:r w:rsidR="00E2732F" w:rsidRPr="00005B53">
        <w:t xml:space="preserve">Note, the age restriction requested will be for </w:t>
      </w:r>
      <w:r w:rsidR="00E30A87" w:rsidRPr="00005B53">
        <w:rPr>
          <w:szCs w:val="20"/>
        </w:rPr>
        <w:t xml:space="preserve">≥26 </w:t>
      </w:r>
      <w:r w:rsidR="00E2732F" w:rsidRPr="00005B53">
        <w:t xml:space="preserve">years old and relevant sub-group analyses for this patient group will </w:t>
      </w:r>
      <w:proofErr w:type="gramStart"/>
      <w:r w:rsidR="00E2732F" w:rsidRPr="00005B53">
        <w:t>be presented</w:t>
      </w:r>
      <w:proofErr w:type="gramEnd"/>
      <w:r w:rsidR="00E2732F" w:rsidRPr="00005B53">
        <w:t>.</w:t>
      </w:r>
    </w:p>
    <w:p w14:paraId="1F1DBEA7" w14:textId="38556684" w:rsidR="00107459" w:rsidRDefault="005E3382" w:rsidP="00813072">
      <w:pPr>
        <w:ind w:left="426"/>
      </w:pPr>
      <w:r w:rsidRPr="005E3382">
        <w:t xml:space="preserve">Relapsed or refractory disease </w:t>
      </w:r>
      <w:proofErr w:type="gramStart"/>
      <w:r w:rsidR="006455A5">
        <w:t>is</w:t>
      </w:r>
      <w:r w:rsidRPr="005E3382">
        <w:t xml:space="preserve"> defined</w:t>
      </w:r>
      <w:proofErr w:type="gramEnd"/>
      <w:r w:rsidRPr="005E3382">
        <w:t xml:space="preserve"> as </w:t>
      </w:r>
      <w:r w:rsidR="00107459">
        <w:t>one of the following:</w:t>
      </w:r>
    </w:p>
    <w:p w14:paraId="4EEBA9E6" w14:textId="77777777" w:rsidR="00107459" w:rsidRDefault="00107459" w:rsidP="00056F06">
      <w:pPr>
        <w:pStyle w:val="ListParagraph"/>
        <w:numPr>
          <w:ilvl w:val="0"/>
          <w:numId w:val="19"/>
        </w:numPr>
      </w:pPr>
      <w:r>
        <w:t>P</w:t>
      </w:r>
      <w:r w:rsidR="005E3382" w:rsidRPr="005E3382">
        <w:t>rimary refractory</w:t>
      </w:r>
      <w:r>
        <w:t xml:space="preserve"> disease</w:t>
      </w:r>
      <w:r w:rsidR="005E3382" w:rsidRPr="005E3382">
        <w:t xml:space="preserve"> </w:t>
      </w:r>
    </w:p>
    <w:p w14:paraId="7B47EDCC" w14:textId="45C735CD" w:rsidR="00107459" w:rsidRDefault="00107459" w:rsidP="00056F06">
      <w:pPr>
        <w:pStyle w:val="ListParagraph"/>
        <w:numPr>
          <w:ilvl w:val="0"/>
          <w:numId w:val="19"/>
        </w:numPr>
      </w:pPr>
      <w:r>
        <w:t>F</w:t>
      </w:r>
      <w:r w:rsidR="005E3382" w:rsidRPr="005E3382">
        <w:t xml:space="preserve">irst relapse </w:t>
      </w:r>
      <w:r w:rsidR="00840058">
        <w:t xml:space="preserve">if </w:t>
      </w:r>
      <w:r w:rsidR="005E3382" w:rsidRPr="005E3382">
        <w:t xml:space="preserve">remission </w:t>
      </w:r>
      <w:r w:rsidR="00840058">
        <w:t xml:space="preserve">was </w:t>
      </w:r>
      <w:r w:rsidR="005E3382" w:rsidRPr="005E3382">
        <w:t>12 months or less</w:t>
      </w:r>
    </w:p>
    <w:p w14:paraId="161046B2" w14:textId="6EA8BB19" w:rsidR="00107459" w:rsidRDefault="00107459" w:rsidP="00056F06">
      <w:pPr>
        <w:pStyle w:val="ListParagraph"/>
        <w:numPr>
          <w:ilvl w:val="0"/>
          <w:numId w:val="19"/>
        </w:numPr>
      </w:pPr>
      <w:r>
        <w:t>R</w:t>
      </w:r>
      <w:r w:rsidR="005E3382" w:rsidRPr="005E3382">
        <w:t>elapsed or refractory after two</w:t>
      </w:r>
      <w:r w:rsidR="00840058">
        <w:t xml:space="preserve"> or more </w:t>
      </w:r>
      <w:r w:rsidR="005E3382" w:rsidRPr="005E3382">
        <w:t>lines of systemic therapy</w:t>
      </w:r>
    </w:p>
    <w:p w14:paraId="08B7CBA6" w14:textId="640ECA7A" w:rsidR="00813072" w:rsidRDefault="00107459" w:rsidP="00056F06">
      <w:pPr>
        <w:pStyle w:val="ListParagraph"/>
        <w:numPr>
          <w:ilvl w:val="0"/>
          <w:numId w:val="19"/>
        </w:numPr>
      </w:pPr>
      <w:r>
        <w:t>R</w:t>
      </w:r>
      <w:r w:rsidR="005E3382" w:rsidRPr="005E3382">
        <w:t xml:space="preserve">elapsed or refractory after allo-SCT. </w:t>
      </w:r>
    </w:p>
    <w:p w14:paraId="1EB97AD3" w14:textId="1BB46422" w:rsidR="00A113BA" w:rsidRDefault="00A113BA" w:rsidP="00813072">
      <w:pPr>
        <w:ind w:left="426"/>
      </w:pPr>
      <w:r>
        <w:t>Depending on clinical circumstances, patients could have received previous blinatumomab, inotuzumab ozogamicin</w:t>
      </w:r>
      <w:r w:rsidR="00354F28">
        <w:t xml:space="preserve"> or tyrosine kinase inhibitors (if </w:t>
      </w:r>
      <w:r w:rsidR="00ED05B0">
        <w:t>Ph-</w:t>
      </w:r>
      <w:r w:rsidR="00354F28">
        <w:t>positive).</w:t>
      </w:r>
    </w:p>
    <w:p w14:paraId="0AC43E8D" w14:textId="3BEBFA67" w:rsidR="00813072" w:rsidRDefault="00813072" w:rsidP="00813072">
      <w:pPr>
        <w:ind w:left="426"/>
      </w:pPr>
      <w:r w:rsidRPr="00F15CA9">
        <w:t>On the basis of what is known about prognostic factors in adult ALL, the National Comprehensive Cancer Network (NCCN) has developed recommendations to approach risk stratification.</w:t>
      </w:r>
      <w:r>
        <w:t xml:space="preserve"> </w:t>
      </w:r>
      <w:r w:rsidRPr="00F15CA9">
        <w:t>The National Cancer Institute defines adolescent and young adults (AYA) to be those aged 15</w:t>
      </w:r>
      <w:r w:rsidR="00107459">
        <w:t>-</w:t>
      </w:r>
      <w:r w:rsidRPr="00F15CA9">
        <w:t xml:space="preserve">39 years. Both age groups </w:t>
      </w:r>
      <w:proofErr w:type="gramStart"/>
      <w:r w:rsidRPr="00F15CA9">
        <w:t>are then stratified</w:t>
      </w:r>
      <w:proofErr w:type="gramEnd"/>
      <w:r w:rsidRPr="00F15CA9">
        <w:t xml:space="preserve"> into high-risk Ph-positive and standard-risk Ph-negative subgroups. The Ph-negative subgroup can further be categori</w:t>
      </w:r>
      <w:r>
        <w:t>s</w:t>
      </w:r>
      <w:r w:rsidRPr="00F15CA9">
        <w:t>ed as high-risk based on the presence of MRD, elevated WBC (</w:t>
      </w:r>
      <w:r>
        <w:t>≥30 x 10</w:t>
      </w:r>
      <w:r>
        <w:rPr>
          <w:vertAlign w:val="superscript"/>
        </w:rPr>
        <w:t>9</w:t>
      </w:r>
      <w:r>
        <w:t>/L for B lineage or ≥100 x 10</w:t>
      </w:r>
      <w:r>
        <w:rPr>
          <w:vertAlign w:val="superscript"/>
        </w:rPr>
        <w:t>9</w:t>
      </w:r>
      <w:r>
        <w:t>/L for T lineage</w:t>
      </w:r>
      <w:r w:rsidRPr="00F15CA9">
        <w:t>) or unfavourable cytogenetics (</w:t>
      </w:r>
      <w:r w:rsidR="00E24FB8">
        <w:t xml:space="preserve">Table </w:t>
      </w:r>
      <w:r w:rsidR="00E24FB8">
        <w:rPr>
          <w:noProof/>
        </w:rPr>
        <w:t>1</w:t>
      </w:r>
      <w:r w:rsidRPr="00F15CA9">
        <w:t xml:space="preserve">). </w:t>
      </w:r>
    </w:p>
    <w:p w14:paraId="221F88E8" w14:textId="72258B68" w:rsidR="003923FC" w:rsidRPr="00C84F4C" w:rsidRDefault="00813072" w:rsidP="00062104">
      <w:pPr>
        <w:pStyle w:val="Caption"/>
      </w:pPr>
      <w:r>
        <w:t xml:space="preserve">       </w:t>
      </w:r>
      <w:bookmarkStart w:id="12" w:name="_Ref96170411"/>
      <w:r w:rsidR="00E05451">
        <w:t xml:space="preserve">Table </w:t>
      </w:r>
      <w:r w:rsidR="009A1DAB">
        <w:rPr>
          <w:noProof/>
        </w:rPr>
        <w:t>1</w:t>
      </w:r>
      <w:bookmarkEnd w:id="12"/>
      <w:r w:rsidR="00E05451">
        <w:t xml:space="preserve"> </w:t>
      </w:r>
      <w:r w:rsidR="004B1547">
        <w:t>Cytogenetic risk groups for B-ALL (NCCN)</w:t>
      </w:r>
    </w:p>
    <w:tbl>
      <w:tblPr>
        <w:tblStyle w:val="TableGrid"/>
        <w:tblW w:w="0" w:type="auto"/>
        <w:tblInd w:w="279" w:type="dxa"/>
        <w:tblLook w:val="04A0" w:firstRow="1" w:lastRow="0" w:firstColumn="1" w:lastColumn="0" w:noHBand="0" w:noVBand="1"/>
      </w:tblPr>
      <w:tblGrid>
        <w:gridCol w:w="1559"/>
        <w:gridCol w:w="7178"/>
      </w:tblGrid>
      <w:tr w:rsidR="00C84F4C" w:rsidRPr="00DF3451" w14:paraId="4E8D3A97" w14:textId="77777777" w:rsidTr="00DF3451">
        <w:tc>
          <w:tcPr>
            <w:tcW w:w="1559" w:type="dxa"/>
            <w:shd w:val="pct20" w:color="auto" w:fill="auto"/>
          </w:tcPr>
          <w:p w14:paraId="756854CC" w14:textId="360EA976" w:rsidR="00C84F4C" w:rsidRPr="00DF3451" w:rsidRDefault="00C84F4C" w:rsidP="003923FC">
            <w:pPr>
              <w:spacing w:before="0" w:after="0"/>
              <w:rPr>
                <w:b/>
                <w:bCs/>
                <w:sz w:val="18"/>
                <w:szCs w:val="18"/>
              </w:rPr>
            </w:pPr>
            <w:r w:rsidRPr="00DF3451">
              <w:rPr>
                <w:b/>
                <w:bCs/>
                <w:sz w:val="18"/>
                <w:szCs w:val="18"/>
              </w:rPr>
              <w:t>Risk Groups</w:t>
            </w:r>
          </w:p>
        </w:tc>
        <w:tc>
          <w:tcPr>
            <w:tcW w:w="7178" w:type="dxa"/>
            <w:shd w:val="pct20" w:color="auto" w:fill="auto"/>
          </w:tcPr>
          <w:p w14:paraId="3E89FBCA" w14:textId="6C7878F9" w:rsidR="00C84F4C" w:rsidRPr="00DF3451" w:rsidRDefault="00C84F4C" w:rsidP="003923FC">
            <w:pPr>
              <w:spacing w:before="0" w:after="0"/>
              <w:rPr>
                <w:b/>
                <w:bCs/>
                <w:sz w:val="18"/>
                <w:szCs w:val="18"/>
              </w:rPr>
            </w:pPr>
            <w:r w:rsidRPr="00DF3451">
              <w:rPr>
                <w:b/>
                <w:bCs/>
                <w:sz w:val="18"/>
                <w:szCs w:val="18"/>
              </w:rPr>
              <w:t>Cytogenetics</w:t>
            </w:r>
          </w:p>
        </w:tc>
      </w:tr>
      <w:tr w:rsidR="00C84F4C" w:rsidRPr="003923FC" w14:paraId="08ED3598" w14:textId="77777777" w:rsidTr="00DF3451">
        <w:tc>
          <w:tcPr>
            <w:tcW w:w="1559" w:type="dxa"/>
            <w:vAlign w:val="center"/>
          </w:tcPr>
          <w:p w14:paraId="1B0D9444" w14:textId="3E7CE2AD" w:rsidR="00C84F4C" w:rsidRPr="00E24FB8" w:rsidRDefault="00C84F4C" w:rsidP="00DF3451">
            <w:pPr>
              <w:spacing w:before="0" w:after="0"/>
              <w:jc w:val="left"/>
              <w:rPr>
                <w:sz w:val="18"/>
                <w:szCs w:val="18"/>
              </w:rPr>
            </w:pPr>
            <w:r w:rsidRPr="00E24FB8">
              <w:rPr>
                <w:sz w:val="18"/>
                <w:szCs w:val="18"/>
              </w:rPr>
              <w:t>Good risk</w:t>
            </w:r>
          </w:p>
        </w:tc>
        <w:tc>
          <w:tcPr>
            <w:tcW w:w="7178" w:type="dxa"/>
          </w:tcPr>
          <w:p w14:paraId="07E9B2EF" w14:textId="77777777" w:rsidR="00C84F4C" w:rsidRPr="00E24FB8" w:rsidRDefault="00C84F4C" w:rsidP="00E24FB8">
            <w:pPr>
              <w:pStyle w:val="ListParagraph"/>
              <w:numPr>
                <w:ilvl w:val="0"/>
                <w:numId w:val="28"/>
              </w:numPr>
              <w:spacing w:before="0" w:after="0"/>
              <w:rPr>
                <w:sz w:val="18"/>
                <w:szCs w:val="18"/>
              </w:rPr>
            </w:pPr>
            <w:r w:rsidRPr="00E24FB8">
              <w:rPr>
                <w:sz w:val="18"/>
                <w:szCs w:val="18"/>
              </w:rPr>
              <w:t>Hyperdiploidy (51-65 chromosomes)</w:t>
            </w:r>
          </w:p>
          <w:p w14:paraId="597C5D3F" w14:textId="77777777" w:rsidR="00C84F4C" w:rsidRPr="00E24FB8" w:rsidRDefault="00C84F4C" w:rsidP="00E24FB8">
            <w:pPr>
              <w:pStyle w:val="ListParagraph"/>
              <w:numPr>
                <w:ilvl w:val="0"/>
                <w:numId w:val="27"/>
              </w:numPr>
              <w:spacing w:before="0" w:after="0"/>
              <w:rPr>
                <w:sz w:val="18"/>
                <w:szCs w:val="18"/>
              </w:rPr>
            </w:pPr>
            <w:r w:rsidRPr="00E24FB8">
              <w:rPr>
                <w:sz w:val="18"/>
                <w:szCs w:val="18"/>
              </w:rPr>
              <w:t>Cases with trisomy of chromosomes 4, 10, and 17 appear to have the most favourable outcome</w:t>
            </w:r>
          </w:p>
          <w:p w14:paraId="72FDAD45" w14:textId="78F9E97C" w:rsidR="00C84F4C" w:rsidRPr="00E24FB8" w:rsidRDefault="00C84F4C" w:rsidP="00E24FB8">
            <w:pPr>
              <w:pStyle w:val="ListParagraph"/>
              <w:numPr>
                <w:ilvl w:val="0"/>
                <w:numId w:val="28"/>
              </w:numPr>
              <w:spacing w:before="0" w:after="0"/>
              <w:rPr>
                <w:sz w:val="18"/>
                <w:szCs w:val="18"/>
              </w:rPr>
            </w:pPr>
            <w:r w:rsidRPr="00E24FB8">
              <w:rPr>
                <w:sz w:val="18"/>
                <w:szCs w:val="18"/>
              </w:rPr>
              <w:t xml:space="preserve">t(12; 21)(p13;q22): </w:t>
            </w:r>
            <w:r w:rsidRPr="00E24FB8">
              <w:rPr>
                <w:i/>
                <w:iCs/>
                <w:sz w:val="18"/>
                <w:szCs w:val="18"/>
              </w:rPr>
              <w:t>ETV6-RUNX1</w:t>
            </w:r>
            <w:r w:rsidRPr="00E24FB8">
              <w:rPr>
                <w:sz w:val="18"/>
                <w:szCs w:val="18"/>
              </w:rPr>
              <w:t xml:space="preserve"> </w:t>
            </w:r>
          </w:p>
        </w:tc>
      </w:tr>
      <w:tr w:rsidR="00C84F4C" w:rsidRPr="003923FC" w14:paraId="1C1B2721" w14:textId="77777777" w:rsidTr="00DF3451">
        <w:tc>
          <w:tcPr>
            <w:tcW w:w="1559" w:type="dxa"/>
            <w:vAlign w:val="center"/>
          </w:tcPr>
          <w:p w14:paraId="0F2DAFB6" w14:textId="7C6ECB3D" w:rsidR="00C84F4C" w:rsidRPr="00E24FB8" w:rsidRDefault="00C84F4C" w:rsidP="00DF3451">
            <w:pPr>
              <w:spacing w:before="0" w:after="0"/>
              <w:jc w:val="left"/>
              <w:rPr>
                <w:sz w:val="18"/>
                <w:szCs w:val="18"/>
              </w:rPr>
            </w:pPr>
            <w:r w:rsidRPr="00E24FB8">
              <w:rPr>
                <w:sz w:val="18"/>
                <w:szCs w:val="18"/>
              </w:rPr>
              <w:t>Poor risk</w:t>
            </w:r>
          </w:p>
        </w:tc>
        <w:tc>
          <w:tcPr>
            <w:tcW w:w="7178" w:type="dxa"/>
          </w:tcPr>
          <w:p w14:paraId="58C8F33D" w14:textId="39F389EE" w:rsidR="00C84F4C" w:rsidRPr="00E24FB8" w:rsidRDefault="00C84F4C" w:rsidP="00E24FB8">
            <w:pPr>
              <w:pStyle w:val="ListParagraph"/>
              <w:numPr>
                <w:ilvl w:val="0"/>
                <w:numId w:val="28"/>
              </w:numPr>
              <w:spacing w:before="0" w:after="0"/>
              <w:rPr>
                <w:sz w:val="18"/>
                <w:szCs w:val="18"/>
              </w:rPr>
            </w:pPr>
            <w:r w:rsidRPr="00E24FB8">
              <w:rPr>
                <w:sz w:val="18"/>
                <w:szCs w:val="18"/>
              </w:rPr>
              <w:t>Hyperdiploidy (&lt;44 chromosomes)</w:t>
            </w:r>
          </w:p>
          <w:p w14:paraId="4EFF44E1" w14:textId="1D0541C5" w:rsidR="00845031" w:rsidRPr="00E24FB8" w:rsidRDefault="00845031" w:rsidP="00E24FB8">
            <w:pPr>
              <w:pStyle w:val="ListParagraph"/>
              <w:numPr>
                <w:ilvl w:val="0"/>
                <w:numId w:val="28"/>
              </w:numPr>
              <w:spacing w:before="0" w:after="0"/>
              <w:rPr>
                <w:sz w:val="18"/>
                <w:szCs w:val="18"/>
              </w:rPr>
            </w:pPr>
            <w:r w:rsidRPr="00E24FB8">
              <w:rPr>
                <w:i/>
                <w:iCs/>
                <w:sz w:val="18"/>
                <w:szCs w:val="18"/>
              </w:rPr>
              <w:t xml:space="preserve">KMT2A </w:t>
            </w:r>
            <w:r w:rsidRPr="00E24FB8">
              <w:rPr>
                <w:sz w:val="18"/>
                <w:szCs w:val="18"/>
              </w:rPr>
              <w:t>rearranged (t[4;11] or others)</w:t>
            </w:r>
          </w:p>
          <w:p w14:paraId="6DB8E0FB" w14:textId="1D08BF3E" w:rsidR="00845031" w:rsidRPr="00E24FB8" w:rsidRDefault="00845031" w:rsidP="00E24FB8">
            <w:pPr>
              <w:pStyle w:val="ListParagraph"/>
              <w:numPr>
                <w:ilvl w:val="0"/>
                <w:numId w:val="28"/>
              </w:numPr>
              <w:spacing w:before="0" w:after="0"/>
              <w:rPr>
                <w:sz w:val="18"/>
                <w:szCs w:val="18"/>
              </w:rPr>
            </w:pPr>
            <w:r w:rsidRPr="00E24FB8">
              <w:rPr>
                <w:sz w:val="18"/>
                <w:szCs w:val="18"/>
              </w:rPr>
              <w:t>t(v;14q32)/lgH</w:t>
            </w:r>
          </w:p>
          <w:p w14:paraId="739D7035" w14:textId="3F59B29F" w:rsidR="00845031" w:rsidRPr="00E24FB8" w:rsidRDefault="00845031" w:rsidP="00E24FB8">
            <w:pPr>
              <w:pStyle w:val="ListParagraph"/>
              <w:numPr>
                <w:ilvl w:val="0"/>
                <w:numId w:val="28"/>
              </w:numPr>
              <w:spacing w:before="0" w:after="0"/>
              <w:rPr>
                <w:sz w:val="18"/>
                <w:szCs w:val="18"/>
              </w:rPr>
            </w:pPr>
            <w:r w:rsidRPr="00E24FB8">
              <w:rPr>
                <w:sz w:val="18"/>
                <w:szCs w:val="18"/>
              </w:rPr>
              <w:t xml:space="preserve">t(9;22)(q34;q11.2): </w:t>
            </w:r>
            <w:r w:rsidRPr="00E24FB8">
              <w:rPr>
                <w:i/>
                <w:iCs/>
                <w:sz w:val="18"/>
                <w:szCs w:val="18"/>
              </w:rPr>
              <w:t xml:space="preserve">BCR-ABL1 </w:t>
            </w:r>
            <w:r w:rsidRPr="00E24FB8">
              <w:rPr>
                <w:sz w:val="18"/>
                <w:szCs w:val="18"/>
              </w:rPr>
              <w:t xml:space="preserve">(defined as </w:t>
            </w:r>
            <w:proofErr w:type="gramStart"/>
            <w:r w:rsidRPr="00E24FB8">
              <w:rPr>
                <w:sz w:val="18"/>
                <w:szCs w:val="18"/>
              </w:rPr>
              <w:t>high risk</w:t>
            </w:r>
            <w:proofErr w:type="gramEnd"/>
            <w:r w:rsidRPr="00E24FB8">
              <w:rPr>
                <w:sz w:val="18"/>
                <w:szCs w:val="18"/>
              </w:rPr>
              <w:t xml:space="preserve"> in the pre-TKI era)</w:t>
            </w:r>
          </w:p>
          <w:p w14:paraId="6F264850" w14:textId="39E43B2C" w:rsidR="00845031" w:rsidRPr="00E24FB8" w:rsidRDefault="00845031" w:rsidP="00E24FB8">
            <w:pPr>
              <w:pStyle w:val="ListParagraph"/>
              <w:numPr>
                <w:ilvl w:val="0"/>
                <w:numId w:val="28"/>
              </w:numPr>
              <w:spacing w:before="0" w:after="0"/>
              <w:rPr>
                <w:sz w:val="18"/>
                <w:szCs w:val="18"/>
              </w:rPr>
            </w:pPr>
            <w:r w:rsidRPr="00E24FB8">
              <w:rPr>
                <w:sz w:val="18"/>
                <w:szCs w:val="18"/>
              </w:rPr>
              <w:t>Complex karyotype (5 or more chromosome abnormalities)</w:t>
            </w:r>
          </w:p>
          <w:p w14:paraId="03BEDD28" w14:textId="1F6251FE" w:rsidR="00845031" w:rsidRPr="00E24FB8" w:rsidRDefault="00845031" w:rsidP="00E24FB8">
            <w:pPr>
              <w:pStyle w:val="ListParagraph"/>
              <w:numPr>
                <w:ilvl w:val="0"/>
                <w:numId w:val="28"/>
              </w:numPr>
              <w:spacing w:before="0" w:after="0"/>
              <w:rPr>
                <w:sz w:val="18"/>
                <w:szCs w:val="18"/>
              </w:rPr>
            </w:pPr>
            <w:r w:rsidRPr="00E24FB8">
              <w:rPr>
                <w:i/>
                <w:iCs/>
                <w:sz w:val="18"/>
                <w:szCs w:val="18"/>
              </w:rPr>
              <w:t>BCR-ABL1</w:t>
            </w:r>
            <w:r w:rsidRPr="00E24FB8">
              <w:rPr>
                <w:sz w:val="18"/>
                <w:szCs w:val="18"/>
              </w:rPr>
              <w:t>-Like (Ph-like) ALL</w:t>
            </w:r>
          </w:p>
          <w:p w14:paraId="19F04D86" w14:textId="029AFAF6" w:rsidR="00845031" w:rsidRPr="00E24FB8" w:rsidRDefault="00845031" w:rsidP="00E24FB8">
            <w:pPr>
              <w:pStyle w:val="ListParagraph"/>
              <w:numPr>
                <w:ilvl w:val="0"/>
                <w:numId w:val="27"/>
              </w:numPr>
              <w:spacing w:before="0" w:after="0"/>
              <w:rPr>
                <w:sz w:val="18"/>
                <w:szCs w:val="18"/>
              </w:rPr>
            </w:pPr>
            <w:r w:rsidRPr="00E24FB8">
              <w:rPr>
                <w:sz w:val="18"/>
                <w:szCs w:val="18"/>
              </w:rPr>
              <w:t>JAK-STAT (</w:t>
            </w:r>
            <w:r w:rsidRPr="00E24FB8">
              <w:rPr>
                <w:i/>
                <w:iCs/>
                <w:sz w:val="18"/>
                <w:szCs w:val="18"/>
              </w:rPr>
              <w:t xml:space="preserve">CRLF2r, </w:t>
            </w:r>
            <w:r w:rsidR="00391A8D">
              <w:rPr>
                <w:i/>
                <w:iCs/>
                <w:sz w:val="18"/>
                <w:szCs w:val="18"/>
              </w:rPr>
              <w:t xml:space="preserve">EPORr, </w:t>
            </w:r>
            <w:r w:rsidRPr="00E24FB8">
              <w:rPr>
                <w:i/>
                <w:iCs/>
                <w:sz w:val="18"/>
                <w:szCs w:val="18"/>
              </w:rPr>
              <w:t xml:space="preserve">JAK1/2/2r, TYK2r, </w:t>
            </w:r>
            <w:r w:rsidRPr="00E24FB8">
              <w:rPr>
                <w:sz w:val="18"/>
                <w:szCs w:val="18"/>
              </w:rPr>
              <w:t xml:space="preserve">mutations of </w:t>
            </w:r>
            <w:r w:rsidRPr="00E24FB8">
              <w:rPr>
                <w:i/>
                <w:iCs/>
                <w:sz w:val="18"/>
                <w:szCs w:val="18"/>
              </w:rPr>
              <w:t>SH2B3, IL7R, JAK1/2/3</w:t>
            </w:r>
            <w:r w:rsidRPr="00E24FB8">
              <w:rPr>
                <w:sz w:val="18"/>
                <w:szCs w:val="18"/>
              </w:rPr>
              <w:t>)</w:t>
            </w:r>
          </w:p>
          <w:p w14:paraId="1CE91035" w14:textId="2CD7215F" w:rsidR="00845031" w:rsidRPr="00E24FB8" w:rsidRDefault="00845031" w:rsidP="00E24FB8">
            <w:pPr>
              <w:pStyle w:val="ListParagraph"/>
              <w:numPr>
                <w:ilvl w:val="0"/>
                <w:numId w:val="27"/>
              </w:numPr>
              <w:spacing w:before="0" w:after="0"/>
              <w:rPr>
                <w:sz w:val="18"/>
                <w:szCs w:val="18"/>
              </w:rPr>
            </w:pPr>
            <w:r w:rsidRPr="00E24FB8">
              <w:rPr>
                <w:sz w:val="18"/>
                <w:szCs w:val="18"/>
              </w:rPr>
              <w:t xml:space="preserve">ABL class (rearrangements of </w:t>
            </w:r>
            <w:r w:rsidRPr="00E24FB8">
              <w:rPr>
                <w:i/>
                <w:iCs/>
                <w:sz w:val="18"/>
                <w:szCs w:val="18"/>
              </w:rPr>
              <w:t>ABL1, ABL2, PDGFRA, PDGFRB, FGFR</w:t>
            </w:r>
            <w:r w:rsidRPr="00E24FB8">
              <w:rPr>
                <w:sz w:val="18"/>
                <w:szCs w:val="18"/>
              </w:rPr>
              <w:t>)</w:t>
            </w:r>
          </w:p>
          <w:p w14:paraId="5427FB73" w14:textId="442C01D7" w:rsidR="00845031" w:rsidRPr="00E24FB8" w:rsidRDefault="00845031" w:rsidP="00E24FB8">
            <w:pPr>
              <w:pStyle w:val="ListParagraph"/>
              <w:numPr>
                <w:ilvl w:val="0"/>
                <w:numId w:val="27"/>
              </w:numPr>
              <w:spacing w:before="0" w:after="0"/>
              <w:rPr>
                <w:sz w:val="18"/>
                <w:szCs w:val="18"/>
              </w:rPr>
            </w:pPr>
            <w:r w:rsidRPr="00E24FB8">
              <w:rPr>
                <w:sz w:val="18"/>
                <w:szCs w:val="18"/>
              </w:rPr>
              <w:t>Other (</w:t>
            </w:r>
            <w:r w:rsidRPr="00E24FB8">
              <w:rPr>
                <w:i/>
                <w:iCs/>
                <w:sz w:val="18"/>
                <w:szCs w:val="18"/>
              </w:rPr>
              <w:t>NTRKr, FLT3r, LYNr, PTL2Br</w:t>
            </w:r>
            <w:r w:rsidRPr="00E24FB8">
              <w:rPr>
                <w:sz w:val="18"/>
                <w:szCs w:val="18"/>
              </w:rPr>
              <w:t>)</w:t>
            </w:r>
          </w:p>
          <w:p w14:paraId="674F6427" w14:textId="7FCFF467" w:rsidR="00845031" w:rsidRPr="00E24FB8" w:rsidRDefault="00845031" w:rsidP="00E24FB8">
            <w:pPr>
              <w:pStyle w:val="ListParagraph"/>
              <w:numPr>
                <w:ilvl w:val="0"/>
                <w:numId w:val="29"/>
              </w:numPr>
              <w:spacing w:before="0" w:after="0"/>
              <w:rPr>
                <w:sz w:val="18"/>
                <w:szCs w:val="18"/>
              </w:rPr>
            </w:pPr>
            <w:r w:rsidRPr="00E24FB8">
              <w:rPr>
                <w:sz w:val="18"/>
                <w:szCs w:val="18"/>
              </w:rPr>
              <w:t>Intrachromosomal amplification of chromosome 21 (iAMP21)</w:t>
            </w:r>
          </w:p>
          <w:p w14:paraId="67E00768" w14:textId="178D95D9" w:rsidR="00845031" w:rsidRPr="00E24FB8" w:rsidRDefault="00845031" w:rsidP="00E24FB8">
            <w:pPr>
              <w:pStyle w:val="ListParagraph"/>
              <w:numPr>
                <w:ilvl w:val="0"/>
                <w:numId w:val="29"/>
              </w:numPr>
              <w:spacing w:before="0" w:after="0"/>
              <w:rPr>
                <w:sz w:val="18"/>
                <w:szCs w:val="18"/>
              </w:rPr>
            </w:pPr>
            <w:r w:rsidRPr="00E24FB8">
              <w:rPr>
                <w:sz w:val="18"/>
                <w:szCs w:val="18"/>
              </w:rPr>
              <w:t xml:space="preserve">t(17;19): </w:t>
            </w:r>
            <w:r w:rsidRPr="00E24FB8">
              <w:rPr>
                <w:i/>
                <w:iCs/>
                <w:sz w:val="18"/>
                <w:szCs w:val="18"/>
              </w:rPr>
              <w:t xml:space="preserve">TCF3-HLF </w:t>
            </w:r>
            <w:r w:rsidRPr="00E24FB8">
              <w:rPr>
                <w:sz w:val="18"/>
                <w:szCs w:val="18"/>
              </w:rPr>
              <w:t>fusion</w:t>
            </w:r>
          </w:p>
          <w:p w14:paraId="66BA8207" w14:textId="4EEB2F38" w:rsidR="00C84F4C" w:rsidRPr="00E24FB8" w:rsidRDefault="00845031" w:rsidP="00E24FB8">
            <w:pPr>
              <w:pStyle w:val="ListParagraph"/>
              <w:numPr>
                <w:ilvl w:val="0"/>
                <w:numId w:val="29"/>
              </w:numPr>
              <w:spacing w:before="0" w:after="0"/>
              <w:rPr>
                <w:sz w:val="18"/>
                <w:szCs w:val="18"/>
              </w:rPr>
            </w:pPr>
            <w:r w:rsidRPr="00E24FB8">
              <w:rPr>
                <w:sz w:val="18"/>
                <w:szCs w:val="18"/>
              </w:rPr>
              <w:t xml:space="preserve">Alteration of </w:t>
            </w:r>
            <w:r w:rsidRPr="00E24FB8">
              <w:rPr>
                <w:i/>
                <w:iCs/>
                <w:sz w:val="18"/>
                <w:szCs w:val="18"/>
              </w:rPr>
              <w:t>IKZF1</w:t>
            </w:r>
          </w:p>
        </w:tc>
      </w:tr>
    </w:tbl>
    <w:p w14:paraId="06EAD5F4" w14:textId="1E2EB2F3" w:rsidR="00813072" w:rsidRPr="00E24FB8" w:rsidRDefault="00813072" w:rsidP="00813072">
      <w:pPr>
        <w:rPr>
          <w:i/>
          <w:iCs/>
        </w:rPr>
      </w:pPr>
    </w:p>
    <w:p w14:paraId="3D0BEBB8" w14:textId="77777777" w:rsidR="002A50FD" w:rsidRPr="00881F93" w:rsidRDefault="005C3AE7" w:rsidP="005C3AE7">
      <w:pPr>
        <w:pStyle w:val="Subtitle"/>
      </w:pPr>
      <w:r>
        <w:t xml:space="preserve">PART 6b – </w:t>
      </w:r>
      <w:r w:rsidR="002A50FD" w:rsidRPr="00881F93">
        <w:t>INFORMATION ABOUT THE INTERVENTION</w:t>
      </w:r>
    </w:p>
    <w:p w14:paraId="0D5EC4F2" w14:textId="77777777" w:rsidR="002A50FD" w:rsidRPr="00154B00" w:rsidRDefault="002A6753" w:rsidP="00530204">
      <w:pPr>
        <w:pStyle w:val="Heading2"/>
      </w:pPr>
      <w:r w:rsidRPr="00154B00">
        <w:lastRenderedPageBreak/>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r w:rsidR="0008323F">
        <w:t>/technology</w:t>
      </w:r>
      <w:r w:rsidR="00197D29">
        <w:t>:</w:t>
      </w:r>
    </w:p>
    <w:p w14:paraId="5949AA0F" w14:textId="434F2E8F" w:rsidR="00285DBA" w:rsidRDefault="00285DBA" w:rsidP="00285DBA">
      <w:pPr>
        <w:ind w:left="426"/>
      </w:pPr>
      <w:r>
        <w:t>Brexucabtagene autoleucel is a CAR T-cell product that is unique to each patient. Each individual patient’s</w:t>
      </w:r>
      <w:r w:rsidRPr="00285DBA">
        <w:rPr>
          <w:spacing w:val="-43"/>
        </w:rPr>
        <w:t xml:space="preserve"> </w:t>
      </w:r>
      <w:r>
        <w:t xml:space="preserve">T-cells (immune cells with anticancer activity) </w:t>
      </w:r>
      <w:proofErr w:type="gramStart"/>
      <w:r>
        <w:t>are collected</w:t>
      </w:r>
      <w:proofErr w:type="gramEnd"/>
      <w:r>
        <w:t xml:space="preserve"> and genetically modified in the laboratory to</w:t>
      </w:r>
      <w:r w:rsidRPr="00285DBA">
        <w:rPr>
          <w:spacing w:val="1"/>
        </w:rPr>
        <w:t xml:space="preserve"> </w:t>
      </w:r>
      <w:r>
        <w:t xml:space="preserve">recognise cancer cells that express CD19 on their surface. The modified T-cells </w:t>
      </w:r>
      <w:proofErr w:type="gramStart"/>
      <w:r>
        <w:t>are then expanded</w:t>
      </w:r>
      <w:proofErr w:type="gramEnd"/>
      <w:r>
        <w:t xml:space="preserve"> to</w:t>
      </w:r>
      <w:r w:rsidRPr="00285DBA">
        <w:rPr>
          <w:spacing w:val="1"/>
        </w:rPr>
        <w:t xml:space="preserve"> </w:t>
      </w:r>
      <w:r>
        <w:t>several million and the modified cells are then infused back into the patient. The steps involved in</w:t>
      </w:r>
      <w:r w:rsidRPr="00285DBA">
        <w:rPr>
          <w:spacing w:val="1"/>
        </w:rPr>
        <w:t xml:space="preserve"> </w:t>
      </w:r>
      <w:r>
        <w:t xml:space="preserve">developing and eventually delivering the product </w:t>
      </w:r>
      <w:proofErr w:type="gramStart"/>
      <w:r w:rsidRPr="00F402A0">
        <w:rPr>
          <w:rFonts w:cstheme="minorHAnsi"/>
        </w:rPr>
        <w:t>are</w:t>
      </w:r>
      <w:r>
        <w:t xml:space="preserve"> described</w:t>
      </w:r>
      <w:proofErr w:type="gramEnd"/>
      <w:r>
        <w:t xml:space="preserve"> in greater</w:t>
      </w:r>
      <w:r w:rsidRPr="00285DBA">
        <w:rPr>
          <w:spacing w:val="1"/>
        </w:rPr>
        <w:t xml:space="preserve"> </w:t>
      </w:r>
      <w:bookmarkStart w:id="13" w:name="1._Leukapheresis_and_harvesting_of_perip"/>
      <w:bookmarkEnd w:id="13"/>
      <w:r>
        <w:t>detail</w:t>
      </w:r>
      <w:r w:rsidR="003C5212">
        <w:t xml:space="preserve"> below</w:t>
      </w:r>
      <w:r>
        <w:t>:</w:t>
      </w:r>
    </w:p>
    <w:p w14:paraId="7A0DE3FA" w14:textId="5FCFC8A4" w:rsidR="00285DBA" w:rsidRDefault="00285DBA" w:rsidP="00056F06">
      <w:pPr>
        <w:pStyle w:val="ListParagraph"/>
        <w:widowControl w:val="0"/>
        <w:numPr>
          <w:ilvl w:val="0"/>
          <w:numId w:val="16"/>
        </w:numPr>
        <w:tabs>
          <w:tab w:val="left" w:pos="939"/>
          <w:tab w:val="left" w:pos="940"/>
        </w:tabs>
        <w:autoSpaceDE w:val="0"/>
        <w:autoSpaceDN w:val="0"/>
        <w:spacing w:before="0" w:after="0"/>
        <w:ind w:right="572"/>
        <w:contextualSpacing w:val="0"/>
      </w:pPr>
      <w:r>
        <w:rPr>
          <w:u w:val="single"/>
        </w:rPr>
        <w:t>Leukapheresis and harvesting of peripheral blood mononuclear cells</w:t>
      </w:r>
      <w:r w:rsidRPr="002112B9">
        <w:rPr>
          <w:u w:val="single"/>
        </w:rPr>
        <w:t>:</w:t>
      </w:r>
      <w:r>
        <w:t xml:space="preserve"> </w:t>
      </w:r>
      <w:r w:rsidR="007934C3">
        <w:t>A</w:t>
      </w:r>
      <w:r>
        <w:t xml:space="preserve"> sufficient amount of blood </w:t>
      </w:r>
      <w:proofErr w:type="gramStart"/>
      <w:r>
        <w:t>is</w:t>
      </w:r>
      <w:r w:rsidRPr="006455A5">
        <w:t xml:space="preserve"> </w:t>
      </w:r>
      <w:r>
        <w:t>drawn</w:t>
      </w:r>
      <w:proofErr w:type="gramEnd"/>
      <w:r>
        <w:t xml:space="preserve"> from patients to obtain enough peripheral blood </w:t>
      </w:r>
      <w:r w:rsidR="00636A63">
        <w:t>mononuclear</w:t>
      </w:r>
      <w:r>
        <w:t xml:space="preserve"> cells to support the</w:t>
      </w:r>
      <w:r w:rsidRPr="006455A5">
        <w:t xml:space="preserve"> </w:t>
      </w:r>
      <w:r>
        <w:t xml:space="preserve">manufacture of engineered T-cells. The remaining blood products </w:t>
      </w:r>
      <w:proofErr w:type="gramStart"/>
      <w:r>
        <w:t>are transfused</w:t>
      </w:r>
      <w:proofErr w:type="gramEnd"/>
      <w:r>
        <w:t xml:space="preserve"> back into the</w:t>
      </w:r>
      <w:r w:rsidRPr="006455A5">
        <w:t xml:space="preserve"> </w:t>
      </w:r>
      <w:r>
        <w:t xml:space="preserve">patient. </w:t>
      </w:r>
      <w:r w:rsidRPr="006455A5">
        <w:t>T</w:t>
      </w:r>
      <w:r>
        <w:t xml:space="preserve">he collected peripheral blood </w:t>
      </w:r>
      <w:r w:rsidR="00636A63">
        <w:t>mononuclear</w:t>
      </w:r>
      <w:r>
        <w:t xml:space="preserve"> cells </w:t>
      </w:r>
      <w:proofErr w:type="gramStart"/>
      <w:r>
        <w:t>are then transported</w:t>
      </w:r>
      <w:proofErr w:type="gramEnd"/>
      <w:r>
        <w:t xml:space="preserve"> immediately to the</w:t>
      </w:r>
      <w:r w:rsidR="006455A5">
        <w:t xml:space="preserve"> </w:t>
      </w:r>
      <w:bookmarkStart w:id="14" w:name="2._Isolation_of_T-cells:_In_the_laborato"/>
      <w:bookmarkEnd w:id="14"/>
      <w:r>
        <w:t>brexucabtagene</w:t>
      </w:r>
      <w:r w:rsidRPr="006455A5">
        <w:t xml:space="preserve"> </w:t>
      </w:r>
      <w:r>
        <w:t>autoleucel manufacturing</w:t>
      </w:r>
      <w:r w:rsidRPr="006455A5">
        <w:t xml:space="preserve"> </w:t>
      </w:r>
      <w:r>
        <w:t>facility.</w:t>
      </w:r>
    </w:p>
    <w:p w14:paraId="01EFE88F" w14:textId="6DDDA3D7" w:rsidR="00285DBA" w:rsidRDefault="00285DBA" w:rsidP="00056F06">
      <w:pPr>
        <w:pStyle w:val="ListParagraph"/>
        <w:widowControl w:val="0"/>
        <w:numPr>
          <w:ilvl w:val="0"/>
          <w:numId w:val="16"/>
        </w:numPr>
        <w:tabs>
          <w:tab w:val="left" w:pos="939"/>
          <w:tab w:val="left" w:pos="940"/>
        </w:tabs>
        <w:autoSpaceDE w:val="0"/>
        <w:autoSpaceDN w:val="0"/>
        <w:spacing w:before="0" w:after="0"/>
        <w:ind w:left="940" w:right="398"/>
        <w:contextualSpacing w:val="0"/>
      </w:pPr>
      <w:r w:rsidRPr="006455A5">
        <w:rPr>
          <w:u w:val="single"/>
        </w:rPr>
        <w:t>Isolation of T-cells:</w:t>
      </w:r>
      <w:r>
        <w:t xml:space="preserve"> In the laboratory, T-cells </w:t>
      </w:r>
      <w:proofErr w:type="gramStart"/>
      <w:r>
        <w:t>are purified</w:t>
      </w:r>
      <w:proofErr w:type="gramEnd"/>
      <w:r>
        <w:t xml:space="preserve"> from the peripheral blood cells that were</w:t>
      </w:r>
      <w:r w:rsidRPr="006455A5">
        <w:t xml:space="preserve"> </w:t>
      </w:r>
      <w:r>
        <w:t xml:space="preserve">collected from patients. </w:t>
      </w:r>
      <w:r w:rsidR="00AB2542">
        <w:t>T</w:t>
      </w:r>
      <w:r>
        <w:t>he manufacturing process for brexucabtagene</w:t>
      </w:r>
      <w:r w:rsidRPr="006455A5">
        <w:t xml:space="preserve"> </w:t>
      </w:r>
      <w:r>
        <w:t>autoleucel includes a CD4+ and CD8+ T-cell enrichment step (to separate circulating tumour cells from</w:t>
      </w:r>
      <w:r w:rsidRPr="006455A5">
        <w:t xml:space="preserve"> </w:t>
      </w:r>
      <w:r>
        <w:t>T</w:t>
      </w:r>
      <w:r w:rsidR="006455A5">
        <w:t>-</w:t>
      </w:r>
      <w:r>
        <w:t>cells)</w:t>
      </w:r>
      <w:r w:rsidRPr="006455A5">
        <w:t xml:space="preserve"> </w:t>
      </w:r>
      <w:r>
        <w:t>to</w:t>
      </w:r>
      <w:r w:rsidRPr="006455A5">
        <w:t xml:space="preserve"> </w:t>
      </w:r>
      <w:r>
        <w:t>address</w:t>
      </w:r>
      <w:r w:rsidRPr="006455A5">
        <w:t xml:space="preserve"> </w:t>
      </w:r>
      <w:r>
        <w:t>the</w:t>
      </w:r>
      <w:r w:rsidRPr="006455A5">
        <w:t xml:space="preserve"> </w:t>
      </w:r>
      <w:r>
        <w:t>potential</w:t>
      </w:r>
      <w:r w:rsidRPr="006455A5">
        <w:t xml:space="preserve"> </w:t>
      </w:r>
      <w:r>
        <w:t>negative</w:t>
      </w:r>
      <w:r w:rsidRPr="006455A5">
        <w:t xml:space="preserve"> </w:t>
      </w:r>
      <w:r>
        <w:t>impact</w:t>
      </w:r>
      <w:r w:rsidRPr="006455A5">
        <w:t xml:space="preserve"> </w:t>
      </w:r>
      <w:r>
        <w:t>of</w:t>
      </w:r>
      <w:r w:rsidRPr="006455A5">
        <w:t xml:space="preserve"> </w:t>
      </w:r>
      <w:proofErr w:type="gramStart"/>
      <w:r>
        <w:t>high</w:t>
      </w:r>
      <w:r w:rsidRPr="006455A5">
        <w:t xml:space="preserve"> </w:t>
      </w:r>
      <w:r>
        <w:t>levels</w:t>
      </w:r>
      <w:proofErr w:type="gramEnd"/>
      <w:r w:rsidRPr="006455A5">
        <w:t xml:space="preserve"> </w:t>
      </w:r>
      <w:r>
        <w:t>of</w:t>
      </w:r>
      <w:r w:rsidRPr="006455A5">
        <w:t xml:space="preserve"> </w:t>
      </w:r>
      <w:r>
        <w:t>cellular impurities</w:t>
      </w:r>
      <w:r w:rsidRPr="006455A5">
        <w:t xml:space="preserve"> </w:t>
      </w:r>
      <w:r>
        <w:t>on</w:t>
      </w:r>
      <w:r w:rsidRPr="006455A5">
        <w:t xml:space="preserve"> </w:t>
      </w:r>
      <w:r>
        <w:t>the</w:t>
      </w:r>
      <w:r w:rsidRPr="006455A5">
        <w:t xml:space="preserve"> </w:t>
      </w:r>
      <w:r>
        <w:t>activation and expansion</w:t>
      </w:r>
      <w:r w:rsidRPr="006455A5">
        <w:t xml:space="preserve"> </w:t>
      </w:r>
      <w:r>
        <w:t>of T-cells</w:t>
      </w:r>
      <w:r w:rsidRPr="006455A5">
        <w:t xml:space="preserve"> </w:t>
      </w:r>
      <w:r>
        <w:t>in the laboratory.</w:t>
      </w:r>
    </w:p>
    <w:p w14:paraId="6BB95771" w14:textId="77777777" w:rsidR="00285DBA" w:rsidRDefault="00285DBA" w:rsidP="00C84F4C">
      <w:pPr>
        <w:pStyle w:val="ListParagraph"/>
        <w:widowControl w:val="0"/>
        <w:numPr>
          <w:ilvl w:val="0"/>
          <w:numId w:val="16"/>
        </w:numPr>
        <w:tabs>
          <w:tab w:val="left" w:pos="939"/>
          <w:tab w:val="left" w:pos="940"/>
        </w:tabs>
        <w:autoSpaceDE w:val="0"/>
        <w:autoSpaceDN w:val="0"/>
        <w:spacing w:before="0" w:after="0"/>
        <w:ind w:left="940" w:right="574"/>
        <w:contextualSpacing w:val="0"/>
      </w:pPr>
      <w:bookmarkStart w:id="15" w:name="3._Modification_of_T-cells:_The_T-cells_"/>
      <w:bookmarkEnd w:id="15"/>
      <w:r w:rsidRPr="00E27555">
        <w:rPr>
          <w:u w:val="single"/>
        </w:rPr>
        <w:t>Modification of T-cells:</w:t>
      </w:r>
      <w:r>
        <w:t xml:space="preserve"> The T-cells </w:t>
      </w:r>
      <w:proofErr w:type="gramStart"/>
      <w:r>
        <w:t>are then genetically modified</w:t>
      </w:r>
      <w:proofErr w:type="gramEnd"/>
      <w:r>
        <w:t xml:space="preserve"> by retroviral transfection to encode</w:t>
      </w:r>
      <w:r w:rsidRPr="006455A5">
        <w:t xml:space="preserve"> </w:t>
      </w:r>
      <w:r>
        <w:t>receptors</w:t>
      </w:r>
      <w:r w:rsidRPr="006455A5">
        <w:t xml:space="preserve"> </w:t>
      </w:r>
      <w:r>
        <w:t>that</w:t>
      </w:r>
      <w:r w:rsidRPr="006455A5">
        <w:t xml:space="preserve"> </w:t>
      </w:r>
      <w:r>
        <w:t>recognise</w:t>
      </w:r>
      <w:r w:rsidRPr="006455A5">
        <w:t xml:space="preserve"> </w:t>
      </w:r>
      <w:r>
        <w:t>cancer-specific antigen</w:t>
      </w:r>
      <w:r w:rsidRPr="006455A5">
        <w:t xml:space="preserve"> </w:t>
      </w:r>
      <w:r>
        <w:t>and</w:t>
      </w:r>
      <w:r w:rsidRPr="006455A5">
        <w:t xml:space="preserve"> </w:t>
      </w:r>
      <w:r>
        <w:t>activate T-cells.</w:t>
      </w:r>
    </w:p>
    <w:p w14:paraId="405C6B4F" w14:textId="77777777" w:rsidR="00285DBA" w:rsidRDefault="00285DBA" w:rsidP="00056F06">
      <w:pPr>
        <w:pStyle w:val="ListParagraph"/>
        <w:widowControl w:val="0"/>
        <w:numPr>
          <w:ilvl w:val="0"/>
          <w:numId w:val="16"/>
        </w:numPr>
        <w:tabs>
          <w:tab w:val="left" w:pos="939"/>
          <w:tab w:val="left" w:pos="940"/>
        </w:tabs>
        <w:autoSpaceDE w:val="0"/>
        <w:autoSpaceDN w:val="0"/>
        <w:spacing w:before="0" w:after="0"/>
        <w:ind w:left="940" w:right="938"/>
        <w:contextualSpacing w:val="0"/>
      </w:pPr>
      <w:bookmarkStart w:id="16" w:name="4._Expansion_of_CAR_T-cells:_Following_m"/>
      <w:bookmarkEnd w:id="16"/>
      <w:r w:rsidRPr="00E27555">
        <w:rPr>
          <w:u w:val="single"/>
        </w:rPr>
        <w:t>Expansion of CAR T-cells:</w:t>
      </w:r>
      <w:r>
        <w:t xml:space="preserve"> Following modification, the T-cells </w:t>
      </w:r>
      <w:proofErr w:type="gramStart"/>
      <w:r>
        <w:t>are then cultured</w:t>
      </w:r>
      <w:proofErr w:type="gramEnd"/>
      <w:r>
        <w:t xml:space="preserve"> in the laboratory.</w:t>
      </w:r>
      <w:r w:rsidRPr="006455A5">
        <w:t xml:space="preserve"> </w:t>
      </w:r>
      <w:bookmarkStart w:id="17" w:name="5._Testing_and_shipping_of_CAR_T-cells:_"/>
      <w:bookmarkEnd w:id="17"/>
      <w:r>
        <w:t>Cytokines</w:t>
      </w:r>
      <w:r w:rsidRPr="006455A5">
        <w:t xml:space="preserve"> </w:t>
      </w:r>
      <w:proofErr w:type="gramStart"/>
      <w:r>
        <w:t>are</w:t>
      </w:r>
      <w:r w:rsidRPr="006455A5">
        <w:t xml:space="preserve"> </w:t>
      </w:r>
      <w:r>
        <w:t>used</w:t>
      </w:r>
      <w:proofErr w:type="gramEnd"/>
      <w:r>
        <w:t xml:space="preserve"> to</w:t>
      </w:r>
      <w:r w:rsidRPr="006455A5">
        <w:t xml:space="preserve"> </w:t>
      </w:r>
      <w:r>
        <w:t>stimulate the</w:t>
      </w:r>
      <w:r w:rsidRPr="006455A5">
        <w:t xml:space="preserve"> </w:t>
      </w:r>
      <w:r>
        <w:t>expansion of</w:t>
      </w:r>
      <w:r w:rsidRPr="006455A5">
        <w:t xml:space="preserve"> </w:t>
      </w:r>
      <w:r>
        <w:t>CAR</w:t>
      </w:r>
      <w:r w:rsidRPr="006455A5">
        <w:t xml:space="preserve"> </w:t>
      </w:r>
      <w:r>
        <w:t>T-cells.</w:t>
      </w:r>
    </w:p>
    <w:p w14:paraId="348D9DC7" w14:textId="77777777" w:rsidR="00285DBA" w:rsidRDefault="00285DBA" w:rsidP="00056F06">
      <w:pPr>
        <w:pStyle w:val="ListParagraph"/>
        <w:widowControl w:val="0"/>
        <w:numPr>
          <w:ilvl w:val="0"/>
          <w:numId w:val="16"/>
        </w:numPr>
        <w:tabs>
          <w:tab w:val="left" w:pos="939"/>
          <w:tab w:val="left" w:pos="940"/>
        </w:tabs>
        <w:autoSpaceDE w:val="0"/>
        <w:autoSpaceDN w:val="0"/>
        <w:spacing w:before="0" w:after="0"/>
        <w:ind w:right="562"/>
        <w:contextualSpacing w:val="0"/>
      </w:pPr>
      <w:r w:rsidRPr="00E27555">
        <w:rPr>
          <w:u w:val="single"/>
        </w:rPr>
        <w:t>Testing and shipping of CAR T-cells:</w:t>
      </w:r>
      <w:r>
        <w:t xml:space="preserve"> The final product is washed, formulated into a suspension,</w:t>
      </w:r>
      <w:r w:rsidRPr="006455A5">
        <w:t xml:space="preserve"> </w:t>
      </w:r>
      <w:r>
        <w:t xml:space="preserve">cryopreserved and </w:t>
      </w:r>
      <w:proofErr w:type="gramStart"/>
      <w:r>
        <w:t>tested</w:t>
      </w:r>
      <w:proofErr w:type="gramEnd"/>
      <w:r>
        <w:t xml:space="preserve"> for identity, potency, and sterility. After establishing that the final product</w:t>
      </w:r>
      <w:r w:rsidRPr="006455A5">
        <w:t xml:space="preserve"> </w:t>
      </w:r>
      <w:r>
        <w:t xml:space="preserve">meets all quality control requirements, the product </w:t>
      </w:r>
      <w:proofErr w:type="gramStart"/>
      <w:r>
        <w:t>is transported</w:t>
      </w:r>
      <w:proofErr w:type="gramEnd"/>
      <w:r>
        <w:t xml:space="preserve"> back to the patient’s qualified</w:t>
      </w:r>
      <w:r w:rsidRPr="006455A5">
        <w:t xml:space="preserve"> </w:t>
      </w:r>
      <w:bookmarkStart w:id="18" w:name="6._Bridging_therapy_(if_necessary):_Pati"/>
      <w:bookmarkEnd w:id="18"/>
      <w:r>
        <w:t>delivery</w:t>
      </w:r>
      <w:r w:rsidRPr="006455A5">
        <w:t xml:space="preserve"> </w:t>
      </w:r>
      <w:r>
        <w:t>centre</w:t>
      </w:r>
      <w:r w:rsidRPr="006455A5">
        <w:t xml:space="preserve"> </w:t>
      </w:r>
      <w:r>
        <w:t>using</w:t>
      </w:r>
      <w:r w:rsidRPr="006455A5">
        <w:t xml:space="preserve"> </w:t>
      </w:r>
      <w:r>
        <w:t>a validated</w:t>
      </w:r>
      <w:r w:rsidRPr="006455A5">
        <w:t xml:space="preserve"> </w:t>
      </w:r>
      <w:r>
        <w:t>cryo-shipper.</w:t>
      </w:r>
    </w:p>
    <w:p w14:paraId="37EA9A3C" w14:textId="455F344D" w:rsidR="00285DBA" w:rsidRDefault="00285DBA" w:rsidP="00056F06">
      <w:pPr>
        <w:pStyle w:val="ListParagraph"/>
        <w:widowControl w:val="0"/>
        <w:numPr>
          <w:ilvl w:val="0"/>
          <w:numId w:val="16"/>
        </w:numPr>
        <w:tabs>
          <w:tab w:val="left" w:pos="939"/>
          <w:tab w:val="left" w:pos="940"/>
        </w:tabs>
        <w:autoSpaceDE w:val="0"/>
        <w:autoSpaceDN w:val="0"/>
        <w:spacing w:before="0" w:after="0"/>
        <w:ind w:left="940" w:right="587"/>
        <w:contextualSpacing w:val="0"/>
      </w:pPr>
      <w:r w:rsidRPr="00A415D7">
        <w:rPr>
          <w:u w:val="single"/>
        </w:rPr>
        <w:t>Bridging therapy (if necessary):</w:t>
      </w:r>
      <w:r>
        <w:t xml:space="preserve"> Patients </w:t>
      </w:r>
      <w:proofErr w:type="gramStart"/>
      <w:r>
        <w:t>are monitored</w:t>
      </w:r>
      <w:proofErr w:type="gramEnd"/>
      <w:r>
        <w:t xml:space="preserve"> while the production of CAR T-cells is in</w:t>
      </w:r>
      <w:r w:rsidRPr="006455A5">
        <w:t xml:space="preserve"> </w:t>
      </w:r>
      <w:r>
        <w:t>progress. If necessary, patients may receive bridging therapy to</w:t>
      </w:r>
      <w:r w:rsidRPr="006455A5">
        <w:t xml:space="preserve"> </w:t>
      </w:r>
      <w:r>
        <w:t>ensure</w:t>
      </w:r>
      <w:r w:rsidRPr="006455A5">
        <w:t xml:space="preserve"> </w:t>
      </w:r>
      <w:r>
        <w:t>the</w:t>
      </w:r>
      <w:r w:rsidRPr="006455A5">
        <w:t xml:space="preserve"> </w:t>
      </w:r>
      <w:r>
        <w:t>patient</w:t>
      </w:r>
      <w:r w:rsidRPr="006455A5">
        <w:t xml:space="preserve"> </w:t>
      </w:r>
      <w:r>
        <w:t>remains</w:t>
      </w:r>
      <w:r w:rsidRPr="006455A5">
        <w:t xml:space="preserve"> </w:t>
      </w:r>
      <w:r>
        <w:t>viable</w:t>
      </w:r>
      <w:r w:rsidRPr="006455A5">
        <w:t xml:space="preserve"> </w:t>
      </w:r>
      <w:r>
        <w:t>for</w:t>
      </w:r>
      <w:r w:rsidRPr="006455A5">
        <w:t xml:space="preserve"> </w:t>
      </w:r>
      <w:r>
        <w:t>infusion</w:t>
      </w:r>
      <w:r w:rsidRPr="006455A5">
        <w:t xml:space="preserve"> </w:t>
      </w:r>
      <w:r>
        <w:t>of</w:t>
      </w:r>
      <w:r w:rsidRPr="006455A5">
        <w:t xml:space="preserve"> </w:t>
      </w:r>
      <w:r>
        <w:t>brexucabtagene</w:t>
      </w:r>
      <w:r w:rsidRPr="006455A5">
        <w:t xml:space="preserve"> </w:t>
      </w:r>
      <w:r>
        <w:t>autoleucel.</w:t>
      </w:r>
    </w:p>
    <w:p w14:paraId="635B6AC1" w14:textId="49259CC6" w:rsidR="002112B9" w:rsidRPr="002112B9" w:rsidRDefault="002112B9" w:rsidP="00056F06">
      <w:pPr>
        <w:pStyle w:val="NormalWeb"/>
        <w:numPr>
          <w:ilvl w:val="0"/>
          <w:numId w:val="16"/>
        </w:numPr>
        <w:rPr>
          <w:rFonts w:asciiTheme="minorHAnsi" w:eastAsiaTheme="minorHAnsi" w:hAnsiTheme="minorHAnsi" w:cstheme="minorBidi"/>
          <w:sz w:val="20"/>
          <w:szCs w:val="22"/>
          <w:lang w:eastAsia="en-US"/>
        </w:rPr>
      </w:pPr>
      <w:r w:rsidRPr="00A415D7">
        <w:rPr>
          <w:rFonts w:asciiTheme="minorHAnsi" w:eastAsiaTheme="minorHAnsi" w:hAnsiTheme="minorHAnsi" w:cstheme="minorBidi"/>
          <w:sz w:val="20"/>
          <w:szCs w:val="22"/>
          <w:u w:val="single"/>
          <w:lang w:eastAsia="en-US"/>
        </w:rPr>
        <w:t>Cerebrospinal fluid (CSF) prophylaxis:</w:t>
      </w:r>
      <w:r>
        <w:rPr>
          <w:rFonts w:asciiTheme="minorHAnsi" w:eastAsiaTheme="minorHAnsi" w:hAnsiTheme="minorHAnsi" w:cstheme="minorBidi"/>
          <w:sz w:val="20"/>
          <w:szCs w:val="22"/>
          <w:lang w:eastAsia="en-US"/>
        </w:rPr>
        <w:t xml:space="preserve"> Patients </w:t>
      </w:r>
      <w:r w:rsidRPr="002112B9">
        <w:rPr>
          <w:rFonts w:asciiTheme="minorHAnsi" w:eastAsiaTheme="minorHAnsi" w:hAnsiTheme="minorHAnsi" w:cstheme="minorBidi"/>
          <w:sz w:val="20"/>
          <w:szCs w:val="22"/>
          <w:lang w:eastAsia="en-US"/>
        </w:rPr>
        <w:t xml:space="preserve">to receive CSF prophylaxis, consisting of an </w:t>
      </w:r>
      <w:r w:rsidR="006455A5" w:rsidRPr="002112B9">
        <w:rPr>
          <w:rFonts w:asciiTheme="minorHAnsi" w:eastAsiaTheme="minorHAnsi" w:hAnsiTheme="minorHAnsi" w:cstheme="minorBidi"/>
          <w:sz w:val="20"/>
          <w:szCs w:val="22"/>
          <w:lang w:eastAsia="en-US"/>
        </w:rPr>
        <w:t>intrathecal regimen</w:t>
      </w:r>
      <w:r w:rsidR="00745AA8">
        <w:rPr>
          <w:rFonts w:asciiTheme="minorHAnsi" w:eastAsiaTheme="minorHAnsi" w:hAnsiTheme="minorHAnsi" w:cstheme="minorBidi"/>
          <w:sz w:val="20"/>
          <w:szCs w:val="22"/>
          <w:lang w:eastAsia="en-US"/>
        </w:rPr>
        <w:t xml:space="preserve"> according to institutional or national guidelines</w:t>
      </w:r>
      <w:r w:rsidR="006455A5" w:rsidRPr="002112B9">
        <w:rPr>
          <w:rFonts w:asciiTheme="minorHAnsi" w:eastAsiaTheme="minorHAnsi" w:hAnsiTheme="minorHAnsi" w:cstheme="minorBidi"/>
          <w:sz w:val="20"/>
          <w:szCs w:val="22"/>
          <w:lang w:eastAsia="en-US"/>
        </w:rPr>
        <w:t xml:space="preserve"> </w:t>
      </w:r>
      <w:r w:rsidRPr="002112B9">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2112B9">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2112B9">
        <w:rPr>
          <w:rFonts w:asciiTheme="minorHAnsi" w:eastAsiaTheme="minorHAnsi" w:hAnsiTheme="minorHAnsi" w:cstheme="minorBidi"/>
          <w:sz w:val="20"/>
          <w:szCs w:val="22"/>
          <w:lang w:eastAsia="en-US"/>
        </w:rPr>
        <w:t xml:space="preserve"> methotrexate 12 to 15 mg, cytosine arabinoside 40 mg, or dexamethasone 4 mg or equivalent steroid dose). </w:t>
      </w:r>
    </w:p>
    <w:p w14:paraId="3E2BB974" w14:textId="1CA4A1D8" w:rsidR="00285DBA" w:rsidRDefault="00285DBA" w:rsidP="00056F06">
      <w:pPr>
        <w:pStyle w:val="ListParagraph"/>
        <w:widowControl w:val="0"/>
        <w:numPr>
          <w:ilvl w:val="0"/>
          <w:numId w:val="16"/>
        </w:numPr>
        <w:tabs>
          <w:tab w:val="left" w:pos="939"/>
          <w:tab w:val="left" w:pos="940"/>
        </w:tabs>
        <w:autoSpaceDE w:val="0"/>
        <w:autoSpaceDN w:val="0"/>
        <w:spacing w:before="0" w:after="0"/>
        <w:ind w:right="435"/>
        <w:contextualSpacing w:val="0"/>
      </w:pPr>
      <w:bookmarkStart w:id="19" w:name="7._Conditioning_chemotherapy:_Prior_to_i"/>
      <w:bookmarkEnd w:id="19"/>
      <w:r w:rsidRPr="00A415D7">
        <w:rPr>
          <w:u w:val="single"/>
        </w:rPr>
        <w:t>Conditioning chemotherapy:</w:t>
      </w:r>
      <w:r>
        <w:t xml:space="preserve"> Prior to infusion of brexucabtagene autoleucel, patients </w:t>
      </w:r>
      <w:proofErr w:type="gramStart"/>
      <w:r>
        <w:t>are treated</w:t>
      </w:r>
      <w:proofErr w:type="gramEnd"/>
      <w:r>
        <w:t xml:space="preserve"> with</w:t>
      </w:r>
      <w:r w:rsidRPr="006455A5">
        <w:t xml:space="preserve"> </w:t>
      </w:r>
      <w:r>
        <w:t>low-dose lymphodepleting chemotherapy to eliminate the patient’s lymphocytes and allow space for</w:t>
      </w:r>
      <w:r w:rsidRPr="006455A5">
        <w:t xml:space="preserve"> </w:t>
      </w:r>
      <w:r>
        <w:t xml:space="preserve">the T-cells to expand. Lymphodepleting chemotherapy consists of </w:t>
      </w:r>
      <w:r w:rsidR="002112B9">
        <w:t>fludarabine 25 mg/m</w:t>
      </w:r>
      <w:r w:rsidR="002112B9" w:rsidRPr="003E3118">
        <w:rPr>
          <w:vertAlign w:val="superscript"/>
        </w:rPr>
        <w:t>2</w:t>
      </w:r>
      <w:r w:rsidR="002112B9">
        <w:t xml:space="preserve"> intravenous (IV) administered on the</w:t>
      </w:r>
      <w:r w:rsidR="002112B9" w:rsidRPr="006455A5">
        <w:t xml:space="preserve"> </w:t>
      </w:r>
      <w:r w:rsidR="002112B9">
        <w:t>fourth, third and second day prior to infusion of brexucabtagene autoleucel and cyclophosphamide 900 mg/m</w:t>
      </w:r>
      <w:r w:rsidR="002112B9" w:rsidRPr="003E3118">
        <w:rPr>
          <w:vertAlign w:val="superscript"/>
        </w:rPr>
        <w:t>2</w:t>
      </w:r>
      <w:r w:rsidR="002112B9">
        <w:t xml:space="preserve"> IV administered on the</w:t>
      </w:r>
      <w:r w:rsidR="002112B9" w:rsidRPr="006455A5">
        <w:t xml:space="preserve"> </w:t>
      </w:r>
      <w:r w:rsidR="002112B9">
        <w:t xml:space="preserve">second day prior to infusion of </w:t>
      </w:r>
      <w:r>
        <w:t>brexucabtagene autoleucel on</w:t>
      </w:r>
      <w:r w:rsidRPr="006455A5">
        <w:t xml:space="preserve"> </w:t>
      </w:r>
      <w:r>
        <w:t>Day</w:t>
      </w:r>
      <w:r w:rsidRPr="006455A5">
        <w:t xml:space="preserve"> </w:t>
      </w:r>
      <w:r>
        <w:t>0).</w:t>
      </w:r>
    </w:p>
    <w:p w14:paraId="2E765FD3" w14:textId="5098F90C" w:rsidR="00285DBA" w:rsidRDefault="00285DBA" w:rsidP="00A35FCD">
      <w:pPr>
        <w:pStyle w:val="ListParagraph"/>
        <w:widowControl w:val="0"/>
        <w:numPr>
          <w:ilvl w:val="0"/>
          <w:numId w:val="16"/>
        </w:numPr>
        <w:tabs>
          <w:tab w:val="left" w:pos="939"/>
          <w:tab w:val="left" w:pos="940"/>
        </w:tabs>
        <w:autoSpaceDE w:val="0"/>
        <w:autoSpaceDN w:val="0"/>
        <w:spacing w:before="0" w:after="0"/>
        <w:ind w:right="474"/>
        <w:contextualSpacing w:val="0"/>
      </w:pPr>
      <w:bookmarkStart w:id="20" w:name="8._Infusion_of_brexucabtagene_autoleucel"/>
      <w:bookmarkEnd w:id="20"/>
      <w:r w:rsidRPr="00A35FCD">
        <w:rPr>
          <w:u w:val="single"/>
        </w:rPr>
        <w:t>Infusion of brexucabtagene autoleucel:</w:t>
      </w:r>
      <w:r>
        <w:t xml:space="preserve"> Brexucabtagene autoleucel is a single infusion product. Each</w:t>
      </w:r>
      <w:r w:rsidRPr="006455A5">
        <w:t xml:space="preserve"> </w:t>
      </w:r>
      <w:r>
        <w:t>bag for IV infusion contains a suspension of anti-CD19 CAR T-cells. The contents of the bag containing</w:t>
      </w:r>
      <w:r w:rsidRPr="006455A5">
        <w:t xml:space="preserve"> </w:t>
      </w:r>
      <w:r>
        <w:t xml:space="preserve">brexucabtagene autoleucel </w:t>
      </w:r>
      <w:proofErr w:type="gramStart"/>
      <w:r>
        <w:t>is infused</w:t>
      </w:r>
      <w:proofErr w:type="gramEnd"/>
      <w:r>
        <w:t xml:space="preserve"> within 30 minutes.</w:t>
      </w:r>
      <w:r w:rsidR="00AB2542">
        <w:t xml:space="preserve"> </w:t>
      </w:r>
      <w:r w:rsidR="007471D5" w:rsidRPr="007471D5">
        <w:t>Successful infusion is the successful delivery into the patient the prescribed dose per kg</w:t>
      </w:r>
      <w:r w:rsidR="007471D5">
        <w:t xml:space="preserve">. </w:t>
      </w:r>
      <w:r>
        <w:t>Patients receiving treatment with</w:t>
      </w:r>
      <w:r w:rsidRPr="006455A5">
        <w:t xml:space="preserve"> </w:t>
      </w:r>
      <w:r>
        <w:t>brexucabtagene autoleucel are required to be hospitalised</w:t>
      </w:r>
      <w:proofErr w:type="gramStart"/>
      <w:r>
        <w:t>.</w:t>
      </w:r>
      <w:r w:rsidR="00A35FCD">
        <w:t xml:space="preserve">  </w:t>
      </w:r>
      <w:proofErr w:type="gramEnd"/>
      <w:r w:rsidR="00A35FCD">
        <w:t>Patients will require daily monitoring for at least 7 days at the qualified healthcare/clinical facility following infusion for signs and symptoms of CRS or neurologic toxicities</w:t>
      </w:r>
      <w:proofErr w:type="gramStart"/>
      <w:r w:rsidR="00A35FCD">
        <w:t xml:space="preserve">.  </w:t>
      </w:r>
      <w:proofErr w:type="gramEnd"/>
      <w:r w:rsidR="00A35FCD">
        <w:t xml:space="preserve">Patients </w:t>
      </w:r>
      <w:proofErr w:type="gramStart"/>
      <w:r w:rsidR="00A35FCD">
        <w:t>are then instructed</w:t>
      </w:r>
      <w:proofErr w:type="gramEnd"/>
      <w:r w:rsidR="00A35FCD">
        <w:t xml:space="preserve"> to remain within proximity of the qualified healthcare/clinical facility for at least 4 weeks following infusion</w:t>
      </w:r>
      <w:r>
        <w:t>.</w:t>
      </w:r>
    </w:p>
    <w:p w14:paraId="21085FA3" w14:textId="77777777" w:rsidR="00285DBA" w:rsidRPr="00154B00" w:rsidRDefault="00285DBA" w:rsidP="00285DBA">
      <w:pPr>
        <w:rPr>
          <w:szCs w:val="20"/>
        </w:rPr>
      </w:pPr>
    </w:p>
    <w:p w14:paraId="712A3E54"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4FB35E1" w14:textId="1FB71F8F" w:rsidR="00063FF4" w:rsidRDefault="00063FF4" w:rsidP="00A415D7">
      <w:pPr>
        <w:ind w:left="426"/>
      </w:pPr>
      <w:r>
        <w:t xml:space="preserve">Brexucabtagene autoleucel </w:t>
      </w:r>
      <w:proofErr w:type="gramStart"/>
      <w:r>
        <w:t>is already registered</w:t>
      </w:r>
      <w:proofErr w:type="gramEnd"/>
      <w:r>
        <w:t xml:space="preserve"> by TGA </w:t>
      </w:r>
      <w:r w:rsidR="00A54122">
        <w:t>class 4 biological</w:t>
      </w:r>
      <w:r w:rsidR="00A54122">
        <w:rPr>
          <w:spacing w:val="-3"/>
        </w:rPr>
        <w:t xml:space="preserve"> </w:t>
      </w:r>
      <w:r w:rsidR="00A54122">
        <w:t xml:space="preserve">product </w:t>
      </w:r>
      <w:r>
        <w:t xml:space="preserve">for MCL </w:t>
      </w:r>
      <w:r w:rsidRPr="00005B53">
        <w:t>a</w:t>
      </w:r>
      <w:r w:rsidR="00A54122" w:rsidRPr="00005B53">
        <w:t>nd ALL a</w:t>
      </w:r>
      <w:r w:rsidRPr="00005B53">
        <w:t xml:space="preserve">nd </w:t>
      </w:r>
      <w:r>
        <w:t xml:space="preserve">branded </w:t>
      </w:r>
      <w:r w:rsidR="00A54122">
        <w:t xml:space="preserve">as </w:t>
      </w:r>
      <w:r>
        <w:t>TECARTUS.</w:t>
      </w:r>
    </w:p>
    <w:p w14:paraId="0BA099DF" w14:textId="77777777" w:rsidR="00B87234" w:rsidRDefault="00B87234" w:rsidP="00A54122"/>
    <w:p w14:paraId="081C3976" w14:textId="77777777" w:rsidR="00C22AD8" w:rsidRPr="00154B00" w:rsidRDefault="00C22AD8" w:rsidP="00530204">
      <w:pPr>
        <w:pStyle w:val="Heading2"/>
      </w:pPr>
      <w:r w:rsidRPr="00154B00">
        <w:lastRenderedPageBreak/>
        <w:t xml:space="preserve">If the proposed </w:t>
      </w:r>
      <w:r w:rsidRPr="0073597B">
        <w:t>medical</w:t>
      </w:r>
      <w:r w:rsidRPr="00154B00">
        <w:t xml:space="preserve"> service has a prosthesis or device component to it, does it involve </w:t>
      </w:r>
      <w:proofErr w:type="gramStart"/>
      <w:r w:rsidRPr="00154B00">
        <w:t>a new approach</w:t>
      </w:r>
      <w:proofErr w:type="gramEnd"/>
      <w:r w:rsidRPr="00154B00">
        <w:t xml:space="preserve"> towards managing a particular sub-group of the population with the specific medical condition?</w:t>
      </w:r>
    </w:p>
    <w:p w14:paraId="417CE8D0" w14:textId="1ADE016E" w:rsidR="00242A01" w:rsidRDefault="004314B5" w:rsidP="003E3118">
      <w:pPr>
        <w:ind w:left="426"/>
      </w:pPr>
      <w:r>
        <w:t>N</w:t>
      </w:r>
      <w:r w:rsidR="001141ED">
        <w:t>/</w:t>
      </w:r>
      <w:r>
        <w:t>A</w:t>
      </w:r>
    </w:p>
    <w:p w14:paraId="5BA31593" w14:textId="77777777" w:rsidR="00E2732F" w:rsidRPr="003E3118" w:rsidRDefault="00E2732F" w:rsidP="002C2BFE"/>
    <w:p w14:paraId="3399D4E2"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093F22">
        <w:t>?</w:t>
      </w:r>
    </w:p>
    <w:p w14:paraId="1FA38E22" w14:textId="1AF58576" w:rsidR="00156969" w:rsidRDefault="00A415D7" w:rsidP="00156969">
      <w:pPr>
        <w:ind w:left="426"/>
      </w:pPr>
      <w:r>
        <w:t xml:space="preserve">Brexucabtagene autoleucel will </w:t>
      </w:r>
      <w:proofErr w:type="gramStart"/>
      <w:r>
        <w:t>be administered</w:t>
      </w:r>
      <w:proofErr w:type="gramEnd"/>
      <w:r>
        <w:t xml:space="preserve"> at select</w:t>
      </w:r>
      <w:r w:rsidR="00AB2542">
        <w:t>ed</w:t>
      </w:r>
      <w:r>
        <w:t xml:space="preserve"> tertiary public hospitals that have</w:t>
      </w:r>
      <w:r w:rsidRPr="003E3118">
        <w:t xml:space="preserve"> </w:t>
      </w:r>
      <w:r>
        <w:t>successfully completed Gilead’s rigorous site qualification process to ensure all quality and safety</w:t>
      </w:r>
      <w:r w:rsidRPr="003E3118">
        <w:t xml:space="preserve"> </w:t>
      </w:r>
      <w:r>
        <w:t xml:space="preserve">requirements are satisfied. </w:t>
      </w:r>
    </w:p>
    <w:p w14:paraId="0496FC4F" w14:textId="77777777" w:rsidR="00A35FCD" w:rsidRDefault="00A35FCD" w:rsidP="00A35FCD">
      <w:pPr>
        <w:widowControl w:val="0"/>
        <w:tabs>
          <w:tab w:val="left" w:pos="939"/>
          <w:tab w:val="left" w:pos="940"/>
        </w:tabs>
        <w:autoSpaceDE w:val="0"/>
        <w:autoSpaceDN w:val="0"/>
        <w:spacing w:before="0" w:after="0"/>
        <w:ind w:right="474"/>
      </w:pPr>
    </w:p>
    <w:p w14:paraId="7015D3D5" w14:textId="77777777" w:rsidR="00A35FCD" w:rsidRDefault="00A35FCD" w:rsidP="00A35FCD">
      <w:pPr>
        <w:widowControl w:val="0"/>
        <w:tabs>
          <w:tab w:val="left" w:pos="939"/>
          <w:tab w:val="left" w:pos="940"/>
        </w:tabs>
        <w:autoSpaceDE w:val="0"/>
        <w:autoSpaceDN w:val="0"/>
        <w:spacing w:before="0" w:after="0"/>
        <w:ind w:left="426" w:right="474"/>
      </w:pPr>
      <w:r>
        <w:t>Patients will require daily monitoring for at least 7 days at the qualified healthcare/clinical facility following infusion for signs and symptoms of CRS or neurologic toxicities</w:t>
      </w:r>
      <w:proofErr w:type="gramStart"/>
      <w:r>
        <w:t xml:space="preserve">.  </w:t>
      </w:r>
      <w:proofErr w:type="gramEnd"/>
    </w:p>
    <w:p w14:paraId="2E04298A" w14:textId="77777777" w:rsidR="00A35FCD" w:rsidRDefault="00A35FCD" w:rsidP="00A35FCD">
      <w:pPr>
        <w:widowControl w:val="0"/>
        <w:tabs>
          <w:tab w:val="left" w:pos="939"/>
          <w:tab w:val="left" w:pos="940"/>
        </w:tabs>
        <w:autoSpaceDE w:val="0"/>
        <w:autoSpaceDN w:val="0"/>
        <w:spacing w:before="0" w:after="0"/>
        <w:ind w:left="426" w:right="474"/>
      </w:pPr>
    </w:p>
    <w:p w14:paraId="0B171169" w14:textId="106C83AC" w:rsidR="00A35FCD" w:rsidRDefault="00A35FCD" w:rsidP="00A35FCD">
      <w:pPr>
        <w:widowControl w:val="0"/>
        <w:tabs>
          <w:tab w:val="left" w:pos="939"/>
          <w:tab w:val="left" w:pos="940"/>
        </w:tabs>
        <w:autoSpaceDE w:val="0"/>
        <w:autoSpaceDN w:val="0"/>
        <w:spacing w:before="0" w:after="0"/>
        <w:ind w:left="426" w:right="474"/>
      </w:pPr>
      <w:r>
        <w:t xml:space="preserve">Patients </w:t>
      </w:r>
      <w:proofErr w:type="gramStart"/>
      <w:r>
        <w:t>are then instructed</w:t>
      </w:r>
      <w:proofErr w:type="gramEnd"/>
      <w:r>
        <w:t xml:space="preserve"> to remain within proximity of the qualified healthcare/clinical facility for at least 4 weeks following infusion.</w:t>
      </w:r>
    </w:p>
    <w:p w14:paraId="46C855E6" w14:textId="77777777" w:rsidR="00502001" w:rsidRPr="00487AE5" w:rsidRDefault="00502001" w:rsidP="00502001">
      <w:pPr>
        <w:pStyle w:val="Response"/>
      </w:pPr>
    </w:p>
    <w:p w14:paraId="28FE3C7D"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w:t>
      </w:r>
      <w:proofErr w:type="gramStart"/>
      <w:r w:rsidRPr="00154B00">
        <w:t>be delivered</w:t>
      </w:r>
      <w:proofErr w:type="gramEnd"/>
      <w:r w:rsidRPr="00154B00">
        <w:t xml:space="preserve"> </w:t>
      </w:r>
      <w:r w:rsidRPr="007C2260">
        <w:rPr>
          <w:u w:val="single"/>
        </w:rPr>
        <w:t>at the same time</w:t>
      </w:r>
      <w:r w:rsidRPr="00154B00">
        <w:t xml:space="preserve"> </w:t>
      </w:r>
      <w:r w:rsidR="00197D29">
        <w:t>as the proposed medical service:</w:t>
      </w:r>
    </w:p>
    <w:p w14:paraId="5841C0EB" w14:textId="2A555209" w:rsidR="00412695" w:rsidRDefault="00412695" w:rsidP="00412695">
      <w:pPr>
        <w:ind w:left="426"/>
      </w:pPr>
      <w:r>
        <w:t xml:space="preserve">Bridging therapy may </w:t>
      </w:r>
      <w:proofErr w:type="gramStart"/>
      <w:r>
        <w:t>be administered</w:t>
      </w:r>
      <w:proofErr w:type="gramEnd"/>
      <w:r>
        <w:t xml:space="preserve"> to some patients in the period between the collection of cells and</w:t>
      </w:r>
      <w:r w:rsidRPr="00412695">
        <w:t xml:space="preserve"> </w:t>
      </w:r>
      <w:r>
        <w:t xml:space="preserve">the infusion of brexucabtagene autoleucel. Bridging therapy may </w:t>
      </w:r>
      <w:proofErr w:type="gramStart"/>
      <w:r>
        <w:t>be required</w:t>
      </w:r>
      <w:proofErr w:type="gramEnd"/>
      <w:r>
        <w:t xml:space="preserve"> in patients who have a high</w:t>
      </w:r>
      <w:r w:rsidRPr="00412695">
        <w:t xml:space="preserve"> </w:t>
      </w:r>
      <w:r>
        <w:t>disease burden to ensure that the patient remains viable to have the brexucabtagene autoleucel product</w:t>
      </w:r>
      <w:r w:rsidRPr="00412695">
        <w:t xml:space="preserve"> </w:t>
      </w:r>
      <w:r>
        <w:t xml:space="preserve">infused. </w:t>
      </w:r>
    </w:p>
    <w:p w14:paraId="638F71DD" w14:textId="3ACEBD49" w:rsidR="00412695" w:rsidRDefault="009F1966" w:rsidP="00412695">
      <w:pPr>
        <w:ind w:left="426"/>
      </w:pPr>
      <w:r>
        <w:t xml:space="preserve">Patients </w:t>
      </w:r>
      <w:r w:rsidRPr="002112B9">
        <w:t>to receive CSF prophylaxis, consisting of an intrathecal regimen</w:t>
      </w:r>
      <w:r>
        <w:t xml:space="preserve"> according to institutional or national guidelines</w:t>
      </w:r>
      <w:r w:rsidRPr="002112B9">
        <w:t xml:space="preserve"> (e</w:t>
      </w:r>
      <w:r>
        <w:t>.</w:t>
      </w:r>
      <w:r w:rsidRPr="002112B9">
        <w:t>g</w:t>
      </w:r>
      <w:r>
        <w:t>.</w:t>
      </w:r>
      <w:r w:rsidRPr="002112B9">
        <w:t xml:space="preserve"> methotrexate 12 to 15 mg, cytosine arabinoside 40 mg, or dexamethasone 4 mg or equivalent steroid dose). </w:t>
      </w:r>
      <w:r w:rsidR="00412695">
        <w:t xml:space="preserve">Conditioning chemotherapy </w:t>
      </w:r>
      <w:proofErr w:type="gramStart"/>
      <w:r w:rsidR="00412695">
        <w:t>is required</w:t>
      </w:r>
      <w:proofErr w:type="gramEnd"/>
      <w:r w:rsidR="00412695">
        <w:t xml:space="preserve"> to be administered in the days prior to infusion of</w:t>
      </w:r>
      <w:r w:rsidR="00412695" w:rsidRPr="00412695">
        <w:t xml:space="preserve"> </w:t>
      </w:r>
      <w:r w:rsidR="00412695">
        <w:t>brexucabtagene</w:t>
      </w:r>
      <w:r w:rsidR="00412695" w:rsidRPr="00412695">
        <w:t xml:space="preserve"> </w:t>
      </w:r>
      <w:r w:rsidR="00412695">
        <w:t>autoleucel.</w:t>
      </w:r>
    </w:p>
    <w:p w14:paraId="3A510ED0" w14:textId="4269569F" w:rsidR="00412695" w:rsidRDefault="00412695" w:rsidP="00412695">
      <w:pPr>
        <w:ind w:left="426"/>
      </w:pPr>
      <w:r>
        <w:t xml:space="preserve">Paracetamol </w:t>
      </w:r>
      <w:r w:rsidR="004779AA">
        <w:t>650</w:t>
      </w:r>
      <w:r>
        <w:t xml:space="preserve"> mg and diphenhydramine 12.5 mg </w:t>
      </w:r>
      <w:proofErr w:type="gramStart"/>
      <w:r>
        <w:t>were administered</w:t>
      </w:r>
      <w:proofErr w:type="gramEnd"/>
      <w:r>
        <w:t xml:space="preserve"> one hour prior</w:t>
      </w:r>
      <w:r w:rsidRPr="00412695">
        <w:t xml:space="preserve"> </w:t>
      </w:r>
      <w:r>
        <w:t>to</w:t>
      </w:r>
      <w:r w:rsidRPr="00412695">
        <w:t xml:space="preserve"> </w:t>
      </w:r>
      <w:r>
        <w:t>infusion in</w:t>
      </w:r>
      <w:r w:rsidRPr="00412695">
        <w:t xml:space="preserve"> </w:t>
      </w:r>
      <w:r>
        <w:t>the key ZUMA-3 trial.</w:t>
      </w:r>
    </w:p>
    <w:p w14:paraId="37FF3C8C" w14:textId="253871D3" w:rsidR="00412695" w:rsidRDefault="00412695" w:rsidP="00412695">
      <w:pPr>
        <w:ind w:left="426"/>
      </w:pPr>
      <w:r>
        <w:t xml:space="preserve">Brexucabtagene autoleucel </w:t>
      </w:r>
      <w:proofErr w:type="gramStart"/>
      <w:r>
        <w:t>is administered</w:t>
      </w:r>
      <w:proofErr w:type="gramEnd"/>
      <w:r>
        <w:t xml:space="preserve"> by IV infusion in an inpatient hospital setting.</w:t>
      </w:r>
      <w:r w:rsidRPr="00412695">
        <w:t xml:space="preserve"> </w:t>
      </w:r>
      <w:r>
        <w:t xml:space="preserve">Administration of brexucabtagene autoleucel </w:t>
      </w:r>
      <w:proofErr w:type="gramStart"/>
      <w:r>
        <w:t>is performed</w:t>
      </w:r>
      <w:proofErr w:type="gramEnd"/>
      <w:r>
        <w:t xml:space="preserve"> under the supervision of a haematologist or</w:t>
      </w:r>
      <w:r w:rsidRPr="00412695">
        <w:t xml:space="preserve"> </w:t>
      </w:r>
      <w:r>
        <w:t>haematologist-oncologist.</w:t>
      </w:r>
    </w:p>
    <w:p w14:paraId="74BE2126" w14:textId="0334E4C2" w:rsidR="00242A01" w:rsidRDefault="00412695" w:rsidP="003E3118">
      <w:pPr>
        <w:ind w:left="426"/>
      </w:pPr>
      <w:proofErr w:type="gramStart"/>
      <w:r>
        <w:t>Some</w:t>
      </w:r>
      <w:proofErr w:type="gramEnd"/>
      <w:r>
        <w:t xml:space="preserve"> patients may require administration of treatments following infusion of brexucabtagene autoleucel</w:t>
      </w:r>
      <w:r w:rsidRPr="00412695">
        <w:t xml:space="preserve"> </w:t>
      </w:r>
      <w:r>
        <w:t>as</w:t>
      </w:r>
      <w:r w:rsidRPr="00412695">
        <w:t xml:space="preserve"> </w:t>
      </w:r>
      <w:r>
        <w:t>supportive</w:t>
      </w:r>
      <w:r w:rsidRPr="00412695">
        <w:t xml:space="preserve"> </w:t>
      </w:r>
      <w:r>
        <w:t>care</w:t>
      </w:r>
      <w:r w:rsidRPr="00412695">
        <w:t xml:space="preserve"> </w:t>
      </w:r>
      <w:r>
        <w:t>and</w:t>
      </w:r>
      <w:r w:rsidRPr="00412695">
        <w:t xml:space="preserve"> </w:t>
      </w:r>
      <w:r>
        <w:t>for</w:t>
      </w:r>
      <w:r w:rsidRPr="00412695">
        <w:t xml:space="preserve"> </w:t>
      </w:r>
      <w:r>
        <w:t>management</w:t>
      </w:r>
      <w:r w:rsidRPr="00412695">
        <w:t xml:space="preserve"> </w:t>
      </w:r>
      <w:r>
        <w:t>of</w:t>
      </w:r>
      <w:r w:rsidRPr="00412695">
        <w:t xml:space="preserve"> </w:t>
      </w:r>
      <w:r>
        <w:t>adverse</w:t>
      </w:r>
      <w:r w:rsidRPr="00412695">
        <w:t xml:space="preserve"> </w:t>
      </w:r>
      <w:r>
        <w:t>events</w:t>
      </w:r>
      <w:r w:rsidRPr="00412695">
        <w:t xml:space="preserve"> </w:t>
      </w:r>
      <w:r>
        <w:t>(e.g.</w:t>
      </w:r>
      <w:r w:rsidRPr="00412695">
        <w:t xml:space="preserve"> </w:t>
      </w:r>
      <w:r>
        <w:t>blood</w:t>
      </w:r>
      <w:r w:rsidRPr="00412695">
        <w:t xml:space="preserve"> </w:t>
      </w:r>
      <w:r>
        <w:t>products,</w:t>
      </w:r>
      <w:r w:rsidRPr="00412695">
        <w:t xml:space="preserve"> </w:t>
      </w:r>
      <w:r>
        <w:t>antiemetics,</w:t>
      </w:r>
      <w:r w:rsidRPr="00412695">
        <w:t xml:space="preserve"> </w:t>
      </w:r>
      <w:r>
        <w:t>tocilizumab)</w:t>
      </w:r>
      <w:r w:rsidR="00242A01">
        <w:t>.</w:t>
      </w:r>
    </w:p>
    <w:p w14:paraId="1F389CF4" w14:textId="77777777" w:rsidR="00B87234" w:rsidRPr="00412695" w:rsidRDefault="00B87234" w:rsidP="003E3118">
      <w:pPr>
        <w:ind w:left="426"/>
      </w:pPr>
    </w:p>
    <w:p w14:paraId="468EDFDC"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E0FB376" w14:textId="59E9F224" w:rsidR="00242A01" w:rsidRDefault="00BF7E89" w:rsidP="003E3118">
      <w:pPr>
        <w:ind w:left="426"/>
      </w:pPr>
      <w:r>
        <w:t>Haematologists</w:t>
      </w:r>
      <w:r>
        <w:rPr>
          <w:spacing w:val="-6"/>
        </w:rPr>
        <w:t xml:space="preserve"> </w:t>
      </w:r>
      <w:r>
        <w:t>and</w:t>
      </w:r>
      <w:r>
        <w:rPr>
          <w:spacing w:val="-7"/>
        </w:rPr>
        <w:t xml:space="preserve"> </w:t>
      </w:r>
      <w:r>
        <w:t>haematologist-oncologists</w:t>
      </w:r>
      <w:r w:rsidR="00242A01">
        <w:t>.</w:t>
      </w:r>
    </w:p>
    <w:p w14:paraId="7EFB3414" w14:textId="77777777" w:rsidR="00B87234" w:rsidRPr="00BF7E89" w:rsidRDefault="00B87234" w:rsidP="003E3118">
      <w:pPr>
        <w:ind w:left="426"/>
      </w:pPr>
    </w:p>
    <w:p w14:paraId="0A4BC704" w14:textId="77777777" w:rsidR="00B17E26" w:rsidRPr="00154B00" w:rsidRDefault="00B17E26" w:rsidP="00530204">
      <w:pPr>
        <w:pStyle w:val="Heading2"/>
      </w:pPr>
      <w:r w:rsidRPr="00154B00">
        <w:t xml:space="preserve">If applicable, advise whether the proposed medical service could </w:t>
      </w:r>
      <w:proofErr w:type="gramStart"/>
      <w:r w:rsidRPr="00154B00">
        <w:t>be delegated</w:t>
      </w:r>
      <w:proofErr w:type="gramEnd"/>
      <w:r w:rsidRPr="00154B00">
        <w:t xml:space="preserve"> or referred to another professional </w:t>
      </w:r>
      <w:r w:rsidRPr="0073597B">
        <w:t>for</w:t>
      </w:r>
      <w:r w:rsidRPr="00154B00">
        <w:t xml:space="preserve"> delive</w:t>
      </w:r>
      <w:r w:rsidR="00AE1188">
        <w:t>ry:</w:t>
      </w:r>
    </w:p>
    <w:p w14:paraId="181E8EA4" w14:textId="0FB7D7C9" w:rsidR="00B17E26" w:rsidRDefault="001141ED" w:rsidP="00884E69">
      <w:pPr>
        <w:ind w:left="426"/>
      </w:pPr>
      <w:r>
        <w:t>N/A</w:t>
      </w:r>
    </w:p>
    <w:p w14:paraId="438DCE2B" w14:textId="77777777" w:rsidR="00B87234" w:rsidRPr="00154B00" w:rsidRDefault="00B87234" w:rsidP="00884E69">
      <w:pPr>
        <w:ind w:left="426"/>
        <w:rPr>
          <w:szCs w:val="20"/>
        </w:rPr>
      </w:pPr>
    </w:p>
    <w:p w14:paraId="6752E72B"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A4BF70D" w14:textId="74820AE2" w:rsidR="00242A01" w:rsidRPr="00154B00" w:rsidRDefault="00981844" w:rsidP="00BC424B">
      <w:pPr>
        <w:ind w:left="426"/>
        <w:rPr>
          <w:szCs w:val="20"/>
        </w:rPr>
      </w:pPr>
      <w:r>
        <w:t xml:space="preserve">CAR T-cell therapies funded under the NHRA for delivery in public hospitals, it </w:t>
      </w:r>
      <w:proofErr w:type="gramStart"/>
      <w:r>
        <w:t>is proposed</w:t>
      </w:r>
      <w:proofErr w:type="gramEnd"/>
      <w:r>
        <w:t xml:space="preserve"> that brexucabtagene autoleucel will only be able to be administered in accredited treatment centres. </w:t>
      </w:r>
    </w:p>
    <w:p w14:paraId="7DAB4A1A" w14:textId="77777777" w:rsidR="00EA0E25" w:rsidRPr="00154B00" w:rsidRDefault="00EA0E25" w:rsidP="00530204">
      <w:pPr>
        <w:pStyle w:val="Heading2"/>
      </w:pPr>
      <w:r w:rsidRPr="00154B00">
        <w:lastRenderedPageBreak/>
        <w:t xml:space="preserve">If applicable, advise what type of training </w:t>
      </w:r>
      <w:r w:rsidR="009C03FB" w:rsidRPr="00154B00">
        <w:t xml:space="preserve">or qualifications </w:t>
      </w:r>
      <w:r w:rsidRPr="00154B00">
        <w:t xml:space="preserve">would </w:t>
      </w:r>
      <w:proofErr w:type="gramStart"/>
      <w:r w:rsidRPr="00154B00">
        <w:t>be required</w:t>
      </w:r>
      <w:proofErr w:type="gramEnd"/>
      <w:r w:rsidRPr="00154B00">
        <w:t xml:space="preserve">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2AB54F0" w14:textId="322B2E46" w:rsidR="00242A01" w:rsidRDefault="00BF7E89" w:rsidP="003E3118">
      <w:pPr>
        <w:ind w:left="426"/>
      </w:pPr>
      <w:r>
        <w:t xml:space="preserve">Brexucabtagene autoleucel will </w:t>
      </w:r>
      <w:proofErr w:type="gramStart"/>
      <w:r>
        <w:t>be prescribed</w:t>
      </w:r>
      <w:proofErr w:type="gramEnd"/>
      <w:r>
        <w:t xml:space="preserve"> by physicians who are experienced in the treatment of</w:t>
      </w:r>
      <w:r>
        <w:rPr>
          <w:spacing w:val="1"/>
        </w:rPr>
        <w:t xml:space="preserve"> </w:t>
      </w:r>
      <w:r>
        <w:t>patients with haematological malignancies.</w:t>
      </w:r>
      <w:r>
        <w:rPr>
          <w:spacing w:val="1"/>
        </w:rPr>
        <w:t xml:space="preserve"> </w:t>
      </w:r>
      <w:r>
        <w:t xml:space="preserve">As part of the </w:t>
      </w:r>
      <w:r w:rsidR="00F53F68">
        <w:t>centre</w:t>
      </w:r>
      <w:r>
        <w:t xml:space="preserve"> qualification process, all centre staff</w:t>
      </w:r>
      <w:r>
        <w:rPr>
          <w:spacing w:val="1"/>
        </w:rPr>
        <w:t xml:space="preserve"> </w:t>
      </w:r>
      <w:r>
        <w:t xml:space="preserve">involved in the delivery of brexucabtagene autoleucel (prescribing, </w:t>
      </w:r>
      <w:r w:rsidR="003E3118">
        <w:t>dispensing,</w:t>
      </w:r>
      <w:r>
        <w:t xml:space="preserve"> and administering) will </w:t>
      </w:r>
      <w:proofErr w:type="gramStart"/>
      <w:r>
        <w:t>be</w:t>
      </w:r>
      <w:r>
        <w:rPr>
          <w:spacing w:val="-43"/>
        </w:rPr>
        <w:t xml:space="preserve"> </w:t>
      </w:r>
      <w:r>
        <w:t>trained</w:t>
      </w:r>
      <w:proofErr w:type="gramEnd"/>
      <w:r>
        <w:rPr>
          <w:spacing w:val="-1"/>
        </w:rPr>
        <w:t xml:space="preserve"> </w:t>
      </w:r>
      <w:r w:rsidR="000A7C4E">
        <w:t xml:space="preserve">in accordance with </w:t>
      </w:r>
      <w:r>
        <w:t>the</w:t>
      </w:r>
      <w:r>
        <w:rPr>
          <w:spacing w:val="-4"/>
        </w:rPr>
        <w:t xml:space="preserve"> </w:t>
      </w:r>
      <w:r>
        <w:t>Product</w:t>
      </w:r>
      <w:r>
        <w:rPr>
          <w:spacing w:val="-1"/>
        </w:rPr>
        <w:t xml:space="preserve"> </w:t>
      </w:r>
      <w:r>
        <w:t>Information (PI)</w:t>
      </w:r>
      <w:r>
        <w:rPr>
          <w:spacing w:val="-1"/>
        </w:rPr>
        <w:t xml:space="preserve"> </w:t>
      </w:r>
      <w:r>
        <w:t>and Risk</w:t>
      </w:r>
      <w:r>
        <w:rPr>
          <w:spacing w:val="-1"/>
        </w:rPr>
        <w:t xml:space="preserve"> </w:t>
      </w:r>
      <w:r>
        <w:t>Management</w:t>
      </w:r>
      <w:r>
        <w:rPr>
          <w:spacing w:val="-1"/>
        </w:rPr>
        <w:t xml:space="preserve"> </w:t>
      </w:r>
      <w:r>
        <w:t>Plan</w:t>
      </w:r>
      <w:r>
        <w:rPr>
          <w:spacing w:val="-1"/>
        </w:rPr>
        <w:t xml:space="preserve"> </w:t>
      </w:r>
      <w:r>
        <w:t>(RMP).</w:t>
      </w:r>
    </w:p>
    <w:p w14:paraId="3D9B076D" w14:textId="77777777" w:rsidR="00B87234" w:rsidRPr="00BF7E89" w:rsidRDefault="00B87234" w:rsidP="003E3118">
      <w:pPr>
        <w:ind w:left="426"/>
      </w:pPr>
    </w:p>
    <w:p w14:paraId="497CFC04"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w:t>
      </w:r>
      <w:proofErr w:type="gramStart"/>
      <w:r w:rsidR="005F3F07" w:rsidRPr="00154B00">
        <w:t>be delivered</w:t>
      </w:r>
      <w:proofErr w:type="gramEnd"/>
      <w:r w:rsidR="00D30BDC">
        <w:t xml:space="preserve"> (select </w:t>
      </w:r>
      <w:r w:rsidR="0079354C" w:rsidRPr="0079354C">
        <w:rPr>
          <w:u w:val="single"/>
        </w:rPr>
        <w:t>ALL</w:t>
      </w:r>
      <w:r w:rsidR="0079354C">
        <w:t xml:space="preserve"> </w:t>
      </w:r>
      <w:r w:rsidR="00D30BDC">
        <w:t>relevant settings)</w:t>
      </w:r>
      <w:r w:rsidR="00AE1188">
        <w:t>:</w:t>
      </w:r>
    </w:p>
    <w:p w14:paraId="5ADD0B3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6D03BD5A" w14:textId="098FA4B5" w:rsidR="000A478F" w:rsidRDefault="00F53F68"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4384226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3F27A04E" w14:textId="58A067DA" w:rsidR="0079354C" w:rsidRDefault="00F53F6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79354C">
        <w:rPr>
          <w:szCs w:val="20"/>
        </w:rPr>
        <w:t xml:space="preserve"> Public outpatient clinic</w:t>
      </w:r>
    </w:p>
    <w:p w14:paraId="6E3DAB9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Emergency Department</w:t>
      </w:r>
    </w:p>
    <w:p w14:paraId="4EECEF9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2AF3F33"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Private consulting rooms – specialist</w:t>
      </w:r>
    </w:p>
    <w:p w14:paraId="48188A3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Private consulting rooms – other health practitioner (nurse or allied health)</w:t>
      </w:r>
    </w:p>
    <w:p w14:paraId="707ABE5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FE4D417"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Private day surgery clinic (non-admitted patient)</w:t>
      </w:r>
    </w:p>
    <w:p w14:paraId="78A9511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Public day surgery clinic (admitted patient)</w:t>
      </w:r>
    </w:p>
    <w:p w14:paraId="1298DE4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Public day surgery clinic (non-admitted patient)</w:t>
      </w:r>
    </w:p>
    <w:p w14:paraId="0D9464F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Residential aged care facility</w:t>
      </w:r>
    </w:p>
    <w:p w14:paraId="10F25EC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Patient’s home</w:t>
      </w:r>
    </w:p>
    <w:p w14:paraId="3D29D1B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Laboratory</w:t>
      </w:r>
    </w:p>
    <w:p w14:paraId="085FAE95"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C6C24">
        <w:rPr>
          <w:szCs w:val="20"/>
        </w:rPr>
      </w:r>
      <w:r w:rsidR="009C6C24">
        <w:rPr>
          <w:szCs w:val="20"/>
        </w:rPr>
        <w:fldChar w:fldCharType="separate"/>
      </w:r>
      <w:r w:rsidRPr="000A5B32">
        <w:rPr>
          <w:szCs w:val="20"/>
        </w:rPr>
        <w:fldChar w:fldCharType="end"/>
      </w:r>
      <w:r>
        <w:rPr>
          <w:szCs w:val="20"/>
        </w:rPr>
        <w:t xml:space="preserve"> </w:t>
      </w:r>
      <w:r>
        <w:t>Other – please specify below</w:t>
      </w:r>
    </w:p>
    <w:p w14:paraId="301BD066" w14:textId="77777777" w:rsidR="003433D1" w:rsidRPr="005C3AE7" w:rsidRDefault="00E048ED" w:rsidP="00056F06">
      <w:pPr>
        <w:pStyle w:val="ListParagraph"/>
        <w:numPr>
          <w:ilvl w:val="0"/>
          <w:numId w:val="8"/>
        </w:numPr>
        <w:rPr>
          <w:b/>
          <w:szCs w:val="20"/>
        </w:rPr>
      </w:pPr>
      <w:r w:rsidRPr="005C3AE7">
        <w:rPr>
          <w:b/>
          <w:szCs w:val="20"/>
        </w:rPr>
        <w:t xml:space="preserve">Where the proposed medical service </w:t>
      </w:r>
      <w:proofErr w:type="gramStart"/>
      <w:r w:rsidRPr="005C3AE7">
        <w:rPr>
          <w:b/>
          <w:szCs w:val="20"/>
        </w:rPr>
        <w:t>is provided</w:t>
      </w:r>
      <w:proofErr w:type="gramEnd"/>
      <w:r w:rsidRPr="005C3AE7">
        <w:rPr>
          <w:b/>
          <w:szCs w:val="20"/>
        </w:rPr>
        <w:t xml:space="preserve"> in more than one setting, please describ</w:t>
      </w:r>
      <w:r w:rsidR="00AE1188" w:rsidRPr="005C3AE7">
        <w:rPr>
          <w:b/>
          <w:szCs w:val="20"/>
        </w:rPr>
        <w:t>e the rationale related to each:</w:t>
      </w:r>
    </w:p>
    <w:p w14:paraId="4C3F50F6" w14:textId="0E8A20C5" w:rsidR="00063FF4" w:rsidRDefault="00F53F68" w:rsidP="00156969">
      <w:pPr>
        <w:ind w:left="426"/>
        <w:rPr>
          <w:noProof/>
        </w:rPr>
      </w:pPr>
      <w:r>
        <w:rPr>
          <w:noProof/>
        </w:rPr>
        <w:t>Patient’s T-cells will generally be collected at an outpatient clinic (leukapheresis). The materials collected</w:t>
      </w:r>
      <w:r w:rsidRPr="00F53F68">
        <w:rPr>
          <w:noProof/>
        </w:rPr>
        <w:t xml:space="preserve"> </w:t>
      </w:r>
      <w:r>
        <w:rPr>
          <w:noProof/>
        </w:rPr>
        <w:t>by apheresis are then couriered to an offsite manufacturing facility</w:t>
      </w:r>
      <w:r w:rsidR="00295458">
        <w:rPr>
          <w:noProof/>
        </w:rPr>
        <w:t xml:space="preserve"> in </w:t>
      </w:r>
      <w:r w:rsidR="00F84FF9">
        <w:t>REDACTED</w:t>
      </w:r>
      <w:r w:rsidR="00F84FF9">
        <w:rPr>
          <w:noProof/>
        </w:rPr>
        <w:t xml:space="preserve"> </w:t>
      </w:r>
      <w:r>
        <w:rPr>
          <w:noProof/>
        </w:rPr>
        <w:t>and returned to the accredited</w:t>
      </w:r>
      <w:r w:rsidRPr="00F53F68">
        <w:rPr>
          <w:noProof/>
        </w:rPr>
        <w:t xml:space="preserve"> </w:t>
      </w:r>
      <w:r>
        <w:rPr>
          <w:noProof/>
        </w:rPr>
        <w:t>healthcare/clinical facility</w:t>
      </w:r>
      <w:r w:rsidR="00295458">
        <w:rPr>
          <w:noProof/>
        </w:rPr>
        <w:t xml:space="preserve"> in Australia</w:t>
      </w:r>
      <w:r>
        <w:rPr>
          <w:noProof/>
        </w:rPr>
        <w:t xml:space="preserve">. </w:t>
      </w:r>
    </w:p>
    <w:p w14:paraId="2A19A229" w14:textId="0D1B4141" w:rsidR="00063FF4" w:rsidRDefault="00F53F68" w:rsidP="00156969">
      <w:pPr>
        <w:ind w:left="426"/>
        <w:rPr>
          <w:noProof/>
        </w:rPr>
      </w:pPr>
      <w:r>
        <w:rPr>
          <w:noProof/>
        </w:rPr>
        <w:t>Lymphodepleting chemotherapy with fludarabine and cyclophosphamide,</w:t>
      </w:r>
      <w:r w:rsidRPr="00F53F68">
        <w:rPr>
          <w:noProof/>
        </w:rPr>
        <w:t xml:space="preserve"> </w:t>
      </w:r>
      <w:r>
        <w:rPr>
          <w:noProof/>
        </w:rPr>
        <w:t>which is to be administered before brexucabtagene autoleucel infusion</w:t>
      </w:r>
      <w:r w:rsidRPr="00F53F68">
        <w:rPr>
          <w:noProof/>
        </w:rPr>
        <w:t xml:space="preserve"> </w:t>
      </w:r>
      <w:r>
        <w:rPr>
          <w:noProof/>
        </w:rPr>
        <w:t xml:space="preserve">will typically be performed at an outpatient clinic. </w:t>
      </w:r>
    </w:p>
    <w:p w14:paraId="3B7E490B" w14:textId="771F3D88" w:rsidR="00242A01" w:rsidRDefault="009F1966" w:rsidP="00156969">
      <w:pPr>
        <w:ind w:left="426"/>
        <w:rPr>
          <w:noProof/>
        </w:rPr>
      </w:pPr>
      <w:r w:rsidRPr="002112B9">
        <w:t>CSF prophylaxis, consisting of an intrathecal regimen</w:t>
      </w:r>
      <w:r>
        <w:t xml:space="preserve"> according to institutional or national guidelines</w:t>
      </w:r>
      <w:r w:rsidRPr="002112B9">
        <w:t xml:space="preserve"> (e</w:t>
      </w:r>
      <w:r>
        <w:t>.</w:t>
      </w:r>
      <w:r w:rsidRPr="002112B9">
        <w:t>g</w:t>
      </w:r>
      <w:r>
        <w:t>.</w:t>
      </w:r>
      <w:r w:rsidRPr="002112B9">
        <w:t xml:space="preserve"> methotrexate 12 to 15 mg, cytosine arabinoside 40 mg, or dexamethasone 4 mg or equivalent steroid dose</w:t>
      </w:r>
      <w:r>
        <w:t xml:space="preserve">. </w:t>
      </w:r>
      <w:r w:rsidR="00F53F68">
        <w:rPr>
          <w:noProof/>
        </w:rPr>
        <w:t>Brexucabtagene autoleucel will be administered at the</w:t>
      </w:r>
      <w:r w:rsidR="00F53F68" w:rsidRPr="00F53F68">
        <w:rPr>
          <w:noProof/>
        </w:rPr>
        <w:t xml:space="preserve"> </w:t>
      </w:r>
      <w:r w:rsidR="00F53F68">
        <w:rPr>
          <w:noProof/>
        </w:rPr>
        <w:t xml:space="preserve">accredited healthcare/clinical facility. Patients will be monitored daily for adverse events </w:t>
      </w:r>
      <w:r w:rsidR="00B37E0F">
        <w:rPr>
          <w:noProof/>
        </w:rPr>
        <w:t xml:space="preserve">such as CRS </w:t>
      </w:r>
      <w:r w:rsidR="00F53F68">
        <w:rPr>
          <w:noProof/>
        </w:rPr>
        <w:t>for at least 7</w:t>
      </w:r>
      <w:r w:rsidR="00F53F68" w:rsidRPr="00F53F68">
        <w:rPr>
          <w:noProof/>
        </w:rPr>
        <w:t xml:space="preserve"> </w:t>
      </w:r>
      <w:r w:rsidR="00F53F68">
        <w:rPr>
          <w:noProof/>
        </w:rPr>
        <w:t>days.</w:t>
      </w:r>
    </w:p>
    <w:p w14:paraId="5364A594" w14:textId="77777777" w:rsidR="00B87234" w:rsidRPr="00F53F68" w:rsidRDefault="00B87234" w:rsidP="00156969">
      <w:pPr>
        <w:ind w:left="426"/>
        <w:rPr>
          <w:noProof/>
        </w:rPr>
      </w:pPr>
    </w:p>
    <w:p w14:paraId="1E7B1CA5" w14:textId="77777777" w:rsidR="003E30FB" w:rsidRDefault="003E30FB" w:rsidP="00530204">
      <w:pPr>
        <w:pStyle w:val="Heading2"/>
      </w:pPr>
      <w:r>
        <w:t xml:space="preserve">Is the </w:t>
      </w:r>
      <w:r w:rsidRPr="001B29A1">
        <w:t>proposed</w:t>
      </w:r>
      <w:r>
        <w:t xml:space="preserve"> medical service intended to </w:t>
      </w:r>
      <w:proofErr w:type="gramStart"/>
      <w:r>
        <w:t>be entirely rendered</w:t>
      </w:r>
      <w:proofErr w:type="gramEnd"/>
      <w:r>
        <w:t xml:space="preserve"> in Australia?</w:t>
      </w:r>
    </w:p>
    <w:p w14:paraId="74069D03" w14:textId="77777777" w:rsidR="000A478F" w:rsidRDefault="000A478F" w:rsidP="000A478F">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w:t>
      </w:r>
    </w:p>
    <w:p w14:paraId="3CC26956" w14:textId="053B566A" w:rsidR="000A478F" w:rsidRPr="00753C44" w:rsidRDefault="00F53F68"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57AF9C2A" w14:textId="049D4DC3" w:rsidR="000A478F" w:rsidRDefault="00F53F68" w:rsidP="00072BEC">
      <w:pPr>
        <w:ind w:left="426"/>
        <w:rPr>
          <w:noProof/>
        </w:rPr>
      </w:pPr>
      <w:r w:rsidRPr="00F53F68">
        <w:rPr>
          <w:noProof/>
        </w:rPr>
        <w:t>Brexucabtagene autoleucel will be infused at an accredited facility in Australia</w:t>
      </w:r>
      <w:r w:rsidR="00292B49">
        <w:rPr>
          <w:noProof/>
        </w:rPr>
        <w:t>,</w:t>
      </w:r>
      <w:r w:rsidRPr="00F53F68">
        <w:rPr>
          <w:noProof/>
        </w:rPr>
        <w:t xml:space="preserve"> however the manufacture of brexucabtagene autoleucel is anticpated to be undertaken off-shore in </w:t>
      </w:r>
      <w:r w:rsidR="00F84FF9">
        <w:t>REDACTED</w:t>
      </w:r>
      <w:r w:rsidRPr="00F53F68">
        <w:rPr>
          <w:noProof/>
        </w:rPr>
        <w:t>.</w:t>
      </w:r>
    </w:p>
    <w:p w14:paraId="0004E185" w14:textId="77777777" w:rsidR="00AE7431" w:rsidRPr="00072BEC" w:rsidRDefault="00AE7431" w:rsidP="00072BEC">
      <w:pPr>
        <w:ind w:left="426"/>
      </w:pPr>
    </w:p>
    <w:p w14:paraId="0706D18D"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2BA1BCFB" w14:textId="194E5834" w:rsidR="00E60529" w:rsidRDefault="00A83EC6" w:rsidP="00530204">
      <w:pPr>
        <w:pStyle w:val="Heading2"/>
      </w:pPr>
      <w:r w:rsidRPr="00154B00">
        <w:t>Nominate the appropriate comparator(s) for the proposed medical service</w:t>
      </w:r>
      <w:r w:rsidR="00BF6497">
        <w:t xml:space="preserve"> (</w:t>
      </w:r>
      <w:r w:rsidR="00757232">
        <w:t>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 xml:space="preserve">being available in the </w:t>
      </w:r>
      <w:r w:rsidR="00257FF2" w:rsidRPr="00BF6497">
        <w:rPr>
          <w:u w:val="single"/>
        </w:rPr>
        <w:t>Australian health care system</w:t>
      </w:r>
      <w:r w:rsidR="00BF6497">
        <w:rPr>
          <w:u w:val="single"/>
        </w:rPr>
        <w:t>)</w:t>
      </w:r>
      <w:r w:rsidR="00BF6497">
        <w:t>. This includes</w:t>
      </w:r>
      <w:r w:rsidR="00757232">
        <w:t xml:space="preserve"> </w:t>
      </w:r>
      <w:r w:rsidR="00257FF2" w:rsidRPr="00154B00">
        <w:t>identify</w:t>
      </w:r>
      <w:r w:rsidR="00757232">
        <w:t>ing</w:t>
      </w:r>
      <w:r w:rsidR="00E4321E" w:rsidRPr="00154B00">
        <w:t xml:space="preserve"> health care resources that </w:t>
      </w:r>
      <w:proofErr w:type="gramStart"/>
      <w:r w:rsidR="00257FF2" w:rsidRPr="00154B00">
        <w:t xml:space="preserve">are </w:t>
      </w:r>
      <w:r w:rsidR="00E4321E" w:rsidRPr="00154B00">
        <w:t>need</w:t>
      </w:r>
      <w:r w:rsidR="00757232">
        <w:t>ed</w:t>
      </w:r>
      <w:proofErr w:type="gramEnd"/>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E7A15BE" w14:textId="43644C69" w:rsidR="00E2732F" w:rsidRDefault="00072BEC" w:rsidP="00156969">
      <w:pPr>
        <w:ind w:left="426"/>
      </w:pPr>
      <w:r>
        <w:lastRenderedPageBreak/>
        <w:t>The target population is p</w:t>
      </w:r>
      <w:r w:rsidRPr="005E3382">
        <w:t xml:space="preserve">atients </w:t>
      </w:r>
      <w:r w:rsidRPr="00005B53">
        <w:t xml:space="preserve">aged </w:t>
      </w:r>
      <w:r w:rsidR="00E30A87" w:rsidRPr="00005B53">
        <w:rPr>
          <w:szCs w:val="20"/>
        </w:rPr>
        <w:t>≥26</w:t>
      </w:r>
      <w:r w:rsidRPr="00005B53">
        <w:t xml:space="preserve"> years</w:t>
      </w:r>
      <w:r w:rsidRPr="005E3382">
        <w:t xml:space="preserve">, </w:t>
      </w:r>
      <w:r w:rsidR="00FA3FD2">
        <w:t xml:space="preserve">patient </w:t>
      </w:r>
      <w:r w:rsidRPr="005E3382">
        <w:t>ha</w:t>
      </w:r>
      <w:r>
        <w:t>s</w:t>
      </w:r>
      <w:r w:rsidRPr="005E3382">
        <w:t xml:space="preserve"> Eastern Cooperative Oncology Group performance status of 0</w:t>
      </w:r>
      <w:r>
        <w:t>-</w:t>
      </w:r>
      <w:r w:rsidRPr="005E3382">
        <w:t>1, and ha</w:t>
      </w:r>
      <w:r>
        <w:t>s</w:t>
      </w:r>
      <w:r w:rsidRPr="005E3382">
        <w:t xml:space="preserve"> relapsed or refractory B-precursor acute lymphoblastic leukaemia with morphological disease in the bone marrow (&gt;5% blasts). </w:t>
      </w:r>
    </w:p>
    <w:p w14:paraId="614972D1" w14:textId="1DD639F4" w:rsidR="00072BEC" w:rsidRDefault="00072BEC" w:rsidP="00156969">
      <w:pPr>
        <w:ind w:left="426"/>
      </w:pPr>
      <w:r w:rsidRPr="005E3382">
        <w:t xml:space="preserve">Relapsed or refractory disease </w:t>
      </w:r>
      <w:proofErr w:type="gramStart"/>
      <w:r>
        <w:t>is</w:t>
      </w:r>
      <w:r w:rsidRPr="005E3382">
        <w:t xml:space="preserve"> defined</w:t>
      </w:r>
      <w:proofErr w:type="gramEnd"/>
      <w:r w:rsidRPr="005E3382">
        <w:t xml:space="preserve"> as </w:t>
      </w:r>
      <w:r>
        <w:t>one of the following:</w:t>
      </w:r>
    </w:p>
    <w:p w14:paraId="59C69AB5" w14:textId="77777777" w:rsidR="00072BEC" w:rsidRDefault="00072BEC" w:rsidP="00156969">
      <w:pPr>
        <w:pStyle w:val="ListParagraph"/>
        <w:numPr>
          <w:ilvl w:val="0"/>
          <w:numId w:val="19"/>
        </w:numPr>
        <w:ind w:left="1276"/>
      </w:pPr>
      <w:r>
        <w:t>P</w:t>
      </w:r>
      <w:r w:rsidRPr="005E3382">
        <w:t>rimary refractory</w:t>
      </w:r>
      <w:r>
        <w:t xml:space="preserve"> disease</w:t>
      </w:r>
      <w:r w:rsidRPr="005E3382">
        <w:t xml:space="preserve"> </w:t>
      </w:r>
    </w:p>
    <w:p w14:paraId="332A0957" w14:textId="431F8DE9" w:rsidR="00072BEC" w:rsidRDefault="00072BEC" w:rsidP="00156969">
      <w:pPr>
        <w:pStyle w:val="ListParagraph"/>
        <w:numPr>
          <w:ilvl w:val="0"/>
          <w:numId w:val="19"/>
        </w:numPr>
        <w:ind w:left="1276"/>
      </w:pPr>
      <w:r>
        <w:t>F</w:t>
      </w:r>
      <w:r w:rsidRPr="005E3382">
        <w:t xml:space="preserve">irst relapse </w:t>
      </w:r>
      <w:r w:rsidR="007D3C44">
        <w:t xml:space="preserve">if </w:t>
      </w:r>
      <w:r w:rsidRPr="005E3382">
        <w:t>remission</w:t>
      </w:r>
      <w:r w:rsidR="007D3C44">
        <w:t xml:space="preserve"> was</w:t>
      </w:r>
      <w:r w:rsidRPr="005E3382">
        <w:t xml:space="preserve"> 12 months or less</w:t>
      </w:r>
    </w:p>
    <w:p w14:paraId="6EB5248C" w14:textId="0FD68922" w:rsidR="00072BEC" w:rsidRDefault="00072BEC" w:rsidP="00156969">
      <w:pPr>
        <w:pStyle w:val="ListParagraph"/>
        <w:numPr>
          <w:ilvl w:val="0"/>
          <w:numId w:val="19"/>
        </w:numPr>
        <w:ind w:left="1276"/>
      </w:pPr>
      <w:r>
        <w:t>R</w:t>
      </w:r>
      <w:r w:rsidRPr="005E3382">
        <w:t>elapsed or refractory after two</w:t>
      </w:r>
      <w:r w:rsidR="007D3C44">
        <w:t xml:space="preserve"> or more</w:t>
      </w:r>
      <w:r w:rsidRPr="005E3382">
        <w:t xml:space="preserve"> lines of systemic therapy</w:t>
      </w:r>
    </w:p>
    <w:p w14:paraId="3647F5D0" w14:textId="77777777" w:rsidR="00072BEC" w:rsidRDefault="00072BEC" w:rsidP="00156969">
      <w:pPr>
        <w:pStyle w:val="ListParagraph"/>
        <w:numPr>
          <w:ilvl w:val="0"/>
          <w:numId w:val="19"/>
        </w:numPr>
        <w:ind w:left="1276"/>
      </w:pPr>
      <w:r>
        <w:t>R</w:t>
      </w:r>
      <w:r w:rsidRPr="005E3382">
        <w:t xml:space="preserve">elapsed or refractory after allo-SCT. </w:t>
      </w:r>
    </w:p>
    <w:p w14:paraId="5D2A4915" w14:textId="77777777" w:rsidR="007471D5" w:rsidRDefault="007471D5" w:rsidP="00156969">
      <w:pPr>
        <w:ind w:left="426"/>
      </w:pPr>
    </w:p>
    <w:p w14:paraId="35816F7A" w14:textId="798F5153" w:rsidR="005E2520" w:rsidRDefault="00B71535" w:rsidP="00156969">
      <w:pPr>
        <w:ind w:left="426"/>
      </w:pPr>
      <w:r>
        <w:t>T</w:t>
      </w:r>
      <w:r w:rsidRPr="00B71535">
        <w:t>he proposed comparator</w:t>
      </w:r>
      <w:r w:rsidR="005E2520">
        <w:t xml:space="preserve">s </w:t>
      </w:r>
      <w:r w:rsidR="00826E15">
        <w:t xml:space="preserve">to </w:t>
      </w:r>
      <w:proofErr w:type="gramStart"/>
      <w:r w:rsidR="00826E15">
        <w:t>be investigated</w:t>
      </w:r>
      <w:proofErr w:type="gramEnd"/>
      <w:r w:rsidR="00826E15">
        <w:t xml:space="preserve"> </w:t>
      </w:r>
      <w:r w:rsidR="005E2520">
        <w:t>are:</w:t>
      </w:r>
      <w:r w:rsidR="00CF7AE6">
        <w:t xml:space="preserve">  </w:t>
      </w:r>
    </w:p>
    <w:p w14:paraId="0A273E8B" w14:textId="16C05D5B" w:rsidR="00292B49" w:rsidRPr="00005B53" w:rsidRDefault="005E2520" w:rsidP="00156969">
      <w:pPr>
        <w:pStyle w:val="ListParagraph"/>
        <w:numPr>
          <w:ilvl w:val="0"/>
          <w:numId w:val="23"/>
        </w:numPr>
        <w:ind w:left="1276"/>
      </w:pPr>
      <w:r w:rsidRPr="00005B53">
        <w:t>S</w:t>
      </w:r>
      <w:r w:rsidR="00CF7AE6" w:rsidRPr="00005B53">
        <w:t xml:space="preserve">alvage therapy with the most relevant specific salvage therapies being </w:t>
      </w:r>
      <w:r w:rsidR="00B71535" w:rsidRPr="00005B53">
        <w:t xml:space="preserve">blinatumomab or inotuzumab with the intention to proceed to </w:t>
      </w:r>
      <w:r w:rsidR="0027548C" w:rsidRPr="00005B53">
        <w:t>a</w:t>
      </w:r>
      <w:r w:rsidR="00B71535" w:rsidRPr="00005B53">
        <w:t xml:space="preserve">llo-SCT; </w:t>
      </w:r>
      <w:r w:rsidR="00953FF1" w:rsidRPr="00005B53">
        <w:t xml:space="preserve">and </w:t>
      </w:r>
      <w:r w:rsidRPr="00005B53">
        <w:t>t</w:t>
      </w:r>
      <w:r w:rsidR="00B71535" w:rsidRPr="00005B53">
        <w:t xml:space="preserve">he alternative comparator is conventional salvage chemotherapy with the intention to proceed to </w:t>
      </w:r>
      <w:r w:rsidR="00417914" w:rsidRPr="00005B53">
        <w:t>a</w:t>
      </w:r>
      <w:r w:rsidR="00B71535" w:rsidRPr="00005B53">
        <w:t>llo</w:t>
      </w:r>
      <w:r w:rsidR="00417914" w:rsidRPr="00005B53">
        <w:t>-</w:t>
      </w:r>
      <w:r w:rsidR="00B71535" w:rsidRPr="00005B53">
        <w:t xml:space="preserve">SCT. </w:t>
      </w:r>
    </w:p>
    <w:p w14:paraId="24FBCA4E" w14:textId="6CCA24C7" w:rsidR="006A29F5" w:rsidRPr="00005B53" w:rsidRDefault="006A29F5" w:rsidP="00156969">
      <w:pPr>
        <w:pStyle w:val="ListParagraph"/>
        <w:numPr>
          <w:ilvl w:val="0"/>
          <w:numId w:val="23"/>
        </w:numPr>
        <w:ind w:left="1276"/>
      </w:pPr>
      <w:r w:rsidRPr="00005B53">
        <w:t xml:space="preserve">Dasatinib </w:t>
      </w:r>
      <w:r w:rsidR="00E2732F" w:rsidRPr="00005B53">
        <w:t>or ponatinib</w:t>
      </w:r>
      <w:r w:rsidRPr="00005B53">
        <w:t>, in patients with Ph-positive ALL.</w:t>
      </w:r>
    </w:p>
    <w:p w14:paraId="684FBCE3" w14:textId="77777777" w:rsidR="007471D5" w:rsidRDefault="007471D5" w:rsidP="007471D5"/>
    <w:p w14:paraId="640FBA4E" w14:textId="26118BA7" w:rsidR="00757232" w:rsidRPr="00292B49" w:rsidRDefault="00AF5D1E" w:rsidP="00292B49">
      <w:pPr>
        <w:pStyle w:val="Heading2"/>
      </w:pPr>
      <w:r w:rsidRPr="00292B49">
        <w:t xml:space="preserve">Does the medical service </w:t>
      </w:r>
      <w:r w:rsidR="003904AC" w:rsidRPr="00292B49">
        <w:t>(</w:t>
      </w:r>
      <w:r w:rsidRPr="00292B49">
        <w:t xml:space="preserve">that has </w:t>
      </w:r>
      <w:proofErr w:type="gramStart"/>
      <w:r w:rsidRPr="00292B49">
        <w:t>been nominated</w:t>
      </w:r>
      <w:proofErr w:type="gramEnd"/>
      <w:r w:rsidRPr="00292B49">
        <w:t xml:space="preserve"> as the comparator</w:t>
      </w:r>
      <w:r w:rsidR="003904AC" w:rsidRPr="00292B49">
        <w:t>)</w:t>
      </w:r>
      <w:r w:rsidR="000159B9" w:rsidRPr="00292B49">
        <w:t xml:space="preserve"> </w:t>
      </w:r>
      <w:r w:rsidRPr="00292B49">
        <w:t>have an existing MBS item number</w:t>
      </w:r>
      <w:r w:rsidR="00D30BDC" w:rsidRPr="00292B49">
        <w:t>(s)</w:t>
      </w:r>
      <w:r w:rsidR="00757232" w:rsidRPr="00292B49">
        <w:t>?</w:t>
      </w:r>
    </w:p>
    <w:p w14:paraId="4A6B1F79"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Yes (please </w:t>
      </w:r>
      <w:r w:rsidR="003904AC">
        <w:rPr>
          <w:szCs w:val="20"/>
        </w:rPr>
        <w:t xml:space="preserve">list </w:t>
      </w:r>
      <w:r>
        <w:rPr>
          <w:szCs w:val="20"/>
        </w:rPr>
        <w:t>all relevant MBS item numbers below)</w:t>
      </w:r>
    </w:p>
    <w:p w14:paraId="0AA33655" w14:textId="1D7B9AD1" w:rsidR="000159B9" w:rsidRDefault="00AC538C"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A1038">
        <w:rPr>
          <w:szCs w:val="20"/>
        </w:rPr>
        <w:t xml:space="preserve"> No  </w:t>
      </w:r>
    </w:p>
    <w:p w14:paraId="4A42D8C7" w14:textId="743BEA82" w:rsidR="00063FF4" w:rsidRDefault="001141ED" w:rsidP="007847A6">
      <w:pPr>
        <w:ind w:left="426"/>
      </w:pPr>
      <w:r>
        <w:t>N/A</w:t>
      </w:r>
    </w:p>
    <w:p w14:paraId="0C62281F" w14:textId="77777777" w:rsidR="00B87234" w:rsidRPr="00072BEC" w:rsidRDefault="00B87234" w:rsidP="007847A6">
      <w:pPr>
        <w:ind w:left="426"/>
      </w:pPr>
    </w:p>
    <w:p w14:paraId="5E7CB966" w14:textId="77777777" w:rsidR="00A83EC6" w:rsidRPr="00154B00" w:rsidRDefault="0008323F" w:rsidP="00530204">
      <w:pPr>
        <w:pStyle w:val="Heading2"/>
      </w:pPr>
      <w:r>
        <w:t xml:space="preserve"> </w:t>
      </w:r>
      <w:r w:rsidR="005C3AE7">
        <w:t xml:space="preserve">(a) </w:t>
      </w:r>
      <w:r w:rsidR="00CD7A7D" w:rsidRPr="00154B00">
        <w:t xml:space="preserve">Will </w:t>
      </w:r>
      <w:r w:rsidR="00A83EC6" w:rsidRPr="00154B00">
        <w:t>the proposed medical service</w:t>
      </w:r>
      <w:r w:rsidR="00095B45">
        <w:t>/technology</w:t>
      </w:r>
      <w:r w:rsidR="00A83EC6" w:rsidRPr="00154B00">
        <w:t xml:space="preserve"> </w:t>
      </w:r>
      <w:proofErr w:type="gramStart"/>
      <w:r w:rsidR="00A83EC6" w:rsidRPr="00154B00">
        <w:t>be used</w:t>
      </w:r>
      <w:proofErr w:type="gramEnd"/>
      <w:r w:rsidR="00A83EC6" w:rsidRPr="00154B00">
        <w:t xml:space="preserve"> in addition to, or instead of, the nominated </w:t>
      </w:r>
      <w:r w:rsidR="00A83EC6" w:rsidRPr="001B29A1">
        <w:t>comparator</w:t>
      </w:r>
      <w:r w:rsidR="00A83EC6" w:rsidRPr="00154B00">
        <w:t>(s)</w:t>
      </w:r>
      <w:r w:rsidR="00D30BDC">
        <w:t>?</w:t>
      </w:r>
    </w:p>
    <w:p w14:paraId="71E16EAB"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C6C24">
        <w:rPr>
          <w:szCs w:val="20"/>
        </w:rPr>
      </w:r>
      <w:r w:rsidR="009C6C24">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705F968C" w14:textId="1E185AE0" w:rsidR="001B29A1" w:rsidRDefault="00063FF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6FDF09B2" w14:textId="77777777" w:rsidR="00242A01" w:rsidRDefault="00242A01" w:rsidP="001B29A1">
      <w:pPr>
        <w:spacing w:before="0" w:after="0"/>
        <w:ind w:left="426"/>
        <w:rPr>
          <w:szCs w:val="20"/>
        </w:rPr>
      </w:pPr>
    </w:p>
    <w:p w14:paraId="1E1F5F97" w14:textId="77777777" w:rsidR="00E70D86" w:rsidRPr="00154B00" w:rsidRDefault="00095B45" w:rsidP="00056F06">
      <w:pPr>
        <w:pStyle w:val="Heading2"/>
        <w:numPr>
          <w:ilvl w:val="0"/>
          <w:numId w:val="9"/>
        </w:numPr>
      </w:pPr>
      <w:r w:rsidRPr="00095B45">
        <w:t xml:space="preserve">If yes, please outline the extent to which the current service/comparator </w:t>
      </w:r>
      <w:proofErr w:type="gramStart"/>
      <w:r w:rsidRPr="00095B45">
        <w:t>is expected</w:t>
      </w:r>
      <w:proofErr w:type="gramEnd"/>
      <w:r w:rsidRPr="00095B45">
        <w:t xml:space="preserve"> to be substituted</w:t>
      </w:r>
    </w:p>
    <w:p w14:paraId="1317B146" w14:textId="07D33DB5" w:rsidR="00AC538C" w:rsidRDefault="00AC538C" w:rsidP="001B29A1">
      <w:pPr>
        <w:ind w:left="426"/>
      </w:pPr>
      <w:r>
        <w:t xml:space="preserve">The likely comparator will be second </w:t>
      </w:r>
      <w:r w:rsidR="00DB7096">
        <w:t xml:space="preserve">and third line </w:t>
      </w:r>
      <w:r>
        <w:t>therapy for R/R ALL.</w:t>
      </w:r>
    </w:p>
    <w:p w14:paraId="476A08D8" w14:textId="3D0C11E7" w:rsidR="003453EC" w:rsidRPr="001B29A1" w:rsidRDefault="00063FF4" w:rsidP="001B29A1">
      <w:pPr>
        <w:ind w:left="426"/>
        <w:rPr>
          <w:szCs w:val="20"/>
        </w:rPr>
      </w:pPr>
      <w:r>
        <w:t xml:space="preserve"> </w:t>
      </w:r>
    </w:p>
    <w:p w14:paraId="4169DB81" w14:textId="28E4103E" w:rsidR="00DF0D47" w:rsidRPr="00881F93" w:rsidRDefault="00095B45" w:rsidP="005C3AE7">
      <w:pPr>
        <w:pStyle w:val="Subtitle"/>
      </w:pPr>
      <w:r w:rsidRPr="00095B45">
        <w:t>PART 6c CONTINUED  – INFORMATION ABOUT ALGORITHMS (CLINICAL MANAGEMENT PATHWAYS)</w:t>
      </w:r>
    </w:p>
    <w:p w14:paraId="1516C400" w14:textId="77777777" w:rsidR="00095B45" w:rsidRPr="00154B00" w:rsidRDefault="00095B45" w:rsidP="00095B45">
      <w:pPr>
        <w:pStyle w:val="Heading2"/>
      </w:pPr>
      <w:r w:rsidRPr="00154B00">
        <w:t>Define</w:t>
      </w:r>
      <w:r w:rsidRPr="00095B45">
        <w:t xml:space="preserve"> and summarise the CURRENT clinical management pathway (algorithm) that patients follow when they receive the COMPARATOR service (i.e. the landscape </w:t>
      </w:r>
      <w:r w:rsidRPr="005E143B">
        <w:rPr>
          <w:u w:val="single"/>
        </w:rPr>
        <w:t>before</w:t>
      </w:r>
      <w:r w:rsidRPr="00095B45">
        <w:t xml:space="preserve"> the proposed service </w:t>
      </w:r>
      <w:proofErr w:type="gramStart"/>
      <w:r w:rsidRPr="00095B45">
        <w:t>is introduced</w:t>
      </w:r>
      <w:proofErr w:type="gramEnd"/>
      <w:r w:rsidRPr="00095B45">
        <w:t xml:space="preserve">). An easy-to-follow flowchart </w:t>
      </w:r>
      <w:proofErr w:type="gramStart"/>
      <w:r w:rsidRPr="00095B45">
        <w:t>is preferred</w:t>
      </w:r>
      <w:proofErr w:type="gramEnd"/>
      <w:r w:rsidRPr="00095B45">
        <w:t xml:space="preserve">, depicting the current </w:t>
      </w:r>
      <w:r w:rsidRPr="005E143B">
        <w:rPr>
          <w:u w:val="single"/>
        </w:rPr>
        <w:t>clinical management pathway</w:t>
      </w:r>
      <w:r w:rsidRPr="00095B45">
        <w:t xml:space="preserve">), but dot-points would be acceptable. Please include health care resources used in the current landscape (e.g. pharmaceuticals, diagnostics and investigative services, </w:t>
      </w:r>
      <w:proofErr w:type="gramStart"/>
      <w:r w:rsidR="005272F8" w:rsidRPr="00095B45">
        <w:t>etc.</w:t>
      </w:r>
      <w:proofErr w:type="gramEnd"/>
      <w:r w:rsidRPr="00095B45">
        <w:t xml:space="preserve">). </w:t>
      </w:r>
    </w:p>
    <w:p w14:paraId="05F39349" w14:textId="229A32BD" w:rsidR="00A33679" w:rsidRDefault="00A33679" w:rsidP="00A33679">
      <w:pPr>
        <w:ind w:left="426"/>
      </w:pPr>
      <w:r>
        <w:t xml:space="preserve">The treatment approach to </w:t>
      </w:r>
      <w:r w:rsidR="007E0480">
        <w:t>ac</w:t>
      </w:r>
      <w:r w:rsidR="007E0480" w:rsidRPr="002A1E7F">
        <w:t>ute lymphoblastic leuk</w:t>
      </w:r>
      <w:r w:rsidR="007E0480">
        <w:t>a</w:t>
      </w:r>
      <w:r w:rsidR="007E0480" w:rsidRPr="002A1E7F">
        <w:t xml:space="preserve">emia </w:t>
      </w:r>
      <w:r w:rsidR="007E0480">
        <w:t>(</w:t>
      </w:r>
      <w:r>
        <w:t>ALL</w:t>
      </w:r>
      <w:r w:rsidR="007E0480">
        <w:t>)</w:t>
      </w:r>
      <w:r>
        <w:t xml:space="preserve"> represents one of the most complex and intensive programs in cancer therapy. As discussed above, diagnostic work-up is crucial to determine the appropriate </w:t>
      </w:r>
      <w:r w:rsidRPr="00F15CA9">
        <w:t>initial treatment regimen as well as when to consider allo-SCT.</w:t>
      </w:r>
      <w:r>
        <w:t xml:space="preserve"> Although the specific treatment regimens and selection of drugs, dose schedules, and treatment durations differ between adolescent and young adults (AYA) patients </w:t>
      </w:r>
      <w:r w:rsidR="00E57920">
        <w:t>(</w:t>
      </w:r>
      <w:r w:rsidR="000A7C4E">
        <w:t>d</w:t>
      </w:r>
      <w:r w:rsidR="00E57920">
        <w:t xml:space="preserve">efined by the National Cancer Institute as individuals aged 15-39 years old) </w:t>
      </w:r>
      <w:r w:rsidR="00230973">
        <w:t>amongst</w:t>
      </w:r>
      <w:r>
        <w:t xml:space="preserve"> different subtypes of ALL, the basic treatment principles are similar. </w:t>
      </w:r>
    </w:p>
    <w:p w14:paraId="6C65FCD5" w14:textId="77777777" w:rsidR="00A33679" w:rsidRPr="00230973" w:rsidRDefault="00A33679" w:rsidP="00A33679">
      <w:pPr>
        <w:ind w:left="426"/>
        <w:rPr>
          <w:b/>
          <w:bCs/>
          <w:u w:val="single"/>
        </w:rPr>
      </w:pPr>
      <w:r w:rsidRPr="00230973">
        <w:rPr>
          <w:b/>
          <w:bCs/>
          <w:u w:val="single"/>
        </w:rPr>
        <w:t>Front-line treatment</w:t>
      </w:r>
    </w:p>
    <w:p w14:paraId="1FA162C1" w14:textId="77777777" w:rsidR="00A33679" w:rsidRDefault="00A33679" w:rsidP="00A33679">
      <w:pPr>
        <w:ind w:left="426"/>
      </w:pPr>
      <w:r w:rsidRPr="008F6953">
        <w:rPr>
          <w:b/>
          <w:bCs/>
        </w:rPr>
        <w:t>Pre-phase:</w:t>
      </w:r>
      <w:r>
        <w:t xml:space="preserve"> </w:t>
      </w:r>
      <w:r w:rsidRPr="00F71045">
        <w:t xml:space="preserve">When the diagnosis </w:t>
      </w:r>
      <w:proofErr w:type="gramStart"/>
      <w:r w:rsidRPr="00F71045">
        <w:t>is established</w:t>
      </w:r>
      <w:proofErr w:type="gramEnd"/>
      <w:r w:rsidRPr="00F71045">
        <w:t>, treatment should start immediately</w:t>
      </w:r>
      <w:r>
        <w:t>.</w:t>
      </w:r>
      <w:r w:rsidRPr="00F71045">
        <w:t xml:space="preserve"> A pre-phase therapy with corticosteroids (usually prednisone 20</w:t>
      </w:r>
      <w:r>
        <w:t>-</w:t>
      </w:r>
      <w:r w:rsidRPr="00F71045">
        <w:t>60 mg/day or dexamethasone 6</w:t>
      </w:r>
      <w:r>
        <w:t>-</w:t>
      </w:r>
      <w:r w:rsidRPr="00F71045">
        <w:t xml:space="preserve">16 mg/day, both i.v. or p.o.) alone, or in combination with another drug (e.g. vincristine, cyclophosphamide), </w:t>
      </w:r>
      <w:proofErr w:type="gramStart"/>
      <w:r w:rsidRPr="00F71045">
        <w:t>is often given</w:t>
      </w:r>
      <w:proofErr w:type="gramEnd"/>
      <w:r w:rsidRPr="00F71045">
        <w:t xml:space="preserve"> together </w:t>
      </w:r>
      <w:r w:rsidRPr="00F71045">
        <w:lastRenderedPageBreak/>
        <w:t xml:space="preserve">with allopurinol and hydration for </w:t>
      </w:r>
      <w:r w:rsidRPr="00F71045">
        <w:rPr>
          <w:rFonts w:ascii="Cambria Math" w:hAnsi="Cambria Math" w:cs="Cambria Math"/>
        </w:rPr>
        <w:t>∼</w:t>
      </w:r>
      <w:r w:rsidRPr="00F71045">
        <w:t xml:space="preserve">5–7 days. </w:t>
      </w:r>
      <w:r>
        <w:t>T</w:t>
      </w:r>
      <w:r w:rsidRPr="00F71045">
        <w:t>he pre-phase therapy allows a safe tumour reduction, avoiding in most cases a tumour lysis syndrome (TLS)</w:t>
      </w:r>
      <w:r>
        <w:t>.</w:t>
      </w:r>
      <w:r w:rsidRPr="00F71045">
        <w:t xml:space="preserve"> </w:t>
      </w:r>
    </w:p>
    <w:p w14:paraId="3FB2E302" w14:textId="501D41C2" w:rsidR="00084B1C" w:rsidRDefault="00A33679" w:rsidP="00084B1C">
      <w:pPr>
        <w:ind w:left="426"/>
      </w:pPr>
      <w:r w:rsidRPr="008F6953">
        <w:rPr>
          <w:b/>
          <w:bCs/>
        </w:rPr>
        <w:t>Induction, consolidation and maintenance:</w:t>
      </w:r>
      <w:r>
        <w:t xml:space="preserve"> This consist of induction </w:t>
      </w:r>
      <w:r w:rsidRPr="00022978">
        <w:t>chemotherapy</w:t>
      </w:r>
      <w:r>
        <w:t xml:space="preserve">, followed by </w:t>
      </w:r>
      <w:r w:rsidRPr="00022978">
        <w:t xml:space="preserve">consolidation, and long-term maintenance therapy along with </w:t>
      </w:r>
      <w:r>
        <w:t>central nervous system (</w:t>
      </w:r>
      <w:r w:rsidRPr="00022978">
        <w:t>CNS</w:t>
      </w:r>
      <w:r>
        <w:t>)</w:t>
      </w:r>
      <w:r w:rsidRPr="00022978">
        <w:t xml:space="preserve"> prophylaxis interwoven during the first year of treatment.</w:t>
      </w:r>
      <w:r w:rsidR="00084B1C">
        <w:t xml:space="preserve"> T</w:t>
      </w:r>
      <w:r w:rsidR="00084B1C" w:rsidRPr="00084B1C">
        <w:t xml:space="preserve">he purpose of this multi-drug treatment approach is to eradicate the disease and restore normal </w:t>
      </w:r>
      <w:r w:rsidR="007E0480" w:rsidRPr="00084B1C">
        <w:t>haematopoiesis</w:t>
      </w:r>
      <w:r w:rsidR="00084B1C" w:rsidRPr="00084B1C">
        <w:t xml:space="preserve">, provide prophylaxis to “sanctuary sites,” and prevent an upsurge of resistant clones that may lead to relapse. </w:t>
      </w:r>
    </w:p>
    <w:p w14:paraId="419B5421" w14:textId="411AE43E" w:rsidR="00A33679" w:rsidRDefault="00A33679" w:rsidP="00084B1C">
      <w:pPr>
        <w:ind w:left="426"/>
      </w:pPr>
      <w:r>
        <w:rPr>
          <w:b/>
          <w:bCs/>
        </w:rPr>
        <w:t xml:space="preserve">Targeted agents: </w:t>
      </w:r>
      <w:r w:rsidRPr="00C15040">
        <w:t>Tyrosine Kinase inhibitors (TKIs)</w:t>
      </w:r>
      <w:r>
        <w:t xml:space="preserve"> </w:t>
      </w:r>
      <w:proofErr w:type="gramStart"/>
      <w:r>
        <w:t>are used</w:t>
      </w:r>
      <w:proofErr w:type="gramEnd"/>
      <w:r>
        <w:t xml:space="preserve"> in the treatment of Ph-positive disorders. Other targeted agents include an anti-CD20 monoclonal antibody (e.g. rituximab)</w:t>
      </w:r>
      <w:r w:rsidR="003F115D">
        <w:t xml:space="preserve"> for CD-20 expressing B-ALL</w:t>
      </w:r>
      <w:r>
        <w:t xml:space="preserve">. </w:t>
      </w:r>
    </w:p>
    <w:p w14:paraId="7EF74B07" w14:textId="5F1C1CDC" w:rsidR="00A33679" w:rsidRPr="00C15040" w:rsidRDefault="00A33679" w:rsidP="00A33679">
      <w:pPr>
        <w:ind w:left="426"/>
        <w:rPr>
          <w:b/>
          <w:bCs/>
        </w:rPr>
      </w:pPr>
      <w:r>
        <w:rPr>
          <w:b/>
          <w:bCs/>
        </w:rPr>
        <w:t>A</w:t>
      </w:r>
      <w:r w:rsidRPr="00C15040">
        <w:rPr>
          <w:b/>
          <w:bCs/>
        </w:rPr>
        <w:t>llogeneic stem-cell transplant</w:t>
      </w:r>
      <w:r>
        <w:rPr>
          <w:b/>
          <w:bCs/>
        </w:rPr>
        <w:t xml:space="preserve">: </w:t>
      </w:r>
      <w:r w:rsidRPr="00C15040">
        <w:t>Allo</w:t>
      </w:r>
      <w:r w:rsidR="0068418D">
        <w:t>-</w:t>
      </w:r>
      <w:r w:rsidRPr="00C15040">
        <w:t xml:space="preserve">SCT in </w:t>
      </w:r>
      <w:r>
        <w:t>fir</w:t>
      </w:r>
      <w:r w:rsidR="00A518C8">
        <w:t>s</w:t>
      </w:r>
      <w:r>
        <w:t>t complete remission</w:t>
      </w:r>
      <w:r w:rsidRPr="00C15040">
        <w:t xml:space="preserve"> significantly improves </w:t>
      </w:r>
      <w:r w:rsidR="00A518C8">
        <w:t>overall</w:t>
      </w:r>
      <w:r>
        <w:t xml:space="preserve"> survival (OS)</w:t>
      </w:r>
      <w:r w:rsidRPr="00C15040">
        <w:t xml:space="preserve"> and </w:t>
      </w:r>
      <w:r>
        <w:t>event free survival (</w:t>
      </w:r>
      <w:r w:rsidRPr="00C15040">
        <w:t>EFS</w:t>
      </w:r>
      <w:r>
        <w:t>)</w:t>
      </w:r>
      <w:r w:rsidRPr="00C15040">
        <w:t xml:space="preserve"> in high-risk patients/MRD+ patients and is the best post-remission option for Ph+ ALL and MLL-rearranged ALL</w:t>
      </w:r>
      <w:proofErr w:type="gramStart"/>
      <w:r>
        <w:t xml:space="preserve">. </w:t>
      </w:r>
      <w:r w:rsidR="00AC538C">
        <w:t xml:space="preserve"> </w:t>
      </w:r>
      <w:proofErr w:type="gramEnd"/>
      <w:r w:rsidRPr="00C15040">
        <w:t xml:space="preserve">Conditioning regimens are age-adapted with full allo versus </w:t>
      </w:r>
      <w:r w:rsidR="007E0480">
        <w:t xml:space="preserve">reduced-intensity </w:t>
      </w:r>
      <w:r w:rsidR="00A337F3">
        <w:t>conditioning (</w:t>
      </w:r>
      <w:r w:rsidRPr="00C15040">
        <w:t>RIC</w:t>
      </w:r>
      <w:r w:rsidR="00A337F3">
        <w:t>)</w:t>
      </w:r>
      <w:r w:rsidRPr="00C15040">
        <w:t xml:space="preserve"> for elderly patients or patients unfit for full conditioning </w:t>
      </w:r>
    </w:p>
    <w:p w14:paraId="700651F6" w14:textId="77777777" w:rsidR="00A33679" w:rsidRPr="00C15040" w:rsidRDefault="00A33679" w:rsidP="00A33679">
      <w:pPr>
        <w:ind w:left="426"/>
        <w:rPr>
          <w:b/>
          <w:bCs/>
        </w:rPr>
      </w:pPr>
    </w:p>
    <w:p w14:paraId="3D83457A" w14:textId="078C1BC7" w:rsidR="00A33679" w:rsidRPr="00230973" w:rsidRDefault="00A33679" w:rsidP="00A33679">
      <w:pPr>
        <w:ind w:left="426"/>
        <w:rPr>
          <w:b/>
          <w:bCs/>
          <w:u w:val="single"/>
        </w:rPr>
      </w:pPr>
      <w:r w:rsidRPr="00230973">
        <w:rPr>
          <w:b/>
          <w:bCs/>
          <w:u w:val="single"/>
        </w:rPr>
        <w:t>Relapsed/refractory treatment</w:t>
      </w:r>
      <w:r w:rsidR="00FD0733" w:rsidRPr="00230973">
        <w:rPr>
          <w:b/>
          <w:bCs/>
          <w:u w:val="single"/>
        </w:rPr>
        <w:t xml:space="preserve"> (second or later line) </w:t>
      </w:r>
    </w:p>
    <w:p w14:paraId="25357D89" w14:textId="6D8C419E" w:rsidR="00032DF5" w:rsidRDefault="00A33679" w:rsidP="00032DF5">
      <w:pPr>
        <w:ind w:left="426"/>
      </w:pPr>
      <w:r w:rsidRPr="002E01B8">
        <w:t>Full diagnostic work-up necessary to exclude/reveal clonal aberrations, and to provide bases for targeted therapies</w:t>
      </w:r>
      <w:r>
        <w:t xml:space="preserve">. </w:t>
      </w:r>
      <w:r w:rsidRPr="002E01B8">
        <w:t>Relapsed ALL in adults is still a major clinical challenge</w:t>
      </w:r>
      <w:r>
        <w:t xml:space="preserve"> as, t</w:t>
      </w:r>
      <w:r w:rsidRPr="002E01B8">
        <w:t>here is no universally accepted treatment protocol</w:t>
      </w:r>
      <w:r>
        <w:t xml:space="preserve">. </w:t>
      </w:r>
      <w:r w:rsidR="00172065">
        <w:t xml:space="preserve">In addition, treatment options </w:t>
      </w:r>
      <w:proofErr w:type="gramStart"/>
      <w:r w:rsidR="00172065">
        <w:t>are extremely limited</w:t>
      </w:r>
      <w:proofErr w:type="gramEnd"/>
      <w:r w:rsidR="00172065">
        <w:t xml:space="preserve"> for patients who experience relapse after receiving consolidation with </w:t>
      </w:r>
      <w:r w:rsidR="0068418D">
        <w:t>a</w:t>
      </w:r>
      <w:r w:rsidR="00172065" w:rsidRPr="00C15040">
        <w:t>llo</w:t>
      </w:r>
      <w:r w:rsidR="0068418D">
        <w:t>-</w:t>
      </w:r>
      <w:r w:rsidR="00172065" w:rsidRPr="00C15040">
        <w:t>SCT</w:t>
      </w:r>
      <w:r w:rsidR="00172065">
        <w:t>.</w:t>
      </w:r>
    </w:p>
    <w:p w14:paraId="695C4AB7" w14:textId="3495F35D" w:rsidR="00032DF5" w:rsidRDefault="00172065" w:rsidP="00032DF5">
      <w:pPr>
        <w:ind w:left="426"/>
        <w:rPr>
          <w:b/>
          <w:bCs/>
        </w:rPr>
      </w:pPr>
      <w:r w:rsidRPr="00172065">
        <w:rPr>
          <w:b/>
          <w:bCs/>
        </w:rPr>
        <w:t xml:space="preserve">Reinduction chemotherapy followed by </w:t>
      </w:r>
      <w:r w:rsidR="00032DF5" w:rsidRPr="00032DF5">
        <w:rPr>
          <w:b/>
          <w:bCs/>
        </w:rPr>
        <w:t>A</w:t>
      </w:r>
      <w:r w:rsidRPr="00172065">
        <w:rPr>
          <w:b/>
          <w:bCs/>
        </w:rPr>
        <w:t>ll</w:t>
      </w:r>
      <w:r w:rsidR="00032DF5" w:rsidRPr="00032DF5">
        <w:rPr>
          <w:b/>
          <w:bCs/>
        </w:rPr>
        <w:t>o</w:t>
      </w:r>
      <w:r w:rsidR="0068418D">
        <w:rPr>
          <w:b/>
          <w:bCs/>
        </w:rPr>
        <w:t>-</w:t>
      </w:r>
      <w:r w:rsidR="00032DF5" w:rsidRPr="00032DF5">
        <w:rPr>
          <w:b/>
          <w:bCs/>
        </w:rPr>
        <w:t>SCT:</w:t>
      </w:r>
      <w:r w:rsidR="00032DF5">
        <w:rPr>
          <w:b/>
          <w:bCs/>
        </w:rPr>
        <w:t xml:space="preserve"> </w:t>
      </w:r>
      <w:r w:rsidR="00A337F3">
        <w:t>P</w:t>
      </w:r>
      <w:r w:rsidRPr="00172065">
        <w:t xml:space="preserve">atients with ALL who experience a relapse following chemotherapy and maintenance therapy are unlikely to </w:t>
      </w:r>
      <w:proofErr w:type="gramStart"/>
      <w:r w:rsidRPr="00172065">
        <w:t>be cured</w:t>
      </w:r>
      <w:proofErr w:type="gramEnd"/>
      <w:r w:rsidRPr="00172065">
        <w:t xml:space="preserve"> by further chemotherapy alone. These patients should </w:t>
      </w:r>
      <w:proofErr w:type="gramStart"/>
      <w:r w:rsidRPr="00172065">
        <w:t>be considered</w:t>
      </w:r>
      <w:proofErr w:type="gramEnd"/>
      <w:r w:rsidRPr="00172065">
        <w:t xml:space="preserve"> for reinduction chemotherapy followed by </w:t>
      </w:r>
      <w:r w:rsidR="00FE33AC">
        <w:t>a</w:t>
      </w:r>
      <w:r w:rsidR="00032DF5" w:rsidRPr="00C15040">
        <w:t>lloSCT</w:t>
      </w:r>
      <w:r w:rsidRPr="00172065">
        <w:t>.</w:t>
      </w:r>
    </w:p>
    <w:p w14:paraId="33C81CEC" w14:textId="36ADFB1D" w:rsidR="004910C6" w:rsidRDefault="00172065" w:rsidP="00DB7096">
      <w:pPr>
        <w:ind w:left="426"/>
      </w:pPr>
      <w:r w:rsidRPr="00172065">
        <w:rPr>
          <w:b/>
          <w:bCs/>
        </w:rPr>
        <w:t xml:space="preserve">Blinatumomab </w:t>
      </w:r>
      <w:r w:rsidR="004910C6">
        <w:rPr>
          <w:b/>
          <w:bCs/>
        </w:rPr>
        <w:t xml:space="preserve">(BLINCYTO) </w:t>
      </w:r>
      <w:r w:rsidRPr="00172065">
        <w:rPr>
          <w:b/>
          <w:bCs/>
        </w:rPr>
        <w:t xml:space="preserve">followed by </w:t>
      </w:r>
      <w:r w:rsidR="00032DF5" w:rsidRPr="00032DF5">
        <w:rPr>
          <w:b/>
          <w:bCs/>
        </w:rPr>
        <w:t>Allo</w:t>
      </w:r>
      <w:r w:rsidR="0068418D">
        <w:rPr>
          <w:b/>
          <w:bCs/>
        </w:rPr>
        <w:t>-</w:t>
      </w:r>
      <w:r w:rsidR="00032DF5" w:rsidRPr="00032DF5">
        <w:rPr>
          <w:b/>
          <w:bCs/>
        </w:rPr>
        <w:t>SCT:</w:t>
      </w:r>
      <w:r w:rsidR="00032DF5">
        <w:rPr>
          <w:b/>
          <w:bCs/>
        </w:rPr>
        <w:t xml:space="preserve"> </w:t>
      </w:r>
      <w:r w:rsidR="00A337F3">
        <w:t>B</w:t>
      </w:r>
      <w:r w:rsidRPr="00172065">
        <w:t>linatumomab is a bispecific antibody targeting CD19 and CD3 for use in patients with relapsed or refractory B-cell ALL</w:t>
      </w:r>
      <w:proofErr w:type="gramStart"/>
      <w:r w:rsidRPr="00172065">
        <w:t>.</w:t>
      </w:r>
      <w:r w:rsidR="004910C6">
        <w:t xml:space="preserve">  </w:t>
      </w:r>
      <w:proofErr w:type="gramEnd"/>
      <w:r w:rsidR="00826E15">
        <w:t>In</w:t>
      </w:r>
      <w:r w:rsidR="00DB7096">
        <w:t xml:space="preserve"> patients with m</w:t>
      </w:r>
      <w:r w:rsidR="004910C6" w:rsidRPr="004910C6">
        <w:t>inimal residual disease of B-ALL</w:t>
      </w:r>
      <w:r w:rsidR="004910C6">
        <w:t xml:space="preserve">, </w:t>
      </w:r>
      <w:r w:rsidR="00826E15">
        <w:t>(</w:t>
      </w:r>
      <w:r w:rsidR="006B3789">
        <w:t>i.e.</w:t>
      </w:r>
      <w:r w:rsidR="00826E15">
        <w:t xml:space="preserve"> </w:t>
      </w:r>
      <w:r w:rsidR="004910C6" w:rsidRPr="004910C6">
        <w:t>Eastern Cooperative Oncology Group (ECOG) performance status of 0 or 1</w:t>
      </w:r>
      <w:r w:rsidR="00826E15">
        <w:t>)</w:t>
      </w:r>
      <w:r w:rsidR="004910C6">
        <w:t xml:space="preserve">, </w:t>
      </w:r>
      <w:r w:rsidR="00826E15">
        <w:t xml:space="preserve">who </w:t>
      </w:r>
      <w:r w:rsidR="004910C6" w:rsidRPr="004910C6">
        <w:t>have achieved complete remission following intensive combination chemotherapy for initial treatment of acute lymphoblastic leukaemia (ALL) or for subsequent salvage therapy,</w:t>
      </w:r>
      <w:r w:rsidR="004910C6">
        <w:t xml:space="preserve"> </w:t>
      </w:r>
      <w:r w:rsidR="004910C6" w:rsidRPr="004910C6">
        <w:t xml:space="preserve">minimal residual disease </w:t>
      </w:r>
      <w:r w:rsidR="00EE7335">
        <w:t xml:space="preserve">(MRD) </w:t>
      </w:r>
      <w:r w:rsidR="004910C6" w:rsidRPr="004910C6">
        <w:t xml:space="preserve">defined as </w:t>
      </w:r>
      <w:r w:rsidR="00EE7335" w:rsidRPr="004910C6">
        <w:t xml:space="preserve">polymerase chain reaction </w:t>
      </w:r>
      <w:r w:rsidR="00EE7335">
        <w:t>(</w:t>
      </w:r>
      <w:r w:rsidR="00EE7335" w:rsidRPr="00EE7335">
        <w:t>PCR</w:t>
      </w:r>
      <w:r w:rsidR="00EE7335">
        <w:t>)</w:t>
      </w:r>
      <w:r w:rsidR="00EE7335" w:rsidRPr="00EE7335">
        <w:t xml:space="preserve"> or flow cytometry </w:t>
      </w:r>
      <w:r w:rsidR="00EE7335">
        <w:t>0.01% blasts (</w:t>
      </w:r>
      <w:r w:rsidR="006B3789">
        <w:t>i.e.</w:t>
      </w:r>
      <w:r w:rsidR="00EE7335">
        <w:t xml:space="preserve"> &lt;</w:t>
      </w:r>
      <w:r w:rsidR="00EE7335" w:rsidRPr="00EE7335">
        <w:t>1 x 10-4</w:t>
      </w:r>
      <w:r w:rsidR="00230973">
        <w:t>)</w:t>
      </w:r>
      <w:r w:rsidR="00EE7335" w:rsidRPr="00EE7335">
        <w:t xml:space="preserve"> </w:t>
      </w:r>
      <w:r w:rsidR="004910C6" w:rsidRPr="004910C6">
        <w:t>based on measurement in bone marrow, documented after an interval of at least 2 weeks from the last course of systemic chemotherapy given as intensive combination chemotherapy treatment of ALL or as subsequent salvage therapy, whichever was the later</w:t>
      </w:r>
      <w:r w:rsidR="0003034F">
        <w:t>.</w:t>
      </w:r>
      <w:r w:rsidR="004910C6" w:rsidRPr="004910C6">
        <w:t xml:space="preserve"> The treatment must not be more than </w:t>
      </w:r>
      <w:proofErr w:type="gramStart"/>
      <w:r w:rsidR="004910C6" w:rsidRPr="004910C6">
        <w:t>2</w:t>
      </w:r>
      <w:proofErr w:type="gramEnd"/>
      <w:r w:rsidR="004910C6" w:rsidRPr="004910C6">
        <w:t xml:space="preserve"> treatment cycles under this restriction in a lifetime.</w:t>
      </w:r>
    </w:p>
    <w:p w14:paraId="11100D51" w14:textId="2FDB83C4" w:rsidR="0049560E" w:rsidRPr="004910C6" w:rsidRDefault="0049560E" w:rsidP="0049560E">
      <w:pPr>
        <w:ind w:left="426"/>
      </w:pPr>
      <w:r w:rsidRPr="004910C6">
        <w:t>PBS Items: 11850Q, 11867N</w:t>
      </w:r>
    </w:p>
    <w:p w14:paraId="5A4CD816" w14:textId="3E1C377C" w:rsidR="004910C6" w:rsidRDefault="0049560E" w:rsidP="004955BF">
      <w:pPr>
        <w:ind w:left="426"/>
      </w:pPr>
      <w:r w:rsidRPr="00172065">
        <w:rPr>
          <w:b/>
          <w:bCs/>
        </w:rPr>
        <w:t xml:space="preserve">Blinatumomab </w:t>
      </w:r>
      <w:r>
        <w:rPr>
          <w:b/>
          <w:bCs/>
        </w:rPr>
        <w:t xml:space="preserve">(BLINCYTO) </w:t>
      </w:r>
      <w:r w:rsidRPr="00172065">
        <w:rPr>
          <w:b/>
          <w:bCs/>
        </w:rPr>
        <w:t xml:space="preserve">followed by </w:t>
      </w:r>
      <w:r w:rsidRPr="00032DF5">
        <w:rPr>
          <w:b/>
          <w:bCs/>
        </w:rPr>
        <w:t>Allo</w:t>
      </w:r>
      <w:r>
        <w:rPr>
          <w:b/>
          <w:bCs/>
        </w:rPr>
        <w:t>-</w:t>
      </w:r>
      <w:r w:rsidRPr="00032DF5">
        <w:rPr>
          <w:b/>
          <w:bCs/>
        </w:rPr>
        <w:t>SCT:</w:t>
      </w:r>
      <w:r>
        <w:rPr>
          <w:b/>
          <w:bCs/>
        </w:rPr>
        <w:t xml:space="preserve"> </w:t>
      </w:r>
      <w:r>
        <w:t>B</w:t>
      </w:r>
      <w:r w:rsidRPr="00172065">
        <w:t>linatumomab is a bispecific antibody targeting CD19 and CD3 for use in patients with relapsed or refractory B-ALL</w:t>
      </w:r>
      <w:proofErr w:type="gramStart"/>
      <w:r w:rsidRPr="00172065">
        <w:t>.</w:t>
      </w:r>
      <w:r>
        <w:t xml:space="preserve"> </w:t>
      </w:r>
      <w:r w:rsidR="004955BF">
        <w:t xml:space="preserve"> </w:t>
      </w:r>
      <w:proofErr w:type="gramEnd"/>
      <w:r>
        <w:t>On the PBS</w:t>
      </w:r>
      <w:r w:rsidR="00DB7096">
        <w:t>, in p</w:t>
      </w:r>
      <w:r w:rsidR="004910C6">
        <w:t xml:space="preserve">atient </w:t>
      </w:r>
      <w:r w:rsidR="00DB7096">
        <w:t>with</w:t>
      </w:r>
      <w:r w:rsidR="004955BF">
        <w:t xml:space="preserve"> relapsed/refractory</w:t>
      </w:r>
      <w:r w:rsidR="004910C6">
        <w:t xml:space="preserve"> B-ALL, with an Eastern Cooperative Oncology Group (ECOG) performance status of 2 or less and </w:t>
      </w:r>
      <w:r w:rsidR="00FA4EE9">
        <w:t xml:space="preserve">disease </w:t>
      </w:r>
      <w:r w:rsidR="004910C6">
        <w:t>must not be present in the central nervous system or testis,</w:t>
      </w:r>
      <w:r w:rsidR="00FA4EE9">
        <w:t xml:space="preserve"> and pa</w:t>
      </w:r>
      <w:r w:rsidR="004910C6">
        <w:t>tient must have previously received a tyrosine kinase inhibitor (TKI) if the condition is Philadelphia chromosome positive,</w:t>
      </w:r>
      <w:r w:rsidR="00FA4EE9">
        <w:t xml:space="preserve"> and p</w:t>
      </w:r>
      <w:r w:rsidR="004910C6">
        <w:t>atient must have received intensive combination chemotherapy for initial treatment of ALL or for subsequent salvage therapy,</w:t>
      </w:r>
      <w:r w:rsidR="00FA4EE9">
        <w:t xml:space="preserve"> and p</w:t>
      </w:r>
      <w:r w:rsidR="004910C6">
        <w:t>atient must not have received more than 1 line of salvage therapy,</w:t>
      </w:r>
      <w:r w:rsidR="00FA4EE9">
        <w:t xml:space="preserve"> and </w:t>
      </w:r>
      <w:r w:rsidR="004910C6">
        <w:t xml:space="preserve">must not have received blinatumomab previously for the treatment of minimal residual disease; </w:t>
      </w:r>
      <w:r w:rsidR="00FA4EE9">
        <w:t xml:space="preserve">or </w:t>
      </w:r>
      <w:r w:rsidR="004910C6">
        <w:t>must have had a relapse-free period of at least six months following completion of treatment with blinatumomab for minimal residual disease,</w:t>
      </w:r>
      <w:r w:rsidR="00FA4EE9">
        <w:t xml:space="preserve"> and </w:t>
      </w:r>
      <w:r w:rsidR="004910C6">
        <w:t>must have more than 5% blasts in bone marrow,</w:t>
      </w:r>
      <w:r w:rsidR="00FA4EE9">
        <w:t xml:space="preserve"> and </w:t>
      </w:r>
      <w:r w:rsidR="004910C6">
        <w:t>treatment must not be more than 2 treatment cycles under this restriction in a lifetime.</w:t>
      </w:r>
    </w:p>
    <w:p w14:paraId="4307AC79" w14:textId="0E997B05" w:rsidR="002952FC" w:rsidRPr="004910C6" w:rsidRDefault="002952FC" w:rsidP="00032DF5">
      <w:pPr>
        <w:ind w:left="426"/>
      </w:pPr>
      <w:r w:rsidRPr="004910C6">
        <w:t>PBS Items</w:t>
      </w:r>
      <w:r w:rsidR="004910C6" w:rsidRPr="004910C6">
        <w:t>: 11115B, 11116C, 11117D, 11118E, 11119F, 11120G</w:t>
      </w:r>
    </w:p>
    <w:p w14:paraId="7CF66DDB" w14:textId="5A65E952" w:rsidR="00032DF5" w:rsidRDefault="00172065" w:rsidP="004910C6">
      <w:pPr>
        <w:ind w:left="426"/>
      </w:pPr>
      <w:r w:rsidRPr="00032DF5">
        <w:rPr>
          <w:b/>
          <w:bCs/>
        </w:rPr>
        <w:t xml:space="preserve">Inotuzumab ozogamicin </w:t>
      </w:r>
      <w:r w:rsidR="004910C6">
        <w:rPr>
          <w:b/>
          <w:bCs/>
        </w:rPr>
        <w:t xml:space="preserve">(BESPONSA) </w:t>
      </w:r>
      <w:r w:rsidRPr="00032DF5">
        <w:rPr>
          <w:b/>
          <w:bCs/>
        </w:rPr>
        <w:t xml:space="preserve">followed by </w:t>
      </w:r>
      <w:r w:rsidR="00032DF5" w:rsidRPr="00032DF5">
        <w:rPr>
          <w:b/>
          <w:bCs/>
        </w:rPr>
        <w:t>Allo</w:t>
      </w:r>
      <w:r w:rsidR="0068418D">
        <w:rPr>
          <w:b/>
          <w:bCs/>
        </w:rPr>
        <w:t>-</w:t>
      </w:r>
      <w:r w:rsidR="00032DF5" w:rsidRPr="00032DF5">
        <w:rPr>
          <w:b/>
          <w:bCs/>
        </w:rPr>
        <w:t>SCT:</w:t>
      </w:r>
      <w:r w:rsidR="00032DF5">
        <w:rPr>
          <w:b/>
          <w:bCs/>
        </w:rPr>
        <w:t xml:space="preserve"> </w:t>
      </w:r>
      <w:r w:rsidRPr="00032DF5">
        <w:t xml:space="preserve">Inotuzumab ozogamicin is an antibody-drug conjugate targeting CD22, which contains a conjugated toxin, calicheamicin. Inotuzumab ozogamicin </w:t>
      </w:r>
      <w:proofErr w:type="gramStart"/>
      <w:r w:rsidRPr="00032DF5">
        <w:t>is approved</w:t>
      </w:r>
      <w:proofErr w:type="gramEnd"/>
      <w:r w:rsidRPr="00032DF5">
        <w:t xml:space="preserve"> by for use in patients with relapsed or refractory B-ALL with CD22 expression.</w:t>
      </w:r>
      <w:r w:rsidR="004910C6">
        <w:t xml:space="preserve"> On the PBS</w:t>
      </w:r>
      <w:r w:rsidR="004910C6" w:rsidRPr="004910C6">
        <w:t xml:space="preserve"> </w:t>
      </w:r>
      <w:r w:rsidR="004910C6">
        <w:t xml:space="preserve">patient must be </w:t>
      </w:r>
      <w:r w:rsidR="004955BF">
        <w:t>relapsed/refractory</w:t>
      </w:r>
      <w:r w:rsidR="004910C6">
        <w:t xml:space="preserve"> B-ALL, with ECOG performance status of 2 or less, and must have received intensive combination chemotherapy for initial treatment of ALL or for subsequent salvage therapy and must not have received more than 1 line of salvage therapy, and must have previously received a tyrosine </w:t>
      </w:r>
      <w:r w:rsidR="004910C6">
        <w:lastRenderedPageBreak/>
        <w:t>kinase inhibitor (TKI) if the condition is Philadelphia chromosome positive, and must be CD22-positive and must have more than 5% blasts in bone marrow and treatment must not be more than 3 treatment cycles under this restriction in a lifetime.</w:t>
      </w:r>
    </w:p>
    <w:p w14:paraId="42E2A09E" w14:textId="2B1C17C4" w:rsidR="002952FC" w:rsidRPr="004910C6" w:rsidRDefault="002952FC" w:rsidP="00032DF5">
      <w:pPr>
        <w:ind w:left="426"/>
      </w:pPr>
      <w:r w:rsidRPr="004910C6">
        <w:t>PBS Items</w:t>
      </w:r>
      <w:r w:rsidR="004910C6" w:rsidRPr="004910C6">
        <w:t>: 11668D, 11673J, 11680R, 11696N</w:t>
      </w:r>
    </w:p>
    <w:p w14:paraId="681E12DD" w14:textId="575AC239" w:rsidR="00FD0733" w:rsidRDefault="00032DF5" w:rsidP="004910C6">
      <w:pPr>
        <w:ind w:left="426"/>
      </w:pPr>
      <w:r w:rsidRPr="00032DF5">
        <w:rPr>
          <w:b/>
          <w:bCs/>
        </w:rPr>
        <w:t>Dasatinib</w:t>
      </w:r>
      <w:r w:rsidR="004910C6">
        <w:rPr>
          <w:b/>
          <w:bCs/>
        </w:rPr>
        <w:t xml:space="preserve"> (SPRYCEL)</w:t>
      </w:r>
      <w:r>
        <w:rPr>
          <w:b/>
          <w:bCs/>
        </w:rPr>
        <w:t xml:space="preserve">: </w:t>
      </w:r>
      <w:r w:rsidRPr="00032DF5">
        <w:t>Patients with Ph1-positive ALL will often be taking imatinib at the time of relapse and thus will have imatinib-resistant disease. Dasatinib, a novel tyrosine kinase inhibitor with efficacy against several different imatinib-resistant </w:t>
      </w:r>
      <w:r w:rsidRPr="00032DF5">
        <w:rPr>
          <w:i/>
          <w:iCs/>
        </w:rPr>
        <w:t>BCR-ABL</w:t>
      </w:r>
      <w:r w:rsidRPr="00032DF5">
        <w:t> mutations, for use in Ph1-positive ALL patients who are resistant to or intolerant of imatinib</w:t>
      </w:r>
      <w:proofErr w:type="gramStart"/>
      <w:r w:rsidRPr="00032DF5">
        <w:t>.</w:t>
      </w:r>
      <w:r w:rsidR="004910C6">
        <w:t xml:space="preserve">  </w:t>
      </w:r>
      <w:proofErr w:type="gramEnd"/>
      <w:r w:rsidR="004910C6">
        <w:t xml:space="preserve">On the PBS, patient must be expressing the Philadelphia chromosome or must have the transcript BCR-ABL and must have failed treatment with chemotherapy and must have failed treatment with imatinib and must have failed an allogeneic </w:t>
      </w:r>
      <w:r w:rsidR="004955BF">
        <w:t>haemopoietic</w:t>
      </w:r>
      <w:r w:rsidR="004910C6">
        <w:t xml:space="preserve"> stem cell transplantation if applicable.</w:t>
      </w:r>
    </w:p>
    <w:p w14:paraId="0760FA2D" w14:textId="1FDEB330" w:rsidR="002952FC" w:rsidRPr="004910C6" w:rsidRDefault="002952FC" w:rsidP="00FD0733">
      <w:pPr>
        <w:ind w:left="426"/>
      </w:pPr>
      <w:r w:rsidRPr="004910C6">
        <w:t>PBS Items</w:t>
      </w:r>
      <w:r w:rsidR="004910C6">
        <w:t>: 9343R</w:t>
      </w:r>
    </w:p>
    <w:p w14:paraId="0DCFF26E" w14:textId="4FD9F70C" w:rsidR="002952FC" w:rsidRDefault="002952FC" w:rsidP="002952FC">
      <w:pPr>
        <w:ind w:left="426"/>
      </w:pPr>
      <w:r>
        <w:rPr>
          <w:b/>
          <w:bCs/>
        </w:rPr>
        <w:t xml:space="preserve">Ponatinib (ICLUSIG): </w:t>
      </w:r>
      <w:r>
        <w:t>Patient must be expressing the T315I mutation, and must have failed treatment with chemotherapy, with or without another tyrosine kinase inhibitor, and must have failed allogeneic haemopoietic stem cell transplantation (where appropriate).</w:t>
      </w:r>
    </w:p>
    <w:p w14:paraId="4DFDE301" w14:textId="3956BF2E" w:rsidR="002952FC" w:rsidRPr="00A3741C" w:rsidRDefault="002952FC" w:rsidP="002952FC">
      <w:pPr>
        <w:ind w:left="426"/>
      </w:pPr>
      <w:r w:rsidRPr="00A3741C">
        <w:t>PBS Items: 10523W, 10524X</w:t>
      </w:r>
    </w:p>
    <w:p w14:paraId="0FDCCB60" w14:textId="4A29C2BE" w:rsidR="002952FC" w:rsidRDefault="002952FC" w:rsidP="002952FC">
      <w:pPr>
        <w:ind w:left="426"/>
      </w:pPr>
      <w:r>
        <w:rPr>
          <w:b/>
          <w:bCs/>
        </w:rPr>
        <w:t xml:space="preserve">Ponatinib (ICLUSIG): </w:t>
      </w:r>
      <w:r>
        <w:t>Patient must be expressing the Philadelphia chromosome; OR must have the transcript BCR-ABL, and patient must have failed prior treatment with PBS-subsidised dasatinib for this condition; or patient must have developed intolerance to PBS-subsidised dasatinib of a severity requiring treatment withdrawal.</w:t>
      </w:r>
    </w:p>
    <w:p w14:paraId="193AF49B" w14:textId="77E7683D" w:rsidR="002952FC" w:rsidRDefault="00A3741C" w:rsidP="004955BF">
      <w:pPr>
        <w:ind w:left="426"/>
      </w:pPr>
      <w:r w:rsidRPr="00A3741C">
        <w:t>PBS Items: 1</w:t>
      </w:r>
      <w:r>
        <w:t>1453T</w:t>
      </w:r>
      <w:r w:rsidRPr="00A3741C">
        <w:t>, 1</w:t>
      </w:r>
      <w:r>
        <w:t>1454W</w:t>
      </w:r>
    </w:p>
    <w:p w14:paraId="647649AF" w14:textId="4844F4B0" w:rsidR="00FD0733" w:rsidRDefault="00FD0733" w:rsidP="00FD0733">
      <w:pPr>
        <w:ind w:left="426"/>
      </w:pPr>
      <w:r w:rsidRPr="00FD0733">
        <w:rPr>
          <w:b/>
          <w:bCs/>
        </w:rPr>
        <w:t>Tisagenlecleucel</w:t>
      </w:r>
      <w:r>
        <w:rPr>
          <w:b/>
          <w:bCs/>
        </w:rPr>
        <w:t xml:space="preserve"> CAR T-cell</w:t>
      </w:r>
      <w:r w:rsidRPr="00FD0733">
        <w:rPr>
          <w:b/>
          <w:bCs/>
        </w:rPr>
        <w:t>:</w:t>
      </w:r>
      <w:r w:rsidRPr="00FD0733">
        <w:t xml:space="preserve"> </w:t>
      </w:r>
      <w:r>
        <w:t>T</w:t>
      </w:r>
      <w:r w:rsidRPr="00072BEC">
        <w:t xml:space="preserve">isagenlecleucel </w:t>
      </w:r>
      <w:r w:rsidR="00663A89">
        <w:t>is</w:t>
      </w:r>
      <w:r>
        <w:t xml:space="preserve"> a treatment option in patients </w:t>
      </w:r>
      <w:r w:rsidR="002643FE">
        <w:t xml:space="preserve">aged 18 years </w:t>
      </w:r>
      <w:r>
        <w:t>up to 25 years of age</w:t>
      </w:r>
      <w:r w:rsidRPr="00FD0733">
        <w:t xml:space="preserve"> with confirmed relapsed/refractory B</w:t>
      </w:r>
      <w:r w:rsidR="00FE33AC">
        <w:t>-</w:t>
      </w:r>
      <w:r w:rsidRPr="00FD0733">
        <w:t>ALL</w:t>
      </w:r>
      <w:r>
        <w:t xml:space="preserve"> disease</w:t>
      </w:r>
      <w:proofErr w:type="gramStart"/>
      <w:r>
        <w:t xml:space="preserve">. </w:t>
      </w:r>
      <w:r w:rsidRPr="00FD0733">
        <w:t xml:space="preserve"> </w:t>
      </w:r>
      <w:proofErr w:type="gramEnd"/>
    </w:p>
    <w:p w14:paraId="237EF1C8" w14:textId="580E4CC3" w:rsidR="00EB552D" w:rsidRDefault="00EB552D" w:rsidP="00FD0733">
      <w:pPr>
        <w:ind w:left="426"/>
      </w:pPr>
    </w:p>
    <w:p w14:paraId="37A3BD24" w14:textId="4691CB1B" w:rsidR="00EB552D" w:rsidRPr="00E2732F" w:rsidRDefault="004955BF" w:rsidP="00FD0733">
      <w:pPr>
        <w:ind w:left="426"/>
        <w:rPr>
          <w:color w:val="0070C0"/>
        </w:rPr>
      </w:pPr>
      <w:r w:rsidRPr="00005B53">
        <w:t xml:space="preserve">Figure </w:t>
      </w:r>
      <w:r w:rsidRPr="00005B53">
        <w:rPr>
          <w:noProof/>
        </w:rPr>
        <w:t>3</w:t>
      </w:r>
      <w:r w:rsidRPr="00005B53">
        <w:t xml:space="preserve"> shows</w:t>
      </w:r>
      <w:r w:rsidR="00F97AF1" w:rsidRPr="00005B53">
        <w:t xml:space="preserve"> </w:t>
      </w:r>
      <w:r w:rsidR="00E2732F" w:rsidRPr="00005B53">
        <w:t xml:space="preserve">an updated, simplified </w:t>
      </w:r>
      <w:r w:rsidRPr="00005B53">
        <w:t>current treatment pathway.</w:t>
      </w:r>
      <w:r w:rsidRPr="00E2732F">
        <w:rPr>
          <w:color w:val="0070C0"/>
        </w:rPr>
        <w:t xml:space="preserve"> </w:t>
      </w:r>
    </w:p>
    <w:p w14:paraId="79B940C1" w14:textId="28F5B63D" w:rsidR="00A415D7" w:rsidRDefault="00A415D7" w:rsidP="00032DF5">
      <w:pPr>
        <w:ind w:left="426"/>
        <w:rPr>
          <w:b/>
          <w:bCs/>
        </w:rPr>
      </w:pPr>
    </w:p>
    <w:p w14:paraId="1D8FD4E5" w14:textId="77777777" w:rsidR="002952FC" w:rsidRDefault="002952FC" w:rsidP="002952FC">
      <w:pPr>
        <w:pStyle w:val="Caption"/>
        <w:sectPr w:rsidR="002952FC" w:rsidSect="00DD308E">
          <w:pgSz w:w="11906" w:h="16838"/>
          <w:pgMar w:top="1440" w:right="1440" w:bottom="1440" w:left="1440" w:header="708" w:footer="708" w:gutter="0"/>
          <w:cols w:space="708"/>
          <w:docGrid w:linePitch="360"/>
        </w:sectPr>
      </w:pPr>
    </w:p>
    <w:p w14:paraId="47AD6101" w14:textId="31C03F14" w:rsidR="00A415D7" w:rsidRPr="00005B53" w:rsidRDefault="00A415D7" w:rsidP="002952FC">
      <w:pPr>
        <w:pStyle w:val="Caption"/>
        <w:rPr>
          <w:bCs/>
          <w:color w:val="auto"/>
          <w:sz w:val="20"/>
          <w:szCs w:val="22"/>
        </w:rPr>
      </w:pPr>
      <w:bookmarkStart w:id="21" w:name="_Ref96172108"/>
      <w:r w:rsidRPr="00005B53">
        <w:rPr>
          <w:color w:val="auto"/>
        </w:rPr>
        <w:lastRenderedPageBreak/>
        <w:t xml:space="preserve">Figure </w:t>
      </w:r>
      <w:r w:rsidR="007847A6" w:rsidRPr="00005B53">
        <w:rPr>
          <w:noProof/>
          <w:color w:val="auto"/>
        </w:rPr>
        <w:t>3</w:t>
      </w:r>
      <w:bookmarkEnd w:id="21"/>
      <w:r w:rsidR="002952FC" w:rsidRPr="00005B53">
        <w:rPr>
          <w:noProof/>
          <w:color w:val="auto"/>
        </w:rPr>
        <w:t xml:space="preserve">: </w:t>
      </w:r>
      <w:r w:rsidR="003163AF" w:rsidRPr="00005B53">
        <w:rPr>
          <w:noProof/>
          <w:color w:val="auto"/>
        </w:rPr>
        <w:t>Simplified c</w:t>
      </w:r>
      <w:r w:rsidR="00EB3FC2" w:rsidRPr="00005B53">
        <w:rPr>
          <w:noProof/>
          <w:color w:val="auto"/>
        </w:rPr>
        <w:t>urrent t</w:t>
      </w:r>
      <w:r w:rsidR="00EB552D" w:rsidRPr="00005B53">
        <w:rPr>
          <w:noProof/>
          <w:color w:val="auto"/>
        </w:rPr>
        <w:t xml:space="preserve">reatment algorithm for </w:t>
      </w:r>
      <w:r w:rsidR="004955BF" w:rsidRPr="00005B53">
        <w:rPr>
          <w:noProof/>
          <w:color w:val="auto"/>
        </w:rPr>
        <w:t>relapsed/refractory</w:t>
      </w:r>
      <w:r w:rsidR="00EB552D" w:rsidRPr="00005B53">
        <w:rPr>
          <w:noProof/>
          <w:color w:val="auto"/>
        </w:rPr>
        <w:t xml:space="preserve"> </w:t>
      </w:r>
      <w:r w:rsidR="006E5490" w:rsidRPr="00005B53">
        <w:rPr>
          <w:noProof/>
          <w:color w:val="auto"/>
        </w:rPr>
        <w:t xml:space="preserve">adult </w:t>
      </w:r>
      <w:r w:rsidR="004955BF" w:rsidRPr="00005B53">
        <w:rPr>
          <w:noProof/>
          <w:color w:val="auto"/>
        </w:rPr>
        <w:t>B-</w:t>
      </w:r>
      <w:r w:rsidR="00EB552D" w:rsidRPr="00005B53">
        <w:rPr>
          <w:noProof/>
          <w:color w:val="auto"/>
        </w:rPr>
        <w:t>ALL</w:t>
      </w:r>
    </w:p>
    <w:p w14:paraId="46CA6778" w14:textId="11DEE7B6" w:rsidR="00BB64AC" w:rsidRPr="003F115D" w:rsidRDefault="0034112E" w:rsidP="003F115D">
      <w:pPr>
        <w:rPr>
          <w:b/>
          <w:szCs w:val="20"/>
        </w:rPr>
      </w:pPr>
      <w:r w:rsidRPr="0034112E">
        <w:rPr>
          <w:noProof/>
        </w:rPr>
        <w:drawing>
          <wp:inline distT="0" distB="0" distL="0" distR="0" wp14:anchorId="0C126222" wp14:editId="1C496C82">
            <wp:extent cx="6533052" cy="3436620"/>
            <wp:effectExtent l="0" t="0" r="1270" b="0"/>
            <wp:docPr id="5" name="Picture 5" descr="Figure 3: Simplified current treatment algorithm for relapsed/refractory adult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Simplified current treatment algorithm for relapsed/refractory adult B-ALL"/>
                    <pic:cNvPicPr/>
                  </pic:nvPicPr>
                  <pic:blipFill>
                    <a:blip r:embed="rId15"/>
                    <a:stretch>
                      <a:fillRect/>
                    </a:stretch>
                  </pic:blipFill>
                  <pic:spPr>
                    <a:xfrm>
                      <a:off x="0" y="0"/>
                      <a:ext cx="6537292" cy="3438850"/>
                    </a:xfrm>
                    <a:prstGeom prst="rect">
                      <a:avLst/>
                    </a:prstGeom>
                  </pic:spPr>
                </pic:pic>
              </a:graphicData>
            </a:graphic>
          </wp:inline>
        </w:drawing>
      </w:r>
    </w:p>
    <w:p w14:paraId="027C1E9E" w14:textId="77777777" w:rsidR="0034112E" w:rsidRPr="00005B53" w:rsidRDefault="0034112E" w:rsidP="0034112E">
      <w:pPr>
        <w:spacing w:before="0" w:after="0"/>
        <w:rPr>
          <w:bCs/>
          <w:sz w:val="16"/>
          <w:szCs w:val="16"/>
        </w:rPr>
      </w:pPr>
      <w:r w:rsidRPr="00EB552D">
        <w:rPr>
          <w:bCs/>
          <w:sz w:val="16"/>
          <w:szCs w:val="16"/>
        </w:rPr>
        <w:t xml:space="preserve">Source: </w:t>
      </w:r>
      <w:r w:rsidRPr="00EB552D">
        <w:rPr>
          <w:bCs/>
          <w:sz w:val="16"/>
          <w:szCs w:val="16"/>
          <w:lang w:val="en-GB"/>
        </w:rPr>
        <w:t xml:space="preserve">Treatment options have been based on literature review </w:t>
      </w:r>
      <w:r w:rsidRPr="00005B53">
        <w:rPr>
          <w:bCs/>
          <w:sz w:val="16"/>
          <w:szCs w:val="16"/>
          <w:lang w:val="en-GB"/>
        </w:rPr>
        <w:t>and Martino et. al., 2023</w:t>
      </w:r>
    </w:p>
    <w:p w14:paraId="6EAF339D" w14:textId="77777777" w:rsidR="0034112E" w:rsidRPr="00EB552D" w:rsidRDefault="0034112E" w:rsidP="0034112E">
      <w:pPr>
        <w:spacing w:before="0" w:after="0"/>
        <w:rPr>
          <w:bCs/>
          <w:sz w:val="16"/>
          <w:szCs w:val="16"/>
        </w:rPr>
      </w:pPr>
      <w:r w:rsidRPr="00EB552D">
        <w:rPr>
          <w:bCs/>
          <w:sz w:val="16"/>
          <w:szCs w:val="16"/>
        </w:rPr>
        <w:t xml:space="preserve">Abbreviations: </w:t>
      </w:r>
      <w:r w:rsidRPr="00EB552D">
        <w:rPr>
          <w:bCs/>
          <w:sz w:val="16"/>
          <w:szCs w:val="16"/>
          <w:lang w:val="en-GB"/>
        </w:rPr>
        <w:t>ALL: Acute lymphoblastic leukaemia; allo-SCT: Allogeneic stem cell transplant; MRD: Minimal residual disease</w:t>
      </w:r>
    </w:p>
    <w:p w14:paraId="5BA27555" w14:textId="77777777" w:rsidR="0034112E" w:rsidRDefault="0034112E" w:rsidP="0034112E">
      <w:pPr>
        <w:pStyle w:val="Heading2"/>
        <w:numPr>
          <w:ilvl w:val="0"/>
          <w:numId w:val="0"/>
        </w:numPr>
        <w:ind w:left="360"/>
      </w:pPr>
    </w:p>
    <w:p w14:paraId="1B7F45A6" w14:textId="1615C139" w:rsidR="0047363C" w:rsidRDefault="00095B45" w:rsidP="0047363C">
      <w:pPr>
        <w:pStyle w:val="Heading2"/>
      </w:pPr>
      <w:r w:rsidRPr="00095B45">
        <w:t xml:space="preserve">Define and summarise the PROPOSED clinical management pathway (algorithm) that patients would follow </w:t>
      </w:r>
      <w:r w:rsidRPr="008D1A4B">
        <w:rPr>
          <w:u w:val="single"/>
        </w:rPr>
        <w:t>after</w:t>
      </w:r>
      <w:r w:rsidRPr="00095B45">
        <w:t xml:space="preserve"> the proposed service/technology </w:t>
      </w:r>
      <w:proofErr w:type="gramStart"/>
      <w:r w:rsidRPr="00095B45">
        <w:t>is introduced</w:t>
      </w:r>
      <w:proofErr w:type="gramEnd"/>
      <w:r w:rsidRPr="00095B45">
        <w:t>, including variation in health care resources.</w:t>
      </w:r>
    </w:p>
    <w:p w14:paraId="36DF49F3" w14:textId="4F427A3B" w:rsidR="00A337F3" w:rsidRDefault="00A4050C" w:rsidP="00E2732F">
      <w:pPr>
        <w:ind w:left="426"/>
      </w:pPr>
      <w:r>
        <w:rPr>
          <w:b/>
          <w:bCs/>
        </w:rPr>
        <w:t xml:space="preserve">CAR-T cells: </w:t>
      </w:r>
      <w:r w:rsidR="00770506">
        <w:t>B</w:t>
      </w:r>
      <w:r>
        <w:t xml:space="preserve">rexucabtagene autoleucel </w:t>
      </w:r>
      <w:r w:rsidR="00770506">
        <w:t xml:space="preserve">will be available </w:t>
      </w:r>
      <w:r>
        <w:t xml:space="preserve">for </w:t>
      </w:r>
      <w:r w:rsidR="007E2BC5">
        <w:t xml:space="preserve">adult </w:t>
      </w:r>
      <w:r w:rsidRPr="00005B53">
        <w:t xml:space="preserve">patients </w:t>
      </w:r>
      <w:r w:rsidR="007E2BC5" w:rsidRPr="00005B53">
        <w:t>(≥</w:t>
      </w:r>
      <w:r w:rsidR="00C225D8" w:rsidRPr="00005B53">
        <w:t>26</w:t>
      </w:r>
      <w:r w:rsidR="007E2BC5" w:rsidRPr="00005B53">
        <w:t xml:space="preserve"> years </w:t>
      </w:r>
      <w:r w:rsidR="007E2BC5">
        <w:t xml:space="preserve">of age) </w:t>
      </w:r>
      <w:r>
        <w:t>with r</w:t>
      </w:r>
      <w:r w:rsidRPr="00727401">
        <w:t>elapsed or</w:t>
      </w:r>
      <w:r>
        <w:t xml:space="preserve"> </w:t>
      </w:r>
      <w:r w:rsidRPr="00727401">
        <w:t xml:space="preserve">refractory </w:t>
      </w:r>
      <w:r w:rsidR="007E2BC5" w:rsidRPr="00746D2E">
        <w:t>B-precursor acute lymphoblastic leukaemia</w:t>
      </w:r>
      <w:r w:rsidR="007E2BC5">
        <w:t xml:space="preserve"> (B-ALL)</w:t>
      </w:r>
    </w:p>
    <w:p w14:paraId="165A9C0C" w14:textId="3F222515" w:rsidR="00A337F3" w:rsidRPr="00005B53" w:rsidRDefault="00A337F3" w:rsidP="00156969">
      <w:pPr>
        <w:ind w:left="426"/>
      </w:pPr>
      <w:r w:rsidRPr="00005B53">
        <w:t>Brexucabtagene autoleucel for patients with relapsed or refractory B-ALL will</w:t>
      </w:r>
      <w:r w:rsidR="00072BEC" w:rsidRPr="00005B53">
        <w:t xml:space="preserve"> represent a new treatment option</w:t>
      </w:r>
      <w:r w:rsidR="00C225D8" w:rsidRPr="00005B53">
        <w:t xml:space="preserve"> </w:t>
      </w:r>
      <w:r w:rsidR="00072BEC" w:rsidRPr="00005B53">
        <w:t xml:space="preserve">in the relapsed/refractory setting </w:t>
      </w:r>
      <w:r w:rsidR="00504AB7" w:rsidRPr="00005B53">
        <w:t>(</w:t>
      </w:r>
      <w:r w:rsidR="007847A6" w:rsidRPr="00005B53">
        <w:t xml:space="preserve">Figure </w:t>
      </w:r>
      <w:r w:rsidR="007847A6" w:rsidRPr="00005B53">
        <w:rPr>
          <w:noProof/>
        </w:rPr>
        <w:t>4</w:t>
      </w:r>
      <w:r w:rsidR="00D508E4" w:rsidRPr="00005B53">
        <w:t>).</w:t>
      </w:r>
    </w:p>
    <w:p w14:paraId="5385EF40" w14:textId="3214251F" w:rsidR="00F27DFF" w:rsidRDefault="00F27DFF" w:rsidP="00E721B1">
      <w:pPr>
        <w:ind w:left="426"/>
      </w:pPr>
    </w:p>
    <w:p w14:paraId="6860FBE5" w14:textId="77777777" w:rsidR="00D508E4" w:rsidRDefault="00D508E4" w:rsidP="00E721B1">
      <w:pPr>
        <w:ind w:left="426"/>
        <w:sectPr w:rsidR="00D508E4" w:rsidSect="00DD308E">
          <w:pgSz w:w="11906" w:h="16838"/>
          <w:pgMar w:top="1440" w:right="1440" w:bottom="1440" w:left="1440" w:header="708" w:footer="708" w:gutter="0"/>
          <w:cols w:space="708"/>
          <w:docGrid w:linePitch="360"/>
        </w:sectPr>
      </w:pPr>
    </w:p>
    <w:p w14:paraId="02752AB1" w14:textId="300353DA" w:rsidR="00D508E4" w:rsidRPr="00005B53" w:rsidRDefault="00D508E4" w:rsidP="00D508E4">
      <w:pPr>
        <w:pStyle w:val="Caption"/>
        <w:rPr>
          <w:bCs/>
          <w:color w:val="auto"/>
          <w:sz w:val="20"/>
          <w:szCs w:val="22"/>
        </w:rPr>
      </w:pPr>
      <w:r w:rsidRPr="00005B53">
        <w:rPr>
          <w:color w:val="auto"/>
        </w:rPr>
        <w:lastRenderedPageBreak/>
        <w:t xml:space="preserve">            </w:t>
      </w:r>
      <w:bookmarkStart w:id="22" w:name="_Ref96165048"/>
      <w:r w:rsidRPr="00005B53">
        <w:rPr>
          <w:color w:val="auto"/>
        </w:rPr>
        <w:t xml:space="preserve">Figure </w:t>
      </w:r>
      <w:bookmarkEnd w:id="22"/>
      <w:r w:rsidR="0094638C" w:rsidRPr="00005B53">
        <w:rPr>
          <w:color w:val="auto"/>
        </w:rPr>
        <w:t>4</w:t>
      </w:r>
      <w:r w:rsidRPr="00005B53">
        <w:rPr>
          <w:noProof/>
          <w:color w:val="auto"/>
        </w:rPr>
        <w:t xml:space="preserve">: Proposed treatment algorithm for </w:t>
      </w:r>
      <w:r w:rsidR="004955BF" w:rsidRPr="00005B53">
        <w:rPr>
          <w:noProof/>
          <w:color w:val="auto"/>
        </w:rPr>
        <w:t xml:space="preserve">relapsed/refractory </w:t>
      </w:r>
      <w:r w:rsidR="006E5490" w:rsidRPr="00005B53">
        <w:rPr>
          <w:noProof/>
          <w:color w:val="auto"/>
        </w:rPr>
        <w:t xml:space="preserve">adult </w:t>
      </w:r>
      <w:r w:rsidR="004955BF" w:rsidRPr="00005B53">
        <w:rPr>
          <w:noProof/>
          <w:color w:val="auto"/>
        </w:rPr>
        <w:t>B-</w:t>
      </w:r>
      <w:r w:rsidRPr="00005B53">
        <w:rPr>
          <w:noProof/>
          <w:color w:val="auto"/>
        </w:rPr>
        <w:t>ALL</w:t>
      </w:r>
      <w:r w:rsidR="00C225D8" w:rsidRPr="00005B53">
        <w:rPr>
          <w:noProof/>
          <w:color w:val="auto"/>
        </w:rPr>
        <w:t xml:space="preserve"> with TECARTUS available</w:t>
      </w:r>
    </w:p>
    <w:p w14:paraId="48F9C170" w14:textId="6396CCF1" w:rsidR="0034112E" w:rsidRDefault="0034112E" w:rsidP="00C225D8">
      <w:pPr>
        <w:spacing w:before="0" w:after="0"/>
        <w:rPr>
          <w:bCs/>
          <w:sz w:val="16"/>
          <w:szCs w:val="16"/>
        </w:rPr>
      </w:pPr>
      <w:r w:rsidRPr="0034112E">
        <w:rPr>
          <w:noProof/>
        </w:rPr>
        <w:drawing>
          <wp:inline distT="0" distB="0" distL="0" distR="0" wp14:anchorId="2B4137BB" wp14:editId="22DC3BF5">
            <wp:extent cx="6429478" cy="3398520"/>
            <wp:effectExtent l="0" t="0" r="9525" b="0"/>
            <wp:docPr id="6" name="Picture 6" descr="Figure 4: Proposed treatment algorithm for relapsed/refractory adult B-ALL with TECARTU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4: Proposed treatment algorithm for relapsed/refractory adult B-ALL with TECARTUS available"/>
                    <pic:cNvPicPr/>
                  </pic:nvPicPr>
                  <pic:blipFill>
                    <a:blip r:embed="rId16"/>
                    <a:stretch>
                      <a:fillRect/>
                    </a:stretch>
                  </pic:blipFill>
                  <pic:spPr>
                    <a:xfrm>
                      <a:off x="0" y="0"/>
                      <a:ext cx="6432151" cy="3399933"/>
                    </a:xfrm>
                    <a:prstGeom prst="rect">
                      <a:avLst/>
                    </a:prstGeom>
                  </pic:spPr>
                </pic:pic>
              </a:graphicData>
            </a:graphic>
          </wp:inline>
        </w:drawing>
      </w:r>
    </w:p>
    <w:p w14:paraId="0B46DB8B" w14:textId="77777777" w:rsidR="0034112E" w:rsidRDefault="0034112E" w:rsidP="00C225D8">
      <w:pPr>
        <w:spacing w:before="0" w:after="0"/>
        <w:rPr>
          <w:bCs/>
          <w:sz w:val="16"/>
          <w:szCs w:val="16"/>
        </w:rPr>
      </w:pPr>
    </w:p>
    <w:p w14:paraId="4D6303DA" w14:textId="307ECB37" w:rsidR="00C225D8" w:rsidRPr="00005B53" w:rsidRDefault="00C225D8" w:rsidP="00C225D8">
      <w:pPr>
        <w:spacing w:before="0" w:after="0"/>
        <w:rPr>
          <w:bCs/>
          <w:sz w:val="16"/>
          <w:szCs w:val="16"/>
        </w:rPr>
      </w:pPr>
      <w:r w:rsidRPr="00EB552D">
        <w:rPr>
          <w:bCs/>
          <w:sz w:val="16"/>
          <w:szCs w:val="16"/>
        </w:rPr>
        <w:t xml:space="preserve">Source: </w:t>
      </w:r>
      <w:r w:rsidRPr="00EB552D">
        <w:rPr>
          <w:bCs/>
          <w:sz w:val="16"/>
          <w:szCs w:val="16"/>
          <w:lang w:val="en-GB"/>
        </w:rPr>
        <w:t xml:space="preserve">Treatment options have been based on literature review, guidelines PBS listings and </w:t>
      </w:r>
      <w:r w:rsidRPr="00EB552D">
        <w:rPr>
          <w:bCs/>
          <w:sz w:val="16"/>
          <w:szCs w:val="16"/>
        </w:rPr>
        <w:t>National Health Reform Arrangements (NHRA) funding status for Kymriah</w:t>
      </w:r>
      <w:r w:rsidRPr="00EB552D">
        <w:rPr>
          <w:bCs/>
          <w:sz w:val="16"/>
          <w:szCs w:val="16"/>
          <w:lang w:val="en-GB"/>
        </w:rPr>
        <w:t xml:space="preserve">, ***If the patient has not responded to prior treatments with at least two TKIs, and there are no alternative treatment options available </w:t>
      </w:r>
      <w:r w:rsidRPr="00005B53">
        <w:rPr>
          <w:bCs/>
          <w:sz w:val="16"/>
          <w:szCs w:val="16"/>
          <w:lang w:val="en-GB"/>
        </w:rPr>
        <w:t>and Martino et. al., 2023</w:t>
      </w:r>
    </w:p>
    <w:p w14:paraId="1F3C636F" w14:textId="06B5B16F" w:rsidR="00C225D8" w:rsidRPr="00C225D8" w:rsidRDefault="00C225D8" w:rsidP="00C225D8">
      <w:pPr>
        <w:spacing w:before="0" w:after="0"/>
        <w:rPr>
          <w:bCs/>
          <w:sz w:val="16"/>
          <w:szCs w:val="16"/>
        </w:rPr>
      </w:pPr>
      <w:r w:rsidRPr="00EB552D">
        <w:rPr>
          <w:bCs/>
          <w:sz w:val="16"/>
          <w:szCs w:val="16"/>
        </w:rPr>
        <w:t xml:space="preserve">Abbreviations: </w:t>
      </w:r>
      <w:r w:rsidRPr="00EB552D">
        <w:rPr>
          <w:bCs/>
          <w:sz w:val="16"/>
          <w:szCs w:val="16"/>
          <w:lang w:val="en-GB"/>
        </w:rPr>
        <w:t>ALL: Acute lymphoblastic leukaemia; allo-SCT: Allogeneic stem cell transplant; MRD+/-: Minimal residual disease positive/negative; Ph: Philadelphia chromosome; TKI: Tyrosine kinase inhibitor</w:t>
      </w:r>
    </w:p>
    <w:p w14:paraId="6D1DBF55" w14:textId="7A5EBB17" w:rsidR="00C225D8" w:rsidRDefault="00C225D8" w:rsidP="00E721B1">
      <w:pPr>
        <w:ind w:left="426"/>
        <w:sectPr w:rsidR="00C225D8" w:rsidSect="0094638C">
          <w:pgSz w:w="11906" w:h="16838"/>
          <w:pgMar w:top="1440" w:right="1440" w:bottom="1440" w:left="1440" w:header="708" w:footer="708" w:gutter="0"/>
          <w:cols w:space="708"/>
          <w:docGrid w:linePitch="360"/>
        </w:sectPr>
      </w:pPr>
    </w:p>
    <w:p w14:paraId="678934F3" w14:textId="77777777" w:rsidR="00D508E4" w:rsidRPr="0047363C" w:rsidRDefault="00D508E4" w:rsidP="00E721B1">
      <w:pPr>
        <w:ind w:left="426"/>
      </w:pPr>
    </w:p>
    <w:p w14:paraId="7C9FB8C8" w14:textId="77777777" w:rsidR="00095B45" w:rsidRPr="00095B45" w:rsidRDefault="00095B45" w:rsidP="00095B45">
      <w:pPr>
        <w:pStyle w:val="Subtitle"/>
      </w:pPr>
      <w:r w:rsidRPr="00095B45">
        <w:t>PART 6d – INFORMATION ABOUT CLINICAL OUTCOMES</w:t>
      </w:r>
    </w:p>
    <w:p w14:paraId="1680DBCD" w14:textId="77777777" w:rsidR="004E3CC7" w:rsidRPr="001B29A1" w:rsidRDefault="0070256F" w:rsidP="00530204">
      <w:pPr>
        <w:pStyle w:val="Heading2"/>
      </w:pPr>
      <w:r>
        <w:t>Summa</w:t>
      </w:r>
      <w:r w:rsidR="004E3CC7" w:rsidRPr="001B29A1">
        <w:t>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73CC766B" w14:textId="3C9CD4E4" w:rsidR="00F0259A" w:rsidRDefault="007E2BC5" w:rsidP="00F27DFF">
      <w:pPr>
        <w:ind w:left="426"/>
      </w:pPr>
      <w:r>
        <w:t xml:space="preserve">Brexucabtagene autoleucel is superior in terms of effectiveness in adult </w:t>
      </w:r>
      <w:r w:rsidRPr="00005B53">
        <w:t>patients (≥</w:t>
      </w:r>
      <w:r w:rsidR="00C225D8" w:rsidRPr="00005B53">
        <w:t>26</w:t>
      </w:r>
      <w:r w:rsidRPr="00005B53">
        <w:t xml:space="preserve"> years </w:t>
      </w:r>
      <w:r>
        <w:t>of age) with r</w:t>
      </w:r>
      <w:r w:rsidRPr="00727401">
        <w:t>elapsed or</w:t>
      </w:r>
      <w:r>
        <w:t xml:space="preserve"> </w:t>
      </w:r>
      <w:r w:rsidRPr="00727401">
        <w:t>refractory disease</w:t>
      </w:r>
      <w:r>
        <w:t xml:space="preserve"> </w:t>
      </w:r>
      <w:r w:rsidRPr="00746D2E">
        <w:t>B-precursor acute lymphoblastic leukaemia</w:t>
      </w:r>
      <w:r>
        <w:t xml:space="preserve"> (B-ALL). </w:t>
      </w:r>
    </w:p>
    <w:p w14:paraId="2EA6E30A" w14:textId="77777777" w:rsidR="003F56B8" w:rsidRDefault="00DD25D0" w:rsidP="00816CF4">
      <w:pPr>
        <w:ind w:left="426"/>
      </w:pPr>
      <w:r>
        <w:t xml:space="preserve">In the </w:t>
      </w:r>
      <w:r w:rsidR="0068418D">
        <w:t>pivotal</w:t>
      </w:r>
      <w:r>
        <w:t xml:space="preserve"> ZUMA-3 study, t</w:t>
      </w:r>
      <w:r w:rsidR="00F0259A" w:rsidRPr="00F0259A">
        <w:t xml:space="preserve">he primary efficacy endpoint </w:t>
      </w:r>
      <w:proofErr w:type="gramStart"/>
      <w:r w:rsidR="00F0259A" w:rsidRPr="00F0259A">
        <w:t>was met</w:t>
      </w:r>
      <w:proofErr w:type="gramEnd"/>
      <w:r w:rsidR="00F0259A" w:rsidRPr="00F0259A">
        <w:t xml:space="preserve">: the </w:t>
      </w:r>
      <w:r>
        <w:t>overall complete remission</w:t>
      </w:r>
      <w:r w:rsidR="00FB0F45">
        <w:t xml:space="preserve"> or complete remission with incomplete haematological recovery</w:t>
      </w:r>
      <w:r>
        <w:t xml:space="preserve"> </w:t>
      </w:r>
      <w:r w:rsidR="00F0259A" w:rsidRPr="00F0259A">
        <w:t>(CR+CRi) rate of 70.9% in the Phase 2 m</w:t>
      </w:r>
      <w:r w:rsidR="00FB0F45">
        <w:t xml:space="preserve">odified </w:t>
      </w:r>
      <w:r w:rsidR="00F0259A" w:rsidRPr="00F0259A">
        <w:t>ITT</w:t>
      </w:r>
      <w:r w:rsidR="00FB0F45">
        <w:t xml:space="preserve"> (mITT)</w:t>
      </w:r>
      <w:r w:rsidR="00F0259A" w:rsidRPr="00F0259A">
        <w:t xml:space="preserve"> analysis set was significantly greater (p&lt; 0.0001) than the prespecified historical control rate of 40% at a 1-sided alpha level of 0.025. The </w:t>
      </w:r>
      <w:r>
        <w:t>complete remission (</w:t>
      </w:r>
      <w:r w:rsidR="00F0259A" w:rsidRPr="00F0259A">
        <w:t>CR</w:t>
      </w:r>
      <w:r>
        <w:t>)</w:t>
      </w:r>
      <w:r w:rsidR="00F0259A" w:rsidRPr="00F0259A">
        <w:t xml:space="preserve"> rate in the mITT analysis set was 56.4%. The overall MRD</w:t>
      </w:r>
      <w:r w:rsidR="00F0259A" w:rsidRPr="00F0259A">
        <w:rPr>
          <w:vertAlign w:val="superscript"/>
        </w:rPr>
        <w:t>−</w:t>
      </w:r>
      <w:r w:rsidR="00F0259A" w:rsidRPr="00F0259A">
        <w:t xml:space="preserve"> rate in the mITT analysis set was 76%, which was significantly greater (p&lt; 0.0001) than the prespecified control rate of 30%; thus, the secondary efficacy endpoint </w:t>
      </w:r>
      <w:proofErr w:type="gramStart"/>
      <w:r w:rsidR="00F0259A" w:rsidRPr="00F0259A">
        <w:t>was also met</w:t>
      </w:r>
      <w:proofErr w:type="gramEnd"/>
      <w:r w:rsidR="00F0259A" w:rsidRPr="00F0259A">
        <w:t>. Among subjects who achieved a CR or CRi, the MRD</w:t>
      </w:r>
      <w:r w:rsidR="00AC538C">
        <w:t xml:space="preserve"> negative </w:t>
      </w:r>
      <w:r w:rsidR="00F0259A" w:rsidRPr="00F0259A">
        <w:t>rate was 97%.</w:t>
      </w:r>
      <w:r w:rsidR="00CE671A">
        <w:t xml:space="preserve"> </w:t>
      </w:r>
    </w:p>
    <w:p w14:paraId="5ED7D9F8" w14:textId="0EE2C1BD" w:rsidR="00816CF4" w:rsidRDefault="00CE671A" w:rsidP="00816CF4">
      <w:pPr>
        <w:ind w:left="426"/>
      </w:pPr>
      <w:r w:rsidRPr="0003034F">
        <w:t xml:space="preserve">KM estimates of </w:t>
      </w:r>
      <w:r w:rsidR="003F56B8">
        <w:t>overall survival (</w:t>
      </w:r>
      <w:r w:rsidRPr="0003034F">
        <w:t>OS</w:t>
      </w:r>
      <w:r w:rsidR="003F56B8">
        <w:t>)</w:t>
      </w:r>
      <w:r w:rsidRPr="0003034F">
        <w:t xml:space="preserve"> at 12 and 18 months were 71.4% (95% CI: 57.0%, 81.7%) and 58.6% (95% CI: 41.8%, 72.1%),</w:t>
      </w:r>
      <w:r>
        <w:t xml:space="preserve"> </w:t>
      </w:r>
      <w:r w:rsidRPr="0003034F">
        <w:t>respectively. The KM median OS was 18.2 months (95% CI:</w:t>
      </w:r>
      <w:r>
        <w:t xml:space="preserve"> </w:t>
      </w:r>
      <w:r w:rsidRPr="0003034F">
        <w:t>15.9 months, NE)</w:t>
      </w:r>
      <w:r>
        <w:t xml:space="preserve">. </w:t>
      </w:r>
      <w:r w:rsidR="00816CF4" w:rsidRPr="0003034F">
        <w:t xml:space="preserve">The KM median OS </w:t>
      </w:r>
      <w:proofErr w:type="gramStart"/>
      <w:r w:rsidR="00816CF4" w:rsidRPr="0003034F">
        <w:t>was not reached</w:t>
      </w:r>
      <w:proofErr w:type="gramEnd"/>
      <w:r w:rsidR="00816CF4" w:rsidRPr="0003034F">
        <w:t xml:space="preserve"> (95% CI: 16.2 months, NE) for subjects with CR or CRi</w:t>
      </w:r>
      <w:r w:rsidR="00816CF4">
        <w:t xml:space="preserve"> and for </w:t>
      </w:r>
      <w:r w:rsidR="00816CF4" w:rsidRPr="0003034F">
        <w:t>subjects who were MRD</w:t>
      </w:r>
      <w:r w:rsidR="00816CF4" w:rsidRPr="0003034F">
        <w:rPr>
          <w:vertAlign w:val="superscript"/>
        </w:rPr>
        <w:t>−</w:t>
      </w:r>
      <w:r w:rsidR="00816CF4" w:rsidRPr="0003034F">
        <w:t xml:space="preserve"> </w:t>
      </w:r>
    </w:p>
    <w:p w14:paraId="0FD7A65F" w14:textId="502C0192" w:rsidR="00242A01" w:rsidRDefault="00252BF3" w:rsidP="00816CF4">
      <w:pPr>
        <w:ind w:left="426"/>
      </w:pPr>
      <w:r>
        <w:t xml:space="preserve">The safety profile was manageable. </w:t>
      </w:r>
      <w:r w:rsidR="00E721B1" w:rsidRPr="00E721B1">
        <w:t xml:space="preserve">The most common adverse events of grade 3 or higher were anaemia (27 [49%] patients) and pyrexia (20 [36%] patients). </w:t>
      </w:r>
      <w:r w:rsidR="00E721B1">
        <w:t xml:space="preserve">A total of </w:t>
      </w:r>
      <w:r w:rsidR="00E721B1" w:rsidRPr="00E721B1">
        <w:t xml:space="preserve">14 (25%) patients had infections of grade 3 or higher. Two grade 5 </w:t>
      </w:r>
      <w:r w:rsidR="00E721B1">
        <w:t>brexucabtagene</w:t>
      </w:r>
      <w:r w:rsidR="00E721B1" w:rsidRPr="00E721B1">
        <w:t xml:space="preserve">-related events occurred (brain herniation and septic shock). Cytokine release syndrome of grade 3 or higher occurred in 13 (24%) patients and neurological events of grade 3 or higher occurred in 14 (25%) patients. </w:t>
      </w:r>
    </w:p>
    <w:p w14:paraId="08C6B2FD" w14:textId="0D6E922A" w:rsidR="00FA3FD2" w:rsidRPr="00005B53" w:rsidRDefault="00E2732F" w:rsidP="00816CF4">
      <w:pPr>
        <w:ind w:left="426"/>
      </w:pPr>
      <w:r w:rsidRPr="00005B53">
        <w:t xml:space="preserve">Updated efficacy outcomes for the 33-month follow-up for the treated subjects in Phase 1/2 mITT analysis set were consistent with the data presented in the Primary Analysis </w:t>
      </w:r>
      <w:r w:rsidR="00FA3FD2" w:rsidRPr="00005B53">
        <w:t>(9</w:t>
      </w:r>
      <w:r w:rsidR="00FA3FD2" w:rsidRPr="00005B53">
        <w:rPr>
          <w:vertAlign w:val="superscript"/>
        </w:rPr>
        <w:t>th</w:t>
      </w:r>
      <w:r w:rsidR="00FA3FD2" w:rsidRPr="00005B53">
        <w:t xml:space="preserve"> February 2021) </w:t>
      </w:r>
      <w:r w:rsidRPr="00005B53">
        <w:t>and the Updated 21</w:t>
      </w:r>
      <w:r w:rsidR="009152E2" w:rsidRPr="00005B53">
        <w:t>-</w:t>
      </w:r>
      <w:r w:rsidRPr="00005B53">
        <w:t>month analysis</w:t>
      </w:r>
      <w:r w:rsidR="00FA3FD2" w:rsidRPr="00005B53">
        <w:t xml:space="preserve"> (2</w:t>
      </w:r>
      <w:r w:rsidR="00FA3FD2" w:rsidRPr="00005B53">
        <w:rPr>
          <w:vertAlign w:val="superscript"/>
        </w:rPr>
        <w:t>nd</w:t>
      </w:r>
      <w:r w:rsidR="00FA3FD2" w:rsidRPr="00005B53">
        <w:t xml:space="preserve"> May 2022)</w:t>
      </w:r>
      <w:r w:rsidRPr="00005B53">
        <w:t xml:space="preserve">. </w:t>
      </w:r>
    </w:p>
    <w:p w14:paraId="41FC2E03" w14:textId="5FC815AC" w:rsidR="00FA3FD2" w:rsidRPr="00005B53" w:rsidRDefault="00E2732F" w:rsidP="00816CF4">
      <w:pPr>
        <w:ind w:left="426"/>
      </w:pPr>
      <w:r w:rsidRPr="00005B53">
        <w:t>Updated efficacy outcomes for the 33-month follow-up for the combined Phase</w:t>
      </w:r>
      <w:r w:rsidR="009152E2" w:rsidRPr="00005B53">
        <w:t xml:space="preserve"> 1/</w:t>
      </w:r>
      <w:r w:rsidRPr="00005B53">
        <w:t>2</w:t>
      </w:r>
      <w:r w:rsidR="009152E2" w:rsidRPr="00005B53">
        <w:t xml:space="preserve"> </w:t>
      </w:r>
      <w:r w:rsidRPr="00005B53">
        <w:t>subjects were consistent with the data presented in the 21</w:t>
      </w:r>
      <w:r w:rsidR="009152E2" w:rsidRPr="00005B53">
        <w:t>-</w:t>
      </w:r>
      <w:r w:rsidRPr="00005B53">
        <w:t xml:space="preserve">month </w:t>
      </w:r>
      <w:r w:rsidR="00FA3FD2" w:rsidRPr="00005B53">
        <w:t>analysis presented in ADAR 1732</w:t>
      </w:r>
      <w:r w:rsidRPr="00005B53">
        <w:t xml:space="preserve">. </w:t>
      </w:r>
    </w:p>
    <w:p w14:paraId="35466D06" w14:textId="19F452B6" w:rsidR="00FA3FD2" w:rsidRPr="00005B53" w:rsidRDefault="00E2732F" w:rsidP="00816CF4">
      <w:pPr>
        <w:ind w:left="426"/>
      </w:pPr>
      <w:r w:rsidRPr="00005B53">
        <w:t xml:space="preserve">Updated safety outcomes </w:t>
      </w:r>
      <w:r w:rsidR="009152E2" w:rsidRPr="00005B53">
        <w:t xml:space="preserve">for </w:t>
      </w:r>
      <w:r w:rsidRPr="00005B53">
        <w:t>the 33-month follow-up were consistent with the 21-month follow-up analysis</w:t>
      </w:r>
      <w:r w:rsidR="009152E2" w:rsidRPr="00005B53">
        <w:t xml:space="preserve"> presented in ADAR 1732</w:t>
      </w:r>
      <w:r w:rsidRPr="00005B53">
        <w:t xml:space="preserve">. </w:t>
      </w:r>
    </w:p>
    <w:p w14:paraId="36CE8D21" w14:textId="638D0943" w:rsidR="00F84675" w:rsidRPr="00005B53" w:rsidRDefault="00F84675" w:rsidP="00F84675">
      <w:pPr>
        <w:ind w:left="426"/>
      </w:pPr>
      <w:r w:rsidRPr="00005B53">
        <w:t>ZUMA-3 Phase 1</w:t>
      </w:r>
      <w:r w:rsidR="009152E2" w:rsidRPr="00005B53">
        <w:t>/</w:t>
      </w:r>
      <w:r w:rsidRPr="00005B53">
        <w:t>2, n=78 in mITT (Primary analysis, 21</w:t>
      </w:r>
      <w:r w:rsidR="009152E2" w:rsidRPr="00005B53">
        <w:t>-</w:t>
      </w:r>
      <w:r w:rsidRPr="00005B53">
        <w:t>month analysis, 33</w:t>
      </w:r>
      <w:r w:rsidR="009152E2" w:rsidRPr="00005B53">
        <w:t>-</w:t>
      </w:r>
      <w:r w:rsidRPr="00005B53">
        <w:t>month analysis)</w:t>
      </w:r>
    </w:p>
    <w:p w14:paraId="16D40802" w14:textId="5A8C0523" w:rsidR="00F84675" w:rsidRPr="00005B53" w:rsidRDefault="00F84675" w:rsidP="00F84675">
      <w:pPr>
        <w:ind w:left="426"/>
      </w:pPr>
      <w:r w:rsidRPr="00005B53">
        <w:t>ZUMA-3 Phase 1</w:t>
      </w:r>
      <w:r w:rsidR="009152E2" w:rsidRPr="00005B53">
        <w:t>/</w:t>
      </w:r>
      <w:r w:rsidRPr="00005B53">
        <w:t>2, n=63 in mITT (33</w:t>
      </w:r>
      <w:r w:rsidR="009152E2" w:rsidRPr="00005B53">
        <w:t>-</w:t>
      </w:r>
      <w:r w:rsidRPr="00005B53">
        <w:t xml:space="preserve">month analysis for </w:t>
      </w:r>
      <w:r w:rsidRPr="00005B53">
        <w:rPr>
          <w:u w:val="single"/>
        </w:rPr>
        <w:t>&gt;</w:t>
      </w:r>
      <w:r w:rsidRPr="00005B53">
        <w:t>26 years old patient group)</w:t>
      </w:r>
    </w:p>
    <w:p w14:paraId="0E922824" w14:textId="77777777" w:rsidR="00B87234" w:rsidRPr="00F0259A" w:rsidRDefault="00B87234" w:rsidP="00F84675"/>
    <w:p w14:paraId="1F7A3985" w14:textId="77777777" w:rsidR="004E3CC7" w:rsidRDefault="0047363C" w:rsidP="00943A5E">
      <w:pPr>
        <w:pStyle w:val="Heading2"/>
      </w:pPr>
      <w:r w:rsidRPr="0047363C">
        <w:t>Please state what the overall clinical claim is</w:t>
      </w:r>
      <w:r>
        <w:t>:</w:t>
      </w:r>
    </w:p>
    <w:p w14:paraId="73E77DFC" w14:textId="4D49EB8C" w:rsidR="00242A01" w:rsidRPr="00005B53" w:rsidRDefault="00491AAE" w:rsidP="00F1460E">
      <w:pPr>
        <w:ind w:left="426"/>
        <w:rPr>
          <w:noProof/>
        </w:rPr>
      </w:pPr>
      <w:r w:rsidRPr="00005B53">
        <w:rPr>
          <w:noProof/>
        </w:rPr>
        <w:t>Brexucabtagene autoleucel is clinically s</w:t>
      </w:r>
      <w:r w:rsidR="00A810A5" w:rsidRPr="00005B53">
        <w:rPr>
          <w:noProof/>
        </w:rPr>
        <w:t>uperior</w:t>
      </w:r>
      <w:r w:rsidRPr="00005B53">
        <w:rPr>
          <w:noProof/>
        </w:rPr>
        <w:t xml:space="preserve"> to current standard of care in the treatment of </w:t>
      </w:r>
      <w:r w:rsidR="00C06363" w:rsidRPr="00005B53">
        <w:rPr>
          <w:noProof/>
        </w:rPr>
        <w:t xml:space="preserve">relapsed or refractory adult </w:t>
      </w:r>
      <w:r w:rsidR="00FA3FD2" w:rsidRPr="00005B53">
        <w:rPr>
          <w:noProof/>
        </w:rPr>
        <w:t>(</w:t>
      </w:r>
      <w:r w:rsidR="00FA3FD2" w:rsidRPr="00005B53">
        <w:rPr>
          <w:szCs w:val="20"/>
        </w:rPr>
        <w:t xml:space="preserve">≥26 </w:t>
      </w:r>
      <w:r w:rsidR="00C06363" w:rsidRPr="00005B53">
        <w:rPr>
          <w:noProof/>
        </w:rPr>
        <w:t xml:space="preserve">years old) ALL </w:t>
      </w:r>
      <w:r w:rsidRPr="00005B53">
        <w:rPr>
          <w:noProof/>
        </w:rPr>
        <w:t xml:space="preserve">with comparable safety profile.  </w:t>
      </w:r>
      <w:r w:rsidR="00A810A5" w:rsidRPr="00005B53">
        <w:rPr>
          <w:noProof/>
        </w:rPr>
        <w:t xml:space="preserve"> </w:t>
      </w:r>
    </w:p>
    <w:p w14:paraId="53D5937E" w14:textId="77777777" w:rsidR="00B87234" w:rsidRPr="0047363C" w:rsidRDefault="00B87234" w:rsidP="00F1460E">
      <w:pPr>
        <w:ind w:left="426"/>
        <w:rPr>
          <w:noProof/>
        </w:rPr>
      </w:pPr>
    </w:p>
    <w:p w14:paraId="798672E6" w14:textId="6534B72C" w:rsidR="0096066E" w:rsidRDefault="00E6222F" w:rsidP="000511B3">
      <w:pPr>
        <w:pStyle w:val="Heading2"/>
      </w:pPr>
      <w:r w:rsidRPr="00E6222F">
        <w:t xml:space="preserve">List the key health outcomes (major and minor – prioritising major key health outcomes first) that will need to </w:t>
      </w:r>
      <w:proofErr w:type="gramStart"/>
      <w:r w:rsidRPr="00E6222F">
        <w:t>be measured</w:t>
      </w:r>
      <w:proofErr w:type="gramEnd"/>
      <w:r w:rsidRPr="00E6222F">
        <w:t xml:space="preserve"> in assessing the clinical claim for the proposed </w:t>
      </w:r>
      <w:r w:rsidR="00CD6981">
        <w:t xml:space="preserve">medical </w:t>
      </w:r>
      <w:r w:rsidRPr="00E6222F">
        <w:t>service/technology (versus the comparator)</w:t>
      </w:r>
      <w:r w:rsidR="00CD6981">
        <w:t>:</w:t>
      </w:r>
      <w:r w:rsidR="00700D33">
        <w:t xml:space="preserve"> - see also </w:t>
      </w:r>
      <w:r w:rsidR="00700D33" w:rsidRPr="00E651F5">
        <w:t xml:space="preserve">Table </w:t>
      </w:r>
      <w:r w:rsidR="00700D33">
        <w:rPr>
          <w:noProof/>
        </w:rPr>
        <w:t>8</w:t>
      </w:r>
      <w:r w:rsidR="00700D33">
        <w:t xml:space="preserve"> – Summary of Proposed PICO Criteria</w:t>
      </w:r>
    </w:p>
    <w:p w14:paraId="186CC675" w14:textId="4B7F9C9B" w:rsidR="000511B3" w:rsidRPr="004F0CEF" w:rsidRDefault="0096066E" w:rsidP="004F0CEF">
      <w:pPr>
        <w:ind w:left="360"/>
        <w:rPr>
          <w:b/>
        </w:rPr>
      </w:pPr>
      <w:r w:rsidRPr="004F0CEF">
        <w:rPr>
          <w:b/>
        </w:rPr>
        <w:t>Clinical Effectiveness Outcomes:</w:t>
      </w:r>
    </w:p>
    <w:p w14:paraId="7351D7FC" w14:textId="11B58E35"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O</w:t>
      </w:r>
      <w:r w:rsidRPr="000511B3">
        <w:t xml:space="preserve">verall complete remission or complete remission with incomplete haematological recovery </w:t>
      </w:r>
      <w:r>
        <w:t xml:space="preserve">(CR+CRi) per </w:t>
      </w:r>
      <w:r w:rsidR="0047322B">
        <w:t>central assessment</w:t>
      </w:r>
    </w:p>
    <w:p w14:paraId="49B57CF2" w14:textId="64A2EC0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C</w:t>
      </w:r>
      <w:r w:rsidRPr="000511B3">
        <w:t xml:space="preserve">entralised minimal residual disease negativity </w:t>
      </w:r>
      <w:r w:rsidR="00F0259A">
        <w:t>(</w:t>
      </w:r>
      <w:r w:rsidR="00F0259A" w:rsidRPr="000511B3">
        <w:t>MRD</w:t>
      </w:r>
      <w:r w:rsidR="00F0259A" w:rsidRPr="00F0259A">
        <w:rPr>
          <w:vertAlign w:val="superscript"/>
        </w:rPr>
        <w:t>−</w:t>
      </w:r>
      <w:r w:rsidR="00F0259A">
        <w:t xml:space="preserve">) </w:t>
      </w:r>
      <w:r w:rsidRPr="000511B3">
        <w:t xml:space="preserve">rate </w:t>
      </w:r>
    </w:p>
    <w:p w14:paraId="322812A9" w14:textId="65BEE57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w:t>
      </w:r>
      <w:r w:rsidRPr="000511B3">
        <w:t>nvestigator-assessed rate of overall complete remission or complete remission with incomplete haematological recovery</w:t>
      </w:r>
      <w:r>
        <w:t xml:space="preserve"> (CR+CRi)</w:t>
      </w:r>
    </w:p>
    <w:p w14:paraId="718F40C1" w14:textId="1A666831"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D</w:t>
      </w:r>
      <w:r w:rsidRPr="000511B3">
        <w:t xml:space="preserve">uration of remission </w:t>
      </w:r>
      <w:r w:rsidR="0049490B">
        <w:t>(DOR)</w:t>
      </w:r>
    </w:p>
    <w:p w14:paraId="08E4B584" w14:textId="031237DE"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R</w:t>
      </w:r>
      <w:r w:rsidRPr="000511B3">
        <w:t>elapse-free survival with patients undergoing new anticancer therapies (including allo-SCT) censored</w:t>
      </w:r>
    </w:p>
    <w:p w14:paraId="5EFEB8D8" w14:textId="77777777"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lastRenderedPageBreak/>
        <w:t>O</w:t>
      </w:r>
      <w:r w:rsidRPr="000511B3">
        <w:t xml:space="preserve">verall survival; </w:t>
      </w:r>
      <w:r>
        <w:t xml:space="preserve">and </w:t>
      </w:r>
    </w:p>
    <w:p w14:paraId="14442C3E" w14:textId="03890212" w:rsidR="000511B3" w:rsidRDefault="000511B3"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A</w:t>
      </w:r>
      <w:r w:rsidRPr="000511B3">
        <w:t>llo-SCT rate</w:t>
      </w:r>
    </w:p>
    <w:p w14:paraId="1AC5F6DF" w14:textId="77777777" w:rsidR="00D242F1" w:rsidRPr="0096066E" w:rsidRDefault="00D242F1" w:rsidP="00D242F1">
      <w:pPr>
        <w:ind w:left="360"/>
      </w:pPr>
      <w:r>
        <w:rPr>
          <w:b/>
        </w:rPr>
        <w:t>Safety</w:t>
      </w:r>
      <w:r>
        <w:rPr>
          <w:b/>
          <w:spacing w:val="-3"/>
        </w:rPr>
        <w:t xml:space="preserve"> </w:t>
      </w:r>
      <w:r>
        <w:rPr>
          <w:b/>
        </w:rPr>
        <w:t>Outcomes:</w:t>
      </w:r>
    </w:p>
    <w:p w14:paraId="379C98BC"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Incidence</w:t>
      </w:r>
      <w:r w:rsidRPr="004F0CEF">
        <w:t xml:space="preserve"> </w:t>
      </w:r>
      <w:r>
        <w:t>of</w:t>
      </w:r>
      <w:r w:rsidRPr="004F0CEF">
        <w:t xml:space="preserve"> </w:t>
      </w:r>
      <w:r>
        <w:t>adverse</w:t>
      </w:r>
      <w:r w:rsidRPr="004F0CEF">
        <w:t xml:space="preserve"> </w:t>
      </w:r>
      <w:r>
        <w:t>events</w:t>
      </w:r>
      <w:r w:rsidRPr="004F0CEF">
        <w:t xml:space="preserve"> </w:t>
      </w:r>
      <w:r>
        <w:t>(AEs) and serious adverse events (SAEs)</w:t>
      </w:r>
    </w:p>
    <w:p w14:paraId="0D9C4854"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Incidence</w:t>
      </w:r>
      <w:r w:rsidRPr="004F0CEF">
        <w:t xml:space="preserve"> </w:t>
      </w:r>
      <w:r>
        <w:t>of</w:t>
      </w:r>
      <w:r w:rsidRPr="004F0CEF">
        <w:t xml:space="preserve"> </w:t>
      </w:r>
      <w:r>
        <w:t xml:space="preserve">AEs of special interest (cytopenia, cytokine release syndrome, neurotoxicity and infections) </w:t>
      </w:r>
    </w:p>
    <w:p w14:paraId="3F8F84CC" w14:textId="77777777" w:rsidR="00D242F1" w:rsidRDefault="00D242F1" w:rsidP="00D242F1">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I</w:t>
      </w:r>
      <w:r w:rsidRPr="004F0CEF">
        <w:t>ncidence of anti-</w:t>
      </w:r>
      <w:r>
        <w:t xml:space="preserve">brexucabtagene autoleucel </w:t>
      </w:r>
      <w:r w:rsidRPr="004F0CEF">
        <w:t>antibodies</w:t>
      </w:r>
      <w:r>
        <w:t xml:space="preserve"> </w:t>
      </w:r>
    </w:p>
    <w:p w14:paraId="6BCAF1CF" w14:textId="77777777" w:rsidR="0096066E" w:rsidRPr="0096066E" w:rsidRDefault="0096066E" w:rsidP="0096066E">
      <w:pPr>
        <w:ind w:left="360"/>
        <w:rPr>
          <w:b/>
        </w:rPr>
      </w:pPr>
      <w:r w:rsidRPr="00D52506">
        <w:rPr>
          <w:b/>
        </w:rPr>
        <w:t>Other outcomes:</w:t>
      </w:r>
    </w:p>
    <w:p w14:paraId="2DC513E2" w14:textId="0B2E8BDA" w:rsidR="00242A01" w:rsidRDefault="00D52506" w:rsidP="00056F06">
      <w:pPr>
        <w:pStyle w:val="ListParagraph"/>
        <w:widowControl w:val="0"/>
        <w:numPr>
          <w:ilvl w:val="1"/>
          <w:numId w:val="17"/>
        </w:numPr>
        <w:tabs>
          <w:tab w:val="left" w:pos="1074"/>
          <w:tab w:val="left" w:pos="1075"/>
        </w:tabs>
        <w:autoSpaceDE w:val="0"/>
        <w:autoSpaceDN w:val="0"/>
        <w:spacing w:before="0" w:after="0" w:line="244" w:lineRule="exact"/>
        <w:ind w:hanging="317"/>
        <w:contextualSpacing w:val="0"/>
      </w:pPr>
      <w:r>
        <w:t>P</w:t>
      </w:r>
      <w:r w:rsidRPr="004F0CEF">
        <w:t xml:space="preserve">atient-reported outcomes measured by EQ-5D-5L and visual analogue scale (VAS) scores </w:t>
      </w:r>
    </w:p>
    <w:p w14:paraId="264DCCBE" w14:textId="0D870F19" w:rsidR="00D52506" w:rsidRPr="00D52506" w:rsidRDefault="00D52506" w:rsidP="00D52506">
      <w:pPr>
        <w:ind w:left="360"/>
        <w:rPr>
          <w:b/>
        </w:rPr>
      </w:pPr>
      <w:r>
        <w:rPr>
          <w:b/>
        </w:rPr>
        <w:t>Exploratory</w:t>
      </w:r>
      <w:r w:rsidRPr="00D52506">
        <w:rPr>
          <w:b/>
        </w:rPr>
        <w:t xml:space="preserve"> outcomes:</w:t>
      </w:r>
    </w:p>
    <w:p w14:paraId="24F4D797" w14:textId="504AF7F7" w:rsidR="00D66A77" w:rsidRPr="00D66A77" w:rsidRDefault="004F0CEF" w:rsidP="00242A01">
      <w:pPr>
        <w:pStyle w:val="ListParagraph"/>
        <w:widowControl w:val="0"/>
        <w:numPr>
          <w:ilvl w:val="1"/>
          <w:numId w:val="17"/>
        </w:numPr>
        <w:tabs>
          <w:tab w:val="left" w:pos="1074"/>
          <w:tab w:val="left" w:pos="1075"/>
        </w:tabs>
        <w:autoSpaceDE w:val="0"/>
        <w:autoSpaceDN w:val="0"/>
        <w:spacing w:before="118" w:after="0"/>
        <w:ind w:right="1192"/>
        <w:contextualSpacing w:val="0"/>
      </w:pPr>
      <w:r>
        <w:t>L</w:t>
      </w:r>
      <w:r w:rsidRPr="004F0CEF">
        <w:t>evels of CAR</w:t>
      </w:r>
      <w:r w:rsidR="0047322B">
        <w:t>-</w:t>
      </w:r>
      <w:r w:rsidRPr="004F0CEF">
        <w:t>T cells in blood and cytokines in serum</w:t>
      </w:r>
      <w:r>
        <w:t xml:space="preserve"> </w:t>
      </w:r>
      <w:r w:rsidR="003433D1" w:rsidRPr="006E21E2">
        <w:rPr>
          <w:b/>
          <w:sz w:val="32"/>
        </w:rPr>
        <w:br w:type="page"/>
      </w:r>
    </w:p>
    <w:p w14:paraId="54A20730" w14:textId="5FFF8462" w:rsidR="00C776B1" w:rsidRPr="00C776B1" w:rsidRDefault="005C3AE7" w:rsidP="00D66A77">
      <w:pPr>
        <w:widowControl w:val="0"/>
        <w:tabs>
          <w:tab w:val="left" w:pos="1074"/>
          <w:tab w:val="left" w:pos="1075"/>
        </w:tabs>
        <w:autoSpaceDE w:val="0"/>
        <w:autoSpaceDN w:val="0"/>
        <w:spacing w:before="118" w:after="0"/>
        <w:ind w:right="1192"/>
      </w:pPr>
      <w:r w:rsidRPr="00D66A77">
        <w:rPr>
          <w:bCs/>
          <w:color w:val="4F81BD" w:themeColor="accent1"/>
          <w:sz w:val="40"/>
          <w:szCs w:val="32"/>
        </w:rPr>
        <w:lastRenderedPageBreak/>
        <w:t>PART 7</w:t>
      </w:r>
      <w:r w:rsidR="00F93784" w:rsidRPr="00D66A77">
        <w:rPr>
          <w:bCs/>
          <w:color w:val="4F81BD" w:themeColor="accent1"/>
          <w:sz w:val="40"/>
          <w:szCs w:val="32"/>
        </w:rPr>
        <w:t xml:space="preserve"> – </w:t>
      </w:r>
      <w:r w:rsidR="006C74B1" w:rsidRPr="00D66A77">
        <w:rPr>
          <w:bCs/>
          <w:color w:val="4F81BD" w:themeColor="accent1"/>
          <w:sz w:val="40"/>
          <w:szCs w:val="32"/>
        </w:rPr>
        <w:t xml:space="preserve">INFORMATION ABOUT </w:t>
      </w:r>
      <w:r w:rsidR="0018630F" w:rsidRPr="00D66A77">
        <w:rPr>
          <w:bCs/>
          <w:color w:val="4F81BD" w:themeColor="accent1"/>
          <w:sz w:val="40"/>
          <w:szCs w:val="32"/>
        </w:rPr>
        <w:t xml:space="preserve">ESTIMATED </w:t>
      </w:r>
      <w:r w:rsidR="00974D50" w:rsidRPr="00D66A77">
        <w:rPr>
          <w:bCs/>
          <w:color w:val="4F81BD" w:themeColor="accent1"/>
          <w:sz w:val="40"/>
          <w:szCs w:val="32"/>
        </w:rPr>
        <w:t>UTILISATION</w:t>
      </w:r>
    </w:p>
    <w:p w14:paraId="66FA926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w:t>
      </w:r>
      <w:r w:rsidR="00C16877">
        <w:t xml:space="preserve"> the condition in</w:t>
      </w:r>
      <w:r w:rsidR="00974D50" w:rsidRPr="00092580">
        <w:t xml:space="preserve"> </w:t>
      </w:r>
      <w:r w:rsidR="00AE1188">
        <w:t>the proposed population:</w:t>
      </w:r>
    </w:p>
    <w:p w14:paraId="3B29E7D8" w14:textId="4CD418E9" w:rsidR="007B7BDD" w:rsidRPr="00826E15" w:rsidRDefault="007B7BDD" w:rsidP="00287C14">
      <w:pPr>
        <w:ind w:left="426"/>
      </w:pPr>
      <w:r w:rsidRPr="00826E15">
        <w:t xml:space="preserve">The age-standardised incidence of acute lymphoblastic leukaemia (ALL) in 2021 in Australia </w:t>
      </w:r>
      <w:proofErr w:type="gramStart"/>
      <w:r w:rsidRPr="00826E15">
        <w:t>is expected</w:t>
      </w:r>
      <w:proofErr w:type="gramEnd"/>
      <w:r w:rsidRPr="00826E15">
        <w:t xml:space="preserve"> to be 1.7 per 100,000 accounting for approximately 446 people expected to be diagnosed with ALL. </w:t>
      </w:r>
      <w:r w:rsidR="00492BCA" w:rsidRPr="00826E15">
        <w:t>The median age at diagnosis for ALL is 17 years old. The disease occurs with a bimodal age distribution, with 53.5% of patients diagnosed at younger than 20 years old and 29.6% of cases diagnosed in adult patients ≥ 45 years old and 13.7% of patients diagnosed at ≥ 65 years (</w:t>
      </w:r>
      <w:r w:rsidR="008A5E06" w:rsidRPr="00826E15">
        <w:t>NCCN 2021</w:t>
      </w:r>
      <w:r w:rsidR="007C0AAE" w:rsidRPr="00826E15">
        <w:rPr>
          <w:noProof/>
          <w:vertAlign w:val="superscript"/>
        </w:rPr>
        <w:t>3</w:t>
      </w:r>
      <w:r w:rsidR="00492BCA" w:rsidRPr="00826E15">
        <w:t>).</w:t>
      </w:r>
      <w:r w:rsidR="00287C14" w:rsidRPr="00826E15">
        <w:t xml:space="preserve"> </w:t>
      </w:r>
      <w:r w:rsidRPr="00826E15">
        <w:t>Precursor B-cell ALL (B-ALL) is the most common type in adults (</w:t>
      </w:r>
      <w:r w:rsidR="008B77F7" w:rsidRPr="00826E15">
        <w:t>Bassan et. al., 2019</w:t>
      </w:r>
      <w:r w:rsidR="007C0AAE" w:rsidRPr="00826E15">
        <w:rPr>
          <w:noProof/>
          <w:vertAlign w:val="superscript"/>
        </w:rPr>
        <w:t>5</w:t>
      </w:r>
      <w:r w:rsidRPr="00826E15">
        <w:t>) affecting 75%-80% of cases (</w:t>
      </w:r>
      <w:r w:rsidR="008B77F7" w:rsidRPr="00826E15">
        <w:t>Terwiliger et. al., 2017</w:t>
      </w:r>
      <w:r w:rsidR="007C0AAE" w:rsidRPr="00826E15">
        <w:rPr>
          <w:noProof/>
          <w:vertAlign w:val="superscript"/>
        </w:rPr>
        <w:t>4</w:t>
      </w:r>
      <w:r w:rsidRPr="00826E15">
        <w:t>; Leukaemia Foundation 2020</w:t>
      </w:r>
      <w:r w:rsidR="007C0AAE" w:rsidRPr="00826E15">
        <w:rPr>
          <w:noProof/>
          <w:vertAlign w:val="superscript"/>
        </w:rPr>
        <w:t>6</w:t>
      </w:r>
      <w:r w:rsidRPr="00826E15">
        <w:t>).</w:t>
      </w:r>
    </w:p>
    <w:p w14:paraId="72DA203D" w14:textId="4D9491C7" w:rsidR="00D448AB" w:rsidRPr="00005B53" w:rsidRDefault="00844544" w:rsidP="00E30A87">
      <w:pPr>
        <w:ind w:left="426"/>
      </w:pPr>
      <w:r w:rsidRPr="00005B53">
        <w:t>Age specific rate</w:t>
      </w:r>
      <w:r w:rsidR="00615721" w:rsidRPr="00005B53">
        <w:t>s</w:t>
      </w:r>
      <w:r w:rsidRPr="00005B53">
        <w:t xml:space="preserve"> </w:t>
      </w:r>
      <w:r w:rsidR="0064588C" w:rsidRPr="00005B53">
        <w:t>from the Australian Institute of Health and Welfare (AIHW)</w:t>
      </w:r>
      <w:r w:rsidR="00AC538C" w:rsidRPr="00005B53">
        <w:rPr>
          <w:rStyle w:val="FootnoteReference"/>
        </w:rPr>
        <w:footnoteReference w:id="6"/>
      </w:r>
      <w:r w:rsidR="0064588C" w:rsidRPr="00005B53">
        <w:t xml:space="preserve"> </w:t>
      </w:r>
      <w:r w:rsidR="00081837" w:rsidRPr="00005B53">
        <w:t xml:space="preserve">will </w:t>
      </w:r>
      <w:proofErr w:type="gramStart"/>
      <w:r w:rsidR="00081837" w:rsidRPr="00005B53">
        <w:t>be</w:t>
      </w:r>
      <w:r w:rsidRPr="00005B53">
        <w:t xml:space="preserve"> used</w:t>
      </w:r>
      <w:proofErr w:type="gramEnd"/>
      <w:r w:rsidRPr="00005B53">
        <w:t xml:space="preserve"> to estimate the </w:t>
      </w:r>
      <w:r w:rsidR="0064588C" w:rsidRPr="00005B53">
        <w:t xml:space="preserve">incidence </w:t>
      </w:r>
      <w:r w:rsidRPr="00005B53">
        <w:t xml:space="preserve">number of </w:t>
      </w:r>
      <w:r w:rsidR="00DD25D0" w:rsidRPr="00005B53">
        <w:t xml:space="preserve">adult </w:t>
      </w:r>
      <w:r w:rsidR="0064588C" w:rsidRPr="00005B53">
        <w:t xml:space="preserve">ALL </w:t>
      </w:r>
      <w:r w:rsidRPr="00005B53">
        <w:t>patients</w:t>
      </w:r>
      <w:r w:rsidR="00DD25D0" w:rsidRPr="00005B53">
        <w:t xml:space="preserve"> (≥ </w:t>
      </w:r>
      <w:r w:rsidR="00081837" w:rsidRPr="00005B53">
        <w:t>26</w:t>
      </w:r>
      <w:r w:rsidR="00DD25D0" w:rsidRPr="00005B53">
        <w:t xml:space="preserve"> years of age)</w:t>
      </w:r>
      <w:r w:rsidR="0064588C" w:rsidRPr="00005B53">
        <w:t xml:space="preserve">. </w:t>
      </w:r>
      <w:r w:rsidR="003F56B8" w:rsidRPr="00005B53">
        <w:t xml:space="preserve">Linear regression </w:t>
      </w:r>
      <w:r w:rsidR="00081837" w:rsidRPr="00005B53">
        <w:t xml:space="preserve">will </w:t>
      </w:r>
      <w:proofErr w:type="gramStart"/>
      <w:r w:rsidR="00081837" w:rsidRPr="00005B53">
        <w:t xml:space="preserve">be </w:t>
      </w:r>
      <w:r w:rsidR="003F56B8" w:rsidRPr="00005B53">
        <w:t>used</w:t>
      </w:r>
      <w:proofErr w:type="gramEnd"/>
      <w:r w:rsidR="003F56B8" w:rsidRPr="00005B53">
        <w:t xml:space="preserve"> to estimate the annual increase from Year 1 to Year 6. </w:t>
      </w:r>
    </w:p>
    <w:p w14:paraId="46CA8C7D" w14:textId="77777777" w:rsidR="00605149" w:rsidRPr="00605149" w:rsidRDefault="00605149" w:rsidP="00826E15">
      <w:pPr>
        <w:spacing w:before="0" w:after="0"/>
        <w:rPr>
          <w:sz w:val="16"/>
          <w:szCs w:val="16"/>
        </w:rPr>
      </w:pPr>
    </w:p>
    <w:p w14:paraId="4D32734E"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FC1607">
        <w:t>/technology</w:t>
      </w:r>
      <w:r w:rsidRPr="00154B00">
        <w:t xml:space="preserve"> would </w:t>
      </w:r>
      <w:proofErr w:type="gramStart"/>
      <w:r w:rsidRPr="00154B00">
        <w:t xml:space="preserve">be </w:t>
      </w:r>
      <w:r w:rsidR="00AE1188">
        <w:t>delivered</w:t>
      </w:r>
      <w:proofErr w:type="gramEnd"/>
      <w:r w:rsidR="00AE1188">
        <w:t xml:space="preserve"> to a patient per year:</w:t>
      </w:r>
    </w:p>
    <w:p w14:paraId="6EF664CF" w14:textId="61563880" w:rsidR="00166047" w:rsidRDefault="004F0CEF" w:rsidP="006946F3">
      <w:pPr>
        <w:ind w:left="426"/>
      </w:pPr>
      <w:r>
        <w:t>The</w:t>
      </w:r>
      <w:r>
        <w:rPr>
          <w:spacing w:val="-3"/>
        </w:rPr>
        <w:t xml:space="preserve"> </w:t>
      </w:r>
      <w:r>
        <w:t>proposed</w:t>
      </w:r>
      <w:r>
        <w:rPr>
          <w:spacing w:val="-3"/>
        </w:rPr>
        <w:t xml:space="preserve"> </w:t>
      </w:r>
      <w:r>
        <w:t>therapy</w:t>
      </w:r>
      <w:r>
        <w:rPr>
          <w:spacing w:val="-2"/>
        </w:rPr>
        <w:t xml:space="preserve"> </w:t>
      </w:r>
      <w:r>
        <w:t>involves</w:t>
      </w:r>
      <w:r>
        <w:rPr>
          <w:spacing w:val="-3"/>
        </w:rPr>
        <w:t xml:space="preserve"> </w:t>
      </w:r>
      <w:r>
        <w:t>the</w:t>
      </w:r>
      <w:r>
        <w:rPr>
          <w:spacing w:val="-3"/>
        </w:rPr>
        <w:t xml:space="preserve"> </w:t>
      </w:r>
      <w:r>
        <w:t>administration</w:t>
      </w:r>
      <w:r>
        <w:rPr>
          <w:spacing w:val="-2"/>
        </w:rPr>
        <w:t xml:space="preserve"> </w:t>
      </w:r>
      <w:r>
        <w:t>of</w:t>
      </w:r>
      <w:r>
        <w:rPr>
          <w:spacing w:val="-3"/>
        </w:rPr>
        <w:t xml:space="preserve"> </w:t>
      </w:r>
      <w:r>
        <w:t>a</w:t>
      </w:r>
      <w:r>
        <w:rPr>
          <w:spacing w:val="-3"/>
        </w:rPr>
        <w:t xml:space="preserve"> </w:t>
      </w:r>
      <w:r>
        <w:t>single</w:t>
      </w:r>
      <w:r>
        <w:rPr>
          <w:spacing w:val="-2"/>
        </w:rPr>
        <w:t xml:space="preserve"> </w:t>
      </w:r>
      <w:r>
        <w:t>infusion.</w:t>
      </w:r>
    </w:p>
    <w:p w14:paraId="43C27F22" w14:textId="77777777" w:rsidR="00AC538C" w:rsidRPr="004F0CEF" w:rsidRDefault="00AC538C" w:rsidP="006946F3">
      <w:pPr>
        <w:ind w:left="426"/>
      </w:pPr>
    </w:p>
    <w:p w14:paraId="4113D07A" w14:textId="77777777" w:rsidR="00382407" w:rsidRPr="00154B00" w:rsidRDefault="00382407" w:rsidP="00530204">
      <w:pPr>
        <w:pStyle w:val="Heading2"/>
      </w:pPr>
      <w:r w:rsidRPr="00154B00">
        <w:t xml:space="preserve">How </w:t>
      </w:r>
      <w:proofErr w:type="gramStart"/>
      <w:r w:rsidRPr="00154B00">
        <w:t>many</w:t>
      </w:r>
      <w:proofErr w:type="gramEnd"/>
      <w:r w:rsidRPr="00154B00">
        <w:t xml:space="preserve"> years would the proposed medical service</w:t>
      </w:r>
      <w:r w:rsidR="00FC1607">
        <w:t>/technology</w:t>
      </w:r>
      <w:r w:rsidRPr="00154B00">
        <w:t xml:space="preserve"> be required for the patient?</w:t>
      </w:r>
    </w:p>
    <w:p w14:paraId="21FEC5C2" w14:textId="6828712F" w:rsidR="00166047" w:rsidRDefault="004F0CEF" w:rsidP="006946F3">
      <w:pPr>
        <w:ind w:left="426"/>
      </w:pPr>
      <w:r>
        <w:t>The</w:t>
      </w:r>
      <w:r>
        <w:rPr>
          <w:spacing w:val="-3"/>
        </w:rPr>
        <w:t xml:space="preserve"> </w:t>
      </w:r>
      <w:r>
        <w:t>proposed</w:t>
      </w:r>
      <w:r>
        <w:rPr>
          <w:spacing w:val="-3"/>
        </w:rPr>
        <w:t xml:space="preserve"> </w:t>
      </w:r>
      <w:r>
        <w:t>therapy</w:t>
      </w:r>
      <w:r>
        <w:rPr>
          <w:spacing w:val="-2"/>
        </w:rPr>
        <w:t xml:space="preserve"> </w:t>
      </w:r>
      <w:r>
        <w:t>involves</w:t>
      </w:r>
      <w:r>
        <w:rPr>
          <w:spacing w:val="-3"/>
        </w:rPr>
        <w:t xml:space="preserve"> </w:t>
      </w:r>
      <w:r>
        <w:t>the</w:t>
      </w:r>
      <w:r>
        <w:rPr>
          <w:spacing w:val="-3"/>
        </w:rPr>
        <w:t xml:space="preserve"> </w:t>
      </w:r>
      <w:r>
        <w:t>administration</w:t>
      </w:r>
      <w:r>
        <w:rPr>
          <w:spacing w:val="-2"/>
        </w:rPr>
        <w:t xml:space="preserve"> </w:t>
      </w:r>
      <w:r>
        <w:t>of</w:t>
      </w:r>
      <w:r>
        <w:rPr>
          <w:spacing w:val="-3"/>
        </w:rPr>
        <w:t xml:space="preserve"> </w:t>
      </w:r>
      <w:r>
        <w:t>a</w:t>
      </w:r>
      <w:r>
        <w:rPr>
          <w:spacing w:val="-3"/>
        </w:rPr>
        <w:t xml:space="preserve"> </w:t>
      </w:r>
      <w:r>
        <w:t>single</w:t>
      </w:r>
      <w:r>
        <w:rPr>
          <w:spacing w:val="-2"/>
        </w:rPr>
        <w:t xml:space="preserve"> </w:t>
      </w:r>
      <w:r>
        <w:t>infusion</w:t>
      </w:r>
      <w:r w:rsidR="00900108">
        <w:t xml:space="preserve"> in a patient’s lifetime</w:t>
      </w:r>
      <w:r>
        <w:t>.</w:t>
      </w:r>
    </w:p>
    <w:p w14:paraId="29876D3F" w14:textId="77777777" w:rsidR="00AC538C" w:rsidRPr="004F0CEF" w:rsidRDefault="00AC538C" w:rsidP="006946F3">
      <w:pPr>
        <w:ind w:left="426"/>
      </w:pPr>
    </w:p>
    <w:p w14:paraId="7B115D25"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w:t>
      </w:r>
      <w:proofErr w:type="gramStart"/>
      <w:r w:rsidR="002A6753" w:rsidRPr="00154B00">
        <w:t>utilise</w:t>
      </w:r>
      <w:proofErr w:type="gramEnd"/>
      <w:r w:rsidR="002A6753" w:rsidRPr="00154B00">
        <w:t xml:space="preserve"> the proposed </w:t>
      </w:r>
      <w:r w:rsidRPr="00154B00">
        <w:t xml:space="preserve">medical </w:t>
      </w:r>
      <w:r w:rsidR="002A6753" w:rsidRPr="00154B00">
        <w:t>ser</w:t>
      </w:r>
      <w:r w:rsidR="00AE1188">
        <w:t>vice(s) for the first full year:</w:t>
      </w:r>
    </w:p>
    <w:p w14:paraId="742071C1" w14:textId="471F902D" w:rsidR="00166047" w:rsidRDefault="003C07A0" w:rsidP="00AE1188">
      <w:pPr>
        <w:ind w:left="426"/>
      </w:pPr>
      <w:r>
        <w:rPr>
          <w:szCs w:val="20"/>
        </w:rPr>
        <w:t xml:space="preserve">The projected number of patients who will </w:t>
      </w:r>
      <w:proofErr w:type="gramStart"/>
      <w:r>
        <w:rPr>
          <w:szCs w:val="20"/>
        </w:rPr>
        <w:t>utilise</w:t>
      </w:r>
      <w:proofErr w:type="gramEnd"/>
      <w:r>
        <w:rPr>
          <w:szCs w:val="20"/>
        </w:rPr>
        <w:t xml:space="preserve"> </w:t>
      </w:r>
      <w:r w:rsidR="00C225D8">
        <w:t>brexu</w:t>
      </w:r>
      <w:r w:rsidR="00C225D8" w:rsidRPr="000B30CC">
        <w:t xml:space="preserve">cabtagene </w:t>
      </w:r>
      <w:r w:rsidR="00C225D8">
        <w:t>auto</w:t>
      </w:r>
      <w:r w:rsidR="00C225D8" w:rsidRPr="000B30CC">
        <w:t xml:space="preserve">leucel </w:t>
      </w:r>
      <w:r>
        <w:rPr>
          <w:szCs w:val="20"/>
        </w:rPr>
        <w:t xml:space="preserve">for </w:t>
      </w:r>
      <w:r>
        <w:t xml:space="preserve">relapsed/refractory B-ALL </w:t>
      </w:r>
      <w:r w:rsidR="00C225D8" w:rsidRPr="00005B53">
        <w:t>(</w:t>
      </w:r>
      <w:r w:rsidR="00FA3FD2" w:rsidRPr="00005B53">
        <w:rPr>
          <w:u w:val="single"/>
        </w:rPr>
        <w:t>&gt;</w:t>
      </w:r>
      <w:r w:rsidR="00C225D8" w:rsidRPr="00005B53">
        <w:t xml:space="preserve">26 years old) </w:t>
      </w:r>
      <w:r w:rsidRPr="00005B53">
        <w:t xml:space="preserve">in </w:t>
      </w:r>
      <w:r>
        <w:t xml:space="preserve">the first year will </w:t>
      </w:r>
      <w:r w:rsidRPr="00005B53">
        <w:t xml:space="preserve">be </w:t>
      </w:r>
      <w:r w:rsidR="00C225D8" w:rsidRPr="00005B53">
        <w:t>updated</w:t>
      </w:r>
      <w:r w:rsidRPr="00005B53">
        <w:t xml:space="preserve"> in the </w:t>
      </w:r>
      <w:r>
        <w:t>application.</w:t>
      </w:r>
    </w:p>
    <w:p w14:paraId="2530B46E" w14:textId="77777777" w:rsidR="009A1DAB" w:rsidRPr="00154B00" w:rsidRDefault="009A1DAB" w:rsidP="00AE1188">
      <w:pPr>
        <w:ind w:left="426"/>
        <w:rPr>
          <w:szCs w:val="20"/>
        </w:rPr>
      </w:pPr>
    </w:p>
    <w:p w14:paraId="053F8198"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w:t>
      </w:r>
      <w:r w:rsidR="00785937">
        <w:t>/technology</w:t>
      </w:r>
      <w:r w:rsidR="000E47E7" w:rsidRPr="00154B00">
        <w:t xml:space="preserve"> over the next three years</w:t>
      </w:r>
      <w:r w:rsidR="005272F8">
        <w:t>,</w:t>
      </w:r>
      <w:r w:rsidR="001B171D" w:rsidRPr="00154B00">
        <w:t xml:space="preserve"> factoring in any constraints in the health system</w:t>
      </w:r>
      <w:r w:rsidR="005272F8">
        <w:t xml:space="preserve"> </w:t>
      </w:r>
      <w:r w:rsidR="001B171D" w:rsidRPr="00154B00">
        <w:t>in meeting the needs of the proposed population (suc</w:t>
      </w:r>
      <w:r>
        <w:t>h as supply and demand factors)</w:t>
      </w:r>
      <w:r w:rsidR="005272F8">
        <w:t>,</w:t>
      </w:r>
      <w:r w:rsidR="001B171D" w:rsidRPr="00154B00">
        <w:t xml:space="preserve"> as well as </w:t>
      </w:r>
      <w:r w:rsidR="009C03FB" w:rsidRPr="00154B00">
        <w:t>provide commentary on</w:t>
      </w:r>
      <w:r w:rsidR="001B171D" w:rsidRPr="00154B00">
        <w:t xml:space="preserve"> risk of ‘leakage’ to populations not targeted by the service</w:t>
      </w:r>
      <w:r w:rsidR="005272F8">
        <w:t>.</w:t>
      </w:r>
    </w:p>
    <w:p w14:paraId="71C3F507" w14:textId="55D6DC60" w:rsidR="004052F2" w:rsidRPr="000B30CC" w:rsidRDefault="004052F2" w:rsidP="004052F2">
      <w:pPr>
        <w:pStyle w:val="Response"/>
      </w:pPr>
      <w:r w:rsidRPr="000B30CC">
        <w:t xml:space="preserve">The </w:t>
      </w:r>
      <w:proofErr w:type="gramStart"/>
      <w:r w:rsidRPr="000B30CC">
        <w:t>likely rate</w:t>
      </w:r>
      <w:proofErr w:type="gramEnd"/>
      <w:r w:rsidRPr="000B30CC">
        <w:t xml:space="preserve"> of uptake of </w:t>
      </w:r>
      <w:r>
        <w:t>brexu</w:t>
      </w:r>
      <w:r w:rsidRPr="000B30CC">
        <w:t xml:space="preserve">cabtagene </w:t>
      </w:r>
      <w:r>
        <w:t>auto</w:t>
      </w:r>
      <w:r w:rsidRPr="000B30CC">
        <w:t>leucel in the population of patients with relapsed or refractory</w:t>
      </w:r>
      <w:r>
        <w:t xml:space="preserve"> B-</w:t>
      </w:r>
      <w:r w:rsidRPr="00005B53">
        <w:t xml:space="preserve">ALL </w:t>
      </w:r>
      <w:r w:rsidR="00FA3FD2" w:rsidRPr="00005B53">
        <w:t>(</w:t>
      </w:r>
      <w:r w:rsidR="00FA3FD2" w:rsidRPr="00005B53">
        <w:rPr>
          <w:szCs w:val="20"/>
        </w:rPr>
        <w:t>≥26</w:t>
      </w:r>
      <w:r w:rsidR="00E30A87" w:rsidRPr="00005B53">
        <w:t xml:space="preserve"> </w:t>
      </w:r>
      <w:r w:rsidR="00C225D8" w:rsidRPr="00005B53">
        <w:t xml:space="preserve">years of age) will be updated in the re-submission. </w:t>
      </w:r>
      <w:r w:rsidRPr="00005B53">
        <w:t>A</w:t>
      </w:r>
      <w:r w:rsidR="00FA3FD2" w:rsidRPr="00005B53">
        <w:t xml:space="preserve">n updated </w:t>
      </w:r>
      <w:r w:rsidRPr="00005B53">
        <w:t xml:space="preserve">detailed analysis of </w:t>
      </w:r>
      <w:proofErr w:type="gramStart"/>
      <w:r w:rsidRPr="00005B53">
        <w:t>likely extent</w:t>
      </w:r>
      <w:proofErr w:type="gramEnd"/>
      <w:r w:rsidRPr="00005B53">
        <w:t xml:space="preserve"> of use of brexucabtagene autoleucel will be presented in the applicant-developed assessment report (ADAR) </w:t>
      </w:r>
      <w:r w:rsidR="00C225D8" w:rsidRPr="00005B53">
        <w:t xml:space="preserve">resubmission </w:t>
      </w:r>
      <w:r w:rsidRPr="00005B53">
        <w:t>that will be lodged with MSAC</w:t>
      </w:r>
      <w:r w:rsidRPr="000B30CC">
        <w:t>.</w:t>
      </w:r>
    </w:p>
    <w:p w14:paraId="059BFB2B" w14:textId="77777777" w:rsidR="004052F2" w:rsidRPr="000B30CC" w:rsidRDefault="004052F2" w:rsidP="004052F2">
      <w:pPr>
        <w:pStyle w:val="Response"/>
      </w:pPr>
      <w:r w:rsidRPr="000B30CC">
        <w:t xml:space="preserve">The risk of use beyond the </w:t>
      </w:r>
      <w:r>
        <w:t>proposed population</w:t>
      </w:r>
      <w:r w:rsidRPr="000B30CC">
        <w:t xml:space="preserve"> is low given that it is highly unlikely the product would </w:t>
      </w:r>
      <w:proofErr w:type="gramStart"/>
      <w:r w:rsidRPr="000B30CC">
        <w:t>be used</w:t>
      </w:r>
      <w:proofErr w:type="gramEnd"/>
      <w:r w:rsidRPr="000B30CC">
        <w:t xml:space="preserve"> in patients other than those for whom reimbursement is sought</w:t>
      </w:r>
      <w:r>
        <w:t xml:space="preserve"> due to the strict eligibility criteria for funding CAR-T therapies</w:t>
      </w:r>
      <w:r w:rsidRPr="000B30CC">
        <w:t>.</w:t>
      </w:r>
    </w:p>
    <w:p w14:paraId="7ACA3EA3" w14:textId="77777777" w:rsidR="003433D1" w:rsidRDefault="003433D1">
      <w:pPr>
        <w:rPr>
          <w:b/>
          <w:sz w:val="32"/>
          <w:szCs w:val="32"/>
        </w:rPr>
      </w:pPr>
      <w:r>
        <w:rPr>
          <w:b/>
          <w:sz w:val="32"/>
          <w:szCs w:val="32"/>
        </w:rPr>
        <w:br w:type="page"/>
      </w:r>
    </w:p>
    <w:p w14:paraId="3BD1DC31"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7CF909B5" w14:textId="77777777" w:rsidR="006A649A" w:rsidRPr="00AE1188" w:rsidRDefault="006A649A" w:rsidP="001B5169">
      <w:pPr>
        <w:pStyle w:val="Heading2"/>
      </w:pPr>
      <w:r w:rsidRPr="00AE1188">
        <w:t xml:space="preserve">Indicate the </w:t>
      </w:r>
      <w:proofErr w:type="gramStart"/>
      <w:r w:rsidRPr="00AE1188">
        <w:t>likely</w:t>
      </w:r>
      <w:r w:rsidR="005A58BA" w:rsidRPr="00AE1188">
        <w:t xml:space="preserve"> </w:t>
      </w:r>
      <w:r w:rsidRPr="00AE1188">
        <w:t>cost</w:t>
      </w:r>
      <w:proofErr w:type="gramEnd"/>
      <w:r w:rsidRPr="00AE1188">
        <w:t xml:space="preserve">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10BFC3E" w14:textId="57A94EDE" w:rsidR="009A1DAB" w:rsidRPr="00005B53" w:rsidRDefault="004F0CEF" w:rsidP="00E30A87">
      <w:pPr>
        <w:ind w:left="426"/>
      </w:pPr>
      <w:bookmarkStart w:id="23" w:name="_Hlk97735934"/>
      <w:r w:rsidRPr="00005B53">
        <w:t xml:space="preserve">The cost of providing brexucabtagene autoleucel </w:t>
      </w:r>
      <w:r w:rsidR="00C225D8" w:rsidRPr="00005B53">
        <w:t xml:space="preserve">will </w:t>
      </w:r>
      <w:proofErr w:type="gramStart"/>
      <w:r w:rsidR="00C225D8" w:rsidRPr="00005B53">
        <w:t>be updated</w:t>
      </w:r>
      <w:proofErr w:type="gramEnd"/>
      <w:r w:rsidR="00C225D8" w:rsidRPr="00005B53">
        <w:t xml:space="preserve"> and provided </w:t>
      </w:r>
      <w:r w:rsidRPr="00005B53">
        <w:t>in the submission</w:t>
      </w:r>
      <w:bookmarkEnd w:id="23"/>
      <w:r w:rsidRPr="00005B53">
        <w:t>.</w:t>
      </w:r>
    </w:p>
    <w:p w14:paraId="1C80DFBA"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w:t>
      </w:r>
      <w:r w:rsidR="00D269F6">
        <w:t>/technology</w:t>
      </w:r>
      <w:r w:rsidR="00AE1188">
        <w:t xml:space="preserve"> typically takes to perform:</w:t>
      </w:r>
    </w:p>
    <w:p w14:paraId="2BDB86FC" w14:textId="4F28FEDE" w:rsidR="009A1DAB" w:rsidRPr="004F0CEF" w:rsidRDefault="00F84FF9" w:rsidP="00E30A87">
      <w:pPr>
        <w:ind w:left="426"/>
      </w:pPr>
      <w:r>
        <w:t>REDACTED</w:t>
      </w:r>
    </w:p>
    <w:p w14:paraId="6605954E" w14:textId="61C22D55" w:rsidR="00D269F6" w:rsidRDefault="00D269F6" w:rsidP="00D269F6">
      <w:pPr>
        <w:pStyle w:val="Heading2"/>
      </w:pPr>
      <w:r w:rsidRPr="00D269F6">
        <w:t xml:space="preserve">If public funding </w:t>
      </w:r>
      <w:proofErr w:type="gramStart"/>
      <w:r w:rsidRPr="00D269F6">
        <w:t>is sought</w:t>
      </w:r>
      <w:proofErr w:type="gramEnd"/>
      <w:r w:rsidRPr="00D269F6">
        <w:t xml:space="preserve"> through the </w:t>
      </w:r>
      <w:r w:rsidRPr="00785937">
        <w:rPr>
          <w:u w:val="single"/>
        </w:rPr>
        <w:t>MBS</w:t>
      </w:r>
      <w:r w:rsidRPr="00D269F6">
        <w:t>, please draft a proposed MBS item descriptor to define the population and usage characteristics that defines eligibility for the medical service/technology.</w:t>
      </w:r>
    </w:p>
    <w:p w14:paraId="71520718" w14:textId="679BA081" w:rsidR="00F27DFF" w:rsidRPr="00F27DFF" w:rsidRDefault="00005B53" w:rsidP="001141ED">
      <w:pPr>
        <w:ind w:firstLine="360"/>
      </w:pPr>
      <w:r>
        <w:t>N/A</w:t>
      </w:r>
    </w:p>
    <w:p w14:paraId="76FDB5D6" w14:textId="77777777" w:rsidR="009A1DAB" w:rsidRDefault="009A1DAB" w:rsidP="009A1DAB">
      <w:pPr>
        <w:pStyle w:val="Heading2"/>
        <w:numPr>
          <w:ilvl w:val="0"/>
          <w:numId w:val="0"/>
        </w:numPr>
        <w:ind w:left="360"/>
      </w:pPr>
    </w:p>
    <w:p w14:paraId="5B1C5752" w14:textId="1FD6300A" w:rsidR="00D269F6" w:rsidRDefault="00D269F6" w:rsidP="00D269F6">
      <w:pPr>
        <w:pStyle w:val="Heading2"/>
      </w:pPr>
      <w:r w:rsidRPr="00D269F6">
        <w:t xml:space="preserve">If public funding </w:t>
      </w:r>
      <w:proofErr w:type="gramStart"/>
      <w:r w:rsidRPr="00D269F6">
        <w:t>is sought</w:t>
      </w:r>
      <w:proofErr w:type="gramEnd"/>
      <w:r w:rsidRPr="00D269F6">
        <w:t xml:space="preserve"> through an </w:t>
      </w:r>
      <w:r w:rsidRPr="00785937">
        <w:rPr>
          <w:u w:val="single"/>
        </w:rPr>
        <w:t>alternative (non-MBS) funding arrangement</w:t>
      </w:r>
      <w:r w:rsidRPr="00D269F6">
        <w:t>, please draft a service description to define the population and usage characteristics that defines eligibi</w:t>
      </w:r>
      <w:r>
        <w:t>lity for the service/technology</w:t>
      </w:r>
      <w:r w:rsidR="00785937">
        <w:t>.</w:t>
      </w:r>
    </w:p>
    <w:p w14:paraId="32F2411D" w14:textId="3E9F41F0" w:rsidR="00F27DFF" w:rsidRPr="00F27DFF" w:rsidRDefault="001141ED" w:rsidP="001141ED">
      <w:pPr>
        <w:ind w:firstLine="360"/>
      </w:pPr>
      <w:r>
        <w:t>N/A</w:t>
      </w:r>
    </w:p>
    <w:p w14:paraId="3CFA2A1F" w14:textId="7E35DA82" w:rsidR="009A1DAB" w:rsidRDefault="009A1DAB">
      <w:pPr>
        <w:spacing w:before="0" w:after="200" w:line="276" w:lineRule="auto"/>
        <w:jc w:val="left"/>
        <w:rPr>
          <w:bCs/>
          <w:color w:val="4F81BD" w:themeColor="accent1"/>
          <w:sz w:val="40"/>
          <w:szCs w:val="32"/>
        </w:rPr>
      </w:pPr>
      <w:r>
        <w:rPr>
          <w:b/>
          <w:bCs/>
          <w:color w:val="4F81BD" w:themeColor="accent1"/>
          <w:sz w:val="40"/>
          <w:szCs w:val="32"/>
        </w:rPr>
        <w:br w:type="page"/>
      </w:r>
    </w:p>
    <w:p w14:paraId="112E6D19" w14:textId="01232975" w:rsidR="0003467E" w:rsidRPr="00AA5DA6" w:rsidRDefault="008D59CE" w:rsidP="0003467E">
      <w:pPr>
        <w:pStyle w:val="Heading2"/>
        <w:numPr>
          <w:ilvl w:val="0"/>
          <w:numId w:val="0"/>
        </w:numPr>
        <w:ind w:left="360" w:hanging="360"/>
        <w:rPr>
          <w:b w:val="0"/>
          <w:bCs/>
          <w:color w:val="4F81BD" w:themeColor="accent1"/>
          <w:sz w:val="40"/>
          <w:szCs w:val="32"/>
        </w:rPr>
      </w:pPr>
      <w:r w:rsidRPr="008D59CE">
        <w:rPr>
          <w:b w:val="0"/>
          <w:bCs/>
          <w:color w:val="4F81BD" w:themeColor="accent1"/>
          <w:sz w:val="40"/>
          <w:szCs w:val="32"/>
        </w:rPr>
        <w:lastRenderedPageBreak/>
        <w:t>PART 8</w:t>
      </w:r>
      <w:r>
        <w:rPr>
          <w:b w:val="0"/>
          <w:bCs/>
          <w:color w:val="4F81BD" w:themeColor="accent1"/>
          <w:sz w:val="40"/>
          <w:szCs w:val="32"/>
        </w:rPr>
        <w:t>A:</w:t>
      </w:r>
      <w:r w:rsidRPr="008D59CE">
        <w:rPr>
          <w:b w:val="0"/>
          <w:bCs/>
          <w:color w:val="4F81BD" w:themeColor="accent1"/>
          <w:sz w:val="40"/>
          <w:szCs w:val="32"/>
        </w:rPr>
        <w:t xml:space="preserve"> </w:t>
      </w:r>
      <w:r w:rsidR="0003467E" w:rsidRPr="00AA5DA6">
        <w:rPr>
          <w:b w:val="0"/>
          <w:bCs/>
          <w:color w:val="4F81BD" w:themeColor="accent1"/>
          <w:sz w:val="40"/>
          <w:szCs w:val="32"/>
        </w:rPr>
        <w:t>PROPOSED PICO CRITERIA</w:t>
      </w:r>
    </w:p>
    <w:p w14:paraId="3D1C00D8" w14:textId="6C30AC3A" w:rsidR="0003467E" w:rsidRDefault="008D59CE" w:rsidP="0003467E">
      <w:r w:rsidRPr="00E651F5">
        <w:t xml:space="preserve">Table </w:t>
      </w:r>
      <w:r w:rsidR="009A1DAB">
        <w:t>3</w:t>
      </w:r>
      <w:r w:rsidR="0003467E">
        <w:t xml:space="preserve"> summarises the proposed key components of the PICO criteria to </w:t>
      </w:r>
      <w:proofErr w:type="gramStart"/>
      <w:r w:rsidR="0003467E">
        <w:t>be addressed</w:t>
      </w:r>
      <w:proofErr w:type="gramEnd"/>
      <w:r w:rsidR="0003467E">
        <w:t xml:space="preserve"> in a submission that seeks to provide an answer to the fundamental research question of</w:t>
      </w:r>
      <w:r>
        <w:t xml:space="preserve"> the use of</w:t>
      </w:r>
      <w:r w:rsidR="0003467E">
        <w:t>:</w:t>
      </w:r>
    </w:p>
    <w:p w14:paraId="1F987130" w14:textId="77777777" w:rsidR="00C225D8" w:rsidRDefault="008D59CE" w:rsidP="008D59CE">
      <w:pPr>
        <w:ind w:left="284"/>
      </w:pPr>
      <w:r w:rsidRPr="00AA5DA6">
        <w:t xml:space="preserve">Brexucabtagene autoleucel for the treatment of </w:t>
      </w:r>
      <w:r>
        <w:t xml:space="preserve">adult </w:t>
      </w:r>
      <w:r w:rsidRPr="00FF095D">
        <w:t xml:space="preserve">patients (≥ </w:t>
      </w:r>
      <w:r w:rsidR="00C225D8" w:rsidRPr="00FF095D">
        <w:t>26</w:t>
      </w:r>
      <w:r w:rsidRPr="00FF095D">
        <w:t xml:space="preserve"> years </w:t>
      </w:r>
      <w:r>
        <w:t xml:space="preserve">of age) </w:t>
      </w:r>
      <w:r w:rsidRPr="00AA5DA6">
        <w:t xml:space="preserve">with </w:t>
      </w:r>
      <w:r>
        <w:t xml:space="preserve">relapsed </w:t>
      </w:r>
      <w:r w:rsidRPr="00746D2E">
        <w:t>or refractory B-precursor acute lymphoblastic leukaemia</w:t>
      </w:r>
      <w:r>
        <w:t xml:space="preserve"> (B-ALL). </w:t>
      </w:r>
    </w:p>
    <w:p w14:paraId="7B9AA120" w14:textId="6FB8CCDF" w:rsidR="008D59CE" w:rsidRDefault="008D59CE" w:rsidP="00C225D8">
      <w:r w:rsidRPr="00727401">
        <w:t xml:space="preserve">Relapsed or refractory disease </w:t>
      </w:r>
      <w:proofErr w:type="gramStart"/>
      <w:r>
        <w:t>is</w:t>
      </w:r>
      <w:r w:rsidRPr="00727401">
        <w:t xml:space="preserve"> defined</w:t>
      </w:r>
      <w:proofErr w:type="gramEnd"/>
      <w:r w:rsidRPr="00727401">
        <w:t xml:space="preserve"> as </w:t>
      </w:r>
      <w:r>
        <w:t xml:space="preserve">one of the following: </w:t>
      </w:r>
    </w:p>
    <w:p w14:paraId="76244E5E" w14:textId="77777777" w:rsidR="008D59CE" w:rsidRDefault="008D59CE" w:rsidP="008D59CE">
      <w:pPr>
        <w:pStyle w:val="ListParagraph"/>
        <w:numPr>
          <w:ilvl w:val="0"/>
          <w:numId w:val="20"/>
        </w:numPr>
      </w:pPr>
      <w:r>
        <w:t>P</w:t>
      </w:r>
      <w:r w:rsidRPr="00727401">
        <w:t xml:space="preserve">rimary refractory </w:t>
      </w:r>
    </w:p>
    <w:p w14:paraId="69DF7531" w14:textId="77777777" w:rsidR="008D59CE" w:rsidRDefault="008D59CE" w:rsidP="008D59CE">
      <w:pPr>
        <w:pStyle w:val="ListParagraph"/>
        <w:numPr>
          <w:ilvl w:val="0"/>
          <w:numId w:val="20"/>
        </w:numPr>
      </w:pPr>
      <w:r>
        <w:t>F</w:t>
      </w:r>
      <w:r w:rsidRPr="00727401">
        <w:t xml:space="preserve">irst relapse </w:t>
      </w:r>
      <w:r>
        <w:t xml:space="preserve">if </w:t>
      </w:r>
      <w:r w:rsidRPr="00727401">
        <w:t xml:space="preserve">remission </w:t>
      </w:r>
      <w:r>
        <w:t>was</w:t>
      </w:r>
      <w:r w:rsidRPr="00727401">
        <w:t xml:space="preserve"> 12 months or less </w:t>
      </w:r>
    </w:p>
    <w:p w14:paraId="3C9FBB2F" w14:textId="77777777" w:rsidR="008D59CE" w:rsidRDefault="008D59CE" w:rsidP="008D59CE">
      <w:pPr>
        <w:pStyle w:val="ListParagraph"/>
        <w:numPr>
          <w:ilvl w:val="0"/>
          <w:numId w:val="20"/>
        </w:numPr>
      </w:pPr>
      <w:r>
        <w:t>R</w:t>
      </w:r>
      <w:r w:rsidRPr="00727401">
        <w:t xml:space="preserve">elapsed or refractory after two </w:t>
      </w:r>
      <w:r>
        <w:t>or more</w:t>
      </w:r>
      <w:r w:rsidRPr="00727401">
        <w:t xml:space="preserve"> lines of systemic therapy</w:t>
      </w:r>
    </w:p>
    <w:p w14:paraId="56DCC081" w14:textId="77777777" w:rsidR="008D59CE" w:rsidRDefault="008D59CE" w:rsidP="008D59CE">
      <w:pPr>
        <w:pStyle w:val="ListParagraph"/>
        <w:numPr>
          <w:ilvl w:val="0"/>
          <w:numId w:val="20"/>
        </w:numPr>
      </w:pPr>
      <w:r>
        <w:t>R</w:t>
      </w:r>
      <w:r w:rsidRPr="00727401">
        <w:t xml:space="preserve">elapsed or refractory after </w:t>
      </w:r>
      <w:r>
        <w:t>allogeneic stem-cell transplant</w:t>
      </w:r>
    </w:p>
    <w:p w14:paraId="56BE0CC9" w14:textId="14948EC0" w:rsidR="0003467E" w:rsidRPr="00E651F5" w:rsidRDefault="009A1DAB" w:rsidP="009A1DAB">
      <w:pPr>
        <w:pStyle w:val="Caption"/>
      </w:pPr>
      <w:r>
        <w:t xml:space="preserve">Table </w:t>
      </w:r>
      <w:r>
        <w:rPr>
          <w:noProof/>
        </w:rPr>
        <w:t>3</w:t>
      </w:r>
      <w:r w:rsidR="0003467E" w:rsidRPr="00E651F5">
        <w:t xml:space="preserve">: Summary of proposed PICO criteria </w:t>
      </w:r>
    </w:p>
    <w:tbl>
      <w:tblPr>
        <w:tblStyle w:val="TableGrid"/>
        <w:tblW w:w="9493" w:type="dxa"/>
        <w:tblLook w:val="04A0" w:firstRow="1" w:lastRow="0" w:firstColumn="1" w:lastColumn="0" w:noHBand="0" w:noVBand="1"/>
      </w:tblPr>
      <w:tblGrid>
        <w:gridCol w:w="1271"/>
        <w:gridCol w:w="8222"/>
      </w:tblGrid>
      <w:tr w:rsidR="0003467E" w:rsidRPr="00E651F5" w14:paraId="1E6F208E" w14:textId="77777777" w:rsidTr="001543FD">
        <w:trPr>
          <w:tblHeader/>
        </w:trPr>
        <w:tc>
          <w:tcPr>
            <w:tcW w:w="1271" w:type="dxa"/>
          </w:tcPr>
          <w:p w14:paraId="53FD608C" w14:textId="77777777" w:rsidR="0003467E" w:rsidRPr="00E651F5" w:rsidRDefault="0003467E" w:rsidP="001543FD">
            <w:pPr>
              <w:spacing w:before="0" w:after="0" w:line="264" w:lineRule="auto"/>
              <w:rPr>
                <w:b/>
                <w:bCs/>
              </w:rPr>
            </w:pPr>
            <w:r w:rsidRPr="00E651F5">
              <w:rPr>
                <w:b/>
                <w:bCs/>
              </w:rPr>
              <w:t>Component</w:t>
            </w:r>
          </w:p>
        </w:tc>
        <w:tc>
          <w:tcPr>
            <w:tcW w:w="8222" w:type="dxa"/>
          </w:tcPr>
          <w:p w14:paraId="3A6DB96B" w14:textId="77777777" w:rsidR="0003467E" w:rsidRPr="00E651F5" w:rsidRDefault="0003467E" w:rsidP="001543FD">
            <w:pPr>
              <w:spacing w:before="0" w:after="0" w:line="264" w:lineRule="auto"/>
              <w:rPr>
                <w:b/>
                <w:bCs/>
              </w:rPr>
            </w:pPr>
            <w:r w:rsidRPr="00E651F5">
              <w:rPr>
                <w:b/>
                <w:bCs/>
              </w:rPr>
              <w:t>Description</w:t>
            </w:r>
          </w:p>
        </w:tc>
      </w:tr>
      <w:tr w:rsidR="0003467E" w14:paraId="510DDA15" w14:textId="77777777" w:rsidTr="001543FD">
        <w:tc>
          <w:tcPr>
            <w:tcW w:w="1271" w:type="dxa"/>
          </w:tcPr>
          <w:p w14:paraId="2840A388" w14:textId="77777777" w:rsidR="0003467E" w:rsidRPr="00E651F5" w:rsidRDefault="0003467E" w:rsidP="001543FD">
            <w:pPr>
              <w:spacing w:before="0" w:after="0" w:line="264" w:lineRule="auto"/>
            </w:pPr>
            <w:r w:rsidRPr="00E651F5">
              <w:t>Population</w:t>
            </w:r>
          </w:p>
        </w:tc>
        <w:tc>
          <w:tcPr>
            <w:tcW w:w="8222" w:type="dxa"/>
          </w:tcPr>
          <w:p w14:paraId="5B36CD51" w14:textId="0D6E1490" w:rsidR="00C225D8" w:rsidRDefault="0003467E" w:rsidP="0003467E">
            <w:pPr>
              <w:spacing w:before="0" w:after="0" w:line="264" w:lineRule="auto"/>
            </w:pPr>
            <w:r>
              <w:t xml:space="preserve">Brexucabtagene autoleucel for the treatment of adult </w:t>
            </w:r>
            <w:r w:rsidRPr="00FF095D">
              <w:t xml:space="preserve">patients (≥ </w:t>
            </w:r>
            <w:r w:rsidR="00C225D8" w:rsidRPr="00FF095D">
              <w:t>26</w:t>
            </w:r>
            <w:r w:rsidRPr="00FF095D">
              <w:t xml:space="preserve"> years </w:t>
            </w:r>
            <w:r>
              <w:t xml:space="preserve">of age) with relapsed or refractory B-precursor acute lymphoblastic leukaemia (B-ALL). </w:t>
            </w:r>
          </w:p>
          <w:p w14:paraId="31B9821D" w14:textId="77777777" w:rsidR="00C225D8" w:rsidRDefault="00C225D8" w:rsidP="0003467E">
            <w:pPr>
              <w:spacing w:before="0" w:after="0" w:line="264" w:lineRule="auto"/>
            </w:pPr>
          </w:p>
          <w:p w14:paraId="0ADC32DA" w14:textId="606F87CC" w:rsidR="0003467E" w:rsidRDefault="0003467E" w:rsidP="0003467E">
            <w:pPr>
              <w:spacing w:before="0" w:after="0" w:line="264" w:lineRule="auto"/>
            </w:pPr>
            <w:r>
              <w:t xml:space="preserve">Relapsed or refractory disease </w:t>
            </w:r>
            <w:proofErr w:type="gramStart"/>
            <w:r>
              <w:t>is defined</w:t>
            </w:r>
            <w:proofErr w:type="gramEnd"/>
            <w:r>
              <w:t xml:space="preserve"> as one of the following: </w:t>
            </w:r>
          </w:p>
          <w:p w14:paraId="3C979795" w14:textId="77777777" w:rsidR="0003467E" w:rsidRDefault="0003467E" w:rsidP="0003467E">
            <w:pPr>
              <w:spacing w:before="0" w:after="0" w:line="264" w:lineRule="auto"/>
              <w:ind w:left="739" w:hanging="313"/>
            </w:pPr>
            <w:r>
              <w:t>•</w:t>
            </w:r>
            <w:r>
              <w:tab/>
              <w:t xml:space="preserve">Primary refractory </w:t>
            </w:r>
          </w:p>
          <w:p w14:paraId="1E9F066C" w14:textId="77777777" w:rsidR="0003467E" w:rsidRDefault="0003467E" w:rsidP="0003467E">
            <w:pPr>
              <w:spacing w:before="0" w:after="0" w:line="264" w:lineRule="auto"/>
              <w:ind w:left="739" w:hanging="313"/>
            </w:pPr>
            <w:r>
              <w:t>•</w:t>
            </w:r>
            <w:r>
              <w:tab/>
              <w:t xml:space="preserve">First relapse if remission was 12 months or less </w:t>
            </w:r>
          </w:p>
          <w:p w14:paraId="55C62829" w14:textId="77777777" w:rsidR="0003467E" w:rsidRDefault="0003467E" w:rsidP="0003467E">
            <w:pPr>
              <w:spacing w:before="0" w:after="0" w:line="264" w:lineRule="auto"/>
              <w:ind w:left="739" w:hanging="313"/>
            </w:pPr>
            <w:r>
              <w:t>•</w:t>
            </w:r>
            <w:r>
              <w:tab/>
              <w:t>Relapsed or refractory after two or more lines of systemic therapy</w:t>
            </w:r>
          </w:p>
          <w:p w14:paraId="52CE57DF" w14:textId="2DFF9F50" w:rsidR="0003467E" w:rsidRPr="00E651F5" w:rsidRDefault="0003467E" w:rsidP="0003467E">
            <w:pPr>
              <w:spacing w:before="0" w:after="0" w:line="264" w:lineRule="auto"/>
              <w:ind w:left="739" w:hanging="313"/>
            </w:pPr>
            <w:r>
              <w:t>•</w:t>
            </w:r>
            <w:r>
              <w:tab/>
              <w:t>Relapsed or refractory after allogeneic stem-cell transplant</w:t>
            </w:r>
          </w:p>
        </w:tc>
      </w:tr>
      <w:tr w:rsidR="0003467E" w:rsidRPr="00637C62" w14:paraId="7D0ECB3E" w14:textId="77777777" w:rsidTr="001543FD">
        <w:tc>
          <w:tcPr>
            <w:tcW w:w="1271" w:type="dxa"/>
          </w:tcPr>
          <w:p w14:paraId="1B7429D4" w14:textId="77777777" w:rsidR="0003467E" w:rsidRDefault="0003467E" w:rsidP="001543FD">
            <w:pPr>
              <w:spacing w:before="0" w:after="0" w:line="264" w:lineRule="auto"/>
            </w:pPr>
            <w:r>
              <w:t>Intervention</w:t>
            </w:r>
          </w:p>
        </w:tc>
        <w:tc>
          <w:tcPr>
            <w:tcW w:w="8222" w:type="dxa"/>
          </w:tcPr>
          <w:p w14:paraId="52756775" w14:textId="77777777" w:rsidR="0003467E" w:rsidRPr="00637C62" w:rsidRDefault="0003467E" w:rsidP="001543FD">
            <w:pPr>
              <w:spacing w:before="0" w:after="0" w:line="264" w:lineRule="auto"/>
            </w:pPr>
            <w:r>
              <w:t>B</w:t>
            </w:r>
            <w:r w:rsidRPr="00637C62">
              <w:rPr>
                <w:lang w:val="de-DE"/>
              </w:rPr>
              <w:t>rexucabtagene autoleucel</w:t>
            </w:r>
          </w:p>
        </w:tc>
      </w:tr>
      <w:tr w:rsidR="0003467E" w14:paraId="5B18F862" w14:textId="77777777" w:rsidTr="001543FD">
        <w:tc>
          <w:tcPr>
            <w:tcW w:w="1271" w:type="dxa"/>
          </w:tcPr>
          <w:p w14:paraId="3B97FE43" w14:textId="77777777" w:rsidR="0003467E" w:rsidRDefault="0003467E" w:rsidP="001543FD">
            <w:pPr>
              <w:spacing w:before="0" w:after="0" w:line="264" w:lineRule="auto"/>
            </w:pPr>
            <w:r>
              <w:t>Comparator</w:t>
            </w:r>
          </w:p>
        </w:tc>
        <w:tc>
          <w:tcPr>
            <w:tcW w:w="8222" w:type="dxa"/>
          </w:tcPr>
          <w:p w14:paraId="3CB0024D" w14:textId="4840FAD2" w:rsidR="0059684D" w:rsidRDefault="0059684D" w:rsidP="0059684D">
            <w:pPr>
              <w:ind w:left="32"/>
            </w:pPr>
            <w:r>
              <w:t xml:space="preserve">The </w:t>
            </w:r>
            <w:r w:rsidRPr="00B71535">
              <w:t>proposed comparator</w:t>
            </w:r>
            <w:r>
              <w:t xml:space="preserve">s to </w:t>
            </w:r>
            <w:proofErr w:type="gramStart"/>
            <w:r>
              <w:t>be investigated</w:t>
            </w:r>
            <w:proofErr w:type="gramEnd"/>
            <w:r>
              <w:t xml:space="preserve"> are:  </w:t>
            </w:r>
          </w:p>
          <w:p w14:paraId="47550F0D" w14:textId="77777777" w:rsidR="0059684D" w:rsidRDefault="0059684D" w:rsidP="0059684D">
            <w:pPr>
              <w:pStyle w:val="ListParagraph"/>
              <w:numPr>
                <w:ilvl w:val="0"/>
                <w:numId w:val="32"/>
              </w:numPr>
              <w:ind w:left="457" w:hanging="239"/>
            </w:pPr>
            <w:r>
              <w:t xml:space="preserve">Salvage therapy in second and third line with the most relevant specific salvage therapies being </w:t>
            </w:r>
            <w:r w:rsidRPr="00B71535">
              <w:t xml:space="preserve">blinatumomab </w:t>
            </w:r>
            <w:r>
              <w:t>or i</w:t>
            </w:r>
            <w:r w:rsidRPr="00B71535">
              <w:t xml:space="preserve">notuzumab with the intention to proceed to </w:t>
            </w:r>
            <w:r>
              <w:t>a</w:t>
            </w:r>
            <w:r w:rsidRPr="00B71535">
              <w:t xml:space="preserve">llo-SCT); </w:t>
            </w:r>
            <w:r>
              <w:t>and t</w:t>
            </w:r>
            <w:r w:rsidRPr="00B71535">
              <w:t xml:space="preserve">he alternative comparator is conventional salvage chemotherapy with the intention to proceed to </w:t>
            </w:r>
            <w:r>
              <w:t>a</w:t>
            </w:r>
            <w:r w:rsidRPr="00C15040">
              <w:t>llo</w:t>
            </w:r>
            <w:r>
              <w:t>-</w:t>
            </w:r>
            <w:r w:rsidRPr="00C15040">
              <w:t>SCT</w:t>
            </w:r>
            <w:r w:rsidRPr="00B71535">
              <w:t>.</w:t>
            </w:r>
            <w:r>
              <w:t xml:space="preserve"> </w:t>
            </w:r>
          </w:p>
          <w:p w14:paraId="51022A2E" w14:textId="3FBCDC91" w:rsidR="0003467E" w:rsidRDefault="0059684D" w:rsidP="00C225D8">
            <w:pPr>
              <w:pStyle w:val="ListParagraph"/>
              <w:numPr>
                <w:ilvl w:val="0"/>
                <w:numId w:val="32"/>
              </w:numPr>
              <w:ind w:left="457" w:hanging="239"/>
            </w:pPr>
            <w:r>
              <w:t xml:space="preserve">Dasatinib </w:t>
            </w:r>
            <w:r w:rsidR="00C225D8">
              <w:t xml:space="preserve">or ponatinib </w:t>
            </w:r>
            <w:r>
              <w:t>in second and third line, in p</w:t>
            </w:r>
            <w:r w:rsidRPr="00032DF5">
              <w:t>atients with Ph1-positive ALL</w:t>
            </w:r>
            <w:r>
              <w:t xml:space="preserve"> and </w:t>
            </w:r>
            <w:r w:rsidRPr="00032DF5">
              <w:rPr>
                <w:i/>
                <w:iCs/>
              </w:rPr>
              <w:t>BCR-ABL</w:t>
            </w:r>
            <w:r w:rsidRPr="00032DF5">
              <w:t> mutations</w:t>
            </w:r>
            <w:r>
              <w:t>.</w:t>
            </w:r>
          </w:p>
        </w:tc>
      </w:tr>
      <w:tr w:rsidR="0003467E" w14:paraId="2F8B718A" w14:textId="77777777" w:rsidTr="001543FD">
        <w:tc>
          <w:tcPr>
            <w:tcW w:w="1271" w:type="dxa"/>
          </w:tcPr>
          <w:p w14:paraId="67FDA0FD" w14:textId="77777777" w:rsidR="0003467E" w:rsidRDefault="0003467E" w:rsidP="001543FD">
            <w:pPr>
              <w:spacing w:before="0" w:after="0" w:line="264" w:lineRule="auto"/>
            </w:pPr>
            <w:r>
              <w:t>Outcomes</w:t>
            </w:r>
          </w:p>
        </w:tc>
        <w:tc>
          <w:tcPr>
            <w:tcW w:w="8222" w:type="dxa"/>
          </w:tcPr>
          <w:p w14:paraId="0815FE81" w14:textId="173FBE51" w:rsidR="0003467E" w:rsidRPr="00FF095D" w:rsidRDefault="00E30A87" w:rsidP="001543FD">
            <w:pPr>
              <w:spacing w:before="0" w:after="0" w:line="264" w:lineRule="auto"/>
              <w:rPr>
                <w:u w:val="single"/>
              </w:rPr>
            </w:pPr>
            <w:r w:rsidRPr="00FF095D">
              <w:rPr>
                <w:u w:val="single"/>
              </w:rPr>
              <w:t xml:space="preserve">Updated </w:t>
            </w:r>
            <w:r w:rsidR="0003467E" w:rsidRPr="00FF095D">
              <w:rPr>
                <w:u w:val="single"/>
              </w:rPr>
              <w:t xml:space="preserve">Clinical Effectiveness: </w:t>
            </w:r>
          </w:p>
          <w:p w14:paraId="4ED14040" w14:textId="77777777" w:rsidR="0003467E" w:rsidRPr="00FF095D" w:rsidRDefault="0003467E" w:rsidP="0003467E">
            <w:pPr>
              <w:pStyle w:val="ListParagraph"/>
              <w:numPr>
                <w:ilvl w:val="0"/>
                <w:numId w:val="30"/>
              </w:numPr>
              <w:spacing w:before="0" w:after="0"/>
              <w:ind w:left="357" w:hanging="357"/>
              <w:contextualSpacing w:val="0"/>
              <w:jc w:val="left"/>
            </w:pPr>
            <w:r w:rsidRPr="00FF095D">
              <w:t>Objective response rate (ORR) and Complete response rate (CRR)</w:t>
            </w:r>
          </w:p>
          <w:p w14:paraId="4C9AC997" w14:textId="77777777" w:rsidR="0003467E" w:rsidRPr="00FF095D" w:rsidRDefault="0003467E" w:rsidP="0003467E">
            <w:pPr>
              <w:pStyle w:val="ListParagraph"/>
              <w:numPr>
                <w:ilvl w:val="0"/>
                <w:numId w:val="30"/>
              </w:numPr>
              <w:spacing w:before="0" w:after="0"/>
              <w:ind w:left="357" w:hanging="357"/>
              <w:contextualSpacing w:val="0"/>
              <w:jc w:val="left"/>
            </w:pPr>
            <w:r w:rsidRPr="00FF095D">
              <w:t>Duration of response</w:t>
            </w:r>
          </w:p>
          <w:p w14:paraId="693486BC" w14:textId="77777777" w:rsidR="0003467E" w:rsidRPr="00FF095D" w:rsidRDefault="0003467E" w:rsidP="0003467E">
            <w:pPr>
              <w:pStyle w:val="ListParagraph"/>
              <w:numPr>
                <w:ilvl w:val="0"/>
                <w:numId w:val="30"/>
              </w:numPr>
              <w:spacing w:before="0" w:after="0"/>
              <w:ind w:left="357" w:hanging="357"/>
              <w:contextualSpacing w:val="0"/>
              <w:jc w:val="left"/>
            </w:pPr>
            <w:r w:rsidRPr="00FF095D">
              <w:t>Health-related quality of life (HRQoL) in patients achieving and those not achieving response</w:t>
            </w:r>
          </w:p>
          <w:p w14:paraId="1F21D52E" w14:textId="77777777" w:rsidR="0003467E" w:rsidRPr="00FF095D" w:rsidRDefault="0003467E" w:rsidP="0003467E">
            <w:pPr>
              <w:pStyle w:val="ListParagraph"/>
              <w:numPr>
                <w:ilvl w:val="0"/>
                <w:numId w:val="30"/>
              </w:numPr>
              <w:spacing w:before="0" w:after="0"/>
              <w:ind w:left="357" w:hanging="357"/>
              <w:contextualSpacing w:val="0"/>
              <w:jc w:val="left"/>
            </w:pPr>
            <w:r w:rsidRPr="00FF095D">
              <w:t>Survival in responders and non-responders</w:t>
            </w:r>
          </w:p>
          <w:p w14:paraId="6FFC1B5A" w14:textId="77777777" w:rsidR="0003467E" w:rsidRPr="00FF095D" w:rsidRDefault="0003467E" w:rsidP="0003467E">
            <w:pPr>
              <w:pStyle w:val="ListParagraph"/>
              <w:numPr>
                <w:ilvl w:val="0"/>
                <w:numId w:val="30"/>
              </w:numPr>
              <w:spacing w:before="0" w:after="0"/>
              <w:ind w:left="357" w:hanging="357"/>
              <w:contextualSpacing w:val="0"/>
              <w:jc w:val="left"/>
            </w:pPr>
            <w:r w:rsidRPr="00FF095D">
              <w:t>Quality of life in responders and non-responders</w:t>
            </w:r>
          </w:p>
          <w:p w14:paraId="35B23D23" w14:textId="77777777" w:rsidR="0003467E" w:rsidRPr="00FF095D" w:rsidRDefault="0003467E" w:rsidP="0003467E">
            <w:pPr>
              <w:pStyle w:val="ListParagraph"/>
              <w:numPr>
                <w:ilvl w:val="0"/>
                <w:numId w:val="30"/>
              </w:numPr>
              <w:spacing w:before="0" w:after="0"/>
              <w:ind w:left="357" w:hanging="357"/>
              <w:contextualSpacing w:val="0"/>
              <w:jc w:val="left"/>
            </w:pPr>
            <w:r w:rsidRPr="00FF095D">
              <w:t>Progression-free survival (PFS)</w:t>
            </w:r>
          </w:p>
          <w:p w14:paraId="11E041DB" w14:textId="77777777" w:rsidR="0003467E" w:rsidRPr="00FF095D" w:rsidRDefault="0003467E" w:rsidP="0003467E">
            <w:pPr>
              <w:pStyle w:val="ListParagraph"/>
              <w:numPr>
                <w:ilvl w:val="0"/>
                <w:numId w:val="30"/>
              </w:numPr>
              <w:spacing w:before="0" w:after="0"/>
              <w:ind w:left="357" w:hanging="357"/>
              <w:contextualSpacing w:val="0"/>
              <w:jc w:val="left"/>
            </w:pPr>
            <w:r w:rsidRPr="00FF095D">
              <w:t>HRQoL in patients who are progression-free and those with progression</w:t>
            </w:r>
          </w:p>
          <w:p w14:paraId="634B35BD" w14:textId="77777777" w:rsidR="0003467E" w:rsidRPr="00FF095D" w:rsidRDefault="0003467E" w:rsidP="0003467E">
            <w:pPr>
              <w:pStyle w:val="ListParagraph"/>
              <w:numPr>
                <w:ilvl w:val="0"/>
                <w:numId w:val="30"/>
              </w:numPr>
              <w:spacing w:before="0" w:after="0"/>
              <w:ind w:left="357" w:hanging="357"/>
              <w:contextualSpacing w:val="0"/>
              <w:jc w:val="left"/>
            </w:pPr>
            <w:r w:rsidRPr="00FF095D">
              <w:t>Overall survival</w:t>
            </w:r>
          </w:p>
          <w:p w14:paraId="575982ED" w14:textId="77777777" w:rsidR="0003467E" w:rsidRPr="00FF095D" w:rsidRDefault="0003467E" w:rsidP="0003467E">
            <w:pPr>
              <w:pStyle w:val="ListParagraph"/>
              <w:numPr>
                <w:ilvl w:val="0"/>
                <w:numId w:val="30"/>
              </w:numPr>
              <w:spacing w:before="0" w:after="0"/>
              <w:ind w:left="357" w:hanging="357"/>
              <w:contextualSpacing w:val="0"/>
              <w:jc w:val="left"/>
            </w:pPr>
            <w:r w:rsidRPr="00FF095D">
              <w:t>Quality adjusted survival</w:t>
            </w:r>
          </w:p>
          <w:p w14:paraId="2000B430" w14:textId="7CAC4CFA" w:rsidR="0003467E" w:rsidRPr="00FF095D" w:rsidRDefault="00E30A87" w:rsidP="001543FD">
            <w:pPr>
              <w:spacing w:before="60" w:after="0" w:line="264" w:lineRule="auto"/>
              <w:rPr>
                <w:u w:val="single"/>
              </w:rPr>
            </w:pPr>
            <w:r w:rsidRPr="00FF095D">
              <w:rPr>
                <w:u w:val="single"/>
              </w:rPr>
              <w:t xml:space="preserve">Updated </w:t>
            </w:r>
            <w:r w:rsidR="0003467E" w:rsidRPr="00FF095D">
              <w:rPr>
                <w:u w:val="single"/>
              </w:rPr>
              <w:t xml:space="preserve">Clinical efficacy: </w:t>
            </w:r>
          </w:p>
          <w:p w14:paraId="560D531A" w14:textId="77777777" w:rsidR="0003467E" w:rsidRPr="00FF095D" w:rsidRDefault="0003467E" w:rsidP="0003467E">
            <w:pPr>
              <w:pStyle w:val="ListParagraph"/>
              <w:numPr>
                <w:ilvl w:val="0"/>
                <w:numId w:val="30"/>
              </w:numPr>
              <w:spacing w:before="0" w:after="0"/>
              <w:ind w:left="357" w:hanging="357"/>
              <w:contextualSpacing w:val="0"/>
              <w:jc w:val="left"/>
            </w:pPr>
            <w:r w:rsidRPr="00FF095D">
              <w:t>Percentage of patients having brexucabtagene autoleucel infused of those who underwent leukapheresis</w:t>
            </w:r>
          </w:p>
          <w:p w14:paraId="5839F917" w14:textId="77777777" w:rsidR="0003467E" w:rsidRPr="00FF095D" w:rsidRDefault="0003467E" w:rsidP="0003467E">
            <w:pPr>
              <w:pStyle w:val="ListParagraph"/>
              <w:numPr>
                <w:ilvl w:val="0"/>
                <w:numId w:val="30"/>
              </w:numPr>
              <w:spacing w:before="0" w:after="0"/>
              <w:ind w:left="357" w:hanging="357"/>
              <w:contextualSpacing w:val="0"/>
              <w:jc w:val="left"/>
            </w:pPr>
            <w:r w:rsidRPr="00FF095D">
              <w:t>Time from collection (leukapheresis) to infusion of brexucabtagene autoleucel</w:t>
            </w:r>
          </w:p>
          <w:p w14:paraId="4315CFBB" w14:textId="42C75DA7" w:rsidR="0003467E" w:rsidRPr="00FF095D" w:rsidRDefault="00E30A87" w:rsidP="001543FD">
            <w:pPr>
              <w:spacing w:before="60" w:after="0" w:line="264" w:lineRule="auto"/>
              <w:rPr>
                <w:u w:val="single"/>
              </w:rPr>
            </w:pPr>
            <w:r w:rsidRPr="00FF095D">
              <w:rPr>
                <w:u w:val="single"/>
              </w:rPr>
              <w:t xml:space="preserve">Updated </w:t>
            </w:r>
            <w:r w:rsidR="0003467E" w:rsidRPr="00FF095D">
              <w:rPr>
                <w:u w:val="single"/>
              </w:rPr>
              <w:t>Safety Outcomes:</w:t>
            </w:r>
          </w:p>
          <w:p w14:paraId="36CF13BF" w14:textId="77777777" w:rsidR="0003467E" w:rsidRPr="00FF095D" w:rsidRDefault="0003467E" w:rsidP="0003467E">
            <w:pPr>
              <w:pStyle w:val="ListParagraph"/>
              <w:numPr>
                <w:ilvl w:val="0"/>
                <w:numId w:val="30"/>
              </w:numPr>
              <w:spacing w:before="0" w:after="0"/>
              <w:ind w:left="357" w:hanging="357"/>
              <w:contextualSpacing w:val="0"/>
              <w:jc w:val="left"/>
            </w:pPr>
            <w:r w:rsidRPr="00FF095D">
              <w:t>Incidence of adverse events (AEs) and serious adverse events (SAEs)</w:t>
            </w:r>
          </w:p>
          <w:p w14:paraId="413565EC" w14:textId="77777777" w:rsidR="0003467E" w:rsidRPr="00FF095D" w:rsidRDefault="0003467E" w:rsidP="0003467E">
            <w:pPr>
              <w:pStyle w:val="ListParagraph"/>
              <w:numPr>
                <w:ilvl w:val="0"/>
                <w:numId w:val="30"/>
              </w:numPr>
              <w:spacing w:before="0" w:after="0"/>
              <w:ind w:left="357" w:hanging="357"/>
              <w:contextualSpacing w:val="0"/>
              <w:jc w:val="left"/>
            </w:pPr>
            <w:r w:rsidRPr="00FF095D">
              <w:t>Incidence of events of special interest (e.g., cytokine release syndrome)</w:t>
            </w:r>
          </w:p>
          <w:p w14:paraId="3893D8EA" w14:textId="7560A250" w:rsidR="0003467E" w:rsidRPr="00FF095D" w:rsidRDefault="00E30A87" w:rsidP="001543FD">
            <w:pPr>
              <w:spacing w:before="60" w:after="0" w:line="264" w:lineRule="auto"/>
              <w:rPr>
                <w:u w:val="single"/>
              </w:rPr>
            </w:pPr>
            <w:r w:rsidRPr="00FF095D">
              <w:rPr>
                <w:u w:val="single"/>
              </w:rPr>
              <w:t xml:space="preserve">Updated </w:t>
            </w:r>
            <w:r w:rsidR="0003467E" w:rsidRPr="00FF095D">
              <w:rPr>
                <w:u w:val="single"/>
              </w:rPr>
              <w:t>Cost-effectiveness:</w:t>
            </w:r>
          </w:p>
          <w:p w14:paraId="1AF55C1B" w14:textId="77777777" w:rsidR="0003467E" w:rsidRPr="00FF095D" w:rsidRDefault="0003467E" w:rsidP="0003467E">
            <w:pPr>
              <w:pStyle w:val="ListParagraph"/>
              <w:numPr>
                <w:ilvl w:val="0"/>
                <w:numId w:val="30"/>
              </w:numPr>
              <w:spacing w:before="0" w:after="0"/>
              <w:ind w:left="357" w:hanging="357"/>
              <w:contextualSpacing w:val="0"/>
              <w:jc w:val="left"/>
            </w:pPr>
            <w:r w:rsidRPr="00FF095D">
              <w:t>Healthcare resource use and associated costs (including pre- and post-infusion), presented in disaggregated and aggregated format</w:t>
            </w:r>
          </w:p>
          <w:p w14:paraId="51DB3C24" w14:textId="77777777" w:rsidR="0003467E" w:rsidRPr="00FF095D" w:rsidRDefault="0003467E" w:rsidP="0003467E">
            <w:pPr>
              <w:pStyle w:val="ListParagraph"/>
              <w:numPr>
                <w:ilvl w:val="0"/>
                <w:numId w:val="30"/>
              </w:numPr>
              <w:spacing w:before="0" w:after="0"/>
              <w:ind w:left="357" w:hanging="357"/>
              <w:contextualSpacing w:val="0"/>
              <w:jc w:val="left"/>
            </w:pPr>
            <w:r w:rsidRPr="00FF095D">
              <w:t>Incremental cost per life year gained (LYG)</w:t>
            </w:r>
          </w:p>
          <w:p w14:paraId="629F2417" w14:textId="77777777" w:rsidR="0003467E" w:rsidRPr="00FF095D" w:rsidRDefault="0003467E" w:rsidP="0003467E">
            <w:pPr>
              <w:pStyle w:val="ListParagraph"/>
              <w:numPr>
                <w:ilvl w:val="0"/>
                <w:numId w:val="30"/>
              </w:numPr>
              <w:spacing w:before="0" w:after="0"/>
              <w:ind w:left="357" w:hanging="357"/>
              <w:contextualSpacing w:val="0"/>
              <w:jc w:val="left"/>
            </w:pPr>
            <w:r w:rsidRPr="00FF095D">
              <w:lastRenderedPageBreak/>
              <w:t>Incremental cost per quality adjusted life year (QALY)</w:t>
            </w:r>
          </w:p>
          <w:p w14:paraId="0E387F98" w14:textId="18109D26" w:rsidR="0003467E" w:rsidRPr="00FF095D" w:rsidRDefault="00E30A87" w:rsidP="001543FD">
            <w:pPr>
              <w:spacing w:before="60" w:after="0" w:line="264" w:lineRule="auto"/>
              <w:rPr>
                <w:u w:val="single"/>
              </w:rPr>
            </w:pPr>
            <w:r w:rsidRPr="00FF095D">
              <w:rPr>
                <w:u w:val="single"/>
              </w:rPr>
              <w:t xml:space="preserve">Updated </w:t>
            </w:r>
            <w:r w:rsidR="0003467E" w:rsidRPr="00FF095D">
              <w:rPr>
                <w:u w:val="single"/>
              </w:rPr>
              <w:t>Financial implications:</w:t>
            </w:r>
          </w:p>
          <w:p w14:paraId="288399A6" w14:textId="77777777" w:rsidR="0003467E" w:rsidRPr="00FF095D" w:rsidRDefault="0003467E" w:rsidP="0003467E">
            <w:pPr>
              <w:pStyle w:val="ListParagraph"/>
              <w:numPr>
                <w:ilvl w:val="0"/>
                <w:numId w:val="30"/>
              </w:numPr>
              <w:spacing w:before="0" w:after="0"/>
              <w:ind w:left="357" w:hanging="357"/>
              <w:contextualSpacing w:val="0"/>
              <w:jc w:val="left"/>
            </w:pPr>
            <w:r w:rsidRPr="00FF095D">
              <w:t>Number of patients suitable for treatment</w:t>
            </w:r>
          </w:p>
          <w:p w14:paraId="5BAA4E51" w14:textId="77777777" w:rsidR="0003467E" w:rsidRPr="00FF095D" w:rsidRDefault="0003467E" w:rsidP="0003467E">
            <w:pPr>
              <w:pStyle w:val="ListParagraph"/>
              <w:numPr>
                <w:ilvl w:val="0"/>
                <w:numId w:val="30"/>
              </w:numPr>
              <w:spacing w:before="0" w:after="0"/>
              <w:ind w:left="357" w:hanging="357"/>
              <w:contextualSpacing w:val="0"/>
              <w:jc w:val="left"/>
            </w:pPr>
            <w:r w:rsidRPr="00FF095D">
              <w:t>Number of patients who receive treatment and associated financial implications</w:t>
            </w:r>
          </w:p>
        </w:tc>
      </w:tr>
    </w:tbl>
    <w:p w14:paraId="03BE6019" w14:textId="77777777" w:rsidR="0003467E" w:rsidRDefault="0003467E" w:rsidP="004A0BF4">
      <w:pPr>
        <w:pStyle w:val="Heading2"/>
        <w:numPr>
          <w:ilvl w:val="0"/>
          <w:numId w:val="0"/>
        </w:numPr>
        <w:ind w:left="360"/>
      </w:pPr>
    </w:p>
    <w:p w14:paraId="550D90FC" w14:textId="77777777" w:rsidR="00E058F2" w:rsidRPr="00C776B1" w:rsidRDefault="001B5169" w:rsidP="0056015F">
      <w:pPr>
        <w:pStyle w:val="Heading1"/>
      </w:pPr>
      <w:r>
        <w:t>PART 9</w:t>
      </w:r>
      <w:r w:rsidR="00F93784">
        <w:t xml:space="preserve"> – </w:t>
      </w:r>
      <w:r w:rsidR="00E058F2" w:rsidRPr="00C776B1">
        <w:t>FEEDBACK</w:t>
      </w:r>
    </w:p>
    <w:p w14:paraId="047FEBBE"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3A83837C" w14:textId="77777777" w:rsidR="00E058F2" w:rsidRPr="00AE1188" w:rsidRDefault="00E058F2" w:rsidP="001B5169">
      <w:pPr>
        <w:pStyle w:val="Heading2"/>
      </w:pPr>
      <w:r w:rsidRPr="00AE1188">
        <w:t>How long did it take to complete the Application Form?</w:t>
      </w:r>
    </w:p>
    <w:p w14:paraId="6257ED02" w14:textId="0D3B7E40" w:rsidR="00E058F2" w:rsidRPr="00154B00" w:rsidRDefault="002D4447" w:rsidP="00603D04">
      <w:pPr>
        <w:ind w:left="426"/>
        <w:rPr>
          <w:szCs w:val="20"/>
        </w:rPr>
      </w:pPr>
      <w:r>
        <w:rPr>
          <w:noProof/>
        </w:rPr>
        <w:t>65 hours</w:t>
      </w:r>
      <w:r w:rsidR="004052F2">
        <w:t xml:space="preserve"> </w:t>
      </w:r>
    </w:p>
    <w:p w14:paraId="622C5212"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59556F67" w14:textId="54201177" w:rsidR="00603D04" w:rsidRPr="001B29A1" w:rsidRDefault="006E21E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3D9FADB7"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C6C24">
        <w:rPr>
          <w:szCs w:val="20"/>
        </w:rPr>
      </w:r>
      <w:r w:rsidR="009C6C24">
        <w:rPr>
          <w:szCs w:val="20"/>
        </w:rPr>
        <w:fldChar w:fldCharType="separate"/>
      </w:r>
      <w:r w:rsidRPr="001B29A1">
        <w:rPr>
          <w:szCs w:val="20"/>
        </w:rPr>
        <w:fldChar w:fldCharType="end"/>
      </w:r>
      <w:r w:rsidRPr="001B29A1">
        <w:rPr>
          <w:szCs w:val="20"/>
        </w:rPr>
        <w:t xml:space="preserve"> </w:t>
      </w:r>
      <w:r>
        <w:rPr>
          <w:szCs w:val="20"/>
        </w:rPr>
        <w:t>No</w:t>
      </w:r>
    </w:p>
    <w:p w14:paraId="31D82384" w14:textId="77777777" w:rsidR="003D6DE1" w:rsidRPr="00154B00" w:rsidRDefault="00603D04" w:rsidP="00056F06">
      <w:pPr>
        <w:pStyle w:val="Heading2"/>
        <w:numPr>
          <w:ilvl w:val="0"/>
          <w:numId w:val="10"/>
        </w:numPr>
      </w:pPr>
      <w:r>
        <w:t>If no, provide areas of concern:</w:t>
      </w:r>
    </w:p>
    <w:p w14:paraId="4BD75738" w14:textId="0AD18ECA" w:rsidR="003D6DE1" w:rsidRPr="00154B00" w:rsidRDefault="00FF095D" w:rsidP="00603D04">
      <w:pPr>
        <w:ind w:left="426"/>
        <w:rPr>
          <w:szCs w:val="20"/>
        </w:rPr>
      </w:pPr>
      <w:r>
        <w:t>N/A</w:t>
      </w:r>
    </w:p>
    <w:p w14:paraId="1F39D823"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0925738F" w14:textId="4BFC2A0E" w:rsidR="00603D04" w:rsidRPr="001B29A1" w:rsidRDefault="006E21E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7CCEFB4E"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C6C24">
        <w:rPr>
          <w:szCs w:val="20"/>
        </w:rPr>
      </w:r>
      <w:r w:rsidR="009C6C24">
        <w:rPr>
          <w:szCs w:val="20"/>
        </w:rPr>
        <w:fldChar w:fldCharType="separate"/>
      </w:r>
      <w:r w:rsidRPr="001B29A1">
        <w:rPr>
          <w:szCs w:val="20"/>
        </w:rPr>
        <w:fldChar w:fldCharType="end"/>
      </w:r>
      <w:r w:rsidRPr="001B29A1">
        <w:rPr>
          <w:szCs w:val="20"/>
        </w:rPr>
        <w:t xml:space="preserve"> </w:t>
      </w:r>
      <w:r>
        <w:rPr>
          <w:szCs w:val="20"/>
        </w:rPr>
        <w:t>No</w:t>
      </w:r>
    </w:p>
    <w:p w14:paraId="2B8BCEAE" w14:textId="77777777" w:rsidR="003D6DE1" w:rsidRPr="00154B00" w:rsidRDefault="003D6DE1" w:rsidP="00056F06">
      <w:pPr>
        <w:pStyle w:val="Heading2"/>
        <w:numPr>
          <w:ilvl w:val="0"/>
          <w:numId w:val="11"/>
        </w:numPr>
      </w:pPr>
      <w:r>
        <w:t>If no, what areas did you find not to be useful?</w:t>
      </w:r>
    </w:p>
    <w:p w14:paraId="2D84C00E" w14:textId="669C295A" w:rsidR="003D6DE1" w:rsidRPr="00154B00" w:rsidRDefault="00FF095D" w:rsidP="00603D04">
      <w:pPr>
        <w:ind w:left="426"/>
        <w:rPr>
          <w:szCs w:val="20"/>
        </w:rPr>
      </w:pPr>
      <w:r>
        <w:rPr>
          <w:szCs w:val="20"/>
        </w:rPr>
        <w:t>N/A</w:t>
      </w:r>
    </w:p>
    <w:p w14:paraId="58C8A091" w14:textId="77777777" w:rsidR="00E058F2" w:rsidRPr="00154B00" w:rsidRDefault="001B5169" w:rsidP="00530204">
      <w:pPr>
        <w:pStyle w:val="Heading2"/>
      </w:pPr>
      <w:r>
        <w:t xml:space="preserve">(a) </w:t>
      </w:r>
      <w:r w:rsidR="00E058F2" w:rsidRPr="00154B00">
        <w:t xml:space="preserve">Is there </w:t>
      </w:r>
      <w:r w:rsidR="00E058F2" w:rsidRPr="00603D04">
        <w:t>any</w:t>
      </w:r>
      <w:r w:rsidR="00437F60">
        <w:t xml:space="preserve"> information </w:t>
      </w:r>
      <w:r w:rsidR="00E058F2" w:rsidRPr="00154B00">
        <w:t>the De</w:t>
      </w:r>
      <w:r w:rsidR="00437F60">
        <w:t xml:space="preserve">partment should consider in the </w:t>
      </w:r>
      <w:r w:rsidR="00E058F2" w:rsidRPr="00154B00">
        <w:t>future</w:t>
      </w:r>
      <w:r w:rsidR="00437F60">
        <w:t>, relating to questions contained or not contained in this</w:t>
      </w:r>
      <w:r w:rsidR="00CF2DFA" w:rsidRPr="00154B00">
        <w:t xml:space="preserve"> Application Form</w:t>
      </w:r>
      <w:r w:rsidR="00E058F2" w:rsidRPr="00154B00">
        <w:t>?</w:t>
      </w:r>
    </w:p>
    <w:p w14:paraId="23C4BF7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C6C24">
        <w:rPr>
          <w:szCs w:val="20"/>
        </w:rPr>
      </w:r>
      <w:r w:rsidR="009C6C24">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4DF1AABE" w14:textId="09E30140" w:rsidR="00603D04" w:rsidRPr="001B29A1" w:rsidRDefault="006E21E2"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C6C24">
        <w:rPr>
          <w:szCs w:val="20"/>
        </w:rPr>
      </w:r>
      <w:r w:rsidR="009C6C24">
        <w:rPr>
          <w:szCs w:val="20"/>
        </w:rPr>
        <w:fldChar w:fldCharType="separate"/>
      </w:r>
      <w:r>
        <w:rPr>
          <w:szCs w:val="20"/>
        </w:rPr>
        <w:fldChar w:fldCharType="end"/>
      </w:r>
      <w:r w:rsidR="00603D04" w:rsidRPr="001B29A1">
        <w:rPr>
          <w:szCs w:val="20"/>
        </w:rPr>
        <w:t xml:space="preserve"> </w:t>
      </w:r>
      <w:r w:rsidR="00603D04">
        <w:rPr>
          <w:szCs w:val="20"/>
        </w:rPr>
        <w:t>No</w:t>
      </w:r>
    </w:p>
    <w:p w14:paraId="4B30208D" w14:textId="77777777" w:rsidR="001845D9" w:rsidRPr="00154B00" w:rsidRDefault="001845D9" w:rsidP="00056F06">
      <w:pPr>
        <w:pStyle w:val="Heading2"/>
        <w:numPr>
          <w:ilvl w:val="0"/>
          <w:numId w:val="12"/>
        </w:numPr>
      </w:pPr>
      <w:r w:rsidRPr="00154B00">
        <w:t>If yes, please advise:</w:t>
      </w:r>
    </w:p>
    <w:p w14:paraId="105D9FC9" w14:textId="4A755654" w:rsidR="00451840" w:rsidRDefault="00FF095D" w:rsidP="00603D04">
      <w:pPr>
        <w:ind w:left="426"/>
      </w:pPr>
      <w:r>
        <w:t>N/A</w:t>
      </w:r>
    </w:p>
    <w:p w14:paraId="72C79E56" w14:textId="77777777" w:rsidR="00282B37" w:rsidRDefault="00282B37" w:rsidP="00950F45">
      <w:pPr>
        <w:rPr>
          <w:szCs w:val="20"/>
        </w:rPr>
      </w:pPr>
    </w:p>
    <w:p w14:paraId="7D50991E" w14:textId="77777777" w:rsidR="008B77F7" w:rsidRDefault="008B77F7">
      <w:pPr>
        <w:rPr>
          <w:szCs w:val="20"/>
        </w:rPr>
      </w:pPr>
    </w:p>
    <w:p w14:paraId="15607CBF" w14:textId="29F751BC" w:rsidR="008B77F7" w:rsidRPr="003C07A0" w:rsidRDefault="003C07A0" w:rsidP="003C07A0">
      <w:pPr>
        <w:pStyle w:val="Heading1"/>
      </w:pPr>
      <w:r>
        <w:t>PART 10 – REFERENCES</w:t>
      </w:r>
    </w:p>
    <w:p w14:paraId="12D46299" w14:textId="56B45589" w:rsidR="007471D5" w:rsidRPr="007471D5" w:rsidRDefault="007471D5" w:rsidP="007471D5">
      <w:pPr>
        <w:pStyle w:val="EndNoteBibliography"/>
        <w:spacing w:after="0"/>
        <w:ind w:left="720" w:hanging="720"/>
        <w:rPr>
          <w:noProof/>
        </w:rPr>
      </w:pPr>
      <w:r w:rsidRPr="007471D5">
        <w:rPr>
          <w:noProof/>
        </w:rPr>
        <w:t>1.</w:t>
      </w:r>
      <w:r w:rsidRPr="007471D5">
        <w:rPr>
          <w:noProof/>
        </w:rPr>
        <w:tab/>
        <w:t>Paul S, Kantarjian H, Jabbour EJ. Adult Acute Lymphoblastic Leukemia. Mayo Clin Proc 2016;91(11):1645-1666. DOI: 10.1016/j.mayocp.2016.09.010.</w:t>
      </w:r>
    </w:p>
    <w:p w14:paraId="70A41726" w14:textId="7A6B94DF" w:rsidR="007471D5" w:rsidRPr="007471D5" w:rsidRDefault="007471D5" w:rsidP="007471D5">
      <w:pPr>
        <w:pStyle w:val="EndNoteBibliography"/>
        <w:spacing w:after="0"/>
        <w:ind w:left="720" w:hanging="720"/>
        <w:rPr>
          <w:noProof/>
        </w:rPr>
      </w:pPr>
      <w:r w:rsidRPr="007471D5">
        <w:rPr>
          <w:noProof/>
        </w:rPr>
        <w:t>2.</w:t>
      </w:r>
      <w:r w:rsidRPr="007471D5">
        <w:rPr>
          <w:noProof/>
        </w:rPr>
        <w:tab/>
        <w:t>AIHW Australian Institute of Health and Welfare. Cancer data in Australia. Cancer summary data visualisation. (</w:t>
      </w:r>
      <w:r w:rsidRPr="001B3A6F">
        <w:rPr>
          <w:noProof/>
        </w:rPr>
        <w:t>https://www.aihw.gov.au/reports/cancer/cancer-data-in-australia/contents/cancer-summary-data-visualisation</w:t>
      </w:r>
      <w:r w:rsidRPr="007471D5">
        <w:rPr>
          <w:noProof/>
        </w:rPr>
        <w:t>).</w:t>
      </w:r>
    </w:p>
    <w:p w14:paraId="1D239416" w14:textId="52B3CBB2" w:rsidR="007471D5" w:rsidRPr="007471D5" w:rsidRDefault="007471D5" w:rsidP="007471D5">
      <w:pPr>
        <w:pStyle w:val="EndNoteBibliography"/>
        <w:spacing w:after="0"/>
        <w:ind w:left="720" w:hanging="720"/>
        <w:rPr>
          <w:noProof/>
        </w:rPr>
      </w:pPr>
      <w:r w:rsidRPr="007471D5">
        <w:rPr>
          <w:noProof/>
        </w:rPr>
        <w:t>3.</w:t>
      </w:r>
      <w:r w:rsidRPr="007471D5">
        <w:rPr>
          <w:noProof/>
        </w:rPr>
        <w:tab/>
        <w:t>NCCN. Acute Lymphoblastic Leukemia: NCCN Clinical Practice Guidelines in Oncology. National Comprehensive Cancer Network 2021;Version 4.2021(January 7, 2022) (</w:t>
      </w:r>
      <w:r w:rsidRPr="001B3A6F">
        <w:rPr>
          <w:noProof/>
        </w:rPr>
        <w:t>https://www.nccn.org/professionals/physician_gls/pdf/all.pdf</w:t>
      </w:r>
      <w:r w:rsidRPr="007471D5">
        <w:rPr>
          <w:noProof/>
        </w:rPr>
        <w:t>).</w:t>
      </w:r>
    </w:p>
    <w:p w14:paraId="63C48431" w14:textId="77777777" w:rsidR="007471D5" w:rsidRPr="007471D5" w:rsidRDefault="007471D5" w:rsidP="007471D5">
      <w:pPr>
        <w:pStyle w:val="EndNoteBibliography"/>
        <w:spacing w:after="0"/>
        <w:ind w:left="720" w:hanging="720"/>
        <w:rPr>
          <w:noProof/>
        </w:rPr>
      </w:pPr>
      <w:r w:rsidRPr="007471D5">
        <w:rPr>
          <w:noProof/>
        </w:rPr>
        <w:t>4.</w:t>
      </w:r>
      <w:r w:rsidRPr="007471D5">
        <w:rPr>
          <w:noProof/>
        </w:rPr>
        <w:tab/>
        <w:t>Terwilliger T, Abdul-Hay M. Acute lymphoblastic leukemia: a comprehensive review and 2017 update. Blood Cancer J 2017;7(6):e577. DOI: 10.1038/bcj.2017.53.</w:t>
      </w:r>
    </w:p>
    <w:p w14:paraId="14BA7C4E" w14:textId="77777777" w:rsidR="007471D5" w:rsidRPr="007471D5" w:rsidRDefault="007471D5" w:rsidP="007471D5">
      <w:pPr>
        <w:pStyle w:val="EndNoteBibliography"/>
        <w:spacing w:after="0"/>
        <w:ind w:left="720" w:hanging="720"/>
        <w:rPr>
          <w:noProof/>
        </w:rPr>
      </w:pPr>
      <w:r w:rsidRPr="007471D5">
        <w:rPr>
          <w:noProof/>
        </w:rPr>
        <w:t>5.</w:t>
      </w:r>
      <w:r w:rsidRPr="007471D5">
        <w:rPr>
          <w:noProof/>
        </w:rPr>
        <w:tab/>
        <w:t xml:space="preserve">Bassan R, Bruggemann M, Radcliffe HS, Hartfield E, Kreuzbauer G, Wetten S. A systematic literature review and meta-analysis of minimal residual disease as a prognostic indicator in adult B-cell acute </w:t>
      </w:r>
      <w:r w:rsidRPr="007471D5">
        <w:rPr>
          <w:noProof/>
        </w:rPr>
        <w:lastRenderedPageBreak/>
        <w:t>lymphoblastic leukemia. Haematologica 2019;104(10):2028-2039. DOI: 10.3324/haematol.2018.201053.</w:t>
      </w:r>
    </w:p>
    <w:p w14:paraId="0A5248FF" w14:textId="3F4107A0" w:rsidR="007471D5" w:rsidRPr="007471D5" w:rsidRDefault="007471D5" w:rsidP="007471D5">
      <w:pPr>
        <w:pStyle w:val="EndNoteBibliography"/>
        <w:spacing w:after="0"/>
        <w:ind w:left="720" w:hanging="720"/>
        <w:rPr>
          <w:noProof/>
        </w:rPr>
      </w:pPr>
      <w:r w:rsidRPr="007471D5">
        <w:rPr>
          <w:noProof/>
        </w:rPr>
        <w:t>6.</w:t>
      </w:r>
      <w:r w:rsidRPr="007471D5">
        <w:rPr>
          <w:noProof/>
        </w:rPr>
        <w:tab/>
        <w:t>Leukaemia Foundation. Acute Lymphoblastic Leukaemia. (</w:t>
      </w:r>
      <w:r w:rsidRPr="001B3A6F">
        <w:rPr>
          <w:noProof/>
        </w:rPr>
        <w:t>https://www.leukaemia.org.au/blood-cancer-information/types-of-blood-cancer/leukaemia/acute-lymphoblastic-leukaemia/</w:t>
      </w:r>
      <w:r w:rsidRPr="007471D5">
        <w:rPr>
          <w:noProof/>
        </w:rPr>
        <w:t>).</w:t>
      </w:r>
    </w:p>
    <w:p w14:paraId="504A642C" w14:textId="77777777" w:rsidR="007471D5" w:rsidRPr="007471D5" w:rsidRDefault="007471D5" w:rsidP="007471D5">
      <w:pPr>
        <w:pStyle w:val="EndNoteBibliography"/>
        <w:spacing w:after="0"/>
        <w:ind w:left="720" w:hanging="720"/>
        <w:rPr>
          <w:noProof/>
        </w:rPr>
      </w:pPr>
      <w:r w:rsidRPr="007471D5">
        <w:rPr>
          <w:noProof/>
        </w:rPr>
        <w:t>7.</w:t>
      </w:r>
      <w:r w:rsidRPr="007471D5">
        <w:rPr>
          <w:noProof/>
        </w:rPr>
        <w:tab/>
        <w:t>Gokbuget N, Dombret H, Ribera JM, et al. International reference analysis of outcomes in adults with B-precursor Ph-negative relapsed/refractory acute lymphoblastic leukemia. Haematologica 2016;101(12):1524-1533. DOI: 10.3324/haematol.2016.144311.</w:t>
      </w:r>
    </w:p>
    <w:p w14:paraId="3B135D2A" w14:textId="77777777" w:rsidR="007471D5" w:rsidRPr="007471D5" w:rsidRDefault="007471D5" w:rsidP="007471D5">
      <w:pPr>
        <w:pStyle w:val="EndNoteBibliography"/>
        <w:spacing w:after="0"/>
        <w:ind w:left="720" w:hanging="720"/>
        <w:rPr>
          <w:noProof/>
        </w:rPr>
      </w:pPr>
      <w:r w:rsidRPr="007471D5">
        <w:rPr>
          <w:noProof/>
        </w:rPr>
        <w:t>8.</w:t>
      </w:r>
      <w:r w:rsidRPr="007471D5">
        <w:rPr>
          <w:noProof/>
        </w:rPr>
        <w:tab/>
        <w:t>Shah BD, Ghobadi A, Oluwole OO, et al. KTE-X19 for relapsed or refractory adult B-cell acute lymphoblastic leukaemia: phase 2 results of the single-arm, open-label, multicentre ZUMA-3 study. The Lancet 2021;398(10299):491-502. DOI: 10.1016/s0140-6736(21)01222-8.</w:t>
      </w:r>
    </w:p>
    <w:p w14:paraId="0D860FA5" w14:textId="77777777" w:rsidR="007471D5" w:rsidRPr="007471D5" w:rsidRDefault="007471D5" w:rsidP="007471D5">
      <w:pPr>
        <w:pStyle w:val="EndNoteBibliography"/>
        <w:spacing w:after="0"/>
        <w:ind w:left="720" w:hanging="720"/>
        <w:rPr>
          <w:noProof/>
        </w:rPr>
      </w:pPr>
      <w:r w:rsidRPr="007471D5">
        <w:rPr>
          <w:noProof/>
        </w:rPr>
        <w:t>9.</w:t>
      </w:r>
      <w:r w:rsidRPr="007471D5">
        <w:rPr>
          <w:noProof/>
        </w:rPr>
        <w:tab/>
        <w:t>Shah BD, Bishop MR, Oluwole OO, et al. KTE-X19 anti-CD19 CAR T-cell therapy in adult relapsed/refractory acute lymphoblastic leukemia: ZUMA-3 phase 1 results. Blood 2021;138(1):11-22. DOI: 10.1182/blood.2020009098.</w:t>
      </w:r>
    </w:p>
    <w:p w14:paraId="7F1B7694" w14:textId="77777777" w:rsidR="007471D5" w:rsidRPr="007471D5" w:rsidRDefault="007471D5" w:rsidP="007471D5">
      <w:pPr>
        <w:pStyle w:val="EndNoteBibliography"/>
        <w:spacing w:after="0"/>
        <w:ind w:left="720" w:hanging="720"/>
        <w:rPr>
          <w:noProof/>
        </w:rPr>
      </w:pPr>
      <w:r w:rsidRPr="007471D5">
        <w:rPr>
          <w:noProof/>
        </w:rPr>
        <w:t>10.</w:t>
      </w:r>
      <w:r w:rsidRPr="007471D5">
        <w:rPr>
          <w:noProof/>
        </w:rPr>
        <w:tab/>
        <w:t>Shah BD, Faghmous I, Whitmore J, Masouleh BK, Xu H. ABSTRACT: The Comparison of Kte-X19 to Current Standards of Care: A Pre-Specified Synthetic Control Study Utilizing Individual Patient Level Data from Historic Clinical Trials (SCHOLAR-3). Blood 2021;138(Supplement 1):ABSTRACT ONLY:3844-3844. DOI: 10.1182/blood-2021-146598.</w:t>
      </w:r>
    </w:p>
    <w:p w14:paraId="557D2664" w14:textId="77777777" w:rsidR="007471D5" w:rsidRPr="007471D5" w:rsidRDefault="007471D5" w:rsidP="007471D5">
      <w:pPr>
        <w:pStyle w:val="EndNoteBibliography"/>
        <w:spacing w:after="0"/>
        <w:ind w:left="720" w:hanging="720"/>
        <w:rPr>
          <w:noProof/>
        </w:rPr>
      </w:pPr>
      <w:r w:rsidRPr="007471D5">
        <w:rPr>
          <w:noProof/>
        </w:rPr>
        <w:t>11.</w:t>
      </w:r>
      <w:r w:rsidRPr="007471D5">
        <w:rPr>
          <w:noProof/>
        </w:rPr>
        <w:tab/>
        <w:t>Shah BDF, I.; Whitmore, J.; Masouleh, B.K.; Xu, H. POSTER: The Comparison of KTE-X19 to Current Standards of Care: A Prespecified Synthetic Control Study Utilizing Individual Patient-Level Data from Historic Clinical Trials (SCHOLAR-3). BLOOD 2021;POSTER(Presented at ASH 2021).</w:t>
      </w:r>
    </w:p>
    <w:p w14:paraId="77B18FD8" w14:textId="77777777" w:rsidR="007471D5" w:rsidRPr="007471D5" w:rsidRDefault="007471D5" w:rsidP="007471D5">
      <w:pPr>
        <w:pStyle w:val="EndNoteBibliography"/>
        <w:spacing w:after="0"/>
        <w:ind w:left="720" w:hanging="720"/>
        <w:rPr>
          <w:noProof/>
        </w:rPr>
      </w:pPr>
      <w:r w:rsidRPr="007471D5">
        <w:rPr>
          <w:noProof/>
        </w:rPr>
        <w:t>12.</w:t>
      </w:r>
      <w:r w:rsidRPr="007471D5">
        <w:rPr>
          <w:noProof/>
        </w:rPr>
        <w:tab/>
        <w:t>Katz AJ, Chia VM, Schoonen WM, Kelsh MA. Acute lymphoblastic leukemia: an assessment of international incidence, survival, and disease burden. Cancer Causes Control 2015;26(11):1627-42. DOI: 10.1007/s10552-015-0657-6.</w:t>
      </w:r>
    </w:p>
    <w:p w14:paraId="1E83FA2A" w14:textId="77777777" w:rsidR="007471D5" w:rsidRPr="007471D5" w:rsidRDefault="007471D5" w:rsidP="007471D5">
      <w:pPr>
        <w:pStyle w:val="EndNoteBibliography"/>
        <w:ind w:left="720" w:hanging="720"/>
        <w:rPr>
          <w:noProof/>
        </w:rPr>
      </w:pPr>
      <w:r w:rsidRPr="007471D5">
        <w:rPr>
          <w:noProof/>
        </w:rPr>
        <w:t>13.</w:t>
      </w:r>
      <w:r w:rsidRPr="007471D5">
        <w:rPr>
          <w:noProof/>
        </w:rPr>
        <w:tab/>
        <w:t>Hoelzer D, Bassan R, Dombret H, et al. Acute lymphoblastic leukaemia in adult patients: ESMO Clinical Practice Guidelines for diagnosis, treatment and follow-up. Ann Oncol 2016;27(suppl 5):v69-v82. DOI: 10.1093/annonc/mdw025.</w:t>
      </w:r>
    </w:p>
    <w:p w14:paraId="1BFD1DDC" w14:textId="0C3B36DC" w:rsidR="00F41106" w:rsidRDefault="00F41106">
      <w:pPr>
        <w:rPr>
          <w:szCs w:val="20"/>
        </w:rPr>
      </w:pPr>
    </w:p>
    <w:sectPr w:rsidR="00F4110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4380" w14:textId="77777777" w:rsidR="0095446C" w:rsidRDefault="0095446C" w:rsidP="00CF2DFA">
      <w:pPr>
        <w:spacing w:after="0"/>
      </w:pPr>
      <w:r>
        <w:separator/>
      </w:r>
    </w:p>
  </w:endnote>
  <w:endnote w:type="continuationSeparator" w:id="0">
    <w:p w14:paraId="3220DFB8" w14:textId="77777777" w:rsidR="0095446C" w:rsidRDefault="0095446C"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561cdbbe">
    <w:altName w:val="Cambria"/>
    <w:panose1 w:val="00000000000000000000"/>
    <w:charset w:val="00"/>
    <w:family w:val="roman"/>
    <w:notTrueType/>
    <w:pitch w:val="default"/>
  </w:font>
  <w:font w:name="Shaker2Lancet">
    <w:altName w:val="Cambria"/>
    <w:panose1 w:val="00000000000000000000"/>
    <w:charset w:val="00"/>
    <w:family w:val="roman"/>
    <w:notTrueType/>
    <w:pitch w:val="default"/>
  </w:font>
  <w:font w:name="AdvOT5fa4e291">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E382" w14:textId="77777777" w:rsidR="00B37E0F" w:rsidRDefault="00B37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FDFCCF1" w14:textId="77777777" w:rsidR="00B37E0F" w:rsidRDefault="00B37E0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785937">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7C615B7" w14:textId="77777777" w:rsidR="00B37E0F" w:rsidRPr="003F7CB9" w:rsidRDefault="00B37E0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88B0" w14:textId="77777777" w:rsidR="00B37E0F" w:rsidRDefault="00B37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223D6" w14:textId="77777777" w:rsidR="0095446C" w:rsidRDefault="0095446C" w:rsidP="00CF2DFA">
      <w:pPr>
        <w:spacing w:after="0"/>
      </w:pPr>
      <w:r>
        <w:separator/>
      </w:r>
    </w:p>
  </w:footnote>
  <w:footnote w:type="continuationSeparator" w:id="0">
    <w:p w14:paraId="5A4CDC83" w14:textId="77777777" w:rsidR="0095446C" w:rsidRDefault="0095446C" w:rsidP="00CF2DFA">
      <w:pPr>
        <w:spacing w:after="0"/>
      </w:pPr>
      <w:r>
        <w:continuationSeparator/>
      </w:r>
    </w:p>
  </w:footnote>
  <w:footnote w:id="1">
    <w:p w14:paraId="6750F6BC" w14:textId="667C8CF9" w:rsidR="00B37E0F" w:rsidRPr="001A37C5" w:rsidRDefault="00B37E0F" w:rsidP="00AA29E8">
      <w:pPr>
        <w:pStyle w:val="FootnoteText"/>
        <w:jc w:val="left"/>
        <w:rPr>
          <w:color w:val="0000FF" w:themeColor="hyperlink"/>
          <w:sz w:val="16"/>
          <w:szCs w:val="16"/>
          <w:u w:val="single"/>
          <w:lang w:val="en-US"/>
        </w:rPr>
      </w:pPr>
      <w:r w:rsidRPr="001A37C5">
        <w:rPr>
          <w:rStyle w:val="FootnoteReference"/>
          <w:sz w:val="16"/>
          <w:szCs w:val="16"/>
        </w:rPr>
        <w:footnoteRef/>
      </w:r>
      <w:r w:rsidRPr="001A37C5">
        <w:rPr>
          <w:sz w:val="16"/>
          <w:szCs w:val="16"/>
        </w:rPr>
        <w:t xml:space="preserve"> </w:t>
      </w:r>
      <w:r w:rsidRPr="001A37C5">
        <w:rPr>
          <w:sz w:val="16"/>
          <w:szCs w:val="16"/>
          <w:lang w:val="en-US"/>
        </w:rPr>
        <w:t xml:space="preserve">MSAC Application 1647 Redacted Public Summary Document - </w:t>
      </w:r>
      <w:hyperlink r:id="rId1" w:history="1">
        <w:r w:rsidRPr="001A37C5">
          <w:rPr>
            <w:rStyle w:val="Hyperlink"/>
            <w:sz w:val="16"/>
            <w:szCs w:val="16"/>
            <w:lang w:val="en-US"/>
          </w:rPr>
          <w:t>http://www.msac.gov.au/internet/msac/publishing.nsf/Content/A10E3D10B9DBC1F2CA258614002163DC/$File/1647%20Final%20PSD%20-%20July%202021_redacted.pdf</w:t>
        </w:r>
      </w:hyperlink>
    </w:p>
  </w:footnote>
  <w:footnote w:id="2">
    <w:p w14:paraId="6A2F862E" w14:textId="26B35355" w:rsidR="00B37E0F" w:rsidRPr="008A5E06" w:rsidRDefault="00B37E0F"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AIHW 2021 - </w:t>
      </w:r>
      <w:hyperlink r:id="rId2" w:history="1">
        <w:r w:rsidRPr="008A5E06">
          <w:rPr>
            <w:rStyle w:val="Hyperlink"/>
            <w:sz w:val="16"/>
            <w:szCs w:val="16"/>
          </w:rPr>
          <w:t>https://www.aihw.gov.au/reports/cancer/cancer-data-in-australia/contents/cancer-summary-data-visualisation</w:t>
        </w:r>
      </w:hyperlink>
    </w:p>
  </w:footnote>
  <w:footnote w:id="3">
    <w:p w14:paraId="37488FB6" w14:textId="77777777" w:rsidR="00B37E0F" w:rsidRPr="008A5E06" w:rsidRDefault="00B37E0F"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Leukaemia Foundation - </w:t>
      </w:r>
      <w:hyperlink r:id="rId3" w:history="1">
        <w:r w:rsidRPr="008A5E06">
          <w:rPr>
            <w:rStyle w:val="Hyperlink"/>
            <w:sz w:val="16"/>
            <w:szCs w:val="16"/>
          </w:rPr>
          <w:t>https://www.leukaemia.org.au/blood-cancer-information/types-of-blood-cancer/leukaemia/acute-lymphoblastic-leukaemia/</w:t>
        </w:r>
      </w:hyperlink>
    </w:p>
  </w:footnote>
  <w:footnote w:id="4">
    <w:p w14:paraId="443D3502" w14:textId="2FD0FFA4" w:rsidR="00B37E0F" w:rsidRPr="008A5E06" w:rsidRDefault="00B37E0F" w:rsidP="00A35FCD">
      <w:pPr>
        <w:pStyle w:val="FootnoteText"/>
        <w:jc w:val="left"/>
        <w:rPr>
          <w:sz w:val="16"/>
          <w:szCs w:val="16"/>
          <w:lang w:val="en-US"/>
        </w:rPr>
      </w:pPr>
      <w:r w:rsidRPr="008A5E06">
        <w:rPr>
          <w:rStyle w:val="FootnoteReference"/>
          <w:sz w:val="16"/>
          <w:szCs w:val="16"/>
        </w:rPr>
        <w:footnoteRef/>
      </w:r>
      <w:r w:rsidRPr="008A5E06">
        <w:rPr>
          <w:sz w:val="16"/>
          <w:szCs w:val="16"/>
        </w:rPr>
        <w:t xml:space="preserve"> </w:t>
      </w:r>
      <w:r w:rsidRPr="008A5E06">
        <w:rPr>
          <w:sz w:val="16"/>
          <w:szCs w:val="16"/>
          <w:lang w:val="en-US"/>
        </w:rPr>
        <w:t xml:space="preserve">Leukaemia Foundation - </w:t>
      </w:r>
      <w:hyperlink r:id="rId4" w:history="1">
        <w:r w:rsidRPr="008A5E06">
          <w:rPr>
            <w:rStyle w:val="Hyperlink"/>
            <w:sz w:val="16"/>
            <w:szCs w:val="16"/>
          </w:rPr>
          <w:t>https://www.leukaemia.org.au/blood-cancer-information/types-of-blood-cancer/leukaemia/acute-lymphoblastic-leukaemia/</w:t>
        </w:r>
      </w:hyperlink>
    </w:p>
  </w:footnote>
  <w:footnote w:id="5">
    <w:p w14:paraId="29B5ACE1" w14:textId="68D841CF" w:rsidR="00B37E0F" w:rsidRPr="006C6734" w:rsidRDefault="00B37E0F" w:rsidP="00A35FCD">
      <w:pPr>
        <w:pStyle w:val="FootnoteText"/>
        <w:jc w:val="left"/>
        <w:rPr>
          <w:lang w:val="en-US"/>
        </w:rPr>
      </w:pPr>
      <w:r w:rsidRPr="008A5E06">
        <w:rPr>
          <w:rStyle w:val="FootnoteReference"/>
          <w:sz w:val="16"/>
          <w:szCs w:val="16"/>
        </w:rPr>
        <w:footnoteRef/>
      </w:r>
      <w:r w:rsidRPr="008A5E06">
        <w:rPr>
          <w:sz w:val="16"/>
          <w:szCs w:val="16"/>
        </w:rPr>
        <w:t xml:space="preserve"> Rare Cancers Australia - </w:t>
      </w:r>
      <w:hyperlink r:id="rId5" w:history="1">
        <w:r w:rsidRPr="008A5E06">
          <w:rPr>
            <w:rStyle w:val="Hyperlink"/>
            <w:sz w:val="16"/>
            <w:szCs w:val="16"/>
          </w:rPr>
          <w:t>http://knowledge.rarecancers.org.au/knowledgebase/cancer-types/132/acute-lymphoblastic-leukaemia-all</w:t>
        </w:r>
      </w:hyperlink>
    </w:p>
  </w:footnote>
  <w:footnote w:id="6">
    <w:p w14:paraId="1FA873AA" w14:textId="075BBE29" w:rsidR="00B37E0F" w:rsidRPr="00AC538C" w:rsidRDefault="00B37E0F">
      <w:pPr>
        <w:pStyle w:val="FootnoteText"/>
        <w:rPr>
          <w:lang w:val="en-US"/>
        </w:rPr>
      </w:pPr>
      <w:r>
        <w:rPr>
          <w:rStyle w:val="FootnoteReference"/>
        </w:rPr>
        <w:footnoteRef/>
      </w:r>
      <w:r>
        <w:t xml:space="preserve"> </w:t>
      </w:r>
      <w:r>
        <w:rPr>
          <w:lang w:val="en-US"/>
        </w:rPr>
        <w:t xml:space="preserve">AIHW 2021 - </w:t>
      </w:r>
      <w:hyperlink r:id="rId6" w:history="1">
        <w:r w:rsidRPr="00631136">
          <w:rPr>
            <w:rStyle w:val="Hyperlink"/>
          </w:rPr>
          <w:t>https://www.aihw.gov.au/reports/cancer/cancer-data-in-australia/contents/cancer-incidence-by-age-visualisation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EA40" w14:textId="77777777" w:rsidR="00B37E0F" w:rsidRDefault="00B37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5E1A" w14:textId="77777777" w:rsidR="00B37E0F" w:rsidRDefault="00B37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301C" w14:textId="77777777" w:rsidR="00B37E0F" w:rsidRDefault="00B37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CF"/>
    <w:multiLevelType w:val="hybridMultilevel"/>
    <w:tmpl w:val="18EA5302"/>
    <w:lvl w:ilvl="0" w:tplc="E59C356C">
      <w:start w:val="1"/>
      <w:numFmt w:val="decimal"/>
      <w:lvlText w:val="%1."/>
      <w:lvlJc w:val="left"/>
      <w:pPr>
        <w:ind w:left="939" w:hanging="360"/>
      </w:pPr>
      <w:rPr>
        <w:rFonts w:ascii="Calibri" w:eastAsia="Calibri" w:hAnsi="Calibri" w:cs="Calibri" w:hint="default"/>
        <w:b w:val="0"/>
        <w:bCs w:val="0"/>
        <w:i w:val="0"/>
        <w:iCs w:val="0"/>
        <w:w w:val="100"/>
        <w:sz w:val="20"/>
        <w:szCs w:val="20"/>
        <w:lang w:val="en-US" w:eastAsia="en-US" w:bidi="ar-SA"/>
      </w:rPr>
    </w:lvl>
    <w:lvl w:ilvl="1" w:tplc="D2D4C320">
      <w:numFmt w:val="bullet"/>
      <w:lvlText w:val="•"/>
      <w:lvlJc w:val="left"/>
      <w:pPr>
        <w:ind w:left="1810" w:hanging="360"/>
      </w:pPr>
      <w:rPr>
        <w:rFonts w:hint="default"/>
        <w:lang w:val="en-US" w:eastAsia="en-US" w:bidi="ar-SA"/>
      </w:rPr>
    </w:lvl>
    <w:lvl w:ilvl="2" w:tplc="5DD08414">
      <w:numFmt w:val="bullet"/>
      <w:lvlText w:val="•"/>
      <w:lvlJc w:val="left"/>
      <w:pPr>
        <w:ind w:left="2681" w:hanging="360"/>
      </w:pPr>
      <w:rPr>
        <w:rFonts w:hint="default"/>
        <w:lang w:val="en-US" w:eastAsia="en-US" w:bidi="ar-SA"/>
      </w:rPr>
    </w:lvl>
    <w:lvl w:ilvl="3" w:tplc="515A4BAC">
      <w:numFmt w:val="bullet"/>
      <w:lvlText w:val="•"/>
      <w:lvlJc w:val="left"/>
      <w:pPr>
        <w:ind w:left="3551" w:hanging="360"/>
      </w:pPr>
      <w:rPr>
        <w:rFonts w:hint="default"/>
        <w:lang w:val="en-US" w:eastAsia="en-US" w:bidi="ar-SA"/>
      </w:rPr>
    </w:lvl>
    <w:lvl w:ilvl="4" w:tplc="86E6C384">
      <w:numFmt w:val="bullet"/>
      <w:lvlText w:val="•"/>
      <w:lvlJc w:val="left"/>
      <w:pPr>
        <w:ind w:left="4422" w:hanging="360"/>
      </w:pPr>
      <w:rPr>
        <w:rFonts w:hint="default"/>
        <w:lang w:val="en-US" w:eastAsia="en-US" w:bidi="ar-SA"/>
      </w:rPr>
    </w:lvl>
    <w:lvl w:ilvl="5" w:tplc="42E01898">
      <w:numFmt w:val="bullet"/>
      <w:lvlText w:val="•"/>
      <w:lvlJc w:val="left"/>
      <w:pPr>
        <w:ind w:left="5293" w:hanging="360"/>
      </w:pPr>
      <w:rPr>
        <w:rFonts w:hint="default"/>
        <w:lang w:val="en-US" w:eastAsia="en-US" w:bidi="ar-SA"/>
      </w:rPr>
    </w:lvl>
    <w:lvl w:ilvl="6" w:tplc="F58482FE">
      <w:numFmt w:val="bullet"/>
      <w:lvlText w:val="•"/>
      <w:lvlJc w:val="left"/>
      <w:pPr>
        <w:ind w:left="6163" w:hanging="360"/>
      </w:pPr>
      <w:rPr>
        <w:rFonts w:hint="default"/>
        <w:lang w:val="en-US" w:eastAsia="en-US" w:bidi="ar-SA"/>
      </w:rPr>
    </w:lvl>
    <w:lvl w:ilvl="7" w:tplc="EB1AEBEE">
      <w:numFmt w:val="bullet"/>
      <w:lvlText w:val="•"/>
      <w:lvlJc w:val="left"/>
      <w:pPr>
        <w:ind w:left="7034" w:hanging="360"/>
      </w:pPr>
      <w:rPr>
        <w:rFonts w:hint="default"/>
        <w:lang w:val="en-US" w:eastAsia="en-US" w:bidi="ar-SA"/>
      </w:rPr>
    </w:lvl>
    <w:lvl w:ilvl="8" w:tplc="9EB4CD58">
      <w:numFmt w:val="bullet"/>
      <w:lvlText w:val="•"/>
      <w:lvlJc w:val="left"/>
      <w:pPr>
        <w:ind w:left="7905" w:hanging="360"/>
      </w:pPr>
      <w:rPr>
        <w:rFonts w:hint="default"/>
        <w:lang w:val="en-US" w:eastAsia="en-US" w:bidi="ar-SA"/>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519F2"/>
    <w:multiLevelType w:val="hybridMultilevel"/>
    <w:tmpl w:val="D48A60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4A36DC"/>
    <w:multiLevelType w:val="hybridMultilevel"/>
    <w:tmpl w:val="8F58B0D8"/>
    <w:lvl w:ilvl="0" w:tplc="0C9878B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93CEA"/>
    <w:multiLevelType w:val="hybridMultilevel"/>
    <w:tmpl w:val="2B98AE04"/>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0" w15:restartNumberingAfterBreak="0">
    <w:nsid w:val="27774217"/>
    <w:multiLevelType w:val="hybridMultilevel"/>
    <w:tmpl w:val="0D0619BA"/>
    <w:lvl w:ilvl="0" w:tplc="A3C42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75966"/>
    <w:multiLevelType w:val="hybridMultilevel"/>
    <w:tmpl w:val="91B2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7B4333"/>
    <w:multiLevelType w:val="hybridMultilevel"/>
    <w:tmpl w:val="59708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09727D"/>
    <w:multiLevelType w:val="hybridMultilevel"/>
    <w:tmpl w:val="E6A6FC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54F2F5D"/>
    <w:multiLevelType w:val="hybridMultilevel"/>
    <w:tmpl w:val="18EA5302"/>
    <w:lvl w:ilvl="0" w:tplc="E59C356C">
      <w:start w:val="1"/>
      <w:numFmt w:val="decimal"/>
      <w:lvlText w:val="%1."/>
      <w:lvlJc w:val="left"/>
      <w:pPr>
        <w:ind w:left="939" w:hanging="360"/>
      </w:pPr>
      <w:rPr>
        <w:rFonts w:ascii="Calibri" w:eastAsia="Calibri" w:hAnsi="Calibri" w:cs="Calibri" w:hint="default"/>
        <w:b w:val="0"/>
        <w:bCs w:val="0"/>
        <w:i w:val="0"/>
        <w:iCs w:val="0"/>
        <w:w w:val="100"/>
        <w:sz w:val="20"/>
        <w:szCs w:val="20"/>
        <w:lang w:val="en-US" w:eastAsia="en-US" w:bidi="ar-SA"/>
      </w:rPr>
    </w:lvl>
    <w:lvl w:ilvl="1" w:tplc="D2D4C320">
      <w:numFmt w:val="bullet"/>
      <w:lvlText w:val="•"/>
      <w:lvlJc w:val="left"/>
      <w:pPr>
        <w:ind w:left="1810" w:hanging="360"/>
      </w:pPr>
      <w:rPr>
        <w:rFonts w:hint="default"/>
        <w:lang w:val="en-US" w:eastAsia="en-US" w:bidi="ar-SA"/>
      </w:rPr>
    </w:lvl>
    <w:lvl w:ilvl="2" w:tplc="5DD08414">
      <w:numFmt w:val="bullet"/>
      <w:lvlText w:val="•"/>
      <w:lvlJc w:val="left"/>
      <w:pPr>
        <w:ind w:left="2681" w:hanging="360"/>
      </w:pPr>
      <w:rPr>
        <w:rFonts w:hint="default"/>
        <w:lang w:val="en-US" w:eastAsia="en-US" w:bidi="ar-SA"/>
      </w:rPr>
    </w:lvl>
    <w:lvl w:ilvl="3" w:tplc="515A4BAC">
      <w:numFmt w:val="bullet"/>
      <w:lvlText w:val="•"/>
      <w:lvlJc w:val="left"/>
      <w:pPr>
        <w:ind w:left="3551" w:hanging="360"/>
      </w:pPr>
      <w:rPr>
        <w:rFonts w:hint="default"/>
        <w:lang w:val="en-US" w:eastAsia="en-US" w:bidi="ar-SA"/>
      </w:rPr>
    </w:lvl>
    <w:lvl w:ilvl="4" w:tplc="86E6C384">
      <w:numFmt w:val="bullet"/>
      <w:lvlText w:val="•"/>
      <w:lvlJc w:val="left"/>
      <w:pPr>
        <w:ind w:left="4422" w:hanging="360"/>
      </w:pPr>
      <w:rPr>
        <w:rFonts w:hint="default"/>
        <w:lang w:val="en-US" w:eastAsia="en-US" w:bidi="ar-SA"/>
      </w:rPr>
    </w:lvl>
    <w:lvl w:ilvl="5" w:tplc="42E01898">
      <w:numFmt w:val="bullet"/>
      <w:lvlText w:val="•"/>
      <w:lvlJc w:val="left"/>
      <w:pPr>
        <w:ind w:left="5293" w:hanging="360"/>
      </w:pPr>
      <w:rPr>
        <w:rFonts w:hint="default"/>
        <w:lang w:val="en-US" w:eastAsia="en-US" w:bidi="ar-SA"/>
      </w:rPr>
    </w:lvl>
    <w:lvl w:ilvl="6" w:tplc="F58482FE">
      <w:numFmt w:val="bullet"/>
      <w:lvlText w:val="•"/>
      <w:lvlJc w:val="left"/>
      <w:pPr>
        <w:ind w:left="6163" w:hanging="360"/>
      </w:pPr>
      <w:rPr>
        <w:rFonts w:hint="default"/>
        <w:lang w:val="en-US" w:eastAsia="en-US" w:bidi="ar-SA"/>
      </w:rPr>
    </w:lvl>
    <w:lvl w:ilvl="7" w:tplc="EB1AEBEE">
      <w:numFmt w:val="bullet"/>
      <w:lvlText w:val="•"/>
      <w:lvlJc w:val="left"/>
      <w:pPr>
        <w:ind w:left="7034" w:hanging="360"/>
      </w:pPr>
      <w:rPr>
        <w:rFonts w:hint="default"/>
        <w:lang w:val="en-US" w:eastAsia="en-US" w:bidi="ar-SA"/>
      </w:rPr>
    </w:lvl>
    <w:lvl w:ilvl="8" w:tplc="9EB4CD58">
      <w:numFmt w:val="bullet"/>
      <w:lvlText w:val="•"/>
      <w:lvlJc w:val="left"/>
      <w:pPr>
        <w:ind w:left="7905" w:hanging="360"/>
      </w:pPr>
      <w:rPr>
        <w:rFonts w:hint="default"/>
        <w:lang w:val="en-US" w:eastAsia="en-US" w:bidi="ar-SA"/>
      </w:rPr>
    </w:lvl>
  </w:abstractNum>
  <w:abstractNum w:abstractNumId="16"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2F411B1"/>
    <w:multiLevelType w:val="hybridMultilevel"/>
    <w:tmpl w:val="F0AEC184"/>
    <w:lvl w:ilvl="0" w:tplc="B7EAFA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7383E"/>
    <w:multiLevelType w:val="hybridMultilevel"/>
    <w:tmpl w:val="DF8212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0B6D1E"/>
    <w:multiLevelType w:val="hybridMultilevel"/>
    <w:tmpl w:val="6404794A"/>
    <w:lvl w:ilvl="0" w:tplc="93409F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61661CB"/>
    <w:multiLevelType w:val="hybridMultilevel"/>
    <w:tmpl w:val="0D0619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7B754A"/>
    <w:multiLevelType w:val="hybridMultilevel"/>
    <w:tmpl w:val="AC548E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141CC"/>
    <w:multiLevelType w:val="hybridMultilevel"/>
    <w:tmpl w:val="FC6E99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601098"/>
    <w:multiLevelType w:val="hybridMultilevel"/>
    <w:tmpl w:val="A3C41DD8"/>
    <w:lvl w:ilvl="0" w:tplc="3E0E1BB0">
      <w:start w:val="40"/>
      <w:numFmt w:val="decimal"/>
      <w:lvlText w:val="%1."/>
      <w:lvlJc w:val="left"/>
      <w:pPr>
        <w:ind w:left="579" w:hanging="360"/>
      </w:pPr>
      <w:rPr>
        <w:rFonts w:ascii="Calibri" w:eastAsia="Calibri" w:hAnsi="Calibri" w:cs="Calibri" w:hint="default"/>
        <w:b/>
        <w:bCs/>
        <w:i w:val="0"/>
        <w:iCs w:val="0"/>
        <w:spacing w:val="-1"/>
        <w:w w:val="100"/>
        <w:sz w:val="20"/>
        <w:szCs w:val="20"/>
        <w:lang w:val="en-US" w:eastAsia="en-US" w:bidi="ar-SA"/>
      </w:rPr>
    </w:lvl>
    <w:lvl w:ilvl="1" w:tplc="75688F14">
      <w:numFmt w:val="bullet"/>
      <w:lvlText w:val="•"/>
      <w:lvlJc w:val="left"/>
      <w:pPr>
        <w:ind w:left="1074" w:hanging="316"/>
      </w:pPr>
      <w:rPr>
        <w:rFonts w:ascii="Calibri" w:eastAsia="Calibri" w:hAnsi="Calibri" w:cs="Calibri" w:hint="default"/>
        <w:b w:val="0"/>
        <w:bCs w:val="0"/>
        <w:i w:val="0"/>
        <w:iCs w:val="0"/>
        <w:w w:val="100"/>
        <w:sz w:val="20"/>
        <w:szCs w:val="20"/>
        <w:lang w:val="en-US" w:eastAsia="en-US" w:bidi="ar-SA"/>
      </w:rPr>
    </w:lvl>
    <w:lvl w:ilvl="2" w:tplc="64DCB366">
      <w:numFmt w:val="bullet"/>
      <w:lvlText w:val="o"/>
      <w:lvlJc w:val="left"/>
      <w:pPr>
        <w:ind w:left="1356" w:hanging="282"/>
      </w:pPr>
      <w:rPr>
        <w:rFonts w:ascii="Courier New" w:eastAsia="Courier New" w:hAnsi="Courier New" w:cs="Courier New" w:hint="default"/>
        <w:b w:val="0"/>
        <w:bCs w:val="0"/>
        <w:i w:val="0"/>
        <w:iCs w:val="0"/>
        <w:w w:val="100"/>
        <w:sz w:val="20"/>
        <w:szCs w:val="20"/>
        <w:lang w:val="en-US" w:eastAsia="en-US" w:bidi="ar-SA"/>
      </w:rPr>
    </w:lvl>
    <w:lvl w:ilvl="3" w:tplc="F8DEF204">
      <w:numFmt w:val="bullet"/>
      <w:lvlText w:val="•"/>
      <w:lvlJc w:val="left"/>
      <w:pPr>
        <w:ind w:left="2395" w:hanging="282"/>
      </w:pPr>
      <w:rPr>
        <w:rFonts w:hint="default"/>
        <w:lang w:val="en-US" w:eastAsia="en-US" w:bidi="ar-SA"/>
      </w:rPr>
    </w:lvl>
    <w:lvl w:ilvl="4" w:tplc="44109996">
      <w:numFmt w:val="bullet"/>
      <w:lvlText w:val="•"/>
      <w:lvlJc w:val="left"/>
      <w:pPr>
        <w:ind w:left="3431" w:hanging="282"/>
      </w:pPr>
      <w:rPr>
        <w:rFonts w:hint="default"/>
        <w:lang w:val="en-US" w:eastAsia="en-US" w:bidi="ar-SA"/>
      </w:rPr>
    </w:lvl>
    <w:lvl w:ilvl="5" w:tplc="BB565B10">
      <w:numFmt w:val="bullet"/>
      <w:lvlText w:val="•"/>
      <w:lvlJc w:val="left"/>
      <w:pPr>
        <w:ind w:left="4467" w:hanging="282"/>
      </w:pPr>
      <w:rPr>
        <w:rFonts w:hint="default"/>
        <w:lang w:val="en-US" w:eastAsia="en-US" w:bidi="ar-SA"/>
      </w:rPr>
    </w:lvl>
    <w:lvl w:ilvl="6" w:tplc="03426D74">
      <w:numFmt w:val="bullet"/>
      <w:lvlText w:val="•"/>
      <w:lvlJc w:val="left"/>
      <w:pPr>
        <w:ind w:left="5503" w:hanging="282"/>
      </w:pPr>
      <w:rPr>
        <w:rFonts w:hint="default"/>
        <w:lang w:val="en-US" w:eastAsia="en-US" w:bidi="ar-SA"/>
      </w:rPr>
    </w:lvl>
    <w:lvl w:ilvl="7" w:tplc="96DAD8E8">
      <w:numFmt w:val="bullet"/>
      <w:lvlText w:val="•"/>
      <w:lvlJc w:val="left"/>
      <w:pPr>
        <w:ind w:left="6539" w:hanging="282"/>
      </w:pPr>
      <w:rPr>
        <w:rFonts w:hint="default"/>
        <w:lang w:val="en-US" w:eastAsia="en-US" w:bidi="ar-SA"/>
      </w:rPr>
    </w:lvl>
    <w:lvl w:ilvl="8" w:tplc="BF3C0386">
      <w:numFmt w:val="bullet"/>
      <w:lvlText w:val="•"/>
      <w:lvlJc w:val="left"/>
      <w:pPr>
        <w:ind w:left="7574" w:hanging="282"/>
      </w:pPr>
      <w:rPr>
        <w:rFonts w:hint="default"/>
        <w:lang w:val="en-US" w:eastAsia="en-US" w:bidi="ar-SA"/>
      </w:rPr>
    </w:lvl>
  </w:abstractNum>
  <w:abstractNum w:abstractNumId="2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67356D"/>
    <w:multiLevelType w:val="hybridMultilevel"/>
    <w:tmpl w:val="973A0EF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9883386"/>
    <w:multiLevelType w:val="hybridMultilevel"/>
    <w:tmpl w:val="D64EF0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DAE4374"/>
    <w:multiLevelType w:val="hybridMultilevel"/>
    <w:tmpl w:val="0388CB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960495895">
    <w:abstractNumId w:val="17"/>
  </w:num>
  <w:num w:numId="2" w16cid:durableId="1662000570">
    <w:abstractNumId w:val="30"/>
  </w:num>
  <w:num w:numId="3" w16cid:durableId="1595095088">
    <w:abstractNumId w:val="2"/>
  </w:num>
  <w:num w:numId="4" w16cid:durableId="1954245710">
    <w:abstractNumId w:val="28"/>
  </w:num>
  <w:num w:numId="5" w16cid:durableId="111750170">
    <w:abstractNumId w:val="5"/>
  </w:num>
  <w:num w:numId="6" w16cid:durableId="1786777329">
    <w:abstractNumId w:val="23"/>
  </w:num>
  <w:num w:numId="7" w16cid:durableId="1031304542">
    <w:abstractNumId w:val="13"/>
  </w:num>
  <w:num w:numId="8" w16cid:durableId="668484231">
    <w:abstractNumId w:val="29"/>
  </w:num>
  <w:num w:numId="9" w16cid:durableId="2136752254">
    <w:abstractNumId w:val="4"/>
  </w:num>
  <w:num w:numId="10" w16cid:durableId="2054692133">
    <w:abstractNumId w:val="26"/>
  </w:num>
  <w:num w:numId="11" w16cid:durableId="1619722492">
    <w:abstractNumId w:val="8"/>
  </w:num>
  <w:num w:numId="12" w16cid:durableId="753431247">
    <w:abstractNumId w:val="24"/>
  </w:num>
  <w:num w:numId="13" w16cid:durableId="1228152000">
    <w:abstractNumId w:val="6"/>
  </w:num>
  <w:num w:numId="14" w16cid:durableId="13389111">
    <w:abstractNumId w:val="16"/>
  </w:num>
  <w:num w:numId="15" w16cid:durableId="1136676139">
    <w:abstractNumId w:val="1"/>
  </w:num>
  <w:num w:numId="16" w16cid:durableId="1418474618">
    <w:abstractNumId w:val="0"/>
  </w:num>
  <w:num w:numId="17" w16cid:durableId="338777592">
    <w:abstractNumId w:val="27"/>
  </w:num>
  <w:num w:numId="18" w16cid:durableId="1811897844">
    <w:abstractNumId w:val="25"/>
  </w:num>
  <w:num w:numId="19" w16cid:durableId="1981762489">
    <w:abstractNumId w:val="19"/>
  </w:num>
  <w:num w:numId="20" w16cid:durableId="1360164208">
    <w:abstractNumId w:val="33"/>
  </w:num>
  <w:num w:numId="21" w16cid:durableId="802888116">
    <w:abstractNumId w:val="20"/>
  </w:num>
  <w:num w:numId="22" w16cid:durableId="1353727955">
    <w:abstractNumId w:val="22"/>
  </w:num>
  <w:num w:numId="23" w16cid:durableId="1615477373">
    <w:abstractNumId w:val="10"/>
  </w:num>
  <w:num w:numId="24" w16cid:durableId="706757616">
    <w:abstractNumId w:val="9"/>
  </w:num>
  <w:num w:numId="25" w16cid:durableId="1366981005">
    <w:abstractNumId w:val="31"/>
  </w:num>
  <w:num w:numId="26" w16cid:durableId="1271275072">
    <w:abstractNumId w:val="3"/>
  </w:num>
  <w:num w:numId="27" w16cid:durableId="535040998">
    <w:abstractNumId w:val="18"/>
  </w:num>
  <w:num w:numId="28" w16cid:durableId="1717658959">
    <w:abstractNumId w:val="11"/>
  </w:num>
  <w:num w:numId="29" w16cid:durableId="779030659">
    <w:abstractNumId w:val="12"/>
  </w:num>
  <w:num w:numId="30" w16cid:durableId="998509016">
    <w:abstractNumId w:val="7"/>
  </w:num>
  <w:num w:numId="31" w16cid:durableId="1060399743">
    <w:abstractNumId w:val="14"/>
  </w:num>
  <w:num w:numId="32" w16cid:durableId="1954823063">
    <w:abstractNumId w:val="21"/>
  </w:num>
  <w:num w:numId="33" w16cid:durableId="828904203">
    <w:abstractNumId w:val="32"/>
  </w:num>
  <w:num w:numId="34" w16cid:durableId="79371300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ew England J Medicin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a2xz5tmwatawezss9vrteztavaxffdtd50&quot;&gt;TECARTUS RR ALL&lt;record-ids&gt;&lt;item&gt;1&lt;/item&gt;&lt;item&gt;2&lt;/item&gt;&lt;item&gt;3&lt;/item&gt;&lt;item&gt;4&lt;/item&gt;&lt;item&gt;5&lt;/item&gt;&lt;item&gt;7&lt;/item&gt;&lt;item&gt;8&lt;/item&gt;&lt;item&gt;9&lt;/item&gt;&lt;item&gt;10&lt;/item&gt;&lt;item&gt;11&lt;/item&gt;&lt;item&gt;13&lt;/item&gt;&lt;item&gt;14&lt;/item&gt;&lt;item&gt;15&lt;/item&gt;&lt;/record-ids&gt;&lt;/item&gt;&lt;/Libraries&gt;"/>
  </w:docVars>
  <w:rsids>
    <w:rsidRoot w:val="00BF6AC5"/>
    <w:rsid w:val="000034E5"/>
    <w:rsid w:val="00005B53"/>
    <w:rsid w:val="00006ABA"/>
    <w:rsid w:val="00006C45"/>
    <w:rsid w:val="00007ABC"/>
    <w:rsid w:val="000110DC"/>
    <w:rsid w:val="000158AA"/>
    <w:rsid w:val="000159B9"/>
    <w:rsid w:val="00016A76"/>
    <w:rsid w:val="00016B6E"/>
    <w:rsid w:val="00022978"/>
    <w:rsid w:val="00023E21"/>
    <w:rsid w:val="00025ABC"/>
    <w:rsid w:val="00026412"/>
    <w:rsid w:val="0003034F"/>
    <w:rsid w:val="00031F6F"/>
    <w:rsid w:val="000322FD"/>
    <w:rsid w:val="00032361"/>
    <w:rsid w:val="00032DF5"/>
    <w:rsid w:val="0003467E"/>
    <w:rsid w:val="00034D6E"/>
    <w:rsid w:val="00035B94"/>
    <w:rsid w:val="0004245F"/>
    <w:rsid w:val="0004466F"/>
    <w:rsid w:val="00044A8F"/>
    <w:rsid w:val="00045480"/>
    <w:rsid w:val="0005089D"/>
    <w:rsid w:val="000511B3"/>
    <w:rsid w:val="000525BC"/>
    <w:rsid w:val="00056F06"/>
    <w:rsid w:val="00062104"/>
    <w:rsid w:val="00063FF4"/>
    <w:rsid w:val="00072BEC"/>
    <w:rsid w:val="00073222"/>
    <w:rsid w:val="000770BA"/>
    <w:rsid w:val="00081837"/>
    <w:rsid w:val="00082B62"/>
    <w:rsid w:val="0008323F"/>
    <w:rsid w:val="00083B14"/>
    <w:rsid w:val="00084B1C"/>
    <w:rsid w:val="00092580"/>
    <w:rsid w:val="00093F22"/>
    <w:rsid w:val="000955E7"/>
    <w:rsid w:val="00095B45"/>
    <w:rsid w:val="000960FE"/>
    <w:rsid w:val="000A0928"/>
    <w:rsid w:val="000A110D"/>
    <w:rsid w:val="000A478F"/>
    <w:rsid w:val="000A5B32"/>
    <w:rsid w:val="000A7C4E"/>
    <w:rsid w:val="000B12FA"/>
    <w:rsid w:val="000B3CD0"/>
    <w:rsid w:val="000B71EB"/>
    <w:rsid w:val="000C2F70"/>
    <w:rsid w:val="000D066E"/>
    <w:rsid w:val="000D0831"/>
    <w:rsid w:val="000D1CBD"/>
    <w:rsid w:val="000E2E02"/>
    <w:rsid w:val="000E47E7"/>
    <w:rsid w:val="000E5439"/>
    <w:rsid w:val="000F3129"/>
    <w:rsid w:val="000F340D"/>
    <w:rsid w:val="00102686"/>
    <w:rsid w:val="00107459"/>
    <w:rsid w:val="00110264"/>
    <w:rsid w:val="0011036E"/>
    <w:rsid w:val="001122FD"/>
    <w:rsid w:val="001130B0"/>
    <w:rsid w:val="0011369B"/>
    <w:rsid w:val="001141ED"/>
    <w:rsid w:val="001172B6"/>
    <w:rsid w:val="0011742E"/>
    <w:rsid w:val="001238BD"/>
    <w:rsid w:val="00123D10"/>
    <w:rsid w:val="00124809"/>
    <w:rsid w:val="00126B33"/>
    <w:rsid w:val="00127637"/>
    <w:rsid w:val="00133CC7"/>
    <w:rsid w:val="00141C12"/>
    <w:rsid w:val="00146160"/>
    <w:rsid w:val="00147AB0"/>
    <w:rsid w:val="001543FD"/>
    <w:rsid w:val="00154B00"/>
    <w:rsid w:val="00156969"/>
    <w:rsid w:val="00157F80"/>
    <w:rsid w:val="001644E9"/>
    <w:rsid w:val="00166047"/>
    <w:rsid w:val="00172065"/>
    <w:rsid w:val="00173012"/>
    <w:rsid w:val="00176C14"/>
    <w:rsid w:val="001845D9"/>
    <w:rsid w:val="00185675"/>
    <w:rsid w:val="0018630F"/>
    <w:rsid w:val="00186E17"/>
    <w:rsid w:val="001906CD"/>
    <w:rsid w:val="00191B99"/>
    <w:rsid w:val="0019694B"/>
    <w:rsid w:val="001971DF"/>
    <w:rsid w:val="00197D29"/>
    <w:rsid w:val="001A02E3"/>
    <w:rsid w:val="001A1ADF"/>
    <w:rsid w:val="001A365C"/>
    <w:rsid w:val="001A37C5"/>
    <w:rsid w:val="001A46B2"/>
    <w:rsid w:val="001A6CC4"/>
    <w:rsid w:val="001B0DC7"/>
    <w:rsid w:val="001B171D"/>
    <w:rsid w:val="001B29A1"/>
    <w:rsid w:val="001B3A6F"/>
    <w:rsid w:val="001B5169"/>
    <w:rsid w:val="001B6164"/>
    <w:rsid w:val="001B7CB8"/>
    <w:rsid w:val="001C579F"/>
    <w:rsid w:val="001C7E51"/>
    <w:rsid w:val="001D317C"/>
    <w:rsid w:val="001D77ED"/>
    <w:rsid w:val="001E1180"/>
    <w:rsid w:val="001E23EA"/>
    <w:rsid w:val="001E379F"/>
    <w:rsid w:val="001E4482"/>
    <w:rsid w:val="001E520F"/>
    <w:rsid w:val="001E6381"/>
    <w:rsid w:val="001E6919"/>
    <w:rsid w:val="001E6958"/>
    <w:rsid w:val="001F0AAD"/>
    <w:rsid w:val="001F779D"/>
    <w:rsid w:val="00201924"/>
    <w:rsid w:val="00202473"/>
    <w:rsid w:val="002053F2"/>
    <w:rsid w:val="00206D63"/>
    <w:rsid w:val="002112B9"/>
    <w:rsid w:val="0021185D"/>
    <w:rsid w:val="002232CC"/>
    <w:rsid w:val="00224DC7"/>
    <w:rsid w:val="00226777"/>
    <w:rsid w:val="00226E08"/>
    <w:rsid w:val="00230973"/>
    <w:rsid w:val="002309F7"/>
    <w:rsid w:val="00230A0D"/>
    <w:rsid w:val="00230C5C"/>
    <w:rsid w:val="00235BD1"/>
    <w:rsid w:val="00237B4F"/>
    <w:rsid w:val="00242A01"/>
    <w:rsid w:val="00242B0E"/>
    <w:rsid w:val="00247DF0"/>
    <w:rsid w:val="0025022D"/>
    <w:rsid w:val="00252BF3"/>
    <w:rsid w:val="00254813"/>
    <w:rsid w:val="00257FF2"/>
    <w:rsid w:val="002643FE"/>
    <w:rsid w:val="00265822"/>
    <w:rsid w:val="0027105F"/>
    <w:rsid w:val="002711FB"/>
    <w:rsid w:val="00271BE4"/>
    <w:rsid w:val="00273515"/>
    <w:rsid w:val="0027548C"/>
    <w:rsid w:val="0028052F"/>
    <w:rsid w:val="00282B37"/>
    <w:rsid w:val="00282BE8"/>
    <w:rsid w:val="00283318"/>
    <w:rsid w:val="00285525"/>
    <w:rsid w:val="00285DBA"/>
    <w:rsid w:val="00287170"/>
    <w:rsid w:val="00287C14"/>
    <w:rsid w:val="00292B49"/>
    <w:rsid w:val="00294CD8"/>
    <w:rsid w:val="002952FC"/>
    <w:rsid w:val="00295458"/>
    <w:rsid w:val="00296405"/>
    <w:rsid w:val="002A270B"/>
    <w:rsid w:val="002A50FD"/>
    <w:rsid w:val="002A5834"/>
    <w:rsid w:val="002A6753"/>
    <w:rsid w:val="002B28D7"/>
    <w:rsid w:val="002B7EB6"/>
    <w:rsid w:val="002C0B61"/>
    <w:rsid w:val="002C15E6"/>
    <w:rsid w:val="002C164B"/>
    <w:rsid w:val="002C247D"/>
    <w:rsid w:val="002C2BFE"/>
    <w:rsid w:val="002C3345"/>
    <w:rsid w:val="002D409A"/>
    <w:rsid w:val="002D4447"/>
    <w:rsid w:val="002D4BCE"/>
    <w:rsid w:val="002D4BFC"/>
    <w:rsid w:val="002D4E54"/>
    <w:rsid w:val="002E01B8"/>
    <w:rsid w:val="002E0843"/>
    <w:rsid w:val="002E6E2A"/>
    <w:rsid w:val="002F30E7"/>
    <w:rsid w:val="00300EEB"/>
    <w:rsid w:val="00301392"/>
    <w:rsid w:val="003013A9"/>
    <w:rsid w:val="00301958"/>
    <w:rsid w:val="003020B5"/>
    <w:rsid w:val="003027BB"/>
    <w:rsid w:val="0030475F"/>
    <w:rsid w:val="00304D9C"/>
    <w:rsid w:val="00307047"/>
    <w:rsid w:val="00310A10"/>
    <w:rsid w:val="003163AF"/>
    <w:rsid w:val="003234E9"/>
    <w:rsid w:val="00327D25"/>
    <w:rsid w:val="003319A7"/>
    <w:rsid w:val="00334FE3"/>
    <w:rsid w:val="00337F62"/>
    <w:rsid w:val="00341087"/>
    <w:rsid w:val="0034112E"/>
    <w:rsid w:val="003421AE"/>
    <w:rsid w:val="003433D1"/>
    <w:rsid w:val="00344B24"/>
    <w:rsid w:val="003453EC"/>
    <w:rsid w:val="003456B9"/>
    <w:rsid w:val="0035067D"/>
    <w:rsid w:val="00353162"/>
    <w:rsid w:val="00353A16"/>
    <w:rsid w:val="00354F28"/>
    <w:rsid w:val="0035776D"/>
    <w:rsid w:val="00364FD9"/>
    <w:rsid w:val="00367C1B"/>
    <w:rsid w:val="00375817"/>
    <w:rsid w:val="00376B61"/>
    <w:rsid w:val="003771D3"/>
    <w:rsid w:val="00382407"/>
    <w:rsid w:val="003863FF"/>
    <w:rsid w:val="003864C7"/>
    <w:rsid w:val="00386A64"/>
    <w:rsid w:val="00386FA1"/>
    <w:rsid w:val="00390142"/>
    <w:rsid w:val="003904AC"/>
    <w:rsid w:val="00391A8D"/>
    <w:rsid w:val="003923FC"/>
    <w:rsid w:val="00392F00"/>
    <w:rsid w:val="00397377"/>
    <w:rsid w:val="003A0571"/>
    <w:rsid w:val="003A22DE"/>
    <w:rsid w:val="003A2860"/>
    <w:rsid w:val="003A3C35"/>
    <w:rsid w:val="003A7D30"/>
    <w:rsid w:val="003B3C5C"/>
    <w:rsid w:val="003B605D"/>
    <w:rsid w:val="003C07A0"/>
    <w:rsid w:val="003C1C5A"/>
    <w:rsid w:val="003C47CA"/>
    <w:rsid w:val="003C5212"/>
    <w:rsid w:val="003D0499"/>
    <w:rsid w:val="003D2577"/>
    <w:rsid w:val="003D6DE1"/>
    <w:rsid w:val="003D795C"/>
    <w:rsid w:val="003E2774"/>
    <w:rsid w:val="003E2BC8"/>
    <w:rsid w:val="003E30FB"/>
    <w:rsid w:val="003E3118"/>
    <w:rsid w:val="003F115D"/>
    <w:rsid w:val="003F2711"/>
    <w:rsid w:val="003F2DB4"/>
    <w:rsid w:val="003F56B8"/>
    <w:rsid w:val="003F6C70"/>
    <w:rsid w:val="003F7CB9"/>
    <w:rsid w:val="00402C5F"/>
    <w:rsid w:val="00403333"/>
    <w:rsid w:val="00404AD3"/>
    <w:rsid w:val="004052F2"/>
    <w:rsid w:val="004116C2"/>
    <w:rsid w:val="00411735"/>
    <w:rsid w:val="00412695"/>
    <w:rsid w:val="00415C74"/>
    <w:rsid w:val="00417914"/>
    <w:rsid w:val="00421503"/>
    <w:rsid w:val="004314B5"/>
    <w:rsid w:val="004330F3"/>
    <w:rsid w:val="0043654D"/>
    <w:rsid w:val="00437F60"/>
    <w:rsid w:val="0044007C"/>
    <w:rsid w:val="004471B6"/>
    <w:rsid w:val="00447928"/>
    <w:rsid w:val="00451840"/>
    <w:rsid w:val="00455919"/>
    <w:rsid w:val="0046041E"/>
    <w:rsid w:val="00460C9A"/>
    <w:rsid w:val="00463FCA"/>
    <w:rsid w:val="00464924"/>
    <w:rsid w:val="00472946"/>
    <w:rsid w:val="0047322B"/>
    <w:rsid w:val="0047363C"/>
    <w:rsid w:val="0047484A"/>
    <w:rsid w:val="004755E5"/>
    <w:rsid w:val="0047581D"/>
    <w:rsid w:val="004779AA"/>
    <w:rsid w:val="00480289"/>
    <w:rsid w:val="00481279"/>
    <w:rsid w:val="00483368"/>
    <w:rsid w:val="00484CAD"/>
    <w:rsid w:val="00487B2A"/>
    <w:rsid w:val="00490F23"/>
    <w:rsid w:val="004910C6"/>
    <w:rsid w:val="00491AAE"/>
    <w:rsid w:val="00492BCA"/>
    <w:rsid w:val="00494011"/>
    <w:rsid w:val="0049490B"/>
    <w:rsid w:val="00495379"/>
    <w:rsid w:val="004955BF"/>
    <w:rsid w:val="0049560E"/>
    <w:rsid w:val="0049703C"/>
    <w:rsid w:val="004A03EC"/>
    <w:rsid w:val="004A0BF4"/>
    <w:rsid w:val="004A263B"/>
    <w:rsid w:val="004A63C9"/>
    <w:rsid w:val="004B1547"/>
    <w:rsid w:val="004B362D"/>
    <w:rsid w:val="004B68AE"/>
    <w:rsid w:val="004C1F66"/>
    <w:rsid w:val="004C35B0"/>
    <w:rsid w:val="004C49EF"/>
    <w:rsid w:val="004C4A19"/>
    <w:rsid w:val="004C5570"/>
    <w:rsid w:val="004D00C9"/>
    <w:rsid w:val="004D34FE"/>
    <w:rsid w:val="004D3846"/>
    <w:rsid w:val="004E16F5"/>
    <w:rsid w:val="004E3CC7"/>
    <w:rsid w:val="004E5B69"/>
    <w:rsid w:val="004E71F0"/>
    <w:rsid w:val="004F0CEF"/>
    <w:rsid w:val="004F2A87"/>
    <w:rsid w:val="00502001"/>
    <w:rsid w:val="00504AB7"/>
    <w:rsid w:val="00505F4B"/>
    <w:rsid w:val="00507C56"/>
    <w:rsid w:val="0052344E"/>
    <w:rsid w:val="00525981"/>
    <w:rsid w:val="00526478"/>
    <w:rsid w:val="005272F8"/>
    <w:rsid w:val="00530204"/>
    <w:rsid w:val="00534C5F"/>
    <w:rsid w:val="00537757"/>
    <w:rsid w:val="00540257"/>
    <w:rsid w:val="0054192F"/>
    <w:rsid w:val="00544EB3"/>
    <w:rsid w:val="0054594B"/>
    <w:rsid w:val="00545EFB"/>
    <w:rsid w:val="00547180"/>
    <w:rsid w:val="0054749B"/>
    <w:rsid w:val="00551CC6"/>
    <w:rsid w:val="00554E7A"/>
    <w:rsid w:val="0056015F"/>
    <w:rsid w:val="00560541"/>
    <w:rsid w:val="00560B7E"/>
    <w:rsid w:val="005615E3"/>
    <w:rsid w:val="00562E46"/>
    <w:rsid w:val="005672D0"/>
    <w:rsid w:val="00567B5E"/>
    <w:rsid w:val="00572CEB"/>
    <w:rsid w:val="005734FF"/>
    <w:rsid w:val="00582165"/>
    <w:rsid w:val="005834C9"/>
    <w:rsid w:val="00585C8D"/>
    <w:rsid w:val="00595440"/>
    <w:rsid w:val="00595764"/>
    <w:rsid w:val="0059684D"/>
    <w:rsid w:val="005970C3"/>
    <w:rsid w:val="005A38DA"/>
    <w:rsid w:val="005A58BA"/>
    <w:rsid w:val="005A5D30"/>
    <w:rsid w:val="005A6AB9"/>
    <w:rsid w:val="005A7322"/>
    <w:rsid w:val="005C055A"/>
    <w:rsid w:val="005C333E"/>
    <w:rsid w:val="005C3989"/>
    <w:rsid w:val="005C3AE7"/>
    <w:rsid w:val="005D0677"/>
    <w:rsid w:val="005D3877"/>
    <w:rsid w:val="005E143B"/>
    <w:rsid w:val="005E2520"/>
    <w:rsid w:val="005E294C"/>
    <w:rsid w:val="005E2CE3"/>
    <w:rsid w:val="005E3382"/>
    <w:rsid w:val="005E7024"/>
    <w:rsid w:val="005F3F07"/>
    <w:rsid w:val="00603D04"/>
    <w:rsid w:val="00605149"/>
    <w:rsid w:val="006055B3"/>
    <w:rsid w:val="00606857"/>
    <w:rsid w:val="00615721"/>
    <w:rsid w:val="00615F42"/>
    <w:rsid w:val="006258C2"/>
    <w:rsid w:val="00626365"/>
    <w:rsid w:val="00630E22"/>
    <w:rsid w:val="006312F5"/>
    <w:rsid w:val="006357F8"/>
    <w:rsid w:val="00636A63"/>
    <w:rsid w:val="00636E73"/>
    <w:rsid w:val="006371E7"/>
    <w:rsid w:val="0064168C"/>
    <w:rsid w:val="00643755"/>
    <w:rsid w:val="006455A5"/>
    <w:rsid w:val="0064588C"/>
    <w:rsid w:val="00657B46"/>
    <w:rsid w:val="00661B0D"/>
    <w:rsid w:val="00663A89"/>
    <w:rsid w:val="00663B9D"/>
    <w:rsid w:val="00671A37"/>
    <w:rsid w:val="006764EC"/>
    <w:rsid w:val="006835FE"/>
    <w:rsid w:val="0068418D"/>
    <w:rsid w:val="00693787"/>
    <w:rsid w:val="00693BFD"/>
    <w:rsid w:val="006946F3"/>
    <w:rsid w:val="00695065"/>
    <w:rsid w:val="006A0A36"/>
    <w:rsid w:val="006A1038"/>
    <w:rsid w:val="006A29F5"/>
    <w:rsid w:val="006A3FFA"/>
    <w:rsid w:val="006A649A"/>
    <w:rsid w:val="006A74CB"/>
    <w:rsid w:val="006B1B49"/>
    <w:rsid w:val="006B3789"/>
    <w:rsid w:val="006B3B98"/>
    <w:rsid w:val="006B3CA2"/>
    <w:rsid w:val="006B6390"/>
    <w:rsid w:val="006C0356"/>
    <w:rsid w:val="006C0843"/>
    <w:rsid w:val="006C5798"/>
    <w:rsid w:val="006C6734"/>
    <w:rsid w:val="006C74B1"/>
    <w:rsid w:val="006E110D"/>
    <w:rsid w:val="006E21E2"/>
    <w:rsid w:val="006E21E9"/>
    <w:rsid w:val="006E5490"/>
    <w:rsid w:val="006E57AA"/>
    <w:rsid w:val="006F20CF"/>
    <w:rsid w:val="006F38ED"/>
    <w:rsid w:val="00700D33"/>
    <w:rsid w:val="0070256F"/>
    <w:rsid w:val="007036BA"/>
    <w:rsid w:val="00704082"/>
    <w:rsid w:val="00707512"/>
    <w:rsid w:val="00707D4D"/>
    <w:rsid w:val="00713D22"/>
    <w:rsid w:val="00723446"/>
    <w:rsid w:val="00723503"/>
    <w:rsid w:val="00723BEF"/>
    <w:rsid w:val="00725E2C"/>
    <w:rsid w:val="00727401"/>
    <w:rsid w:val="0073015C"/>
    <w:rsid w:val="00730C04"/>
    <w:rsid w:val="0073597B"/>
    <w:rsid w:val="007378F6"/>
    <w:rsid w:val="0074545D"/>
    <w:rsid w:val="00745AA8"/>
    <w:rsid w:val="00746D2E"/>
    <w:rsid w:val="007471D5"/>
    <w:rsid w:val="007522E3"/>
    <w:rsid w:val="0075335B"/>
    <w:rsid w:val="00753C44"/>
    <w:rsid w:val="00754383"/>
    <w:rsid w:val="007564D1"/>
    <w:rsid w:val="00757232"/>
    <w:rsid w:val="00760679"/>
    <w:rsid w:val="00763628"/>
    <w:rsid w:val="00763FB4"/>
    <w:rsid w:val="00767E99"/>
    <w:rsid w:val="00770506"/>
    <w:rsid w:val="00772128"/>
    <w:rsid w:val="00772E62"/>
    <w:rsid w:val="00775A6A"/>
    <w:rsid w:val="0077789B"/>
    <w:rsid w:val="00780D29"/>
    <w:rsid w:val="007847A6"/>
    <w:rsid w:val="00785937"/>
    <w:rsid w:val="00790F0C"/>
    <w:rsid w:val="00791C8D"/>
    <w:rsid w:val="007934C3"/>
    <w:rsid w:val="0079354C"/>
    <w:rsid w:val="00794181"/>
    <w:rsid w:val="007A1490"/>
    <w:rsid w:val="007A7F6F"/>
    <w:rsid w:val="007B0274"/>
    <w:rsid w:val="007B4C76"/>
    <w:rsid w:val="007B67C5"/>
    <w:rsid w:val="007B7BDD"/>
    <w:rsid w:val="007C0AAE"/>
    <w:rsid w:val="007C2260"/>
    <w:rsid w:val="007D1E52"/>
    <w:rsid w:val="007D2358"/>
    <w:rsid w:val="007D3C44"/>
    <w:rsid w:val="007D5406"/>
    <w:rsid w:val="007D5706"/>
    <w:rsid w:val="007E0480"/>
    <w:rsid w:val="007E2BC5"/>
    <w:rsid w:val="007E2EE9"/>
    <w:rsid w:val="007E39E4"/>
    <w:rsid w:val="007E6FB3"/>
    <w:rsid w:val="007E773E"/>
    <w:rsid w:val="007F21B4"/>
    <w:rsid w:val="008007DF"/>
    <w:rsid w:val="00802553"/>
    <w:rsid w:val="00803EAB"/>
    <w:rsid w:val="008046B5"/>
    <w:rsid w:val="00804766"/>
    <w:rsid w:val="008057AE"/>
    <w:rsid w:val="00810224"/>
    <w:rsid w:val="008127C0"/>
    <w:rsid w:val="00812EDD"/>
    <w:rsid w:val="00813072"/>
    <w:rsid w:val="008139C5"/>
    <w:rsid w:val="00816045"/>
    <w:rsid w:val="0081650F"/>
    <w:rsid w:val="00816CF4"/>
    <w:rsid w:val="0082195F"/>
    <w:rsid w:val="00824A49"/>
    <w:rsid w:val="00825EAF"/>
    <w:rsid w:val="00826E15"/>
    <w:rsid w:val="00832B31"/>
    <w:rsid w:val="00833DBA"/>
    <w:rsid w:val="00840058"/>
    <w:rsid w:val="008403E0"/>
    <w:rsid w:val="00841BBC"/>
    <w:rsid w:val="00844544"/>
    <w:rsid w:val="00845031"/>
    <w:rsid w:val="0084657B"/>
    <w:rsid w:val="0084717D"/>
    <w:rsid w:val="00847662"/>
    <w:rsid w:val="00853C2E"/>
    <w:rsid w:val="00855944"/>
    <w:rsid w:val="00856E83"/>
    <w:rsid w:val="0085794F"/>
    <w:rsid w:val="0086407C"/>
    <w:rsid w:val="00864A18"/>
    <w:rsid w:val="008652AF"/>
    <w:rsid w:val="00867E0B"/>
    <w:rsid w:val="00870719"/>
    <w:rsid w:val="00870833"/>
    <w:rsid w:val="008741BE"/>
    <w:rsid w:val="00874571"/>
    <w:rsid w:val="00881F93"/>
    <w:rsid w:val="00882CB5"/>
    <w:rsid w:val="00883641"/>
    <w:rsid w:val="00884E69"/>
    <w:rsid w:val="00890082"/>
    <w:rsid w:val="008908DC"/>
    <w:rsid w:val="0089736D"/>
    <w:rsid w:val="008A48D2"/>
    <w:rsid w:val="008A5E06"/>
    <w:rsid w:val="008A6113"/>
    <w:rsid w:val="008A7423"/>
    <w:rsid w:val="008B2610"/>
    <w:rsid w:val="008B471D"/>
    <w:rsid w:val="008B49E4"/>
    <w:rsid w:val="008B729C"/>
    <w:rsid w:val="008B77F7"/>
    <w:rsid w:val="008C251B"/>
    <w:rsid w:val="008C4A93"/>
    <w:rsid w:val="008C4ED0"/>
    <w:rsid w:val="008D1A4B"/>
    <w:rsid w:val="008D3743"/>
    <w:rsid w:val="008D59CE"/>
    <w:rsid w:val="008D68D2"/>
    <w:rsid w:val="008E0E49"/>
    <w:rsid w:val="008E35FD"/>
    <w:rsid w:val="008E6227"/>
    <w:rsid w:val="008E78B9"/>
    <w:rsid w:val="008F6774"/>
    <w:rsid w:val="008F6953"/>
    <w:rsid w:val="008F6B83"/>
    <w:rsid w:val="00900108"/>
    <w:rsid w:val="00901F1C"/>
    <w:rsid w:val="00903847"/>
    <w:rsid w:val="0090543D"/>
    <w:rsid w:val="009056C5"/>
    <w:rsid w:val="0091147C"/>
    <w:rsid w:val="00913B6D"/>
    <w:rsid w:val="009152E2"/>
    <w:rsid w:val="00916434"/>
    <w:rsid w:val="00917DEB"/>
    <w:rsid w:val="009262F2"/>
    <w:rsid w:val="00935ED0"/>
    <w:rsid w:val="00937791"/>
    <w:rsid w:val="009379EB"/>
    <w:rsid w:val="0094303B"/>
    <w:rsid w:val="00943A5E"/>
    <w:rsid w:val="00943B70"/>
    <w:rsid w:val="0094574B"/>
    <w:rsid w:val="0094638C"/>
    <w:rsid w:val="00950F45"/>
    <w:rsid w:val="00951933"/>
    <w:rsid w:val="00953FF1"/>
    <w:rsid w:val="00954343"/>
    <w:rsid w:val="0095446C"/>
    <w:rsid w:val="00955271"/>
    <w:rsid w:val="0096066E"/>
    <w:rsid w:val="009619E4"/>
    <w:rsid w:val="00963C9C"/>
    <w:rsid w:val="00965B6B"/>
    <w:rsid w:val="00967917"/>
    <w:rsid w:val="00971EDB"/>
    <w:rsid w:val="00972BF7"/>
    <w:rsid w:val="00974733"/>
    <w:rsid w:val="00974A56"/>
    <w:rsid w:val="00974D50"/>
    <w:rsid w:val="00981844"/>
    <w:rsid w:val="00987ABE"/>
    <w:rsid w:val="00991EE4"/>
    <w:rsid w:val="009939DC"/>
    <w:rsid w:val="00993B9C"/>
    <w:rsid w:val="00996D9B"/>
    <w:rsid w:val="009A1DAB"/>
    <w:rsid w:val="009A286F"/>
    <w:rsid w:val="009A39FE"/>
    <w:rsid w:val="009A49EA"/>
    <w:rsid w:val="009A52DA"/>
    <w:rsid w:val="009A5961"/>
    <w:rsid w:val="009A656E"/>
    <w:rsid w:val="009B4E1E"/>
    <w:rsid w:val="009C03FB"/>
    <w:rsid w:val="009C2923"/>
    <w:rsid w:val="009C2D02"/>
    <w:rsid w:val="009C4B4F"/>
    <w:rsid w:val="009C6C24"/>
    <w:rsid w:val="009D01D8"/>
    <w:rsid w:val="009D0888"/>
    <w:rsid w:val="009D49AB"/>
    <w:rsid w:val="009D6589"/>
    <w:rsid w:val="009E3EB1"/>
    <w:rsid w:val="009F0C02"/>
    <w:rsid w:val="009F1966"/>
    <w:rsid w:val="009F5758"/>
    <w:rsid w:val="00A0283F"/>
    <w:rsid w:val="00A04F4A"/>
    <w:rsid w:val="00A113BA"/>
    <w:rsid w:val="00A121D2"/>
    <w:rsid w:val="00A12B09"/>
    <w:rsid w:val="00A12E38"/>
    <w:rsid w:val="00A13B22"/>
    <w:rsid w:val="00A26343"/>
    <w:rsid w:val="00A31250"/>
    <w:rsid w:val="00A33679"/>
    <w:rsid w:val="00A337F3"/>
    <w:rsid w:val="00A35FCD"/>
    <w:rsid w:val="00A3741C"/>
    <w:rsid w:val="00A4050C"/>
    <w:rsid w:val="00A408B5"/>
    <w:rsid w:val="00A415D7"/>
    <w:rsid w:val="00A518C8"/>
    <w:rsid w:val="00A529E2"/>
    <w:rsid w:val="00A539F8"/>
    <w:rsid w:val="00A54122"/>
    <w:rsid w:val="00A62DAF"/>
    <w:rsid w:val="00A6419C"/>
    <w:rsid w:val="00A6491A"/>
    <w:rsid w:val="00A6594E"/>
    <w:rsid w:val="00A721FD"/>
    <w:rsid w:val="00A727B6"/>
    <w:rsid w:val="00A73EFA"/>
    <w:rsid w:val="00A7513F"/>
    <w:rsid w:val="00A75D46"/>
    <w:rsid w:val="00A77E47"/>
    <w:rsid w:val="00A810A5"/>
    <w:rsid w:val="00A81998"/>
    <w:rsid w:val="00A81CC6"/>
    <w:rsid w:val="00A82852"/>
    <w:rsid w:val="00A83EC6"/>
    <w:rsid w:val="00A86997"/>
    <w:rsid w:val="00A872E8"/>
    <w:rsid w:val="00A8732C"/>
    <w:rsid w:val="00A9062D"/>
    <w:rsid w:val="00A93F58"/>
    <w:rsid w:val="00A96329"/>
    <w:rsid w:val="00AA0F2D"/>
    <w:rsid w:val="00AA134B"/>
    <w:rsid w:val="00AA29E8"/>
    <w:rsid w:val="00AA2CFE"/>
    <w:rsid w:val="00AA5FDA"/>
    <w:rsid w:val="00AA6291"/>
    <w:rsid w:val="00AB2542"/>
    <w:rsid w:val="00AC0C91"/>
    <w:rsid w:val="00AC538C"/>
    <w:rsid w:val="00AD2E85"/>
    <w:rsid w:val="00AD37D4"/>
    <w:rsid w:val="00AD4FF2"/>
    <w:rsid w:val="00AD7986"/>
    <w:rsid w:val="00AE1188"/>
    <w:rsid w:val="00AE40E7"/>
    <w:rsid w:val="00AE6224"/>
    <w:rsid w:val="00AE738C"/>
    <w:rsid w:val="00AE7431"/>
    <w:rsid w:val="00AF1046"/>
    <w:rsid w:val="00AF4466"/>
    <w:rsid w:val="00AF5C1E"/>
    <w:rsid w:val="00AF5D1E"/>
    <w:rsid w:val="00B040A9"/>
    <w:rsid w:val="00B04297"/>
    <w:rsid w:val="00B13778"/>
    <w:rsid w:val="00B1711E"/>
    <w:rsid w:val="00B17CBE"/>
    <w:rsid w:val="00B17E26"/>
    <w:rsid w:val="00B231A4"/>
    <w:rsid w:val="00B25D20"/>
    <w:rsid w:val="00B31C99"/>
    <w:rsid w:val="00B354D7"/>
    <w:rsid w:val="00B37E0F"/>
    <w:rsid w:val="00B45CA5"/>
    <w:rsid w:val="00B53BA6"/>
    <w:rsid w:val="00B5456E"/>
    <w:rsid w:val="00B56382"/>
    <w:rsid w:val="00B570A1"/>
    <w:rsid w:val="00B5731D"/>
    <w:rsid w:val="00B6378B"/>
    <w:rsid w:val="00B63E3A"/>
    <w:rsid w:val="00B71535"/>
    <w:rsid w:val="00B715E8"/>
    <w:rsid w:val="00B75965"/>
    <w:rsid w:val="00B771AD"/>
    <w:rsid w:val="00B80335"/>
    <w:rsid w:val="00B814CB"/>
    <w:rsid w:val="00B87234"/>
    <w:rsid w:val="00BA0CF8"/>
    <w:rsid w:val="00BA1ADF"/>
    <w:rsid w:val="00BA51FC"/>
    <w:rsid w:val="00BA72E3"/>
    <w:rsid w:val="00BB003A"/>
    <w:rsid w:val="00BB3358"/>
    <w:rsid w:val="00BB3382"/>
    <w:rsid w:val="00BB3643"/>
    <w:rsid w:val="00BB64AC"/>
    <w:rsid w:val="00BC0B92"/>
    <w:rsid w:val="00BC19F3"/>
    <w:rsid w:val="00BC3DA0"/>
    <w:rsid w:val="00BC424B"/>
    <w:rsid w:val="00BD3FCD"/>
    <w:rsid w:val="00BD6323"/>
    <w:rsid w:val="00BE0FDE"/>
    <w:rsid w:val="00BE1FE9"/>
    <w:rsid w:val="00BE2E82"/>
    <w:rsid w:val="00BE39FC"/>
    <w:rsid w:val="00BF6497"/>
    <w:rsid w:val="00BF6AC5"/>
    <w:rsid w:val="00BF7E89"/>
    <w:rsid w:val="00C01121"/>
    <w:rsid w:val="00C030A5"/>
    <w:rsid w:val="00C05A45"/>
    <w:rsid w:val="00C06363"/>
    <w:rsid w:val="00C0796F"/>
    <w:rsid w:val="00C113CB"/>
    <w:rsid w:val="00C11B34"/>
    <w:rsid w:val="00C12C5C"/>
    <w:rsid w:val="00C15040"/>
    <w:rsid w:val="00C16877"/>
    <w:rsid w:val="00C171FB"/>
    <w:rsid w:val="00C209C2"/>
    <w:rsid w:val="00C225D8"/>
    <w:rsid w:val="00C2267F"/>
    <w:rsid w:val="00C22AD8"/>
    <w:rsid w:val="00C3557E"/>
    <w:rsid w:val="00C3594B"/>
    <w:rsid w:val="00C35BD1"/>
    <w:rsid w:val="00C40993"/>
    <w:rsid w:val="00C42AB0"/>
    <w:rsid w:val="00C43102"/>
    <w:rsid w:val="00C4696B"/>
    <w:rsid w:val="00C50513"/>
    <w:rsid w:val="00C53013"/>
    <w:rsid w:val="00C5345D"/>
    <w:rsid w:val="00C54503"/>
    <w:rsid w:val="00C54610"/>
    <w:rsid w:val="00C63055"/>
    <w:rsid w:val="00C64596"/>
    <w:rsid w:val="00C71834"/>
    <w:rsid w:val="00C73B62"/>
    <w:rsid w:val="00C76D8F"/>
    <w:rsid w:val="00C776B1"/>
    <w:rsid w:val="00C815FE"/>
    <w:rsid w:val="00C81FA0"/>
    <w:rsid w:val="00C847AE"/>
    <w:rsid w:val="00C84F4C"/>
    <w:rsid w:val="00C85213"/>
    <w:rsid w:val="00C97171"/>
    <w:rsid w:val="00C97EC8"/>
    <w:rsid w:val="00CA04C6"/>
    <w:rsid w:val="00CA26DD"/>
    <w:rsid w:val="00CA2EE4"/>
    <w:rsid w:val="00CA6582"/>
    <w:rsid w:val="00CA76B2"/>
    <w:rsid w:val="00CB12EC"/>
    <w:rsid w:val="00CB177B"/>
    <w:rsid w:val="00CB3C2F"/>
    <w:rsid w:val="00CC09D7"/>
    <w:rsid w:val="00CC12B8"/>
    <w:rsid w:val="00CC15B3"/>
    <w:rsid w:val="00CC5AB1"/>
    <w:rsid w:val="00CD22E3"/>
    <w:rsid w:val="00CD4E44"/>
    <w:rsid w:val="00CD5AE4"/>
    <w:rsid w:val="00CD6981"/>
    <w:rsid w:val="00CD7A7D"/>
    <w:rsid w:val="00CE0F9E"/>
    <w:rsid w:val="00CE23B0"/>
    <w:rsid w:val="00CE294C"/>
    <w:rsid w:val="00CE30B2"/>
    <w:rsid w:val="00CE671A"/>
    <w:rsid w:val="00CF0D9F"/>
    <w:rsid w:val="00CF2D8E"/>
    <w:rsid w:val="00CF2DFA"/>
    <w:rsid w:val="00CF5AD8"/>
    <w:rsid w:val="00CF7AE6"/>
    <w:rsid w:val="00D00122"/>
    <w:rsid w:val="00D01D2A"/>
    <w:rsid w:val="00D073B6"/>
    <w:rsid w:val="00D10B47"/>
    <w:rsid w:val="00D11EB1"/>
    <w:rsid w:val="00D17F17"/>
    <w:rsid w:val="00D203A3"/>
    <w:rsid w:val="00D23597"/>
    <w:rsid w:val="00D242F1"/>
    <w:rsid w:val="00D269F6"/>
    <w:rsid w:val="00D30891"/>
    <w:rsid w:val="00D30BDC"/>
    <w:rsid w:val="00D30F4A"/>
    <w:rsid w:val="00D33E32"/>
    <w:rsid w:val="00D37070"/>
    <w:rsid w:val="00D448AB"/>
    <w:rsid w:val="00D508E4"/>
    <w:rsid w:val="00D52506"/>
    <w:rsid w:val="00D56765"/>
    <w:rsid w:val="00D57F88"/>
    <w:rsid w:val="00D66A77"/>
    <w:rsid w:val="00D7105C"/>
    <w:rsid w:val="00D73646"/>
    <w:rsid w:val="00D777B4"/>
    <w:rsid w:val="00D77A90"/>
    <w:rsid w:val="00D8360B"/>
    <w:rsid w:val="00D851A1"/>
    <w:rsid w:val="00D85676"/>
    <w:rsid w:val="00D85822"/>
    <w:rsid w:val="00D86738"/>
    <w:rsid w:val="00D874B2"/>
    <w:rsid w:val="00D96ADA"/>
    <w:rsid w:val="00DA2886"/>
    <w:rsid w:val="00DA5534"/>
    <w:rsid w:val="00DA5E50"/>
    <w:rsid w:val="00DA7763"/>
    <w:rsid w:val="00DA7D0C"/>
    <w:rsid w:val="00DB00A2"/>
    <w:rsid w:val="00DB2224"/>
    <w:rsid w:val="00DB311C"/>
    <w:rsid w:val="00DB40E3"/>
    <w:rsid w:val="00DB432D"/>
    <w:rsid w:val="00DB519B"/>
    <w:rsid w:val="00DB7096"/>
    <w:rsid w:val="00DB7190"/>
    <w:rsid w:val="00DB7F76"/>
    <w:rsid w:val="00DC5E83"/>
    <w:rsid w:val="00DC70BE"/>
    <w:rsid w:val="00DC7694"/>
    <w:rsid w:val="00DC7FBE"/>
    <w:rsid w:val="00DD130E"/>
    <w:rsid w:val="00DD25D0"/>
    <w:rsid w:val="00DD2E5D"/>
    <w:rsid w:val="00DD308E"/>
    <w:rsid w:val="00DD7BCE"/>
    <w:rsid w:val="00DE39C9"/>
    <w:rsid w:val="00DF0C51"/>
    <w:rsid w:val="00DF0D47"/>
    <w:rsid w:val="00DF1652"/>
    <w:rsid w:val="00DF3451"/>
    <w:rsid w:val="00DF6D37"/>
    <w:rsid w:val="00E048ED"/>
    <w:rsid w:val="00E04FB3"/>
    <w:rsid w:val="00E05451"/>
    <w:rsid w:val="00E058F2"/>
    <w:rsid w:val="00E059AB"/>
    <w:rsid w:val="00E05D9C"/>
    <w:rsid w:val="00E06102"/>
    <w:rsid w:val="00E23E71"/>
    <w:rsid w:val="00E24FB8"/>
    <w:rsid w:val="00E2732F"/>
    <w:rsid w:val="00E27555"/>
    <w:rsid w:val="00E2760F"/>
    <w:rsid w:val="00E30A87"/>
    <w:rsid w:val="00E30F19"/>
    <w:rsid w:val="00E33C4A"/>
    <w:rsid w:val="00E357B9"/>
    <w:rsid w:val="00E4321E"/>
    <w:rsid w:val="00E44B80"/>
    <w:rsid w:val="00E45461"/>
    <w:rsid w:val="00E47623"/>
    <w:rsid w:val="00E57920"/>
    <w:rsid w:val="00E60529"/>
    <w:rsid w:val="00E6222F"/>
    <w:rsid w:val="00E641EF"/>
    <w:rsid w:val="00E64A93"/>
    <w:rsid w:val="00E70C22"/>
    <w:rsid w:val="00E70D86"/>
    <w:rsid w:val="00E721B1"/>
    <w:rsid w:val="00E7628E"/>
    <w:rsid w:val="00E82F54"/>
    <w:rsid w:val="00E84815"/>
    <w:rsid w:val="00E8649B"/>
    <w:rsid w:val="00E871CD"/>
    <w:rsid w:val="00E90990"/>
    <w:rsid w:val="00E928AB"/>
    <w:rsid w:val="00E95D3D"/>
    <w:rsid w:val="00E95FE2"/>
    <w:rsid w:val="00EA0E25"/>
    <w:rsid w:val="00EA173C"/>
    <w:rsid w:val="00EA3415"/>
    <w:rsid w:val="00EB0145"/>
    <w:rsid w:val="00EB3FC2"/>
    <w:rsid w:val="00EB552D"/>
    <w:rsid w:val="00EC127A"/>
    <w:rsid w:val="00EC1FF9"/>
    <w:rsid w:val="00EC2737"/>
    <w:rsid w:val="00EC690D"/>
    <w:rsid w:val="00ED05B0"/>
    <w:rsid w:val="00EE2716"/>
    <w:rsid w:val="00EE5F80"/>
    <w:rsid w:val="00EE6450"/>
    <w:rsid w:val="00EE7335"/>
    <w:rsid w:val="00EF680D"/>
    <w:rsid w:val="00EF6F71"/>
    <w:rsid w:val="00F01C2C"/>
    <w:rsid w:val="00F0259A"/>
    <w:rsid w:val="00F02E0D"/>
    <w:rsid w:val="00F04FD0"/>
    <w:rsid w:val="00F10ED8"/>
    <w:rsid w:val="00F12C20"/>
    <w:rsid w:val="00F1460E"/>
    <w:rsid w:val="00F15CA9"/>
    <w:rsid w:val="00F17741"/>
    <w:rsid w:val="00F222BE"/>
    <w:rsid w:val="00F24179"/>
    <w:rsid w:val="00F24FD6"/>
    <w:rsid w:val="00F27DFF"/>
    <w:rsid w:val="00F301F1"/>
    <w:rsid w:val="00F30C22"/>
    <w:rsid w:val="00F33F1A"/>
    <w:rsid w:val="00F402A0"/>
    <w:rsid w:val="00F41106"/>
    <w:rsid w:val="00F53940"/>
    <w:rsid w:val="00F53F68"/>
    <w:rsid w:val="00F547F7"/>
    <w:rsid w:val="00F54CCF"/>
    <w:rsid w:val="00F5655B"/>
    <w:rsid w:val="00F61D7A"/>
    <w:rsid w:val="00F637B3"/>
    <w:rsid w:val="00F66CF7"/>
    <w:rsid w:val="00F67A83"/>
    <w:rsid w:val="00F67BCB"/>
    <w:rsid w:val="00F70DF3"/>
    <w:rsid w:val="00F71045"/>
    <w:rsid w:val="00F763AA"/>
    <w:rsid w:val="00F77C57"/>
    <w:rsid w:val="00F81206"/>
    <w:rsid w:val="00F813C7"/>
    <w:rsid w:val="00F83566"/>
    <w:rsid w:val="00F83A9D"/>
    <w:rsid w:val="00F84675"/>
    <w:rsid w:val="00F84FF9"/>
    <w:rsid w:val="00F906B5"/>
    <w:rsid w:val="00F93784"/>
    <w:rsid w:val="00F971CC"/>
    <w:rsid w:val="00F97AF1"/>
    <w:rsid w:val="00FA2CAA"/>
    <w:rsid w:val="00FA3DA1"/>
    <w:rsid w:val="00FA3FD2"/>
    <w:rsid w:val="00FA4EE9"/>
    <w:rsid w:val="00FA6554"/>
    <w:rsid w:val="00FB0F45"/>
    <w:rsid w:val="00FB3012"/>
    <w:rsid w:val="00FB30B1"/>
    <w:rsid w:val="00FB7F6D"/>
    <w:rsid w:val="00FC1607"/>
    <w:rsid w:val="00FD0733"/>
    <w:rsid w:val="00FD54E8"/>
    <w:rsid w:val="00FE16C1"/>
    <w:rsid w:val="00FE19FF"/>
    <w:rsid w:val="00FE33A6"/>
    <w:rsid w:val="00FE33AC"/>
    <w:rsid w:val="00FE5452"/>
    <w:rsid w:val="00FE6308"/>
    <w:rsid w:val="00FF095D"/>
    <w:rsid w:val="00FF1B7C"/>
    <w:rsid w:val="00FF23A3"/>
    <w:rsid w:val="00FF23B8"/>
    <w:rsid w:val="00FF59A8"/>
    <w:rsid w:val="00FF7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7E"/>
    <w:pPr>
      <w:spacing w:before="120" w:after="120" w:line="240" w:lineRule="auto"/>
      <w:jc w:val="both"/>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4">
    <w:name w:val="heading 4"/>
    <w:basedOn w:val="Normal"/>
    <w:next w:val="Normal"/>
    <w:link w:val="Heading4Char"/>
    <w:uiPriority w:val="9"/>
    <w:unhideWhenUsed/>
    <w:qFormat/>
    <w:rsid w:val="001720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unhideWhenUsed/>
    <w:rsid w:val="00746D2E"/>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F0D9F"/>
    <w:rPr>
      <w:color w:val="605E5C"/>
      <w:shd w:val="clear" w:color="auto" w:fill="E1DFDD"/>
    </w:rPr>
  </w:style>
  <w:style w:type="paragraph" w:styleId="BodyText">
    <w:name w:val="Body Text"/>
    <w:basedOn w:val="Normal"/>
    <w:link w:val="BodyTextChar"/>
    <w:uiPriority w:val="1"/>
    <w:qFormat/>
    <w:rsid w:val="00E45461"/>
    <w:pPr>
      <w:widowControl w:val="0"/>
      <w:autoSpaceDE w:val="0"/>
      <w:autoSpaceDN w:val="0"/>
      <w:spacing w:before="0" w:after="0"/>
    </w:pPr>
    <w:rPr>
      <w:rFonts w:ascii="Calibri" w:eastAsia="Calibri" w:hAnsi="Calibri" w:cs="Calibri"/>
      <w:szCs w:val="20"/>
      <w:lang w:val="en-US"/>
    </w:rPr>
  </w:style>
  <w:style w:type="character" w:customStyle="1" w:styleId="BodyTextChar">
    <w:name w:val="Body Text Char"/>
    <w:basedOn w:val="DefaultParagraphFont"/>
    <w:link w:val="BodyText"/>
    <w:uiPriority w:val="1"/>
    <w:rsid w:val="00E45461"/>
    <w:rPr>
      <w:rFonts w:ascii="Calibri" w:eastAsia="Calibri" w:hAnsi="Calibri" w:cs="Calibri"/>
      <w:sz w:val="20"/>
      <w:szCs w:val="20"/>
      <w:lang w:val="en-US"/>
    </w:rPr>
  </w:style>
  <w:style w:type="paragraph" w:customStyle="1" w:styleId="list-item">
    <w:name w:val="list-item"/>
    <w:basedOn w:val="Normal"/>
    <w:rsid w:val="00BE1FE9"/>
    <w:pPr>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D86738"/>
    <w:pPr>
      <w:keepNext/>
      <w:spacing w:before="0" w:after="0"/>
    </w:pPr>
    <w:rPr>
      <w:b/>
      <w:iCs/>
      <w:color w:val="000000" w:themeColor="text1"/>
      <w:sz w:val="18"/>
      <w:szCs w:val="18"/>
    </w:rPr>
  </w:style>
  <w:style w:type="character" w:customStyle="1" w:styleId="Heading4Char">
    <w:name w:val="Heading 4 Char"/>
    <w:basedOn w:val="DefaultParagraphFont"/>
    <w:link w:val="Heading4"/>
    <w:uiPriority w:val="9"/>
    <w:rsid w:val="00172065"/>
    <w:rPr>
      <w:rFonts w:asciiTheme="majorHAnsi" w:eastAsiaTheme="majorEastAsia" w:hAnsiTheme="majorHAnsi" w:cstheme="majorBidi"/>
      <w:i/>
      <w:iCs/>
      <w:color w:val="365F91" w:themeColor="accent1" w:themeShade="BF"/>
      <w:sz w:val="20"/>
    </w:rPr>
  </w:style>
  <w:style w:type="character" w:customStyle="1" w:styleId="apple-converted-space">
    <w:name w:val="apple-converted-space"/>
    <w:basedOn w:val="DefaultParagraphFont"/>
    <w:rsid w:val="00032DF5"/>
  </w:style>
  <w:style w:type="character" w:styleId="Emphasis">
    <w:name w:val="Emphasis"/>
    <w:basedOn w:val="DefaultParagraphFont"/>
    <w:uiPriority w:val="20"/>
    <w:qFormat/>
    <w:rsid w:val="00032DF5"/>
    <w:rPr>
      <w:i/>
      <w:iCs/>
    </w:rPr>
  </w:style>
  <w:style w:type="paragraph" w:styleId="FootnoteText">
    <w:name w:val="footnote text"/>
    <w:basedOn w:val="Normal"/>
    <w:link w:val="FootnoteTextChar"/>
    <w:uiPriority w:val="99"/>
    <w:semiHidden/>
    <w:unhideWhenUsed/>
    <w:rsid w:val="00595764"/>
    <w:pPr>
      <w:spacing w:before="0" w:after="0"/>
    </w:pPr>
    <w:rPr>
      <w:szCs w:val="20"/>
    </w:rPr>
  </w:style>
  <w:style w:type="character" w:customStyle="1" w:styleId="FootnoteTextChar">
    <w:name w:val="Footnote Text Char"/>
    <w:basedOn w:val="DefaultParagraphFont"/>
    <w:link w:val="FootnoteText"/>
    <w:uiPriority w:val="99"/>
    <w:semiHidden/>
    <w:rsid w:val="00595764"/>
    <w:rPr>
      <w:sz w:val="20"/>
      <w:szCs w:val="20"/>
    </w:rPr>
  </w:style>
  <w:style w:type="character" w:styleId="FootnoteReference">
    <w:name w:val="footnote reference"/>
    <w:basedOn w:val="DefaultParagraphFont"/>
    <w:uiPriority w:val="99"/>
    <w:semiHidden/>
    <w:unhideWhenUsed/>
    <w:rsid w:val="00595764"/>
    <w:rPr>
      <w:vertAlign w:val="superscript"/>
    </w:rPr>
  </w:style>
  <w:style w:type="character" w:styleId="FollowedHyperlink">
    <w:name w:val="FollowedHyperlink"/>
    <w:basedOn w:val="DefaultParagraphFont"/>
    <w:uiPriority w:val="99"/>
    <w:semiHidden/>
    <w:unhideWhenUsed/>
    <w:rsid w:val="00045480"/>
    <w:rPr>
      <w:color w:val="800080" w:themeColor="followedHyperlink"/>
      <w:u w:val="single"/>
    </w:rPr>
  </w:style>
  <w:style w:type="paragraph" w:styleId="Revision">
    <w:name w:val="Revision"/>
    <w:hidden/>
    <w:uiPriority w:val="99"/>
    <w:semiHidden/>
    <w:rsid w:val="002C164B"/>
    <w:pPr>
      <w:spacing w:after="0" w:line="240" w:lineRule="auto"/>
    </w:pPr>
    <w:rPr>
      <w:sz w:val="20"/>
    </w:rPr>
  </w:style>
  <w:style w:type="paragraph" w:customStyle="1" w:styleId="EndNoteBibliographyTitle">
    <w:name w:val="EndNote Bibliography Title"/>
    <w:basedOn w:val="Normal"/>
    <w:link w:val="EndNoteBibliographyTitleChar"/>
    <w:rsid w:val="008B77F7"/>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B77F7"/>
    <w:rPr>
      <w:rFonts w:ascii="Calibri" w:hAnsi="Calibri" w:cs="Calibri"/>
      <w:sz w:val="20"/>
      <w:lang w:val="en-US"/>
    </w:rPr>
  </w:style>
  <w:style w:type="paragraph" w:customStyle="1" w:styleId="EndNoteBibliography">
    <w:name w:val="EndNote Bibliography"/>
    <w:basedOn w:val="Normal"/>
    <w:link w:val="EndNoteBibliographyChar"/>
    <w:rsid w:val="008B77F7"/>
    <w:rPr>
      <w:rFonts w:ascii="Calibri" w:hAnsi="Calibri" w:cs="Calibri"/>
      <w:lang w:val="en-US"/>
    </w:rPr>
  </w:style>
  <w:style w:type="character" w:customStyle="1" w:styleId="EndNoteBibliographyChar">
    <w:name w:val="EndNote Bibliography Char"/>
    <w:basedOn w:val="DefaultParagraphFont"/>
    <w:link w:val="EndNoteBibliography"/>
    <w:rsid w:val="008B77F7"/>
    <w:rPr>
      <w:rFonts w:ascii="Calibri" w:hAnsi="Calibri" w:cs="Calibri"/>
      <w:sz w:val="20"/>
      <w:lang w:val="en-US"/>
    </w:rPr>
  </w:style>
  <w:style w:type="paragraph" w:customStyle="1" w:styleId="Response">
    <w:name w:val="Response"/>
    <w:basedOn w:val="Normal"/>
    <w:link w:val="ResponseChar"/>
    <w:qFormat/>
    <w:rsid w:val="00502001"/>
    <w:pPr>
      <w:spacing w:line="259" w:lineRule="auto"/>
      <w:ind w:left="425"/>
      <w:jc w:val="left"/>
    </w:pPr>
  </w:style>
  <w:style w:type="character" w:customStyle="1" w:styleId="ResponseChar">
    <w:name w:val="Response Char"/>
    <w:basedOn w:val="DefaultParagraphFont"/>
    <w:link w:val="Response"/>
    <w:rsid w:val="0050200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445">
      <w:bodyDiv w:val="1"/>
      <w:marLeft w:val="0"/>
      <w:marRight w:val="0"/>
      <w:marTop w:val="0"/>
      <w:marBottom w:val="0"/>
      <w:divBdr>
        <w:top w:val="none" w:sz="0" w:space="0" w:color="auto"/>
        <w:left w:val="none" w:sz="0" w:space="0" w:color="auto"/>
        <w:bottom w:val="none" w:sz="0" w:space="0" w:color="auto"/>
        <w:right w:val="none" w:sz="0" w:space="0" w:color="auto"/>
      </w:divBdr>
      <w:divsChild>
        <w:div w:id="359353940">
          <w:marLeft w:val="0"/>
          <w:marRight w:val="0"/>
          <w:marTop w:val="0"/>
          <w:marBottom w:val="0"/>
          <w:divBdr>
            <w:top w:val="none" w:sz="0" w:space="0" w:color="auto"/>
            <w:left w:val="none" w:sz="0" w:space="0" w:color="auto"/>
            <w:bottom w:val="none" w:sz="0" w:space="0" w:color="auto"/>
            <w:right w:val="none" w:sz="0" w:space="0" w:color="auto"/>
          </w:divBdr>
          <w:divsChild>
            <w:div w:id="635337634">
              <w:marLeft w:val="0"/>
              <w:marRight w:val="0"/>
              <w:marTop w:val="0"/>
              <w:marBottom w:val="0"/>
              <w:divBdr>
                <w:top w:val="none" w:sz="0" w:space="0" w:color="auto"/>
                <w:left w:val="none" w:sz="0" w:space="0" w:color="auto"/>
                <w:bottom w:val="none" w:sz="0" w:space="0" w:color="auto"/>
                <w:right w:val="none" w:sz="0" w:space="0" w:color="auto"/>
              </w:divBdr>
              <w:divsChild>
                <w:div w:id="830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8395">
      <w:bodyDiv w:val="1"/>
      <w:marLeft w:val="0"/>
      <w:marRight w:val="0"/>
      <w:marTop w:val="0"/>
      <w:marBottom w:val="0"/>
      <w:divBdr>
        <w:top w:val="none" w:sz="0" w:space="0" w:color="auto"/>
        <w:left w:val="none" w:sz="0" w:space="0" w:color="auto"/>
        <w:bottom w:val="none" w:sz="0" w:space="0" w:color="auto"/>
        <w:right w:val="none" w:sz="0" w:space="0" w:color="auto"/>
      </w:divBdr>
    </w:div>
    <w:div w:id="28996285">
      <w:bodyDiv w:val="1"/>
      <w:marLeft w:val="0"/>
      <w:marRight w:val="0"/>
      <w:marTop w:val="0"/>
      <w:marBottom w:val="0"/>
      <w:divBdr>
        <w:top w:val="none" w:sz="0" w:space="0" w:color="auto"/>
        <w:left w:val="none" w:sz="0" w:space="0" w:color="auto"/>
        <w:bottom w:val="none" w:sz="0" w:space="0" w:color="auto"/>
        <w:right w:val="none" w:sz="0" w:space="0" w:color="auto"/>
      </w:divBdr>
      <w:divsChild>
        <w:div w:id="1767577348">
          <w:marLeft w:val="0"/>
          <w:marRight w:val="0"/>
          <w:marTop w:val="0"/>
          <w:marBottom w:val="0"/>
          <w:divBdr>
            <w:top w:val="none" w:sz="0" w:space="0" w:color="auto"/>
            <w:left w:val="none" w:sz="0" w:space="0" w:color="auto"/>
            <w:bottom w:val="none" w:sz="0" w:space="0" w:color="auto"/>
            <w:right w:val="none" w:sz="0" w:space="0" w:color="auto"/>
          </w:divBdr>
          <w:divsChild>
            <w:div w:id="11762152">
              <w:marLeft w:val="0"/>
              <w:marRight w:val="0"/>
              <w:marTop w:val="0"/>
              <w:marBottom w:val="0"/>
              <w:divBdr>
                <w:top w:val="none" w:sz="0" w:space="0" w:color="auto"/>
                <w:left w:val="none" w:sz="0" w:space="0" w:color="auto"/>
                <w:bottom w:val="none" w:sz="0" w:space="0" w:color="auto"/>
                <w:right w:val="none" w:sz="0" w:space="0" w:color="auto"/>
              </w:divBdr>
              <w:divsChild>
                <w:div w:id="1440296890">
                  <w:marLeft w:val="0"/>
                  <w:marRight w:val="0"/>
                  <w:marTop w:val="0"/>
                  <w:marBottom w:val="0"/>
                  <w:divBdr>
                    <w:top w:val="none" w:sz="0" w:space="0" w:color="auto"/>
                    <w:left w:val="none" w:sz="0" w:space="0" w:color="auto"/>
                    <w:bottom w:val="none" w:sz="0" w:space="0" w:color="auto"/>
                    <w:right w:val="none" w:sz="0" w:space="0" w:color="auto"/>
                  </w:divBdr>
                  <w:divsChild>
                    <w:div w:id="780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7616">
      <w:bodyDiv w:val="1"/>
      <w:marLeft w:val="0"/>
      <w:marRight w:val="0"/>
      <w:marTop w:val="0"/>
      <w:marBottom w:val="0"/>
      <w:divBdr>
        <w:top w:val="none" w:sz="0" w:space="0" w:color="auto"/>
        <w:left w:val="none" w:sz="0" w:space="0" w:color="auto"/>
        <w:bottom w:val="none" w:sz="0" w:space="0" w:color="auto"/>
        <w:right w:val="none" w:sz="0" w:space="0" w:color="auto"/>
      </w:divBdr>
      <w:divsChild>
        <w:div w:id="1174415339">
          <w:marLeft w:val="0"/>
          <w:marRight w:val="0"/>
          <w:marTop w:val="0"/>
          <w:marBottom w:val="0"/>
          <w:divBdr>
            <w:top w:val="none" w:sz="0" w:space="0" w:color="auto"/>
            <w:left w:val="none" w:sz="0" w:space="0" w:color="auto"/>
            <w:bottom w:val="none" w:sz="0" w:space="0" w:color="auto"/>
            <w:right w:val="none" w:sz="0" w:space="0" w:color="auto"/>
          </w:divBdr>
          <w:divsChild>
            <w:div w:id="2129808201">
              <w:marLeft w:val="0"/>
              <w:marRight w:val="0"/>
              <w:marTop w:val="0"/>
              <w:marBottom w:val="0"/>
              <w:divBdr>
                <w:top w:val="none" w:sz="0" w:space="0" w:color="auto"/>
                <w:left w:val="none" w:sz="0" w:space="0" w:color="auto"/>
                <w:bottom w:val="none" w:sz="0" w:space="0" w:color="auto"/>
                <w:right w:val="none" w:sz="0" w:space="0" w:color="auto"/>
              </w:divBdr>
              <w:divsChild>
                <w:div w:id="6698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2235">
      <w:bodyDiv w:val="1"/>
      <w:marLeft w:val="0"/>
      <w:marRight w:val="0"/>
      <w:marTop w:val="0"/>
      <w:marBottom w:val="0"/>
      <w:divBdr>
        <w:top w:val="none" w:sz="0" w:space="0" w:color="auto"/>
        <w:left w:val="none" w:sz="0" w:space="0" w:color="auto"/>
        <w:bottom w:val="none" w:sz="0" w:space="0" w:color="auto"/>
        <w:right w:val="none" w:sz="0" w:space="0" w:color="auto"/>
      </w:divBdr>
    </w:div>
    <w:div w:id="57285067">
      <w:bodyDiv w:val="1"/>
      <w:marLeft w:val="0"/>
      <w:marRight w:val="0"/>
      <w:marTop w:val="0"/>
      <w:marBottom w:val="0"/>
      <w:divBdr>
        <w:top w:val="none" w:sz="0" w:space="0" w:color="auto"/>
        <w:left w:val="none" w:sz="0" w:space="0" w:color="auto"/>
        <w:bottom w:val="none" w:sz="0" w:space="0" w:color="auto"/>
        <w:right w:val="none" w:sz="0" w:space="0" w:color="auto"/>
      </w:divBdr>
    </w:div>
    <w:div w:id="105466250">
      <w:bodyDiv w:val="1"/>
      <w:marLeft w:val="0"/>
      <w:marRight w:val="0"/>
      <w:marTop w:val="0"/>
      <w:marBottom w:val="0"/>
      <w:divBdr>
        <w:top w:val="none" w:sz="0" w:space="0" w:color="auto"/>
        <w:left w:val="none" w:sz="0" w:space="0" w:color="auto"/>
        <w:bottom w:val="none" w:sz="0" w:space="0" w:color="auto"/>
        <w:right w:val="none" w:sz="0" w:space="0" w:color="auto"/>
      </w:divBdr>
    </w:div>
    <w:div w:id="122044248">
      <w:bodyDiv w:val="1"/>
      <w:marLeft w:val="0"/>
      <w:marRight w:val="0"/>
      <w:marTop w:val="0"/>
      <w:marBottom w:val="0"/>
      <w:divBdr>
        <w:top w:val="none" w:sz="0" w:space="0" w:color="auto"/>
        <w:left w:val="none" w:sz="0" w:space="0" w:color="auto"/>
        <w:bottom w:val="none" w:sz="0" w:space="0" w:color="auto"/>
        <w:right w:val="none" w:sz="0" w:space="0" w:color="auto"/>
      </w:divBdr>
      <w:divsChild>
        <w:div w:id="1771193539">
          <w:marLeft w:val="0"/>
          <w:marRight w:val="0"/>
          <w:marTop w:val="0"/>
          <w:marBottom w:val="0"/>
          <w:divBdr>
            <w:top w:val="none" w:sz="0" w:space="0" w:color="auto"/>
            <w:left w:val="none" w:sz="0" w:space="0" w:color="auto"/>
            <w:bottom w:val="none" w:sz="0" w:space="0" w:color="auto"/>
            <w:right w:val="none" w:sz="0" w:space="0" w:color="auto"/>
          </w:divBdr>
          <w:divsChild>
            <w:div w:id="2055806103">
              <w:marLeft w:val="0"/>
              <w:marRight w:val="0"/>
              <w:marTop w:val="0"/>
              <w:marBottom w:val="0"/>
              <w:divBdr>
                <w:top w:val="none" w:sz="0" w:space="0" w:color="auto"/>
                <w:left w:val="none" w:sz="0" w:space="0" w:color="auto"/>
                <w:bottom w:val="none" w:sz="0" w:space="0" w:color="auto"/>
                <w:right w:val="none" w:sz="0" w:space="0" w:color="auto"/>
              </w:divBdr>
              <w:divsChild>
                <w:div w:id="1258752661">
                  <w:marLeft w:val="0"/>
                  <w:marRight w:val="0"/>
                  <w:marTop w:val="0"/>
                  <w:marBottom w:val="0"/>
                  <w:divBdr>
                    <w:top w:val="none" w:sz="0" w:space="0" w:color="auto"/>
                    <w:left w:val="none" w:sz="0" w:space="0" w:color="auto"/>
                    <w:bottom w:val="none" w:sz="0" w:space="0" w:color="auto"/>
                    <w:right w:val="none" w:sz="0" w:space="0" w:color="auto"/>
                  </w:divBdr>
                  <w:divsChild>
                    <w:div w:id="15245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7854">
      <w:bodyDiv w:val="1"/>
      <w:marLeft w:val="0"/>
      <w:marRight w:val="0"/>
      <w:marTop w:val="0"/>
      <w:marBottom w:val="0"/>
      <w:divBdr>
        <w:top w:val="none" w:sz="0" w:space="0" w:color="auto"/>
        <w:left w:val="none" w:sz="0" w:space="0" w:color="auto"/>
        <w:bottom w:val="none" w:sz="0" w:space="0" w:color="auto"/>
        <w:right w:val="none" w:sz="0" w:space="0" w:color="auto"/>
      </w:divBdr>
      <w:divsChild>
        <w:div w:id="972293634">
          <w:marLeft w:val="0"/>
          <w:marRight w:val="0"/>
          <w:marTop w:val="0"/>
          <w:marBottom w:val="0"/>
          <w:divBdr>
            <w:top w:val="none" w:sz="0" w:space="0" w:color="auto"/>
            <w:left w:val="none" w:sz="0" w:space="0" w:color="auto"/>
            <w:bottom w:val="none" w:sz="0" w:space="0" w:color="auto"/>
            <w:right w:val="none" w:sz="0" w:space="0" w:color="auto"/>
          </w:divBdr>
          <w:divsChild>
            <w:div w:id="1390811659">
              <w:marLeft w:val="0"/>
              <w:marRight w:val="0"/>
              <w:marTop w:val="0"/>
              <w:marBottom w:val="0"/>
              <w:divBdr>
                <w:top w:val="none" w:sz="0" w:space="0" w:color="auto"/>
                <w:left w:val="none" w:sz="0" w:space="0" w:color="auto"/>
                <w:bottom w:val="none" w:sz="0" w:space="0" w:color="auto"/>
                <w:right w:val="none" w:sz="0" w:space="0" w:color="auto"/>
              </w:divBdr>
              <w:divsChild>
                <w:div w:id="4872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21">
      <w:bodyDiv w:val="1"/>
      <w:marLeft w:val="0"/>
      <w:marRight w:val="0"/>
      <w:marTop w:val="0"/>
      <w:marBottom w:val="0"/>
      <w:divBdr>
        <w:top w:val="none" w:sz="0" w:space="0" w:color="auto"/>
        <w:left w:val="none" w:sz="0" w:space="0" w:color="auto"/>
        <w:bottom w:val="none" w:sz="0" w:space="0" w:color="auto"/>
        <w:right w:val="none" w:sz="0" w:space="0" w:color="auto"/>
      </w:divBdr>
      <w:divsChild>
        <w:div w:id="25065304">
          <w:marLeft w:val="0"/>
          <w:marRight w:val="0"/>
          <w:marTop w:val="0"/>
          <w:marBottom w:val="0"/>
          <w:divBdr>
            <w:top w:val="none" w:sz="0" w:space="0" w:color="auto"/>
            <w:left w:val="none" w:sz="0" w:space="0" w:color="auto"/>
            <w:bottom w:val="none" w:sz="0" w:space="0" w:color="auto"/>
            <w:right w:val="none" w:sz="0" w:space="0" w:color="auto"/>
          </w:divBdr>
          <w:divsChild>
            <w:div w:id="1361005173">
              <w:marLeft w:val="0"/>
              <w:marRight w:val="0"/>
              <w:marTop w:val="0"/>
              <w:marBottom w:val="0"/>
              <w:divBdr>
                <w:top w:val="none" w:sz="0" w:space="0" w:color="auto"/>
                <w:left w:val="none" w:sz="0" w:space="0" w:color="auto"/>
                <w:bottom w:val="none" w:sz="0" w:space="0" w:color="auto"/>
                <w:right w:val="none" w:sz="0" w:space="0" w:color="auto"/>
              </w:divBdr>
              <w:divsChild>
                <w:div w:id="159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2494">
      <w:bodyDiv w:val="1"/>
      <w:marLeft w:val="0"/>
      <w:marRight w:val="0"/>
      <w:marTop w:val="0"/>
      <w:marBottom w:val="0"/>
      <w:divBdr>
        <w:top w:val="none" w:sz="0" w:space="0" w:color="auto"/>
        <w:left w:val="none" w:sz="0" w:space="0" w:color="auto"/>
        <w:bottom w:val="none" w:sz="0" w:space="0" w:color="auto"/>
        <w:right w:val="none" w:sz="0" w:space="0" w:color="auto"/>
      </w:divBdr>
      <w:divsChild>
        <w:div w:id="673459550">
          <w:marLeft w:val="0"/>
          <w:marRight w:val="0"/>
          <w:marTop w:val="0"/>
          <w:marBottom w:val="0"/>
          <w:divBdr>
            <w:top w:val="none" w:sz="0" w:space="0" w:color="auto"/>
            <w:left w:val="none" w:sz="0" w:space="0" w:color="auto"/>
            <w:bottom w:val="none" w:sz="0" w:space="0" w:color="auto"/>
            <w:right w:val="none" w:sz="0" w:space="0" w:color="auto"/>
          </w:divBdr>
          <w:divsChild>
            <w:div w:id="1038898436">
              <w:marLeft w:val="0"/>
              <w:marRight w:val="0"/>
              <w:marTop w:val="0"/>
              <w:marBottom w:val="0"/>
              <w:divBdr>
                <w:top w:val="none" w:sz="0" w:space="0" w:color="auto"/>
                <w:left w:val="none" w:sz="0" w:space="0" w:color="auto"/>
                <w:bottom w:val="none" w:sz="0" w:space="0" w:color="auto"/>
                <w:right w:val="none" w:sz="0" w:space="0" w:color="auto"/>
              </w:divBdr>
              <w:divsChild>
                <w:div w:id="21026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3681">
      <w:bodyDiv w:val="1"/>
      <w:marLeft w:val="0"/>
      <w:marRight w:val="0"/>
      <w:marTop w:val="0"/>
      <w:marBottom w:val="0"/>
      <w:divBdr>
        <w:top w:val="none" w:sz="0" w:space="0" w:color="auto"/>
        <w:left w:val="none" w:sz="0" w:space="0" w:color="auto"/>
        <w:bottom w:val="none" w:sz="0" w:space="0" w:color="auto"/>
        <w:right w:val="none" w:sz="0" w:space="0" w:color="auto"/>
      </w:divBdr>
    </w:div>
    <w:div w:id="209075157">
      <w:bodyDiv w:val="1"/>
      <w:marLeft w:val="0"/>
      <w:marRight w:val="0"/>
      <w:marTop w:val="0"/>
      <w:marBottom w:val="0"/>
      <w:divBdr>
        <w:top w:val="none" w:sz="0" w:space="0" w:color="auto"/>
        <w:left w:val="none" w:sz="0" w:space="0" w:color="auto"/>
        <w:bottom w:val="none" w:sz="0" w:space="0" w:color="auto"/>
        <w:right w:val="none" w:sz="0" w:space="0" w:color="auto"/>
      </w:divBdr>
      <w:divsChild>
        <w:div w:id="1723478713">
          <w:marLeft w:val="0"/>
          <w:marRight w:val="0"/>
          <w:marTop w:val="0"/>
          <w:marBottom w:val="0"/>
          <w:divBdr>
            <w:top w:val="none" w:sz="0" w:space="0" w:color="auto"/>
            <w:left w:val="none" w:sz="0" w:space="0" w:color="auto"/>
            <w:bottom w:val="none" w:sz="0" w:space="0" w:color="auto"/>
            <w:right w:val="none" w:sz="0" w:space="0" w:color="auto"/>
          </w:divBdr>
          <w:divsChild>
            <w:div w:id="34740782">
              <w:marLeft w:val="0"/>
              <w:marRight w:val="0"/>
              <w:marTop w:val="0"/>
              <w:marBottom w:val="0"/>
              <w:divBdr>
                <w:top w:val="none" w:sz="0" w:space="0" w:color="auto"/>
                <w:left w:val="none" w:sz="0" w:space="0" w:color="auto"/>
                <w:bottom w:val="none" w:sz="0" w:space="0" w:color="auto"/>
                <w:right w:val="none" w:sz="0" w:space="0" w:color="auto"/>
              </w:divBdr>
              <w:divsChild>
                <w:div w:id="4408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6121">
      <w:bodyDiv w:val="1"/>
      <w:marLeft w:val="0"/>
      <w:marRight w:val="0"/>
      <w:marTop w:val="0"/>
      <w:marBottom w:val="0"/>
      <w:divBdr>
        <w:top w:val="none" w:sz="0" w:space="0" w:color="auto"/>
        <w:left w:val="none" w:sz="0" w:space="0" w:color="auto"/>
        <w:bottom w:val="none" w:sz="0" w:space="0" w:color="auto"/>
        <w:right w:val="none" w:sz="0" w:space="0" w:color="auto"/>
      </w:divBdr>
      <w:divsChild>
        <w:div w:id="1891844758">
          <w:marLeft w:val="0"/>
          <w:marRight w:val="0"/>
          <w:marTop w:val="0"/>
          <w:marBottom w:val="0"/>
          <w:divBdr>
            <w:top w:val="none" w:sz="0" w:space="0" w:color="auto"/>
            <w:left w:val="none" w:sz="0" w:space="0" w:color="auto"/>
            <w:bottom w:val="none" w:sz="0" w:space="0" w:color="auto"/>
            <w:right w:val="none" w:sz="0" w:space="0" w:color="auto"/>
          </w:divBdr>
          <w:divsChild>
            <w:div w:id="1398439227">
              <w:marLeft w:val="0"/>
              <w:marRight w:val="0"/>
              <w:marTop w:val="0"/>
              <w:marBottom w:val="0"/>
              <w:divBdr>
                <w:top w:val="none" w:sz="0" w:space="0" w:color="auto"/>
                <w:left w:val="none" w:sz="0" w:space="0" w:color="auto"/>
                <w:bottom w:val="none" w:sz="0" w:space="0" w:color="auto"/>
                <w:right w:val="none" w:sz="0" w:space="0" w:color="auto"/>
              </w:divBdr>
              <w:divsChild>
                <w:div w:id="2100130299">
                  <w:marLeft w:val="0"/>
                  <w:marRight w:val="0"/>
                  <w:marTop w:val="0"/>
                  <w:marBottom w:val="0"/>
                  <w:divBdr>
                    <w:top w:val="none" w:sz="0" w:space="0" w:color="auto"/>
                    <w:left w:val="none" w:sz="0" w:space="0" w:color="auto"/>
                    <w:bottom w:val="none" w:sz="0" w:space="0" w:color="auto"/>
                    <w:right w:val="none" w:sz="0" w:space="0" w:color="auto"/>
                  </w:divBdr>
                  <w:divsChild>
                    <w:div w:id="1464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359">
      <w:bodyDiv w:val="1"/>
      <w:marLeft w:val="0"/>
      <w:marRight w:val="0"/>
      <w:marTop w:val="0"/>
      <w:marBottom w:val="0"/>
      <w:divBdr>
        <w:top w:val="none" w:sz="0" w:space="0" w:color="auto"/>
        <w:left w:val="none" w:sz="0" w:space="0" w:color="auto"/>
        <w:bottom w:val="none" w:sz="0" w:space="0" w:color="auto"/>
        <w:right w:val="none" w:sz="0" w:space="0" w:color="auto"/>
      </w:divBdr>
      <w:divsChild>
        <w:div w:id="1344357554">
          <w:marLeft w:val="0"/>
          <w:marRight w:val="0"/>
          <w:marTop w:val="0"/>
          <w:marBottom w:val="0"/>
          <w:divBdr>
            <w:top w:val="none" w:sz="0" w:space="0" w:color="auto"/>
            <w:left w:val="none" w:sz="0" w:space="0" w:color="auto"/>
            <w:bottom w:val="none" w:sz="0" w:space="0" w:color="auto"/>
            <w:right w:val="none" w:sz="0" w:space="0" w:color="auto"/>
          </w:divBdr>
          <w:divsChild>
            <w:div w:id="68158766">
              <w:marLeft w:val="0"/>
              <w:marRight w:val="0"/>
              <w:marTop w:val="0"/>
              <w:marBottom w:val="0"/>
              <w:divBdr>
                <w:top w:val="none" w:sz="0" w:space="0" w:color="auto"/>
                <w:left w:val="none" w:sz="0" w:space="0" w:color="auto"/>
                <w:bottom w:val="none" w:sz="0" w:space="0" w:color="auto"/>
                <w:right w:val="none" w:sz="0" w:space="0" w:color="auto"/>
              </w:divBdr>
              <w:divsChild>
                <w:div w:id="5388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260">
      <w:bodyDiv w:val="1"/>
      <w:marLeft w:val="0"/>
      <w:marRight w:val="0"/>
      <w:marTop w:val="0"/>
      <w:marBottom w:val="0"/>
      <w:divBdr>
        <w:top w:val="none" w:sz="0" w:space="0" w:color="auto"/>
        <w:left w:val="none" w:sz="0" w:space="0" w:color="auto"/>
        <w:bottom w:val="none" w:sz="0" w:space="0" w:color="auto"/>
        <w:right w:val="none" w:sz="0" w:space="0" w:color="auto"/>
      </w:divBdr>
    </w:div>
    <w:div w:id="215892882">
      <w:bodyDiv w:val="1"/>
      <w:marLeft w:val="0"/>
      <w:marRight w:val="0"/>
      <w:marTop w:val="0"/>
      <w:marBottom w:val="0"/>
      <w:divBdr>
        <w:top w:val="none" w:sz="0" w:space="0" w:color="auto"/>
        <w:left w:val="none" w:sz="0" w:space="0" w:color="auto"/>
        <w:bottom w:val="none" w:sz="0" w:space="0" w:color="auto"/>
        <w:right w:val="none" w:sz="0" w:space="0" w:color="auto"/>
      </w:divBdr>
      <w:divsChild>
        <w:div w:id="1563516501">
          <w:marLeft w:val="0"/>
          <w:marRight w:val="0"/>
          <w:marTop w:val="0"/>
          <w:marBottom w:val="0"/>
          <w:divBdr>
            <w:top w:val="none" w:sz="0" w:space="0" w:color="auto"/>
            <w:left w:val="none" w:sz="0" w:space="0" w:color="auto"/>
            <w:bottom w:val="none" w:sz="0" w:space="0" w:color="auto"/>
            <w:right w:val="none" w:sz="0" w:space="0" w:color="auto"/>
          </w:divBdr>
          <w:divsChild>
            <w:div w:id="1875923909">
              <w:marLeft w:val="0"/>
              <w:marRight w:val="0"/>
              <w:marTop w:val="0"/>
              <w:marBottom w:val="0"/>
              <w:divBdr>
                <w:top w:val="none" w:sz="0" w:space="0" w:color="auto"/>
                <w:left w:val="none" w:sz="0" w:space="0" w:color="auto"/>
                <w:bottom w:val="none" w:sz="0" w:space="0" w:color="auto"/>
                <w:right w:val="none" w:sz="0" w:space="0" w:color="auto"/>
              </w:divBdr>
              <w:divsChild>
                <w:div w:id="1884294087">
                  <w:marLeft w:val="0"/>
                  <w:marRight w:val="0"/>
                  <w:marTop w:val="0"/>
                  <w:marBottom w:val="0"/>
                  <w:divBdr>
                    <w:top w:val="none" w:sz="0" w:space="0" w:color="auto"/>
                    <w:left w:val="none" w:sz="0" w:space="0" w:color="auto"/>
                    <w:bottom w:val="none" w:sz="0" w:space="0" w:color="auto"/>
                    <w:right w:val="none" w:sz="0" w:space="0" w:color="auto"/>
                  </w:divBdr>
                  <w:divsChild>
                    <w:div w:id="6471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50388">
      <w:bodyDiv w:val="1"/>
      <w:marLeft w:val="0"/>
      <w:marRight w:val="0"/>
      <w:marTop w:val="0"/>
      <w:marBottom w:val="0"/>
      <w:divBdr>
        <w:top w:val="none" w:sz="0" w:space="0" w:color="auto"/>
        <w:left w:val="none" w:sz="0" w:space="0" w:color="auto"/>
        <w:bottom w:val="none" w:sz="0" w:space="0" w:color="auto"/>
        <w:right w:val="none" w:sz="0" w:space="0" w:color="auto"/>
      </w:divBdr>
    </w:div>
    <w:div w:id="232931060">
      <w:bodyDiv w:val="1"/>
      <w:marLeft w:val="0"/>
      <w:marRight w:val="0"/>
      <w:marTop w:val="0"/>
      <w:marBottom w:val="0"/>
      <w:divBdr>
        <w:top w:val="none" w:sz="0" w:space="0" w:color="auto"/>
        <w:left w:val="none" w:sz="0" w:space="0" w:color="auto"/>
        <w:bottom w:val="none" w:sz="0" w:space="0" w:color="auto"/>
        <w:right w:val="none" w:sz="0" w:space="0" w:color="auto"/>
      </w:divBdr>
    </w:div>
    <w:div w:id="260113418">
      <w:bodyDiv w:val="1"/>
      <w:marLeft w:val="0"/>
      <w:marRight w:val="0"/>
      <w:marTop w:val="0"/>
      <w:marBottom w:val="0"/>
      <w:divBdr>
        <w:top w:val="none" w:sz="0" w:space="0" w:color="auto"/>
        <w:left w:val="none" w:sz="0" w:space="0" w:color="auto"/>
        <w:bottom w:val="none" w:sz="0" w:space="0" w:color="auto"/>
        <w:right w:val="none" w:sz="0" w:space="0" w:color="auto"/>
      </w:divBdr>
      <w:divsChild>
        <w:div w:id="384572014">
          <w:marLeft w:val="0"/>
          <w:marRight w:val="0"/>
          <w:marTop w:val="0"/>
          <w:marBottom w:val="0"/>
          <w:divBdr>
            <w:top w:val="none" w:sz="0" w:space="0" w:color="auto"/>
            <w:left w:val="none" w:sz="0" w:space="0" w:color="auto"/>
            <w:bottom w:val="none" w:sz="0" w:space="0" w:color="auto"/>
            <w:right w:val="none" w:sz="0" w:space="0" w:color="auto"/>
          </w:divBdr>
          <w:divsChild>
            <w:div w:id="1593972278">
              <w:marLeft w:val="0"/>
              <w:marRight w:val="0"/>
              <w:marTop w:val="0"/>
              <w:marBottom w:val="0"/>
              <w:divBdr>
                <w:top w:val="none" w:sz="0" w:space="0" w:color="auto"/>
                <w:left w:val="none" w:sz="0" w:space="0" w:color="auto"/>
                <w:bottom w:val="none" w:sz="0" w:space="0" w:color="auto"/>
                <w:right w:val="none" w:sz="0" w:space="0" w:color="auto"/>
              </w:divBdr>
              <w:divsChild>
                <w:div w:id="758872135">
                  <w:marLeft w:val="0"/>
                  <w:marRight w:val="0"/>
                  <w:marTop w:val="0"/>
                  <w:marBottom w:val="0"/>
                  <w:divBdr>
                    <w:top w:val="none" w:sz="0" w:space="0" w:color="auto"/>
                    <w:left w:val="none" w:sz="0" w:space="0" w:color="auto"/>
                    <w:bottom w:val="none" w:sz="0" w:space="0" w:color="auto"/>
                    <w:right w:val="none" w:sz="0" w:space="0" w:color="auto"/>
                  </w:divBdr>
                  <w:divsChild>
                    <w:div w:id="9248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20080">
      <w:bodyDiv w:val="1"/>
      <w:marLeft w:val="0"/>
      <w:marRight w:val="0"/>
      <w:marTop w:val="0"/>
      <w:marBottom w:val="0"/>
      <w:divBdr>
        <w:top w:val="none" w:sz="0" w:space="0" w:color="auto"/>
        <w:left w:val="none" w:sz="0" w:space="0" w:color="auto"/>
        <w:bottom w:val="none" w:sz="0" w:space="0" w:color="auto"/>
        <w:right w:val="none" w:sz="0" w:space="0" w:color="auto"/>
      </w:divBdr>
      <w:divsChild>
        <w:div w:id="1910264825">
          <w:marLeft w:val="0"/>
          <w:marRight w:val="0"/>
          <w:marTop w:val="0"/>
          <w:marBottom w:val="0"/>
          <w:divBdr>
            <w:top w:val="none" w:sz="0" w:space="0" w:color="auto"/>
            <w:left w:val="none" w:sz="0" w:space="0" w:color="auto"/>
            <w:bottom w:val="none" w:sz="0" w:space="0" w:color="auto"/>
            <w:right w:val="none" w:sz="0" w:space="0" w:color="auto"/>
          </w:divBdr>
          <w:divsChild>
            <w:div w:id="380979401">
              <w:marLeft w:val="0"/>
              <w:marRight w:val="0"/>
              <w:marTop w:val="0"/>
              <w:marBottom w:val="0"/>
              <w:divBdr>
                <w:top w:val="none" w:sz="0" w:space="0" w:color="auto"/>
                <w:left w:val="none" w:sz="0" w:space="0" w:color="auto"/>
                <w:bottom w:val="none" w:sz="0" w:space="0" w:color="auto"/>
                <w:right w:val="none" w:sz="0" w:space="0" w:color="auto"/>
              </w:divBdr>
              <w:divsChild>
                <w:div w:id="9059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5989">
      <w:bodyDiv w:val="1"/>
      <w:marLeft w:val="0"/>
      <w:marRight w:val="0"/>
      <w:marTop w:val="0"/>
      <w:marBottom w:val="0"/>
      <w:divBdr>
        <w:top w:val="none" w:sz="0" w:space="0" w:color="auto"/>
        <w:left w:val="none" w:sz="0" w:space="0" w:color="auto"/>
        <w:bottom w:val="none" w:sz="0" w:space="0" w:color="auto"/>
        <w:right w:val="none" w:sz="0" w:space="0" w:color="auto"/>
      </w:divBdr>
    </w:div>
    <w:div w:id="277688990">
      <w:bodyDiv w:val="1"/>
      <w:marLeft w:val="0"/>
      <w:marRight w:val="0"/>
      <w:marTop w:val="0"/>
      <w:marBottom w:val="0"/>
      <w:divBdr>
        <w:top w:val="none" w:sz="0" w:space="0" w:color="auto"/>
        <w:left w:val="none" w:sz="0" w:space="0" w:color="auto"/>
        <w:bottom w:val="none" w:sz="0" w:space="0" w:color="auto"/>
        <w:right w:val="none" w:sz="0" w:space="0" w:color="auto"/>
      </w:divBdr>
      <w:divsChild>
        <w:div w:id="934169389">
          <w:marLeft w:val="0"/>
          <w:marRight w:val="0"/>
          <w:marTop w:val="0"/>
          <w:marBottom w:val="0"/>
          <w:divBdr>
            <w:top w:val="none" w:sz="0" w:space="0" w:color="auto"/>
            <w:left w:val="none" w:sz="0" w:space="0" w:color="auto"/>
            <w:bottom w:val="none" w:sz="0" w:space="0" w:color="auto"/>
            <w:right w:val="none" w:sz="0" w:space="0" w:color="auto"/>
          </w:divBdr>
          <w:divsChild>
            <w:div w:id="794176043">
              <w:marLeft w:val="0"/>
              <w:marRight w:val="0"/>
              <w:marTop w:val="0"/>
              <w:marBottom w:val="0"/>
              <w:divBdr>
                <w:top w:val="none" w:sz="0" w:space="0" w:color="auto"/>
                <w:left w:val="none" w:sz="0" w:space="0" w:color="auto"/>
                <w:bottom w:val="none" w:sz="0" w:space="0" w:color="auto"/>
                <w:right w:val="none" w:sz="0" w:space="0" w:color="auto"/>
              </w:divBdr>
              <w:divsChild>
                <w:div w:id="1011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1979381">
      <w:bodyDiv w:val="1"/>
      <w:marLeft w:val="0"/>
      <w:marRight w:val="0"/>
      <w:marTop w:val="0"/>
      <w:marBottom w:val="0"/>
      <w:divBdr>
        <w:top w:val="none" w:sz="0" w:space="0" w:color="auto"/>
        <w:left w:val="none" w:sz="0" w:space="0" w:color="auto"/>
        <w:bottom w:val="none" w:sz="0" w:space="0" w:color="auto"/>
        <w:right w:val="none" w:sz="0" w:space="0" w:color="auto"/>
      </w:divBdr>
      <w:divsChild>
        <w:div w:id="689912483">
          <w:marLeft w:val="0"/>
          <w:marRight w:val="0"/>
          <w:marTop w:val="0"/>
          <w:marBottom w:val="0"/>
          <w:divBdr>
            <w:top w:val="none" w:sz="0" w:space="0" w:color="auto"/>
            <w:left w:val="none" w:sz="0" w:space="0" w:color="auto"/>
            <w:bottom w:val="none" w:sz="0" w:space="0" w:color="auto"/>
            <w:right w:val="none" w:sz="0" w:space="0" w:color="auto"/>
          </w:divBdr>
          <w:divsChild>
            <w:div w:id="191189412">
              <w:marLeft w:val="0"/>
              <w:marRight w:val="0"/>
              <w:marTop w:val="0"/>
              <w:marBottom w:val="0"/>
              <w:divBdr>
                <w:top w:val="none" w:sz="0" w:space="0" w:color="auto"/>
                <w:left w:val="none" w:sz="0" w:space="0" w:color="auto"/>
                <w:bottom w:val="none" w:sz="0" w:space="0" w:color="auto"/>
                <w:right w:val="none" w:sz="0" w:space="0" w:color="auto"/>
              </w:divBdr>
              <w:divsChild>
                <w:div w:id="1763454432">
                  <w:marLeft w:val="0"/>
                  <w:marRight w:val="0"/>
                  <w:marTop w:val="0"/>
                  <w:marBottom w:val="0"/>
                  <w:divBdr>
                    <w:top w:val="none" w:sz="0" w:space="0" w:color="auto"/>
                    <w:left w:val="none" w:sz="0" w:space="0" w:color="auto"/>
                    <w:bottom w:val="none" w:sz="0" w:space="0" w:color="auto"/>
                    <w:right w:val="none" w:sz="0" w:space="0" w:color="auto"/>
                  </w:divBdr>
                  <w:divsChild>
                    <w:div w:id="5427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64470">
      <w:bodyDiv w:val="1"/>
      <w:marLeft w:val="0"/>
      <w:marRight w:val="0"/>
      <w:marTop w:val="0"/>
      <w:marBottom w:val="0"/>
      <w:divBdr>
        <w:top w:val="none" w:sz="0" w:space="0" w:color="auto"/>
        <w:left w:val="none" w:sz="0" w:space="0" w:color="auto"/>
        <w:bottom w:val="none" w:sz="0" w:space="0" w:color="auto"/>
        <w:right w:val="none" w:sz="0" w:space="0" w:color="auto"/>
      </w:divBdr>
      <w:divsChild>
        <w:div w:id="1586498378">
          <w:marLeft w:val="0"/>
          <w:marRight w:val="0"/>
          <w:marTop w:val="0"/>
          <w:marBottom w:val="0"/>
          <w:divBdr>
            <w:top w:val="none" w:sz="0" w:space="0" w:color="auto"/>
            <w:left w:val="none" w:sz="0" w:space="0" w:color="auto"/>
            <w:bottom w:val="none" w:sz="0" w:space="0" w:color="auto"/>
            <w:right w:val="none" w:sz="0" w:space="0" w:color="auto"/>
          </w:divBdr>
          <w:divsChild>
            <w:div w:id="1026950847">
              <w:marLeft w:val="0"/>
              <w:marRight w:val="0"/>
              <w:marTop w:val="0"/>
              <w:marBottom w:val="0"/>
              <w:divBdr>
                <w:top w:val="none" w:sz="0" w:space="0" w:color="auto"/>
                <w:left w:val="none" w:sz="0" w:space="0" w:color="auto"/>
                <w:bottom w:val="none" w:sz="0" w:space="0" w:color="auto"/>
                <w:right w:val="none" w:sz="0" w:space="0" w:color="auto"/>
              </w:divBdr>
              <w:divsChild>
                <w:div w:id="2038696579">
                  <w:marLeft w:val="0"/>
                  <w:marRight w:val="0"/>
                  <w:marTop w:val="0"/>
                  <w:marBottom w:val="0"/>
                  <w:divBdr>
                    <w:top w:val="none" w:sz="0" w:space="0" w:color="auto"/>
                    <w:left w:val="none" w:sz="0" w:space="0" w:color="auto"/>
                    <w:bottom w:val="none" w:sz="0" w:space="0" w:color="auto"/>
                    <w:right w:val="none" w:sz="0" w:space="0" w:color="auto"/>
                  </w:divBdr>
                  <w:divsChild>
                    <w:div w:id="18885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330707">
      <w:bodyDiv w:val="1"/>
      <w:marLeft w:val="0"/>
      <w:marRight w:val="0"/>
      <w:marTop w:val="0"/>
      <w:marBottom w:val="0"/>
      <w:divBdr>
        <w:top w:val="none" w:sz="0" w:space="0" w:color="auto"/>
        <w:left w:val="none" w:sz="0" w:space="0" w:color="auto"/>
        <w:bottom w:val="none" w:sz="0" w:space="0" w:color="auto"/>
        <w:right w:val="none" w:sz="0" w:space="0" w:color="auto"/>
      </w:divBdr>
      <w:divsChild>
        <w:div w:id="2093623269">
          <w:marLeft w:val="0"/>
          <w:marRight w:val="0"/>
          <w:marTop w:val="0"/>
          <w:marBottom w:val="0"/>
          <w:divBdr>
            <w:top w:val="none" w:sz="0" w:space="0" w:color="auto"/>
            <w:left w:val="none" w:sz="0" w:space="0" w:color="auto"/>
            <w:bottom w:val="none" w:sz="0" w:space="0" w:color="auto"/>
            <w:right w:val="none" w:sz="0" w:space="0" w:color="auto"/>
          </w:divBdr>
          <w:divsChild>
            <w:div w:id="1790202272">
              <w:marLeft w:val="0"/>
              <w:marRight w:val="0"/>
              <w:marTop w:val="0"/>
              <w:marBottom w:val="0"/>
              <w:divBdr>
                <w:top w:val="none" w:sz="0" w:space="0" w:color="auto"/>
                <w:left w:val="none" w:sz="0" w:space="0" w:color="auto"/>
                <w:bottom w:val="none" w:sz="0" w:space="0" w:color="auto"/>
                <w:right w:val="none" w:sz="0" w:space="0" w:color="auto"/>
              </w:divBdr>
              <w:divsChild>
                <w:div w:id="1857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1091">
      <w:bodyDiv w:val="1"/>
      <w:marLeft w:val="0"/>
      <w:marRight w:val="0"/>
      <w:marTop w:val="0"/>
      <w:marBottom w:val="0"/>
      <w:divBdr>
        <w:top w:val="none" w:sz="0" w:space="0" w:color="auto"/>
        <w:left w:val="none" w:sz="0" w:space="0" w:color="auto"/>
        <w:bottom w:val="none" w:sz="0" w:space="0" w:color="auto"/>
        <w:right w:val="none" w:sz="0" w:space="0" w:color="auto"/>
      </w:divBdr>
      <w:divsChild>
        <w:div w:id="333843491">
          <w:marLeft w:val="0"/>
          <w:marRight w:val="0"/>
          <w:marTop w:val="0"/>
          <w:marBottom w:val="0"/>
          <w:divBdr>
            <w:top w:val="none" w:sz="0" w:space="0" w:color="auto"/>
            <w:left w:val="none" w:sz="0" w:space="0" w:color="auto"/>
            <w:bottom w:val="none" w:sz="0" w:space="0" w:color="auto"/>
            <w:right w:val="none" w:sz="0" w:space="0" w:color="auto"/>
          </w:divBdr>
          <w:divsChild>
            <w:div w:id="465854574">
              <w:marLeft w:val="0"/>
              <w:marRight w:val="0"/>
              <w:marTop w:val="0"/>
              <w:marBottom w:val="0"/>
              <w:divBdr>
                <w:top w:val="none" w:sz="0" w:space="0" w:color="auto"/>
                <w:left w:val="none" w:sz="0" w:space="0" w:color="auto"/>
                <w:bottom w:val="none" w:sz="0" w:space="0" w:color="auto"/>
                <w:right w:val="none" w:sz="0" w:space="0" w:color="auto"/>
              </w:divBdr>
              <w:divsChild>
                <w:div w:id="7261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624">
      <w:bodyDiv w:val="1"/>
      <w:marLeft w:val="0"/>
      <w:marRight w:val="0"/>
      <w:marTop w:val="0"/>
      <w:marBottom w:val="0"/>
      <w:divBdr>
        <w:top w:val="none" w:sz="0" w:space="0" w:color="auto"/>
        <w:left w:val="none" w:sz="0" w:space="0" w:color="auto"/>
        <w:bottom w:val="none" w:sz="0" w:space="0" w:color="auto"/>
        <w:right w:val="none" w:sz="0" w:space="0" w:color="auto"/>
      </w:divBdr>
    </w:div>
    <w:div w:id="41073713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07">
          <w:marLeft w:val="0"/>
          <w:marRight w:val="0"/>
          <w:marTop w:val="0"/>
          <w:marBottom w:val="0"/>
          <w:divBdr>
            <w:top w:val="none" w:sz="0" w:space="0" w:color="auto"/>
            <w:left w:val="none" w:sz="0" w:space="0" w:color="auto"/>
            <w:bottom w:val="none" w:sz="0" w:space="0" w:color="auto"/>
            <w:right w:val="none" w:sz="0" w:space="0" w:color="auto"/>
          </w:divBdr>
          <w:divsChild>
            <w:div w:id="1568565557">
              <w:marLeft w:val="0"/>
              <w:marRight w:val="0"/>
              <w:marTop w:val="0"/>
              <w:marBottom w:val="0"/>
              <w:divBdr>
                <w:top w:val="none" w:sz="0" w:space="0" w:color="auto"/>
                <w:left w:val="none" w:sz="0" w:space="0" w:color="auto"/>
                <w:bottom w:val="none" w:sz="0" w:space="0" w:color="auto"/>
                <w:right w:val="none" w:sz="0" w:space="0" w:color="auto"/>
              </w:divBdr>
              <w:divsChild>
                <w:div w:id="8013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200306">
      <w:bodyDiv w:val="1"/>
      <w:marLeft w:val="0"/>
      <w:marRight w:val="0"/>
      <w:marTop w:val="0"/>
      <w:marBottom w:val="0"/>
      <w:divBdr>
        <w:top w:val="none" w:sz="0" w:space="0" w:color="auto"/>
        <w:left w:val="none" w:sz="0" w:space="0" w:color="auto"/>
        <w:bottom w:val="none" w:sz="0" w:space="0" w:color="auto"/>
        <w:right w:val="none" w:sz="0" w:space="0" w:color="auto"/>
      </w:divBdr>
      <w:divsChild>
        <w:div w:id="910308576">
          <w:marLeft w:val="0"/>
          <w:marRight w:val="0"/>
          <w:marTop w:val="0"/>
          <w:marBottom w:val="0"/>
          <w:divBdr>
            <w:top w:val="none" w:sz="0" w:space="0" w:color="auto"/>
            <w:left w:val="none" w:sz="0" w:space="0" w:color="auto"/>
            <w:bottom w:val="none" w:sz="0" w:space="0" w:color="auto"/>
            <w:right w:val="none" w:sz="0" w:space="0" w:color="auto"/>
          </w:divBdr>
          <w:divsChild>
            <w:div w:id="1871256195">
              <w:marLeft w:val="0"/>
              <w:marRight w:val="0"/>
              <w:marTop w:val="0"/>
              <w:marBottom w:val="0"/>
              <w:divBdr>
                <w:top w:val="none" w:sz="0" w:space="0" w:color="auto"/>
                <w:left w:val="none" w:sz="0" w:space="0" w:color="auto"/>
                <w:bottom w:val="none" w:sz="0" w:space="0" w:color="auto"/>
                <w:right w:val="none" w:sz="0" w:space="0" w:color="auto"/>
              </w:divBdr>
              <w:divsChild>
                <w:div w:id="1541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5592">
      <w:bodyDiv w:val="1"/>
      <w:marLeft w:val="0"/>
      <w:marRight w:val="0"/>
      <w:marTop w:val="0"/>
      <w:marBottom w:val="0"/>
      <w:divBdr>
        <w:top w:val="none" w:sz="0" w:space="0" w:color="auto"/>
        <w:left w:val="none" w:sz="0" w:space="0" w:color="auto"/>
        <w:bottom w:val="none" w:sz="0" w:space="0" w:color="auto"/>
        <w:right w:val="none" w:sz="0" w:space="0" w:color="auto"/>
      </w:divBdr>
    </w:div>
    <w:div w:id="518812057">
      <w:bodyDiv w:val="1"/>
      <w:marLeft w:val="0"/>
      <w:marRight w:val="0"/>
      <w:marTop w:val="0"/>
      <w:marBottom w:val="0"/>
      <w:divBdr>
        <w:top w:val="none" w:sz="0" w:space="0" w:color="auto"/>
        <w:left w:val="none" w:sz="0" w:space="0" w:color="auto"/>
        <w:bottom w:val="none" w:sz="0" w:space="0" w:color="auto"/>
        <w:right w:val="none" w:sz="0" w:space="0" w:color="auto"/>
      </w:divBdr>
      <w:divsChild>
        <w:div w:id="1343777316">
          <w:marLeft w:val="0"/>
          <w:marRight w:val="0"/>
          <w:marTop w:val="0"/>
          <w:marBottom w:val="0"/>
          <w:divBdr>
            <w:top w:val="none" w:sz="0" w:space="0" w:color="auto"/>
            <w:left w:val="none" w:sz="0" w:space="0" w:color="auto"/>
            <w:bottom w:val="none" w:sz="0" w:space="0" w:color="auto"/>
            <w:right w:val="none" w:sz="0" w:space="0" w:color="auto"/>
          </w:divBdr>
          <w:divsChild>
            <w:div w:id="245194637">
              <w:marLeft w:val="0"/>
              <w:marRight w:val="0"/>
              <w:marTop w:val="0"/>
              <w:marBottom w:val="0"/>
              <w:divBdr>
                <w:top w:val="none" w:sz="0" w:space="0" w:color="auto"/>
                <w:left w:val="none" w:sz="0" w:space="0" w:color="auto"/>
                <w:bottom w:val="none" w:sz="0" w:space="0" w:color="auto"/>
                <w:right w:val="none" w:sz="0" w:space="0" w:color="auto"/>
              </w:divBdr>
              <w:divsChild>
                <w:div w:id="2020739924">
                  <w:marLeft w:val="0"/>
                  <w:marRight w:val="0"/>
                  <w:marTop w:val="0"/>
                  <w:marBottom w:val="0"/>
                  <w:divBdr>
                    <w:top w:val="none" w:sz="0" w:space="0" w:color="auto"/>
                    <w:left w:val="none" w:sz="0" w:space="0" w:color="auto"/>
                    <w:bottom w:val="none" w:sz="0" w:space="0" w:color="auto"/>
                    <w:right w:val="none" w:sz="0" w:space="0" w:color="auto"/>
                  </w:divBdr>
                  <w:divsChild>
                    <w:div w:id="3304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73026">
      <w:bodyDiv w:val="1"/>
      <w:marLeft w:val="0"/>
      <w:marRight w:val="0"/>
      <w:marTop w:val="0"/>
      <w:marBottom w:val="0"/>
      <w:divBdr>
        <w:top w:val="none" w:sz="0" w:space="0" w:color="auto"/>
        <w:left w:val="none" w:sz="0" w:space="0" w:color="auto"/>
        <w:bottom w:val="none" w:sz="0" w:space="0" w:color="auto"/>
        <w:right w:val="none" w:sz="0" w:space="0" w:color="auto"/>
      </w:divBdr>
    </w:div>
    <w:div w:id="532577120">
      <w:bodyDiv w:val="1"/>
      <w:marLeft w:val="0"/>
      <w:marRight w:val="0"/>
      <w:marTop w:val="0"/>
      <w:marBottom w:val="0"/>
      <w:divBdr>
        <w:top w:val="none" w:sz="0" w:space="0" w:color="auto"/>
        <w:left w:val="none" w:sz="0" w:space="0" w:color="auto"/>
        <w:bottom w:val="none" w:sz="0" w:space="0" w:color="auto"/>
        <w:right w:val="none" w:sz="0" w:space="0" w:color="auto"/>
      </w:divBdr>
      <w:divsChild>
        <w:div w:id="1275556406">
          <w:marLeft w:val="0"/>
          <w:marRight w:val="0"/>
          <w:marTop w:val="0"/>
          <w:marBottom w:val="0"/>
          <w:divBdr>
            <w:top w:val="none" w:sz="0" w:space="0" w:color="auto"/>
            <w:left w:val="none" w:sz="0" w:space="0" w:color="auto"/>
            <w:bottom w:val="none" w:sz="0" w:space="0" w:color="auto"/>
            <w:right w:val="none" w:sz="0" w:space="0" w:color="auto"/>
          </w:divBdr>
          <w:divsChild>
            <w:div w:id="1733309292">
              <w:marLeft w:val="0"/>
              <w:marRight w:val="0"/>
              <w:marTop w:val="0"/>
              <w:marBottom w:val="0"/>
              <w:divBdr>
                <w:top w:val="none" w:sz="0" w:space="0" w:color="auto"/>
                <w:left w:val="none" w:sz="0" w:space="0" w:color="auto"/>
                <w:bottom w:val="none" w:sz="0" w:space="0" w:color="auto"/>
                <w:right w:val="none" w:sz="0" w:space="0" w:color="auto"/>
              </w:divBdr>
              <w:divsChild>
                <w:div w:id="12861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47056">
      <w:bodyDiv w:val="1"/>
      <w:marLeft w:val="0"/>
      <w:marRight w:val="0"/>
      <w:marTop w:val="0"/>
      <w:marBottom w:val="0"/>
      <w:divBdr>
        <w:top w:val="none" w:sz="0" w:space="0" w:color="auto"/>
        <w:left w:val="none" w:sz="0" w:space="0" w:color="auto"/>
        <w:bottom w:val="none" w:sz="0" w:space="0" w:color="auto"/>
        <w:right w:val="none" w:sz="0" w:space="0" w:color="auto"/>
      </w:divBdr>
      <w:divsChild>
        <w:div w:id="150558417">
          <w:marLeft w:val="0"/>
          <w:marRight w:val="0"/>
          <w:marTop w:val="0"/>
          <w:marBottom w:val="0"/>
          <w:divBdr>
            <w:top w:val="none" w:sz="0" w:space="0" w:color="auto"/>
            <w:left w:val="none" w:sz="0" w:space="0" w:color="auto"/>
            <w:bottom w:val="none" w:sz="0" w:space="0" w:color="auto"/>
            <w:right w:val="none" w:sz="0" w:space="0" w:color="auto"/>
          </w:divBdr>
          <w:divsChild>
            <w:div w:id="1293294030">
              <w:marLeft w:val="0"/>
              <w:marRight w:val="0"/>
              <w:marTop w:val="0"/>
              <w:marBottom w:val="0"/>
              <w:divBdr>
                <w:top w:val="none" w:sz="0" w:space="0" w:color="auto"/>
                <w:left w:val="none" w:sz="0" w:space="0" w:color="auto"/>
                <w:bottom w:val="none" w:sz="0" w:space="0" w:color="auto"/>
                <w:right w:val="none" w:sz="0" w:space="0" w:color="auto"/>
              </w:divBdr>
              <w:divsChild>
                <w:div w:id="13587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6489">
      <w:bodyDiv w:val="1"/>
      <w:marLeft w:val="0"/>
      <w:marRight w:val="0"/>
      <w:marTop w:val="0"/>
      <w:marBottom w:val="0"/>
      <w:divBdr>
        <w:top w:val="none" w:sz="0" w:space="0" w:color="auto"/>
        <w:left w:val="none" w:sz="0" w:space="0" w:color="auto"/>
        <w:bottom w:val="none" w:sz="0" w:space="0" w:color="auto"/>
        <w:right w:val="none" w:sz="0" w:space="0" w:color="auto"/>
      </w:divBdr>
      <w:divsChild>
        <w:div w:id="901866324">
          <w:marLeft w:val="0"/>
          <w:marRight w:val="0"/>
          <w:marTop w:val="0"/>
          <w:marBottom w:val="0"/>
          <w:divBdr>
            <w:top w:val="none" w:sz="0" w:space="0" w:color="auto"/>
            <w:left w:val="none" w:sz="0" w:space="0" w:color="auto"/>
            <w:bottom w:val="none" w:sz="0" w:space="0" w:color="auto"/>
            <w:right w:val="none" w:sz="0" w:space="0" w:color="auto"/>
          </w:divBdr>
          <w:divsChild>
            <w:div w:id="955021081">
              <w:marLeft w:val="0"/>
              <w:marRight w:val="0"/>
              <w:marTop w:val="0"/>
              <w:marBottom w:val="0"/>
              <w:divBdr>
                <w:top w:val="none" w:sz="0" w:space="0" w:color="auto"/>
                <w:left w:val="none" w:sz="0" w:space="0" w:color="auto"/>
                <w:bottom w:val="none" w:sz="0" w:space="0" w:color="auto"/>
                <w:right w:val="none" w:sz="0" w:space="0" w:color="auto"/>
              </w:divBdr>
              <w:divsChild>
                <w:div w:id="3666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6633">
      <w:bodyDiv w:val="1"/>
      <w:marLeft w:val="0"/>
      <w:marRight w:val="0"/>
      <w:marTop w:val="0"/>
      <w:marBottom w:val="0"/>
      <w:divBdr>
        <w:top w:val="none" w:sz="0" w:space="0" w:color="auto"/>
        <w:left w:val="none" w:sz="0" w:space="0" w:color="auto"/>
        <w:bottom w:val="none" w:sz="0" w:space="0" w:color="auto"/>
        <w:right w:val="none" w:sz="0" w:space="0" w:color="auto"/>
      </w:divBdr>
      <w:divsChild>
        <w:div w:id="702704708">
          <w:marLeft w:val="0"/>
          <w:marRight w:val="0"/>
          <w:marTop w:val="0"/>
          <w:marBottom w:val="0"/>
          <w:divBdr>
            <w:top w:val="none" w:sz="0" w:space="0" w:color="auto"/>
            <w:left w:val="none" w:sz="0" w:space="0" w:color="auto"/>
            <w:bottom w:val="none" w:sz="0" w:space="0" w:color="auto"/>
            <w:right w:val="none" w:sz="0" w:space="0" w:color="auto"/>
          </w:divBdr>
          <w:divsChild>
            <w:div w:id="397703688">
              <w:marLeft w:val="0"/>
              <w:marRight w:val="0"/>
              <w:marTop w:val="0"/>
              <w:marBottom w:val="0"/>
              <w:divBdr>
                <w:top w:val="none" w:sz="0" w:space="0" w:color="auto"/>
                <w:left w:val="none" w:sz="0" w:space="0" w:color="auto"/>
                <w:bottom w:val="none" w:sz="0" w:space="0" w:color="auto"/>
                <w:right w:val="none" w:sz="0" w:space="0" w:color="auto"/>
              </w:divBdr>
              <w:divsChild>
                <w:div w:id="5119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3404">
      <w:bodyDiv w:val="1"/>
      <w:marLeft w:val="0"/>
      <w:marRight w:val="0"/>
      <w:marTop w:val="0"/>
      <w:marBottom w:val="0"/>
      <w:divBdr>
        <w:top w:val="none" w:sz="0" w:space="0" w:color="auto"/>
        <w:left w:val="none" w:sz="0" w:space="0" w:color="auto"/>
        <w:bottom w:val="none" w:sz="0" w:space="0" w:color="auto"/>
        <w:right w:val="none" w:sz="0" w:space="0" w:color="auto"/>
      </w:divBdr>
      <w:divsChild>
        <w:div w:id="678851636">
          <w:marLeft w:val="0"/>
          <w:marRight w:val="0"/>
          <w:marTop w:val="0"/>
          <w:marBottom w:val="0"/>
          <w:divBdr>
            <w:top w:val="none" w:sz="0" w:space="0" w:color="auto"/>
            <w:left w:val="none" w:sz="0" w:space="0" w:color="auto"/>
            <w:bottom w:val="none" w:sz="0" w:space="0" w:color="auto"/>
            <w:right w:val="none" w:sz="0" w:space="0" w:color="auto"/>
          </w:divBdr>
          <w:divsChild>
            <w:div w:id="240679919">
              <w:marLeft w:val="0"/>
              <w:marRight w:val="0"/>
              <w:marTop w:val="0"/>
              <w:marBottom w:val="0"/>
              <w:divBdr>
                <w:top w:val="none" w:sz="0" w:space="0" w:color="auto"/>
                <w:left w:val="none" w:sz="0" w:space="0" w:color="auto"/>
                <w:bottom w:val="none" w:sz="0" w:space="0" w:color="auto"/>
                <w:right w:val="none" w:sz="0" w:space="0" w:color="auto"/>
              </w:divBdr>
              <w:divsChild>
                <w:div w:id="862744911">
                  <w:marLeft w:val="0"/>
                  <w:marRight w:val="0"/>
                  <w:marTop w:val="0"/>
                  <w:marBottom w:val="0"/>
                  <w:divBdr>
                    <w:top w:val="none" w:sz="0" w:space="0" w:color="auto"/>
                    <w:left w:val="none" w:sz="0" w:space="0" w:color="auto"/>
                    <w:bottom w:val="none" w:sz="0" w:space="0" w:color="auto"/>
                    <w:right w:val="none" w:sz="0" w:space="0" w:color="auto"/>
                  </w:divBdr>
                  <w:divsChild>
                    <w:div w:id="13798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1415">
      <w:bodyDiv w:val="1"/>
      <w:marLeft w:val="0"/>
      <w:marRight w:val="0"/>
      <w:marTop w:val="0"/>
      <w:marBottom w:val="0"/>
      <w:divBdr>
        <w:top w:val="none" w:sz="0" w:space="0" w:color="auto"/>
        <w:left w:val="none" w:sz="0" w:space="0" w:color="auto"/>
        <w:bottom w:val="none" w:sz="0" w:space="0" w:color="auto"/>
        <w:right w:val="none" w:sz="0" w:space="0" w:color="auto"/>
      </w:divBdr>
    </w:div>
    <w:div w:id="669985604">
      <w:bodyDiv w:val="1"/>
      <w:marLeft w:val="0"/>
      <w:marRight w:val="0"/>
      <w:marTop w:val="0"/>
      <w:marBottom w:val="0"/>
      <w:divBdr>
        <w:top w:val="none" w:sz="0" w:space="0" w:color="auto"/>
        <w:left w:val="none" w:sz="0" w:space="0" w:color="auto"/>
        <w:bottom w:val="none" w:sz="0" w:space="0" w:color="auto"/>
        <w:right w:val="none" w:sz="0" w:space="0" w:color="auto"/>
      </w:divBdr>
      <w:divsChild>
        <w:div w:id="136577949">
          <w:marLeft w:val="0"/>
          <w:marRight w:val="0"/>
          <w:marTop w:val="0"/>
          <w:marBottom w:val="0"/>
          <w:divBdr>
            <w:top w:val="none" w:sz="0" w:space="0" w:color="auto"/>
            <w:left w:val="none" w:sz="0" w:space="0" w:color="auto"/>
            <w:bottom w:val="none" w:sz="0" w:space="0" w:color="auto"/>
            <w:right w:val="none" w:sz="0" w:space="0" w:color="auto"/>
          </w:divBdr>
          <w:divsChild>
            <w:div w:id="1856339396">
              <w:marLeft w:val="0"/>
              <w:marRight w:val="0"/>
              <w:marTop w:val="0"/>
              <w:marBottom w:val="0"/>
              <w:divBdr>
                <w:top w:val="none" w:sz="0" w:space="0" w:color="auto"/>
                <w:left w:val="none" w:sz="0" w:space="0" w:color="auto"/>
                <w:bottom w:val="none" w:sz="0" w:space="0" w:color="auto"/>
                <w:right w:val="none" w:sz="0" w:space="0" w:color="auto"/>
              </w:divBdr>
              <w:divsChild>
                <w:div w:id="14447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38875">
      <w:bodyDiv w:val="1"/>
      <w:marLeft w:val="0"/>
      <w:marRight w:val="0"/>
      <w:marTop w:val="0"/>
      <w:marBottom w:val="0"/>
      <w:divBdr>
        <w:top w:val="none" w:sz="0" w:space="0" w:color="auto"/>
        <w:left w:val="none" w:sz="0" w:space="0" w:color="auto"/>
        <w:bottom w:val="none" w:sz="0" w:space="0" w:color="auto"/>
        <w:right w:val="none" w:sz="0" w:space="0" w:color="auto"/>
      </w:divBdr>
      <w:divsChild>
        <w:div w:id="1937245389">
          <w:marLeft w:val="0"/>
          <w:marRight w:val="0"/>
          <w:marTop w:val="0"/>
          <w:marBottom w:val="0"/>
          <w:divBdr>
            <w:top w:val="none" w:sz="0" w:space="0" w:color="auto"/>
            <w:left w:val="none" w:sz="0" w:space="0" w:color="auto"/>
            <w:bottom w:val="none" w:sz="0" w:space="0" w:color="auto"/>
            <w:right w:val="none" w:sz="0" w:space="0" w:color="auto"/>
          </w:divBdr>
          <w:divsChild>
            <w:div w:id="1696808821">
              <w:marLeft w:val="0"/>
              <w:marRight w:val="0"/>
              <w:marTop w:val="0"/>
              <w:marBottom w:val="0"/>
              <w:divBdr>
                <w:top w:val="none" w:sz="0" w:space="0" w:color="auto"/>
                <w:left w:val="none" w:sz="0" w:space="0" w:color="auto"/>
                <w:bottom w:val="none" w:sz="0" w:space="0" w:color="auto"/>
                <w:right w:val="none" w:sz="0" w:space="0" w:color="auto"/>
              </w:divBdr>
              <w:divsChild>
                <w:div w:id="11844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59051">
      <w:bodyDiv w:val="1"/>
      <w:marLeft w:val="0"/>
      <w:marRight w:val="0"/>
      <w:marTop w:val="0"/>
      <w:marBottom w:val="0"/>
      <w:divBdr>
        <w:top w:val="none" w:sz="0" w:space="0" w:color="auto"/>
        <w:left w:val="none" w:sz="0" w:space="0" w:color="auto"/>
        <w:bottom w:val="none" w:sz="0" w:space="0" w:color="auto"/>
        <w:right w:val="none" w:sz="0" w:space="0" w:color="auto"/>
      </w:divBdr>
      <w:divsChild>
        <w:div w:id="1614940245">
          <w:marLeft w:val="0"/>
          <w:marRight w:val="0"/>
          <w:marTop w:val="0"/>
          <w:marBottom w:val="0"/>
          <w:divBdr>
            <w:top w:val="none" w:sz="0" w:space="0" w:color="auto"/>
            <w:left w:val="none" w:sz="0" w:space="0" w:color="auto"/>
            <w:bottom w:val="none" w:sz="0" w:space="0" w:color="auto"/>
            <w:right w:val="none" w:sz="0" w:space="0" w:color="auto"/>
          </w:divBdr>
          <w:divsChild>
            <w:div w:id="1494562782">
              <w:marLeft w:val="0"/>
              <w:marRight w:val="0"/>
              <w:marTop w:val="0"/>
              <w:marBottom w:val="0"/>
              <w:divBdr>
                <w:top w:val="none" w:sz="0" w:space="0" w:color="auto"/>
                <w:left w:val="none" w:sz="0" w:space="0" w:color="auto"/>
                <w:bottom w:val="none" w:sz="0" w:space="0" w:color="auto"/>
                <w:right w:val="none" w:sz="0" w:space="0" w:color="auto"/>
              </w:divBdr>
              <w:divsChild>
                <w:div w:id="1778518756">
                  <w:marLeft w:val="0"/>
                  <w:marRight w:val="0"/>
                  <w:marTop w:val="0"/>
                  <w:marBottom w:val="0"/>
                  <w:divBdr>
                    <w:top w:val="none" w:sz="0" w:space="0" w:color="auto"/>
                    <w:left w:val="none" w:sz="0" w:space="0" w:color="auto"/>
                    <w:bottom w:val="none" w:sz="0" w:space="0" w:color="auto"/>
                    <w:right w:val="none" w:sz="0" w:space="0" w:color="auto"/>
                  </w:divBdr>
                  <w:divsChild>
                    <w:div w:id="8976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87229">
      <w:bodyDiv w:val="1"/>
      <w:marLeft w:val="0"/>
      <w:marRight w:val="0"/>
      <w:marTop w:val="0"/>
      <w:marBottom w:val="0"/>
      <w:divBdr>
        <w:top w:val="none" w:sz="0" w:space="0" w:color="auto"/>
        <w:left w:val="none" w:sz="0" w:space="0" w:color="auto"/>
        <w:bottom w:val="none" w:sz="0" w:space="0" w:color="auto"/>
        <w:right w:val="none" w:sz="0" w:space="0" w:color="auto"/>
      </w:divBdr>
    </w:div>
    <w:div w:id="755790640">
      <w:bodyDiv w:val="1"/>
      <w:marLeft w:val="0"/>
      <w:marRight w:val="0"/>
      <w:marTop w:val="0"/>
      <w:marBottom w:val="0"/>
      <w:divBdr>
        <w:top w:val="none" w:sz="0" w:space="0" w:color="auto"/>
        <w:left w:val="none" w:sz="0" w:space="0" w:color="auto"/>
        <w:bottom w:val="none" w:sz="0" w:space="0" w:color="auto"/>
        <w:right w:val="none" w:sz="0" w:space="0" w:color="auto"/>
      </w:divBdr>
    </w:div>
    <w:div w:id="771049026">
      <w:bodyDiv w:val="1"/>
      <w:marLeft w:val="0"/>
      <w:marRight w:val="0"/>
      <w:marTop w:val="0"/>
      <w:marBottom w:val="0"/>
      <w:divBdr>
        <w:top w:val="none" w:sz="0" w:space="0" w:color="auto"/>
        <w:left w:val="none" w:sz="0" w:space="0" w:color="auto"/>
        <w:bottom w:val="none" w:sz="0" w:space="0" w:color="auto"/>
        <w:right w:val="none" w:sz="0" w:space="0" w:color="auto"/>
      </w:divBdr>
      <w:divsChild>
        <w:div w:id="532304993">
          <w:marLeft w:val="0"/>
          <w:marRight w:val="0"/>
          <w:marTop w:val="0"/>
          <w:marBottom w:val="0"/>
          <w:divBdr>
            <w:top w:val="none" w:sz="0" w:space="0" w:color="auto"/>
            <w:left w:val="none" w:sz="0" w:space="0" w:color="auto"/>
            <w:bottom w:val="none" w:sz="0" w:space="0" w:color="auto"/>
            <w:right w:val="none" w:sz="0" w:space="0" w:color="auto"/>
          </w:divBdr>
          <w:divsChild>
            <w:div w:id="207959938">
              <w:marLeft w:val="0"/>
              <w:marRight w:val="0"/>
              <w:marTop w:val="0"/>
              <w:marBottom w:val="0"/>
              <w:divBdr>
                <w:top w:val="none" w:sz="0" w:space="0" w:color="auto"/>
                <w:left w:val="none" w:sz="0" w:space="0" w:color="auto"/>
                <w:bottom w:val="none" w:sz="0" w:space="0" w:color="auto"/>
                <w:right w:val="none" w:sz="0" w:space="0" w:color="auto"/>
              </w:divBdr>
              <w:divsChild>
                <w:div w:id="2034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3143">
      <w:bodyDiv w:val="1"/>
      <w:marLeft w:val="0"/>
      <w:marRight w:val="0"/>
      <w:marTop w:val="0"/>
      <w:marBottom w:val="0"/>
      <w:divBdr>
        <w:top w:val="none" w:sz="0" w:space="0" w:color="auto"/>
        <w:left w:val="none" w:sz="0" w:space="0" w:color="auto"/>
        <w:bottom w:val="none" w:sz="0" w:space="0" w:color="auto"/>
        <w:right w:val="none" w:sz="0" w:space="0" w:color="auto"/>
      </w:divBdr>
      <w:divsChild>
        <w:div w:id="870531888">
          <w:marLeft w:val="0"/>
          <w:marRight w:val="0"/>
          <w:marTop w:val="0"/>
          <w:marBottom w:val="0"/>
          <w:divBdr>
            <w:top w:val="none" w:sz="0" w:space="0" w:color="auto"/>
            <w:left w:val="none" w:sz="0" w:space="0" w:color="auto"/>
            <w:bottom w:val="none" w:sz="0" w:space="0" w:color="auto"/>
            <w:right w:val="none" w:sz="0" w:space="0" w:color="auto"/>
          </w:divBdr>
          <w:divsChild>
            <w:div w:id="20739785">
              <w:marLeft w:val="0"/>
              <w:marRight w:val="0"/>
              <w:marTop w:val="0"/>
              <w:marBottom w:val="0"/>
              <w:divBdr>
                <w:top w:val="none" w:sz="0" w:space="0" w:color="auto"/>
                <w:left w:val="none" w:sz="0" w:space="0" w:color="auto"/>
                <w:bottom w:val="none" w:sz="0" w:space="0" w:color="auto"/>
                <w:right w:val="none" w:sz="0" w:space="0" w:color="auto"/>
              </w:divBdr>
              <w:divsChild>
                <w:div w:id="1648823153">
                  <w:marLeft w:val="0"/>
                  <w:marRight w:val="0"/>
                  <w:marTop w:val="0"/>
                  <w:marBottom w:val="0"/>
                  <w:divBdr>
                    <w:top w:val="none" w:sz="0" w:space="0" w:color="auto"/>
                    <w:left w:val="none" w:sz="0" w:space="0" w:color="auto"/>
                    <w:bottom w:val="none" w:sz="0" w:space="0" w:color="auto"/>
                    <w:right w:val="none" w:sz="0" w:space="0" w:color="auto"/>
                  </w:divBdr>
                  <w:divsChild>
                    <w:div w:id="1122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549319">
      <w:bodyDiv w:val="1"/>
      <w:marLeft w:val="0"/>
      <w:marRight w:val="0"/>
      <w:marTop w:val="0"/>
      <w:marBottom w:val="0"/>
      <w:divBdr>
        <w:top w:val="none" w:sz="0" w:space="0" w:color="auto"/>
        <w:left w:val="none" w:sz="0" w:space="0" w:color="auto"/>
        <w:bottom w:val="none" w:sz="0" w:space="0" w:color="auto"/>
        <w:right w:val="none" w:sz="0" w:space="0" w:color="auto"/>
      </w:divBdr>
      <w:divsChild>
        <w:div w:id="194388208">
          <w:marLeft w:val="0"/>
          <w:marRight w:val="0"/>
          <w:marTop w:val="0"/>
          <w:marBottom w:val="0"/>
          <w:divBdr>
            <w:top w:val="none" w:sz="0" w:space="0" w:color="auto"/>
            <w:left w:val="none" w:sz="0" w:space="0" w:color="auto"/>
            <w:bottom w:val="none" w:sz="0" w:space="0" w:color="auto"/>
            <w:right w:val="none" w:sz="0" w:space="0" w:color="auto"/>
          </w:divBdr>
          <w:divsChild>
            <w:div w:id="1524399076">
              <w:marLeft w:val="0"/>
              <w:marRight w:val="0"/>
              <w:marTop w:val="0"/>
              <w:marBottom w:val="0"/>
              <w:divBdr>
                <w:top w:val="none" w:sz="0" w:space="0" w:color="auto"/>
                <w:left w:val="none" w:sz="0" w:space="0" w:color="auto"/>
                <w:bottom w:val="none" w:sz="0" w:space="0" w:color="auto"/>
                <w:right w:val="none" w:sz="0" w:space="0" w:color="auto"/>
              </w:divBdr>
              <w:divsChild>
                <w:div w:id="13722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1010">
      <w:bodyDiv w:val="1"/>
      <w:marLeft w:val="0"/>
      <w:marRight w:val="0"/>
      <w:marTop w:val="0"/>
      <w:marBottom w:val="0"/>
      <w:divBdr>
        <w:top w:val="none" w:sz="0" w:space="0" w:color="auto"/>
        <w:left w:val="none" w:sz="0" w:space="0" w:color="auto"/>
        <w:bottom w:val="none" w:sz="0" w:space="0" w:color="auto"/>
        <w:right w:val="none" w:sz="0" w:space="0" w:color="auto"/>
      </w:divBdr>
      <w:divsChild>
        <w:div w:id="1923681205">
          <w:marLeft w:val="0"/>
          <w:marRight w:val="0"/>
          <w:marTop w:val="0"/>
          <w:marBottom w:val="0"/>
          <w:divBdr>
            <w:top w:val="none" w:sz="0" w:space="0" w:color="auto"/>
            <w:left w:val="none" w:sz="0" w:space="0" w:color="auto"/>
            <w:bottom w:val="none" w:sz="0" w:space="0" w:color="auto"/>
            <w:right w:val="none" w:sz="0" w:space="0" w:color="auto"/>
          </w:divBdr>
          <w:divsChild>
            <w:div w:id="1961840638">
              <w:marLeft w:val="0"/>
              <w:marRight w:val="0"/>
              <w:marTop w:val="0"/>
              <w:marBottom w:val="0"/>
              <w:divBdr>
                <w:top w:val="none" w:sz="0" w:space="0" w:color="auto"/>
                <w:left w:val="none" w:sz="0" w:space="0" w:color="auto"/>
                <w:bottom w:val="none" w:sz="0" w:space="0" w:color="auto"/>
                <w:right w:val="none" w:sz="0" w:space="0" w:color="auto"/>
              </w:divBdr>
              <w:divsChild>
                <w:div w:id="1716463798">
                  <w:marLeft w:val="0"/>
                  <w:marRight w:val="0"/>
                  <w:marTop w:val="0"/>
                  <w:marBottom w:val="0"/>
                  <w:divBdr>
                    <w:top w:val="none" w:sz="0" w:space="0" w:color="auto"/>
                    <w:left w:val="none" w:sz="0" w:space="0" w:color="auto"/>
                    <w:bottom w:val="none" w:sz="0" w:space="0" w:color="auto"/>
                    <w:right w:val="none" w:sz="0" w:space="0" w:color="auto"/>
                  </w:divBdr>
                  <w:divsChild>
                    <w:div w:id="15474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84236">
      <w:bodyDiv w:val="1"/>
      <w:marLeft w:val="0"/>
      <w:marRight w:val="0"/>
      <w:marTop w:val="0"/>
      <w:marBottom w:val="0"/>
      <w:divBdr>
        <w:top w:val="none" w:sz="0" w:space="0" w:color="auto"/>
        <w:left w:val="none" w:sz="0" w:space="0" w:color="auto"/>
        <w:bottom w:val="none" w:sz="0" w:space="0" w:color="auto"/>
        <w:right w:val="none" w:sz="0" w:space="0" w:color="auto"/>
      </w:divBdr>
    </w:div>
    <w:div w:id="839735964">
      <w:bodyDiv w:val="1"/>
      <w:marLeft w:val="0"/>
      <w:marRight w:val="0"/>
      <w:marTop w:val="0"/>
      <w:marBottom w:val="0"/>
      <w:divBdr>
        <w:top w:val="none" w:sz="0" w:space="0" w:color="auto"/>
        <w:left w:val="none" w:sz="0" w:space="0" w:color="auto"/>
        <w:bottom w:val="none" w:sz="0" w:space="0" w:color="auto"/>
        <w:right w:val="none" w:sz="0" w:space="0" w:color="auto"/>
      </w:divBdr>
    </w:div>
    <w:div w:id="843201776">
      <w:bodyDiv w:val="1"/>
      <w:marLeft w:val="0"/>
      <w:marRight w:val="0"/>
      <w:marTop w:val="0"/>
      <w:marBottom w:val="0"/>
      <w:divBdr>
        <w:top w:val="none" w:sz="0" w:space="0" w:color="auto"/>
        <w:left w:val="none" w:sz="0" w:space="0" w:color="auto"/>
        <w:bottom w:val="none" w:sz="0" w:space="0" w:color="auto"/>
        <w:right w:val="none" w:sz="0" w:space="0" w:color="auto"/>
      </w:divBdr>
      <w:divsChild>
        <w:div w:id="762724027">
          <w:marLeft w:val="0"/>
          <w:marRight w:val="0"/>
          <w:marTop w:val="0"/>
          <w:marBottom w:val="0"/>
          <w:divBdr>
            <w:top w:val="none" w:sz="0" w:space="0" w:color="auto"/>
            <w:left w:val="none" w:sz="0" w:space="0" w:color="auto"/>
            <w:bottom w:val="none" w:sz="0" w:space="0" w:color="auto"/>
            <w:right w:val="none" w:sz="0" w:space="0" w:color="auto"/>
          </w:divBdr>
          <w:divsChild>
            <w:div w:id="1141575222">
              <w:marLeft w:val="0"/>
              <w:marRight w:val="0"/>
              <w:marTop w:val="0"/>
              <w:marBottom w:val="0"/>
              <w:divBdr>
                <w:top w:val="none" w:sz="0" w:space="0" w:color="auto"/>
                <w:left w:val="none" w:sz="0" w:space="0" w:color="auto"/>
                <w:bottom w:val="none" w:sz="0" w:space="0" w:color="auto"/>
                <w:right w:val="none" w:sz="0" w:space="0" w:color="auto"/>
              </w:divBdr>
              <w:divsChild>
                <w:div w:id="1460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22744">
      <w:bodyDiv w:val="1"/>
      <w:marLeft w:val="0"/>
      <w:marRight w:val="0"/>
      <w:marTop w:val="0"/>
      <w:marBottom w:val="0"/>
      <w:divBdr>
        <w:top w:val="none" w:sz="0" w:space="0" w:color="auto"/>
        <w:left w:val="none" w:sz="0" w:space="0" w:color="auto"/>
        <w:bottom w:val="none" w:sz="0" w:space="0" w:color="auto"/>
        <w:right w:val="none" w:sz="0" w:space="0" w:color="auto"/>
      </w:divBdr>
    </w:div>
    <w:div w:id="864713939">
      <w:bodyDiv w:val="1"/>
      <w:marLeft w:val="0"/>
      <w:marRight w:val="0"/>
      <w:marTop w:val="0"/>
      <w:marBottom w:val="0"/>
      <w:divBdr>
        <w:top w:val="none" w:sz="0" w:space="0" w:color="auto"/>
        <w:left w:val="none" w:sz="0" w:space="0" w:color="auto"/>
        <w:bottom w:val="none" w:sz="0" w:space="0" w:color="auto"/>
        <w:right w:val="none" w:sz="0" w:space="0" w:color="auto"/>
      </w:divBdr>
    </w:div>
    <w:div w:id="879514987">
      <w:bodyDiv w:val="1"/>
      <w:marLeft w:val="0"/>
      <w:marRight w:val="0"/>
      <w:marTop w:val="0"/>
      <w:marBottom w:val="0"/>
      <w:divBdr>
        <w:top w:val="none" w:sz="0" w:space="0" w:color="auto"/>
        <w:left w:val="none" w:sz="0" w:space="0" w:color="auto"/>
        <w:bottom w:val="none" w:sz="0" w:space="0" w:color="auto"/>
        <w:right w:val="none" w:sz="0" w:space="0" w:color="auto"/>
      </w:divBdr>
      <w:divsChild>
        <w:div w:id="708381338">
          <w:marLeft w:val="0"/>
          <w:marRight w:val="0"/>
          <w:marTop w:val="0"/>
          <w:marBottom w:val="0"/>
          <w:divBdr>
            <w:top w:val="none" w:sz="0" w:space="0" w:color="auto"/>
            <w:left w:val="none" w:sz="0" w:space="0" w:color="auto"/>
            <w:bottom w:val="none" w:sz="0" w:space="0" w:color="auto"/>
            <w:right w:val="none" w:sz="0" w:space="0" w:color="auto"/>
          </w:divBdr>
          <w:divsChild>
            <w:div w:id="2106684989">
              <w:marLeft w:val="0"/>
              <w:marRight w:val="0"/>
              <w:marTop w:val="0"/>
              <w:marBottom w:val="0"/>
              <w:divBdr>
                <w:top w:val="none" w:sz="0" w:space="0" w:color="auto"/>
                <w:left w:val="none" w:sz="0" w:space="0" w:color="auto"/>
                <w:bottom w:val="none" w:sz="0" w:space="0" w:color="auto"/>
                <w:right w:val="none" w:sz="0" w:space="0" w:color="auto"/>
              </w:divBdr>
              <w:divsChild>
                <w:div w:id="1185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8383">
      <w:bodyDiv w:val="1"/>
      <w:marLeft w:val="0"/>
      <w:marRight w:val="0"/>
      <w:marTop w:val="0"/>
      <w:marBottom w:val="0"/>
      <w:divBdr>
        <w:top w:val="none" w:sz="0" w:space="0" w:color="auto"/>
        <w:left w:val="none" w:sz="0" w:space="0" w:color="auto"/>
        <w:bottom w:val="none" w:sz="0" w:space="0" w:color="auto"/>
        <w:right w:val="none" w:sz="0" w:space="0" w:color="auto"/>
      </w:divBdr>
      <w:divsChild>
        <w:div w:id="1039278723">
          <w:marLeft w:val="0"/>
          <w:marRight w:val="0"/>
          <w:marTop w:val="0"/>
          <w:marBottom w:val="0"/>
          <w:divBdr>
            <w:top w:val="none" w:sz="0" w:space="0" w:color="auto"/>
            <w:left w:val="none" w:sz="0" w:space="0" w:color="auto"/>
            <w:bottom w:val="none" w:sz="0" w:space="0" w:color="auto"/>
            <w:right w:val="none" w:sz="0" w:space="0" w:color="auto"/>
          </w:divBdr>
          <w:divsChild>
            <w:div w:id="112939599">
              <w:marLeft w:val="0"/>
              <w:marRight w:val="0"/>
              <w:marTop w:val="0"/>
              <w:marBottom w:val="0"/>
              <w:divBdr>
                <w:top w:val="none" w:sz="0" w:space="0" w:color="auto"/>
                <w:left w:val="none" w:sz="0" w:space="0" w:color="auto"/>
                <w:bottom w:val="none" w:sz="0" w:space="0" w:color="auto"/>
                <w:right w:val="none" w:sz="0" w:space="0" w:color="auto"/>
              </w:divBdr>
            </w:div>
          </w:divsChild>
        </w:div>
        <w:div w:id="1297838285">
          <w:marLeft w:val="0"/>
          <w:marRight w:val="0"/>
          <w:marTop w:val="0"/>
          <w:marBottom w:val="0"/>
          <w:divBdr>
            <w:top w:val="none" w:sz="0" w:space="0" w:color="auto"/>
            <w:left w:val="none" w:sz="0" w:space="0" w:color="auto"/>
            <w:bottom w:val="none" w:sz="0" w:space="0" w:color="auto"/>
            <w:right w:val="none" w:sz="0" w:space="0" w:color="auto"/>
          </w:divBdr>
          <w:divsChild>
            <w:div w:id="401830195">
              <w:marLeft w:val="0"/>
              <w:marRight w:val="0"/>
              <w:marTop w:val="0"/>
              <w:marBottom w:val="0"/>
              <w:divBdr>
                <w:top w:val="none" w:sz="0" w:space="0" w:color="auto"/>
                <w:left w:val="none" w:sz="0" w:space="0" w:color="auto"/>
                <w:bottom w:val="none" w:sz="0" w:space="0" w:color="auto"/>
                <w:right w:val="none" w:sz="0" w:space="0" w:color="auto"/>
              </w:divBdr>
            </w:div>
          </w:divsChild>
        </w:div>
        <w:div w:id="318003268">
          <w:marLeft w:val="0"/>
          <w:marRight w:val="0"/>
          <w:marTop w:val="0"/>
          <w:marBottom w:val="0"/>
          <w:divBdr>
            <w:top w:val="none" w:sz="0" w:space="0" w:color="auto"/>
            <w:left w:val="none" w:sz="0" w:space="0" w:color="auto"/>
            <w:bottom w:val="none" w:sz="0" w:space="0" w:color="auto"/>
            <w:right w:val="none" w:sz="0" w:space="0" w:color="auto"/>
          </w:divBdr>
          <w:divsChild>
            <w:div w:id="490171120">
              <w:marLeft w:val="0"/>
              <w:marRight w:val="0"/>
              <w:marTop w:val="0"/>
              <w:marBottom w:val="0"/>
              <w:divBdr>
                <w:top w:val="none" w:sz="0" w:space="0" w:color="auto"/>
                <w:left w:val="none" w:sz="0" w:space="0" w:color="auto"/>
                <w:bottom w:val="none" w:sz="0" w:space="0" w:color="auto"/>
                <w:right w:val="none" w:sz="0" w:space="0" w:color="auto"/>
              </w:divBdr>
            </w:div>
          </w:divsChild>
        </w:div>
        <w:div w:id="1993480114">
          <w:marLeft w:val="0"/>
          <w:marRight w:val="0"/>
          <w:marTop w:val="0"/>
          <w:marBottom w:val="0"/>
          <w:divBdr>
            <w:top w:val="none" w:sz="0" w:space="0" w:color="auto"/>
            <w:left w:val="none" w:sz="0" w:space="0" w:color="auto"/>
            <w:bottom w:val="none" w:sz="0" w:space="0" w:color="auto"/>
            <w:right w:val="none" w:sz="0" w:space="0" w:color="auto"/>
          </w:divBdr>
          <w:divsChild>
            <w:div w:id="1159494568">
              <w:marLeft w:val="0"/>
              <w:marRight w:val="0"/>
              <w:marTop w:val="0"/>
              <w:marBottom w:val="0"/>
              <w:divBdr>
                <w:top w:val="none" w:sz="0" w:space="0" w:color="auto"/>
                <w:left w:val="none" w:sz="0" w:space="0" w:color="auto"/>
                <w:bottom w:val="none" w:sz="0" w:space="0" w:color="auto"/>
                <w:right w:val="none" w:sz="0" w:space="0" w:color="auto"/>
              </w:divBdr>
            </w:div>
          </w:divsChild>
        </w:div>
        <w:div w:id="711421214">
          <w:marLeft w:val="0"/>
          <w:marRight w:val="0"/>
          <w:marTop w:val="0"/>
          <w:marBottom w:val="0"/>
          <w:divBdr>
            <w:top w:val="none" w:sz="0" w:space="0" w:color="auto"/>
            <w:left w:val="none" w:sz="0" w:space="0" w:color="auto"/>
            <w:bottom w:val="none" w:sz="0" w:space="0" w:color="auto"/>
            <w:right w:val="none" w:sz="0" w:space="0" w:color="auto"/>
          </w:divBdr>
          <w:divsChild>
            <w:div w:id="520554147">
              <w:marLeft w:val="0"/>
              <w:marRight w:val="0"/>
              <w:marTop w:val="0"/>
              <w:marBottom w:val="0"/>
              <w:divBdr>
                <w:top w:val="none" w:sz="0" w:space="0" w:color="auto"/>
                <w:left w:val="none" w:sz="0" w:space="0" w:color="auto"/>
                <w:bottom w:val="none" w:sz="0" w:space="0" w:color="auto"/>
                <w:right w:val="none" w:sz="0" w:space="0" w:color="auto"/>
              </w:divBdr>
            </w:div>
          </w:divsChild>
        </w:div>
        <w:div w:id="909116967">
          <w:marLeft w:val="0"/>
          <w:marRight w:val="0"/>
          <w:marTop w:val="0"/>
          <w:marBottom w:val="0"/>
          <w:divBdr>
            <w:top w:val="none" w:sz="0" w:space="0" w:color="auto"/>
            <w:left w:val="none" w:sz="0" w:space="0" w:color="auto"/>
            <w:bottom w:val="none" w:sz="0" w:space="0" w:color="auto"/>
            <w:right w:val="none" w:sz="0" w:space="0" w:color="auto"/>
          </w:divBdr>
          <w:divsChild>
            <w:div w:id="1332098890">
              <w:marLeft w:val="0"/>
              <w:marRight w:val="0"/>
              <w:marTop w:val="0"/>
              <w:marBottom w:val="0"/>
              <w:divBdr>
                <w:top w:val="none" w:sz="0" w:space="0" w:color="auto"/>
                <w:left w:val="none" w:sz="0" w:space="0" w:color="auto"/>
                <w:bottom w:val="none" w:sz="0" w:space="0" w:color="auto"/>
                <w:right w:val="none" w:sz="0" w:space="0" w:color="auto"/>
              </w:divBdr>
            </w:div>
          </w:divsChild>
        </w:div>
        <w:div w:id="198321156">
          <w:marLeft w:val="0"/>
          <w:marRight w:val="0"/>
          <w:marTop w:val="0"/>
          <w:marBottom w:val="0"/>
          <w:divBdr>
            <w:top w:val="none" w:sz="0" w:space="0" w:color="auto"/>
            <w:left w:val="none" w:sz="0" w:space="0" w:color="auto"/>
            <w:bottom w:val="none" w:sz="0" w:space="0" w:color="auto"/>
            <w:right w:val="none" w:sz="0" w:space="0" w:color="auto"/>
          </w:divBdr>
          <w:divsChild>
            <w:div w:id="21322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1814">
      <w:bodyDiv w:val="1"/>
      <w:marLeft w:val="0"/>
      <w:marRight w:val="0"/>
      <w:marTop w:val="0"/>
      <w:marBottom w:val="0"/>
      <w:divBdr>
        <w:top w:val="none" w:sz="0" w:space="0" w:color="auto"/>
        <w:left w:val="none" w:sz="0" w:space="0" w:color="auto"/>
        <w:bottom w:val="none" w:sz="0" w:space="0" w:color="auto"/>
        <w:right w:val="none" w:sz="0" w:space="0" w:color="auto"/>
      </w:divBdr>
    </w:div>
    <w:div w:id="935137258">
      <w:bodyDiv w:val="1"/>
      <w:marLeft w:val="0"/>
      <w:marRight w:val="0"/>
      <w:marTop w:val="0"/>
      <w:marBottom w:val="0"/>
      <w:divBdr>
        <w:top w:val="none" w:sz="0" w:space="0" w:color="auto"/>
        <w:left w:val="none" w:sz="0" w:space="0" w:color="auto"/>
        <w:bottom w:val="none" w:sz="0" w:space="0" w:color="auto"/>
        <w:right w:val="none" w:sz="0" w:space="0" w:color="auto"/>
      </w:divBdr>
    </w:div>
    <w:div w:id="940645774">
      <w:bodyDiv w:val="1"/>
      <w:marLeft w:val="0"/>
      <w:marRight w:val="0"/>
      <w:marTop w:val="0"/>
      <w:marBottom w:val="0"/>
      <w:divBdr>
        <w:top w:val="none" w:sz="0" w:space="0" w:color="auto"/>
        <w:left w:val="none" w:sz="0" w:space="0" w:color="auto"/>
        <w:bottom w:val="none" w:sz="0" w:space="0" w:color="auto"/>
        <w:right w:val="none" w:sz="0" w:space="0" w:color="auto"/>
      </w:divBdr>
      <w:divsChild>
        <w:div w:id="873467776">
          <w:marLeft w:val="0"/>
          <w:marRight w:val="0"/>
          <w:marTop w:val="0"/>
          <w:marBottom w:val="0"/>
          <w:divBdr>
            <w:top w:val="none" w:sz="0" w:space="0" w:color="auto"/>
            <w:left w:val="none" w:sz="0" w:space="0" w:color="auto"/>
            <w:bottom w:val="none" w:sz="0" w:space="0" w:color="auto"/>
            <w:right w:val="none" w:sz="0" w:space="0" w:color="auto"/>
          </w:divBdr>
          <w:divsChild>
            <w:div w:id="123470322">
              <w:marLeft w:val="0"/>
              <w:marRight w:val="0"/>
              <w:marTop w:val="0"/>
              <w:marBottom w:val="0"/>
              <w:divBdr>
                <w:top w:val="none" w:sz="0" w:space="0" w:color="auto"/>
                <w:left w:val="none" w:sz="0" w:space="0" w:color="auto"/>
                <w:bottom w:val="none" w:sz="0" w:space="0" w:color="auto"/>
                <w:right w:val="none" w:sz="0" w:space="0" w:color="auto"/>
              </w:divBdr>
              <w:divsChild>
                <w:div w:id="605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5794">
      <w:bodyDiv w:val="1"/>
      <w:marLeft w:val="0"/>
      <w:marRight w:val="0"/>
      <w:marTop w:val="0"/>
      <w:marBottom w:val="0"/>
      <w:divBdr>
        <w:top w:val="none" w:sz="0" w:space="0" w:color="auto"/>
        <w:left w:val="none" w:sz="0" w:space="0" w:color="auto"/>
        <w:bottom w:val="none" w:sz="0" w:space="0" w:color="auto"/>
        <w:right w:val="none" w:sz="0" w:space="0" w:color="auto"/>
      </w:divBdr>
      <w:divsChild>
        <w:div w:id="1077678603">
          <w:marLeft w:val="0"/>
          <w:marRight w:val="0"/>
          <w:marTop w:val="0"/>
          <w:marBottom w:val="0"/>
          <w:divBdr>
            <w:top w:val="none" w:sz="0" w:space="0" w:color="auto"/>
            <w:left w:val="none" w:sz="0" w:space="0" w:color="auto"/>
            <w:bottom w:val="none" w:sz="0" w:space="0" w:color="auto"/>
            <w:right w:val="none" w:sz="0" w:space="0" w:color="auto"/>
          </w:divBdr>
          <w:divsChild>
            <w:div w:id="89281100">
              <w:marLeft w:val="0"/>
              <w:marRight w:val="0"/>
              <w:marTop w:val="0"/>
              <w:marBottom w:val="0"/>
              <w:divBdr>
                <w:top w:val="none" w:sz="0" w:space="0" w:color="auto"/>
                <w:left w:val="none" w:sz="0" w:space="0" w:color="auto"/>
                <w:bottom w:val="none" w:sz="0" w:space="0" w:color="auto"/>
                <w:right w:val="none" w:sz="0" w:space="0" w:color="auto"/>
              </w:divBdr>
              <w:divsChild>
                <w:div w:id="1647974969">
                  <w:marLeft w:val="0"/>
                  <w:marRight w:val="0"/>
                  <w:marTop w:val="0"/>
                  <w:marBottom w:val="0"/>
                  <w:divBdr>
                    <w:top w:val="none" w:sz="0" w:space="0" w:color="auto"/>
                    <w:left w:val="none" w:sz="0" w:space="0" w:color="auto"/>
                    <w:bottom w:val="none" w:sz="0" w:space="0" w:color="auto"/>
                    <w:right w:val="none" w:sz="0" w:space="0" w:color="auto"/>
                  </w:divBdr>
                  <w:divsChild>
                    <w:div w:id="6796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06385">
      <w:bodyDiv w:val="1"/>
      <w:marLeft w:val="0"/>
      <w:marRight w:val="0"/>
      <w:marTop w:val="0"/>
      <w:marBottom w:val="0"/>
      <w:divBdr>
        <w:top w:val="none" w:sz="0" w:space="0" w:color="auto"/>
        <w:left w:val="none" w:sz="0" w:space="0" w:color="auto"/>
        <w:bottom w:val="none" w:sz="0" w:space="0" w:color="auto"/>
        <w:right w:val="none" w:sz="0" w:space="0" w:color="auto"/>
      </w:divBdr>
    </w:div>
    <w:div w:id="978262725">
      <w:bodyDiv w:val="1"/>
      <w:marLeft w:val="0"/>
      <w:marRight w:val="0"/>
      <w:marTop w:val="0"/>
      <w:marBottom w:val="0"/>
      <w:divBdr>
        <w:top w:val="none" w:sz="0" w:space="0" w:color="auto"/>
        <w:left w:val="none" w:sz="0" w:space="0" w:color="auto"/>
        <w:bottom w:val="none" w:sz="0" w:space="0" w:color="auto"/>
        <w:right w:val="none" w:sz="0" w:space="0" w:color="auto"/>
      </w:divBdr>
    </w:div>
    <w:div w:id="1002046455">
      <w:bodyDiv w:val="1"/>
      <w:marLeft w:val="0"/>
      <w:marRight w:val="0"/>
      <w:marTop w:val="0"/>
      <w:marBottom w:val="0"/>
      <w:divBdr>
        <w:top w:val="none" w:sz="0" w:space="0" w:color="auto"/>
        <w:left w:val="none" w:sz="0" w:space="0" w:color="auto"/>
        <w:bottom w:val="none" w:sz="0" w:space="0" w:color="auto"/>
        <w:right w:val="none" w:sz="0" w:space="0" w:color="auto"/>
      </w:divBdr>
    </w:div>
    <w:div w:id="1014384018">
      <w:bodyDiv w:val="1"/>
      <w:marLeft w:val="0"/>
      <w:marRight w:val="0"/>
      <w:marTop w:val="0"/>
      <w:marBottom w:val="0"/>
      <w:divBdr>
        <w:top w:val="none" w:sz="0" w:space="0" w:color="auto"/>
        <w:left w:val="none" w:sz="0" w:space="0" w:color="auto"/>
        <w:bottom w:val="none" w:sz="0" w:space="0" w:color="auto"/>
        <w:right w:val="none" w:sz="0" w:space="0" w:color="auto"/>
      </w:divBdr>
      <w:divsChild>
        <w:div w:id="453794520">
          <w:marLeft w:val="0"/>
          <w:marRight w:val="0"/>
          <w:marTop w:val="0"/>
          <w:marBottom w:val="0"/>
          <w:divBdr>
            <w:top w:val="none" w:sz="0" w:space="0" w:color="auto"/>
            <w:left w:val="none" w:sz="0" w:space="0" w:color="auto"/>
            <w:bottom w:val="none" w:sz="0" w:space="0" w:color="auto"/>
            <w:right w:val="none" w:sz="0" w:space="0" w:color="auto"/>
          </w:divBdr>
          <w:divsChild>
            <w:div w:id="1023480557">
              <w:marLeft w:val="0"/>
              <w:marRight w:val="0"/>
              <w:marTop w:val="0"/>
              <w:marBottom w:val="0"/>
              <w:divBdr>
                <w:top w:val="none" w:sz="0" w:space="0" w:color="auto"/>
                <w:left w:val="none" w:sz="0" w:space="0" w:color="auto"/>
                <w:bottom w:val="none" w:sz="0" w:space="0" w:color="auto"/>
                <w:right w:val="none" w:sz="0" w:space="0" w:color="auto"/>
              </w:divBdr>
              <w:divsChild>
                <w:div w:id="1560435710">
                  <w:marLeft w:val="0"/>
                  <w:marRight w:val="0"/>
                  <w:marTop w:val="0"/>
                  <w:marBottom w:val="0"/>
                  <w:divBdr>
                    <w:top w:val="none" w:sz="0" w:space="0" w:color="auto"/>
                    <w:left w:val="none" w:sz="0" w:space="0" w:color="auto"/>
                    <w:bottom w:val="none" w:sz="0" w:space="0" w:color="auto"/>
                    <w:right w:val="none" w:sz="0" w:space="0" w:color="auto"/>
                  </w:divBdr>
                  <w:divsChild>
                    <w:div w:id="9456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0797">
      <w:bodyDiv w:val="1"/>
      <w:marLeft w:val="0"/>
      <w:marRight w:val="0"/>
      <w:marTop w:val="0"/>
      <w:marBottom w:val="0"/>
      <w:divBdr>
        <w:top w:val="none" w:sz="0" w:space="0" w:color="auto"/>
        <w:left w:val="none" w:sz="0" w:space="0" w:color="auto"/>
        <w:bottom w:val="none" w:sz="0" w:space="0" w:color="auto"/>
        <w:right w:val="none" w:sz="0" w:space="0" w:color="auto"/>
      </w:divBdr>
      <w:divsChild>
        <w:div w:id="1605770200">
          <w:marLeft w:val="0"/>
          <w:marRight w:val="0"/>
          <w:marTop w:val="0"/>
          <w:marBottom w:val="0"/>
          <w:divBdr>
            <w:top w:val="none" w:sz="0" w:space="0" w:color="auto"/>
            <w:left w:val="none" w:sz="0" w:space="0" w:color="auto"/>
            <w:bottom w:val="none" w:sz="0" w:space="0" w:color="auto"/>
            <w:right w:val="none" w:sz="0" w:space="0" w:color="auto"/>
          </w:divBdr>
          <w:divsChild>
            <w:div w:id="1560432041">
              <w:marLeft w:val="0"/>
              <w:marRight w:val="0"/>
              <w:marTop w:val="0"/>
              <w:marBottom w:val="0"/>
              <w:divBdr>
                <w:top w:val="none" w:sz="0" w:space="0" w:color="auto"/>
                <w:left w:val="none" w:sz="0" w:space="0" w:color="auto"/>
                <w:bottom w:val="none" w:sz="0" w:space="0" w:color="auto"/>
                <w:right w:val="none" w:sz="0" w:space="0" w:color="auto"/>
              </w:divBdr>
              <w:divsChild>
                <w:div w:id="1904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0555">
      <w:bodyDiv w:val="1"/>
      <w:marLeft w:val="0"/>
      <w:marRight w:val="0"/>
      <w:marTop w:val="0"/>
      <w:marBottom w:val="0"/>
      <w:divBdr>
        <w:top w:val="none" w:sz="0" w:space="0" w:color="auto"/>
        <w:left w:val="none" w:sz="0" w:space="0" w:color="auto"/>
        <w:bottom w:val="none" w:sz="0" w:space="0" w:color="auto"/>
        <w:right w:val="none" w:sz="0" w:space="0" w:color="auto"/>
      </w:divBdr>
    </w:div>
    <w:div w:id="1062171645">
      <w:bodyDiv w:val="1"/>
      <w:marLeft w:val="0"/>
      <w:marRight w:val="0"/>
      <w:marTop w:val="0"/>
      <w:marBottom w:val="0"/>
      <w:divBdr>
        <w:top w:val="none" w:sz="0" w:space="0" w:color="auto"/>
        <w:left w:val="none" w:sz="0" w:space="0" w:color="auto"/>
        <w:bottom w:val="none" w:sz="0" w:space="0" w:color="auto"/>
        <w:right w:val="none" w:sz="0" w:space="0" w:color="auto"/>
      </w:divBdr>
    </w:div>
    <w:div w:id="1089542827">
      <w:bodyDiv w:val="1"/>
      <w:marLeft w:val="0"/>
      <w:marRight w:val="0"/>
      <w:marTop w:val="0"/>
      <w:marBottom w:val="0"/>
      <w:divBdr>
        <w:top w:val="none" w:sz="0" w:space="0" w:color="auto"/>
        <w:left w:val="none" w:sz="0" w:space="0" w:color="auto"/>
        <w:bottom w:val="none" w:sz="0" w:space="0" w:color="auto"/>
        <w:right w:val="none" w:sz="0" w:space="0" w:color="auto"/>
      </w:divBdr>
    </w:div>
    <w:div w:id="1127046007">
      <w:bodyDiv w:val="1"/>
      <w:marLeft w:val="0"/>
      <w:marRight w:val="0"/>
      <w:marTop w:val="0"/>
      <w:marBottom w:val="0"/>
      <w:divBdr>
        <w:top w:val="none" w:sz="0" w:space="0" w:color="auto"/>
        <w:left w:val="none" w:sz="0" w:space="0" w:color="auto"/>
        <w:bottom w:val="none" w:sz="0" w:space="0" w:color="auto"/>
        <w:right w:val="none" w:sz="0" w:space="0" w:color="auto"/>
      </w:divBdr>
      <w:divsChild>
        <w:div w:id="658579884">
          <w:marLeft w:val="0"/>
          <w:marRight w:val="0"/>
          <w:marTop w:val="0"/>
          <w:marBottom w:val="0"/>
          <w:divBdr>
            <w:top w:val="none" w:sz="0" w:space="0" w:color="auto"/>
            <w:left w:val="none" w:sz="0" w:space="0" w:color="auto"/>
            <w:bottom w:val="none" w:sz="0" w:space="0" w:color="auto"/>
            <w:right w:val="none" w:sz="0" w:space="0" w:color="auto"/>
          </w:divBdr>
          <w:divsChild>
            <w:div w:id="500125602">
              <w:marLeft w:val="0"/>
              <w:marRight w:val="0"/>
              <w:marTop w:val="0"/>
              <w:marBottom w:val="0"/>
              <w:divBdr>
                <w:top w:val="none" w:sz="0" w:space="0" w:color="auto"/>
                <w:left w:val="none" w:sz="0" w:space="0" w:color="auto"/>
                <w:bottom w:val="none" w:sz="0" w:space="0" w:color="auto"/>
                <w:right w:val="none" w:sz="0" w:space="0" w:color="auto"/>
              </w:divBdr>
              <w:divsChild>
                <w:div w:id="1718774172">
                  <w:marLeft w:val="0"/>
                  <w:marRight w:val="0"/>
                  <w:marTop w:val="0"/>
                  <w:marBottom w:val="0"/>
                  <w:divBdr>
                    <w:top w:val="none" w:sz="0" w:space="0" w:color="auto"/>
                    <w:left w:val="none" w:sz="0" w:space="0" w:color="auto"/>
                    <w:bottom w:val="none" w:sz="0" w:space="0" w:color="auto"/>
                    <w:right w:val="none" w:sz="0" w:space="0" w:color="auto"/>
                  </w:divBdr>
                  <w:divsChild>
                    <w:div w:id="1523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6302">
      <w:bodyDiv w:val="1"/>
      <w:marLeft w:val="0"/>
      <w:marRight w:val="0"/>
      <w:marTop w:val="0"/>
      <w:marBottom w:val="0"/>
      <w:divBdr>
        <w:top w:val="none" w:sz="0" w:space="0" w:color="auto"/>
        <w:left w:val="none" w:sz="0" w:space="0" w:color="auto"/>
        <w:bottom w:val="none" w:sz="0" w:space="0" w:color="auto"/>
        <w:right w:val="none" w:sz="0" w:space="0" w:color="auto"/>
      </w:divBdr>
      <w:divsChild>
        <w:div w:id="433524662">
          <w:marLeft w:val="0"/>
          <w:marRight w:val="0"/>
          <w:marTop w:val="0"/>
          <w:marBottom w:val="0"/>
          <w:divBdr>
            <w:top w:val="none" w:sz="0" w:space="0" w:color="auto"/>
            <w:left w:val="none" w:sz="0" w:space="0" w:color="auto"/>
            <w:bottom w:val="none" w:sz="0" w:space="0" w:color="auto"/>
            <w:right w:val="none" w:sz="0" w:space="0" w:color="auto"/>
          </w:divBdr>
          <w:divsChild>
            <w:div w:id="958803348">
              <w:marLeft w:val="0"/>
              <w:marRight w:val="0"/>
              <w:marTop w:val="0"/>
              <w:marBottom w:val="0"/>
              <w:divBdr>
                <w:top w:val="none" w:sz="0" w:space="0" w:color="auto"/>
                <w:left w:val="none" w:sz="0" w:space="0" w:color="auto"/>
                <w:bottom w:val="none" w:sz="0" w:space="0" w:color="auto"/>
                <w:right w:val="none" w:sz="0" w:space="0" w:color="auto"/>
              </w:divBdr>
              <w:divsChild>
                <w:div w:id="18141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169">
      <w:bodyDiv w:val="1"/>
      <w:marLeft w:val="0"/>
      <w:marRight w:val="0"/>
      <w:marTop w:val="0"/>
      <w:marBottom w:val="0"/>
      <w:divBdr>
        <w:top w:val="none" w:sz="0" w:space="0" w:color="auto"/>
        <w:left w:val="none" w:sz="0" w:space="0" w:color="auto"/>
        <w:bottom w:val="none" w:sz="0" w:space="0" w:color="auto"/>
        <w:right w:val="none" w:sz="0" w:space="0" w:color="auto"/>
      </w:divBdr>
    </w:div>
    <w:div w:id="1141536299">
      <w:bodyDiv w:val="1"/>
      <w:marLeft w:val="0"/>
      <w:marRight w:val="0"/>
      <w:marTop w:val="0"/>
      <w:marBottom w:val="0"/>
      <w:divBdr>
        <w:top w:val="none" w:sz="0" w:space="0" w:color="auto"/>
        <w:left w:val="none" w:sz="0" w:space="0" w:color="auto"/>
        <w:bottom w:val="none" w:sz="0" w:space="0" w:color="auto"/>
        <w:right w:val="none" w:sz="0" w:space="0" w:color="auto"/>
      </w:divBdr>
      <w:divsChild>
        <w:div w:id="1888108373">
          <w:marLeft w:val="0"/>
          <w:marRight w:val="0"/>
          <w:marTop w:val="0"/>
          <w:marBottom w:val="0"/>
          <w:divBdr>
            <w:top w:val="none" w:sz="0" w:space="0" w:color="auto"/>
            <w:left w:val="none" w:sz="0" w:space="0" w:color="auto"/>
            <w:bottom w:val="none" w:sz="0" w:space="0" w:color="auto"/>
            <w:right w:val="none" w:sz="0" w:space="0" w:color="auto"/>
          </w:divBdr>
          <w:divsChild>
            <w:div w:id="859202316">
              <w:marLeft w:val="0"/>
              <w:marRight w:val="0"/>
              <w:marTop w:val="0"/>
              <w:marBottom w:val="0"/>
              <w:divBdr>
                <w:top w:val="none" w:sz="0" w:space="0" w:color="auto"/>
                <w:left w:val="none" w:sz="0" w:space="0" w:color="auto"/>
                <w:bottom w:val="none" w:sz="0" w:space="0" w:color="auto"/>
                <w:right w:val="none" w:sz="0" w:space="0" w:color="auto"/>
              </w:divBdr>
              <w:divsChild>
                <w:div w:id="458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245">
      <w:bodyDiv w:val="1"/>
      <w:marLeft w:val="0"/>
      <w:marRight w:val="0"/>
      <w:marTop w:val="0"/>
      <w:marBottom w:val="0"/>
      <w:divBdr>
        <w:top w:val="none" w:sz="0" w:space="0" w:color="auto"/>
        <w:left w:val="none" w:sz="0" w:space="0" w:color="auto"/>
        <w:bottom w:val="none" w:sz="0" w:space="0" w:color="auto"/>
        <w:right w:val="none" w:sz="0" w:space="0" w:color="auto"/>
      </w:divBdr>
      <w:divsChild>
        <w:div w:id="964122732">
          <w:marLeft w:val="0"/>
          <w:marRight w:val="0"/>
          <w:marTop w:val="0"/>
          <w:marBottom w:val="0"/>
          <w:divBdr>
            <w:top w:val="none" w:sz="0" w:space="0" w:color="auto"/>
            <w:left w:val="none" w:sz="0" w:space="0" w:color="auto"/>
            <w:bottom w:val="none" w:sz="0" w:space="0" w:color="auto"/>
            <w:right w:val="none" w:sz="0" w:space="0" w:color="auto"/>
          </w:divBdr>
          <w:divsChild>
            <w:div w:id="1936132405">
              <w:marLeft w:val="0"/>
              <w:marRight w:val="0"/>
              <w:marTop w:val="0"/>
              <w:marBottom w:val="0"/>
              <w:divBdr>
                <w:top w:val="none" w:sz="0" w:space="0" w:color="auto"/>
                <w:left w:val="none" w:sz="0" w:space="0" w:color="auto"/>
                <w:bottom w:val="none" w:sz="0" w:space="0" w:color="auto"/>
                <w:right w:val="none" w:sz="0" w:space="0" w:color="auto"/>
              </w:divBdr>
              <w:divsChild>
                <w:div w:id="8143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7123">
      <w:bodyDiv w:val="1"/>
      <w:marLeft w:val="0"/>
      <w:marRight w:val="0"/>
      <w:marTop w:val="0"/>
      <w:marBottom w:val="0"/>
      <w:divBdr>
        <w:top w:val="none" w:sz="0" w:space="0" w:color="auto"/>
        <w:left w:val="none" w:sz="0" w:space="0" w:color="auto"/>
        <w:bottom w:val="none" w:sz="0" w:space="0" w:color="auto"/>
        <w:right w:val="none" w:sz="0" w:space="0" w:color="auto"/>
      </w:divBdr>
      <w:divsChild>
        <w:div w:id="718938339">
          <w:marLeft w:val="0"/>
          <w:marRight w:val="0"/>
          <w:marTop w:val="0"/>
          <w:marBottom w:val="0"/>
          <w:divBdr>
            <w:top w:val="none" w:sz="0" w:space="0" w:color="auto"/>
            <w:left w:val="none" w:sz="0" w:space="0" w:color="auto"/>
            <w:bottom w:val="none" w:sz="0" w:space="0" w:color="auto"/>
            <w:right w:val="none" w:sz="0" w:space="0" w:color="auto"/>
          </w:divBdr>
          <w:divsChild>
            <w:div w:id="1400901487">
              <w:marLeft w:val="0"/>
              <w:marRight w:val="0"/>
              <w:marTop w:val="0"/>
              <w:marBottom w:val="0"/>
              <w:divBdr>
                <w:top w:val="none" w:sz="0" w:space="0" w:color="auto"/>
                <w:left w:val="none" w:sz="0" w:space="0" w:color="auto"/>
                <w:bottom w:val="none" w:sz="0" w:space="0" w:color="auto"/>
                <w:right w:val="none" w:sz="0" w:space="0" w:color="auto"/>
              </w:divBdr>
              <w:divsChild>
                <w:div w:id="11313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3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39">
          <w:marLeft w:val="0"/>
          <w:marRight w:val="0"/>
          <w:marTop w:val="0"/>
          <w:marBottom w:val="0"/>
          <w:divBdr>
            <w:top w:val="none" w:sz="0" w:space="0" w:color="auto"/>
            <w:left w:val="none" w:sz="0" w:space="0" w:color="auto"/>
            <w:bottom w:val="none" w:sz="0" w:space="0" w:color="auto"/>
            <w:right w:val="none" w:sz="0" w:space="0" w:color="auto"/>
          </w:divBdr>
          <w:divsChild>
            <w:div w:id="527723501">
              <w:marLeft w:val="0"/>
              <w:marRight w:val="0"/>
              <w:marTop w:val="0"/>
              <w:marBottom w:val="0"/>
              <w:divBdr>
                <w:top w:val="none" w:sz="0" w:space="0" w:color="auto"/>
                <w:left w:val="none" w:sz="0" w:space="0" w:color="auto"/>
                <w:bottom w:val="none" w:sz="0" w:space="0" w:color="auto"/>
                <w:right w:val="none" w:sz="0" w:space="0" w:color="auto"/>
              </w:divBdr>
              <w:divsChild>
                <w:div w:id="1700545878">
                  <w:marLeft w:val="0"/>
                  <w:marRight w:val="0"/>
                  <w:marTop w:val="0"/>
                  <w:marBottom w:val="0"/>
                  <w:divBdr>
                    <w:top w:val="none" w:sz="0" w:space="0" w:color="auto"/>
                    <w:left w:val="none" w:sz="0" w:space="0" w:color="auto"/>
                    <w:bottom w:val="none" w:sz="0" w:space="0" w:color="auto"/>
                    <w:right w:val="none" w:sz="0" w:space="0" w:color="auto"/>
                  </w:divBdr>
                  <w:divsChild>
                    <w:div w:id="3578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4980">
      <w:bodyDiv w:val="1"/>
      <w:marLeft w:val="0"/>
      <w:marRight w:val="0"/>
      <w:marTop w:val="0"/>
      <w:marBottom w:val="0"/>
      <w:divBdr>
        <w:top w:val="none" w:sz="0" w:space="0" w:color="auto"/>
        <w:left w:val="none" w:sz="0" w:space="0" w:color="auto"/>
        <w:bottom w:val="none" w:sz="0" w:space="0" w:color="auto"/>
        <w:right w:val="none" w:sz="0" w:space="0" w:color="auto"/>
      </w:divBdr>
    </w:div>
    <w:div w:id="1225795157">
      <w:bodyDiv w:val="1"/>
      <w:marLeft w:val="0"/>
      <w:marRight w:val="0"/>
      <w:marTop w:val="0"/>
      <w:marBottom w:val="0"/>
      <w:divBdr>
        <w:top w:val="none" w:sz="0" w:space="0" w:color="auto"/>
        <w:left w:val="none" w:sz="0" w:space="0" w:color="auto"/>
        <w:bottom w:val="none" w:sz="0" w:space="0" w:color="auto"/>
        <w:right w:val="none" w:sz="0" w:space="0" w:color="auto"/>
      </w:divBdr>
      <w:divsChild>
        <w:div w:id="177083218">
          <w:marLeft w:val="0"/>
          <w:marRight w:val="0"/>
          <w:marTop w:val="0"/>
          <w:marBottom w:val="0"/>
          <w:divBdr>
            <w:top w:val="none" w:sz="0" w:space="0" w:color="auto"/>
            <w:left w:val="none" w:sz="0" w:space="0" w:color="auto"/>
            <w:bottom w:val="none" w:sz="0" w:space="0" w:color="auto"/>
            <w:right w:val="none" w:sz="0" w:space="0" w:color="auto"/>
          </w:divBdr>
          <w:divsChild>
            <w:div w:id="882061479">
              <w:marLeft w:val="0"/>
              <w:marRight w:val="0"/>
              <w:marTop w:val="0"/>
              <w:marBottom w:val="0"/>
              <w:divBdr>
                <w:top w:val="none" w:sz="0" w:space="0" w:color="auto"/>
                <w:left w:val="none" w:sz="0" w:space="0" w:color="auto"/>
                <w:bottom w:val="none" w:sz="0" w:space="0" w:color="auto"/>
                <w:right w:val="none" w:sz="0" w:space="0" w:color="auto"/>
              </w:divBdr>
              <w:divsChild>
                <w:div w:id="8882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82419">
      <w:bodyDiv w:val="1"/>
      <w:marLeft w:val="0"/>
      <w:marRight w:val="0"/>
      <w:marTop w:val="0"/>
      <w:marBottom w:val="0"/>
      <w:divBdr>
        <w:top w:val="none" w:sz="0" w:space="0" w:color="auto"/>
        <w:left w:val="none" w:sz="0" w:space="0" w:color="auto"/>
        <w:bottom w:val="none" w:sz="0" w:space="0" w:color="auto"/>
        <w:right w:val="none" w:sz="0" w:space="0" w:color="auto"/>
      </w:divBdr>
      <w:divsChild>
        <w:div w:id="952132016">
          <w:marLeft w:val="0"/>
          <w:marRight w:val="0"/>
          <w:marTop w:val="0"/>
          <w:marBottom w:val="0"/>
          <w:divBdr>
            <w:top w:val="none" w:sz="0" w:space="0" w:color="auto"/>
            <w:left w:val="none" w:sz="0" w:space="0" w:color="auto"/>
            <w:bottom w:val="none" w:sz="0" w:space="0" w:color="auto"/>
            <w:right w:val="none" w:sz="0" w:space="0" w:color="auto"/>
          </w:divBdr>
          <w:divsChild>
            <w:div w:id="1149321048">
              <w:marLeft w:val="0"/>
              <w:marRight w:val="0"/>
              <w:marTop w:val="0"/>
              <w:marBottom w:val="0"/>
              <w:divBdr>
                <w:top w:val="none" w:sz="0" w:space="0" w:color="auto"/>
                <w:left w:val="none" w:sz="0" w:space="0" w:color="auto"/>
                <w:bottom w:val="none" w:sz="0" w:space="0" w:color="auto"/>
                <w:right w:val="none" w:sz="0" w:space="0" w:color="auto"/>
              </w:divBdr>
              <w:divsChild>
                <w:div w:id="318118475">
                  <w:marLeft w:val="0"/>
                  <w:marRight w:val="0"/>
                  <w:marTop w:val="0"/>
                  <w:marBottom w:val="0"/>
                  <w:divBdr>
                    <w:top w:val="none" w:sz="0" w:space="0" w:color="auto"/>
                    <w:left w:val="none" w:sz="0" w:space="0" w:color="auto"/>
                    <w:bottom w:val="none" w:sz="0" w:space="0" w:color="auto"/>
                    <w:right w:val="none" w:sz="0" w:space="0" w:color="auto"/>
                  </w:divBdr>
                  <w:divsChild>
                    <w:div w:id="8578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7261">
      <w:bodyDiv w:val="1"/>
      <w:marLeft w:val="0"/>
      <w:marRight w:val="0"/>
      <w:marTop w:val="0"/>
      <w:marBottom w:val="0"/>
      <w:divBdr>
        <w:top w:val="none" w:sz="0" w:space="0" w:color="auto"/>
        <w:left w:val="none" w:sz="0" w:space="0" w:color="auto"/>
        <w:bottom w:val="none" w:sz="0" w:space="0" w:color="auto"/>
        <w:right w:val="none" w:sz="0" w:space="0" w:color="auto"/>
      </w:divBdr>
      <w:divsChild>
        <w:div w:id="954675605">
          <w:marLeft w:val="0"/>
          <w:marRight w:val="0"/>
          <w:marTop w:val="0"/>
          <w:marBottom w:val="0"/>
          <w:divBdr>
            <w:top w:val="none" w:sz="0" w:space="0" w:color="auto"/>
            <w:left w:val="none" w:sz="0" w:space="0" w:color="auto"/>
            <w:bottom w:val="none" w:sz="0" w:space="0" w:color="auto"/>
            <w:right w:val="none" w:sz="0" w:space="0" w:color="auto"/>
          </w:divBdr>
          <w:divsChild>
            <w:div w:id="1570655983">
              <w:marLeft w:val="0"/>
              <w:marRight w:val="0"/>
              <w:marTop w:val="0"/>
              <w:marBottom w:val="0"/>
              <w:divBdr>
                <w:top w:val="none" w:sz="0" w:space="0" w:color="auto"/>
                <w:left w:val="none" w:sz="0" w:space="0" w:color="auto"/>
                <w:bottom w:val="none" w:sz="0" w:space="0" w:color="auto"/>
                <w:right w:val="none" w:sz="0" w:space="0" w:color="auto"/>
              </w:divBdr>
              <w:divsChild>
                <w:div w:id="14586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8745">
      <w:bodyDiv w:val="1"/>
      <w:marLeft w:val="0"/>
      <w:marRight w:val="0"/>
      <w:marTop w:val="0"/>
      <w:marBottom w:val="0"/>
      <w:divBdr>
        <w:top w:val="none" w:sz="0" w:space="0" w:color="auto"/>
        <w:left w:val="none" w:sz="0" w:space="0" w:color="auto"/>
        <w:bottom w:val="none" w:sz="0" w:space="0" w:color="auto"/>
        <w:right w:val="none" w:sz="0" w:space="0" w:color="auto"/>
      </w:divBdr>
      <w:divsChild>
        <w:div w:id="135296494">
          <w:marLeft w:val="0"/>
          <w:marRight w:val="0"/>
          <w:marTop w:val="0"/>
          <w:marBottom w:val="0"/>
          <w:divBdr>
            <w:top w:val="none" w:sz="0" w:space="0" w:color="auto"/>
            <w:left w:val="none" w:sz="0" w:space="0" w:color="auto"/>
            <w:bottom w:val="none" w:sz="0" w:space="0" w:color="auto"/>
            <w:right w:val="none" w:sz="0" w:space="0" w:color="auto"/>
          </w:divBdr>
          <w:divsChild>
            <w:div w:id="259720376">
              <w:marLeft w:val="0"/>
              <w:marRight w:val="0"/>
              <w:marTop w:val="0"/>
              <w:marBottom w:val="0"/>
              <w:divBdr>
                <w:top w:val="none" w:sz="0" w:space="0" w:color="auto"/>
                <w:left w:val="none" w:sz="0" w:space="0" w:color="auto"/>
                <w:bottom w:val="none" w:sz="0" w:space="0" w:color="auto"/>
                <w:right w:val="none" w:sz="0" w:space="0" w:color="auto"/>
              </w:divBdr>
              <w:divsChild>
                <w:div w:id="1198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5822">
      <w:bodyDiv w:val="1"/>
      <w:marLeft w:val="0"/>
      <w:marRight w:val="0"/>
      <w:marTop w:val="0"/>
      <w:marBottom w:val="0"/>
      <w:divBdr>
        <w:top w:val="none" w:sz="0" w:space="0" w:color="auto"/>
        <w:left w:val="none" w:sz="0" w:space="0" w:color="auto"/>
        <w:bottom w:val="none" w:sz="0" w:space="0" w:color="auto"/>
        <w:right w:val="none" w:sz="0" w:space="0" w:color="auto"/>
      </w:divBdr>
    </w:div>
    <w:div w:id="1298299201">
      <w:bodyDiv w:val="1"/>
      <w:marLeft w:val="0"/>
      <w:marRight w:val="0"/>
      <w:marTop w:val="0"/>
      <w:marBottom w:val="0"/>
      <w:divBdr>
        <w:top w:val="none" w:sz="0" w:space="0" w:color="auto"/>
        <w:left w:val="none" w:sz="0" w:space="0" w:color="auto"/>
        <w:bottom w:val="none" w:sz="0" w:space="0" w:color="auto"/>
        <w:right w:val="none" w:sz="0" w:space="0" w:color="auto"/>
      </w:divBdr>
      <w:divsChild>
        <w:div w:id="46495024">
          <w:marLeft w:val="0"/>
          <w:marRight w:val="0"/>
          <w:marTop w:val="0"/>
          <w:marBottom w:val="0"/>
          <w:divBdr>
            <w:top w:val="none" w:sz="0" w:space="0" w:color="auto"/>
            <w:left w:val="none" w:sz="0" w:space="0" w:color="auto"/>
            <w:bottom w:val="none" w:sz="0" w:space="0" w:color="auto"/>
            <w:right w:val="none" w:sz="0" w:space="0" w:color="auto"/>
          </w:divBdr>
          <w:divsChild>
            <w:div w:id="359818027">
              <w:marLeft w:val="0"/>
              <w:marRight w:val="0"/>
              <w:marTop w:val="0"/>
              <w:marBottom w:val="0"/>
              <w:divBdr>
                <w:top w:val="none" w:sz="0" w:space="0" w:color="auto"/>
                <w:left w:val="none" w:sz="0" w:space="0" w:color="auto"/>
                <w:bottom w:val="none" w:sz="0" w:space="0" w:color="auto"/>
                <w:right w:val="none" w:sz="0" w:space="0" w:color="auto"/>
              </w:divBdr>
              <w:divsChild>
                <w:div w:id="279193693">
                  <w:marLeft w:val="0"/>
                  <w:marRight w:val="0"/>
                  <w:marTop w:val="0"/>
                  <w:marBottom w:val="0"/>
                  <w:divBdr>
                    <w:top w:val="none" w:sz="0" w:space="0" w:color="auto"/>
                    <w:left w:val="none" w:sz="0" w:space="0" w:color="auto"/>
                    <w:bottom w:val="none" w:sz="0" w:space="0" w:color="auto"/>
                    <w:right w:val="none" w:sz="0" w:space="0" w:color="auto"/>
                  </w:divBdr>
                  <w:divsChild>
                    <w:div w:id="11327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97478">
      <w:bodyDiv w:val="1"/>
      <w:marLeft w:val="0"/>
      <w:marRight w:val="0"/>
      <w:marTop w:val="0"/>
      <w:marBottom w:val="0"/>
      <w:divBdr>
        <w:top w:val="none" w:sz="0" w:space="0" w:color="auto"/>
        <w:left w:val="none" w:sz="0" w:space="0" w:color="auto"/>
        <w:bottom w:val="none" w:sz="0" w:space="0" w:color="auto"/>
        <w:right w:val="none" w:sz="0" w:space="0" w:color="auto"/>
      </w:divBdr>
      <w:divsChild>
        <w:div w:id="887227297">
          <w:marLeft w:val="0"/>
          <w:marRight w:val="0"/>
          <w:marTop w:val="0"/>
          <w:marBottom w:val="0"/>
          <w:divBdr>
            <w:top w:val="none" w:sz="0" w:space="0" w:color="auto"/>
            <w:left w:val="none" w:sz="0" w:space="0" w:color="auto"/>
            <w:bottom w:val="none" w:sz="0" w:space="0" w:color="auto"/>
            <w:right w:val="none" w:sz="0" w:space="0" w:color="auto"/>
          </w:divBdr>
          <w:divsChild>
            <w:div w:id="149174120">
              <w:marLeft w:val="0"/>
              <w:marRight w:val="0"/>
              <w:marTop w:val="0"/>
              <w:marBottom w:val="0"/>
              <w:divBdr>
                <w:top w:val="none" w:sz="0" w:space="0" w:color="auto"/>
                <w:left w:val="none" w:sz="0" w:space="0" w:color="auto"/>
                <w:bottom w:val="none" w:sz="0" w:space="0" w:color="auto"/>
                <w:right w:val="none" w:sz="0" w:space="0" w:color="auto"/>
              </w:divBdr>
              <w:divsChild>
                <w:div w:id="12346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3740">
      <w:bodyDiv w:val="1"/>
      <w:marLeft w:val="0"/>
      <w:marRight w:val="0"/>
      <w:marTop w:val="0"/>
      <w:marBottom w:val="0"/>
      <w:divBdr>
        <w:top w:val="none" w:sz="0" w:space="0" w:color="auto"/>
        <w:left w:val="none" w:sz="0" w:space="0" w:color="auto"/>
        <w:bottom w:val="none" w:sz="0" w:space="0" w:color="auto"/>
        <w:right w:val="none" w:sz="0" w:space="0" w:color="auto"/>
      </w:divBdr>
    </w:div>
    <w:div w:id="1361511674">
      <w:bodyDiv w:val="1"/>
      <w:marLeft w:val="0"/>
      <w:marRight w:val="0"/>
      <w:marTop w:val="0"/>
      <w:marBottom w:val="0"/>
      <w:divBdr>
        <w:top w:val="none" w:sz="0" w:space="0" w:color="auto"/>
        <w:left w:val="none" w:sz="0" w:space="0" w:color="auto"/>
        <w:bottom w:val="none" w:sz="0" w:space="0" w:color="auto"/>
        <w:right w:val="none" w:sz="0" w:space="0" w:color="auto"/>
      </w:divBdr>
      <w:divsChild>
        <w:div w:id="956180892">
          <w:marLeft w:val="0"/>
          <w:marRight w:val="0"/>
          <w:marTop w:val="0"/>
          <w:marBottom w:val="0"/>
          <w:divBdr>
            <w:top w:val="none" w:sz="0" w:space="0" w:color="auto"/>
            <w:left w:val="none" w:sz="0" w:space="0" w:color="auto"/>
            <w:bottom w:val="none" w:sz="0" w:space="0" w:color="auto"/>
            <w:right w:val="none" w:sz="0" w:space="0" w:color="auto"/>
          </w:divBdr>
          <w:divsChild>
            <w:div w:id="1558711268">
              <w:marLeft w:val="0"/>
              <w:marRight w:val="0"/>
              <w:marTop w:val="0"/>
              <w:marBottom w:val="0"/>
              <w:divBdr>
                <w:top w:val="none" w:sz="0" w:space="0" w:color="auto"/>
                <w:left w:val="none" w:sz="0" w:space="0" w:color="auto"/>
                <w:bottom w:val="none" w:sz="0" w:space="0" w:color="auto"/>
                <w:right w:val="none" w:sz="0" w:space="0" w:color="auto"/>
              </w:divBdr>
              <w:divsChild>
                <w:div w:id="1125928614">
                  <w:marLeft w:val="0"/>
                  <w:marRight w:val="0"/>
                  <w:marTop w:val="0"/>
                  <w:marBottom w:val="0"/>
                  <w:divBdr>
                    <w:top w:val="none" w:sz="0" w:space="0" w:color="auto"/>
                    <w:left w:val="none" w:sz="0" w:space="0" w:color="auto"/>
                    <w:bottom w:val="none" w:sz="0" w:space="0" w:color="auto"/>
                    <w:right w:val="none" w:sz="0" w:space="0" w:color="auto"/>
                  </w:divBdr>
                  <w:divsChild>
                    <w:div w:id="2097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4505">
      <w:bodyDiv w:val="1"/>
      <w:marLeft w:val="0"/>
      <w:marRight w:val="0"/>
      <w:marTop w:val="0"/>
      <w:marBottom w:val="0"/>
      <w:divBdr>
        <w:top w:val="none" w:sz="0" w:space="0" w:color="auto"/>
        <w:left w:val="none" w:sz="0" w:space="0" w:color="auto"/>
        <w:bottom w:val="none" w:sz="0" w:space="0" w:color="auto"/>
        <w:right w:val="none" w:sz="0" w:space="0" w:color="auto"/>
      </w:divBdr>
      <w:divsChild>
        <w:div w:id="87966416">
          <w:marLeft w:val="0"/>
          <w:marRight w:val="0"/>
          <w:marTop w:val="0"/>
          <w:marBottom w:val="0"/>
          <w:divBdr>
            <w:top w:val="none" w:sz="0" w:space="0" w:color="auto"/>
            <w:left w:val="none" w:sz="0" w:space="0" w:color="auto"/>
            <w:bottom w:val="none" w:sz="0" w:space="0" w:color="auto"/>
            <w:right w:val="none" w:sz="0" w:space="0" w:color="auto"/>
          </w:divBdr>
          <w:divsChild>
            <w:div w:id="1896743983">
              <w:marLeft w:val="0"/>
              <w:marRight w:val="0"/>
              <w:marTop w:val="0"/>
              <w:marBottom w:val="0"/>
              <w:divBdr>
                <w:top w:val="none" w:sz="0" w:space="0" w:color="auto"/>
                <w:left w:val="none" w:sz="0" w:space="0" w:color="auto"/>
                <w:bottom w:val="none" w:sz="0" w:space="0" w:color="auto"/>
                <w:right w:val="none" w:sz="0" w:space="0" w:color="auto"/>
              </w:divBdr>
              <w:divsChild>
                <w:div w:id="4026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5910">
      <w:bodyDiv w:val="1"/>
      <w:marLeft w:val="0"/>
      <w:marRight w:val="0"/>
      <w:marTop w:val="0"/>
      <w:marBottom w:val="0"/>
      <w:divBdr>
        <w:top w:val="none" w:sz="0" w:space="0" w:color="auto"/>
        <w:left w:val="none" w:sz="0" w:space="0" w:color="auto"/>
        <w:bottom w:val="none" w:sz="0" w:space="0" w:color="auto"/>
        <w:right w:val="none" w:sz="0" w:space="0" w:color="auto"/>
      </w:divBdr>
    </w:div>
    <w:div w:id="1544293657">
      <w:bodyDiv w:val="1"/>
      <w:marLeft w:val="0"/>
      <w:marRight w:val="0"/>
      <w:marTop w:val="0"/>
      <w:marBottom w:val="0"/>
      <w:divBdr>
        <w:top w:val="none" w:sz="0" w:space="0" w:color="auto"/>
        <w:left w:val="none" w:sz="0" w:space="0" w:color="auto"/>
        <w:bottom w:val="none" w:sz="0" w:space="0" w:color="auto"/>
        <w:right w:val="none" w:sz="0" w:space="0" w:color="auto"/>
      </w:divBdr>
      <w:divsChild>
        <w:div w:id="248202027">
          <w:marLeft w:val="0"/>
          <w:marRight w:val="0"/>
          <w:marTop w:val="0"/>
          <w:marBottom w:val="0"/>
          <w:divBdr>
            <w:top w:val="none" w:sz="0" w:space="0" w:color="auto"/>
            <w:left w:val="none" w:sz="0" w:space="0" w:color="auto"/>
            <w:bottom w:val="none" w:sz="0" w:space="0" w:color="auto"/>
            <w:right w:val="none" w:sz="0" w:space="0" w:color="auto"/>
          </w:divBdr>
          <w:divsChild>
            <w:div w:id="1075278733">
              <w:marLeft w:val="0"/>
              <w:marRight w:val="0"/>
              <w:marTop w:val="0"/>
              <w:marBottom w:val="0"/>
              <w:divBdr>
                <w:top w:val="none" w:sz="0" w:space="0" w:color="auto"/>
                <w:left w:val="none" w:sz="0" w:space="0" w:color="auto"/>
                <w:bottom w:val="none" w:sz="0" w:space="0" w:color="auto"/>
                <w:right w:val="none" w:sz="0" w:space="0" w:color="auto"/>
              </w:divBdr>
              <w:divsChild>
                <w:div w:id="1056245008">
                  <w:marLeft w:val="0"/>
                  <w:marRight w:val="0"/>
                  <w:marTop w:val="0"/>
                  <w:marBottom w:val="0"/>
                  <w:divBdr>
                    <w:top w:val="none" w:sz="0" w:space="0" w:color="auto"/>
                    <w:left w:val="none" w:sz="0" w:space="0" w:color="auto"/>
                    <w:bottom w:val="none" w:sz="0" w:space="0" w:color="auto"/>
                    <w:right w:val="none" w:sz="0" w:space="0" w:color="auto"/>
                  </w:divBdr>
                  <w:divsChild>
                    <w:div w:id="8126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22124">
      <w:bodyDiv w:val="1"/>
      <w:marLeft w:val="0"/>
      <w:marRight w:val="0"/>
      <w:marTop w:val="0"/>
      <w:marBottom w:val="0"/>
      <w:divBdr>
        <w:top w:val="none" w:sz="0" w:space="0" w:color="auto"/>
        <w:left w:val="none" w:sz="0" w:space="0" w:color="auto"/>
        <w:bottom w:val="none" w:sz="0" w:space="0" w:color="auto"/>
        <w:right w:val="none" w:sz="0" w:space="0" w:color="auto"/>
      </w:divBdr>
    </w:div>
    <w:div w:id="1648439489">
      <w:bodyDiv w:val="1"/>
      <w:marLeft w:val="0"/>
      <w:marRight w:val="0"/>
      <w:marTop w:val="0"/>
      <w:marBottom w:val="0"/>
      <w:divBdr>
        <w:top w:val="none" w:sz="0" w:space="0" w:color="auto"/>
        <w:left w:val="none" w:sz="0" w:space="0" w:color="auto"/>
        <w:bottom w:val="none" w:sz="0" w:space="0" w:color="auto"/>
        <w:right w:val="none" w:sz="0" w:space="0" w:color="auto"/>
      </w:divBdr>
      <w:divsChild>
        <w:div w:id="382943669">
          <w:marLeft w:val="0"/>
          <w:marRight w:val="0"/>
          <w:marTop w:val="0"/>
          <w:marBottom w:val="0"/>
          <w:divBdr>
            <w:top w:val="none" w:sz="0" w:space="0" w:color="auto"/>
            <w:left w:val="none" w:sz="0" w:space="0" w:color="auto"/>
            <w:bottom w:val="none" w:sz="0" w:space="0" w:color="auto"/>
            <w:right w:val="none" w:sz="0" w:space="0" w:color="auto"/>
          </w:divBdr>
          <w:divsChild>
            <w:div w:id="661396629">
              <w:marLeft w:val="0"/>
              <w:marRight w:val="0"/>
              <w:marTop w:val="0"/>
              <w:marBottom w:val="0"/>
              <w:divBdr>
                <w:top w:val="none" w:sz="0" w:space="0" w:color="auto"/>
                <w:left w:val="none" w:sz="0" w:space="0" w:color="auto"/>
                <w:bottom w:val="none" w:sz="0" w:space="0" w:color="auto"/>
                <w:right w:val="none" w:sz="0" w:space="0" w:color="auto"/>
              </w:divBdr>
              <w:divsChild>
                <w:div w:id="21029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559">
      <w:bodyDiv w:val="1"/>
      <w:marLeft w:val="0"/>
      <w:marRight w:val="0"/>
      <w:marTop w:val="0"/>
      <w:marBottom w:val="0"/>
      <w:divBdr>
        <w:top w:val="none" w:sz="0" w:space="0" w:color="auto"/>
        <w:left w:val="none" w:sz="0" w:space="0" w:color="auto"/>
        <w:bottom w:val="none" w:sz="0" w:space="0" w:color="auto"/>
        <w:right w:val="none" w:sz="0" w:space="0" w:color="auto"/>
      </w:divBdr>
    </w:div>
    <w:div w:id="1679966407">
      <w:bodyDiv w:val="1"/>
      <w:marLeft w:val="0"/>
      <w:marRight w:val="0"/>
      <w:marTop w:val="0"/>
      <w:marBottom w:val="0"/>
      <w:divBdr>
        <w:top w:val="none" w:sz="0" w:space="0" w:color="auto"/>
        <w:left w:val="none" w:sz="0" w:space="0" w:color="auto"/>
        <w:bottom w:val="none" w:sz="0" w:space="0" w:color="auto"/>
        <w:right w:val="none" w:sz="0" w:space="0" w:color="auto"/>
      </w:divBdr>
      <w:divsChild>
        <w:div w:id="1602369366">
          <w:marLeft w:val="0"/>
          <w:marRight w:val="0"/>
          <w:marTop w:val="0"/>
          <w:marBottom w:val="0"/>
          <w:divBdr>
            <w:top w:val="none" w:sz="0" w:space="0" w:color="auto"/>
            <w:left w:val="none" w:sz="0" w:space="0" w:color="auto"/>
            <w:bottom w:val="none" w:sz="0" w:space="0" w:color="auto"/>
            <w:right w:val="none" w:sz="0" w:space="0" w:color="auto"/>
          </w:divBdr>
          <w:divsChild>
            <w:div w:id="798032401">
              <w:marLeft w:val="0"/>
              <w:marRight w:val="0"/>
              <w:marTop w:val="0"/>
              <w:marBottom w:val="0"/>
              <w:divBdr>
                <w:top w:val="none" w:sz="0" w:space="0" w:color="auto"/>
                <w:left w:val="none" w:sz="0" w:space="0" w:color="auto"/>
                <w:bottom w:val="none" w:sz="0" w:space="0" w:color="auto"/>
                <w:right w:val="none" w:sz="0" w:space="0" w:color="auto"/>
              </w:divBdr>
              <w:divsChild>
                <w:div w:id="12222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0227">
      <w:bodyDiv w:val="1"/>
      <w:marLeft w:val="0"/>
      <w:marRight w:val="0"/>
      <w:marTop w:val="0"/>
      <w:marBottom w:val="0"/>
      <w:divBdr>
        <w:top w:val="none" w:sz="0" w:space="0" w:color="auto"/>
        <w:left w:val="none" w:sz="0" w:space="0" w:color="auto"/>
        <w:bottom w:val="none" w:sz="0" w:space="0" w:color="auto"/>
        <w:right w:val="none" w:sz="0" w:space="0" w:color="auto"/>
      </w:divBdr>
    </w:div>
    <w:div w:id="1734545211">
      <w:bodyDiv w:val="1"/>
      <w:marLeft w:val="0"/>
      <w:marRight w:val="0"/>
      <w:marTop w:val="0"/>
      <w:marBottom w:val="0"/>
      <w:divBdr>
        <w:top w:val="none" w:sz="0" w:space="0" w:color="auto"/>
        <w:left w:val="none" w:sz="0" w:space="0" w:color="auto"/>
        <w:bottom w:val="none" w:sz="0" w:space="0" w:color="auto"/>
        <w:right w:val="none" w:sz="0" w:space="0" w:color="auto"/>
      </w:divBdr>
      <w:divsChild>
        <w:div w:id="77530775">
          <w:marLeft w:val="0"/>
          <w:marRight w:val="0"/>
          <w:marTop w:val="0"/>
          <w:marBottom w:val="0"/>
          <w:divBdr>
            <w:top w:val="none" w:sz="0" w:space="0" w:color="auto"/>
            <w:left w:val="none" w:sz="0" w:space="0" w:color="auto"/>
            <w:bottom w:val="none" w:sz="0" w:space="0" w:color="auto"/>
            <w:right w:val="none" w:sz="0" w:space="0" w:color="auto"/>
          </w:divBdr>
          <w:divsChild>
            <w:div w:id="300118121">
              <w:marLeft w:val="0"/>
              <w:marRight w:val="0"/>
              <w:marTop w:val="0"/>
              <w:marBottom w:val="0"/>
              <w:divBdr>
                <w:top w:val="none" w:sz="0" w:space="0" w:color="auto"/>
                <w:left w:val="none" w:sz="0" w:space="0" w:color="auto"/>
                <w:bottom w:val="none" w:sz="0" w:space="0" w:color="auto"/>
                <w:right w:val="none" w:sz="0" w:space="0" w:color="auto"/>
              </w:divBdr>
              <w:divsChild>
                <w:div w:id="144590937">
                  <w:marLeft w:val="0"/>
                  <w:marRight w:val="0"/>
                  <w:marTop w:val="0"/>
                  <w:marBottom w:val="0"/>
                  <w:divBdr>
                    <w:top w:val="none" w:sz="0" w:space="0" w:color="auto"/>
                    <w:left w:val="none" w:sz="0" w:space="0" w:color="auto"/>
                    <w:bottom w:val="none" w:sz="0" w:space="0" w:color="auto"/>
                    <w:right w:val="none" w:sz="0" w:space="0" w:color="auto"/>
                  </w:divBdr>
                  <w:divsChild>
                    <w:div w:id="19139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4231">
      <w:bodyDiv w:val="1"/>
      <w:marLeft w:val="0"/>
      <w:marRight w:val="0"/>
      <w:marTop w:val="0"/>
      <w:marBottom w:val="0"/>
      <w:divBdr>
        <w:top w:val="none" w:sz="0" w:space="0" w:color="auto"/>
        <w:left w:val="none" w:sz="0" w:space="0" w:color="auto"/>
        <w:bottom w:val="none" w:sz="0" w:space="0" w:color="auto"/>
        <w:right w:val="none" w:sz="0" w:space="0" w:color="auto"/>
      </w:divBdr>
    </w:div>
    <w:div w:id="1797142188">
      <w:bodyDiv w:val="1"/>
      <w:marLeft w:val="0"/>
      <w:marRight w:val="0"/>
      <w:marTop w:val="0"/>
      <w:marBottom w:val="0"/>
      <w:divBdr>
        <w:top w:val="none" w:sz="0" w:space="0" w:color="auto"/>
        <w:left w:val="none" w:sz="0" w:space="0" w:color="auto"/>
        <w:bottom w:val="none" w:sz="0" w:space="0" w:color="auto"/>
        <w:right w:val="none" w:sz="0" w:space="0" w:color="auto"/>
      </w:divBdr>
    </w:div>
    <w:div w:id="1840390256">
      <w:bodyDiv w:val="1"/>
      <w:marLeft w:val="0"/>
      <w:marRight w:val="0"/>
      <w:marTop w:val="0"/>
      <w:marBottom w:val="0"/>
      <w:divBdr>
        <w:top w:val="none" w:sz="0" w:space="0" w:color="auto"/>
        <w:left w:val="none" w:sz="0" w:space="0" w:color="auto"/>
        <w:bottom w:val="none" w:sz="0" w:space="0" w:color="auto"/>
        <w:right w:val="none" w:sz="0" w:space="0" w:color="auto"/>
      </w:divBdr>
      <w:divsChild>
        <w:div w:id="742414101">
          <w:marLeft w:val="0"/>
          <w:marRight w:val="0"/>
          <w:marTop w:val="0"/>
          <w:marBottom w:val="0"/>
          <w:divBdr>
            <w:top w:val="none" w:sz="0" w:space="0" w:color="auto"/>
            <w:left w:val="none" w:sz="0" w:space="0" w:color="auto"/>
            <w:bottom w:val="none" w:sz="0" w:space="0" w:color="auto"/>
            <w:right w:val="none" w:sz="0" w:space="0" w:color="auto"/>
          </w:divBdr>
          <w:divsChild>
            <w:div w:id="1245533114">
              <w:marLeft w:val="0"/>
              <w:marRight w:val="0"/>
              <w:marTop w:val="0"/>
              <w:marBottom w:val="0"/>
              <w:divBdr>
                <w:top w:val="none" w:sz="0" w:space="0" w:color="auto"/>
                <w:left w:val="none" w:sz="0" w:space="0" w:color="auto"/>
                <w:bottom w:val="none" w:sz="0" w:space="0" w:color="auto"/>
                <w:right w:val="none" w:sz="0" w:space="0" w:color="auto"/>
              </w:divBdr>
              <w:divsChild>
                <w:div w:id="9645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4489">
      <w:bodyDiv w:val="1"/>
      <w:marLeft w:val="0"/>
      <w:marRight w:val="0"/>
      <w:marTop w:val="0"/>
      <w:marBottom w:val="0"/>
      <w:divBdr>
        <w:top w:val="none" w:sz="0" w:space="0" w:color="auto"/>
        <w:left w:val="none" w:sz="0" w:space="0" w:color="auto"/>
        <w:bottom w:val="none" w:sz="0" w:space="0" w:color="auto"/>
        <w:right w:val="none" w:sz="0" w:space="0" w:color="auto"/>
      </w:divBdr>
    </w:div>
    <w:div w:id="1865286791">
      <w:bodyDiv w:val="1"/>
      <w:marLeft w:val="0"/>
      <w:marRight w:val="0"/>
      <w:marTop w:val="0"/>
      <w:marBottom w:val="0"/>
      <w:divBdr>
        <w:top w:val="none" w:sz="0" w:space="0" w:color="auto"/>
        <w:left w:val="none" w:sz="0" w:space="0" w:color="auto"/>
        <w:bottom w:val="none" w:sz="0" w:space="0" w:color="auto"/>
        <w:right w:val="none" w:sz="0" w:space="0" w:color="auto"/>
      </w:divBdr>
    </w:div>
    <w:div w:id="1890191101">
      <w:bodyDiv w:val="1"/>
      <w:marLeft w:val="0"/>
      <w:marRight w:val="0"/>
      <w:marTop w:val="0"/>
      <w:marBottom w:val="0"/>
      <w:divBdr>
        <w:top w:val="none" w:sz="0" w:space="0" w:color="auto"/>
        <w:left w:val="none" w:sz="0" w:space="0" w:color="auto"/>
        <w:bottom w:val="none" w:sz="0" w:space="0" w:color="auto"/>
        <w:right w:val="none" w:sz="0" w:space="0" w:color="auto"/>
      </w:divBdr>
      <w:divsChild>
        <w:div w:id="1968006304">
          <w:marLeft w:val="0"/>
          <w:marRight w:val="0"/>
          <w:marTop w:val="0"/>
          <w:marBottom w:val="0"/>
          <w:divBdr>
            <w:top w:val="none" w:sz="0" w:space="0" w:color="auto"/>
            <w:left w:val="none" w:sz="0" w:space="0" w:color="auto"/>
            <w:bottom w:val="none" w:sz="0" w:space="0" w:color="auto"/>
            <w:right w:val="none" w:sz="0" w:space="0" w:color="auto"/>
          </w:divBdr>
          <w:divsChild>
            <w:div w:id="774908680">
              <w:marLeft w:val="0"/>
              <w:marRight w:val="0"/>
              <w:marTop w:val="0"/>
              <w:marBottom w:val="0"/>
              <w:divBdr>
                <w:top w:val="none" w:sz="0" w:space="0" w:color="auto"/>
                <w:left w:val="none" w:sz="0" w:space="0" w:color="auto"/>
                <w:bottom w:val="none" w:sz="0" w:space="0" w:color="auto"/>
                <w:right w:val="none" w:sz="0" w:space="0" w:color="auto"/>
              </w:divBdr>
              <w:divsChild>
                <w:div w:id="516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5183">
      <w:bodyDiv w:val="1"/>
      <w:marLeft w:val="0"/>
      <w:marRight w:val="0"/>
      <w:marTop w:val="0"/>
      <w:marBottom w:val="0"/>
      <w:divBdr>
        <w:top w:val="none" w:sz="0" w:space="0" w:color="auto"/>
        <w:left w:val="none" w:sz="0" w:space="0" w:color="auto"/>
        <w:bottom w:val="none" w:sz="0" w:space="0" w:color="auto"/>
        <w:right w:val="none" w:sz="0" w:space="0" w:color="auto"/>
      </w:divBdr>
    </w:div>
    <w:div w:id="1916041437">
      <w:bodyDiv w:val="1"/>
      <w:marLeft w:val="0"/>
      <w:marRight w:val="0"/>
      <w:marTop w:val="0"/>
      <w:marBottom w:val="0"/>
      <w:divBdr>
        <w:top w:val="none" w:sz="0" w:space="0" w:color="auto"/>
        <w:left w:val="none" w:sz="0" w:space="0" w:color="auto"/>
        <w:bottom w:val="none" w:sz="0" w:space="0" w:color="auto"/>
        <w:right w:val="none" w:sz="0" w:space="0" w:color="auto"/>
      </w:divBdr>
      <w:divsChild>
        <w:div w:id="248735337">
          <w:marLeft w:val="0"/>
          <w:marRight w:val="0"/>
          <w:marTop w:val="0"/>
          <w:marBottom w:val="0"/>
          <w:divBdr>
            <w:top w:val="none" w:sz="0" w:space="0" w:color="auto"/>
            <w:left w:val="none" w:sz="0" w:space="0" w:color="auto"/>
            <w:bottom w:val="none" w:sz="0" w:space="0" w:color="auto"/>
            <w:right w:val="none" w:sz="0" w:space="0" w:color="auto"/>
          </w:divBdr>
          <w:divsChild>
            <w:div w:id="518740635">
              <w:marLeft w:val="0"/>
              <w:marRight w:val="0"/>
              <w:marTop w:val="0"/>
              <w:marBottom w:val="0"/>
              <w:divBdr>
                <w:top w:val="none" w:sz="0" w:space="0" w:color="auto"/>
                <w:left w:val="none" w:sz="0" w:space="0" w:color="auto"/>
                <w:bottom w:val="none" w:sz="0" w:space="0" w:color="auto"/>
                <w:right w:val="none" w:sz="0" w:space="0" w:color="auto"/>
              </w:divBdr>
              <w:divsChild>
                <w:div w:id="11590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3455">
      <w:bodyDiv w:val="1"/>
      <w:marLeft w:val="0"/>
      <w:marRight w:val="0"/>
      <w:marTop w:val="0"/>
      <w:marBottom w:val="0"/>
      <w:divBdr>
        <w:top w:val="none" w:sz="0" w:space="0" w:color="auto"/>
        <w:left w:val="none" w:sz="0" w:space="0" w:color="auto"/>
        <w:bottom w:val="none" w:sz="0" w:space="0" w:color="auto"/>
        <w:right w:val="none" w:sz="0" w:space="0" w:color="auto"/>
      </w:divBdr>
      <w:divsChild>
        <w:div w:id="1463966129">
          <w:marLeft w:val="0"/>
          <w:marRight w:val="0"/>
          <w:marTop w:val="0"/>
          <w:marBottom w:val="0"/>
          <w:divBdr>
            <w:top w:val="none" w:sz="0" w:space="0" w:color="auto"/>
            <w:left w:val="none" w:sz="0" w:space="0" w:color="auto"/>
            <w:bottom w:val="none" w:sz="0" w:space="0" w:color="auto"/>
            <w:right w:val="none" w:sz="0" w:space="0" w:color="auto"/>
          </w:divBdr>
          <w:divsChild>
            <w:div w:id="1967538633">
              <w:marLeft w:val="0"/>
              <w:marRight w:val="0"/>
              <w:marTop w:val="0"/>
              <w:marBottom w:val="0"/>
              <w:divBdr>
                <w:top w:val="none" w:sz="0" w:space="0" w:color="auto"/>
                <w:left w:val="none" w:sz="0" w:space="0" w:color="auto"/>
                <w:bottom w:val="none" w:sz="0" w:space="0" w:color="auto"/>
                <w:right w:val="none" w:sz="0" w:space="0" w:color="auto"/>
              </w:divBdr>
              <w:divsChild>
                <w:div w:id="1135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4211">
      <w:bodyDiv w:val="1"/>
      <w:marLeft w:val="0"/>
      <w:marRight w:val="0"/>
      <w:marTop w:val="0"/>
      <w:marBottom w:val="0"/>
      <w:divBdr>
        <w:top w:val="none" w:sz="0" w:space="0" w:color="auto"/>
        <w:left w:val="none" w:sz="0" w:space="0" w:color="auto"/>
        <w:bottom w:val="none" w:sz="0" w:space="0" w:color="auto"/>
        <w:right w:val="none" w:sz="0" w:space="0" w:color="auto"/>
      </w:divBdr>
    </w:div>
    <w:div w:id="1936554706">
      <w:bodyDiv w:val="1"/>
      <w:marLeft w:val="0"/>
      <w:marRight w:val="0"/>
      <w:marTop w:val="0"/>
      <w:marBottom w:val="0"/>
      <w:divBdr>
        <w:top w:val="none" w:sz="0" w:space="0" w:color="auto"/>
        <w:left w:val="none" w:sz="0" w:space="0" w:color="auto"/>
        <w:bottom w:val="none" w:sz="0" w:space="0" w:color="auto"/>
        <w:right w:val="none" w:sz="0" w:space="0" w:color="auto"/>
      </w:divBdr>
    </w:div>
    <w:div w:id="1955557782">
      <w:bodyDiv w:val="1"/>
      <w:marLeft w:val="0"/>
      <w:marRight w:val="0"/>
      <w:marTop w:val="0"/>
      <w:marBottom w:val="0"/>
      <w:divBdr>
        <w:top w:val="none" w:sz="0" w:space="0" w:color="auto"/>
        <w:left w:val="none" w:sz="0" w:space="0" w:color="auto"/>
        <w:bottom w:val="none" w:sz="0" w:space="0" w:color="auto"/>
        <w:right w:val="none" w:sz="0" w:space="0" w:color="auto"/>
      </w:divBdr>
    </w:div>
    <w:div w:id="1981230899">
      <w:bodyDiv w:val="1"/>
      <w:marLeft w:val="0"/>
      <w:marRight w:val="0"/>
      <w:marTop w:val="0"/>
      <w:marBottom w:val="0"/>
      <w:divBdr>
        <w:top w:val="none" w:sz="0" w:space="0" w:color="auto"/>
        <w:left w:val="none" w:sz="0" w:space="0" w:color="auto"/>
        <w:bottom w:val="none" w:sz="0" w:space="0" w:color="auto"/>
        <w:right w:val="none" w:sz="0" w:space="0" w:color="auto"/>
      </w:divBdr>
      <w:divsChild>
        <w:div w:id="2044204320">
          <w:marLeft w:val="0"/>
          <w:marRight w:val="0"/>
          <w:marTop w:val="0"/>
          <w:marBottom w:val="0"/>
          <w:divBdr>
            <w:top w:val="none" w:sz="0" w:space="0" w:color="auto"/>
            <w:left w:val="none" w:sz="0" w:space="0" w:color="auto"/>
            <w:bottom w:val="none" w:sz="0" w:space="0" w:color="auto"/>
            <w:right w:val="none" w:sz="0" w:space="0" w:color="auto"/>
          </w:divBdr>
          <w:divsChild>
            <w:div w:id="2003584692">
              <w:marLeft w:val="0"/>
              <w:marRight w:val="0"/>
              <w:marTop w:val="0"/>
              <w:marBottom w:val="0"/>
              <w:divBdr>
                <w:top w:val="none" w:sz="0" w:space="0" w:color="auto"/>
                <w:left w:val="none" w:sz="0" w:space="0" w:color="auto"/>
                <w:bottom w:val="none" w:sz="0" w:space="0" w:color="auto"/>
                <w:right w:val="none" w:sz="0" w:space="0" w:color="auto"/>
              </w:divBdr>
              <w:divsChild>
                <w:div w:id="299194134">
                  <w:marLeft w:val="0"/>
                  <w:marRight w:val="0"/>
                  <w:marTop w:val="0"/>
                  <w:marBottom w:val="0"/>
                  <w:divBdr>
                    <w:top w:val="none" w:sz="0" w:space="0" w:color="auto"/>
                    <w:left w:val="none" w:sz="0" w:space="0" w:color="auto"/>
                    <w:bottom w:val="none" w:sz="0" w:space="0" w:color="auto"/>
                    <w:right w:val="none" w:sz="0" w:space="0" w:color="auto"/>
                  </w:divBdr>
                  <w:divsChild>
                    <w:div w:id="3436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7491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61">
          <w:marLeft w:val="0"/>
          <w:marRight w:val="0"/>
          <w:marTop w:val="0"/>
          <w:marBottom w:val="0"/>
          <w:divBdr>
            <w:top w:val="none" w:sz="0" w:space="0" w:color="auto"/>
            <w:left w:val="none" w:sz="0" w:space="0" w:color="auto"/>
            <w:bottom w:val="none" w:sz="0" w:space="0" w:color="auto"/>
            <w:right w:val="none" w:sz="0" w:space="0" w:color="auto"/>
          </w:divBdr>
          <w:divsChild>
            <w:div w:id="552697777">
              <w:marLeft w:val="0"/>
              <w:marRight w:val="0"/>
              <w:marTop w:val="0"/>
              <w:marBottom w:val="0"/>
              <w:divBdr>
                <w:top w:val="none" w:sz="0" w:space="0" w:color="auto"/>
                <w:left w:val="none" w:sz="0" w:space="0" w:color="auto"/>
                <w:bottom w:val="none" w:sz="0" w:space="0" w:color="auto"/>
                <w:right w:val="none" w:sz="0" w:space="0" w:color="auto"/>
              </w:divBdr>
              <w:divsChild>
                <w:div w:id="127906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7854">
      <w:bodyDiv w:val="1"/>
      <w:marLeft w:val="0"/>
      <w:marRight w:val="0"/>
      <w:marTop w:val="0"/>
      <w:marBottom w:val="0"/>
      <w:divBdr>
        <w:top w:val="none" w:sz="0" w:space="0" w:color="auto"/>
        <w:left w:val="none" w:sz="0" w:space="0" w:color="auto"/>
        <w:bottom w:val="none" w:sz="0" w:space="0" w:color="auto"/>
        <w:right w:val="none" w:sz="0" w:space="0" w:color="auto"/>
      </w:divBdr>
    </w:div>
    <w:div w:id="2029060998">
      <w:bodyDiv w:val="1"/>
      <w:marLeft w:val="0"/>
      <w:marRight w:val="0"/>
      <w:marTop w:val="0"/>
      <w:marBottom w:val="0"/>
      <w:divBdr>
        <w:top w:val="none" w:sz="0" w:space="0" w:color="auto"/>
        <w:left w:val="none" w:sz="0" w:space="0" w:color="auto"/>
        <w:bottom w:val="none" w:sz="0" w:space="0" w:color="auto"/>
        <w:right w:val="none" w:sz="0" w:space="0" w:color="auto"/>
      </w:divBdr>
      <w:divsChild>
        <w:div w:id="1206601923">
          <w:marLeft w:val="0"/>
          <w:marRight w:val="0"/>
          <w:marTop w:val="0"/>
          <w:marBottom w:val="0"/>
          <w:divBdr>
            <w:top w:val="none" w:sz="0" w:space="0" w:color="auto"/>
            <w:left w:val="none" w:sz="0" w:space="0" w:color="auto"/>
            <w:bottom w:val="none" w:sz="0" w:space="0" w:color="auto"/>
            <w:right w:val="none" w:sz="0" w:space="0" w:color="auto"/>
          </w:divBdr>
          <w:divsChild>
            <w:div w:id="771971600">
              <w:marLeft w:val="0"/>
              <w:marRight w:val="0"/>
              <w:marTop w:val="0"/>
              <w:marBottom w:val="0"/>
              <w:divBdr>
                <w:top w:val="none" w:sz="0" w:space="0" w:color="auto"/>
                <w:left w:val="none" w:sz="0" w:space="0" w:color="auto"/>
                <w:bottom w:val="none" w:sz="0" w:space="0" w:color="auto"/>
                <w:right w:val="none" w:sz="0" w:space="0" w:color="auto"/>
              </w:divBdr>
              <w:divsChild>
                <w:div w:id="5873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8568">
      <w:bodyDiv w:val="1"/>
      <w:marLeft w:val="0"/>
      <w:marRight w:val="0"/>
      <w:marTop w:val="0"/>
      <w:marBottom w:val="0"/>
      <w:divBdr>
        <w:top w:val="none" w:sz="0" w:space="0" w:color="auto"/>
        <w:left w:val="none" w:sz="0" w:space="0" w:color="auto"/>
        <w:bottom w:val="none" w:sz="0" w:space="0" w:color="auto"/>
        <w:right w:val="none" w:sz="0" w:space="0" w:color="auto"/>
      </w:divBdr>
      <w:divsChild>
        <w:div w:id="1937783421">
          <w:marLeft w:val="0"/>
          <w:marRight w:val="0"/>
          <w:marTop w:val="0"/>
          <w:marBottom w:val="0"/>
          <w:divBdr>
            <w:top w:val="none" w:sz="0" w:space="0" w:color="auto"/>
            <w:left w:val="none" w:sz="0" w:space="0" w:color="auto"/>
            <w:bottom w:val="none" w:sz="0" w:space="0" w:color="auto"/>
            <w:right w:val="none" w:sz="0" w:space="0" w:color="auto"/>
          </w:divBdr>
          <w:divsChild>
            <w:div w:id="854416807">
              <w:marLeft w:val="0"/>
              <w:marRight w:val="0"/>
              <w:marTop w:val="0"/>
              <w:marBottom w:val="0"/>
              <w:divBdr>
                <w:top w:val="none" w:sz="0" w:space="0" w:color="auto"/>
                <w:left w:val="none" w:sz="0" w:space="0" w:color="auto"/>
                <w:bottom w:val="none" w:sz="0" w:space="0" w:color="auto"/>
                <w:right w:val="none" w:sz="0" w:space="0" w:color="auto"/>
              </w:divBdr>
              <w:divsChild>
                <w:div w:id="169187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40102">
      <w:bodyDiv w:val="1"/>
      <w:marLeft w:val="0"/>
      <w:marRight w:val="0"/>
      <w:marTop w:val="0"/>
      <w:marBottom w:val="0"/>
      <w:divBdr>
        <w:top w:val="none" w:sz="0" w:space="0" w:color="auto"/>
        <w:left w:val="none" w:sz="0" w:space="0" w:color="auto"/>
        <w:bottom w:val="none" w:sz="0" w:space="0" w:color="auto"/>
        <w:right w:val="none" w:sz="0" w:space="0" w:color="auto"/>
      </w:divBdr>
      <w:divsChild>
        <w:div w:id="1169639279">
          <w:marLeft w:val="0"/>
          <w:marRight w:val="0"/>
          <w:marTop w:val="0"/>
          <w:marBottom w:val="0"/>
          <w:divBdr>
            <w:top w:val="none" w:sz="0" w:space="0" w:color="auto"/>
            <w:left w:val="none" w:sz="0" w:space="0" w:color="auto"/>
            <w:bottom w:val="none" w:sz="0" w:space="0" w:color="auto"/>
            <w:right w:val="none" w:sz="0" w:space="0" w:color="auto"/>
          </w:divBdr>
          <w:divsChild>
            <w:div w:id="564146471">
              <w:marLeft w:val="0"/>
              <w:marRight w:val="0"/>
              <w:marTop w:val="0"/>
              <w:marBottom w:val="0"/>
              <w:divBdr>
                <w:top w:val="none" w:sz="0" w:space="0" w:color="auto"/>
                <w:left w:val="none" w:sz="0" w:space="0" w:color="auto"/>
                <w:bottom w:val="none" w:sz="0" w:space="0" w:color="auto"/>
                <w:right w:val="none" w:sz="0" w:space="0" w:color="auto"/>
              </w:divBdr>
              <w:divsChild>
                <w:div w:id="899365396">
                  <w:marLeft w:val="0"/>
                  <w:marRight w:val="0"/>
                  <w:marTop w:val="0"/>
                  <w:marBottom w:val="0"/>
                  <w:divBdr>
                    <w:top w:val="none" w:sz="0" w:space="0" w:color="auto"/>
                    <w:left w:val="none" w:sz="0" w:space="0" w:color="auto"/>
                    <w:bottom w:val="none" w:sz="0" w:space="0" w:color="auto"/>
                    <w:right w:val="none" w:sz="0" w:space="0" w:color="auto"/>
                  </w:divBdr>
                  <w:divsChild>
                    <w:div w:id="14212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63344">
      <w:bodyDiv w:val="1"/>
      <w:marLeft w:val="0"/>
      <w:marRight w:val="0"/>
      <w:marTop w:val="0"/>
      <w:marBottom w:val="0"/>
      <w:divBdr>
        <w:top w:val="none" w:sz="0" w:space="0" w:color="auto"/>
        <w:left w:val="none" w:sz="0" w:space="0" w:color="auto"/>
        <w:bottom w:val="none" w:sz="0" w:space="0" w:color="auto"/>
        <w:right w:val="none" w:sz="0" w:space="0" w:color="auto"/>
      </w:divBdr>
      <w:divsChild>
        <w:div w:id="1503277089">
          <w:marLeft w:val="0"/>
          <w:marRight w:val="0"/>
          <w:marTop w:val="0"/>
          <w:marBottom w:val="0"/>
          <w:divBdr>
            <w:top w:val="none" w:sz="0" w:space="0" w:color="auto"/>
            <w:left w:val="none" w:sz="0" w:space="0" w:color="auto"/>
            <w:bottom w:val="none" w:sz="0" w:space="0" w:color="auto"/>
            <w:right w:val="none" w:sz="0" w:space="0" w:color="auto"/>
          </w:divBdr>
          <w:divsChild>
            <w:div w:id="850222733">
              <w:marLeft w:val="0"/>
              <w:marRight w:val="0"/>
              <w:marTop w:val="0"/>
              <w:marBottom w:val="0"/>
              <w:divBdr>
                <w:top w:val="none" w:sz="0" w:space="0" w:color="auto"/>
                <w:left w:val="none" w:sz="0" w:space="0" w:color="auto"/>
                <w:bottom w:val="none" w:sz="0" w:space="0" w:color="auto"/>
                <w:right w:val="none" w:sz="0" w:space="0" w:color="auto"/>
              </w:divBdr>
              <w:divsChild>
                <w:div w:id="7373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6022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092696735">
      <w:bodyDiv w:val="1"/>
      <w:marLeft w:val="0"/>
      <w:marRight w:val="0"/>
      <w:marTop w:val="0"/>
      <w:marBottom w:val="0"/>
      <w:divBdr>
        <w:top w:val="none" w:sz="0" w:space="0" w:color="auto"/>
        <w:left w:val="none" w:sz="0" w:space="0" w:color="auto"/>
        <w:bottom w:val="none" w:sz="0" w:space="0" w:color="auto"/>
        <w:right w:val="none" w:sz="0" w:space="0" w:color="auto"/>
      </w:divBdr>
      <w:divsChild>
        <w:div w:id="1837720009">
          <w:marLeft w:val="0"/>
          <w:marRight w:val="0"/>
          <w:marTop w:val="0"/>
          <w:marBottom w:val="0"/>
          <w:divBdr>
            <w:top w:val="none" w:sz="0" w:space="0" w:color="auto"/>
            <w:left w:val="none" w:sz="0" w:space="0" w:color="auto"/>
            <w:bottom w:val="none" w:sz="0" w:space="0" w:color="auto"/>
            <w:right w:val="none" w:sz="0" w:space="0" w:color="auto"/>
          </w:divBdr>
          <w:divsChild>
            <w:div w:id="1371145272">
              <w:marLeft w:val="0"/>
              <w:marRight w:val="0"/>
              <w:marTop w:val="0"/>
              <w:marBottom w:val="0"/>
              <w:divBdr>
                <w:top w:val="none" w:sz="0" w:space="0" w:color="auto"/>
                <w:left w:val="none" w:sz="0" w:space="0" w:color="auto"/>
                <w:bottom w:val="none" w:sz="0" w:space="0" w:color="auto"/>
                <w:right w:val="none" w:sz="0" w:space="0" w:color="auto"/>
              </w:divBdr>
              <w:divsChild>
                <w:div w:id="2133666864">
                  <w:marLeft w:val="0"/>
                  <w:marRight w:val="0"/>
                  <w:marTop w:val="0"/>
                  <w:marBottom w:val="0"/>
                  <w:divBdr>
                    <w:top w:val="none" w:sz="0" w:space="0" w:color="auto"/>
                    <w:left w:val="none" w:sz="0" w:space="0" w:color="auto"/>
                    <w:bottom w:val="none" w:sz="0" w:space="0" w:color="auto"/>
                    <w:right w:val="none" w:sz="0" w:space="0" w:color="auto"/>
                  </w:divBdr>
                  <w:divsChild>
                    <w:div w:id="1228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93726">
      <w:bodyDiv w:val="1"/>
      <w:marLeft w:val="0"/>
      <w:marRight w:val="0"/>
      <w:marTop w:val="0"/>
      <w:marBottom w:val="0"/>
      <w:divBdr>
        <w:top w:val="none" w:sz="0" w:space="0" w:color="auto"/>
        <w:left w:val="none" w:sz="0" w:space="0" w:color="auto"/>
        <w:bottom w:val="none" w:sz="0" w:space="0" w:color="auto"/>
        <w:right w:val="none" w:sz="0" w:space="0" w:color="auto"/>
      </w:divBdr>
      <w:divsChild>
        <w:div w:id="511064665">
          <w:marLeft w:val="0"/>
          <w:marRight w:val="0"/>
          <w:marTop w:val="0"/>
          <w:marBottom w:val="0"/>
          <w:divBdr>
            <w:top w:val="none" w:sz="0" w:space="0" w:color="auto"/>
            <w:left w:val="none" w:sz="0" w:space="0" w:color="auto"/>
            <w:bottom w:val="none" w:sz="0" w:space="0" w:color="auto"/>
            <w:right w:val="none" w:sz="0" w:space="0" w:color="auto"/>
          </w:divBdr>
          <w:divsChild>
            <w:div w:id="875434650">
              <w:marLeft w:val="0"/>
              <w:marRight w:val="0"/>
              <w:marTop w:val="0"/>
              <w:marBottom w:val="0"/>
              <w:divBdr>
                <w:top w:val="none" w:sz="0" w:space="0" w:color="auto"/>
                <w:left w:val="none" w:sz="0" w:space="0" w:color="auto"/>
                <w:bottom w:val="none" w:sz="0" w:space="0" w:color="auto"/>
                <w:right w:val="none" w:sz="0" w:space="0" w:color="auto"/>
              </w:divBdr>
              <w:divsChild>
                <w:div w:id="21039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2454">
      <w:bodyDiv w:val="1"/>
      <w:marLeft w:val="0"/>
      <w:marRight w:val="0"/>
      <w:marTop w:val="0"/>
      <w:marBottom w:val="0"/>
      <w:divBdr>
        <w:top w:val="none" w:sz="0" w:space="0" w:color="auto"/>
        <w:left w:val="none" w:sz="0" w:space="0" w:color="auto"/>
        <w:bottom w:val="none" w:sz="0" w:space="0" w:color="auto"/>
        <w:right w:val="none" w:sz="0" w:space="0" w:color="auto"/>
      </w:divBdr>
    </w:div>
    <w:div w:id="2105226341">
      <w:bodyDiv w:val="1"/>
      <w:marLeft w:val="0"/>
      <w:marRight w:val="0"/>
      <w:marTop w:val="0"/>
      <w:marBottom w:val="0"/>
      <w:divBdr>
        <w:top w:val="none" w:sz="0" w:space="0" w:color="auto"/>
        <w:left w:val="none" w:sz="0" w:space="0" w:color="auto"/>
        <w:bottom w:val="none" w:sz="0" w:space="0" w:color="auto"/>
        <w:right w:val="none" w:sz="0" w:space="0" w:color="auto"/>
      </w:divBdr>
      <w:divsChild>
        <w:div w:id="1708942787">
          <w:marLeft w:val="0"/>
          <w:marRight w:val="0"/>
          <w:marTop w:val="0"/>
          <w:marBottom w:val="0"/>
          <w:divBdr>
            <w:top w:val="none" w:sz="0" w:space="0" w:color="auto"/>
            <w:left w:val="none" w:sz="0" w:space="0" w:color="auto"/>
            <w:bottom w:val="none" w:sz="0" w:space="0" w:color="auto"/>
            <w:right w:val="none" w:sz="0" w:space="0" w:color="auto"/>
          </w:divBdr>
          <w:divsChild>
            <w:div w:id="2140298392">
              <w:marLeft w:val="0"/>
              <w:marRight w:val="0"/>
              <w:marTop w:val="0"/>
              <w:marBottom w:val="0"/>
              <w:divBdr>
                <w:top w:val="none" w:sz="0" w:space="0" w:color="auto"/>
                <w:left w:val="none" w:sz="0" w:space="0" w:color="auto"/>
                <w:bottom w:val="none" w:sz="0" w:space="0" w:color="auto"/>
                <w:right w:val="none" w:sz="0" w:space="0" w:color="auto"/>
              </w:divBdr>
              <w:divsChild>
                <w:div w:id="1190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12836">
      <w:bodyDiv w:val="1"/>
      <w:marLeft w:val="0"/>
      <w:marRight w:val="0"/>
      <w:marTop w:val="0"/>
      <w:marBottom w:val="0"/>
      <w:divBdr>
        <w:top w:val="none" w:sz="0" w:space="0" w:color="auto"/>
        <w:left w:val="none" w:sz="0" w:space="0" w:color="auto"/>
        <w:bottom w:val="none" w:sz="0" w:space="0" w:color="auto"/>
        <w:right w:val="none" w:sz="0" w:space="0" w:color="auto"/>
      </w:divBdr>
      <w:divsChild>
        <w:div w:id="1020160558">
          <w:marLeft w:val="0"/>
          <w:marRight w:val="0"/>
          <w:marTop w:val="0"/>
          <w:marBottom w:val="0"/>
          <w:divBdr>
            <w:top w:val="none" w:sz="0" w:space="0" w:color="auto"/>
            <w:left w:val="none" w:sz="0" w:space="0" w:color="auto"/>
            <w:bottom w:val="none" w:sz="0" w:space="0" w:color="auto"/>
            <w:right w:val="none" w:sz="0" w:space="0" w:color="auto"/>
          </w:divBdr>
          <w:divsChild>
            <w:div w:id="1778983373">
              <w:marLeft w:val="0"/>
              <w:marRight w:val="0"/>
              <w:marTop w:val="0"/>
              <w:marBottom w:val="0"/>
              <w:divBdr>
                <w:top w:val="none" w:sz="0" w:space="0" w:color="auto"/>
                <w:left w:val="none" w:sz="0" w:space="0" w:color="auto"/>
                <w:bottom w:val="none" w:sz="0" w:space="0" w:color="auto"/>
                <w:right w:val="none" w:sz="0" w:space="0" w:color="auto"/>
              </w:divBdr>
              <w:divsChild>
                <w:div w:id="139856152">
                  <w:marLeft w:val="0"/>
                  <w:marRight w:val="0"/>
                  <w:marTop w:val="0"/>
                  <w:marBottom w:val="0"/>
                  <w:divBdr>
                    <w:top w:val="none" w:sz="0" w:space="0" w:color="auto"/>
                    <w:left w:val="none" w:sz="0" w:space="0" w:color="auto"/>
                    <w:bottom w:val="none" w:sz="0" w:space="0" w:color="auto"/>
                    <w:right w:val="none" w:sz="0" w:space="0" w:color="auto"/>
                  </w:divBdr>
                  <w:divsChild>
                    <w:div w:id="17639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008">
      <w:bodyDiv w:val="1"/>
      <w:marLeft w:val="0"/>
      <w:marRight w:val="0"/>
      <w:marTop w:val="0"/>
      <w:marBottom w:val="0"/>
      <w:divBdr>
        <w:top w:val="none" w:sz="0" w:space="0" w:color="auto"/>
        <w:left w:val="none" w:sz="0" w:space="0" w:color="auto"/>
        <w:bottom w:val="none" w:sz="0" w:space="0" w:color="auto"/>
        <w:right w:val="none" w:sz="0" w:space="0" w:color="auto"/>
      </w:divBdr>
      <w:divsChild>
        <w:div w:id="437723075">
          <w:marLeft w:val="0"/>
          <w:marRight w:val="0"/>
          <w:marTop w:val="0"/>
          <w:marBottom w:val="0"/>
          <w:divBdr>
            <w:top w:val="none" w:sz="0" w:space="0" w:color="auto"/>
            <w:left w:val="none" w:sz="0" w:space="0" w:color="auto"/>
            <w:bottom w:val="none" w:sz="0" w:space="0" w:color="auto"/>
            <w:right w:val="none" w:sz="0" w:space="0" w:color="auto"/>
          </w:divBdr>
          <w:divsChild>
            <w:div w:id="32508562">
              <w:marLeft w:val="0"/>
              <w:marRight w:val="0"/>
              <w:marTop w:val="0"/>
              <w:marBottom w:val="0"/>
              <w:divBdr>
                <w:top w:val="none" w:sz="0" w:space="0" w:color="auto"/>
                <w:left w:val="none" w:sz="0" w:space="0" w:color="auto"/>
                <w:bottom w:val="none" w:sz="0" w:space="0" w:color="auto"/>
                <w:right w:val="none" w:sz="0" w:space="0" w:color="auto"/>
              </w:divBdr>
              <w:divsChild>
                <w:div w:id="172229329">
                  <w:marLeft w:val="0"/>
                  <w:marRight w:val="0"/>
                  <w:marTop w:val="0"/>
                  <w:marBottom w:val="0"/>
                  <w:divBdr>
                    <w:top w:val="none" w:sz="0" w:space="0" w:color="auto"/>
                    <w:left w:val="none" w:sz="0" w:space="0" w:color="auto"/>
                    <w:bottom w:val="none" w:sz="0" w:space="0" w:color="auto"/>
                    <w:right w:val="none" w:sz="0" w:space="0" w:color="auto"/>
                  </w:divBdr>
                  <w:divsChild>
                    <w:div w:id="2901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leukaemia.org.au/blood-cancer-information/types-of-blood-cancer/leukaemia/acute-lymphoblastic-leukaemia/" TargetMode="External"/><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www.msac.gov.au/internet/msac/publishing.nsf/Content/A10E3D10B9DBC1F2CA258614002163DC/$File/1647%20Final%20PSD%20-%20July%202021_redacted.pdf" TargetMode="External"/><Relationship Id="rId6" Type="http://schemas.openxmlformats.org/officeDocument/2006/relationships/hyperlink" Target="https://www.aihw.gov.au/reports/cancer/cancer-data-in-australia/contents/cancer-incidence-by-age-visualisation" TargetMode="External"/><Relationship Id="rId5" Type="http://schemas.openxmlformats.org/officeDocument/2006/relationships/hyperlink" Target="http://knowledge.rarecancers.org.au/knowledgebase/cancer-types/132/acute-lymphoblastic-leukaemia-all" TargetMode="External"/><Relationship Id="rId4" Type="http://schemas.openxmlformats.org/officeDocument/2006/relationships/hyperlink" Target="https://www.leukaemia.org.au/blood-cancer-information/types-of-blood-cancer/leukaemia/acute-lymphoblastic-leuka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423A-F52D-4887-A9B6-02BE5A4CB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11060</Words>
  <Characters>63042</Characters>
  <Application>Microsoft Office Word</Application>
  <DocSecurity>0</DocSecurity>
  <Lines>525</Lines>
  <Paragraphs>147</Paragraphs>
  <ScaleCrop>false</ScaleCrop>
  <Company/>
  <LinksUpToDate>false</LinksUpToDate>
  <CharactersWithSpaces>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2023-08-15T07:15:00Z</dcterms:created>
  <dcterms:modified xsi:type="dcterms:W3CDTF">2023-08-15T07:35:00Z</dcterms:modified>
</cp:coreProperties>
</file>