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E8DF" w14:textId="20158D48" w:rsidR="00772829" w:rsidRPr="00CE28E3" w:rsidRDefault="006C4966" w:rsidP="00772829">
      <w:pPr>
        <w:spacing w:after="240"/>
        <w:jc w:val="center"/>
        <w:rPr>
          <w:b/>
          <w:i/>
          <w:szCs w:val="24"/>
          <w:highlight w:val="yellow"/>
        </w:rPr>
      </w:pPr>
      <w:r>
        <w:rPr>
          <w:noProof/>
        </w:rPr>
        <w:drawing>
          <wp:inline distT="0" distB="0" distL="0" distR="0" wp14:anchorId="75D9C6AA" wp14:editId="3EA75AD9">
            <wp:extent cx="2627630" cy="1078865"/>
            <wp:effectExtent l="0" t="0" r="1270" b="6985"/>
            <wp:docPr id="1" name="Picture 1" descr="Medical Services Advisory Committee Logo"/>
            <wp:cNvGraphicFramePr/>
            <a:graphic xmlns:a="http://schemas.openxmlformats.org/drawingml/2006/main">
              <a:graphicData uri="http://schemas.openxmlformats.org/drawingml/2006/picture">
                <pic:pic xmlns:pic="http://schemas.openxmlformats.org/drawingml/2006/picture">
                  <pic:nvPicPr>
                    <pic:cNvPr id="1" name="Picture 1" descr="Medical Services Advisory Committee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15E4CFB" w14:textId="0DB171F7" w:rsidR="006C4966" w:rsidRDefault="006C4966" w:rsidP="006C4966">
      <w:pPr>
        <w:pStyle w:val="Subtitle"/>
        <w:spacing w:before="480"/>
        <w:rPr>
          <w:rFonts w:eastAsiaTheme="majorEastAsia"/>
          <w:i w:val="0"/>
          <w:sz w:val="36"/>
          <w:szCs w:val="36"/>
          <w:lang w:eastAsia="en-US"/>
        </w:rPr>
      </w:pPr>
      <w:r w:rsidRPr="006C4966">
        <w:rPr>
          <w:rFonts w:eastAsiaTheme="majorEastAsia"/>
          <w:i w:val="0"/>
          <w:sz w:val="36"/>
          <w:szCs w:val="36"/>
          <w:lang w:eastAsia="en-US"/>
        </w:rPr>
        <w:t>Public Summary Document</w:t>
      </w:r>
    </w:p>
    <w:p w14:paraId="7A128FDE" w14:textId="6DFE6C0F" w:rsidR="00772829" w:rsidRPr="00CE28E3" w:rsidRDefault="00772829" w:rsidP="00772829">
      <w:pPr>
        <w:pStyle w:val="Subtitle"/>
      </w:pPr>
      <w:r w:rsidRPr="00CE28E3">
        <w:t xml:space="preserve">Application No. </w:t>
      </w:r>
      <w:r w:rsidR="00554B5A" w:rsidRPr="00554B5A">
        <w:t>1668 – Whole</w:t>
      </w:r>
      <w:r w:rsidR="00B231D2">
        <w:t>-</w:t>
      </w:r>
      <w:r w:rsidR="00554B5A" w:rsidRPr="00554B5A">
        <w:t>body magnetic resonance imaging for detection of cancer in individuals with germline pathogenic TP53 variants</w:t>
      </w:r>
    </w:p>
    <w:p w14:paraId="35263561" w14:textId="512ED7B2" w:rsidR="00772829" w:rsidRPr="00CE28E3" w:rsidRDefault="00772829" w:rsidP="004B3902">
      <w:pPr>
        <w:tabs>
          <w:tab w:val="left" w:pos="3686"/>
        </w:tabs>
        <w:spacing w:after="240"/>
        <w:ind w:left="3686" w:hanging="3686"/>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4B3902" w:rsidRPr="004B3902">
        <w:rPr>
          <w:rFonts w:ascii="Arial" w:hAnsi="Arial" w:cs="Arial"/>
          <w:b/>
          <w:szCs w:val="24"/>
        </w:rPr>
        <w:t>Australian Genomic Cancer Medicine Centre Ltd (</w:t>
      </w:r>
      <w:proofErr w:type="spellStart"/>
      <w:r w:rsidR="004B3902" w:rsidRPr="004B3902">
        <w:rPr>
          <w:rFonts w:ascii="Arial" w:hAnsi="Arial" w:cs="Arial"/>
          <w:b/>
          <w:szCs w:val="24"/>
        </w:rPr>
        <w:t>Omico</w:t>
      </w:r>
      <w:proofErr w:type="spellEnd"/>
      <w:r w:rsidR="004B3902" w:rsidRPr="004B3902">
        <w:rPr>
          <w:rFonts w:ascii="Arial" w:hAnsi="Arial" w:cs="Arial"/>
          <w:b/>
          <w:szCs w:val="24"/>
        </w:rPr>
        <w:t>)</w:t>
      </w:r>
    </w:p>
    <w:p w14:paraId="6BCAD237" w14:textId="7956E315" w:rsidR="009A4697" w:rsidRDefault="009A4697" w:rsidP="009A4697">
      <w:pPr>
        <w:tabs>
          <w:tab w:val="left" w:pos="3686"/>
        </w:tabs>
        <w:spacing w:after="360"/>
        <w:rPr>
          <w:rFonts w:ascii="Arial" w:eastAsia="Calibri" w:hAnsi="Arial" w:cs="Arial"/>
          <w:b/>
          <w:szCs w:val="24"/>
        </w:rPr>
      </w:pPr>
      <w:bookmarkStart w:id="0" w:name="_Hlk103938359"/>
      <w:r w:rsidRPr="009A4697">
        <w:rPr>
          <w:rFonts w:ascii="Arial" w:eastAsia="Calibri" w:hAnsi="Arial" w:cs="Arial"/>
          <w:b/>
          <w:szCs w:val="24"/>
        </w:rPr>
        <w:t xml:space="preserve">Date of </w:t>
      </w:r>
      <w:r w:rsidR="006C4966">
        <w:rPr>
          <w:rFonts w:ascii="Arial" w:eastAsia="Calibri" w:hAnsi="Arial" w:cs="Arial"/>
          <w:b/>
          <w:szCs w:val="24"/>
        </w:rPr>
        <w:t>MSAC</w:t>
      </w:r>
      <w:r w:rsidRPr="009A4697">
        <w:rPr>
          <w:rFonts w:ascii="Arial" w:eastAsia="Calibri" w:hAnsi="Arial" w:cs="Arial"/>
          <w:b/>
          <w:szCs w:val="24"/>
        </w:rPr>
        <w:t xml:space="preserve"> consideration:</w:t>
      </w:r>
      <w:r w:rsidRPr="009A4697">
        <w:rPr>
          <w:rFonts w:ascii="Arial" w:eastAsia="Calibri" w:hAnsi="Arial" w:cs="Arial"/>
          <w:b/>
          <w:szCs w:val="24"/>
        </w:rPr>
        <w:tab/>
      </w:r>
      <w:r w:rsidR="006C4966">
        <w:rPr>
          <w:rFonts w:ascii="Arial" w:eastAsia="Calibri" w:hAnsi="Arial" w:cs="Arial"/>
          <w:b/>
          <w:szCs w:val="24"/>
        </w:rPr>
        <w:t>28-29 July</w:t>
      </w:r>
      <w:r w:rsidRPr="009A4697">
        <w:rPr>
          <w:rFonts w:ascii="Arial" w:eastAsia="Calibri" w:hAnsi="Arial" w:cs="Arial"/>
          <w:b/>
          <w:szCs w:val="24"/>
        </w:rPr>
        <w:t xml:space="preserve"> 2022</w:t>
      </w:r>
    </w:p>
    <w:p w14:paraId="5E7C39E2" w14:textId="77777777" w:rsidR="00F76CCB" w:rsidRPr="00B03EAB" w:rsidRDefault="00F76CCB" w:rsidP="00F76CCB">
      <w:pPr>
        <w:spacing w:before="240" w:after="36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9" w:tooltip="Link to Medical Services Advisory Committee website" w:history="1">
        <w:r w:rsidRPr="00F715D1">
          <w:rPr>
            <w:rStyle w:val="Hyperlink"/>
            <w:szCs w:val="24"/>
          </w:rPr>
          <w:t>visit the MSAC website</w:t>
        </w:r>
      </w:hyperlink>
    </w:p>
    <w:p w14:paraId="7EAA7262" w14:textId="77335A16" w:rsidR="00772829" w:rsidRPr="00CE28E3" w:rsidRDefault="00C36633" w:rsidP="00C36633">
      <w:pPr>
        <w:pStyle w:val="Heading2"/>
        <w:numPr>
          <w:ilvl w:val="0"/>
          <w:numId w:val="0"/>
        </w:numPr>
      </w:pPr>
      <w:bookmarkStart w:id="1" w:name="_Toc102443840"/>
      <w:bookmarkEnd w:id="0"/>
      <w:r>
        <w:t>1.</w:t>
      </w:r>
      <w:r>
        <w:tab/>
      </w:r>
      <w:r w:rsidR="00772829" w:rsidRPr="00CE28E3">
        <w:t xml:space="preserve">Purpose </w:t>
      </w:r>
      <w:r w:rsidR="00772829" w:rsidRPr="00CE28E3">
        <w:rPr>
          <w:szCs w:val="32"/>
        </w:rPr>
        <w:t>of</w:t>
      </w:r>
      <w:r w:rsidR="00772829" w:rsidRPr="00CE28E3">
        <w:t xml:space="preserve"> application</w:t>
      </w:r>
      <w:bookmarkEnd w:id="1"/>
    </w:p>
    <w:p w14:paraId="1E4FADCB" w14:textId="78D721A4" w:rsidR="00554B5A" w:rsidRDefault="00554B5A" w:rsidP="00554B5A">
      <w:r w:rsidRPr="009A3778">
        <w:t xml:space="preserve">An application </w:t>
      </w:r>
      <w:r w:rsidRPr="00554B5A">
        <w:t xml:space="preserve">requesting Medicare Benefits Schedule (MBS) listing of </w:t>
      </w:r>
      <w:r w:rsidR="00090A5A" w:rsidRPr="00554B5A">
        <w:t>whole</w:t>
      </w:r>
      <w:r w:rsidR="00090A5A">
        <w:t>-body</w:t>
      </w:r>
      <w:r>
        <w:t xml:space="preserve"> magnetic resonance imaging (WBMRI) </w:t>
      </w:r>
      <w:r w:rsidRPr="009A3778">
        <w:t xml:space="preserve">for </w:t>
      </w:r>
      <w:r>
        <w:t>detection of cancer in individuals with a germline pathogenic or likely pathogenic germline variant</w:t>
      </w:r>
      <w:r w:rsidRPr="009A3778">
        <w:t xml:space="preserve"> </w:t>
      </w:r>
      <w:r>
        <w:t xml:space="preserve">of the </w:t>
      </w:r>
      <w:r w:rsidRPr="000068FD">
        <w:rPr>
          <w:i/>
        </w:rPr>
        <w:t>Tumour Protein 53</w:t>
      </w:r>
      <w:r>
        <w:t xml:space="preserve"> (</w:t>
      </w:r>
      <w:r w:rsidRPr="000068FD">
        <w:rPr>
          <w:i/>
        </w:rPr>
        <w:t>TP53</w:t>
      </w:r>
      <w:r>
        <w:t xml:space="preserve">) gene </w:t>
      </w:r>
      <w:r w:rsidRPr="009A3778">
        <w:t xml:space="preserve">was received from the </w:t>
      </w:r>
      <w:r>
        <w:t>Australian Genomic Cancer Medicine Centre Ltd (</w:t>
      </w:r>
      <w:proofErr w:type="spellStart"/>
      <w:r>
        <w:t>Omico</w:t>
      </w:r>
      <w:proofErr w:type="spellEnd"/>
      <w:r>
        <w:t>)</w:t>
      </w:r>
      <w:r w:rsidRPr="009A3778">
        <w:t xml:space="preserve"> by the Department of Health.</w:t>
      </w:r>
    </w:p>
    <w:p w14:paraId="779E6123" w14:textId="59C4D668" w:rsidR="006C4966" w:rsidRDefault="00C36633" w:rsidP="00262C24">
      <w:pPr>
        <w:pStyle w:val="Heading2"/>
        <w:numPr>
          <w:ilvl w:val="0"/>
          <w:numId w:val="0"/>
        </w:numPr>
      </w:pPr>
      <w:bookmarkStart w:id="2" w:name="_Toc102443841"/>
      <w:r>
        <w:t>2.</w:t>
      </w:r>
      <w:r>
        <w:tab/>
      </w:r>
      <w:r w:rsidR="006C4966">
        <w:t>MSAC’s advice to the Minister</w:t>
      </w:r>
    </w:p>
    <w:p w14:paraId="5CC9E71E" w14:textId="57AEF7BD" w:rsidR="00C6400E" w:rsidRDefault="00C6400E" w:rsidP="00C6400E">
      <w:pPr>
        <w:rPr>
          <w:szCs w:val="24"/>
        </w:rPr>
      </w:pPr>
      <w:r>
        <w:t>After considering the strength of the available evidence in relation to comparative safety, clinical effectiveness</w:t>
      </w:r>
      <w:r w:rsidR="0031501E">
        <w:t>,</w:t>
      </w:r>
      <w:r>
        <w:t xml:space="preserve"> </w:t>
      </w:r>
      <w:proofErr w:type="gramStart"/>
      <w:r>
        <w:t>cost-effectiveness</w:t>
      </w:r>
      <w:proofErr w:type="gramEnd"/>
      <w:r w:rsidR="0031501E">
        <w:t xml:space="preserve"> and total cost</w:t>
      </w:r>
      <w:r>
        <w:t xml:space="preserve">, </w:t>
      </w:r>
      <w:r>
        <w:rPr>
          <w:szCs w:val="24"/>
        </w:rPr>
        <w:t xml:space="preserve">MSAC supported the creation of a new Medicare Benefits Schedule (MBS) item for whole-body magnetic resonance imagining (WBMRI) for the detection of cancer in individuals with germline pathogenic </w:t>
      </w:r>
      <w:r w:rsidRPr="00B231D2">
        <w:rPr>
          <w:i/>
          <w:iCs/>
          <w:szCs w:val="24"/>
        </w:rPr>
        <w:t>TP53</w:t>
      </w:r>
      <w:r>
        <w:rPr>
          <w:szCs w:val="24"/>
        </w:rPr>
        <w:t xml:space="preserve"> variants who are at very high lifetime risk of developing new cancers. MSAC noted limitations in the clinical </w:t>
      </w:r>
      <w:proofErr w:type="gramStart"/>
      <w:r>
        <w:rPr>
          <w:szCs w:val="24"/>
        </w:rPr>
        <w:t>evidence, but</w:t>
      </w:r>
      <w:proofErr w:type="gramEnd"/>
      <w:r>
        <w:rPr>
          <w:szCs w:val="24"/>
        </w:rPr>
        <w:t xml:space="preserve"> considered WBMRI (without contrast agent) is safe and likely to be clinically effective, resulting in earlier detection and management of malignant lesions for </w:t>
      </w:r>
      <w:r w:rsidR="00D63B84">
        <w:rPr>
          <w:szCs w:val="24"/>
        </w:rPr>
        <w:t>this</w:t>
      </w:r>
      <w:r>
        <w:rPr>
          <w:szCs w:val="24"/>
        </w:rPr>
        <w:t xml:space="preserve"> well-defined population with a high clinical need. MSAC also noted that WBMRI is recommended in national and international guidelines for this patient population. MSAC considered that the overall cost to the MBS would be small.</w:t>
      </w:r>
    </w:p>
    <w:p w14:paraId="2821CB4E" w14:textId="6401838A" w:rsidR="001B298D" w:rsidRDefault="001B298D" w:rsidP="001B298D">
      <w:r>
        <w:t>MSAC supported the following item.</w:t>
      </w:r>
    </w:p>
    <w:tbl>
      <w:tblPr>
        <w:tblStyle w:val="TableGrid1"/>
        <w:tblW w:w="8781" w:type="dxa"/>
        <w:tblCellMar>
          <w:left w:w="0" w:type="dxa"/>
          <w:right w:w="0" w:type="dxa"/>
        </w:tblCellMar>
        <w:tblLook w:val="04A0" w:firstRow="1" w:lastRow="0" w:firstColumn="1" w:lastColumn="0" w:noHBand="0" w:noVBand="1"/>
      </w:tblPr>
      <w:tblGrid>
        <w:gridCol w:w="8781"/>
      </w:tblGrid>
      <w:tr w:rsidR="001B298D" w:rsidRPr="00C6400E" w14:paraId="7D9146AD" w14:textId="77777777" w:rsidTr="001B298D">
        <w:trPr>
          <w:cnfStyle w:val="100000000000" w:firstRow="1" w:lastRow="0" w:firstColumn="0" w:lastColumn="0" w:oddVBand="0" w:evenVBand="0" w:oddHBand="0" w:evenHBand="0" w:firstRowFirstColumn="0" w:firstRowLastColumn="0" w:lastRowFirstColumn="0" w:lastRowLastColumn="0"/>
          <w:trHeight w:val="351"/>
        </w:trPr>
        <w:tc>
          <w:tcPr>
            <w:tcW w:w="8781"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14:paraId="33812C67" w14:textId="77777777" w:rsidR="001B298D" w:rsidRPr="001B298D" w:rsidRDefault="001B298D" w:rsidP="001B298D">
            <w:pPr>
              <w:keepNext/>
              <w:rPr>
                <w:rFonts w:ascii="Arial Narrow" w:hAnsi="Arial Narrow"/>
              </w:rPr>
            </w:pPr>
            <w:r w:rsidRPr="001B298D">
              <w:rPr>
                <w:rFonts w:ascii="Arial Narrow" w:hAnsi="Arial Narrow"/>
                <w:b/>
                <w:bCs/>
              </w:rPr>
              <w:lastRenderedPageBreak/>
              <w:t>Category 5 – Diagnostic Imaging Services</w:t>
            </w:r>
          </w:p>
        </w:tc>
      </w:tr>
      <w:tr w:rsidR="001B298D" w:rsidRPr="00C6400E" w14:paraId="0374D289" w14:textId="77777777" w:rsidTr="001B298D">
        <w:tc>
          <w:tcPr>
            <w:tcW w:w="8781"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hideMark/>
          </w:tcPr>
          <w:p w14:paraId="49516431" w14:textId="77777777" w:rsidR="001B298D" w:rsidRPr="00C6400E" w:rsidRDefault="001B298D" w:rsidP="001B298D">
            <w:pPr>
              <w:keepNext/>
              <w:rPr>
                <w:rFonts w:ascii="Arial Narrow" w:hAnsi="Arial Narrow"/>
              </w:rPr>
            </w:pPr>
            <w:r w:rsidRPr="00C6400E">
              <w:rPr>
                <w:rFonts w:ascii="Arial Narrow" w:hAnsi="Arial Narrow"/>
                <w:lang w:val="en-US"/>
              </w:rPr>
              <w:t>MBS item XXXX</w:t>
            </w:r>
          </w:p>
          <w:p w14:paraId="527D83B1" w14:textId="77777777" w:rsidR="001B298D" w:rsidRPr="00C6400E" w:rsidRDefault="001B298D" w:rsidP="001B298D">
            <w:pPr>
              <w:keepNext/>
              <w:rPr>
                <w:rFonts w:ascii="Arial Narrow" w:hAnsi="Arial Narrow"/>
              </w:rPr>
            </w:pPr>
            <w:r w:rsidRPr="00C6400E">
              <w:rPr>
                <w:rFonts w:ascii="Arial Narrow" w:hAnsi="Arial Narrow"/>
                <w:lang w:val="en-US"/>
              </w:rPr>
              <w:t>MRI – whole</w:t>
            </w:r>
            <w:r>
              <w:rPr>
                <w:rFonts w:ascii="Arial Narrow" w:hAnsi="Arial Narrow"/>
                <w:lang w:val="en-US"/>
              </w:rPr>
              <w:t>-</w:t>
            </w:r>
            <w:r w:rsidRPr="00C6400E">
              <w:rPr>
                <w:rFonts w:ascii="Arial Narrow" w:hAnsi="Arial Narrow"/>
                <w:lang w:val="en-US"/>
              </w:rPr>
              <w:t>body scan for the early detection of cancer, requested by a specialist or consultant physician in consultation with a clinical geneticist in a familial cancer or genetic clinic and the request identifies that:</w:t>
            </w:r>
          </w:p>
          <w:p w14:paraId="3431F99D" w14:textId="7C6BEFF1" w:rsidR="001B298D" w:rsidRPr="00C6400E" w:rsidRDefault="001B298D" w:rsidP="001B298D">
            <w:pPr>
              <w:keepNext/>
              <w:numPr>
                <w:ilvl w:val="0"/>
                <w:numId w:val="54"/>
              </w:numPr>
              <w:spacing w:line="256" w:lineRule="auto"/>
              <w:rPr>
                <w:rFonts w:ascii="Arial Narrow" w:hAnsi="Arial Narrow"/>
              </w:rPr>
            </w:pPr>
            <w:r w:rsidRPr="00C6400E">
              <w:rPr>
                <w:rFonts w:ascii="Arial Narrow" w:hAnsi="Arial Narrow"/>
                <w:lang w:val="en-US"/>
              </w:rPr>
              <w:t xml:space="preserve">the person has a high risk of developing cancer malignancy due to heritable </w:t>
            </w:r>
            <w:r w:rsidRPr="00C6400E">
              <w:rPr>
                <w:rFonts w:ascii="Arial Narrow" w:hAnsi="Arial Narrow"/>
                <w:i/>
                <w:iCs/>
                <w:lang w:val="en-US"/>
              </w:rPr>
              <w:t>TP53</w:t>
            </w:r>
            <w:r w:rsidRPr="00C6400E">
              <w:rPr>
                <w:rFonts w:ascii="Arial Narrow" w:hAnsi="Arial Narrow"/>
                <w:lang w:val="en-US"/>
              </w:rPr>
              <w:t>-related cancer (h</w:t>
            </w:r>
            <w:r w:rsidRPr="00C6400E">
              <w:rPr>
                <w:rFonts w:ascii="Arial Narrow" w:hAnsi="Arial Narrow"/>
                <w:i/>
                <w:iCs/>
                <w:lang w:val="en-US"/>
              </w:rPr>
              <w:t>TP53</w:t>
            </w:r>
            <w:r w:rsidRPr="00C6400E">
              <w:rPr>
                <w:rFonts w:ascii="Arial Narrow" w:hAnsi="Arial Narrow"/>
                <w:lang w:val="en-US"/>
              </w:rPr>
              <w:t>rc) syndrome</w:t>
            </w:r>
          </w:p>
          <w:p w14:paraId="7C41CD7B" w14:textId="77777777" w:rsidR="001B298D" w:rsidRPr="00C6400E" w:rsidRDefault="001B298D" w:rsidP="001B298D">
            <w:pPr>
              <w:keepNext/>
              <w:rPr>
                <w:rFonts w:ascii="Arial Narrow" w:hAnsi="Arial Narrow"/>
              </w:rPr>
            </w:pPr>
            <w:r w:rsidRPr="00C6400E">
              <w:rPr>
                <w:rFonts w:ascii="Arial Narrow" w:hAnsi="Arial Narrow"/>
                <w:lang w:val="en-US"/>
              </w:rPr>
              <w:t>Restricted to one scan per 12 months</w:t>
            </w:r>
          </w:p>
        </w:tc>
      </w:tr>
      <w:tr w:rsidR="001B298D" w:rsidRPr="00C6400E" w14:paraId="08D01203" w14:textId="77777777" w:rsidTr="001B298D">
        <w:tc>
          <w:tcPr>
            <w:tcW w:w="8781" w:type="dxa"/>
            <w:tcBorders>
              <w:top w:val="single" w:sz="6" w:space="0" w:color="000000"/>
              <w:left w:val="single" w:sz="6" w:space="0" w:color="000000"/>
              <w:bottom w:val="single" w:sz="6" w:space="0" w:color="000000"/>
              <w:right w:val="single" w:sz="6" w:space="0" w:color="000000"/>
            </w:tcBorders>
            <w:tcMar>
              <w:top w:w="15" w:type="dxa"/>
              <w:left w:w="108" w:type="dxa"/>
              <w:bottom w:w="0" w:type="dxa"/>
              <w:right w:w="108" w:type="dxa"/>
            </w:tcMar>
            <w:vAlign w:val="center"/>
            <w:hideMark/>
          </w:tcPr>
          <w:p w14:paraId="33BD8625" w14:textId="77777777" w:rsidR="001B298D" w:rsidRPr="00C6400E" w:rsidRDefault="001B298D" w:rsidP="001B298D">
            <w:pPr>
              <w:keepNext/>
              <w:rPr>
                <w:rFonts w:ascii="Arial Narrow" w:hAnsi="Arial Narrow"/>
              </w:rPr>
            </w:pPr>
            <w:r w:rsidRPr="00C6400E">
              <w:rPr>
                <w:rFonts w:ascii="Arial Narrow" w:hAnsi="Arial Narrow"/>
              </w:rPr>
              <w:t>Fee: $1,500.00</w:t>
            </w:r>
          </w:p>
        </w:tc>
      </w:tr>
    </w:tbl>
    <w:p w14:paraId="2208012C" w14:textId="77777777" w:rsidR="001B298D" w:rsidRDefault="001B298D" w:rsidP="00C6400E">
      <w:pPr>
        <w:rPr>
          <w:szCs w:val="24"/>
        </w:rPr>
      </w:pPr>
    </w:p>
    <w:tbl>
      <w:tblPr>
        <w:tblStyle w:val="TableGrid"/>
        <w:tblW w:w="0" w:type="auto"/>
        <w:tblLook w:val="04A0" w:firstRow="1" w:lastRow="0" w:firstColumn="1" w:lastColumn="0" w:noHBand="0" w:noVBand="1"/>
        <w:tblDescription w:val="Consumer summary of MSAC consideration"/>
      </w:tblPr>
      <w:tblGrid>
        <w:gridCol w:w="9016"/>
      </w:tblGrid>
      <w:tr w:rsidR="006C4966" w14:paraId="4CA8A4B6" w14:textId="77777777" w:rsidTr="006C4966">
        <w:trPr>
          <w:tblHeader/>
        </w:trPr>
        <w:tc>
          <w:tcPr>
            <w:tcW w:w="9016" w:type="dxa"/>
            <w:tcBorders>
              <w:top w:val="single" w:sz="4" w:space="0" w:color="auto"/>
              <w:left w:val="single" w:sz="4" w:space="0" w:color="auto"/>
              <w:bottom w:val="single" w:sz="4" w:space="0" w:color="auto"/>
              <w:right w:val="single" w:sz="4" w:space="0" w:color="auto"/>
            </w:tcBorders>
            <w:hideMark/>
          </w:tcPr>
          <w:p w14:paraId="5A8C1FB1" w14:textId="77777777" w:rsidR="006C4966" w:rsidRPr="00262C24" w:rsidRDefault="006C4966">
            <w:pPr>
              <w:pStyle w:val="Default"/>
              <w:spacing w:before="120" w:after="120"/>
              <w:rPr>
                <w:rFonts w:ascii="Franklin Gothic Book" w:hAnsi="Franklin Gothic Book"/>
                <w:b/>
                <w:bCs/>
                <w:color w:val="auto"/>
                <w:sz w:val="22"/>
                <w:szCs w:val="22"/>
              </w:rPr>
            </w:pPr>
            <w:r w:rsidRPr="00262C24">
              <w:rPr>
                <w:rFonts w:ascii="Franklin Gothic Book" w:hAnsi="Franklin Gothic Book"/>
                <w:b/>
                <w:bCs/>
                <w:color w:val="auto"/>
                <w:sz w:val="22"/>
                <w:szCs w:val="22"/>
              </w:rPr>
              <w:t>Consumer summary</w:t>
            </w:r>
          </w:p>
        </w:tc>
      </w:tr>
      <w:tr w:rsidR="006C4966" w14:paraId="715C65A7" w14:textId="77777777" w:rsidTr="006C4966">
        <w:tc>
          <w:tcPr>
            <w:tcW w:w="9016" w:type="dxa"/>
            <w:tcBorders>
              <w:top w:val="single" w:sz="4" w:space="0" w:color="auto"/>
              <w:left w:val="single" w:sz="4" w:space="0" w:color="auto"/>
              <w:bottom w:val="single" w:sz="4" w:space="0" w:color="auto"/>
              <w:right w:val="single" w:sz="4" w:space="0" w:color="auto"/>
            </w:tcBorders>
            <w:hideMark/>
          </w:tcPr>
          <w:p w14:paraId="69AA0CE8" w14:textId="29203800" w:rsidR="00C6400E" w:rsidRPr="00C6400E" w:rsidRDefault="00C6400E" w:rsidP="00C6400E">
            <w:pPr>
              <w:pStyle w:val="Default"/>
              <w:spacing w:after="240"/>
              <w:rPr>
                <w:rFonts w:ascii="Franklin Gothic Book" w:hAnsi="Franklin Gothic Book"/>
                <w:iCs/>
                <w:color w:val="auto"/>
                <w:sz w:val="22"/>
                <w:szCs w:val="22"/>
              </w:rPr>
            </w:pPr>
            <w:r w:rsidRPr="00C6400E">
              <w:rPr>
                <w:rFonts w:ascii="Franklin Gothic Book" w:hAnsi="Franklin Gothic Book"/>
                <w:iCs/>
                <w:color w:val="auto"/>
                <w:sz w:val="22"/>
                <w:szCs w:val="22"/>
              </w:rPr>
              <w:t>This is an application from the Australian Genomic Cancer Medicine Centre Ltd (</w:t>
            </w:r>
            <w:proofErr w:type="spellStart"/>
            <w:r w:rsidRPr="00C6400E">
              <w:rPr>
                <w:rFonts w:ascii="Franklin Gothic Book" w:hAnsi="Franklin Gothic Book"/>
                <w:iCs/>
                <w:color w:val="auto"/>
                <w:sz w:val="22"/>
                <w:szCs w:val="22"/>
              </w:rPr>
              <w:t>Omico</w:t>
            </w:r>
            <w:proofErr w:type="spellEnd"/>
            <w:r w:rsidRPr="00C6400E">
              <w:rPr>
                <w:rFonts w:ascii="Franklin Gothic Book" w:hAnsi="Franklin Gothic Book"/>
                <w:iCs/>
                <w:color w:val="auto"/>
                <w:sz w:val="22"/>
                <w:szCs w:val="22"/>
              </w:rPr>
              <w:t xml:space="preserve">) requesting Medicare Benefits Schedule (MBS) listing of whole-body magnetic resonance imaging (MRI) for detecting cancer in individuals with a germline </w:t>
            </w:r>
            <w:r w:rsidR="001F4F16">
              <w:rPr>
                <w:rFonts w:ascii="Franklin Gothic Book" w:hAnsi="Franklin Gothic Book"/>
                <w:iCs/>
                <w:color w:val="auto"/>
                <w:sz w:val="22"/>
                <w:szCs w:val="22"/>
              </w:rPr>
              <w:t>variant</w:t>
            </w:r>
            <w:r w:rsidRPr="00C6400E">
              <w:rPr>
                <w:rFonts w:ascii="Franklin Gothic Book" w:hAnsi="Franklin Gothic Book"/>
                <w:iCs/>
                <w:color w:val="auto"/>
                <w:sz w:val="22"/>
                <w:szCs w:val="22"/>
              </w:rPr>
              <w:t xml:space="preserve"> </w:t>
            </w:r>
            <w:r w:rsidR="00CA3FB2">
              <w:rPr>
                <w:rFonts w:ascii="Franklin Gothic Book" w:hAnsi="Franklin Gothic Book"/>
                <w:iCs/>
                <w:color w:val="auto"/>
                <w:sz w:val="22"/>
                <w:szCs w:val="22"/>
              </w:rPr>
              <w:t xml:space="preserve">(also called a </w:t>
            </w:r>
            <w:r w:rsidR="00CA3FB2" w:rsidRPr="00CA3FB2">
              <w:rPr>
                <w:rFonts w:ascii="Franklin Gothic Book" w:hAnsi="Franklin Gothic Book"/>
                <w:iCs/>
                <w:color w:val="auto"/>
                <w:sz w:val="22"/>
                <w:szCs w:val="22"/>
              </w:rPr>
              <w:t>pathogenic or likely pathogenic germline variant</w:t>
            </w:r>
            <w:r w:rsidR="00CA3FB2">
              <w:rPr>
                <w:rFonts w:ascii="Franklin Gothic Book" w:hAnsi="Franklin Gothic Book"/>
                <w:iCs/>
                <w:color w:val="auto"/>
                <w:sz w:val="22"/>
                <w:szCs w:val="22"/>
              </w:rPr>
              <w:t xml:space="preserve">) </w:t>
            </w:r>
            <w:r w:rsidRPr="00C6400E">
              <w:rPr>
                <w:rFonts w:ascii="Franklin Gothic Book" w:hAnsi="Franklin Gothic Book"/>
                <w:iCs/>
                <w:color w:val="auto"/>
                <w:sz w:val="22"/>
                <w:szCs w:val="22"/>
              </w:rPr>
              <w:t>in the tumour protein 53 (</w:t>
            </w:r>
            <w:r w:rsidRPr="001B298D">
              <w:rPr>
                <w:rFonts w:ascii="Franklin Gothic Book" w:hAnsi="Franklin Gothic Book"/>
                <w:i/>
                <w:color w:val="auto"/>
                <w:sz w:val="22"/>
                <w:szCs w:val="22"/>
              </w:rPr>
              <w:t>TP53</w:t>
            </w:r>
            <w:r w:rsidRPr="00C6400E">
              <w:rPr>
                <w:rFonts w:ascii="Franklin Gothic Book" w:hAnsi="Franklin Gothic Book"/>
                <w:iCs/>
                <w:color w:val="auto"/>
                <w:sz w:val="22"/>
                <w:szCs w:val="22"/>
              </w:rPr>
              <w:t>) gene.</w:t>
            </w:r>
            <w:r w:rsidR="001F4F16">
              <w:rPr>
                <w:rFonts w:ascii="Franklin Gothic Book" w:hAnsi="Franklin Gothic Book"/>
                <w:iCs/>
                <w:color w:val="auto"/>
                <w:sz w:val="22"/>
                <w:szCs w:val="22"/>
              </w:rPr>
              <w:t xml:space="preserve"> </w:t>
            </w:r>
          </w:p>
          <w:p w14:paraId="3BBE04B0" w14:textId="56DB211F" w:rsidR="00C6400E" w:rsidRPr="00C6400E" w:rsidRDefault="00C6400E" w:rsidP="00C6400E">
            <w:pPr>
              <w:pStyle w:val="Default"/>
              <w:spacing w:after="240"/>
              <w:rPr>
                <w:rFonts w:ascii="Franklin Gothic Book" w:hAnsi="Franklin Gothic Book"/>
                <w:iCs/>
                <w:color w:val="auto"/>
                <w:sz w:val="22"/>
                <w:szCs w:val="22"/>
              </w:rPr>
            </w:pPr>
            <w:r w:rsidRPr="00C6400E">
              <w:rPr>
                <w:rFonts w:ascii="Franklin Gothic Book" w:hAnsi="Franklin Gothic Book"/>
                <w:iCs/>
                <w:color w:val="auto"/>
                <w:sz w:val="22"/>
                <w:szCs w:val="22"/>
              </w:rPr>
              <w:t xml:space="preserve">Genes are made up of DNA and make proteins that determine many of our characteristics, such as what we look like and how our body functions. Human cells are made up of thousands of genes. But sometimes genes have </w:t>
            </w:r>
            <w:proofErr w:type="spellStart"/>
            <w:r w:rsidRPr="00C6400E">
              <w:rPr>
                <w:rFonts w:ascii="Franklin Gothic Book" w:hAnsi="Franklin Gothic Book"/>
                <w:iCs/>
                <w:color w:val="auto"/>
                <w:sz w:val="22"/>
                <w:szCs w:val="22"/>
              </w:rPr>
              <w:t>mistakes</w:t>
            </w:r>
            <w:proofErr w:type="spellEnd"/>
            <w:r w:rsidRPr="00C6400E">
              <w:rPr>
                <w:rFonts w:ascii="Franklin Gothic Book" w:hAnsi="Franklin Gothic Book"/>
                <w:iCs/>
                <w:color w:val="auto"/>
                <w:sz w:val="22"/>
                <w:szCs w:val="22"/>
              </w:rPr>
              <w:t xml:space="preserve"> in their coding, known as</w:t>
            </w:r>
            <w:r w:rsidR="001F4F16">
              <w:rPr>
                <w:rFonts w:ascii="Franklin Gothic Book" w:hAnsi="Franklin Gothic Book"/>
                <w:iCs/>
                <w:color w:val="auto"/>
                <w:sz w:val="22"/>
                <w:szCs w:val="22"/>
              </w:rPr>
              <w:t xml:space="preserve"> variants</w:t>
            </w:r>
            <w:r w:rsidRPr="00C6400E">
              <w:rPr>
                <w:rFonts w:ascii="Franklin Gothic Book" w:hAnsi="Franklin Gothic Book"/>
                <w:iCs/>
                <w:color w:val="auto"/>
                <w:sz w:val="22"/>
                <w:szCs w:val="22"/>
              </w:rPr>
              <w:t>.</w:t>
            </w:r>
            <w:r w:rsidR="007A287C">
              <w:rPr>
                <w:rFonts w:ascii="Franklin Gothic Book" w:hAnsi="Franklin Gothic Book"/>
                <w:iCs/>
                <w:color w:val="auto"/>
                <w:sz w:val="22"/>
                <w:szCs w:val="22"/>
              </w:rPr>
              <w:t xml:space="preserve"> Gene variants were previously called mutations in the medical literature</w:t>
            </w:r>
            <w:r w:rsidR="00A82B96">
              <w:rPr>
                <w:rFonts w:ascii="Franklin Gothic Book" w:hAnsi="Franklin Gothic Book"/>
                <w:iCs/>
                <w:color w:val="auto"/>
                <w:sz w:val="22"/>
                <w:szCs w:val="22"/>
              </w:rPr>
              <w:t>.</w:t>
            </w:r>
          </w:p>
          <w:p w14:paraId="03C696B4" w14:textId="797CC439" w:rsidR="00C6400E" w:rsidRPr="00C6400E" w:rsidRDefault="00C762C3" w:rsidP="00C6400E">
            <w:pPr>
              <w:pStyle w:val="Default"/>
              <w:spacing w:after="240"/>
              <w:rPr>
                <w:rFonts w:ascii="Franklin Gothic Book" w:hAnsi="Franklin Gothic Book"/>
                <w:iCs/>
                <w:color w:val="auto"/>
                <w:sz w:val="22"/>
                <w:szCs w:val="22"/>
              </w:rPr>
            </w:pPr>
            <w:r>
              <w:rPr>
                <w:rFonts w:ascii="Franklin Gothic Book" w:hAnsi="Franklin Gothic Book"/>
                <w:iCs/>
                <w:color w:val="auto"/>
                <w:sz w:val="22"/>
                <w:szCs w:val="22"/>
              </w:rPr>
              <w:t>In humans, t</w:t>
            </w:r>
            <w:r w:rsidR="00C6400E" w:rsidRPr="00C6400E">
              <w:rPr>
                <w:rFonts w:ascii="Franklin Gothic Book" w:hAnsi="Franklin Gothic Book"/>
                <w:iCs/>
                <w:color w:val="auto"/>
                <w:sz w:val="22"/>
                <w:szCs w:val="22"/>
              </w:rPr>
              <w:t xml:space="preserve">he </w:t>
            </w:r>
            <w:r w:rsidR="00C6400E" w:rsidRPr="001B298D">
              <w:rPr>
                <w:rFonts w:ascii="Franklin Gothic Book" w:hAnsi="Franklin Gothic Book"/>
                <w:i/>
                <w:color w:val="auto"/>
                <w:sz w:val="22"/>
                <w:szCs w:val="22"/>
              </w:rPr>
              <w:t>TP53</w:t>
            </w:r>
            <w:r w:rsidR="00C6400E" w:rsidRPr="00C6400E">
              <w:rPr>
                <w:rFonts w:ascii="Franklin Gothic Book" w:hAnsi="Franklin Gothic Book"/>
                <w:iCs/>
                <w:color w:val="auto"/>
                <w:sz w:val="22"/>
                <w:szCs w:val="22"/>
              </w:rPr>
              <w:t xml:space="preserve"> gene is </w:t>
            </w:r>
            <w:r>
              <w:rPr>
                <w:rFonts w:ascii="Franklin Gothic Book" w:hAnsi="Franklin Gothic Book"/>
                <w:iCs/>
                <w:color w:val="auto"/>
                <w:sz w:val="22"/>
                <w:szCs w:val="22"/>
              </w:rPr>
              <w:t>classified as</w:t>
            </w:r>
            <w:r w:rsidR="00C6400E" w:rsidRPr="00C6400E">
              <w:rPr>
                <w:rFonts w:ascii="Franklin Gothic Book" w:hAnsi="Franklin Gothic Book"/>
                <w:iCs/>
                <w:color w:val="auto"/>
                <w:sz w:val="22"/>
                <w:szCs w:val="22"/>
              </w:rPr>
              <w:t xml:space="preserve"> a tumour suppressor gene, which means </w:t>
            </w:r>
            <w:r>
              <w:rPr>
                <w:rFonts w:ascii="Franklin Gothic Book" w:hAnsi="Franklin Gothic Book"/>
                <w:iCs/>
                <w:color w:val="auto"/>
                <w:sz w:val="22"/>
                <w:szCs w:val="22"/>
              </w:rPr>
              <w:t xml:space="preserve">that it normally </w:t>
            </w:r>
            <w:r w:rsidRPr="00C762C3">
              <w:rPr>
                <w:rFonts w:ascii="Franklin Gothic Book" w:hAnsi="Franklin Gothic Book"/>
                <w:iCs/>
                <w:color w:val="auto"/>
                <w:sz w:val="22"/>
                <w:szCs w:val="22"/>
              </w:rPr>
              <w:t>keep</w:t>
            </w:r>
            <w:r>
              <w:rPr>
                <w:rFonts w:ascii="Franklin Gothic Book" w:hAnsi="Franklin Gothic Book"/>
                <w:iCs/>
                <w:color w:val="auto"/>
                <w:sz w:val="22"/>
                <w:szCs w:val="22"/>
              </w:rPr>
              <w:t xml:space="preserve">s </w:t>
            </w:r>
            <w:r w:rsidRPr="00C762C3">
              <w:rPr>
                <w:rFonts w:ascii="Franklin Gothic Book" w:hAnsi="Franklin Gothic Book"/>
                <w:iCs/>
                <w:color w:val="auto"/>
                <w:sz w:val="22"/>
                <w:szCs w:val="22"/>
              </w:rPr>
              <w:t>cells from growing too fast or in an uncontrolled way.</w:t>
            </w:r>
            <w:r w:rsidR="00C6400E" w:rsidRPr="00C6400E">
              <w:rPr>
                <w:rFonts w:ascii="Franklin Gothic Book" w:hAnsi="Franklin Gothic Book"/>
                <w:iCs/>
                <w:color w:val="auto"/>
                <w:sz w:val="22"/>
                <w:szCs w:val="22"/>
              </w:rPr>
              <w:t xml:space="preserve"> But, if the </w:t>
            </w:r>
            <w:r w:rsidR="00C6400E" w:rsidRPr="001B298D">
              <w:rPr>
                <w:rFonts w:ascii="Franklin Gothic Book" w:hAnsi="Franklin Gothic Book"/>
                <w:i/>
                <w:color w:val="auto"/>
                <w:sz w:val="22"/>
                <w:szCs w:val="22"/>
              </w:rPr>
              <w:t>TP53</w:t>
            </w:r>
            <w:r w:rsidR="00C6400E" w:rsidRPr="00C6400E">
              <w:rPr>
                <w:rFonts w:ascii="Franklin Gothic Book" w:hAnsi="Franklin Gothic Book"/>
                <w:iCs/>
                <w:color w:val="auto"/>
                <w:sz w:val="22"/>
                <w:szCs w:val="22"/>
              </w:rPr>
              <w:t xml:space="preserve"> gene has a </w:t>
            </w:r>
            <w:r w:rsidR="001F4F16">
              <w:rPr>
                <w:rFonts w:ascii="Franklin Gothic Book" w:hAnsi="Franklin Gothic Book"/>
                <w:iCs/>
                <w:color w:val="auto"/>
                <w:sz w:val="22"/>
                <w:szCs w:val="22"/>
              </w:rPr>
              <w:t>variant</w:t>
            </w:r>
            <w:r w:rsidR="00C6400E" w:rsidRPr="00C6400E">
              <w:rPr>
                <w:rFonts w:ascii="Franklin Gothic Book" w:hAnsi="Franklin Gothic Book"/>
                <w:iCs/>
                <w:color w:val="auto"/>
                <w:sz w:val="22"/>
                <w:szCs w:val="22"/>
              </w:rPr>
              <w:t xml:space="preserve"> i</w:t>
            </w:r>
            <w:r w:rsidR="00CA3FB2">
              <w:rPr>
                <w:rFonts w:ascii="Franklin Gothic Book" w:hAnsi="Franklin Gothic Book"/>
                <w:iCs/>
                <w:color w:val="auto"/>
                <w:sz w:val="22"/>
                <w:szCs w:val="22"/>
              </w:rPr>
              <w:t>n</w:t>
            </w:r>
            <w:r w:rsidR="00C6400E" w:rsidRPr="00C6400E">
              <w:rPr>
                <w:rFonts w:ascii="Franklin Gothic Book" w:hAnsi="Franklin Gothic Book"/>
                <w:iCs/>
                <w:color w:val="auto"/>
                <w:sz w:val="22"/>
                <w:szCs w:val="22"/>
              </w:rPr>
              <w:t xml:space="preserve"> i</w:t>
            </w:r>
            <w:r w:rsidR="00CA3FB2">
              <w:rPr>
                <w:rFonts w:ascii="Franklin Gothic Book" w:hAnsi="Franklin Gothic Book"/>
                <w:iCs/>
                <w:color w:val="auto"/>
                <w:sz w:val="22"/>
                <w:szCs w:val="22"/>
              </w:rPr>
              <w:t>t</w:t>
            </w:r>
            <w:r w:rsidR="00C6400E" w:rsidRPr="00C6400E">
              <w:rPr>
                <w:rFonts w:ascii="Franklin Gothic Book" w:hAnsi="Franklin Gothic Book"/>
                <w:iCs/>
                <w:color w:val="auto"/>
                <w:sz w:val="22"/>
                <w:szCs w:val="22"/>
              </w:rPr>
              <w:t xml:space="preserve">, </w:t>
            </w:r>
            <w:r w:rsidR="00CA3FB2">
              <w:rPr>
                <w:rFonts w:ascii="Franklin Gothic Book" w:hAnsi="Franklin Gothic Book"/>
                <w:iCs/>
                <w:color w:val="auto"/>
                <w:sz w:val="22"/>
                <w:szCs w:val="22"/>
              </w:rPr>
              <w:t>this</w:t>
            </w:r>
            <w:r w:rsidR="00C6400E" w:rsidRPr="00C6400E">
              <w:rPr>
                <w:rFonts w:ascii="Franklin Gothic Book" w:hAnsi="Franklin Gothic Book"/>
                <w:iCs/>
                <w:color w:val="auto"/>
                <w:sz w:val="22"/>
                <w:szCs w:val="22"/>
              </w:rPr>
              <w:t xml:space="preserve"> means that the gene may not be able to control the growth of cells in the body. This uncontrolled cell growth can lead to cancer. A </w:t>
            </w:r>
            <w:r w:rsidR="00C6400E" w:rsidRPr="001B298D">
              <w:rPr>
                <w:rFonts w:ascii="Franklin Gothic Book" w:hAnsi="Franklin Gothic Book"/>
                <w:i/>
                <w:color w:val="auto"/>
                <w:sz w:val="22"/>
                <w:szCs w:val="22"/>
              </w:rPr>
              <w:t>TP53</w:t>
            </w:r>
            <w:r w:rsidR="00C6400E" w:rsidRPr="00C6400E">
              <w:rPr>
                <w:rFonts w:ascii="Franklin Gothic Book" w:hAnsi="Franklin Gothic Book"/>
                <w:iCs/>
                <w:color w:val="auto"/>
                <w:sz w:val="22"/>
                <w:szCs w:val="22"/>
              </w:rPr>
              <w:t xml:space="preserve"> </w:t>
            </w:r>
            <w:r w:rsidR="004F36FB">
              <w:rPr>
                <w:rFonts w:ascii="Franklin Gothic Book" w:hAnsi="Franklin Gothic Book"/>
                <w:iCs/>
                <w:color w:val="auto"/>
                <w:sz w:val="22"/>
                <w:szCs w:val="22"/>
              </w:rPr>
              <w:t>variant</w:t>
            </w:r>
            <w:r w:rsidR="00C6400E" w:rsidRPr="00C6400E">
              <w:rPr>
                <w:rFonts w:ascii="Franklin Gothic Book" w:hAnsi="Franklin Gothic Book"/>
                <w:iCs/>
                <w:color w:val="auto"/>
                <w:sz w:val="22"/>
                <w:szCs w:val="22"/>
              </w:rPr>
              <w:t xml:space="preserve"> can happen in </w:t>
            </w:r>
            <w:proofErr w:type="gramStart"/>
            <w:r w:rsidR="00C6400E" w:rsidRPr="00C6400E">
              <w:rPr>
                <w:rFonts w:ascii="Franklin Gothic Book" w:hAnsi="Franklin Gothic Book"/>
                <w:iCs/>
                <w:color w:val="auto"/>
                <w:sz w:val="22"/>
                <w:szCs w:val="22"/>
              </w:rPr>
              <w:t>a number of</w:t>
            </w:r>
            <w:proofErr w:type="gramEnd"/>
            <w:r w:rsidR="00C6400E" w:rsidRPr="00C6400E">
              <w:rPr>
                <w:rFonts w:ascii="Franklin Gothic Book" w:hAnsi="Franklin Gothic Book"/>
                <w:iCs/>
                <w:color w:val="auto"/>
                <w:sz w:val="22"/>
                <w:szCs w:val="22"/>
              </w:rPr>
              <w:t xml:space="preserve"> ways, but this application is for germline </w:t>
            </w:r>
            <w:r w:rsidR="001F4F16">
              <w:rPr>
                <w:rFonts w:ascii="Franklin Gothic Book" w:hAnsi="Franklin Gothic Book"/>
                <w:iCs/>
                <w:color w:val="auto"/>
                <w:sz w:val="22"/>
                <w:szCs w:val="22"/>
              </w:rPr>
              <w:t>variants</w:t>
            </w:r>
            <w:r w:rsidR="00C6400E" w:rsidRPr="00C6400E">
              <w:rPr>
                <w:rFonts w:ascii="Franklin Gothic Book" w:hAnsi="Franklin Gothic Book"/>
                <w:iCs/>
                <w:color w:val="auto"/>
                <w:sz w:val="22"/>
                <w:szCs w:val="22"/>
              </w:rPr>
              <w:t>, which means they are herit</w:t>
            </w:r>
            <w:r w:rsidR="00CA3FB2">
              <w:rPr>
                <w:rFonts w:ascii="Franklin Gothic Book" w:hAnsi="Franklin Gothic Book"/>
                <w:iCs/>
                <w:color w:val="auto"/>
                <w:sz w:val="22"/>
                <w:szCs w:val="22"/>
              </w:rPr>
              <w:t>abl</w:t>
            </w:r>
            <w:r w:rsidR="00C6400E" w:rsidRPr="00C6400E">
              <w:rPr>
                <w:rFonts w:ascii="Franklin Gothic Book" w:hAnsi="Franklin Gothic Book"/>
                <w:iCs/>
                <w:color w:val="auto"/>
                <w:sz w:val="22"/>
                <w:szCs w:val="22"/>
              </w:rPr>
              <w:t>e.</w:t>
            </w:r>
          </w:p>
          <w:p w14:paraId="749024CB" w14:textId="694499AC" w:rsidR="00C6400E" w:rsidRPr="00C6400E" w:rsidRDefault="00C762C3" w:rsidP="00C6400E">
            <w:pPr>
              <w:pStyle w:val="Default"/>
              <w:spacing w:after="240"/>
              <w:rPr>
                <w:rFonts w:ascii="Franklin Gothic Book" w:hAnsi="Franklin Gothic Book"/>
                <w:iCs/>
                <w:color w:val="auto"/>
                <w:sz w:val="22"/>
                <w:szCs w:val="22"/>
              </w:rPr>
            </w:pPr>
            <w:r>
              <w:rPr>
                <w:rFonts w:ascii="Franklin Gothic Book" w:hAnsi="Franklin Gothic Book"/>
                <w:iCs/>
                <w:color w:val="auto"/>
                <w:sz w:val="22"/>
                <w:szCs w:val="22"/>
              </w:rPr>
              <w:t xml:space="preserve">Magnetic </w:t>
            </w:r>
            <w:r w:rsidR="00CA3FB2">
              <w:rPr>
                <w:rFonts w:ascii="Franklin Gothic Book" w:hAnsi="Franklin Gothic Book"/>
                <w:iCs/>
                <w:color w:val="auto"/>
                <w:sz w:val="22"/>
                <w:szCs w:val="22"/>
              </w:rPr>
              <w:t>resonance i</w:t>
            </w:r>
            <w:r>
              <w:rPr>
                <w:rFonts w:ascii="Franklin Gothic Book" w:hAnsi="Franklin Gothic Book"/>
                <w:iCs/>
                <w:color w:val="auto"/>
                <w:sz w:val="22"/>
                <w:szCs w:val="22"/>
              </w:rPr>
              <w:t>maging (</w:t>
            </w:r>
            <w:r w:rsidR="00C6400E" w:rsidRPr="00C6400E">
              <w:rPr>
                <w:rFonts w:ascii="Franklin Gothic Book" w:hAnsi="Franklin Gothic Book"/>
                <w:iCs/>
                <w:color w:val="auto"/>
                <w:sz w:val="22"/>
                <w:szCs w:val="22"/>
              </w:rPr>
              <w:t>MRI</w:t>
            </w:r>
            <w:r>
              <w:rPr>
                <w:rFonts w:ascii="Franklin Gothic Book" w:hAnsi="Franklin Gothic Book"/>
                <w:iCs/>
                <w:color w:val="auto"/>
                <w:sz w:val="22"/>
                <w:szCs w:val="22"/>
              </w:rPr>
              <w:t>)</w:t>
            </w:r>
            <w:r w:rsidR="00C6400E" w:rsidRPr="00C6400E">
              <w:rPr>
                <w:rFonts w:ascii="Franklin Gothic Book" w:hAnsi="Franklin Gothic Book"/>
                <w:iCs/>
                <w:color w:val="auto"/>
                <w:sz w:val="22"/>
                <w:szCs w:val="22"/>
              </w:rPr>
              <w:t xml:space="preserve"> is a painless, non-invasive test and is performed inside a machine called the MRI scanner. Whole-body MRI just means that the MRI is used to scan the whole body, and then a computer generates a picture of the internal organs. A doctor </w:t>
            </w:r>
            <w:r w:rsidR="00CA3FB2">
              <w:rPr>
                <w:rFonts w:ascii="Franklin Gothic Book" w:hAnsi="Franklin Gothic Book"/>
                <w:iCs/>
                <w:color w:val="auto"/>
                <w:sz w:val="22"/>
                <w:szCs w:val="22"/>
              </w:rPr>
              <w:t xml:space="preserve">can </w:t>
            </w:r>
            <w:r w:rsidR="00C6400E" w:rsidRPr="00C6400E">
              <w:rPr>
                <w:rFonts w:ascii="Franklin Gothic Book" w:hAnsi="Franklin Gothic Book"/>
                <w:iCs/>
                <w:color w:val="auto"/>
                <w:sz w:val="22"/>
                <w:szCs w:val="22"/>
              </w:rPr>
              <w:t>th</w:t>
            </w:r>
            <w:r w:rsidR="00CA3FB2">
              <w:rPr>
                <w:rFonts w:ascii="Franklin Gothic Book" w:hAnsi="Franklin Gothic Book"/>
                <w:iCs/>
                <w:color w:val="auto"/>
                <w:sz w:val="22"/>
                <w:szCs w:val="22"/>
              </w:rPr>
              <w:t>e</w:t>
            </w:r>
            <w:r w:rsidR="00C6400E" w:rsidRPr="00C6400E">
              <w:rPr>
                <w:rFonts w:ascii="Franklin Gothic Book" w:hAnsi="Franklin Gothic Book"/>
                <w:iCs/>
                <w:color w:val="auto"/>
                <w:sz w:val="22"/>
                <w:szCs w:val="22"/>
              </w:rPr>
              <w:t>n see the location of any tumours and determine whether they are cancerous.</w:t>
            </w:r>
          </w:p>
          <w:p w14:paraId="58E082CB" w14:textId="61901226" w:rsidR="00C6400E" w:rsidRPr="00C6400E" w:rsidRDefault="00C6400E" w:rsidP="00C6400E">
            <w:pPr>
              <w:pStyle w:val="Default"/>
              <w:spacing w:after="240"/>
              <w:rPr>
                <w:rFonts w:ascii="Franklin Gothic Book" w:hAnsi="Franklin Gothic Book"/>
                <w:iCs/>
                <w:color w:val="auto"/>
                <w:sz w:val="22"/>
                <w:szCs w:val="22"/>
              </w:rPr>
            </w:pPr>
            <w:r w:rsidRPr="00C6400E">
              <w:rPr>
                <w:rFonts w:ascii="Franklin Gothic Book" w:hAnsi="Franklin Gothic Book"/>
                <w:iCs/>
                <w:color w:val="auto"/>
                <w:sz w:val="22"/>
                <w:szCs w:val="22"/>
              </w:rPr>
              <w:t xml:space="preserve">MSAC noted that the </w:t>
            </w:r>
            <w:r w:rsidR="001F4F16">
              <w:rPr>
                <w:rFonts w:ascii="Franklin Gothic Book" w:hAnsi="Franklin Gothic Book"/>
                <w:iCs/>
                <w:color w:val="auto"/>
                <w:sz w:val="22"/>
                <w:szCs w:val="22"/>
              </w:rPr>
              <w:t xml:space="preserve">size of the </w:t>
            </w:r>
            <w:r w:rsidRPr="00C6400E">
              <w:rPr>
                <w:rFonts w:ascii="Franklin Gothic Book" w:hAnsi="Franklin Gothic Book"/>
                <w:iCs/>
                <w:color w:val="auto"/>
                <w:sz w:val="22"/>
                <w:szCs w:val="22"/>
              </w:rPr>
              <w:t xml:space="preserve">population of people with a germline </w:t>
            </w:r>
            <w:r w:rsidRPr="001B298D">
              <w:rPr>
                <w:rFonts w:ascii="Franklin Gothic Book" w:hAnsi="Franklin Gothic Book"/>
                <w:i/>
                <w:color w:val="auto"/>
                <w:sz w:val="22"/>
                <w:szCs w:val="22"/>
              </w:rPr>
              <w:t>TP53</w:t>
            </w:r>
            <w:r w:rsidRPr="00C6400E">
              <w:rPr>
                <w:rFonts w:ascii="Franklin Gothic Book" w:hAnsi="Franklin Gothic Book"/>
                <w:iCs/>
                <w:color w:val="auto"/>
                <w:sz w:val="22"/>
                <w:szCs w:val="22"/>
              </w:rPr>
              <w:t xml:space="preserve"> </w:t>
            </w:r>
            <w:r w:rsidR="001F4F16">
              <w:rPr>
                <w:rFonts w:ascii="Franklin Gothic Book" w:hAnsi="Franklin Gothic Book"/>
                <w:iCs/>
                <w:color w:val="auto"/>
                <w:sz w:val="22"/>
                <w:szCs w:val="22"/>
              </w:rPr>
              <w:t>variant</w:t>
            </w:r>
            <w:r w:rsidR="001F4F16" w:rsidRPr="00C6400E">
              <w:rPr>
                <w:rFonts w:ascii="Franklin Gothic Book" w:hAnsi="Franklin Gothic Book"/>
                <w:iCs/>
                <w:color w:val="auto"/>
                <w:sz w:val="22"/>
                <w:szCs w:val="22"/>
              </w:rPr>
              <w:t xml:space="preserve"> </w:t>
            </w:r>
            <w:r w:rsidRPr="00C6400E">
              <w:rPr>
                <w:rFonts w:ascii="Franklin Gothic Book" w:hAnsi="Franklin Gothic Book"/>
                <w:iCs/>
                <w:color w:val="auto"/>
                <w:sz w:val="22"/>
                <w:szCs w:val="22"/>
              </w:rPr>
              <w:t xml:space="preserve">is small but that they have a high </w:t>
            </w:r>
            <w:r w:rsidR="00C762C3">
              <w:rPr>
                <w:rFonts w:ascii="Franklin Gothic Book" w:hAnsi="Franklin Gothic Book"/>
                <w:iCs/>
                <w:color w:val="auto"/>
                <w:sz w:val="22"/>
                <w:szCs w:val="22"/>
              </w:rPr>
              <w:t xml:space="preserve">risk </w:t>
            </w:r>
            <w:r w:rsidRPr="00C6400E">
              <w:rPr>
                <w:rFonts w:ascii="Franklin Gothic Book" w:hAnsi="Franklin Gothic Book"/>
                <w:iCs/>
                <w:color w:val="auto"/>
                <w:sz w:val="22"/>
                <w:szCs w:val="22"/>
              </w:rPr>
              <w:t>of developing cancer</w:t>
            </w:r>
            <w:r w:rsidR="00C762C3">
              <w:rPr>
                <w:rFonts w:ascii="Franklin Gothic Book" w:hAnsi="Franklin Gothic Book"/>
                <w:iCs/>
                <w:color w:val="auto"/>
                <w:sz w:val="22"/>
                <w:szCs w:val="22"/>
              </w:rPr>
              <w:t>s over their lifetimes</w:t>
            </w:r>
            <w:r w:rsidRPr="00C6400E">
              <w:rPr>
                <w:rFonts w:ascii="Franklin Gothic Book" w:hAnsi="Franklin Gothic Book"/>
                <w:iCs/>
                <w:color w:val="auto"/>
                <w:sz w:val="22"/>
                <w:szCs w:val="22"/>
              </w:rPr>
              <w:t xml:space="preserve">. </w:t>
            </w:r>
            <w:r w:rsidR="00C250F7">
              <w:rPr>
                <w:rFonts w:ascii="Franklin Gothic Book" w:hAnsi="Franklin Gothic Book"/>
                <w:iCs/>
                <w:color w:val="auto"/>
                <w:sz w:val="22"/>
                <w:szCs w:val="22"/>
              </w:rPr>
              <w:t>Because of this small population, there is little research and therefore little evidence on how effective whole-body MRI is in monitoring this population for cancers</w:t>
            </w:r>
            <w:r w:rsidR="00CA3FB2">
              <w:rPr>
                <w:rFonts w:ascii="Franklin Gothic Book" w:hAnsi="Franklin Gothic Book"/>
                <w:iCs/>
                <w:color w:val="auto"/>
                <w:sz w:val="22"/>
                <w:szCs w:val="22"/>
              </w:rPr>
              <w:t>.</w:t>
            </w:r>
            <w:r w:rsidR="00C250F7">
              <w:rPr>
                <w:rFonts w:ascii="Franklin Gothic Book" w:hAnsi="Franklin Gothic Book"/>
                <w:iCs/>
                <w:color w:val="auto"/>
                <w:sz w:val="22"/>
                <w:szCs w:val="22"/>
              </w:rPr>
              <w:t xml:space="preserve"> Nonetheless</w:t>
            </w:r>
            <w:r w:rsidR="00CA3FB2">
              <w:rPr>
                <w:rFonts w:ascii="Franklin Gothic Book" w:hAnsi="Franklin Gothic Book"/>
                <w:iCs/>
                <w:color w:val="auto"/>
                <w:sz w:val="22"/>
                <w:szCs w:val="22"/>
              </w:rPr>
              <w:t>,</w:t>
            </w:r>
            <w:r w:rsidR="00C250F7">
              <w:rPr>
                <w:rFonts w:ascii="Franklin Gothic Book" w:hAnsi="Franklin Gothic Book"/>
                <w:iCs/>
                <w:color w:val="auto"/>
                <w:sz w:val="22"/>
                <w:szCs w:val="22"/>
              </w:rPr>
              <w:t xml:space="preserve"> MSAC noted that based on the limited evidence available, w</w:t>
            </w:r>
            <w:r w:rsidRPr="00C6400E">
              <w:rPr>
                <w:rFonts w:ascii="Franklin Gothic Book" w:hAnsi="Franklin Gothic Book"/>
                <w:iCs/>
                <w:color w:val="auto"/>
                <w:sz w:val="22"/>
                <w:szCs w:val="22"/>
              </w:rPr>
              <w:t>hole-body MRI is safe</w:t>
            </w:r>
            <w:r w:rsidR="00C250F7">
              <w:rPr>
                <w:rFonts w:ascii="Franklin Gothic Book" w:hAnsi="Franklin Gothic Book"/>
                <w:iCs/>
                <w:color w:val="auto"/>
                <w:sz w:val="22"/>
                <w:szCs w:val="22"/>
              </w:rPr>
              <w:t xml:space="preserve"> and effective in allowing </w:t>
            </w:r>
            <w:r w:rsidRPr="00C6400E">
              <w:rPr>
                <w:rFonts w:ascii="Franklin Gothic Book" w:hAnsi="Franklin Gothic Book"/>
                <w:iCs/>
                <w:color w:val="auto"/>
                <w:sz w:val="22"/>
                <w:szCs w:val="22"/>
              </w:rPr>
              <w:t xml:space="preserve">more people with the </w:t>
            </w:r>
            <w:r w:rsidRPr="001B298D">
              <w:rPr>
                <w:rFonts w:ascii="Franklin Gothic Book" w:hAnsi="Franklin Gothic Book"/>
                <w:i/>
                <w:color w:val="auto"/>
                <w:sz w:val="22"/>
                <w:szCs w:val="22"/>
              </w:rPr>
              <w:t>TP53</w:t>
            </w:r>
            <w:r w:rsidRPr="00C6400E">
              <w:rPr>
                <w:rFonts w:ascii="Franklin Gothic Book" w:hAnsi="Franklin Gothic Book"/>
                <w:iCs/>
                <w:color w:val="auto"/>
                <w:sz w:val="22"/>
                <w:szCs w:val="22"/>
              </w:rPr>
              <w:t xml:space="preserve"> gene </w:t>
            </w:r>
            <w:r w:rsidR="004F36FB">
              <w:rPr>
                <w:rFonts w:ascii="Franklin Gothic Book" w:hAnsi="Franklin Gothic Book"/>
                <w:iCs/>
                <w:color w:val="auto"/>
                <w:sz w:val="22"/>
                <w:szCs w:val="22"/>
              </w:rPr>
              <w:t>variant</w:t>
            </w:r>
            <w:r w:rsidRPr="00C6400E">
              <w:rPr>
                <w:rFonts w:ascii="Franklin Gothic Book" w:hAnsi="Franklin Gothic Book"/>
                <w:iCs/>
                <w:color w:val="auto"/>
                <w:sz w:val="22"/>
                <w:szCs w:val="22"/>
              </w:rPr>
              <w:t xml:space="preserve"> </w:t>
            </w:r>
            <w:r w:rsidR="00C250F7">
              <w:rPr>
                <w:rFonts w:ascii="Franklin Gothic Book" w:hAnsi="Franklin Gothic Book"/>
                <w:iCs/>
                <w:color w:val="auto"/>
                <w:sz w:val="22"/>
                <w:szCs w:val="22"/>
              </w:rPr>
              <w:t xml:space="preserve">to </w:t>
            </w:r>
            <w:r w:rsidRPr="00C6400E">
              <w:rPr>
                <w:rFonts w:ascii="Franklin Gothic Book" w:hAnsi="Franklin Gothic Book"/>
                <w:iCs/>
                <w:color w:val="auto"/>
                <w:sz w:val="22"/>
                <w:szCs w:val="22"/>
              </w:rPr>
              <w:t>detect</w:t>
            </w:r>
            <w:r w:rsidR="00C250F7">
              <w:rPr>
                <w:rFonts w:ascii="Franklin Gothic Book" w:hAnsi="Franklin Gothic Book"/>
                <w:iCs/>
                <w:color w:val="auto"/>
                <w:sz w:val="22"/>
                <w:szCs w:val="22"/>
              </w:rPr>
              <w:t xml:space="preserve"> </w:t>
            </w:r>
            <w:r w:rsidRPr="00C6400E">
              <w:rPr>
                <w:rFonts w:ascii="Franklin Gothic Book" w:hAnsi="Franklin Gothic Book"/>
                <w:iCs/>
                <w:color w:val="auto"/>
                <w:sz w:val="22"/>
                <w:szCs w:val="22"/>
              </w:rPr>
              <w:t xml:space="preserve">their cancer earlier, which means that </w:t>
            </w:r>
            <w:r w:rsidR="00C250F7">
              <w:rPr>
                <w:rFonts w:ascii="Franklin Gothic Book" w:hAnsi="Franklin Gothic Book"/>
                <w:iCs/>
                <w:color w:val="auto"/>
                <w:sz w:val="22"/>
                <w:szCs w:val="22"/>
              </w:rPr>
              <w:t xml:space="preserve">their </w:t>
            </w:r>
            <w:r w:rsidRPr="00C6400E">
              <w:rPr>
                <w:rFonts w:ascii="Franklin Gothic Book" w:hAnsi="Franklin Gothic Book"/>
                <w:iCs/>
                <w:color w:val="auto"/>
                <w:sz w:val="22"/>
                <w:szCs w:val="22"/>
              </w:rPr>
              <w:t>cancer treatment can be started earlier. Because the number of people who would be eligible for this test is small, the cost would be relatively modest. Therefore MSAC, supported the listing of this procedure on the MBS.</w:t>
            </w:r>
          </w:p>
          <w:p w14:paraId="38069A1C" w14:textId="2FE7ACBB" w:rsidR="00C6400E" w:rsidRPr="00C6400E" w:rsidRDefault="00C6400E" w:rsidP="00C6400E">
            <w:pPr>
              <w:pStyle w:val="Default"/>
              <w:spacing w:after="240"/>
              <w:rPr>
                <w:rFonts w:ascii="Franklin Gothic Book" w:hAnsi="Franklin Gothic Book"/>
                <w:b/>
                <w:bCs/>
                <w:iCs/>
                <w:color w:val="auto"/>
                <w:sz w:val="22"/>
                <w:szCs w:val="22"/>
              </w:rPr>
            </w:pPr>
            <w:r w:rsidRPr="00C6400E">
              <w:rPr>
                <w:rFonts w:ascii="Franklin Gothic Book" w:hAnsi="Franklin Gothic Book"/>
                <w:b/>
                <w:bCs/>
                <w:iCs/>
                <w:color w:val="auto"/>
                <w:sz w:val="22"/>
                <w:szCs w:val="22"/>
              </w:rPr>
              <w:t xml:space="preserve">MSAC’s advice to the </w:t>
            </w:r>
            <w:proofErr w:type="gramStart"/>
            <w:r w:rsidRPr="00C6400E">
              <w:rPr>
                <w:rFonts w:ascii="Franklin Gothic Book" w:hAnsi="Franklin Gothic Book"/>
                <w:b/>
                <w:bCs/>
                <w:iCs/>
                <w:color w:val="auto"/>
                <w:sz w:val="22"/>
                <w:szCs w:val="22"/>
              </w:rPr>
              <w:t>Commonwealth Minister</w:t>
            </w:r>
            <w:proofErr w:type="gramEnd"/>
            <w:r w:rsidRPr="00C6400E">
              <w:rPr>
                <w:rFonts w:ascii="Franklin Gothic Book" w:hAnsi="Franklin Gothic Book"/>
                <w:b/>
                <w:bCs/>
                <w:iCs/>
                <w:color w:val="auto"/>
                <w:sz w:val="22"/>
                <w:szCs w:val="22"/>
              </w:rPr>
              <w:t xml:space="preserve"> for Health</w:t>
            </w:r>
            <w:r w:rsidR="00EA67A1">
              <w:rPr>
                <w:rFonts w:ascii="Franklin Gothic Book" w:hAnsi="Franklin Gothic Book"/>
                <w:b/>
                <w:bCs/>
                <w:iCs/>
                <w:color w:val="auto"/>
                <w:sz w:val="22"/>
                <w:szCs w:val="22"/>
              </w:rPr>
              <w:t xml:space="preserve"> and Aged Care</w:t>
            </w:r>
          </w:p>
          <w:p w14:paraId="00DB1FB7" w14:textId="70530161" w:rsidR="006C4966" w:rsidRDefault="00C6400E" w:rsidP="00C6400E">
            <w:pPr>
              <w:pStyle w:val="Default"/>
              <w:spacing w:after="240"/>
              <w:rPr>
                <w:rFonts w:ascii="Times New Roman" w:hAnsi="Times New Roman"/>
                <w:i/>
                <w:color w:val="auto"/>
              </w:rPr>
            </w:pPr>
            <w:r w:rsidRPr="00C6400E">
              <w:rPr>
                <w:rFonts w:ascii="Franklin Gothic Book" w:hAnsi="Franklin Gothic Book"/>
                <w:iCs/>
                <w:color w:val="auto"/>
                <w:sz w:val="22"/>
                <w:szCs w:val="22"/>
              </w:rPr>
              <w:t xml:space="preserve">MSAC supported the listing of whole-body MRI for detection of cancer in individuals with a germline pathogenic or likely pathogenic germline variant of the </w:t>
            </w:r>
            <w:r w:rsidRPr="001B298D">
              <w:rPr>
                <w:rFonts w:ascii="Franklin Gothic Book" w:hAnsi="Franklin Gothic Book"/>
                <w:i/>
                <w:color w:val="auto"/>
                <w:sz w:val="22"/>
                <w:szCs w:val="22"/>
              </w:rPr>
              <w:t>TP53</w:t>
            </w:r>
            <w:r w:rsidRPr="00C6400E">
              <w:rPr>
                <w:rFonts w:ascii="Franklin Gothic Book" w:hAnsi="Franklin Gothic Book"/>
                <w:iCs/>
                <w:color w:val="auto"/>
                <w:sz w:val="22"/>
                <w:szCs w:val="22"/>
              </w:rPr>
              <w:t xml:space="preserve"> gene.</w:t>
            </w:r>
          </w:p>
        </w:tc>
      </w:tr>
    </w:tbl>
    <w:p w14:paraId="00B49E06" w14:textId="77777777" w:rsidR="006C4966" w:rsidRDefault="006C4966" w:rsidP="00262C24">
      <w:pPr>
        <w:pStyle w:val="Heading2"/>
        <w:numPr>
          <w:ilvl w:val="0"/>
          <w:numId w:val="0"/>
        </w:numPr>
        <w:ind w:left="720" w:hanging="862"/>
      </w:pPr>
      <w:r>
        <w:lastRenderedPageBreak/>
        <w:t>3.</w:t>
      </w:r>
      <w:r>
        <w:tab/>
        <w:t>Summary of consideration and rationale for MSAC’s advice</w:t>
      </w:r>
    </w:p>
    <w:p w14:paraId="1D2985FB" w14:textId="2F9287B7" w:rsidR="00844337" w:rsidRDefault="00C6400E" w:rsidP="00C6400E">
      <w:bookmarkStart w:id="3" w:name="_Hlk110770095"/>
      <w:r>
        <w:t>MSAC noted that this is an application from the Australian Genomic Cancer Medicine Centre Ltd (</w:t>
      </w:r>
      <w:proofErr w:type="spellStart"/>
      <w:r>
        <w:t>Omico</w:t>
      </w:r>
      <w:proofErr w:type="spellEnd"/>
      <w:r>
        <w:t xml:space="preserve">) requesting Medicare Benefits Schedule (MBS) listing of </w:t>
      </w:r>
      <w:bookmarkStart w:id="4" w:name="_Hlk110770081"/>
      <w:r>
        <w:t xml:space="preserve">whole-body magnetic resonance imaging (WBMRI) for detection of cancer in individuals with a pathogenic or likely pathogenic germline variant of the </w:t>
      </w:r>
      <w:r>
        <w:rPr>
          <w:i/>
          <w:iCs/>
        </w:rPr>
        <w:t>tumour protein 53</w:t>
      </w:r>
      <w:r>
        <w:t xml:space="preserve"> (</w:t>
      </w:r>
      <w:r>
        <w:rPr>
          <w:i/>
          <w:iCs/>
        </w:rPr>
        <w:t>TP53</w:t>
      </w:r>
      <w:r>
        <w:t>) gene</w:t>
      </w:r>
      <w:r w:rsidR="0025644E">
        <w:t xml:space="preserve"> (including </w:t>
      </w:r>
      <w:r w:rsidR="007122C3">
        <w:t xml:space="preserve">individuals with </w:t>
      </w:r>
      <w:r w:rsidR="0025644E">
        <w:t>Li-Fraumeni syndrome)</w:t>
      </w:r>
      <w:r>
        <w:t>.</w:t>
      </w:r>
      <w:r w:rsidR="0025644E">
        <w:t xml:space="preserve"> </w:t>
      </w:r>
      <w:r w:rsidR="006563BC">
        <w:t xml:space="preserve">MSAC noted that the surveillance is intended to be limited to once a year and to </w:t>
      </w:r>
      <w:r w:rsidR="006563BC" w:rsidRPr="00524660">
        <w:t>augment current surveillance (</w:t>
      </w:r>
      <w:r w:rsidR="007122C3">
        <w:t xml:space="preserve">which </w:t>
      </w:r>
      <w:r w:rsidR="006563BC" w:rsidRPr="00524660">
        <w:t>includ</w:t>
      </w:r>
      <w:r w:rsidR="007122C3">
        <w:t>es</w:t>
      </w:r>
      <w:r w:rsidR="006563BC" w:rsidRPr="00524660">
        <w:t xml:space="preserve"> some use of dedicated MRI breast and MRI brain</w:t>
      </w:r>
      <w:r w:rsidR="006563BC">
        <w:t>) in the defined population.</w:t>
      </w:r>
      <w:r w:rsidR="006563BC" w:rsidRPr="006563BC">
        <w:t xml:space="preserve"> </w:t>
      </w:r>
      <w:r w:rsidR="00566D17">
        <w:t xml:space="preserve">MSAC noted that </w:t>
      </w:r>
      <w:r w:rsidR="00566D17" w:rsidRPr="0003596A">
        <w:t>WBMRI is currently inadequate for breast surveillance, or brain surveillance</w:t>
      </w:r>
      <w:r w:rsidR="00566D17">
        <w:t xml:space="preserve"> in the defined population</w:t>
      </w:r>
      <w:r w:rsidR="007122C3">
        <w:t>, although</w:t>
      </w:r>
      <w:r w:rsidR="00566D17" w:rsidRPr="0003596A">
        <w:t xml:space="preserve"> in some imaging protocols</w:t>
      </w:r>
      <w:r w:rsidR="00CA3FB2">
        <w:t>,</w:t>
      </w:r>
      <w:r w:rsidR="00566D17" w:rsidRPr="0003596A">
        <w:t xml:space="preserve"> </w:t>
      </w:r>
      <w:r w:rsidR="007122C3">
        <w:t>WBMRI</w:t>
      </w:r>
      <w:r w:rsidR="00566D17" w:rsidRPr="0003596A">
        <w:t xml:space="preserve"> has been successfully combined with formal diagnostic contrast enhanced brain MRI</w:t>
      </w:r>
      <w:r w:rsidR="00566D17">
        <w:t xml:space="preserve">. </w:t>
      </w:r>
      <w:r w:rsidR="008B1FC4">
        <w:t xml:space="preserve">MSAC noted that </w:t>
      </w:r>
      <w:r w:rsidR="008B1FC4" w:rsidRPr="00BD13F6">
        <w:t>WBMRI is not a single well</w:t>
      </w:r>
      <w:r w:rsidR="008B1FC4">
        <w:t>-</w:t>
      </w:r>
      <w:r w:rsidR="008B1FC4" w:rsidRPr="00BD13F6">
        <w:t>defined entity (unlike e</w:t>
      </w:r>
      <w:r w:rsidR="008B1FC4">
        <w:t>.</w:t>
      </w:r>
      <w:r w:rsidR="008B1FC4" w:rsidRPr="00BD13F6">
        <w:t>g</w:t>
      </w:r>
      <w:r w:rsidR="008B1FC4">
        <w:t>.</w:t>
      </w:r>
      <w:r w:rsidR="00BE32C6">
        <w:t>,</w:t>
      </w:r>
      <w:r w:rsidR="008B1FC4" w:rsidRPr="00BD13F6">
        <w:t xml:space="preserve"> “CT with contrast” or “FDG PET”) </w:t>
      </w:r>
      <w:r w:rsidR="008B1FC4">
        <w:t xml:space="preserve">but </w:t>
      </w:r>
      <w:r w:rsidR="008B1FC4" w:rsidRPr="00BD13F6">
        <w:t xml:space="preserve">consists of a suite of multiple different sequences which vary from site to site and between indications </w:t>
      </w:r>
      <w:r w:rsidR="008B1FC4">
        <w:t>with</w:t>
      </w:r>
      <w:r w:rsidR="008B1FC4" w:rsidRPr="00BD13F6">
        <w:t xml:space="preserve"> </w:t>
      </w:r>
      <w:r w:rsidR="007122C3">
        <w:t xml:space="preserve">ongoing development of improved </w:t>
      </w:r>
      <w:r w:rsidR="008B1FC4" w:rsidRPr="00BD13F6">
        <w:t>sequences</w:t>
      </w:r>
      <w:r w:rsidR="008B1FC4">
        <w:t>.</w:t>
      </w:r>
    </w:p>
    <w:p w14:paraId="6DF1A4F3" w14:textId="296DC37C" w:rsidR="00C6400E" w:rsidRDefault="006563BC" w:rsidP="00C6400E">
      <w:r>
        <w:t>MSAC noted that the WBMRI m</w:t>
      </w:r>
      <w:r w:rsidRPr="00524660">
        <w:t>ust be requested by a specialist or consultant physician in consultation with a clinical geneticist</w:t>
      </w:r>
      <w:r>
        <w:t xml:space="preserve">. </w:t>
      </w:r>
      <w:r w:rsidRPr="00A26F5B">
        <w:t>MSAC considered that the advice from RANZCR that the WBMRI re</w:t>
      </w:r>
      <w:r w:rsidR="005B1136">
        <w:t>sults</w:t>
      </w:r>
      <w:r w:rsidRPr="00A26F5B">
        <w:t xml:space="preserve"> can be reported by any radiologist who </w:t>
      </w:r>
      <w:r w:rsidR="00D63B84">
        <w:t>is accredited to</w:t>
      </w:r>
      <w:r w:rsidRPr="00A26F5B">
        <w:t xml:space="preserve"> report</w:t>
      </w:r>
      <w:r w:rsidR="00D63B84">
        <w:t xml:space="preserve"> these</w:t>
      </w:r>
      <w:r w:rsidRPr="00A26F5B">
        <w:t xml:space="preserve"> MRI results appears reasonable.</w:t>
      </w:r>
    </w:p>
    <w:bookmarkEnd w:id="3"/>
    <w:bookmarkEnd w:id="4"/>
    <w:p w14:paraId="3CBEF4F3" w14:textId="4B06C946" w:rsidR="00BC6E7E" w:rsidRDefault="00C6400E" w:rsidP="00596385">
      <w:r>
        <w:t xml:space="preserve">MSAC noted that the </w:t>
      </w:r>
      <w:r w:rsidR="00BE32C6">
        <w:t xml:space="preserve">proposed </w:t>
      </w:r>
      <w:r>
        <w:t xml:space="preserve">population </w:t>
      </w:r>
      <w:r w:rsidR="00BE32C6">
        <w:t>comprises</w:t>
      </w:r>
      <w:r w:rsidR="0025644E">
        <w:t xml:space="preserve"> </w:t>
      </w:r>
      <w:r>
        <w:t xml:space="preserve">individuals who have been proven to have a germline pathogenic or likely pathogenic variant of </w:t>
      </w:r>
      <w:r>
        <w:rPr>
          <w:i/>
          <w:iCs/>
        </w:rPr>
        <w:t>TP53 (</w:t>
      </w:r>
      <w:r>
        <w:rPr>
          <w:lang w:val="en-US"/>
        </w:rPr>
        <w:t xml:space="preserve">heritable </w:t>
      </w:r>
      <w:r>
        <w:rPr>
          <w:i/>
          <w:iCs/>
          <w:lang w:val="en-US"/>
        </w:rPr>
        <w:t>TP53</w:t>
      </w:r>
      <w:r>
        <w:rPr>
          <w:lang w:val="en-US"/>
        </w:rPr>
        <w:t>-related cancer [h</w:t>
      </w:r>
      <w:r>
        <w:rPr>
          <w:i/>
          <w:iCs/>
          <w:lang w:val="en-US"/>
        </w:rPr>
        <w:t>TP53</w:t>
      </w:r>
      <w:r>
        <w:rPr>
          <w:lang w:val="en-US"/>
        </w:rPr>
        <w:t>rc] syndrome)</w:t>
      </w:r>
      <w:r>
        <w:t xml:space="preserve">. </w:t>
      </w:r>
      <w:r w:rsidR="00596385">
        <w:t>MSAC noted that the i</w:t>
      </w:r>
      <w:r w:rsidR="00596385" w:rsidRPr="0025644E">
        <w:t xml:space="preserve">nitial application was </w:t>
      </w:r>
      <w:r w:rsidR="00596385">
        <w:t xml:space="preserve">limited to </w:t>
      </w:r>
      <w:r w:rsidR="00596385" w:rsidRPr="0025644E">
        <w:t xml:space="preserve">individuals aged 18 and older </w:t>
      </w:r>
      <w:r w:rsidR="00596385">
        <w:t>but</w:t>
      </w:r>
      <w:r w:rsidR="00A07EA9">
        <w:t>,</w:t>
      </w:r>
      <w:r w:rsidR="00596385">
        <w:t xml:space="preserve"> on the recommendation of PASC</w:t>
      </w:r>
      <w:r w:rsidR="00A07EA9">
        <w:t>,</w:t>
      </w:r>
      <w:r w:rsidR="00596385">
        <w:t xml:space="preserve"> </w:t>
      </w:r>
      <w:r w:rsidR="00A07EA9">
        <w:t xml:space="preserve">this </w:t>
      </w:r>
      <w:r w:rsidR="00596385">
        <w:t xml:space="preserve">was expanded to include children. </w:t>
      </w:r>
      <w:r>
        <w:t xml:space="preserve">While the prevalence </w:t>
      </w:r>
      <w:r w:rsidR="00D63B84">
        <w:t xml:space="preserve">of individuals with </w:t>
      </w:r>
      <w:r w:rsidR="00D63B84">
        <w:rPr>
          <w:i/>
          <w:iCs/>
        </w:rPr>
        <w:t xml:space="preserve">TP53 </w:t>
      </w:r>
      <w:r w:rsidR="00D63B84">
        <w:t xml:space="preserve">variants </w:t>
      </w:r>
      <w:r>
        <w:t>in Australia is unknown, MSAC noted that, internationally, prevalence is between 1/5,000 and 1/20,000</w:t>
      </w:r>
      <w:r w:rsidR="00D63B84">
        <w:t xml:space="preserve"> of the general population</w:t>
      </w:r>
      <w:r>
        <w:t>. Therefore, it is estimated that there would be approximately 330 eligible patients currently in Australia, with an increase of 10–15 new cases per year.</w:t>
      </w:r>
    </w:p>
    <w:p w14:paraId="2D742F41" w14:textId="59F65CBA" w:rsidR="00561DA4" w:rsidRDefault="00C6400E" w:rsidP="00C6400E">
      <w:r>
        <w:t xml:space="preserve">MSAC noted the high clinical need for </w:t>
      </w:r>
      <w:r w:rsidR="00596385">
        <w:t xml:space="preserve">cancer </w:t>
      </w:r>
      <w:r>
        <w:t>surveillance</w:t>
      </w:r>
      <w:r w:rsidR="00596385">
        <w:t xml:space="preserve"> in the defined population</w:t>
      </w:r>
      <w:r>
        <w:t xml:space="preserve">, as </w:t>
      </w:r>
      <w:r w:rsidR="00A07EA9">
        <w:t xml:space="preserve">men and women </w:t>
      </w:r>
      <w:r>
        <w:t xml:space="preserve">with </w:t>
      </w:r>
      <w:r>
        <w:rPr>
          <w:lang w:val="en-US"/>
        </w:rPr>
        <w:t>h</w:t>
      </w:r>
      <w:r>
        <w:rPr>
          <w:i/>
          <w:iCs/>
          <w:lang w:val="en-US"/>
        </w:rPr>
        <w:t>TP53</w:t>
      </w:r>
      <w:r>
        <w:rPr>
          <w:lang w:val="en-US"/>
        </w:rPr>
        <w:t xml:space="preserve">rc syndrome </w:t>
      </w:r>
      <w:r>
        <w:t xml:space="preserve">have a 90% </w:t>
      </w:r>
      <w:r w:rsidR="00A07EA9">
        <w:t xml:space="preserve">and 100% </w:t>
      </w:r>
      <w:r>
        <w:t>chance</w:t>
      </w:r>
      <w:r w:rsidR="00A07EA9">
        <w:t xml:space="preserve">, respectively, </w:t>
      </w:r>
      <w:r>
        <w:t xml:space="preserve">of developing cancer in their </w:t>
      </w:r>
      <w:proofErr w:type="gramStart"/>
      <w:r>
        <w:t>lifetime</w:t>
      </w:r>
      <w:r w:rsidR="00A07EA9">
        <w:t>;</w:t>
      </w:r>
      <w:proofErr w:type="gramEnd"/>
      <w:r>
        <w:t xml:space="preserve"> the highest risk of all cancer predisposition syndromes.</w:t>
      </w:r>
      <w:r w:rsidR="00724974" w:rsidRPr="00724974">
        <w:t xml:space="preserve"> </w:t>
      </w:r>
      <w:r w:rsidR="00724974">
        <w:t xml:space="preserve">MSAC noted the applicant’s </w:t>
      </w:r>
      <w:r w:rsidR="00724974">
        <w:rPr>
          <w:rFonts w:eastAsia="Calibri" w:cs="Times New Roman"/>
          <w:iCs/>
        </w:rPr>
        <w:t>c</w:t>
      </w:r>
      <w:r w:rsidR="00724974" w:rsidRPr="00846F6C">
        <w:rPr>
          <w:rFonts w:eastAsia="Calibri" w:cs="Times New Roman"/>
          <w:iCs/>
        </w:rPr>
        <w:t>laim</w:t>
      </w:r>
      <w:r w:rsidR="006563BC">
        <w:rPr>
          <w:rFonts w:eastAsia="Calibri" w:cs="Times New Roman"/>
          <w:iCs/>
        </w:rPr>
        <w:t xml:space="preserve"> </w:t>
      </w:r>
      <w:r w:rsidR="00724974" w:rsidRPr="00846F6C">
        <w:rPr>
          <w:rFonts w:eastAsia="Calibri" w:cs="Times New Roman"/>
          <w:iCs/>
        </w:rPr>
        <w:t>that annual surveillance with WBMRI will result in earlier detection of malignant lesions</w:t>
      </w:r>
      <w:r w:rsidR="006563BC" w:rsidRPr="006563BC">
        <w:t xml:space="preserve"> </w:t>
      </w:r>
      <w:r w:rsidR="006563BC" w:rsidRPr="006563BC">
        <w:rPr>
          <w:rFonts w:eastAsia="Calibri" w:cs="Times New Roman"/>
          <w:iCs/>
        </w:rPr>
        <w:t>with the aim of</w:t>
      </w:r>
      <w:r w:rsidR="00A07EA9">
        <w:rPr>
          <w:rFonts w:eastAsia="Calibri" w:cs="Times New Roman"/>
          <w:iCs/>
        </w:rPr>
        <w:t xml:space="preserve"> </w:t>
      </w:r>
      <w:r w:rsidR="006563BC" w:rsidRPr="006563BC">
        <w:rPr>
          <w:rFonts w:eastAsia="Calibri" w:cs="Times New Roman"/>
          <w:iCs/>
        </w:rPr>
        <w:t>improved survival</w:t>
      </w:r>
      <w:r w:rsidR="006563BC">
        <w:rPr>
          <w:rFonts w:eastAsia="Calibri" w:cs="Times New Roman"/>
          <w:iCs/>
        </w:rPr>
        <w:t xml:space="preserve"> due to earlier treatment</w:t>
      </w:r>
      <w:r w:rsidR="00724974">
        <w:rPr>
          <w:rFonts w:eastAsia="Calibri" w:cs="Times New Roman"/>
          <w:iCs/>
        </w:rPr>
        <w:t>.</w:t>
      </w:r>
    </w:p>
    <w:p w14:paraId="767B87BD" w14:textId="184DA23A" w:rsidR="00596385" w:rsidRDefault="00596385" w:rsidP="00596385">
      <w:r>
        <w:t xml:space="preserve">MSAC noted the observation in the applicant’s pre-MSAC response that </w:t>
      </w:r>
      <w:r w:rsidRPr="00BC6E7E">
        <w:t xml:space="preserve">MBS items for </w:t>
      </w:r>
      <w:r>
        <w:t xml:space="preserve">germline </w:t>
      </w:r>
      <w:r w:rsidRPr="001B298D">
        <w:rPr>
          <w:i/>
          <w:iCs/>
        </w:rPr>
        <w:t>TP53</w:t>
      </w:r>
      <w:r>
        <w:t xml:space="preserve"> testing were currently accessible for</w:t>
      </w:r>
      <w:r w:rsidRPr="00104549">
        <w:t xml:space="preserve"> individuals suspected of hereditary breast and ovarian cancer</w:t>
      </w:r>
      <w:r>
        <w:t xml:space="preserve"> through items </w:t>
      </w:r>
      <w:r w:rsidRPr="00BC6E7E">
        <w:t>73296</w:t>
      </w:r>
      <w:r>
        <w:t xml:space="preserve"> and</w:t>
      </w:r>
      <w:r w:rsidRPr="00BC6E7E">
        <w:t xml:space="preserve"> 73297</w:t>
      </w:r>
      <w:r>
        <w:t xml:space="preserve"> but that there </w:t>
      </w:r>
      <w:r w:rsidR="00A07EA9">
        <w:t xml:space="preserve">are </w:t>
      </w:r>
      <w:r>
        <w:t xml:space="preserve">no </w:t>
      </w:r>
      <w:r w:rsidRPr="00BC6E7E">
        <w:t xml:space="preserve">equivalent items for </w:t>
      </w:r>
      <w:r>
        <w:t xml:space="preserve">these </w:t>
      </w:r>
      <w:r w:rsidRPr="00BC6E7E">
        <w:t>individuals with a sarcoma diagnosis</w:t>
      </w:r>
      <w:r>
        <w:t>.</w:t>
      </w:r>
      <w:r w:rsidRPr="00104549">
        <w:t xml:space="preserve"> </w:t>
      </w:r>
      <w:r>
        <w:t>MSAC noted that there w</w:t>
      </w:r>
      <w:r w:rsidR="00A07EA9">
        <w:t>as</w:t>
      </w:r>
      <w:r>
        <w:t xml:space="preserve"> some funding by </w:t>
      </w:r>
      <w:r w:rsidRPr="00104549">
        <w:t>State/Territory genetics services</w:t>
      </w:r>
      <w:r>
        <w:t xml:space="preserve"> for </w:t>
      </w:r>
      <w:r w:rsidRPr="001B298D">
        <w:rPr>
          <w:i/>
          <w:iCs/>
        </w:rPr>
        <w:t>TP53</w:t>
      </w:r>
      <w:r>
        <w:t xml:space="preserve"> testing for other indications</w:t>
      </w:r>
      <w:r w:rsidR="001B298D">
        <w:t>.</w:t>
      </w:r>
    </w:p>
    <w:p w14:paraId="195D9EFF" w14:textId="5E647119" w:rsidR="00C6400E" w:rsidRDefault="00C6400E" w:rsidP="00C6400E">
      <w:pPr>
        <w:spacing w:before="240"/>
      </w:pPr>
      <w:r>
        <w:t>MSAC noted</w:t>
      </w:r>
      <w:r w:rsidR="00F94446">
        <w:t xml:space="preserve"> that following discussions between the Department and the applicant it was agreed that </w:t>
      </w:r>
      <w:r>
        <w:t xml:space="preserve">the eligible population did not need further limiting in the item descriptor, leaving access to the annual WBMRI </w:t>
      </w:r>
      <w:r w:rsidR="003F341E">
        <w:t xml:space="preserve">as </w:t>
      </w:r>
      <w:r>
        <w:t>a clinical decision between the patient and their clinician. MSAC noted</w:t>
      </w:r>
      <w:r w:rsidR="00F94446">
        <w:t xml:space="preserve"> the advice of </w:t>
      </w:r>
      <w:r w:rsidR="00BE32C6">
        <w:t>the Department</w:t>
      </w:r>
      <w:r>
        <w:t xml:space="preserve"> that guidance on the germline pathogenic </w:t>
      </w:r>
      <w:r>
        <w:rPr>
          <w:i/>
          <w:iCs/>
        </w:rPr>
        <w:t>TP53</w:t>
      </w:r>
      <w:r>
        <w:t xml:space="preserve"> variants </w:t>
      </w:r>
      <w:r w:rsidR="00F94446">
        <w:t xml:space="preserve">could </w:t>
      </w:r>
      <w:r>
        <w:t>be provided in an explanatory note.</w:t>
      </w:r>
    </w:p>
    <w:p w14:paraId="41AEA9F5" w14:textId="35A0878A" w:rsidR="00A07EA9" w:rsidRDefault="00A07EA9" w:rsidP="00A07EA9">
      <w:r>
        <w:t xml:space="preserve">MSAC noted that all consultation feedback received was supportive of the </w:t>
      </w:r>
      <w:r w:rsidR="00BE32C6">
        <w:t>application</w:t>
      </w:r>
      <w:r>
        <w:t>. MSAC noted that some consultation feedback suggest</w:t>
      </w:r>
      <w:r w:rsidR="00CF51CE">
        <w:t>ed</w:t>
      </w:r>
      <w:r>
        <w:t xml:space="preserve"> that the </w:t>
      </w:r>
      <w:r w:rsidRPr="00811019">
        <w:t xml:space="preserve">application could include some other populations with </w:t>
      </w:r>
      <w:r>
        <w:t>other h</w:t>
      </w:r>
      <w:r w:rsidRPr="002738FE">
        <w:t xml:space="preserve">eritable cancer risk syndromes </w:t>
      </w:r>
      <w:r w:rsidR="00F171B7">
        <w:t xml:space="preserve">that </w:t>
      </w:r>
      <w:r>
        <w:t>result in</w:t>
      </w:r>
      <w:r w:rsidRPr="002738FE">
        <w:t xml:space="preserve"> multi-organ cancer risk</w:t>
      </w:r>
      <w:r>
        <w:t xml:space="preserve">. </w:t>
      </w:r>
      <w:proofErr w:type="gramStart"/>
      <w:r>
        <w:t>However</w:t>
      </w:r>
      <w:proofErr w:type="gramEnd"/>
      <w:r>
        <w:t xml:space="preserve"> MSAC noted the applicant’s pre-MSAC response advising that </w:t>
      </w:r>
      <w:r w:rsidRPr="00811019">
        <w:t>the evidence for other populations is even more limited</w:t>
      </w:r>
      <w:r w:rsidR="00F171B7">
        <w:t xml:space="preserve"> </w:t>
      </w:r>
      <w:r w:rsidR="00F171B7" w:rsidRPr="00B17686">
        <w:t xml:space="preserve">than it is for </w:t>
      </w:r>
      <w:r w:rsidR="00F171B7" w:rsidRPr="00494BA6">
        <w:rPr>
          <w:lang w:val="en-US"/>
        </w:rPr>
        <w:t>h</w:t>
      </w:r>
      <w:r w:rsidR="00F171B7" w:rsidRPr="00494BA6">
        <w:rPr>
          <w:i/>
          <w:iCs/>
          <w:lang w:val="en-US"/>
        </w:rPr>
        <w:t>TP53</w:t>
      </w:r>
      <w:r w:rsidR="00F171B7" w:rsidRPr="00494BA6">
        <w:rPr>
          <w:lang w:val="en-US"/>
        </w:rPr>
        <w:t>rc syndrome</w:t>
      </w:r>
      <w:r>
        <w:t>. MSAC noted that</w:t>
      </w:r>
      <w:r w:rsidR="00BE32C6">
        <w:t>,</w:t>
      </w:r>
      <w:r>
        <w:t xml:space="preserve"> g</w:t>
      </w:r>
      <w:r w:rsidRPr="006563BC">
        <w:t xml:space="preserve">iven the rapid evolution in gene technology with earlier identification of rare genetic conditions, the </w:t>
      </w:r>
      <w:r w:rsidRPr="006563BC">
        <w:lastRenderedPageBreak/>
        <w:t xml:space="preserve">Department expects to receive more applications </w:t>
      </w:r>
      <w:r w:rsidR="00EC75EE">
        <w:t xml:space="preserve">to MSAC </w:t>
      </w:r>
      <w:r w:rsidRPr="006563BC">
        <w:t xml:space="preserve">for similar small patient populations with </w:t>
      </w:r>
      <w:r w:rsidR="007A287C">
        <w:t xml:space="preserve">other </w:t>
      </w:r>
      <w:r w:rsidR="004F36FB">
        <w:t xml:space="preserve">heritable cancer syndromes </w:t>
      </w:r>
      <w:r w:rsidR="007A287C">
        <w:t>that confer</w:t>
      </w:r>
      <w:r w:rsidR="004F36FB">
        <w:t xml:space="preserve"> </w:t>
      </w:r>
      <w:r w:rsidRPr="006563BC">
        <w:t xml:space="preserve">a high </w:t>
      </w:r>
      <w:r w:rsidR="004F36FB">
        <w:t xml:space="preserve">lifetime risk for cancer, with </w:t>
      </w:r>
      <w:r w:rsidRPr="006563BC">
        <w:t xml:space="preserve">clinical need for diagnostic services but </w:t>
      </w:r>
      <w:r w:rsidR="004F36FB">
        <w:t xml:space="preserve">may </w:t>
      </w:r>
      <w:r w:rsidRPr="006563BC">
        <w:t xml:space="preserve">not necessarily </w:t>
      </w:r>
      <w:r w:rsidR="004F36FB">
        <w:t xml:space="preserve">have </w:t>
      </w:r>
      <w:r w:rsidRPr="006563BC">
        <w:t>the strength of research data to support these services.</w:t>
      </w:r>
    </w:p>
    <w:p w14:paraId="55A0FADB" w14:textId="672D46C2" w:rsidR="00F86F7B" w:rsidRDefault="00C6400E" w:rsidP="00C6400E">
      <w:r>
        <w:t>MSAC noted that MRI has been previously recognised as safe and</w:t>
      </w:r>
      <w:r w:rsidR="00C1651C">
        <w:t xml:space="preserve"> effective and</w:t>
      </w:r>
      <w:r>
        <w:t xml:space="preserve"> </w:t>
      </w:r>
      <w:r w:rsidR="00C1651C">
        <w:t xml:space="preserve">is </w:t>
      </w:r>
      <w:r>
        <w:t>acceptable</w:t>
      </w:r>
      <w:r w:rsidR="00F94446">
        <w:t xml:space="preserve"> </w:t>
      </w:r>
      <w:r w:rsidR="00EC75EE">
        <w:t>for</w:t>
      </w:r>
      <w:r w:rsidR="00F94446">
        <w:t xml:space="preserve"> the defined population wh</w:t>
      </w:r>
      <w:r w:rsidR="00A07EA9">
        <w:t>o</w:t>
      </w:r>
      <w:r w:rsidR="00F94446">
        <w:t xml:space="preserve"> </w:t>
      </w:r>
      <w:r w:rsidR="00F94446" w:rsidRPr="00F94446">
        <w:t xml:space="preserve">are </w:t>
      </w:r>
      <w:r w:rsidR="00A07EA9">
        <w:t xml:space="preserve">at an increased </w:t>
      </w:r>
      <w:r w:rsidR="00F94446" w:rsidRPr="00F94446">
        <w:t>risk of developing post</w:t>
      </w:r>
      <w:r w:rsidR="00F86F7B">
        <w:t>-</w:t>
      </w:r>
      <w:r w:rsidR="00F94446" w:rsidRPr="00F94446">
        <w:t>radi</w:t>
      </w:r>
      <w:r w:rsidR="00A07EA9">
        <w:t>ation</w:t>
      </w:r>
      <w:r w:rsidR="00F94446" w:rsidRPr="00F94446">
        <w:t xml:space="preserve"> malignancy</w:t>
      </w:r>
      <w:r w:rsidR="00A07EA9">
        <w:t xml:space="preserve"> (</w:t>
      </w:r>
      <w:proofErr w:type="gramStart"/>
      <w:r w:rsidR="00A07EA9">
        <w:t>e.g.</w:t>
      </w:r>
      <w:proofErr w:type="gramEnd"/>
      <w:r w:rsidR="00A07EA9">
        <w:t xml:space="preserve"> as with computed tomography)</w:t>
      </w:r>
      <w:r>
        <w:t>.</w:t>
      </w:r>
      <w:r w:rsidR="00F94446">
        <w:t xml:space="preserve"> MSAC considered the concern raise</w:t>
      </w:r>
      <w:r w:rsidR="00A07EA9">
        <w:t>d</w:t>
      </w:r>
      <w:r w:rsidR="00F94446">
        <w:t xml:space="preserve"> by ESC </w:t>
      </w:r>
      <w:r w:rsidR="00A07EA9">
        <w:t xml:space="preserve">that the </w:t>
      </w:r>
      <w:r w:rsidR="00F94446">
        <w:t xml:space="preserve">possible routine use of </w:t>
      </w:r>
      <w:r w:rsidR="00A07EA9">
        <w:t xml:space="preserve">gadolinium as a </w:t>
      </w:r>
      <w:r w:rsidR="00F94446">
        <w:t xml:space="preserve">contrast agent with WBMRI may lead to </w:t>
      </w:r>
      <w:r w:rsidR="00F94446" w:rsidRPr="00F94446">
        <w:t>long-term gadolinium deposition in the brain</w:t>
      </w:r>
      <w:r w:rsidR="00A01794">
        <w:rPr>
          <w:rStyle w:val="FootnoteReference"/>
          <w:rFonts w:eastAsia="Calibri" w:cs="Times New Roman"/>
          <w:iCs/>
        </w:rPr>
        <w:footnoteReference w:id="2"/>
      </w:r>
      <w:r w:rsidR="00A01794">
        <w:t xml:space="preserve"> </w:t>
      </w:r>
      <w:r w:rsidR="00A01794">
        <w:rPr>
          <w:rStyle w:val="FootnoteReference"/>
          <w:rFonts w:eastAsia="Calibri" w:cs="Times New Roman"/>
          <w:iCs/>
        </w:rPr>
        <w:footnoteReference w:id="3"/>
      </w:r>
      <w:r w:rsidR="00F94446">
        <w:t xml:space="preserve"> and</w:t>
      </w:r>
      <w:r w:rsidR="00F94446" w:rsidRPr="00F94446">
        <w:t xml:space="preserve"> possible adverse effects in patients with acute kidney injury</w:t>
      </w:r>
      <w:r w:rsidR="00A01794">
        <w:rPr>
          <w:rStyle w:val="FootnoteReference"/>
          <w:rFonts w:eastAsia="Calibri" w:cs="Times New Roman"/>
          <w:iCs/>
        </w:rPr>
        <w:footnoteReference w:id="4"/>
      </w:r>
      <w:r w:rsidR="00F94446">
        <w:t xml:space="preserve">. However, MSAC noted that contrast is not typically used for </w:t>
      </w:r>
      <w:r w:rsidR="00A07EA9">
        <w:t xml:space="preserve">WBMRI for </w:t>
      </w:r>
      <w:r w:rsidR="00F94446">
        <w:t>surveillance</w:t>
      </w:r>
      <w:r w:rsidR="00A07EA9">
        <w:t xml:space="preserve"> purposes</w:t>
      </w:r>
      <w:r w:rsidR="00F94446">
        <w:t>.</w:t>
      </w:r>
    </w:p>
    <w:p w14:paraId="6EE591C5" w14:textId="5400A17E" w:rsidR="008B1FC4" w:rsidRDefault="008B1FC4" w:rsidP="00C6400E">
      <w:r>
        <w:t xml:space="preserve">MSAC considered the implications of false positives, such as anxiety and depression from screening, and possible associated costs. However, it was noted that because these patients are at such a high risk of cancer, </w:t>
      </w:r>
      <w:r w:rsidR="00DB1BE9">
        <w:t>the psychological impact of a false positive diagnosis appears to be different</w:t>
      </w:r>
      <w:r w:rsidR="00DB1BE9" w:rsidDel="00DB1BE9">
        <w:t xml:space="preserve"> </w:t>
      </w:r>
      <w:r>
        <w:t xml:space="preserve">compared to people who have a level of risk aligned with the general population. </w:t>
      </w:r>
      <w:r w:rsidR="00DB1BE9">
        <w:t xml:space="preserve">For example, </w:t>
      </w:r>
      <w:r>
        <w:t>MSAC noted that the pre-MSAC response stated that there is evidence cited from the SMOC+ study that</w:t>
      </w:r>
      <w:r w:rsidR="00B71081">
        <w:t xml:space="preserve"> there is</w:t>
      </w:r>
      <w:r>
        <w:t xml:space="preserve"> no observed </w:t>
      </w:r>
      <w:r w:rsidR="00DB1BE9">
        <w:t xml:space="preserve">impact </w:t>
      </w:r>
      <w:r>
        <w:t xml:space="preserve">on </w:t>
      </w:r>
      <w:r w:rsidR="00EC75EE">
        <w:t xml:space="preserve">the </w:t>
      </w:r>
      <w:r>
        <w:t>Anxiety and Depression Score in individuals undergoing annual WBMRI over four years.</w:t>
      </w:r>
    </w:p>
    <w:p w14:paraId="456A68DE" w14:textId="2BE06884" w:rsidR="00E137FA" w:rsidRDefault="00104549" w:rsidP="00C6400E">
      <w:r>
        <w:t>MSAC noted that the key studies o</w:t>
      </w:r>
      <w:r w:rsidR="00EB6A24">
        <w:t xml:space="preserve">n </w:t>
      </w:r>
      <w:r>
        <w:t>the effectiveness of WBMRI</w:t>
      </w:r>
      <w:r w:rsidR="00E137FA">
        <w:t xml:space="preserve"> in detecting cancers in the defined population were the Caron (2017) </w:t>
      </w:r>
      <w:r w:rsidR="00E137FA">
        <w:rPr>
          <w:rFonts w:eastAsia="Calibri" w:cs="Times New Roman"/>
          <w:iCs/>
        </w:rPr>
        <w:t>LIFSCREEN randomised controlled trial (RCT)</w:t>
      </w:r>
      <w:r w:rsidR="00E137FA" w:rsidRPr="00F75890">
        <w:rPr>
          <w:rStyle w:val="FootnoteReference"/>
          <w:rFonts w:eastAsia="Calibri" w:cs="Times New Roman"/>
          <w:iCs/>
        </w:rPr>
        <w:t xml:space="preserve"> </w:t>
      </w:r>
      <w:r w:rsidR="00E137FA">
        <w:rPr>
          <w:rStyle w:val="FootnoteReference"/>
          <w:rFonts w:eastAsia="Calibri" w:cs="Times New Roman"/>
          <w:iCs/>
        </w:rPr>
        <w:footnoteReference w:id="5"/>
      </w:r>
      <w:r w:rsidR="00E137FA">
        <w:rPr>
          <w:rFonts w:eastAsia="Calibri" w:cs="Times New Roman"/>
          <w:iCs/>
        </w:rPr>
        <w:t>; the Villani (2011)</w:t>
      </w:r>
      <w:r w:rsidR="00E137FA" w:rsidRPr="00F75890">
        <w:rPr>
          <w:rStyle w:val="FootnoteReference"/>
          <w:rFonts w:eastAsia="Calibri" w:cs="Times New Roman"/>
          <w:iCs/>
        </w:rPr>
        <w:t xml:space="preserve"> </w:t>
      </w:r>
      <w:r w:rsidR="00E137FA">
        <w:rPr>
          <w:rStyle w:val="FootnoteReference"/>
          <w:rFonts w:eastAsia="Calibri" w:cs="Times New Roman"/>
          <w:iCs/>
        </w:rPr>
        <w:footnoteReference w:id="6"/>
      </w:r>
      <w:r w:rsidR="00E137FA">
        <w:rPr>
          <w:rFonts w:eastAsia="Calibri" w:cs="Times New Roman"/>
          <w:iCs/>
        </w:rPr>
        <w:t xml:space="preserve"> and Villani (2016)</w:t>
      </w:r>
      <w:r w:rsidR="00E137FA" w:rsidRPr="00F75890">
        <w:rPr>
          <w:rStyle w:val="FootnoteReference"/>
          <w:rFonts w:eastAsia="Calibri" w:cs="Times New Roman"/>
          <w:iCs/>
        </w:rPr>
        <w:t xml:space="preserve"> </w:t>
      </w:r>
      <w:r w:rsidR="00E137FA">
        <w:rPr>
          <w:rStyle w:val="FootnoteReference"/>
          <w:rFonts w:eastAsia="Calibri" w:cs="Times New Roman"/>
          <w:iCs/>
        </w:rPr>
        <w:footnoteReference w:id="7"/>
      </w:r>
      <w:r w:rsidR="00E137FA">
        <w:rPr>
          <w:rFonts w:eastAsia="Calibri" w:cs="Times New Roman"/>
          <w:iCs/>
        </w:rPr>
        <w:t xml:space="preserve"> </w:t>
      </w:r>
      <w:r w:rsidR="00E137FA" w:rsidRPr="0042421D">
        <w:rPr>
          <w:rFonts w:eastAsia="Calibri" w:cs="Times New Roman"/>
          <w:iCs/>
        </w:rPr>
        <w:t xml:space="preserve">observational comparative study </w:t>
      </w:r>
      <w:r w:rsidR="00E137FA">
        <w:rPr>
          <w:rFonts w:eastAsia="Calibri" w:cs="Times New Roman"/>
          <w:iCs/>
        </w:rPr>
        <w:t xml:space="preserve">with </w:t>
      </w:r>
      <w:r w:rsidR="00E137FA" w:rsidRPr="0042421D">
        <w:rPr>
          <w:rFonts w:eastAsia="Calibri" w:cs="Times New Roman"/>
          <w:iCs/>
        </w:rPr>
        <w:t>11 years</w:t>
      </w:r>
      <w:r w:rsidR="00E137FA">
        <w:rPr>
          <w:rFonts w:eastAsia="Calibri" w:cs="Times New Roman"/>
          <w:iCs/>
        </w:rPr>
        <w:t xml:space="preserve"> follow up; the </w:t>
      </w:r>
      <w:r w:rsidR="00E137FA" w:rsidRPr="00B20894">
        <w:rPr>
          <w:rFonts w:eastAsia="Calibri" w:cs="Times New Roman"/>
          <w:iCs/>
        </w:rPr>
        <w:t>Surveillance study in Multi-Organ Cancers (SMOC</w:t>
      </w:r>
      <w:r w:rsidR="00E137FA">
        <w:rPr>
          <w:rFonts w:eastAsia="Calibri" w:cs="Times New Roman"/>
          <w:iCs/>
        </w:rPr>
        <w:t>) reported by SMOC+</w:t>
      </w:r>
      <w:r w:rsidR="00E137FA">
        <w:rPr>
          <w:rStyle w:val="FootnoteReference"/>
          <w:rFonts w:eastAsia="Calibri" w:cs="Times New Roman"/>
          <w:iCs/>
        </w:rPr>
        <w:footnoteReference w:id="8"/>
      </w:r>
      <w:r w:rsidR="00E137FA">
        <w:rPr>
          <w:rFonts w:eastAsia="Calibri" w:cs="Times New Roman"/>
          <w:iCs/>
        </w:rPr>
        <w:t xml:space="preserve">, </w:t>
      </w:r>
      <w:proofErr w:type="spellStart"/>
      <w:r w:rsidR="00E137FA" w:rsidRPr="00B20894">
        <w:rPr>
          <w:rFonts w:eastAsia="Calibri" w:cs="Times New Roman"/>
          <w:iCs/>
        </w:rPr>
        <w:t>Paixao</w:t>
      </w:r>
      <w:proofErr w:type="spellEnd"/>
      <w:r w:rsidR="00E137FA" w:rsidRPr="00B20894">
        <w:rPr>
          <w:rFonts w:eastAsia="Calibri" w:cs="Times New Roman"/>
          <w:iCs/>
        </w:rPr>
        <w:t xml:space="preserve"> </w:t>
      </w:r>
      <w:r w:rsidR="00E137FA">
        <w:rPr>
          <w:rFonts w:eastAsia="Calibri" w:cs="Times New Roman"/>
          <w:iCs/>
        </w:rPr>
        <w:t>(</w:t>
      </w:r>
      <w:r w:rsidR="00E137FA" w:rsidRPr="00B20894">
        <w:rPr>
          <w:rFonts w:eastAsia="Calibri" w:cs="Times New Roman"/>
          <w:iCs/>
        </w:rPr>
        <w:t>2018</w:t>
      </w:r>
      <w:r w:rsidR="00E137FA">
        <w:rPr>
          <w:rFonts w:eastAsia="Calibri" w:cs="Times New Roman"/>
          <w:iCs/>
        </w:rPr>
        <w:t>)</w:t>
      </w:r>
      <w:r w:rsidR="00E137FA" w:rsidRPr="00F75890">
        <w:rPr>
          <w:rStyle w:val="FootnoteReference"/>
          <w:rFonts w:eastAsia="Calibri" w:cs="Times New Roman"/>
          <w:iCs/>
        </w:rPr>
        <w:t xml:space="preserve"> </w:t>
      </w:r>
      <w:r w:rsidR="00E137FA">
        <w:rPr>
          <w:rStyle w:val="FootnoteReference"/>
          <w:rFonts w:eastAsia="Calibri" w:cs="Times New Roman"/>
          <w:iCs/>
        </w:rPr>
        <w:footnoteReference w:id="9"/>
      </w:r>
      <w:r w:rsidR="00E137FA">
        <w:rPr>
          <w:rFonts w:eastAsia="Calibri" w:cs="Times New Roman"/>
          <w:iCs/>
        </w:rPr>
        <w:t xml:space="preserve"> and </w:t>
      </w:r>
      <w:r w:rsidR="00E137FA" w:rsidRPr="00B20894">
        <w:rPr>
          <w:rFonts w:eastAsia="Calibri" w:cs="Times New Roman"/>
          <w:iCs/>
        </w:rPr>
        <w:t xml:space="preserve">O’Neil </w:t>
      </w:r>
      <w:r w:rsidR="00E137FA">
        <w:rPr>
          <w:rFonts w:eastAsia="Calibri" w:cs="Times New Roman"/>
          <w:iCs/>
        </w:rPr>
        <w:t>(</w:t>
      </w:r>
      <w:r w:rsidR="00E137FA" w:rsidRPr="00B20894">
        <w:rPr>
          <w:rFonts w:eastAsia="Calibri" w:cs="Times New Roman"/>
          <w:iCs/>
        </w:rPr>
        <w:t>2018</w:t>
      </w:r>
      <w:r w:rsidR="00E137FA">
        <w:rPr>
          <w:rFonts w:eastAsia="Calibri" w:cs="Times New Roman"/>
          <w:iCs/>
        </w:rPr>
        <w:t>)</w:t>
      </w:r>
      <w:r w:rsidR="00E137FA" w:rsidRPr="00F75890">
        <w:rPr>
          <w:rStyle w:val="FootnoteReference"/>
          <w:rFonts w:eastAsia="Calibri" w:cs="Times New Roman"/>
          <w:iCs/>
        </w:rPr>
        <w:t xml:space="preserve"> </w:t>
      </w:r>
      <w:r w:rsidR="00E137FA">
        <w:rPr>
          <w:rStyle w:val="FootnoteReference"/>
          <w:rFonts w:eastAsia="Calibri" w:cs="Times New Roman"/>
          <w:iCs/>
        </w:rPr>
        <w:footnoteReference w:id="10"/>
      </w:r>
      <w:r w:rsidR="00E137FA">
        <w:rPr>
          <w:rFonts w:eastAsia="Calibri" w:cs="Times New Roman"/>
          <w:iCs/>
        </w:rPr>
        <w:t>, and the</w:t>
      </w:r>
      <w:r w:rsidR="00E137FA" w:rsidRPr="00B20894">
        <w:t xml:space="preserve"> </w:t>
      </w:r>
      <w:r w:rsidR="00E137FA" w:rsidRPr="00B20894">
        <w:rPr>
          <w:rFonts w:eastAsia="Calibri" w:cs="Times New Roman"/>
          <w:iCs/>
        </w:rPr>
        <w:t xml:space="preserve">Ballinger </w:t>
      </w:r>
      <w:r w:rsidR="00E137FA">
        <w:rPr>
          <w:rFonts w:eastAsia="Calibri" w:cs="Times New Roman"/>
          <w:iCs/>
        </w:rPr>
        <w:t>(</w:t>
      </w:r>
      <w:r w:rsidR="00E137FA" w:rsidRPr="00B20894">
        <w:rPr>
          <w:rFonts w:eastAsia="Calibri" w:cs="Times New Roman"/>
          <w:iCs/>
        </w:rPr>
        <w:t>2017</w:t>
      </w:r>
      <w:r w:rsidR="00E137FA">
        <w:rPr>
          <w:rFonts w:eastAsia="Calibri" w:cs="Times New Roman"/>
          <w:iCs/>
        </w:rPr>
        <w:t>)</w:t>
      </w:r>
      <w:r w:rsidR="00E137FA">
        <w:rPr>
          <w:rStyle w:val="FootnoteReference"/>
          <w:rFonts w:eastAsia="Calibri" w:cs="Times New Roman"/>
          <w:iCs/>
        </w:rPr>
        <w:footnoteReference w:id="11"/>
      </w:r>
      <w:r w:rsidR="00E137FA">
        <w:rPr>
          <w:rFonts w:eastAsia="Calibri" w:cs="Times New Roman"/>
          <w:iCs/>
        </w:rPr>
        <w:t xml:space="preserve"> </w:t>
      </w:r>
      <w:r w:rsidR="00E137FA" w:rsidRPr="00B20894">
        <w:rPr>
          <w:rFonts w:eastAsia="Calibri" w:cs="Times New Roman"/>
          <w:iCs/>
        </w:rPr>
        <w:t>meta-analysis</w:t>
      </w:r>
      <w:r w:rsidR="00E137FA">
        <w:rPr>
          <w:rFonts w:eastAsia="Calibri" w:cs="Times New Roman"/>
          <w:iCs/>
        </w:rPr>
        <w:t>.</w:t>
      </w:r>
    </w:p>
    <w:p w14:paraId="038B0E42" w14:textId="6A7C7C1E" w:rsidR="00E137FA" w:rsidRDefault="00E137FA" w:rsidP="00C6400E">
      <w:r>
        <w:t xml:space="preserve">MSAC noted ESC’s observations that the </w:t>
      </w:r>
      <w:r w:rsidR="00A01794">
        <w:t xml:space="preserve">only prospective RCT, </w:t>
      </w:r>
      <w:r>
        <w:t>LIFSCREEN</w:t>
      </w:r>
      <w:r w:rsidR="00A01794">
        <w:t xml:space="preserve">, had flawed </w:t>
      </w:r>
      <w:r>
        <w:t>data</w:t>
      </w:r>
      <w:r w:rsidR="00EB6A24">
        <w:t xml:space="preserve"> </w:t>
      </w:r>
      <w:r w:rsidR="00DB1BE9">
        <w:t>which have only been presented at a conference, and which have not undergone peer review for publication</w:t>
      </w:r>
      <w:r w:rsidR="00A01794">
        <w:t>. MSAC also noted that the study</w:t>
      </w:r>
      <w:r w:rsidR="00EB6A24">
        <w:t xml:space="preserve"> was considered to have a </w:t>
      </w:r>
      <w:r w:rsidRPr="00E137FA">
        <w:t>high risk of bias (due to neither patients nor investigators being blinded to surveillance allocatio</w:t>
      </w:r>
      <w:r w:rsidR="00EB6A24">
        <w:t>n</w:t>
      </w:r>
      <w:r w:rsidR="000B410E">
        <w:t>;</w:t>
      </w:r>
      <w:r w:rsidRPr="00E137FA">
        <w:t xml:space="preserve"> not all</w:t>
      </w:r>
      <w:r w:rsidR="00EB6A24">
        <w:t xml:space="preserve"> relevant </w:t>
      </w:r>
      <w:r w:rsidRPr="00E137FA">
        <w:lastRenderedPageBreak/>
        <w:t xml:space="preserve">outcomes </w:t>
      </w:r>
      <w:r w:rsidR="00EB6A24">
        <w:t>being reported</w:t>
      </w:r>
      <w:r w:rsidR="000B410E">
        <w:t>;</w:t>
      </w:r>
      <w:r w:rsidR="00EB6A24">
        <w:t xml:space="preserve"> and </w:t>
      </w:r>
      <w:r w:rsidRPr="00E137FA">
        <w:t>the relatively small sample size and short follow-up</w:t>
      </w:r>
      <w:r w:rsidR="00EB6A24">
        <w:t>)</w:t>
      </w:r>
      <w:r>
        <w:t xml:space="preserve"> and was l</w:t>
      </w:r>
      <w:r w:rsidRPr="00E137FA">
        <w:t xml:space="preserve">ikely to be underpowered to detect a difference in </w:t>
      </w:r>
      <w:r w:rsidR="00F730C4">
        <w:t>mortality</w:t>
      </w:r>
      <w:r w:rsidRPr="00E137FA">
        <w:t>.</w:t>
      </w:r>
    </w:p>
    <w:p w14:paraId="7BFF83B2" w14:textId="1AF6FCCA" w:rsidR="008B4DC6" w:rsidRDefault="00F86F7B" w:rsidP="00C6400E">
      <w:r>
        <w:t xml:space="preserve">In </w:t>
      </w:r>
      <w:r w:rsidR="00EB6A24">
        <w:t>summarising</w:t>
      </w:r>
      <w:r>
        <w:t xml:space="preserve"> the evidence base, </w:t>
      </w:r>
      <w:r w:rsidR="00C6400E">
        <w:t xml:space="preserve">MSAC </w:t>
      </w:r>
      <w:r>
        <w:t xml:space="preserve">noted </w:t>
      </w:r>
      <w:r w:rsidR="00C6400E">
        <w:t xml:space="preserve">that the </w:t>
      </w:r>
      <w:r w:rsidR="00EB6A24">
        <w:t xml:space="preserve">clinical trial </w:t>
      </w:r>
      <w:r w:rsidR="00C6400E">
        <w:t>data</w:t>
      </w:r>
      <w:r>
        <w:t xml:space="preserve"> </w:t>
      </w:r>
      <w:r w:rsidR="00A426F9">
        <w:t>we</w:t>
      </w:r>
      <w:r w:rsidR="00C6400E">
        <w:t xml:space="preserve">re limited and were relatively low quality. </w:t>
      </w:r>
      <w:r w:rsidR="008B4DC6">
        <w:t>MSAC noted that t</w:t>
      </w:r>
      <w:r w:rsidR="00C6400E">
        <w:t xml:space="preserve">he overall findings </w:t>
      </w:r>
      <w:r w:rsidR="008B4DC6">
        <w:t xml:space="preserve">of this limited evidence base </w:t>
      </w:r>
      <w:r w:rsidR="00C6400E">
        <w:t>were that</w:t>
      </w:r>
      <w:r w:rsidR="00DE622B">
        <w:t>:</w:t>
      </w:r>
    </w:p>
    <w:p w14:paraId="27329832" w14:textId="6455094A" w:rsidR="008B4DC6" w:rsidRDefault="00C6400E" w:rsidP="00411DE4">
      <w:pPr>
        <w:pStyle w:val="ListParagraph"/>
        <w:numPr>
          <w:ilvl w:val="0"/>
          <w:numId w:val="49"/>
        </w:numPr>
      </w:pPr>
      <w:r>
        <w:t>many patients in this cohort will comply with complex time-consuming surveillance protocols, including WBMRI</w:t>
      </w:r>
    </w:p>
    <w:p w14:paraId="33CF2FB8" w14:textId="2A1EAF31" w:rsidR="008B4DC6" w:rsidRDefault="00C6400E" w:rsidP="00411DE4">
      <w:pPr>
        <w:pStyle w:val="ListParagraph"/>
        <w:numPr>
          <w:ilvl w:val="0"/>
          <w:numId w:val="49"/>
        </w:numPr>
      </w:pPr>
      <w:r>
        <w:t xml:space="preserve">WBMRI will </w:t>
      </w:r>
      <w:r w:rsidR="00DE622B">
        <w:t xml:space="preserve">likely </w:t>
      </w:r>
      <w:r>
        <w:t xml:space="preserve">detect additional malignancies (earlier) in this </w:t>
      </w:r>
      <w:proofErr w:type="gramStart"/>
      <w:r>
        <w:t>cohort</w:t>
      </w:r>
      <w:r w:rsidR="00DE622B">
        <w:t xml:space="preserve"> </w:t>
      </w:r>
      <w:r>
        <w:t xml:space="preserve"> but</w:t>
      </w:r>
      <w:proofErr w:type="gramEnd"/>
      <w:r>
        <w:t xml:space="preserve"> cannot replace dedicated brain MRI or dedicated breast MRI</w:t>
      </w:r>
    </w:p>
    <w:p w14:paraId="3D38CD88" w14:textId="36038CFD" w:rsidR="00C6400E" w:rsidRDefault="00C6400E" w:rsidP="00411DE4">
      <w:pPr>
        <w:pStyle w:val="ListParagraph"/>
        <w:numPr>
          <w:ilvl w:val="0"/>
          <w:numId w:val="49"/>
        </w:numPr>
      </w:pPr>
      <w:r>
        <w:t>including WBMRI as part of surveillance improves patient “satisfaction” (</w:t>
      </w:r>
      <w:r w:rsidR="00F86F7B">
        <w:t>i.e.</w:t>
      </w:r>
      <w:r w:rsidR="00A426F9">
        <w:t>,</w:t>
      </w:r>
      <w:r w:rsidR="00F86F7B">
        <w:t xml:space="preserve"> there is a </w:t>
      </w:r>
      <w:r>
        <w:t>beneficial psychological impact</w:t>
      </w:r>
      <w:r w:rsidR="00DE622B">
        <w:t xml:space="preserve"> due to the value of knowing</w:t>
      </w:r>
      <w:r>
        <w:t>).</w:t>
      </w:r>
    </w:p>
    <w:p w14:paraId="29C7D1C4" w14:textId="4C5327E2" w:rsidR="0093053B" w:rsidRDefault="00811019" w:rsidP="00C6400E">
      <w:proofErr w:type="gramStart"/>
      <w:r>
        <w:t>However</w:t>
      </w:r>
      <w:proofErr w:type="gramEnd"/>
      <w:r>
        <w:t xml:space="preserve"> MSAC noted that </w:t>
      </w:r>
      <w:r w:rsidRPr="00811019">
        <w:t>due to the rarity of this condition there is, and likely always will be, a limited evidence base to support</w:t>
      </w:r>
      <w:r>
        <w:t xml:space="preserve"> WBMRI</w:t>
      </w:r>
      <w:r w:rsidRPr="00811019">
        <w:t xml:space="preserve"> screening recommendations</w:t>
      </w:r>
      <w:r>
        <w:t xml:space="preserve"> for the defined population. </w:t>
      </w:r>
      <w:r w:rsidR="00C6400E">
        <w:t xml:space="preserve">MSAC noted that despite </w:t>
      </w:r>
      <w:r>
        <w:t xml:space="preserve">these </w:t>
      </w:r>
      <w:r w:rsidR="00C6400E">
        <w:t>limitations in the evidence, the addition of WBMRI to other surveillance techniques for Li-Fraumeni syndrome (LFS) has been recommended in domestic and international management guidelines</w:t>
      </w:r>
      <w:r w:rsidR="00FB081D">
        <w:rPr>
          <w:rStyle w:val="FootnoteReference"/>
        </w:rPr>
        <w:footnoteReference w:id="12"/>
      </w:r>
      <w:r w:rsidR="00FB081D">
        <w:rPr>
          <w:rStyle w:val="FootnoteReference"/>
        </w:rPr>
        <w:footnoteReference w:id="13"/>
      </w:r>
      <w:r w:rsidR="00FB081D">
        <w:rPr>
          <w:rStyle w:val="FootnoteReference"/>
        </w:rPr>
        <w:footnoteReference w:id="14"/>
      </w:r>
      <w:r w:rsidR="00FB081D">
        <w:rPr>
          <w:rStyle w:val="FootnoteReference"/>
        </w:rPr>
        <w:footnoteReference w:id="15"/>
      </w:r>
      <w:r w:rsidR="00C6400E">
        <w:t xml:space="preserve">, including the </w:t>
      </w:r>
      <w:proofErr w:type="spellStart"/>
      <w:r w:rsidR="00C6400E">
        <w:t>eviQ</w:t>
      </w:r>
      <w:proofErr w:type="spellEnd"/>
      <w:r w:rsidR="00C6400E">
        <w:t xml:space="preserve"> risk management guidelines (Australia)</w:t>
      </w:r>
      <w:r w:rsidR="0093053B">
        <w:rPr>
          <w:rStyle w:val="FootnoteReference"/>
        </w:rPr>
        <w:footnoteReference w:id="16"/>
      </w:r>
      <w:r w:rsidR="00C6400E">
        <w:t xml:space="preserve"> and the NCCN guidelines (USA)</w:t>
      </w:r>
      <w:r w:rsidR="0093053B">
        <w:rPr>
          <w:rStyle w:val="FootnoteReference"/>
        </w:rPr>
        <w:footnoteReference w:id="17"/>
      </w:r>
      <w:r w:rsidR="00C6400E">
        <w:t>.</w:t>
      </w:r>
      <w:r w:rsidR="00DE622B" w:rsidRPr="00DE622B">
        <w:t xml:space="preserve"> </w:t>
      </w:r>
      <w:r w:rsidR="00DE622B">
        <w:t xml:space="preserve">MSAC concluded that WBMRI has equivalent or superior diagnostic accuracy compared to the current Australian surveillance protocol for patients with </w:t>
      </w:r>
      <w:r w:rsidR="00DE622B" w:rsidRPr="00A426F9">
        <w:rPr>
          <w:i/>
          <w:iCs/>
        </w:rPr>
        <w:t>TP53</w:t>
      </w:r>
      <w:r w:rsidR="00DE622B">
        <w:t>-related cancers.</w:t>
      </w:r>
    </w:p>
    <w:p w14:paraId="6531918D" w14:textId="7633B61A" w:rsidR="00F86F7B" w:rsidRDefault="00C6400E" w:rsidP="00C6400E">
      <w:r>
        <w:t>MSAC noted that for the economic evaluation</w:t>
      </w:r>
      <w:r w:rsidR="00F86F7B">
        <w:t>,</w:t>
      </w:r>
      <w:r w:rsidR="00C729FC">
        <w:t xml:space="preserve"> </w:t>
      </w:r>
      <w:r>
        <w:t xml:space="preserve">due to the </w:t>
      </w:r>
      <w:r w:rsidR="00F86F7B">
        <w:t xml:space="preserve">acknowledged </w:t>
      </w:r>
      <w:r>
        <w:t>paucity of data</w:t>
      </w:r>
      <w:r w:rsidR="00C729FC">
        <w:t>,</w:t>
      </w:r>
      <w:r w:rsidR="006D0B89">
        <w:t xml:space="preserve"> ESC agreed that</w:t>
      </w:r>
      <w:r w:rsidR="00EA69F6">
        <w:t xml:space="preserve"> </w:t>
      </w:r>
      <w:r w:rsidR="00EA69F6">
        <w:rPr>
          <w:rFonts w:eastAsia="Calibri" w:cs="Times New Roman"/>
          <w:iCs/>
        </w:rPr>
        <w:t xml:space="preserve">a cost per life years </w:t>
      </w:r>
      <w:r w:rsidR="0093053B">
        <w:rPr>
          <w:rFonts w:eastAsia="Calibri" w:cs="Times New Roman"/>
          <w:iCs/>
        </w:rPr>
        <w:t>gained</w:t>
      </w:r>
      <w:r w:rsidR="00EA69F6">
        <w:rPr>
          <w:rFonts w:eastAsia="Calibri" w:cs="Times New Roman"/>
          <w:iCs/>
        </w:rPr>
        <w:t xml:space="preserve"> approach</w:t>
      </w:r>
      <w:r w:rsidR="00EA69F6">
        <w:t xml:space="preserve"> </w:t>
      </w:r>
      <w:r w:rsidR="002A563E">
        <w:t xml:space="preserve">was not viable and </w:t>
      </w:r>
      <w:r w:rsidR="006C2301">
        <w:t>agreed with the DCAR’s approach of adopting a</w:t>
      </w:r>
      <w:r w:rsidR="00A426F9">
        <w:t xml:space="preserve"> </w:t>
      </w:r>
      <w:r w:rsidR="00EA69F6">
        <w:t>cost</w:t>
      </w:r>
      <w:r w:rsidR="00EC75EE">
        <w:t>-</w:t>
      </w:r>
      <w:r w:rsidR="00EA69F6">
        <w:t xml:space="preserve">effectiveness </w:t>
      </w:r>
      <w:r w:rsidR="00EC75EE">
        <w:t>analysis</w:t>
      </w:r>
      <w:r w:rsidR="006D0B89">
        <w:t xml:space="preserve"> </w:t>
      </w:r>
      <w:r w:rsidR="00EA69F6">
        <w:t>based on diagnostic accuracy outcomes.</w:t>
      </w:r>
      <w:r w:rsidR="002A563E">
        <w:t xml:space="preserve"> </w:t>
      </w:r>
      <w:r>
        <w:t>A one-year time horizon was used</w:t>
      </w:r>
      <w:r w:rsidR="00AC1659">
        <w:t xml:space="preserve"> with the incremental cost-effectiveness ratio (ICER) expressed as</w:t>
      </w:r>
      <w:r w:rsidR="00AC1659" w:rsidRPr="00AC1659">
        <w:t xml:space="preserve"> </w:t>
      </w:r>
      <w:r w:rsidR="00DB1BE9">
        <w:t xml:space="preserve">the </w:t>
      </w:r>
      <w:r w:rsidR="00AC1659">
        <w:t>i</w:t>
      </w:r>
      <w:r w:rsidR="00AC1659" w:rsidRPr="00AC1659">
        <w:t>ncremental cost per (</w:t>
      </w:r>
      <w:proofErr w:type="spellStart"/>
      <w:r w:rsidR="00AC1659" w:rsidRPr="00AC1659">
        <w:t>i</w:t>
      </w:r>
      <w:proofErr w:type="spellEnd"/>
      <w:r w:rsidR="00AC1659" w:rsidRPr="00AC1659">
        <w:t xml:space="preserve">) positive new primary cancers (NPCs) correctly identified, and (ii) negative NPCs </w:t>
      </w:r>
      <w:r w:rsidR="00EC75EE">
        <w:t xml:space="preserve">correctly </w:t>
      </w:r>
      <w:r w:rsidR="00AC1659" w:rsidRPr="00AC1659">
        <w:t>ruled out</w:t>
      </w:r>
      <w:r>
        <w:t>.</w:t>
      </w:r>
    </w:p>
    <w:p w14:paraId="3E58EA41" w14:textId="38DDF257" w:rsidR="002738FE" w:rsidRDefault="002738FE" w:rsidP="00C6400E">
      <w:r>
        <w:t xml:space="preserve">MSAC </w:t>
      </w:r>
      <w:r w:rsidR="00F86F7B">
        <w:t xml:space="preserve">noted </w:t>
      </w:r>
      <w:r>
        <w:t xml:space="preserve">that </w:t>
      </w:r>
      <w:r w:rsidRPr="002738FE">
        <w:t xml:space="preserve">the DCAR reported the results of </w:t>
      </w:r>
      <w:r w:rsidR="00EC75EE">
        <w:t xml:space="preserve">the </w:t>
      </w:r>
      <w:r w:rsidRPr="002738FE">
        <w:t>cost</w:t>
      </w:r>
      <w:r w:rsidR="00263D0D">
        <w:t>-</w:t>
      </w:r>
      <w:r w:rsidRPr="002738FE">
        <w:t>effectiveness analysis based on two data series</w:t>
      </w:r>
      <w:r>
        <w:t xml:space="preserve"> - t</w:t>
      </w:r>
      <w:r w:rsidRPr="002738FE">
        <w:t>he first relied on data as reported by LIFSCREEN</w:t>
      </w:r>
      <w:r w:rsidR="00263D0D">
        <w:t>,</w:t>
      </w:r>
      <w:r>
        <w:t xml:space="preserve"> while the second re-interpreted the LIFSCREEN data to reflect </w:t>
      </w:r>
      <w:r w:rsidRPr="002738FE">
        <w:t>current surveillance protocols in Australia.</w:t>
      </w:r>
      <w:r>
        <w:t xml:space="preserve"> </w:t>
      </w:r>
      <w:r w:rsidR="00E52A62">
        <w:t xml:space="preserve">This second approach used data </w:t>
      </w:r>
      <w:r w:rsidR="00E52A62" w:rsidRPr="00E52A62">
        <w:t xml:space="preserve">only </w:t>
      </w:r>
      <w:r w:rsidR="00E52A62">
        <w:t xml:space="preserve">from </w:t>
      </w:r>
      <w:r w:rsidR="00E52A62" w:rsidRPr="00E52A62">
        <w:t xml:space="preserve">the patients from the </w:t>
      </w:r>
      <w:r w:rsidR="00714C9E" w:rsidRPr="00714C9E">
        <w:t>current Australian protocol plus WBMRI</w:t>
      </w:r>
      <w:r w:rsidR="00714C9E" w:rsidRPr="00714C9E" w:rsidDel="00714C9E">
        <w:rPr>
          <w:rStyle w:val="CommentReference"/>
          <w:sz w:val="22"/>
          <w:szCs w:val="22"/>
        </w:rPr>
        <w:t xml:space="preserve"> </w:t>
      </w:r>
      <w:r w:rsidR="00E52A62" w:rsidRPr="00E52A62">
        <w:t xml:space="preserve">arm of the LIFSCREEN trial </w:t>
      </w:r>
      <w:r w:rsidR="00E52A62">
        <w:t>and estimated cost</w:t>
      </w:r>
      <w:r w:rsidR="00263D0D">
        <w:t>-</w:t>
      </w:r>
      <w:r w:rsidR="00E52A62">
        <w:t xml:space="preserve">effectiveness results assuming this population had been </w:t>
      </w:r>
      <w:r w:rsidR="00E52A62" w:rsidRPr="00E52A62">
        <w:t xml:space="preserve">subjected to </w:t>
      </w:r>
      <w:r w:rsidR="006F1FD7">
        <w:t>both treatment arms (</w:t>
      </w:r>
      <w:r w:rsidR="00C729FC">
        <w:t>the current Australia</w:t>
      </w:r>
      <w:r w:rsidR="00714C9E">
        <w:t>n</w:t>
      </w:r>
      <w:r w:rsidR="00C729FC">
        <w:t xml:space="preserve"> protocol and the </w:t>
      </w:r>
      <w:bookmarkStart w:id="5" w:name="_Hlk111105313"/>
      <w:r w:rsidR="00C729FC">
        <w:t>current Australian protocol plus WBMRI</w:t>
      </w:r>
      <w:bookmarkEnd w:id="5"/>
      <w:r w:rsidR="006F1FD7">
        <w:t>)</w:t>
      </w:r>
      <w:r w:rsidR="00C729FC">
        <w:t xml:space="preserve">. </w:t>
      </w:r>
      <w:r>
        <w:t>MSAC agreed with ESC that results from the second series</w:t>
      </w:r>
      <w:r w:rsidR="00E52A62">
        <w:t>, although not ideal,</w:t>
      </w:r>
      <w:r>
        <w:t xml:space="preserve"> were more applicable</w:t>
      </w:r>
      <w:r w:rsidR="00C729FC">
        <w:t xml:space="preserve"> and informative </w:t>
      </w:r>
      <w:r w:rsidR="00DB1BE9">
        <w:t>for</w:t>
      </w:r>
      <w:r w:rsidR="00C729FC">
        <w:t xml:space="preserve"> the Australian context</w:t>
      </w:r>
      <w:r>
        <w:t>.</w:t>
      </w:r>
    </w:p>
    <w:p w14:paraId="595B20DE" w14:textId="5A276B77" w:rsidR="00C6400E" w:rsidRDefault="00C6400E" w:rsidP="00C6400E">
      <w:r>
        <w:lastRenderedPageBreak/>
        <w:t>MSAC noted that the estimated ICERs for a surveillance program including WBMRI</w:t>
      </w:r>
      <w:r w:rsidR="002738FE">
        <w:t xml:space="preserve"> (based on the second </w:t>
      </w:r>
      <w:r w:rsidR="00F6208B">
        <w:t>data series</w:t>
      </w:r>
      <w:r w:rsidR="002738FE">
        <w:t>)</w:t>
      </w:r>
      <w:r>
        <w:t xml:space="preserve"> were $23,494 per </w:t>
      </w:r>
      <w:r w:rsidR="00AC1659">
        <w:t xml:space="preserve">NPC </w:t>
      </w:r>
      <w:r>
        <w:t>correct</w:t>
      </w:r>
      <w:r w:rsidR="00AC1659">
        <w:t xml:space="preserve">ly </w:t>
      </w:r>
      <w:r>
        <w:t xml:space="preserve">identified and $33,007 per </w:t>
      </w:r>
      <w:r w:rsidR="00AC1659">
        <w:t xml:space="preserve">NPC </w:t>
      </w:r>
      <w:r w:rsidR="00263D0D">
        <w:t xml:space="preserve">correctly </w:t>
      </w:r>
      <w:r w:rsidR="00AC1659">
        <w:t>ruled out</w:t>
      </w:r>
      <w:r>
        <w:t>.</w:t>
      </w:r>
    </w:p>
    <w:p w14:paraId="530D8469" w14:textId="1C31DBA8" w:rsidR="00E52A62" w:rsidRDefault="00E137FA" w:rsidP="00E52A62">
      <w:r>
        <w:t xml:space="preserve">MSAC noted that </w:t>
      </w:r>
      <w:r w:rsidR="00E66E62">
        <w:t xml:space="preserve">no sensitivity analyses were conducted around the costs of WBMRI which </w:t>
      </w:r>
      <w:r w:rsidR="00F86F7B">
        <w:t xml:space="preserve">comprised the </w:t>
      </w:r>
      <w:r w:rsidR="00E66E62">
        <w:t>cost of one WBMRI and costs associated with false positives based on accuracy data from a three</w:t>
      </w:r>
      <w:r w:rsidR="00C729FC">
        <w:t>-</w:t>
      </w:r>
      <w:r w:rsidR="00E66E62">
        <w:t xml:space="preserve">year period. Sensitivity analyses were only conducted around the </w:t>
      </w:r>
      <w:r w:rsidR="00E52A62">
        <w:t xml:space="preserve">baseline </w:t>
      </w:r>
      <w:r w:rsidR="00E66E62">
        <w:t>value of prevalence of cancer in the defined population</w:t>
      </w:r>
      <w:r w:rsidR="00F86F7B">
        <w:t xml:space="preserve">. </w:t>
      </w:r>
      <w:r w:rsidR="00E52A62">
        <w:t xml:space="preserve">MSAC noted that the analyses showed that the results </w:t>
      </w:r>
      <w:r w:rsidR="003E50F0">
        <w:t>we</w:t>
      </w:r>
      <w:r w:rsidR="00E52A62">
        <w:t xml:space="preserve">re sensitive to variations in the prevalence of cancer. </w:t>
      </w:r>
      <w:proofErr w:type="gramStart"/>
      <w:r w:rsidR="00E52A62">
        <w:t>In particular, MSAC</w:t>
      </w:r>
      <w:proofErr w:type="gramEnd"/>
      <w:r w:rsidR="00E52A62" w:rsidRPr="000A19C2">
        <w:rPr>
          <w:rFonts w:eastAsia="Calibri" w:cs="Times New Roman"/>
          <w:iCs/>
        </w:rPr>
        <w:t xml:space="preserve"> noted that a minimum cancer prevalence of 3.57%</w:t>
      </w:r>
      <w:r w:rsidR="00E52A62">
        <w:rPr>
          <w:rFonts w:eastAsia="Calibri" w:cs="Times New Roman"/>
          <w:iCs/>
        </w:rPr>
        <w:t xml:space="preserve"> </w:t>
      </w:r>
      <w:r w:rsidR="00E52A62" w:rsidRPr="000A19C2">
        <w:rPr>
          <w:rFonts w:eastAsia="Calibri" w:cs="Times New Roman"/>
          <w:iCs/>
        </w:rPr>
        <w:t>result</w:t>
      </w:r>
      <w:r w:rsidR="00E52A62">
        <w:rPr>
          <w:rFonts w:eastAsia="Calibri" w:cs="Times New Roman"/>
          <w:iCs/>
        </w:rPr>
        <w:t>ed</w:t>
      </w:r>
      <w:r w:rsidR="00E52A62" w:rsidRPr="000A19C2">
        <w:rPr>
          <w:rFonts w:eastAsia="Calibri" w:cs="Times New Roman"/>
          <w:iCs/>
        </w:rPr>
        <w:t xml:space="preserve"> in</w:t>
      </w:r>
      <w:r w:rsidR="00F6208B">
        <w:rPr>
          <w:rFonts w:eastAsia="Calibri" w:cs="Times New Roman"/>
          <w:iCs/>
        </w:rPr>
        <w:t xml:space="preserve"> an</w:t>
      </w:r>
      <w:r w:rsidR="00E52A62" w:rsidRPr="000A19C2">
        <w:rPr>
          <w:rFonts w:eastAsia="Calibri" w:cs="Times New Roman"/>
          <w:iCs/>
        </w:rPr>
        <w:t xml:space="preserve"> ICER per positive NPC </w:t>
      </w:r>
      <w:r w:rsidR="00263D0D">
        <w:rPr>
          <w:rFonts w:eastAsia="Calibri" w:cs="Times New Roman"/>
          <w:iCs/>
        </w:rPr>
        <w:t xml:space="preserve">correctly </w:t>
      </w:r>
      <w:r w:rsidR="00E52A62" w:rsidRPr="000A19C2">
        <w:rPr>
          <w:rFonts w:eastAsia="Calibri" w:cs="Times New Roman"/>
          <w:iCs/>
        </w:rPr>
        <w:t xml:space="preserve">identified of $38,079 and </w:t>
      </w:r>
      <w:r w:rsidR="00611E12">
        <w:rPr>
          <w:rFonts w:eastAsia="Calibri" w:cs="Times New Roman"/>
          <w:iCs/>
        </w:rPr>
        <w:t xml:space="preserve">an </w:t>
      </w:r>
      <w:r w:rsidR="00E52A62" w:rsidRPr="000A19C2">
        <w:rPr>
          <w:rFonts w:eastAsia="Calibri" w:cs="Times New Roman"/>
          <w:iCs/>
        </w:rPr>
        <w:t xml:space="preserve">ICER per negative NPC </w:t>
      </w:r>
      <w:r w:rsidR="00263D0D">
        <w:rPr>
          <w:rFonts w:eastAsia="Calibri" w:cs="Times New Roman"/>
          <w:iCs/>
        </w:rPr>
        <w:t xml:space="preserve">correctly </w:t>
      </w:r>
      <w:r w:rsidR="00E52A62" w:rsidRPr="000A19C2">
        <w:rPr>
          <w:rFonts w:eastAsia="Calibri" w:cs="Times New Roman"/>
          <w:iCs/>
        </w:rPr>
        <w:t>ruled out of $55,758; and a maximum cancer prevalence of 13.21% result</w:t>
      </w:r>
      <w:r w:rsidR="00E52A62">
        <w:rPr>
          <w:rFonts w:eastAsia="Calibri" w:cs="Times New Roman"/>
          <w:iCs/>
        </w:rPr>
        <w:t xml:space="preserve">ed </w:t>
      </w:r>
      <w:r w:rsidR="00E52A62" w:rsidRPr="000A19C2">
        <w:rPr>
          <w:rFonts w:eastAsia="Calibri" w:cs="Times New Roman"/>
          <w:iCs/>
        </w:rPr>
        <w:t xml:space="preserve">in </w:t>
      </w:r>
      <w:r w:rsidR="00611E12">
        <w:rPr>
          <w:rFonts w:eastAsia="Calibri" w:cs="Times New Roman"/>
          <w:iCs/>
        </w:rPr>
        <w:t xml:space="preserve">an </w:t>
      </w:r>
      <w:r w:rsidR="00E52A62" w:rsidRPr="000A19C2">
        <w:rPr>
          <w:rFonts w:eastAsia="Calibri" w:cs="Times New Roman"/>
          <w:iCs/>
        </w:rPr>
        <w:t xml:space="preserve">ICER per positive NPC </w:t>
      </w:r>
      <w:r w:rsidR="00263D0D">
        <w:rPr>
          <w:rFonts w:eastAsia="Calibri" w:cs="Times New Roman"/>
          <w:iCs/>
        </w:rPr>
        <w:t xml:space="preserve">correctly </w:t>
      </w:r>
      <w:r w:rsidR="00E52A62" w:rsidRPr="000A19C2">
        <w:rPr>
          <w:rFonts w:eastAsia="Calibri" w:cs="Times New Roman"/>
          <w:iCs/>
        </w:rPr>
        <w:t xml:space="preserve">identified of $12,293 and </w:t>
      </w:r>
      <w:r w:rsidR="00611E12">
        <w:rPr>
          <w:rFonts w:eastAsia="Calibri" w:cs="Times New Roman"/>
          <w:iCs/>
        </w:rPr>
        <w:t xml:space="preserve">an </w:t>
      </w:r>
      <w:r w:rsidR="00E52A62" w:rsidRPr="000A19C2">
        <w:rPr>
          <w:rFonts w:eastAsia="Calibri" w:cs="Times New Roman"/>
          <w:iCs/>
        </w:rPr>
        <w:t xml:space="preserve">ICER per negative NPC </w:t>
      </w:r>
      <w:r w:rsidR="00263D0D">
        <w:rPr>
          <w:rFonts w:eastAsia="Calibri" w:cs="Times New Roman"/>
          <w:iCs/>
        </w:rPr>
        <w:t xml:space="preserve">correctly </w:t>
      </w:r>
      <w:r w:rsidR="00E52A62" w:rsidRPr="000A19C2">
        <w:rPr>
          <w:rFonts w:eastAsia="Calibri" w:cs="Times New Roman"/>
          <w:iCs/>
        </w:rPr>
        <w:t>ruled out of $15,547.</w:t>
      </w:r>
    </w:p>
    <w:p w14:paraId="01621651" w14:textId="44B27393" w:rsidR="00E52A62" w:rsidRDefault="00D75E31" w:rsidP="00C6400E">
      <w:r w:rsidRPr="00F56856">
        <w:t xml:space="preserve">MSAC </w:t>
      </w:r>
      <w:r w:rsidR="00E55E56" w:rsidRPr="00F56856">
        <w:t>considered</w:t>
      </w:r>
      <w:r w:rsidRPr="00F56856">
        <w:t xml:space="preserve"> that</w:t>
      </w:r>
      <w:r w:rsidR="00FA6A79" w:rsidRPr="00F56856">
        <w:t>,</w:t>
      </w:r>
      <w:r>
        <w:t xml:space="preserve"> given the </w:t>
      </w:r>
      <w:r w:rsidRPr="00D75E31">
        <w:t xml:space="preserve">low availability of </w:t>
      </w:r>
      <w:r w:rsidR="00FA6A79">
        <w:t>high-</w:t>
      </w:r>
      <w:r w:rsidRPr="00D75E31">
        <w:t>quality data due to the small patient population with this rare disease</w:t>
      </w:r>
      <w:r w:rsidR="00DF3D32">
        <w:t xml:space="preserve">, </w:t>
      </w:r>
      <w:r w:rsidR="00755F5F" w:rsidRPr="00755F5F">
        <w:t xml:space="preserve">an accurate </w:t>
      </w:r>
      <w:r w:rsidR="00FA6A79">
        <w:t xml:space="preserve">estimate of </w:t>
      </w:r>
      <w:r w:rsidR="00755F5F" w:rsidRPr="00755F5F">
        <w:t>cost effectiveness is not possible</w:t>
      </w:r>
      <w:r w:rsidRPr="00D75E31">
        <w:t xml:space="preserve">, </w:t>
      </w:r>
      <w:r w:rsidR="00E70A9E">
        <w:t xml:space="preserve">and </w:t>
      </w:r>
      <w:r>
        <w:t xml:space="preserve">greater weight could be placed on </w:t>
      </w:r>
      <w:r w:rsidRPr="00D75E31">
        <w:t xml:space="preserve">consideration of </w:t>
      </w:r>
      <w:r>
        <w:t xml:space="preserve">the </w:t>
      </w:r>
      <w:r w:rsidRPr="00D75E31">
        <w:t xml:space="preserve">international and domestic guidelines for </w:t>
      </w:r>
      <w:r w:rsidR="00A41C05">
        <w:t xml:space="preserve">management of </w:t>
      </w:r>
      <w:r w:rsidRPr="00D75E31">
        <w:t xml:space="preserve">individuals with germline pathogenic </w:t>
      </w:r>
      <w:r w:rsidRPr="00A426F9">
        <w:rPr>
          <w:i/>
          <w:iCs/>
        </w:rPr>
        <w:t>TP53</w:t>
      </w:r>
      <w:r w:rsidRPr="00D75E31">
        <w:t xml:space="preserve"> variants</w:t>
      </w:r>
      <w:r w:rsidR="00E70A9E">
        <w:t xml:space="preserve"> and the relatively small and highly targeted financial impacts of the application.</w:t>
      </w:r>
    </w:p>
    <w:p w14:paraId="2401C1C1" w14:textId="71BC7471" w:rsidR="00C6400E" w:rsidRDefault="00C6400E" w:rsidP="00C6400E">
      <w:r>
        <w:t xml:space="preserve">MSAC noted that the </w:t>
      </w:r>
      <w:r w:rsidR="00263D0D">
        <w:t xml:space="preserve">net </w:t>
      </w:r>
      <w:r>
        <w:t xml:space="preserve">budget impact </w:t>
      </w:r>
      <w:r w:rsidR="00263D0D">
        <w:t xml:space="preserve">to the MBS </w:t>
      </w:r>
      <w:r>
        <w:t>was relatively l</w:t>
      </w:r>
      <w:r w:rsidR="007A0E90">
        <w:t>ow</w:t>
      </w:r>
      <w:r>
        <w:t xml:space="preserve">, at approximately $1 million per year, based on </w:t>
      </w:r>
      <w:r w:rsidR="007A0E90">
        <w:t>a</w:t>
      </w:r>
      <w:r w:rsidR="00611E12">
        <w:t>n</w:t>
      </w:r>
      <w:r w:rsidR="007A0E90">
        <w:t xml:space="preserve"> </w:t>
      </w:r>
      <w:r>
        <w:t xml:space="preserve">LFS prevalence of 1 in 20,000 and approximately $3 million per year if </w:t>
      </w:r>
      <w:r w:rsidR="002738FE">
        <w:t xml:space="preserve">the assumption of </w:t>
      </w:r>
      <w:r>
        <w:t>highest reported prevalence</w:t>
      </w:r>
      <w:r w:rsidR="002738FE">
        <w:t xml:space="preserve"> (1 in 5000)</w:t>
      </w:r>
      <w:r>
        <w:t xml:space="preserve"> is applied.</w:t>
      </w:r>
    </w:p>
    <w:p w14:paraId="7272D35D" w14:textId="1EBE149F" w:rsidR="00C6400E" w:rsidRDefault="00C6400E" w:rsidP="00C6400E">
      <w:r>
        <w:t>MSAC noted that the fee is appropriate because WBMRI</w:t>
      </w:r>
      <w:r w:rsidR="004F5447">
        <w:t xml:space="preserve"> is time-consuming</w:t>
      </w:r>
      <w:r>
        <w:t xml:space="preserve">, particularly for people with </w:t>
      </w:r>
      <w:r>
        <w:rPr>
          <w:i/>
          <w:iCs/>
        </w:rPr>
        <w:t>TP53</w:t>
      </w:r>
      <w:r>
        <w:t xml:space="preserve"> </w:t>
      </w:r>
      <w:r w:rsidR="004F36FB" w:rsidRPr="00F56856">
        <w:t>variants</w:t>
      </w:r>
      <w:r w:rsidRPr="00F56856">
        <w:t>,</w:t>
      </w:r>
      <w:r>
        <w:t xml:space="preserve"> where there is a high chance of a cancer being detected</w:t>
      </w:r>
      <w:r w:rsidR="004F5447">
        <w:t xml:space="preserve"> requiring a systematic search through all sequences</w:t>
      </w:r>
      <w:r>
        <w:t>.</w:t>
      </w:r>
      <w:r w:rsidR="004F5447">
        <w:t xml:space="preserve"> For instance, MSAC noted advice from RANZCR that s</w:t>
      </w:r>
      <w:r w:rsidR="004F5447" w:rsidRPr="004F5447">
        <w:t>tudies can take anywhere from 45-90 minutes depend</w:t>
      </w:r>
      <w:r w:rsidR="007A0E90">
        <w:t>ing</w:t>
      </w:r>
      <w:r w:rsidR="004F5447" w:rsidRPr="004F5447">
        <w:t xml:space="preserve"> on patient size and scanner equipment, </w:t>
      </w:r>
      <w:proofErr w:type="gramStart"/>
      <w:r w:rsidR="007A0E90">
        <w:t xml:space="preserve">with </w:t>
      </w:r>
      <w:r w:rsidR="004F5447" w:rsidRPr="004F5447">
        <w:t xml:space="preserve"> 60</w:t>
      </w:r>
      <w:proofErr w:type="gramEnd"/>
      <w:r w:rsidR="004F5447" w:rsidRPr="004F5447">
        <w:t>-70 minutes a reasonable average</w:t>
      </w:r>
      <w:r w:rsidR="007A0E90">
        <w:t xml:space="preserve"> time per scan</w:t>
      </w:r>
      <w:r w:rsidR="004F5447">
        <w:t xml:space="preserve">. </w:t>
      </w:r>
      <w:r w:rsidR="00FA6A79">
        <w:t>MSAC noted the applicant’s pre-MSAC response did not agree that the fee should be lower for children even though children are smaller because the scan is more complicated for children (e.g. children under the age of eight may need anaesthesia) and may be more time consuming for them (e.g. they may need to</w:t>
      </w:r>
      <w:r w:rsidR="007A0E90">
        <w:t xml:space="preserve"> exit and re-enter </w:t>
      </w:r>
      <w:r w:rsidR="00FA6A79">
        <w:t xml:space="preserve">the scanner </w:t>
      </w:r>
      <w:r w:rsidR="007A0E90">
        <w:t>frequently</w:t>
      </w:r>
      <w:r w:rsidR="00FA6A79">
        <w:t xml:space="preserve">, increasing the </w:t>
      </w:r>
      <w:r w:rsidR="007A0E90">
        <w:t xml:space="preserve">total </w:t>
      </w:r>
      <w:r w:rsidR="00FA6A79">
        <w:t xml:space="preserve">length of time required </w:t>
      </w:r>
      <w:r w:rsidR="007A0E90">
        <w:t xml:space="preserve">to </w:t>
      </w:r>
      <w:proofErr w:type="gramStart"/>
      <w:r w:rsidR="007A0E90">
        <w:t xml:space="preserve">complete </w:t>
      </w:r>
      <w:r w:rsidR="00FA6A79">
        <w:t xml:space="preserve"> the</w:t>
      </w:r>
      <w:proofErr w:type="gramEnd"/>
      <w:r w:rsidR="00FA6A79">
        <w:t xml:space="preserve"> scan).</w:t>
      </w:r>
    </w:p>
    <w:p w14:paraId="026CD959" w14:textId="73DC109E" w:rsidR="00C6400E" w:rsidRDefault="00C6400E" w:rsidP="00C6400E">
      <w:r>
        <w:t xml:space="preserve">MSAC noted that general concerns regarding the potential for </w:t>
      </w:r>
      <w:proofErr w:type="spellStart"/>
      <w:r>
        <w:t>overtesting</w:t>
      </w:r>
      <w:proofErr w:type="spellEnd"/>
      <w:r w:rsidR="00755F5F">
        <w:t xml:space="preserve"> and </w:t>
      </w:r>
      <w:r>
        <w:t xml:space="preserve">overtreatment in this population are not relevant, as the population is highly predisposed to developing cancer over </w:t>
      </w:r>
      <w:r w:rsidR="00C1651C">
        <w:t>the</w:t>
      </w:r>
      <w:r>
        <w:t xml:space="preserve"> lifetime. </w:t>
      </w:r>
      <w:r w:rsidR="00AC1659">
        <w:t>MSAC considered that s</w:t>
      </w:r>
      <w:r>
        <w:t xml:space="preserve">urveillance that finds no tumours or a benign tumour is </w:t>
      </w:r>
      <w:r w:rsidR="00AC1659">
        <w:t xml:space="preserve">still </w:t>
      </w:r>
      <w:r>
        <w:t>important clinical information</w:t>
      </w:r>
      <w:r w:rsidR="00C1651C">
        <w:t>, as well as</w:t>
      </w:r>
      <w:r>
        <w:t xml:space="preserve"> </w:t>
      </w:r>
      <w:r w:rsidR="007A0E90">
        <w:t>for</w:t>
      </w:r>
      <w:r w:rsidR="00862691">
        <w:t xml:space="preserve"> </w:t>
      </w:r>
      <w:r>
        <w:t>monitor</w:t>
      </w:r>
      <w:r w:rsidR="007A0E90">
        <w:t>ing</w:t>
      </w:r>
      <w:r>
        <w:t xml:space="preserve"> the potential future development of malignant cancer</w:t>
      </w:r>
      <w:r w:rsidR="00AC1659">
        <w:t xml:space="preserve"> for this population</w:t>
      </w:r>
      <w:r>
        <w:t>.</w:t>
      </w:r>
    </w:p>
    <w:p w14:paraId="7BCD9AEE" w14:textId="211260EB" w:rsidR="00C6400E" w:rsidRDefault="00C6400E" w:rsidP="00C6400E">
      <w:pPr>
        <w:tabs>
          <w:tab w:val="left" w:pos="6349"/>
        </w:tabs>
      </w:pPr>
      <w:r>
        <w:t>MSAC noted that</w:t>
      </w:r>
      <w:r w:rsidR="00263D0D">
        <w:t>,</w:t>
      </w:r>
      <w:r>
        <w:t xml:space="preserve"> in its pre-MSAC response, the applicant </w:t>
      </w:r>
      <w:r w:rsidR="00BC6E7E">
        <w:t xml:space="preserve">agreed with ESC’s view that </w:t>
      </w:r>
      <w:r w:rsidR="00BC6E7E" w:rsidRPr="00BC6E7E">
        <w:t xml:space="preserve">the yield from subsequent scans is likely to be lower than for the baseline scan </w:t>
      </w:r>
      <w:r w:rsidR="00BC6E7E">
        <w:t xml:space="preserve">and </w:t>
      </w:r>
      <w:r>
        <w:t xml:space="preserve">stated that </w:t>
      </w:r>
      <w:r w:rsidR="00263D0D">
        <w:t xml:space="preserve">it would </w:t>
      </w:r>
      <w:r>
        <w:t>work with the Department to generate data on incremental yield via the existing SMOC+ study, and</w:t>
      </w:r>
      <w:r w:rsidR="007A0E90">
        <w:t xml:space="preserve"> then use these observations</w:t>
      </w:r>
      <w:r>
        <w:t xml:space="preserve"> to </w:t>
      </w:r>
      <w:r w:rsidR="007A0E90">
        <w:t>define</w:t>
      </w:r>
      <w:r>
        <w:t xml:space="preserve"> the optimal </w:t>
      </w:r>
      <w:r w:rsidR="00263D0D">
        <w:t>duration of time between scans</w:t>
      </w:r>
      <w:r>
        <w:t>.</w:t>
      </w:r>
      <w:r w:rsidR="007A0E90">
        <w:t xml:space="preserve"> Relevant data could include</w:t>
      </w:r>
      <w:r w:rsidR="007A0E90" w:rsidRPr="00AC1659">
        <w:t xml:space="preserve"> </w:t>
      </w:r>
      <w:r w:rsidR="007A0E90">
        <w:t xml:space="preserve">rates of missed cancers </w:t>
      </w:r>
      <w:r w:rsidR="00611E12">
        <w:t xml:space="preserve">detected between WBMRI scans </w:t>
      </w:r>
      <w:r w:rsidR="007A0E90">
        <w:t>and if possible, impacts on mortality.</w:t>
      </w:r>
      <w:r w:rsidR="00AC1659">
        <w:t xml:space="preserve"> MSAC noted more generally that</w:t>
      </w:r>
      <w:r w:rsidR="00263D0D">
        <w:t>,</w:t>
      </w:r>
      <w:r w:rsidR="006578B8">
        <w:t xml:space="preserve"> as this application is the first whole-body MRI item </w:t>
      </w:r>
      <w:r w:rsidR="007A0E90">
        <w:t xml:space="preserve">being proposed </w:t>
      </w:r>
      <w:r w:rsidR="00A41C05">
        <w:t>for individuals with cancer predisposition</w:t>
      </w:r>
      <w:r w:rsidR="006578B8">
        <w:t xml:space="preserve">, some ‘future proofing’ </w:t>
      </w:r>
      <w:r w:rsidR="007A0E90">
        <w:t>w</w:t>
      </w:r>
      <w:r w:rsidR="006578B8">
        <w:t>ould be judicious</w:t>
      </w:r>
      <w:r w:rsidR="00A41C05">
        <w:t>, as other cancer predisposition syndromes will have a lower lifetime risk</w:t>
      </w:r>
      <w:r w:rsidR="007A0E90">
        <w:t xml:space="preserve"> and hence may not be </w:t>
      </w:r>
      <w:r w:rsidR="00611E12">
        <w:t xml:space="preserve">acceptably </w:t>
      </w:r>
      <w:r w:rsidR="007A0E90">
        <w:t>cost effective</w:t>
      </w:r>
      <w:r w:rsidR="006578B8">
        <w:t>.</w:t>
      </w:r>
    </w:p>
    <w:p w14:paraId="19BD9BC4" w14:textId="3D108128" w:rsidR="00C6400E" w:rsidRDefault="00C6400E" w:rsidP="00C6400E">
      <w:r>
        <w:t xml:space="preserve">MSAC noted that the Department will monitor usage of the item following implementation and, if an unexpected level of item usage is identified, will work with relevant stakeholders to refine </w:t>
      </w:r>
      <w:r w:rsidR="007A0E90">
        <w:t xml:space="preserve">the </w:t>
      </w:r>
      <w:r>
        <w:t>MBS item descriptor to better define the population.</w:t>
      </w:r>
    </w:p>
    <w:p w14:paraId="6710B69D" w14:textId="1068619F" w:rsidR="00772829" w:rsidRDefault="00262C24" w:rsidP="00262C24">
      <w:pPr>
        <w:pStyle w:val="Heading2"/>
        <w:numPr>
          <w:ilvl w:val="0"/>
          <w:numId w:val="0"/>
        </w:numPr>
        <w:ind w:left="720" w:hanging="862"/>
      </w:pPr>
      <w:r>
        <w:lastRenderedPageBreak/>
        <w:t>4.</w:t>
      </w:r>
      <w:r>
        <w:tab/>
      </w:r>
      <w:r w:rsidR="00772829" w:rsidRPr="00CE28E3">
        <w:t>Background</w:t>
      </w:r>
      <w:bookmarkEnd w:id="2"/>
    </w:p>
    <w:p w14:paraId="40F3310B" w14:textId="3AA0D0B9" w:rsidR="00554B5A" w:rsidRDefault="00554B5A" w:rsidP="00554B5A">
      <w:r>
        <w:t xml:space="preserve">MSAC has not previously considered WBMRI for detection of cancer in individuals with pathogenic or likely pathogenic germline variant of </w:t>
      </w:r>
      <w:r w:rsidRPr="000068FD">
        <w:rPr>
          <w:i/>
          <w:iCs/>
        </w:rPr>
        <w:t>TP53</w:t>
      </w:r>
      <w:r>
        <w:t>.</w:t>
      </w:r>
      <w:r w:rsidR="004C65A3" w:rsidRPr="004C65A3">
        <w:t xml:space="preserve"> The proposed item is for a small, defined population with a rare condition</w:t>
      </w:r>
      <w:r w:rsidR="004C65A3">
        <w:t xml:space="preserve">. </w:t>
      </w:r>
      <w:r w:rsidR="004C65A3" w:rsidRPr="004C65A3">
        <w:t>With the rapid evolution in gene technology resulting in the earlier identification of rare genetic conditions, the Department expects to receive future MSAC applications for similar small patient populations with a high clinical need for diagnostic services but not necessarily the strength of research data to support these services.</w:t>
      </w:r>
    </w:p>
    <w:p w14:paraId="6F52500A" w14:textId="35045DAD" w:rsidR="00772829" w:rsidRPr="00CE28E3" w:rsidRDefault="00262C24" w:rsidP="002A18BE">
      <w:pPr>
        <w:pStyle w:val="Heading2"/>
        <w:numPr>
          <w:ilvl w:val="0"/>
          <w:numId w:val="0"/>
        </w:numPr>
      </w:pPr>
      <w:bookmarkStart w:id="6" w:name="_Toc102443842"/>
      <w:r>
        <w:t>5</w:t>
      </w:r>
      <w:r w:rsidR="00C36633">
        <w:t>.</w:t>
      </w:r>
      <w:r w:rsidR="00C36633">
        <w:tab/>
      </w:r>
      <w:r w:rsidR="00772829" w:rsidRPr="00CE28E3">
        <w:t>Prerequisites to implementation of any funding advice</w:t>
      </w:r>
      <w:bookmarkEnd w:id="6"/>
    </w:p>
    <w:p w14:paraId="7E4878BB" w14:textId="5C87B5D2" w:rsidR="00554B5A" w:rsidRDefault="00554B5A" w:rsidP="00554B5A">
      <w:r w:rsidRPr="000068FD">
        <w:t xml:space="preserve">It was noted by PASC that there is no universally accepted definition for </w:t>
      </w:r>
      <w:proofErr w:type="gramStart"/>
      <w:r w:rsidRPr="000068FD">
        <w:t>WBMRI</w:t>
      </w:r>
      <w:proofErr w:type="gramEnd"/>
      <w:r w:rsidRPr="000068FD">
        <w:t xml:space="preserve"> and advice </w:t>
      </w:r>
      <w:r w:rsidR="00CB1F83">
        <w:t>was</w:t>
      </w:r>
      <w:r w:rsidRPr="000068FD">
        <w:t xml:space="preserve"> sought from the Royal Australian and New Zealand College of Radiologists (RANZCR) to define a minimum set of sequences to define an adequate oncologic WBMRI examination.</w:t>
      </w:r>
    </w:p>
    <w:p w14:paraId="0D4E8CD2" w14:textId="6D57429C" w:rsidR="00CB1F83" w:rsidRDefault="00CB1F83" w:rsidP="00CB1F83">
      <w:r>
        <w:t xml:space="preserve">RANZCR advised that there are many ways of acquiring WBMRI depending on the </w:t>
      </w:r>
      <w:proofErr w:type="gramStart"/>
      <w:r>
        <w:t>underlying purpose</w:t>
      </w:r>
      <w:proofErr w:type="gramEnd"/>
      <w:r>
        <w:t xml:space="preserve">. “Whole-body” strictly refers to a study from </w:t>
      </w:r>
      <w:r w:rsidR="005577D2">
        <w:t xml:space="preserve">the </w:t>
      </w:r>
      <w:r>
        <w:t xml:space="preserve">vertex of head to </w:t>
      </w:r>
      <w:r w:rsidR="005577D2">
        <w:t xml:space="preserve">the </w:t>
      </w:r>
      <w:r>
        <w:t xml:space="preserve">soles of feet. While some indications require IV contrast, it is generally avoided in screening studies. </w:t>
      </w:r>
    </w:p>
    <w:p w14:paraId="6B9A27A4" w14:textId="5D571107" w:rsidR="00CB1F83" w:rsidRDefault="00CB1F83" w:rsidP="00CB1F83">
      <w:r>
        <w:t>All WBMRI studies are acquired in multiple stages (</w:t>
      </w:r>
      <w:proofErr w:type="gramStart"/>
      <w:r>
        <w:t>i.e.</w:t>
      </w:r>
      <w:proofErr w:type="gramEnd"/>
      <w:r>
        <w:t xml:space="preserve"> imaging the head and neck, progressing to the chest, then to the abdomen/pelvis, and finally the lower limbs). </w:t>
      </w:r>
      <w:proofErr w:type="gramStart"/>
      <w:r>
        <w:t>In order to</w:t>
      </w:r>
      <w:proofErr w:type="gramEnd"/>
      <w:r>
        <w:t xml:space="preserve"> maintain image quality, 6 stations are typical for an average person, although this can range from 4 to 7 dependent on patient height. Each stage requires a variety of sequences which are generally a combination of transverse and coronal planes. Sagittal</w:t>
      </w:r>
      <w:r w:rsidR="00C8102F">
        <w:t xml:space="preserve"> views</w:t>
      </w:r>
      <w:r>
        <w:t xml:space="preserve"> may be used if the spine is of </w:t>
      </w:r>
      <w:proofErr w:type="gramStart"/>
      <w:r>
        <w:t>particular clinical</w:t>
      </w:r>
      <w:proofErr w:type="gramEnd"/>
      <w:r>
        <w:t xml:space="preserve"> interest. </w:t>
      </w:r>
    </w:p>
    <w:p w14:paraId="6E1B0020" w14:textId="06BC14C3" w:rsidR="00CB1F83" w:rsidRDefault="00CB1F83" w:rsidP="00CB1F83">
      <w:r>
        <w:t xml:space="preserve">Studies can take anywhere from 45-90 minutes dependent on patient size and scanner equipment, although 60-70 minutes would be a reasonable average. As eligible patients can have </w:t>
      </w:r>
      <w:proofErr w:type="gramStart"/>
      <w:r>
        <w:t>a large number of</w:t>
      </w:r>
      <w:proofErr w:type="gramEnd"/>
      <w:r>
        <w:t xml:space="preserve"> cancers due to the defective tumour suppressor gene, a systematic search through all sequences takes from 1-2 hours depending on how many abnormalities are found.</w:t>
      </w:r>
    </w:p>
    <w:p w14:paraId="44C3B242" w14:textId="75162BD9" w:rsidR="00772829" w:rsidRDefault="00262C24" w:rsidP="002A18BE">
      <w:pPr>
        <w:pStyle w:val="Heading2"/>
        <w:numPr>
          <w:ilvl w:val="0"/>
          <w:numId w:val="0"/>
        </w:numPr>
      </w:pPr>
      <w:bookmarkStart w:id="7" w:name="_Toc102443843"/>
      <w:r>
        <w:t>6</w:t>
      </w:r>
      <w:r w:rsidR="00C36633">
        <w:t>.</w:t>
      </w:r>
      <w:r w:rsidR="00C36633">
        <w:tab/>
      </w:r>
      <w:r w:rsidR="00772829" w:rsidRPr="00CE28E3">
        <w:t>Proposal for public funding</w:t>
      </w:r>
      <w:bookmarkEnd w:id="7"/>
    </w:p>
    <w:p w14:paraId="72D444BD" w14:textId="7F51F6DA" w:rsidR="00554B5A" w:rsidRPr="00330A0A" w:rsidRDefault="00554B5A" w:rsidP="00554B5A">
      <w:r>
        <w:t xml:space="preserve">The proposal is for a new MBS listing for WBMRI. </w:t>
      </w:r>
      <w:r w:rsidR="00A348CC">
        <w:t xml:space="preserve">The proposed item is presented in </w:t>
      </w:r>
      <w:r w:rsidR="00A348CC">
        <w:fldChar w:fldCharType="begin"/>
      </w:r>
      <w:r w:rsidR="00A348CC">
        <w:instrText xml:space="preserve"> REF _Ref69481033 \h </w:instrText>
      </w:r>
      <w:r w:rsidR="00A348CC">
        <w:fldChar w:fldCharType="separate"/>
      </w:r>
      <w:r w:rsidR="00822248">
        <w:t>Table </w:t>
      </w:r>
      <w:r w:rsidR="00822248">
        <w:rPr>
          <w:noProof/>
        </w:rPr>
        <w:t>1</w:t>
      </w:r>
      <w:r w:rsidR="00A348CC">
        <w:fldChar w:fldCharType="end"/>
      </w:r>
      <w:r w:rsidR="00A348CC">
        <w:t xml:space="preserve">, and reflect changes to the </w:t>
      </w:r>
      <w:r w:rsidR="004A2E20">
        <w:t xml:space="preserve">initially proposed item </w:t>
      </w:r>
      <w:r w:rsidR="00A348CC">
        <w:t>descriptor to (</w:t>
      </w:r>
      <w:proofErr w:type="spellStart"/>
      <w:r w:rsidR="00A348CC">
        <w:t>i</w:t>
      </w:r>
      <w:proofErr w:type="spellEnd"/>
      <w:r w:rsidR="00A348CC">
        <w:t xml:space="preserve">) remove the age limit to those aged 65 years or less (based on advice from the Department) and (ii) use the preferred term “heritable </w:t>
      </w:r>
      <w:r w:rsidR="00A348CC" w:rsidRPr="00F540DC">
        <w:rPr>
          <w:i/>
          <w:iCs/>
        </w:rPr>
        <w:t>TP53</w:t>
      </w:r>
      <w:r w:rsidR="00A348CC">
        <w:t>-related cancer (h</w:t>
      </w:r>
      <w:r w:rsidR="00A348CC" w:rsidRPr="00F540DC">
        <w:rPr>
          <w:i/>
          <w:iCs/>
        </w:rPr>
        <w:t>TP53</w:t>
      </w:r>
      <w:r w:rsidR="00A348CC">
        <w:t xml:space="preserve">rc) syndrome”. </w:t>
      </w:r>
      <w:r>
        <w:t xml:space="preserve">WBMRI is limited to carriers of pathogenic or likely pathogenic germline variant in the </w:t>
      </w:r>
      <w:r w:rsidRPr="00554B5A">
        <w:rPr>
          <w:i/>
          <w:iCs/>
        </w:rPr>
        <w:t>TP53</w:t>
      </w:r>
      <w:r>
        <w:t xml:space="preserve"> gene. The use of WBMRI is limited to once per year and requires a specialist or consultant physician in consultation with a clinical geneticist in a familial cancer or genetic clinic to request WBMRI.</w:t>
      </w:r>
    </w:p>
    <w:p w14:paraId="545E0EA7" w14:textId="64BF6821" w:rsidR="00554B5A" w:rsidRPr="00CE28E3" w:rsidRDefault="00554B5A" w:rsidP="00082EA7">
      <w:pPr>
        <w:pStyle w:val="Caption"/>
        <w:spacing w:before="240"/>
        <w:ind w:left="709" w:hanging="709"/>
        <w:rPr>
          <w:rFonts w:cs="Arial"/>
        </w:rPr>
      </w:pPr>
      <w:bookmarkStart w:id="8" w:name="_Ref69481033"/>
      <w:r>
        <w:lastRenderedPageBreak/>
        <w:t>Table </w:t>
      </w:r>
      <w:r w:rsidR="0067109A">
        <w:fldChar w:fldCharType="begin"/>
      </w:r>
      <w:r w:rsidR="0067109A">
        <w:instrText xml:space="preserve"> SEQ Table \* ARABIC </w:instrText>
      </w:r>
      <w:r w:rsidR="0067109A">
        <w:fldChar w:fldCharType="separate"/>
      </w:r>
      <w:r w:rsidR="00822248">
        <w:rPr>
          <w:noProof/>
        </w:rPr>
        <w:t>1</w:t>
      </w:r>
      <w:r w:rsidR="0067109A">
        <w:rPr>
          <w:noProof/>
        </w:rPr>
        <w:fldChar w:fldCharType="end"/>
      </w:r>
      <w:bookmarkEnd w:id="8"/>
      <w:r w:rsidRPr="00CE28E3">
        <w:rPr>
          <w:rFonts w:cs="Arial"/>
        </w:rPr>
        <w:tab/>
      </w:r>
      <w:r w:rsidR="004A2E20">
        <w:rPr>
          <w:rFonts w:cs="Arial"/>
        </w:rPr>
        <w:t xml:space="preserve">Proposed </w:t>
      </w:r>
      <w:r w:rsidRPr="00CE28E3">
        <w:rPr>
          <w:rFonts w:cs="Arial"/>
        </w:rPr>
        <w:t xml:space="preserve">MBS item </w:t>
      </w:r>
      <w:r>
        <w:rPr>
          <w:rFonts w:cs="Arial"/>
        </w:rPr>
        <w:t xml:space="preserve">descriptor for surveillance of patients with pathogenic or likely pathogenic germline variant of the </w:t>
      </w:r>
      <w:r w:rsidRPr="00124440">
        <w:rPr>
          <w:rFonts w:cs="Arial"/>
          <w:i/>
          <w:iCs/>
        </w:rPr>
        <w:t>TP53</w:t>
      </w:r>
      <w:r>
        <w:rPr>
          <w:rFonts w:cs="Arial"/>
        </w:rPr>
        <w:t xml:space="preserve"> gene</w:t>
      </w:r>
    </w:p>
    <w:tbl>
      <w:tblPr>
        <w:tblStyle w:val="TableGrid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554B5A" w:rsidRPr="00CE28E3" w14:paraId="3B39FDE5" w14:textId="77777777" w:rsidTr="00ED6272">
        <w:trPr>
          <w:cnfStyle w:val="100000000000" w:firstRow="1" w:lastRow="0" w:firstColumn="0" w:lastColumn="0" w:oddVBand="0" w:evenVBand="0" w:oddHBand="0" w:evenHBand="0" w:firstRowFirstColumn="0" w:firstRowLastColumn="0" w:lastRowFirstColumn="0" w:lastRowLastColumn="0"/>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37651095" w14:textId="77777777" w:rsidR="00554B5A" w:rsidRPr="00CE28E3" w:rsidRDefault="00554B5A" w:rsidP="00124440">
            <w:pPr>
              <w:pStyle w:val="TableText"/>
              <w:keepNext/>
              <w:rPr>
                <w:sz w:val="24"/>
              </w:rPr>
            </w:pPr>
            <w:r w:rsidRPr="00CE28E3">
              <w:t>Category</w:t>
            </w:r>
            <w:r>
              <w:t xml:space="preserve"> 5</w:t>
            </w:r>
            <w:r w:rsidRPr="00CE28E3">
              <w:t xml:space="preserve"> </w:t>
            </w:r>
            <w:r w:rsidRPr="00753375">
              <w:t>– Diagnostic Imaging Services</w:t>
            </w:r>
          </w:p>
        </w:tc>
      </w:tr>
      <w:tr w:rsidR="00554B5A" w:rsidRPr="00CE28E3" w14:paraId="29999550" w14:textId="77777777" w:rsidTr="00ED6272">
        <w:tc>
          <w:tcPr>
            <w:tcW w:w="5000" w:type="pct"/>
            <w:tcBorders>
              <w:top w:val="single" w:sz="4" w:space="0" w:color="000000"/>
              <w:left w:val="single" w:sz="4" w:space="0" w:color="000000"/>
              <w:bottom w:val="single" w:sz="4" w:space="0" w:color="000000"/>
              <w:right w:val="single" w:sz="4" w:space="0" w:color="000000"/>
            </w:tcBorders>
            <w:hideMark/>
          </w:tcPr>
          <w:p w14:paraId="3ACE04E5" w14:textId="77777777" w:rsidR="00554B5A" w:rsidRPr="00753375" w:rsidRDefault="00554B5A" w:rsidP="00124440">
            <w:pPr>
              <w:keepNext/>
              <w:spacing w:after="120"/>
              <w:rPr>
                <w:rFonts w:ascii="Arial Narrow" w:hAnsi="Arial Narrow"/>
                <w:lang w:val="en-US" w:eastAsia="ja-JP"/>
              </w:rPr>
            </w:pPr>
            <w:r w:rsidRPr="00753375">
              <w:rPr>
                <w:rFonts w:ascii="Arial Narrow" w:hAnsi="Arial Narrow"/>
                <w:lang w:val="en-US" w:eastAsia="ja-JP"/>
              </w:rPr>
              <w:t>MBS item *XXXX</w:t>
            </w:r>
          </w:p>
          <w:p w14:paraId="3CD4A13E" w14:textId="758484A8" w:rsidR="00554B5A" w:rsidRPr="00753375" w:rsidRDefault="00554B5A" w:rsidP="00124440">
            <w:pPr>
              <w:keepNext/>
              <w:spacing w:after="120"/>
              <w:rPr>
                <w:rFonts w:ascii="Arial Narrow" w:hAnsi="Arial Narrow"/>
                <w:lang w:val="en-US" w:eastAsia="ja-JP"/>
              </w:rPr>
            </w:pPr>
            <w:r w:rsidRPr="00753375">
              <w:rPr>
                <w:rFonts w:ascii="Arial Narrow" w:hAnsi="Arial Narrow"/>
                <w:lang w:val="en-US" w:eastAsia="ja-JP"/>
              </w:rPr>
              <w:t>Magnetic Resonance Imaging—whole</w:t>
            </w:r>
            <w:r w:rsidR="00B231D2">
              <w:rPr>
                <w:rFonts w:ascii="Arial Narrow" w:hAnsi="Arial Narrow"/>
                <w:lang w:val="en-US" w:eastAsia="ja-JP"/>
              </w:rPr>
              <w:t>-</w:t>
            </w:r>
            <w:r w:rsidRPr="00753375">
              <w:rPr>
                <w:rFonts w:ascii="Arial Narrow" w:hAnsi="Arial Narrow"/>
                <w:lang w:val="en-US" w:eastAsia="ja-JP"/>
              </w:rPr>
              <w:t>body scan for the early detection of cancer, requested by a specialist or consultant physician in consultation with a clinical geneticist in a familial cancer or genetic clinic and the request identifies that:</w:t>
            </w:r>
          </w:p>
          <w:p w14:paraId="443A96CC" w14:textId="5D9E0551" w:rsidR="00554B5A" w:rsidRPr="00753375" w:rsidRDefault="00090A5A" w:rsidP="00124440">
            <w:pPr>
              <w:keepNext/>
              <w:spacing w:after="120"/>
              <w:rPr>
                <w:rFonts w:ascii="Arial Narrow" w:hAnsi="Arial Narrow"/>
                <w:lang w:val="en-US" w:eastAsia="ja-JP"/>
              </w:rPr>
            </w:pPr>
            <w:r>
              <w:rPr>
                <w:rFonts w:ascii="Arial Narrow" w:hAnsi="Arial Narrow"/>
                <w:lang w:val="en-US" w:eastAsia="ja-JP"/>
              </w:rPr>
              <w:t xml:space="preserve"> the person </w:t>
            </w:r>
            <w:r w:rsidR="00554B5A" w:rsidRPr="00753375">
              <w:rPr>
                <w:rFonts w:ascii="Arial Narrow" w:hAnsi="Arial Narrow"/>
                <w:lang w:val="en-US" w:eastAsia="ja-JP"/>
              </w:rPr>
              <w:t xml:space="preserve">has a high risk of developing cancer malignancy due to </w:t>
            </w:r>
            <w:r w:rsidR="00DA64D3" w:rsidRPr="00DA64D3">
              <w:rPr>
                <w:rFonts w:ascii="Arial Narrow" w:hAnsi="Arial Narrow"/>
                <w:lang w:val="en-US" w:eastAsia="ja-JP"/>
              </w:rPr>
              <w:t xml:space="preserve">heritable </w:t>
            </w:r>
            <w:r w:rsidR="00DA64D3" w:rsidRPr="00124440">
              <w:rPr>
                <w:rFonts w:ascii="Arial Narrow" w:hAnsi="Arial Narrow"/>
                <w:i/>
                <w:iCs/>
                <w:lang w:val="en-US" w:eastAsia="ja-JP"/>
              </w:rPr>
              <w:t>TP53</w:t>
            </w:r>
            <w:r w:rsidR="00DA64D3" w:rsidRPr="00DA64D3">
              <w:rPr>
                <w:rFonts w:ascii="Arial Narrow" w:hAnsi="Arial Narrow"/>
                <w:lang w:val="en-US" w:eastAsia="ja-JP"/>
              </w:rPr>
              <w:t>-related cancer (h</w:t>
            </w:r>
            <w:r w:rsidR="00DA64D3" w:rsidRPr="00124440">
              <w:rPr>
                <w:rFonts w:ascii="Arial Narrow" w:hAnsi="Arial Narrow"/>
                <w:i/>
                <w:iCs/>
                <w:lang w:val="en-US" w:eastAsia="ja-JP"/>
              </w:rPr>
              <w:t>TP53</w:t>
            </w:r>
            <w:r w:rsidR="00DA64D3" w:rsidRPr="00DA64D3">
              <w:rPr>
                <w:rFonts w:ascii="Arial Narrow" w:hAnsi="Arial Narrow"/>
                <w:lang w:val="en-US" w:eastAsia="ja-JP"/>
              </w:rPr>
              <w:t>rc) syndrome</w:t>
            </w:r>
            <w:r w:rsidR="00DA64D3" w:rsidRPr="00DA64D3" w:rsidDel="00DA64D3">
              <w:rPr>
                <w:rFonts w:ascii="Arial Narrow" w:hAnsi="Arial Narrow"/>
                <w:lang w:val="en-US" w:eastAsia="ja-JP"/>
              </w:rPr>
              <w:t xml:space="preserve"> </w:t>
            </w:r>
          </w:p>
          <w:p w14:paraId="16B7F0B2" w14:textId="77777777" w:rsidR="00554B5A" w:rsidRPr="00170D5B" w:rsidRDefault="00554B5A" w:rsidP="00124440">
            <w:pPr>
              <w:keepNext/>
              <w:spacing w:after="120"/>
              <w:rPr>
                <w:rFonts w:ascii="Arial Narrow" w:hAnsi="Arial Narrow"/>
                <w:lang w:val="en-US" w:eastAsia="ja-JP"/>
              </w:rPr>
            </w:pPr>
            <w:r w:rsidRPr="00753375">
              <w:rPr>
                <w:rFonts w:ascii="Arial Narrow" w:hAnsi="Arial Narrow"/>
                <w:lang w:val="en-US" w:eastAsia="ja-JP"/>
              </w:rPr>
              <w:t>Restricted to one scan per 12 months</w:t>
            </w:r>
          </w:p>
        </w:tc>
      </w:tr>
      <w:tr w:rsidR="00554B5A" w:rsidRPr="005D749D" w14:paraId="56A7D798" w14:textId="77777777" w:rsidTr="00ED6272">
        <w:tc>
          <w:tcPr>
            <w:tcW w:w="5000" w:type="pct"/>
            <w:tcBorders>
              <w:top w:val="single" w:sz="4" w:space="0" w:color="000000"/>
              <w:left w:val="single" w:sz="4" w:space="0" w:color="000000"/>
              <w:bottom w:val="single" w:sz="4" w:space="0" w:color="000000"/>
              <w:right w:val="single" w:sz="4" w:space="0" w:color="000000"/>
            </w:tcBorders>
            <w:vAlign w:val="center"/>
            <w:hideMark/>
          </w:tcPr>
          <w:p w14:paraId="0401DDD5" w14:textId="77777777" w:rsidR="00554B5A" w:rsidRPr="005D749D" w:rsidRDefault="00554B5A" w:rsidP="000A6472">
            <w:pPr>
              <w:pStyle w:val="TableText"/>
            </w:pPr>
            <w:r w:rsidRPr="005D749D">
              <w:t xml:space="preserve">Fee: </w:t>
            </w:r>
            <w:r w:rsidRPr="00753375">
              <w:t>$1,500.00</w:t>
            </w:r>
          </w:p>
        </w:tc>
      </w:tr>
    </w:tbl>
    <w:p w14:paraId="1F8B848D" w14:textId="07680044" w:rsidR="00554B5A" w:rsidRDefault="00554B5A" w:rsidP="00DC05AB">
      <w:pPr>
        <w:spacing w:before="240"/>
      </w:pPr>
      <w:r>
        <w:t xml:space="preserve">The requested fee of $1,500 </w:t>
      </w:r>
      <w:r w:rsidR="007A0E90">
        <w:t>was not</w:t>
      </w:r>
      <w:r>
        <w:t xml:space="preserve"> justified by the </w:t>
      </w:r>
      <w:proofErr w:type="gramStart"/>
      <w:r>
        <w:t>applicant</w:t>
      </w:r>
      <w:r w:rsidR="007A0E90">
        <w:t>, but</w:t>
      </w:r>
      <w:proofErr w:type="gramEnd"/>
      <w:r w:rsidR="007A0E90">
        <w:t xml:space="preserve"> </w:t>
      </w:r>
      <w:r w:rsidR="00611E12">
        <w:t>wa</w:t>
      </w:r>
      <w:r w:rsidR="007A0E90">
        <w:t>s supported by stakeholders including RANZCR</w:t>
      </w:r>
      <w:r>
        <w:t xml:space="preserve">. </w:t>
      </w:r>
      <w:r w:rsidR="007D3FA3">
        <w:t xml:space="preserve">This </w:t>
      </w:r>
      <w:r w:rsidR="007A0E90">
        <w:t xml:space="preserve">fee </w:t>
      </w:r>
      <w:r w:rsidR="007D3FA3">
        <w:t>compares with MRI scans of the head $336.00-$403.20 (which takes an estimated 20-30 minutes) and MRI scans of both breasts of $690 (estimated time of 30-45 minutes).</w:t>
      </w:r>
    </w:p>
    <w:p w14:paraId="4668DEE1" w14:textId="7C66A090" w:rsidR="00554B5A" w:rsidRDefault="00554B5A" w:rsidP="00554B5A">
      <w:r>
        <w:t xml:space="preserve">An individual to be eligible for a WBMRI will </w:t>
      </w:r>
      <w:r w:rsidR="00462585">
        <w:t xml:space="preserve">be </w:t>
      </w:r>
      <w:r>
        <w:t>require</w:t>
      </w:r>
      <w:r w:rsidR="00462585">
        <w:t>d</w:t>
      </w:r>
      <w:r>
        <w:t xml:space="preserve"> to have previously had a genetic test to diagnose them as carriers of a germline pathogenic or likely pathogenic variant in the </w:t>
      </w:r>
      <w:r w:rsidRPr="004B3902">
        <w:rPr>
          <w:i/>
          <w:iCs/>
        </w:rPr>
        <w:t>TP53</w:t>
      </w:r>
      <w:r>
        <w:t xml:space="preserve"> gene.</w:t>
      </w:r>
    </w:p>
    <w:p w14:paraId="403B340E" w14:textId="712C6726" w:rsidR="00554B5A" w:rsidRPr="004B3902" w:rsidRDefault="00554B5A" w:rsidP="00554B5A">
      <w:r w:rsidRPr="004B3902">
        <w:t xml:space="preserve">The population description in the MBS has not been adjusted to reflect the narrowing of the population to “carriers of pathogenic or likely pathogenic germline </w:t>
      </w:r>
      <w:r w:rsidR="004F36FB">
        <w:t>variant</w:t>
      </w:r>
      <w:r w:rsidRPr="004B3902">
        <w:t xml:space="preserve">s in </w:t>
      </w:r>
      <w:r w:rsidRPr="004B3902">
        <w:rPr>
          <w:i/>
          <w:iCs/>
        </w:rPr>
        <w:t>TP53</w:t>
      </w:r>
      <w:r w:rsidRPr="004B3902">
        <w:t xml:space="preserve">, who have either never had a cancer diagnosis, or have had a prior cancer treated systemically with curative intent more than 2 years previously and who remain disease-free” due to the term “disease free’ of cancer being a subjective assessment by the clinician without any objective measures. </w:t>
      </w:r>
      <w:r w:rsidR="00D80153">
        <w:t xml:space="preserve">Additionally, the purpose of WBMRI is to detect new primary </w:t>
      </w:r>
      <w:proofErr w:type="gramStart"/>
      <w:r w:rsidR="00D80153">
        <w:t>cancers  that</w:t>
      </w:r>
      <w:proofErr w:type="gramEnd"/>
      <w:r w:rsidR="00D80153">
        <w:t xml:space="preserve"> current </w:t>
      </w:r>
      <w:r w:rsidR="004D0C89">
        <w:t xml:space="preserve">cancer risk management </w:t>
      </w:r>
      <w:r w:rsidR="00D80153">
        <w:t>regimen</w:t>
      </w:r>
      <w:r w:rsidR="00B0239E">
        <w:t>s</w:t>
      </w:r>
      <w:r w:rsidR="00D80153">
        <w:t xml:space="preserve"> are not designed to detect. As such, new cancers can be detec</w:t>
      </w:r>
      <w:r w:rsidR="004E57ED">
        <w:t>ted</w:t>
      </w:r>
      <w:r w:rsidR="004D0C89">
        <w:t xml:space="preserve"> in these patients</w:t>
      </w:r>
      <w:r w:rsidR="004E57ED">
        <w:t xml:space="preserve"> by the current </w:t>
      </w:r>
      <w:r w:rsidR="004D0C89">
        <w:t xml:space="preserve">cancer </w:t>
      </w:r>
      <w:r w:rsidR="004E57ED">
        <w:t>surveillance regimen or by WBMRI. Therefore</w:t>
      </w:r>
      <w:r w:rsidR="00B0239E">
        <w:t xml:space="preserve">, </w:t>
      </w:r>
      <w:r w:rsidR="00D80153">
        <w:t xml:space="preserve">the </w:t>
      </w:r>
      <w:r w:rsidR="004E57ED">
        <w:t xml:space="preserve">efficacy of continuing </w:t>
      </w:r>
      <w:r w:rsidR="00D80153">
        <w:t>surveillance with WBMRI</w:t>
      </w:r>
      <w:r w:rsidR="00127D2B">
        <w:t xml:space="preserve"> after a diagnosis of cancer</w:t>
      </w:r>
      <w:r w:rsidR="004D0C89">
        <w:t>, in an individual patient,</w:t>
      </w:r>
      <w:r w:rsidR="00D80153">
        <w:t xml:space="preserve"> is best left to the</w:t>
      </w:r>
      <w:r w:rsidR="004E57ED">
        <w:t xml:space="preserve"> treating</w:t>
      </w:r>
      <w:r w:rsidR="00D80153">
        <w:t xml:space="preserve"> clinician</w:t>
      </w:r>
      <w:r w:rsidR="004E57ED">
        <w:t>.</w:t>
      </w:r>
    </w:p>
    <w:p w14:paraId="34E0B08F" w14:textId="059E6167" w:rsidR="00772829" w:rsidRDefault="00262C24" w:rsidP="002A18BE">
      <w:pPr>
        <w:pStyle w:val="Heading2"/>
        <w:numPr>
          <w:ilvl w:val="0"/>
          <w:numId w:val="0"/>
        </w:numPr>
      </w:pPr>
      <w:bookmarkStart w:id="9" w:name="_Toc102443844"/>
      <w:r>
        <w:t>7</w:t>
      </w:r>
      <w:r w:rsidR="00C36633">
        <w:t>.</w:t>
      </w:r>
      <w:r w:rsidR="00C36633">
        <w:tab/>
      </w:r>
      <w:r w:rsidR="00772829" w:rsidRPr="00CE28E3">
        <w:t>Population</w:t>
      </w:r>
      <w:bookmarkEnd w:id="9"/>
    </w:p>
    <w:p w14:paraId="17545523" w14:textId="123ED802" w:rsidR="004B3902" w:rsidRDefault="004B3902" w:rsidP="004B3902">
      <w:r>
        <w:t xml:space="preserve">The requested population are patients who have a pathogenic or likely pathogenic germline variant of the </w:t>
      </w:r>
      <w:r w:rsidRPr="00F563DF">
        <w:rPr>
          <w:i/>
          <w:iCs/>
        </w:rPr>
        <w:t>TP53</w:t>
      </w:r>
      <w:r>
        <w:t xml:space="preserve"> gene, confirmed by an accredited molecular pathology laboratory and have either never had a cancer diagnosis, or have had a prior cancer treated systemically with curative intent more than two years previously and who remain disease free. </w:t>
      </w:r>
      <w:r w:rsidR="00B043ED">
        <w:t xml:space="preserve">Given that </w:t>
      </w:r>
      <w:r w:rsidR="00B043ED" w:rsidRPr="00B043ED">
        <w:t>pathogenic or likely pathogenic germline variant</w:t>
      </w:r>
      <w:r w:rsidR="00B043ED">
        <w:t>s</w:t>
      </w:r>
      <w:r w:rsidR="00B043ED" w:rsidRPr="00B043ED">
        <w:t xml:space="preserve"> of the </w:t>
      </w:r>
      <w:r w:rsidR="00B043ED" w:rsidRPr="00B043ED">
        <w:rPr>
          <w:i/>
          <w:iCs/>
        </w:rPr>
        <w:t>TP53</w:t>
      </w:r>
      <w:r w:rsidR="00B043ED" w:rsidRPr="00B043ED">
        <w:t xml:space="preserve"> gene</w:t>
      </w:r>
      <w:r w:rsidR="00B043ED">
        <w:t xml:space="preserve"> have autosomal dominant inheritance and are highly penetrant, </w:t>
      </w:r>
      <w:r w:rsidR="006063DC">
        <w:t>carriers are considered the at-risk affected population.</w:t>
      </w:r>
    </w:p>
    <w:p w14:paraId="1952EDDE" w14:textId="4644911D" w:rsidR="004B3902" w:rsidRDefault="004B3902" w:rsidP="004B3902">
      <w:r>
        <w:t xml:space="preserve">There is only one PICO set. WBMRI will be used in addition to current technology usually after current cancer risk management options but may be used concomitantly. The population as outlined above is narrower than that described in the PICO, by the addition of requiring that the patients have either never had a cancer </w:t>
      </w:r>
      <w:proofErr w:type="gramStart"/>
      <w:r>
        <w:t>diagnosis, or</w:t>
      </w:r>
      <w:proofErr w:type="gramEnd"/>
      <w:r>
        <w:t xml:space="preserve"> have had a prior cancer treated systemically with curative intent more than two years previously</w:t>
      </w:r>
      <w:r w:rsidR="00237AE5">
        <w:t>,</w:t>
      </w:r>
      <w:r>
        <w:t xml:space="preserve"> and who remain disease free.</w:t>
      </w:r>
    </w:p>
    <w:p w14:paraId="1D7C226F" w14:textId="01BA3467" w:rsidR="004B3902" w:rsidRDefault="004B3902" w:rsidP="004B3902">
      <w:r>
        <w:t xml:space="preserve">The difference between the current and the proposed clinical management algorithm is the </w:t>
      </w:r>
      <w:r w:rsidR="00F77D81">
        <w:t>addition</w:t>
      </w:r>
      <w:r>
        <w:t xml:space="preserve"> of </w:t>
      </w:r>
      <w:r w:rsidR="00AE4EF8">
        <w:t>WB</w:t>
      </w:r>
      <w:r>
        <w:t xml:space="preserve">MRI to the surveillance of individuals with </w:t>
      </w:r>
      <w:r w:rsidR="00611E12">
        <w:t xml:space="preserve">a </w:t>
      </w:r>
      <w:r>
        <w:t xml:space="preserve">clinically actionable pathogenic or likely pathogenic germline variant of </w:t>
      </w:r>
      <w:r w:rsidRPr="0070379C">
        <w:rPr>
          <w:i/>
          <w:iCs/>
        </w:rPr>
        <w:t>TP53</w:t>
      </w:r>
      <w:r>
        <w:t xml:space="preserve">. </w:t>
      </w:r>
      <w:r w:rsidR="00AE4EF8">
        <w:t>I</w:t>
      </w:r>
      <w:r>
        <w:t xml:space="preserve">n terms of the proposed clinical management pathway, WBMRI will sit alongside other cancer risk surveillance options. </w:t>
      </w:r>
      <w:r w:rsidR="00AE4EF8">
        <w:t xml:space="preserve">It is not anticipated that there will be any differences in how these individuals are managed </w:t>
      </w:r>
      <w:r w:rsidR="00AE4EF8" w:rsidRPr="00494BA6">
        <w:rPr>
          <w:i/>
          <w:iCs/>
        </w:rPr>
        <w:t>per se</w:t>
      </w:r>
      <w:r w:rsidR="00AE4EF8">
        <w:t>, but that earlier detection will enable earlier access to these management options</w:t>
      </w:r>
      <w:r w:rsidR="004D0C89">
        <w:t>.</w:t>
      </w:r>
    </w:p>
    <w:p w14:paraId="3E41CC6C" w14:textId="4123C42E" w:rsidR="004B3902" w:rsidRDefault="004B3902" w:rsidP="004B3902">
      <w:r>
        <w:lastRenderedPageBreak/>
        <w:t xml:space="preserve">The DCAR of WBMRI for surveillance of patients with a pathogenic or likely pathogenic </w:t>
      </w:r>
      <w:r w:rsidRPr="00FA30A4">
        <w:rPr>
          <w:i/>
          <w:iCs/>
        </w:rPr>
        <w:t>TP53</w:t>
      </w:r>
      <w:r>
        <w:t xml:space="preserve"> variant </w:t>
      </w:r>
      <w:r w:rsidRPr="007D3FA3">
        <w:t xml:space="preserve">addresses </w:t>
      </w:r>
      <w:r w:rsidRPr="00987C77">
        <w:t>most</w:t>
      </w:r>
      <w:r w:rsidRPr="007D3FA3">
        <w:t xml:space="preserve"> of</w:t>
      </w:r>
      <w:r>
        <w:t xml:space="preserve"> the PICO element</w:t>
      </w:r>
      <w:r w:rsidR="00904429">
        <w:t>s</w:t>
      </w:r>
      <w:r>
        <w:t xml:space="preserve"> that were prespecified in the PICO confirmation that was ratified by PASC. As described above the population has been narrowed to require that eligible patients are cancer free after two year</w:t>
      </w:r>
      <w:r w:rsidR="00196DBA">
        <w:t>s</w:t>
      </w:r>
      <w:r>
        <w:t xml:space="preserve"> of being treated systemically with curative intent.</w:t>
      </w:r>
    </w:p>
    <w:p w14:paraId="66BDFCC1" w14:textId="0492C1E1" w:rsidR="00772829" w:rsidRDefault="00262C24" w:rsidP="002A18BE">
      <w:pPr>
        <w:pStyle w:val="Heading2"/>
        <w:numPr>
          <w:ilvl w:val="0"/>
          <w:numId w:val="0"/>
        </w:numPr>
      </w:pPr>
      <w:bookmarkStart w:id="10" w:name="_Toc102443845"/>
      <w:r>
        <w:t>8</w:t>
      </w:r>
      <w:r w:rsidR="00C36633">
        <w:t>.</w:t>
      </w:r>
      <w:r w:rsidR="00C36633">
        <w:tab/>
      </w:r>
      <w:r w:rsidR="00772829" w:rsidRPr="00CE28E3">
        <w:t>Comparator</w:t>
      </w:r>
      <w:bookmarkEnd w:id="10"/>
    </w:p>
    <w:p w14:paraId="1ACDCE22" w14:textId="5F78FA4E" w:rsidR="00F77D81" w:rsidRDefault="00F77D81" w:rsidP="00F77D81">
      <w:r w:rsidRPr="00271E32">
        <w:t xml:space="preserve">The nominated comparator is current cancer risk management in individuals with germline pathogenic </w:t>
      </w:r>
      <w:r w:rsidRPr="00F77D81">
        <w:rPr>
          <w:i/>
          <w:iCs/>
        </w:rPr>
        <w:t>TP53</w:t>
      </w:r>
      <w:r w:rsidRPr="00271E32">
        <w:t xml:space="preserve"> variants, which are standard MBS-funded management options. The proposed intervention, WBMRI, would be in addition to this current cancer risk management. It has been noted that standard cancer risk management</w:t>
      </w:r>
      <w:r w:rsidR="00237AE5">
        <w:t xml:space="preserve"> in this condition</w:t>
      </w:r>
      <w:r w:rsidRPr="00271E32">
        <w:t xml:space="preserve"> is complex, </w:t>
      </w:r>
      <w:proofErr w:type="gramStart"/>
      <w:r w:rsidRPr="00271E32">
        <w:t>evolving</w:t>
      </w:r>
      <w:proofErr w:type="gramEnd"/>
      <w:r w:rsidRPr="00271E32">
        <w:t xml:space="preserve"> and patient specific</w:t>
      </w:r>
      <w:r>
        <w:t>.</w:t>
      </w:r>
    </w:p>
    <w:p w14:paraId="632B9A5D" w14:textId="74FF0A5C" w:rsidR="00F77D81" w:rsidRPr="00F77D81" w:rsidRDefault="00F77D81" w:rsidP="00F77D81">
      <w:r>
        <w:t>The standard MBS-funded management options include annual physical examination, annual breast MRI from age 20 for women, prophylactic mastectomy, annual brain MRI</w:t>
      </w:r>
      <w:r w:rsidR="00462585">
        <w:t xml:space="preserve"> (for children)</w:t>
      </w:r>
      <w:r>
        <w:t xml:space="preserve"> as well as 2-5 yearly colonoscopy from age 20 and 2-5 yearly </w:t>
      </w:r>
      <w:r w:rsidR="00237AE5">
        <w:t xml:space="preserve">upper gastrointestinal tract </w:t>
      </w:r>
      <w:r>
        <w:t>endoscopy from age 25.</w:t>
      </w:r>
    </w:p>
    <w:p w14:paraId="47BC3A84" w14:textId="505077B5" w:rsidR="00772829" w:rsidRPr="00CE28E3" w:rsidRDefault="00262C24" w:rsidP="002A18BE">
      <w:pPr>
        <w:pStyle w:val="Heading2"/>
        <w:numPr>
          <w:ilvl w:val="0"/>
          <w:numId w:val="0"/>
        </w:numPr>
      </w:pPr>
      <w:bookmarkStart w:id="11" w:name="_Toc102443846"/>
      <w:r>
        <w:t>9</w:t>
      </w:r>
      <w:r w:rsidR="00C36633">
        <w:t>.</w:t>
      </w:r>
      <w:r w:rsidR="00C36633">
        <w:tab/>
      </w:r>
      <w:r w:rsidR="00772829" w:rsidRPr="00CE28E3">
        <w:t xml:space="preserve">Summary of public consultation </w:t>
      </w:r>
      <w:r w:rsidR="0052575D">
        <w:t>input</w:t>
      </w:r>
      <w:bookmarkEnd w:id="11"/>
    </w:p>
    <w:p w14:paraId="3E7B0964" w14:textId="7128B92C" w:rsidR="00F77D81" w:rsidRDefault="00F77D81" w:rsidP="00F77D81">
      <w:r>
        <w:t xml:space="preserve">Input was received from </w:t>
      </w:r>
      <w:r w:rsidR="00242635">
        <w:t xml:space="preserve">eight (8) individuals and </w:t>
      </w:r>
      <w:r>
        <w:t xml:space="preserve">the following </w:t>
      </w:r>
      <w:r w:rsidR="00242635">
        <w:t xml:space="preserve">seven </w:t>
      </w:r>
      <w:r>
        <w:t>(</w:t>
      </w:r>
      <w:r w:rsidR="00242635">
        <w:t>7</w:t>
      </w:r>
      <w:r>
        <w:t>) organisations:</w:t>
      </w:r>
    </w:p>
    <w:p w14:paraId="112419D2" w14:textId="77777777" w:rsidR="00F77D81" w:rsidRDefault="00F77D81" w:rsidP="00411DE4">
      <w:pPr>
        <w:pStyle w:val="ListParagraph"/>
        <w:numPr>
          <w:ilvl w:val="0"/>
          <w:numId w:val="49"/>
        </w:numPr>
      </w:pPr>
      <w:r>
        <w:t>Australian Diagnostic Imaging Association (ADIA)</w:t>
      </w:r>
    </w:p>
    <w:p w14:paraId="30FF549F" w14:textId="77777777" w:rsidR="00F77D81" w:rsidRDefault="00F77D81" w:rsidP="00411DE4">
      <w:pPr>
        <w:pStyle w:val="ListParagraph"/>
        <w:numPr>
          <w:ilvl w:val="0"/>
          <w:numId w:val="49"/>
        </w:numPr>
      </w:pPr>
      <w:r>
        <w:t>Medical Oncology Group of Australia (MOGA)</w:t>
      </w:r>
    </w:p>
    <w:p w14:paraId="4E5E2E9A" w14:textId="77777777" w:rsidR="00F77D81" w:rsidRDefault="00F77D81" w:rsidP="00411DE4">
      <w:pPr>
        <w:pStyle w:val="ListParagraph"/>
        <w:numPr>
          <w:ilvl w:val="0"/>
          <w:numId w:val="49"/>
        </w:numPr>
      </w:pPr>
      <w:r>
        <w:t>Royal College of Pathologists of Australasia (RCPA) - Australian Clinical Labs</w:t>
      </w:r>
    </w:p>
    <w:p w14:paraId="0E2EB7CB" w14:textId="77777777" w:rsidR="00F77D81" w:rsidRDefault="00F77D81" w:rsidP="00411DE4">
      <w:pPr>
        <w:pStyle w:val="ListParagraph"/>
        <w:numPr>
          <w:ilvl w:val="0"/>
          <w:numId w:val="49"/>
        </w:numPr>
      </w:pPr>
      <w:r>
        <w:t>Genetic Alliance Australia</w:t>
      </w:r>
    </w:p>
    <w:p w14:paraId="314DA52A" w14:textId="4254CC70" w:rsidR="00F77D81" w:rsidRDefault="00F77D81" w:rsidP="00411DE4">
      <w:pPr>
        <w:pStyle w:val="ListParagraph"/>
        <w:numPr>
          <w:ilvl w:val="0"/>
          <w:numId w:val="49"/>
        </w:numPr>
      </w:pPr>
      <w:r>
        <w:t>The Royal Australian and New Zealand College of Radiologists (RANZCR)</w:t>
      </w:r>
    </w:p>
    <w:p w14:paraId="47C4A27A" w14:textId="4D1AA832" w:rsidR="00242635" w:rsidRDefault="00242635" w:rsidP="00411DE4">
      <w:pPr>
        <w:pStyle w:val="ListParagraph"/>
        <w:numPr>
          <w:ilvl w:val="0"/>
          <w:numId w:val="49"/>
        </w:numPr>
      </w:pPr>
      <w:r>
        <w:t xml:space="preserve">Genetic Health Queensland </w:t>
      </w:r>
    </w:p>
    <w:p w14:paraId="12B36D58" w14:textId="44DBD632" w:rsidR="00242635" w:rsidRDefault="00242635" w:rsidP="00411DE4">
      <w:pPr>
        <w:pStyle w:val="ListParagraph"/>
        <w:numPr>
          <w:ilvl w:val="0"/>
          <w:numId w:val="49"/>
        </w:numPr>
      </w:pPr>
      <w:r>
        <w:t>Parkville Familial Cancer Centre &amp; Peter MacCallum Cancer Centre</w:t>
      </w:r>
    </w:p>
    <w:p w14:paraId="17AE8452" w14:textId="7DF30C76" w:rsidR="00F77D81" w:rsidRDefault="00F77D81" w:rsidP="00F77D81">
      <w:r>
        <w:t xml:space="preserve">Feedback was supportive of the application for public funding of WBMRI for the detection of cancer in individuals with germline pathogenic </w:t>
      </w:r>
      <w:r w:rsidRPr="00F77D81">
        <w:rPr>
          <w:i/>
          <w:iCs/>
        </w:rPr>
        <w:t xml:space="preserve">TP53 </w:t>
      </w:r>
      <w:r>
        <w:t>variants. One group noted that individuals with Li-Fraumeni syndrome have an extremely high lifetime risk of cancer.</w:t>
      </w:r>
    </w:p>
    <w:p w14:paraId="1D16FA1C" w14:textId="77777777" w:rsidR="00F77D81" w:rsidRDefault="00F77D81" w:rsidP="00411DE4">
      <w:pPr>
        <w:keepNext/>
      </w:pPr>
      <w:r>
        <w:t>Consultation feedback suggested the advantages were:</w:t>
      </w:r>
    </w:p>
    <w:p w14:paraId="1585C01E" w14:textId="77777777" w:rsidR="00F77D81" w:rsidRDefault="00F77D81" w:rsidP="00411DE4">
      <w:pPr>
        <w:pStyle w:val="ListParagraph"/>
        <w:numPr>
          <w:ilvl w:val="0"/>
          <w:numId w:val="49"/>
        </w:numPr>
      </w:pPr>
      <w:r>
        <w:t>WBMRI is a safe and sensitive method of screening for the proposed population.</w:t>
      </w:r>
    </w:p>
    <w:p w14:paraId="4727FE5D" w14:textId="3F276698" w:rsidR="00F77D81" w:rsidRDefault="00F77D81" w:rsidP="00411DE4">
      <w:pPr>
        <w:pStyle w:val="ListParagraph"/>
        <w:numPr>
          <w:ilvl w:val="0"/>
          <w:numId w:val="49"/>
        </w:numPr>
      </w:pPr>
      <w:r>
        <w:t>Early detection and management of inherited cancers may result in downstaging of disease.</w:t>
      </w:r>
    </w:p>
    <w:p w14:paraId="645609DA" w14:textId="77777777" w:rsidR="00F77D81" w:rsidRDefault="00F77D81" w:rsidP="00411DE4">
      <w:pPr>
        <w:pStyle w:val="ListParagraph"/>
        <w:numPr>
          <w:ilvl w:val="0"/>
          <w:numId w:val="49"/>
        </w:numPr>
      </w:pPr>
      <w:r>
        <w:t>Screening using WBMRI could provide a psychosocial benefit to patients and their families.</w:t>
      </w:r>
    </w:p>
    <w:p w14:paraId="53C4E8C1" w14:textId="77777777" w:rsidR="00F77D81" w:rsidRDefault="00F77D81" w:rsidP="00411DE4">
      <w:pPr>
        <w:pStyle w:val="ListParagraph"/>
        <w:numPr>
          <w:ilvl w:val="0"/>
          <w:numId w:val="49"/>
        </w:numPr>
      </w:pPr>
      <w:r>
        <w:t>Early detection may increase effectiveness of treatment.</w:t>
      </w:r>
    </w:p>
    <w:p w14:paraId="442217EB" w14:textId="5B587BB8" w:rsidR="00F77D81" w:rsidRDefault="00F77D81" w:rsidP="00411DE4">
      <w:pPr>
        <w:pStyle w:val="ListParagraph"/>
        <w:numPr>
          <w:ilvl w:val="0"/>
          <w:numId w:val="49"/>
        </w:numPr>
      </w:pPr>
      <w:r>
        <w:t>WBMRI is endorsed for the proposed use within</w:t>
      </w:r>
      <w:r w:rsidR="00977582">
        <w:t xml:space="preserve"> national and</w:t>
      </w:r>
      <w:r>
        <w:t xml:space="preserve"> international guidelines.</w:t>
      </w:r>
    </w:p>
    <w:p w14:paraId="707FA8E8" w14:textId="6B38AFDC" w:rsidR="00F77D81" w:rsidRDefault="00F77D81" w:rsidP="00411DE4">
      <w:pPr>
        <w:pStyle w:val="ListParagraph"/>
        <w:numPr>
          <w:ilvl w:val="0"/>
          <w:numId w:val="49"/>
        </w:numPr>
      </w:pPr>
      <w:r>
        <w:t>Early detection of inherited cancers may limit the cancer burden on affected individuals and their families.</w:t>
      </w:r>
    </w:p>
    <w:p w14:paraId="6C7FCC7B" w14:textId="6597A10B" w:rsidR="00F77D81" w:rsidRDefault="00082EA7" w:rsidP="00411DE4">
      <w:pPr>
        <w:keepNext/>
      </w:pPr>
      <w:r>
        <w:t>Consultation feedback suggested the d</w:t>
      </w:r>
      <w:r w:rsidR="00F77D81">
        <w:t>isadvantages of the proposed testing were:</w:t>
      </w:r>
    </w:p>
    <w:p w14:paraId="7DD482CA" w14:textId="050A1C4F" w:rsidR="00F77D81" w:rsidRDefault="00082EA7" w:rsidP="00411DE4">
      <w:pPr>
        <w:pStyle w:val="ListParagraph"/>
        <w:numPr>
          <w:ilvl w:val="0"/>
          <w:numId w:val="49"/>
        </w:numPr>
      </w:pPr>
      <w:r>
        <w:t>l</w:t>
      </w:r>
      <w:r w:rsidR="00F77D81">
        <w:t xml:space="preserve">ong </w:t>
      </w:r>
      <w:r w:rsidR="009A2882">
        <w:t xml:space="preserve">WBMRI </w:t>
      </w:r>
      <w:r w:rsidR="00F77D81">
        <w:t>examination time</w:t>
      </w:r>
    </w:p>
    <w:p w14:paraId="5CAA862D" w14:textId="4A33BD7A" w:rsidR="00F77D81" w:rsidRDefault="00082EA7" w:rsidP="00411DE4">
      <w:pPr>
        <w:pStyle w:val="ListParagraph"/>
        <w:numPr>
          <w:ilvl w:val="0"/>
          <w:numId w:val="49"/>
        </w:numPr>
      </w:pPr>
      <w:r>
        <w:t xml:space="preserve">the </w:t>
      </w:r>
      <w:r w:rsidR="00954B6D">
        <w:t>c</w:t>
      </w:r>
      <w:r w:rsidR="00F77D81">
        <w:t>ost associated with attending additional appointments including loss of income, particularly for those in rural or remote communities</w:t>
      </w:r>
    </w:p>
    <w:p w14:paraId="14EA63DC" w14:textId="08190788" w:rsidR="00F77D81" w:rsidRDefault="00082EA7" w:rsidP="00411DE4">
      <w:pPr>
        <w:pStyle w:val="ListParagraph"/>
        <w:numPr>
          <w:ilvl w:val="0"/>
          <w:numId w:val="49"/>
        </w:numPr>
      </w:pPr>
      <w:r>
        <w:t>p</w:t>
      </w:r>
      <w:r w:rsidR="00F77D81">
        <w:t>otential psychological impact</w:t>
      </w:r>
      <w:r w:rsidR="004C3D4B">
        <w:t>s</w:t>
      </w:r>
      <w:r w:rsidR="00954B6D">
        <w:t xml:space="preserve"> (</w:t>
      </w:r>
      <w:proofErr w:type="gramStart"/>
      <w:r w:rsidR="00954B6D">
        <w:t>e.g.</w:t>
      </w:r>
      <w:proofErr w:type="gramEnd"/>
      <w:r w:rsidR="00954B6D">
        <w:t xml:space="preserve"> anxiety a</w:t>
      </w:r>
      <w:r w:rsidR="00972F4E">
        <w:t>ssociated with scanning</w:t>
      </w:r>
      <w:r w:rsidR="00954B6D">
        <w:t>)</w:t>
      </w:r>
    </w:p>
    <w:p w14:paraId="7F05BDE5" w14:textId="127BF105" w:rsidR="00F77D81" w:rsidRDefault="00082EA7" w:rsidP="00411DE4">
      <w:pPr>
        <w:pStyle w:val="ListParagraph"/>
        <w:numPr>
          <w:ilvl w:val="0"/>
          <w:numId w:val="49"/>
        </w:numPr>
      </w:pPr>
      <w:r>
        <w:lastRenderedPageBreak/>
        <w:t>t</w:t>
      </w:r>
      <w:r w:rsidR="00F77D81">
        <w:t>he potential for false positives</w:t>
      </w:r>
    </w:p>
    <w:p w14:paraId="1A52E544" w14:textId="0AF04C3B" w:rsidR="00F77D81" w:rsidRDefault="00082EA7" w:rsidP="00411DE4">
      <w:pPr>
        <w:pStyle w:val="ListParagraph"/>
        <w:numPr>
          <w:ilvl w:val="0"/>
          <w:numId w:val="49"/>
        </w:numPr>
      </w:pPr>
      <w:r>
        <w:t>i</w:t>
      </w:r>
      <w:r w:rsidR="00F77D81">
        <w:t>ndividuals with implants or devices that are contraindicated/unsafe in a magnetic field w</w:t>
      </w:r>
      <w:r>
        <w:t>ould</w:t>
      </w:r>
      <w:r w:rsidR="00F77D81">
        <w:t xml:space="preserve"> be excluded from the service.</w:t>
      </w:r>
    </w:p>
    <w:p w14:paraId="447C9C84" w14:textId="36208009" w:rsidR="00F77D81" w:rsidRDefault="00082EA7" w:rsidP="00082EA7">
      <w:r>
        <w:t>A f</w:t>
      </w:r>
      <w:r w:rsidR="00F77D81">
        <w:t>urther comment received in consultation feedback w</w:t>
      </w:r>
      <w:r>
        <w:t xml:space="preserve">as that </w:t>
      </w:r>
      <w:r w:rsidR="00F77D81">
        <w:t xml:space="preserve">MSAC could consider the inclusion of other syndromes with increased risk of cancer such as Lynch Syndrome or those with </w:t>
      </w:r>
      <w:r w:rsidR="00F77D81" w:rsidRPr="00F77D81">
        <w:rPr>
          <w:i/>
          <w:iCs/>
        </w:rPr>
        <w:t>BRCA1</w:t>
      </w:r>
      <w:r w:rsidR="00F77D81">
        <w:t xml:space="preserve"> and </w:t>
      </w:r>
      <w:r w:rsidR="00F77D81" w:rsidRPr="00F77D81">
        <w:rPr>
          <w:i/>
          <w:iCs/>
        </w:rPr>
        <w:t>BRCA2</w:t>
      </w:r>
      <w:r w:rsidR="00F77D81">
        <w:t xml:space="preserve"> </w:t>
      </w:r>
      <w:r>
        <w:t xml:space="preserve">pathogenic </w:t>
      </w:r>
      <w:r w:rsidR="00F77D81">
        <w:t xml:space="preserve">variants. The applicant agreed and stated that this </w:t>
      </w:r>
      <w:r>
        <w:t xml:space="preserve">is seen </w:t>
      </w:r>
      <w:r w:rsidR="00F77D81">
        <w:t>as the future</w:t>
      </w:r>
      <w:r>
        <w:t>,</w:t>
      </w:r>
      <w:r w:rsidR="00F77D81">
        <w:t xml:space="preserve"> noting that </w:t>
      </w:r>
      <w:r w:rsidR="00F77D81" w:rsidRPr="00F77D81">
        <w:rPr>
          <w:i/>
          <w:iCs/>
        </w:rPr>
        <w:t>RB1, BRCA2, PTEN, VHL</w:t>
      </w:r>
      <w:r w:rsidR="00F77D81">
        <w:t xml:space="preserve"> and several other penetrant cancer syndromes have a broad spectrum of cancer susceptibility that may also be amenable to WBMRI. However, the applicant noted that specific data for the benefit of WBMRI for patients with variants in other genes remain to be generated.</w:t>
      </w:r>
    </w:p>
    <w:p w14:paraId="03C7A1F1" w14:textId="3D8570BE" w:rsidR="00772829" w:rsidRPr="00CE28E3" w:rsidRDefault="00262C24" w:rsidP="002A18BE">
      <w:pPr>
        <w:pStyle w:val="Heading2"/>
        <w:numPr>
          <w:ilvl w:val="0"/>
          <w:numId w:val="0"/>
        </w:numPr>
      </w:pPr>
      <w:bookmarkStart w:id="12" w:name="_Toc102443847"/>
      <w:r>
        <w:t>10</w:t>
      </w:r>
      <w:r w:rsidR="00C36633">
        <w:t>.</w:t>
      </w:r>
      <w:r w:rsidR="00C36633">
        <w:tab/>
      </w:r>
      <w:r w:rsidR="00772829" w:rsidRPr="00CE28E3">
        <w:t>Characteristics of the evidence base</w:t>
      </w:r>
      <w:bookmarkEnd w:id="12"/>
    </w:p>
    <w:p w14:paraId="005968B3" w14:textId="1E0AAA3C" w:rsidR="00956ACE" w:rsidRPr="00CE28E3" w:rsidRDefault="00956ACE" w:rsidP="009A06F4">
      <w:pPr>
        <w:pStyle w:val="Caption"/>
        <w:rPr>
          <w:sz w:val="16"/>
          <w:szCs w:val="16"/>
        </w:rPr>
      </w:pPr>
      <w:bookmarkStart w:id="13" w:name="_Ref69725659"/>
      <w:r w:rsidRPr="00CE28E3">
        <w:t>Table</w:t>
      </w:r>
      <w:r w:rsidR="004A4FDF">
        <w:t> </w:t>
      </w:r>
      <w:r w:rsidR="0067109A">
        <w:fldChar w:fldCharType="begin"/>
      </w:r>
      <w:r w:rsidR="0067109A">
        <w:instrText xml:space="preserve"> SEQ Table \* ARABIC </w:instrText>
      </w:r>
      <w:r w:rsidR="0067109A">
        <w:fldChar w:fldCharType="separate"/>
      </w:r>
      <w:r w:rsidR="00822248">
        <w:rPr>
          <w:noProof/>
        </w:rPr>
        <w:t>2</w:t>
      </w:r>
      <w:r w:rsidR="0067109A">
        <w:rPr>
          <w:noProof/>
        </w:rPr>
        <w:fldChar w:fldCharType="end"/>
      </w:r>
      <w:bookmarkEnd w:id="13"/>
      <w:r w:rsidRPr="00CE28E3">
        <w:tab/>
        <w:t>Key features of the included evidence</w:t>
      </w:r>
    </w:p>
    <w:tbl>
      <w:tblPr>
        <w:tblStyle w:val="TableGrid1"/>
        <w:tblW w:w="5000" w:type="pct"/>
        <w:tblLook w:val="04A0" w:firstRow="1" w:lastRow="0" w:firstColumn="1" w:lastColumn="0" w:noHBand="0" w:noVBand="1"/>
      </w:tblPr>
      <w:tblGrid>
        <w:gridCol w:w="1554"/>
        <w:gridCol w:w="3587"/>
        <w:gridCol w:w="1800"/>
        <w:gridCol w:w="2075"/>
      </w:tblGrid>
      <w:tr w:rsidR="00956ACE" w:rsidRPr="00CE28E3" w14:paraId="530E3954" w14:textId="77777777" w:rsidTr="004A2E20">
        <w:trPr>
          <w:cnfStyle w:val="100000000000" w:firstRow="1" w:lastRow="0" w:firstColumn="0" w:lastColumn="0" w:oddVBand="0" w:evenVBand="0" w:oddHBand="0" w:evenHBand="0" w:firstRowFirstColumn="0" w:firstRowLastColumn="0" w:lastRowFirstColumn="0" w:lastRowLastColumn="0"/>
          <w:tblHeader/>
        </w:trPr>
        <w:tc>
          <w:tcPr>
            <w:tcW w:w="862" w:type="pct"/>
            <w:tcBorders>
              <w:top w:val="single" w:sz="4" w:space="0" w:color="auto"/>
              <w:left w:val="single" w:sz="4" w:space="0" w:color="auto"/>
              <w:bottom w:val="single" w:sz="4" w:space="0" w:color="auto"/>
              <w:right w:val="single" w:sz="4" w:space="0" w:color="auto"/>
            </w:tcBorders>
            <w:vAlign w:val="bottom"/>
          </w:tcPr>
          <w:p w14:paraId="0112563A" w14:textId="3CE1178E" w:rsidR="00956ACE" w:rsidRPr="00CE28E3" w:rsidRDefault="00BC4972" w:rsidP="00670650">
            <w:pPr>
              <w:pStyle w:val="TableText"/>
              <w:keepNext/>
              <w:rPr>
                <w:b/>
              </w:rPr>
            </w:pPr>
            <w:bookmarkStart w:id="14" w:name="ColumnTitle_Table4"/>
            <w:bookmarkStart w:id="15" w:name="_Hlk68276288"/>
            <w:bookmarkEnd w:id="14"/>
            <w:r>
              <w:rPr>
                <w:b/>
              </w:rPr>
              <w:t>Criteri</w:t>
            </w:r>
            <w:r w:rsidR="004D4425">
              <w:rPr>
                <w:b/>
              </w:rPr>
              <w:t>on</w:t>
            </w:r>
          </w:p>
        </w:tc>
        <w:tc>
          <w:tcPr>
            <w:tcW w:w="1989" w:type="pct"/>
            <w:tcBorders>
              <w:top w:val="single" w:sz="4" w:space="0" w:color="auto"/>
              <w:left w:val="single" w:sz="4" w:space="0" w:color="auto"/>
              <w:bottom w:val="single" w:sz="4" w:space="0" w:color="auto"/>
              <w:right w:val="single" w:sz="4" w:space="0" w:color="auto"/>
            </w:tcBorders>
            <w:vAlign w:val="bottom"/>
            <w:hideMark/>
          </w:tcPr>
          <w:p w14:paraId="37828F38" w14:textId="77777777" w:rsidR="00956ACE" w:rsidRPr="00CE28E3" w:rsidRDefault="00956ACE" w:rsidP="00670650">
            <w:pPr>
              <w:pStyle w:val="TableText"/>
              <w:keepNext/>
              <w:rPr>
                <w:b/>
              </w:rPr>
            </w:pPr>
            <w:r w:rsidRPr="00CE28E3">
              <w:rPr>
                <w:b/>
              </w:rPr>
              <w:t>Type of evidence supplied</w:t>
            </w:r>
          </w:p>
        </w:tc>
        <w:tc>
          <w:tcPr>
            <w:tcW w:w="998" w:type="pct"/>
            <w:tcBorders>
              <w:top w:val="single" w:sz="4" w:space="0" w:color="auto"/>
              <w:left w:val="single" w:sz="4" w:space="0" w:color="auto"/>
              <w:bottom w:val="single" w:sz="4" w:space="0" w:color="auto"/>
              <w:right w:val="single" w:sz="4" w:space="0" w:color="auto"/>
            </w:tcBorders>
            <w:vAlign w:val="bottom"/>
            <w:hideMark/>
          </w:tcPr>
          <w:p w14:paraId="26BD1646" w14:textId="77777777" w:rsidR="00956ACE" w:rsidRPr="00CE28E3" w:rsidRDefault="00956ACE" w:rsidP="00670650">
            <w:pPr>
              <w:pStyle w:val="TableText"/>
              <w:keepNext/>
              <w:rPr>
                <w:b/>
              </w:rPr>
            </w:pPr>
            <w:r w:rsidRPr="00CE28E3">
              <w:rPr>
                <w:b/>
              </w:rPr>
              <w:t>Extent of evidence supplied</w:t>
            </w:r>
          </w:p>
        </w:tc>
        <w:tc>
          <w:tcPr>
            <w:tcW w:w="1151" w:type="pct"/>
            <w:tcBorders>
              <w:top w:val="single" w:sz="4" w:space="0" w:color="auto"/>
              <w:left w:val="single" w:sz="4" w:space="0" w:color="auto"/>
              <w:bottom w:val="single" w:sz="4" w:space="0" w:color="auto"/>
              <w:right w:val="single" w:sz="4" w:space="0" w:color="auto"/>
            </w:tcBorders>
            <w:vAlign w:val="bottom"/>
            <w:hideMark/>
          </w:tcPr>
          <w:p w14:paraId="3F0C39B2" w14:textId="77777777" w:rsidR="00956ACE" w:rsidRPr="00CE28E3" w:rsidRDefault="00956ACE" w:rsidP="00670650">
            <w:pPr>
              <w:pStyle w:val="TableText"/>
              <w:keepNext/>
              <w:rPr>
                <w:b/>
              </w:rPr>
            </w:pPr>
            <w:r w:rsidRPr="00CE28E3">
              <w:rPr>
                <w:b/>
              </w:rPr>
              <w:t>Overall risk of bias in evidence base</w:t>
            </w:r>
          </w:p>
        </w:tc>
      </w:tr>
      <w:tr w:rsidR="007113D5" w:rsidRPr="00CE28E3" w14:paraId="5239F279" w14:textId="77777777" w:rsidTr="004A2E20">
        <w:tc>
          <w:tcPr>
            <w:tcW w:w="862" w:type="pct"/>
            <w:tcBorders>
              <w:top w:val="single" w:sz="4" w:space="0" w:color="auto"/>
              <w:left w:val="single" w:sz="4" w:space="0" w:color="auto"/>
              <w:bottom w:val="single" w:sz="4" w:space="0" w:color="auto"/>
              <w:right w:val="single" w:sz="4" w:space="0" w:color="auto"/>
            </w:tcBorders>
          </w:tcPr>
          <w:p w14:paraId="61A3C8AA" w14:textId="4D5769AE" w:rsidR="007113D5" w:rsidRPr="00CE28E3" w:rsidRDefault="007113D5" w:rsidP="00670650">
            <w:pPr>
              <w:pStyle w:val="TableText"/>
              <w:keepNext/>
            </w:pPr>
            <w:r w:rsidRPr="003B4621">
              <w:t>Direct from test to health outcomes evidence</w:t>
            </w:r>
          </w:p>
        </w:tc>
        <w:tc>
          <w:tcPr>
            <w:tcW w:w="1989" w:type="pct"/>
            <w:tcBorders>
              <w:top w:val="single" w:sz="4" w:space="0" w:color="auto"/>
              <w:left w:val="single" w:sz="4" w:space="0" w:color="auto"/>
              <w:bottom w:val="single" w:sz="4" w:space="0" w:color="auto"/>
              <w:right w:val="single" w:sz="4" w:space="0" w:color="auto"/>
            </w:tcBorders>
          </w:tcPr>
          <w:p w14:paraId="63560350" w14:textId="112932B1" w:rsidR="007113D5" w:rsidRPr="000A6472" w:rsidRDefault="007113D5" w:rsidP="00670650">
            <w:pPr>
              <w:pStyle w:val="TableText"/>
              <w:keepNext/>
            </w:pPr>
            <w:r w:rsidRPr="000A6472">
              <w:t>1 RCT; 1 prospective observational comparative study</w:t>
            </w:r>
          </w:p>
        </w:tc>
        <w:tc>
          <w:tcPr>
            <w:tcW w:w="998" w:type="pct"/>
            <w:tcBorders>
              <w:top w:val="single" w:sz="4" w:space="0" w:color="auto"/>
              <w:left w:val="single" w:sz="4" w:space="0" w:color="auto"/>
              <w:bottom w:val="single" w:sz="4" w:space="0" w:color="auto"/>
              <w:right w:val="single" w:sz="4" w:space="0" w:color="auto"/>
            </w:tcBorders>
          </w:tcPr>
          <w:p w14:paraId="75CA00EE" w14:textId="08A301BC" w:rsidR="007113D5" w:rsidRDefault="0067109A" w:rsidP="00670650">
            <w:pPr>
              <w:pStyle w:val="TableText"/>
              <w:keepNext/>
            </w:pPr>
            <w:sdt>
              <w:sdtPr>
                <w:id w:val="-571350954"/>
                <w14:checkbox>
                  <w14:checked w14:val="1"/>
                  <w14:checkedState w14:val="2612" w14:font="MS Gothic"/>
                  <w14:uncheckedState w14:val="2610" w14:font="MS Gothic"/>
                </w14:checkbox>
              </w:sdtPr>
              <w:sdtEndPr/>
              <w:sdtContent>
                <w:r w:rsidR="007113D5">
                  <w:rPr>
                    <w:rFonts w:ascii="MS Gothic" w:eastAsia="MS Gothic" w:hAnsi="MS Gothic" w:hint="eastAsia"/>
                  </w:rPr>
                  <w:t>☒</w:t>
                </w:r>
              </w:sdtContent>
            </w:sdt>
            <w:r w:rsidR="007113D5">
              <w:tab/>
              <w:t>k=2</w:t>
            </w:r>
            <w:r w:rsidR="007113D5">
              <w:tab/>
              <w:t>n=194</w:t>
            </w:r>
          </w:p>
        </w:tc>
        <w:tc>
          <w:tcPr>
            <w:tcW w:w="1151" w:type="pct"/>
            <w:tcBorders>
              <w:top w:val="single" w:sz="4" w:space="0" w:color="auto"/>
              <w:left w:val="single" w:sz="4" w:space="0" w:color="auto"/>
              <w:bottom w:val="single" w:sz="4" w:space="0" w:color="auto"/>
              <w:right w:val="single" w:sz="4" w:space="0" w:color="auto"/>
            </w:tcBorders>
          </w:tcPr>
          <w:p w14:paraId="765C4EC2" w14:textId="7B9E2A3D" w:rsidR="007113D5" w:rsidRPr="007113D5" w:rsidRDefault="007113D5" w:rsidP="007113D5">
            <w:pPr>
              <w:pStyle w:val="TableText"/>
            </w:pPr>
            <w:r w:rsidRPr="007113D5">
              <w:t>High – RCT</w:t>
            </w:r>
          </w:p>
          <w:p w14:paraId="6192A7BD" w14:textId="1226FB54" w:rsidR="007113D5" w:rsidRPr="007113D5" w:rsidRDefault="007113D5" w:rsidP="007113D5">
            <w:pPr>
              <w:pStyle w:val="TableText"/>
            </w:pPr>
            <w:r w:rsidRPr="007113D5">
              <w:t>High – comparative study</w:t>
            </w:r>
          </w:p>
        </w:tc>
      </w:tr>
      <w:tr w:rsidR="00956ACE" w:rsidRPr="00CE28E3" w14:paraId="34571304" w14:textId="77777777" w:rsidTr="004A2E20">
        <w:tc>
          <w:tcPr>
            <w:tcW w:w="862" w:type="pct"/>
            <w:tcBorders>
              <w:top w:val="single" w:sz="4" w:space="0" w:color="auto"/>
              <w:left w:val="single" w:sz="4" w:space="0" w:color="auto"/>
              <w:bottom w:val="single" w:sz="4" w:space="0" w:color="auto"/>
              <w:right w:val="single" w:sz="4" w:space="0" w:color="auto"/>
            </w:tcBorders>
            <w:hideMark/>
          </w:tcPr>
          <w:p w14:paraId="63BA3949" w14:textId="6907F19E" w:rsidR="00956ACE" w:rsidRPr="00CE28E3" w:rsidRDefault="00956ACE" w:rsidP="00670650">
            <w:pPr>
              <w:pStyle w:val="TableText"/>
              <w:keepNext/>
            </w:pPr>
            <w:r w:rsidRPr="00CE28E3">
              <w:t>Accuracy and performance of the test</w:t>
            </w:r>
          </w:p>
        </w:tc>
        <w:tc>
          <w:tcPr>
            <w:tcW w:w="1989" w:type="pct"/>
            <w:tcBorders>
              <w:top w:val="single" w:sz="4" w:space="0" w:color="auto"/>
              <w:left w:val="single" w:sz="4" w:space="0" w:color="auto"/>
              <w:bottom w:val="single" w:sz="4" w:space="0" w:color="auto"/>
              <w:right w:val="single" w:sz="4" w:space="0" w:color="auto"/>
            </w:tcBorders>
            <w:hideMark/>
          </w:tcPr>
          <w:p w14:paraId="7A348354" w14:textId="678B0276" w:rsidR="00956ACE" w:rsidRPr="00CE28E3" w:rsidRDefault="007113D5" w:rsidP="00670650">
            <w:pPr>
              <w:pStyle w:val="TableText"/>
              <w:keepNext/>
            </w:pPr>
            <w:r w:rsidRPr="003B4621">
              <w:t>8 diagnostic accuracy studies (1 meta-analysis of diagnostic accuracy studies; 7 single-arm observational studies)</w:t>
            </w:r>
          </w:p>
        </w:tc>
        <w:tc>
          <w:tcPr>
            <w:tcW w:w="998" w:type="pct"/>
            <w:tcBorders>
              <w:top w:val="single" w:sz="4" w:space="0" w:color="auto"/>
              <w:left w:val="single" w:sz="4" w:space="0" w:color="auto"/>
              <w:bottom w:val="single" w:sz="4" w:space="0" w:color="auto"/>
              <w:right w:val="single" w:sz="4" w:space="0" w:color="auto"/>
            </w:tcBorders>
            <w:hideMark/>
          </w:tcPr>
          <w:p w14:paraId="4B9F173D" w14:textId="14B23B0C" w:rsidR="00956ACE" w:rsidRPr="00CE28E3" w:rsidRDefault="0067109A" w:rsidP="00670650">
            <w:pPr>
              <w:pStyle w:val="TableText"/>
              <w:keepNext/>
            </w:pPr>
            <w:sdt>
              <w:sdtPr>
                <w:id w:val="1454910707"/>
                <w14:checkbox>
                  <w14:checked w14:val="1"/>
                  <w14:checkedState w14:val="2612" w14:font="MS Gothic"/>
                  <w14:uncheckedState w14:val="2610" w14:font="MS Gothic"/>
                </w14:checkbox>
              </w:sdtPr>
              <w:sdtEndPr/>
              <w:sdtContent>
                <w:r w:rsidR="007113D5">
                  <w:rPr>
                    <w:rFonts w:ascii="MS Gothic" w:eastAsia="MS Gothic" w:hAnsi="MS Gothic" w:hint="eastAsia"/>
                  </w:rPr>
                  <w:t>☒</w:t>
                </w:r>
              </w:sdtContent>
            </w:sdt>
            <w:r w:rsidR="00956ACE" w:rsidRPr="00CE28E3">
              <w:tab/>
              <w:t>k=</w:t>
            </w:r>
            <w:r w:rsidR="007113D5">
              <w:t>8</w:t>
            </w:r>
            <w:r w:rsidR="00956ACE" w:rsidRPr="00CE28E3">
              <w:tab/>
              <w:t>n=</w:t>
            </w:r>
            <w:r w:rsidR="007113D5">
              <w:t>1008</w:t>
            </w:r>
          </w:p>
        </w:tc>
        <w:tc>
          <w:tcPr>
            <w:tcW w:w="1151" w:type="pct"/>
            <w:tcBorders>
              <w:top w:val="single" w:sz="4" w:space="0" w:color="auto"/>
              <w:left w:val="single" w:sz="4" w:space="0" w:color="auto"/>
              <w:bottom w:val="single" w:sz="4" w:space="0" w:color="auto"/>
              <w:right w:val="single" w:sz="4" w:space="0" w:color="auto"/>
            </w:tcBorders>
            <w:hideMark/>
          </w:tcPr>
          <w:p w14:paraId="314B6464" w14:textId="0082A92C" w:rsidR="00956ACE" w:rsidRPr="003E2D8B" w:rsidRDefault="003E2D8B" w:rsidP="003E2D8B">
            <w:pPr>
              <w:pStyle w:val="TableText"/>
            </w:pPr>
            <w:r w:rsidRPr="003E2D8B">
              <w:t>High</w:t>
            </w:r>
            <w:r>
              <w:t>/unclear</w:t>
            </w:r>
            <w:r w:rsidRPr="003E2D8B">
              <w:t xml:space="preserve"> </w:t>
            </w:r>
          </w:p>
        </w:tc>
      </w:tr>
      <w:tr w:rsidR="00956ACE" w:rsidRPr="00CE28E3" w14:paraId="020F989B" w14:textId="77777777" w:rsidTr="004A2E20">
        <w:tc>
          <w:tcPr>
            <w:tcW w:w="862" w:type="pct"/>
            <w:tcBorders>
              <w:top w:val="single" w:sz="4" w:space="0" w:color="auto"/>
              <w:left w:val="single" w:sz="4" w:space="0" w:color="auto"/>
              <w:bottom w:val="single" w:sz="4" w:space="0" w:color="auto"/>
              <w:right w:val="single" w:sz="4" w:space="0" w:color="auto"/>
            </w:tcBorders>
            <w:hideMark/>
          </w:tcPr>
          <w:p w14:paraId="252A909C" w14:textId="333E5BCD" w:rsidR="00956ACE" w:rsidRPr="00CE28E3" w:rsidRDefault="00956ACE" w:rsidP="00670650">
            <w:pPr>
              <w:pStyle w:val="TableText"/>
              <w:keepNext/>
            </w:pPr>
            <w:r w:rsidRPr="00CE28E3">
              <w:t>Change in patient management</w:t>
            </w:r>
          </w:p>
        </w:tc>
        <w:tc>
          <w:tcPr>
            <w:tcW w:w="1989" w:type="pct"/>
            <w:tcBorders>
              <w:top w:val="single" w:sz="4" w:space="0" w:color="auto"/>
              <w:left w:val="single" w:sz="4" w:space="0" w:color="auto"/>
              <w:bottom w:val="single" w:sz="4" w:space="0" w:color="auto"/>
              <w:right w:val="single" w:sz="4" w:space="0" w:color="auto"/>
            </w:tcBorders>
            <w:hideMark/>
          </w:tcPr>
          <w:p w14:paraId="6CFA7EE5" w14:textId="56F95BCD" w:rsidR="00956ACE" w:rsidRPr="00CE28E3" w:rsidRDefault="003E2D8B" w:rsidP="00670650">
            <w:pPr>
              <w:pStyle w:val="TableText"/>
              <w:keepNext/>
            </w:pPr>
            <w:r w:rsidRPr="003B4621">
              <w:t>1 RCT; 1 prospective observational comparative study</w:t>
            </w:r>
            <w:r w:rsidRPr="00082EA7">
              <w:rPr>
                <w:bCs/>
              </w:rPr>
              <w:t xml:space="preserve">, </w:t>
            </w:r>
            <w:r w:rsidRPr="003B4621">
              <w:t>8 diagnostic accuracy studies (1 meta-analysis of diagnostic accuracy studies; 7 single-arm observational studies)</w:t>
            </w:r>
          </w:p>
        </w:tc>
        <w:tc>
          <w:tcPr>
            <w:tcW w:w="998" w:type="pct"/>
            <w:tcBorders>
              <w:top w:val="single" w:sz="4" w:space="0" w:color="auto"/>
              <w:left w:val="single" w:sz="4" w:space="0" w:color="auto"/>
              <w:bottom w:val="single" w:sz="4" w:space="0" w:color="auto"/>
              <w:right w:val="single" w:sz="4" w:space="0" w:color="auto"/>
            </w:tcBorders>
            <w:hideMark/>
          </w:tcPr>
          <w:p w14:paraId="60E3094E" w14:textId="2906632F" w:rsidR="00956ACE" w:rsidRPr="00CE28E3" w:rsidRDefault="0067109A" w:rsidP="00670650">
            <w:pPr>
              <w:pStyle w:val="TableText"/>
              <w:keepNext/>
            </w:pPr>
            <w:sdt>
              <w:sdtPr>
                <w:id w:val="-1943214893"/>
                <w14:checkbox>
                  <w14:checked w14:val="1"/>
                  <w14:checkedState w14:val="2612" w14:font="MS Gothic"/>
                  <w14:uncheckedState w14:val="2610" w14:font="MS Gothic"/>
                </w14:checkbox>
              </w:sdtPr>
              <w:sdtEndPr/>
              <w:sdtContent>
                <w:r w:rsidR="003E2D8B">
                  <w:rPr>
                    <w:rFonts w:ascii="MS Gothic" w:eastAsia="MS Gothic" w:hAnsi="MS Gothic" w:hint="eastAsia"/>
                  </w:rPr>
                  <w:t>☒</w:t>
                </w:r>
              </w:sdtContent>
            </w:sdt>
            <w:r w:rsidR="00956ACE" w:rsidRPr="00CE28E3">
              <w:tab/>
              <w:t>k=</w:t>
            </w:r>
            <w:r w:rsidR="003E2D8B">
              <w:t>10</w:t>
            </w:r>
            <w:r w:rsidR="00956ACE" w:rsidRPr="00CE28E3">
              <w:tab/>
              <w:t>n=</w:t>
            </w:r>
            <w:r w:rsidR="003E2D8B">
              <w:t>1202</w:t>
            </w:r>
          </w:p>
        </w:tc>
        <w:tc>
          <w:tcPr>
            <w:tcW w:w="1151" w:type="pct"/>
            <w:tcBorders>
              <w:top w:val="single" w:sz="4" w:space="0" w:color="auto"/>
              <w:left w:val="single" w:sz="4" w:space="0" w:color="auto"/>
              <w:bottom w:val="single" w:sz="4" w:space="0" w:color="auto"/>
              <w:right w:val="single" w:sz="4" w:space="0" w:color="auto"/>
            </w:tcBorders>
            <w:hideMark/>
          </w:tcPr>
          <w:p w14:paraId="00E8E7C1" w14:textId="2C793B69" w:rsidR="00956ACE" w:rsidRPr="003E2D8B" w:rsidRDefault="003E2D8B" w:rsidP="003E2D8B">
            <w:pPr>
              <w:pStyle w:val="TableText"/>
            </w:pPr>
            <w:r w:rsidRPr="003E2D8B">
              <w:t>High</w:t>
            </w:r>
            <w:r>
              <w:t>/unclear</w:t>
            </w:r>
          </w:p>
        </w:tc>
      </w:tr>
      <w:tr w:rsidR="00956ACE" w:rsidRPr="00CE28E3" w14:paraId="0A575DD3" w14:textId="77777777" w:rsidTr="004A2E20">
        <w:tc>
          <w:tcPr>
            <w:tcW w:w="862" w:type="pct"/>
            <w:tcBorders>
              <w:top w:val="single" w:sz="4" w:space="0" w:color="auto"/>
              <w:left w:val="single" w:sz="4" w:space="0" w:color="auto"/>
              <w:bottom w:val="single" w:sz="4" w:space="0" w:color="auto"/>
              <w:right w:val="single" w:sz="4" w:space="0" w:color="auto"/>
            </w:tcBorders>
            <w:hideMark/>
          </w:tcPr>
          <w:p w14:paraId="2B5E1C59" w14:textId="0F73AEE0" w:rsidR="00956ACE" w:rsidRPr="00CE28E3" w:rsidRDefault="00956ACE" w:rsidP="00670650">
            <w:pPr>
              <w:pStyle w:val="TableText"/>
              <w:keepNext/>
            </w:pPr>
            <w:r w:rsidRPr="00CE28E3">
              <w:t>Health outcomes</w:t>
            </w:r>
          </w:p>
        </w:tc>
        <w:tc>
          <w:tcPr>
            <w:tcW w:w="1989" w:type="pct"/>
            <w:tcBorders>
              <w:top w:val="single" w:sz="4" w:space="0" w:color="auto"/>
              <w:left w:val="single" w:sz="4" w:space="0" w:color="auto"/>
              <w:bottom w:val="single" w:sz="4" w:space="0" w:color="auto"/>
              <w:right w:val="single" w:sz="4" w:space="0" w:color="auto"/>
            </w:tcBorders>
          </w:tcPr>
          <w:p w14:paraId="54723D7C" w14:textId="1A11DB5C" w:rsidR="00956ACE" w:rsidRPr="00CE28E3" w:rsidRDefault="003E2D8B" w:rsidP="00670650">
            <w:pPr>
              <w:pStyle w:val="TableText"/>
              <w:keepNext/>
            </w:pPr>
            <w:r w:rsidRPr="003B4621">
              <w:t>1 prospective observational comparative study</w:t>
            </w:r>
            <w:r>
              <w:t xml:space="preserve"> and 3 meta-analyses</w:t>
            </w:r>
          </w:p>
        </w:tc>
        <w:tc>
          <w:tcPr>
            <w:tcW w:w="998" w:type="pct"/>
            <w:tcBorders>
              <w:top w:val="single" w:sz="4" w:space="0" w:color="auto"/>
              <w:left w:val="single" w:sz="4" w:space="0" w:color="auto"/>
              <w:bottom w:val="single" w:sz="4" w:space="0" w:color="auto"/>
              <w:right w:val="single" w:sz="4" w:space="0" w:color="auto"/>
            </w:tcBorders>
          </w:tcPr>
          <w:p w14:paraId="496A8CDC" w14:textId="6408735B" w:rsidR="00956ACE" w:rsidRPr="00CE28E3" w:rsidRDefault="0067109A" w:rsidP="00A426F9">
            <w:pPr>
              <w:pStyle w:val="TableText"/>
              <w:keepNext/>
            </w:pPr>
            <w:sdt>
              <w:sdtPr>
                <w:id w:val="-605892943"/>
                <w14:checkbox>
                  <w14:checked w14:val="1"/>
                  <w14:checkedState w14:val="2612" w14:font="MS Gothic"/>
                  <w14:uncheckedState w14:val="2610" w14:font="MS Gothic"/>
                </w14:checkbox>
              </w:sdtPr>
              <w:sdtEndPr/>
              <w:sdtContent>
                <w:r w:rsidR="003E2D8B">
                  <w:rPr>
                    <w:rFonts w:ascii="MS Gothic" w:eastAsia="MS Gothic" w:hAnsi="MS Gothic" w:hint="eastAsia"/>
                  </w:rPr>
                  <w:t>☒</w:t>
                </w:r>
              </w:sdtContent>
            </w:sdt>
            <w:r w:rsidR="00956ACE" w:rsidRPr="00CE28E3">
              <w:tab/>
              <w:t>k=</w:t>
            </w:r>
            <w:r w:rsidR="003E2D8B">
              <w:t>4</w:t>
            </w:r>
            <w:r w:rsidR="00956ACE" w:rsidRPr="00CE28E3">
              <w:tab/>
              <w:t>n=</w:t>
            </w:r>
            <w:r w:rsidR="003E2D8B" w:rsidRPr="003B4621">
              <w:t>3809847</w:t>
            </w:r>
          </w:p>
        </w:tc>
        <w:tc>
          <w:tcPr>
            <w:tcW w:w="1151" w:type="pct"/>
            <w:tcBorders>
              <w:top w:val="single" w:sz="4" w:space="0" w:color="auto"/>
              <w:left w:val="single" w:sz="4" w:space="0" w:color="auto"/>
              <w:bottom w:val="single" w:sz="4" w:space="0" w:color="auto"/>
              <w:right w:val="single" w:sz="4" w:space="0" w:color="auto"/>
            </w:tcBorders>
            <w:hideMark/>
          </w:tcPr>
          <w:p w14:paraId="04C4ECA2" w14:textId="77777777" w:rsidR="00956ACE" w:rsidRPr="003E2D8B" w:rsidRDefault="003E2D8B" w:rsidP="003E2D8B">
            <w:pPr>
              <w:pStyle w:val="TableText"/>
            </w:pPr>
            <w:r w:rsidRPr="003E2D8B">
              <w:t>High – comparative study</w:t>
            </w:r>
          </w:p>
          <w:p w14:paraId="17AAB10F" w14:textId="7C2D96DC" w:rsidR="003E2D8B" w:rsidRPr="00CE28E3" w:rsidRDefault="003E2D8B" w:rsidP="003E2D8B">
            <w:pPr>
              <w:pStyle w:val="TableText"/>
            </w:pPr>
            <w:r w:rsidRPr="003E2D8B">
              <w:t>Low – meta-analyses</w:t>
            </w:r>
          </w:p>
        </w:tc>
      </w:tr>
    </w:tbl>
    <w:p w14:paraId="36B53B57" w14:textId="17970F60" w:rsidR="00956ACE" w:rsidRPr="00CE28E3" w:rsidRDefault="00956ACE" w:rsidP="00705109">
      <w:pPr>
        <w:pStyle w:val="TableFigureFooter"/>
        <w:spacing w:before="0" w:after="240"/>
      </w:pPr>
      <w:bookmarkStart w:id="16" w:name="_Hlk68276301"/>
      <w:bookmarkEnd w:id="15"/>
      <w:r w:rsidRPr="00CE28E3">
        <w:t>k=number of studies, n=number of patients</w:t>
      </w:r>
      <w:r w:rsidR="003E2D8B">
        <w:t>; RCT=randomised controlled trial</w:t>
      </w:r>
    </w:p>
    <w:p w14:paraId="3B9FC2AD" w14:textId="0A982AED" w:rsidR="00772829" w:rsidRDefault="00262C24" w:rsidP="002A18BE">
      <w:pPr>
        <w:pStyle w:val="Heading2"/>
        <w:numPr>
          <w:ilvl w:val="0"/>
          <w:numId w:val="0"/>
        </w:numPr>
      </w:pPr>
      <w:bookmarkStart w:id="17" w:name="_Toc102443848"/>
      <w:bookmarkEnd w:id="16"/>
      <w:r>
        <w:t>11</w:t>
      </w:r>
      <w:r w:rsidR="00C36633">
        <w:t>.</w:t>
      </w:r>
      <w:r w:rsidR="00C36633">
        <w:tab/>
      </w:r>
      <w:r w:rsidR="00772829" w:rsidRPr="00CE28E3">
        <w:t>Comparative safety</w:t>
      </w:r>
      <w:bookmarkEnd w:id="17"/>
    </w:p>
    <w:p w14:paraId="51CE489E" w14:textId="0896E426" w:rsidR="000123CC" w:rsidRDefault="000123CC" w:rsidP="000123CC">
      <w:r w:rsidRPr="008102E6">
        <w:t>Generally, studies reported that WBMRI was safe and acceptable due to the avoidance of radiation</w:t>
      </w:r>
      <w:r w:rsidR="00196DBA">
        <w:t xml:space="preserve"> exposure</w:t>
      </w:r>
      <w:r w:rsidRPr="008102E6">
        <w:t>, which is particularly important for the LFS population who are at higher risk of developing cancers.</w:t>
      </w:r>
    </w:p>
    <w:p w14:paraId="71C4B6BA" w14:textId="1FBB4605" w:rsidR="000123CC" w:rsidRDefault="000123CC" w:rsidP="000123CC">
      <w:r>
        <w:t>Caron (LIFSCREEN 2017) reported that “[p]</w:t>
      </w:r>
      <w:proofErr w:type="spellStart"/>
      <w:r>
        <w:t>sychological</w:t>
      </w:r>
      <w:proofErr w:type="spellEnd"/>
      <w:r>
        <w:t xml:space="preserve"> impact was similar in both arms, with low screening-related distress”. </w:t>
      </w:r>
      <w:proofErr w:type="spellStart"/>
      <w:r w:rsidRPr="008102E6">
        <w:t>Rippinger</w:t>
      </w:r>
      <w:proofErr w:type="spellEnd"/>
      <w:r w:rsidRPr="008102E6">
        <w:t xml:space="preserve"> </w:t>
      </w:r>
      <w:r>
        <w:t>(</w:t>
      </w:r>
      <w:r w:rsidRPr="008102E6">
        <w:t>2020</w:t>
      </w:r>
      <w:r>
        <w:t>)</w:t>
      </w:r>
      <w:r w:rsidR="00B72906">
        <w:rPr>
          <w:rStyle w:val="FootnoteReference"/>
        </w:rPr>
        <w:footnoteReference w:id="18"/>
      </w:r>
      <w:r w:rsidRPr="008102E6">
        <w:t xml:space="preserve"> and LEAD (Ross 2017)</w:t>
      </w:r>
      <w:r w:rsidR="00703695">
        <w:rPr>
          <w:rStyle w:val="FootnoteReference"/>
        </w:rPr>
        <w:footnoteReference w:id="19"/>
      </w:r>
      <w:r w:rsidRPr="008102E6">
        <w:t xml:space="preserve"> qualitatively explored the themes around WBMRI surveillance in LFS patients. Perceived benefits from WBMRI plus standard surveillance included the early detection of cancers, peace of mind, and information from surveillance. Having cancers detected early or at least having knowledge of cancer status </w:t>
      </w:r>
      <w:r w:rsidRPr="008102E6">
        <w:lastRenderedPageBreak/>
        <w:t xml:space="preserve">was highlighted to reduce cancer worry and distress in LFS patients. </w:t>
      </w:r>
      <w:r w:rsidR="00904429">
        <w:t>P</w:t>
      </w:r>
      <w:r w:rsidRPr="008102E6">
        <w:t xml:space="preserve">erceived drawbacks of surveillance included logistical issues, such as the extensive time commitments and travel, as well as the physical and emotional burden of attending </w:t>
      </w:r>
      <w:r w:rsidR="00237AE5">
        <w:t xml:space="preserve">screening </w:t>
      </w:r>
      <w:r w:rsidRPr="008102E6">
        <w:t>examinations.</w:t>
      </w:r>
    </w:p>
    <w:p w14:paraId="08EA7190" w14:textId="13904E2C" w:rsidR="002F138F" w:rsidRDefault="002F138F" w:rsidP="000123CC">
      <w:r>
        <w:t xml:space="preserve">A further point of concern for Australian patients may be that although guidelines recommend WBMRI as part of surveillance, </w:t>
      </w:r>
      <w:r w:rsidRPr="002F138F">
        <w:t>the absence of funded screening could be a source of distress</w:t>
      </w:r>
      <w:r>
        <w:t>.</w:t>
      </w:r>
    </w:p>
    <w:p w14:paraId="33C5A52F" w14:textId="6F309FDB" w:rsidR="000123CC" w:rsidRDefault="000123CC" w:rsidP="000123CC">
      <w:r w:rsidRPr="008102E6">
        <w:t>The addition of WBMRI appears unlikely to lead to worse safety outcomes compared with standard surveillance alone as observed by the non-inferior psychological impact in LIFSCREEN</w:t>
      </w:r>
      <w:r w:rsidR="006A743D" w:rsidRPr="006A743D">
        <w:rPr>
          <w:vertAlign w:val="superscript"/>
        </w:rPr>
        <w:t>1</w:t>
      </w:r>
      <w:r w:rsidRPr="008102E6">
        <w:t xml:space="preserve"> and supported by </w:t>
      </w:r>
      <w:proofErr w:type="spellStart"/>
      <w:r w:rsidRPr="008102E6">
        <w:t>Rippinger</w:t>
      </w:r>
      <w:proofErr w:type="spellEnd"/>
      <w:r w:rsidRPr="008102E6">
        <w:t xml:space="preserve"> </w:t>
      </w:r>
      <w:r>
        <w:t>(</w:t>
      </w:r>
      <w:r w:rsidRPr="008102E6">
        <w:t>2020</w:t>
      </w:r>
      <w:r>
        <w:t>)</w:t>
      </w:r>
      <w:r w:rsidRPr="008102E6">
        <w:t xml:space="preserve">, </w:t>
      </w:r>
      <w:r w:rsidR="0028488E">
        <w:t>Ross (2017)</w:t>
      </w:r>
      <w:r w:rsidRPr="008102E6">
        <w:t>, SIGNIFY</w:t>
      </w:r>
      <w:r w:rsidR="001F1FE9">
        <w:rPr>
          <w:rStyle w:val="FootnoteReference"/>
        </w:rPr>
        <w:footnoteReference w:id="20"/>
      </w:r>
      <w:r w:rsidRPr="008102E6">
        <w:t>, and SMOC+.</w:t>
      </w:r>
    </w:p>
    <w:p w14:paraId="2CE23D1A" w14:textId="1A309D95" w:rsidR="000123CC" w:rsidRPr="000123CC" w:rsidRDefault="000123CC" w:rsidP="000123CC">
      <w:r w:rsidRPr="008102E6">
        <w:t xml:space="preserve">An additional point of concern was the </w:t>
      </w:r>
      <w:r w:rsidR="00237AE5">
        <w:t xml:space="preserve">routine </w:t>
      </w:r>
      <w:r w:rsidRPr="008102E6">
        <w:t>use of contrast agents (CA) with WBMRI</w:t>
      </w:r>
      <w:r w:rsidR="009428DF">
        <w:t xml:space="preserve"> for screening</w:t>
      </w:r>
      <w:r w:rsidRPr="008102E6">
        <w:t xml:space="preserve">, which is highly discouraged. </w:t>
      </w:r>
      <w:proofErr w:type="spellStart"/>
      <w:r w:rsidRPr="008102E6">
        <w:t>Petralia</w:t>
      </w:r>
      <w:proofErr w:type="spellEnd"/>
      <w:r w:rsidRPr="008102E6">
        <w:t xml:space="preserve"> </w:t>
      </w:r>
      <w:r>
        <w:t>(</w:t>
      </w:r>
      <w:r w:rsidRPr="008102E6">
        <w:t>2021</w:t>
      </w:r>
      <w:r>
        <w:t>)</w:t>
      </w:r>
      <w:r w:rsidRPr="008102E6">
        <w:t xml:space="preserve"> reported long-term gadolinium deposition in the brain (Guo 2018) and possible adverse effects in patients with undisclosed acute kidney injury (</w:t>
      </w:r>
      <w:proofErr w:type="spellStart"/>
      <w:r w:rsidRPr="008102E6">
        <w:t>Schieda</w:t>
      </w:r>
      <w:proofErr w:type="spellEnd"/>
      <w:r w:rsidRPr="008102E6">
        <w:t xml:space="preserve"> 2018) as reasons to avoid CA administration. In addition, the discomfort related to intravenous injection might also deter patients from undergoing the examination. Studies in the LFS population have used CA in protocols that included a dedicated brain MRI in the same sitting of WBMRI, therefore requiring CA administration (Mai 2017</w:t>
      </w:r>
      <w:r w:rsidR="00703695">
        <w:rPr>
          <w:rStyle w:val="FootnoteReference"/>
        </w:rPr>
        <w:footnoteReference w:id="21"/>
      </w:r>
      <w:r w:rsidRPr="008102E6">
        <w:t xml:space="preserve"> and LEAD</w:t>
      </w:r>
      <w:r w:rsidR="00E365BA">
        <w:rPr>
          <w:rStyle w:val="FootnoteReference"/>
        </w:rPr>
        <w:footnoteReference w:id="22"/>
      </w:r>
      <w:r w:rsidRPr="008102E6">
        <w:t xml:space="preserve">). However, as brain MRI is not </w:t>
      </w:r>
      <w:r w:rsidR="002F138F">
        <w:t>routinely</w:t>
      </w:r>
      <w:r w:rsidR="002F138F" w:rsidRPr="008102E6">
        <w:t xml:space="preserve"> </w:t>
      </w:r>
      <w:r w:rsidRPr="008102E6">
        <w:t xml:space="preserve">performed in </w:t>
      </w:r>
      <w:r w:rsidR="002F138F">
        <w:rPr>
          <w:i/>
          <w:iCs/>
        </w:rPr>
        <w:t xml:space="preserve">TP53 </w:t>
      </w:r>
      <w:r w:rsidR="002F138F">
        <w:t xml:space="preserve">variant </w:t>
      </w:r>
      <w:r w:rsidRPr="008102E6">
        <w:t>adults in the Australian setting</w:t>
      </w:r>
      <w:r w:rsidR="00D351E4">
        <w:t xml:space="preserve"> (advice from the applicant)</w:t>
      </w:r>
      <w:r w:rsidRPr="008102E6">
        <w:t>, concerns with administering CA are reserved for children with LFS.</w:t>
      </w:r>
    </w:p>
    <w:p w14:paraId="3717AA01" w14:textId="2587A8D5" w:rsidR="00772829" w:rsidRDefault="00C36633" w:rsidP="002A18BE">
      <w:pPr>
        <w:pStyle w:val="Heading2"/>
        <w:numPr>
          <w:ilvl w:val="0"/>
          <w:numId w:val="0"/>
        </w:numPr>
      </w:pPr>
      <w:bookmarkStart w:id="18" w:name="_Toc102443849"/>
      <w:r>
        <w:t>1</w:t>
      </w:r>
      <w:r w:rsidR="00262C24">
        <w:t>2</w:t>
      </w:r>
      <w:r>
        <w:t>.</w:t>
      </w:r>
      <w:r>
        <w:tab/>
      </w:r>
      <w:r w:rsidR="00772829" w:rsidRPr="00CE28E3">
        <w:t>Comparative effectiveness</w:t>
      </w:r>
      <w:bookmarkEnd w:id="18"/>
    </w:p>
    <w:p w14:paraId="7F0D465C" w14:textId="687C653A" w:rsidR="00CE4DA2" w:rsidRDefault="003E2D8B" w:rsidP="00CE4DA2">
      <w:r>
        <w:t>A direct evidence approach was used (see Section 2B.1), supplemented by a linked evidence approach (see Sections 2B.2 to 2B.4) given bias, methodological and applicability concerns with the direct evidence.</w:t>
      </w:r>
    </w:p>
    <w:p w14:paraId="074454F0" w14:textId="2E122CC9" w:rsidR="003E2D8B" w:rsidRDefault="003E2D8B" w:rsidP="00411DE4">
      <w:pPr>
        <w:keepNext/>
        <w:rPr>
          <w:u w:val="single"/>
        </w:rPr>
      </w:pPr>
      <w:r w:rsidRPr="003E2D8B">
        <w:rPr>
          <w:u w:val="single"/>
        </w:rPr>
        <w:t>Direct evidence</w:t>
      </w:r>
    </w:p>
    <w:p w14:paraId="0A4CE3B4" w14:textId="7BA72D12" w:rsidR="003E2D8B" w:rsidRDefault="003E2D8B" w:rsidP="00411DE4">
      <w:pPr>
        <w:keepNext/>
      </w:pPr>
      <w:r>
        <w:t>The direct evidence presented in the DCAR consisted of:</w:t>
      </w:r>
    </w:p>
    <w:p w14:paraId="2AB3D546" w14:textId="2E2A4530" w:rsidR="003E2D8B" w:rsidRDefault="003E2D8B" w:rsidP="00411DE4">
      <w:pPr>
        <w:pStyle w:val="ListParagraph"/>
        <w:numPr>
          <w:ilvl w:val="0"/>
          <w:numId w:val="49"/>
        </w:numPr>
      </w:pPr>
      <w:r>
        <w:t>One randomised controlled trial</w:t>
      </w:r>
      <w:r w:rsidRPr="006A5337">
        <w:t>, LIFSCREEN</w:t>
      </w:r>
      <w:r>
        <w:t xml:space="preserve">, </w:t>
      </w:r>
      <w:r w:rsidR="00D20A8F">
        <w:t xml:space="preserve">assessing annual WBMRI plus standard cancer surveillance (n=52) compared to standard cancer surveillance alone (n=53) in detecting new primary cancers and reporting patient outcomes (i.e., overall survival) in individuals with a pathogenic or likely pathogenic germline </w:t>
      </w:r>
      <w:r w:rsidR="00D20A8F" w:rsidRPr="00D20A8F">
        <w:rPr>
          <w:i/>
          <w:iCs/>
        </w:rPr>
        <w:t>TP53</w:t>
      </w:r>
      <w:r w:rsidR="00D20A8F">
        <w:t xml:space="preserve"> variant; and</w:t>
      </w:r>
    </w:p>
    <w:p w14:paraId="4C1AFB39" w14:textId="0AD88C17" w:rsidR="00D20A8F" w:rsidRDefault="00D20A8F" w:rsidP="00411DE4">
      <w:pPr>
        <w:pStyle w:val="ListParagraph"/>
        <w:numPr>
          <w:ilvl w:val="0"/>
          <w:numId w:val="49"/>
        </w:numPr>
      </w:pPr>
      <w:r>
        <w:t xml:space="preserve">One observational comparative study (Villani 2016, 2011) comparing standard cancer surveillance (including WBMRI) versus no surveillance in patients with pathogenic or likely pathogenic </w:t>
      </w:r>
      <w:r>
        <w:rPr>
          <w:i/>
          <w:iCs/>
        </w:rPr>
        <w:t xml:space="preserve">TP53 </w:t>
      </w:r>
      <w:r>
        <w:t>variants. Villani (2016, n=89) represented an extended follow-up and additional patient accrual compared with Villani (201</w:t>
      </w:r>
      <w:r w:rsidR="0000609A">
        <w:t>1</w:t>
      </w:r>
      <w:r>
        <w:t>, n=33). The surveillance protocol was also updated between publications with the addition of general assessments (physical examination every 3-4 months) for adults and children and surveillance of adrenocortical carcinoma by abdominal-pelvic ultrasound for adults in Villani (2016).</w:t>
      </w:r>
    </w:p>
    <w:p w14:paraId="08DD0CE1" w14:textId="0B4AEA8D" w:rsidR="00D20A8F" w:rsidRDefault="00D20A8F" w:rsidP="00D20A8F">
      <w:r>
        <w:lastRenderedPageBreak/>
        <w:t xml:space="preserve">Patients enrolled in </w:t>
      </w:r>
      <w:proofErr w:type="gramStart"/>
      <w:r>
        <w:t>LIFSCREEN</w:t>
      </w:r>
      <w:proofErr w:type="gramEnd"/>
      <w:r>
        <w:t xml:space="preserve"> and Villani (2016, 2011) were both consistent with those for whom MBS listing is sought; </w:t>
      </w:r>
      <w:r w:rsidRPr="002E7C0F">
        <w:t xml:space="preserve">participants </w:t>
      </w:r>
      <w:r>
        <w:t xml:space="preserve">were required </w:t>
      </w:r>
      <w:r w:rsidRPr="002E7C0F">
        <w:t>to have a known pathogenic or likely pathogenic germline</w:t>
      </w:r>
      <w:r w:rsidRPr="005E6ED9">
        <w:rPr>
          <w:i/>
          <w:iCs/>
        </w:rPr>
        <w:t xml:space="preserve"> TP53</w:t>
      </w:r>
      <w:r w:rsidRPr="002E7C0F">
        <w:t xml:space="preserve"> </w:t>
      </w:r>
      <w:r>
        <w:t>variant. Similarly, the surveillance programmes in both the trial and study were also consistent with Australian standard surveillance, although patients underwent breast ultrasound (LIFSCREEN), abdominal-pelvic ultrasound (LIFSCREEN; Villani 2016, 2011) and adults had</w:t>
      </w:r>
      <w:r w:rsidR="00D351E4">
        <w:t xml:space="preserve"> routine</w:t>
      </w:r>
      <w:r>
        <w:t xml:space="preserve"> brain MRI (LIFSCREEN; Villani 2016, 2011), which are not features of Australian standard surveillance.</w:t>
      </w:r>
    </w:p>
    <w:p w14:paraId="3BFB3278" w14:textId="56910C87" w:rsidR="00D20A8F" w:rsidRDefault="00D20A8F" w:rsidP="00D20A8F">
      <w:r>
        <w:t>LIFSCREEN was considered to have a high risk of bias due to neither patients nor investigators being blinded to surveillance allocation, not all outcomes (e.g., quality of life) being reported and due to the relatively small sample size and short follow-up and likely being underpowered to detect a difference in patient outcomes. Villani (2016, 2011</w:t>
      </w:r>
      <w:r w:rsidR="0000609A">
        <w:t>)</w:t>
      </w:r>
      <w:r>
        <w:t xml:space="preserve"> </w:t>
      </w:r>
      <w:proofErr w:type="gramStart"/>
      <w:r>
        <w:t>was considered to be</w:t>
      </w:r>
      <w:proofErr w:type="gramEnd"/>
      <w:r>
        <w:t xml:space="preserve"> at a high risk of bias given the study was not randomised (patients chose surveillance versus no surveillance, introducing confounding related to the potential systematic differences in characteristics of participants in each group), neither patients nor investigators were blinded to surveillance strategy, patients could cross-over at any time and analyses were conducted on an as-treated basis.</w:t>
      </w:r>
    </w:p>
    <w:p w14:paraId="414B03E5" w14:textId="6014B4CE" w:rsidR="00D351E4" w:rsidRDefault="00D351E4" w:rsidP="00D20A8F">
      <w:r>
        <w:t xml:space="preserve">The diagnostic accuracy estimates from LIFSCREEN are presented in </w:t>
      </w:r>
      <w:r>
        <w:fldChar w:fldCharType="begin"/>
      </w:r>
      <w:r>
        <w:instrText xml:space="preserve"> REF _Ref101944144 \h </w:instrText>
      </w:r>
      <w:r>
        <w:fldChar w:fldCharType="separate"/>
      </w:r>
      <w:r w:rsidR="00822248">
        <w:t xml:space="preserve">Table </w:t>
      </w:r>
      <w:r w:rsidR="00822248">
        <w:rPr>
          <w:noProof/>
        </w:rPr>
        <w:t>3</w:t>
      </w:r>
      <w:r>
        <w:fldChar w:fldCharType="end"/>
      </w:r>
      <w:r>
        <w:t xml:space="preserve">. The results account for </w:t>
      </w:r>
      <w:r w:rsidR="00252095">
        <w:t xml:space="preserve">the </w:t>
      </w:r>
      <w:r w:rsidR="00971077">
        <w:t>presence</w:t>
      </w:r>
      <w:r w:rsidR="00252095">
        <w:t xml:space="preserve"> of </w:t>
      </w:r>
      <w:r>
        <w:t>two lesions in two patients</w:t>
      </w:r>
      <w:r w:rsidR="00971077">
        <w:t xml:space="preserve"> that were not detected by WBMRI</w:t>
      </w:r>
      <w:r>
        <w:t xml:space="preserve"> (</w:t>
      </w:r>
      <w:r w:rsidRPr="003539DD">
        <w:t>one myeloma 8 months after a normal WBMRI, one jaw osteosarcoma 4 months after the last WBMRI</w:t>
      </w:r>
      <w:r>
        <w:t>) and treat them as false negatives in the STD+WBMRI group as they were reported to have been ‘missed by WBMRI’ in Caron (unpublished</w:t>
      </w:r>
      <w:proofErr w:type="gramStart"/>
      <w:r>
        <w:t>),</w:t>
      </w:r>
      <w:r w:rsidR="00AC0760">
        <w:t xml:space="preserve"> </w:t>
      </w:r>
      <w:r>
        <w:t>but</w:t>
      </w:r>
      <w:proofErr w:type="gramEnd"/>
      <w:r>
        <w:t xml:space="preserve"> were not reported as interval cancers.</w:t>
      </w:r>
    </w:p>
    <w:p w14:paraId="07399E1A" w14:textId="4F53F697" w:rsidR="00D351E4" w:rsidRPr="000A6472" w:rsidRDefault="00D351E4" w:rsidP="00082EA7">
      <w:pPr>
        <w:pStyle w:val="Caption"/>
        <w:spacing w:before="240"/>
        <w:ind w:left="709" w:hanging="709"/>
      </w:pPr>
      <w:bookmarkStart w:id="19" w:name="_Ref101944144"/>
      <w:r>
        <w:t xml:space="preserve">Table </w:t>
      </w:r>
      <w:r w:rsidR="0067109A">
        <w:fldChar w:fldCharType="begin"/>
      </w:r>
      <w:r w:rsidR="0067109A">
        <w:instrText xml:space="preserve"> SEQ Table \* ARABIC </w:instrText>
      </w:r>
      <w:r w:rsidR="0067109A">
        <w:fldChar w:fldCharType="separate"/>
      </w:r>
      <w:r w:rsidR="00822248">
        <w:rPr>
          <w:noProof/>
        </w:rPr>
        <w:t>3</w:t>
      </w:r>
      <w:r w:rsidR="0067109A">
        <w:rPr>
          <w:noProof/>
        </w:rPr>
        <w:fldChar w:fldCharType="end"/>
      </w:r>
      <w:bookmarkEnd w:id="19"/>
      <w:r>
        <w:tab/>
        <w:t xml:space="preserve">Sensitivity, specificity, PPV, and NPV in the STD arm and STD+WBMRI arm in </w:t>
      </w:r>
      <w:r w:rsidRPr="005E6ED9">
        <w:rPr>
          <w:i/>
          <w:iCs/>
        </w:rPr>
        <w:t>TP53</w:t>
      </w:r>
      <w:r>
        <w:t xml:space="preserve"> variant carriers </w:t>
      </w:r>
      <w:r w:rsidR="00B73F82">
        <w:t xml:space="preserve">over 3 years </w:t>
      </w:r>
      <w:r>
        <w:t>(LIFSCREEN)</w:t>
      </w:r>
    </w:p>
    <w:tbl>
      <w:tblPr>
        <w:tblStyle w:val="TableGrid1"/>
        <w:tblW w:w="8784" w:type="dxa"/>
        <w:tblLook w:val="04A0" w:firstRow="1" w:lastRow="0" w:firstColumn="1" w:lastColumn="0" w:noHBand="0" w:noVBand="1"/>
      </w:tblPr>
      <w:tblGrid>
        <w:gridCol w:w="3539"/>
        <w:gridCol w:w="2622"/>
        <w:gridCol w:w="2623"/>
      </w:tblGrid>
      <w:tr w:rsidR="00D351E4" w:rsidRPr="00D317F4" w14:paraId="6CE88A99" w14:textId="77777777" w:rsidTr="00124440">
        <w:trPr>
          <w:cnfStyle w:val="100000000000" w:firstRow="1" w:lastRow="0" w:firstColumn="0" w:lastColumn="0" w:oddVBand="0" w:evenVBand="0" w:oddHBand="0" w:evenHBand="0" w:firstRowFirstColumn="0" w:firstRowLastColumn="0" w:lastRowFirstColumn="0" w:lastRowLastColumn="0"/>
          <w:trHeight w:val="295"/>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73019E" w14:textId="77777777" w:rsidR="00D351E4" w:rsidRPr="00D317F4" w:rsidRDefault="00D351E4" w:rsidP="00067313">
            <w:pPr>
              <w:keepNext/>
              <w:spacing w:before="40"/>
              <w:rPr>
                <w:rFonts w:ascii="Arial Narrow" w:hAnsi="Arial Narrow" w:cs="Calibri"/>
                <w:b/>
                <w:bCs/>
                <w:color w:val="000000"/>
              </w:rPr>
            </w:pPr>
            <w:r>
              <w:rPr>
                <w:rFonts w:ascii="Arial Narrow" w:hAnsi="Arial Narrow" w:cs="Calibri"/>
                <w:b/>
                <w:bCs/>
                <w:color w:val="000000"/>
              </w:rPr>
              <w:t>LIFSCREEN</w:t>
            </w:r>
          </w:p>
        </w:tc>
        <w:tc>
          <w:tcPr>
            <w:tcW w:w="2622" w:type="dxa"/>
            <w:tcBorders>
              <w:top w:val="single" w:sz="4" w:space="0" w:color="auto"/>
              <w:left w:val="nil"/>
              <w:bottom w:val="single" w:sz="4" w:space="0" w:color="auto"/>
              <w:right w:val="single" w:sz="4" w:space="0" w:color="auto"/>
            </w:tcBorders>
            <w:shd w:val="clear" w:color="auto" w:fill="auto"/>
            <w:vAlign w:val="bottom"/>
            <w:hideMark/>
          </w:tcPr>
          <w:p w14:paraId="7F11F0BF" w14:textId="77777777" w:rsidR="00D351E4" w:rsidRPr="005E6ED9" w:rsidRDefault="00D351E4" w:rsidP="00067313">
            <w:pPr>
              <w:keepNext/>
              <w:spacing w:before="40"/>
              <w:jc w:val="center"/>
              <w:rPr>
                <w:rFonts w:ascii="Arial Narrow" w:hAnsi="Arial Narrow" w:cs="Calibri"/>
                <w:b/>
                <w:bCs/>
                <w:color w:val="000000"/>
                <w:vertAlign w:val="superscript"/>
              </w:rPr>
            </w:pPr>
            <w:proofErr w:type="spellStart"/>
            <w:r>
              <w:rPr>
                <w:rFonts w:ascii="Arial Narrow" w:hAnsi="Arial Narrow" w:cs="Calibri"/>
                <w:b/>
                <w:bCs/>
                <w:color w:val="000000"/>
              </w:rPr>
              <w:t>STD</w:t>
            </w:r>
            <w:r>
              <w:rPr>
                <w:rFonts w:ascii="Arial Narrow" w:hAnsi="Arial Narrow" w:cs="Calibri"/>
                <w:b/>
                <w:bCs/>
                <w:color w:val="000000"/>
                <w:vertAlign w:val="superscript"/>
              </w:rPr>
              <w:t>a</w:t>
            </w:r>
            <w:proofErr w:type="spellEnd"/>
          </w:p>
        </w:tc>
        <w:tc>
          <w:tcPr>
            <w:tcW w:w="2623" w:type="dxa"/>
            <w:tcBorders>
              <w:top w:val="single" w:sz="4" w:space="0" w:color="auto"/>
              <w:left w:val="nil"/>
              <w:bottom w:val="single" w:sz="4" w:space="0" w:color="auto"/>
              <w:right w:val="single" w:sz="4" w:space="0" w:color="auto"/>
            </w:tcBorders>
            <w:shd w:val="clear" w:color="auto" w:fill="auto"/>
            <w:vAlign w:val="bottom"/>
            <w:hideMark/>
          </w:tcPr>
          <w:p w14:paraId="6E4DD43B" w14:textId="77777777" w:rsidR="00D351E4" w:rsidRPr="005E6ED9" w:rsidRDefault="00D351E4" w:rsidP="00067313">
            <w:pPr>
              <w:keepNext/>
              <w:spacing w:before="40"/>
              <w:jc w:val="center"/>
              <w:rPr>
                <w:rFonts w:ascii="Arial Narrow" w:hAnsi="Arial Narrow" w:cs="Calibri"/>
                <w:b/>
                <w:bCs/>
                <w:color w:val="000000"/>
                <w:vertAlign w:val="superscript"/>
              </w:rPr>
            </w:pPr>
            <w:proofErr w:type="spellStart"/>
            <w:r>
              <w:rPr>
                <w:rFonts w:ascii="Arial Narrow" w:hAnsi="Arial Narrow" w:cs="Calibri"/>
                <w:b/>
                <w:bCs/>
                <w:color w:val="000000"/>
              </w:rPr>
              <w:t>STD+WBMRI</w:t>
            </w:r>
            <w:r>
              <w:rPr>
                <w:rFonts w:ascii="Arial Narrow" w:hAnsi="Arial Narrow" w:cs="Calibri"/>
                <w:b/>
                <w:bCs/>
                <w:color w:val="000000"/>
                <w:vertAlign w:val="superscript"/>
              </w:rPr>
              <w:t>b</w:t>
            </w:r>
            <w:proofErr w:type="spellEnd"/>
          </w:p>
        </w:tc>
      </w:tr>
      <w:tr w:rsidR="00D351E4" w:rsidRPr="00D317F4" w14:paraId="552E71D4" w14:textId="77777777" w:rsidTr="00124440">
        <w:trPr>
          <w:trHeight w:val="295"/>
        </w:trPr>
        <w:tc>
          <w:tcPr>
            <w:tcW w:w="3539" w:type="dxa"/>
            <w:tcBorders>
              <w:top w:val="single" w:sz="4" w:space="0" w:color="auto"/>
              <w:left w:val="single" w:sz="4" w:space="0" w:color="auto"/>
              <w:bottom w:val="single" w:sz="4" w:space="0" w:color="auto"/>
              <w:right w:val="single" w:sz="4" w:space="0" w:color="auto"/>
            </w:tcBorders>
            <w:shd w:val="clear" w:color="auto" w:fill="auto"/>
            <w:vAlign w:val="bottom"/>
          </w:tcPr>
          <w:p w14:paraId="3019F7E2" w14:textId="77777777" w:rsidR="00D351E4" w:rsidRPr="005C4DD0" w:rsidRDefault="00D351E4" w:rsidP="00067313">
            <w:pPr>
              <w:keepNext/>
              <w:spacing w:before="40"/>
              <w:rPr>
                <w:rFonts w:ascii="Arial Narrow" w:hAnsi="Arial Narrow" w:cs="Calibri"/>
                <w:color w:val="000000"/>
              </w:rPr>
            </w:pPr>
            <w:r>
              <w:rPr>
                <w:rFonts w:ascii="Arial Narrow" w:hAnsi="Arial Narrow" w:cs="Calibri"/>
                <w:color w:val="000000"/>
              </w:rPr>
              <w:t>Diagnostic yield per screening episode, %</w:t>
            </w:r>
          </w:p>
        </w:tc>
        <w:tc>
          <w:tcPr>
            <w:tcW w:w="2622" w:type="dxa"/>
            <w:tcBorders>
              <w:top w:val="single" w:sz="4" w:space="0" w:color="auto"/>
              <w:left w:val="nil"/>
              <w:bottom w:val="single" w:sz="4" w:space="0" w:color="auto"/>
              <w:right w:val="single" w:sz="4" w:space="0" w:color="auto"/>
            </w:tcBorders>
            <w:shd w:val="clear" w:color="auto" w:fill="auto"/>
            <w:vAlign w:val="center"/>
          </w:tcPr>
          <w:p w14:paraId="6F476CF2" w14:textId="77777777" w:rsidR="00D351E4" w:rsidRPr="005E6ED9" w:rsidRDefault="00D351E4" w:rsidP="00067313">
            <w:pPr>
              <w:keepNext/>
              <w:spacing w:before="40"/>
              <w:jc w:val="center"/>
              <w:rPr>
                <w:rFonts w:ascii="Arial Narrow" w:hAnsi="Arial Narrow" w:cs="Calibri"/>
                <w:color w:val="000000"/>
                <w:vertAlign w:val="superscript"/>
              </w:rPr>
            </w:pPr>
            <w:r>
              <w:rPr>
                <w:rFonts w:ascii="Arial Narrow" w:hAnsi="Arial Narrow" w:cs="Calibri"/>
                <w:color w:val="000000"/>
              </w:rPr>
              <w:t>4.97%</w:t>
            </w:r>
            <w:r>
              <w:rPr>
                <w:rFonts w:ascii="Arial Narrow" w:hAnsi="Arial Narrow" w:cs="Calibri"/>
                <w:color w:val="000000"/>
                <w:vertAlign w:val="superscript"/>
              </w:rPr>
              <w:t>a</w:t>
            </w:r>
          </w:p>
        </w:tc>
        <w:tc>
          <w:tcPr>
            <w:tcW w:w="2623" w:type="dxa"/>
            <w:tcBorders>
              <w:top w:val="single" w:sz="4" w:space="0" w:color="auto"/>
              <w:left w:val="nil"/>
              <w:bottom w:val="single" w:sz="4" w:space="0" w:color="auto"/>
              <w:right w:val="single" w:sz="4" w:space="0" w:color="auto"/>
            </w:tcBorders>
            <w:shd w:val="clear" w:color="auto" w:fill="auto"/>
            <w:vAlign w:val="center"/>
          </w:tcPr>
          <w:p w14:paraId="222B6392" w14:textId="77777777" w:rsidR="00D351E4" w:rsidRPr="005E6ED9" w:rsidRDefault="00D351E4" w:rsidP="00067313">
            <w:pPr>
              <w:keepNext/>
              <w:spacing w:before="40"/>
              <w:jc w:val="center"/>
              <w:rPr>
                <w:rFonts w:ascii="Arial Narrow" w:hAnsi="Arial Narrow" w:cs="Calibri"/>
                <w:color w:val="000000"/>
                <w:vertAlign w:val="superscript"/>
              </w:rPr>
            </w:pPr>
            <w:r>
              <w:rPr>
                <w:rFonts w:ascii="Arial Narrow" w:hAnsi="Arial Narrow" w:cs="Calibri"/>
                <w:color w:val="000000"/>
              </w:rPr>
              <w:t>5.73%</w:t>
            </w:r>
            <w:r>
              <w:rPr>
                <w:rFonts w:ascii="Arial Narrow" w:hAnsi="Arial Narrow" w:cs="Calibri"/>
                <w:color w:val="000000"/>
                <w:vertAlign w:val="superscript"/>
              </w:rPr>
              <w:t>b</w:t>
            </w:r>
          </w:p>
        </w:tc>
      </w:tr>
      <w:tr w:rsidR="00D351E4" w:rsidRPr="00D317F4" w14:paraId="1AAE98FF" w14:textId="77777777" w:rsidTr="00124440">
        <w:trPr>
          <w:trHeight w:val="29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71D1A2DC" w14:textId="77777777" w:rsidR="00D351E4" w:rsidRPr="00D317F4" w:rsidRDefault="00D351E4" w:rsidP="00067313">
            <w:pPr>
              <w:keepNext/>
              <w:spacing w:before="40"/>
              <w:rPr>
                <w:rFonts w:ascii="Arial Narrow" w:hAnsi="Arial Narrow" w:cs="Calibri"/>
                <w:color w:val="000000"/>
              </w:rPr>
            </w:pPr>
            <w:r>
              <w:rPr>
                <w:rFonts w:ascii="Arial Narrow" w:hAnsi="Arial Narrow" w:cs="Calibri"/>
                <w:color w:val="000000"/>
              </w:rPr>
              <w:t>Sensitivity</w:t>
            </w:r>
          </w:p>
        </w:tc>
        <w:tc>
          <w:tcPr>
            <w:tcW w:w="2622" w:type="dxa"/>
            <w:tcBorders>
              <w:top w:val="nil"/>
              <w:left w:val="nil"/>
              <w:bottom w:val="single" w:sz="4" w:space="0" w:color="auto"/>
              <w:right w:val="single" w:sz="4" w:space="0" w:color="auto"/>
            </w:tcBorders>
            <w:shd w:val="clear" w:color="auto" w:fill="auto"/>
            <w:vAlign w:val="center"/>
            <w:hideMark/>
          </w:tcPr>
          <w:p w14:paraId="1261D1C1" w14:textId="77777777" w:rsidR="00D351E4" w:rsidRPr="00D317F4" w:rsidRDefault="00D351E4" w:rsidP="00067313">
            <w:pPr>
              <w:keepNext/>
              <w:spacing w:before="40"/>
              <w:jc w:val="center"/>
              <w:rPr>
                <w:rFonts w:ascii="Arial Narrow" w:hAnsi="Arial Narrow" w:cs="Calibri"/>
                <w:color w:val="000000"/>
              </w:rPr>
            </w:pPr>
            <w:r>
              <w:rPr>
                <w:rFonts w:ascii="Arial Narrow" w:hAnsi="Arial Narrow" w:cs="Calibri"/>
                <w:color w:val="000000"/>
              </w:rPr>
              <w:t>0.62</w:t>
            </w:r>
          </w:p>
        </w:tc>
        <w:tc>
          <w:tcPr>
            <w:tcW w:w="2623" w:type="dxa"/>
            <w:tcBorders>
              <w:top w:val="nil"/>
              <w:left w:val="nil"/>
              <w:bottom w:val="single" w:sz="4" w:space="0" w:color="auto"/>
              <w:right w:val="single" w:sz="4" w:space="0" w:color="auto"/>
            </w:tcBorders>
            <w:shd w:val="clear" w:color="auto" w:fill="auto"/>
            <w:vAlign w:val="center"/>
            <w:hideMark/>
          </w:tcPr>
          <w:p w14:paraId="4DB88818" w14:textId="77777777" w:rsidR="00D351E4" w:rsidRPr="00D317F4" w:rsidRDefault="00D351E4" w:rsidP="00067313">
            <w:pPr>
              <w:keepNext/>
              <w:spacing w:before="40"/>
              <w:jc w:val="center"/>
              <w:rPr>
                <w:rFonts w:ascii="Arial Narrow" w:hAnsi="Arial Narrow" w:cs="Calibri"/>
                <w:color w:val="000000"/>
              </w:rPr>
            </w:pPr>
            <w:r>
              <w:rPr>
                <w:rFonts w:ascii="Arial Narrow" w:hAnsi="Arial Narrow" w:cs="Calibri"/>
                <w:color w:val="000000"/>
              </w:rPr>
              <w:t>0.82</w:t>
            </w:r>
          </w:p>
        </w:tc>
      </w:tr>
      <w:tr w:rsidR="00D351E4" w:rsidRPr="00D317F4" w14:paraId="1049C769" w14:textId="77777777" w:rsidTr="00124440">
        <w:trPr>
          <w:trHeight w:val="295"/>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37302662" w14:textId="77777777" w:rsidR="00D351E4" w:rsidRPr="00D317F4" w:rsidRDefault="00D351E4" w:rsidP="00067313">
            <w:pPr>
              <w:keepNext/>
              <w:spacing w:before="40"/>
              <w:rPr>
                <w:rFonts w:ascii="Arial Narrow" w:hAnsi="Arial Narrow" w:cs="Calibri"/>
                <w:color w:val="000000"/>
              </w:rPr>
            </w:pPr>
            <w:r>
              <w:rPr>
                <w:rFonts w:ascii="Arial Narrow" w:hAnsi="Arial Narrow" w:cs="Calibri"/>
                <w:color w:val="000000"/>
              </w:rPr>
              <w:t>Specificity</w:t>
            </w:r>
          </w:p>
        </w:tc>
        <w:tc>
          <w:tcPr>
            <w:tcW w:w="2622" w:type="dxa"/>
            <w:tcBorders>
              <w:top w:val="nil"/>
              <w:left w:val="nil"/>
              <w:bottom w:val="single" w:sz="4" w:space="0" w:color="auto"/>
              <w:right w:val="single" w:sz="4" w:space="0" w:color="auto"/>
            </w:tcBorders>
            <w:shd w:val="clear" w:color="auto" w:fill="auto"/>
            <w:vAlign w:val="center"/>
            <w:hideMark/>
          </w:tcPr>
          <w:p w14:paraId="4D3D5CD6" w14:textId="77777777" w:rsidR="00D351E4" w:rsidRPr="005E6ED9" w:rsidRDefault="00D351E4" w:rsidP="00067313">
            <w:pPr>
              <w:keepNext/>
              <w:spacing w:before="40"/>
              <w:jc w:val="center"/>
              <w:rPr>
                <w:rFonts w:ascii="Arial Narrow" w:hAnsi="Arial Narrow" w:cs="Calibri"/>
                <w:color w:val="000000"/>
              </w:rPr>
            </w:pPr>
            <w:r w:rsidRPr="005E6ED9">
              <w:rPr>
                <w:rFonts w:ascii="Arial Narrow" w:hAnsi="Arial Narrow" w:cs="Calibri"/>
                <w:color w:val="000000"/>
              </w:rPr>
              <w:t>0.74</w:t>
            </w:r>
          </w:p>
        </w:tc>
        <w:tc>
          <w:tcPr>
            <w:tcW w:w="2623" w:type="dxa"/>
            <w:tcBorders>
              <w:top w:val="nil"/>
              <w:left w:val="nil"/>
              <w:bottom w:val="single" w:sz="4" w:space="0" w:color="auto"/>
              <w:right w:val="single" w:sz="4" w:space="0" w:color="auto"/>
            </w:tcBorders>
            <w:shd w:val="clear" w:color="auto" w:fill="auto"/>
            <w:vAlign w:val="center"/>
            <w:hideMark/>
          </w:tcPr>
          <w:p w14:paraId="461F5269" w14:textId="77777777" w:rsidR="00D351E4" w:rsidRPr="00D317F4" w:rsidRDefault="00D351E4" w:rsidP="00067313">
            <w:pPr>
              <w:keepNext/>
              <w:spacing w:before="40"/>
              <w:jc w:val="center"/>
              <w:rPr>
                <w:rFonts w:ascii="Arial Narrow" w:hAnsi="Arial Narrow" w:cs="Calibri"/>
                <w:color w:val="000000"/>
              </w:rPr>
            </w:pPr>
            <w:r>
              <w:rPr>
                <w:rFonts w:ascii="Arial Narrow" w:hAnsi="Arial Narrow" w:cs="Calibri"/>
                <w:color w:val="000000"/>
              </w:rPr>
              <w:t>0.61</w:t>
            </w:r>
          </w:p>
        </w:tc>
      </w:tr>
      <w:tr w:rsidR="00D351E4" w:rsidRPr="00D317F4" w14:paraId="0F5C8FB8" w14:textId="77777777" w:rsidTr="00124440">
        <w:trPr>
          <w:trHeight w:val="295"/>
        </w:trPr>
        <w:tc>
          <w:tcPr>
            <w:tcW w:w="3539" w:type="dxa"/>
            <w:tcBorders>
              <w:top w:val="nil"/>
              <w:left w:val="single" w:sz="4" w:space="0" w:color="auto"/>
              <w:bottom w:val="single" w:sz="4" w:space="0" w:color="auto"/>
              <w:right w:val="single" w:sz="4" w:space="0" w:color="auto"/>
            </w:tcBorders>
            <w:shd w:val="clear" w:color="auto" w:fill="auto"/>
            <w:vAlign w:val="bottom"/>
          </w:tcPr>
          <w:p w14:paraId="7973BB84" w14:textId="77777777" w:rsidR="00D351E4" w:rsidRPr="00D317F4" w:rsidRDefault="00D351E4" w:rsidP="00067313">
            <w:pPr>
              <w:keepNext/>
              <w:spacing w:before="40"/>
              <w:rPr>
                <w:rFonts w:ascii="Arial Narrow" w:hAnsi="Arial Narrow" w:cs="Calibri"/>
                <w:color w:val="000000"/>
              </w:rPr>
            </w:pPr>
            <w:r>
              <w:rPr>
                <w:rFonts w:ascii="Arial Narrow" w:hAnsi="Arial Narrow" w:cs="Calibri"/>
                <w:color w:val="000000"/>
              </w:rPr>
              <w:t>PPV</w:t>
            </w:r>
          </w:p>
        </w:tc>
        <w:tc>
          <w:tcPr>
            <w:tcW w:w="2622" w:type="dxa"/>
            <w:tcBorders>
              <w:top w:val="nil"/>
              <w:left w:val="nil"/>
              <w:bottom w:val="single" w:sz="4" w:space="0" w:color="auto"/>
              <w:right w:val="single" w:sz="4" w:space="0" w:color="auto"/>
            </w:tcBorders>
            <w:shd w:val="clear" w:color="auto" w:fill="auto"/>
            <w:vAlign w:val="center"/>
          </w:tcPr>
          <w:p w14:paraId="67EDB5E1" w14:textId="77777777" w:rsidR="00D351E4" w:rsidRPr="005E6ED9" w:rsidRDefault="00D351E4" w:rsidP="00067313">
            <w:pPr>
              <w:keepNext/>
              <w:spacing w:before="40"/>
              <w:jc w:val="center"/>
              <w:rPr>
                <w:rFonts w:ascii="Arial Narrow" w:hAnsi="Arial Narrow" w:cs="Calibri"/>
                <w:color w:val="000000"/>
              </w:rPr>
            </w:pPr>
            <w:r w:rsidRPr="005E6ED9">
              <w:rPr>
                <w:rFonts w:ascii="Arial Narrow" w:hAnsi="Arial Narrow" w:cs="Calibri"/>
                <w:color w:val="000000"/>
              </w:rPr>
              <w:t>0.17</w:t>
            </w:r>
          </w:p>
        </w:tc>
        <w:tc>
          <w:tcPr>
            <w:tcW w:w="2623" w:type="dxa"/>
            <w:tcBorders>
              <w:top w:val="nil"/>
              <w:left w:val="nil"/>
              <w:bottom w:val="single" w:sz="4" w:space="0" w:color="auto"/>
              <w:right w:val="single" w:sz="4" w:space="0" w:color="auto"/>
            </w:tcBorders>
            <w:shd w:val="clear" w:color="auto" w:fill="auto"/>
            <w:vAlign w:val="center"/>
          </w:tcPr>
          <w:p w14:paraId="25676D8E" w14:textId="77777777" w:rsidR="00D351E4" w:rsidRPr="00FD4971" w:rsidRDefault="00D351E4" w:rsidP="00067313">
            <w:pPr>
              <w:keepNext/>
              <w:spacing w:before="40"/>
              <w:jc w:val="center"/>
              <w:rPr>
                <w:rFonts w:ascii="Arial Narrow" w:hAnsi="Arial Narrow" w:cs="Calibri"/>
                <w:color w:val="000000"/>
              </w:rPr>
            </w:pPr>
            <w:r>
              <w:rPr>
                <w:rFonts w:ascii="Arial Narrow" w:hAnsi="Arial Narrow" w:cs="Calibri"/>
                <w:color w:val="000000"/>
              </w:rPr>
              <w:t>0.14</w:t>
            </w:r>
          </w:p>
        </w:tc>
      </w:tr>
      <w:tr w:rsidR="00D351E4" w:rsidRPr="00D317F4" w14:paraId="483735C1" w14:textId="77777777" w:rsidTr="00124440">
        <w:trPr>
          <w:trHeight w:val="295"/>
        </w:trPr>
        <w:tc>
          <w:tcPr>
            <w:tcW w:w="3539" w:type="dxa"/>
            <w:tcBorders>
              <w:top w:val="nil"/>
              <w:left w:val="single" w:sz="4" w:space="0" w:color="auto"/>
              <w:bottom w:val="single" w:sz="4" w:space="0" w:color="auto"/>
              <w:right w:val="single" w:sz="4" w:space="0" w:color="auto"/>
            </w:tcBorders>
            <w:shd w:val="clear" w:color="auto" w:fill="auto"/>
            <w:vAlign w:val="bottom"/>
          </w:tcPr>
          <w:p w14:paraId="6D02417C" w14:textId="77777777" w:rsidR="00D351E4" w:rsidRPr="00D317F4" w:rsidRDefault="00D351E4" w:rsidP="00067313">
            <w:pPr>
              <w:keepNext/>
              <w:spacing w:before="40"/>
              <w:rPr>
                <w:rFonts w:ascii="Arial Narrow" w:hAnsi="Arial Narrow" w:cs="Calibri"/>
                <w:color w:val="000000"/>
              </w:rPr>
            </w:pPr>
            <w:r>
              <w:rPr>
                <w:rFonts w:ascii="Arial Narrow" w:hAnsi="Arial Narrow" w:cs="Calibri"/>
                <w:color w:val="000000"/>
              </w:rPr>
              <w:t>NPV</w:t>
            </w:r>
          </w:p>
        </w:tc>
        <w:tc>
          <w:tcPr>
            <w:tcW w:w="2622" w:type="dxa"/>
            <w:tcBorders>
              <w:top w:val="nil"/>
              <w:left w:val="nil"/>
              <w:bottom w:val="single" w:sz="4" w:space="0" w:color="auto"/>
              <w:right w:val="single" w:sz="4" w:space="0" w:color="auto"/>
            </w:tcBorders>
            <w:shd w:val="clear" w:color="auto" w:fill="auto"/>
            <w:vAlign w:val="center"/>
          </w:tcPr>
          <w:p w14:paraId="0A97225E" w14:textId="77777777" w:rsidR="00D351E4" w:rsidRPr="005E6ED9" w:rsidRDefault="00D351E4" w:rsidP="00067313">
            <w:pPr>
              <w:keepNext/>
              <w:spacing w:before="40"/>
              <w:jc w:val="center"/>
              <w:rPr>
                <w:rFonts w:ascii="Arial Narrow" w:hAnsi="Arial Narrow" w:cs="Calibri"/>
                <w:color w:val="000000"/>
              </w:rPr>
            </w:pPr>
            <w:r w:rsidRPr="005E6ED9">
              <w:rPr>
                <w:rFonts w:ascii="Arial Narrow" w:hAnsi="Arial Narrow" w:cs="Calibri"/>
                <w:color w:val="000000"/>
              </w:rPr>
              <w:t>0.96</w:t>
            </w:r>
          </w:p>
        </w:tc>
        <w:tc>
          <w:tcPr>
            <w:tcW w:w="2623" w:type="dxa"/>
            <w:tcBorders>
              <w:top w:val="nil"/>
              <w:left w:val="nil"/>
              <w:bottom w:val="single" w:sz="4" w:space="0" w:color="auto"/>
              <w:right w:val="single" w:sz="4" w:space="0" w:color="auto"/>
            </w:tcBorders>
            <w:shd w:val="clear" w:color="auto" w:fill="auto"/>
            <w:vAlign w:val="center"/>
          </w:tcPr>
          <w:p w14:paraId="630E2E69" w14:textId="77777777" w:rsidR="00D351E4" w:rsidRPr="00FD4971" w:rsidRDefault="00D351E4" w:rsidP="00067313">
            <w:pPr>
              <w:keepNext/>
              <w:spacing w:before="40"/>
              <w:jc w:val="center"/>
              <w:rPr>
                <w:rFonts w:ascii="Arial Narrow" w:hAnsi="Arial Narrow" w:cs="Calibri"/>
                <w:color w:val="000000"/>
              </w:rPr>
            </w:pPr>
            <w:r>
              <w:rPr>
                <w:rFonts w:ascii="Arial Narrow" w:hAnsi="Arial Narrow" w:cs="Calibri"/>
                <w:color w:val="000000"/>
              </w:rPr>
              <w:t>0.98</w:t>
            </w:r>
          </w:p>
        </w:tc>
      </w:tr>
    </w:tbl>
    <w:p w14:paraId="4839C142" w14:textId="77777777" w:rsidR="007D3FA3" w:rsidRPr="00E83A95" w:rsidRDefault="007D3FA3" w:rsidP="007D3FA3">
      <w:pPr>
        <w:pStyle w:val="TableFigureFooter"/>
        <w:keepNext/>
        <w:spacing w:before="0" w:after="0"/>
        <w:rPr>
          <w:szCs w:val="18"/>
        </w:rPr>
      </w:pPr>
      <w:r>
        <w:rPr>
          <w:szCs w:val="18"/>
        </w:rPr>
        <w:t>NPV=negative predictive value; PPV=positive predictive value</w:t>
      </w:r>
    </w:p>
    <w:p w14:paraId="09160AED" w14:textId="77777777" w:rsidR="00D351E4" w:rsidRPr="005E6ED9" w:rsidRDefault="00D351E4" w:rsidP="00D351E4">
      <w:pPr>
        <w:pStyle w:val="TableFigureFooter"/>
        <w:keepNext/>
        <w:spacing w:before="0" w:after="0"/>
        <w:rPr>
          <w:szCs w:val="18"/>
        </w:rPr>
      </w:pPr>
      <w:proofErr w:type="spellStart"/>
      <w:proofErr w:type="gramStart"/>
      <w:r w:rsidRPr="005E6ED9">
        <w:rPr>
          <w:szCs w:val="18"/>
          <w:vertAlign w:val="superscript"/>
        </w:rPr>
        <w:t>a</w:t>
      </w:r>
      <w:proofErr w:type="spellEnd"/>
      <w:proofErr w:type="gramEnd"/>
      <w:r w:rsidRPr="005E6ED9">
        <w:rPr>
          <w:szCs w:val="18"/>
        </w:rPr>
        <w:tab/>
        <w:t>assuming 161 scans</w:t>
      </w:r>
    </w:p>
    <w:p w14:paraId="2DADE976" w14:textId="77777777" w:rsidR="00D351E4" w:rsidRPr="005E6ED9" w:rsidRDefault="00D351E4" w:rsidP="00D351E4">
      <w:pPr>
        <w:pStyle w:val="TableFigureFooter"/>
        <w:keepNext/>
        <w:spacing w:before="0" w:after="0"/>
        <w:rPr>
          <w:szCs w:val="18"/>
        </w:rPr>
      </w:pPr>
      <w:r w:rsidRPr="005E6ED9">
        <w:rPr>
          <w:szCs w:val="18"/>
          <w:vertAlign w:val="superscript"/>
        </w:rPr>
        <w:t>b</w:t>
      </w:r>
      <w:r w:rsidRPr="005E6ED9">
        <w:rPr>
          <w:szCs w:val="18"/>
        </w:rPr>
        <w:tab/>
        <w:t>assuming 157 scans</w:t>
      </w:r>
    </w:p>
    <w:p w14:paraId="03E212A9" w14:textId="55322DED" w:rsidR="00D351E4" w:rsidRDefault="00D351E4" w:rsidP="000A6472">
      <w:pPr>
        <w:pStyle w:val="TableFigureFooter"/>
        <w:spacing w:before="0" w:after="240"/>
        <w:rPr>
          <w:szCs w:val="18"/>
        </w:rPr>
      </w:pPr>
      <w:r w:rsidRPr="005E6ED9">
        <w:rPr>
          <w:szCs w:val="18"/>
        </w:rPr>
        <w:t xml:space="preserve">Source: based on data in </w:t>
      </w:r>
      <w:r w:rsidRPr="005E6ED9">
        <w:rPr>
          <w:szCs w:val="18"/>
        </w:rPr>
        <w:fldChar w:fldCharType="begin"/>
      </w:r>
      <w:r w:rsidRPr="005E6ED9">
        <w:rPr>
          <w:szCs w:val="18"/>
        </w:rPr>
        <w:instrText xml:space="preserve"> REF _Ref97281830 \h </w:instrText>
      </w:r>
      <w:r>
        <w:rPr>
          <w:szCs w:val="18"/>
        </w:rPr>
        <w:instrText xml:space="preserve"> \* MERGEFORMAT </w:instrText>
      </w:r>
      <w:r w:rsidRPr="005E6ED9">
        <w:rPr>
          <w:szCs w:val="18"/>
        </w:rPr>
      </w:r>
      <w:r w:rsidRPr="005E6ED9">
        <w:rPr>
          <w:szCs w:val="18"/>
        </w:rPr>
        <w:fldChar w:fldCharType="separate"/>
      </w:r>
      <w:r w:rsidR="00822248" w:rsidRPr="00822248">
        <w:rPr>
          <w:szCs w:val="18"/>
        </w:rPr>
        <w:t xml:space="preserve">Table </w:t>
      </w:r>
      <w:r w:rsidR="00822248" w:rsidRPr="00822248">
        <w:rPr>
          <w:noProof/>
          <w:szCs w:val="18"/>
        </w:rPr>
        <w:t>22</w:t>
      </w:r>
      <w:r w:rsidRPr="005E6ED9">
        <w:rPr>
          <w:szCs w:val="18"/>
        </w:rPr>
        <w:fldChar w:fldCharType="end"/>
      </w:r>
      <w:r w:rsidR="000D2BBC">
        <w:rPr>
          <w:szCs w:val="18"/>
        </w:rPr>
        <w:t xml:space="preserve"> of DCAR</w:t>
      </w:r>
    </w:p>
    <w:p w14:paraId="1E5B7E6C" w14:textId="77777777" w:rsidR="00D351E4" w:rsidRDefault="00D351E4" w:rsidP="00D351E4">
      <w:r>
        <w:t>In LIFSCREEN, the addition of WBMRI to standard surveillance increased the diagnostic yield compared to standard surveillance (5.73% versus 4.97%, respectively). The sensitivity of a regimen containing WBMRI was also higher, with reduced specificity. Although LIFSCREEN provided estimates of the diagnostic accuracy of both a surveillance strategy that included WBMRI or not, the estimates are not directly comparable as they are derived from surveillance strategies conducted in different patients with different cancers. This is contrary to usual estimations of diagnostic accuracy of a test to detect a cancer (in this example) if it is present in a particular individual.</w:t>
      </w:r>
    </w:p>
    <w:p w14:paraId="5D3302A6" w14:textId="6A1EA2FF" w:rsidR="00370686" w:rsidRPr="00124440" w:rsidRDefault="00D351E4" w:rsidP="00124440">
      <w:proofErr w:type="gramStart"/>
      <w:r>
        <w:t>In order to</w:t>
      </w:r>
      <w:proofErr w:type="gramEnd"/>
      <w:r>
        <w:t xml:space="preserve"> provide an estimate of the diagnostic accuracy of STD in the STD+WBMRI arm of the trial, further estimations were conducted. The applicant provided analyses of the cancers detected in LIFSCREEN, indicating which of the cancers observed in the STD+WBMRI wo</w:t>
      </w:r>
      <w:r w:rsidR="00370686">
        <w:t>u</w:t>
      </w:r>
      <w:r>
        <w:t>ld have been detected by current Australian surveillance</w:t>
      </w:r>
      <w:r w:rsidR="00B73F82">
        <w:t xml:space="preserve"> (see </w:t>
      </w:r>
      <w:r w:rsidR="007D3FA3">
        <w:fldChar w:fldCharType="begin"/>
      </w:r>
      <w:r w:rsidR="007D3FA3">
        <w:instrText xml:space="preserve"> REF _Ref99949941 \h </w:instrText>
      </w:r>
      <w:r w:rsidR="007D3FA3">
        <w:fldChar w:fldCharType="separate"/>
      </w:r>
      <w:r w:rsidR="00822248">
        <w:t xml:space="preserve">Table </w:t>
      </w:r>
      <w:r w:rsidR="00822248">
        <w:rPr>
          <w:noProof/>
        </w:rPr>
        <w:t>8</w:t>
      </w:r>
      <w:r w:rsidR="007D3FA3">
        <w:fldChar w:fldCharType="end"/>
      </w:r>
      <w:r w:rsidR="007D3FA3">
        <w:t>)</w:t>
      </w:r>
      <w:r>
        <w:t xml:space="preserve">. Eleven or nine (including or excluding the two lesions in two patients that were not defined as interval cancers, respectively) new primary cancers were detected in the STD+WBMRI arm of the trial. Of these, nine cancers </w:t>
      </w:r>
      <w:r>
        <w:lastRenderedPageBreak/>
        <w:t xml:space="preserve">were detected by WBMRI and four would have been detected by current modalities relevant to the Australian setting. Estimates of diagnostic accuracy based on this information are presented in </w:t>
      </w:r>
      <w:r>
        <w:fldChar w:fldCharType="begin"/>
      </w:r>
      <w:r>
        <w:instrText xml:space="preserve"> REF _Ref101944711 \h </w:instrText>
      </w:r>
      <w:r>
        <w:fldChar w:fldCharType="separate"/>
      </w:r>
      <w:r w:rsidR="00822248">
        <w:t xml:space="preserve">Table </w:t>
      </w:r>
      <w:r w:rsidR="00822248">
        <w:rPr>
          <w:noProof/>
        </w:rPr>
        <w:t>4</w:t>
      </w:r>
      <w:r>
        <w:fldChar w:fldCharType="end"/>
      </w:r>
      <w:r>
        <w:t>.</w:t>
      </w:r>
    </w:p>
    <w:p w14:paraId="3A3A6C45" w14:textId="2329D395" w:rsidR="00D351E4" w:rsidRPr="00C34B15" w:rsidRDefault="00D351E4" w:rsidP="00082EA7">
      <w:pPr>
        <w:pStyle w:val="Caption"/>
        <w:spacing w:before="240"/>
        <w:ind w:left="709" w:hanging="709"/>
      </w:pPr>
      <w:bookmarkStart w:id="20" w:name="_Ref101944711"/>
      <w:r>
        <w:t xml:space="preserve">Table </w:t>
      </w:r>
      <w:r w:rsidR="0067109A">
        <w:fldChar w:fldCharType="begin"/>
      </w:r>
      <w:r w:rsidR="0067109A">
        <w:instrText xml:space="preserve"> SEQ Table \* ARABIC </w:instrText>
      </w:r>
      <w:r w:rsidR="0067109A">
        <w:fldChar w:fldCharType="separate"/>
      </w:r>
      <w:r w:rsidR="00822248">
        <w:rPr>
          <w:noProof/>
        </w:rPr>
        <w:t>4</w:t>
      </w:r>
      <w:r w:rsidR="0067109A">
        <w:rPr>
          <w:noProof/>
        </w:rPr>
        <w:fldChar w:fldCharType="end"/>
      </w:r>
      <w:bookmarkEnd w:id="20"/>
      <w:r>
        <w:tab/>
        <w:t>Sensitivity</w:t>
      </w:r>
      <w:r w:rsidR="007D3FA3">
        <w:t xml:space="preserve"> and</w:t>
      </w:r>
      <w:r>
        <w:t xml:space="preserve"> specificity</w:t>
      </w:r>
      <w:r w:rsidR="007D3FA3">
        <w:t xml:space="preserve"> of current Australian standard surveillance in the</w:t>
      </w:r>
      <w:r>
        <w:t xml:space="preserve"> STD+WBMRI arm in </w:t>
      </w:r>
      <w:r w:rsidRPr="005E6ED9">
        <w:rPr>
          <w:i/>
          <w:iCs/>
        </w:rPr>
        <w:t>TP53</w:t>
      </w:r>
      <w:r>
        <w:t xml:space="preserve"> variant carriers (LIFSCREEN)</w:t>
      </w:r>
    </w:p>
    <w:tbl>
      <w:tblPr>
        <w:tblStyle w:val="TableGrid1"/>
        <w:tblW w:w="8926" w:type="dxa"/>
        <w:tblLook w:val="04A0" w:firstRow="1" w:lastRow="0" w:firstColumn="1" w:lastColumn="0" w:noHBand="0" w:noVBand="1"/>
      </w:tblPr>
      <w:tblGrid>
        <w:gridCol w:w="3397"/>
        <w:gridCol w:w="2764"/>
        <w:gridCol w:w="2765"/>
      </w:tblGrid>
      <w:tr w:rsidR="00D351E4" w:rsidRPr="00D317F4" w14:paraId="498C5DF9" w14:textId="77777777" w:rsidTr="00067313">
        <w:trPr>
          <w:cnfStyle w:val="100000000000" w:firstRow="1" w:lastRow="0" w:firstColumn="0" w:lastColumn="0" w:oddVBand="0" w:evenVBand="0" w:oddHBand="0" w:evenHBand="0" w:firstRowFirstColumn="0" w:firstRowLastColumn="0" w:lastRowFirstColumn="0" w:lastRowLastColumn="0"/>
          <w:trHeight w:val="295"/>
        </w:trPr>
        <w:tc>
          <w:tcPr>
            <w:tcW w:w="339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585BE5" w14:textId="77777777" w:rsidR="00D351E4" w:rsidRPr="00D317F4" w:rsidRDefault="00D351E4" w:rsidP="00067313">
            <w:pPr>
              <w:keepNext/>
              <w:spacing w:before="40"/>
              <w:rPr>
                <w:rFonts w:ascii="Arial Narrow" w:hAnsi="Arial Narrow" w:cs="Calibri"/>
                <w:b/>
                <w:bCs/>
                <w:color w:val="000000"/>
              </w:rPr>
            </w:pPr>
            <w:r>
              <w:rPr>
                <w:rFonts w:ascii="Arial Narrow" w:hAnsi="Arial Narrow" w:cs="Calibri"/>
                <w:b/>
                <w:bCs/>
                <w:color w:val="000000"/>
              </w:rPr>
              <w:t>LIFSCREEN</w:t>
            </w:r>
          </w:p>
        </w:tc>
        <w:tc>
          <w:tcPr>
            <w:tcW w:w="2764" w:type="dxa"/>
            <w:tcBorders>
              <w:top w:val="single" w:sz="4" w:space="0" w:color="auto"/>
              <w:left w:val="nil"/>
              <w:bottom w:val="single" w:sz="4" w:space="0" w:color="auto"/>
              <w:right w:val="single" w:sz="4" w:space="0" w:color="auto"/>
            </w:tcBorders>
            <w:shd w:val="clear" w:color="auto" w:fill="auto"/>
            <w:vAlign w:val="bottom"/>
            <w:hideMark/>
          </w:tcPr>
          <w:p w14:paraId="4ECA4F4F" w14:textId="77777777" w:rsidR="00D351E4" w:rsidRPr="005E6ED9" w:rsidRDefault="00D351E4" w:rsidP="00067313">
            <w:pPr>
              <w:keepNext/>
              <w:spacing w:before="40"/>
              <w:jc w:val="center"/>
              <w:rPr>
                <w:rFonts w:ascii="Arial Narrow" w:hAnsi="Arial Narrow" w:cs="Calibri"/>
                <w:b/>
                <w:bCs/>
                <w:color w:val="000000"/>
                <w:vertAlign w:val="superscript"/>
              </w:rPr>
            </w:pPr>
            <w:proofErr w:type="spellStart"/>
            <w:r>
              <w:rPr>
                <w:rFonts w:ascii="Arial Narrow" w:hAnsi="Arial Narrow" w:cs="Calibri"/>
                <w:b/>
                <w:bCs/>
                <w:color w:val="000000"/>
              </w:rPr>
              <w:t>STD</w:t>
            </w:r>
            <w:r>
              <w:rPr>
                <w:rFonts w:ascii="Arial Narrow" w:hAnsi="Arial Narrow" w:cs="Calibri"/>
                <w:b/>
                <w:bCs/>
                <w:color w:val="000000"/>
                <w:vertAlign w:val="superscript"/>
              </w:rPr>
              <w:t>a</w:t>
            </w:r>
            <w:proofErr w:type="spellEnd"/>
          </w:p>
        </w:tc>
        <w:tc>
          <w:tcPr>
            <w:tcW w:w="2765" w:type="dxa"/>
            <w:tcBorders>
              <w:top w:val="single" w:sz="4" w:space="0" w:color="auto"/>
              <w:left w:val="nil"/>
              <w:bottom w:val="single" w:sz="4" w:space="0" w:color="auto"/>
              <w:right w:val="single" w:sz="4" w:space="0" w:color="auto"/>
            </w:tcBorders>
            <w:shd w:val="clear" w:color="auto" w:fill="auto"/>
            <w:vAlign w:val="bottom"/>
            <w:hideMark/>
          </w:tcPr>
          <w:p w14:paraId="425171ED" w14:textId="77777777" w:rsidR="00D351E4" w:rsidRPr="005E6ED9" w:rsidRDefault="00D351E4" w:rsidP="00067313">
            <w:pPr>
              <w:keepNext/>
              <w:spacing w:before="40"/>
              <w:jc w:val="center"/>
              <w:rPr>
                <w:rFonts w:ascii="Arial Narrow" w:hAnsi="Arial Narrow" w:cs="Calibri"/>
                <w:b/>
                <w:bCs/>
                <w:color w:val="000000"/>
                <w:vertAlign w:val="superscript"/>
              </w:rPr>
            </w:pPr>
            <w:proofErr w:type="spellStart"/>
            <w:r>
              <w:rPr>
                <w:rFonts w:ascii="Arial Narrow" w:hAnsi="Arial Narrow" w:cs="Calibri"/>
                <w:b/>
                <w:bCs/>
                <w:color w:val="000000"/>
              </w:rPr>
              <w:t>STD+WBMRI</w:t>
            </w:r>
            <w:r>
              <w:rPr>
                <w:rFonts w:ascii="Arial Narrow" w:hAnsi="Arial Narrow" w:cs="Calibri"/>
                <w:b/>
                <w:bCs/>
                <w:color w:val="000000"/>
                <w:vertAlign w:val="superscript"/>
              </w:rPr>
              <w:t>b</w:t>
            </w:r>
            <w:proofErr w:type="spellEnd"/>
          </w:p>
        </w:tc>
      </w:tr>
      <w:tr w:rsidR="00D351E4" w:rsidRPr="00D317F4" w14:paraId="064CA1CE" w14:textId="77777777" w:rsidTr="00067313">
        <w:trPr>
          <w:trHeight w:val="295"/>
        </w:trPr>
        <w:tc>
          <w:tcPr>
            <w:tcW w:w="3397" w:type="dxa"/>
            <w:tcBorders>
              <w:top w:val="single" w:sz="4" w:space="0" w:color="auto"/>
              <w:left w:val="single" w:sz="4" w:space="0" w:color="auto"/>
              <w:bottom w:val="single" w:sz="4" w:space="0" w:color="auto"/>
              <w:right w:val="single" w:sz="4" w:space="0" w:color="auto"/>
            </w:tcBorders>
            <w:shd w:val="clear" w:color="auto" w:fill="auto"/>
            <w:vAlign w:val="bottom"/>
          </w:tcPr>
          <w:p w14:paraId="28FE013C" w14:textId="77777777" w:rsidR="00D351E4" w:rsidRPr="005C4DD0" w:rsidRDefault="00D351E4" w:rsidP="00067313">
            <w:pPr>
              <w:keepNext/>
              <w:spacing w:before="40"/>
              <w:rPr>
                <w:rFonts w:ascii="Arial Narrow" w:hAnsi="Arial Narrow" w:cs="Calibri"/>
                <w:color w:val="000000"/>
              </w:rPr>
            </w:pPr>
            <w:r>
              <w:rPr>
                <w:rFonts w:ascii="Arial Narrow" w:hAnsi="Arial Narrow" w:cs="Calibri"/>
                <w:color w:val="000000"/>
              </w:rPr>
              <w:t>Diagnostic yield per screening episode</w:t>
            </w:r>
          </w:p>
        </w:tc>
        <w:tc>
          <w:tcPr>
            <w:tcW w:w="2764" w:type="dxa"/>
            <w:tcBorders>
              <w:top w:val="single" w:sz="4" w:space="0" w:color="auto"/>
              <w:left w:val="nil"/>
              <w:bottom w:val="single" w:sz="4" w:space="0" w:color="auto"/>
              <w:right w:val="single" w:sz="4" w:space="0" w:color="auto"/>
            </w:tcBorders>
            <w:shd w:val="clear" w:color="auto" w:fill="auto"/>
            <w:vAlign w:val="center"/>
          </w:tcPr>
          <w:p w14:paraId="3382243A" w14:textId="77777777" w:rsidR="00D351E4" w:rsidRPr="005E6ED9" w:rsidRDefault="00D351E4" w:rsidP="00067313">
            <w:pPr>
              <w:keepNext/>
              <w:spacing w:before="40"/>
              <w:jc w:val="center"/>
              <w:rPr>
                <w:rFonts w:ascii="Arial Narrow" w:hAnsi="Arial Narrow" w:cs="Calibri"/>
                <w:color w:val="000000"/>
                <w:vertAlign w:val="superscript"/>
              </w:rPr>
            </w:pPr>
            <w:r>
              <w:rPr>
                <w:rFonts w:ascii="Arial Narrow" w:hAnsi="Arial Narrow" w:cs="Calibri"/>
                <w:color w:val="000000"/>
              </w:rPr>
              <w:t>2.54%</w:t>
            </w:r>
            <w:r>
              <w:rPr>
                <w:rFonts w:ascii="Arial Narrow" w:hAnsi="Arial Narrow" w:cs="Calibri"/>
                <w:color w:val="000000"/>
                <w:vertAlign w:val="superscript"/>
              </w:rPr>
              <w:t>a</w:t>
            </w:r>
          </w:p>
        </w:tc>
        <w:tc>
          <w:tcPr>
            <w:tcW w:w="2765" w:type="dxa"/>
            <w:tcBorders>
              <w:top w:val="single" w:sz="4" w:space="0" w:color="auto"/>
              <w:left w:val="nil"/>
              <w:bottom w:val="single" w:sz="4" w:space="0" w:color="auto"/>
              <w:right w:val="single" w:sz="4" w:space="0" w:color="auto"/>
            </w:tcBorders>
            <w:shd w:val="clear" w:color="auto" w:fill="auto"/>
            <w:vAlign w:val="center"/>
          </w:tcPr>
          <w:p w14:paraId="22B49F36" w14:textId="77777777" w:rsidR="00D351E4" w:rsidRPr="005E6ED9" w:rsidRDefault="00D351E4" w:rsidP="00067313">
            <w:pPr>
              <w:keepNext/>
              <w:spacing w:before="40"/>
              <w:jc w:val="center"/>
              <w:rPr>
                <w:rFonts w:ascii="Arial Narrow" w:hAnsi="Arial Narrow" w:cs="Calibri"/>
                <w:color w:val="000000"/>
                <w:vertAlign w:val="superscript"/>
              </w:rPr>
            </w:pPr>
            <w:r>
              <w:rPr>
                <w:rFonts w:ascii="Arial Narrow" w:hAnsi="Arial Narrow" w:cs="Calibri"/>
                <w:color w:val="000000"/>
              </w:rPr>
              <w:t>5.73%</w:t>
            </w:r>
            <w:r w:rsidRPr="00431E96">
              <w:rPr>
                <w:rFonts w:ascii="Arial Narrow" w:hAnsi="Arial Narrow" w:cs="Calibri"/>
                <w:color w:val="000000"/>
                <w:vertAlign w:val="superscript"/>
              </w:rPr>
              <w:t>a</w:t>
            </w:r>
          </w:p>
        </w:tc>
      </w:tr>
      <w:tr w:rsidR="00D351E4" w:rsidRPr="00D317F4" w14:paraId="703D3A56" w14:textId="77777777" w:rsidTr="00067313">
        <w:trPr>
          <w:trHeight w:val="29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44E7FE61" w14:textId="77777777" w:rsidR="00D351E4" w:rsidRPr="00D317F4" w:rsidRDefault="00D351E4" w:rsidP="00067313">
            <w:pPr>
              <w:keepNext/>
              <w:spacing w:before="40"/>
              <w:rPr>
                <w:rFonts w:ascii="Arial Narrow" w:hAnsi="Arial Narrow" w:cs="Calibri"/>
                <w:color w:val="000000"/>
              </w:rPr>
            </w:pPr>
            <w:r>
              <w:rPr>
                <w:rFonts w:ascii="Arial Narrow" w:hAnsi="Arial Narrow" w:cs="Calibri"/>
                <w:color w:val="000000"/>
              </w:rPr>
              <w:t>Sensitivity</w:t>
            </w:r>
          </w:p>
        </w:tc>
        <w:tc>
          <w:tcPr>
            <w:tcW w:w="2764" w:type="dxa"/>
            <w:tcBorders>
              <w:top w:val="nil"/>
              <w:left w:val="nil"/>
              <w:bottom w:val="single" w:sz="4" w:space="0" w:color="auto"/>
              <w:right w:val="single" w:sz="4" w:space="0" w:color="auto"/>
            </w:tcBorders>
            <w:shd w:val="clear" w:color="auto" w:fill="auto"/>
            <w:vAlign w:val="center"/>
            <w:hideMark/>
          </w:tcPr>
          <w:p w14:paraId="13169EF7" w14:textId="77777777" w:rsidR="00D351E4" w:rsidRPr="00D317F4" w:rsidRDefault="00D351E4" w:rsidP="00067313">
            <w:pPr>
              <w:keepNext/>
              <w:spacing w:before="40"/>
              <w:jc w:val="center"/>
              <w:rPr>
                <w:rFonts w:ascii="Arial Narrow" w:hAnsi="Arial Narrow" w:cs="Calibri"/>
                <w:color w:val="000000"/>
              </w:rPr>
            </w:pPr>
            <w:r>
              <w:rPr>
                <w:rFonts w:ascii="Arial Narrow" w:hAnsi="Arial Narrow" w:cs="Calibri"/>
                <w:color w:val="000000"/>
              </w:rPr>
              <w:t>0.36</w:t>
            </w:r>
          </w:p>
        </w:tc>
        <w:tc>
          <w:tcPr>
            <w:tcW w:w="2765" w:type="dxa"/>
            <w:tcBorders>
              <w:top w:val="nil"/>
              <w:left w:val="nil"/>
              <w:bottom w:val="single" w:sz="4" w:space="0" w:color="auto"/>
              <w:right w:val="single" w:sz="4" w:space="0" w:color="auto"/>
            </w:tcBorders>
            <w:shd w:val="clear" w:color="auto" w:fill="auto"/>
            <w:vAlign w:val="center"/>
            <w:hideMark/>
          </w:tcPr>
          <w:p w14:paraId="65DD2765" w14:textId="77777777" w:rsidR="00D351E4" w:rsidRPr="00D317F4" w:rsidRDefault="00D351E4" w:rsidP="00067313">
            <w:pPr>
              <w:keepNext/>
              <w:spacing w:before="40"/>
              <w:jc w:val="center"/>
              <w:rPr>
                <w:rFonts w:ascii="Arial Narrow" w:hAnsi="Arial Narrow" w:cs="Calibri"/>
                <w:color w:val="000000"/>
              </w:rPr>
            </w:pPr>
            <w:r>
              <w:rPr>
                <w:rFonts w:ascii="Arial Narrow" w:hAnsi="Arial Narrow" w:cs="Calibri"/>
                <w:color w:val="000000"/>
              </w:rPr>
              <w:t>0.82</w:t>
            </w:r>
          </w:p>
        </w:tc>
      </w:tr>
      <w:tr w:rsidR="00D351E4" w:rsidRPr="00D317F4" w14:paraId="4025C01C" w14:textId="77777777" w:rsidTr="00067313">
        <w:trPr>
          <w:trHeight w:val="295"/>
        </w:trPr>
        <w:tc>
          <w:tcPr>
            <w:tcW w:w="3397" w:type="dxa"/>
            <w:tcBorders>
              <w:top w:val="nil"/>
              <w:left w:val="single" w:sz="4" w:space="0" w:color="auto"/>
              <w:bottom w:val="single" w:sz="4" w:space="0" w:color="auto"/>
              <w:right w:val="single" w:sz="4" w:space="0" w:color="auto"/>
            </w:tcBorders>
            <w:shd w:val="clear" w:color="auto" w:fill="auto"/>
            <w:vAlign w:val="bottom"/>
            <w:hideMark/>
          </w:tcPr>
          <w:p w14:paraId="77F3DD9D" w14:textId="77777777" w:rsidR="00D351E4" w:rsidRPr="00D317F4" w:rsidRDefault="00D351E4" w:rsidP="00067313">
            <w:pPr>
              <w:keepNext/>
              <w:spacing w:before="40"/>
              <w:rPr>
                <w:rFonts w:ascii="Arial Narrow" w:hAnsi="Arial Narrow" w:cs="Calibri"/>
                <w:color w:val="000000"/>
              </w:rPr>
            </w:pPr>
            <w:r>
              <w:rPr>
                <w:rFonts w:ascii="Arial Narrow" w:hAnsi="Arial Narrow" w:cs="Calibri"/>
                <w:color w:val="000000"/>
              </w:rPr>
              <w:t>Specificity</w:t>
            </w:r>
          </w:p>
        </w:tc>
        <w:tc>
          <w:tcPr>
            <w:tcW w:w="2764" w:type="dxa"/>
            <w:tcBorders>
              <w:top w:val="nil"/>
              <w:left w:val="nil"/>
              <w:bottom w:val="single" w:sz="4" w:space="0" w:color="auto"/>
              <w:right w:val="single" w:sz="4" w:space="0" w:color="auto"/>
            </w:tcBorders>
            <w:shd w:val="clear" w:color="auto" w:fill="auto"/>
            <w:vAlign w:val="center"/>
            <w:hideMark/>
          </w:tcPr>
          <w:p w14:paraId="6189D149" w14:textId="77777777" w:rsidR="00D351E4" w:rsidRPr="005E6ED9" w:rsidRDefault="00D351E4" w:rsidP="00067313">
            <w:pPr>
              <w:keepNext/>
              <w:spacing w:before="40"/>
              <w:jc w:val="center"/>
              <w:rPr>
                <w:rFonts w:ascii="Arial Narrow" w:hAnsi="Arial Narrow" w:cs="Calibri"/>
                <w:color w:val="000000"/>
              </w:rPr>
            </w:pPr>
            <w:r>
              <w:rPr>
                <w:rFonts w:ascii="Arial Narrow" w:hAnsi="Arial Narrow" w:cs="Calibri"/>
                <w:color w:val="000000"/>
              </w:rPr>
              <w:t>0.58</w:t>
            </w:r>
          </w:p>
        </w:tc>
        <w:tc>
          <w:tcPr>
            <w:tcW w:w="2765" w:type="dxa"/>
            <w:tcBorders>
              <w:top w:val="nil"/>
              <w:left w:val="nil"/>
              <w:bottom w:val="single" w:sz="4" w:space="0" w:color="auto"/>
              <w:right w:val="single" w:sz="4" w:space="0" w:color="auto"/>
            </w:tcBorders>
            <w:shd w:val="clear" w:color="auto" w:fill="auto"/>
            <w:vAlign w:val="center"/>
            <w:hideMark/>
          </w:tcPr>
          <w:p w14:paraId="7F2EC418" w14:textId="77777777" w:rsidR="00D351E4" w:rsidRPr="00D317F4" w:rsidRDefault="00D351E4" w:rsidP="00067313">
            <w:pPr>
              <w:keepNext/>
              <w:spacing w:before="40"/>
              <w:jc w:val="center"/>
              <w:rPr>
                <w:rFonts w:ascii="Arial Narrow" w:hAnsi="Arial Narrow" w:cs="Calibri"/>
                <w:color w:val="000000"/>
              </w:rPr>
            </w:pPr>
            <w:r>
              <w:rPr>
                <w:rFonts w:ascii="Arial Narrow" w:hAnsi="Arial Narrow" w:cs="Calibri"/>
                <w:color w:val="000000"/>
              </w:rPr>
              <w:t>0.61</w:t>
            </w:r>
          </w:p>
        </w:tc>
      </w:tr>
    </w:tbl>
    <w:p w14:paraId="0347C186" w14:textId="77777777" w:rsidR="00D351E4" w:rsidRPr="005E6ED9" w:rsidRDefault="00D351E4" w:rsidP="00D351E4">
      <w:pPr>
        <w:pStyle w:val="TableFigureFooter"/>
        <w:keepNext/>
        <w:spacing w:before="0" w:after="0"/>
        <w:rPr>
          <w:szCs w:val="18"/>
        </w:rPr>
      </w:pPr>
      <w:proofErr w:type="spellStart"/>
      <w:proofErr w:type="gramStart"/>
      <w:r w:rsidRPr="005E6ED9">
        <w:rPr>
          <w:szCs w:val="18"/>
          <w:vertAlign w:val="superscript"/>
        </w:rPr>
        <w:t>a</w:t>
      </w:r>
      <w:proofErr w:type="spellEnd"/>
      <w:proofErr w:type="gramEnd"/>
      <w:r w:rsidRPr="005E6ED9">
        <w:rPr>
          <w:szCs w:val="18"/>
        </w:rPr>
        <w:tab/>
        <w:t>assuming 157 scans</w:t>
      </w:r>
    </w:p>
    <w:p w14:paraId="72D7F2DD" w14:textId="7F7DA4CC" w:rsidR="00D351E4" w:rsidRDefault="00D351E4" w:rsidP="00C34B15">
      <w:pPr>
        <w:pStyle w:val="TableFigureFooter"/>
        <w:spacing w:before="0" w:after="240"/>
        <w:rPr>
          <w:szCs w:val="18"/>
        </w:rPr>
      </w:pPr>
      <w:r w:rsidRPr="005E6ED9">
        <w:rPr>
          <w:szCs w:val="18"/>
        </w:rPr>
        <w:t xml:space="preserve">Source: based on data in </w:t>
      </w:r>
      <w:r>
        <w:rPr>
          <w:szCs w:val="18"/>
        </w:rPr>
        <w:fldChar w:fldCharType="begin"/>
      </w:r>
      <w:r>
        <w:rPr>
          <w:szCs w:val="18"/>
        </w:rPr>
        <w:instrText xml:space="preserve"> REF _Ref101924508 \h </w:instrText>
      </w:r>
      <w:r>
        <w:rPr>
          <w:szCs w:val="18"/>
        </w:rPr>
      </w:r>
      <w:r>
        <w:rPr>
          <w:szCs w:val="18"/>
        </w:rPr>
        <w:fldChar w:fldCharType="separate"/>
      </w:r>
      <w:r w:rsidR="00822248">
        <w:t xml:space="preserve">Table </w:t>
      </w:r>
      <w:r w:rsidR="00822248">
        <w:rPr>
          <w:noProof/>
        </w:rPr>
        <w:t>27</w:t>
      </w:r>
      <w:r>
        <w:rPr>
          <w:szCs w:val="18"/>
        </w:rPr>
        <w:fldChar w:fldCharType="end"/>
      </w:r>
      <w:r w:rsidR="000D2BBC">
        <w:rPr>
          <w:szCs w:val="18"/>
        </w:rPr>
        <w:t xml:space="preserve"> of DCAR</w:t>
      </w:r>
    </w:p>
    <w:p w14:paraId="555F0B1E" w14:textId="11BFE866" w:rsidR="00D351E4" w:rsidRDefault="00D351E4" w:rsidP="00D20A8F">
      <w:r>
        <w:t xml:space="preserve">These analyses demonstrate a more than doubling of the diagnostic yield, increased </w:t>
      </w:r>
      <w:proofErr w:type="gramStart"/>
      <w:r>
        <w:t>sensitivity</w:t>
      </w:r>
      <w:proofErr w:type="gramEnd"/>
      <w:r>
        <w:t xml:space="preserve"> and specificity with the addition of WBMRI to standard surveillance.</w:t>
      </w:r>
      <w:r w:rsidR="007D3FA3">
        <w:t xml:space="preserve"> A similar trend was also observed for the STD arm of the trial, see </w:t>
      </w:r>
      <w:r w:rsidR="007D3FA3">
        <w:fldChar w:fldCharType="begin"/>
      </w:r>
      <w:r w:rsidR="007D3FA3">
        <w:instrText xml:space="preserve"> REF _Ref99949941 \h </w:instrText>
      </w:r>
      <w:r w:rsidR="007D3FA3">
        <w:fldChar w:fldCharType="separate"/>
      </w:r>
      <w:r w:rsidR="00822248">
        <w:t xml:space="preserve">Table </w:t>
      </w:r>
      <w:r w:rsidR="00822248">
        <w:rPr>
          <w:noProof/>
        </w:rPr>
        <w:t>8</w:t>
      </w:r>
      <w:r w:rsidR="007D3FA3">
        <w:fldChar w:fldCharType="end"/>
      </w:r>
      <w:r w:rsidR="007D3FA3">
        <w:t>.</w:t>
      </w:r>
    </w:p>
    <w:p w14:paraId="769D801A" w14:textId="3044B98D" w:rsidR="00D20A8F" w:rsidRDefault="00D20A8F" w:rsidP="00D20A8F">
      <w:r>
        <w:t xml:space="preserve">The overall survival </w:t>
      </w:r>
      <w:r w:rsidR="00C34B15">
        <w:t xml:space="preserve">estimates </w:t>
      </w:r>
      <w:r w:rsidR="007C59C1">
        <w:t xml:space="preserve">reported in </w:t>
      </w:r>
      <w:proofErr w:type="gramStart"/>
      <w:r w:rsidR="007C59C1">
        <w:t>LIFSCREEN</w:t>
      </w:r>
      <w:proofErr w:type="gramEnd"/>
      <w:r w:rsidR="007C59C1">
        <w:t xml:space="preserve"> and Villani (2016, 2011) </w:t>
      </w:r>
      <w:r w:rsidR="00C34B15">
        <w:t>are</w:t>
      </w:r>
      <w:r w:rsidR="007C59C1">
        <w:t xml:space="preserve"> presented in </w:t>
      </w:r>
      <w:r w:rsidR="007C59C1">
        <w:fldChar w:fldCharType="begin"/>
      </w:r>
      <w:r w:rsidR="007C59C1">
        <w:instrText xml:space="preserve"> REF _Ref99948105 \h </w:instrText>
      </w:r>
      <w:r w:rsidR="007C59C1">
        <w:fldChar w:fldCharType="separate"/>
      </w:r>
      <w:r w:rsidR="00822248">
        <w:t xml:space="preserve">Table </w:t>
      </w:r>
      <w:r w:rsidR="00822248">
        <w:rPr>
          <w:noProof/>
        </w:rPr>
        <w:t>5</w:t>
      </w:r>
      <w:r w:rsidR="007C59C1">
        <w:fldChar w:fldCharType="end"/>
      </w:r>
      <w:r w:rsidR="007C59C1">
        <w:t xml:space="preserve"> and </w:t>
      </w:r>
      <w:r w:rsidR="007C59C1">
        <w:fldChar w:fldCharType="begin"/>
      </w:r>
      <w:r w:rsidR="007C59C1">
        <w:instrText xml:space="preserve"> REF _Ref99948109 \h </w:instrText>
      </w:r>
      <w:r w:rsidR="007C59C1">
        <w:fldChar w:fldCharType="separate"/>
      </w:r>
      <w:r w:rsidR="00822248">
        <w:t xml:space="preserve">Table </w:t>
      </w:r>
      <w:r w:rsidR="00822248">
        <w:rPr>
          <w:noProof/>
        </w:rPr>
        <w:t>6</w:t>
      </w:r>
      <w:r w:rsidR="007C59C1">
        <w:fldChar w:fldCharType="end"/>
      </w:r>
      <w:r w:rsidR="007C59C1">
        <w:t>, respectively.</w:t>
      </w:r>
    </w:p>
    <w:p w14:paraId="62EEC5D0" w14:textId="08CA5B33" w:rsidR="007C59C1" w:rsidRPr="00C34B15" w:rsidRDefault="007C59C1" w:rsidP="00705109">
      <w:pPr>
        <w:pStyle w:val="Caption"/>
        <w:spacing w:before="240"/>
        <w:ind w:left="709" w:hanging="709"/>
      </w:pPr>
      <w:bookmarkStart w:id="21" w:name="_Ref99948105"/>
      <w:r>
        <w:t xml:space="preserve">Table </w:t>
      </w:r>
      <w:r w:rsidR="0067109A">
        <w:fldChar w:fldCharType="begin"/>
      </w:r>
      <w:r w:rsidR="0067109A">
        <w:instrText xml:space="preserve"> SEQ Table \* ARABIC </w:instrText>
      </w:r>
      <w:r w:rsidR="0067109A">
        <w:fldChar w:fldCharType="separate"/>
      </w:r>
      <w:r w:rsidR="00822248">
        <w:rPr>
          <w:noProof/>
        </w:rPr>
        <w:t>5</w:t>
      </w:r>
      <w:r w:rsidR="0067109A">
        <w:rPr>
          <w:noProof/>
        </w:rPr>
        <w:fldChar w:fldCharType="end"/>
      </w:r>
      <w:bookmarkEnd w:id="21"/>
      <w:r>
        <w:tab/>
        <w:t>3-year overall survival (OS) in the STD arm and STD+WBMRI arms in LIFSCREEN</w:t>
      </w:r>
    </w:p>
    <w:tbl>
      <w:tblPr>
        <w:tblStyle w:val="TableGrid1"/>
        <w:tblW w:w="9067" w:type="dxa"/>
        <w:tblLook w:val="04A0" w:firstRow="1" w:lastRow="0" w:firstColumn="1" w:lastColumn="0" w:noHBand="0" w:noVBand="1"/>
      </w:tblPr>
      <w:tblGrid>
        <w:gridCol w:w="3823"/>
        <w:gridCol w:w="2693"/>
        <w:gridCol w:w="2551"/>
      </w:tblGrid>
      <w:tr w:rsidR="007C59C1" w:rsidRPr="00D317F4" w14:paraId="3386C5CA" w14:textId="77777777" w:rsidTr="005322FF">
        <w:trPr>
          <w:cnfStyle w:val="100000000000" w:firstRow="1" w:lastRow="0" w:firstColumn="0" w:lastColumn="0" w:oddVBand="0" w:evenVBand="0" w:oddHBand="0" w:evenHBand="0" w:firstRowFirstColumn="0" w:firstRowLastColumn="0" w:lastRowFirstColumn="0" w:lastRowLastColumn="0"/>
          <w:trHeight w:val="295"/>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27AED3" w14:textId="77777777" w:rsidR="007C59C1" w:rsidRPr="00D317F4" w:rsidRDefault="007C59C1" w:rsidP="00124440">
            <w:pPr>
              <w:keepNext/>
              <w:spacing w:before="40"/>
              <w:rPr>
                <w:rFonts w:ascii="Arial Narrow" w:hAnsi="Arial Narrow" w:cs="Calibri"/>
                <w:b/>
                <w:bCs/>
                <w:color w:val="000000"/>
              </w:rPr>
            </w:pPr>
            <w:r>
              <w:rPr>
                <w:rFonts w:ascii="Arial Narrow" w:hAnsi="Arial Narrow" w:cs="Calibri"/>
                <w:b/>
                <w:bCs/>
                <w:color w:val="000000"/>
              </w:rPr>
              <w:t>LIFSCREEN</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766AD4ED" w14:textId="77777777" w:rsidR="007C59C1" w:rsidRPr="00D317F4" w:rsidRDefault="007C59C1" w:rsidP="00124440">
            <w:pPr>
              <w:keepNext/>
              <w:spacing w:before="40"/>
              <w:jc w:val="center"/>
              <w:rPr>
                <w:rFonts w:ascii="Arial Narrow" w:hAnsi="Arial Narrow" w:cs="Calibri"/>
                <w:b/>
                <w:bCs/>
                <w:color w:val="000000"/>
              </w:rPr>
            </w:pPr>
            <w:r>
              <w:rPr>
                <w:rFonts w:ascii="Arial Narrow" w:hAnsi="Arial Narrow" w:cs="Calibri"/>
                <w:b/>
                <w:bCs/>
                <w:color w:val="000000"/>
              </w:rPr>
              <w:t>STD</w:t>
            </w:r>
          </w:p>
        </w:tc>
        <w:tc>
          <w:tcPr>
            <w:tcW w:w="2551" w:type="dxa"/>
            <w:tcBorders>
              <w:top w:val="single" w:sz="4" w:space="0" w:color="auto"/>
              <w:left w:val="nil"/>
              <w:bottom w:val="single" w:sz="4" w:space="0" w:color="auto"/>
              <w:right w:val="single" w:sz="4" w:space="0" w:color="auto"/>
            </w:tcBorders>
            <w:shd w:val="clear" w:color="auto" w:fill="auto"/>
            <w:vAlign w:val="bottom"/>
            <w:hideMark/>
          </w:tcPr>
          <w:p w14:paraId="7B778719" w14:textId="77777777" w:rsidR="007C59C1" w:rsidRPr="00D317F4" w:rsidRDefault="007C59C1" w:rsidP="00124440">
            <w:pPr>
              <w:keepNext/>
              <w:spacing w:before="40"/>
              <w:jc w:val="center"/>
              <w:rPr>
                <w:rFonts w:ascii="Arial Narrow" w:hAnsi="Arial Narrow" w:cs="Calibri"/>
                <w:b/>
                <w:bCs/>
                <w:color w:val="000000"/>
              </w:rPr>
            </w:pPr>
            <w:r>
              <w:rPr>
                <w:rFonts w:ascii="Arial Narrow" w:hAnsi="Arial Narrow" w:cs="Calibri"/>
                <w:b/>
                <w:bCs/>
                <w:color w:val="000000"/>
              </w:rPr>
              <w:t>STD+WBMRI</w:t>
            </w:r>
          </w:p>
        </w:tc>
      </w:tr>
      <w:tr w:rsidR="007C59C1" w:rsidRPr="00D317F4" w14:paraId="27FCA95C" w14:textId="77777777" w:rsidTr="005322FF">
        <w:trPr>
          <w:trHeight w:val="295"/>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545EAC06" w14:textId="77777777" w:rsidR="007C59C1" w:rsidRPr="00D6466D" w:rsidRDefault="007C59C1" w:rsidP="00124440">
            <w:pPr>
              <w:keepNext/>
              <w:spacing w:before="40"/>
              <w:rPr>
                <w:rFonts w:ascii="Arial Narrow" w:hAnsi="Arial Narrow" w:cs="Calibri"/>
                <w:color w:val="000000"/>
              </w:rPr>
            </w:pPr>
            <w:r w:rsidRPr="00D6466D">
              <w:rPr>
                <w:rFonts w:ascii="Arial Narrow" w:hAnsi="Arial Narrow" w:cs="Calibri"/>
                <w:color w:val="000000"/>
              </w:rPr>
              <w:t>Survived, n/N (%)</w:t>
            </w:r>
          </w:p>
        </w:tc>
        <w:tc>
          <w:tcPr>
            <w:tcW w:w="2693" w:type="dxa"/>
            <w:tcBorders>
              <w:top w:val="single" w:sz="4" w:space="0" w:color="auto"/>
              <w:left w:val="nil"/>
              <w:bottom w:val="single" w:sz="4" w:space="0" w:color="auto"/>
              <w:right w:val="single" w:sz="4" w:space="0" w:color="auto"/>
            </w:tcBorders>
            <w:shd w:val="clear" w:color="auto" w:fill="auto"/>
            <w:vAlign w:val="center"/>
          </w:tcPr>
          <w:p w14:paraId="4EFA539F" w14:textId="747206B1" w:rsidR="007C59C1" w:rsidRPr="00D6466D" w:rsidRDefault="007C59C1" w:rsidP="00124440">
            <w:pPr>
              <w:keepNext/>
              <w:spacing w:before="40"/>
              <w:jc w:val="center"/>
              <w:rPr>
                <w:rFonts w:ascii="Arial Narrow" w:hAnsi="Arial Narrow" w:cs="Calibri"/>
                <w:color w:val="000000"/>
              </w:rPr>
            </w:pPr>
            <w:r>
              <w:rPr>
                <w:rFonts w:ascii="Arial Narrow" w:hAnsi="Arial Narrow" w:cs="Calibri"/>
                <w:color w:val="000000"/>
              </w:rPr>
              <w:t>49/53 (92)</w:t>
            </w:r>
          </w:p>
        </w:tc>
        <w:tc>
          <w:tcPr>
            <w:tcW w:w="2551" w:type="dxa"/>
            <w:tcBorders>
              <w:top w:val="single" w:sz="4" w:space="0" w:color="auto"/>
              <w:left w:val="nil"/>
              <w:bottom w:val="single" w:sz="4" w:space="0" w:color="auto"/>
              <w:right w:val="single" w:sz="4" w:space="0" w:color="auto"/>
            </w:tcBorders>
            <w:shd w:val="clear" w:color="auto" w:fill="auto"/>
            <w:vAlign w:val="center"/>
          </w:tcPr>
          <w:p w14:paraId="7466D4BF" w14:textId="77777777" w:rsidR="007C59C1" w:rsidRPr="00D6466D" w:rsidRDefault="007C59C1" w:rsidP="00124440">
            <w:pPr>
              <w:keepNext/>
              <w:spacing w:before="40"/>
              <w:jc w:val="center"/>
              <w:rPr>
                <w:rFonts w:ascii="Arial Narrow" w:hAnsi="Arial Narrow" w:cs="Calibri"/>
                <w:color w:val="000000"/>
              </w:rPr>
            </w:pPr>
            <w:r>
              <w:rPr>
                <w:rFonts w:ascii="Arial Narrow" w:hAnsi="Arial Narrow" w:cs="Calibri"/>
                <w:color w:val="000000"/>
              </w:rPr>
              <w:t>48/52 (92)</w:t>
            </w:r>
          </w:p>
        </w:tc>
      </w:tr>
      <w:tr w:rsidR="007C59C1" w:rsidRPr="00D317F4" w14:paraId="50286576" w14:textId="77777777" w:rsidTr="005322FF">
        <w:trPr>
          <w:trHeight w:val="295"/>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22F9FF92" w14:textId="77777777" w:rsidR="007C59C1" w:rsidRPr="00D317F4" w:rsidRDefault="007C59C1" w:rsidP="00124440">
            <w:pPr>
              <w:keepNext/>
              <w:spacing w:before="40"/>
              <w:rPr>
                <w:rFonts w:ascii="Arial Narrow" w:hAnsi="Arial Narrow" w:cs="Calibri"/>
                <w:color w:val="000000"/>
              </w:rPr>
            </w:pPr>
            <w:r>
              <w:rPr>
                <w:rFonts w:ascii="Arial Narrow" w:hAnsi="Arial Narrow" w:cs="Calibri"/>
                <w:color w:val="000000"/>
              </w:rPr>
              <w:t>3-year OS, % (95% CI), p-value</w:t>
            </w:r>
          </w:p>
        </w:tc>
        <w:tc>
          <w:tcPr>
            <w:tcW w:w="2693" w:type="dxa"/>
            <w:tcBorders>
              <w:top w:val="nil"/>
              <w:left w:val="nil"/>
              <w:bottom w:val="single" w:sz="4" w:space="0" w:color="auto"/>
              <w:right w:val="single" w:sz="4" w:space="0" w:color="auto"/>
            </w:tcBorders>
            <w:shd w:val="clear" w:color="auto" w:fill="auto"/>
            <w:vAlign w:val="center"/>
            <w:hideMark/>
          </w:tcPr>
          <w:p w14:paraId="6BCE5303" w14:textId="77777777" w:rsidR="007C59C1" w:rsidRPr="00D317F4" w:rsidRDefault="007C59C1" w:rsidP="00124440">
            <w:pPr>
              <w:keepNext/>
              <w:spacing w:before="40"/>
              <w:jc w:val="center"/>
              <w:rPr>
                <w:rFonts w:ascii="Arial Narrow" w:hAnsi="Arial Narrow" w:cs="Calibri"/>
                <w:color w:val="000000"/>
              </w:rPr>
            </w:pPr>
            <w:r>
              <w:rPr>
                <w:rFonts w:ascii="Arial Narrow" w:hAnsi="Arial Narrow" w:cs="Calibri"/>
                <w:color w:val="000000"/>
              </w:rPr>
              <w:t>89 (75-96), p=0.58</w:t>
            </w:r>
          </w:p>
        </w:tc>
        <w:tc>
          <w:tcPr>
            <w:tcW w:w="2551" w:type="dxa"/>
            <w:tcBorders>
              <w:top w:val="nil"/>
              <w:left w:val="nil"/>
              <w:bottom w:val="single" w:sz="4" w:space="0" w:color="auto"/>
              <w:right w:val="single" w:sz="4" w:space="0" w:color="auto"/>
            </w:tcBorders>
            <w:shd w:val="clear" w:color="auto" w:fill="auto"/>
            <w:vAlign w:val="center"/>
            <w:hideMark/>
          </w:tcPr>
          <w:p w14:paraId="65538529" w14:textId="77777777" w:rsidR="007C59C1" w:rsidRPr="00D317F4" w:rsidRDefault="007C59C1" w:rsidP="00124440">
            <w:pPr>
              <w:keepNext/>
              <w:spacing w:before="40"/>
              <w:jc w:val="center"/>
              <w:rPr>
                <w:rFonts w:ascii="Arial Narrow" w:hAnsi="Arial Narrow" w:cs="Calibri"/>
                <w:color w:val="000000"/>
              </w:rPr>
            </w:pPr>
            <w:r>
              <w:rPr>
                <w:rFonts w:ascii="Arial Narrow" w:hAnsi="Arial Narrow" w:cs="Calibri"/>
                <w:color w:val="000000"/>
              </w:rPr>
              <w:t>91 (77-97), p=0.58</w:t>
            </w:r>
          </w:p>
        </w:tc>
      </w:tr>
      <w:tr w:rsidR="007C59C1" w:rsidRPr="00D317F4" w14:paraId="41060431" w14:textId="77777777" w:rsidTr="005322FF">
        <w:trPr>
          <w:trHeight w:val="295"/>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38C94B77" w14:textId="77777777" w:rsidR="007C59C1" w:rsidRPr="00D317F4" w:rsidRDefault="007C59C1" w:rsidP="00124440">
            <w:pPr>
              <w:keepNext/>
              <w:spacing w:before="40"/>
              <w:rPr>
                <w:rFonts w:ascii="Arial Narrow" w:hAnsi="Arial Narrow" w:cs="Calibri"/>
                <w:color w:val="000000"/>
              </w:rPr>
            </w:pPr>
            <w:r>
              <w:rPr>
                <w:rFonts w:ascii="Arial Narrow" w:hAnsi="Arial Narrow" w:cs="Calibri"/>
                <w:color w:val="000000"/>
              </w:rPr>
              <w:t>3-year OS after cancer, % (95% CI)</w:t>
            </w:r>
          </w:p>
        </w:tc>
        <w:tc>
          <w:tcPr>
            <w:tcW w:w="2693" w:type="dxa"/>
            <w:tcBorders>
              <w:top w:val="nil"/>
              <w:left w:val="nil"/>
              <w:bottom w:val="single" w:sz="4" w:space="0" w:color="auto"/>
              <w:right w:val="single" w:sz="4" w:space="0" w:color="auto"/>
            </w:tcBorders>
            <w:shd w:val="clear" w:color="auto" w:fill="auto"/>
            <w:vAlign w:val="center"/>
            <w:hideMark/>
          </w:tcPr>
          <w:p w14:paraId="1D60E7C7" w14:textId="77777777" w:rsidR="007C59C1" w:rsidRPr="00D317F4" w:rsidRDefault="007C59C1" w:rsidP="00124440">
            <w:pPr>
              <w:keepNext/>
              <w:spacing w:before="40"/>
              <w:jc w:val="center"/>
              <w:rPr>
                <w:rFonts w:ascii="Arial Narrow" w:hAnsi="Arial Narrow" w:cs="Calibri"/>
                <w:color w:val="000000"/>
              </w:rPr>
            </w:pPr>
            <w:r>
              <w:rPr>
                <w:rFonts w:ascii="Arial Narrow" w:hAnsi="Arial Narrow" w:cs="Calibri"/>
                <w:color w:val="000000"/>
              </w:rPr>
              <w:t>61 (31-85)</w:t>
            </w:r>
          </w:p>
        </w:tc>
        <w:tc>
          <w:tcPr>
            <w:tcW w:w="2551" w:type="dxa"/>
            <w:tcBorders>
              <w:top w:val="nil"/>
              <w:left w:val="nil"/>
              <w:bottom w:val="single" w:sz="4" w:space="0" w:color="auto"/>
              <w:right w:val="single" w:sz="4" w:space="0" w:color="auto"/>
            </w:tcBorders>
            <w:shd w:val="clear" w:color="auto" w:fill="auto"/>
            <w:vAlign w:val="center"/>
            <w:hideMark/>
          </w:tcPr>
          <w:p w14:paraId="29A88513" w14:textId="77777777" w:rsidR="007C59C1" w:rsidRPr="00D317F4" w:rsidRDefault="007C59C1" w:rsidP="00124440">
            <w:pPr>
              <w:keepNext/>
              <w:spacing w:before="40"/>
              <w:jc w:val="center"/>
              <w:rPr>
                <w:rFonts w:ascii="Arial Narrow" w:hAnsi="Arial Narrow" w:cs="Calibri"/>
                <w:color w:val="000000"/>
              </w:rPr>
            </w:pPr>
            <w:r>
              <w:rPr>
                <w:rFonts w:ascii="Arial Narrow" w:hAnsi="Arial Narrow" w:cs="Calibri"/>
                <w:color w:val="000000"/>
              </w:rPr>
              <w:t>47 (18-78)</w:t>
            </w:r>
          </w:p>
        </w:tc>
      </w:tr>
    </w:tbl>
    <w:p w14:paraId="1EDBA0EC" w14:textId="71622EE1" w:rsidR="007C59C1" w:rsidRPr="005E6ED9" w:rsidRDefault="007C59C1" w:rsidP="00124440">
      <w:pPr>
        <w:keepNext/>
        <w:spacing w:before="0" w:after="0"/>
        <w:jc w:val="both"/>
        <w:rPr>
          <w:rFonts w:ascii="Arial Narrow" w:eastAsia="Times New Roman" w:hAnsi="Arial Narrow" w:cs="Arial"/>
          <w:snapToGrid w:val="0"/>
          <w:sz w:val="14"/>
          <w:szCs w:val="18"/>
          <w:lang w:eastAsia="en-AU"/>
        </w:rPr>
      </w:pPr>
      <w:r w:rsidRPr="005E6ED9">
        <w:rPr>
          <w:rFonts w:ascii="Arial Narrow" w:hAnsi="Arial Narrow"/>
          <w:sz w:val="18"/>
          <w:szCs w:val="18"/>
        </w:rPr>
        <w:t>CI=confidence interval; OS=overall survival; STD=standard surveillance alone, STD+WBMRI=standard surveillance plus whole</w:t>
      </w:r>
      <w:r w:rsidR="00B231D2">
        <w:rPr>
          <w:rFonts w:ascii="Arial Narrow" w:hAnsi="Arial Narrow"/>
          <w:sz w:val="18"/>
          <w:szCs w:val="18"/>
        </w:rPr>
        <w:t>-</w:t>
      </w:r>
      <w:r w:rsidRPr="005E6ED9">
        <w:rPr>
          <w:rFonts w:ascii="Arial Narrow" w:hAnsi="Arial Narrow"/>
          <w:sz w:val="18"/>
          <w:szCs w:val="18"/>
        </w:rPr>
        <w:t>body magnetic resonance imaging</w:t>
      </w:r>
    </w:p>
    <w:p w14:paraId="6AB93E65" w14:textId="77777777" w:rsidR="007C59C1" w:rsidRPr="005E6ED9" w:rsidRDefault="007C59C1" w:rsidP="00C34B15">
      <w:pPr>
        <w:spacing w:before="0" w:after="0"/>
        <w:jc w:val="both"/>
        <w:rPr>
          <w:rFonts w:ascii="Arial Narrow" w:hAnsi="Arial Narrow"/>
          <w:sz w:val="18"/>
          <w:szCs w:val="18"/>
        </w:rPr>
      </w:pPr>
      <w:r>
        <w:rPr>
          <w:rFonts w:ascii="Arial Narrow" w:hAnsi="Arial Narrow"/>
          <w:sz w:val="18"/>
          <w:szCs w:val="18"/>
        </w:rPr>
        <w:t>Source: Caron, unpublished; Caron 2018</w:t>
      </w:r>
    </w:p>
    <w:p w14:paraId="4E5EA928" w14:textId="6E66AC28" w:rsidR="007C59C1" w:rsidRPr="00C34B15" w:rsidRDefault="007C59C1" w:rsidP="00705109">
      <w:pPr>
        <w:pStyle w:val="Caption"/>
        <w:spacing w:before="240"/>
      </w:pPr>
      <w:bookmarkStart w:id="22" w:name="_Ref99948109"/>
      <w:r>
        <w:t xml:space="preserve">Table </w:t>
      </w:r>
      <w:r w:rsidR="0067109A">
        <w:fldChar w:fldCharType="begin"/>
      </w:r>
      <w:r w:rsidR="0067109A">
        <w:instrText xml:space="preserve"> SEQ Table \* ARABIC </w:instrText>
      </w:r>
      <w:r w:rsidR="0067109A">
        <w:fldChar w:fldCharType="separate"/>
      </w:r>
      <w:r w:rsidR="00822248">
        <w:rPr>
          <w:noProof/>
        </w:rPr>
        <w:t>6</w:t>
      </w:r>
      <w:r w:rsidR="0067109A">
        <w:rPr>
          <w:noProof/>
        </w:rPr>
        <w:fldChar w:fldCharType="end"/>
      </w:r>
      <w:bookmarkEnd w:id="22"/>
      <w:r>
        <w:tab/>
        <w:t>Summary of overall survival (3-year and 5-year) of the surveillance arm compared to no surveillance</w:t>
      </w:r>
    </w:p>
    <w:tbl>
      <w:tblPr>
        <w:tblStyle w:val="TableGrid1"/>
        <w:tblW w:w="9067" w:type="dxa"/>
        <w:tblLayout w:type="fixed"/>
        <w:tblCellMar>
          <w:left w:w="0" w:type="dxa"/>
          <w:right w:w="0" w:type="dxa"/>
        </w:tblCellMar>
        <w:tblLook w:val="04A0" w:firstRow="1" w:lastRow="0" w:firstColumn="1" w:lastColumn="0" w:noHBand="0" w:noVBand="1"/>
      </w:tblPr>
      <w:tblGrid>
        <w:gridCol w:w="3823"/>
        <w:gridCol w:w="2622"/>
        <w:gridCol w:w="2622"/>
      </w:tblGrid>
      <w:tr w:rsidR="007C59C1" w:rsidRPr="00D847E9" w14:paraId="2A0B4873" w14:textId="77777777" w:rsidTr="00ED6272">
        <w:trPr>
          <w:cnfStyle w:val="100000000000" w:firstRow="1" w:lastRow="0" w:firstColumn="0" w:lastColumn="0" w:oddVBand="0" w:evenVBand="0" w:oddHBand="0" w:evenHBand="0" w:firstRowFirstColumn="0" w:firstRowLastColumn="0" w:lastRowFirstColumn="0" w:lastRowLastColumn="0"/>
          <w:trHeight w:val="289"/>
        </w:trPr>
        <w:tc>
          <w:tcPr>
            <w:tcW w:w="3823" w:type="dxa"/>
            <w:tcBorders>
              <w:top w:val="single" w:sz="4" w:space="0" w:color="auto"/>
              <w:left w:val="single" w:sz="4" w:space="0" w:color="auto"/>
              <w:bottom w:val="single" w:sz="4" w:space="0" w:color="auto"/>
            </w:tcBorders>
            <w:shd w:val="clear" w:color="auto" w:fill="auto"/>
            <w:vAlign w:val="center"/>
            <w:hideMark/>
          </w:tcPr>
          <w:p w14:paraId="208C3248" w14:textId="77777777" w:rsidR="007C59C1" w:rsidRPr="00741571" w:rsidRDefault="007C59C1" w:rsidP="00ED6272">
            <w:pPr>
              <w:keepNext/>
              <w:spacing w:before="40"/>
              <w:rPr>
                <w:rFonts w:ascii="Arial Narrow" w:hAnsi="Arial Narrow" w:cs="Calibri"/>
                <w:b/>
                <w:bCs/>
                <w:color w:val="000000"/>
              </w:rPr>
            </w:pPr>
            <w:r w:rsidRPr="00741571">
              <w:rPr>
                <w:rFonts w:ascii="Arial Narrow" w:hAnsi="Arial Narrow" w:cs="Calibri"/>
                <w:b/>
                <w:bCs/>
                <w:color w:val="000000"/>
              </w:rPr>
              <w:t> </w:t>
            </w:r>
            <w:r>
              <w:rPr>
                <w:rFonts w:ascii="Arial Narrow" w:hAnsi="Arial Narrow" w:cs="Calibri"/>
                <w:b/>
                <w:bCs/>
                <w:color w:val="000000"/>
              </w:rPr>
              <w:t>Villani 2016, 2011</w:t>
            </w:r>
          </w:p>
        </w:tc>
        <w:tc>
          <w:tcPr>
            <w:tcW w:w="2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1CA53" w14:textId="77777777" w:rsidR="007C59C1" w:rsidRPr="00741571" w:rsidRDefault="007C59C1" w:rsidP="00ED6272">
            <w:pPr>
              <w:keepNext/>
              <w:spacing w:before="40"/>
              <w:jc w:val="center"/>
              <w:rPr>
                <w:rFonts w:ascii="Arial Narrow" w:hAnsi="Arial Narrow" w:cs="Calibri"/>
                <w:b/>
                <w:bCs/>
                <w:color w:val="000000"/>
              </w:rPr>
            </w:pPr>
            <w:r w:rsidRPr="00741571">
              <w:rPr>
                <w:rFonts w:ascii="Arial Narrow" w:hAnsi="Arial Narrow" w:cs="Calibri"/>
                <w:b/>
                <w:bCs/>
                <w:color w:val="000000"/>
              </w:rPr>
              <w:t>Surveillance</w:t>
            </w:r>
          </w:p>
        </w:tc>
        <w:tc>
          <w:tcPr>
            <w:tcW w:w="2622" w:type="dxa"/>
            <w:tcBorders>
              <w:top w:val="single" w:sz="4" w:space="0" w:color="auto"/>
              <w:left w:val="nil"/>
              <w:bottom w:val="single" w:sz="4" w:space="0" w:color="auto"/>
              <w:right w:val="single" w:sz="4" w:space="0" w:color="auto"/>
            </w:tcBorders>
            <w:shd w:val="clear" w:color="auto" w:fill="auto"/>
            <w:noWrap/>
            <w:vAlign w:val="center"/>
            <w:hideMark/>
          </w:tcPr>
          <w:p w14:paraId="516BA7A5" w14:textId="282B8A67" w:rsidR="007C59C1" w:rsidRPr="00741571" w:rsidRDefault="007C59C1" w:rsidP="00ED6272">
            <w:pPr>
              <w:keepNext/>
              <w:spacing w:before="40"/>
              <w:jc w:val="center"/>
              <w:rPr>
                <w:rFonts w:ascii="Arial Narrow" w:hAnsi="Arial Narrow" w:cs="Calibri"/>
                <w:b/>
                <w:bCs/>
                <w:color w:val="000000"/>
              </w:rPr>
            </w:pPr>
            <w:r w:rsidRPr="00741571">
              <w:rPr>
                <w:rFonts w:ascii="Arial Narrow" w:hAnsi="Arial Narrow" w:cs="Calibri"/>
                <w:b/>
                <w:bCs/>
                <w:color w:val="000000"/>
              </w:rPr>
              <w:t xml:space="preserve">No </w:t>
            </w:r>
            <w:r w:rsidR="00C34B15">
              <w:rPr>
                <w:rFonts w:ascii="Arial Narrow" w:hAnsi="Arial Narrow" w:cs="Calibri"/>
                <w:b/>
                <w:bCs/>
                <w:color w:val="000000"/>
              </w:rPr>
              <w:t>s</w:t>
            </w:r>
            <w:r w:rsidRPr="00741571">
              <w:rPr>
                <w:rFonts w:ascii="Arial Narrow" w:hAnsi="Arial Narrow" w:cs="Calibri"/>
                <w:b/>
                <w:bCs/>
                <w:color w:val="000000"/>
              </w:rPr>
              <w:t>urveillance</w:t>
            </w:r>
          </w:p>
        </w:tc>
      </w:tr>
      <w:tr w:rsidR="007C59C1" w:rsidRPr="00D847E9" w14:paraId="4DD18EA7" w14:textId="77777777" w:rsidTr="00ED6272">
        <w:trPr>
          <w:trHeight w:val="290"/>
        </w:trPr>
        <w:tc>
          <w:tcPr>
            <w:tcW w:w="3823" w:type="dxa"/>
            <w:tcBorders>
              <w:top w:val="single" w:sz="4" w:space="0" w:color="auto"/>
              <w:left w:val="single" w:sz="4" w:space="0" w:color="auto"/>
              <w:right w:val="single" w:sz="4" w:space="0" w:color="auto"/>
            </w:tcBorders>
            <w:shd w:val="clear" w:color="auto" w:fill="auto"/>
            <w:vAlign w:val="center"/>
          </w:tcPr>
          <w:p w14:paraId="0DE71FA6" w14:textId="77777777" w:rsidR="007C59C1" w:rsidRPr="00741571" w:rsidRDefault="007C59C1" w:rsidP="00ED6272">
            <w:pPr>
              <w:keepNext/>
              <w:spacing w:before="40"/>
              <w:rPr>
                <w:rFonts w:ascii="Arial Narrow" w:hAnsi="Arial Narrow" w:cs="Calibri"/>
                <w:color w:val="000000"/>
              </w:rPr>
            </w:pPr>
            <w:r w:rsidRPr="00741571">
              <w:rPr>
                <w:rFonts w:ascii="Arial Narrow" w:hAnsi="Arial Narrow" w:cs="Calibri"/>
                <w:color w:val="000000"/>
              </w:rPr>
              <w:t>Survived at end of</w:t>
            </w:r>
            <w:r>
              <w:rPr>
                <w:rFonts w:ascii="Arial Narrow" w:hAnsi="Arial Narrow" w:cs="Calibri"/>
                <w:color w:val="000000"/>
              </w:rPr>
              <w:t xml:space="preserve"> first</w:t>
            </w:r>
            <w:r w:rsidRPr="00741571">
              <w:rPr>
                <w:rFonts w:ascii="Arial Narrow" w:hAnsi="Arial Narrow" w:cs="Calibri"/>
                <w:color w:val="000000"/>
              </w:rPr>
              <w:t xml:space="preserve"> follow-up, n/N (%), p-value</w:t>
            </w:r>
          </w:p>
        </w:tc>
        <w:tc>
          <w:tcPr>
            <w:tcW w:w="2622" w:type="dxa"/>
            <w:tcBorders>
              <w:top w:val="single" w:sz="4" w:space="0" w:color="auto"/>
              <w:left w:val="single" w:sz="4" w:space="0" w:color="auto"/>
              <w:right w:val="single" w:sz="4" w:space="0" w:color="auto"/>
            </w:tcBorders>
            <w:shd w:val="clear" w:color="auto" w:fill="auto"/>
            <w:vAlign w:val="center"/>
          </w:tcPr>
          <w:p w14:paraId="76B5DBCC" w14:textId="55779748" w:rsidR="007C59C1" w:rsidRPr="00741571" w:rsidRDefault="007C59C1" w:rsidP="00ED6272">
            <w:pPr>
              <w:keepNext/>
              <w:spacing w:before="40"/>
              <w:jc w:val="center"/>
              <w:rPr>
                <w:rFonts w:ascii="Arial Narrow" w:hAnsi="Arial Narrow" w:cs="Calibri"/>
                <w:color w:val="000000"/>
              </w:rPr>
            </w:pPr>
            <w:r w:rsidRPr="00741571">
              <w:rPr>
                <w:rFonts w:ascii="Arial Narrow" w:hAnsi="Arial Narrow" w:cs="Calibri"/>
                <w:color w:val="000000"/>
              </w:rPr>
              <w:t>7/7 (100), p=0.0417</w:t>
            </w:r>
          </w:p>
        </w:tc>
        <w:tc>
          <w:tcPr>
            <w:tcW w:w="2622" w:type="dxa"/>
            <w:tcBorders>
              <w:top w:val="single" w:sz="4" w:space="0" w:color="auto"/>
              <w:left w:val="single" w:sz="4" w:space="0" w:color="auto"/>
              <w:right w:val="single" w:sz="4" w:space="0" w:color="auto"/>
            </w:tcBorders>
            <w:shd w:val="clear" w:color="auto" w:fill="auto"/>
            <w:noWrap/>
            <w:vAlign w:val="center"/>
          </w:tcPr>
          <w:p w14:paraId="39BE1FAA" w14:textId="67F37D0C" w:rsidR="007C59C1" w:rsidRPr="00741571" w:rsidRDefault="007C59C1" w:rsidP="00ED6272">
            <w:pPr>
              <w:keepNext/>
              <w:spacing w:before="40"/>
              <w:jc w:val="center"/>
              <w:rPr>
                <w:rFonts w:ascii="Arial Narrow" w:hAnsi="Arial Narrow" w:cs="Calibri"/>
                <w:color w:val="000000"/>
              </w:rPr>
            </w:pPr>
            <w:r w:rsidRPr="00741571">
              <w:rPr>
                <w:rFonts w:ascii="Arial Narrow" w:hAnsi="Arial Narrow" w:cs="Calibri"/>
                <w:color w:val="000000"/>
              </w:rPr>
              <w:t>2/10 (20), p=0.0417</w:t>
            </w:r>
          </w:p>
        </w:tc>
      </w:tr>
      <w:tr w:rsidR="007C59C1" w:rsidRPr="00D847E9" w14:paraId="3511835E" w14:textId="77777777" w:rsidTr="00ED6272">
        <w:trPr>
          <w:trHeight w:val="80"/>
        </w:trPr>
        <w:tc>
          <w:tcPr>
            <w:tcW w:w="3823" w:type="dxa"/>
            <w:tcBorders>
              <w:left w:val="single" w:sz="4" w:space="0" w:color="auto"/>
              <w:bottom w:val="single" w:sz="4" w:space="0" w:color="auto"/>
              <w:right w:val="single" w:sz="4" w:space="0" w:color="auto"/>
            </w:tcBorders>
            <w:shd w:val="clear" w:color="auto" w:fill="auto"/>
            <w:vAlign w:val="bottom"/>
            <w:hideMark/>
          </w:tcPr>
          <w:p w14:paraId="7B5A8AF6" w14:textId="77777777" w:rsidR="007C59C1" w:rsidRPr="00741571" w:rsidRDefault="007C59C1" w:rsidP="00ED6272">
            <w:pPr>
              <w:keepNext/>
              <w:spacing w:before="40"/>
              <w:rPr>
                <w:rFonts w:ascii="Arial Narrow" w:hAnsi="Arial Narrow" w:cs="Calibri"/>
                <w:color w:val="000000"/>
              </w:rPr>
            </w:pPr>
            <w:r w:rsidRPr="00741571">
              <w:rPr>
                <w:rFonts w:ascii="Arial Narrow" w:hAnsi="Arial Narrow" w:cs="Calibri"/>
                <w:color w:val="000000"/>
              </w:rPr>
              <w:t>3-year OS, % (95% CI), p-value</w:t>
            </w:r>
          </w:p>
        </w:tc>
        <w:tc>
          <w:tcPr>
            <w:tcW w:w="2622" w:type="dxa"/>
            <w:tcBorders>
              <w:left w:val="single" w:sz="4" w:space="0" w:color="auto"/>
              <w:bottom w:val="single" w:sz="4" w:space="0" w:color="auto"/>
              <w:right w:val="single" w:sz="4" w:space="0" w:color="auto"/>
            </w:tcBorders>
            <w:shd w:val="clear" w:color="auto" w:fill="auto"/>
            <w:vAlign w:val="center"/>
            <w:hideMark/>
          </w:tcPr>
          <w:p w14:paraId="5B91E797" w14:textId="6F47123B" w:rsidR="007C59C1" w:rsidRPr="000459BE" w:rsidRDefault="007C59C1" w:rsidP="00ED6272">
            <w:pPr>
              <w:keepNext/>
              <w:spacing w:before="40"/>
              <w:jc w:val="center"/>
              <w:rPr>
                <w:rFonts w:ascii="Arial Narrow" w:hAnsi="Arial Narrow" w:cs="Calibri"/>
                <w:b/>
                <w:bCs/>
                <w:color w:val="000000"/>
              </w:rPr>
            </w:pPr>
            <w:r w:rsidRPr="000459BE">
              <w:rPr>
                <w:rFonts w:ascii="Arial Narrow" w:hAnsi="Arial Narrow" w:cs="Calibri"/>
                <w:b/>
                <w:bCs/>
                <w:color w:val="000000"/>
              </w:rPr>
              <w:t>100</w:t>
            </w:r>
            <w:r w:rsidR="007D3FA3">
              <w:rPr>
                <w:rFonts w:ascii="Arial Narrow" w:hAnsi="Arial Narrow" w:cs="Calibri"/>
                <w:b/>
                <w:bCs/>
                <w:color w:val="000000"/>
              </w:rPr>
              <w:t xml:space="preserve"> (NR)</w:t>
            </w:r>
            <w:r w:rsidRPr="000459BE">
              <w:rPr>
                <w:rFonts w:ascii="Arial Narrow" w:hAnsi="Arial Narrow" w:cs="Calibri"/>
                <w:b/>
                <w:bCs/>
                <w:color w:val="000000"/>
              </w:rPr>
              <w:t>, p=0.0155</w:t>
            </w:r>
          </w:p>
        </w:tc>
        <w:tc>
          <w:tcPr>
            <w:tcW w:w="2622" w:type="dxa"/>
            <w:tcBorders>
              <w:left w:val="single" w:sz="4" w:space="0" w:color="auto"/>
              <w:bottom w:val="single" w:sz="4" w:space="0" w:color="auto"/>
              <w:right w:val="single" w:sz="4" w:space="0" w:color="auto"/>
            </w:tcBorders>
            <w:shd w:val="clear" w:color="auto" w:fill="auto"/>
            <w:vAlign w:val="center"/>
            <w:hideMark/>
          </w:tcPr>
          <w:p w14:paraId="076E7F2D" w14:textId="77777777" w:rsidR="007C59C1" w:rsidRPr="000459BE" w:rsidRDefault="007C59C1" w:rsidP="00ED6272">
            <w:pPr>
              <w:keepNext/>
              <w:spacing w:before="40"/>
              <w:jc w:val="center"/>
              <w:rPr>
                <w:rFonts w:ascii="Arial Narrow" w:hAnsi="Arial Narrow" w:cs="Calibri"/>
                <w:b/>
                <w:bCs/>
                <w:color w:val="000000"/>
              </w:rPr>
            </w:pPr>
            <w:r w:rsidRPr="000459BE">
              <w:rPr>
                <w:rFonts w:ascii="Arial Narrow" w:hAnsi="Arial Narrow" w:cs="Calibri"/>
                <w:b/>
                <w:bCs/>
                <w:color w:val="000000"/>
              </w:rPr>
              <w:t>21 (4-48), p=0.0155</w:t>
            </w:r>
          </w:p>
        </w:tc>
      </w:tr>
      <w:tr w:rsidR="007C59C1" w:rsidRPr="00D847E9" w14:paraId="4A0BAEFC" w14:textId="77777777" w:rsidTr="00ED6272">
        <w:trPr>
          <w:trHeight w:val="329"/>
        </w:trPr>
        <w:tc>
          <w:tcPr>
            <w:tcW w:w="3823" w:type="dxa"/>
            <w:tcBorders>
              <w:top w:val="single" w:sz="4" w:space="0" w:color="auto"/>
              <w:left w:val="single" w:sz="4" w:space="0" w:color="auto"/>
              <w:right w:val="single" w:sz="4" w:space="0" w:color="auto"/>
            </w:tcBorders>
            <w:shd w:val="clear" w:color="auto" w:fill="auto"/>
            <w:vAlign w:val="center"/>
          </w:tcPr>
          <w:p w14:paraId="7BE97274" w14:textId="77777777" w:rsidR="007C59C1" w:rsidRPr="00741571" w:rsidRDefault="007C59C1" w:rsidP="00ED6272">
            <w:pPr>
              <w:keepNext/>
              <w:spacing w:before="40"/>
              <w:rPr>
                <w:rFonts w:ascii="Arial Narrow" w:hAnsi="Arial Narrow" w:cs="Calibri"/>
                <w:color w:val="000000"/>
              </w:rPr>
            </w:pPr>
            <w:r w:rsidRPr="00021FFF">
              <w:rPr>
                <w:rFonts w:ascii="Arial Narrow" w:hAnsi="Arial Narrow" w:cs="Calibri"/>
                <w:color w:val="000000"/>
              </w:rPr>
              <w:t xml:space="preserve">Survived at end of </w:t>
            </w:r>
            <w:r>
              <w:rPr>
                <w:rFonts w:ascii="Arial Narrow" w:hAnsi="Arial Narrow" w:cs="Calibri"/>
                <w:color w:val="000000"/>
              </w:rPr>
              <w:t xml:space="preserve">last </w:t>
            </w:r>
            <w:r w:rsidRPr="00021FFF">
              <w:rPr>
                <w:rFonts w:ascii="Arial Narrow" w:hAnsi="Arial Narrow" w:cs="Calibri"/>
                <w:color w:val="000000"/>
              </w:rPr>
              <w:t>follow-up, n/N (%), p-value</w:t>
            </w:r>
          </w:p>
        </w:tc>
        <w:tc>
          <w:tcPr>
            <w:tcW w:w="2622" w:type="dxa"/>
            <w:tcBorders>
              <w:top w:val="single" w:sz="4" w:space="0" w:color="auto"/>
              <w:left w:val="single" w:sz="4" w:space="0" w:color="auto"/>
              <w:right w:val="single" w:sz="4" w:space="0" w:color="auto"/>
            </w:tcBorders>
            <w:shd w:val="clear" w:color="auto" w:fill="auto"/>
            <w:vAlign w:val="center"/>
          </w:tcPr>
          <w:p w14:paraId="45D8CD04" w14:textId="77777777" w:rsidR="007C59C1" w:rsidRPr="00741571" w:rsidRDefault="007C59C1" w:rsidP="00ED6272">
            <w:pPr>
              <w:keepNext/>
              <w:spacing w:before="40"/>
              <w:jc w:val="center"/>
              <w:rPr>
                <w:rFonts w:ascii="Arial Narrow" w:hAnsi="Arial Narrow" w:cs="Calibri"/>
                <w:color w:val="000000"/>
              </w:rPr>
            </w:pPr>
            <w:r w:rsidRPr="00021FFF">
              <w:rPr>
                <w:rFonts w:ascii="Arial Narrow" w:hAnsi="Arial Narrow" w:cs="Calibri"/>
                <w:color w:val="000000"/>
              </w:rPr>
              <w:t>16/19 (84), p=0.012</w:t>
            </w:r>
          </w:p>
        </w:tc>
        <w:tc>
          <w:tcPr>
            <w:tcW w:w="2622" w:type="dxa"/>
            <w:tcBorders>
              <w:top w:val="single" w:sz="4" w:space="0" w:color="auto"/>
              <w:left w:val="single" w:sz="4" w:space="0" w:color="auto"/>
              <w:right w:val="single" w:sz="4" w:space="0" w:color="auto"/>
            </w:tcBorders>
            <w:shd w:val="clear" w:color="auto" w:fill="auto"/>
            <w:vAlign w:val="center"/>
          </w:tcPr>
          <w:p w14:paraId="293DFC7A" w14:textId="77777777" w:rsidR="007C59C1" w:rsidRPr="00741571" w:rsidRDefault="007C59C1" w:rsidP="00ED6272">
            <w:pPr>
              <w:keepNext/>
              <w:spacing w:before="40"/>
              <w:jc w:val="center"/>
              <w:rPr>
                <w:rFonts w:ascii="Arial Narrow" w:hAnsi="Arial Narrow" w:cs="Calibri"/>
                <w:color w:val="000000"/>
              </w:rPr>
            </w:pPr>
            <w:r w:rsidRPr="00021FFF">
              <w:rPr>
                <w:rFonts w:ascii="Arial Narrow" w:hAnsi="Arial Narrow" w:cs="Calibri"/>
                <w:color w:val="000000"/>
              </w:rPr>
              <w:t>21/43 (49), p=0.012</w:t>
            </w:r>
          </w:p>
        </w:tc>
      </w:tr>
      <w:tr w:rsidR="007C59C1" w:rsidRPr="00D847E9" w14:paraId="41793E3B" w14:textId="77777777" w:rsidTr="00ED6272">
        <w:trPr>
          <w:trHeight w:val="329"/>
        </w:trPr>
        <w:tc>
          <w:tcPr>
            <w:tcW w:w="3823" w:type="dxa"/>
            <w:tcBorders>
              <w:left w:val="single" w:sz="4" w:space="0" w:color="auto"/>
              <w:bottom w:val="single" w:sz="4" w:space="0" w:color="auto"/>
              <w:right w:val="single" w:sz="4" w:space="0" w:color="auto"/>
            </w:tcBorders>
            <w:shd w:val="clear" w:color="auto" w:fill="auto"/>
            <w:vAlign w:val="center"/>
          </w:tcPr>
          <w:p w14:paraId="3D44CB25" w14:textId="77777777" w:rsidR="007C59C1" w:rsidRPr="00741571" w:rsidRDefault="007C59C1" w:rsidP="00ED6272">
            <w:pPr>
              <w:keepNext/>
              <w:spacing w:before="40"/>
              <w:rPr>
                <w:rFonts w:ascii="Arial Narrow" w:hAnsi="Arial Narrow" w:cs="Calibri"/>
                <w:color w:val="000000"/>
              </w:rPr>
            </w:pPr>
            <w:r w:rsidRPr="00D847E9">
              <w:rPr>
                <w:rFonts w:ascii="Arial Narrow" w:hAnsi="Arial Narrow" w:cs="Calibri"/>
                <w:color w:val="000000"/>
              </w:rPr>
              <w:t>5-year OS, % (95% CI), p-value</w:t>
            </w:r>
          </w:p>
        </w:tc>
        <w:tc>
          <w:tcPr>
            <w:tcW w:w="2622" w:type="dxa"/>
            <w:tcBorders>
              <w:left w:val="single" w:sz="4" w:space="0" w:color="auto"/>
              <w:bottom w:val="single" w:sz="4" w:space="0" w:color="auto"/>
              <w:right w:val="single" w:sz="4" w:space="0" w:color="auto"/>
            </w:tcBorders>
            <w:shd w:val="clear" w:color="auto" w:fill="auto"/>
            <w:vAlign w:val="center"/>
          </w:tcPr>
          <w:p w14:paraId="13321CDE" w14:textId="77777777" w:rsidR="007C59C1" w:rsidRPr="000459BE" w:rsidRDefault="007C59C1" w:rsidP="00ED6272">
            <w:pPr>
              <w:keepNext/>
              <w:spacing w:before="40"/>
              <w:jc w:val="center"/>
              <w:rPr>
                <w:rFonts w:ascii="Arial Narrow" w:hAnsi="Arial Narrow" w:cs="Calibri"/>
                <w:b/>
                <w:bCs/>
                <w:color w:val="000000"/>
              </w:rPr>
            </w:pPr>
            <w:r w:rsidRPr="000459BE">
              <w:rPr>
                <w:rFonts w:ascii="Arial Narrow" w:hAnsi="Arial Narrow" w:cs="Calibri"/>
                <w:b/>
                <w:bCs/>
                <w:color w:val="000000"/>
              </w:rPr>
              <w:t>88.8 (78.7-100), p=0</w:t>
            </w:r>
            <w:r>
              <w:rPr>
                <w:rFonts w:ascii="Arial Narrow" w:hAnsi="Arial Narrow" w:cs="Calibri"/>
                <w:b/>
                <w:bCs/>
                <w:color w:val="000000"/>
              </w:rPr>
              <w:t>.</w:t>
            </w:r>
            <w:r w:rsidRPr="000459BE">
              <w:rPr>
                <w:rFonts w:ascii="Arial Narrow" w:hAnsi="Arial Narrow" w:cs="Calibri"/>
                <w:b/>
                <w:bCs/>
                <w:color w:val="000000"/>
              </w:rPr>
              <w:t>0132</w:t>
            </w:r>
          </w:p>
        </w:tc>
        <w:tc>
          <w:tcPr>
            <w:tcW w:w="2622" w:type="dxa"/>
            <w:tcBorders>
              <w:left w:val="single" w:sz="4" w:space="0" w:color="auto"/>
              <w:bottom w:val="single" w:sz="4" w:space="0" w:color="auto"/>
              <w:right w:val="single" w:sz="4" w:space="0" w:color="auto"/>
            </w:tcBorders>
            <w:shd w:val="clear" w:color="auto" w:fill="auto"/>
            <w:vAlign w:val="center"/>
          </w:tcPr>
          <w:p w14:paraId="048A1CA3" w14:textId="77777777" w:rsidR="007C59C1" w:rsidRPr="000459BE" w:rsidRDefault="007C59C1" w:rsidP="00ED6272">
            <w:pPr>
              <w:keepNext/>
              <w:spacing w:before="40"/>
              <w:jc w:val="center"/>
              <w:rPr>
                <w:rFonts w:ascii="Arial Narrow" w:hAnsi="Arial Narrow" w:cs="Calibri"/>
                <w:b/>
                <w:bCs/>
                <w:color w:val="000000"/>
              </w:rPr>
            </w:pPr>
            <w:r w:rsidRPr="000459BE">
              <w:rPr>
                <w:rFonts w:ascii="Arial Narrow" w:hAnsi="Arial Narrow" w:cs="Calibri"/>
                <w:b/>
                <w:bCs/>
                <w:color w:val="000000"/>
              </w:rPr>
              <w:t>59.6 (47.2-75.2), p=0.0132</w:t>
            </w:r>
          </w:p>
        </w:tc>
      </w:tr>
    </w:tbl>
    <w:p w14:paraId="030A9952" w14:textId="77777777" w:rsidR="007D3FA3" w:rsidRDefault="007D3FA3" w:rsidP="00987C77">
      <w:pPr>
        <w:pStyle w:val="TableFigureFooter"/>
        <w:keepNext/>
        <w:spacing w:before="0" w:after="0"/>
      </w:pPr>
      <w:r>
        <w:t>NR=not reported</w:t>
      </w:r>
    </w:p>
    <w:p w14:paraId="63552CEE" w14:textId="4EA09F42" w:rsidR="007C59C1" w:rsidRPr="00B231D2" w:rsidRDefault="007C59C1" w:rsidP="00705109">
      <w:pPr>
        <w:pStyle w:val="TableFigureFooter"/>
        <w:spacing w:before="0" w:after="240"/>
      </w:pPr>
      <w:r w:rsidRPr="00A55C42">
        <w:t>Source</w:t>
      </w:r>
      <w:r>
        <w:t>:</w:t>
      </w:r>
      <w:r w:rsidRPr="00A55C42">
        <w:t xml:space="preserve"> Villani 2016 p1298</w:t>
      </w:r>
      <w:r>
        <w:t xml:space="preserve">, </w:t>
      </w:r>
      <w:r w:rsidRPr="00A55C42">
        <w:t>Villani 2011 pp561-2</w:t>
      </w:r>
    </w:p>
    <w:p w14:paraId="350A3061" w14:textId="4E4ADA72" w:rsidR="007C59C1" w:rsidRDefault="007C59C1" w:rsidP="00D20A8F">
      <w:r>
        <w:t xml:space="preserve">The 3-year overall survival of the STD and STD+WBMRI was similar and no statistically significant differences were observed between surveillance strategies </w:t>
      </w:r>
      <w:r w:rsidR="007D3FA3">
        <w:t xml:space="preserve">in LIFSCREEN </w:t>
      </w:r>
      <w:r>
        <w:t>(</w:t>
      </w:r>
      <w:r>
        <w:fldChar w:fldCharType="begin"/>
      </w:r>
      <w:r>
        <w:instrText xml:space="preserve"> REF _Ref99948105 \h </w:instrText>
      </w:r>
      <w:r>
        <w:fldChar w:fldCharType="separate"/>
      </w:r>
      <w:r w:rsidR="00822248">
        <w:t xml:space="preserve">Table </w:t>
      </w:r>
      <w:r w:rsidR="00822248">
        <w:rPr>
          <w:noProof/>
        </w:rPr>
        <w:t>5</w:t>
      </w:r>
      <w:r>
        <w:fldChar w:fldCharType="end"/>
      </w:r>
      <w:r>
        <w:t>). It is possible that the addition of WBMRI to standard cancer surveillance does not improve overall survival. It is also possible that no statistically significant differences were observed due to the (</w:t>
      </w:r>
      <w:proofErr w:type="spellStart"/>
      <w:r>
        <w:t>i</w:t>
      </w:r>
      <w:proofErr w:type="spellEnd"/>
      <w:r>
        <w:t>) small sample size, (ii) the relatively short follow-up in this population that continues to be predisposed to developing cancer and (iii) the types of cancer developed by patients over the trial duration.</w:t>
      </w:r>
    </w:p>
    <w:p w14:paraId="70BE0F3D" w14:textId="3AC6A947" w:rsidR="007C59C1" w:rsidRDefault="007C59C1" w:rsidP="00D20A8F">
      <w:r>
        <w:rPr>
          <w:noProof/>
        </w:rPr>
        <w:t>A survival benefit in those who</w:t>
      </w:r>
      <w:r>
        <w:t xml:space="preserve"> underwent cancer surveillance compared to those who did not was observed at 3-years (Villani 2011) and at 5-years (Villani 2016). Although Villani (2016, 2011) did not include an appropriate comparator arm, the study does provide some information about the benefit of cancer surveillance and treatment at detection rather than </w:t>
      </w:r>
      <w:r>
        <w:rPr>
          <w:noProof/>
        </w:rPr>
        <w:t xml:space="preserve">if the cancer was identified once symptomatic (as per the no surveilance group). </w:t>
      </w:r>
      <w:r>
        <w:t>Confounding associated with the study sample is likely present in Villani (2016, 2011) due to the non-randomised and self-</w:t>
      </w:r>
      <w:r>
        <w:lastRenderedPageBreak/>
        <w:t>selected cohort. This has the potential to impact the timing of those who receive treatment and therefore exaggerate survival outcomes.</w:t>
      </w:r>
    </w:p>
    <w:p w14:paraId="3405E92F" w14:textId="0FED96F0" w:rsidR="00370686" w:rsidRDefault="00370686" w:rsidP="00370686">
      <w:r>
        <w:t>The addition of WBMRI has been recommended in domestic and international guidelines (Kratz 2021</w:t>
      </w:r>
      <w:r w:rsidR="004F0CD0">
        <w:rPr>
          <w:rStyle w:val="FootnoteReference"/>
        </w:rPr>
        <w:footnoteReference w:id="23"/>
      </w:r>
      <w:r>
        <w:t>, Hanson 2021</w:t>
      </w:r>
      <w:r w:rsidR="004F0CD0">
        <w:rPr>
          <w:rStyle w:val="FootnoteReference"/>
        </w:rPr>
        <w:footnoteReference w:id="24"/>
      </w:r>
      <w:r>
        <w:t xml:space="preserve">, </w:t>
      </w:r>
      <w:proofErr w:type="spellStart"/>
      <w:r>
        <w:t>Frebourg</w:t>
      </w:r>
      <w:proofErr w:type="spellEnd"/>
      <w:r>
        <w:t xml:space="preserve"> 2020</w:t>
      </w:r>
      <w:r w:rsidR="004F0CD0">
        <w:rPr>
          <w:rStyle w:val="FootnoteReference"/>
        </w:rPr>
        <w:footnoteReference w:id="25"/>
      </w:r>
      <w:r>
        <w:t>, Consul 202</w:t>
      </w:r>
      <w:r w:rsidR="004A7E6A">
        <w:t>1</w:t>
      </w:r>
      <w:r w:rsidR="0032046A">
        <w:rPr>
          <w:rStyle w:val="FootnoteReference"/>
        </w:rPr>
        <w:footnoteReference w:id="26"/>
      </w:r>
      <w:r>
        <w:t>, and Ballinger 2015</w:t>
      </w:r>
      <w:r w:rsidR="0032046A">
        <w:rPr>
          <w:rStyle w:val="FootnoteReference"/>
        </w:rPr>
        <w:footnoteReference w:id="27"/>
      </w:r>
      <w:r>
        <w:t xml:space="preserve">) as a more comprehensive screening modality that could detect a broader spectrum of cancers that would not be picked up otherwise by standard of care surveillance alone. Despite the limited interpretation of cancer types and stage of cancer at detection in LIFSCREEN and Villani (2016, 2011), it is possible that the proposed benefit of adding WBMRI to surveillance has been </w:t>
      </w:r>
      <w:r w:rsidRPr="001D408B">
        <w:t>missed</w:t>
      </w:r>
      <w:r>
        <w:t xml:space="preserve"> due to the methodological issues identified in these studies. The paucity of robust evidence has also been noted in current guidelines where “it was recognised that due to the </w:t>
      </w:r>
      <w:r w:rsidRPr="002A1938">
        <w:t xml:space="preserve">rarity of LFS and </w:t>
      </w:r>
      <w:r w:rsidRPr="00431E96">
        <w:rPr>
          <w:i/>
          <w:iCs/>
        </w:rPr>
        <w:t>TP53</w:t>
      </w:r>
      <w:r w:rsidRPr="00431E96">
        <w:t xml:space="preserve"> </w:t>
      </w:r>
      <w:r w:rsidRPr="002A1938">
        <w:t>PVs</w:t>
      </w:r>
      <w:r w:rsidR="00C919D5">
        <w:t xml:space="preserve"> [pathogenic variants]</w:t>
      </w:r>
      <w:r w:rsidRPr="002A1938">
        <w:t>,</w:t>
      </w:r>
      <w:r>
        <w:t xml:space="preserve"> there is, and likely always will be, a limited evidence </w:t>
      </w:r>
      <w:proofErr w:type="gramStart"/>
      <w:r>
        <w:t>base</w:t>
      </w:r>
      <w:proofErr w:type="gramEnd"/>
      <w:r>
        <w:t xml:space="preserve"> to support screening recommendations in terms of early detection and cancer mortality</w:t>
      </w:r>
      <w:r w:rsidRPr="002A1938">
        <w:t>”</w:t>
      </w:r>
      <w:r>
        <w:t xml:space="preserve"> (Hanson 2020, pp138). Generally, guidelines have relied upon limited evidence </w:t>
      </w:r>
      <w:r w:rsidRPr="00675285">
        <w:t>supplemented</w:t>
      </w:r>
      <w:r>
        <w:t xml:space="preserve"> by expert judgement when recommending the most appropriate surveillance regime. Intuitively, the addition of WBMRI may result in more cancer types being detected early, however, it will be important for protocols to be updated as future studies using larger and more representative samples arise.</w:t>
      </w:r>
      <w:r w:rsidR="00C919D5">
        <w:t xml:space="preserve"> H</w:t>
      </w:r>
      <w:r w:rsidR="00C919D5" w:rsidRPr="00C919D5">
        <w:t>owever</w:t>
      </w:r>
      <w:r w:rsidR="00C919D5">
        <w:t>,</w:t>
      </w:r>
      <w:r w:rsidR="00C919D5" w:rsidRPr="00C919D5">
        <w:t xml:space="preserve"> these </w:t>
      </w:r>
      <w:r w:rsidR="00C919D5">
        <w:t xml:space="preserve">additional trials </w:t>
      </w:r>
      <w:r w:rsidR="00C919D5" w:rsidRPr="00C919D5">
        <w:t>are unlikely to be undertaken given ethical issues and because guidelines already recommend the inclusion of WBMRI as part of standard surveillance protocols.</w:t>
      </w:r>
    </w:p>
    <w:p w14:paraId="391C1CCE" w14:textId="28D9CE81" w:rsidR="007C59C1" w:rsidRDefault="007C59C1" w:rsidP="00082EA7">
      <w:pPr>
        <w:keepNext/>
        <w:rPr>
          <w:u w:val="single"/>
        </w:rPr>
      </w:pPr>
      <w:r w:rsidRPr="007C59C1">
        <w:rPr>
          <w:u w:val="single"/>
        </w:rPr>
        <w:t>Linked evidence</w:t>
      </w:r>
    </w:p>
    <w:p w14:paraId="46D3E4A2" w14:textId="01BC565D" w:rsidR="007C59C1" w:rsidRDefault="007C59C1" w:rsidP="00082EA7">
      <w:pPr>
        <w:keepNext/>
        <w:rPr>
          <w:i/>
          <w:iCs/>
        </w:rPr>
      </w:pPr>
      <w:r>
        <w:rPr>
          <w:i/>
          <w:iCs/>
        </w:rPr>
        <w:t>Diagnostic accuracy</w:t>
      </w:r>
    </w:p>
    <w:p w14:paraId="70DE8171" w14:textId="77777777" w:rsidR="007C59C1" w:rsidRDefault="007C59C1" w:rsidP="00D20A8F">
      <w:r>
        <w:t xml:space="preserve">Studies reporting cumulative cancer detection were recognised to provide more meaningful results (and allow estimates for sensitivity as measures for false negatives were available) compared to studies reporting baseline results only, given the proposed annual and ongoing surveillance nature of the test. </w:t>
      </w:r>
    </w:p>
    <w:p w14:paraId="3149D93F" w14:textId="04701FF2" w:rsidR="007C59C1" w:rsidRDefault="007C59C1" w:rsidP="00D20A8F">
      <w:r>
        <w:t>One trial (LIFSCREEN</w:t>
      </w:r>
      <w:r w:rsidR="00D351E4">
        <w:t>, see above</w:t>
      </w:r>
      <w:r>
        <w:t xml:space="preserve">) and three studies (SMOC+, </w:t>
      </w:r>
      <w:proofErr w:type="spellStart"/>
      <w:r>
        <w:t>Paixao</w:t>
      </w:r>
      <w:proofErr w:type="spellEnd"/>
      <w:r>
        <w:t xml:space="preserve"> 2018, and O’Neil 2018</w:t>
      </w:r>
      <w:r w:rsidR="0000609A">
        <w:t xml:space="preserve"> </w:t>
      </w:r>
      <w:r w:rsidR="00F71FA9">
        <w:t>[</w:t>
      </w:r>
      <w:r w:rsidR="00D351E4">
        <w:t xml:space="preserve">who screened only </w:t>
      </w:r>
      <w:r w:rsidR="00F71FA9">
        <w:t>children]</w:t>
      </w:r>
      <w:r>
        <w:t xml:space="preserve">) provided cumulative cancer detection data of WBMRI + standard cancer surveillance. The results for the three studies are presented in </w:t>
      </w:r>
      <w:r>
        <w:fldChar w:fldCharType="begin"/>
      </w:r>
      <w:r>
        <w:instrText xml:space="preserve"> REF _Ref99948964 \h </w:instrText>
      </w:r>
      <w:r>
        <w:fldChar w:fldCharType="separate"/>
      </w:r>
      <w:r w:rsidR="00822248">
        <w:t xml:space="preserve">Table </w:t>
      </w:r>
      <w:r w:rsidR="00822248">
        <w:rPr>
          <w:noProof/>
        </w:rPr>
        <w:t>7</w:t>
      </w:r>
      <w:r>
        <w:fldChar w:fldCharType="end"/>
      </w:r>
      <w:r>
        <w:t>.</w:t>
      </w:r>
    </w:p>
    <w:p w14:paraId="514971C8" w14:textId="690DCBE5" w:rsidR="007C59C1" w:rsidRDefault="007C59C1" w:rsidP="00705109">
      <w:pPr>
        <w:pStyle w:val="Caption"/>
        <w:spacing w:before="240"/>
        <w:ind w:left="709" w:hanging="709"/>
      </w:pPr>
      <w:bookmarkStart w:id="23" w:name="_Ref99948964"/>
      <w:r>
        <w:lastRenderedPageBreak/>
        <w:t xml:space="preserve">Table </w:t>
      </w:r>
      <w:r w:rsidR="0067109A">
        <w:fldChar w:fldCharType="begin"/>
      </w:r>
      <w:r w:rsidR="0067109A">
        <w:instrText xml:space="preserve"> SEQ Table \* ARABIC </w:instrText>
      </w:r>
      <w:r w:rsidR="0067109A">
        <w:fldChar w:fldCharType="separate"/>
      </w:r>
      <w:r w:rsidR="00822248">
        <w:rPr>
          <w:noProof/>
        </w:rPr>
        <w:t>7</w:t>
      </w:r>
      <w:r w:rsidR="0067109A">
        <w:rPr>
          <w:noProof/>
        </w:rPr>
        <w:fldChar w:fldCharType="end"/>
      </w:r>
      <w:bookmarkEnd w:id="23"/>
      <w:r>
        <w:tab/>
        <w:t xml:space="preserve">Summary of diagnostic accuracy – sensitivity, specificity, PPV, and NPV (SMOC+, </w:t>
      </w:r>
      <w:proofErr w:type="spellStart"/>
      <w:r>
        <w:t>Paixao</w:t>
      </w:r>
      <w:proofErr w:type="spellEnd"/>
      <w:r>
        <w:t xml:space="preserve"> 2018, O’Neil 2018)</w:t>
      </w:r>
    </w:p>
    <w:tbl>
      <w:tblPr>
        <w:tblStyle w:val="TableGrid1"/>
        <w:tblW w:w="9067" w:type="dxa"/>
        <w:tblLayout w:type="fixed"/>
        <w:tblLook w:val="04A0" w:firstRow="1" w:lastRow="0" w:firstColumn="1" w:lastColumn="0" w:noHBand="0" w:noVBand="1"/>
      </w:tblPr>
      <w:tblGrid>
        <w:gridCol w:w="3022"/>
        <w:gridCol w:w="3022"/>
        <w:gridCol w:w="3023"/>
      </w:tblGrid>
      <w:tr w:rsidR="007C59C1" w:rsidRPr="00566462" w14:paraId="188C9362" w14:textId="77777777" w:rsidTr="00ED6272">
        <w:trPr>
          <w:cnfStyle w:val="100000000000" w:firstRow="1" w:lastRow="0" w:firstColumn="0" w:lastColumn="0" w:oddVBand="0" w:evenVBand="0" w:oddHBand="0" w:evenHBand="0" w:firstRowFirstColumn="0" w:firstRowLastColumn="0" w:lastRowFirstColumn="0" w:lastRowLastColumn="0"/>
          <w:trHeight w:val="290"/>
        </w:trPr>
        <w:tc>
          <w:tcPr>
            <w:tcW w:w="30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EDB91" w14:textId="77777777" w:rsidR="007C59C1" w:rsidRPr="00566462" w:rsidRDefault="007C59C1" w:rsidP="00822248">
            <w:pPr>
              <w:keepNext/>
              <w:spacing w:before="0" w:after="0"/>
              <w:rPr>
                <w:rFonts w:ascii="Arial Narrow" w:hAnsi="Arial Narrow" w:cs="Calibri"/>
                <w:b/>
                <w:bCs/>
                <w:color w:val="000000"/>
              </w:rPr>
            </w:pPr>
            <w:r w:rsidRPr="00566462">
              <w:rPr>
                <w:rFonts w:ascii="Arial Narrow" w:hAnsi="Arial Narrow" w:cs="Calibri"/>
                <w:b/>
                <w:bCs/>
                <w:color w:val="000000"/>
              </w:rPr>
              <w:t> </w:t>
            </w:r>
          </w:p>
        </w:tc>
        <w:tc>
          <w:tcPr>
            <w:tcW w:w="3022" w:type="dxa"/>
            <w:tcBorders>
              <w:top w:val="single" w:sz="4" w:space="0" w:color="auto"/>
              <w:left w:val="nil"/>
              <w:bottom w:val="single" w:sz="4" w:space="0" w:color="auto"/>
              <w:right w:val="single" w:sz="4" w:space="0" w:color="auto"/>
            </w:tcBorders>
            <w:shd w:val="clear" w:color="auto" w:fill="auto"/>
            <w:noWrap/>
            <w:vAlign w:val="bottom"/>
            <w:hideMark/>
          </w:tcPr>
          <w:p w14:paraId="2E59F3A3" w14:textId="77777777" w:rsidR="007C59C1" w:rsidRPr="00566462" w:rsidRDefault="007C59C1" w:rsidP="00822248">
            <w:pPr>
              <w:keepNext/>
              <w:spacing w:before="0" w:after="0"/>
              <w:jc w:val="center"/>
              <w:rPr>
                <w:rFonts w:ascii="Arial Narrow" w:hAnsi="Arial Narrow" w:cs="Calibri"/>
                <w:b/>
                <w:bCs/>
                <w:color w:val="000000"/>
              </w:rPr>
            </w:pPr>
            <w:r w:rsidRPr="00566462">
              <w:rPr>
                <w:rFonts w:ascii="Arial Narrow" w:hAnsi="Arial Narrow" w:cs="Calibri"/>
                <w:b/>
                <w:bCs/>
                <w:color w:val="000000"/>
              </w:rPr>
              <w:t>Patients</w:t>
            </w:r>
          </w:p>
        </w:tc>
        <w:tc>
          <w:tcPr>
            <w:tcW w:w="3023" w:type="dxa"/>
            <w:tcBorders>
              <w:top w:val="single" w:sz="4" w:space="0" w:color="auto"/>
              <w:left w:val="nil"/>
              <w:bottom w:val="single" w:sz="4" w:space="0" w:color="auto"/>
              <w:right w:val="single" w:sz="4" w:space="0" w:color="auto"/>
            </w:tcBorders>
            <w:shd w:val="clear" w:color="auto" w:fill="auto"/>
            <w:noWrap/>
            <w:vAlign w:val="bottom"/>
            <w:hideMark/>
          </w:tcPr>
          <w:p w14:paraId="4BE48344" w14:textId="77777777" w:rsidR="007C59C1" w:rsidRPr="00566462" w:rsidRDefault="007C59C1" w:rsidP="00822248">
            <w:pPr>
              <w:keepNext/>
              <w:spacing w:before="0" w:after="0"/>
              <w:jc w:val="center"/>
              <w:rPr>
                <w:rFonts w:ascii="Arial Narrow" w:hAnsi="Arial Narrow" w:cs="Calibri"/>
                <w:b/>
                <w:bCs/>
                <w:color w:val="000000"/>
              </w:rPr>
            </w:pPr>
            <w:r w:rsidRPr="00566462">
              <w:rPr>
                <w:rFonts w:ascii="Arial Narrow" w:hAnsi="Arial Narrow" w:cs="Calibri"/>
                <w:b/>
                <w:bCs/>
                <w:color w:val="000000"/>
              </w:rPr>
              <w:t>Lesions</w:t>
            </w:r>
          </w:p>
        </w:tc>
      </w:tr>
      <w:tr w:rsidR="007C59C1" w:rsidRPr="00566462" w14:paraId="64F48453" w14:textId="77777777" w:rsidTr="007C59C1">
        <w:trPr>
          <w:trHeight w:val="290"/>
        </w:trPr>
        <w:tc>
          <w:tcPr>
            <w:tcW w:w="3022" w:type="dxa"/>
            <w:tcBorders>
              <w:top w:val="nil"/>
              <w:left w:val="single" w:sz="4" w:space="0" w:color="auto"/>
              <w:bottom w:val="single" w:sz="4" w:space="0" w:color="auto"/>
            </w:tcBorders>
            <w:shd w:val="clear" w:color="auto" w:fill="auto"/>
            <w:noWrap/>
            <w:vAlign w:val="bottom"/>
          </w:tcPr>
          <w:p w14:paraId="25DCCCE8" w14:textId="2AE8BADE" w:rsidR="007C59C1" w:rsidRPr="007C59C1" w:rsidRDefault="007C59C1" w:rsidP="00822248">
            <w:pPr>
              <w:keepNext/>
              <w:spacing w:before="0" w:after="0"/>
              <w:rPr>
                <w:rFonts w:ascii="Arial Narrow" w:hAnsi="Arial Narrow" w:cs="Calibri"/>
                <w:b/>
                <w:bCs/>
                <w:color w:val="000000"/>
              </w:rPr>
            </w:pPr>
            <w:r w:rsidRPr="007C59C1">
              <w:rPr>
                <w:rFonts w:ascii="Arial Narrow" w:hAnsi="Arial Narrow" w:cs="Calibri"/>
                <w:b/>
                <w:bCs/>
                <w:color w:val="000000"/>
              </w:rPr>
              <w:t>SMOC+</w:t>
            </w:r>
          </w:p>
        </w:tc>
        <w:tc>
          <w:tcPr>
            <w:tcW w:w="3022" w:type="dxa"/>
            <w:tcBorders>
              <w:top w:val="nil"/>
              <w:left w:val="nil"/>
              <w:bottom w:val="single" w:sz="4" w:space="0" w:color="auto"/>
            </w:tcBorders>
            <w:shd w:val="clear" w:color="auto" w:fill="auto"/>
            <w:noWrap/>
            <w:vAlign w:val="center"/>
          </w:tcPr>
          <w:p w14:paraId="22ADA2BF" w14:textId="77777777" w:rsidR="007C59C1" w:rsidRPr="00566462" w:rsidRDefault="007C59C1" w:rsidP="00822248">
            <w:pPr>
              <w:keepNext/>
              <w:spacing w:before="0" w:after="0"/>
              <w:jc w:val="center"/>
              <w:rPr>
                <w:rFonts w:ascii="Arial Narrow" w:hAnsi="Arial Narrow" w:cs="Calibri"/>
                <w:color w:val="000000"/>
              </w:rPr>
            </w:pPr>
          </w:p>
        </w:tc>
        <w:tc>
          <w:tcPr>
            <w:tcW w:w="3023" w:type="dxa"/>
            <w:tcBorders>
              <w:top w:val="nil"/>
              <w:left w:val="nil"/>
              <w:bottom w:val="single" w:sz="4" w:space="0" w:color="auto"/>
              <w:right w:val="single" w:sz="4" w:space="0" w:color="auto"/>
            </w:tcBorders>
            <w:shd w:val="clear" w:color="auto" w:fill="auto"/>
            <w:noWrap/>
            <w:vAlign w:val="center"/>
          </w:tcPr>
          <w:p w14:paraId="7A493148" w14:textId="77777777" w:rsidR="007C59C1" w:rsidRPr="00566462" w:rsidRDefault="007C59C1" w:rsidP="00822248">
            <w:pPr>
              <w:keepNext/>
              <w:spacing w:before="0" w:after="0"/>
              <w:jc w:val="center"/>
              <w:rPr>
                <w:rFonts w:ascii="Arial Narrow" w:hAnsi="Arial Narrow" w:cs="Calibri"/>
                <w:color w:val="000000"/>
              </w:rPr>
            </w:pPr>
          </w:p>
        </w:tc>
      </w:tr>
      <w:tr w:rsidR="007C59C1" w:rsidRPr="00566462" w14:paraId="5A441D70" w14:textId="77777777" w:rsidTr="00ED6272">
        <w:trPr>
          <w:trHeight w:val="290"/>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63FEDB9C" w14:textId="073D9FB5" w:rsidR="007C59C1" w:rsidRPr="00566462" w:rsidRDefault="0014777B" w:rsidP="00822248">
            <w:pPr>
              <w:keepNext/>
              <w:spacing w:before="0" w:after="0"/>
              <w:rPr>
                <w:rFonts w:ascii="Arial Narrow" w:hAnsi="Arial Narrow" w:cs="Calibri"/>
                <w:color w:val="000000"/>
              </w:rPr>
            </w:pPr>
            <w:r>
              <w:rPr>
                <w:rFonts w:ascii="Arial Narrow" w:hAnsi="Arial Narrow" w:cs="Calibri"/>
                <w:color w:val="000000"/>
              </w:rPr>
              <w:t>Diagnostic yield</w:t>
            </w:r>
            <w:r w:rsidR="007C59C1">
              <w:rPr>
                <w:rFonts w:ascii="Arial Narrow" w:hAnsi="Arial Narrow" w:cs="Calibri"/>
                <w:color w:val="000000"/>
              </w:rPr>
              <w:t>, %</w:t>
            </w:r>
          </w:p>
        </w:tc>
        <w:tc>
          <w:tcPr>
            <w:tcW w:w="3022" w:type="dxa"/>
            <w:tcBorders>
              <w:top w:val="nil"/>
              <w:left w:val="nil"/>
              <w:bottom w:val="single" w:sz="4" w:space="0" w:color="auto"/>
              <w:right w:val="single" w:sz="4" w:space="0" w:color="auto"/>
            </w:tcBorders>
            <w:shd w:val="clear" w:color="auto" w:fill="auto"/>
            <w:noWrap/>
            <w:vAlign w:val="center"/>
            <w:hideMark/>
          </w:tcPr>
          <w:p w14:paraId="433BD4AD" w14:textId="77777777" w:rsidR="007C59C1" w:rsidRPr="00566462" w:rsidRDefault="007C59C1" w:rsidP="00822248">
            <w:pPr>
              <w:keepNext/>
              <w:spacing w:before="0" w:after="0"/>
              <w:jc w:val="center"/>
              <w:rPr>
                <w:rFonts w:ascii="Arial Narrow" w:hAnsi="Arial Narrow" w:cs="Calibri"/>
                <w:color w:val="000000"/>
              </w:rPr>
            </w:pPr>
            <w:r w:rsidRPr="00566462">
              <w:rPr>
                <w:rFonts w:ascii="Arial Narrow" w:hAnsi="Arial Narrow" w:cs="Calibri"/>
                <w:color w:val="000000"/>
              </w:rPr>
              <w:t>16.67%</w:t>
            </w:r>
          </w:p>
        </w:tc>
        <w:tc>
          <w:tcPr>
            <w:tcW w:w="3023" w:type="dxa"/>
            <w:tcBorders>
              <w:top w:val="nil"/>
              <w:left w:val="nil"/>
              <w:bottom w:val="single" w:sz="4" w:space="0" w:color="auto"/>
              <w:right w:val="single" w:sz="4" w:space="0" w:color="auto"/>
            </w:tcBorders>
            <w:shd w:val="clear" w:color="auto" w:fill="auto"/>
            <w:noWrap/>
            <w:vAlign w:val="center"/>
            <w:hideMark/>
          </w:tcPr>
          <w:p w14:paraId="695AC4FD" w14:textId="77777777" w:rsidR="007C59C1" w:rsidRPr="00566462" w:rsidRDefault="007C59C1" w:rsidP="00822248">
            <w:pPr>
              <w:keepNext/>
              <w:spacing w:before="0" w:after="0"/>
              <w:jc w:val="center"/>
              <w:rPr>
                <w:rFonts w:ascii="Arial Narrow" w:hAnsi="Arial Narrow" w:cs="Calibri"/>
                <w:color w:val="000000"/>
              </w:rPr>
            </w:pPr>
            <w:r w:rsidRPr="00566462">
              <w:rPr>
                <w:rFonts w:ascii="Arial Narrow" w:hAnsi="Arial Narrow" w:cs="Calibri"/>
                <w:color w:val="000000"/>
              </w:rPr>
              <w:t>6.38%</w:t>
            </w:r>
          </w:p>
        </w:tc>
      </w:tr>
      <w:tr w:rsidR="007C59C1" w:rsidRPr="00566462" w14:paraId="0887140F" w14:textId="77777777" w:rsidTr="00ED6272">
        <w:trPr>
          <w:trHeight w:val="290"/>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022A3160" w14:textId="77777777" w:rsidR="007C59C1" w:rsidRPr="00566462" w:rsidRDefault="007C59C1" w:rsidP="00822248">
            <w:pPr>
              <w:keepNext/>
              <w:spacing w:before="0" w:after="0"/>
              <w:rPr>
                <w:rFonts w:ascii="Arial Narrow" w:hAnsi="Arial Narrow" w:cs="Calibri"/>
                <w:color w:val="000000"/>
              </w:rPr>
            </w:pPr>
            <w:r w:rsidRPr="00566462">
              <w:rPr>
                <w:rFonts w:ascii="Arial Narrow" w:hAnsi="Arial Narrow" w:cs="Calibri"/>
                <w:color w:val="000000"/>
              </w:rPr>
              <w:t>Sensitivity</w:t>
            </w:r>
          </w:p>
        </w:tc>
        <w:tc>
          <w:tcPr>
            <w:tcW w:w="3022" w:type="dxa"/>
            <w:tcBorders>
              <w:top w:val="nil"/>
              <w:left w:val="nil"/>
              <w:bottom w:val="single" w:sz="4" w:space="0" w:color="auto"/>
              <w:right w:val="single" w:sz="4" w:space="0" w:color="auto"/>
            </w:tcBorders>
            <w:shd w:val="clear" w:color="auto" w:fill="auto"/>
            <w:noWrap/>
            <w:vAlign w:val="center"/>
            <w:hideMark/>
          </w:tcPr>
          <w:p w14:paraId="27B4E1A1" w14:textId="77777777" w:rsidR="007C59C1" w:rsidRPr="00566462" w:rsidRDefault="007C59C1" w:rsidP="00822248">
            <w:pPr>
              <w:keepNext/>
              <w:spacing w:before="0" w:after="0"/>
              <w:jc w:val="center"/>
              <w:rPr>
                <w:rFonts w:ascii="Arial Narrow" w:hAnsi="Arial Narrow" w:cs="Calibri"/>
                <w:color w:val="000000"/>
              </w:rPr>
            </w:pPr>
            <w:r>
              <w:rPr>
                <w:rFonts w:ascii="Arial Narrow" w:hAnsi="Arial Narrow" w:cs="Calibri"/>
                <w:color w:val="000000"/>
              </w:rPr>
              <w:t>0.95</w:t>
            </w:r>
          </w:p>
        </w:tc>
        <w:tc>
          <w:tcPr>
            <w:tcW w:w="3023" w:type="dxa"/>
            <w:tcBorders>
              <w:top w:val="nil"/>
              <w:left w:val="nil"/>
              <w:bottom w:val="single" w:sz="4" w:space="0" w:color="auto"/>
              <w:right w:val="single" w:sz="4" w:space="0" w:color="auto"/>
            </w:tcBorders>
            <w:shd w:val="clear" w:color="auto" w:fill="auto"/>
            <w:noWrap/>
            <w:vAlign w:val="center"/>
            <w:hideMark/>
          </w:tcPr>
          <w:p w14:paraId="6140A858" w14:textId="77777777" w:rsidR="007C59C1" w:rsidRPr="00566462" w:rsidRDefault="007C59C1" w:rsidP="00822248">
            <w:pPr>
              <w:keepNext/>
              <w:spacing w:before="0" w:after="0"/>
              <w:jc w:val="center"/>
              <w:rPr>
                <w:rFonts w:ascii="Arial Narrow" w:hAnsi="Arial Narrow" w:cs="Calibri"/>
                <w:color w:val="000000"/>
              </w:rPr>
            </w:pPr>
            <w:r>
              <w:rPr>
                <w:rFonts w:ascii="Arial Narrow" w:hAnsi="Arial Narrow" w:cs="Calibri"/>
                <w:color w:val="000000"/>
              </w:rPr>
              <w:t>0.95</w:t>
            </w:r>
          </w:p>
        </w:tc>
      </w:tr>
      <w:tr w:rsidR="007C59C1" w:rsidRPr="00566462" w14:paraId="3EFD5EC4" w14:textId="77777777" w:rsidTr="00ED6272">
        <w:trPr>
          <w:trHeight w:val="290"/>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41193FFE" w14:textId="77777777" w:rsidR="007C59C1" w:rsidRPr="00566462" w:rsidRDefault="007C59C1" w:rsidP="00822248">
            <w:pPr>
              <w:keepNext/>
              <w:spacing w:before="0" w:after="0"/>
              <w:rPr>
                <w:rFonts w:ascii="Arial Narrow" w:hAnsi="Arial Narrow" w:cs="Calibri"/>
                <w:color w:val="000000"/>
              </w:rPr>
            </w:pPr>
            <w:r w:rsidRPr="00566462">
              <w:rPr>
                <w:rFonts w:ascii="Arial Narrow" w:hAnsi="Arial Narrow" w:cs="Calibri"/>
                <w:color w:val="000000"/>
              </w:rPr>
              <w:t>Specificity</w:t>
            </w:r>
          </w:p>
        </w:tc>
        <w:tc>
          <w:tcPr>
            <w:tcW w:w="3022" w:type="dxa"/>
            <w:tcBorders>
              <w:top w:val="nil"/>
              <w:left w:val="nil"/>
              <w:bottom w:val="single" w:sz="4" w:space="0" w:color="auto"/>
              <w:right w:val="single" w:sz="4" w:space="0" w:color="auto"/>
            </w:tcBorders>
            <w:shd w:val="clear" w:color="auto" w:fill="auto"/>
            <w:noWrap/>
            <w:vAlign w:val="center"/>
            <w:hideMark/>
          </w:tcPr>
          <w:p w14:paraId="00B8C420" w14:textId="77777777" w:rsidR="007C59C1" w:rsidRPr="00566462" w:rsidRDefault="007C59C1" w:rsidP="00822248">
            <w:pPr>
              <w:keepNext/>
              <w:spacing w:before="0" w:after="0"/>
              <w:jc w:val="center"/>
              <w:rPr>
                <w:rFonts w:ascii="Arial Narrow" w:hAnsi="Arial Narrow" w:cs="Calibri"/>
                <w:color w:val="000000"/>
              </w:rPr>
            </w:pPr>
            <w:r>
              <w:rPr>
                <w:rFonts w:ascii="Arial Narrow" w:hAnsi="Arial Narrow" w:cs="Calibri"/>
                <w:color w:val="000000"/>
              </w:rPr>
              <w:t>0.58</w:t>
            </w:r>
          </w:p>
        </w:tc>
        <w:tc>
          <w:tcPr>
            <w:tcW w:w="3023" w:type="dxa"/>
            <w:tcBorders>
              <w:top w:val="nil"/>
              <w:left w:val="nil"/>
              <w:bottom w:val="single" w:sz="4" w:space="0" w:color="auto"/>
              <w:right w:val="single" w:sz="4" w:space="0" w:color="auto"/>
            </w:tcBorders>
            <w:shd w:val="clear" w:color="auto" w:fill="auto"/>
            <w:noWrap/>
            <w:vAlign w:val="center"/>
            <w:hideMark/>
          </w:tcPr>
          <w:p w14:paraId="4B48B2BA" w14:textId="77777777" w:rsidR="007C59C1" w:rsidRPr="00566462" w:rsidRDefault="007C59C1" w:rsidP="00822248">
            <w:pPr>
              <w:keepNext/>
              <w:spacing w:before="0" w:after="0"/>
              <w:jc w:val="center"/>
              <w:rPr>
                <w:rFonts w:ascii="Arial Narrow" w:hAnsi="Arial Narrow" w:cs="Calibri"/>
                <w:color w:val="000000"/>
              </w:rPr>
            </w:pPr>
            <w:r>
              <w:rPr>
                <w:rFonts w:ascii="Arial Narrow" w:hAnsi="Arial Narrow" w:cs="Calibri"/>
                <w:color w:val="000000"/>
              </w:rPr>
              <w:t>0.47</w:t>
            </w:r>
          </w:p>
        </w:tc>
      </w:tr>
      <w:tr w:rsidR="007C59C1" w:rsidRPr="00566462" w14:paraId="57797C91" w14:textId="77777777" w:rsidTr="00ED6272">
        <w:trPr>
          <w:trHeight w:val="290"/>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1929584D" w14:textId="77777777" w:rsidR="007C59C1" w:rsidRPr="00566462" w:rsidRDefault="007C59C1" w:rsidP="00822248">
            <w:pPr>
              <w:keepNext/>
              <w:spacing w:before="0" w:after="0"/>
              <w:rPr>
                <w:rFonts w:ascii="Arial Narrow" w:hAnsi="Arial Narrow" w:cs="Calibri"/>
                <w:color w:val="000000"/>
              </w:rPr>
            </w:pPr>
            <w:r w:rsidRPr="00566462">
              <w:rPr>
                <w:rFonts w:ascii="Arial Narrow" w:hAnsi="Arial Narrow" w:cs="Calibri"/>
                <w:color w:val="000000"/>
              </w:rPr>
              <w:t>PPV</w:t>
            </w:r>
          </w:p>
        </w:tc>
        <w:tc>
          <w:tcPr>
            <w:tcW w:w="3022" w:type="dxa"/>
            <w:tcBorders>
              <w:top w:val="nil"/>
              <w:left w:val="nil"/>
              <w:bottom w:val="single" w:sz="4" w:space="0" w:color="auto"/>
              <w:right w:val="single" w:sz="4" w:space="0" w:color="auto"/>
            </w:tcBorders>
            <w:shd w:val="clear" w:color="auto" w:fill="auto"/>
            <w:noWrap/>
            <w:vAlign w:val="center"/>
            <w:hideMark/>
          </w:tcPr>
          <w:p w14:paraId="622D464E" w14:textId="77777777" w:rsidR="007C59C1" w:rsidRPr="00566462" w:rsidRDefault="007C59C1" w:rsidP="00822248">
            <w:pPr>
              <w:keepNext/>
              <w:spacing w:before="0" w:after="0"/>
              <w:jc w:val="center"/>
              <w:rPr>
                <w:rFonts w:ascii="Arial Narrow" w:hAnsi="Arial Narrow" w:cs="Calibri"/>
                <w:color w:val="000000"/>
              </w:rPr>
            </w:pPr>
            <w:r>
              <w:rPr>
                <w:rFonts w:ascii="Arial Narrow" w:hAnsi="Arial Narrow" w:cs="Calibri"/>
                <w:color w:val="000000"/>
              </w:rPr>
              <w:t>0.22</w:t>
            </w:r>
          </w:p>
        </w:tc>
        <w:tc>
          <w:tcPr>
            <w:tcW w:w="3023" w:type="dxa"/>
            <w:tcBorders>
              <w:top w:val="nil"/>
              <w:left w:val="nil"/>
              <w:bottom w:val="single" w:sz="4" w:space="0" w:color="auto"/>
              <w:right w:val="single" w:sz="4" w:space="0" w:color="auto"/>
            </w:tcBorders>
            <w:shd w:val="clear" w:color="auto" w:fill="auto"/>
            <w:noWrap/>
            <w:vAlign w:val="center"/>
            <w:hideMark/>
          </w:tcPr>
          <w:p w14:paraId="7DEF1159" w14:textId="77777777" w:rsidR="007C59C1" w:rsidRPr="00566462" w:rsidRDefault="007C59C1" w:rsidP="00822248">
            <w:pPr>
              <w:keepNext/>
              <w:spacing w:before="0" w:after="0"/>
              <w:jc w:val="center"/>
              <w:rPr>
                <w:rFonts w:ascii="Arial Narrow" w:hAnsi="Arial Narrow" w:cs="Calibri"/>
                <w:color w:val="000000"/>
              </w:rPr>
            </w:pPr>
            <w:r>
              <w:rPr>
                <w:rFonts w:ascii="Arial Narrow" w:hAnsi="Arial Narrow" w:cs="Calibri"/>
                <w:color w:val="000000"/>
              </w:rPr>
              <w:t>0.16</w:t>
            </w:r>
          </w:p>
        </w:tc>
      </w:tr>
      <w:tr w:rsidR="007C59C1" w:rsidRPr="00566462" w14:paraId="1A3F33B6" w14:textId="77777777" w:rsidTr="00ED6272">
        <w:trPr>
          <w:trHeight w:val="290"/>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6AAC9C9E" w14:textId="77777777" w:rsidR="007C59C1" w:rsidRPr="00566462" w:rsidRDefault="007C59C1" w:rsidP="00822248">
            <w:pPr>
              <w:keepNext/>
              <w:spacing w:before="0" w:after="0"/>
              <w:rPr>
                <w:rFonts w:ascii="Arial Narrow" w:hAnsi="Arial Narrow" w:cs="Calibri"/>
                <w:color w:val="000000"/>
              </w:rPr>
            </w:pPr>
            <w:r w:rsidRPr="00566462">
              <w:rPr>
                <w:rFonts w:ascii="Arial Narrow" w:hAnsi="Arial Narrow" w:cs="Calibri"/>
                <w:color w:val="000000"/>
              </w:rPr>
              <w:t>NPV</w:t>
            </w:r>
          </w:p>
        </w:tc>
        <w:tc>
          <w:tcPr>
            <w:tcW w:w="3022" w:type="dxa"/>
            <w:tcBorders>
              <w:top w:val="nil"/>
              <w:left w:val="nil"/>
              <w:bottom w:val="single" w:sz="4" w:space="0" w:color="auto"/>
              <w:right w:val="single" w:sz="4" w:space="0" w:color="auto"/>
            </w:tcBorders>
            <w:shd w:val="clear" w:color="auto" w:fill="auto"/>
            <w:noWrap/>
            <w:vAlign w:val="center"/>
            <w:hideMark/>
          </w:tcPr>
          <w:p w14:paraId="7B014059" w14:textId="77777777" w:rsidR="007C59C1" w:rsidRPr="00566462" w:rsidRDefault="007C59C1" w:rsidP="00822248">
            <w:pPr>
              <w:keepNext/>
              <w:spacing w:before="0" w:after="0"/>
              <w:jc w:val="center"/>
              <w:rPr>
                <w:rFonts w:ascii="Arial Narrow" w:hAnsi="Arial Narrow" w:cs="Calibri"/>
                <w:color w:val="000000"/>
              </w:rPr>
            </w:pPr>
            <w:r>
              <w:rPr>
                <w:rFonts w:ascii="Arial Narrow" w:hAnsi="Arial Narrow" w:cs="Calibri"/>
                <w:color w:val="000000"/>
              </w:rPr>
              <w:t>0.99</w:t>
            </w:r>
          </w:p>
        </w:tc>
        <w:tc>
          <w:tcPr>
            <w:tcW w:w="3023" w:type="dxa"/>
            <w:tcBorders>
              <w:top w:val="nil"/>
              <w:left w:val="nil"/>
              <w:bottom w:val="single" w:sz="4" w:space="0" w:color="auto"/>
              <w:right w:val="single" w:sz="4" w:space="0" w:color="auto"/>
            </w:tcBorders>
            <w:shd w:val="clear" w:color="auto" w:fill="auto"/>
            <w:noWrap/>
            <w:vAlign w:val="center"/>
            <w:hideMark/>
          </w:tcPr>
          <w:p w14:paraId="7A0E8632" w14:textId="77777777" w:rsidR="007C59C1" w:rsidRPr="00566462" w:rsidRDefault="007C59C1" w:rsidP="00822248">
            <w:pPr>
              <w:keepNext/>
              <w:spacing w:before="0" w:after="0"/>
              <w:jc w:val="center"/>
              <w:rPr>
                <w:rFonts w:ascii="Arial Narrow" w:hAnsi="Arial Narrow" w:cs="Calibri"/>
                <w:color w:val="000000"/>
              </w:rPr>
            </w:pPr>
            <w:r>
              <w:rPr>
                <w:rFonts w:ascii="Arial Narrow" w:hAnsi="Arial Narrow" w:cs="Calibri"/>
                <w:color w:val="000000"/>
              </w:rPr>
              <w:t>0.99</w:t>
            </w:r>
          </w:p>
        </w:tc>
      </w:tr>
      <w:tr w:rsidR="007C59C1" w:rsidRPr="00F26029" w14:paraId="21743645" w14:textId="77777777" w:rsidTr="007C59C1">
        <w:trPr>
          <w:trHeight w:val="290"/>
        </w:trPr>
        <w:tc>
          <w:tcPr>
            <w:tcW w:w="3022" w:type="dxa"/>
            <w:tcBorders>
              <w:top w:val="nil"/>
              <w:left w:val="single" w:sz="4" w:space="0" w:color="auto"/>
              <w:bottom w:val="single" w:sz="4" w:space="0" w:color="auto"/>
            </w:tcBorders>
            <w:shd w:val="clear" w:color="auto" w:fill="auto"/>
            <w:noWrap/>
            <w:vAlign w:val="bottom"/>
          </w:tcPr>
          <w:p w14:paraId="7860700A" w14:textId="3D48B26B" w:rsidR="007C59C1" w:rsidRPr="007C59C1" w:rsidRDefault="007C59C1" w:rsidP="00822248">
            <w:pPr>
              <w:keepNext/>
              <w:spacing w:before="0" w:after="0"/>
              <w:rPr>
                <w:rFonts w:ascii="Arial Narrow" w:hAnsi="Arial Narrow" w:cs="Calibri"/>
                <w:b/>
                <w:bCs/>
                <w:color w:val="000000"/>
              </w:rPr>
            </w:pPr>
            <w:proofErr w:type="spellStart"/>
            <w:r w:rsidRPr="007C59C1">
              <w:rPr>
                <w:rFonts w:ascii="Arial Narrow" w:hAnsi="Arial Narrow"/>
                <w:b/>
                <w:bCs/>
              </w:rPr>
              <w:t>Paixao</w:t>
            </w:r>
            <w:proofErr w:type="spellEnd"/>
            <w:r w:rsidRPr="007C59C1">
              <w:rPr>
                <w:rFonts w:ascii="Arial Narrow" w:hAnsi="Arial Narrow"/>
                <w:b/>
                <w:bCs/>
              </w:rPr>
              <w:t xml:space="preserve"> 2018</w:t>
            </w:r>
          </w:p>
        </w:tc>
        <w:tc>
          <w:tcPr>
            <w:tcW w:w="3022" w:type="dxa"/>
            <w:tcBorders>
              <w:top w:val="nil"/>
              <w:left w:val="nil"/>
              <w:bottom w:val="single" w:sz="4" w:space="0" w:color="auto"/>
            </w:tcBorders>
            <w:shd w:val="clear" w:color="auto" w:fill="auto"/>
            <w:noWrap/>
            <w:vAlign w:val="center"/>
          </w:tcPr>
          <w:p w14:paraId="26B7323C" w14:textId="77777777" w:rsidR="007C59C1" w:rsidRPr="007C59C1" w:rsidRDefault="007C59C1" w:rsidP="00822248">
            <w:pPr>
              <w:keepNext/>
              <w:spacing w:before="0" w:after="0"/>
              <w:jc w:val="center"/>
              <w:rPr>
                <w:rFonts w:ascii="Arial Narrow" w:hAnsi="Arial Narrow" w:cs="Calibri"/>
                <w:color w:val="000000"/>
              </w:rPr>
            </w:pPr>
          </w:p>
        </w:tc>
        <w:tc>
          <w:tcPr>
            <w:tcW w:w="3023" w:type="dxa"/>
            <w:tcBorders>
              <w:top w:val="nil"/>
              <w:left w:val="nil"/>
              <w:bottom w:val="single" w:sz="4" w:space="0" w:color="auto"/>
              <w:right w:val="single" w:sz="4" w:space="0" w:color="auto"/>
            </w:tcBorders>
            <w:shd w:val="clear" w:color="auto" w:fill="auto"/>
            <w:noWrap/>
            <w:vAlign w:val="center"/>
          </w:tcPr>
          <w:p w14:paraId="5D0EF259" w14:textId="77777777" w:rsidR="007C59C1" w:rsidRPr="007C59C1" w:rsidRDefault="007C59C1" w:rsidP="00822248">
            <w:pPr>
              <w:keepNext/>
              <w:spacing w:before="0" w:after="0"/>
              <w:jc w:val="center"/>
              <w:rPr>
                <w:rFonts w:ascii="Arial Narrow" w:hAnsi="Arial Narrow" w:cs="Calibri"/>
                <w:color w:val="000000"/>
              </w:rPr>
            </w:pPr>
          </w:p>
        </w:tc>
      </w:tr>
      <w:tr w:rsidR="007C59C1" w:rsidRPr="00F26029" w14:paraId="2B01E86A" w14:textId="77777777" w:rsidTr="007C59C1">
        <w:trPr>
          <w:trHeight w:val="290"/>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7FE482A1" w14:textId="6224A64D" w:rsidR="007C59C1" w:rsidRPr="00F26029" w:rsidRDefault="0014777B" w:rsidP="00822248">
            <w:pPr>
              <w:keepNext/>
              <w:spacing w:before="0" w:after="0"/>
              <w:rPr>
                <w:rFonts w:ascii="Arial Narrow" w:hAnsi="Arial Narrow" w:cs="Calibri"/>
                <w:color w:val="000000"/>
              </w:rPr>
            </w:pPr>
            <w:r>
              <w:rPr>
                <w:rFonts w:ascii="Arial Narrow" w:hAnsi="Arial Narrow" w:cs="Calibri"/>
                <w:color w:val="000000"/>
              </w:rPr>
              <w:t>Diagnostic yield</w:t>
            </w:r>
            <w:r w:rsidR="007C59C1" w:rsidRPr="00F26029">
              <w:rPr>
                <w:rFonts w:ascii="Arial Narrow" w:hAnsi="Arial Narrow" w:cs="Calibri"/>
                <w:color w:val="000000"/>
              </w:rPr>
              <w:t>, %</w:t>
            </w:r>
          </w:p>
        </w:tc>
        <w:tc>
          <w:tcPr>
            <w:tcW w:w="3022" w:type="dxa"/>
            <w:tcBorders>
              <w:top w:val="nil"/>
              <w:left w:val="nil"/>
              <w:bottom w:val="single" w:sz="4" w:space="0" w:color="auto"/>
              <w:right w:val="single" w:sz="4" w:space="0" w:color="auto"/>
            </w:tcBorders>
            <w:shd w:val="clear" w:color="auto" w:fill="auto"/>
            <w:noWrap/>
            <w:vAlign w:val="center"/>
            <w:hideMark/>
          </w:tcPr>
          <w:p w14:paraId="7C745418" w14:textId="77777777" w:rsidR="007C59C1" w:rsidRPr="007C59C1" w:rsidRDefault="007C59C1" w:rsidP="00822248">
            <w:pPr>
              <w:keepNext/>
              <w:spacing w:before="0" w:after="0"/>
              <w:jc w:val="center"/>
              <w:rPr>
                <w:rFonts w:ascii="Arial Narrow" w:hAnsi="Arial Narrow" w:cs="Calibri"/>
                <w:color w:val="000000"/>
              </w:rPr>
            </w:pPr>
            <w:r w:rsidRPr="007C59C1">
              <w:rPr>
                <w:rFonts w:ascii="Arial Narrow" w:hAnsi="Arial Narrow" w:cs="Calibri"/>
                <w:color w:val="000000"/>
              </w:rPr>
              <w:t>5.08%</w:t>
            </w:r>
          </w:p>
        </w:tc>
        <w:tc>
          <w:tcPr>
            <w:tcW w:w="3023" w:type="dxa"/>
            <w:tcBorders>
              <w:top w:val="nil"/>
              <w:left w:val="nil"/>
              <w:bottom w:val="single" w:sz="4" w:space="0" w:color="auto"/>
              <w:right w:val="single" w:sz="4" w:space="0" w:color="auto"/>
            </w:tcBorders>
            <w:shd w:val="clear" w:color="auto" w:fill="auto"/>
            <w:noWrap/>
            <w:vAlign w:val="center"/>
            <w:hideMark/>
          </w:tcPr>
          <w:p w14:paraId="15CB156E" w14:textId="77777777" w:rsidR="007C59C1" w:rsidRPr="007C59C1" w:rsidRDefault="007C59C1" w:rsidP="00822248">
            <w:pPr>
              <w:keepNext/>
              <w:spacing w:before="0" w:after="0"/>
              <w:jc w:val="center"/>
              <w:rPr>
                <w:rFonts w:ascii="Arial Narrow" w:hAnsi="Arial Narrow" w:cs="Calibri"/>
                <w:color w:val="000000"/>
              </w:rPr>
            </w:pPr>
            <w:r w:rsidRPr="007C59C1">
              <w:rPr>
                <w:rFonts w:ascii="Arial Narrow" w:hAnsi="Arial Narrow" w:cs="Calibri"/>
                <w:color w:val="000000"/>
              </w:rPr>
              <w:t>2.54%</w:t>
            </w:r>
          </w:p>
        </w:tc>
      </w:tr>
      <w:tr w:rsidR="007C59C1" w:rsidRPr="00F26029" w14:paraId="06B9D74C" w14:textId="77777777" w:rsidTr="007C59C1">
        <w:trPr>
          <w:trHeight w:val="290"/>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033E00FB" w14:textId="77777777" w:rsidR="007C59C1" w:rsidRPr="00F26029" w:rsidRDefault="007C59C1" w:rsidP="00822248">
            <w:pPr>
              <w:keepNext/>
              <w:spacing w:before="0" w:after="0"/>
              <w:rPr>
                <w:rFonts w:ascii="Arial Narrow" w:hAnsi="Arial Narrow" w:cs="Calibri"/>
                <w:color w:val="000000"/>
              </w:rPr>
            </w:pPr>
            <w:r w:rsidRPr="00F26029">
              <w:rPr>
                <w:rFonts w:ascii="Arial Narrow" w:hAnsi="Arial Narrow" w:cs="Calibri"/>
                <w:color w:val="000000"/>
              </w:rPr>
              <w:t>Sensitivity</w:t>
            </w:r>
          </w:p>
        </w:tc>
        <w:tc>
          <w:tcPr>
            <w:tcW w:w="3022" w:type="dxa"/>
            <w:tcBorders>
              <w:top w:val="nil"/>
              <w:left w:val="nil"/>
              <w:bottom w:val="single" w:sz="4" w:space="0" w:color="auto"/>
              <w:right w:val="single" w:sz="4" w:space="0" w:color="auto"/>
            </w:tcBorders>
            <w:shd w:val="clear" w:color="auto" w:fill="auto"/>
            <w:noWrap/>
            <w:vAlign w:val="center"/>
            <w:hideMark/>
          </w:tcPr>
          <w:p w14:paraId="7CB841D2" w14:textId="77777777" w:rsidR="007C59C1" w:rsidRPr="007C59C1" w:rsidRDefault="007C59C1" w:rsidP="00822248">
            <w:pPr>
              <w:keepNext/>
              <w:spacing w:before="0" w:after="0"/>
              <w:jc w:val="center"/>
              <w:rPr>
                <w:rFonts w:ascii="Arial Narrow" w:hAnsi="Arial Narrow" w:cs="Calibri"/>
                <w:color w:val="000000"/>
              </w:rPr>
            </w:pPr>
            <w:r w:rsidRPr="007C59C1">
              <w:rPr>
                <w:rFonts w:ascii="Arial Narrow" w:hAnsi="Arial Narrow" w:cs="Calibri"/>
                <w:color w:val="000000"/>
              </w:rPr>
              <w:t>1.00</w:t>
            </w:r>
          </w:p>
        </w:tc>
        <w:tc>
          <w:tcPr>
            <w:tcW w:w="3023" w:type="dxa"/>
            <w:tcBorders>
              <w:top w:val="nil"/>
              <w:left w:val="nil"/>
              <w:bottom w:val="single" w:sz="4" w:space="0" w:color="auto"/>
              <w:right w:val="single" w:sz="4" w:space="0" w:color="auto"/>
            </w:tcBorders>
            <w:shd w:val="clear" w:color="auto" w:fill="auto"/>
            <w:noWrap/>
            <w:vAlign w:val="center"/>
            <w:hideMark/>
          </w:tcPr>
          <w:p w14:paraId="43C20EAD" w14:textId="77777777" w:rsidR="007C59C1" w:rsidRPr="007C59C1" w:rsidRDefault="007C59C1" w:rsidP="00822248">
            <w:pPr>
              <w:keepNext/>
              <w:spacing w:before="0" w:after="0"/>
              <w:jc w:val="center"/>
              <w:rPr>
                <w:rFonts w:ascii="Arial Narrow" w:hAnsi="Arial Narrow" w:cs="Calibri"/>
                <w:color w:val="000000"/>
              </w:rPr>
            </w:pPr>
            <w:r w:rsidRPr="007C59C1">
              <w:rPr>
                <w:rFonts w:ascii="Arial Narrow" w:hAnsi="Arial Narrow" w:cs="Calibri"/>
                <w:color w:val="000000"/>
              </w:rPr>
              <w:t>1.00</w:t>
            </w:r>
          </w:p>
        </w:tc>
      </w:tr>
      <w:tr w:rsidR="007C59C1" w:rsidRPr="00F26029" w14:paraId="769FB7D1" w14:textId="77777777" w:rsidTr="007C59C1">
        <w:trPr>
          <w:trHeight w:val="290"/>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228526EC" w14:textId="77777777" w:rsidR="007C59C1" w:rsidRPr="00F26029" w:rsidRDefault="007C59C1" w:rsidP="00822248">
            <w:pPr>
              <w:keepNext/>
              <w:spacing w:before="0" w:after="0"/>
              <w:rPr>
                <w:rFonts w:ascii="Arial Narrow" w:hAnsi="Arial Narrow" w:cs="Calibri"/>
                <w:color w:val="000000"/>
              </w:rPr>
            </w:pPr>
            <w:r w:rsidRPr="00F26029">
              <w:rPr>
                <w:rFonts w:ascii="Arial Narrow" w:hAnsi="Arial Narrow" w:cs="Calibri"/>
                <w:color w:val="000000"/>
              </w:rPr>
              <w:t>Specificity</w:t>
            </w:r>
          </w:p>
        </w:tc>
        <w:tc>
          <w:tcPr>
            <w:tcW w:w="3022" w:type="dxa"/>
            <w:tcBorders>
              <w:top w:val="nil"/>
              <w:left w:val="nil"/>
              <w:bottom w:val="single" w:sz="4" w:space="0" w:color="auto"/>
              <w:right w:val="single" w:sz="4" w:space="0" w:color="auto"/>
            </w:tcBorders>
            <w:shd w:val="clear" w:color="auto" w:fill="auto"/>
            <w:noWrap/>
            <w:vAlign w:val="center"/>
            <w:hideMark/>
          </w:tcPr>
          <w:p w14:paraId="6932FAEE" w14:textId="77777777" w:rsidR="007C59C1" w:rsidRPr="007C59C1" w:rsidRDefault="007C59C1" w:rsidP="00822248">
            <w:pPr>
              <w:keepNext/>
              <w:spacing w:before="0" w:after="0"/>
              <w:jc w:val="center"/>
              <w:rPr>
                <w:rFonts w:ascii="Arial Narrow" w:hAnsi="Arial Narrow" w:cs="Calibri"/>
                <w:color w:val="000000"/>
              </w:rPr>
            </w:pPr>
            <w:r w:rsidRPr="007C59C1">
              <w:rPr>
                <w:rFonts w:ascii="Arial Narrow" w:hAnsi="Arial Narrow" w:cs="Calibri"/>
                <w:color w:val="000000"/>
              </w:rPr>
              <w:t>0.86</w:t>
            </w:r>
          </w:p>
        </w:tc>
        <w:tc>
          <w:tcPr>
            <w:tcW w:w="3023" w:type="dxa"/>
            <w:tcBorders>
              <w:top w:val="nil"/>
              <w:left w:val="nil"/>
              <w:bottom w:val="single" w:sz="4" w:space="0" w:color="auto"/>
              <w:right w:val="single" w:sz="4" w:space="0" w:color="auto"/>
            </w:tcBorders>
            <w:shd w:val="clear" w:color="auto" w:fill="auto"/>
            <w:noWrap/>
            <w:vAlign w:val="center"/>
            <w:hideMark/>
          </w:tcPr>
          <w:p w14:paraId="63D17C70" w14:textId="77777777" w:rsidR="007C59C1" w:rsidRPr="007C59C1" w:rsidRDefault="007C59C1" w:rsidP="00822248">
            <w:pPr>
              <w:keepNext/>
              <w:spacing w:before="0" w:after="0"/>
              <w:jc w:val="center"/>
              <w:rPr>
                <w:rFonts w:ascii="Arial Narrow" w:hAnsi="Arial Narrow" w:cs="Calibri"/>
                <w:color w:val="000000"/>
              </w:rPr>
            </w:pPr>
            <w:r w:rsidRPr="007C59C1">
              <w:rPr>
                <w:rFonts w:ascii="Arial Narrow" w:hAnsi="Arial Narrow" w:cs="Calibri"/>
                <w:color w:val="000000"/>
              </w:rPr>
              <w:t>0.93</w:t>
            </w:r>
          </w:p>
        </w:tc>
      </w:tr>
      <w:tr w:rsidR="007C59C1" w:rsidRPr="00F26029" w14:paraId="06BF4174" w14:textId="77777777" w:rsidTr="007C59C1">
        <w:trPr>
          <w:trHeight w:val="290"/>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685BB2AD" w14:textId="77777777" w:rsidR="007C59C1" w:rsidRPr="00F26029" w:rsidRDefault="007C59C1" w:rsidP="00822248">
            <w:pPr>
              <w:keepNext/>
              <w:spacing w:before="0" w:after="0"/>
              <w:rPr>
                <w:rFonts w:ascii="Arial Narrow" w:hAnsi="Arial Narrow" w:cs="Calibri"/>
                <w:color w:val="000000"/>
              </w:rPr>
            </w:pPr>
            <w:r w:rsidRPr="00F26029">
              <w:rPr>
                <w:rFonts w:ascii="Arial Narrow" w:hAnsi="Arial Narrow" w:cs="Calibri"/>
                <w:color w:val="000000"/>
              </w:rPr>
              <w:t>PPV</w:t>
            </w:r>
          </w:p>
        </w:tc>
        <w:tc>
          <w:tcPr>
            <w:tcW w:w="3022" w:type="dxa"/>
            <w:tcBorders>
              <w:top w:val="nil"/>
              <w:left w:val="nil"/>
              <w:bottom w:val="single" w:sz="4" w:space="0" w:color="auto"/>
              <w:right w:val="single" w:sz="4" w:space="0" w:color="auto"/>
            </w:tcBorders>
            <w:shd w:val="clear" w:color="auto" w:fill="auto"/>
            <w:noWrap/>
            <w:vAlign w:val="center"/>
            <w:hideMark/>
          </w:tcPr>
          <w:p w14:paraId="20E28A77" w14:textId="77777777" w:rsidR="007C59C1" w:rsidRPr="007C59C1" w:rsidRDefault="007C59C1" w:rsidP="00822248">
            <w:pPr>
              <w:keepNext/>
              <w:spacing w:before="0" w:after="0"/>
              <w:jc w:val="center"/>
              <w:rPr>
                <w:rFonts w:ascii="Arial Narrow" w:hAnsi="Arial Narrow" w:cs="Calibri"/>
                <w:color w:val="000000"/>
              </w:rPr>
            </w:pPr>
            <w:r w:rsidRPr="007C59C1">
              <w:rPr>
                <w:rFonts w:ascii="Arial Narrow" w:hAnsi="Arial Narrow" w:cs="Calibri"/>
                <w:color w:val="000000"/>
              </w:rPr>
              <w:t>0.27</w:t>
            </w:r>
          </w:p>
        </w:tc>
        <w:tc>
          <w:tcPr>
            <w:tcW w:w="3023" w:type="dxa"/>
            <w:tcBorders>
              <w:top w:val="nil"/>
              <w:left w:val="nil"/>
              <w:bottom w:val="single" w:sz="4" w:space="0" w:color="auto"/>
              <w:right w:val="single" w:sz="4" w:space="0" w:color="auto"/>
            </w:tcBorders>
            <w:shd w:val="clear" w:color="auto" w:fill="auto"/>
            <w:noWrap/>
            <w:vAlign w:val="center"/>
            <w:hideMark/>
          </w:tcPr>
          <w:p w14:paraId="2DE6B51F" w14:textId="77777777" w:rsidR="007C59C1" w:rsidRPr="007C59C1" w:rsidRDefault="007C59C1" w:rsidP="00822248">
            <w:pPr>
              <w:keepNext/>
              <w:spacing w:before="0" w:after="0"/>
              <w:jc w:val="center"/>
              <w:rPr>
                <w:rFonts w:ascii="Arial Narrow" w:hAnsi="Arial Narrow" w:cs="Calibri"/>
                <w:color w:val="000000"/>
              </w:rPr>
            </w:pPr>
            <w:r w:rsidRPr="007C59C1">
              <w:rPr>
                <w:rFonts w:ascii="Arial Narrow" w:hAnsi="Arial Narrow" w:cs="Calibri"/>
                <w:color w:val="000000"/>
              </w:rPr>
              <w:t>0.27</w:t>
            </w:r>
          </w:p>
        </w:tc>
      </w:tr>
      <w:tr w:rsidR="007C59C1" w:rsidRPr="00F26029" w14:paraId="0CD41E71" w14:textId="77777777" w:rsidTr="007C59C1">
        <w:trPr>
          <w:trHeight w:val="290"/>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723EB4C9" w14:textId="77777777" w:rsidR="007C59C1" w:rsidRPr="00F26029" w:rsidRDefault="007C59C1" w:rsidP="00822248">
            <w:pPr>
              <w:keepNext/>
              <w:spacing w:before="0" w:after="0"/>
              <w:rPr>
                <w:rFonts w:ascii="Arial Narrow" w:hAnsi="Arial Narrow" w:cs="Calibri"/>
                <w:color w:val="000000"/>
              </w:rPr>
            </w:pPr>
            <w:r w:rsidRPr="00F26029">
              <w:rPr>
                <w:rFonts w:ascii="Arial Narrow" w:hAnsi="Arial Narrow" w:cs="Calibri"/>
                <w:color w:val="000000"/>
              </w:rPr>
              <w:t>NPV</w:t>
            </w:r>
          </w:p>
        </w:tc>
        <w:tc>
          <w:tcPr>
            <w:tcW w:w="3022" w:type="dxa"/>
            <w:tcBorders>
              <w:top w:val="nil"/>
              <w:left w:val="nil"/>
              <w:bottom w:val="single" w:sz="4" w:space="0" w:color="auto"/>
              <w:right w:val="single" w:sz="4" w:space="0" w:color="auto"/>
            </w:tcBorders>
            <w:shd w:val="clear" w:color="auto" w:fill="auto"/>
            <w:noWrap/>
            <w:vAlign w:val="center"/>
            <w:hideMark/>
          </w:tcPr>
          <w:p w14:paraId="6AAA8551" w14:textId="77777777" w:rsidR="007C59C1" w:rsidRPr="007C59C1" w:rsidRDefault="007C59C1" w:rsidP="00822248">
            <w:pPr>
              <w:keepNext/>
              <w:spacing w:before="0" w:after="0"/>
              <w:jc w:val="center"/>
              <w:rPr>
                <w:rFonts w:ascii="Arial Narrow" w:hAnsi="Arial Narrow" w:cs="Calibri"/>
                <w:color w:val="000000"/>
              </w:rPr>
            </w:pPr>
            <w:r w:rsidRPr="007C59C1">
              <w:rPr>
                <w:rFonts w:ascii="Arial Narrow" w:hAnsi="Arial Narrow" w:cs="Calibri"/>
                <w:color w:val="000000"/>
              </w:rPr>
              <w:t>1.00</w:t>
            </w:r>
          </w:p>
        </w:tc>
        <w:tc>
          <w:tcPr>
            <w:tcW w:w="3023" w:type="dxa"/>
            <w:tcBorders>
              <w:top w:val="nil"/>
              <w:left w:val="nil"/>
              <w:bottom w:val="single" w:sz="4" w:space="0" w:color="auto"/>
              <w:right w:val="single" w:sz="4" w:space="0" w:color="auto"/>
            </w:tcBorders>
            <w:shd w:val="clear" w:color="auto" w:fill="auto"/>
            <w:noWrap/>
            <w:vAlign w:val="center"/>
            <w:hideMark/>
          </w:tcPr>
          <w:p w14:paraId="2AC96FD6" w14:textId="77777777" w:rsidR="007C59C1" w:rsidRPr="007C59C1" w:rsidRDefault="007C59C1" w:rsidP="00822248">
            <w:pPr>
              <w:keepNext/>
              <w:spacing w:before="0" w:after="0"/>
              <w:jc w:val="center"/>
              <w:rPr>
                <w:rFonts w:ascii="Arial Narrow" w:hAnsi="Arial Narrow" w:cs="Calibri"/>
                <w:color w:val="000000"/>
              </w:rPr>
            </w:pPr>
            <w:r w:rsidRPr="007C59C1">
              <w:rPr>
                <w:rFonts w:ascii="Arial Narrow" w:hAnsi="Arial Narrow" w:cs="Calibri"/>
                <w:color w:val="000000"/>
              </w:rPr>
              <w:t>1.00</w:t>
            </w:r>
          </w:p>
        </w:tc>
      </w:tr>
      <w:tr w:rsidR="007C59C1" w:rsidRPr="000A00CF" w14:paraId="58107179" w14:textId="77777777" w:rsidTr="007C59C1">
        <w:trPr>
          <w:trHeight w:val="290"/>
        </w:trPr>
        <w:tc>
          <w:tcPr>
            <w:tcW w:w="3022" w:type="dxa"/>
            <w:tcBorders>
              <w:top w:val="nil"/>
              <w:left w:val="single" w:sz="4" w:space="0" w:color="auto"/>
              <w:bottom w:val="single" w:sz="4" w:space="0" w:color="auto"/>
            </w:tcBorders>
            <w:shd w:val="clear" w:color="auto" w:fill="auto"/>
            <w:noWrap/>
            <w:vAlign w:val="bottom"/>
          </w:tcPr>
          <w:p w14:paraId="74DD818E" w14:textId="29994287" w:rsidR="007C59C1" w:rsidRPr="000A00CF" w:rsidRDefault="007C59C1" w:rsidP="00822248">
            <w:pPr>
              <w:keepNext/>
              <w:spacing w:before="0" w:after="0"/>
              <w:rPr>
                <w:rFonts w:ascii="Arial Narrow" w:hAnsi="Arial Narrow" w:cs="Calibri"/>
                <w:color w:val="000000"/>
              </w:rPr>
            </w:pPr>
            <w:r w:rsidRPr="007C59C1">
              <w:rPr>
                <w:rFonts w:ascii="Arial Narrow" w:hAnsi="Arial Narrow"/>
                <w:b/>
                <w:bCs/>
              </w:rPr>
              <w:t>O'Neil 2018</w:t>
            </w:r>
          </w:p>
        </w:tc>
        <w:tc>
          <w:tcPr>
            <w:tcW w:w="3022" w:type="dxa"/>
            <w:tcBorders>
              <w:top w:val="nil"/>
              <w:left w:val="nil"/>
              <w:bottom w:val="single" w:sz="4" w:space="0" w:color="auto"/>
            </w:tcBorders>
            <w:shd w:val="clear" w:color="auto" w:fill="auto"/>
            <w:noWrap/>
            <w:vAlign w:val="center"/>
          </w:tcPr>
          <w:p w14:paraId="70C0144D" w14:textId="77777777" w:rsidR="007C59C1" w:rsidRPr="007C59C1" w:rsidRDefault="007C59C1" w:rsidP="00822248">
            <w:pPr>
              <w:keepNext/>
              <w:spacing w:before="0" w:after="0"/>
              <w:jc w:val="center"/>
              <w:rPr>
                <w:rFonts w:ascii="Arial Narrow" w:hAnsi="Arial Narrow" w:cs="Calibri"/>
                <w:color w:val="000000"/>
              </w:rPr>
            </w:pPr>
          </w:p>
        </w:tc>
        <w:tc>
          <w:tcPr>
            <w:tcW w:w="3023" w:type="dxa"/>
            <w:tcBorders>
              <w:top w:val="nil"/>
              <w:left w:val="nil"/>
              <w:bottom w:val="single" w:sz="4" w:space="0" w:color="auto"/>
              <w:right w:val="single" w:sz="4" w:space="0" w:color="auto"/>
            </w:tcBorders>
            <w:shd w:val="clear" w:color="auto" w:fill="auto"/>
            <w:noWrap/>
            <w:vAlign w:val="center"/>
          </w:tcPr>
          <w:p w14:paraId="13D7C796" w14:textId="77777777" w:rsidR="007C59C1" w:rsidRPr="007C59C1" w:rsidRDefault="007C59C1" w:rsidP="00822248">
            <w:pPr>
              <w:keepNext/>
              <w:spacing w:before="0" w:after="0"/>
              <w:jc w:val="center"/>
              <w:rPr>
                <w:rFonts w:ascii="Arial Narrow" w:hAnsi="Arial Narrow" w:cs="Calibri"/>
                <w:color w:val="000000"/>
              </w:rPr>
            </w:pPr>
          </w:p>
        </w:tc>
      </w:tr>
      <w:tr w:rsidR="007C59C1" w:rsidRPr="000A00CF" w14:paraId="6CE60118" w14:textId="77777777" w:rsidTr="007C59C1">
        <w:trPr>
          <w:trHeight w:val="290"/>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4C66F82D" w14:textId="330CBB5E" w:rsidR="007C59C1" w:rsidRPr="000A00CF" w:rsidRDefault="0014777B" w:rsidP="00822248">
            <w:pPr>
              <w:keepNext/>
              <w:spacing w:before="0" w:after="0"/>
              <w:rPr>
                <w:rFonts w:ascii="Arial Narrow" w:hAnsi="Arial Narrow" w:cs="Calibri"/>
                <w:color w:val="000000"/>
              </w:rPr>
            </w:pPr>
            <w:r>
              <w:rPr>
                <w:rFonts w:ascii="Arial Narrow" w:hAnsi="Arial Narrow" w:cs="Calibri"/>
                <w:color w:val="000000"/>
              </w:rPr>
              <w:t>Diagnostic yield</w:t>
            </w:r>
            <w:r w:rsidR="007C59C1" w:rsidRPr="000A00CF">
              <w:rPr>
                <w:rFonts w:ascii="Arial Narrow" w:hAnsi="Arial Narrow" w:cs="Calibri"/>
                <w:color w:val="000000"/>
              </w:rPr>
              <w:t>, %</w:t>
            </w:r>
          </w:p>
        </w:tc>
        <w:tc>
          <w:tcPr>
            <w:tcW w:w="3022" w:type="dxa"/>
            <w:tcBorders>
              <w:top w:val="nil"/>
              <w:left w:val="nil"/>
              <w:bottom w:val="single" w:sz="4" w:space="0" w:color="auto"/>
              <w:right w:val="single" w:sz="4" w:space="0" w:color="auto"/>
            </w:tcBorders>
            <w:shd w:val="clear" w:color="auto" w:fill="auto"/>
            <w:noWrap/>
            <w:vAlign w:val="center"/>
            <w:hideMark/>
          </w:tcPr>
          <w:p w14:paraId="254BB3EF" w14:textId="77777777" w:rsidR="007C59C1" w:rsidRPr="007C59C1" w:rsidRDefault="007C59C1" w:rsidP="00822248">
            <w:pPr>
              <w:keepNext/>
              <w:spacing w:before="0" w:after="0"/>
              <w:jc w:val="center"/>
              <w:rPr>
                <w:rFonts w:ascii="Arial Narrow" w:hAnsi="Arial Narrow" w:cs="Calibri"/>
                <w:color w:val="000000"/>
              </w:rPr>
            </w:pPr>
            <w:r w:rsidRPr="007C59C1">
              <w:rPr>
                <w:rFonts w:ascii="Arial Narrow" w:hAnsi="Arial Narrow" w:cs="Calibri"/>
                <w:color w:val="000000"/>
              </w:rPr>
              <w:t>0.00%</w:t>
            </w:r>
          </w:p>
        </w:tc>
        <w:tc>
          <w:tcPr>
            <w:tcW w:w="3023" w:type="dxa"/>
            <w:tcBorders>
              <w:top w:val="nil"/>
              <w:left w:val="nil"/>
              <w:bottom w:val="single" w:sz="4" w:space="0" w:color="auto"/>
              <w:right w:val="single" w:sz="4" w:space="0" w:color="auto"/>
            </w:tcBorders>
            <w:shd w:val="clear" w:color="auto" w:fill="auto"/>
            <w:noWrap/>
            <w:vAlign w:val="center"/>
            <w:hideMark/>
          </w:tcPr>
          <w:p w14:paraId="6442ACA4" w14:textId="77777777" w:rsidR="007C59C1" w:rsidRPr="007C59C1" w:rsidRDefault="007C59C1" w:rsidP="00822248">
            <w:pPr>
              <w:keepNext/>
              <w:spacing w:before="0" w:after="0"/>
              <w:jc w:val="center"/>
              <w:rPr>
                <w:rFonts w:ascii="Arial Narrow" w:hAnsi="Arial Narrow" w:cs="Calibri"/>
                <w:color w:val="000000"/>
              </w:rPr>
            </w:pPr>
            <w:r w:rsidRPr="007C59C1">
              <w:rPr>
                <w:rFonts w:ascii="Arial Narrow" w:hAnsi="Arial Narrow" w:cs="Calibri"/>
                <w:color w:val="000000"/>
              </w:rPr>
              <w:t>0.00%</w:t>
            </w:r>
          </w:p>
        </w:tc>
      </w:tr>
      <w:tr w:rsidR="007C59C1" w:rsidRPr="000A00CF" w14:paraId="7EE89895" w14:textId="77777777" w:rsidTr="007C59C1">
        <w:trPr>
          <w:trHeight w:val="290"/>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4EC4D6AD" w14:textId="77777777" w:rsidR="007C59C1" w:rsidRPr="000A00CF" w:rsidRDefault="007C59C1" w:rsidP="00822248">
            <w:pPr>
              <w:keepNext/>
              <w:spacing w:before="0" w:after="0"/>
              <w:rPr>
                <w:rFonts w:ascii="Arial Narrow" w:hAnsi="Arial Narrow" w:cs="Calibri"/>
                <w:color w:val="000000"/>
              </w:rPr>
            </w:pPr>
            <w:r w:rsidRPr="000A00CF">
              <w:rPr>
                <w:rFonts w:ascii="Arial Narrow" w:hAnsi="Arial Narrow" w:cs="Calibri"/>
                <w:color w:val="000000"/>
              </w:rPr>
              <w:t>Sensitivity</w:t>
            </w:r>
          </w:p>
        </w:tc>
        <w:tc>
          <w:tcPr>
            <w:tcW w:w="3022" w:type="dxa"/>
            <w:tcBorders>
              <w:top w:val="nil"/>
              <w:left w:val="nil"/>
              <w:bottom w:val="single" w:sz="4" w:space="0" w:color="auto"/>
              <w:right w:val="single" w:sz="4" w:space="0" w:color="auto"/>
            </w:tcBorders>
            <w:shd w:val="clear" w:color="auto" w:fill="auto"/>
            <w:noWrap/>
            <w:vAlign w:val="center"/>
            <w:hideMark/>
          </w:tcPr>
          <w:p w14:paraId="706C867B" w14:textId="77777777" w:rsidR="007C59C1" w:rsidRPr="007C59C1" w:rsidRDefault="007C59C1" w:rsidP="00822248">
            <w:pPr>
              <w:keepNext/>
              <w:spacing w:before="0" w:after="0"/>
              <w:jc w:val="center"/>
              <w:rPr>
                <w:rFonts w:ascii="Arial Narrow" w:hAnsi="Arial Narrow" w:cs="Calibri"/>
                <w:color w:val="000000"/>
              </w:rPr>
            </w:pPr>
            <w:r w:rsidRPr="007C59C1">
              <w:rPr>
                <w:rFonts w:ascii="Arial Narrow" w:hAnsi="Arial Narrow" w:cs="Calibri"/>
                <w:color w:val="000000"/>
              </w:rPr>
              <w:t>NA</w:t>
            </w:r>
          </w:p>
        </w:tc>
        <w:tc>
          <w:tcPr>
            <w:tcW w:w="3023" w:type="dxa"/>
            <w:tcBorders>
              <w:top w:val="nil"/>
              <w:left w:val="nil"/>
              <w:bottom w:val="single" w:sz="4" w:space="0" w:color="auto"/>
              <w:right w:val="single" w:sz="4" w:space="0" w:color="auto"/>
            </w:tcBorders>
            <w:shd w:val="clear" w:color="auto" w:fill="auto"/>
            <w:noWrap/>
            <w:vAlign w:val="center"/>
            <w:hideMark/>
          </w:tcPr>
          <w:p w14:paraId="0E702282" w14:textId="77777777" w:rsidR="007C59C1" w:rsidRPr="007C59C1" w:rsidRDefault="007C59C1" w:rsidP="00822248">
            <w:pPr>
              <w:keepNext/>
              <w:spacing w:before="0" w:after="0"/>
              <w:jc w:val="center"/>
              <w:rPr>
                <w:rFonts w:ascii="Arial Narrow" w:hAnsi="Arial Narrow" w:cs="Calibri"/>
                <w:color w:val="000000"/>
              </w:rPr>
            </w:pPr>
            <w:r w:rsidRPr="007C59C1">
              <w:rPr>
                <w:rFonts w:ascii="Arial Narrow" w:hAnsi="Arial Narrow" w:cs="Calibri"/>
                <w:color w:val="000000"/>
              </w:rPr>
              <w:t>NA</w:t>
            </w:r>
          </w:p>
        </w:tc>
      </w:tr>
      <w:tr w:rsidR="007C59C1" w:rsidRPr="000A00CF" w14:paraId="756B83CE" w14:textId="77777777" w:rsidTr="007C59C1">
        <w:trPr>
          <w:trHeight w:val="290"/>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3C3297A5" w14:textId="77777777" w:rsidR="007C59C1" w:rsidRPr="000A00CF" w:rsidRDefault="007C59C1" w:rsidP="00822248">
            <w:pPr>
              <w:keepNext/>
              <w:spacing w:before="0" w:after="0"/>
              <w:rPr>
                <w:rFonts w:ascii="Arial Narrow" w:hAnsi="Arial Narrow" w:cs="Calibri"/>
                <w:color w:val="000000"/>
              </w:rPr>
            </w:pPr>
            <w:r w:rsidRPr="000A00CF">
              <w:rPr>
                <w:rFonts w:ascii="Arial Narrow" w:hAnsi="Arial Narrow" w:cs="Calibri"/>
                <w:color w:val="000000"/>
              </w:rPr>
              <w:t>Specificity</w:t>
            </w:r>
          </w:p>
        </w:tc>
        <w:tc>
          <w:tcPr>
            <w:tcW w:w="3022" w:type="dxa"/>
            <w:tcBorders>
              <w:top w:val="nil"/>
              <w:left w:val="nil"/>
              <w:bottom w:val="single" w:sz="4" w:space="0" w:color="auto"/>
              <w:right w:val="single" w:sz="4" w:space="0" w:color="auto"/>
            </w:tcBorders>
            <w:shd w:val="clear" w:color="auto" w:fill="auto"/>
            <w:noWrap/>
            <w:vAlign w:val="center"/>
            <w:hideMark/>
          </w:tcPr>
          <w:p w14:paraId="7BF0772B" w14:textId="77777777" w:rsidR="007C59C1" w:rsidRPr="007C59C1" w:rsidRDefault="007C59C1" w:rsidP="00822248">
            <w:pPr>
              <w:keepNext/>
              <w:spacing w:before="0" w:after="0"/>
              <w:jc w:val="center"/>
              <w:rPr>
                <w:rFonts w:ascii="Arial Narrow" w:hAnsi="Arial Narrow" w:cs="Calibri"/>
                <w:color w:val="000000"/>
              </w:rPr>
            </w:pPr>
            <w:r w:rsidRPr="007C59C1">
              <w:rPr>
                <w:rFonts w:ascii="Arial Narrow" w:hAnsi="Arial Narrow" w:cs="Calibri"/>
                <w:color w:val="000000"/>
              </w:rPr>
              <w:t>0.70</w:t>
            </w:r>
          </w:p>
        </w:tc>
        <w:tc>
          <w:tcPr>
            <w:tcW w:w="3023" w:type="dxa"/>
            <w:tcBorders>
              <w:top w:val="nil"/>
              <w:left w:val="nil"/>
              <w:bottom w:val="single" w:sz="4" w:space="0" w:color="auto"/>
              <w:right w:val="single" w:sz="4" w:space="0" w:color="auto"/>
            </w:tcBorders>
            <w:shd w:val="clear" w:color="auto" w:fill="auto"/>
            <w:noWrap/>
            <w:vAlign w:val="center"/>
            <w:hideMark/>
          </w:tcPr>
          <w:p w14:paraId="5318B1D8" w14:textId="77777777" w:rsidR="007C59C1" w:rsidRPr="007C59C1" w:rsidRDefault="007C59C1" w:rsidP="00822248">
            <w:pPr>
              <w:keepNext/>
              <w:spacing w:before="0" w:after="0"/>
              <w:jc w:val="center"/>
              <w:rPr>
                <w:rFonts w:ascii="Arial Narrow" w:hAnsi="Arial Narrow" w:cs="Calibri"/>
                <w:color w:val="000000"/>
              </w:rPr>
            </w:pPr>
            <w:r w:rsidRPr="007C59C1">
              <w:rPr>
                <w:rFonts w:ascii="Arial Narrow" w:hAnsi="Arial Narrow" w:cs="Calibri"/>
                <w:color w:val="000000"/>
              </w:rPr>
              <w:t>0.87</w:t>
            </w:r>
          </w:p>
        </w:tc>
      </w:tr>
      <w:tr w:rsidR="007C59C1" w:rsidRPr="000A00CF" w14:paraId="511AED98" w14:textId="77777777" w:rsidTr="007C59C1">
        <w:trPr>
          <w:trHeight w:val="290"/>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38AC7BF5" w14:textId="77777777" w:rsidR="007C59C1" w:rsidRPr="000A00CF" w:rsidRDefault="007C59C1" w:rsidP="00822248">
            <w:pPr>
              <w:keepNext/>
              <w:spacing w:before="0" w:after="0"/>
              <w:rPr>
                <w:rFonts w:ascii="Arial Narrow" w:hAnsi="Arial Narrow" w:cs="Calibri"/>
                <w:color w:val="000000"/>
              </w:rPr>
            </w:pPr>
            <w:r w:rsidRPr="000A00CF">
              <w:rPr>
                <w:rFonts w:ascii="Arial Narrow" w:hAnsi="Arial Narrow" w:cs="Calibri"/>
                <w:color w:val="000000"/>
              </w:rPr>
              <w:t>PPV</w:t>
            </w:r>
          </w:p>
        </w:tc>
        <w:tc>
          <w:tcPr>
            <w:tcW w:w="3022" w:type="dxa"/>
            <w:tcBorders>
              <w:top w:val="nil"/>
              <w:left w:val="nil"/>
              <w:bottom w:val="single" w:sz="4" w:space="0" w:color="auto"/>
              <w:right w:val="single" w:sz="4" w:space="0" w:color="auto"/>
            </w:tcBorders>
            <w:shd w:val="clear" w:color="auto" w:fill="auto"/>
            <w:noWrap/>
            <w:vAlign w:val="center"/>
            <w:hideMark/>
          </w:tcPr>
          <w:p w14:paraId="4C1C453D" w14:textId="77777777" w:rsidR="007C59C1" w:rsidRPr="007C59C1" w:rsidRDefault="007C59C1" w:rsidP="00822248">
            <w:pPr>
              <w:keepNext/>
              <w:spacing w:before="0" w:after="0"/>
              <w:jc w:val="center"/>
              <w:rPr>
                <w:rFonts w:ascii="Arial Narrow" w:hAnsi="Arial Narrow" w:cs="Calibri"/>
                <w:color w:val="000000"/>
              </w:rPr>
            </w:pPr>
            <w:r w:rsidRPr="007C59C1">
              <w:rPr>
                <w:rFonts w:ascii="Arial Narrow" w:hAnsi="Arial Narrow" w:cs="Calibri"/>
                <w:color w:val="000000"/>
              </w:rPr>
              <w:t>NA</w:t>
            </w:r>
          </w:p>
        </w:tc>
        <w:tc>
          <w:tcPr>
            <w:tcW w:w="3023" w:type="dxa"/>
            <w:tcBorders>
              <w:top w:val="nil"/>
              <w:left w:val="nil"/>
              <w:bottom w:val="single" w:sz="4" w:space="0" w:color="auto"/>
              <w:right w:val="single" w:sz="4" w:space="0" w:color="auto"/>
            </w:tcBorders>
            <w:shd w:val="clear" w:color="auto" w:fill="auto"/>
            <w:noWrap/>
            <w:vAlign w:val="center"/>
            <w:hideMark/>
          </w:tcPr>
          <w:p w14:paraId="739909D4" w14:textId="77777777" w:rsidR="007C59C1" w:rsidRPr="007C59C1" w:rsidRDefault="007C59C1" w:rsidP="00822248">
            <w:pPr>
              <w:keepNext/>
              <w:spacing w:before="0" w:after="0"/>
              <w:jc w:val="center"/>
              <w:rPr>
                <w:rFonts w:ascii="Arial Narrow" w:hAnsi="Arial Narrow" w:cs="Calibri"/>
                <w:color w:val="000000"/>
              </w:rPr>
            </w:pPr>
            <w:r w:rsidRPr="007C59C1">
              <w:rPr>
                <w:rFonts w:ascii="Arial Narrow" w:hAnsi="Arial Narrow" w:cs="Calibri"/>
                <w:color w:val="000000"/>
              </w:rPr>
              <w:t>NA</w:t>
            </w:r>
          </w:p>
        </w:tc>
      </w:tr>
      <w:tr w:rsidR="007C59C1" w:rsidRPr="000A00CF" w14:paraId="7ACF1FA9" w14:textId="77777777" w:rsidTr="007C59C1">
        <w:trPr>
          <w:trHeight w:val="290"/>
        </w:trPr>
        <w:tc>
          <w:tcPr>
            <w:tcW w:w="3022" w:type="dxa"/>
            <w:tcBorders>
              <w:top w:val="nil"/>
              <w:left w:val="single" w:sz="4" w:space="0" w:color="auto"/>
              <w:bottom w:val="single" w:sz="4" w:space="0" w:color="auto"/>
              <w:right w:val="single" w:sz="4" w:space="0" w:color="auto"/>
            </w:tcBorders>
            <w:shd w:val="clear" w:color="auto" w:fill="auto"/>
            <w:noWrap/>
            <w:vAlign w:val="bottom"/>
            <w:hideMark/>
          </w:tcPr>
          <w:p w14:paraId="1119C97F" w14:textId="77777777" w:rsidR="007C59C1" w:rsidRPr="000A00CF" w:rsidRDefault="007C59C1" w:rsidP="00822248">
            <w:pPr>
              <w:keepNext/>
              <w:spacing w:before="0" w:after="0"/>
              <w:rPr>
                <w:rFonts w:ascii="Arial Narrow" w:hAnsi="Arial Narrow" w:cs="Calibri"/>
                <w:color w:val="000000"/>
              </w:rPr>
            </w:pPr>
            <w:r w:rsidRPr="000A00CF">
              <w:rPr>
                <w:rFonts w:ascii="Arial Narrow" w:hAnsi="Arial Narrow" w:cs="Calibri"/>
                <w:color w:val="000000"/>
              </w:rPr>
              <w:t>NPV</w:t>
            </w:r>
          </w:p>
        </w:tc>
        <w:tc>
          <w:tcPr>
            <w:tcW w:w="3022" w:type="dxa"/>
            <w:tcBorders>
              <w:top w:val="nil"/>
              <w:left w:val="nil"/>
              <w:bottom w:val="single" w:sz="4" w:space="0" w:color="auto"/>
              <w:right w:val="single" w:sz="4" w:space="0" w:color="auto"/>
            </w:tcBorders>
            <w:shd w:val="clear" w:color="auto" w:fill="auto"/>
            <w:noWrap/>
            <w:vAlign w:val="center"/>
            <w:hideMark/>
          </w:tcPr>
          <w:p w14:paraId="2553C87B" w14:textId="77777777" w:rsidR="007C59C1" w:rsidRPr="007C59C1" w:rsidRDefault="007C59C1" w:rsidP="00822248">
            <w:pPr>
              <w:keepNext/>
              <w:spacing w:before="0" w:after="0"/>
              <w:jc w:val="center"/>
              <w:rPr>
                <w:rFonts w:ascii="Arial Narrow" w:hAnsi="Arial Narrow" w:cs="Calibri"/>
                <w:color w:val="000000"/>
              </w:rPr>
            </w:pPr>
            <w:r w:rsidRPr="007C59C1">
              <w:rPr>
                <w:rFonts w:ascii="Arial Narrow" w:hAnsi="Arial Narrow" w:cs="Calibri"/>
                <w:color w:val="000000"/>
              </w:rPr>
              <w:t>1.00</w:t>
            </w:r>
          </w:p>
        </w:tc>
        <w:tc>
          <w:tcPr>
            <w:tcW w:w="3023" w:type="dxa"/>
            <w:tcBorders>
              <w:top w:val="nil"/>
              <w:left w:val="nil"/>
              <w:bottom w:val="single" w:sz="4" w:space="0" w:color="auto"/>
              <w:right w:val="single" w:sz="4" w:space="0" w:color="auto"/>
            </w:tcBorders>
            <w:shd w:val="clear" w:color="auto" w:fill="auto"/>
            <w:noWrap/>
            <w:vAlign w:val="center"/>
            <w:hideMark/>
          </w:tcPr>
          <w:p w14:paraId="1A3EEB21" w14:textId="77777777" w:rsidR="007C59C1" w:rsidRPr="007C59C1" w:rsidRDefault="007C59C1" w:rsidP="00822248">
            <w:pPr>
              <w:keepNext/>
              <w:spacing w:before="0" w:after="0"/>
              <w:jc w:val="center"/>
              <w:rPr>
                <w:rFonts w:ascii="Arial Narrow" w:hAnsi="Arial Narrow" w:cs="Calibri"/>
                <w:color w:val="000000"/>
              </w:rPr>
            </w:pPr>
            <w:r w:rsidRPr="007C59C1">
              <w:rPr>
                <w:rFonts w:ascii="Arial Narrow" w:hAnsi="Arial Narrow" w:cs="Calibri"/>
                <w:color w:val="000000"/>
              </w:rPr>
              <w:t>1.00</w:t>
            </w:r>
          </w:p>
        </w:tc>
      </w:tr>
    </w:tbl>
    <w:p w14:paraId="6332E794" w14:textId="77777777" w:rsidR="0014777B" w:rsidRPr="00431E96" w:rsidRDefault="0014777B" w:rsidP="00705109">
      <w:pPr>
        <w:spacing w:before="0" w:after="240"/>
        <w:rPr>
          <w:rFonts w:ascii="Arial Narrow" w:hAnsi="Arial Narrow"/>
          <w:sz w:val="18"/>
          <w:szCs w:val="18"/>
        </w:rPr>
      </w:pPr>
      <w:r w:rsidRPr="00431E96">
        <w:rPr>
          <w:rFonts w:ascii="Arial Narrow" w:hAnsi="Arial Narrow"/>
          <w:sz w:val="18"/>
          <w:szCs w:val="18"/>
        </w:rPr>
        <w:t>NPV=negative predictive value; PPV=positive predictive value</w:t>
      </w:r>
    </w:p>
    <w:p w14:paraId="73A09F1A" w14:textId="561A2FC6" w:rsidR="00F71FA9" w:rsidRDefault="00F71FA9" w:rsidP="00F71FA9">
      <w:r>
        <w:t xml:space="preserve">Test sensitivity was high in </w:t>
      </w:r>
      <w:r w:rsidRPr="00701C32">
        <w:rPr>
          <w:i/>
          <w:iCs/>
        </w:rPr>
        <w:t>TP53</w:t>
      </w:r>
      <w:r>
        <w:t xml:space="preserve"> variant adults as demonstrated in SMOC+ and </w:t>
      </w:r>
      <w:proofErr w:type="spellStart"/>
      <w:r>
        <w:t>Paixao</w:t>
      </w:r>
      <w:proofErr w:type="spellEnd"/>
      <w:r>
        <w:t xml:space="preserve"> </w:t>
      </w:r>
      <w:r w:rsidR="00C919D5">
        <w:t>(</w:t>
      </w:r>
      <w:r>
        <w:t>2018</w:t>
      </w:r>
      <w:r w:rsidR="00C919D5">
        <w:t>)</w:t>
      </w:r>
      <w:r>
        <w:t xml:space="preserve">, indicating WBMRI to be reliable in detecting true cases of new primary cancers in this population. Although sensitivity values trended similarly, the confidence in test sensitivity is unclear. The rate of false negative cases was low in these studies, which might be attributable to an insufficient median follow-up window to detect any interval cancers with the median follow-up periods for SMOC+ and </w:t>
      </w:r>
      <w:proofErr w:type="spellStart"/>
      <w:r>
        <w:t>Paixao</w:t>
      </w:r>
      <w:proofErr w:type="spellEnd"/>
      <w:r>
        <w:t xml:space="preserve"> (2018) being unclear.</w:t>
      </w:r>
    </w:p>
    <w:p w14:paraId="74049876" w14:textId="422F0C86" w:rsidR="00F71FA9" w:rsidRDefault="00F71FA9" w:rsidP="00F71FA9">
      <w:r>
        <w:t xml:space="preserve">The specificity of WBMRI varied across these studies, with SMOC+ demonstrating the lowest specificity (0.47) and </w:t>
      </w:r>
      <w:proofErr w:type="spellStart"/>
      <w:r>
        <w:t>Paixao</w:t>
      </w:r>
      <w:proofErr w:type="spellEnd"/>
      <w:r>
        <w:t xml:space="preserve"> (2018) and O’Neil (2018) having a specificity of 0.93 and 0.87, respectively. This is consistent with the nature of WBMRI being a broad surveillance modality, therefore, while there may be a greater number of clinically significant lesions detected, many may eventuate as benign or normal findings.</w:t>
      </w:r>
    </w:p>
    <w:p w14:paraId="603416D4" w14:textId="0023EB62" w:rsidR="00F71FA9" w:rsidRDefault="00F71FA9" w:rsidP="00D20A8F">
      <w:r>
        <w:t xml:space="preserve">One meta-analysis (Ballinger 2017; included SMOC+, </w:t>
      </w:r>
      <w:proofErr w:type="spellStart"/>
      <w:r>
        <w:t>Paixao</w:t>
      </w:r>
      <w:proofErr w:type="spellEnd"/>
      <w:r>
        <w:t xml:space="preserve"> 2018, O’Neil 2018, SIGNIFY, and Mai 2017) and four cross-sectional studies (</w:t>
      </w:r>
      <w:r w:rsidRPr="00C329AF">
        <w:t>SIGNIFY,</w:t>
      </w:r>
      <w:r>
        <w:t xml:space="preserve"> LEAD, Mai 2017, </w:t>
      </w:r>
      <w:proofErr w:type="spellStart"/>
      <w:r>
        <w:t>LifeGuard</w:t>
      </w:r>
      <w:proofErr w:type="spellEnd"/>
      <w:r w:rsidR="0033675F">
        <w:rPr>
          <w:rStyle w:val="FootnoteReference"/>
        </w:rPr>
        <w:footnoteReference w:id="28"/>
      </w:r>
      <w:r>
        <w:t xml:space="preserve">) reported diagnostic accuracy on baseline WBMRI scans. Ballinger </w:t>
      </w:r>
      <w:r w:rsidR="00C919D5">
        <w:t>(</w:t>
      </w:r>
      <w:r>
        <w:t>2017</w:t>
      </w:r>
      <w:r w:rsidR="00C919D5">
        <w:t>)</w:t>
      </w:r>
      <w:r>
        <w:t xml:space="preserve"> reported a</w:t>
      </w:r>
      <w:r w:rsidR="00D5317B">
        <w:t xml:space="preserve"> diagnostic yield of</w:t>
      </w:r>
      <w:r>
        <w:t xml:space="preserve"> 7% (95% CI: 5-9%) based on the number of patients presenting one or more new primary cancers. No significant differences between gender or age </w:t>
      </w:r>
      <w:r w:rsidR="00846DB5">
        <w:t xml:space="preserve">on </w:t>
      </w:r>
      <w:r w:rsidR="00D5317B">
        <w:t>diagnostic yield</w:t>
      </w:r>
      <w:r w:rsidR="00846DB5">
        <w:t xml:space="preserve"> </w:t>
      </w:r>
      <w:r>
        <w:t xml:space="preserve">were found. The specificity (0.94) was high in this study, suggesting </w:t>
      </w:r>
      <w:r w:rsidR="00E25FD2">
        <w:t xml:space="preserve">that </w:t>
      </w:r>
      <w:r>
        <w:t xml:space="preserve">WBMRI </w:t>
      </w:r>
      <w:proofErr w:type="gramStart"/>
      <w:r w:rsidR="00E25FD2">
        <w:t>has the ability to</w:t>
      </w:r>
      <w:proofErr w:type="gramEnd"/>
      <w:r w:rsidR="00E25FD2">
        <w:t xml:space="preserve"> detect </w:t>
      </w:r>
      <w:r>
        <w:t>true negative findings</w:t>
      </w:r>
      <w:r w:rsidR="00067313">
        <w:t xml:space="preserve">. </w:t>
      </w:r>
      <w:proofErr w:type="gramStart"/>
      <w:r w:rsidR="00E25FD2">
        <w:t>H</w:t>
      </w:r>
      <w:r>
        <w:t>owever</w:t>
      </w:r>
      <w:proofErr w:type="gramEnd"/>
      <w:r>
        <w:t xml:space="preserve"> these findings are according to baseline scans. Interval findings were not reported in two other studies (Mai 2017 and </w:t>
      </w:r>
      <w:proofErr w:type="spellStart"/>
      <w:r>
        <w:t>LifeGuard</w:t>
      </w:r>
      <w:proofErr w:type="spellEnd"/>
      <w:r>
        <w:t xml:space="preserve">), therefore determining reliable sensitivity values was not possible. For studies that did report incidental findings (SIGNIFY and LEAD), the sensitivity values were 0.67 and 0.70, respectively. </w:t>
      </w:r>
      <w:r w:rsidRPr="00B660B0">
        <w:t xml:space="preserve">WBMRI </w:t>
      </w:r>
      <w:r w:rsidR="0014777B">
        <w:t>diagnostic yield</w:t>
      </w:r>
      <w:r w:rsidRPr="00B660B0">
        <w:t xml:space="preserve"> </w:t>
      </w:r>
      <w:r>
        <w:t xml:space="preserve">in other studies </w:t>
      </w:r>
      <w:r w:rsidRPr="00B660B0">
        <w:lastRenderedPageBreak/>
        <w:t xml:space="preserve">ranged </w:t>
      </w:r>
      <w:r w:rsidRPr="000F7649">
        <w:t>between 3.57% and 13.21% and specificity in these studies ranged between 0.59 and 0.76</w:t>
      </w:r>
      <w:r>
        <w:t>.</w:t>
      </w:r>
    </w:p>
    <w:p w14:paraId="70EB4899" w14:textId="3F60F4F6" w:rsidR="00F71FA9" w:rsidRDefault="00F71FA9" w:rsidP="00822248">
      <w:pPr>
        <w:keepNext/>
        <w:rPr>
          <w:i/>
          <w:iCs/>
        </w:rPr>
      </w:pPr>
      <w:r>
        <w:rPr>
          <w:i/>
          <w:iCs/>
        </w:rPr>
        <w:t>Change in management</w:t>
      </w:r>
    </w:p>
    <w:p w14:paraId="05A25CB5" w14:textId="0187F986" w:rsidR="00F71FA9" w:rsidRDefault="00F71FA9" w:rsidP="00411DE4">
      <w:r>
        <w:t>The addition of WBMRI to a cancer surveillance programme is intended to (</w:t>
      </w:r>
      <w:proofErr w:type="spellStart"/>
      <w:r>
        <w:t>i</w:t>
      </w:r>
      <w:proofErr w:type="spellEnd"/>
      <w:r>
        <w:t xml:space="preserve">) identify cancers in areas of the body that are not currently </w:t>
      </w:r>
      <w:r w:rsidR="00557F31">
        <w:t xml:space="preserve">undergoing </w:t>
      </w:r>
      <w:r>
        <w:t>active</w:t>
      </w:r>
      <w:r w:rsidR="00557F31">
        <w:t xml:space="preserve"> surveillance</w:t>
      </w:r>
      <w:r>
        <w:t xml:space="preserve"> and/or (ii) identify cancers earlier (</w:t>
      </w:r>
      <w:proofErr w:type="gramStart"/>
      <w:r>
        <w:t>e.g.</w:t>
      </w:r>
      <w:proofErr w:type="gramEnd"/>
      <w:r>
        <w:t xml:space="preserve"> when asymptomatic). The increased detection of lesions may also result in additional testing to confirm the status of the tumour (</w:t>
      </w:r>
      <w:proofErr w:type="spellStart"/>
      <w:r>
        <w:t>i.e</w:t>
      </w:r>
      <w:proofErr w:type="spellEnd"/>
      <w:r>
        <w:t>, benign versus malignant).</w:t>
      </w:r>
    </w:p>
    <w:p w14:paraId="6AA88B33" w14:textId="6538C8C1" w:rsidR="00F71FA9" w:rsidRDefault="00F71FA9" w:rsidP="00D20A8F">
      <w:r>
        <w:t>Analysis of the types of cancers detected across all studies included for diagnostic accuracy indicated b</w:t>
      </w:r>
      <w:r w:rsidRPr="007C2D27">
        <w:t xml:space="preserve">rain, soft-tissue, and breast tumours were the </w:t>
      </w:r>
      <w:proofErr w:type="gramStart"/>
      <w:r w:rsidRPr="007C2D27">
        <w:t>most commonly identified</w:t>
      </w:r>
      <w:proofErr w:type="gramEnd"/>
      <w:r w:rsidRPr="007C2D27">
        <w:t xml:space="preserve"> cancers</w:t>
      </w:r>
      <w:r>
        <w:t>, followed by bone, lung, thyroid, and kidney cancers.</w:t>
      </w:r>
    </w:p>
    <w:p w14:paraId="6D693BC1" w14:textId="4E2BA985" w:rsidR="00F71FA9" w:rsidRDefault="00F71FA9" w:rsidP="00F71FA9">
      <w:r>
        <w:t xml:space="preserve">Further analyses of the cancers detected in LIFSCREEN were provided by the applicant. This analysis made judgments regarding whether there was clinical utility in early detection, and whether the tumour would have been detected by WBMRI, other modalities used in standard cancer surveillance in Australia and by ultrasound (a modality used in LIFSCREEN, but not in Australia). </w:t>
      </w:r>
      <w:r>
        <w:fldChar w:fldCharType="begin"/>
      </w:r>
      <w:r>
        <w:instrText xml:space="preserve"> REF _Ref99949941 \h </w:instrText>
      </w:r>
      <w:r>
        <w:fldChar w:fldCharType="separate"/>
      </w:r>
      <w:r w:rsidR="00822248">
        <w:t xml:space="preserve">Table </w:t>
      </w:r>
      <w:r w:rsidR="00822248">
        <w:rPr>
          <w:noProof/>
        </w:rPr>
        <w:t>8</w:t>
      </w:r>
      <w:r>
        <w:fldChar w:fldCharType="end"/>
      </w:r>
      <w:r>
        <w:t xml:space="preserve"> presents this analysis for new primary cancers detected in LIFSCREEN; grey shaded cells represent tumours that would have been identified by WBMRI but not by any other standard Australian surveillance modality and black shading indicates tumours that were not treated with curative intent, implying late</w:t>
      </w:r>
      <w:r w:rsidR="00411DE4">
        <w:t>-</w:t>
      </w:r>
      <w:r>
        <w:t>stage disease.</w:t>
      </w:r>
    </w:p>
    <w:p w14:paraId="792650E6" w14:textId="67BEF7D9" w:rsidR="00F71FA9" w:rsidRDefault="00F71FA9" w:rsidP="00705109">
      <w:pPr>
        <w:pStyle w:val="Caption"/>
        <w:spacing w:before="240"/>
        <w:ind w:left="709" w:hanging="709"/>
      </w:pPr>
      <w:bookmarkStart w:id="24" w:name="_Ref99949941"/>
      <w:r>
        <w:lastRenderedPageBreak/>
        <w:t xml:space="preserve">Table </w:t>
      </w:r>
      <w:r w:rsidR="0067109A">
        <w:fldChar w:fldCharType="begin"/>
      </w:r>
      <w:r w:rsidR="0067109A">
        <w:instrText xml:space="preserve"> SEQ Table \* ARABIC </w:instrText>
      </w:r>
      <w:r w:rsidR="0067109A">
        <w:fldChar w:fldCharType="separate"/>
      </w:r>
      <w:r w:rsidR="00822248">
        <w:rPr>
          <w:noProof/>
        </w:rPr>
        <w:t>8</w:t>
      </w:r>
      <w:r w:rsidR="0067109A">
        <w:rPr>
          <w:noProof/>
        </w:rPr>
        <w:fldChar w:fldCharType="end"/>
      </w:r>
      <w:bookmarkEnd w:id="24"/>
      <w:r>
        <w:tab/>
        <w:t>New primary cancers detected in LIFSCREEN – detected by WBMRI, detected by current Australian surveillance</w:t>
      </w:r>
    </w:p>
    <w:tbl>
      <w:tblPr>
        <w:tblStyle w:val="TableGrid"/>
        <w:tblW w:w="9067" w:type="dxa"/>
        <w:tblCellMar>
          <w:left w:w="28" w:type="dxa"/>
          <w:right w:w="28" w:type="dxa"/>
        </w:tblCellMar>
        <w:tblLook w:val="04A0" w:firstRow="1" w:lastRow="0" w:firstColumn="1" w:lastColumn="0" w:noHBand="0" w:noVBand="1"/>
      </w:tblPr>
      <w:tblGrid>
        <w:gridCol w:w="2405"/>
        <w:gridCol w:w="1332"/>
        <w:gridCol w:w="1332"/>
        <w:gridCol w:w="1333"/>
        <w:gridCol w:w="1332"/>
        <w:gridCol w:w="1333"/>
      </w:tblGrid>
      <w:tr w:rsidR="00F71FA9" w:rsidRPr="00C523BD" w14:paraId="36F05268" w14:textId="77777777" w:rsidTr="00ED6272">
        <w:tc>
          <w:tcPr>
            <w:tcW w:w="2405" w:type="dxa"/>
            <w:vAlign w:val="center"/>
          </w:tcPr>
          <w:p w14:paraId="4DFA7613" w14:textId="77777777" w:rsidR="00F71FA9" w:rsidRPr="00C523BD" w:rsidRDefault="00F71FA9" w:rsidP="00124440">
            <w:pPr>
              <w:keepNext/>
              <w:spacing w:before="20" w:after="20"/>
              <w:rPr>
                <w:rFonts w:ascii="Arial Narrow" w:hAnsi="Arial Narrow"/>
                <w:b/>
                <w:bCs/>
                <w:sz w:val="20"/>
                <w:szCs w:val="20"/>
              </w:rPr>
            </w:pPr>
            <w:r w:rsidRPr="00C523BD">
              <w:rPr>
                <w:rFonts w:ascii="Arial Narrow" w:hAnsi="Arial Narrow"/>
                <w:b/>
                <w:bCs/>
                <w:sz w:val="20"/>
                <w:szCs w:val="20"/>
              </w:rPr>
              <w:t>Diagnosis</w:t>
            </w:r>
          </w:p>
        </w:tc>
        <w:tc>
          <w:tcPr>
            <w:tcW w:w="1332" w:type="dxa"/>
            <w:vAlign w:val="center"/>
          </w:tcPr>
          <w:p w14:paraId="1C908DBF" w14:textId="77777777" w:rsidR="00F71FA9" w:rsidRPr="00C523BD" w:rsidRDefault="00F71FA9" w:rsidP="00124440">
            <w:pPr>
              <w:keepNext/>
              <w:spacing w:before="20" w:after="20"/>
              <w:jc w:val="center"/>
              <w:rPr>
                <w:rFonts w:ascii="Arial Narrow" w:hAnsi="Arial Narrow"/>
                <w:b/>
                <w:bCs/>
                <w:sz w:val="20"/>
                <w:szCs w:val="20"/>
              </w:rPr>
            </w:pPr>
            <w:r w:rsidRPr="00C523BD">
              <w:rPr>
                <w:rFonts w:ascii="Arial Narrow" w:hAnsi="Arial Narrow"/>
                <w:b/>
                <w:bCs/>
                <w:sz w:val="20"/>
                <w:szCs w:val="20"/>
              </w:rPr>
              <w:t>Clinical value in early detection</w:t>
            </w:r>
          </w:p>
        </w:tc>
        <w:tc>
          <w:tcPr>
            <w:tcW w:w="1332" w:type="dxa"/>
            <w:vAlign w:val="center"/>
          </w:tcPr>
          <w:p w14:paraId="709A9FDE" w14:textId="77777777" w:rsidR="00F71FA9" w:rsidRPr="00C523BD" w:rsidRDefault="00F71FA9" w:rsidP="00124440">
            <w:pPr>
              <w:keepNext/>
              <w:spacing w:before="20" w:after="20"/>
              <w:jc w:val="center"/>
              <w:rPr>
                <w:rFonts w:ascii="Arial Narrow" w:hAnsi="Arial Narrow"/>
                <w:b/>
                <w:bCs/>
                <w:sz w:val="20"/>
                <w:szCs w:val="20"/>
              </w:rPr>
            </w:pPr>
            <w:r w:rsidRPr="00C523BD">
              <w:rPr>
                <w:rFonts w:ascii="Arial Narrow" w:hAnsi="Arial Narrow"/>
                <w:b/>
                <w:bCs/>
                <w:sz w:val="20"/>
                <w:szCs w:val="20"/>
              </w:rPr>
              <w:t>Detectable by WBMRI?</w:t>
            </w:r>
          </w:p>
        </w:tc>
        <w:tc>
          <w:tcPr>
            <w:tcW w:w="1333" w:type="dxa"/>
            <w:vAlign w:val="center"/>
          </w:tcPr>
          <w:p w14:paraId="76F3EC6D" w14:textId="77777777" w:rsidR="00F71FA9" w:rsidRPr="00C523BD" w:rsidRDefault="00F71FA9" w:rsidP="00124440">
            <w:pPr>
              <w:keepNext/>
              <w:spacing w:before="20" w:after="20"/>
              <w:jc w:val="center"/>
              <w:rPr>
                <w:rFonts w:ascii="Arial Narrow" w:hAnsi="Arial Narrow"/>
                <w:b/>
                <w:bCs/>
                <w:sz w:val="20"/>
                <w:szCs w:val="20"/>
              </w:rPr>
            </w:pPr>
            <w:r w:rsidRPr="00C523BD">
              <w:rPr>
                <w:rFonts w:ascii="Arial Narrow" w:hAnsi="Arial Narrow"/>
                <w:b/>
                <w:bCs/>
                <w:sz w:val="20"/>
                <w:szCs w:val="20"/>
              </w:rPr>
              <w:t>Detectable by SoC Australian setting?</w:t>
            </w:r>
          </w:p>
        </w:tc>
        <w:tc>
          <w:tcPr>
            <w:tcW w:w="1332" w:type="dxa"/>
            <w:vAlign w:val="center"/>
          </w:tcPr>
          <w:p w14:paraId="06C1F747" w14:textId="77777777" w:rsidR="00F71FA9" w:rsidRPr="00C523BD" w:rsidRDefault="00F71FA9" w:rsidP="00124440">
            <w:pPr>
              <w:keepNext/>
              <w:spacing w:before="20" w:after="20"/>
              <w:jc w:val="center"/>
              <w:rPr>
                <w:rFonts w:ascii="Arial Narrow" w:hAnsi="Arial Narrow"/>
                <w:b/>
                <w:bCs/>
                <w:sz w:val="20"/>
                <w:szCs w:val="20"/>
              </w:rPr>
            </w:pPr>
            <w:r w:rsidRPr="00C523BD">
              <w:rPr>
                <w:rFonts w:ascii="Arial Narrow" w:hAnsi="Arial Narrow"/>
                <w:b/>
                <w:bCs/>
                <w:sz w:val="20"/>
                <w:szCs w:val="20"/>
              </w:rPr>
              <w:t>Detectable by ultrasound?</w:t>
            </w:r>
          </w:p>
        </w:tc>
        <w:tc>
          <w:tcPr>
            <w:tcW w:w="1333" w:type="dxa"/>
            <w:vAlign w:val="center"/>
          </w:tcPr>
          <w:p w14:paraId="5A382500" w14:textId="77777777" w:rsidR="00F71FA9" w:rsidRPr="00C523BD" w:rsidRDefault="00F71FA9" w:rsidP="00124440">
            <w:pPr>
              <w:keepNext/>
              <w:spacing w:before="20" w:after="20"/>
              <w:jc w:val="center"/>
              <w:rPr>
                <w:rFonts w:ascii="Arial Narrow" w:hAnsi="Arial Narrow"/>
                <w:b/>
                <w:bCs/>
                <w:sz w:val="20"/>
                <w:szCs w:val="20"/>
              </w:rPr>
            </w:pPr>
            <w:r>
              <w:rPr>
                <w:rFonts w:ascii="Arial Narrow" w:hAnsi="Arial Narrow"/>
                <w:b/>
                <w:bCs/>
                <w:sz w:val="20"/>
                <w:szCs w:val="20"/>
              </w:rPr>
              <w:t>Treated with curative intent?</w:t>
            </w:r>
          </w:p>
        </w:tc>
      </w:tr>
      <w:tr w:rsidR="00F71FA9" w:rsidRPr="00C523BD" w14:paraId="7DBA337A" w14:textId="77777777" w:rsidTr="00ED6272">
        <w:tc>
          <w:tcPr>
            <w:tcW w:w="2405" w:type="dxa"/>
            <w:tcBorders>
              <w:right w:val="nil"/>
            </w:tcBorders>
            <w:vAlign w:val="center"/>
          </w:tcPr>
          <w:p w14:paraId="3C963EB7" w14:textId="77777777" w:rsidR="00F71FA9" w:rsidRPr="00C15DDB" w:rsidRDefault="00F71FA9" w:rsidP="00124440">
            <w:pPr>
              <w:keepNext/>
              <w:spacing w:before="20" w:after="20"/>
              <w:rPr>
                <w:rFonts w:ascii="Arial Narrow" w:hAnsi="Arial Narrow"/>
                <w:b/>
                <w:bCs/>
                <w:sz w:val="20"/>
                <w:szCs w:val="20"/>
              </w:rPr>
            </w:pPr>
            <w:r w:rsidRPr="00C15DDB">
              <w:rPr>
                <w:rFonts w:ascii="Arial Narrow" w:hAnsi="Arial Narrow"/>
                <w:b/>
                <w:bCs/>
                <w:sz w:val="20"/>
                <w:szCs w:val="20"/>
              </w:rPr>
              <w:t>STD+WBMRI</w:t>
            </w:r>
          </w:p>
        </w:tc>
        <w:tc>
          <w:tcPr>
            <w:tcW w:w="1332" w:type="dxa"/>
            <w:tcBorders>
              <w:left w:val="nil"/>
              <w:right w:val="nil"/>
            </w:tcBorders>
            <w:vAlign w:val="center"/>
          </w:tcPr>
          <w:p w14:paraId="6AF0D1A3" w14:textId="77777777" w:rsidR="00F71FA9" w:rsidRPr="00C523BD" w:rsidRDefault="00F71FA9" w:rsidP="00124440">
            <w:pPr>
              <w:keepNext/>
              <w:spacing w:before="20" w:after="20"/>
              <w:jc w:val="center"/>
              <w:rPr>
                <w:rFonts w:ascii="Arial Narrow" w:hAnsi="Arial Narrow"/>
                <w:sz w:val="20"/>
                <w:szCs w:val="20"/>
              </w:rPr>
            </w:pPr>
          </w:p>
        </w:tc>
        <w:tc>
          <w:tcPr>
            <w:tcW w:w="1332" w:type="dxa"/>
            <w:tcBorders>
              <w:left w:val="nil"/>
              <w:right w:val="nil"/>
            </w:tcBorders>
            <w:vAlign w:val="center"/>
          </w:tcPr>
          <w:p w14:paraId="33A74E48" w14:textId="77777777" w:rsidR="00F71FA9" w:rsidRPr="00C523BD" w:rsidRDefault="00F71FA9" w:rsidP="00124440">
            <w:pPr>
              <w:keepNext/>
              <w:spacing w:before="20" w:after="20"/>
              <w:jc w:val="center"/>
              <w:rPr>
                <w:rFonts w:ascii="Arial Narrow" w:hAnsi="Arial Narrow"/>
                <w:sz w:val="20"/>
                <w:szCs w:val="20"/>
              </w:rPr>
            </w:pPr>
          </w:p>
        </w:tc>
        <w:tc>
          <w:tcPr>
            <w:tcW w:w="1333" w:type="dxa"/>
            <w:tcBorders>
              <w:left w:val="nil"/>
              <w:right w:val="nil"/>
            </w:tcBorders>
            <w:vAlign w:val="center"/>
          </w:tcPr>
          <w:p w14:paraId="3472E192" w14:textId="77777777" w:rsidR="00F71FA9" w:rsidRPr="00C523BD" w:rsidRDefault="00F71FA9" w:rsidP="00124440">
            <w:pPr>
              <w:keepNext/>
              <w:spacing w:before="20" w:after="20"/>
              <w:jc w:val="center"/>
              <w:rPr>
                <w:rFonts w:ascii="Arial Narrow" w:hAnsi="Arial Narrow"/>
                <w:sz w:val="20"/>
                <w:szCs w:val="20"/>
              </w:rPr>
            </w:pPr>
          </w:p>
        </w:tc>
        <w:tc>
          <w:tcPr>
            <w:tcW w:w="1332" w:type="dxa"/>
            <w:tcBorders>
              <w:left w:val="nil"/>
              <w:right w:val="nil"/>
            </w:tcBorders>
            <w:vAlign w:val="center"/>
          </w:tcPr>
          <w:p w14:paraId="36446778" w14:textId="77777777" w:rsidR="00F71FA9" w:rsidRPr="00C523BD" w:rsidRDefault="00F71FA9" w:rsidP="00124440">
            <w:pPr>
              <w:keepNext/>
              <w:spacing w:before="20" w:after="20"/>
              <w:jc w:val="center"/>
              <w:rPr>
                <w:rFonts w:ascii="Arial Narrow" w:hAnsi="Arial Narrow"/>
                <w:sz w:val="20"/>
                <w:szCs w:val="20"/>
              </w:rPr>
            </w:pPr>
          </w:p>
        </w:tc>
        <w:tc>
          <w:tcPr>
            <w:tcW w:w="1333" w:type="dxa"/>
            <w:tcBorders>
              <w:left w:val="nil"/>
            </w:tcBorders>
          </w:tcPr>
          <w:p w14:paraId="794240BB" w14:textId="77777777" w:rsidR="00F71FA9" w:rsidRPr="00C523BD" w:rsidRDefault="00F71FA9" w:rsidP="00124440">
            <w:pPr>
              <w:keepNext/>
              <w:spacing w:before="20" w:after="20"/>
              <w:jc w:val="center"/>
              <w:rPr>
                <w:rFonts w:ascii="Arial Narrow" w:hAnsi="Arial Narrow"/>
                <w:sz w:val="20"/>
                <w:szCs w:val="20"/>
              </w:rPr>
            </w:pPr>
          </w:p>
        </w:tc>
      </w:tr>
      <w:tr w:rsidR="00F71FA9" w:rsidRPr="00C523BD" w14:paraId="71DAF7CA" w14:textId="77777777" w:rsidTr="00ED6272">
        <w:tc>
          <w:tcPr>
            <w:tcW w:w="2405" w:type="dxa"/>
            <w:vAlign w:val="center"/>
          </w:tcPr>
          <w:p w14:paraId="6B55BEBD" w14:textId="77777777" w:rsidR="00F71FA9" w:rsidRPr="00C523BD" w:rsidRDefault="00F71FA9" w:rsidP="00124440">
            <w:pPr>
              <w:keepNext/>
              <w:spacing w:before="20" w:after="20"/>
              <w:rPr>
                <w:rFonts w:ascii="Arial Narrow" w:hAnsi="Arial Narrow"/>
                <w:sz w:val="20"/>
                <w:szCs w:val="20"/>
              </w:rPr>
            </w:pPr>
            <w:r>
              <w:rPr>
                <w:rFonts w:ascii="Arial Narrow" w:hAnsi="Arial Narrow"/>
                <w:sz w:val="20"/>
                <w:szCs w:val="20"/>
              </w:rPr>
              <w:t>Choriocarcinoma (metastatic)</w:t>
            </w:r>
          </w:p>
        </w:tc>
        <w:tc>
          <w:tcPr>
            <w:tcW w:w="1332" w:type="dxa"/>
            <w:vAlign w:val="center"/>
          </w:tcPr>
          <w:p w14:paraId="53833665" w14:textId="47A4708C"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2" w:type="dxa"/>
            <w:shd w:val="clear" w:color="auto" w:fill="D9D9D9" w:themeFill="background1" w:themeFillShade="D9"/>
            <w:vAlign w:val="center"/>
          </w:tcPr>
          <w:p w14:paraId="6BCAA385" w14:textId="463C7DFD"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3" w:type="dxa"/>
            <w:shd w:val="clear" w:color="auto" w:fill="D9D9D9" w:themeFill="background1" w:themeFillShade="D9"/>
            <w:vAlign w:val="center"/>
          </w:tcPr>
          <w:p w14:paraId="57F0158F" w14:textId="19BA325F"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2" w:type="dxa"/>
            <w:vAlign w:val="center"/>
          </w:tcPr>
          <w:p w14:paraId="3077ECB0" w14:textId="43C284C5"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Possibly</w:t>
            </w:r>
          </w:p>
        </w:tc>
        <w:tc>
          <w:tcPr>
            <w:tcW w:w="1333" w:type="dxa"/>
          </w:tcPr>
          <w:p w14:paraId="03BFD855" w14:textId="186C6072" w:rsidR="00F71FA9"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r>
      <w:tr w:rsidR="00F71FA9" w:rsidRPr="00C523BD" w14:paraId="6C574F66" w14:textId="77777777" w:rsidTr="00ED6272">
        <w:tc>
          <w:tcPr>
            <w:tcW w:w="2405" w:type="dxa"/>
            <w:vAlign w:val="center"/>
          </w:tcPr>
          <w:p w14:paraId="7860E216" w14:textId="77777777" w:rsidR="00F71FA9" w:rsidRPr="00C523BD" w:rsidRDefault="00F71FA9" w:rsidP="00124440">
            <w:pPr>
              <w:keepNext/>
              <w:spacing w:before="20" w:after="20"/>
              <w:rPr>
                <w:rFonts w:ascii="Arial Narrow" w:hAnsi="Arial Narrow"/>
                <w:sz w:val="20"/>
                <w:szCs w:val="20"/>
              </w:rPr>
            </w:pPr>
            <w:r>
              <w:rPr>
                <w:rFonts w:ascii="Arial Narrow" w:hAnsi="Arial Narrow"/>
                <w:sz w:val="20"/>
                <w:szCs w:val="20"/>
              </w:rPr>
              <w:t>Breast</w:t>
            </w:r>
          </w:p>
        </w:tc>
        <w:tc>
          <w:tcPr>
            <w:tcW w:w="1332" w:type="dxa"/>
            <w:vAlign w:val="center"/>
          </w:tcPr>
          <w:p w14:paraId="37CE60CD" w14:textId="0A7E8693"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2" w:type="dxa"/>
            <w:vAlign w:val="center"/>
          </w:tcPr>
          <w:p w14:paraId="0364673A" w14:textId="52D81222"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3" w:type="dxa"/>
            <w:vAlign w:val="center"/>
          </w:tcPr>
          <w:p w14:paraId="3DD8CBE0" w14:textId="77777777"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Breast MRI</w:t>
            </w:r>
          </w:p>
        </w:tc>
        <w:tc>
          <w:tcPr>
            <w:tcW w:w="1332" w:type="dxa"/>
            <w:vAlign w:val="center"/>
          </w:tcPr>
          <w:p w14:paraId="411225DE" w14:textId="6BCD7305"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3" w:type="dxa"/>
          </w:tcPr>
          <w:p w14:paraId="70439927" w14:textId="10BCB7F4" w:rsidR="00F71FA9"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r>
      <w:tr w:rsidR="00F71FA9" w:rsidRPr="00C523BD" w14:paraId="1FFA2064" w14:textId="77777777" w:rsidTr="00ED6272">
        <w:tc>
          <w:tcPr>
            <w:tcW w:w="2405" w:type="dxa"/>
            <w:vAlign w:val="center"/>
          </w:tcPr>
          <w:p w14:paraId="6C8DDAFD" w14:textId="77777777" w:rsidR="00F71FA9" w:rsidRPr="00C523BD" w:rsidRDefault="00F71FA9" w:rsidP="00124440">
            <w:pPr>
              <w:keepNext/>
              <w:spacing w:before="20" w:after="20"/>
              <w:rPr>
                <w:rFonts w:ascii="Arial Narrow" w:hAnsi="Arial Narrow"/>
                <w:sz w:val="20"/>
                <w:szCs w:val="20"/>
              </w:rPr>
            </w:pPr>
            <w:r>
              <w:rPr>
                <w:rFonts w:ascii="Arial Narrow" w:hAnsi="Arial Narrow"/>
                <w:sz w:val="20"/>
                <w:szCs w:val="20"/>
              </w:rPr>
              <w:t>Glioblastoma (&lt;18 years)</w:t>
            </w:r>
          </w:p>
        </w:tc>
        <w:tc>
          <w:tcPr>
            <w:tcW w:w="1332" w:type="dxa"/>
            <w:vAlign w:val="center"/>
          </w:tcPr>
          <w:p w14:paraId="1916FB26" w14:textId="32FD7578"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2" w:type="dxa"/>
            <w:vAlign w:val="center"/>
          </w:tcPr>
          <w:p w14:paraId="21AD8F30" w14:textId="64CACAEF"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3" w:type="dxa"/>
            <w:vAlign w:val="center"/>
          </w:tcPr>
          <w:p w14:paraId="1A5AE8A0" w14:textId="172B29BA"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Brain MRI</w:t>
            </w:r>
          </w:p>
        </w:tc>
        <w:tc>
          <w:tcPr>
            <w:tcW w:w="1332" w:type="dxa"/>
            <w:vAlign w:val="center"/>
          </w:tcPr>
          <w:p w14:paraId="2C9B00D7" w14:textId="45D086BA"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3" w:type="dxa"/>
          </w:tcPr>
          <w:p w14:paraId="517C1338" w14:textId="32E9CA82" w:rsidR="00F71FA9"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r>
      <w:tr w:rsidR="00F71FA9" w:rsidRPr="00C523BD" w14:paraId="05838030" w14:textId="77777777" w:rsidTr="00ED6272">
        <w:tc>
          <w:tcPr>
            <w:tcW w:w="2405" w:type="dxa"/>
            <w:vAlign w:val="center"/>
          </w:tcPr>
          <w:p w14:paraId="59B95606" w14:textId="77777777" w:rsidR="00F71FA9" w:rsidRPr="00C523BD" w:rsidRDefault="00F71FA9" w:rsidP="00124440">
            <w:pPr>
              <w:keepNext/>
              <w:spacing w:before="20" w:after="20"/>
              <w:rPr>
                <w:rFonts w:ascii="Arial Narrow" w:hAnsi="Arial Narrow"/>
                <w:sz w:val="20"/>
                <w:szCs w:val="20"/>
              </w:rPr>
            </w:pPr>
            <w:r>
              <w:rPr>
                <w:rFonts w:ascii="Arial Narrow" w:hAnsi="Arial Narrow"/>
                <w:sz w:val="20"/>
                <w:szCs w:val="20"/>
              </w:rPr>
              <w:t>Glioma (&lt;18 years)</w:t>
            </w:r>
          </w:p>
        </w:tc>
        <w:tc>
          <w:tcPr>
            <w:tcW w:w="1332" w:type="dxa"/>
            <w:vAlign w:val="center"/>
          </w:tcPr>
          <w:p w14:paraId="3625F8C6" w14:textId="77777777"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2" w:type="dxa"/>
            <w:vAlign w:val="center"/>
          </w:tcPr>
          <w:p w14:paraId="69C5A08A" w14:textId="39D2BDDE"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3" w:type="dxa"/>
            <w:vAlign w:val="center"/>
          </w:tcPr>
          <w:p w14:paraId="5DACBB74" w14:textId="77777777"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Brain MRI</w:t>
            </w:r>
          </w:p>
        </w:tc>
        <w:tc>
          <w:tcPr>
            <w:tcW w:w="1332" w:type="dxa"/>
            <w:vAlign w:val="center"/>
          </w:tcPr>
          <w:p w14:paraId="46A02B81" w14:textId="2947E2B2"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3" w:type="dxa"/>
          </w:tcPr>
          <w:p w14:paraId="09B1CFF4" w14:textId="4E0A9FEA" w:rsidR="00F71FA9"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r>
      <w:tr w:rsidR="00F71FA9" w:rsidRPr="00C523BD" w14:paraId="36E3F090" w14:textId="77777777" w:rsidTr="00ED6272">
        <w:tc>
          <w:tcPr>
            <w:tcW w:w="2405" w:type="dxa"/>
            <w:vAlign w:val="center"/>
          </w:tcPr>
          <w:p w14:paraId="20D95BED" w14:textId="77777777" w:rsidR="00F71FA9" w:rsidRPr="00C523BD" w:rsidRDefault="00F71FA9" w:rsidP="00124440">
            <w:pPr>
              <w:keepNext/>
              <w:spacing w:before="20" w:after="20"/>
              <w:rPr>
                <w:rFonts w:ascii="Arial Narrow" w:hAnsi="Arial Narrow"/>
                <w:sz w:val="20"/>
                <w:szCs w:val="20"/>
              </w:rPr>
            </w:pPr>
            <w:r>
              <w:rPr>
                <w:rFonts w:ascii="Arial Narrow" w:hAnsi="Arial Narrow"/>
                <w:sz w:val="20"/>
                <w:szCs w:val="20"/>
              </w:rPr>
              <w:t>Adrenocortical carcinoma</w:t>
            </w:r>
          </w:p>
        </w:tc>
        <w:tc>
          <w:tcPr>
            <w:tcW w:w="1332" w:type="dxa"/>
            <w:vAlign w:val="center"/>
          </w:tcPr>
          <w:p w14:paraId="4DA84633" w14:textId="40903BAF"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2" w:type="dxa"/>
            <w:shd w:val="clear" w:color="auto" w:fill="D9D9D9" w:themeFill="background1" w:themeFillShade="D9"/>
            <w:vAlign w:val="center"/>
          </w:tcPr>
          <w:p w14:paraId="4B99E7B8" w14:textId="42C92665"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3" w:type="dxa"/>
            <w:shd w:val="clear" w:color="auto" w:fill="D9D9D9" w:themeFill="background1" w:themeFillShade="D9"/>
            <w:vAlign w:val="center"/>
          </w:tcPr>
          <w:p w14:paraId="6A5B6BD6" w14:textId="77777777"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2" w:type="dxa"/>
            <w:vAlign w:val="center"/>
          </w:tcPr>
          <w:p w14:paraId="5044E375" w14:textId="73F56C47"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Possibly</w:t>
            </w:r>
          </w:p>
        </w:tc>
        <w:tc>
          <w:tcPr>
            <w:tcW w:w="1333" w:type="dxa"/>
            <w:shd w:val="clear" w:color="auto" w:fill="000000" w:themeFill="text1"/>
          </w:tcPr>
          <w:p w14:paraId="7DD6DCDC" w14:textId="08A5A0D0" w:rsidR="00F71FA9"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r>
      <w:tr w:rsidR="00F71FA9" w:rsidRPr="00C523BD" w14:paraId="0546A56D" w14:textId="77777777" w:rsidTr="00ED6272">
        <w:tc>
          <w:tcPr>
            <w:tcW w:w="2405" w:type="dxa"/>
            <w:vAlign w:val="center"/>
          </w:tcPr>
          <w:p w14:paraId="61909BE7" w14:textId="16369951" w:rsidR="00F71FA9" w:rsidRPr="00C523BD" w:rsidRDefault="00F71FA9" w:rsidP="00124440">
            <w:pPr>
              <w:keepNext/>
              <w:spacing w:before="20" w:after="20"/>
              <w:rPr>
                <w:rFonts w:ascii="Arial Narrow" w:hAnsi="Arial Narrow"/>
                <w:sz w:val="20"/>
                <w:szCs w:val="20"/>
              </w:rPr>
            </w:pPr>
            <w:r>
              <w:rPr>
                <w:rFonts w:ascii="Arial Narrow" w:hAnsi="Arial Narrow"/>
                <w:sz w:val="20"/>
                <w:szCs w:val="20"/>
              </w:rPr>
              <w:t>Lung</w:t>
            </w:r>
          </w:p>
        </w:tc>
        <w:tc>
          <w:tcPr>
            <w:tcW w:w="1332" w:type="dxa"/>
            <w:vAlign w:val="center"/>
          </w:tcPr>
          <w:p w14:paraId="03B9D3B9" w14:textId="784E802A"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2" w:type="dxa"/>
            <w:shd w:val="clear" w:color="auto" w:fill="D9D9D9" w:themeFill="background1" w:themeFillShade="D9"/>
            <w:vAlign w:val="center"/>
          </w:tcPr>
          <w:p w14:paraId="0AFC1BC7" w14:textId="2A4561E4"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3" w:type="dxa"/>
            <w:shd w:val="clear" w:color="auto" w:fill="D9D9D9" w:themeFill="background1" w:themeFillShade="D9"/>
            <w:vAlign w:val="center"/>
          </w:tcPr>
          <w:p w14:paraId="04C26448" w14:textId="6DEC756C"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2" w:type="dxa"/>
            <w:vAlign w:val="center"/>
          </w:tcPr>
          <w:p w14:paraId="308DE078" w14:textId="20122A81"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3" w:type="dxa"/>
          </w:tcPr>
          <w:p w14:paraId="4DE92BEB" w14:textId="55170601" w:rsidR="00F71FA9"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r>
      <w:tr w:rsidR="00F71FA9" w:rsidRPr="00C523BD" w14:paraId="15D03529" w14:textId="77777777" w:rsidTr="00ED6272">
        <w:tc>
          <w:tcPr>
            <w:tcW w:w="2405" w:type="dxa"/>
            <w:vAlign w:val="center"/>
          </w:tcPr>
          <w:p w14:paraId="0244EBEB" w14:textId="6A9CA36E" w:rsidR="00F71FA9" w:rsidRPr="00C523BD" w:rsidRDefault="00F71FA9" w:rsidP="00124440">
            <w:pPr>
              <w:keepNext/>
              <w:spacing w:before="20" w:after="20"/>
              <w:rPr>
                <w:rFonts w:ascii="Arial Narrow" w:hAnsi="Arial Narrow"/>
                <w:sz w:val="20"/>
                <w:szCs w:val="20"/>
              </w:rPr>
            </w:pPr>
            <w:r>
              <w:rPr>
                <w:rFonts w:ascii="Arial Narrow" w:hAnsi="Arial Narrow"/>
                <w:sz w:val="20"/>
                <w:szCs w:val="20"/>
              </w:rPr>
              <w:t>Breast</w:t>
            </w:r>
          </w:p>
        </w:tc>
        <w:tc>
          <w:tcPr>
            <w:tcW w:w="1332" w:type="dxa"/>
            <w:vAlign w:val="center"/>
          </w:tcPr>
          <w:p w14:paraId="291B3505" w14:textId="7697B20E"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2" w:type="dxa"/>
            <w:vAlign w:val="center"/>
          </w:tcPr>
          <w:p w14:paraId="13CDBF76" w14:textId="7F097E76"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3" w:type="dxa"/>
            <w:vAlign w:val="center"/>
          </w:tcPr>
          <w:p w14:paraId="5736D6A6" w14:textId="77777777"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Breast MRI</w:t>
            </w:r>
          </w:p>
        </w:tc>
        <w:tc>
          <w:tcPr>
            <w:tcW w:w="1332" w:type="dxa"/>
            <w:vAlign w:val="center"/>
          </w:tcPr>
          <w:p w14:paraId="6DD594C4" w14:textId="4654035F"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3" w:type="dxa"/>
          </w:tcPr>
          <w:p w14:paraId="35B903B6" w14:textId="6F4E4846" w:rsidR="00F71FA9"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r>
      <w:tr w:rsidR="00F71FA9" w:rsidRPr="00C523BD" w14:paraId="19A2EBB8" w14:textId="77777777" w:rsidTr="00ED6272">
        <w:tc>
          <w:tcPr>
            <w:tcW w:w="2405" w:type="dxa"/>
            <w:vAlign w:val="center"/>
          </w:tcPr>
          <w:p w14:paraId="6F9429C7" w14:textId="4F6D1472" w:rsidR="00F71FA9" w:rsidRPr="00C523BD" w:rsidRDefault="00F71FA9" w:rsidP="00124440">
            <w:pPr>
              <w:keepNext/>
              <w:spacing w:before="20" w:after="20"/>
              <w:rPr>
                <w:rFonts w:ascii="Arial Narrow" w:hAnsi="Arial Narrow"/>
                <w:sz w:val="20"/>
                <w:szCs w:val="20"/>
              </w:rPr>
            </w:pPr>
            <w:r>
              <w:rPr>
                <w:rFonts w:ascii="Arial Narrow" w:hAnsi="Arial Narrow"/>
                <w:sz w:val="20"/>
                <w:szCs w:val="20"/>
              </w:rPr>
              <w:t>Lun</w:t>
            </w:r>
            <w:r w:rsidR="00C34B15">
              <w:rPr>
                <w:rFonts w:ascii="Arial Narrow" w:hAnsi="Arial Narrow"/>
                <w:sz w:val="20"/>
                <w:szCs w:val="20"/>
              </w:rPr>
              <w:t>g</w:t>
            </w:r>
          </w:p>
        </w:tc>
        <w:tc>
          <w:tcPr>
            <w:tcW w:w="1332" w:type="dxa"/>
            <w:vAlign w:val="center"/>
          </w:tcPr>
          <w:p w14:paraId="2213A6DD" w14:textId="77777777"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2" w:type="dxa"/>
            <w:shd w:val="clear" w:color="auto" w:fill="D9D9D9" w:themeFill="background1" w:themeFillShade="D9"/>
            <w:vAlign w:val="center"/>
          </w:tcPr>
          <w:p w14:paraId="66F53197" w14:textId="2A7253E7"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3" w:type="dxa"/>
            <w:shd w:val="clear" w:color="auto" w:fill="D9D9D9" w:themeFill="background1" w:themeFillShade="D9"/>
            <w:vAlign w:val="center"/>
          </w:tcPr>
          <w:p w14:paraId="677C6EBB" w14:textId="23619A8F"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2" w:type="dxa"/>
            <w:vAlign w:val="center"/>
          </w:tcPr>
          <w:p w14:paraId="2BB0E5F5" w14:textId="331EF970"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3" w:type="dxa"/>
          </w:tcPr>
          <w:p w14:paraId="3C72C2AB" w14:textId="2937A58F" w:rsidR="00F71FA9"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r>
      <w:tr w:rsidR="00F71FA9" w:rsidRPr="00C523BD" w14:paraId="5DDACD1E" w14:textId="77777777" w:rsidTr="00ED6272">
        <w:tc>
          <w:tcPr>
            <w:tcW w:w="2405" w:type="dxa"/>
            <w:vAlign w:val="center"/>
          </w:tcPr>
          <w:p w14:paraId="1A39C444" w14:textId="66B95E5D" w:rsidR="00F71FA9" w:rsidRPr="00C523BD" w:rsidRDefault="00F71FA9" w:rsidP="00124440">
            <w:pPr>
              <w:keepNext/>
              <w:spacing w:before="20" w:after="20"/>
              <w:rPr>
                <w:rFonts w:ascii="Arial Narrow" w:hAnsi="Arial Narrow"/>
                <w:sz w:val="20"/>
                <w:szCs w:val="20"/>
              </w:rPr>
            </w:pPr>
            <w:r>
              <w:rPr>
                <w:rFonts w:ascii="Arial Narrow" w:hAnsi="Arial Narrow"/>
                <w:sz w:val="20"/>
                <w:szCs w:val="20"/>
              </w:rPr>
              <w:t>Lung</w:t>
            </w:r>
          </w:p>
        </w:tc>
        <w:tc>
          <w:tcPr>
            <w:tcW w:w="1332" w:type="dxa"/>
            <w:vAlign w:val="center"/>
          </w:tcPr>
          <w:p w14:paraId="352B370D" w14:textId="3496CB62"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2" w:type="dxa"/>
            <w:shd w:val="clear" w:color="auto" w:fill="D9D9D9" w:themeFill="background1" w:themeFillShade="D9"/>
            <w:vAlign w:val="center"/>
          </w:tcPr>
          <w:p w14:paraId="55EBB919" w14:textId="13CC94BA"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3" w:type="dxa"/>
            <w:shd w:val="clear" w:color="auto" w:fill="D9D9D9" w:themeFill="background1" w:themeFillShade="D9"/>
            <w:vAlign w:val="center"/>
          </w:tcPr>
          <w:p w14:paraId="4F28E9F2" w14:textId="72733032"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2" w:type="dxa"/>
            <w:vAlign w:val="center"/>
          </w:tcPr>
          <w:p w14:paraId="6FA3B809" w14:textId="14E1BD11"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3" w:type="dxa"/>
          </w:tcPr>
          <w:p w14:paraId="76D82A47" w14:textId="56D729CD" w:rsidR="00F71FA9"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r>
      <w:tr w:rsidR="00F71FA9" w:rsidRPr="00C523BD" w14:paraId="131F3A03" w14:textId="77777777" w:rsidTr="00ED6272">
        <w:tc>
          <w:tcPr>
            <w:tcW w:w="2405" w:type="dxa"/>
            <w:tcBorders>
              <w:right w:val="nil"/>
            </w:tcBorders>
            <w:vAlign w:val="center"/>
          </w:tcPr>
          <w:p w14:paraId="2DFBE452" w14:textId="77777777" w:rsidR="00F71FA9" w:rsidRPr="00C15DDB" w:rsidRDefault="00F71FA9" w:rsidP="00124440">
            <w:pPr>
              <w:keepNext/>
              <w:spacing w:before="20" w:after="20"/>
              <w:rPr>
                <w:rFonts w:ascii="Arial Narrow" w:hAnsi="Arial Narrow"/>
                <w:b/>
                <w:bCs/>
                <w:sz w:val="20"/>
                <w:szCs w:val="20"/>
              </w:rPr>
            </w:pPr>
            <w:r w:rsidRPr="00C15DDB">
              <w:rPr>
                <w:rFonts w:ascii="Arial Narrow" w:hAnsi="Arial Narrow"/>
                <w:b/>
                <w:bCs/>
                <w:sz w:val="20"/>
                <w:szCs w:val="20"/>
              </w:rPr>
              <w:t>STD</w:t>
            </w:r>
          </w:p>
        </w:tc>
        <w:tc>
          <w:tcPr>
            <w:tcW w:w="1332" w:type="dxa"/>
            <w:tcBorders>
              <w:left w:val="nil"/>
              <w:right w:val="nil"/>
            </w:tcBorders>
            <w:vAlign w:val="center"/>
          </w:tcPr>
          <w:p w14:paraId="3372F143" w14:textId="77777777" w:rsidR="00F71FA9" w:rsidRPr="00C523BD" w:rsidRDefault="00F71FA9" w:rsidP="00124440">
            <w:pPr>
              <w:keepNext/>
              <w:spacing w:before="20" w:after="20"/>
              <w:jc w:val="center"/>
              <w:rPr>
                <w:rFonts w:ascii="Arial Narrow" w:hAnsi="Arial Narrow"/>
                <w:sz w:val="20"/>
                <w:szCs w:val="20"/>
              </w:rPr>
            </w:pPr>
          </w:p>
        </w:tc>
        <w:tc>
          <w:tcPr>
            <w:tcW w:w="1332" w:type="dxa"/>
            <w:tcBorders>
              <w:left w:val="nil"/>
              <w:right w:val="nil"/>
            </w:tcBorders>
            <w:vAlign w:val="center"/>
          </w:tcPr>
          <w:p w14:paraId="5B9E5827" w14:textId="77777777" w:rsidR="00F71FA9" w:rsidRPr="00C523BD" w:rsidRDefault="00F71FA9" w:rsidP="00124440">
            <w:pPr>
              <w:keepNext/>
              <w:spacing w:before="20" w:after="20"/>
              <w:jc w:val="center"/>
              <w:rPr>
                <w:rFonts w:ascii="Arial Narrow" w:hAnsi="Arial Narrow"/>
                <w:sz w:val="20"/>
                <w:szCs w:val="20"/>
              </w:rPr>
            </w:pPr>
          </w:p>
        </w:tc>
        <w:tc>
          <w:tcPr>
            <w:tcW w:w="1333" w:type="dxa"/>
            <w:tcBorders>
              <w:left w:val="nil"/>
              <w:right w:val="nil"/>
            </w:tcBorders>
            <w:vAlign w:val="center"/>
          </w:tcPr>
          <w:p w14:paraId="64A8AE93" w14:textId="77777777" w:rsidR="00F71FA9" w:rsidRPr="00C523BD" w:rsidRDefault="00F71FA9" w:rsidP="00124440">
            <w:pPr>
              <w:keepNext/>
              <w:spacing w:before="20" w:after="20"/>
              <w:jc w:val="center"/>
              <w:rPr>
                <w:rFonts w:ascii="Arial Narrow" w:hAnsi="Arial Narrow"/>
                <w:sz w:val="20"/>
                <w:szCs w:val="20"/>
              </w:rPr>
            </w:pPr>
          </w:p>
        </w:tc>
        <w:tc>
          <w:tcPr>
            <w:tcW w:w="1332" w:type="dxa"/>
            <w:tcBorders>
              <w:left w:val="nil"/>
              <w:right w:val="nil"/>
            </w:tcBorders>
            <w:vAlign w:val="center"/>
          </w:tcPr>
          <w:p w14:paraId="363E3883" w14:textId="77777777" w:rsidR="00F71FA9" w:rsidRPr="00C523BD" w:rsidRDefault="00F71FA9" w:rsidP="00124440">
            <w:pPr>
              <w:keepNext/>
              <w:spacing w:before="20" w:after="20"/>
              <w:jc w:val="center"/>
              <w:rPr>
                <w:rFonts w:ascii="Arial Narrow" w:hAnsi="Arial Narrow"/>
                <w:sz w:val="20"/>
                <w:szCs w:val="20"/>
              </w:rPr>
            </w:pPr>
          </w:p>
        </w:tc>
        <w:tc>
          <w:tcPr>
            <w:tcW w:w="1333" w:type="dxa"/>
            <w:tcBorders>
              <w:left w:val="nil"/>
            </w:tcBorders>
          </w:tcPr>
          <w:p w14:paraId="0C0ABDC7" w14:textId="77777777" w:rsidR="00F71FA9" w:rsidRPr="00C523BD" w:rsidRDefault="00F71FA9" w:rsidP="00124440">
            <w:pPr>
              <w:keepNext/>
              <w:spacing w:before="20" w:after="20"/>
              <w:jc w:val="center"/>
              <w:rPr>
                <w:rFonts w:ascii="Arial Narrow" w:hAnsi="Arial Narrow"/>
                <w:sz w:val="20"/>
                <w:szCs w:val="20"/>
              </w:rPr>
            </w:pPr>
          </w:p>
        </w:tc>
      </w:tr>
      <w:tr w:rsidR="00F71FA9" w:rsidRPr="00C523BD" w14:paraId="759D2107" w14:textId="77777777" w:rsidTr="00ED6272">
        <w:tc>
          <w:tcPr>
            <w:tcW w:w="2405" w:type="dxa"/>
            <w:vAlign w:val="center"/>
          </w:tcPr>
          <w:p w14:paraId="300139D7" w14:textId="77777777" w:rsidR="00F71FA9" w:rsidRPr="00C523BD" w:rsidRDefault="00F71FA9" w:rsidP="00124440">
            <w:pPr>
              <w:keepNext/>
              <w:spacing w:before="20" w:after="20"/>
              <w:rPr>
                <w:rFonts w:ascii="Arial Narrow" w:hAnsi="Arial Narrow"/>
                <w:sz w:val="20"/>
                <w:szCs w:val="20"/>
              </w:rPr>
            </w:pPr>
            <w:r>
              <w:rPr>
                <w:rFonts w:ascii="Arial Narrow" w:hAnsi="Arial Narrow"/>
                <w:sz w:val="20"/>
                <w:szCs w:val="20"/>
              </w:rPr>
              <w:t>Bladder carcinoma</w:t>
            </w:r>
          </w:p>
        </w:tc>
        <w:tc>
          <w:tcPr>
            <w:tcW w:w="1332" w:type="dxa"/>
            <w:vAlign w:val="center"/>
          </w:tcPr>
          <w:p w14:paraId="3A14C226" w14:textId="77777777"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2" w:type="dxa"/>
            <w:vAlign w:val="center"/>
          </w:tcPr>
          <w:p w14:paraId="49690BDD" w14:textId="4E6F02D5"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3" w:type="dxa"/>
            <w:vAlign w:val="center"/>
          </w:tcPr>
          <w:p w14:paraId="5DF8F1E1" w14:textId="480CDC9C"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Urinalysis</w:t>
            </w:r>
          </w:p>
        </w:tc>
        <w:tc>
          <w:tcPr>
            <w:tcW w:w="1332" w:type="dxa"/>
            <w:vAlign w:val="center"/>
          </w:tcPr>
          <w:p w14:paraId="3264215A" w14:textId="4E8D1169"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3" w:type="dxa"/>
          </w:tcPr>
          <w:p w14:paraId="466040A7" w14:textId="176B88EC" w:rsidR="00F71FA9"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r>
      <w:tr w:rsidR="00F71FA9" w:rsidRPr="00C523BD" w14:paraId="65B5B32D" w14:textId="77777777" w:rsidTr="00ED6272">
        <w:tc>
          <w:tcPr>
            <w:tcW w:w="2405" w:type="dxa"/>
            <w:vAlign w:val="center"/>
          </w:tcPr>
          <w:p w14:paraId="28090BFF" w14:textId="0120E9E3" w:rsidR="00F71FA9" w:rsidRPr="00C523BD" w:rsidRDefault="00F71FA9" w:rsidP="00124440">
            <w:pPr>
              <w:keepNext/>
              <w:spacing w:before="20" w:after="20"/>
              <w:rPr>
                <w:rFonts w:ascii="Arial Narrow" w:hAnsi="Arial Narrow"/>
                <w:sz w:val="20"/>
                <w:szCs w:val="20"/>
              </w:rPr>
            </w:pPr>
            <w:r>
              <w:rPr>
                <w:rFonts w:ascii="Arial Narrow" w:hAnsi="Arial Narrow"/>
                <w:sz w:val="20"/>
                <w:szCs w:val="20"/>
              </w:rPr>
              <w:t>Pancreas</w:t>
            </w:r>
          </w:p>
        </w:tc>
        <w:tc>
          <w:tcPr>
            <w:tcW w:w="1332" w:type="dxa"/>
            <w:vAlign w:val="center"/>
          </w:tcPr>
          <w:p w14:paraId="7E1DF240" w14:textId="180531AA"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2" w:type="dxa"/>
            <w:shd w:val="clear" w:color="auto" w:fill="D9D9D9" w:themeFill="background1" w:themeFillShade="D9"/>
            <w:vAlign w:val="center"/>
          </w:tcPr>
          <w:p w14:paraId="5DE37F6E" w14:textId="307332C2"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3" w:type="dxa"/>
            <w:shd w:val="clear" w:color="auto" w:fill="D9D9D9" w:themeFill="background1" w:themeFillShade="D9"/>
            <w:vAlign w:val="center"/>
          </w:tcPr>
          <w:p w14:paraId="7B9C744D" w14:textId="30781C9F"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2" w:type="dxa"/>
            <w:vAlign w:val="center"/>
          </w:tcPr>
          <w:p w14:paraId="3C26A9E8" w14:textId="45EA74BB"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Possibly</w:t>
            </w:r>
          </w:p>
        </w:tc>
        <w:tc>
          <w:tcPr>
            <w:tcW w:w="1333" w:type="dxa"/>
            <w:shd w:val="clear" w:color="auto" w:fill="000000" w:themeFill="text1"/>
          </w:tcPr>
          <w:p w14:paraId="3250ED8B" w14:textId="13708B59" w:rsidR="00F71FA9" w:rsidRDefault="00F71FA9" w:rsidP="00124440">
            <w:pPr>
              <w:keepNext/>
              <w:spacing w:before="20" w:after="20"/>
              <w:jc w:val="center"/>
              <w:rPr>
                <w:rFonts w:ascii="Arial Narrow" w:hAnsi="Arial Narrow"/>
                <w:sz w:val="20"/>
                <w:szCs w:val="20"/>
              </w:rPr>
            </w:pPr>
            <w:r w:rsidRPr="00CB6325">
              <w:rPr>
                <w:rFonts w:ascii="Arial Narrow" w:hAnsi="Arial Narrow"/>
                <w:color w:val="FFFFFF" w:themeColor="background1"/>
                <w:sz w:val="20"/>
                <w:szCs w:val="20"/>
              </w:rPr>
              <w:t>No</w:t>
            </w:r>
          </w:p>
        </w:tc>
      </w:tr>
      <w:tr w:rsidR="00F71FA9" w:rsidRPr="00C523BD" w14:paraId="5F366D17" w14:textId="77777777" w:rsidTr="00ED6272">
        <w:tc>
          <w:tcPr>
            <w:tcW w:w="2405" w:type="dxa"/>
            <w:vAlign w:val="center"/>
          </w:tcPr>
          <w:p w14:paraId="06A7C2B5" w14:textId="77777777" w:rsidR="00F71FA9" w:rsidRPr="00C523BD" w:rsidRDefault="00F71FA9" w:rsidP="00124440">
            <w:pPr>
              <w:keepNext/>
              <w:spacing w:before="20" w:after="20"/>
              <w:rPr>
                <w:rFonts w:ascii="Arial Narrow" w:hAnsi="Arial Narrow"/>
                <w:sz w:val="20"/>
                <w:szCs w:val="20"/>
              </w:rPr>
            </w:pPr>
            <w:r>
              <w:rPr>
                <w:rFonts w:ascii="Arial Narrow" w:hAnsi="Arial Narrow"/>
                <w:sz w:val="20"/>
                <w:szCs w:val="20"/>
              </w:rPr>
              <w:t>Colon (interval cancer)</w:t>
            </w:r>
          </w:p>
        </w:tc>
        <w:tc>
          <w:tcPr>
            <w:tcW w:w="1332" w:type="dxa"/>
            <w:vAlign w:val="center"/>
          </w:tcPr>
          <w:p w14:paraId="6CE548CE" w14:textId="1A4F100A"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2" w:type="dxa"/>
            <w:vAlign w:val="center"/>
          </w:tcPr>
          <w:p w14:paraId="332709BD" w14:textId="6F83DAF1"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Maybe</w:t>
            </w:r>
          </w:p>
        </w:tc>
        <w:tc>
          <w:tcPr>
            <w:tcW w:w="1333" w:type="dxa"/>
            <w:vAlign w:val="center"/>
          </w:tcPr>
          <w:p w14:paraId="7BAD57B8" w14:textId="1B261FC6" w:rsidR="00F71FA9" w:rsidRPr="00C523BD" w:rsidRDefault="009B146B" w:rsidP="00124440">
            <w:pPr>
              <w:keepNext/>
              <w:spacing w:before="20" w:after="20"/>
              <w:jc w:val="center"/>
              <w:rPr>
                <w:rFonts w:ascii="Arial Narrow" w:hAnsi="Arial Narrow"/>
                <w:sz w:val="20"/>
                <w:szCs w:val="20"/>
              </w:rPr>
            </w:pPr>
            <w:r>
              <w:rPr>
                <w:rFonts w:ascii="Arial Narrow" w:hAnsi="Arial Narrow"/>
                <w:sz w:val="20"/>
                <w:szCs w:val="20"/>
              </w:rPr>
              <w:t>Faecal</w:t>
            </w:r>
            <w:r w:rsidR="00F71FA9">
              <w:rPr>
                <w:rFonts w:ascii="Arial Narrow" w:hAnsi="Arial Narrow"/>
                <w:sz w:val="20"/>
                <w:szCs w:val="20"/>
              </w:rPr>
              <w:t xml:space="preserve"> occult blood test</w:t>
            </w:r>
          </w:p>
        </w:tc>
        <w:tc>
          <w:tcPr>
            <w:tcW w:w="1332" w:type="dxa"/>
            <w:vAlign w:val="center"/>
          </w:tcPr>
          <w:p w14:paraId="440B39A9" w14:textId="5BDCEFDA"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3" w:type="dxa"/>
            <w:vAlign w:val="center"/>
          </w:tcPr>
          <w:p w14:paraId="7DAFE022" w14:textId="77777777" w:rsidR="00F71FA9"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r>
      <w:tr w:rsidR="00F71FA9" w:rsidRPr="00C523BD" w14:paraId="1769EA00" w14:textId="77777777" w:rsidTr="00ED6272">
        <w:tc>
          <w:tcPr>
            <w:tcW w:w="2405" w:type="dxa"/>
            <w:vAlign w:val="center"/>
          </w:tcPr>
          <w:p w14:paraId="4603E532" w14:textId="77777777" w:rsidR="00F71FA9" w:rsidRPr="00C523BD" w:rsidRDefault="00F71FA9" w:rsidP="00124440">
            <w:pPr>
              <w:keepNext/>
              <w:spacing w:before="20" w:after="20"/>
              <w:rPr>
                <w:rFonts w:ascii="Arial Narrow" w:hAnsi="Arial Narrow"/>
                <w:sz w:val="20"/>
                <w:szCs w:val="20"/>
              </w:rPr>
            </w:pPr>
            <w:r>
              <w:rPr>
                <w:rFonts w:ascii="Arial Narrow" w:hAnsi="Arial Narrow"/>
                <w:sz w:val="20"/>
                <w:szCs w:val="20"/>
              </w:rPr>
              <w:t>Glioma (adult)</w:t>
            </w:r>
          </w:p>
        </w:tc>
        <w:tc>
          <w:tcPr>
            <w:tcW w:w="1332" w:type="dxa"/>
            <w:vAlign w:val="center"/>
          </w:tcPr>
          <w:p w14:paraId="1E7C80D7" w14:textId="66271BD5"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2" w:type="dxa"/>
            <w:shd w:val="clear" w:color="auto" w:fill="D9D9D9" w:themeFill="background1" w:themeFillShade="D9"/>
            <w:vAlign w:val="center"/>
          </w:tcPr>
          <w:p w14:paraId="29676B22" w14:textId="1C07BA54"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3" w:type="dxa"/>
            <w:shd w:val="clear" w:color="auto" w:fill="D9D9D9" w:themeFill="background1" w:themeFillShade="D9"/>
            <w:vAlign w:val="center"/>
          </w:tcPr>
          <w:p w14:paraId="7F85C593" w14:textId="0AEED256"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2" w:type="dxa"/>
            <w:vAlign w:val="center"/>
          </w:tcPr>
          <w:p w14:paraId="49F98A85" w14:textId="1063B329"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3" w:type="dxa"/>
          </w:tcPr>
          <w:p w14:paraId="0543DC5F" w14:textId="5F9E7EFE" w:rsidR="00F71FA9"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r>
      <w:tr w:rsidR="00F71FA9" w:rsidRPr="00C523BD" w14:paraId="4BC1ED0F" w14:textId="77777777" w:rsidTr="00ED6272">
        <w:tc>
          <w:tcPr>
            <w:tcW w:w="2405" w:type="dxa"/>
            <w:vAlign w:val="center"/>
          </w:tcPr>
          <w:p w14:paraId="5542D266" w14:textId="42B05104" w:rsidR="00F71FA9" w:rsidRPr="00C523BD" w:rsidRDefault="00F71FA9" w:rsidP="00124440">
            <w:pPr>
              <w:keepNext/>
              <w:spacing w:before="20" w:after="20"/>
              <w:rPr>
                <w:rFonts w:ascii="Arial Narrow" w:hAnsi="Arial Narrow"/>
                <w:sz w:val="20"/>
                <w:szCs w:val="20"/>
              </w:rPr>
            </w:pPr>
            <w:r>
              <w:rPr>
                <w:rFonts w:ascii="Arial Narrow" w:hAnsi="Arial Narrow"/>
                <w:sz w:val="20"/>
                <w:szCs w:val="20"/>
              </w:rPr>
              <w:t>Sarcoma</w:t>
            </w:r>
          </w:p>
        </w:tc>
        <w:tc>
          <w:tcPr>
            <w:tcW w:w="1332" w:type="dxa"/>
            <w:vAlign w:val="center"/>
          </w:tcPr>
          <w:p w14:paraId="7F8E6912" w14:textId="0563B02C"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2" w:type="dxa"/>
            <w:shd w:val="clear" w:color="auto" w:fill="D9D9D9" w:themeFill="background1" w:themeFillShade="D9"/>
            <w:vAlign w:val="center"/>
          </w:tcPr>
          <w:p w14:paraId="1561C576" w14:textId="11704B5C"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3" w:type="dxa"/>
            <w:shd w:val="clear" w:color="auto" w:fill="D9D9D9" w:themeFill="background1" w:themeFillShade="D9"/>
            <w:vAlign w:val="center"/>
          </w:tcPr>
          <w:p w14:paraId="62E10553" w14:textId="0707E72A"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2" w:type="dxa"/>
            <w:vAlign w:val="center"/>
          </w:tcPr>
          <w:p w14:paraId="6D96299A" w14:textId="39D08AA5"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3" w:type="dxa"/>
          </w:tcPr>
          <w:p w14:paraId="34C6DABA" w14:textId="5E7AAFD0" w:rsidR="00F71FA9"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r>
      <w:tr w:rsidR="00F71FA9" w:rsidRPr="00C523BD" w14:paraId="6156C053" w14:textId="77777777" w:rsidTr="00ED6272">
        <w:tc>
          <w:tcPr>
            <w:tcW w:w="2405" w:type="dxa"/>
            <w:vAlign w:val="center"/>
          </w:tcPr>
          <w:p w14:paraId="69B029F8" w14:textId="70B3F44E" w:rsidR="00F71FA9" w:rsidRPr="00C523BD" w:rsidRDefault="00F71FA9" w:rsidP="00124440">
            <w:pPr>
              <w:keepNext/>
              <w:spacing w:before="20" w:after="20"/>
              <w:rPr>
                <w:rFonts w:ascii="Arial Narrow" w:hAnsi="Arial Narrow"/>
                <w:sz w:val="20"/>
                <w:szCs w:val="20"/>
              </w:rPr>
            </w:pPr>
            <w:r>
              <w:rPr>
                <w:rFonts w:ascii="Arial Narrow" w:hAnsi="Arial Narrow"/>
                <w:sz w:val="20"/>
                <w:szCs w:val="20"/>
              </w:rPr>
              <w:t>Breast</w:t>
            </w:r>
          </w:p>
        </w:tc>
        <w:tc>
          <w:tcPr>
            <w:tcW w:w="1332" w:type="dxa"/>
            <w:vAlign w:val="center"/>
          </w:tcPr>
          <w:p w14:paraId="264700E9" w14:textId="5C6A29C7"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2" w:type="dxa"/>
            <w:vAlign w:val="center"/>
          </w:tcPr>
          <w:p w14:paraId="0CFAC11D" w14:textId="4D99697A"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3" w:type="dxa"/>
            <w:vAlign w:val="center"/>
          </w:tcPr>
          <w:p w14:paraId="0ACF408B" w14:textId="77777777"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Breast MRI</w:t>
            </w:r>
          </w:p>
        </w:tc>
        <w:tc>
          <w:tcPr>
            <w:tcW w:w="1332" w:type="dxa"/>
            <w:vAlign w:val="center"/>
          </w:tcPr>
          <w:p w14:paraId="4BEBC127" w14:textId="3A17B03B"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3" w:type="dxa"/>
          </w:tcPr>
          <w:p w14:paraId="2E5DD8E6" w14:textId="23B79ABA" w:rsidR="00F71FA9"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r>
      <w:tr w:rsidR="00F71FA9" w:rsidRPr="00C523BD" w14:paraId="06987234" w14:textId="77777777" w:rsidTr="00ED6272">
        <w:tc>
          <w:tcPr>
            <w:tcW w:w="2405" w:type="dxa"/>
            <w:vAlign w:val="center"/>
          </w:tcPr>
          <w:p w14:paraId="581D2903" w14:textId="77777777" w:rsidR="00F71FA9" w:rsidRPr="00C523BD" w:rsidRDefault="00F71FA9" w:rsidP="00124440">
            <w:pPr>
              <w:keepNext/>
              <w:spacing w:before="20" w:after="20"/>
              <w:rPr>
                <w:rFonts w:ascii="Arial Narrow" w:hAnsi="Arial Narrow"/>
                <w:sz w:val="20"/>
                <w:szCs w:val="20"/>
              </w:rPr>
            </w:pPr>
            <w:r>
              <w:rPr>
                <w:rFonts w:ascii="Arial Narrow" w:hAnsi="Arial Narrow"/>
                <w:sz w:val="20"/>
                <w:szCs w:val="20"/>
              </w:rPr>
              <w:t>Lung (interval cancer)</w:t>
            </w:r>
          </w:p>
        </w:tc>
        <w:tc>
          <w:tcPr>
            <w:tcW w:w="1332" w:type="dxa"/>
            <w:vAlign w:val="center"/>
          </w:tcPr>
          <w:p w14:paraId="71BB3167" w14:textId="6FD18E0F"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2" w:type="dxa"/>
            <w:shd w:val="clear" w:color="auto" w:fill="D9D9D9" w:themeFill="background1" w:themeFillShade="D9"/>
            <w:vAlign w:val="center"/>
          </w:tcPr>
          <w:p w14:paraId="35632A0A" w14:textId="79D07806"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3" w:type="dxa"/>
            <w:shd w:val="clear" w:color="auto" w:fill="D9D9D9" w:themeFill="background1" w:themeFillShade="D9"/>
            <w:vAlign w:val="center"/>
          </w:tcPr>
          <w:p w14:paraId="38509195" w14:textId="553BF965"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2" w:type="dxa"/>
            <w:vAlign w:val="center"/>
          </w:tcPr>
          <w:p w14:paraId="05EDD3B4" w14:textId="67B8DD89"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3" w:type="dxa"/>
            <w:shd w:val="clear" w:color="auto" w:fill="000000" w:themeFill="text1"/>
          </w:tcPr>
          <w:p w14:paraId="0FDF5A50" w14:textId="55B79514" w:rsidR="00F71FA9" w:rsidRPr="00CB6325" w:rsidRDefault="00F71FA9" w:rsidP="00124440">
            <w:pPr>
              <w:keepNext/>
              <w:spacing w:before="20" w:after="20"/>
              <w:jc w:val="center"/>
              <w:rPr>
                <w:rFonts w:ascii="Arial Narrow" w:hAnsi="Arial Narrow"/>
                <w:color w:val="FFFFFF" w:themeColor="background1"/>
                <w:sz w:val="20"/>
                <w:szCs w:val="20"/>
              </w:rPr>
            </w:pPr>
            <w:r>
              <w:rPr>
                <w:rFonts w:ascii="Arial Narrow" w:hAnsi="Arial Narrow"/>
                <w:sz w:val="20"/>
                <w:szCs w:val="20"/>
              </w:rPr>
              <w:t>No</w:t>
            </w:r>
          </w:p>
        </w:tc>
      </w:tr>
      <w:tr w:rsidR="00F71FA9" w:rsidRPr="00C523BD" w14:paraId="11A505A9" w14:textId="77777777" w:rsidTr="00ED6272">
        <w:tc>
          <w:tcPr>
            <w:tcW w:w="2405" w:type="dxa"/>
            <w:vAlign w:val="center"/>
          </w:tcPr>
          <w:p w14:paraId="2161DEC7" w14:textId="77777777" w:rsidR="00F71FA9" w:rsidRPr="00C523BD" w:rsidRDefault="00F71FA9" w:rsidP="00124440">
            <w:pPr>
              <w:keepNext/>
              <w:spacing w:before="20" w:after="20"/>
              <w:rPr>
                <w:rFonts w:ascii="Arial Narrow" w:hAnsi="Arial Narrow"/>
                <w:sz w:val="20"/>
                <w:szCs w:val="20"/>
              </w:rPr>
            </w:pPr>
            <w:r>
              <w:rPr>
                <w:rFonts w:ascii="Arial Narrow" w:hAnsi="Arial Narrow"/>
                <w:sz w:val="20"/>
                <w:szCs w:val="20"/>
              </w:rPr>
              <w:t>Glioma (&lt;18 years)</w:t>
            </w:r>
          </w:p>
        </w:tc>
        <w:tc>
          <w:tcPr>
            <w:tcW w:w="1332" w:type="dxa"/>
            <w:vAlign w:val="center"/>
          </w:tcPr>
          <w:p w14:paraId="42AC4060" w14:textId="5543BC53"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2" w:type="dxa"/>
            <w:vAlign w:val="center"/>
          </w:tcPr>
          <w:p w14:paraId="652E72AC" w14:textId="4F1BD53E"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3" w:type="dxa"/>
            <w:vAlign w:val="center"/>
          </w:tcPr>
          <w:p w14:paraId="41F21B7B" w14:textId="77777777"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Brain MRI</w:t>
            </w:r>
          </w:p>
        </w:tc>
        <w:tc>
          <w:tcPr>
            <w:tcW w:w="1332" w:type="dxa"/>
            <w:vAlign w:val="center"/>
          </w:tcPr>
          <w:p w14:paraId="00152636" w14:textId="606A43D3"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3" w:type="dxa"/>
          </w:tcPr>
          <w:p w14:paraId="4667A801" w14:textId="7EDF135A" w:rsidR="00F71FA9"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r>
      <w:tr w:rsidR="00F71FA9" w:rsidRPr="00C523BD" w14:paraId="2B6DC6EA" w14:textId="77777777" w:rsidTr="00ED6272">
        <w:tc>
          <w:tcPr>
            <w:tcW w:w="2405" w:type="dxa"/>
            <w:vAlign w:val="center"/>
          </w:tcPr>
          <w:p w14:paraId="02D6D69A" w14:textId="6A6646B8" w:rsidR="00F71FA9" w:rsidRPr="00C523BD" w:rsidRDefault="00F71FA9" w:rsidP="00124440">
            <w:pPr>
              <w:keepNext/>
              <w:spacing w:before="20" w:after="20"/>
              <w:rPr>
                <w:rFonts w:ascii="Arial Narrow" w:hAnsi="Arial Narrow"/>
                <w:sz w:val="20"/>
                <w:szCs w:val="20"/>
              </w:rPr>
            </w:pPr>
            <w:r>
              <w:rPr>
                <w:rFonts w:ascii="Arial Narrow" w:hAnsi="Arial Narrow"/>
                <w:sz w:val="20"/>
                <w:szCs w:val="20"/>
              </w:rPr>
              <w:t>Kidney</w:t>
            </w:r>
          </w:p>
        </w:tc>
        <w:tc>
          <w:tcPr>
            <w:tcW w:w="1332" w:type="dxa"/>
            <w:vAlign w:val="center"/>
          </w:tcPr>
          <w:p w14:paraId="06F379E3" w14:textId="229CA521"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2" w:type="dxa"/>
            <w:shd w:val="clear" w:color="auto" w:fill="D9D9D9" w:themeFill="background1" w:themeFillShade="D9"/>
            <w:vAlign w:val="center"/>
          </w:tcPr>
          <w:p w14:paraId="4597A5D3" w14:textId="2197942A"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3" w:type="dxa"/>
            <w:shd w:val="clear" w:color="auto" w:fill="D9D9D9" w:themeFill="background1" w:themeFillShade="D9"/>
            <w:vAlign w:val="center"/>
          </w:tcPr>
          <w:p w14:paraId="65C16E80" w14:textId="78DB67F0"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2" w:type="dxa"/>
            <w:vAlign w:val="center"/>
          </w:tcPr>
          <w:p w14:paraId="48B913C5" w14:textId="05CE8FAB"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Possibly</w:t>
            </w:r>
          </w:p>
        </w:tc>
        <w:tc>
          <w:tcPr>
            <w:tcW w:w="1333" w:type="dxa"/>
          </w:tcPr>
          <w:p w14:paraId="7F383C49" w14:textId="4EF663E6" w:rsidR="00F71FA9"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r>
      <w:tr w:rsidR="00F71FA9" w:rsidRPr="00C523BD" w14:paraId="2362AD7C" w14:textId="77777777" w:rsidTr="00ED6272">
        <w:tc>
          <w:tcPr>
            <w:tcW w:w="2405" w:type="dxa"/>
            <w:vAlign w:val="center"/>
          </w:tcPr>
          <w:p w14:paraId="2D74C55E" w14:textId="77777777" w:rsidR="00F71FA9" w:rsidRPr="00C523BD" w:rsidRDefault="00F71FA9" w:rsidP="00124440">
            <w:pPr>
              <w:keepNext/>
              <w:spacing w:before="20" w:after="20"/>
              <w:rPr>
                <w:rFonts w:ascii="Arial Narrow" w:hAnsi="Arial Narrow"/>
                <w:sz w:val="20"/>
                <w:szCs w:val="20"/>
              </w:rPr>
            </w:pPr>
            <w:r>
              <w:rPr>
                <w:rFonts w:ascii="Arial Narrow" w:hAnsi="Arial Narrow"/>
                <w:sz w:val="20"/>
                <w:szCs w:val="20"/>
              </w:rPr>
              <w:t>Sarcoma (interval cancer)</w:t>
            </w:r>
          </w:p>
        </w:tc>
        <w:tc>
          <w:tcPr>
            <w:tcW w:w="1332" w:type="dxa"/>
            <w:vAlign w:val="center"/>
          </w:tcPr>
          <w:p w14:paraId="73C47020" w14:textId="6E77A8D2"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2" w:type="dxa"/>
            <w:shd w:val="clear" w:color="auto" w:fill="D9D9D9" w:themeFill="background1" w:themeFillShade="D9"/>
            <w:vAlign w:val="center"/>
          </w:tcPr>
          <w:p w14:paraId="520E78AE" w14:textId="440226CE"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3" w:type="dxa"/>
            <w:shd w:val="clear" w:color="auto" w:fill="D9D9D9" w:themeFill="background1" w:themeFillShade="D9"/>
            <w:vAlign w:val="center"/>
          </w:tcPr>
          <w:p w14:paraId="10388B33" w14:textId="142F50A3"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2" w:type="dxa"/>
            <w:vAlign w:val="center"/>
          </w:tcPr>
          <w:p w14:paraId="6440CACA" w14:textId="0098ED27"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3" w:type="dxa"/>
          </w:tcPr>
          <w:p w14:paraId="24B0881E" w14:textId="5D63404D" w:rsidR="00F71FA9"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r>
      <w:tr w:rsidR="00F71FA9" w:rsidRPr="00C523BD" w14:paraId="0347B6AD" w14:textId="77777777" w:rsidTr="00ED6272">
        <w:tc>
          <w:tcPr>
            <w:tcW w:w="2405" w:type="dxa"/>
            <w:vAlign w:val="center"/>
          </w:tcPr>
          <w:p w14:paraId="1BA62592" w14:textId="68679FB1" w:rsidR="00F71FA9" w:rsidRPr="00C523BD" w:rsidRDefault="00F71FA9" w:rsidP="00124440">
            <w:pPr>
              <w:keepNext/>
              <w:spacing w:before="20" w:after="20"/>
              <w:rPr>
                <w:rFonts w:ascii="Arial Narrow" w:hAnsi="Arial Narrow"/>
                <w:sz w:val="20"/>
                <w:szCs w:val="20"/>
              </w:rPr>
            </w:pPr>
            <w:r>
              <w:rPr>
                <w:rFonts w:ascii="Arial Narrow" w:hAnsi="Arial Narrow"/>
                <w:sz w:val="20"/>
                <w:szCs w:val="20"/>
              </w:rPr>
              <w:t>Breast</w:t>
            </w:r>
          </w:p>
        </w:tc>
        <w:tc>
          <w:tcPr>
            <w:tcW w:w="1332" w:type="dxa"/>
            <w:vAlign w:val="center"/>
          </w:tcPr>
          <w:p w14:paraId="4FFC1C5E" w14:textId="7F946537"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2" w:type="dxa"/>
            <w:vAlign w:val="center"/>
          </w:tcPr>
          <w:p w14:paraId="15D9232F" w14:textId="62A3E12B"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3" w:type="dxa"/>
            <w:vAlign w:val="center"/>
          </w:tcPr>
          <w:p w14:paraId="46277E2B" w14:textId="77777777"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Breast MRI</w:t>
            </w:r>
          </w:p>
        </w:tc>
        <w:tc>
          <w:tcPr>
            <w:tcW w:w="1332" w:type="dxa"/>
            <w:vAlign w:val="center"/>
          </w:tcPr>
          <w:p w14:paraId="74200505" w14:textId="6DD0DC1B"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3" w:type="dxa"/>
          </w:tcPr>
          <w:p w14:paraId="0B6D8303" w14:textId="43A6AA55" w:rsidR="00F71FA9"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r>
      <w:tr w:rsidR="00F71FA9" w:rsidRPr="00C523BD" w14:paraId="7B839729" w14:textId="77777777" w:rsidTr="00ED6272">
        <w:tc>
          <w:tcPr>
            <w:tcW w:w="2405" w:type="dxa"/>
            <w:vAlign w:val="center"/>
          </w:tcPr>
          <w:p w14:paraId="7137C13E" w14:textId="77777777" w:rsidR="00F71FA9" w:rsidRPr="00C523BD" w:rsidRDefault="00F71FA9" w:rsidP="00124440">
            <w:pPr>
              <w:keepNext/>
              <w:spacing w:before="20" w:after="20"/>
              <w:rPr>
                <w:rFonts w:ascii="Arial Narrow" w:hAnsi="Arial Narrow"/>
                <w:sz w:val="20"/>
                <w:szCs w:val="20"/>
              </w:rPr>
            </w:pPr>
            <w:r>
              <w:rPr>
                <w:rFonts w:ascii="Arial Narrow" w:hAnsi="Arial Narrow"/>
                <w:sz w:val="20"/>
                <w:szCs w:val="20"/>
              </w:rPr>
              <w:t>Lung (interval cancer)</w:t>
            </w:r>
          </w:p>
        </w:tc>
        <w:tc>
          <w:tcPr>
            <w:tcW w:w="1332" w:type="dxa"/>
            <w:vAlign w:val="center"/>
          </w:tcPr>
          <w:p w14:paraId="02FD62C9" w14:textId="7AFBE297"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2" w:type="dxa"/>
            <w:shd w:val="clear" w:color="auto" w:fill="D9D9D9" w:themeFill="background1" w:themeFillShade="D9"/>
            <w:vAlign w:val="center"/>
          </w:tcPr>
          <w:p w14:paraId="4DC37BC8" w14:textId="2BE74737"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3" w:type="dxa"/>
            <w:shd w:val="clear" w:color="auto" w:fill="D9D9D9" w:themeFill="background1" w:themeFillShade="D9"/>
            <w:vAlign w:val="center"/>
          </w:tcPr>
          <w:p w14:paraId="5F707B6D" w14:textId="763526CC"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2" w:type="dxa"/>
            <w:vAlign w:val="center"/>
          </w:tcPr>
          <w:p w14:paraId="793BF849" w14:textId="574ADB6D"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3" w:type="dxa"/>
            <w:shd w:val="clear" w:color="auto" w:fill="000000" w:themeFill="text1"/>
          </w:tcPr>
          <w:p w14:paraId="0CB0F3BF" w14:textId="6BE148FB" w:rsidR="00F71FA9" w:rsidRPr="00CB6325" w:rsidRDefault="00F71FA9" w:rsidP="00124440">
            <w:pPr>
              <w:keepNext/>
              <w:spacing w:before="20" w:after="20"/>
              <w:jc w:val="center"/>
              <w:rPr>
                <w:rFonts w:ascii="Arial Narrow" w:hAnsi="Arial Narrow"/>
                <w:color w:val="FFFFFF" w:themeColor="background1"/>
                <w:sz w:val="20"/>
                <w:szCs w:val="20"/>
              </w:rPr>
            </w:pPr>
            <w:r>
              <w:rPr>
                <w:rFonts w:ascii="Arial Narrow" w:hAnsi="Arial Narrow"/>
                <w:sz w:val="20"/>
                <w:szCs w:val="20"/>
              </w:rPr>
              <w:t>No</w:t>
            </w:r>
          </w:p>
        </w:tc>
      </w:tr>
      <w:tr w:rsidR="00F71FA9" w:rsidRPr="00C523BD" w14:paraId="62D3625D" w14:textId="77777777" w:rsidTr="00ED6272">
        <w:tc>
          <w:tcPr>
            <w:tcW w:w="2405" w:type="dxa"/>
            <w:vAlign w:val="center"/>
          </w:tcPr>
          <w:p w14:paraId="024B099E" w14:textId="77777777" w:rsidR="00F71FA9" w:rsidRPr="00C523BD" w:rsidRDefault="00F71FA9" w:rsidP="00124440">
            <w:pPr>
              <w:keepNext/>
              <w:spacing w:before="20" w:after="20"/>
              <w:rPr>
                <w:rFonts w:ascii="Arial Narrow" w:hAnsi="Arial Narrow"/>
                <w:sz w:val="20"/>
                <w:szCs w:val="20"/>
              </w:rPr>
            </w:pPr>
            <w:r>
              <w:rPr>
                <w:rFonts w:ascii="Arial Narrow" w:hAnsi="Arial Narrow"/>
                <w:sz w:val="20"/>
                <w:szCs w:val="20"/>
              </w:rPr>
              <w:t>Breast (interval cancer)</w:t>
            </w:r>
          </w:p>
        </w:tc>
        <w:tc>
          <w:tcPr>
            <w:tcW w:w="1332" w:type="dxa"/>
            <w:vAlign w:val="center"/>
          </w:tcPr>
          <w:p w14:paraId="13BCA07B" w14:textId="2C30C58D"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2" w:type="dxa"/>
            <w:vAlign w:val="center"/>
          </w:tcPr>
          <w:p w14:paraId="46655D5C" w14:textId="66176E17"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c>
          <w:tcPr>
            <w:tcW w:w="1333" w:type="dxa"/>
            <w:vAlign w:val="center"/>
          </w:tcPr>
          <w:p w14:paraId="39BB78A0" w14:textId="77777777"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Breast MRI</w:t>
            </w:r>
          </w:p>
        </w:tc>
        <w:tc>
          <w:tcPr>
            <w:tcW w:w="1332" w:type="dxa"/>
            <w:vAlign w:val="center"/>
          </w:tcPr>
          <w:p w14:paraId="680F62AC" w14:textId="701E590B" w:rsidR="00F71FA9" w:rsidRPr="00C523BD" w:rsidRDefault="00F71FA9" w:rsidP="00124440">
            <w:pPr>
              <w:keepNext/>
              <w:spacing w:before="20" w:after="20"/>
              <w:jc w:val="center"/>
              <w:rPr>
                <w:rFonts w:ascii="Arial Narrow" w:hAnsi="Arial Narrow"/>
                <w:sz w:val="20"/>
                <w:szCs w:val="20"/>
              </w:rPr>
            </w:pPr>
            <w:r>
              <w:rPr>
                <w:rFonts w:ascii="Arial Narrow" w:hAnsi="Arial Narrow"/>
                <w:sz w:val="20"/>
                <w:szCs w:val="20"/>
              </w:rPr>
              <w:t>No</w:t>
            </w:r>
          </w:p>
        </w:tc>
        <w:tc>
          <w:tcPr>
            <w:tcW w:w="1333" w:type="dxa"/>
          </w:tcPr>
          <w:p w14:paraId="31494471" w14:textId="3CB9B7AD" w:rsidR="00F71FA9" w:rsidRDefault="00F71FA9" w:rsidP="00124440">
            <w:pPr>
              <w:keepNext/>
              <w:spacing w:before="20" w:after="20"/>
              <w:jc w:val="center"/>
              <w:rPr>
                <w:rFonts w:ascii="Arial Narrow" w:hAnsi="Arial Narrow"/>
                <w:sz w:val="20"/>
                <w:szCs w:val="20"/>
              </w:rPr>
            </w:pPr>
            <w:r>
              <w:rPr>
                <w:rFonts w:ascii="Arial Narrow" w:hAnsi="Arial Narrow"/>
                <w:sz w:val="20"/>
                <w:szCs w:val="20"/>
              </w:rPr>
              <w:t>Yes</w:t>
            </w:r>
          </w:p>
        </w:tc>
      </w:tr>
    </w:tbl>
    <w:p w14:paraId="62717648" w14:textId="136A7631" w:rsidR="00F71FA9" w:rsidRPr="00603F8D" w:rsidRDefault="00F71FA9" w:rsidP="00705109">
      <w:pPr>
        <w:spacing w:before="0" w:after="240" w:line="240" w:lineRule="auto"/>
        <w:rPr>
          <w:rFonts w:ascii="Arial Narrow" w:hAnsi="Arial Narrow"/>
          <w:sz w:val="18"/>
          <w:szCs w:val="18"/>
        </w:rPr>
      </w:pPr>
      <w:r>
        <w:rPr>
          <w:rFonts w:ascii="Arial Narrow" w:hAnsi="Arial Narrow"/>
          <w:sz w:val="18"/>
          <w:szCs w:val="18"/>
        </w:rPr>
        <w:t xml:space="preserve">Source: </w:t>
      </w:r>
      <w:r w:rsidRPr="00097D67">
        <w:rPr>
          <w:rFonts w:ascii="Arial Narrow" w:hAnsi="Arial Narrow"/>
          <w:sz w:val="18"/>
          <w:szCs w:val="18"/>
        </w:rPr>
        <w:t>L</w:t>
      </w:r>
      <w:r w:rsidR="009B146B">
        <w:rPr>
          <w:rFonts w:ascii="Arial Narrow" w:hAnsi="Arial Narrow"/>
          <w:sz w:val="18"/>
          <w:szCs w:val="18"/>
        </w:rPr>
        <w:t>IFSCREEN</w:t>
      </w:r>
      <w:r w:rsidRPr="00097D67">
        <w:rPr>
          <w:rFonts w:ascii="Arial Narrow" w:hAnsi="Arial Narrow"/>
          <w:sz w:val="18"/>
          <w:szCs w:val="18"/>
        </w:rPr>
        <w:t xml:space="preserve"> data V2 excel workbook</w:t>
      </w:r>
    </w:p>
    <w:p w14:paraId="045AD029" w14:textId="4E0889D4" w:rsidR="00F71FA9" w:rsidRDefault="00F71FA9" w:rsidP="00F71FA9">
      <w:r>
        <w:t xml:space="preserve">The analysis indicates there are </w:t>
      </w:r>
      <w:proofErr w:type="gramStart"/>
      <w:r>
        <w:t>a number of</w:t>
      </w:r>
      <w:proofErr w:type="gramEnd"/>
      <w:r>
        <w:t xml:space="preserve"> tumours</w:t>
      </w:r>
      <w:r w:rsidR="00323011">
        <w:t xml:space="preserve"> (of different </w:t>
      </w:r>
      <w:proofErr w:type="spellStart"/>
      <w:r w:rsidR="00323011">
        <w:t>histologies</w:t>
      </w:r>
      <w:proofErr w:type="spellEnd"/>
      <w:r w:rsidR="00323011">
        <w:t>)</w:t>
      </w:r>
      <w:r>
        <w:t xml:space="preserve"> that would not have been detected by any of the modalities in current Australian cancer surveillance strategies in both arms, noting that three of seven (43%) such cancers in the standard surveillance arm of the trial were indeed ‘missed’ by surveillance and presented as interval cancers (false negatives). One of nine (11%) cancers in the STD+WBMRI arm compared with three of 13 (23%) cancers in the STD arm were not treated with curative intent.</w:t>
      </w:r>
    </w:p>
    <w:p w14:paraId="4F66E115" w14:textId="52BA8BF4" w:rsidR="00F71FA9" w:rsidRDefault="00F71FA9" w:rsidP="00F71FA9">
      <w:r>
        <w:t xml:space="preserve">Additional testing for confirmation of whether detected lesions were benign or malignant tumours from the included studies were also reported. From the included studies, a total of 1431 WBMRI scans were performed of which approximately 41% resulted in additional follow-up tests conducted. On average, 23% </w:t>
      </w:r>
      <w:r w:rsidR="0014777B">
        <w:t xml:space="preserve">(of the 41%) </w:t>
      </w:r>
      <w:r>
        <w:t>of additional tests led to a new primary cancer diagnosis, with the remainder (77%) resulting in a benign or normal outcome. Further data from the applicant from the SMOC+ study indicated that following baseline and subsequent WBMRI, 26.2% and 16.4% of the additional testing resulted in a confirmation of a new primary cancer, respectively, with all other testing confirming either (</w:t>
      </w:r>
      <w:proofErr w:type="spellStart"/>
      <w:r>
        <w:t>i</w:t>
      </w:r>
      <w:proofErr w:type="spellEnd"/>
      <w:r>
        <w:t>) a recurrence or metastases (not the purpose of WBMRI) or (ii) benign neoplasms or normal anatomic variations. Although the MBS listing for WBMRI is n</w:t>
      </w:r>
      <w:r w:rsidR="00D5317B">
        <w:t>either</w:t>
      </w:r>
      <w:r>
        <w:t xml:space="preserve"> </w:t>
      </w:r>
      <w:r w:rsidR="005B261A">
        <w:t xml:space="preserve">proposed </w:t>
      </w:r>
      <w:r>
        <w:t>for monitoring cancer recurrence</w:t>
      </w:r>
      <w:r w:rsidR="00D5317B">
        <w:t xml:space="preserve"> during the two-years period following systemic treatment,</w:t>
      </w:r>
      <w:r>
        <w:t xml:space="preserve"> </w:t>
      </w:r>
      <w:r w:rsidR="00D5317B">
        <w:t>n</w:t>
      </w:r>
      <w:r>
        <w:t xml:space="preserve">or </w:t>
      </w:r>
      <w:r w:rsidR="005B261A">
        <w:t>response to treatment</w:t>
      </w:r>
      <w:r>
        <w:t xml:space="preserve">, this is valuable information for a patient. Also, over time, it would be expected that the number of additional tests </w:t>
      </w:r>
      <w:r w:rsidR="00DA64D3">
        <w:t xml:space="preserve">performed </w:t>
      </w:r>
      <w:r>
        <w:t xml:space="preserve">for </w:t>
      </w:r>
      <w:r>
        <w:lastRenderedPageBreak/>
        <w:t>“normal anatomic variations” would decrease as past WBMRI results could be co</w:t>
      </w:r>
      <w:r w:rsidR="00DA64D3">
        <w:t>mpared</w:t>
      </w:r>
      <w:r>
        <w:t xml:space="preserve"> and a lesion that was confirmed previously wouldn’t be subjected to additional testing repeatedly.</w:t>
      </w:r>
    </w:p>
    <w:p w14:paraId="54327E3D" w14:textId="10CDD0D1" w:rsidR="00F71FA9" w:rsidRDefault="00F71FA9" w:rsidP="00411DE4">
      <w:pPr>
        <w:keepNext/>
        <w:rPr>
          <w:i/>
          <w:iCs/>
        </w:rPr>
      </w:pPr>
      <w:r>
        <w:rPr>
          <w:i/>
          <w:iCs/>
        </w:rPr>
        <w:t>Health outcomes</w:t>
      </w:r>
    </w:p>
    <w:p w14:paraId="2311514F" w14:textId="4D36F0DD" w:rsidR="00F71FA9" w:rsidRPr="00CE28E3" w:rsidRDefault="00F71FA9" w:rsidP="00F71FA9">
      <w:r>
        <w:t xml:space="preserve">The diagnostic accuracy of WBMRI plus standard cancer surveillance in the </w:t>
      </w:r>
      <w:r w:rsidRPr="006965F6">
        <w:rPr>
          <w:i/>
          <w:iCs/>
        </w:rPr>
        <w:t>TP53</w:t>
      </w:r>
      <w:r>
        <w:t xml:space="preserve"> germline variant population has been shown to have high sensitivity (</w:t>
      </w:r>
      <w:r w:rsidR="00557F31">
        <w:t>i.e.</w:t>
      </w:r>
      <w:r>
        <w:t>, is proficient in identifying tumours), and may detect cancers that would otherwise go undetected until symptomatic or detect cancers at an earlier (</w:t>
      </w:r>
      <w:proofErr w:type="gramStart"/>
      <w:r>
        <w:t>i.e.</w:t>
      </w:r>
      <w:proofErr w:type="gramEnd"/>
      <w:r>
        <w:t xml:space="preserve"> curative) stage. Thus, evidence to support superior patient outcomes (overall survival) from cancer treatment initiated at an earlier versus a later stage was sought.</w:t>
      </w:r>
    </w:p>
    <w:p w14:paraId="42D0964D" w14:textId="7E00C34B" w:rsidR="00F71FA9" w:rsidRDefault="00F71FA9" w:rsidP="00F71FA9">
      <w:r>
        <w:t xml:space="preserve">No evidence directly investigating cancer treatment initiated at an earlier versus a later stage in patients with pathogenic or likely pathogenic </w:t>
      </w:r>
      <w:r w:rsidRPr="00715A4C">
        <w:rPr>
          <w:i/>
          <w:iCs/>
        </w:rPr>
        <w:t>TP53</w:t>
      </w:r>
      <w:r>
        <w:t xml:space="preserve"> germline variants was identified. However, Villani (2016, 2011) provided evidence to inform the overall survival of patients with germline </w:t>
      </w:r>
      <w:r w:rsidRPr="00F80E1E">
        <w:rPr>
          <w:i/>
          <w:iCs/>
        </w:rPr>
        <w:t xml:space="preserve">TP53 </w:t>
      </w:r>
      <w:r>
        <w:t>variants with a tumour diagnosed symptomatically (in the non-surveillance group) versus one diagnosed by surveillance.</w:t>
      </w:r>
      <w:r w:rsidR="005322FF">
        <w:t xml:space="preserve"> As reported above, the surveillance group demonstrated statistically significant improvements in overall survival.</w:t>
      </w:r>
    </w:p>
    <w:p w14:paraId="6756D747" w14:textId="474C0FD8" w:rsidR="005322FF" w:rsidRDefault="005322FF" w:rsidP="00F71FA9">
      <w:r>
        <w:t>To further supplement this, a further three meta-analyses (Johnson 2021</w:t>
      </w:r>
      <w:r w:rsidR="00FA009F">
        <w:rPr>
          <w:rStyle w:val="FootnoteReference"/>
        </w:rPr>
        <w:footnoteReference w:id="29"/>
      </w:r>
      <w:r>
        <w:t xml:space="preserve">, </w:t>
      </w:r>
      <w:r w:rsidR="004A43DD">
        <w:t>Hanna 2020</w:t>
      </w:r>
      <w:r w:rsidR="00FA009F">
        <w:rPr>
          <w:rStyle w:val="FootnoteReference"/>
        </w:rPr>
        <w:footnoteReference w:id="30"/>
      </w:r>
      <w:r>
        <w:t xml:space="preserve">, and </w:t>
      </w:r>
      <w:proofErr w:type="spellStart"/>
      <w:r>
        <w:t>Mhaskar</w:t>
      </w:r>
      <w:proofErr w:type="spellEnd"/>
      <w:r>
        <w:t xml:space="preserve"> 2010</w:t>
      </w:r>
      <w:r w:rsidR="00FA009F">
        <w:rPr>
          <w:rStyle w:val="FootnoteReference"/>
        </w:rPr>
        <w:footnoteReference w:id="31"/>
      </w:r>
      <w:r>
        <w:t>) were identified, each considered early versus late curative cancer treatment on</w:t>
      </w:r>
      <w:r w:rsidR="00C919D5">
        <w:t xml:space="preserve"> </w:t>
      </w:r>
      <w:r>
        <w:t xml:space="preserve">overall </w:t>
      </w:r>
      <w:proofErr w:type="gramStart"/>
      <w:r>
        <w:t>survival</w:t>
      </w:r>
      <w:proofErr w:type="gramEnd"/>
      <w:r>
        <w:t xml:space="preserve"> and all were considered to have a low risk of bias. Each of these included patients from the general population, however the applicant confirmed it was reasonable to expect patients who are diagnosed with cancer undergo the same routine treatment (</w:t>
      </w:r>
      <w:proofErr w:type="gramStart"/>
      <w:r>
        <w:t>with the exception of</w:t>
      </w:r>
      <w:proofErr w:type="gramEnd"/>
      <w:r>
        <w:t xml:space="preserve"> radiation therapy, if it could be avoided)</w:t>
      </w:r>
      <w:r w:rsidRPr="00A5122D">
        <w:t xml:space="preserve"> </w:t>
      </w:r>
      <w:r>
        <w:t xml:space="preserve">and would expect similar outcomes regardless of </w:t>
      </w:r>
      <w:r>
        <w:rPr>
          <w:i/>
          <w:iCs/>
        </w:rPr>
        <w:t xml:space="preserve">TP53 </w:t>
      </w:r>
      <w:r>
        <w:t xml:space="preserve">germline variant status. The results from the meta-analyses are presented in </w:t>
      </w:r>
      <w:r>
        <w:fldChar w:fldCharType="begin"/>
      </w:r>
      <w:r>
        <w:instrText xml:space="preserve"> REF _Ref99950658 \h </w:instrText>
      </w:r>
      <w:r>
        <w:fldChar w:fldCharType="separate"/>
      </w:r>
      <w:r w:rsidR="00822248">
        <w:t xml:space="preserve">Table </w:t>
      </w:r>
      <w:r w:rsidR="00822248">
        <w:rPr>
          <w:noProof/>
        </w:rPr>
        <w:t>9</w:t>
      </w:r>
      <w:r>
        <w:fldChar w:fldCharType="end"/>
      </w:r>
      <w:r>
        <w:t>.</w:t>
      </w:r>
    </w:p>
    <w:p w14:paraId="64CEDDDA" w14:textId="3BB1C58A" w:rsidR="005322FF" w:rsidRDefault="005322FF" w:rsidP="00705109">
      <w:pPr>
        <w:pStyle w:val="Caption"/>
        <w:spacing w:before="240"/>
        <w:ind w:left="709" w:hanging="709"/>
      </w:pPr>
      <w:bookmarkStart w:id="25" w:name="_Ref99950658"/>
      <w:r>
        <w:lastRenderedPageBreak/>
        <w:t xml:space="preserve">Table </w:t>
      </w:r>
      <w:r w:rsidR="0067109A">
        <w:fldChar w:fldCharType="begin"/>
      </w:r>
      <w:r w:rsidR="0067109A">
        <w:instrText xml:space="preserve"> SEQ Table \* ARABIC </w:instrText>
      </w:r>
      <w:r w:rsidR="0067109A">
        <w:fldChar w:fldCharType="separate"/>
      </w:r>
      <w:r w:rsidR="00822248">
        <w:rPr>
          <w:noProof/>
        </w:rPr>
        <w:t>9</w:t>
      </w:r>
      <w:r w:rsidR="0067109A">
        <w:rPr>
          <w:noProof/>
        </w:rPr>
        <w:fldChar w:fldCharType="end"/>
      </w:r>
      <w:bookmarkEnd w:id="25"/>
      <w:r>
        <w:tab/>
        <w:t xml:space="preserve">Results of overall survival of delayed versus earlier cancer treatment across a range of cancer indications in Johnson 2021, Hanna 2020, and </w:t>
      </w:r>
      <w:proofErr w:type="spellStart"/>
      <w:r>
        <w:t>Mhaskar</w:t>
      </w:r>
      <w:proofErr w:type="spellEnd"/>
      <w:r>
        <w:t xml:space="preserve"> 2010</w:t>
      </w:r>
    </w:p>
    <w:tbl>
      <w:tblPr>
        <w:tblStyle w:val="TableGrid1"/>
        <w:tblW w:w="9016" w:type="dxa"/>
        <w:tblCellMar>
          <w:left w:w="0" w:type="dxa"/>
          <w:right w:w="0" w:type="dxa"/>
        </w:tblCellMar>
        <w:tblLook w:val="04A0" w:firstRow="1" w:lastRow="0" w:firstColumn="1" w:lastColumn="0" w:noHBand="0" w:noVBand="1"/>
      </w:tblPr>
      <w:tblGrid>
        <w:gridCol w:w="1129"/>
        <w:gridCol w:w="2127"/>
        <w:gridCol w:w="708"/>
        <w:gridCol w:w="2410"/>
        <w:gridCol w:w="1418"/>
        <w:gridCol w:w="1224"/>
      </w:tblGrid>
      <w:tr w:rsidR="005322FF" w14:paraId="01737CFE" w14:textId="77777777" w:rsidTr="00D65191">
        <w:trPr>
          <w:cnfStyle w:val="100000000000" w:firstRow="1" w:lastRow="0" w:firstColumn="0" w:lastColumn="0" w:oddVBand="0" w:evenVBand="0" w:oddHBand="0" w:evenHBand="0" w:firstRowFirstColumn="0" w:firstRowLastColumn="0" w:lastRowFirstColumn="0" w:lastRowLastColumn="0"/>
          <w:trHeight w:val="260"/>
        </w:trPr>
        <w:tc>
          <w:tcPr>
            <w:tcW w:w="112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21E017" w14:textId="77777777" w:rsidR="005322FF" w:rsidRDefault="005322FF" w:rsidP="00D65191">
            <w:pPr>
              <w:keepNext/>
              <w:spacing w:before="0" w:after="0"/>
              <w:rPr>
                <w:rFonts w:ascii="Arial Narrow" w:hAnsi="Arial Narrow" w:cs="Calibri"/>
                <w:b/>
                <w:bCs/>
                <w:color w:val="000000"/>
              </w:rPr>
            </w:pPr>
            <w:r>
              <w:rPr>
                <w:rFonts w:ascii="Arial Narrow" w:hAnsi="Arial Narrow" w:cs="Calibri"/>
                <w:b/>
                <w:bCs/>
                <w:color w:val="000000"/>
              </w:rPr>
              <w:t>Study</w:t>
            </w:r>
          </w:p>
        </w:tc>
        <w:tc>
          <w:tcPr>
            <w:tcW w:w="2127"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019EC1C7" w14:textId="77777777" w:rsidR="005322FF" w:rsidRDefault="005322FF" w:rsidP="00D65191">
            <w:pPr>
              <w:keepNext/>
              <w:spacing w:before="0" w:after="0"/>
              <w:rPr>
                <w:rFonts w:ascii="Arial Narrow" w:hAnsi="Arial Narrow" w:cs="Calibri"/>
                <w:b/>
                <w:bCs/>
                <w:color w:val="000000"/>
              </w:rPr>
            </w:pPr>
            <w:r>
              <w:rPr>
                <w:rFonts w:ascii="Arial Narrow" w:hAnsi="Arial Narrow" w:cs="Calibri"/>
                <w:b/>
                <w:bCs/>
                <w:color w:val="000000"/>
              </w:rPr>
              <w:t>Delay period</w:t>
            </w:r>
          </w:p>
        </w:tc>
        <w:tc>
          <w:tcPr>
            <w:tcW w:w="7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7CA6AA" w14:textId="3BC8304E" w:rsidR="005322FF" w:rsidRDefault="005322FF" w:rsidP="00D65191">
            <w:pPr>
              <w:keepNext/>
              <w:spacing w:before="0" w:after="0"/>
              <w:jc w:val="center"/>
              <w:rPr>
                <w:rFonts w:ascii="Arial Narrow" w:hAnsi="Arial Narrow" w:cs="Calibri"/>
                <w:b/>
                <w:bCs/>
                <w:color w:val="000000"/>
              </w:rPr>
            </w:pPr>
            <w:r>
              <w:rPr>
                <w:rFonts w:ascii="Arial Narrow" w:hAnsi="Arial Narrow" w:cs="Calibri"/>
                <w:b/>
                <w:bCs/>
                <w:color w:val="000000"/>
              </w:rPr>
              <w:t>Studies</w:t>
            </w:r>
          </w:p>
        </w:tc>
        <w:tc>
          <w:tcPr>
            <w:tcW w:w="241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4312AA84" w14:textId="77777777" w:rsidR="005322FF" w:rsidRDefault="005322FF" w:rsidP="00D65191">
            <w:pPr>
              <w:keepNext/>
              <w:spacing w:before="0" w:after="0"/>
              <w:rPr>
                <w:rFonts w:ascii="Arial Narrow" w:hAnsi="Arial Narrow" w:cs="Calibri"/>
                <w:b/>
                <w:bCs/>
                <w:color w:val="000000"/>
              </w:rPr>
            </w:pPr>
            <w:r>
              <w:rPr>
                <w:rFonts w:ascii="Arial Narrow" w:hAnsi="Arial Narrow" w:cs="Calibri"/>
                <w:b/>
                <w:bCs/>
                <w:color w:val="000000"/>
              </w:rPr>
              <w:t>Cancer type</w:t>
            </w:r>
          </w:p>
        </w:tc>
        <w:tc>
          <w:tcPr>
            <w:tcW w:w="1418"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E245854" w14:textId="77777777" w:rsidR="005322FF" w:rsidRDefault="005322FF" w:rsidP="00D65191">
            <w:pPr>
              <w:keepNext/>
              <w:spacing w:before="0" w:after="0"/>
              <w:jc w:val="center"/>
              <w:rPr>
                <w:rFonts w:ascii="Arial Narrow" w:hAnsi="Arial Narrow" w:cs="Calibri"/>
                <w:b/>
                <w:bCs/>
                <w:color w:val="000000"/>
              </w:rPr>
            </w:pPr>
            <w:r>
              <w:rPr>
                <w:rFonts w:ascii="Arial Narrow" w:hAnsi="Arial Narrow" w:cs="Calibri"/>
                <w:b/>
                <w:bCs/>
                <w:color w:val="000000"/>
              </w:rPr>
              <w:t>HR (95% CI)</w:t>
            </w:r>
          </w:p>
        </w:tc>
        <w:tc>
          <w:tcPr>
            <w:tcW w:w="1224"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135D6835" w14:textId="77777777" w:rsidR="005322FF" w:rsidRPr="003C2449" w:rsidRDefault="005322FF" w:rsidP="00D65191">
            <w:pPr>
              <w:keepNext/>
              <w:spacing w:before="0" w:after="0"/>
              <w:jc w:val="center"/>
              <w:rPr>
                <w:rFonts w:ascii="Arial Narrow" w:hAnsi="Arial Narrow" w:cs="Calibri"/>
                <w:b/>
                <w:bCs/>
                <w:color w:val="000000"/>
              </w:rPr>
            </w:pPr>
            <w:r>
              <w:rPr>
                <w:rFonts w:ascii="Arial Narrow" w:hAnsi="Arial Narrow" w:cs="Calibri"/>
                <w:b/>
                <w:bCs/>
                <w:color w:val="000000"/>
              </w:rPr>
              <w:t>I</w:t>
            </w:r>
            <w:r>
              <w:rPr>
                <w:rFonts w:ascii="Arial Narrow" w:hAnsi="Arial Narrow" w:cs="Calibri"/>
                <w:b/>
                <w:bCs/>
                <w:color w:val="000000"/>
                <w:vertAlign w:val="superscript"/>
              </w:rPr>
              <w:t>2</w:t>
            </w:r>
            <w:r>
              <w:rPr>
                <w:rFonts w:ascii="Arial Narrow" w:hAnsi="Arial Narrow" w:cs="Calibri"/>
                <w:b/>
                <w:bCs/>
                <w:color w:val="000000"/>
              </w:rPr>
              <w:t>, p-value</w:t>
            </w:r>
          </w:p>
        </w:tc>
      </w:tr>
      <w:tr w:rsidR="005322FF" w14:paraId="0478B9ED" w14:textId="77777777" w:rsidTr="00D65191">
        <w:trPr>
          <w:trHeight w:val="260"/>
        </w:trPr>
        <w:tc>
          <w:tcPr>
            <w:tcW w:w="1129"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68ED78B" w14:textId="77777777" w:rsidR="005322FF" w:rsidRPr="00C35065" w:rsidRDefault="005322FF" w:rsidP="00D65191">
            <w:pPr>
              <w:keepNext/>
              <w:spacing w:before="0" w:after="0"/>
              <w:rPr>
                <w:rFonts w:ascii="Arial Narrow" w:hAnsi="Arial Narrow" w:cs="Calibri"/>
                <w:color w:val="000000"/>
              </w:rPr>
            </w:pPr>
            <w:r w:rsidRPr="00C35065">
              <w:rPr>
                <w:rFonts w:ascii="Arial Narrow" w:hAnsi="Arial Narrow" w:cs="Calibri"/>
                <w:color w:val="000000"/>
              </w:rPr>
              <w:t>Johnson 2021</w:t>
            </w:r>
          </w:p>
        </w:tc>
        <w:tc>
          <w:tcPr>
            <w:tcW w:w="2127" w:type="dxa"/>
            <w:tcBorders>
              <w:top w:val="nil"/>
              <w:left w:val="nil"/>
              <w:bottom w:val="nil"/>
              <w:right w:val="nil"/>
            </w:tcBorders>
            <w:shd w:val="clear" w:color="auto" w:fill="auto"/>
            <w:noWrap/>
            <w:tcMar>
              <w:top w:w="15" w:type="dxa"/>
              <w:left w:w="15" w:type="dxa"/>
              <w:bottom w:w="0" w:type="dxa"/>
              <w:right w:w="15" w:type="dxa"/>
            </w:tcMar>
            <w:vAlign w:val="center"/>
            <w:hideMark/>
          </w:tcPr>
          <w:p w14:paraId="70EFBCF8"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12-weeks</w:t>
            </w:r>
          </w:p>
        </w:tc>
        <w:tc>
          <w:tcPr>
            <w:tcW w:w="70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tcPr>
          <w:p w14:paraId="38317AB8"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11</w:t>
            </w:r>
          </w:p>
        </w:tc>
        <w:tc>
          <w:tcPr>
            <w:tcW w:w="2410" w:type="dxa"/>
            <w:tcBorders>
              <w:top w:val="nil"/>
              <w:left w:val="nil"/>
              <w:bottom w:val="nil"/>
              <w:right w:val="nil"/>
            </w:tcBorders>
            <w:shd w:val="clear" w:color="auto" w:fill="auto"/>
            <w:noWrap/>
            <w:tcMar>
              <w:top w:w="15" w:type="dxa"/>
              <w:left w:w="15" w:type="dxa"/>
              <w:bottom w:w="0" w:type="dxa"/>
              <w:right w:w="15" w:type="dxa"/>
            </w:tcMar>
            <w:vAlign w:val="center"/>
            <w:hideMark/>
          </w:tcPr>
          <w:p w14:paraId="5D3DABCD"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Breast - non-stage specific</w:t>
            </w:r>
          </w:p>
        </w:tc>
        <w:tc>
          <w:tcPr>
            <w:tcW w:w="1418"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1F4B1D7" w14:textId="77777777" w:rsidR="005322FF" w:rsidRPr="000B2476" w:rsidRDefault="005322FF" w:rsidP="00D65191">
            <w:pPr>
              <w:keepNext/>
              <w:spacing w:before="0" w:after="0"/>
              <w:jc w:val="center"/>
              <w:rPr>
                <w:rFonts w:ascii="Arial Narrow" w:hAnsi="Arial Narrow" w:cs="Calibri"/>
                <w:b/>
                <w:bCs/>
                <w:color w:val="000000"/>
              </w:rPr>
            </w:pPr>
            <w:r w:rsidRPr="000B2476">
              <w:rPr>
                <w:rFonts w:ascii="Arial Narrow" w:hAnsi="Arial Narrow" w:cs="Calibri"/>
                <w:b/>
                <w:bCs/>
                <w:color w:val="000000"/>
              </w:rPr>
              <w:t>1.46 (1.28-1.65)</w:t>
            </w:r>
          </w:p>
        </w:tc>
        <w:tc>
          <w:tcPr>
            <w:tcW w:w="1224"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43573AD4"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86%, p&lt;0.01</w:t>
            </w:r>
          </w:p>
        </w:tc>
      </w:tr>
      <w:tr w:rsidR="005322FF" w14:paraId="71530010" w14:textId="77777777" w:rsidTr="00D65191">
        <w:trPr>
          <w:trHeight w:val="260"/>
        </w:trPr>
        <w:tc>
          <w:tcPr>
            <w:tcW w:w="1129"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6816395" w14:textId="77777777" w:rsidR="005322FF" w:rsidRPr="00C35065" w:rsidRDefault="005322FF" w:rsidP="00D65191">
            <w:pPr>
              <w:keepNext/>
              <w:spacing w:before="0" w:after="0"/>
              <w:rPr>
                <w:rFonts w:ascii="Arial Narrow" w:hAnsi="Arial Narrow" w:cs="Calibri"/>
                <w:color w:val="000000"/>
              </w:rPr>
            </w:pPr>
            <w:r w:rsidRPr="00C35065">
              <w:rPr>
                <w:rFonts w:ascii="Arial Narrow" w:hAnsi="Arial Narrow" w:cs="Calibri"/>
                <w:color w:val="000000"/>
              </w:rPr>
              <w:t> </w:t>
            </w:r>
          </w:p>
        </w:tc>
        <w:tc>
          <w:tcPr>
            <w:tcW w:w="2127" w:type="dxa"/>
            <w:tcBorders>
              <w:top w:val="nil"/>
              <w:left w:val="nil"/>
              <w:bottom w:val="nil"/>
              <w:right w:val="nil"/>
            </w:tcBorders>
            <w:shd w:val="clear" w:color="auto" w:fill="auto"/>
            <w:noWrap/>
            <w:tcMar>
              <w:top w:w="15" w:type="dxa"/>
              <w:left w:w="15" w:type="dxa"/>
              <w:bottom w:w="0" w:type="dxa"/>
              <w:right w:w="15" w:type="dxa"/>
            </w:tcMar>
            <w:vAlign w:val="center"/>
            <w:hideMark/>
          </w:tcPr>
          <w:p w14:paraId="4CD62498"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 </w:t>
            </w:r>
          </w:p>
        </w:tc>
        <w:tc>
          <w:tcPr>
            <w:tcW w:w="70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tcPr>
          <w:p w14:paraId="4E46B069"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5</w:t>
            </w:r>
          </w:p>
        </w:tc>
        <w:tc>
          <w:tcPr>
            <w:tcW w:w="2410" w:type="dxa"/>
            <w:tcBorders>
              <w:top w:val="nil"/>
              <w:left w:val="nil"/>
              <w:bottom w:val="nil"/>
              <w:right w:val="nil"/>
            </w:tcBorders>
            <w:shd w:val="clear" w:color="auto" w:fill="auto"/>
            <w:noWrap/>
            <w:tcMar>
              <w:top w:w="15" w:type="dxa"/>
              <w:left w:w="15" w:type="dxa"/>
              <w:bottom w:w="0" w:type="dxa"/>
              <w:right w:w="15" w:type="dxa"/>
            </w:tcMar>
            <w:vAlign w:val="center"/>
            <w:hideMark/>
          </w:tcPr>
          <w:p w14:paraId="08EA9A25"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Breast - Stage I</w:t>
            </w:r>
          </w:p>
        </w:tc>
        <w:tc>
          <w:tcPr>
            <w:tcW w:w="141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B28236F" w14:textId="77777777" w:rsidR="005322FF" w:rsidRPr="000B2476" w:rsidRDefault="005322FF" w:rsidP="00D65191">
            <w:pPr>
              <w:keepNext/>
              <w:spacing w:before="0" w:after="0"/>
              <w:jc w:val="center"/>
              <w:rPr>
                <w:rFonts w:ascii="Arial Narrow" w:hAnsi="Arial Narrow" w:cs="Calibri"/>
                <w:b/>
                <w:bCs/>
                <w:color w:val="000000"/>
              </w:rPr>
            </w:pPr>
            <w:r w:rsidRPr="000B2476">
              <w:rPr>
                <w:rFonts w:ascii="Arial Narrow" w:hAnsi="Arial Narrow" w:cs="Calibri"/>
                <w:b/>
                <w:bCs/>
                <w:color w:val="000000"/>
              </w:rPr>
              <w:t>1.27 (1.16-1.4)</w:t>
            </w:r>
          </w:p>
        </w:tc>
        <w:tc>
          <w:tcPr>
            <w:tcW w:w="1224"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DE41052"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97%, p&lt;0.01</w:t>
            </w:r>
          </w:p>
        </w:tc>
      </w:tr>
      <w:tr w:rsidR="005322FF" w14:paraId="0B2F9A42" w14:textId="77777777" w:rsidTr="00D65191">
        <w:trPr>
          <w:trHeight w:val="260"/>
        </w:trPr>
        <w:tc>
          <w:tcPr>
            <w:tcW w:w="1129"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83663B2" w14:textId="77777777" w:rsidR="005322FF" w:rsidRPr="00C35065" w:rsidRDefault="005322FF" w:rsidP="00D65191">
            <w:pPr>
              <w:keepNext/>
              <w:spacing w:before="0" w:after="0"/>
              <w:rPr>
                <w:rFonts w:ascii="Arial Narrow" w:hAnsi="Arial Narrow" w:cs="Calibri"/>
                <w:color w:val="000000"/>
              </w:rPr>
            </w:pPr>
            <w:r w:rsidRPr="00C35065">
              <w:rPr>
                <w:rFonts w:ascii="Arial Narrow" w:hAnsi="Arial Narrow" w:cs="Calibri"/>
                <w:color w:val="000000"/>
              </w:rPr>
              <w:t> </w:t>
            </w:r>
          </w:p>
        </w:tc>
        <w:tc>
          <w:tcPr>
            <w:tcW w:w="2127" w:type="dxa"/>
            <w:tcBorders>
              <w:top w:val="nil"/>
              <w:left w:val="nil"/>
              <w:bottom w:val="nil"/>
              <w:right w:val="nil"/>
            </w:tcBorders>
            <w:shd w:val="clear" w:color="auto" w:fill="auto"/>
            <w:noWrap/>
            <w:tcMar>
              <w:top w:w="15" w:type="dxa"/>
              <w:left w:w="15" w:type="dxa"/>
              <w:bottom w:w="0" w:type="dxa"/>
              <w:right w:w="15" w:type="dxa"/>
            </w:tcMar>
            <w:vAlign w:val="center"/>
            <w:hideMark/>
          </w:tcPr>
          <w:p w14:paraId="799B5D22"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 </w:t>
            </w:r>
          </w:p>
        </w:tc>
        <w:tc>
          <w:tcPr>
            <w:tcW w:w="70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tcPr>
          <w:p w14:paraId="5850C767"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5</w:t>
            </w:r>
          </w:p>
        </w:tc>
        <w:tc>
          <w:tcPr>
            <w:tcW w:w="2410" w:type="dxa"/>
            <w:tcBorders>
              <w:top w:val="nil"/>
              <w:left w:val="nil"/>
              <w:bottom w:val="nil"/>
              <w:right w:val="nil"/>
            </w:tcBorders>
            <w:shd w:val="clear" w:color="auto" w:fill="auto"/>
            <w:noWrap/>
            <w:tcMar>
              <w:top w:w="15" w:type="dxa"/>
              <w:left w:w="15" w:type="dxa"/>
              <w:bottom w:w="0" w:type="dxa"/>
              <w:right w:w="15" w:type="dxa"/>
            </w:tcMar>
            <w:vAlign w:val="center"/>
            <w:hideMark/>
          </w:tcPr>
          <w:p w14:paraId="2DFEA38B"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Breast - Stage II</w:t>
            </w:r>
          </w:p>
        </w:tc>
        <w:tc>
          <w:tcPr>
            <w:tcW w:w="141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CD4DF45" w14:textId="77777777" w:rsidR="005322FF" w:rsidRPr="000B2476" w:rsidRDefault="005322FF" w:rsidP="00D65191">
            <w:pPr>
              <w:keepNext/>
              <w:spacing w:before="0" w:after="0"/>
              <w:jc w:val="center"/>
              <w:rPr>
                <w:rFonts w:ascii="Arial Narrow" w:hAnsi="Arial Narrow" w:cs="Calibri"/>
                <w:b/>
                <w:bCs/>
                <w:color w:val="000000"/>
              </w:rPr>
            </w:pPr>
            <w:r w:rsidRPr="000B2476">
              <w:rPr>
                <w:rFonts w:ascii="Arial Narrow" w:hAnsi="Arial Narrow" w:cs="Calibri"/>
                <w:b/>
                <w:bCs/>
                <w:color w:val="000000"/>
              </w:rPr>
              <w:t>1.13 (1.02-1.24)</w:t>
            </w:r>
          </w:p>
        </w:tc>
        <w:tc>
          <w:tcPr>
            <w:tcW w:w="1224"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D861064"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89%, p&lt;0.01</w:t>
            </w:r>
          </w:p>
        </w:tc>
      </w:tr>
      <w:tr w:rsidR="005322FF" w14:paraId="52E3AD29" w14:textId="77777777" w:rsidTr="00D65191">
        <w:trPr>
          <w:trHeight w:val="260"/>
        </w:trPr>
        <w:tc>
          <w:tcPr>
            <w:tcW w:w="1129"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C3D85DB" w14:textId="77777777" w:rsidR="005322FF" w:rsidRPr="00C35065" w:rsidRDefault="005322FF" w:rsidP="00D65191">
            <w:pPr>
              <w:keepNext/>
              <w:spacing w:before="0" w:after="0"/>
              <w:rPr>
                <w:rFonts w:ascii="Arial Narrow" w:hAnsi="Arial Narrow" w:cs="Calibri"/>
                <w:color w:val="000000"/>
              </w:rPr>
            </w:pPr>
            <w:r w:rsidRPr="00C35065">
              <w:rPr>
                <w:rFonts w:ascii="Arial Narrow" w:hAnsi="Arial Narrow" w:cs="Calibri"/>
                <w:color w:val="000000"/>
              </w:rPr>
              <w:t> </w:t>
            </w:r>
          </w:p>
        </w:tc>
        <w:tc>
          <w:tcPr>
            <w:tcW w:w="2127" w:type="dxa"/>
            <w:tcBorders>
              <w:top w:val="nil"/>
              <w:left w:val="nil"/>
              <w:bottom w:val="nil"/>
              <w:right w:val="nil"/>
            </w:tcBorders>
            <w:shd w:val="clear" w:color="auto" w:fill="auto"/>
            <w:noWrap/>
            <w:tcMar>
              <w:top w:w="15" w:type="dxa"/>
              <w:left w:w="15" w:type="dxa"/>
              <w:bottom w:w="0" w:type="dxa"/>
              <w:right w:w="15" w:type="dxa"/>
            </w:tcMar>
            <w:vAlign w:val="center"/>
            <w:hideMark/>
          </w:tcPr>
          <w:p w14:paraId="1F44FF06"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 </w:t>
            </w:r>
          </w:p>
        </w:tc>
        <w:tc>
          <w:tcPr>
            <w:tcW w:w="70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tcPr>
          <w:p w14:paraId="34F84233"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3</w:t>
            </w:r>
          </w:p>
        </w:tc>
        <w:tc>
          <w:tcPr>
            <w:tcW w:w="2410" w:type="dxa"/>
            <w:tcBorders>
              <w:top w:val="nil"/>
              <w:left w:val="nil"/>
              <w:bottom w:val="nil"/>
              <w:right w:val="nil"/>
            </w:tcBorders>
            <w:shd w:val="clear" w:color="auto" w:fill="auto"/>
            <w:noWrap/>
            <w:tcMar>
              <w:top w:w="15" w:type="dxa"/>
              <w:left w:w="15" w:type="dxa"/>
              <w:bottom w:w="0" w:type="dxa"/>
              <w:right w:w="15" w:type="dxa"/>
            </w:tcMar>
            <w:vAlign w:val="center"/>
            <w:hideMark/>
          </w:tcPr>
          <w:p w14:paraId="33108122"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Breast - Stage III</w:t>
            </w:r>
          </w:p>
        </w:tc>
        <w:tc>
          <w:tcPr>
            <w:tcW w:w="141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B36D0B1"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1.20 (0.94-1.53)</w:t>
            </w:r>
          </w:p>
        </w:tc>
        <w:tc>
          <w:tcPr>
            <w:tcW w:w="1224"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0F0D9E3"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63%, p&lt;0.07</w:t>
            </w:r>
          </w:p>
        </w:tc>
      </w:tr>
      <w:tr w:rsidR="005322FF" w14:paraId="6D02DA61" w14:textId="77777777" w:rsidTr="00D65191">
        <w:trPr>
          <w:trHeight w:val="260"/>
        </w:trPr>
        <w:tc>
          <w:tcPr>
            <w:tcW w:w="1129"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376D39E" w14:textId="77777777" w:rsidR="005322FF" w:rsidRPr="00C35065" w:rsidRDefault="005322FF" w:rsidP="00D65191">
            <w:pPr>
              <w:keepNext/>
              <w:spacing w:before="0" w:after="0"/>
              <w:rPr>
                <w:rFonts w:ascii="Arial Narrow" w:hAnsi="Arial Narrow" w:cs="Calibri"/>
                <w:color w:val="000000"/>
              </w:rPr>
            </w:pPr>
            <w:r w:rsidRPr="00C35065">
              <w:rPr>
                <w:rFonts w:ascii="Arial Narrow" w:hAnsi="Arial Narrow" w:cs="Calibri"/>
                <w:color w:val="000000"/>
              </w:rPr>
              <w:t> </w:t>
            </w:r>
          </w:p>
        </w:tc>
        <w:tc>
          <w:tcPr>
            <w:tcW w:w="2127" w:type="dxa"/>
            <w:tcBorders>
              <w:top w:val="nil"/>
              <w:left w:val="nil"/>
              <w:bottom w:val="nil"/>
              <w:right w:val="nil"/>
            </w:tcBorders>
            <w:shd w:val="clear" w:color="auto" w:fill="auto"/>
            <w:noWrap/>
            <w:tcMar>
              <w:top w:w="15" w:type="dxa"/>
              <w:left w:w="15" w:type="dxa"/>
              <w:bottom w:w="0" w:type="dxa"/>
              <w:right w:w="15" w:type="dxa"/>
            </w:tcMar>
            <w:vAlign w:val="center"/>
            <w:hideMark/>
          </w:tcPr>
          <w:p w14:paraId="00A10016"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 </w:t>
            </w:r>
          </w:p>
        </w:tc>
        <w:tc>
          <w:tcPr>
            <w:tcW w:w="70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tcPr>
          <w:p w14:paraId="3B8CFB7F"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5</w:t>
            </w:r>
          </w:p>
        </w:tc>
        <w:tc>
          <w:tcPr>
            <w:tcW w:w="2410" w:type="dxa"/>
            <w:tcBorders>
              <w:top w:val="nil"/>
              <w:left w:val="nil"/>
              <w:bottom w:val="nil"/>
              <w:right w:val="nil"/>
            </w:tcBorders>
            <w:shd w:val="clear" w:color="auto" w:fill="auto"/>
            <w:noWrap/>
            <w:tcMar>
              <w:top w:w="15" w:type="dxa"/>
              <w:left w:w="15" w:type="dxa"/>
              <w:bottom w:w="0" w:type="dxa"/>
              <w:right w:w="15" w:type="dxa"/>
            </w:tcMar>
            <w:vAlign w:val="center"/>
            <w:hideMark/>
          </w:tcPr>
          <w:p w14:paraId="2A99171F"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Lung</w:t>
            </w:r>
          </w:p>
        </w:tc>
        <w:tc>
          <w:tcPr>
            <w:tcW w:w="141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E18D95A" w14:textId="77777777" w:rsidR="005322FF" w:rsidRPr="000B2476" w:rsidRDefault="005322FF" w:rsidP="00D65191">
            <w:pPr>
              <w:keepNext/>
              <w:spacing w:before="0" w:after="0"/>
              <w:jc w:val="center"/>
              <w:rPr>
                <w:rFonts w:ascii="Arial Narrow" w:hAnsi="Arial Narrow" w:cs="Calibri"/>
                <w:b/>
                <w:bCs/>
                <w:color w:val="000000"/>
              </w:rPr>
            </w:pPr>
            <w:r w:rsidRPr="000B2476">
              <w:rPr>
                <w:rFonts w:ascii="Arial Narrow" w:hAnsi="Arial Narrow" w:cs="Calibri"/>
                <w:b/>
                <w:bCs/>
                <w:color w:val="000000"/>
              </w:rPr>
              <w:t>1.04 (1.02-1.06)</w:t>
            </w:r>
          </w:p>
        </w:tc>
        <w:tc>
          <w:tcPr>
            <w:tcW w:w="1224"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A572A69"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84%, p&lt;0.01</w:t>
            </w:r>
          </w:p>
        </w:tc>
      </w:tr>
      <w:tr w:rsidR="005322FF" w14:paraId="66DB3652" w14:textId="77777777" w:rsidTr="00D65191">
        <w:trPr>
          <w:trHeight w:val="260"/>
        </w:trPr>
        <w:tc>
          <w:tcPr>
            <w:tcW w:w="11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80AC15" w14:textId="77777777" w:rsidR="005322FF" w:rsidRPr="00C35065" w:rsidRDefault="005322FF" w:rsidP="00D65191">
            <w:pPr>
              <w:keepNext/>
              <w:spacing w:before="0" w:after="0"/>
              <w:rPr>
                <w:rFonts w:ascii="Arial Narrow" w:hAnsi="Arial Narrow" w:cs="Calibri"/>
                <w:color w:val="000000"/>
              </w:rPr>
            </w:pPr>
            <w:r w:rsidRPr="00C35065">
              <w:rPr>
                <w:rFonts w:ascii="Arial Narrow" w:hAnsi="Arial Narrow" w:cs="Calibri"/>
                <w:color w:val="000000"/>
              </w:rPr>
              <w:t> </w:t>
            </w:r>
          </w:p>
        </w:tc>
        <w:tc>
          <w:tcPr>
            <w:tcW w:w="212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0566A62"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 </w:t>
            </w:r>
          </w:p>
        </w:tc>
        <w:tc>
          <w:tcPr>
            <w:tcW w:w="70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3C19C0"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7</w:t>
            </w:r>
          </w:p>
        </w:tc>
        <w:tc>
          <w:tcPr>
            <w:tcW w:w="241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2B4C706"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Colon</w:t>
            </w:r>
          </w:p>
        </w:tc>
        <w:tc>
          <w:tcPr>
            <w:tcW w:w="141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3F6CA" w14:textId="77777777" w:rsidR="005322FF" w:rsidRPr="000B2476" w:rsidRDefault="005322FF" w:rsidP="00D65191">
            <w:pPr>
              <w:keepNext/>
              <w:spacing w:before="0" w:after="0"/>
              <w:jc w:val="center"/>
              <w:rPr>
                <w:rFonts w:ascii="Arial Narrow" w:hAnsi="Arial Narrow" w:cs="Calibri"/>
                <w:b/>
                <w:bCs/>
                <w:color w:val="000000"/>
              </w:rPr>
            </w:pPr>
            <w:r w:rsidRPr="000B2476">
              <w:rPr>
                <w:rFonts w:ascii="Arial Narrow" w:hAnsi="Arial Narrow" w:cs="Calibri"/>
                <w:b/>
                <w:bCs/>
                <w:color w:val="000000"/>
              </w:rPr>
              <w:t>1.24 (1.12-1.38)</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5F7369"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71%, p&lt;0.01</w:t>
            </w:r>
          </w:p>
        </w:tc>
      </w:tr>
      <w:tr w:rsidR="005322FF" w14:paraId="7E8C3401" w14:textId="77777777" w:rsidTr="00D65191">
        <w:trPr>
          <w:trHeight w:val="260"/>
        </w:trPr>
        <w:tc>
          <w:tcPr>
            <w:tcW w:w="1129"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2BFC3F4" w14:textId="77777777" w:rsidR="005322FF" w:rsidRPr="00C35065" w:rsidRDefault="005322FF" w:rsidP="00D65191">
            <w:pPr>
              <w:keepNext/>
              <w:spacing w:before="0" w:after="0"/>
              <w:rPr>
                <w:rFonts w:ascii="Arial Narrow" w:hAnsi="Arial Narrow" w:cs="Calibri"/>
                <w:color w:val="000000"/>
              </w:rPr>
            </w:pPr>
            <w:r w:rsidRPr="00C35065">
              <w:rPr>
                <w:rFonts w:ascii="Arial Narrow" w:hAnsi="Arial Narrow" w:cs="Calibri"/>
                <w:color w:val="000000"/>
              </w:rPr>
              <w:t>Hanna 2020</w:t>
            </w:r>
          </w:p>
        </w:tc>
        <w:tc>
          <w:tcPr>
            <w:tcW w:w="2127" w:type="dxa"/>
            <w:tcBorders>
              <w:top w:val="nil"/>
              <w:left w:val="nil"/>
              <w:bottom w:val="nil"/>
              <w:right w:val="nil"/>
            </w:tcBorders>
            <w:shd w:val="clear" w:color="auto" w:fill="auto"/>
            <w:noWrap/>
            <w:tcMar>
              <w:top w:w="15" w:type="dxa"/>
              <w:left w:w="15" w:type="dxa"/>
              <w:bottom w:w="0" w:type="dxa"/>
              <w:right w:w="15" w:type="dxa"/>
            </w:tcMar>
            <w:vAlign w:val="center"/>
            <w:hideMark/>
          </w:tcPr>
          <w:p w14:paraId="11CD2B27"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4-weeks</w:t>
            </w:r>
          </w:p>
        </w:tc>
        <w:tc>
          <w:tcPr>
            <w:tcW w:w="70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tcPr>
          <w:p w14:paraId="06FD43E7"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3</w:t>
            </w:r>
          </w:p>
        </w:tc>
        <w:tc>
          <w:tcPr>
            <w:tcW w:w="2410" w:type="dxa"/>
            <w:tcBorders>
              <w:top w:val="nil"/>
              <w:left w:val="nil"/>
              <w:bottom w:val="nil"/>
              <w:right w:val="nil"/>
            </w:tcBorders>
            <w:shd w:val="clear" w:color="auto" w:fill="auto"/>
            <w:noWrap/>
            <w:tcMar>
              <w:top w:w="15" w:type="dxa"/>
              <w:left w:w="15" w:type="dxa"/>
              <w:bottom w:w="0" w:type="dxa"/>
              <w:right w:w="15" w:type="dxa"/>
            </w:tcMar>
            <w:vAlign w:val="center"/>
            <w:hideMark/>
          </w:tcPr>
          <w:p w14:paraId="3D229909"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Bladder</w:t>
            </w:r>
          </w:p>
        </w:tc>
        <w:tc>
          <w:tcPr>
            <w:tcW w:w="141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355B6DF" w14:textId="77777777" w:rsidR="005322FF" w:rsidRPr="000B2476" w:rsidRDefault="005322FF" w:rsidP="00D65191">
            <w:pPr>
              <w:keepNext/>
              <w:spacing w:before="0" w:after="0"/>
              <w:jc w:val="center"/>
              <w:rPr>
                <w:rFonts w:ascii="Arial Narrow" w:hAnsi="Arial Narrow" w:cs="Calibri"/>
                <w:b/>
                <w:bCs/>
                <w:color w:val="000000"/>
              </w:rPr>
            </w:pPr>
            <w:r w:rsidRPr="000B2476">
              <w:rPr>
                <w:rFonts w:ascii="Arial Narrow" w:hAnsi="Arial Narrow" w:cs="Calibri"/>
                <w:b/>
                <w:bCs/>
                <w:color w:val="000000"/>
              </w:rPr>
              <w:t>1.06 (1.01-1.12)</w:t>
            </w:r>
          </w:p>
        </w:tc>
        <w:tc>
          <w:tcPr>
            <w:tcW w:w="1224"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558997"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53%, p=0.12</w:t>
            </w:r>
          </w:p>
        </w:tc>
      </w:tr>
      <w:tr w:rsidR="005322FF" w14:paraId="31587AD1" w14:textId="77777777" w:rsidTr="00D65191">
        <w:trPr>
          <w:trHeight w:val="260"/>
        </w:trPr>
        <w:tc>
          <w:tcPr>
            <w:tcW w:w="1129"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3B3F582" w14:textId="77777777" w:rsidR="005322FF" w:rsidRPr="00C35065" w:rsidRDefault="005322FF" w:rsidP="00D65191">
            <w:pPr>
              <w:keepNext/>
              <w:spacing w:before="0" w:after="0"/>
              <w:rPr>
                <w:rFonts w:ascii="Arial Narrow" w:hAnsi="Arial Narrow" w:cs="Calibri"/>
                <w:color w:val="000000"/>
              </w:rPr>
            </w:pPr>
            <w:r w:rsidRPr="00C35065">
              <w:rPr>
                <w:rFonts w:ascii="Arial Narrow" w:hAnsi="Arial Narrow" w:cs="Calibri"/>
                <w:color w:val="000000"/>
              </w:rPr>
              <w:t> </w:t>
            </w:r>
          </w:p>
        </w:tc>
        <w:tc>
          <w:tcPr>
            <w:tcW w:w="2127" w:type="dxa"/>
            <w:tcBorders>
              <w:top w:val="nil"/>
              <w:left w:val="nil"/>
              <w:bottom w:val="nil"/>
              <w:right w:val="nil"/>
            </w:tcBorders>
            <w:shd w:val="clear" w:color="auto" w:fill="auto"/>
            <w:noWrap/>
            <w:tcMar>
              <w:top w:w="15" w:type="dxa"/>
              <w:left w:w="15" w:type="dxa"/>
              <w:bottom w:w="0" w:type="dxa"/>
              <w:right w:w="15" w:type="dxa"/>
            </w:tcMar>
            <w:vAlign w:val="center"/>
            <w:hideMark/>
          </w:tcPr>
          <w:p w14:paraId="09DE72D7"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 </w:t>
            </w:r>
          </w:p>
        </w:tc>
        <w:tc>
          <w:tcPr>
            <w:tcW w:w="70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tcPr>
          <w:p w14:paraId="35E86A30"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6</w:t>
            </w:r>
          </w:p>
        </w:tc>
        <w:tc>
          <w:tcPr>
            <w:tcW w:w="2410" w:type="dxa"/>
            <w:tcBorders>
              <w:top w:val="nil"/>
              <w:left w:val="nil"/>
              <w:bottom w:val="nil"/>
              <w:right w:val="nil"/>
            </w:tcBorders>
            <w:shd w:val="clear" w:color="auto" w:fill="auto"/>
            <w:noWrap/>
            <w:tcMar>
              <w:top w:w="15" w:type="dxa"/>
              <w:left w:w="15" w:type="dxa"/>
              <w:bottom w:w="0" w:type="dxa"/>
              <w:right w:w="15" w:type="dxa"/>
            </w:tcMar>
            <w:vAlign w:val="center"/>
            <w:hideMark/>
          </w:tcPr>
          <w:p w14:paraId="303E833D"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Breast</w:t>
            </w:r>
          </w:p>
        </w:tc>
        <w:tc>
          <w:tcPr>
            <w:tcW w:w="141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93D7FCB" w14:textId="77777777" w:rsidR="005322FF" w:rsidRPr="000B2476" w:rsidRDefault="005322FF" w:rsidP="00D65191">
            <w:pPr>
              <w:keepNext/>
              <w:spacing w:before="0" w:after="0"/>
              <w:jc w:val="center"/>
              <w:rPr>
                <w:rFonts w:ascii="Arial Narrow" w:hAnsi="Arial Narrow" w:cs="Calibri"/>
                <w:b/>
                <w:bCs/>
                <w:color w:val="000000"/>
              </w:rPr>
            </w:pPr>
            <w:r w:rsidRPr="000B2476">
              <w:rPr>
                <w:rFonts w:ascii="Arial Narrow" w:hAnsi="Arial Narrow" w:cs="Calibri"/>
                <w:b/>
                <w:bCs/>
                <w:color w:val="000000"/>
              </w:rPr>
              <w:t>1.08 (1.03-1.13)</w:t>
            </w:r>
          </w:p>
        </w:tc>
        <w:tc>
          <w:tcPr>
            <w:tcW w:w="1224"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5C7745"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94%, p=0</w:t>
            </w:r>
          </w:p>
        </w:tc>
      </w:tr>
      <w:tr w:rsidR="005322FF" w14:paraId="1AD68B72" w14:textId="77777777" w:rsidTr="00D65191">
        <w:trPr>
          <w:trHeight w:val="260"/>
        </w:trPr>
        <w:tc>
          <w:tcPr>
            <w:tcW w:w="1129"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A6C7B5E" w14:textId="77777777" w:rsidR="005322FF" w:rsidRPr="00C35065" w:rsidRDefault="005322FF" w:rsidP="00D65191">
            <w:pPr>
              <w:keepNext/>
              <w:spacing w:before="0" w:after="0"/>
              <w:rPr>
                <w:rFonts w:ascii="Arial Narrow" w:hAnsi="Arial Narrow" w:cs="Calibri"/>
                <w:color w:val="000000"/>
              </w:rPr>
            </w:pPr>
            <w:r w:rsidRPr="00C35065">
              <w:rPr>
                <w:rFonts w:ascii="Arial Narrow" w:hAnsi="Arial Narrow" w:cs="Calibri"/>
                <w:color w:val="000000"/>
              </w:rPr>
              <w:t> </w:t>
            </w:r>
          </w:p>
        </w:tc>
        <w:tc>
          <w:tcPr>
            <w:tcW w:w="2127" w:type="dxa"/>
            <w:tcBorders>
              <w:top w:val="nil"/>
              <w:left w:val="nil"/>
              <w:bottom w:val="nil"/>
              <w:right w:val="nil"/>
            </w:tcBorders>
            <w:shd w:val="clear" w:color="auto" w:fill="auto"/>
            <w:noWrap/>
            <w:tcMar>
              <w:top w:w="15" w:type="dxa"/>
              <w:left w:w="15" w:type="dxa"/>
              <w:bottom w:w="0" w:type="dxa"/>
              <w:right w:w="15" w:type="dxa"/>
            </w:tcMar>
            <w:vAlign w:val="center"/>
            <w:hideMark/>
          </w:tcPr>
          <w:p w14:paraId="1EC59E04"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 </w:t>
            </w:r>
          </w:p>
        </w:tc>
        <w:tc>
          <w:tcPr>
            <w:tcW w:w="70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tcPr>
          <w:p w14:paraId="1E4BC344"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2</w:t>
            </w:r>
          </w:p>
        </w:tc>
        <w:tc>
          <w:tcPr>
            <w:tcW w:w="2410" w:type="dxa"/>
            <w:tcBorders>
              <w:top w:val="nil"/>
              <w:left w:val="nil"/>
              <w:bottom w:val="nil"/>
              <w:right w:val="nil"/>
            </w:tcBorders>
            <w:shd w:val="clear" w:color="auto" w:fill="auto"/>
            <w:noWrap/>
            <w:tcMar>
              <w:top w:w="15" w:type="dxa"/>
              <w:left w:w="15" w:type="dxa"/>
              <w:bottom w:w="0" w:type="dxa"/>
              <w:right w:w="15" w:type="dxa"/>
            </w:tcMar>
            <w:vAlign w:val="center"/>
            <w:hideMark/>
          </w:tcPr>
          <w:p w14:paraId="5B8EC9F0"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Colon</w:t>
            </w:r>
          </w:p>
        </w:tc>
        <w:tc>
          <w:tcPr>
            <w:tcW w:w="141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FE5EBE9" w14:textId="77777777" w:rsidR="005322FF" w:rsidRPr="000B2476" w:rsidRDefault="005322FF" w:rsidP="00D65191">
            <w:pPr>
              <w:keepNext/>
              <w:spacing w:before="0" w:after="0"/>
              <w:jc w:val="center"/>
              <w:rPr>
                <w:rFonts w:ascii="Arial Narrow" w:hAnsi="Arial Narrow" w:cs="Calibri"/>
                <w:b/>
                <w:bCs/>
                <w:color w:val="000000"/>
              </w:rPr>
            </w:pPr>
            <w:r w:rsidRPr="000B2476">
              <w:rPr>
                <w:rFonts w:ascii="Arial Narrow" w:hAnsi="Arial Narrow" w:cs="Calibri"/>
                <w:b/>
                <w:bCs/>
                <w:color w:val="000000"/>
              </w:rPr>
              <w:t>1.06 (1.01-1.12)</w:t>
            </w:r>
          </w:p>
        </w:tc>
        <w:tc>
          <w:tcPr>
            <w:tcW w:w="1224"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297F675"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0%, p=0.48</w:t>
            </w:r>
          </w:p>
        </w:tc>
      </w:tr>
      <w:tr w:rsidR="005322FF" w14:paraId="68507530" w14:textId="77777777" w:rsidTr="00D65191">
        <w:trPr>
          <w:trHeight w:val="260"/>
        </w:trPr>
        <w:tc>
          <w:tcPr>
            <w:tcW w:w="1129"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3B05CF3" w14:textId="77777777" w:rsidR="005322FF" w:rsidRPr="00C35065" w:rsidRDefault="005322FF" w:rsidP="00D65191">
            <w:pPr>
              <w:keepNext/>
              <w:spacing w:before="0" w:after="0"/>
              <w:rPr>
                <w:rFonts w:ascii="Arial Narrow" w:hAnsi="Arial Narrow" w:cs="Calibri"/>
                <w:color w:val="000000"/>
              </w:rPr>
            </w:pPr>
            <w:r w:rsidRPr="00C35065">
              <w:rPr>
                <w:rFonts w:ascii="Arial Narrow" w:hAnsi="Arial Narrow" w:cs="Calibri"/>
                <w:color w:val="000000"/>
              </w:rPr>
              <w:t> </w:t>
            </w:r>
          </w:p>
        </w:tc>
        <w:tc>
          <w:tcPr>
            <w:tcW w:w="2127" w:type="dxa"/>
            <w:tcBorders>
              <w:top w:val="nil"/>
              <w:left w:val="nil"/>
              <w:bottom w:val="nil"/>
              <w:right w:val="nil"/>
            </w:tcBorders>
            <w:shd w:val="clear" w:color="auto" w:fill="auto"/>
            <w:noWrap/>
            <w:tcMar>
              <w:top w:w="15" w:type="dxa"/>
              <w:left w:w="15" w:type="dxa"/>
              <w:bottom w:w="0" w:type="dxa"/>
              <w:right w:w="15" w:type="dxa"/>
            </w:tcMar>
            <w:vAlign w:val="center"/>
            <w:hideMark/>
          </w:tcPr>
          <w:p w14:paraId="0FEA9A2A"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 </w:t>
            </w:r>
          </w:p>
        </w:tc>
        <w:tc>
          <w:tcPr>
            <w:tcW w:w="70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tcPr>
          <w:p w14:paraId="36290677"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2</w:t>
            </w:r>
          </w:p>
        </w:tc>
        <w:tc>
          <w:tcPr>
            <w:tcW w:w="2410" w:type="dxa"/>
            <w:tcBorders>
              <w:top w:val="nil"/>
              <w:left w:val="nil"/>
              <w:bottom w:val="nil"/>
              <w:right w:val="nil"/>
            </w:tcBorders>
            <w:shd w:val="clear" w:color="auto" w:fill="auto"/>
            <w:noWrap/>
            <w:tcMar>
              <w:top w:w="15" w:type="dxa"/>
              <w:left w:w="15" w:type="dxa"/>
              <w:bottom w:w="0" w:type="dxa"/>
              <w:right w:w="15" w:type="dxa"/>
            </w:tcMar>
            <w:vAlign w:val="center"/>
            <w:hideMark/>
          </w:tcPr>
          <w:p w14:paraId="5EE9C876"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Head and neck</w:t>
            </w:r>
          </w:p>
        </w:tc>
        <w:tc>
          <w:tcPr>
            <w:tcW w:w="141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9BC50C6" w14:textId="77777777" w:rsidR="005322FF" w:rsidRPr="000B2476" w:rsidRDefault="005322FF" w:rsidP="00D65191">
            <w:pPr>
              <w:keepNext/>
              <w:spacing w:before="0" w:after="0"/>
              <w:jc w:val="center"/>
              <w:rPr>
                <w:rFonts w:ascii="Arial Narrow" w:hAnsi="Arial Narrow" w:cs="Calibri"/>
                <w:b/>
                <w:bCs/>
                <w:color w:val="000000"/>
              </w:rPr>
            </w:pPr>
            <w:r w:rsidRPr="000B2476">
              <w:rPr>
                <w:rFonts w:ascii="Arial Narrow" w:hAnsi="Arial Narrow" w:cs="Calibri"/>
                <w:b/>
                <w:bCs/>
                <w:color w:val="000000"/>
              </w:rPr>
              <w:t>1.06 (1.04-1.08)</w:t>
            </w:r>
          </w:p>
        </w:tc>
        <w:tc>
          <w:tcPr>
            <w:tcW w:w="1224"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73AA13"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0%, p=0.95</w:t>
            </w:r>
          </w:p>
        </w:tc>
      </w:tr>
      <w:tr w:rsidR="005322FF" w14:paraId="2F1C1BAF" w14:textId="77777777" w:rsidTr="00D65191">
        <w:trPr>
          <w:trHeight w:val="260"/>
        </w:trPr>
        <w:tc>
          <w:tcPr>
            <w:tcW w:w="11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ACADEB" w14:textId="77777777" w:rsidR="005322FF" w:rsidRPr="00C35065" w:rsidRDefault="005322FF" w:rsidP="00D65191">
            <w:pPr>
              <w:keepNext/>
              <w:spacing w:before="0" w:after="0"/>
              <w:rPr>
                <w:rFonts w:ascii="Arial Narrow" w:hAnsi="Arial Narrow" w:cs="Calibri"/>
                <w:color w:val="000000"/>
              </w:rPr>
            </w:pPr>
            <w:r w:rsidRPr="00C35065">
              <w:rPr>
                <w:rFonts w:ascii="Arial Narrow" w:hAnsi="Arial Narrow" w:cs="Calibri"/>
                <w:color w:val="000000"/>
              </w:rPr>
              <w:t> </w:t>
            </w:r>
          </w:p>
        </w:tc>
        <w:tc>
          <w:tcPr>
            <w:tcW w:w="212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0898F767"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 </w:t>
            </w:r>
          </w:p>
        </w:tc>
        <w:tc>
          <w:tcPr>
            <w:tcW w:w="70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57D49A"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2</w:t>
            </w:r>
          </w:p>
        </w:tc>
        <w:tc>
          <w:tcPr>
            <w:tcW w:w="241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783FBE7"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NSCLC</w:t>
            </w:r>
          </w:p>
        </w:tc>
        <w:tc>
          <w:tcPr>
            <w:tcW w:w="141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638C62"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1.06 (0.93-1.19)</w:t>
            </w:r>
          </w:p>
        </w:tc>
        <w:tc>
          <w:tcPr>
            <w:tcW w:w="1224"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F0D5FAC"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54%, p=0.14</w:t>
            </w:r>
          </w:p>
        </w:tc>
      </w:tr>
      <w:tr w:rsidR="005322FF" w14:paraId="60AD33F2" w14:textId="77777777" w:rsidTr="00D65191">
        <w:trPr>
          <w:trHeight w:val="260"/>
        </w:trPr>
        <w:tc>
          <w:tcPr>
            <w:tcW w:w="1129"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45EC603" w14:textId="77777777" w:rsidR="005322FF" w:rsidRPr="00C35065" w:rsidRDefault="005322FF" w:rsidP="00D65191">
            <w:pPr>
              <w:keepNext/>
              <w:spacing w:before="0" w:after="0"/>
              <w:rPr>
                <w:rFonts w:ascii="Arial Narrow" w:hAnsi="Arial Narrow" w:cs="Calibri"/>
                <w:color w:val="000000"/>
              </w:rPr>
            </w:pPr>
            <w:proofErr w:type="spellStart"/>
            <w:r w:rsidRPr="00C35065">
              <w:rPr>
                <w:rFonts w:ascii="Arial Narrow" w:hAnsi="Arial Narrow" w:cs="Calibri"/>
                <w:color w:val="000000"/>
              </w:rPr>
              <w:t>Mhaskar</w:t>
            </w:r>
            <w:proofErr w:type="spellEnd"/>
            <w:r w:rsidRPr="00C35065">
              <w:rPr>
                <w:rFonts w:ascii="Arial Narrow" w:hAnsi="Arial Narrow" w:cs="Calibri"/>
                <w:color w:val="000000"/>
              </w:rPr>
              <w:t xml:space="preserve"> 2010</w:t>
            </w:r>
          </w:p>
        </w:tc>
        <w:tc>
          <w:tcPr>
            <w:tcW w:w="2127" w:type="dxa"/>
            <w:tcBorders>
              <w:top w:val="nil"/>
              <w:left w:val="nil"/>
              <w:bottom w:val="nil"/>
              <w:right w:val="nil"/>
            </w:tcBorders>
            <w:shd w:val="clear" w:color="auto" w:fill="auto"/>
            <w:noWrap/>
            <w:tcMar>
              <w:top w:w="15" w:type="dxa"/>
              <w:left w:w="15" w:type="dxa"/>
              <w:bottom w:w="0" w:type="dxa"/>
              <w:right w:w="15" w:type="dxa"/>
            </w:tcMar>
            <w:vAlign w:val="center"/>
            <w:hideMark/>
          </w:tcPr>
          <w:p w14:paraId="22DF5F32"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Symptomatic presentation</w:t>
            </w:r>
          </w:p>
        </w:tc>
        <w:tc>
          <w:tcPr>
            <w:tcW w:w="70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tcPr>
          <w:p w14:paraId="6E53CF89"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4</w:t>
            </w:r>
          </w:p>
        </w:tc>
        <w:tc>
          <w:tcPr>
            <w:tcW w:w="2410" w:type="dxa"/>
            <w:tcBorders>
              <w:top w:val="nil"/>
              <w:left w:val="nil"/>
              <w:bottom w:val="nil"/>
              <w:right w:val="nil"/>
            </w:tcBorders>
            <w:shd w:val="clear" w:color="auto" w:fill="auto"/>
            <w:noWrap/>
            <w:tcMar>
              <w:top w:w="15" w:type="dxa"/>
              <w:left w:w="15" w:type="dxa"/>
              <w:bottom w:w="0" w:type="dxa"/>
              <w:right w:w="15" w:type="dxa"/>
            </w:tcMar>
            <w:vAlign w:val="center"/>
            <w:hideMark/>
          </w:tcPr>
          <w:p w14:paraId="204DBAD3"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Prostate</w:t>
            </w:r>
          </w:p>
        </w:tc>
        <w:tc>
          <w:tcPr>
            <w:tcW w:w="141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104F476" w14:textId="77777777" w:rsidR="005322FF" w:rsidRPr="000B2476" w:rsidRDefault="005322FF" w:rsidP="00D65191">
            <w:pPr>
              <w:keepNext/>
              <w:spacing w:before="0" w:after="0"/>
              <w:jc w:val="center"/>
              <w:rPr>
                <w:rFonts w:ascii="Arial Narrow" w:hAnsi="Arial Narrow" w:cs="Calibri"/>
                <w:b/>
                <w:bCs/>
                <w:color w:val="000000"/>
              </w:rPr>
            </w:pPr>
            <w:r w:rsidRPr="000B2476">
              <w:rPr>
                <w:rFonts w:ascii="Arial Narrow" w:hAnsi="Arial Narrow" w:cs="Calibri"/>
                <w:b/>
                <w:bCs/>
                <w:color w:val="000000"/>
              </w:rPr>
              <w:t>1.23 (1.11-1.37)</w:t>
            </w:r>
          </w:p>
        </w:tc>
        <w:tc>
          <w:tcPr>
            <w:tcW w:w="1224" w:type="dxa"/>
            <w:tcBorders>
              <w:top w:val="single" w:sz="4" w:space="0" w:color="auto"/>
              <w:left w:val="nil"/>
              <w:bottom w:val="nil"/>
              <w:right w:val="single" w:sz="4" w:space="0" w:color="auto"/>
            </w:tcBorders>
            <w:shd w:val="clear" w:color="auto" w:fill="auto"/>
            <w:noWrap/>
            <w:tcMar>
              <w:top w:w="15" w:type="dxa"/>
              <w:left w:w="15" w:type="dxa"/>
              <w:bottom w:w="0" w:type="dxa"/>
              <w:right w:w="15" w:type="dxa"/>
            </w:tcMar>
            <w:vAlign w:val="center"/>
            <w:hideMark/>
          </w:tcPr>
          <w:p w14:paraId="16233B78"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0%, p=0.99</w:t>
            </w:r>
          </w:p>
        </w:tc>
      </w:tr>
      <w:tr w:rsidR="005322FF" w14:paraId="43ED47CC" w14:textId="77777777" w:rsidTr="00D65191">
        <w:trPr>
          <w:trHeight w:val="260"/>
        </w:trPr>
        <w:tc>
          <w:tcPr>
            <w:tcW w:w="1129"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FAEC472"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 </w:t>
            </w:r>
          </w:p>
        </w:tc>
        <w:tc>
          <w:tcPr>
            <w:tcW w:w="2127" w:type="dxa"/>
            <w:tcBorders>
              <w:top w:val="nil"/>
              <w:left w:val="nil"/>
              <w:bottom w:val="nil"/>
              <w:right w:val="nil"/>
            </w:tcBorders>
            <w:shd w:val="clear" w:color="auto" w:fill="auto"/>
            <w:noWrap/>
            <w:tcMar>
              <w:top w:w="15" w:type="dxa"/>
              <w:left w:w="15" w:type="dxa"/>
              <w:bottom w:w="0" w:type="dxa"/>
              <w:right w:w="15" w:type="dxa"/>
            </w:tcMar>
            <w:vAlign w:val="center"/>
            <w:hideMark/>
          </w:tcPr>
          <w:p w14:paraId="1EB33B15"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 </w:t>
            </w:r>
          </w:p>
        </w:tc>
        <w:tc>
          <w:tcPr>
            <w:tcW w:w="70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tcPr>
          <w:p w14:paraId="5CEE5D3C"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1</w:t>
            </w:r>
          </w:p>
        </w:tc>
        <w:tc>
          <w:tcPr>
            <w:tcW w:w="2410" w:type="dxa"/>
            <w:tcBorders>
              <w:top w:val="nil"/>
              <w:left w:val="nil"/>
              <w:bottom w:val="nil"/>
              <w:right w:val="nil"/>
            </w:tcBorders>
            <w:shd w:val="clear" w:color="auto" w:fill="auto"/>
            <w:noWrap/>
            <w:tcMar>
              <w:top w:w="15" w:type="dxa"/>
              <w:left w:w="15" w:type="dxa"/>
              <w:bottom w:w="0" w:type="dxa"/>
              <w:right w:w="15" w:type="dxa"/>
            </w:tcMar>
            <w:vAlign w:val="center"/>
            <w:hideMark/>
          </w:tcPr>
          <w:p w14:paraId="3F7BA103"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Lung</w:t>
            </w:r>
          </w:p>
        </w:tc>
        <w:tc>
          <w:tcPr>
            <w:tcW w:w="141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4DCBE3E"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0.95 (0.72-1.24)</w:t>
            </w:r>
          </w:p>
        </w:tc>
        <w:tc>
          <w:tcPr>
            <w:tcW w:w="1224"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37B154F"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NA</w:t>
            </w:r>
          </w:p>
        </w:tc>
      </w:tr>
      <w:tr w:rsidR="005322FF" w14:paraId="623792BF" w14:textId="77777777" w:rsidTr="00D65191">
        <w:trPr>
          <w:trHeight w:val="260"/>
        </w:trPr>
        <w:tc>
          <w:tcPr>
            <w:tcW w:w="1129"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0E83D9F"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 </w:t>
            </w:r>
          </w:p>
        </w:tc>
        <w:tc>
          <w:tcPr>
            <w:tcW w:w="2127" w:type="dxa"/>
            <w:tcBorders>
              <w:top w:val="nil"/>
              <w:left w:val="nil"/>
              <w:bottom w:val="nil"/>
              <w:right w:val="nil"/>
            </w:tcBorders>
            <w:shd w:val="clear" w:color="auto" w:fill="auto"/>
            <w:noWrap/>
            <w:tcMar>
              <w:top w:w="15" w:type="dxa"/>
              <w:left w:w="15" w:type="dxa"/>
              <w:bottom w:w="0" w:type="dxa"/>
              <w:right w:w="15" w:type="dxa"/>
            </w:tcMar>
            <w:vAlign w:val="center"/>
            <w:hideMark/>
          </w:tcPr>
          <w:p w14:paraId="6890AE70"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 </w:t>
            </w:r>
          </w:p>
        </w:tc>
        <w:tc>
          <w:tcPr>
            <w:tcW w:w="70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tcPr>
          <w:p w14:paraId="1180E8F1"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2</w:t>
            </w:r>
          </w:p>
        </w:tc>
        <w:tc>
          <w:tcPr>
            <w:tcW w:w="2410" w:type="dxa"/>
            <w:tcBorders>
              <w:top w:val="nil"/>
              <w:left w:val="nil"/>
              <w:bottom w:val="nil"/>
              <w:right w:val="nil"/>
            </w:tcBorders>
            <w:shd w:val="clear" w:color="auto" w:fill="auto"/>
            <w:noWrap/>
            <w:tcMar>
              <w:top w:w="15" w:type="dxa"/>
              <w:left w:w="15" w:type="dxa"/>
              <w:bottom w:w="0" w:type="dxa"/>
              <w:right w:w="15" w:type="dxa"/>
            </w:tcMar>
            <w:vAlign w:val="center"/>
            <w:hideMark/>
          </w:tcPr>
          <w:p w14:paraId="197513DC"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Chronic lymphocytic leukemia</w:t>
            </w:r>
          </w:p>
        </w:tc>
        <w:tc>
          <w:tcPr>
            <w:tcW w:w="141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B879C24"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0.76 (0.56-1.04)</w:t>
            </w:r>
          </w:p>
        </w:tc>
        <w:tc>
          <w:tcPr>
            <w:tcW w:w="1224"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7DD3EA"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0%, p=0.74</w:t>
            </w:r>
          </w:p>
        </w:tc>
      </w:tr>
      <w:tr w:rsidR="005322FF" w14:paraId="40C2F607" w14:textId="77777777" w:rsidTr="00D65191">
        <w:trPr>
          <w:trHeight w:val="260"/>
        </w:trPr>
        <w:tc>
          <w:tcPr>
            <w:tcW w:w="1129"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90581F5"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 </w:t>
            </w:r>
          </w:p>
        </w:tc>
        <w:tc>
          <w:tcPr>
            <w:tcW w:w="2127" w:type="dxa"/>
            <w:tcBorders>
              <w:top w:val="nil"/>
              <w:left w:val="nil"/>
              <w:bottom w:val="nil"/>
              <w:right w:val="nil"/>
            </w:tcBorders>
            <w:shd w:val="clear" w:color="auto" w:fill="auto"/>
            <w:noWrap/>
            <w:tcMar>
              <w:top w:w="15" w:type="dxa"/>
              <w:left w:w="15" w:type="dxa"/>
              <w:bottom w:w="0" w:type="dxa"/>
              <w:right w:w="15" w:type="dxa"/>
            </w:tcMar>
            <w:vAlign w:val="center"/>
            <w:hideMark/>
          </w:tcPr>
          <w:p w14:paraId="33573BF1" w14:textId="77777777" w:rsidR="005322FF" w:rsidRDefault="005322FF" w:rsidP="00D65191">
            <w:pPr>
              <w:keepNext/>
              <w:spacing w:before="0" w:after="0"/>
              <w:rPr>
                <w:rFonts w:ascii="Arial Narrow" w:hAnsi="Arial Narrow" w:cs="Calibri"/>
                <w:color w:val="000000"/>
              </w:rPr>
            </w:pPr>
          </w:p>
        </w:tc>
        <w:tc>
          <w:tcPr>
            <w:tcW w:w="70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4A35F46"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3</w:t>
            </w:r>
          </w:p>
        </w:tc>
        <w:tc>
          <w:tcPr>
            <w:tcW w:w="2410" w:type="dxa"/>
            <w:tcBorders>
              <w:top w:val="nil"/>
              <w:left w:val="nil"/>
              <w:bottom w:val="nil"/>
              <w:right w:val="nil"/>
            </w:tcBorders>
            <w:shd w:val="clear" w:color="auto" w:fill="auto"/>
            <w:noWrap/>
            <w:tcMar>
              <w:top w:w="15" w:type="dxa"/>
              <w:left w:w="15" w:type="dxa"/>
              <w:bottom w:w="0" w:type="dxa"/>
              <w:right w:w="15" w:type="dxa"/>
            </w:tcMar>
            <w:vAlign w:val="center"/>
            <w:hideMark/>
          </w:tcPr>
          <w:p w14:paraId="7A8AC848"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Multiple myeloma</w:t>
            </w:r>
          </w:p>
        </w:tc>
        <w:tc>
          <w:tcPr>
            <w:tcW w:w="1418"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93279C7"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0.92 (0.56-1.52)</w:t>
            </w:r>
          </w:p>
        </w:tc>
        <w:tc>
          <w:tcPr>
            <w:tcW w:w="1224"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0769870"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41%, p=0.18</w:t>
            </w:r>
          </w:p>
        </w:tc>
      </w:tr>
      <w:tr w:rsidR="005322FF" w14:paraId="4B7C916E" w14:textId="77777777" w:rsidTr="00D65191">
        <w:trPr>
          <w:trHeight w:val="260"/>
        </w:trPr>
        <w:tc>
          <w:tcPr>
            <w:tcW w:w="1129"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652F41"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 </w:t>
            </w:r>
          </w:p>
        </w:tc>
        <w:tc>
          <w:tcPr>
            <w:tcW w:w="2127"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ED299BE"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 </w:t>
            </w:r>
          </w:p>
        </w:tc>
        <w:tc>
          <w:tcPr>
            <w:tcW w:w="70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60F2A8"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2</w:t>
            </w:r>
          </w:p>
        </w:tc>
        <w:tc>
          <w:tcPr>
            <w:tcW w:w="241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249C856" w14:textId="77777777" w:rsidR="005322FF" w:rsidRDefault="005322FF" w:rsidP="00D65191">
            <w:pPr>
              <w:keepNext/>
              <w:spacing w:before="0" w:after="0"/>
              <w:rPr>
                <w:rFonts w:ascii="Arial Narrow" w:hAnsi="Arial Narrow" w:cs="Calibri"/>
                <w:color w:val="000000"/>
              </w:rPr>
            </w:pPr>
            <w:r>
              <w:rPr>
                <w:rFonts w:ascii="Arial Narrow" w:hAnsi="Arial Narrow" w:cs="Calibri"/>
                <w:color w:val="000000"/>
              </w:rPr>
              <w:t>Follicular lymphoma</w:t>
            </w:r>
          </w:p>
        </w:tc>
        <w:tc>
          <w:tcPr>
            <w:tcW w:w="141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9752A8"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1.00 (0.55-1.83)</w:t>
            </w:r>
          </w:p>
        </w:tc>
        <w:tc>
          <w:tcPr>
            <w:tcW w:w="122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A9680" w14:textId="77777777" w:rsidR="005322FF" w:rsidRDefault="005322FF" w:rsidP="00D65191">
            <w:pPr>
              <w:keepNext/>
              <w:spacing w:before="0" w:after="0"/>
              <w:jc w:val="center"/>
              <w:rPr>
                <w:rFonts w:ascii="Arial Narrow" w:hAnsi="Arial Narrow" w:cs="Calibri"/>
                <w:color w:val="000000"/>
              </w:rPr>
            </w:pPr>
            <w:r>
              <w:rPr>
                <w:rFonts w:ascii="Arial Narrow" w:hAnsi="Arial Narrow" w:cs="Calibri"/>
                <w:color w:val="000000"/>
              </w:rPr>
              <w:t>16%, p=0.28</w:t>
            </w:r>
          </w:p>
        </w:tc>
      </w:tr>
    </w:tbl>
    <w:p w14:paraId="04E3F624" w14:textId="5261B6B8" w:rsidR="005322FF" w:rsidRDefault="005322FF" w:rsidP="00D65191">
      <w:pPr>
        <w:pStyle w:val="TableFigureFooter"/>
        <w:keepNext/>
        <w:spacing w:before="0" w:after="0"/>
      </w:pPr>
      <w:r>
        <w:t>All studies performed a random-effects model. Comparator was no treatment delay or earlier treatment (HR=1).</w:t>
      </w:r>
    </w:p>
    <w:p w14:paraId="38667A00" w14:textId="364CEE07" w:rsidR="005322FF" w:rsidRPr="004B5911" w:rsidRDefault="005322FF" w:rsidP="00705109">
      <w:pPr>
        <w:pStyle w:val="TableFigureFooter"/>
        <w:spacing w:before="0" w:after="240"/>
      </w:pPr>
      <w:r>
        <w:t>CI=confidence interval; HR=hazard ratio; NA=not applicable; NSCLC=non-small cell lung cancer</w:t>
      </w:r>
    </w:p>
    <w:p w14:paraId="6BB2EC7C" w14:textId="40544FCB" w:rsidR="005322FF" w:rsidRDefault="005322FF" w:rsidP="005322FF">
      <w:r>
        <w:t>The meta-analyses indicated that a delay in cancer surgery or first-line treatment led to an increased risk of death.</w:t>
      </w:r>
    </w:p>
    <w:p w14:paraId="271ED49A" w14:textId="473C9779" w:rsidR="005322FF" w:rsidRPr="00F71FA9" w:rsidRDefault="005322FF" w:rsidP="005322FF">
      <w:r>
        <w:t xml:space="preserve">Intervening with earlier cancer treatment i.e., at an earlier stage or asymptomatic diagnosis, can be reasonably assumed to improve survival outcomes in LFS patients. However, the </w:t>
      </w:r>
      <w:r w:rsidR="00E43F05">
        <w:t xml:space="preserve">range of </w:t>
      </w:r>
      <w:r>
        <w:t xml:space="preserve">cancers </w:t>
      </w:r>
      <w:r w:rsidR="00E43F05">
        <w:t xml:space="preserve">covered by the survival </w:t>
      </w:r>
      <w:r>
        <w:t xml:space="preserve">evidence </w:t>
      </w:r>
      <w:r w:rsidR="00E43F05">
        <w:t>does not adequately reflect the types of cancers applicable to LFS</w:t>
      </w:r>
      <w:r>
        <w:t>.</w:t>
      </w:r>
    </w:p>
    <w:p w14:paraId="213924C6" w14:textId="3B513D8B" w:rsidR="00772829" w:rsidRDefault="00772829" w:rsidP="00411DE4">
      <w:pPr>
        <w:keepNext/>
        <w:tabs>
          <w:tab w:val="left" w:pos="720"/>
          <w:tab w:val="left" w:pos="1140"/>
        </w:tabs>
        <w:spacing w:before="240"/>
        <w:rPr>
          <w:b/>
          <w:bCs/>
        </w:rPr>
      </w:pPr>
      <w:r w:rsidRPr="00223664">
        <w:rPr>
          <w:b/>
          <w:bCs/>
        </w:rPr>
        <w:t>Clinical claim</w:t>
      </w:r>
    </w:p>
    <w:p w14:paraId="607AE2AE" w14:textId="243D752F" w:rsidR="0014777B" w:rsidRDefault="005322FF" w:rsidP="0014777B">
      <w:r w:rsidRPr="00CE28E3">
        <w:t>The use of</w:t>
      </w:r>
      <w:r>
        <w:t xml:space="preserve"> WBMRI plus standard cancer surveillance</w:t>
      </w:r>
      <w:r w:rsidRPr="00CE28E3">
        <w:t xml:space="preserve"> results </w:t>
      </w:r>
      <w:r w:rsidRPr="0014777B">
        <w:t xml:space="preserve">in </w:t>
      </w:r>
      <w:r w:rsidRPr="00124440">
        <w:t>uncertain comparative</w:t>
      </w:r>
      <w:r w:rsidRPr="00CE28E3">
        <w:t xml:space="preserve"> effectiveness compared with </w:t>
      </w:r>
      <w:r w:rsidRPr="008F4A4E">
        <w:t>standard cancer surveillance alone</w:t>
      </w:r>
      <w:r>
        <w:t xml:space="preserve"> in individuals with a pathogenic or likely pathogenic </w:t>
      </w:r>
      <w:r>
        <w:rPr>
          <w:i/>
          <w:iCs/>
        </w:rPr>
        <w:t>TP53</w:t>
      </w:r>
      <w:r>
        <w:t xml:space="preserve"> germline variant</w:t>
      </w:r>
      <w:r w:rsidR="0014777B">
        <w:t xml:space="preserve"> in terms of overall survival. Although the LIFSCREEN trial did not report any statistically significant improvements in overall survival, it is possible that no statistically significant differences were observed due to the (</w:t>
      </w:r>
      <w:proofErr w:type="spellStart"/>
      <w:r w:rsidR="0014777B">
        <w:t>i</w:t>
      </w:r>
      <w:proofErr w:type="spellEnd"/>
      <w:r w:rsidR="0014777B">
        <w:t>) small sample size, (ii) the relatively short follow-up in this population that continues to be predisposed to developing cancer and (iii) the types of cancer developed by patients over the trial duration.</w:t>
      </w:r>
    </w:p>
    <w:p w14:paraId="49876015" w14:textId="64C55640" w:rsidR="005322FF" w:rsidRPr="002C4FD3" w:rsidRDefault="0014777B" w:rsidP="0014777B">
      <w:r>
        <w:t xml:space="preserve">The results need to be considered in conjunction with the observation that adding WBMRI to a surveillance regimen increased the diagnostic yield and the sensitivity of the regimen to correctly detect more cancers. Further analysis of the LIFSCREEN data also demonstrated that </w:t>
      </w:r>
      <w:proofErr w:type="gramStart"/>
      <w:r>
        <w:t>a number of</w:t>
      </w:r>
      <w:proofErr w:type="gramEnd"/>
      <w:r>
        <w:t xml:space="preserve"> cancers </w:t>
      </w:r>
      <w:r w:rsidR="00600E10">
        <w:t xml:space="preserve">that </w:t>
      </w:r>
      <w:r>
        <w:t>were identified when WBMRI was included in the regimen would not have otherwise been detected by current standard Australian surveillance regimens</w:t>
      </w:r>
      <w:r w:rsidR="005322FF">
        <w:t xml:space="preserve">. </w:t>
      </w:r>
    </w:p>
    <w:p w14:paraId="36B2DCBB" w14:textId="4B0DF159" w:rsidR="00CE4DA2" w:rsidRDefault="005322FF" w:rsidP="005322FF">
      <w:r w:rsidRPr="006F7800">
        <w:t xml:space="preserve">The use of WBMRI plus standard cancer surveillance results in noninferior safety compared with standard cancer surveillance alone in individuals with a pathogenic or likely pathogenic </w:t>
      </w:r>
      <w:r w:rsidRPr="006F7800">
        <w:rPr>
          <w:i/>
          <w:iCs/>
        </w:rPr>
        <w:t>TP53</w:t>
      </w:r>
      <w:r w:rsidRPr="006F7800">
        <w:t xml:space="preserve"> germline variant.</w:t>
      </w:r>
    </w:p>
    <w:p w14:paraId="65385EB1" w14:textId="45A7A62E" w:rsidR="00CE7635" w:rsidRDefault="00CE7635" w:rsidP="005322FF">
      <w:r>
        <w:t xml:space="preserve">In its pre-ESC response, the applicant </w:t>
      </w:r>
      <w:r w:rsidRPr="00CE7635">
        <w:t>note</w:t>
      </w:r>
      <w:r>
        <w:t>d</w:t>
      </w:r>
      <w:r w:rsidRPr="00CE7635">
        <w:t xml:space="preserve"> the reliance on the LIFS</w:t>
      </w:r>
      <w:r>
        <w:t>CREEN</w:t>
      </w:r>
      <w:r w:rsidRPr="00CE7635">
        <w:t xml:space="preserve"> study</w:t>
      </w:r>
      <w:r>
        <w:t xml:space="preserve"> for clinical effectiveness and to underlie the cost effectiveness analysis</w:t>
      </w:r>
      <w:r w:rsidRPr="00CE7635">
        <w:t>, based on the randomised prospective nature</w:t>
      </w:r>
      <w:r>
        <w:t xml:space="preserve"> of this study, but pointed out that it had the following flaws:</w:t>
      </w:r>
    </w:p>
    <w:p w14:paraId="120DC2FE" w14:textId="4C4758FD" w:rsidR="00CE7635" w:rsidRDefault="00CE7635" w:rsidP="00CE7635">
      <w:pPr>
        <w:pStyle w:val="ListParagraph"/>
        <w:numPr>
          <w:ilvl w:val="0"/>
          <w:numId w:val="49"/>
        </w:numPr>
      </w:pPr>
      <w:r>
        <w:lastRenderedPageBreak/>
        <w:t xml:space="preserve">There is a </w:t>
      </w:r>
      <w:r w:rsidRPr="00CE7635">
        <w:t xml:space="preserve">significant imbalance between the </w:t>
      </w:r>
      <w:r>
        <w:t xml:space="preserve">standard and intervention </w:t>
      </w:r>
      <w:r w:rsidRPr="00CE7635">
        <w:t>arms</w:t>
      </w:r>
      <w:r>
        <w:t xml:space="preserve"> of this study</w:t>
      </w:r>
      <w:r w:rsidRPr="00CE7635">
        <w:t>. The study included 8 cancers that are not detectable by imaging methods, and which should therefore have been evenly distributed across both arms (4 basal cell carcinomas, 3 acute leukemias and a myeloma</w:t>
      </w:r>
      <w:proofErr w:type="gramStart"/>
      <w:r w:rsidRPr="00CE7635">
        <w:t>).</w:t>
      </w:r>
      <w:r>
        <w:t>Yet</w:t>
      </w:r>
      <w:proofErr w:type="gramEnd"/>
      <w:r>
        <w:t xml:space="preserve"> </w:t>
      </w:r>
      <w:r w:rsidRPr="00CE7635">
        <w:t>7/8</w:t>
      </w:r>
      <w:r>
        <w:t xml:space="preserve"> of these</w:t>
      </w:r>
      <w:r w:rsidRPr="00CE7635">
        <w:t xml:space="preserve"> were identified in the control arm, suggesting that this population may be more cancer prone, which therefore may explain the greater than expected number of cases diagnosed by imaging</w:t>
      </w:r>
      <w:r>
        <w:t xml:space="preserve">. The applicants considered that </w:t>
      </w:r>
      <w:r w:rsidRPr="00CE7635">
        <w:t xml:space="preserve">this may in part explain </w:t>
      </w:r>
      <w:r>
        <w:t xml:space="preserve">why </w:t>
      </w:r>
      <w:r w:rsidRPr="00CE7635">
        <w:t>the study remains unpublished</w:t>
      </w:r>
      <w:r>
        <w:t>.</w:t>
      </w:r>
    </w:p>
    <w:p w14:paraId="4452DDF1" w14:textId="6C37C019" w:rsidR="002031FC" w:rsidRDefault="002031FC" w:rsidP="00D65191">
      <w:pPr>
        <w:pStyle w:val="ListParagraph"/>
        <w:numPr>
          <w:ilvl w:val="1"/>
          <w:numId w:val="49"/>
        </w:numPr>
        <w:ind w:left="1434" w:hanging="357"/>
        <w:contextualSpacing w:val="0"/>
      </w:pPr>
      <w:r>
        <w:t xml:space="preserve">In its rejoinder, while the Assessment Group </w:t>
      </w:r>
      <w:r w:rsidRPr="00252C90">
        <w:t>acknowledge</w:t>
      </w:r>
      <w:r>
        <w:t>d</w:t>
      </w:r>
      <w:r w:rsidRPr="00252C90">
        <w:t xml:space="preserve"> the limitations of the LIFSCREEN trial</w:t>
      </w:r>
      <w:r>
        <w:t xml:space="preserve">, it observed that </w:t>
      </w:r>
      <w:r w:rsidRPr="00252C90">
        <w:t xml:space="preserve">LIFSCREEN was the only study to report an estimate of the diagnostic characteristics of the comparator (although it also acknowledged that the comparator differed </w:t>
      </w:r>
      <w:r w:rsidR="00C329AF">
        <w:t>from</w:t>
      </w:r>
      <w:r w:rsidRPr="00252C90">
        <w:t xml:space="preserve"> standard surveillance in Australia). </w:t>
      </w:r>
      <w:r>
        <w:t>The Assessment Group further noted in its rejoinder that it a</w:t>
      </w:r>
      <w:r w:rsidRPr="00252C90">
        <w:t xml:space="preserve">ttempted to adjust for </w:t>
      </w:r>
      <w:r>
        <w:t xml:space="preserve">the imbalances between screening arms </w:t>
      </w:r>
      <w:r w:rsidRPr="00252C90">
        <w:t>in the separate analyses based on the applicant’s further analysis of the LIFSCREEN data</w:t>
      </w:r>
      <w:r>
        <w:t>.</w:t>
      </w:r>
    </w:p>
    <w:p w14:paraId="77D031AC" w14:textId="4B9F1817" w:rsidR="00252C90" w:rsidRDefault="00CE7635" w:rsidP="00252C90">
      <w:pPr>
        <w:pStyle w:val="ListParagraph"/>
        <w:numPr>
          <w:ilvl w:val="0"/>
          <w:numId w:val="49"/>
        </w:numPr>
      </w:pPr>
      <w:r w:rsidRPr="00CE7635">
        <w:t>The study was not adequately powered, nor did it have long enough follow</w:t>
      </w:r>
      <w:r>
        <w:t>-</w:t>
      </w:r>
      <w:r w:rsidRPr="00CE7635">
        <w:t xml:space="preserve">up, to detect differences in overall survival. The median survival from metastatic sarcoma is 2 years, and for breast cancer significantly longer. </w:t>
      </w:r>
      <w:r>
        <w:t xml:space="preserve">By contrast, </w:t>
      </w:r>
      <w:r w:rsidRPr="00CE7635">
        <w:t>Villani</w:t>
      </w:r>
      <w:r>
        <w:t xml:space="preserve"> (2016)</w:t>
      </w:r>
      <w:r w:rsidRPr="00CE7635">
        <w:t xml:space="preserve"> although not randomised, did show a striking difference in overall survival.</w:t>
      </w:r>
      <w:r>
        <w:t xml:space="preserve"> The applicants noted that while </w:t>
      </w:r>
      <w:r w:rsidRPr="00CE7635">
        <w:t>Villani</w:t>
      </w:r>
      <w:r>
        <w:t xml:space="preserve"> (2016)</w:t>
      </w:r>
      <w:r w:rsidRPr="00CE7635">
        <w:t xml:space="preserve"> probably overstates the survival benefit, given the length of follow up, it constitutes the best available</w:t>
      </w:r>
      <w:r>
        <w:t xml:space="preserve"> study on the effect of the intervention on </w:t>
      </w:r>
      <w:r w:rsidRPr="00CE7635">
        <w:t xml:space="preserve">overall survival. </w:t>
      </w:r>
      <w:r>
        <w:t xml:space="preserve">The applicants further noted that </w:t>
      </w:r>
      <w:r w:rsidRPr="00CE7635">
        <w:t>a survival benefit was not required for approval of the item for breast MRI for women at high risk of breast cancer.</w:t>
      </w:r>
    </w:p>
    <w:p w14:paraId="5CF17AF8" w14:textId="1A6924C0" w:rsidR="002031FC" w:rsidRDefault="002031FC" w:rsidP="003523B6">
      <w:pPr>
        <w:pStyle w:val="ListParagraph"/>
        <w:numPr>
          <w:ilvl w:val="1"/>
          <w:numId w:val="49"/>
        </w:numPr>
      </w:pPr>
      <w:r>
        <w:t xml:space="preserve">The Assessment Group </w:t>
      </w:r>
      <w:r w:rsidRPr="002031FC">
        <w:t xml:space="preserve">acknowledged that the lack of an overall survival benefit in LIFSCREEN may have been due to factors related to the trial rather than there being no real difference. </w:t>
      </w:r>
      <w:proofErr w:type="gramStart"/>
      <w:r>
        <w:t>However</w:t>
      </w:r>
      <w:proofErr w:type="gramEnd"/>
      <w:r>
        <w:t xml:space="preserve"> the Assessment Group observed that </w:t>
      </w:r>
      <w:r w:rsidRPr="002031FC">
        <w:t>while Villani</w:t>
      </w:r>
      <w:r>
        <w:t xml:space="preserve"> (2016)</w:t>
      </w:r>
      <w:r w:rsidRPr="002031FC">
        <w:t xml:space="preserve"> demonstrated an overall survival benefit, th</w:t>
      </w:r>
      <w:r w:rsidR="00C329AF">
        <w:t>is</w:t>
      </w:r>
      <w:r w:rsidRPr="002031FC">
        <w:t xml:space="preserve"> was</w:t>
      </w:r>
      <w:r w:rsidR="00C329AF">
        <w:t xml:space="preserve"> based on</w:t>
      </w:r>
      <w:r w:rsidRPr="002031FC">
        <w:t xml:space="preserve"> comparing surveillance to no surveillance at all, which is not representative of current standard Australian practic</w:t>
      </w:r>
      <w:r>
        <w:t>e.</w:t>
      </w:r>
    </w:p>
    <w:p w14:paraId="042B269A" w14:textId="78489898" w:rsidR="00FF0399" w:rsidRDefault="00FF0399" w:rsidP="00CE7635">
      <w:r>
        <w:t>In its pre-ESC response</w:t>
      </w:r>
      <w:r w:rsidR="00D65191">
        <w:t>,</w:t>
      </w:r>
      <w:r>
        <w:t xml:space="preserve"> the applicant noted that </w:t>
      </w:r>
      <w:r w:rsidRPr="00FF0399">
        <w:t>after the LIFS</w:t>
      </w:r>
      <w:r>
        <w:t>CREEN</w:t>
      </w:r>
      <w:r w:rsidRPr="00FF0399">
        <w:t xml:space="preserve"> study was completed, the WBMRI </w:t>
      </w:r>
      <w:r>
        <w:t xml:space="preserve">was endorsed </w:t>
      </w:r>
      <w:r w:rsidRPr="00FF0399">
        <w:t>as a routine part of surveillance for the Li-Fraumeni population</w:t>
      </w:r>
      <w:r>
        <w:t xml:space="preserve"> (</w:t>
      </w:r>
      <w:proofErr w:type="spellStart"/>
      <w:r>
        <w:t>Frebourg</w:t>
      </w:r>
      <w:proofErr w:type="spellEnd"/>
      <w:r>
        <w:t xml:space="preserve"> 2020),</w:t>
      </w:r>
    </w:p>
    <w:p w14:paraId="1EE61EE0" w14:textId="12B0F787" w:rsidR="002031FC" w:rsidRPr="00223664" w:rsidRDefault="00CE7635" w:rsidP="00CE7635">
      <w:r>
        <w:t xml:space="preserve">The applicant in its pre-ESC response provided </w:t>
      </w:r>
      <w:r w:rsidR="00F80C9C">
        <w:t xml:space="preserve">some additional evidence </w:t>
      </w:r>
      <w:r w:rsidR="00F80C9C" w:rsidRPr="00F80C9C">
        <w:t>for early detection at more curable stages of disease</w:t>
      </w:r>
      <w:r w:rsidR="00252C90">
        <w:t xml:space="preserve"> by comparing results </w:t>
      </w:r>
      <w:r w:rsidR="00F80C9C">
        <w:t xml:space="preserve">from the </w:t>
      </w:r>
      <w:r w:rsidR="00F80C9C" w:rsidRPr="00F80C9C">
        <w:t>Australian and New Zealand Sarcoma Alliance</w:t>
      </w:r>
      <w:r w:rsidR="00252C90">
        <w:t xml:space="preserve"> (ANZSA)</w:t>
      </w:r>
      <w:r w:rsidR="00F80C9C" w:rsidRPr="00F80C9C">
        <w:t xml:space="preserve"> Accord dataset of bone and soft tissue sarcoma diagnoses</w:t>
      </w:r>
      <w:r w:rsidR="00252C90">
        <w:t xml:space="preserve"> which </w:t>
      </w:r>
      <w:r w:rsidR="00252C90" w:rsidRPr="00252C90">
        <w:t>suggest</w:t>
      </w:r>
      <w:r w:rsidR="00252C90">
        <w:t>ed</w:t>
      </w:r>
      <w:r w:rsidR="00252C90" w:rsidRPr="00252C90">
        <w:t xml:space="preserve"> that 11 </w:t>
      </w:r>
      <w:r w:rsidR="00252C90">
        <w:t>-</w:t>
      </w:r>
      <w:r w:rsidR="00252C90" w:rsidRPr="00252C90">
        <w:t xml:space="preserve">17% of sporadic sarcomas are diagnosed at a </w:t>
      </w:r>
      <w:proofErr w:type="spellStart"/>
      <w:r w:rsidR="00252C90" w:rsidRPr="00252C90">
        <w:t>resectable</w:t>
      </w:r>
      <w:proofErr w:type="spellEnd"/>
      <w:r w:rsidR="00252C90" w:rsidRPr="00252C90">
        <w:t xml:space="preserve"> or curable stage in the community</w:t>
      </w:r>
      <w:r w:rsidR="00252C90">
        <w:t xml:space="preserve"> with results from the </w:t>
      </w:r>
      <w:r w:rsidR="00252C90" w:rsidRPr="00252C90">
        <w:t>SMOC+ study</w:t>
      </w:r>
      <w:r w:rsidR="00252C90">
        <w:t xml:space="preserve"> which found that o</w:t>
      </w:r>
      <w:r w:rsidR="00252C90" w:rsidRPr="00252C90">
        <w:t xml:space="preserve">f 5 WBMRI-based diagnoses of sarcomas, all </w:t>
      </w:r>
      <w:r w:rsidR="00252C90">
        <w:t>were</w:t>
      </w:r>
      <w:r w:rsidR="00252C90" w:rsidRPr="00252C90">
        <w:t xml:space="preserve"> localised at diagnosis </w:t>
      </w:r>
      <w:r w:rsidR="00252C90">
        <w:t>and the m</w:t>
      </w:r>
      <w:r w:rsidR="00252C90" w:rsidRPr="00252C90">
        <w:t xml:space="preserve">eta-analysis </w:t>
      </w:r>
      <w:r w:rsidR="00252C90">
        <w:t xml:space="preserve">by </w:t>
      </w:r>
      <w:r w:rsidR="00252C90" w:rsidRPr="00252C90">
        <w:t>Ballinger et al</w:t>
      </w:r>
      <w:r w:rsidR="00252C90">
        <w:t xml:space="preserve"> (</w:t>
      </w:r>
      <w:r w:rsidR="00252C90" w:rsidRPr="00252C90">
        <w:t>2017)</w:t>
      </w:r>
      <w:r w:rsidR="00252C90">
        <w:t xml:space="preserve"> which </w:t>
      </w:r>
      <w:r w:rsidR="00252C90" w:rsidRPr="00252C90">
        <w:t>identified 13 additional WBMRI-based diagnoses of sarcomas, all localised at diagnosis.</w:t>
      </w:r>
      <w:r w:rsidR="00252C90">
        <w:t xml:space="preserve"> Based on this overview the applicant concluded that </w:t>
      </w:r>
      <w:r w:rsidR="00252C90" w:rsidRPr="00252C90">
        <w:t>18 individuals have been diagnosed with sarcoma based on WBMRI, all of which are localised (</w:t>
      </w:r>
      <w:r w:rsidR="005575D1">
        <w:t>p</w:t>
      </w:r>
      <w:r w:rsidR="00252C90" w:rsidRPr="00252C90">
        <w:t xml:space="preserve">=0.057 comparing with the ANZSA data). </w:t>
      </w:r>
      <w:r w:rsidR="00252C90">
        <w:t>The applicant noted that t</w:t>
      </w:r>
      <w:r w:rsidR="00252C90" w:rsidRPr="00252C90">
        <w:t xml:space="preserve">hese data are consistent with the available data for breast cancer for size of </w:t>
      </w:r>
      <w:proofErr w:type="spellStart"/>
      <w:r w:rsidR="00252C90" w:rsidRPr="00252C90">
        <w:t>tumors</w:t>
      </w:r>
      <w:proofErr w:type="spellEnd"/>
      <w:r w:rsidR="00252C90" w:rsidRPr="00252C90">
        <w:t xml:space="preserve"> at diagnosis in screening programs linked to survival outcomes for breast cancer. </w:t>
      </w:r>
      <w:r w:rsidR="00252C90">
        <w:t>The applicants argued that g</w:t>
      </w:r>
      <w:r w:rsidR="00252C90" w:rsidRPr="00252C90">
        <w:t>iven the heterogeneity of cancer diagnoses in the LFS population, these are the best estimates of down-staging due to screenin</w:t>
      </w:r>
      <w:r w:rsidR="0092419F">
        <w:t>g.</w:t>
      </w:r>
      <w:r w:rsidR="00984814">
        <w:t xml:space="preserve"> </w:t>
      </w:r>
      <w:r w:rsidR="002031FC">
        <w:t>The Assessment Group in its rejoind</w:t>
      </w:r>
      <w:r w:rsidR="0092419F">
        <w:t>er</w:t>
      </w:r>
      <w:r w:rsidR="002031FC">
        <w:t xml:space="preserve"> noted that it had not been able to verify the new data cited from ANZ</w:t>
      </w:r>
      <w:r w:rsidR="0092419F">
        <w:t>SA</w:t>
      </w:r>
      <w:r w:rsidR="00984814">
        <w:t xml:space="preserve"> given time limitations</w:t>
      </w:r>
      <w:r w:rsidR="0092419F">
        <w:t>.</w:t>
      </w:r>
    </w:p>
    <w:p w14:paraId="0D09C9E4" w14:textId="10ACADDF" w:rsidR="00772829" w:rsidRDefault="00C36633" w:rsidP="002A18BE">
      <w:pPr>
        <w:pStyle w:val="Heading2"/>
        <w:numPr>
          <w:ilvl w:val="0"/>
          <w:numId w:val="0"/>
        </w:numPr>
      </w:pPr>
      <w:bookmarkStart w:id="26" w:name="_Toc102443850"/>
      <w:r>
        <w:lastRenderedPageBreak/>
        <w:t>1</w:t>
      </w:r>
      <w:r w:rsidR="00262C24">
        <w:t>3</w:t>
      </w:r>
      <w:r>
        <w:t>.</w:t>
      </w:r>
      <w:r>
        <w:tab/>
      </w:r>
      <w:r w:rsidR="00772829" w:rsidRPr="00CE28E3">
        <w:t>Economic evaluation</w:t>
      </w:r>
      <w:bookmarkEnd w:id="26"/>
    </w:p>
    <w:p w14:paraId="2F40F51F" w14:textId="2A14B296" w:rsidR="0014777B" w:rsidRDefault="0014777B" w:rsidP="0014777B">
      <w:r>
        <w:t>S</w:t>
      </w:r>
      <w:r w:rsidRPr="005F6BEA">
        <w:t xml:space="preserve">uperiority in overall survival in the </w:t>
      </w:r>
      <w:r w:rsidRPr="00431E96">
        <w:rPr>
          <w:i/>
          <w:iCs/>
        </w:rPr>
        <w:t>TP53</w:t>
      </w:r>
      <w:r w:rsidRPr="005F6BEA">
        <w:t xml:space="preserve"> </w:t>
      </w:r>
      <w:r>
        <w:t xml:space="preserve">variant </w:t>
      </w:r>
      <w:r w:rsidRPr="005F6BEA">
        <w:t>population</w:t>
      </w:r>
      <w:r>
        <w:t xml:space="preserve"> of </w:t>
      </w:r>
      <w:r w:rsidRPr="005F6BEA">
        <w:t>WBMRI plus standard surveillance compared with standard surveillance</w:t>
      </w:r>
      <w:r w:rsidRPr="00EA09A4">
        <w:t xml:space="preserve"> </w:t>
      </w:r>
      <w:r>
        <w:t>alone was</w:t>
      </w:r>
      <w:r w:rsidRPr="005F6BEA">
        <w:t xml:space="preserve"> not demonstrat</w:t>
      </w:r>
      <w:r>
        <w:t>ed</w:t>
      </w:r>
      <w:r w:rsidRPr="005F6BEA">
        <w:t xml:space="preserve"> </w:t>
      </w:r>
      <w:r>
        <w:t xml:space="preserve">by the “direct from test” clinical evidence presented </w:t>
      </w:r>
      <w:r w:rsidR="002E6DC7">
        <w:t>from LIFSCREEN</w:t>
      </w:r>
      <w:r>
        <w:t>.</w:t>
      </w:r>
    </w:p>
    <w:p w14:paraId="376816D7" w14:textId="0256BFA2" w:rsidR="0014777B" w:rsidRDefault="0014777B" w:rsidP="0014777B">
      <w:r>
        <w:t xml:space="preserve">However, the results of the diagnostic accuracy WBMRI plus standard surveillance versus standard surveillance alone </w:t>
      </w:r>
      <w:r w:rsidR="002E6DC7">
        <w:t xml:space="preserve">from LIFSCREEN </w:t>
      </w:r>
      <w:r>
        <w:t>demonstrated that a surveillance regimen that includes WBMRI improves diagnostic yield and has greater sensitivity.</w:t>
      </w:r>
    </w:p>
    <w:p w14:paraId="1E1EB876" w14:textId="7713F556" w:rsidR="00BB2D45" w:rsidRDefault="00822248" w:rsidP="00257A4A">
      <w:r>
        <w:fldChar w:fldCharType="begin"/>
      </w:r>
      <w:r>
        <w:instrText xml:space="preserve"> REF _Ref102442726 \h </w:instrText>
      </w:r>
      <w:r>
        <w:fldChar w:fldCharType="separate"/>
      </w:r>
      <w:r>
        <w:t xml:space="preserve">Table </w:t>
      </w:r>
      <w:r>
        <w:rPr>
          <w:noProof/>
        </w:rPr>
        <w:t>10</w:t>
      </w:r>
      <w:r>
        <w:fldChar w:fldCharType="end"/>
      </w:r>
      <w:r w:rsidR="00C919D5">
        <w:t xml:space="preserve"> </w:t>
      </w:r>
      <w:r w:rsidR="002E6DC7">
        <w:t xml:space="preserve">presents a summary of the </w:t>
      </w:r>
      <w:r w:rsidR="0042101A">
        <w:t xml:space="preserve">features of the </w:t>
      </w:r>
      <w:r w:rsidR="002E6DC7">
        <w:t>economic evaluation</w:t>
      </w:r>
      <w:r w:rsidR="0042101A">
        <w:t xml:space="preserve"> based on the LIFSCREEN trial</w:t>
      </w:r>
      <w:r w:rsidR="002E6DC7">
        <w:t>.</w:t>
      </w:r>
    </w:p>
    <w:p w14:paraId="549B4A05" w14:textId="58DBF425" w:rsidR="002E6DC7" w:rsidRPr="00DC05AB" w:rsidRDefault="00257A4A" w:rsidP="002E6DC7">
      <w:pPr>
        <w:rPr>
          <w:rFonts w:cs="Arial"/>
          <w:lang w:eastAsia="en-AU"/>
        </w:rPr>
      </w:pPr>
      <w:r w:rsidRPr="00BB2D45">
        <w:t>In addition, to</w:t>
      </w:r>
      <w:r w:rsidRPr="00BB2D45">
        <w:rPr>
          <w:rFonts w:cs="Arial"/>
          <w:lang w:eastAsia="en-AU"/>
        </w:rPr>
        <w:t xml:space="preserve"> aid contextualisation of ICERs using measures of effectiveness other than QALYs, the Department of Health </w:t>
      </w:r>
      <w:r w:rsidR="00BB2D45">
        <w:rPr>
          <w:rFonts w:cs="Arial"/>
          <w:lang w:eastAsia="en-AU"/>
        </w:rPr>
        <w:t xml:space="preserve">has </w:t>
      </w:r>
      <w:r w:rsidRPr="00BB2D45">
        <w:rPr>
          <w:rFonts w:cs="Arial"/>
          <w:lang w:eastAsia="en-AU"/>
        </w:rPr>
        <w:t>developed a summary of MSAC past decisions on genetic testing where</w:t>
      </w:r>
      <w:r w:rsidR="00BB2D45">
        <w:rPr>
          <w:rFonts w:cs="Arial"/>
          <w:lang w:eastAsia="en-AU"/>
        </w:rPr>
        <w:t xml:space="preserve"> related denominators of the</w:t>
      </w:r>
      <w:r w:rsidRPr="00BB2D45">
        <w:rPr>
          <w:rFonts w:cs="Arial"/>
          <w:lang w:eastAsia="en-AU"/>
        </w:rPr>
        <w:t xml:space="preserve"> ICERs </w:t>
      </w:r>
      <w:r w:rsidR="00BB2D45">
        <w:rPr>
          <w:rFonts w:cs="Arial"/>
          <w:lang w:eastAsia="en-AU"/>
        </w:rPr>
        <w:t>were</w:t>
      </w:r>
      <w:r w:rsidRPr="00BB2D45">
        <w:rPr>
          <w:rFonts w:cs="Arial"/>
          <w:lang w:eastAsia="en-AU"/>
        </w:rPr>
        <w:t xml:space="preserve"> expressed in terms other than cost per life year or quality adjusted life years gained. </w:t>
      </w:r>
    </w:p>
    <w:p w14:paraId="647383D2" w14:textId="53B7E412" w:rsidR="002E6DC7" w:rsidRPr="00CE28E3" w:rsidRDefault="002E6DC7" w:rsidP="00705109">
      <w:pPr>
        <w:pStyle w:val="Caption"/>
        <w:spacing w:before="240"/>
      </w:pPr>
      <w:bookmarkStart w:id="27" w:name="_Ref102442726"/>
      <w:r>
        <w:t xml:space="preserve">Table </w:t>
      </w:r>
      <w:r w:rsidR="0067109A">
        <w:fldChar w:fldCharType="begin"/>
      </w:r>
      <w:r w:rsidR="0067109A">
        <w:instrText xml:space="preserve"> SEQ Table \* ARABIC </w:instrText>
      </w:r>
      <w:r w:rsidR="0067109A">
        <w:fldChar w:fldCharType="separate"/>
      </w:r>
      <w:r w:rsidR="00822248">
        <w:rPr>
          <w:noProof/>
        </w:rPr>
        <w:t>10</w:t>
      </w:r>
      <w:r w:rsidR="0067109A">
        <w:rPr>
          <w:noProof/>
        </w:rPr>
        <w:fldChar w:fldCharType="end"/>
      </w:r>
      <w:bookmarkEnd w:id="27"/>
      <w:r>
        <w:tab/>
      </w:r>
      <w:r w:rsidRPr="00CE28E3">
        <w:t>Summary of the economic evaluation</w:t>
      </w:r>
      <w:r>
        <w:t xml:space="preserve"> </w:t>
      </w:r>
      <w:r w:rsidRPr="006917E3">
        <w:t>based on the LIFSCREEN accuracy estimates</w:t>
      </w:r>
    </w:p>
    <w:tbl>
      <w:tblPr>
        <w:tblStyle w:val="TableGrid1"/>
        <w:tblW w:w="9067" w:type="dxa"/>
        <w:tblCellMar>
          <w:left w:w="28" w:type="dxa"/>
          <w:right w:w="28" w:type="dxa"/>
        </w:tblCellMar>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2003"/>
        <w:gridCol w:w="3237"/>
        <w:gridCol w:w="3827"/>
      </w:tblGrid>
      <w:tr w:rsidR="002E6DC7" w:rsidRPr="00CE28E3" w14:paraId="74D88E26" w14:textId="77777777" w:rsidTr="00067313">
        <w:trPr>
          <w:cnfStyle w:val="100000000000" w:firstRow="1" w:lastRow="0" w:firstColumn="0" w:lastColumn="0" w:oddVBand="0" w:evenVBand="0" w:oddHBand="0" w:evenHBand="0" w:firstRowFirstColumn="0" w:firstRowLastColumn="0" w:lastRowFirstColumn="0" w:lastRowLastColumn="0"/>
          <w:tblHeader/>
        </w:trPr>
        <w:tc>
          <w:tcPr>
            <w:tcW w:w="2003" w:type="dxa"/>
          </w:tcPr>
          <w:p w14:paraId="3E94FF9B" w14:textId="77777777" w:rsidR="002E6DC7" w:rsidRPr="000449D1" w:rsidRDefault="002E6DC7" w:rsidP="00067313">
            <w:pPr>
              <w:pStyle w:val="TableHeading"/>
              <w:rPr>
                <w:rFonts w:cs="Courier New"/>
              </w:rPr>
            </w:pPr>
            <w:r w:rsidRPr="000449D1">
              <w:rPr>
                <w:rFonts w:cs="Courier New"/>
              </w:rPr>
              <w:t>Component</w:t>
            </w:r>
          </w:p>
        </w:tc>
        <w:tc>
          <w:tcPr>
            <w:tcW w:w="3237" w:type="dxa"/>
          </w:tcPr>
          <w:p w14:paraId="751EC1DC" w14:textId="77777777" w:rsidR="002E6DC7" w:rsidRPr="000449D1" w:rsidRDefault="002E6DC7" w:rsidP="00067313">
            <w:pPr>
              <w:pStyle w:val="TableHeading"/>
              <w:rPr>
                <w:rFonts w:cs="Courier New"/>
              </w:rPr>
            </w:pPr>
            <w:r w:rsidRPr="000449D1">
              <w:rPr>
                <w:rFonts w:cs="Courier New"/>
              </w:rPr>
              <w:t>Description</w:t>
            </w:r>
          </w:p>
        </w:tc>
        <w:tc>
          <w:tcPr>
            <w:tcW w:w="3827" w:type="dxa"/>
          </w:tcPr>
          <w:p w14:paraId="38000BFC" w14:textId="77777777" w:rsidR="002E6DC7" w:rsidRPr="00CE28E3" w:rsidRDefault="002E6DC7" w:rsidP="00067313">
            <w:pPr>
              <w:pStyle w:val="TableHeading"/>
            </w:pPr>
            <w:r>
              <w:t>Comments</w:t>
            </w:r>
          </w:p>
        </w:tc>
      </w:tr>
      <w:tr w:rsidR="002E6DC7" w:rsidRPr="000449D1" w14:paraId="4697F86A" w14:textId="77777777" w:rsidTr="00067313">
        <w:tc>
          <w:tcPr>
            <w:tcW w:w="2003" w:type="dxa"/>
          </w:tcPr>
          <w:p w14:paraId="32D22C36" w14:textId="77777777" w:rsidR="002E6DC7" w:rsidRPr="000449D1" w:rsidRDefault="002E6DC7" w:rsidP="00067313">
            <w:pPr>
              <w:pStyle w:val="TableText"/>
              <w:keepNext/>
              <w:rPr>
                <w:rFonts w:cs="Courier New"/>
              </w:rPr>
            </w:pPr>
            <w:r w:rsidRPr="000449D1">
              <w:rPr>
                <w:rFonts w:cs="Courier New"/>
              </w:rPr>
              <w:t>Perspective</w:t>
            </w:r>
          </w:p>
        </w:tc>
        <w:tc>
          <w:tcPr>
            <w:tcW w:w="3237" w:type="dxa"/>
          </w:tcPr>
          <w:p w14:paraId="43F6D661" w14:textId="77777777" w:rsidR="002E6DC7" w:rsidRPr="000449D1" w:rsidRDefault="002E6DC7" w:rsidP="00067313">
            <w:pPr>
              <w:pStyle w:val="TableText"/>
              <w:keepNext/>
              <w:rPr>
                <w:rFonts w:cs="Courier New"/>
              </w:rPr>
            </w:pPr>
            <w:r w:rsidRPr="000449D1">
              <w:rPr>
                <w:rFonts w:cs="Courier New"/>
              </w:rPr>
              <w:t>Health care system perspective</w:t>
            </w:r>
          </w:p>
        </w:tc>
        <w:tc>
          <w:tcPr>
            <w:tcW w:w="3827" w:type="dxa"/>
          </w:tcPr>
          <w:p w14:paraId="6F8B1B01" w14:textId="77777777" w:rsidR="002E6DC7" w:rsidRPr="005575D1" w:rsidRDefault="002E6DC7" w:rsidP="00067313">
            <w:pPr>
              <w:pStyle w:val="TableText"/>
              <w:keepNext/>
              <w:rPr>
                <w:sz w:val="24"/>
              </w:rPr>
            </w:pPr>
            <w:r w:rsidRPr="005575D1">
              <w:rPr>
                <w:rFonts w:cs="Courier New"/>
              </w:rPr>
              <w:t>Excluding out-of-pocket expenses</w:t>
            </w:r>
          </w:p>
        </w:tc>
      </w:tr>
      <w:tr w:rsidR="002E6DC7" w:rsidRPr="000449D1" w14:paraId="77FD694C" w14:textId="77777777" w:rsidTr="00067313">
        <w:trPr>
          <w:tblHeader/>
        </w:trPr>
        <w:tc>
          <w:tcPr>
            <w:tcW w:w="2003" w:type="dxa"/>
          </w:tcPr>
          <w:p w14:paraId="4F21C882" w14:textId="77777777" w:rsidR="002E6DC7" w:rsidRPr="000449D1" w:rsidRDefault="002E6DC7" w:rsidP="00067313">
            <w:pPr>
              <w:pStyle w:val="TableText"/>
              <w:keepNext/>
              <w:rPr>
                <w:rFonts w:cs="Courier New"/>
              </w:rPr>
            </w:pPr>
            <w:r w:rsidRPr="000449D1">
              <w:rPr>
                <w:rFonts w:cs="Courier New"/>
              </w:rPr>
              <w:t>Population</w:t>
            </w:r>
          </w:p>
        </w:tc>
        <w:tc>
          <w:tcPr>
            <w:tcW w:w="3237" w:type="dxa"/>
          </w:tcPr>
          <w:p w14:paraId="5E160070" w14:textId="77777777" w:rsidR="002E6DC7" w:rsidRPr="005575D1" w:rsidRDefault="002E6DC7" w:rsidP="00067313">
            <w:pPr>
              <w:pStyle w:val="TableText"/>
              <w:keepNext/>
              <w:rPr>
                <w:rFonts w:cs="Courier New"/>
              </w:rPr>
            </w:pPr>
            <w:r w:rsidRPr="005575D1">
              <w:rPr>
                <w:rFonts w:cs="Courier New"/>
              </w:rPr>
              <w:t xml:space="preserve">LIFSCREEN trial patients who have tested positive for a pathogenic or likely pathogenic germline variant of the </w:t>
            </w:r>
            <w:proofErr w:type="spellStart"/>
            <w:r w:rsidRPr="005575D1">
              <w:rPr>
                <w:rFonts w:cs="Courier New"/>
                <w:i/>
                <w:iCs/>
              </w:rPr>
              <w:t>Tumor</w:t>
            </w:r>
            <w:proofErr w:type="spellEnd"/>
            <w:r w:rsidRPr="005575D1">
              <w:rPr>
                <w:rFonts w:cs="Courier New"/>
                <w:i/>
                <w:iCs/>
              </w:rPr>
              <w:t xml:space="preserve"> Protein 53</w:t>
            </w:r>
            <w:r w:rsidRPr="005575D1">
              <w:rPr>
                <w:rFonts w:cs="Courier New"/>
              </w:rPr>
              <w:t xml:space="preserve"> (</w:t>
            </w:r>
            <w:r w:rsidRPr="005575D1">
              <w:rPr>
                <w:rFonts w:cs="Courier New"/>
                <w:i/>
                <w:iCs/>
              </w:rPr>
              <w:t>TP53</w:t>
            </w:r>
            <w:r w:rsidRPr="005575D1">
              <w:rPr>
                <w:rFonts w:cs="Courier New"/>
              </w:rPr>
              <w:t>) gene</w:t>
            </w:r>
          </w:p>
        </w:tc>
        <w:tc>
          <w:tcPr>
            <w:tcW w:w="3827" w:type="dxa"/>
          </w:tcPr>
          <w:p w14:paraId="0D1BA108" w14:textId="1742FE0E" w:rsidR="002E6DC7" w:rsidRPr="006A24ED" w:rsidRDefault="002E6DC7" w:rsidP="00067313">
            <w:pPr>
              <w:pStyle w:val="TableText"/>
              <w:keepNext/>
              <w:rPr>
                <w:rFonts w:cs="Courier New"/>
              </w:rPr>
            </w:pPr>
            <w:r w:rsidRPr="006A24ED">
              <w:rPr>
                <w:rFonts w:cs="Courier New"/>
              </w:rPr>
              <w:t>Source</w:t>
            </w:r>
            <w:r>
              <w:rPr>
                <w:rFonts w:cs="Courier New"/>
              </w:rPr>
              <w:t xml:space="preserve">: LIFSCREEN trial data including the diagnostic yield, which was used as the prior probability in </w:t>
            </w:r>
            <w:r w:rsidRPr="00317A72">
              <w:rPr>
                <w:rFonts w:cs="Courier New"/>
              </w:rPr>
              <w:t xml:space="preserve">Bayesian </w:t>
            </w:r>
            <w:r>
              <w:rPr>
                <w:rFonts w:cs="Courier New"/>
              </w:rPr>
              <w:t>revision formulae</w:t>
            </w:r>
            <w:r w:rsidR="00051B50">
              <w:rPr>
                <w:rFonts w:cs="Courier New"/>
              </w:rPr>
              <w:t>.</w:t>
            </w:r>
          </w:p>
        </w:tc>
      </w:tr>
      <w:tr w:rsidR="002E6DC7" w:rsidRPr="000449D1" w14:paraId="5057BFBF" w14:textId="77777777" w:rsidTr="00067313">
        <w:tc>
          <w:tcPr>
            <w:tcW w:w="2003" w:type="dxa"/>
          </w:tcPr>
          <w:p w14:paraId="4FBD8E0E" w14:textId="77777777" w:rsidR="002E6DC7" w:rsidRPr="000449D1" w:rsidRDefault="002E6DC7" w:rsidP="00067313">
            <w:pPr>
              <w:pStyle w:val="TableText"/>
              <w:keepNext/>
              <w:rPr>
                <w:rFonts w:cs="Courier New"/>
              </w:rPr>
            </w:pPr>
            <w:r w:rsidRPr="000449D1">
              <w:rPr>
                <w:rFonts w:cs="Courier New"/>
              </w:rPr>
              <w:t>Prior testing</w:t>
            </w:r>
          </w:p>
        </w:tc>
        <w:tc>
          <w:tcPr>
            <w:tcW w:w="3237" w:type="dxa"/>
          </w:tcPr>
          <w:p w14:paraId="35FF9C42" w14:textId="13627D0E" w:rsidR="002E6DC7" w:rsidRPr="000449D1" w:rsidRDefault="002E6DC7" w:rsidP="00067313">
            <w:pPr>
              <w:pStyle w:val="TableText"/>
              <w:keepNext/>
              <w:rPr>
                <w:rFonts w:cs="Courier New"/>
              </w:rPr>
            </w:pPr>
            <w:r w:rsidRPr="006A24ED">
              <w:rPr>
                <w:rFonts w:cs="Courier New"/>
              </w:rPr>
              <w:t xml:space="preserve">Genetic testing to confirm germline pathogenic </w:t>
            </w:r>
            <w:r w:rsidRPr="00F34804">
              <w:rPr>
                <w:rFonts w:cs="Courier New"/>
                <w:i/>
                <w:iCs/>
              </w:rPr>
              <w:t>TP53</w:t>
            </w:r>
            <w:r w:rsidRPr="006A24ED">
              <w:rPr>
                <w:rFonts w:cs="Courier New"/>
              </w:rPr>
              <w:t xml:space="preserve"> variant status</w:t>
            </w:r>
          </w:p>
        </w:tc>
        <w:tc>
          <w:tcPr>
            <w:tcW w:w="3827" w:type="dxa"/>
          </w:tcPr>
          <w:p w14:paraId="2A1A5C68" w14:textId="70B97ED1" w:rsidR="002E6DC7" w:rsidRPr="006A24ED" w:rsidRDefault="002E6DC7" w:rsidP="00067313">
            <w:pPr>
              <w:pStyle w:val="TableText"/>
              <w:keepNext/>
              <w:rPr>
                <w:rFonts w:cs="Courier New"/>
              </w:rPr>
            </w:pPr>
            <w:r>
              <w:rPr>
                <w:rFonts w:cs="Courier New"/>
              </w:rPr>
              <w:t>The associated costs are common to the intervention and comparator arms and not included in the economic evaluation</w:t>
            </w:r>
            <w:r w:rsidR="00051B50">
              <w:rPr>
                <w:rFonts w:cs="Courier New"/>
              </w:rPr>
              <w:t>.</w:t>
            </w:r>
          </w:p>
        </w:tc>
      </w:tr>
      <w:tr w:rsidR="002E6DC7" w:rsidRPr="000449D1" w14:paraId="1B129F3E" w14:textId="77777777" w:rsidTr="00067313">
        <w:tc>
          <w:tcPr>
            <w:tcW w:w="2003" w:type="dxa"/>
          </w:tcPr>
          <w:p w14:paraId="5163E48B" w14:textId="77777777" w:rsidR="002E6DC7" w:rsidRPr="000449D1" w:rsidRDefault="002E6DC7" w:rsidP="00067313">
            <w:pPr>
              <w:pStyle w:val="TableText"/>
              <w:keepNext/>
              <w:rPr>
                <w:rFonts w:cs="Courier New"/>
              </w:rPr>
            </w:pPr>
            <w:r w:rsidRPr="000449D1">
              <w:rPr>
                <w:rFonts w:cs="Courier New"/>
              </w:rPr>
              <w:t>Comparator</w:t>
            </w:r>
          </w:p>
        </w:tc>
        <w:tc>
          <w:tcPr>
            <w:tcW w:w="3237" w:type="dxa"/>
          </w:tcPr>
          <w:p w14:paraId="00438064" w14:textId="77777777" w:rsidR="002E6DC7" w:rsidRPr="000449D1" w:rsidRDefault="002E6DC7" w:rsidP="00067313">
            <w:pPr>
              <w:pStyle w:val="TableText"/>
              <w:keepNext/>
              <w:rPr>
                <w:rFonts w:cs="Courier New"/>
              </w:rPr>
            </w:pPr>
            <w:r>
              <w:rPr>
                <w:rFonts w:cs="Courier New"/>
              </w:rPr>
              <w:t xml:space="preserve">Standard Australian current surveillance protocol for the </w:t>
            </w:r>
            <w:r w:rsidRPr="00F34804">
              <w:rPr>
                <w:rFonts w:cs="Courier New"/>
                <w:i/>
                <w:iCs/>
              </w:rPr>
              <w:t>TP53</w:t>
            </w:r>
            <w:r>
              <w:rPr>
                <w:rFonts w:cs="Courier New"/>
              </w:rPr>
              <w:t xml:space="preserve"> population</w:t>
            </w:r>
          </w:p>
        </w:tc>
        <w:tc>
          <w:tcPr>
            <w:tcW w:w="3827" w:type="dxa"/>
          </w:tcPr>
          <w:p w14:paraId="38A13247" w14:textId="1619A41C" w:rsidR="002E6DC7" w:rsidRPr="006A24ED" w:rsidRDefault="002E6DC7" w:rsidP="00067313">
            <w:pPr>
              <w:pStyle w:val="TableText"/>
              <w:keepNext/>
              <w:rPr>
                <w:rFonts w:cs="Courier New"/>
              </w:rPr>
            </w:pPr>
            <w:r>
              <w:rPr>
                <w:rFonts w:cs="Courier New"/>
              </w:rPr>
              <w:t xml:space="preserve">There were discrepancies in the LIFSCREEN trial protocol and Australian current surveillance protocol for the </w:t>
            </w:r>
            <w:r w:rsidRPr="00F34804">
              <w:rPr>
                <w:rFonts w:cs="Courier New"/>
                <w:i/>
                <w:iCs/>
              </w:rPr>
              <w:t>TP53</w:t>
            </w:r>
            <w:r>
              <w:rPr>
                <w:rFonts w:cs="Courier New"/>
              </w:rPr>
              <w:t xml:space="preserve"> population</w:t>
            </w:r>
            <w:r w:rsidR="00051B50">
              <w:rPr>
                <w:rFonts w:cs="Courier New"/>
              </w:rPr>
              <w:t>.</w:t>
            </w:r>
          </w:p>
        </w:tc>
      </w:tr>
      <w:tr w:rsidR="002E6DC7" w:rsidRPr="000449D1" w14:paraId="441F458F" w14:textId="77777777" w:rsidTr="00067313">
        <w:tc>
          <w:tcPr>
            <w:tcW w:w="2003" w:type="dxa"/>
          </w:tcPr>
          <w:p w14:paraId="3473E065" w14:textId="77777777" w:rsidR="002E6DC7" w:rsidRPr="000449D1" w:rsidRDefault="002E6DC7" w:rsidP="00067313">
            <w:pPr>
              <w:pStyle w:val="TableText"/>
              <w:keepNext/>
              <w:rPr>
                <w:rFonts w:cs="Courier New"/>
              </w:rPr>
            </w:pPr>
            <w:r w:rsidRPr="000449D1">
              <w:rPr>
                <w:rFonts w:cs="Courier New"/>
              </w:rPr>
              <w:t>Type(s) of analysis</w:t>
            </w:r>
          </w:p>
        </w:tc>
        <w:tc>
          <w:tcPr>
            <w:tcW w:w="3237" w:type="dxa"/>
          </w:tcPr>
          <w:p w14:paraId="5C74587C" w14:textId="77777777" w:rsidR="002E6DC7" w:rsidRPr="000449D1" w:rsidRDefault="002E6DC7" w:rsidP="00067313">
            <w:pPr>
              <w:pStyle w:val="TableText"/>
              <w:keepNext/>
              <w:rPr>
                <w:rFonts w:cs="Courier New"/>
              </w:rPr>
            </w:pPr>
            <w:r>
              <w:rPr>
                <w:rFonts w:cs="Courier New"/>
              </w:rPr>
              <w:t>C</w:t>
            </w:r>
            <w:r w:rsidRPr="000449D1">
              <w:rPr>
                <w:rFonts w:cs="Courier New"/>
              </w:rPr>
              <w:t>ost-effectiveness analysis</w:t>
            </w:r>
          </w:p>
        </w:tc>
        <w:tc>
          <w:tcPr>
            <w:tcW w:w="3827" w:type="dxa"/>
          </w:tcPr>
          <w:p w14:paraId="7673660F" w14:textId="77777777" w:rsidR="002E6DC7" w:rsidRPr="006A24ED" w:rsidRDefault="002E6DC7" w:rsidP="00067313">
            <w:pPr>
              <w:pStyle w:val="TableText"/>
              <w:keepNext/>
              <w:rPr>
                <w:rFonts w:cs="Courier New"/>
              </w:rPr>
            </w:pPr>
          </w:p>
        </w:tc>
      </w:tr>
      <w:tr w:rsidR="002E6DC7" w:rsidRPr="000449D1" w14:paraId="3DF81921" w14:textId="77777777" w:rsidTr="00067313">
        <w:tc>
          <w:tcPr>
            <w:tcW w:w="2003" w:type="dxa"/>
          </w:tcPr>
          <w:p w14:paraId="7EBC5F61" w14:textId="77777777" w:rsidR="002E6DC7" w:rsidRPr="000449D1" w:rsidRDefault="002E6DC7" w:rsidP="00067313">
            <w:pPr>
              <w:pStyle w:val="TableText"/>
              <w:keepNext/>
              <w:rPr>
                <w:rFonts w:cs="Courier New"/>
              </w:rPr>
            </w:pPr>
            <w:r w:rsidRPr="000449D1">
              <w:rPr>
                <w:rFonts w:cs="Courier New"/>
              </w:rPr>
              <w:t>Outcomes</w:t>
            </w:r>
          </w:p>
        </w:tc>
        <w:tc>
          <w:tcPr>
            <w:tcW w:w="3237" w:type="dxa"/>
          </w:tcPr>
          <w:p w14:paraId="1BA403AD" w14:textId="11430499" w:rsidR="002E6DC7" w:rsidRPr="000449D1" w:rsidRDefault="002E6DC7" w:rsidP="00067313">
            <w:pPr>
              <w:pStyle w:val="TableText"/>
              <w:keepNext/>
              <w:rPr>
                <w:rFonts w:cs="Courier New"/>
              </w:rPr>
            </w:pPr>
            <w:r>
              <w:rPr>
                <w:rFonts w:cs="Courier New"/>
              </w:rPr>
              <w:t>Estimated number of correct diagnoses in STD+WBMRI and STD arms</w:t>
            </w:r>
          </w:p>
        </w:tc>
        <w:tc>
          <w:tcPr>
            <w:tcW w:w="3827" w:type="dxa"/>
          </w:tcPr>
          <w:p w14:paraId="7E2DCC00" w14:textId="12C7CD3F" w:rsidR="002E6DC7" w:rsidRPr="006A24ED" w:rsidRDefault="002E6DC7" w:rsidP="00067313">
            <w:pPr>
              <w:pStyle w:val="TableText"/>
              <w:keepNext/>
              <w:rPr>
                <w:rFonts w:cs="Courier New"/>
              </w:rPr>
            </w:pPr>
            <w:r>
              <w:rPr>
                <w:rFonts w:cs="Courier New"/>
              </w:rPr>
              <w:t>Only new primary cancers were counted (</w:t>
            </w:r>
            <w:proofErr w:type="gramStart"/>
            <w:r>
              <w:rPr>
                <w:rFonts w:cs="Courier New"/>
              </w:rPr>
              <w:t>i.e.</w:t>
            </w:r>
            <w:proofErr w:type="gramEnd"/>
            <w:r>
              <w:rPr>
                <w:rFonts w:cs="Courier New"/>
              </w:rPr>
              <w:t xml:space="preserve"> occasions of relapses were excluded)</w:t>
            </w:r>
            <w:r w:rsidR="00051B50">
              <w:rPr>
                <w:rFonts w:cs="Courier New"/>
              </w:rPr>
              <w:t>.</w:t>
            </w:r>
          </w:p>
        </w:tc>
      </w:tr>
      <w:tr w:rsidR="002E6DC7" w:rsidRPr="000449D1" w14:paraId="0298232C" w14:textId="77777777" w:rsidTr="00067313">
        <w:tc>
          <w:tcPr>
            <w:tcW w:w="2003" w:type="dxa"/>
          </w:tcPr>
          <w:p w14:paraId="71E8EE03" w14:textId="77777777" w:rsidR="002E6DC7" w:rsidRPr="000449D1" w:rsidRDefault="002E6DC7" w:rsidP="00067313">
            <w:pPr>
              <w:pStyle w:val="TableText"/>
              <w:keepNext/>
              <w:rPr>
                <w:rFonts w:cs="Courier New"/>
              </w:rPr>
            </w:pPr>
            <w:r w:rsidRPr="000449D1">
              <w:rPr>
                <w:rFonts w:cs="Courier New"/>
              </w:rPr>
              <w:t>Time horizon</w:t>
            </w:r>
          </w:p>
        </w:tc>
        <w:tc>
          <w:tcPr>
            <w:tcW w:w="3237" w:type="dxa"/>
          </w:tcPr>
          <w:p w14:paraId="0FFFDFEE" w14:textId="61CD1C1B" w:rsidR="002E6DC7" w:rsidRPr="000449D1" w:rsidRDefault="00F97003" w:rsidP="00067313">
            <w:pPr>
              <w:pStyle w:val="TableText"/>
              <w:keepNext/>
              <w:rPr>
                <w:rFonts w:cs="Courier New"/>
              </w:rPr>
            </w:pPr>
            <w:r>
              <w:rPr>
                <w:rFonts w:cs="Courier New"/>
              </w:rPr>
              <w:t>One year</w:t>
            </w:r>
          </w:p>
        </w:tc>
        <w:tc>
          <w:tcPr>
            <w:tcW w:w="3827" w:type="dxa"/>
          </w:tcPr>
          <w:p w14:paraId="663E643B" w14:textId="7F023568" w:rsidR="002E6DC7" w:rsidRPr="006A24ED" w:rsidRDefault="00F97003" w:rsidP="00067313">
            <w:pPr>
              <w:pStyle w:val="TableText"/>
              <w:keepNext/>
              <w:rPr>
                <w:rFonts w:cs="Courier New"/>
              </w:rPr>
            </w:pPr>
            <w:r>
              <w:rPr>
                <w:rFonts w:cs="Courier New"/>
              </w:rPr>
              <w:t>Although the median follow-up was 3.2 years in both arms of LIFSCREEN (Caron 2018), the data have been applied in the economic evaluation as if collected over a one</w:t>
            </w:r>
            <w:r w:rsidR="005575D1">
              <w:rPr>
                <w:rFonts w:cs="Courier New"/>
              </w:rPr>
              <w:t>-</w:t>
            </w:r>
            <w:r>
              <w:rPr>
                <w:rFonts w:cs="Courier New"/>
              </w:rPr>
              <w:t>year period</w:t>
            </w:r>
            <w:r w:rsidR="00051B50">
              <w:rPr>
                <w:rFonts w:cs="Courier New"/>
              </w:rPr>
              <w:t>.</w:t>
            </w:r>
          </w:p>
        </w:tc>
      </w:tr>
      <w:tr w:rsidR="002E6DC7" w:rsidRPr="000449D1" w14:paraId="1C71EB60" w14:textId="77777777" w:rsidTr="00067313">
        <w:tc>
          <w:tcPr>
            <w:tcW w:w="2003" w:type="dxa"/>
          </w:tcPr>
          <w:p w14:paraId="218A0C81" w14:textId="77777777" w:rsidR="002E6DC7" w:rsidRPr="000449D1" w:rsidRDefault="002E6DC7" w:rsidP="00067313">
            <w:pPr>
              <w:pStyle w:val="TableText"/>
              <w:keepNext/>
              <w:rPr>
                <w:rFonts w:cs="Courier New"/>
              </w:rPr>
            </w:pPr>
            <w:r w:rsidRPr="000449D1">
              <w:rPr>
                <w:rFonts w:cs="Courier New"/>
              </w:rPr>
              <w:t>Computational method</w:t>
            </w:r>
          </w:p>
        </w:tc>
        <w:tc>
          <w:tcPr>
            <w:tcW w:w="3237" w:type="dxa"/>
          </w:tcPr>
          <w:p w14:paraId="480E6936" w14:textId="77777777" w:rsidR="002E6DC7" w:rsidRPr="000449D1" w:rsidRDefault="002E6DC7" w:rsidP="00067313">
            <w:pPr>
              <w:pStyle w:val="TableText"/>
              <w:keepNext/>
              <w:rPr>
                <w:rFonts w:cs="Courier New"/>
              </w:rPr>
            </w:pPr>
            <w:r>
              <w:rPr>
                <w:rFonts w:cs="Courier New"/>
              </w:rPr>
              <w:t xml:space="preserve">Arithmetic calculations using Bayes theorem and </w:t>
            </w:r>
            <w:r w:rsidRPr="00317A72">
              <w:rPr>
                <w:rFonts w:cs="Courier New"/>
              </w:rPr>
              <w:t xml:space="preserve">Bayesian </w:t>
            </w:r>
            <w:r>
              <w:rPr>
                <w:rFonts w:cs="Courier New"/>
              </w:rPr>
              <w:t>revision formulae</w:t>
            </w:r>
          </w:p>
        </w:tc>
        <w:tc>
          <w:tcPr>
            <w:tcW w:w="3827" w:type="dxa"/>
          </w:tcPr>
          <w:p w14:paraId="6BE71DDF" w14:textId="77777777" w:rsidR="002E6DC7" w:rsidRPr="006A24ED" w:rsidRDefault="002E6DC7" w:rsidP="00067313">
            <w:pPr>
              <w:pStyle w:val="TableText"/>
              <w:keepNext/>
              <w:rPr>
                <w:rFonts w:cs="Courier New"/>
              </w:rPr>
            </w:pPr>
          </w:p>
        </w:tc>
      </w:tr>
      <w:tr w:rsidR="002E6DC7" w:rsidRPr="000449D1" w14:paraId="7227DB42" w14:textId="77777777" w:rsidTr="00067313">
        <w:tc>
          <w:tcPr>
            <w:tcW w:w="2003" w:type="dxa"/>
          </w:tcPr>
          <w:p w14:paraId="595F82FD" w14:textId="77777777" w:rsidR="002E6DC7" w:rsidRPr="000449D1" w:rsidRDefault="002E6DC7" w:rsidP="00067313">
            <w:pPr>
              <w:pStyle w:val="TableText"/>
              <w:keepNext/>
              <w:rPr>
                <w:rFonts w:cs="Courier New"/>
              </w:rPr>
            </w:pPr>
            <w:r w:rsidRPr="000449D1">
              <w:rPr>
                <w:rFonts w:cs="Courier New"/>
              </w:rPr>
              <w:t>Generation of the base case</w:t>
            </w:r>
          </w:p>
        </w:tc>
        <w:tc>
          <w:tcPr>
            <w:tcW w:w="3237" w:type="dxa"/>
          </w:tcPr>
          <w:p w14:paraId="4030F7D5" w14:textId="77777777" w:rsidR="002E6DC7" w:rsidRPr="000449D1" w:rsidRDefault="002E6DC7" w:rsidP="00067313">
            <w:pPr>
              <w:pStyle w:val="TableText"/>
              <w:keepNext/>
              <w:rPr>
                <w:rFonts w:cs="Courier New"/>
              </w:rPr>
            </w:pPr>
            <w:r>
              <w:rPr>
                <w:rFonts w:cs="Courier New"/>
              </w:rPr>
              <w:t>Diagnostic test accuracy data (sensitivity and specificity) obtained from the LIFSCREEN trial</w:t>
            </w:r>
          </w:p>
        </w:tc>
        <w:tc>
          <w:tcPr>
            <w:tcW w:w="3827" w:type="dxa"/>
          </w:tcPr>
          <w:p w14:paraId="31A06AA4" w14:textId="68BEE91F" w:rsidR="002E6DC7" w:rsidRPr="006A24ED" w:rsidRDefault="002E6DC7" w:rsidP="00067313">
            <w:pPr>
              <w:pStyle w:val="TableText"/>
              <w:keepNext/>
              <w:rPr>
                <w:rFonts w:cs="Courier New"/>
              </w:rPr>
            </w:pPr>
            <w:proofErr w:type="gramStart"/>
            <w:r>
              <w:rPr>
                <w:rFonts w:cs="Courier New"/>
              </w:rPr>
              <w:t>Depending on the underlying assumptions, there</w:t>
            </w:r>
            <w:proofErr w:type="gramEnd"/>
            <w:r>
              <w:rPr>
                <w:rFonts w:cs="Courier New"/>
              </w:rPr>
              <w:t xml:space="preserve"> was more than one way of estimating sensitivity and specificity, which produced alternative primary ICERs and sensitivity analyses</w:t>
            </w:r>
            <w:r w:rsidR="00051B50">
              <w:rPr>
                <w:rFonts w:cs="Courier New"/>
              </w:rPr>
              <w:t>.</w:t>
            </w:r>
          </w:p>
        </w:tc>
      </w:tr>
      <w:tr w:rsidR="002E6DC7" w:rsidRPr="000449D1" w14:paraId="0669CD8F" w14:textId="77777777" w:rsidTr="00067313">
        <w:tc>
          <w:tcPr>
            <w:tcW w:w="2003" w:type="dxa"/>
          </w:tcPr>
          <w:p w14:paraId="7E137054" w14:textId="77777777" w:rsidR="002E6DC7" w:rsidRPr="000449D1" w:rsidRDefault="002E6DC7" w:rsidP="00067313">
            <w:pPr>
              <w:pStyle w:val="TableText"/>
              <w:keepNext/>
              <w:rPr>
                <w:rFonts w:cs="Courier New"/>
              </w:rPr>
            </w:pPr>
            <w:r w:rsidRPr="000449D1">
              <w:rPr>
                <w:rFonts w:cs="Courier New"/>
              </w:rPr>
              <w:t>Health states</w:t>
            </w:r>
          </w:p>
        </w:tc>
        <w:tc>
          <w:tcPr>
            <w:tcW w:w="3237" w:type="dxa"/>
          </w:tcPr>
          <w:p w14:paraId="4AC9425F" w14:textId="77777777" w:rsidR="002E6DC7" w:rsidRPr="000449D1" w:rsidRDefault="002E6DC7" w:rsidP="00067313">
            <w:pPr>
              <w:pStyle w:val="TableText"/>
              <w:keepNext/>
              <w:rPr>
                <w:rFonts w:cs="Courier New"/>
              </w:rPr>
            </w:pPr>
            <w:r>
              <w:rPr>
                <w:rFonts w:cs="Courier New"/>
              </w:rPr>
              <w:t>Not applicable</w:t>
            </w:r>
          </w:p>
        </w:tc>
        <w:tc>
          <w:tcPr>
            <w:tcW w:w="3827" w:type="dxa"/>
          </w:tcPr>
          <w:p w14:paraId="26041A18" w14:textId="77777777" w:rsidR="002E6DC7" w:rsidRPr="006A24ED" w:rsidRDefault="002E6DC7" w:rsidP="00067313">
            <w:pPr>
              <w:pStyle w:val="TableText"/>
              <w:keepNext/>
              <w:rPr>
                <w:rFonts w:cs="Courier New"/>
              </w:rPr>
            </w:pPr>
          </w:p>
        </w:tc>
      </w:tr>
      <w:tr w:rsidR="002E6DC7" w:rsidRPr="000449D1" w14:paraId="463B2A2A" w14:textId="77777777" w:rsidTr="00067313">
        <w:tc>
          <w:tcPr>
            <w:tcW w:w="2003" w:type="dxa"/>
          </w:tcPr>
          <w:p w14:paraId="23FF9B53" w14:textId="77777777" w:rsidR="002E6DC7" w:rsidRPr="000449D1" w:rsidRDefault="002E6DC7" w:rsidP="00067313">
            <w:pPr>
              <w:pStyle w:val="TableText"/>
              <w:keepNext/>
              <w:rPr>
                <w:rFonts w:cs="Courier New"/>
              </w:rPr>
            </w:pPr>
            <w:r w:rsidRPr="000449D1">
              <w:rPr>
                <w:rFonts w:cs="Courier New"/>
              </w:rPr>
              <w:t>Cycle length</w:t>
            </w:r>
          </w:p>
        </w:tc>
        <w:tc>
          <w:tcPr>
            <w:tcW w:w="3237" w:type="dxa"/>
          </w:tcPr>
          <w:p w14:paraId="1FF697B8" w14:textId="77777777" w:rsidR="002E6DC7" w:rsidRPr="000449D1" w:rsidRDefault="002E6DC7" w:rsidP="00067313">
            <w:pPr>
              <w:pStyle w:val="TableText"/>
              <w:keepNext/>
              <w:rPr>
                <w:rFonts w:cs="Courier New"/>
              </w:rPr>
            </w:pPr>
            <w:r>
              <w:rPr>
                <w:rFonts w:cs="Courier New"/>
              </w:rPr>
              <w:t>Not applicable</w:t>
            </w:r>
          </w:p>
        </w:tc>
        <w:tc>
          <w:tcPr>
            <w:tcW w:w="3827" w:type="dxa"/>
          </w:tcPr>
          <w:p w14:paraId="52273C25" w14:textId="77777777" w:rsidR="002E6DC7" w:rsidRPr="006A24ED" w:rsidRDefault="002E6DC7" w:rsidP="00067313">
            <w:pPr>
              <w:pStyle w:val="TableText"/>
              <w:keepNext/>
              <w:rPr>
                <w:rFonts w:cs="Courier New"/>
              </w:rPr>
            </w:pPr>
          </w:p>
        </w:tc>
      </w:tr>
      <w:tr w:rsidR="002E6DC7" w:rsidRPr="000449D1" w14:paraId="5ECB967F" w14:textId="77777777" w:rsidTr="00067313">
        <w:tc>
          <w:tcPr>
            <w:tcW w:w="2003" w:type="dxa"/>
          </w:tcPr>
          <w:p w14:paraId="66CD551D" w14:textId="77777777" w:rsidR="002E6DC7" w:rsidRPr="000449D1" w:rsidRDefault="002E6DC7" w:rsidP="00067313">
            <w:pPr>
              <w:pStyle w:val="TableText"/>
              <w:keepNext/>
              <w:rPr>
                <w:rFonts w:cs="Courier New"/>
              </w:rPr>
            </w:pPr>
            <w:r w:rsidRPr="000449D1">
              <w:rPr>
                <w:rFonts w:cs="Courier New"/>
              </w:rPr>
              <w:t>Transition probabilities</w:t>
            </w:r>
          </w:p>
        </w:tc>
        <w:tc>
          <w:tcPr>
            <w:tcW w:w="3237" w:type="dxa"/>
          </w:tcPr>
          <w:p w14:paraId="6E471ACA" w14:textId="77777777" w:rsidR="002E6DC7" w:rsidRPr="000449D1" w:rsidRDefault="002E6DC7" w:rsidP="00067313">
            <w:pPr>
              <w:pStyle w:val="TableText"/>
              <w:keepNext/>
              <w:rPr>
                <w:rFonts w:cs="Courier New"/>
              </w:rPr>
            </w:pPr>
            <w:r>
              <w:rPr>
                <w:rFonts w:cs="Courier New"/>
              </w:rPr>
              <w:t>Not applicable</w:t>
            </w:r>
          </w:p>
        </w:tc>
        <w:tc>
          <w:tcPr>
            <w:tcW w:w="3827" w:type="dxa"/>
          </w:tcPr>
          <w:p w14:paraId="38DBAEBF" w14:textId="77777777" w:rsidR="002E6DC7" w:rsidRPr="006A24ED" w:rsidRDefault="002E6DC7" w:rsidP="00067313">
            <w:pPr>
              <w:pStyle w:val="TableText"/>
              <w:keepNext/>
              <w:rPr>
                <w:rFonts w:cs="Courier New"/>
              </w:rPr>
            </w:pPr>
          </w:p>
        </w:tc>
      </w:tr>
      <w:tr w:rsidR="002E6DC7" w:rsidRPr="000449D1" w14:paraId="61091347" w14:textId="77777777" w:rsidTr="00067313">
        <w:tc>
          <w:tcPr>
            <w:tcW w:w="2003" w:type="dxa"/>
          </w:tcPr>
          <w:p w14:paraId="4359806B" w14:textId="77777777" w:rsidR="002E6DC7" w:rsidRPr="000449D1" w:rsidRDefault="002E6DC7" w:rsidP="00067313">
            <w:pPr>
              <w:pStyle w:val="TableText"/>
              <w:keepNext/>
              <w:rPr>
                <w:rFonts w:cs="Courier New"/>
              </w:rPr>
            </w:pPr>
            <w:r w:rsidRPr="000449D1">
              <w:rPr>
                <w:rFonts w:cs="Courier New"/>
              </w:rPr>
              <w:t>Discount rate</w:t>
            </w:r>
          </w:p>
        </w:tc>
        <w:tc>
          <w:tcPr>
            <w:tcW w:w="3237" w:type="dxa"/>
          </w:tcPr>
          <w:p w14:paraId="5BA0737E" w14:textId="44643D81" w:rsidR="002E6DC7" w:rsidRPr="000449D1" w:rsidRDefault="00F97003" w:rsidP="00067313">
            <w:pPr>
              <w:pStyle w:val="TableText"/>
              <w:keepNext/>
              <w:rPr>
                <w:rFonts w:cs="Courier New"/>
              </w:rPr>
            </w:pPr>
            <w:r>
              <w:rPr>
                <w:rFonts w:cs="Courier New"/>
              </w:rPr>
              <w:t>Not applicable</w:t>
            </w:r>
          </w:p>
        </w:tc>
        <w:tc>
          <w:tcPr>
            <w:tcW w:w="3827" w:type="dxa"/>
          </w:tcPr>
          <w:p w14:paraId="357B94D2" w14:textId="650BD2BA" w:rsidR="002E6DC7" w:rsidRPr="006A24ED" w:rsidRDefault="002E6DC7" w:rsidP="00067313">
            <w:pPr>
              <w:pStyle w:val="TableText"/>
              <w:keepNext/>
              <w:rPr>
                <w:rFonts w:cs="Courier New"/>
              </w:rPr>
            </w:pPr>
          </w:p>
        </w:tc>
      </w:tr>
      <w:tr w:rsidR="002E6DC7" w:rsidRPr="000449D1" w14:paraId="7166AE9D" w14:textId="77777777" w:rsidTr="00067313">
        <w:tc>
          <w:tcPr>
            <w:tcW w:w="2003" w:type="dxa"/>
          </w:tcPr>
          <w:p w14:paraId="34358693" w14:textId="77777777" w:rsidR="002E6DC7" w:rsidRPr="000449D1" w:rsidRDefault="002E6DC7" w:rsidP="00067313">
            <w:pPr>
              <w:pStyle w:val="TableText"/>
              <w:keepNext/>
              <w:rPr>
                <w:rFonts w:cs="Courier New"/>
              </w:rPr>
            </w:pPr>
            <w:r w:rsidRPr="000449D1">
              <w:rPr>
                <w:rFonts w:cs="Courier New"/>
              </w:rPr>
              <w:t>Software</w:t>
            </w:r>
          </w:p>
        </w:tc>
        <w:tc>
          <w:tcPr>
            <w:tcW w:w="3237" w:type="dxa"/>
          </w:tcPr>
          <w:p w14:paraId="047891F1" w14:textId="77777777" w:rsidR="002E6DC7" w:rsidRPr="000449D1" w:rsidRDefault="002E6DC7" w:rsidP="00067313">
            <w:pPr>
              <w:pStyle w:val="TableText"/>
              <w:keepNext/>
              <w:rPr>
                <w:rFonts w:cs="Courier New"/>
              </w:rPr>
            </w:pPr>
            <w:proofErr w:type="spellStart"/>
            <w:r w:rsidRPr="000449D1">
              <w:rPr>
                <w:rFonts w:cs="Courier New"/>
              </w:rPr>
              <w:t>TreeAge</w:t>
            </w:r>
            <w:proofErr w:type="spellEnd"/>
            <w:r w:rsidRPr="000449D1">
              <w:rPr>
                <w:rFonts w:cs="Courier New"/>
              </w:rPr>
              <w:t xml:space="preserve"> Pro</w:t>
            </w:r>
          </w:p>
        </w:tc>
        <w:tc>
          <w:tcPr>
            <w:tcW w:w="3827" w:type="dxa"/>
          </w:tcPr>
          <w:p w14:paraId="20838A8B" w14:textId="0C95C54E" w:rsidR="002E6DC7" w:rsidRPr="006A24ED" w:rsidRDefault="002E6DC7" w:rsidP="00067313">
            <w:pPr>
              <w:pStyle w:val="TableText"/>
              <w:keepNext/>
              <w:rPr>
                <w:rFonts w:cs="Courier New"/>
              </w:rPr>
            </w:pPr>
            <w:proofErr w:type="spellStart"/>
            <w:r w:rsidRPr="000449D1">
              <w:rPr>
                <w:rFonts w:cs="Courier New"/>
              </w:rPr>
              <w:t>TreeAge</w:t>
            </w:r>
            <w:proofErr w:type="spellEnd"/>
            <w:r w:rsidRPr="000449D1">
              <w:rPr>
                <w:rFonts w:cs="Courier New"/>
              </w:rPr>
              <w:t xml:space="preserve"> Pro</w:t>
            </w:r>
            <w:r>
              <w:rPr>
                <w:rFonts w:cs="Courier New"/>
              </w:rPr>
              <w:t xml:space="preserve"> was not used for modelling purposes, only for the convenience and accuracy of </w:t>
            </w:r>
            <w:r w:rsidRPr="00317A72">
              <w:rPr>
                <w:rFonts w:cs="Courier New"/>
              </w:rPr>
              <w:t xml:space="preserve">Bayesian </w:t>
            </w:r>
            <w:r>
              <w:rPr>
                <w:rFonts w:cs="Courier New"/>
              </w:rPr>
              <w:t>revision calculations</w:t>
            </w:r>
            <w:r w:rsidR="00051B50">
              <w:rPr>
                <w:rFonts w:cs="Courier New"/>
              </w:rPr>
              <w:t>.</w:t>
            </w:r>
          </w:p>
        </w:tc>
      </w:tr>
    </w:tbl>
    <w:p w14:paraId="0B45BF1D" w14:textId="246D77CF" w:rsidR="002E6DC7" w:rsidRPr="00FF5134" w:rsidRDefault="002E6DC7" w:rsidP="00A426F9">
      <w:pPr>
        <w:pStyle w:val="TableFigureFooter"/>
        <w:spacing w:before="0" w:after="240"/>
      </w:pPr>
      <w:r w:rsidRPr="00F34804">
        <w:rPr>
          <w:i/>
          <w:iCs/>
        </w:rPr>
        <w:t>TP53=</w:t>
      </w:r>
      <w:proofErr w:type="spellStart"/>
      <w:r w:rsidRPr="00F34804">
        <w:rPr>
          <w:i/>
          <w:iCs/>
        </w:rPr>
        <w:t>Tumor</w:t>
      </w:r>
      <w:proofErr w:type="spellEnd"/>
      <w:r w:rsidRPr="00F34804">
        <w:rPr>
          <w:i/>
          <w:iCs/>
        </w:rPr>
        <w:t xml:space="preserve"> Protein 53</w:t>
      </w:r>
      <w:r w:rsidRPr="00FF5134">
        <w:t xml:space="preserve">; </w:t>
      </w:r>
      <w:r>
        <w:t>WBMRI=Whole</w:t>
      </w:r>
      <w:r w:rsidR="00B231D2">
        <w:t>-</w:t>
      </w:r>
      <w:r>
        <w:t xml:space="preserve">body </w:t>
      </w:r>
      <w:r w:rsidRPr="00C63ECD">
        <w:t>magnetic resonance imaging</w:t>
      </w:r>
      <w:r>
        <w:t>; STD=</w:t>
      </w:r>
      <w:r w:rsidRPr="002E45B1">
        <w:t>Standard cancer surveillance</w:t>
      </w:r>
    </w:p>
    <w:p w14:paraId="191B7E49" w14:textId="43671AB4" w:rsidR="002E6DC7" w:rsidRDefault="002E6DC7" w:rsidP="002E6DC7">
      <w:r>
        <w:lastRenderedPageBreak/>
        <w:t xml:space="preserve">The cost-effectiveness analyses produced </w:t>
      </w:r>
      <w:proofErr w:type="gramStart"/>
      <w:r>
        <w:t>a number of</w:t>
      </w:r>
      <w:proofErr w:type="gramEnd"/>
      <w:r>
        <w:t xml:space="preserve"> ICER estimates for the incremental cost per additional correct diagnosis, namely new primary cancer correctly detected given positive test results and new primary cancer correctly ruled out given negative test results. Only incremental costs were included. The total annual cost of adding WBMRI to the standard surveillance protocol is estimated at $1561 and consists of $1500 (cost of the WBMRI procedure) plus $61 (additional investigations per lesion due to the false positive results of the scan).</w:t>
      </w:r>
    </w:p>
    <w:p w14:paraId="4EC8881E" w14:textId="4C956881" w:rsidR="002E6DC7" w:rsidRDefault="002E6DC7" w:rsidP="002E6DC7">
      <w:r>
        <w:t>The first primary ICER (</w:t>
      </w:r>
      <w:r>
        <w:fldChar w:fldCharType="begin"/>
      </w:r>
      <w:r>
        <w:instrText xml:space="preserve"> REF _Ref101876509 \h </w:instrText>
      </w:r>
      <w:r>
        <w:fldChar w:fldCharType="separate"/>
      </w:r>
      <w:r w:rsidR="00822248">
        <w:t xml:space="preserve">Table </w:t>
      </w:r>
      <w:r w:rsidR="00822248">
        <w:rPr>
          <w:noProof/>
        </w:rPr>
        <w:t>11</w:t>
      </w:r>
      <w:r>
        <w:fldChar w:fldCharType="end"/>
      </w:r>
      <w:r>
        <w:t>) utilises</w:t>
      </w:r>
      <w:r w:rsidRPr="00640BA9">
        <w:t xml:space="preserve"> the </w:t>
      </w:r>
      <w:r>
        <w:t>LIFSCREEN</w:t>
      </w:r>
      <w:r w:rsidRPr="00640BA9">
        <w:t xml:space="preserve"> diagnostic accuracy data</w:t>
      </w:r>
      <w:r>
        <w:t xml:space="preserve"> reported in </w:t>
      </w:r>
      <w:r>
        <w:fldChar w:fldCharType="begin"/>
      </w:r>
      <w:r>
        <w:instrText xml:space="preserve"> REF _Ref101944144 \h </w:instrText>
      </w:r>
      <w:r>
        <w:fldChar w:fldCharType="separate"/>
      </w:r>
      <w:r w:rsidR="00822248">
        <w:t xml:space="preserve">Table </w:t>
      </w:r>
      <w:r w:rsidR="00822248">
        <w:rPr>
          <w:noProof/>
        </w:rPr>
        <w:t>3</w:t>
      </w:r>
      <w:r>
        <w:fldChar w:fldCharType="end"/>
      </w:r>
      <w:r>
        <w:t>.</w:t>
      </w:r>
    </w:p>
    <w:p w14:paraId="7E1AB951" w14:textId="72D7F13A" w:rsidR="002E6DC7" w:rsidRPr="00CE28E3" w:rsidRDefault="002E6DC7" w:rsidP="00705109">
      <w:pPr>
        <w:pStyle w:val="Caption"/>
        <w:spacing w:before="240"/>
        <w:ind w:left="709" w:hanging="709"/>
      </w:pPr>
      <w:bookmarkStart w:id="28" w:name="_Ref101876509"/>
      <w:r>
        <w:t xml:space="preserve">Table </w:t>
      </w:r>
      <w:r w:rsidR="0067109A">
        <w:fldChar w:fldCharType="begin"/>
      </w:r>
      <w:r w:rsidR="0067109A">
        <w:instrText xml:space="preserve"> SEQ Table \* ARABIC </w:instrText>
      </w:r>
      <w:r w:rsidR="0067109A">
        <w:fldChar w:fldCharType="separate"/>
      </w:r>
      <w:r w:rsidR="00822248">
        <w:rPr>
          <w:noProof/>
        </w:rPr>
        <w:t>11</w:t>
      </w:r>
      <w:r w:rsidR="0067109A">
        <w:rPr>
          <w:noProof/>
        </w:rPr>
        <w:fldChar w:fldCharType="end"/>
      </w:r>
      <w:bookmarkEnd w:id="28"/>
      <w:r>
        <w:tab/>
        <w:t>S</w:t>
      </w:r>
      <w:r w:rsidRPr="00CE28E3">
        <w:t xml:space="preserve">ummary of </w:t>
      </w:r>
      <w:r>
        <w:t xml:space="preserve">results using the accuracy estimates based on the </w:t>
      </w:r>
      <w:r w:rsidRPr="00C16F0E">
        <w:t xml:space="preserve">observed </w:t>
      </w:r>
      <w:r>
        <w:t xml:space="preserve">true positives, true negatives, false </w:t>
      </w:r>
      <w:proofErr w:type="gramStart"/>
      <w:r>
        <w:t>positives</w:t>
      </w:r>
      <w:proofErr w:type="gramEnd"/>
      <w:r>
        <w:t xml:space="preserve"> and false negative results </w:t>
      </w:r>
      <w:r w:rsidRPr="00C16F0E">
        <w:t xml:space="preserve">in each arm of the LIFSCREEN </w:t>
      </w:r>
      <w:r>
        <w:t>trial (</w:t>
      </w:r>
      <w:r>
        <w:rPr>
          <w:highlight w:val="yellow"/>
        </w:rPr>
        <w:fldChar w:fldCharType="begin"/>
      </w:r>
      <w:r>
        <w:instrText xml:space="preserve"> REF _Ref101944144 \h </w:instrText>
      </w:r>
      <w:r>
        <w:rPr>
          <w:highlight w:val="yellow"/>
        </w:rPr>
      </w:r>
      <w:r>
        <w:rPr>
          <w:highlight w:val="yellow"/>
        </w:rPr>
        <w:fldChar w:fldCharType="separate"/>
      </w:r>
      <w:r w:rsidR="00822248">
        <w:t xml:space="preserve">Table </w:t>
      </w:r>
      <w:r w:rsidR="00822248">
        <w:rPr>
          <w:noProof/>
        </w:rPr>
        <w:t>3</w:t>
      </w:r>
      <w:r>
        <w:rPr>
          <w:highlight w:val="yellow"/>
        </w:rPr>
        <w:fldChar w:fldCharType="end"/>
      </w:r>
      <w:r>
        <w:t>)</w:t>
      </w:r>
    </w:p>
    <w:tbl>
      <w:tblPr>
        <w:tblStyle w:val="TableGrid1"/>
        <w:tblW w:w="9067" w:type="dxa"/>
        <w:tblLayout w:type="fixed"/>
        <w:tblCellMar>
          <w:left w:w="28" w:type="dxa"/>
          <w:right w:w="28" w:type="dxa"/>
        </w:tblCellMar>
        <w:tblLook w:val="04A0" w:firstRow="1" w:lastRow="0" w:firstColumn="1" w:lastColumn="0" w:noHBand="0" w:noVBand="1"/>
      </w:tblPr>
      <w:tblGrid>
        <w:gridCol w:w="1129"/>
        <w:gridCol w:w="709"/>
        <w:gridCol w:w="992"/>
        <w:gridCol w:w="1134"/>
        <w:gridCol w:w="993"/>
        <w:gridCol w:w="992"/>
        <w:gridCol w:w="1134"/>
        <w:gridCol w:w="992"/>
        <w:gridCol w:w="992"/>
      </w:tblGrid>
      <w:tr w:rsidR="002E6DC7" w:rsidRPr="00CE28E3" w14:paraId="0F32843E" w14:textId="77777777" w:rsidTr="00067313">
        <w:trPr>
          <w:cnfStyle w:val="100000000000" w:firstRow="1" w:lastRow="0" w:firstColumn="0" w:lastColumn="0" w:oddVBand="0" w:evenVBand="0" w:oddHBand="0" w:evenHBand="0" w:firstRowFirstColumn="0" w:firstRowLastColumn="0" w:lastRowFirstColumn="0" w:lastRowLastColumn="0"/>
          <w:cantSplit/>
          <w:trHeight w:val="507"/>
          <w:tblHeader/>
        </w:trPr>
        <w:tc>
          <w:tcPr>
            <w:tcW w:w="1129" w:type="dxa"/>
            <w:vAlign w:val="center"/>
          </w:tcPr>
          <w:p w14:paraId="3116789C" w14:textId="77777777" w:rsidR="002E6DC7" w:rsidRPr="00CE28E3" w:rsidRDefault="002E6DC7" w:rsidP="00067313">
            <w:pPr>
              <w:pStyle w:val="TableHeading0"/>
              <w:spacing w:before="40" w:after="40"/>
            </w:pPr>
            <w:r>
              <w:t>Health technology alternatives</w:t>
            </w:r>
          </w:p>
        </w:tc>
        <w:tc>
          <w:tcPr>
            <w:tcW w:w="709" w:type="dxa"/>
            <w:vAlign w:val="center"/>
          </w:tcPr>
          <w:p w14:paraId="461DBB6F" w14:textId="77777777" w:rsidR="002E6DC7" w:rsidRDefault="002E6DC7" w:rsidP="00067313">
            <w:pPr>
              <w:pStyle w:val="TableHeadingCA"/>
              <w:spacing w:before="40" w:after="40"/>
            </w:pPr>
            <w:r>
              <w:t>Costs</w:t>
            </w:r>
          </w:p>
          <w:p w14:paraId="7DAC6517" w14:textId="77777777" w:rsidR="002E6DC7" w:rsidRPr="00CE28E3" w:rsidRDefault="002E6DC7" w:rsidP="00067313">
            <w:pPr>
              <w:pStyle w:val="TableHeadingCA"/>
              <w:spacing w:before="40" w:after="40"/>
            </w:pPr>
            <w:r>
              <w:t>($)</w:t>
            </w:r>
          </w:p>
        </w:tc>
        <w:tc>
          <w:tcPr>
            <w:tcW w:w="992" w:type="dxa"/>
            <w:vAlign w:val="center"/>
          </w:tcPr>
          <w:p w14:paraId="59AF2667" w14:textId="77777777" w:rsidR="002E6DC7" w:rsidRPr="00CE28E3" w:rsidRDefault="002E6DC7" w:rsidP="00067313">
            <w:pPr>
              <w:pStyle w:val="TableHeadingCA"/>
              <w:spacing w:before="40" w:after="40"/>
            </w:pPr>
            <w:r>
              <w:t>Incremental cost ($)</w:t>
            </w:r>
          </w:p>
        </w:tc>
        <w:tc>
          <w:tcPr>
            <w:tcW w:w="1134" w:type="dxa"/>
            <w:vAlign w:val="center"/>
          </w:tcPr>
          <w:p w14:paraId="2F6131C8" w14:textId="34DD182C" w:rsidR="002E6DC7" w:rsidRPr="00CE28E3" w:rsidRDefault="002E6DC7" w:rsidP="00067313">
            <w:pPr>
              <w:pStyle w:val="TableHeadingCA"/>
              <w:spacing w:before="40" w:after="40"/>
            </w:pPr>
            <w:r>
              <w:t xml:space="preserve">Outcomes </w:t>
            </w:r>
            <w:r>
              <w:br/>
              <w:t>(+</w:t>
            </w:r>
            <w:proofErr w:type="spellStart"/>
            <w:r>
              <w:t>ve</w:t>
            </w:r>
            <w:proofErr w:type="spellEnd"/>
            <w:r>
              <w:t xml:space="preserve"> NPCs correctly </w:t>
            </w:r>
            <w:proofErr w:type="gramStart"/>
            <w:r>
              <w:t>identified)</w:t>
            </w:r>
            <w:r w:rsidR="006223F1">
              <w:t>*</w:t>
            </w:r>
            <w:proofErr w:type="gramEnd"/>
          </w:p>
        </w:tc>
        <w:tc>
          <w:tcPr>
            <w:tcW w:w="993" w:type="dxa"/>
            <w:vAlign w:val="center"/>
          </w:tcPr>
          <w:p w14:paraId="3EBFA2DE" w14:textId="77777777" w:rsidR="002E6DC7" w:rsidRDefault="002E6DC7" w:rsidP="00067313">
            <w:pPr>
              <w:pStyle w:val="TableHeadingCA"/>
              <w:spacing w:before="40" w:after="40"/>
            </w:pPr>
            <w:r w:rsidRPr="00CE28E3">
              <w:t>Incremental outcome</w:t>
            </w:r>
          </w:p>
        </w:tc>
        <w:tc>
          <w:tcPr>
            <w:tcW w:w="992" w:type="dxa"/>
            <w:vAlign w:val="center"/>
          </w:tcPr>
          <w:p w14:paraId="58D7F6FD" w14:textId="6218B43B" w:rsidR="002E6DC7" w:rsidRDefault="002E6DC7" w:rsidP="00067313">
            <w:pPr>
              <w:pStyle w:val="TableHeadingCA"/>
              <w:spacing w:before="40" w:after="40"/>
            </w:pPr>
            <w:r>
              <w:t>ICER ($/+</w:t>
            </w:r>
            <w:proofErr w:type="spellStart"/>
            <w:r>
              <w:t>ve</w:t>
            </w:r>
            <w:proofErr w:type="spellEnd"/>
            <w:r>
              <w:t xml:space="preserve"> NPC </w:t>
            </w:r>
            <w:r w:rsidR="008027B8">
              <w:t xml:space="preserve">correctly </w:t>
            </w:r>
            <w:proofErr w:type="gramStart"/>
            <w:r>
              <w:t>identified)</w:t>
            </w:r>
            <w:r w:rsidR="006223F1">
              <w:t>*</w:t>
            </w:r>
            <w:proofErr w:type="gramEnd"/>
          </w:p>
        </w:tc>
        <w:tc>
          <w:tcPr>
            <w:tcW w:w="1134" w:type="dxa"/>
            <w:vAlign w:val="center"/>
          </w:tcPr>
          <w:p w14:paraId="702B27AA" w14:textId="77E51A3C" w:rsidR="002E6DC7" w:rsidRPr="00CE28E3" w:rsidRDefault="002E6DC7" w:rsidP="00067313">
            <w:pPr>
              <w:pStyle w:val="TableHeadingCA"/>
              <w:spacing w:before="40" w:after="40"/>
            </w:pPr>
            <w:r>
              <w:t xml:space="preserve">Outcomes </w:t>
            </w:r>
            <w:r>
              <w:br/>
              <w:t>(-</w:t>
            </w:r>
            <w:proofErr w:type="spellStart"/>
            <w:r>
              <w:t>ve</w:t>
            </w:r>
            <w:proofErr w:type="spellEnd"/>
            <w:r>
              <w:t xml:space="preserve"> NPCs correctly ruled </w:t>
            </w:r>
            <w:proofErr w:type="gramStart"/>
            <w:r>
              <w:t>out)</w:t>
            </w:r>
            <w:r w:rsidR="006223F1">
              <w:t>*</w:t>
            </w:r>
            <w:proofErr w:type="gramEnd"/>
          </w:p>
        </w:tc>
        <w:tc>
          <w:tcPr>
            <w:tcW w:w="992" w:type="dxa"/>
            <w:vAlign w:val="center"/>
          </w:tcPr>
          <w:p w14:paraId="429DAA35" w14:textId="77777777" w:rsidR="002E6DC7" w:rsidRPr="00CE28E3" w:rsidRDefault="002E6DC7" w:rsidP="00067313">
            <w:pPr>
              <w:pStyle w:val="TableHeadingCA"/>
              <w:spacing w:before="40" w:after="40"/>
            </w:pPr>
            <w:r w:rsidRPr="00CE28E3">
              <w:t>Incremental outcome</w:t>
            </w:r>
          </w:p>
        </w:tc>
        <w:tc>
          <w:tcPr>
            <w:tcW w:w="992" w:type="dxa"/>
            <w:vAlign w:val="center"/>
          </w:tcPr>
          <w:p w14:paraId="35977A10" w14:textId="758502CD" w:rsidR="002E6DC7" w:rsidRPr="00CE28E3" w:rsidRDefault="002E6DC7" w:rsidP="00067313">
            <w:pPr>
              <w:pStyle w:val="TableHeadingCA"/>
              <w:spacing w:before="40" w:after="40"/>
            </w:pPr>
            <w:r>
              <w:t>ICER ($/-</w:t>
            </w:r>
            <w:proofErr w:type="spellStart"/>
            <w:r>
              <w:t>ve</w:t>
            </w:r>
            <w:proofErr w:type="spellEnd"/>
            <w:r>
              <w:t xml:space="preserve"> NPC</w:t>
            </w:r>
            <w:r w:rsidR="008027B8">
              <w:t xml:space="preserve"> correctly</w:t>
            </w:r>
            <w:r>
              <w:t xml:space="preserve"> ruled </w:t>
            </w:r>
            <w:proofErr w:type="gramStart"/>
            <w:r>
              <w:t>out)</w:t>
            </w:r>
            <w:r w:rsidR="006223F1">
              <w:t>*</w:t>
            </w:r>
            <w:proofErr w:type="gramEnd"/>
          </w:p>
        </w:tc>
      </w:tr>
      <w:tr w:rsidR="002E6DC7" w:rsidRPr="00CE28E3" w14:paraId="06F81165" w14:textId="77777777" w:rsidTr="00067313">
        <w:trPr>
          <w:cantSplit/>
        </w:trPr>
        <w:tc>
          <w:tcPr>
            <w:tcW w:w="1129" w:type="dxa"/>
          </w:tcPr>
          <w:p w14:paraId="2007FC7E" w14:textId="77777777" w:rsidR="002E6DC7" w:rsidRPr="00CE28E3" w:rsidRDefault="002E6DC7" w:rsidP="00067313">
            <w:pPr>
              <w:pStyle w:val="TableText"/>
            </w:pPr>
            <w:r>
              <w:t xml:space="preserve">WBMRI + surveillance </w:t>
            </w:r>
          </w:p>
        </w:tc>
        <w:tc>
          <w:tcPr>
            <w:tcW w:w="709" w:type="dxa"/>
            <w:vAlign w:val="center"/>
          </w:tcPr>
          <w:p w14:paraId="6D6E2990" w14:textId="77777777" w:rsidR="002E6DC7" w:rsidRPr="00CE28E3" w:rsidRDefault="002E6DC7" w:rsidP="00067313">
            <w:pPr>
              <w:pStyle w:val="TableTextCA"/>
            </w:pPr>
            <w:r>
              <w:t>1561</w:t>
            </w:r>
          </w:p>
        </w:tc>
        <w:tc>
          <w:tcPr>
            <w:tcW w:w="992" w:type="dxa"/>
            <w:vMerge w:val="restart"/>
            <w:vAlign w:val="center"/>
          </w:tcPr>
          <w:p w14:paraId="363D7791" w14:textId="77777777" w:rsidR="002E6DC7" w:rsidRPr="00CE28E3" w:rsidRDefault="002E6DC7" w:rsidP="00067313">
            <w:pPr>
              <w:pStyle w:val="TableTextCA"/>
            </w:pPr>
            <w:r>
              <w:t>1561</w:t>
            </w:r>
          </w:p>
        </w:tc>
        <w:tc>
          <w:tcPr>
            <w:tcW w:w="1134" w:type="dxa"/>
            <w:vAlign w:val="center"/>
          </w:tcPr>
          <w:p w14:paraId="6F20D20F" w14:textId="77777777" w:rsidR="002E6DC7" w:rsidRPr="00CE28E3" w:rsidRDefault="002E6DC7" w:rsidP="00067313">
            <w:pPr>
              <w:pStyle w:val="TableTextCA"/>
            </w:pPr>
            <w:r w:rsidRPr="001D32BB">
              <w:t>0.1183</w:t>
            </w:r>
          </w:p>
        </w:tc>
        <w:tc>
          <w:tcPr>
            <w:tcW w:w="993" w:type="dxa"/>
            <w:vMerge w:val="restart"/>
            <w:vAlign w:val="center"/>
          </w:tcPr>
          <w:p w14:paraId="5927883A" w14:textId="77777777" w:rsidR="002E6DC7" w:rsidRPr="00CE28E3" w:rsidRDefault="002E6DC7" w:rsidP="00067313">
            <w:pPr>
              <w:pStyle w:val="TableTextCA"/>
            </w:pPr>
            <w:r>
              <w:t>-0.0138</w:t>
            </w:r>
          </w:p>
        </w:tc>
        <w:tc>
          <w:tcPr>
            <w:tcW w:w="992" w:type="dxa"/>
            <w:vMerge w:val="restart"/>
            <w:vAlign w:val="center"/>
          </w:tcPr>
          <w:p w14:paraId="5CA1FFCC" w14:textId="77777777" w:rsidR="002E6DC7" w:rsidRPr="00CE28E3" w:rsidRDefault="002E6DC7" w:rsidP="00067313">
            <w:pPr>
              <w:pStyle w:val="TableTextCA"/>
            </w:pPr>
            <w:r>
              <w:t>STD dominates</w:t>
            </w:r>
          </w:p>
        </w:tc>
        <w:tc>
          <w:tcPr>
            <w:tcW w:w="1134" w:type="dxa"/>
            <w:vAlign w:val="center"/>
          </w:tcPr>
          <w:p w14:paraId="4DDF1012" w14:textId="77777777" w:rsidR="002E6DC7" w:rsidRPr="00CE28E3" w:rsidRDefault="002E6DC7" w:rsidP="00067313">
            <w:pPr>
              <w:pStyle w:val="TableTextCA"/>
            </w:pPr>
            <w:r w:rsidRPr="00A47164">
              <w:t>0.9815</w:t>
            </w:r>
          </w:p>
        </w:tc>
        <w:tc>
          <w:tcPr>
            <w:tcW w:w="992" w:type="dxa"/>
            <w:vMerge w:val="restart"/>
            <w:vAlign w:val="center"/>
          </w:tcPr>
          <w:p w14:paraId="01787003" w14:textId="77777777" w:rsidR="002E6DC7" w:rsidRPr="00CE28E3" w:rsidRDefault="002E6DC7" w:rsidP="00067313">
            <w:pPr>
              <w:pStyle w:val="TableTextCA"/>
            </w:pPr>
            <w:r>
              <w:t>0.0133</w:t>
            </w:r>
          </w:p>
        </w:tc>
        <w:tc>
          <w:tcPr>
            <w:tcW w:w="992" w:type="dxa"/>
            <w:vMerge w:val="restart"/>
            <w:vAlign w:val="center"/>
          </w:tcPr>
          <w:p w14:paraId="046DE508" w14:textId="77777777" w:rsidR="002E6DC7" w:rsidRPr="00CE28E3" w:rsidRDefault="002E6DC7" w:rsidP="00067313">
            <w:pPr>
              <w:pStyle w:val="TableTextCA"/>
            </w:pPr>
            <w:r>
              <w:t>117,825</w:t>
            </w:r>
          </w:p>
        </w:tc>
      </w:tr>
      <w:tr w:rsidR="002E6DC7" w:rsidRPr="00CE28E3" w14:paraId="71122F54" w14:textId="77777777" w:rsidTr="00067313">
        <w:trPr>
          <w:cantSplit/>
        </w:trPr>
        <w:tc>
          <w:tcPr>
            <w:tcW w:w="1129" w:type="dxa"/>
          </w:tcPr>
          <w:p w14:paraId="75BFF21D" w14:textId="5A218C1C" w:rsidR="002E6DC7" w:rsidRPr="00CE28E3" w:rsidRDefault="002E6DC7" w:rsidP="00067313">
            <w:pPr>
              <w:pStyle w:val="TableText"/>
            </w:pPr>
            <w:r>
              <w:t>Surveillance only</w:t>
            </w:r>
            <w:r w:rsidR="0042101A">
              <w:t xml:space="preserve"> (S</w:t>
            </w:r>
            <w:r w:rsidR="004F27CB">
              <w:t>TD</w:t>
            </w:r>
            <w:r w:rsidR="0042101A">
              <w:t>)</w:t>
            </w:r>
          </w:p>
        </w:tc>
        <w:tc>
          <w:tcPr>
            <w:tcW w:w="709" w:type="dxa"/>
            <w:vAlign w:val="center"/>
          </w:tcPr>
          <w:p w14:paraId="5FB839BA" w14:textId="77777777" w:rsidR="002E6DC7" w:rsidRPr="00CE28E3" w:rsidRDefault="002E6DC7" w:rsidP="00067313">
            <w:pPr>
              <w:pStyle w:val="TableTextCA"/>
            </w:pPr>
            <w:r>
              <w:t>0</w:t>
            </w:r>
          </w:p>
        </w:tc>
        <w:tc>
          <w:tcPr>
            <w:tcW w:w="992" w:type="dxa"/>
            <w:vMerge/>
            <w:vAlign w:val="center"/>
          </w:tcPr>
          <w:p w14:paraId="398B75E7" w14:textId="77777777" w:rsidR="002E6DC7" w:rsidRPr="00CE28E3" w:rsidRDefault="002E6DC7" w:rsidP="00067313">
            <w:pPr>
              <w:pStyle w:val="TableTextCA"/>
            </w:pPr>
          </w:p>
        </w:tc>
        <w:tc>
          <w:tcPr>
            <w:tcW w:w="1134" w:type="dxa"/>
            <w:vAlign w:val="center"/>
          </w:tcPr>
          <w:p w14:paraId="3636F6E2" w14:textId="77777777" w:rsidR="002E6DC7" w:rsidRPr="00CE28E3" w:rsidRDefault="002E6DC7" w:rsidP="00067313">
            <w:pPr>
              <w:pStyle w:val="TableTextCA"/>
            </w:pPr>
            <w:r w:rsidRPr="001D32BB">
              <w:t>0.1321</w:t>
            </w:r>
          </w:p>
        </w:tc>
        <w:tc>
          <w:tcPr>
            <w:tcW w:w="993" w:type="dxa"/>
            <w:vMerge/>
            <w:vAlign w:val="center"/>
          </w:tcPr>
          <w:p w14:paraId="75AA1F61" w14:textId="77777777" w:rsidR="002E6DC7" w:rsidRPr="00CE28E3" w:rsidRDefault="002E6DC7" w:rsidP="00067313">
            <w:pPr>
              <w:pStyle w:val="TableTextCA"/>
            </w:pPr>
          </w:p>
        </w:tc>
        <w:tc>
          <w:tcPr>
            <w:tcW w:w="992" w:type="dxa"/>
            <w:vMerge/>
            <w:vAlign w:val="center"/>
          </w:tcPr>
          <w:p w14:paraId="1A82BFEE" w14:textId="77777777" w:rsidR="002E6DC7" w:rsidRPr="00CE28E3" w:rsidRDefault="002E6DC7" w:rsidP="00067313">
            <w:pPr>
              <w:pStyle w:val="TableTextCA"/>
            </w:pPr>
          </w:p>
        </w:tc>
        <w:tc>
          <w:tcPr>
            <w:tcW w:w="1134" w:type="dxa"/>
            <w:vAlign w:val="center"/>
          </w:tcPr>
          <w:p w14:paraId="2509D252" w14:textId="77777777" w:rsidR="002E6DC7" w:rsidRPr="00CE28E3" w:rsidRDefault="002E6DC7" w:rsidP="00067313">
            <w:pPr>
              <w:pStyle w:val="TableTextCA"/>
            </w:pPr>
            <w:r w:rsidRPr="00A47164">
              <w:t>0.9682</w:t>
            </w:r>
          </w:p>
        </w:tc>
        <w:tc>
          <w:tcPr>
            <w:tcW w:w="992" w:type="dxa"/>
            <w:vMerge/>
          </w:tcPr>
          <w:p w14:paraId="04D66ADC" w14:textId="77777777" w:rsidR="002E6DC7" w:rsidRPr="00CE28E3" w:rsidRDefault="002E6DC7" w:rsidP="00067313">
            <w:pPr>
              <w:pStyle w:val="TableTextCA"/>
            </w:pPr>
          </w:p>
        </w:tc>
        <w:tc>
          <w:tcPr>
            <w:tcW w:w="992" w:type="dxa"/>
            <w:vMerge/>
          </w:tcPr>
          <w:p w14:paraId="30CE2FF2" w14:textId="77777777" w:rsidR="002E6DC7" w:rsidRPr="00CE28E3" w:rsidRDefault="002E6DC7" w:rsidP="00067313">
            <w:pPr>
              <w:pStyle w:val="TableTextCA"/>
            </w:pPr>
          </w:p>
        </w:tc>
      </w:tr>
    </w:tbl>
    <w:p w14:paraId="23E2DA7D" w14:textId="7021D3AF" w:rsidR="002E6DC7" w:rsidRDefault="002E6DC7" w:rsidP="007D3B25">
      <w:pPr>
        <w:pStyle w:val="TableFigureFooter"/>
        <w:spacing w:before="0" w:after="0"/>
      </w:pPr>
      <w:r>
        <w:t>WBMRI=</w:t>
      </w:r>
      <w:r w:rsidR="00B231D2">
        <w:t>w</w:t>
      </w:r>
      <w:r>
        <w:t>hole</w:t>
      </w:r>
      <w:r w:rsidR="00B231D2">
        <w:t>-</w:t>
      </w:r>
      <w:r>
        <w:t xml:space="preserve">body </w:t>
      </w:r>
      <w:r w:rsidRPr="00C63ECD">
        <w:t>magnetic resonance imaging</w:t>
      </w:r>
      <w:r>
        <w:t>; NPC=new primary cancer detected or ruled out; +</w:t>
      </w:r>
      <w:proofErr w:type="spellStart"/>
      <w:r>
        <w:t>ve</w:t>
      </w:r>
      <w:proofErr w:type="spellEnd"/>
      <w:r>
        <w:t>=positive; -</w:t>
      </w:r>
      <w:proofErr w:type="spellStart"/>
      <w:r>
        <w:t>ve</w:t>
      </w:r>
      <w:proofErr w:type="spellEnd"/>
      <w:r>
        <w:t xml:space="preserve"> =negative</w:t>
      </w:r>
    </w:p>
    <w:p w14:paraId="1C5240D0" w14:textId="166FF226" w:rsidR="006223F1" w:rsidRDefault="006223F1" w:rsidP="00705109">
      <w:pPr>
        <w:pStyle w:val="TableFigureFooter"/>
        <w:spacing w:before="0" w:after="240"/>
      </w:pPr>
      <w:r>
        <w:t>*</w:t>
      </w:r>
      <w:r>
        <w:tab/>
        <w:t>Over the duration of the LIFSCREEN trial of “at least 3 years” (Caron, 2018)</w:t>
      </w:r>
    </w:p>
    <w:p w14:paraId="50E4B4F7" w14:textId="1DA31B90" w:rsidR="002E6DC7" w:rsidRDefault="004B5FE5" w:rsidP="002E6DC7">
      <w:r>
        <w:t xml:space="preserve">The results indicate that with respect to correctly identifying a new primary cancer (given a positive test result) a surveillance program including WBMRI was dominated by the comparator. In the corresponding arithmetical calculations, a compliment of specificity (1-specificity) is entered in the denominator. Therefore, the lower specificity of </w:t>
      </w:r>
      <w:r w:rsidRPr="00B843E7">
        <w:t>WBMRI</w:t>
      </w:r>
      <w:r>
        <w:t xml:space="preserve">+STD than STD alone is reflected in the negative value of incremental outcome. With respect to correctly </w:t>
      </w:r>
      <w:r w:rsidR="008027B8">
        <w:t>ruling out</w:t>
      </w:r>
      <w:r>
        <w:t xml:space="preserve"> a negative primary cancer (given a negative test result), the reverse is true, since it is a complement of sensitivity (1-sensitivity), which is in the denominator, therefore favouring </w:t>
      </w:r>
      <w:r w:rsidRPr="00B843E7">
        <w:t>WBMRI</w:t>
      </w:r>
      <w:r>
        <w:t xml:space="preserve">+STD with its sensitivity being greater than the comparator’s. The corresponding ICER is estimated at $117,825 per negative new primary cancer </w:t>
      </w:r>
      <w:r w:rsidR="008027B8">
        <w:t xml:space="preserve">correctly ruled out </w:t>
      </w:r>
      <w:r>
        <w:t xml:space="preserve">(given a negative test result). Values for PPV and NPV in </w:t>
      </w:r>
      <w:r>
        <w:fldChar w:fldCharType="begin"/>
      </w:r>
      <w:r>
        <w:instrText xml:space="preserve"> REF _Ref101876509 \h </w:instrText>
      </w:r>
      <w:r>
        <w:fldChar w:fldCharType="separate"/>
      </w:r>
      <w:r>
        <w:t xml:space="preserve">Table </w:t>
      </w:r>
      <w:r>
        <w:rPr>
          <w:noProof/>
        </w:rPr>
        <w:t>11</w:t>
      </w:r>
      <w:r>
        <w:fldChar w:fldCharType="end"/>
      </w:r>
      <w:r>
        <w:t xml:space="preserve"> slightly differ to those reported in </w:t>
      </w:r>
      <w:r>
        <w:fldChar w:fldCharType="begin"/>
      </w:r>
      <w:r>
        <w:instrText xml:space="preserve"> REF _Ref101944144 \h </w:instrText>
      </w:r>
      <w:r>
        <w:fldChar w:fldCharType="separate"/>
      </w:r>
      <w:r>
        <w:t xml:space="preserve">Table </w:t>
      </w:r>
      <w:r>
        <w:rPr>
          <w:noProof/>
        </w:rPr>
        <w:t>3</w:t>
      </w:r>
      <w:r>
        <w:fldChar w:fldCharType="end"/>
      </w:r>
      <w:r>
        <w:t xml:space="preserve"> as they are estimated using Bayesian revision formulae and explicitly include the estimate of the prevalence of cancer (based on the diagnostic yield observed in the LIFSCREEN trial). Epidemiologically, the </w:t>
      </w:r>
      <w:r w:rsidRPr="00772E2D">
        <w:t>values of PPV and NPV</w:t>
      </w:r>
      <w:r>
        <w:t xml:space="preserve"> vary with the population prevalence, therefore inclusion of this parameter allows for sensitivity analysis to assess variability of PPV and NPV when varying estimates of prevalence</w:t>
      </w:r>
      <w:r w:rsidR="00984814">
        <w:t>.</w:t>
      </w:r>
      <w:r w:rsidR="006223F1">
        <w:t xml:space="preserve"> </w:t>
      </w:r>
      <w:r w:rsidR="002E6DC7">
        <w:t xml:space="preserve">There is a potential source of bias in </w:t>
      </w:r>
      <w:r w:rsidR="002E6DC7" w:rsidRPr="000F3FC0">
        <w:t xml:space="preserve">the </w:t>
      </w:r>
      <w:r w:rsidR="002E6DC7">
        <w:t xml:space="preserve">accuracy </w:t>
      </w:r>
      <w:r w:rsidR="002E6DC7" w:rsidRPr="000F3FC0">
        <w:t xml:space="preserve">estimates </w:t>
      </w:r>
      <w:r w:rsidR="002E6DC7">
        <w:t xml:space="preserve">as these </w:t>
      </w:r>
      <w:r w:rsidR="002E6DC7" w:rsidRPr="000F3FC0">
        <w:t xml:space="preserve">were derived from </w:t>
      </w:r>
      <w:r w:rsidR="002E6DC7">
        <w:t>two different</w:t>
      </w:r>
      <w:r w:rsidR="002E6DC7" w:rsidRPr="000F3FC0">
        <w:t xml:space="preserve"> p</w:t>
      </w:r>
      <w:r w:rsidR="002E6DC7">
        <w:t xml:space="preserve">opulations defined by the randomisation. In the small-sample trial, randomisation was likely insufficient to ensure that the distribution of patients over the most common cancers in the </w:t>
      </w:r>
      <w:r w:rsidR="002E6DC7" w:rsidRPr="00124440">
        <w:rPr>
          <w:i/>
          <w:iCs/>
        </w:rPr>
        <w:t>TP53</w:t>
      </w:r>
      <w:r w:rsidR="002E6DC7">
        <w:rPr>
          <w:i/>
          <w:iCs/>
        </w:rPr>
        <w:t xml:space="preserve"> </w:t>
      </w:r>
      <w:r w:rsidR="002E6DC7">
        <w:t xml:space="preserve">variant population </w:t>
      </w:r>
      <w:r w:rsidR="00C919D5">
        <w:t>wa</w:t>
      </w:r>
      <w:r w:rsidR="002E6DC7">
        <w:t xml:space="preserve">s comparable in the intervention and comparator arms. In addition, </w:t>
      </w:r>
      <w:r w:rsidR="002E6DC7" w:rsidRPr="00C6443F">
        <w:t>WBMRI</w:t>
      </w:r>
      <w:r w:rsidR="002E6DC7">
        <w:t xml:space="preserve"> is associated with t</w:t>
      </w:r>
      <w:r w:rsidR="002E6DC7" w:rsidRPr="00C6443F">
        <w:t>he higher detection rate</w:t>
      </w:r>
      <w:r w:rsidR="002E6DC7">
        <w:t xml:space="preserve"> in</w:t>
      </w:r>
      <w:r w:rsidR="002E6DC7" w:rsidRPr="00C6443F">
        <w:t xml:space="preserve"> identifying</w:t>
      </w:r>
      <w:r w:rsidR="002E6DC7">
        <w:t xml:space="preserve"> </w:t>
      </w:r>
      <w:proofErr w:type="gramStart"/>
      <w:r w:rsidR="002E6DC7">
        <w:t>particular types</w:t>
      </w:r>
      <w:proofErr w:type="gramEnd"/>
      <w:r w:rsidR="002E6DC7">
        <w:t xml:space="preserve"> of </w:t>
      </w:r>
      <w:r w:rsidR="002E6DC7" w:rsidRPr="00C6443F">
        <w:t>cance</w:t>
      </w:r>
      <w:r w:rsidR="002E6DC7">
        <w:t xml:space="preserve">rs, namely </w:t>
      </w:r>
      <w:r w:rsidR="002E6DC7" w:rsidRPr="00C6443F">
        <w:t xml:space="preserve">soft-tissue and bone tumours </w:t>
      </w:r>
      <w:r w:rsidR="002E6DC7">
        <w:t xml:space="preserve">that </w:t>
      </w:r>
      <w:r w:rsidR="002E6DC7" w:rsidRPr="00C6443F">
        <w:t xml:space="preserve">would not be detected </w:t>
      </w:r>
      <w:r w:rsidR="002E6DC7">
        <w:t xml:space="preserve">by </w:t>
      </w:r>
      <w:r w:rsidR="002E6DC7" w:rsidRPr="00C6443F">
        <w:t>standard surveillance protocols</w:t>
      </w:r>
      <w:r w:rsidR="002E6DC7">
        <w:t>. Therefore, the comparable presentation of these types of cancer was essential for reducing the possible source of bias.</w:t>
      </w:r>
    </w:p>
    <w:p w14:paraId="70FF537A" w14:textId="68C729A7" w:rsidR="002E6DC7" w:rsidRDefault="002E6DC7" w:rsidP="002E6DC7">
      <w:r>
        <w:t>To overcome this problem, a hypothetical exercise was conducted by recalculating the diagnostic accuracy estimates. As discussed above, f</w:t>
      </w:r>
      <w:r w:rsidRPr="00057E70">
        <w:t>urther analyses of the cancers detected in LIFSCREEN were provided by the applicant. This analysis made judgments regarding whether the tumour would have been detected by WBMRI</w:t>
      </w:r>
      <w:r>
        <w:t xml:space="preserve"> or</w:t>
      </w:r>
      <w:r w:rsidRPr="00057E70">
        <w:t xml:space="preserve"> other modalities used in standard cancer surveillance in Australia</w:t>
      </w:r>
      <w:r>
        <w:t xml:space="preserve"> (see </w:t>
      </w:r>
      <w:r>
        <w:rPr>
          <w:highlight w:val="yellow"/>
        </w:rPr>
        <w:fldChar w:fldCharType="begin"/>
      </w:r>
      <w:r>
        <w:instrText xml:space="preserve"> REF _Ref99949941 \h </w:instrText>
      </w:r>
      <w:r>
        <w:rPr>
          <w:highlight w:val="yellow"/>
        </w:rPr>
      </w:r>
      <w:r>
        <w:rPr>
          <w:highlight w:val="yellow"/>
        </w:rPr>
        <w:fldChar w:fldCharType="separate"/>
      </w:r>
      <w:r w:rsidR="00822248">
        <w:t xml:space="preserve">Table </w:t>
      </w:r>
      <w:r w:rsidR="00822248">
        <w:rPr>
          <w:noProof/>
        </w:rPr>
        <w:t>8</w:t>
      </w:r>
      <w:r>
        <w:rPr>
          <w:highlight w:val="yellow"/>
        </w:rPr>
        <w:fldChar w:fldCharType="end"/>
      </w:r>
      <w:r>
        <w:t>).</w:t>
      </w:r>
      <w:r w:rsidRPr="00057E70">
        <w:t xml:space="preserve"> </w:t>
      </w:r>
      <w:r>
        <w:t xml:space="preserve">In the hypothetical exercise, only the patients from the </w:t>
      </w:r>
      <w:r w:rsidRPr="00B843E7">
        <w:t>WBMRI</w:t>
      </w:r>
      <w:r>
        <w:t xml:space="preserve">+STD arm of the LIFSCREEN trial were considered and assumed to be subjected to both protocols, i.e., with and without WBMRI. Expert opinion </w:t>
      </w:r>
      <w:r w:rsidRPr="00057E70">
        <w:t xml:space="preserve">regarding whether the tumour would have been detected by </w:t>
      </w:r>
      <w:r>
        <w:lastRenderedPageBreak/>
        <w:t xml:space="preserve">current Australian standard surveillance in the population that was randomised into </w:t>
      </w:r>
      <w:r w:rsidRPr="00B843E7">
        <w:t xml:space="preserve">WBMRI </w:t>
      </w:r>
      <w:r>
        <w:t>+STD</w:t>
      </w:r>
      <w:r w:rsidRPr="00B843E7">
        <w:t xml:space="preserve"> </w:t>
      </w:r>
      <w:r>
        <w:t xml:space="preserve">arm was used. </w:t>
      </w:r>
      <w:r>
        <w:rPr>
          <w:highlight w:val="yellow"/>
        </w:rPr>
        <w:fldChar w:fldCharType="begin"/>
      </w:r>
      <w:r>
        <w:instrText xml:space="preserve"> REF _Ref99949941 \h </w:instrText>
      </w:r>
      <w:r>
        <w:rPr>
          <w:highlight w:val="yellow"/>
        </w:rPr>
      </w:r>
      <w:r>
        <w:rPr>
          <w:highlight w:val="yellow"/>
        </w:rPr>
        <w:fldChar w:fldCharType="separate"/>
      </w:r>
      <w:r w:rsidR="00822248">
        <w:t xml:space="preserve">Table </w:t>
      </w:r>
      <w:r w:rsidR="00822248">
        <w:rPr>
          <w:noProof/>
        </w:rPr>
        <w:t>8</w:t>
      </w:r>
      <w:r>
        <w:rPr>
          <w:highlight w:val="yellow"/>
        </w:rPr>
        <w:fldChar w:fldCharType="end"/>
      </w:r>
      <w:r>
        <w:t xml:space="preserve"> shows that assuming that the same population was tested with the surveillance protocol with and without WBMRI, inclusion of WBMRI would detect five additional lesions (9-4) for the same number of WBMRI scans (N=157).</w:t>
      </w:r>
    </w:p>
    <w:p w14:paraId="0E3250CE" w14:textId="46D3693E" w:rsidR="002E6DC7" w:rsidRDefault="002E6DC7" w:rsidP="002E6DC7">
      <w:r>
        <w:t xml:space="preserve">The hypothetical exercise has effectively revised the number of true positives and true negatives in the STD arm producing the new diagnostic accuracy estimates (see </w:t>
      </w:r>
      <w:r>
        <w:fldChar w:fldCharType="begin"/>
      </w:r>
      <w:r>
        <w:instrText xml:space="preserve"> REF _Ref101944711 \h </w:instrText>
      </w:r>
      <w:r>
        <w:fldChar w:fldCharType="separate"/>
      </w:r>
      <w:r w:rsidR="00822248">
        <w:t xml:space="preserve">Table </w:t>
      </w:r>
      <w:r w:rsidR="00822248">
        <w:rPr>
          <w:noProof/>
        </w:rPr>
        <w:t>4</w:t>
      </w:r>
      <w:r>
        <w:fldChar w:fldCharType="end"/>
      </w:r>
      <w:r>
        <w:t xml:space="preserve">). </w:t>
      </w:r>
      <w:r>
        <w:fldChar w:fldCharType="begin"/>
      </w:r>
      <w:r>
        <w:instrText xml:space="preserve"> REF _Ref101877082 \h </w:instrText>
      </w:r>
      <w:r>
        <w:fldChar w:fldCharType="separate"/>
      </w:r>
      <w:r w:rsidR="00822248">
        <w:t xml:space="preserve">Table </w:t>
      </w:r>
      <w:r w:rsidR="00822248">
        <w:rPr>
          <w:noProof/>
        </w:rPr>
        <w:t>12</w:t>
      </w:r>
      <w:r>
        <w:fldChar w:fldCharType="end"/>
      </w:r>
      <w:r>
        <w:t xml:space="preserve"> summarises </w:t>
      </w:r>
      <w:r w:rsidR="00C919D5">
        <w:t xml:space="preserve">the </w:t>
      </w:r>
      <w:r>
        <w:t>results for the second primary ICER applying Bayesian revision formulae to the re-estimated values of sensitivity and specificity from the hypothetical exercise.</w:t>
      </w:r>
    </w:p>
    <w:p w14:paraId="3B52AE73" w14:textId="4EC16B27" w:rsidR="002E6DC7" w:rsidRPr="00CE28E3" w:rsidRDefault="002E6DC7" w:rsidP="00705109">
      <w:pPr>
        <w:pStyle w:val="Caption"/>
        <w:spacing w:before="240"/>
        <w:ind w:left="709" w:hanging="709"/>
      </w:pPr>
      <w:bookmarkStart w:id="29" w:name="_Ref101877082"/>
      <w:r>
        <w:t xml:space="preserve">Table </w:t>
      </w:r>
      <w:r w:rsidR="0067109A">
        <w:fldChar w:fldCharType="begin"/>
      </w:r>
      <w:r w:rsidR="0067109A">
        <w:instrText xml:space="preserve"> S</w:instrText>
      </w:r>
      <w:r w:rsidR="0067109A">
        <w:instrText xml:space="preserve">EQ Table \* ARABIC </w:instrText>
      </w:r>
      <w:r w:rsidR="0067109A">
        <w:fldChar w:fldCharType="separate"/>
      </w:r>
      <w:r w:rsidR="00822248">
        <w:rPr>
          <w:noProof/>
        </w:rPr>
        <w:t>12</w:t>
      </w:r>
      <w:r w:rsidR="0067109A">
        <w:rPr>
          <w:noProof/>
        </w:rPr>
        <w:fldChar w:fldCharType="end"/>
      </w:r>
      <w:bookmarkEnd w:id="29"/>
      <w:r>
        <w:tab/>
        <w:t>S</w:t>
      </w:r>
      <w:r w:rsidRPr="00CE28E3">
        <w:t xml:space="preserve">ummary of </w:t>
      </w:r>
      <w:r>
        <w:t xml:space="preserve">results using the accuracy estimates based on the recalculated number of true positives </w:t>
      </w:r>
      <w:r w:rsidRPr="00B67AD1">
        <w:t>cancer detected by STD in the group that had STD+WBMRI</w:t>
      </w:r>
      <w:r>
        <w:t xml:space="preserve">, </w:t>
      </w:r>
      <w:r w:rsidRPr="00C16F0E">
        <w:t xml:space="preserve">in </w:t>
      </w:r>
      <w:r>
        <w:t>WBMRI+STD</w:t>
      </w:r>
      <w:r w:rsidRPr="00C16F0E">
        <w:t xml:space="preserve"> arm of the LIFSCREEN </w:t>
      </w:r>
      <w:r>
        <w:t>trial</w:t>
      </w:r>
    </w:p>
    <w:tbl>
      <w:tblPr>
        <w:tblStyle w:val="TableGrid1"/>
        <w:tblW w:w="9067" w:type="dxa"/>
        <w:tblLayout w:type="fixed"/>
        <w:tblCellMar>
          <w:left w:w="28" w:type="dxa"/>
          <w:right w:w="28" w:type="dxa"/>
        </w:tblCellMar>
        <w:tblLook w:val="04A0" w:firstRow="1" w:lastRow="0" w:firstColumn="1" w:lastColumn="0" w:noHBand="0" w:noVBand="1"/>
      </w:tblPr>
      <w:tblGrid>
        <w:gridCol w:w="1129"/>
        <w:gridCol w:w="709"/>
        <w:gridCol w:w="992"/>
        <w:gridCol w:w="1134"/>
        <w:gridCol w:w="993"/>
        <w:gridCol w:w="992"/>
        <w:gridCol w:w="1134"/>
        <w:gridCol w:w="992"/>
        <w:gridCol w:w="992"/>
      </w:tblGrid>
      <w:tr w:rsidR="002E6DC7" w:rsidRPr="00CE28E3" w14:paraId="2EEDD2E1" w14:textId="77777777" w:rsidTr="00067313">
        <w:trPr>
          <w:cnfStyle w:val="100000000000" w:firstRow="1" w:lastRow="0" w:firstColumn="0" w:lastColumn="0" w:oddVBand="0" w:evenVBand="0" w:oddHBand="0" w:evenHBand="0" w:firstRowFirstColumn="0" w:firstRowLastColumn="0" w:lastRowFirstColumn="0" w:lastRowLastColumn="0"/>
          <w:cantSplit/>
          <w:trHeight w:val="507"/>
          <w:tblHeader/>
        </w:trPr>
        <w:tc>
          <w:tcPr>
            <w:tcW w:w="1129" w:type="dxa"/>
            <w:vAlign w:val="center"/>
          </w:tcPr>
          <w:p w14:paraId="017278FE" w14:textId="77777777" w:rsidR="002E6DC7" w:rsidRPr="00CE28E3" w:rsidRDefault="002E6DC7" w:rsidP="00067313">
            <w:pPr>
              <w:pStyle w:val="TableHeading0"/>
              <w:spacing w:before="40" w:after="40"/>
            </w:pPr>
            <w:r>
              <w:t>Health technology alternatives</w:t>
            </w:r>
          </w:p>
        </w:tc>
        <w:tc>
          <w:tcPr>
            <w:tcW w:w="709" w:type="dxa"/>
            <w:vAlign w:val="center"/>
          </w:tcPr>
          <w:p w14:paraId="1F986A83" w14:textId="77777777" w:rsidR="002E6DC7" w:rsidRDefault="002E6DC7" w:rsidP="00067313">
            <w:pPr>
              <w:pStyle w:val="TableHeadingCA"/>
              <w:spacing w:before="40" w:after="40"/>
            </w:pPr>
            <w:r>
              <w:t>Costs</w:t>
            </w:r>
          </w:p>
          <w:p w14:paraId="353AECF2" w14:textId="77777777" w:rsidR="002E6DC7" w:rsidRPr="00CE28E3" w:rsidRDefault="002E6DC7" w:rsidP="00067313">
            <w:pPr>
              <w:pStyle w:val="TableHeadingCA"/>
              <w:spacing w:before="40" w:after="40"/>
            </w:pPr>
            <w:r>
              <w:t>($)</w:t>
            </w:r>
          </w:p>
        </w:tc>
        <w:tc>
          <w:tcPr>
            <w:tcW w:w="992" w:type="dxa"/>
            <w:vAlign w:val="center"/>
          </w:tcPr>
          <w:p w14:paraId="30A0DE96" w14:textId="77777777" w:rsidR="002E6DC7" w:rsidRPr="00CE28E3" w:rsidRDefault="002E6DC7" w:rsidP="00067313">
            <w:pPr>
              <w:pStyle w:val="TableHeadingCA"/>
              <w:spacing w:before="40" w:after="40"/>
            </w:pPr>
            <w:r>
              <w:t>Incremental cost ($)</w:t>
            </w:r>
          </w:p>
        </w:tc>
        <w:tc>
          <w:tcPr>
            <w:tcW w:w="1134" w:type="dxa"/>
            <w:vAlign w:val="center"/>
          </w:tcPr>
          <w:p w14:paraId="2687FA72" w14:textId="546D2DC8" w:rsidR="002E6DC7" w:rsidRPr="00CE28E3" w:rsidRDefault="002E6DC7" w:rsidP="00067313">
            <w:pPr>
              <w:pStyle w:val="TableHeadingCA"/>
              <w:spacing w:before="40" w:after="40"/>
            </w:pPr>
            <w:r>
              <w:t xml:space="preserve">Outcomes </w:t>
            </w:r>
            <w:r>
              <w:br/>
              <w:t>(+</w:t>
            </w:r>
            <w:proofErr w:type="spellStart"/>
            <w:r>
              <w:t>ve</w:t>
            </w:r>
            <w:proofErr w:type="spellEnd"/>
            <w:r>
              <w:t xml:space="preserve"> NPCs correctly </w:t>
            </w:r>
            <w:proofErr w:type="gramStart"/>
            <w:r>
              <w:t>identified)</w:t>
            </w:r>
            <w:r w:rsidR="006223F1">
              <w:t>*</w:t>
            </w:r>
            <w:proofErr w:type="gramEnd"/>
          </w:p>
        </w:tc>
        <w:tc>
          <w:tcPr>
            <w:tcW w:w="993" w:type="dxa"/>
            <w:vAlign w:val="center"/>
          </w:tcPr>
          <w:p w14:paraId="499FB05B" w14:textId="77777777" w:rsidR="002E6DC7" w:rsidRDefault="002E6DC7" w:rsidP="00067313">
            <w:pPr>
              <w:pStyle w:val="TableHeadingCA"/>
              <w:spacing w:before="40" w:after="40"/>
            </w:pPr>
            <w:r w:rsidRPr="00CE28E3">
              <w:t>Incremental outcome</w:t>
            </w:r>
          </w:p>
        </w:tc>
        <w:tc>
          <w:tcPr>
            <w:tcW w:w="992" w:type="dxa"/>
            <w:vAlign w:val="center"/>
          </w:tcPr>
          <w:p w14:paraId="0E3D7974" w14:textId="09060897" w:rsidR="002E6DC7" w:rsidRDefault="002E6DC7" w:rsidP="00067313">
            <w:pPr>
              <w:pStyle w:val="TableHeadingCA"/>
              <w:spacing w:before="40" w:after="40"/>
            </w:pPr>
            <w:r>
              <w:t>ICER ($/+</w:t>
            </w:r>
            <w:proofErr w:type="spellStart"/>
            <w:r>
              <w:t>ve</w:t>
            </w:r>
            <w:proofErr w:type="spellEnd"/>
            <w:r>
              <w:t xml:space="preserve"> NPC</w:t>
            </w:r>
            <w:r w:rsidR="008027B8">
              <w:t xml:space="preserve"> correctly</w:t>
            </w:r>
            <w:r>
              <w:t xml:space="preserve"> </w:t>
            </w:r>
            <w:proofErr w:type="gramStart"/>
            <w:r>
              <w:t>identified)</w:t>
            </w:r>
            <w:r w:rsidR="006223F1">
              <w:t>*</w:t>
            </w:r>
            <w:proofErr w:type="gramEnd"/>
          </w:p>
        </w:tc>
        <w:tc>
          <w:tcPr>
            <w:tcW w:w="1134" w:type="dxa"/>
            <w:vAlign w:val="center"/>
          </w:tcPr>
          <w:p w14:paraId="6768FF9A" w14:textId="4D94843F" w:rsidR="002E6DC7" w:rsidRPr="00CE28E3" w:rsidRDefault="002E6DC7" w:rsidP="00067313">
            <w:pPr>
              <w:pStyle w:val="TableHeadingCA"/>
              <w:spacing w:before="40" w:after="40"/>
            </w:pPr>
            <w:r>
              <w:t xml:space="preserve">Outcomes </w:t>
            </w:r>
            <w:r>
              <w:br/>
              <w:t>(-</w:t>
            </w:r>
            <w:proofErr w:type="spellStart"/>
            <w:r>
              <w:t>ve</w:t>
            </w:r>
            <w:proofErr w:type="spellEnd"/>
            <w:r>
              <w:t xml:space="preserve"> NPCs correctly ruled </w:t>
            </w:r>
            <w:proofErr w:type="gramStart"/>
            <w:r>
              <w:t>out)</w:t>
            </w:r>
            <w:r w:rsidR="006223F1">
              <w:t>*</w:t>
            </w:r>
            <w:proofErr w:type="gramEnd"/>
          </w:p>
        </w:tc>
        <w:tc>
          <w:tcPr>
            <w:tcW w:w="992" w:type="dxa"/>
            <w:vAlign w:val="center"/>
          </w:tcPr>
          <w:p w14:paraId="42229415" w14:textId="77777777" w:rsidR="002E6DC7" w:rsidRPr="00CE28E3" w:rsidRDefault="002E6DC7" w:rsidP="00067313">
            <w:pPr>
              <w:pStyle w:val="TableHeadingCA"/>
              <w:spacing w:before="40" w:after="40"/>
            </w:pPr>
            <w:r w:rsidRPr="00CE28E3">
              <w:t>Incremental outcome</w:t>
            </w:r>
          </w:p>
        </w:tc>
        <w:tc>
          <w:tcPr>
            <w:tcW w:w="992" w:type="dxa"/>
            <w:vAlign w:val="center"/>
          </w:tcPr>
          <w:p w14:paraId="4397BB00" w14:textId="137B5E5B" w:rsidR="002E6DC7" w:rsidRPr="00CE28E3" w:rsidRDefault="002E6DC7" w:rsidP="00067313">
            <w:pPr>
              <w:pStyle w:val="TableHeadingCA"/>
              <w:spacing w:before="40" w:after="40"/>
            </w:pPr>
            <w:r>
              <w:t>ICER ($/-</w:t>
            </w:r>
            <w:proofErr w:type="spellStart"/>
            <w:r>
              <w:t>ve</w:t>
            </w:r>
            <w:proofErr w:type="spellEnd"/>
            <w:r>
              <w:t xml:space="preserve"> NPC</w:t>
            </w:r>
            <w:r w:rsidR="008027B8">
              <w:t xml:space="preserve"> correctly</w:t>
            </w:r>
            <w:r>
              <w:t xml:space="preserve"> ruled </w:t>
            </w:r>
            <w:proofErr w:type="gramStart"/>
            <w:r>
              <w:t>out)</w:t>
            </w:r>
            <w:r w:rsidR="006223F1">
              <w:t>*</w:t>
            </w:r>
            <w:proofErr w:type="gramEnd"/>
          </w:p>
        </w:tc>
      </w:tr>
      <w:tr w:rsidR="002E6DC7" w:rsidRPr="00CE28E3" w14:paraId="0B1A94BE" w14:textId="77777777" w:rsidTr="00067313">
        <w:trPr>
          <w:cantSplit/>
        </w:trPr>
        <w:tc>
          <w:tcPr>
            <w:tcW w:w="1129" w:type="dxa"/>
          </w:tcPr>
          <w:p w14:paraId="74BFE072" w14:textId="77777777" w:rsidR="002E6DC7" w:rsidRPr="00CE28E3" w:rsidRDefault="002E6DC7" w:rsidP="00067313">
            <w:pPr>
              <w:pStyle w:val="TableText"/>
            </w:pPr>
            <w:r>
              <w:t xml:space="preserve">WBMRI + surveillance </w:t>
            </w:r>
          </w:p>
        </w:tc>
        <w:tc>
          <w:tcPr>
            <w:tcW w:w="709" w:type="dxa"/>
            <w:vAlign w:val="center"/>
          </w:tcPr>
          <w:p w14:paraId="00126609" w14:textId="77777777" w:rsidR="002E6DC7" w:rsidRPr="00CE28E3" w:rsidRDefault="002E6DC7" w:rsidP="00067313">
            <w:pPr>
              <w:pStyle w:val="TableTextCA"/>
            </w:pPr>
            <w:r>
              <w:t>1561</w:t>
            </w:r>
          </w:p>
        </w:tc>
        <w:tc>
          <w:tcPr>
            <w:tcW w:w="992" w:type="dxa"/>
            <w:vMerge w:val="restart"/>
            <w:vAlign w:val="center"/>
          </w:tcPr>
          <w:p w14:paraId="5CE11B0B" w14:textId="77777777" w:rsidR="002E6DC7" w:rsidRPr="00CE28E3" w:rsidRDefault="002E6DC7" w:rsidP="00067313">
            <w:pPr>
              <w:pStyle w:val="TableTextCA"/>
            </w:pPr>
            <w:r>
              <w:t>1561</w:t>
            </w:r>
          </w:p>
        </w:tc>
        <w:tc>
          <w:tcPr>
            <w:tcW w:w="1134" w:type="dxa"/>
            <w:vAlign w:val="center"/>
          </w:tcPr>
          <w:p w14:paraId="42D7628B" w14:textId="77777777" w:rsidR="002E6DC7" w:rsidRPr="00CE28E3" w:rsidRDefault="002E6DC7" w:rsidP="00067313">
            <w:pPr>
              <w:pStyle w:val="TableTextCA"/>
            </w:pPr>
            <w:r w:rsidRPr="001D32BB">
              <w:t>0.1183</w:t>
            </w:r>
          </w:p>
        </w:tc>
        <w:tc>
          <w:tcPr>
            <w:tcW w:w="993" w:type="dxa"/>
            <w:vMerge w:val="restart"/>
            <w:vAlign w:val="center"/>
          </w:tcPr>
          <w:p w14:paraId="5BEC4509" w14:textId="77777777" w:rsidR="002E6DC7" w:rsidRPr="00CE28E3" w:rsidRDefault="002E6DC7" w:rsidP="00067313">
            <w:pPr>
              <w:pStyle w:val="TableTextCA"/>
            </w:pPr>
            <w:r>
              <w:t>0.0664</w:t>
            </w:r>
          </w:p>
        </w:tc>
        <w:tc>
          <w:tcPr>
            <w:tcW w:w="992" w:type="dxa"/>
            <w:vMerge w:val="restart"/>
            <w:vAlign w:val="center"/>
          </w:tcPr>
          <w:p w14:paraId="1221629C" w14:textId="77777777" w:rsidR="002E6DC7" w:rsidRPr="00CE28E3" w:rsidRDefault="002E6DC7" w:rsidP="00067313">
            <w:pPr>
              <w:pStyle w:val="TableTextCA"/>
            </w:pPr>
            <w:r>
              <w:t>23,494</w:t>
            </w:r>
          </w:p>
        </w:tc>
        <w:tc>
          <w:tcPr>
            <w:tcW w:w="1134" w:type="dxa"/>
            <w:vAlign w:val="center"/>
          </w:tcPr>
          <w:p w14:paraId="25D0A336" w14:textId="77777777" w:rsidR="002E6DC7" w:rsidRPr="00CE28E3" w:rsidRDefault="002E6DC7" w:rsidP="00067313">
            <w:pPr>
              <w:pStyle w:val="TableTextCA"/>
            </w:pPr>
            <w:r w:rsidRPr="00A47164">
              <w:t>0.9815</w:t>
            </w:r>
          </w:p>
        </w:tc>
        <w:tc>
          <w:tcPr>
            <w:tcW w:w="992" w:type="dxa"/>
            <w:vMerge w:val="restart"/>
            <w:vAlign w:val="center"/>
          </w:tcPr>
          <w:p w14:paraId="50120C5C" w14:textId="77777777" w:rsidR="002E6DC7" w:rsidRPr="00CE28E3" w:rsidRDefault="002E6DC7" w:rsidP="00067313">
            <w:pPr>
              <w:pStyle w:val="TableTextCA"/>
            </w:pPr>
            <w:r>
              <w:t>0.0473</w:t>
            </w:r>
          </w:p>
        </w:tc>
        <w:tc>
          <w:tcPr>
            <w:tcW w:w="992" w:type="dxa"/>
            <w:vMerge w:val="restart"/>
            <w:vAlign w:val="center"/>
          </w:tcPr>
          <w:p w14:paraId="5F70F2AC" w14:textId="77777777" w:rsidR="002E6DC7" w:rsidRPr="00CE28E3" w:rsidRDefault="002E6DC7" w:rsidP="00067313">
            <w:pPr>
              <w:pStyle w:val="TableTextCA"/>
            </w:pPr>
            <w:r>
              <w:t>33,007</w:t>
            </w:r>
          </w:p>
        </w:tc>
      </w:tr>
      <w:tr w:rsidR="002E6DC7" w:rsidRPr="00CE28E3" w14:paraId="6BC8A98B" w14:textId="77777777" w:rsidTr="00067313">
        <w:trPr>
          <w:cantSplit/>
        </w:trPr>
        <w:tc>
          <w:tcPr>
            <w:tcW w:w="1129" w:type="dxa"/>
          </w:tcPr>
          <w:p w14:paraId="15C8F1DA" w14:textId="4315B570" w:rsidR="002E6DC7" w:rsidRPr="00CE28E3" w:rsidRDefault="002E6DC7" w:rsidP="00067313">
            <w:pPr>
              <w:pStyle w:val="TableText"/>
            </w:pPr>
            <w:r>
              <w:t>Surveillance only</w:t>
            </w:r>
            <w:r w:rsidR="004F27CB">
              <w:t xml:space="preserve"> (STD)</w:t>
            </w:r>
          </w:p>
        </w:tc>
        <w:tc>
          <w:tcPr>
            <w:tcW w:w="709" w:type="dxa"/>
            <w:vAlign w:val="center"/>
          </w:tcPr>
          <w:p w14:paraId="58F2EDD8" w14:textId="77777777" w:rsidR="002E6DC7" w:rsidRPr="00CE28E3" w:rsidRDefault="002E6DC7" w:rsidP="00067313">
            <w:pPr>
              <w:pStyle w:val="TableTextCA"/>
            </w:pPr>
            <w:r>
              <w:t>0</w:t>
            </w:r>
          </w:p>
        </w:tc>
        <w:tc>
          <w:tcPr>
            <w:tcW w:w="992" w:type="dxa"/>
            <w:vMerge/>
            <w:vAlign w:val="center"/>
          </w:tcPr>
          <w:p w14:paraId="7A9B5367" w14:textId="77777777" w:rsidR="002E6DC7" w:rsidRPr="00CE28E3" w:rsidRDefault="002E6DC7" w:rsidP="00067313">
            <w:pPr>
              <w:pStyle w:val="TableTextCA"/>
            </w:pPr>
          </w:p>
        </w:tc>
        <w:tc>
          <w:tcPr>
            <w:tcW w:w="1134" w:type="dxa"/>
            <w:vAlign w:val="center"/>
          </w:tcPr>
          <w:p w14:paraId="33DB91C0" w14:textId="77777777" w:rsidR="002E6DC7" w:rsidRPr="00CE28E3" w:rsidRDefault="002E6DC7" w:rsidP="00067313">
            <w:pPr>
              <w:pStyle w:val="TableTextCA"/>
            </w:pPr>
            <w:r>
              <w:t>0.0519</w:t>
            </w:r>
          </w:p>
        </w:tc>
        <w:tc>
          <w:tcPr>
            <w:tcW w:w="993" w:type="dxa"/>
            <w:vMerge/>
            <w:vAlign w:val="center"/>
          </w:tcPr>
          <w:p w14:paraId="09734BFE" w14:textId="77777777" w:rsidR="002E6DC7" w:rsidRPr="00CE28E3" w:rsidRDefault="002E6DC7" w:rsidP="00067313">
            <w:pPr>
              <w:pStyle w:val="TableTextCA"/>
            </w:pPr>
          </w:p>
        </w:tc>
        <w:tc>
          <w:tcPr>
            <w:tcW w:w="992" w:type="dxa"/>
            <w:vMerge/>
            <w:vAlign w:val="center"/>
          </w:tcPr>
          <w:p w14:paraId="27370F90" w14:textId="77777777" w:rsidR="002E6DC7" w:rsidRPr="00CE28E3" w:rsidRDefault="002E6DC7" w:rsidP="00067313">
            <w:pPr>
              <w:pStyle w:val="TableTextCA"/>
            </w:pPr>
          </w:p>
        </w:tc>
        <w:tc>
          <w:tcPr>
            <w:tcW w:w="1134" w:type="dxa"/>
            <w:vAlign w:val="center"/>
          </w:tcPr>
          <w:p w14:paraId="065CDB50" w14:textId="77777777" w:rsidR="002E6DC7" w:rsidRPr="00CE28E3" w:rsidRDefault="002E6DC7" w:rsidP="00067313">
            <w:pPr>
              <w:pStyle w:val="TableTextCA"/>
            </w:pPr>
            <w:r>
              <w:t>0.9342</w:t>
            </w:r>
          </w:p>
        </w:tc>
        <w:tc>
          <w:tcPr>
            <w:tcW w:w="992" w:type="dxa"/>
            <w:vMerge/>
          </w:tcPr>
          <w:p w14:paraId="335630EE" w14:textId="77777777" w:rsidR="002E6DC7" w:rsidRPr="00CE28E3" w:rsidRDefault="002E6DC7" w:rsidP="00067313">
            <w:pPr>
              <w:pStyle w:val="TableTextCA"/>
            </w:pPr>
          </w:p>
        </w:tc>
        <w:tc>
          <w:tcPr>
            <w:tcW w:w="992" w:type="dxa"/>
            <w:vMerge/>
          </w:tcPr>
          <w:p w14:paraId="0C9FDC07" w14:textId="77777777" w:rsidR="002E6DC7" w:rsidRPr="00CE28E3" w:rsidRDefault="002E6DC7" w:rsidP="00067313">
            <w:pPr>
              <w:pStyle w:val="TableTextCA"/>
            </w:pPr>
          </w:p>
        </w:tc>
      </w:tr>
    </w:tbl>
    <w:p w14:paraId="242570AF" w14:textId="7D81D51A" w:rsidR="006223F1" w:rsidRDefault="002E6DC7" w:rsidP="006223F1">
      <w:pPr>
        <w:pStyle w:val="TableFigureFooter"/>
        <w:spacing w:before="0" w:after="0"/>
      </w:pPr>
      <w:r>
        <w:t>WBMRI=</w:t>
      </w:r>
      <w:r w:rsidR="00B231D2">
        <w:t>w</w:t>
      </w:r>
      <w:r>
        <w:t>hole</w:t>
      </w:r>
      <w:r w:rsidR="00B231D2">
        <w:t>-</w:t>
      </w:r>
      <w:r>
        <w:t xml:space="preserve">body </w:t>
      </w:r>
      <w:r w:rsidRPr="00C63ECD">
        <w:t>magnetic resonance imaging</w:t>
      </w:r>
      <w:r>
        <w:t>; NPC=new primary cancer detected or ruled out; +</w:t>
      </w:r>
      <w:proofErr w:type="spellStart"/>
      <w:r>
        <w:t>ve</w:t>
      </w:r>
      <w:proofErr w:type="spellEnd"/>
      <w:r>
        <w:t>=positive; -</w:t>
      </w:r>
      <w:proofErr w:type="spellStart"/>
      <w:r>
        <w:t>ve</w:t>
      </w:r>
      <w:proofErr w:type="spellEnd"/>
      <w:r>
        <w:t>=negative</w:t>
      </w:r>
    </w:p>
    <w:p w14:paraId="5C32C81C" w14:textId="4B609CD3" w:rsidR="002E6DC7" w:rsidRDefault="006223F1" w:rsidP="00705109">
      <w:pPr>
        <w:pStyle w:val="TableFigureFooter"/>
        <w:spacing w:before="0" w:after="240"/>
      </w:pPr>
      <w:r>
        <w:t>*</w:t>
      </w:r>
      <w:r>
        <w:tab/>
        <w:t>Over the duration of the LIFSCREEN trial of “at least 3 years” (Caron, 2018)</w:t>
      </w:r>
    </w:p>
    <w:p w14:paraId="2333C865" w14:textId="626A3214" w:rsidR="002E6DC7" w:rsidRPr="003C3474" w:rsidRDefault="00C919D5" w:rsidP="00705109">
      <w:pPr>
        <w:pStyle w:val="Caption"/>
        <w:spacing w:before="240"/>
        <w:rPr>
          <w:rFonts w:ascii="Franklin Gothic Book" w:eastAsiaTheme="minorHAnsi" w:hAnsi="Franklin Gothic Book" w:cstheme="minorBidi"/>
          <w:b w:val="0"/>
          <w:bCs w:val="0"/>
          <w:sz w:val="22"/>
          <w:szCs w:val="22"/>
        </w:rPr>
      </w:pPr>
      <w:r w:rsidRPr="00E83A95">
        <w:rPr>
          <w:rFonts w:ascii="Franklin Gothic Book" w:eastAsiaTheme="minorHAnsi" w:hAnsi="Franklin Gothic Book" w:cstheme="minorBidi"/>
          <w:b w:val="0"/>
          <w:bCs w:val="0"/>
          <w:sz w:val="22"/>
          <w:szCs w:val="22"/>
        </w:rPr>
        <w:t xml:space="preserve">The results </w:t>
      </w:r>
      <w:r>
        <w:rPr>
          <w:rFonts w:ascii="Franklin Gothic Book" w:eastAsiaTheme="minorHAnsi" w:hAnsi="Franklin Gothic Book" w:cstheme="minorBidi"/>
          <w:b w:val="0"/>
          <w:bCs w:val="0"/>
          <w:sz w:val="22"/>
          <w:szCs w:val="22"/>
        </w:rPr>
        <w:t>estimate</w:t>
      </w:r>
      <w:r w:rsidRPr="00E83A95">
        <w:rPr>
          <w:rFonts w:ascii="Franklin Gothic Book" w:eastAsiaTheme="minorHAnsi" w:hAnsi="Franklin Gothic Book" w:cstheme="minorBidi"/>
          <w:b w:val="0"/>
          <w:bCs w:val="0"/>
          <w:sz w:val="22"/>
          <w:szCs w:val="22"/>
        </w:rPr>
        <w:t xml:space="preserve"> </w:t>
      </w:r>
      <w:r>
        <w:rPr>
          <w:rFonts w:ascii="Franklin Gothic Book" w:eastAsiaTheme="minorHAnsi" w:hAnsi="Franklin Gothic Book" w:cstheme="minorBidi"/>
          <w:b w:val="0"/>
          <w:bCs w:val="0"/>
          <w:sz w:val="22"/>
          <w:szCs w:val="22"/>
        </w:rPr>
        <w:t xml:space="preserve">ICERs for </w:t>
      </w:r>
      <w:r w:rsidRPr="00E83A95">
        <w:rPr>
          <w:rFonts w:ascii="Franklin Gothic Book" w:eastAsiaTheme="minorHAnsi" w:hAnsi="Franklin Gothic Book" w:cstheme="minorBidi"/>
          <w:b w:val="0"/>
          <w:bCs w:val="0"/>
          <w:sz w:val="22"/>
          <w:szCs w:val="22"/>
        </w:rPr>
        <w:t xml:space="preserve">a surveillance program including WBMRI </w:t>
      </w:r>
      <w:r>
        <w:rPr>
          <w:rFonts w:ascii="Franklin Gothic Book" w:eastAsiaTheme="minorHAnsi" w:hAnsi="Franklin Gothic Book" w:cstheme="minorBidi"/>
          <w:b w:val="0"/>
          <w:bCs w:val="0"/>
          <w:sz w:val="22"/>
          <w:szCs w:val="22"/>
        </w:rPr>
        <w:t>of</w:t>
      </w:r>
      <w:r w:rsidRPr="00E83A95">
        <w:rPr>
          <w:rFonts w:ascii="Franklin Gothic Book" w:eastAsiaTheme="minorHAnsi" w:hAnsi="Franklin Gothic Book" w:cstheme="minorBidi"/>
          <w:b w:val="0"/>
          <w:bCs w:val="0"/>
          <w:sz w:val="22"/>
          <w:szCs w:val="22"/>
        </w:rPr>
        <w:t xml:space="preserve"> </w:t>
      </w:r>
      <w:r>
        <w:rPr>
          <w:rFonts w:ascii="Franklin Gothic Book" w:eastAsiaTheme="minorHAnsi" w:hAnsi="Franklin Gothic Book" w:cstheme="minorBidi"/>
          <w:b w:val="0"/>
          <w:bCs w:val="0"/>
          <w:sz w:val="22"/>
          <w:szCs w:val="22"/>
        </w:rPr>
        <w:t>$23,</w:t>
      </w:r>
      <w:r w:rsidR="00CC3D5A">
        <w:rPr>
          <w:rFonts w:ascii="Franklin Gothic Book" w:eastAsiaTheme="minorHAnsi" w:hAnsi="Franklin Gothic Book" w:cstheme="minorBidi"/>
          <w:b w:val="0"/>
          <w:bCs w:val="0"/>
          <w:sz w:val="22"/>
          <w:szCs w:val="22"/>
        </w:rPr>
        <w:t>494</w:t>
      </w:r>
      <w:r w:rsidRPr="00E83A95">
        <w:rPr>
          <w:rFonts w:ascii="Franklin Gothic Book" w:eastAsiaTheme="minorHAnsi" w:hAnsi="Franklin Gothic Book" w:cstheme="minorBidi"/>
          <w:b w:val="0"/>
          <w:bCs w:val="0"/>
          <w:sz w:val="22"/>
          <w:szCs w:val="22"/>
        </w:rPr>
        <w:t xml:space="preserve"> per new primary cancer </w:t>
      </w:r>
      <w:r w:rsidR="008027B8" w:rsidRPr="008027B8">
        <w:rPr>
          <w:rFonts w:ascii="Franklin Gothic Book" w:eastAsiaTheme="minorHAnsi" w:hAnsi="Franklin Gothic Book" w:cstheme="minorBidi"/>
          <w:b w:val="0"/>
          <w:bCs w:val="0"/>
          <w:sz w:val="22"/>
          <w:szCs w:val="22"/>
        </w:rPr>
        <w:t xml:space="preserve">correctly </w:t>
      </w:r>
      <w:r w:rsidRPr="00E83A95">
        <w:rPr>
          <w:rFonts w:ascii="Franklin Gothic Book" w:eastAsiaTheme="minorHAnsi" w:hAnsi="Franklin Gothic Book" w:cstheme="minorBidi"/>
          <w:b w:val="0"/>
          <w:bCs w:val="0"/>
          <w:sz w:val="22"/>
          <w:szCs w:val="22"/>
        </w:rPr>
        <w:t>identified and $</w:t>
      </w:r>
      <w:r>
        <w:rPr>
          <w:rFonts w:ascii="Franklin Gothic Book" w:eastAsiaTheme="minorHAnsi" w:hAnsi="Franklin Gothic Book" w:cstheme="minorBidi"/>
          <w:b w:val="0"/>
          <w:bCs w:val="0"/>
          <w:sz w:val="22"/>
          <w:szCs w:val="22"/>
        </w:rPr>
        <w:t>33,007</w:t>
      </w:r>
      <w:r w:rsidRPr="00E83A95">
        <w:rPr>
          <w:rFonts w:ascii="Franklin Gothic Book" w:eastAsiaTheme="minorHAnsi" w:hAnsi="Franklin Gothic Book" w:cstheme="minorBidi"/>
          <w:b w:val="0"/>
          <w:bCs w:val="0"/>
          <w:sz w:val="22"/>
          <w:szCs w:val="22"/>
        </w:rPr>
        <w:t xml:space="preserve"> per negative new primary cancer that was </w:t>
      </w:r>
      <w:r w:rsidR="008027B8" w:rsidRPr="008027B8">
        <w:rPr>
          <w:rFonts w:ascii="Franklin Gothic Book" w:eastAsiaTheme="minorHAnsi" w:hAnsi="Franklin Gothic Book" w:cstheme="minorBidi"/>
          <w:b w:val="0"/>
          <w:bCs w:val="0"/>
          <w:sz w:val="22"/>
          <w:szCs w:val="22"/>
        </w:rPr>
        <w:t xml:space="preserve">correctly </w:t>
      </w:r>
      <w:r w:rsidRPr="00E83A95">
        <w:rPr>
          <w:rFonts w:ascii="Franklin Gothic Book" w:eastAsiaTheme="minorHAnsi" w:hAnsi="Franklin Gothic Book" w:cstheme="minorBidi"/>
          <w:b w:val="0"/>
          <w:bCs w:val="0"/>
          <w:sz w:val="22"/>
          <w:szCs w:val="22"/>
        </w:rPr>
        <w:t>ruled out.</w:t>
      </w:r>
      <w:r w:rsidR="004B5FE5">
        <w:rPr>
          <w:rFonts w:ascii="Franklin Gothic Book" w:eastAsiaTheme="minorHAnsi" w:hAnsi="Franklin Gothic Book" w:cstheme="minorBidi"/>
          <w:b w:val="0"/>
          <w:bCs w:val="0"/>
          <w:sz w:val="22"/>
          <w:szCs w:val="22"/>
        </w:rPr>
        <w:t xml:space="preserve"> Both estimates are conditional on the positive and negative test results, respectively. </w:t>
      </w:r>
      <w:r w:rsidR="002E6DC7">
        <w:rPr>
          <w:rFonts w:ascii="Franklin Gothic Book" w:eastAsiaTheme="minorHAnsi" w:hAnsi="Franklin Gothic Book" w:cstheme="minorBidi"/>
          <w:b w:val="0"/>
          <w:bCs w:val="0"/>
          <w:sz w:val="22"/>
          <w:szCs w:val="22"/>
        </w:rPr>
        <w:t xml:space="preserve">Comparing results in </w:t>
      </w:r>
      <w:r w:rsidR="002E6DC7">
        <w:rPr>
          <w:rFonts w:ascii="Franklin Gothic Book" w:eastAsiaTheme="minorHAnsi" w:hAnsi="Franklin Gothic Book" w:cstheme="minorBidi"/>
          <w:b w:val="0"/>
          <w:bCs w:val="0"/>
          <w:sz w:val="22"/>
          <w:szCs w:val="22"/>
        </w:rPr>
        <w:fldChar w:fldCharType="begin"/>
      </w:r>
      <w:r w:rsidR="002E6DC7">
        <w:rPr>
          <w:rFonts w:ascii="Franklin Gothic Book" w:eastAsiaTheme="minorHAnsi" w:hAnsi="Franklin Gothic Book" w:cstheme="minorBidi"/>
          <w:b w:val="0"/>
          <w:bCs w:val="0"/>
          <w:sz w:val="22"/>
          <w:szCs w:val="22"/>
        </w:rPr>
        <w:instrText xml:space="preserve"> REF _Ref101876509 \h  \* MERGEFORMAT </w:instrText>
      </w:r>
      <w:r w:rsidR="002E6DC7">
        <w:rPr>
          <w:rFonts w:ascii="Franklin Gothic Book" w:eastAsiaTheme="minorHAnsi" w:hAnsi="Franklin Gothic Book" w:cstheme="minorBidi"/>
          <w:b w:val="0"/>
          <w:bCs w:val="0"/>
          <w:sz w:val="22"/>
          <w:szCs w:val="22"/>
        </w:rPr>
      </w:r>
      <w:r w:rsidR="002E6DC7">
        <w:rPr>
          <w:rFonts w:ascii="Franklin Gothic Book" w:eastAsiaTheme="minorHAnsi" w:hAnsi="Franklin Gothic Book" w:cstheme="minorBidi"/>
          <w:b w:val="0"/>
          <w:bCs w:val="0"/>
          <w:sz w:val="22"/>
          <w:szCs w:val="22"/>
        </w:rPr>
        <w:fldChar w:fldCharType="separate"/>
      </w:r>
      <w:r w:rsidR="00822248" w:rsidRPr="00822248">
        <w:rPr>
          <w:rFonts w:ascii="Franklin Gothic Book" w:eastAsiaTheme="minorHAnsi" w:hAnsi="Franklin Gothic Book" w:cstheme="minorBidi"/>
          <w:b w:val="0"/>
          <w:bCs w:val="0"/>
          <w:sz w:val="22"/>
          <w:szCs w:val="22"/>
        </w:rPr>
        <w:t>Table 11</w:t>
      </w:r>
      <w:r w:rsidR="002E6DC7">
        <w:rPr>
          <w:rFonts w:ascii="Franklin Gothic Book" w:eastAsiaTheme="minorHAnsi" w:hAnsi="Franklin Gothic Book" w:cstheme="minorBidi"/>
          <w:b w:val="0"/>
          <w:bCs w:val="0"/>
          <w:sz w:val="22"/>
          <w:szCs w:val="22"/>
        </w:rPr>
        <w:fldChar w:fldCharType="end"/>
      </w:r>
      <w:r w:rsidR="002E6DC7">
        <w:rPr>
          <w:rFonts w:ascii="Franklin Gothic Book" w:eastAsiaTheme="minorHAnsi" w:hAnsi="Franklin Gothic Book" w:cstheme="minorBidi"/>
          <w:b w:val="0"/>
          <w:bCs w:val="0"/>
          <w:sz w:val="22"/>
          <w:szCs w:val="22"/>
        </w:rPr>
        <w:t xml:space="preserve"> and </w:t>
      </w:r>
      <w:r w:rsidR="002E6DC7">
        <w:rPr>
          <w:rFonts w:ascii="Franklin Gothic Book" w:eastAsiaTheme="minorHAnsi" w:hAnsi="Franklin Gothic Book" w:cstheme="minorBidi"/>
          <w:b w:val="0"/>
          <w:bCs w:val="0"/>
          <w:sz w:val="22"/>
          <w:szCs w:val="22"/>
        </w:rPr>
        <w:fldChar w:fldCharType="begin"/>
      </w:r>
      <w:r w:rsidR="002E6DC7">
        <w:rPr>
          <w:rFonts w:ascii="Franklin Gothic Book" w:eastAsiaTheme="minorHAnsi" w:hAnsi="Franklin Gothic Book" w:cstheme="minorBidi"/>
          <w:b w:val="0"/>
          <w:bCs w:val="0"/>
          <w:sz w:val="22"/>
          <w:szCs w:val="22"/>
        </w:rPr>
        <w:instrText xml:space="preserve"> REF _Ref101877082 \h  \* MERGEFORMAT </w:instrText>
      </w:r>
      <w:r w:rsidR="002E6DC7">
        <w:rPr>
          <w:rFonts w:ascii="Franklin Gothic Book" w:eastAsiaTheme="minorHAnsi" w:hAnsi="Franklin Gothic Book" w:cstheme="minorBidi"/>
          <w:b w:val="0"/>
          <w:bCs w:val="0"/>
          <w:sz w:val="22"/>
          <w:szCs w:val="22"/>
        </w:rPr>
      </w:r>
      <w:r w:rsidR="002E6DC7">
        <w:rPr>
          <w:rFonts w:ascii="Franklin Gothic Book" w:eastAsiaTheme="minorHAnsi" w:hAnsi="Franklin Gothic Book" w:cstheme="minorBidi"/>
          <w:b w:val="0"/>
          <w:bCs w:val="0"/>
          <w:sz w:val="22"/>
          <w:szCs w:val="22"/>
        </w:rPr>
        <w:fldChar w:fldCharType="separate"/>
      </w:r>
      <w:r w:rsidR="00822248" w:rsidRPr="00822248">
        <w:rPr>
          <w:rFonts w:ascii="Franklin Gothic Book" w:eastAsiaTheme="minorHAnsi" w:hAnsi="Franklin Gothic Book" w:cstheme="minorBidi"/>
          <w:b w:val="0"/>
          <w:bCs w:val="0"/>
          <w:sz w:val="22"/>
          <w:szCs w:val="22"/>
        </w:rPr>
        <w:t>Table 12</w:t>
      </w:r>
      <w:r w:rsidR="002E6DC7">
        <w:rPr>
          <w:rFonts w:ascii="Franklin Gothic Book" w:eastAsiaTheme="minorHAnsi" w:hAnsi="Franklin Gothic Book" w:cstheme="minorBidi"/>
          <w:b w:val="0"/>
          <w:bCs w:val="0"/>
          <w:sz w:val="22"/>
          <w:szCs w:val="22"/>
        </w:rPr>
        <w:fldChar w:fldCharType="end"/>
      </w:r>
      <w:r w:rsidR="002E6DC7">
        <w:rPr>
          <w:rFonts w:ascii="Franklin Gothic Book" w:eastAsiaTheme="minorHAnsi" w:hAnsi="Franklin Gothic Book" w:cstheme="minorBidi"/>
          <w:b w:val="0"/>
          <w:bCs w:val="0"/>
          <w:sz w:val="22"/>
          <w:szCs w:val="22"/>
        </w:rPr>
        <w:t>, and notwithstanding the small sample size and the subjective nature of the expert’s opinion, it is evident that addition of WBMRI to the standard cancer surveillance protocol, would produce dramatically lower estimates of the incremental cost per correct diagnosis.</w:t>
      </w:r>
    </w:p>
    <w:p w14:paraId="149B8597" w14:textId="0ADCF2DA" w:rsidR="002E6DC7" w:rsidRDefault="002E6DC7" w:rsidP="002E6DC7">
      <w:r>
        <w:fldChar w:fldCharType="begin"/>
      </w:r>
      <w:r>
        <w:instrText xml:space="preserve"> REF _Ref101878373 \h </w:instrText>
      </w:r>
      <w:r>
        <w:fldChar w:fldCharType="separate"/>
      </w:r>
      <w:r w:rsidR="00822248">
        <w:t xml:space="preserve">Table </w:t>
      </w:r>
      <w:r w:rsidR="00822248">
        <w:rPr>
          <w:noProof/>
        </w:rPr>
        <w:t>13</w:t>
      </w:r>
      <w:r>
        <w:fldChar w:fldCharType="end"/>
      </w:r>
      <w:r>
        <w:t xml:space="preserve"> summarises results of the sensitivity analyses where the value of a prior probability (prevalence of cancerous lesions in the </w:t>
      </w:r>
      <w:r w:rsidRPr="0004350C">
        <w:rPr>
          <w:i/>
          <w:iCs/>
        </w:rPr>
        <w:t xml:space="preserve">TP53 </w:t>
      </w:r>
      <w:r>
        <w:t xml:space="preserve">population), assumed to be 6% in the CEAs reported above was varied using the estimates of </w:t>
      </w:r>
      <w:r w:rsidRPr="00891038">
        <w:t xml:space="preserve">3.57% </w:t>
      </w:r>
      <w:r>
        <w:t>and</w:t>
      </w:r>
      <w:r w:rsidRPr="00891038">
        <w:t xml:space="preserve"> 13.21% </w:t>
      </w:r>
      <w:r w:rsidR="002B5AEF">
        <w:t xml:space="preserve">which represent the lowest and highest estimates of WBMRI diagnostic yields </w:t>
      </w:r>
      <w:r w:rsidR="00C919D5">
        <w:t xml:space="preserve">(used as prevalence estimates) </w:t>
      </w:r>
      <w:r w:rsidR="002B5AEF">
        <w:t>from studies reporting baseline data</w:t>
      </w:r>
      <w:r>
        <w:t>.</w:t>
      </w:r>
    </w:p>
    <w:p w14:paraId="2D609C7E" w14:textId="0E9AF8FB" w:rsidR="002E6DC7" w:rsidRPr="0038292F" w:rsidRDefault="002E6DC7" w:rsidP="00705109">
      <w:pPr>
        <w:pStyle w:val="Caption"/>
        <w:spacing w:before="240"/>
        <w:ind w:left="709" w:hanging="709"/>
      </w:pPr>
      <w:bookmarkStart w:id="30" w:name="_Ref101878373"/>
      <w:r>
        <w:t xml:space="preserve">Table </w:t>
      </w:r>
      <w:r w:rsidR="0067109A">
        <w:fldChar w:fldCharType="begin"/>
      </w:r>
      <w:r w:rsidR="0067109A">
        <w:instrText xml:space="preserve"> SEQ Table \* ARABIC </w:instrText>
      </w:r>
      <w:r w:rsidR="0067109A">
        <w:fldChar w:fldCharType="separate"/>
      </w:r>
      <w:r w:rsidR="00822248">
        <w:rPr>
          <w:noProof/>
        </w:rPr>
        <w:t>13</w:t>
      </w:r>
      <w:r w:rsidR="0067109A">
        <w:rPr>
          <w:noProof/>
        </w:rPr>
        <w:fldChar w:fldCharType="end"/>
      </w:r>
      <w:bookmarkEnd w:id="30"/>
      <w:r>
        <w:tab/>
        <w:t>Sensitivity analysis</w:t>
      </w:r>
      <w:r w:rsidRPr="00891038">
        <w:t xml:space="preserve"> </w:t>
      </w:r>
      <w:r>
        <w:t xml:space="preserve">for the value of the prevalence (prior probability) of the cancerous lesions in the </w:t>
      </w:r>
      <w:r w:rsidRPr="0004350C">
        <w:rPr>
          <w:i/>
          <w:iCs/>
        </w:rPr>
        <w:t>TP53</w:t>
      </w:r>
      <w:r>
        <w:t xml:space="preserve"> population</w:t>
      </w:r>
    </w:p>
    <w:tbl>
      <w:tblPr>
        <w:tblStyle w:val="TableGrid"/>
        <w:tblW w:w="9191" w:type="dxa"/>
        <w:tblLook w:val="04A0" w:firstRow="1" w:lastRow="0" w:firstColumn="1" w:lastColumn="0" w:noHBand="0" w:noVBand="1"/>
      </w:tblPr>
      <w:tblGrid>
        <w:gridCol w:w="2547"/>
        <w:gridCol w:w="2136"/>
        <w:gridCol w:w="2254"/>
        <w:gridCol w:w="2254"/>
      </w:tblGrid>
      <w:tr w:rsidR="002E6DC7" w14:paraId="5D2BE392" w14:textId="77777777" w:rsidTr="00124440">
        <w:tc>
          <w:tcPr>
            <w:tcW w:w="2547" w:type="dxa"/>
            <w:vAlign w:val="center"/>
          </w:tcPr>
          <w:p w14:paraId="6E604ECF" w14:textId="4C316E7E" w:rsidR="002E6DC7" w:rsidRDefault="002E6DC7" w:rsidP="002E6DC7">
            <w:pPr>
              <w:pStyle w:val="TableHeading0"/>
            </w:pPr>
            <w:r>
              <w:t>Prevalence of cancer assumed</w:t>
            </w:r>
          </w:p>
        </w:tc>
        <w:tc>
          <w:tcPr>
            <w:tcW w:w="2136" w:type="dxa"/>
            <w:vAlign w:val="center"/>
          </w:tcPr>
          <w:p w14:paraId="7FBC4E83" w14:textId="77777777" w:rsidR="002E6DC7" w:rsidRDefault="002E6DC7" w:rsidP="00124440">
            <w:pPr>
              <w:pStyle w:val="TableHeading0"/>
              <w:jc w:val="center"/>
            </w:pPr>
            <w:r>
              <w:t>Sensitivity / specificity</w:t>
            </w:r>
          </w:p>
        </w:tc>
        <w:tc>
          <w:tcPr>
            <w:tcW w:w="2254" w:type="dxa"/>
            <w:vAlign w:val="center"/>
          </w:tcPr>
          <w:p w14:paraId="761CE668" w14:textId="1F1016F7" w:rsidR="002E6DC7" w:rsidRDefault="002E6DC7" w:rsidP="00124440">
            <w:pPr>
              <w:pStyle w:val="TableHeading0"/>
              <w:jc w:val="center"/>
            </w:pPr>
            <w:r>
              <w:t>ICER ($/+</w:t>
            </w:r>
            <w:proofErr w:type="spellStart"/>
            <w:r>
              <w:t>ve</w:t>
            </w:r>
            <w:proofErr w:type="spellEnd"/>
            <w:r>
              <w:t xml:space="preserve"> NPCs </w:t>
            </w:r>
            <w:r w:rsidR="008027B8">
              <w:t xml:space="preserve">correctly </w:t>
            </w:r>
            <w:proofErr w:type="gramStart"/>
            <w:r>
              <w:t>identified)</w:t>
            </w:r>
            <w:r w:rsidR="006223F1">
              <w:t>*</w:t>
            </w:r>
            <w:proofErr w:type="gramEnd"/>
          </w:p>
        </w:tc>
        <w:tc>
          <w:tcPr>
            <w:tcW w:w="2254" w:type="dxa"/>
            <w:vAlign w:val="center"/>
          </w:tcPr>
          <w:p w14:paraId="4DC0167F" w14:textId="474DB235" w:rsidR="002E6DC7" w:rsidRDefault="002E6DC7" w:rsidP="00124440">
            <w:pPr>
              <w:pStyle w:val="TableHeading0"/>
              <w:jc w:val="center"/>
            </w:pPr>
            <w:r>
              <w:t>ICER ($/-</w:t>
            </w:r>
            <w:proofErr w:type="spellStart"/>
            <w:r>
              <w:t>ve</w:t>
            </w:r>
            <w:proofErr w:type="spellEnd"/>
            <w:r>
              <w:t xml:space="preserve"> NPCs </w:t>
            </w:r>
            <w:r w:rsidR="008027B8">
              <w:t xml:space="preserve">correctly </w:t>
            </w:r>
            <w:r>
              <w:t xml:space="preserve">ruled </w:t>
            </w:r>
            <w:proofErr w:type="gramStart"/>
            <w:r>
              <w:t>out)</w:t>
            </w:r>
            <w:r w:rsidR="006223F1">
              <w:t>*</w:t>
            </w:r>
            <w:proofErr w:type="gramEnd"/>
          </w:p>
        </w:tc>
      </w:tr>
      <w:tr w:rsidR="002E6DC7" w14:paraId="0ED4DCDA" w14:textId="77777777" w:rsidTr="00067313">
        <w:tc>
          <w:tcPr>
            <w:tcW w:w="2547" w:type="dxa"/>
          </w:tcPr>
          <w:p w14:paraId="77C64548" w14:textId="7266B1CE" w:rsidR="002E6DC7" w:rsidRDefault="002E6DC7" w:rsidP="00067313">
            <w:pPr>
              <w:pStyle w:val="TableText"/>
            </w:pPr>
            <w:r>
              <w:t xml:space="preserve">6% (base case </w:t>
            </w:r>
            <w:r w:rsidR="005E7B19">
              <w:fldChar w:fldCharType="begin"/>
            </w:r>
            <w:r w:rsidR="005E7B19">
              <w:instrText xml:space="preserve"> REF _Ref101944144 \h </w:instrText>
            </w:r>
            <w:r w:rsidR="005E7B19">
              <w:fldChar w:fldCharType="separate"/>
            </w:r>
            <w:r w:rsidR="00822248">
              <w:t xml:space="preserve">Table </w:t>
            </w:r>
            <w:r w:rsidR="00822248">
              <w:rPr>
                <w:noProof/>
              </w:rPr>
              <w:t>3</w:t>
            </w:r>
            <w:r w:rsidR="005E7B19">
              <w:fldChar w:fldCharType="end"/>
            </w:r>
            <w:r>
              <w:t>)</w:t>
            </w:r>
          </w:p>
        </w:tc>
        <w:tc>
          <w:tcPr>
            <w:tcW w:w="2136" w:type="dxa"/>
            <w:vMerge w:val="restart"/>
            <w:vAlign w:val="center"/>
          </w:tcPr>
          <w:p w14:paraId="0C5CD4EB" w14:textId="77777777" w:rsidR="002E6DC7" w:rsidRDefault="002E6DC7" w:rsidP="00067313">
            <w:pPr>
              <w:pStyle w:val="TableText"/>
            </w:pPr>
            <w:r>
              <w:t>STD+</w:t>
            </w:r>
            <w:r w:rsidRPr="00B843E7">
              <w:t xml:space="preserve">WBMRI </w:t>
            </w:r>
            <w:r>
              <w:t xml:space="preserve">0.82 / 0.61 STD 0.62 / 0.74 </w:t>
            </w:r>
          </w:p>
        </w:tc>
        <w:tc>
          <w:tcPr>
            <w:tcW w:w="2254" w:type="dxa"/>
            <w:vMerge w:val="restart"/>
            <w:vAlign w:val="center"/>
          </w:tcPr>
          <w:p w14:paraId="6060F54A" w14:textId="77777777" w:rsidR="002E6DC7" w:rsidRDefault="002E6DC7" w:rsidP="00067313">
            <w:pPr>
              <w:pStyle w:val="TableText"/>
              <w:jc w:val="center"/>
            </w:pPr>
            <w:r>
              <w:t>STD dominates</w:t>
            </w:r>
          </w:p>
        </w:tc>
        <w:tc>
          <w:tcPr>
            <w:tcW w:w="2254" w:type="dxa"/>
            <w:vAlign w:val="center"/>
          </w:tcPr>
          <w:p w14:paraId="02AF0163" w14:textId="77777777" w:rsidR="002E6DC7" w:rsidRDefault="002E6DC7" w:rsidP="00067313">
            <w:pPr>
              <w:pStyle w:val="TableText"/>
              <w:jc w:val="center"/>
            </w:pPr>
            <w:r>
              <w:t>117,825</w:t>
            </w:r>
          </w:p>
        </w:tc>
      </w:tr>
      <w:tr w:rsidR="002E6DC7" w14:paraId="04E101D9" w14:textId="77777777" w:rsidTr="00067313">
        <w:tc>
          <w:tcPr>
            <w:tcW w:w="2547" w:type="dxa"/>
          </w:tcPr>
          <w:p w14:paraId="17295F48" w14:textId="69924315" w:rsidR="002E6DC7" w:rsidRDefault="002E6DC7" w:rsidP="00067313">
            <w:pPr>
              <w:pStyle w:val="TableText"/>
            </w:pPr>
            <w:r>
              <w:t>3.57% (</w:t>
            </w:r>
            <w:r w:rsidR="00261651">
              <w:rPr>
                <w:highlight w:val="yellow"/>
              </w:rPr>
              <w:fldChar w:fldCharType="begin"/>
            </w:r>
            <w:r w:rsidR="00261651">
              <w:instrText xml:space="preserve"> REF _Ref96006013 \h </w:instrText>
            </w:r>
            <w:r w:rsidR="00261651">
              <w:rPr>
                <w:highlight w:val="yellow"/>
              </w:rPr>
            </w:r>
            <w:r w:rsidR="00261651">
              <w:rPr>
                <w:highlight w:val="yellow"/>
              </w:rPr>
              <w:fldChar w:fldCharType="separate"/>
            </w:r>
            <w:r w:rsidR="00822248">
              <w:t xml:space="preserve">Table </w:t>
            </w:r>
            <w:r w:rsidR="00822248">
              <w:rPr>
                <w:noProof/>
              </w:rPr>
              <w:t>45</w:t>
            </w:r>
            <w:r w:rsidR="00261651">
              <w:rPr>
                <w:highlight w:val="yellow"/>
              </w:rPr>
              <w:fldChar w:fldCharType="end"/>
            </w:r>
            <w:r w:rsidR="00D65191">
              <w:t xml:space="preserve"> of the DCAR</w:t>
            </w:r>
            <w:r>
              <w:t>)</w:t>
            </w:r>
          </w:p>
        </w:tc>
        <w:tc>
          <w:tcPr>
            <w:tcW w:w="2136" w:type="dxa"/>
            <w:vMerge/>
          </w:tcPr>
          <w:p w14:paraId="29390D99" w14:textId="77777777" w:rsidR="002E6DC7" w:rsidRDefault="002E6DC7" w:rsidP="00067313">
            <w:pPr>
              <w:pStyle w:val="TableText"/>
            </w:pPr>
          </w:p>
        </w:tc>
        <w:tc>
          <w:tcPr>
            <w:tcW w:w="2254" w:type="dxa"/>
            <w:vMerge/>
          </w:tcPr>
          <w:p w14:paraId="0CCB6227" w14:textId="77777777" w:rsidR="002E6DC7" w:rsidRDefault="002E6DC7" w:rsidP="00067313">
            <w:pPr>
              <w:pStyle w:val="TableText"/>
            </w:pPr>
          </w:p>
        </w:tc>
        <w:tc>
          <w:tcPr>
            <w:tcW w:w="2254" w:type="dxa"/>
            <w:vAlign w:val="center"/>
          </w:tcPr>
          <w:p w14:paraId="71813527" w14:textId="77777777" w:rsidR="002E6DC7" w:rsidRDefault="002E6DC7" w:rsidP="00067313">
            <w:pPr>
              <w:pStyle w:val="TableText"/>
              <w:jc w:val="center"/>
            </w:pPr>
            <w:r>
              <w:t>195,153</w:t>
            </w:r>
          </w:p>
        </w:tc>
      </w:tr>
      <w:tr w:rsidR="002E6DC7" w14:paraId="4726FCB3" w14:textId="77777777" w:rsidTr="00067313">
        <w:tc>
          <w:tcPr>
            <w:tcW w:w="2547" w:type="dxa"/>
          </w:tcPr>
          <w:p w14:paraId="47108BDE" w14:textId="2F0A0941" w:rsidR="002E6DC7" w:rsidRDefault="002E6DC7" w:rsidP="00067313">
            <w:pPr>
              <w:pStyle w:val="TableText"/>
            </w:pPr>
            <w:r>
              <w:t>13.21% (</w:t>
            </w:r>
            <w:r w:rsidR="00261651">
              <w:rPr>
                <w:highlight w:val="yellow"/>
              </w:rPr>
              <w:fldChar w:fldCharType="begin"/>
            </w:r>
            <w:r w:rsidR="00261651">
              <w:instrText xml:space="preserve"> REF _Ref96006013 \h </w:instrText>
            </w:r>
            <w:r w:rsidR="00261651">
              <w:rPr>
                <w:highlight w:val="yellow"/>
              </w:rPr>
            </w:r>
            <w:r w:rsidR="00261651">
              <w:rPr>
                <w:highlight w:val="yellow"/>
              </w:rPr>
              <w:fldChar w:fldCharType="separate"/>
            </w:r>
            <w:r w:rsidR="00822248">
              <w:t xml:space="preserve">Table </w:t>
            </w:r>
            <w:r w:rsidR="00822248">
              <w:rPr>
                <w:noProof/>
              </w:rPr>
              <w:t>45</w:t>
            </w:r>
            <w:r w:rsidR="00261651">
              <w:rPr>
                <w:highlight w:val="yellow"/>
              </w:rPr>
              <w:fldChar w:fldCharType="end"/>
            </w:r>
            <w:r w:rsidR="00D65191">
              <w:t xml:space="preserve"> of the DCAR</w:t>
            </w:r>
            <w:r>
              <w:t>)</w:t>
            </w:r>
          </w:p>
        </w:tc>
        <w:tc>
          <w:tcPr>
            <w:tcW w:w="2136" w:type="dxa"/>
            <w:vMerge/>
          </w:tcPr>
          <w:p w14:paraId="60D299AA" w14:textId="77777777" w:rsidR="002E6DC7" w:rsidRDefault="002E6DC7" w:rsidP="00067313">
            <w:pPr>
              <w:pStyle w:val="TableText"/>
            </w:pPr>
          </w:p>
        </w:tc>
        <w:tc>
          <w:tcPr>
            <w:tcW w:w="2254" w:type="dxa"/>
            <w:vMerge/>
          </w:tcPr>
          <w:p w14:paraId="0A5DFCAE" w14:textId="77777777" w:rsidR="002E6DC7" w:rsidRDefault="002E6DC7" w:rsidP="00067313">
            <w:pPr>
              <w:pStyle w:val="TableText"/>
            </w:pPr>
          </w:p>
        </w:tc>
        <w:tc>
          <w:tcPr>
            <w:tcW w:w="2254" w:type="dxa"/>
            <w:vAlign w:val="center"/>
          </w:tcPr>
          <w:p w14:paraId="52B36498" w14:textId="77777777" w:rsidR="002E6DC7" w:rsidRDefault="002E6DC7" w:rsidP="00067313">
            <w:pPr>
              <w:pStyle w:val="TableText"/>
              <w:jc w:val="center"/>
            </w:pPr>
            <w:r>
              <w:t>53,535</w:t>
            </w:r>
          </w:p>
        </w:tc>
      </w:tr>
      <w:tr w:rsidR="002E6DC7" w14:paraId="1054805A" w14:textId="77777777" w:rsidTr="00067313">
        <w:tc>
          <w:tcPr>
            <w:tcW w:w="2547" w:type="dxa"/>
          </w:tcPr>
          <w:p w14:paraId="3DB944EE" w14:textId="06D02D32" w:rsidR="002E6DC7" w:rsidRDefault="002E6DC7" w:rsidP="00067313">
            <w:pPr>
              <w:pStyle w:val="TableText"/>
            </w:pPr>
            <w:r>
              <w:t xml:space="preserve">6% (both protocols in the same population from WBMRI+STD arm </w:t>
            </w:r>
            <w:r w:rsidR="005E7B19">
              <w:fldChar w:fldCharType="begin"/>
            </w:r>
            <w:r w:rsidR="005E7B19">
              <w:instrText xml:space="preserve"> REF _Ref101944711 \h </w:instrText>
            </w:r>
            <w:r w:rsidR="005E7B19">
              <w:fldChar w:fldCharType="separate"/>
            </w:r>
            <w:r w:rsidR="00822248">
              <w:t xml:space="preserve">Table </w:t>
            </w:r>
            <w:r w:rsidR="00822248">
              <w:rPr>
                <w:noProof/>
              </w:rPr>
              <w:t>4</w:t>
            </w:r>
            <w:r w:rsidR="005E7B19">
              <w:fldChar w:fldCharType="end"/>
            </w:r>
            <w:r>
              <w:t>)</w:t>
            </w:r>
          </w:p>
        </w:tc>
        <w:tc>
          <w:tcPr>
            <w:tcW w:w="2136" w:type="dxa"/>
            <w:vMerge w:val="restart"/>
            <w:vAlign w:val="center"/>
          </w:tcPr>
          <w:p w14:paraId="07963981" w14:textId="77777777" w:rsidR="002E6DC7" w:rsidRDefault="002E6DC7" w:rsidP="00067313">
            <w:pPr>
              <w:pStyle w:val="TableText"/>
            </w:pPr>
            <w:r>
              <w:t>STD+</w:t>
            </w:r>
            <w:r w:rsidRPr="00B843E7">
              <w:t xml:space="preserve">WBMRI </w:t>
            </w:r>
            <w:r>
              <w:t>0.82 / 0.61 STD 0.36 / 0.58</w:t>
            </w:r>
          </w:p>
        </w:tc>
        <w:tc>
          <w:tcPr>
            <w:tcW w:w="2254" w:type="dxa"/>
            <w:vAlign w:val="center"/>
          </w:tcPr>
          <w:p w14:paraId="2928B194" w14:textId="77777777" w:rsidR="002E6DC7" w:rsidRDefault="002E6DC7" w:rsidP="00067313">
            <w:pPr>
              <w:pStyle w:val="TableText"/>
              <w:jc w:val="center"/>
            </w:pPr>
            <w:r>
              <w:t>23,494</w:t>
            </w:r>
          </w:p>
        </w:tc>
        <w:tc>
          <w:tcPr>
            <w:tcW w:w="2254" w:type="dxa"/>
            <w:vAlign w:val="center"/>
          </w:tcPr>
          <w:p w14:paraId="19313896" w14:textId="77777777" w:rsidR="002E6DC7" w:rsidRDefault="002E6DC7" w:rsidP="00067313">
            <w:pPr>
              <w:pStyle w:val="TableText"/>
              <w:jc w:val="center"/>
            </w:pPr>
            <w:r>
              <w:t>33,007</w:t>
            </w:r>
          </w:p>
        </w:tc>
      </w:tr>
      <w:tr w:rsidR="002E6DC7" w14:paraId="5E98819D" w14:textId="77777777" w:rsidTr="00067313">
        <w:tc>
          <w:tcPr>
            <w:tcW w:w="2547" w:type="dxa"/>
          </w:tcPr>
          <w:p w14:paraId="14CCB678" w14:textId="2F11D257" w:rsidR="002E6DC7" w:rsidRDefault="002E6DC7" w:rsidP="00067313">
            <w:pPr>
              <w:pStyle w:val="TableText"/>
            </w:pPr>
            <w:r>
              <w:t>3.57% (</w:t>
            </w:r>
            <w:r w:rsidR="00261651">
              <w:rPr>
                <w:highlight w:val="yellow"/>
              </w:rPr>
              <w:fldChar w:fldCharType="begin"/>
            </w:r>
            <w:r w:rsidR="00261651">
              <w:instrText xml:space="preserve"> REF _Ref96006013 \h </w:instrText>
            </w:r>
            <w:r w:rsidR="00261651">
              <w:rPr>
                <w:highlight w:val="yellow"/>
              </w:rPr>
            </w:r>
            <w:r w:rsidR="00261651">
              <w:rPr>
                <w:highlight w:val="yellow"/>
              </w:rPr>
              <w:fldChar w:fldCharType="separate"/>
            </w:r>
            <w:r w:rsidR="00822248">
              <w:t xml:space="preserve">Table </w:t>
            </w:r>
            <w:r w:rsidR="00822248">
              <w:rPr>
                <w:noProof/>
              </w:rPr>
              <w:t>45</w:t>
            </w:r>
            <w:r w:rsidR="00261651">
              <w:rPr>
                <w:highlight w:val="yellow"/>
              </w:rPr>
              <w:fldChar w:fldCharType="end"/>
            </w:r>
            <w:r w:rsidR="00D65191">
              <w:t xml:space="preserve"> of the DCAR</w:t>
            </w:r>
            <w:r>
              <w:t>)</w:t>
            </w:r>
          </w:p>
        </w:tc>
        <w:tc>
          <w:tcPr>
            <w:tcW w:w="2136" w:type="dxa"/>
            <w:vMerge/>
          </w:tcPr>
          <w:p w14:paraId="0C80CECC" w14:textId="77777777" w:rsidR="002E6DC7" w:rsidRDefault="002E6DC7" w:rsidP="00067313">
            <w:pPr>
              <w:pStyle w:val="TableText"/>
            </w:pPr>
          </w:p>
        </w:tc>
        <w:tc>
          <w:tcPr>
            <w:tcW w:w="2254" w:type="dxa"/>
            <w:vAlign w:val="center"/>
          </w:tcPr>
          <w:p w14:paraId="448A1A3D" w14:textId="77777777" w:rsidR="002E6DC7" w:rsidRDefault="002E6DC7" w:rsidP="00067313">
            <w:pPr>
              <w:pStyle w:val="TableText"/>
              <w:jc w:val="center"/>
            </w:pPr>
            <w:r w:rsidRPr="005D0211">
              <w:t>38</w:t>
            </w:r>
            <w:r>
              <w:t>,</w:t>
            </w:r>
            <w:r w:rsidRPr="005D0211">
              <w:t>07</w:t>
            </w:r>
            <w:r>
              <w:t>9</w:t>
            </w:r>
          </w:p>
        </w:tc>
        <w:tc>
          <w:tcPr>
            <w:tcW w:w="2254" w:type="dxa"/>
            <w:vAlign w:val="center"/>
          </w:tcPr>
          <w:p w14:paraId="011D5D7F" w14:textId="77777777" w:rsidR="002E6DC7" w:rsidRDefault="002E6DC7" w:rsidP="00067313">
            <w:pPr>
              <w:pStyle w:val="TableText"/>
              <w:jc w:val="center"/>
            </w:pPr>
            <w:r w:rsidRPr="005D0211">
              <w:t>55</w:t>
            </w:r>
            <w:r>
              <w:t>,</w:t>
            </w:r>
            <w:r w:rsidRPr="005D0211">
              <w:t>75</w:t>
            </w:r>
            <w:r>
              <w:t>8</w:t>
            </w:r>
          </w:p>
        </w:tc>
      </w:tr>
      <w:tr w:rsidR="002E6DC7" w14:paraId="1A4C6111" w14:textId="77777777" w:rsidTr="00067313">
        <w:tc>
          <w:tcPr>
            <w:tcW w:w="2547" w:type="dxa"/>
          </w:tcPr>
          <w:p w14:paraId="1BB151E2" w14:textId="59BF1145" w:rsidR="002E6DC7" w:rsidRDefault="002E6DC7" w:rsidP="00067313">
            <w:pPr>
              <w:pStyle w:val="TableText"/>
            </w:pPr>
            <w:r>
              <w:t>13.21% (</w:t>
            </w:r>
            <w:r w:rsidR="00261651">
              <w:rPr>
                <w:highlight w:val="yellow"/>
              </w:rPr>
              <w:fldChar w:fldCharType="begin"/>
            </w:r>
            <w:r w:rsidR="00261651">
              <w:instrText xml:space="preserve"> REF _Ref96006013 \h </w:instrText>
            </w:r>
            <w:r w:rsidR="00261651">
              <w:rPr>
                <w:highlight w:val="yellow"/>
              </w:rPr>
            </w:r>
            <w:r w:rsidR="00261651">
              <w:rPr>
                <w:highlight w:val="yellow"/>
              </w:rPr>
              <w:fldChar w:fldCharType="separate"/>
            </w:r>
            <w:r w:rsidR="00822248">
              <w:t xml:space="preserve">Table </w:t>
            </w:r>
            <w:r w:rsidR="00822248">
              <w:rPr>
                <w:noProof/>
              </w:rPr>
              <w:t>45</w:t>
            </w:r>
            <w:r w:rsidR="00261651">
              <w:rPr>
                <w:highlight w:val="yellow"/>
              </w:rPr>
              <w:fldChar w:fldCharType="end"/>
            </w:r>
            <w:r w:rsidR="00D65191">
              <w:t xml:space="preserve"> of the DCAR</w:t>
            </w:r>
            <w:r>
              <w:t>)</w:t>
            </w:r>
          </w:p>
        </w:tc>
        <w:tc>
          <w:tcPr>
            <w:tcW w:w="2136" w:type="dxa"/>
            <w:vMerge/>
          </w:tcPr>
          <w:p w14:paraId="7C9F14FA" w14:textId="77777777" w:rsidR="002E6DC7" w:rsidRDefault="002E6DC7" w:rsidP="00067313">
            <w:pPr>
              <w:pStyle w:val="TableText"/>
            </w:pPr>
          </w:p>
        </w:tc>
        <w:tc>
          <w:tcPr>
            <w:tcW w:w="2254" w:type="dxa"/>
            <w:vAlign w:val="center"/>
          </w:tcPr>
          <w:p w14:paraId="7DF4BEC4" w14:textId="77777777" w:rsidR="002E6DC7" w:rsidRDefault="002E6DC7" w:rsidP="00067313">
            <w:pPr>
              <w:pStyle w:val="TableText"/>
              <w:jc w:val="center"/>
            </w:pPr>
            <w:r w:rsidRPr="0008584E">
              <w:t>12</w:t>
            </w:r>
            <w:r>
              <w:t>,</w:t>
            </w:r>
            <w:r w:rsidRPr="0008584E">
              <w:t>293</w:t>
            </w:r>
          </w:p>
        </w:tc>
        <w:tc>
          <w:tcPr>
            <w:tcW w:w="2254" w:type="dxa"/>
            <w:vAlign w:val="center"/>
          </w:tcPr>
          <w:p w14:paraId="31476076" w14:textId="77777777" w:rsidR="002E6DC7" w:rsidRDefault="002E6DC7" w:rsidP="00067313">
            <w:pPr>
              <w:pStyle w:val="TableText"/>
              <w:jc w:val="center"/>
            </w:pPr>
            <w:r w:rsidRPr="005D0211">
              <w:t>15</w:t>
            </w:r>
            <w:r>
              <w:t>,</w:t>
            </w:r>
            <w:r w:rsidRPr="005D0211">
              <w:t>457</w:t>
            </w:r>
          </w:p>
        </w:tc>
      </w:tr>
    </w:tbl>
    <w:p w14:paraId="445FA7BA" w14:textId="2B04069C" w:rsidR="006223F1" w:rsidRDefault="002E6DC7" w:rsidP="006223F1">
      <w:pPr>
        <w:pStyle w:val="TableFigureFooter"/>
        <w:spacing w:before="0" w:after="0"/>
      </w:pPr>
      <w:r>
        <w:t>WBMRI=</w:t>
      </w:r>
      <w:r w:rsidR="007D1B95">
        <w:t>w</w:t>
      </w:r>
      <w:r>
        <w:t>hole</w:t>
      </w:r>
      <w:r w:rsidR="007D1B95">
        <w:t>-</w:t>
      </w:r>
      <w:r>
        <w:t xml:space="preserve">body </w:t>
      </w:r>
      <w:r w:rsidRPr="00C63ECD">
        <w:t>magnetic resonance imaging</w:t>
      </w:r>
      <w:r>
        <w:t>; NPC=new primary cancer detected or ruled out; +</w:t>
      </w:r>
      <w:proofErr w:type="spellStart"/>
      <w:r>
        <w:t>ve</w:t>
      </w:r>
      <w:proofErr w:type="spellEnd"/>
      <w:r>
        <w:t>=positive; -</w:t>
      </w:r>
      <w:proofErr w:type="spellStart"/>
      <w:r>
        <w:t>ve</w:t>
      </w:r>
      <w:proofErr w:type="spellEnd"/>
      <w:r>
        <w:t>=negative</w:t>
      </w:r>
    </w:p>
    <w:p w14:paraId="7F34869D" w14:textId="24B2593F" w:rsidR="002E6DC7" w:rsidRDefault="006223F1" w:rsidP="00705109">
      <w:pPr>
        <w:pStyle w:val="TableFigureFooter"/>
        <w:spacing w:before="0" w:after="240"/>
      </w:pPr>
      <w:r>
        <w:t>*</w:t>
      </w:r>
      <w:r>
        <w:tab/>
        <w:t>Over the duration of the LIFSCREEN trial of “at least 3 years” (Caron, 2018)</w:t>
      </w:r>
    </w:p>
    <w:p w14:paraId="1D1D3324" w14:textId="22CBB588" w:rsidR="002E6DC7" w:rsidRPr="00FF5134" w:rsidRDefault="002E6DC7" w:rsidP="00124440">
      <w:r>
        <w:lastRenderedPageBreak/>
        <w:t xml:space="preserve">Sensitivity analyses shows that results are very sensitive to the variations in the value of population prevalence. Assumptions about the higher prevalence are associated with lower ICER values in the scenarios where </w:t>
      </w:r>
      <w:r w:rsidRPr="00AF342A">
        <w:t>the same population from WBMRI+STD arm</w:t>
      </w:r>
      <w:r>
        <w:t xml:space="preserve"> was hypothetically subjected to </w:t>
      </w:r>
      <w:r w:rsidRPr="00AF342A">
        <w:t>both protocols</w:t>
      </w:r>
      <w:r>
        <w:t xml:space="preserve"> (with and without WBMRI). Increasing the prevalence from 3.57% to 13.21% decreased ICER estimates by approximately a factor of three. </w:t>
      </w:r>
      <w:r w:rsidRPr="00496AB3">
        <w:t xml:space="preserve">In the population analysed according to the randomisation outcomes, STD remained dominant </w:t>
      </w:r>
      <w:r>
        <w:t>with respect to the incremental cost per additional new primary cancer correctly diagnosed</w:t>
      </w:r>
      <w:r w:rsidRPr="00496AB3">
        <w:t xml:space="preserve"> regardless of the assumptions about the population prevalence. This is suggestive </w:t>
      </w:r>
      <w:r>
        <w:t xml:space="preserve">of </w:t>
      </w:r>
      <w:r w:rsidRPr="00496AB3">
        <w:t xml:space="preserve">results </w:t>
      </w:r>
      <w:r>
        <w:t>being</w:t>
      </w:r>
      <w:r w:rsidRPr="00496AB3">
        <w:t xml:space="preserve"> very sensitive to the difference in the diagnostic accuracy between the surveillance that includes WBMRI and the comparator of the standard cancer surveillance only. However, with respect to the incremental cost per additional cancer correctly ruled out given the negative test result, increasing the prevalence from 3.57% to 13.21% decrease</w:t>
      </w:r>
      <w:r w:rsidR="002B5AEF">
        <w:t>d</w:t>
      </w:r>
      <w:r w:rsidRPr="00496AB3">
        <w:t xml:space="preserve"> the ICER estimates from </w:t>
      </w:r>
      <w:r>
        <w:t>$</w:t>
      </w:r>
      <w:r w:rsidRPr="00496AB3">
        <w:t xml:space="preserve">195,153 to </w:t>
      </w:r>
      <w:r>
        <w:t>$</w:t>
      </w:r>
      <w:r w:rsidRPr="00496AB3">
        <w:t>53,535.</w:t>
      </w:r>
    </w:p>
    <w:p w14:paraId="043FBA88" w14:textId="6BCCA244" w:rsidR="002E6DC7" w:rsidRDefault="002E6DC7" w:rsidP="00124440">
      <w:pPr>
        <w:rPr>
          <w:b/>
          <w:bCs/>
        </w:rPr>
      </w:pPr>
      <w:r>
        <w:t xml:space="preserve">Results of economic evaluations depend on numerous assumptions, of which the most important relates to the LIFSCREEN </w:t>
      </w:r>
      <w:r w:rsidR="00C919D5">
        <w:t xml:space="preserve">trial </w:t>
      </w:r>
      <w:r>
        <w:t xml:space="preserve">populations that provided evidence for the accuracy estimates. Base case results in the populations analysed according to </w:t>
      </w:r>
      <w:r w:rsidR="00C919D5">
        <w:t>randomised groups</w:t>
      </w:r>
      <w:r>
        <w:t xml:space="preserve"> are not comparable to the results of the hypothetical exercise, where the same population of the WBMRI+STD arm was subjected to the surveillance protocol with and without WBMRI. This is because, according to the expert’s advice, some of the </w:t>
      </w:r>
      <w:r w:rsidRPr="00F201B9">
        <w:t>cancers cannot be detected by STD</w:t>
      </w:r>
      <w:r>
        <w:t xml:space="preserve"> alone, necessitating re-estimation of sensitivity and specificity, which favoured WBMRI+STD protocol over the comparator of the standard cancer surveillance.</w:t>
      </w:r>
    </w:p>
    <w:p w14:paraId="55024EF1" w14:textId="1BE3ADB4" w:rsidR="002E6DC7" w:rsidRDefault="002E6DC7" w:rsidP="002E6DC7">
      <w:r w:rsidRPr="00B67AD1">
        <w:t>The purpose of diagnostic testing is to move from the probability of disease before the diagnostic test (prior probability) to the probability after the diagnostic test based on the test result</w:t>
      </w:r>
      <w:r>
        <w:t xml:space="preserve"> (</w:t>
      </w:r>
      <w:r w:rsidRPr="00A43048">
        <w:t>posterior probabilit</w:t>
      </w:r>
      <w:r>
        <w:t>y or positive predictive value).</w:t>
      </w:r>
      <w:r w:rsidRPr="00B67AD1">
        <w:t xml:space="preserve"> </w:t>
      </w:r>
      <w:r>
        <w:t>I</w:t>
      </w:r>
      <w:r w:rsidRPr="00A43048">
        <w:t>rrespective of the test properties (sensitivity and specificity)</w:t>
      </w:r>
      <w:r>
        <w:t xml:space="preserve"> </w:t>
      </w:r>
      <w:r w:rsidRPr="00A43048">
        <w:t>Bayes' rule shows that if prior probabilities change, so do different posterior probabilities</w:t>
      </w:r>
      <w:r>
        <w:t>, which is reflected in ICER estimates that decrease in proportion to the increase in the positive predictive value.</w:t>
      </w:r>
    </w:p>
    <w:p w14:paraId="25AE2BAC" w14:textId="7AC0BB25" w:rsidR="00772829" w:rsidRDefault="00C36633" w:rsidP="002A18BE">
      <w:pPr>
        <w:pStyle w:val="Heading2"/>
        <w:numPr>
          <w:ilvl w:val="0"/>
          <w:numId w:val="0"/>
        </w:numPr>
      </w:pPr>
      <w:bookmarkStart w:id="31" w:name="Title_Table5"/>
      <w:bookmarkStart w:id="32" w:name="Title_Table6"/>
      <w:bookmarkStart w:id="33" w:name="_Toc102443851"/>
      <w:bookmarkEnd w:id="31"/>
      <w:bookmarkEnd w:id="32"/>
      <w:r>
        <w:t>1</w:t>
      </w:r>
      <w:r w:rsidR="00262C24">
        <w:t>4</w:t>
      </w:r>
      <w:r>
        <w:t>.</w:t>
      </w:r>
      <w:r>
        <w:tab/>
      </w:r>
      <w:r w:rsidR="00772829" w:rsidRPr="00CE28E3">
        <w:t>Financial/budgetary impacts</w:t>
      </w:r>
      <w:bookmarkEnd w:id="33"/>
    </w:p>
    <w:p w14:paraId="45ED53AB" w14:textId="6985D092" w:rsidR="00F77D81" w:rsidRDefault="00F77D81" w:rsidP="00F77D81">
      <w:r w:rsidRPr="00CE28E3">
        <w:t xml:space="preserve">The financial implications to the </w:t>
      </w:r>
      <w:r w:rsidRPr="002311BA">
        <w:t>MBS</w:t>
      </w:r>
      <w:r w:rsidRPr="00CE28E3">
        <w:t xml:space="preserve"> </w:t>
      </w:r>
      <w:r>
        <w:t xml:space="preserve">over 6 years </w:t>
      </w:r>
      <w:r w:rsidRPr="00CE28E3">
        <w:t xml:space="preserve">resulting from the proposed listing of </w:t>
      </w:r>
      <w:r>
        <w:t xml:space="preserve">WBMRI for surveillance of patients with a clinically actionable germline pathogenic or likely pathogenic </w:t>
      </w:r>
      <w:r w:rsidRPr="00B127B9">
        <w:rPr>
          <w:i/>
          <w:iCs/>
        </w:rPr>
        <w:t>TP53</w:t>
      </w:r>
      <w:r>
        <w:t xml:space="preserve"> variant</w:t>
      </w:r>
      <w:r w:rsidRPr="00CE28E3">
        <w:t xml:space="preserve"> are summarised in </w:t>
      </w:r>
      <w:r>
        <w:fldChar w:fldCharType="begin"/>
      </w:r>
      <w:r>
        <w:instrText xml:space="preserve"> REF _Ref69726382 \h </w:instrText>
      </w:r>
      <w:r>
        <w:fldChar w:fldCharType="separate"/>
      </w:r>
      <w:r w:rsidR="00822248" w:rsidRPr="00CE28E3">
        <w:t>Table</w:t>
      </w:r>
      <w:r w:rsidR="00822248">
        <w:t> </w:t>
      </w:r>
      <w:r w:rsidR="00822248">
        <w:rPr>
          <w:noProof/>
        </w:rPr>
        <w:t>14</w:t>
      </w:r>
      <w:r>
        <w:fldChar w:fldCharType="end"/>
      </w:r>
      <w:r w:rsidRPr="00CE28E3">
        <w:t>.</w:t>
      </w:r>
    </w:p>
    <w:p w14:paraId="121FDD93" w14:textId="4CD8213B" w:rsidR="00794D74" w:rsidRDefault="00794D74" w:rsidP="00F77D81">
      <w:r>
        <w:t xml:space="preserve">The factor determining the size of the eligible population, is patients having received a molecular test that determines they have heritable </w:t>
      </w:r>
      <w:r w:rsidRPr="00124440">
        <w:rPr>
          <w:i/>
          <w:iCs/>
        </w:rPr>
        <w:t>TP53</w:t>
      </w:r>
      <w:r>
        <w:t>-related cancer syndrome. Th</w:t>
      </w:r>
      <w:r w:rsidR="00794935">
        <w:t>e</w:t>
      </w:r>
      <w:r>
        <w:t xml:space="preserve"> availability of this test is not part of this assessment. Information about the proportion of the carrier population that have accessed this test is unknown. Therefore, two baseline analysis were conducted:</w:t>
      </w:r>
    </w:p>
    <w:p w14:paraId="5942A35F" w14:textId="609E0A07" w:rsidR="0030476A" w:rsidRDefault="00794D74" w:rsidP="00124440">
      <w:pPr>
        <w:pStyle w:val="ListParagraph"/>
        <w:numPr>
          <w:ilvl w:val="0"/>
          <w:numId w:val="33"/>
        </w:numPr>
        <w:ind w:left="284" w:hanging="284"/>
      </w:pPr>
      <w:r>
        <w:t>A financial analysis of the estimate of the population provided by the applicant (assuming a 10% growth in population for each year)</w:t>
      </w:r>
      <w:r w:rsidR="00C919D5">
        <w:t xml:space="preserve">, </w:t>
      </w:r>
      <w:r w:rsidR="006F19C2">
        <w:t xml:space="preserve">this population is based on the applicant’s expert advice on the take-up of surveillance by </w:t>
      </w:r>
      <w:proofErr w:type="gramStart"/>
      <w:r w:rsidR="006F19C2">
        <w:t>high risk</w:t>
      </w:r>
      <w:proofErr w:type="gramEnd"/>
      <w:r w:rsidR="006F19C2">
        <w:t xml:space="preserve"> patients, </w:t>
      </w:r>
      <w:r w:rsidR="00C919D5">
        <w:t xml:space="preserve">see </w:t>
      </w:r>
      <w:r w:rsidR="00C919D5">
        <w:fldChar w:fldCharType="begin"/>
      </w:r>
      <w:r w:rsidR="00C919D5">
        <w:instrText xml:space="preserve"> REF _Ref69726382 \h </w:instrText>
      </w:r>
      <w:r w:rsidR="00C919D5">
        <w:fldChar w:fldCharType="separate"/>
      </w:r>
      <w:r w:rsidR="00822248" w:rsidRPr="00CE28E3">
        <w:t>Table</w:t>
      </w:r>
      <w:r w:rsidR="00822248">
        <w:t> </w:t>
      </w:r>
      <w:r w:rsidR="00822248">
        <w:rPr>
          <w:noProof/>
        </w:rPr>
        <w:t>14</w:t>
      </w:r>
      <w:r w:rsidR="00C919D5">
        <w:fldChar w:fldCharType="end"/>
      </w:r>
      <w:r>
        <w:t>; and</w:t>
      </w:r>
    </w:p>
    <w:p w14:paraId="2A67713E" w14:textId="681BD7A2" w:rsidR="00794D74" w:rsidRDefault="00794D74" w:rsidP="00124440">
      <w:pPr>
        <w:pStyle w:val="ListParagraph"/>
        <w:numPr>
          <w:ilvl w:val="0"/>
          <w:numId w:val="33"/>
        </w:numPr>
        <w:ind w:left="284" w:hanging="284"/>
      </w:pPr>
      <w:r>
        <w:t>A financial estimate of the likely population based on the estimated carrier population</w:t>
      </w:r>
      <w:r w:rsidR="008E2C11">
        <w:t xml:space="preserve"> </w:t>
      </w:r>
      <w:r>
        <w:t>and their up</w:t>
      </w:r>
      <w:r w:rsidR="00B00F1F">
        <w:t>take</w:t>
      </w:r>
      <w:r>
        <w:t xml:space="preserve"> of WBMRI</w:t>
      </w:r>
      <w:r w:rsidR="004B5FE5">
        <w:t xml:space="preserve"> (includes those with a diagnosis and those yet to have a diagnosis)</w:t>
      </w:r>
      <w:r>
        <w:t xml:space="preserve">. This analysis is based on prevalence data from </w:t>
      </w:r>
      <w:r w:rsidR="00ED49D4">
        <w:t>Gonzalez</w:t>
      </w:r>
      <w:r>
        <w:t xml:space="preserve"> (200</w:t>
      </w:r>
      <w:r w:rsidR="00ED49D4">
        <w:t>9</w:t>
      </w:r>
      <w:r>
        <w:t>)</w:t>
      </w:r>
      <w:r w:rsidR="00FA009F">
        <w:rPr>
          <w:rStyle w:val="FootnoteReference"/>
        </w:rPr>
        <w:footnoteReference w:id="32"/>
      </w:r>
      <w:r>
        <w:t xml:space="preserve"> as that most likely representative of prevalence of </w:t>
      </w:r>
      <w:r w:rsidR="00794935">
        <w:t xml:space="preserve">heritable </w:t>
      </w:r>
      <w:r w:rsidRPr="00124440">
        <w:rPr>
          <w:i/>
          <w:iCs/>
        </w:rPr>
        <w:t>TP53</w:t>
      </w:r>
      <w:r w:rsidR="00794935">
        <w:t>-related cancer syndrome in the Australian population</w:t>
      </w:r>
      <w:r w:rsidR="00C04AA8">
        <w:t xml:space="preserve"> (based on Question 49 of the application)</w:t>
      </w:r>
      <w:r w:rsidR="00794935">
        <w:t xml:space="preserve">. These estimates are </w:t>
      </w:r>
      <w:r w:rsidR="00BA1955">
        <w:t>higher but</w:t>
      </w:r>
      <w:r w:rsidR="00794935">
        <w:t xml:space="preserve"> </w:t>
      </w:r>
      <w:r w:rsidR="00BA1955">
        <w:t>a</w:t>
      </w:r>
      <w:r w:rsidR="00794935">
        <w:t xml:space="preserve">re presented to </w:t>
      </w:r>
      <w:r w:rsidR="00C04AA8">
        <w:t xml:space="preserve">validate the estimates provided in the application and to </w:t>
      </w:r>
      <w:r w:rsidR="00794935">
        <w:t xml:space="preserve">provide information </w:t>
      </w:r>
      <w:r w:rsidR="00794935">
        <w:lastRenderedPageBreak/>
        <w:t xml:space="preserve">about the financial implications </w:t>
      </w:r>
      <w:r w:rsidR="00BA1955">
        <w:t>if the population is greater than estimated in the application</w:t>
      </w:r>
      <w:r w:rsidR="00C919D5">
        <w:t xml:space="preserve">, see </w:t>
      </w:r>
      <w:r w:rsidR="00C919D5">
        <w:fldChar w:fldCharType="begin"/>
      </w:r>
      <w:r w:rsidR="00C919D5">
        <w:instrText xml:space="preserve"> REF _Ref102443349 \h </w:instrText>
      </w:r>
      <w:r w:rsidR="00C919D5">
        <w:fldChar w:fldCharType="separate"/>
      </w:r>
      <w:r w:rsidR="00822248">
        <w:t xml:space="preserve">Table </w:t>
      </w:r>
      <w:r w:rsidR="00822248">
        <w:rPr>
          <w:noProof/>
        </w:rPr>
        <w:t>15</w:t>
      </w:r>
      <w:r w:rsidR="00C919D5">
        <w:fldChar w:fldCharType="end"/>
      </w:r>
      <w:r w:rsidR="00BA1955">
        <w:t>.</w:t>
      </w:r>
    </w:p>
    <w:p w14:paraId="5F6E1631" w14:textId="28CBC2A6" w:rsidR="00F77D81" w:rsidRDefault="00F77D81" w:rsidP="00705109">
      <w:pPr>
        <w:pStyle w:val="Caption"/>
        <w:spacing w:before="240"/>
      </w:pPr>
      <w:bookmarkStart w:id="34" w:name="_Ref69726382"/>
      <w:r w:rsidRPr="00CE28E3">
        <w:t>Table</w:t>
      </w:r>
      <w:r>
        <w:t> </w:t>
      </w:r>
      <w:r w:rsidR="0067109A">
        <w:fldChar w:fldCharType="begin"/>
      </w:r>
      <w:r w:rsidR="0067109A">
        <w:instrText xml:space="preserve"> SEQ Table \* ARABIC </w:instrText>
      </w:r>
      <w:r w:rsidR="0067109A">
        <w:fldChar w:fldCharType="separate"/>
      </w:r>
      <w:r w:rsidR="00822248">
        <w:rPr>
          <w:noProof/>
        </w:rPr>
        <w:t>14</w:t>
      </w:r>
      <w:r w:rsidR="0067109A">
        <w:rPr>
          <w:noProof/>
        </w:rPr>
        <w:fldChar w:fldCharType="end"/>
      </w:r>
      <w:bookmarkEnd w:id="34"/>
      <w:r w:rsidRPr="00CE28E3">
        <w:tab/>
        <w:t xml:space="preserve">Net financial implications of </w:t>
      </w:r>
      <w:r>
        <w:t>WBMRI</w:t>
      </w:r>
      <w:r w:rsidRPr="00CE28E3">
        <w:t xml:space="preserve"> to the </w:t>
      </w:r>
      <w:r>
        <w:t>MBS</w:t>
      </w:r>
      <w:r w:rsidR="00BA1955">
        <w:t>—first financial analysis</w:t>
      </w:r>
    </w:p>
    <w:tbl>
      <w:tblPr>
        <w:tblStyle w:val="TableGrid1"/>
        <w:tblW w:w="0" w:type="auto"/>
        <w:tblCellMar>
          <w:left w:w="28" w:type="dxa"/>
          <w:right w:w="28" w:type="dxa"/>
        </w:tblCellMar>
        <w:tblLook w:val="04A0" w:firstRow="1" w:lastRow="0" w:firstColumn="1" w:lastColumn="0" w:noHBand="0" w:noVBand="1"/>
      </w:tblPr>
      <w:tblGrid>
        <w:gridCol w:w="1555"/>
        <w:gridCol w:w="872"/>
        <w:gridCol w:w="849"/>
        <w:gridCol w:w="849"/>
        <w:gridCol w:w="850"/>
        <w:gridCol w:w="849"/>
        <w:gridCol w:w="850"/>
        <w:gridCol w:w="2342"/>
      </w:tblGrid>
      <w:tr w:rsidR="00CA538D" w:rsidRPr="00123262" w14:paraId="2678563D" w14:textId="77777777" w:rsidTr="00051B50">
        <w:trPr>
          <w:cnfStyle w:val="100000000000" w:firstRow="1" w:lastRow="0" w:firstColumn="0" w:lastColumn="0" w:oddVBand="0" w:evenVBand="0" w:oddHBand="0" w:evenHBand="0" w:firstRowFirstColumn="0" w:firstRowLastColumn="0" w:lastRowFirstColumn="0" w:lastRowLastColumn="0"/>
        </w:trPr>
        <w:tc>
          <w:tcPr>
            <w:tcW w:w="1555" w:type="dxa"/>
            <w:vAlign w:val="center"/>
          </w:tcPr>
          <w:p w14:paraId="239FA9F2" w14:textId="77777777" w:rsidR="00CA538D" w:rsidRPr="00123262" w:rsidRDefault="00CA538D" w:rsidP="00051B50">
            <w:pPr>
              <w:pStyle w:val="Tabletext0"/>
              <w:keepNext/>
              <w:jc w:val="left"/>
              <w:rPr>
                <w:b/>
                <w:bCs/>
              </w:rPr>
            </w:pPr>
          </w:p>
        </w:tc>
        <w:tc>
          <w:tcPr>
            <w:tcW w:w="872" w:type="dxa"/>
            <w:vAlign w:val="center"/>
          </w:tcPr>
          <w:p w14:paraId="3F477EDB" w14:textId="77777777" w:rsidR="00CA538D" w:rsidRPr="00123262" w:rsidRDefault="00CA538D" w:rsidP="00051B50">
            <w:pPr>
              <w:pStyle w:val="Tabletext0"/>
              <w:keepNext/>
              <w:jc w:val="center"/>
              <w:rPr>
                <w:b/>
                <w:bCs/>
              </w:rPr>
            </w:pPr>
            <w:r w:rsidRPr="00123262">
              <w:rPr>
                <w:b/>
                <w:bCs/>
              </w:rPr>
              <w:t>2021-22</w:t>
            </w:r>
          </w:p>
        </w:tc>
        <w:tc>
          <w:tcPr>
            <w:tcW w:w="849" w:type="dxa"/>
            <w:vAlign w:val="center"/>
          </w:tcPr>
          <w:p w14:paraId="34DA7E83" w14:textId="77777777" w:rsidR="00CA538D" w:rsidRPr="00123262" w:rsidRDefault="00CA538D" w:rsidP="00051B50">
            <w:pPr>
              <w:pStyle w:val="Tabletext0"/>
              <w:keepNext/>
              <w:jc w:val="center"/>
              <w:rPr>
                <w:b/>
                <w:bCs/>
              </w:rPr>
            </w:pPr>
            <w:r w:rsidRPr="00123262">
              <w:rPr>
                <w:b/>
                <w:bCs/>
              </w:rPr>
              <w:t>2022-23</w:t>
            </w:r>
          </w:p>
        </w:tc>
        <w:tc>
          <w:tcPr>
            <w:tcW w:w="849" w:type="dxa"/>
            <w:vAlign w:val="center"/>
          </w:tcPr>
          <w:p w14:paraId="3D343118" w14:textId="77777777" w:rsidR="00CA538D" w:rsidRPr="00123262" w:rsidRDefault="00CA538D" w:rsidP="00051B50">
            <w:pPr>
              <w:pStyle w:val="Tabletext0"/>
              <w:keepNext/>
              <w:jc w:val="center"/>
              <w:rPr>
                <w:b/>
                <w:bCs/>
              </w:rPr>
            </w:pPr>
            <w:r w:rsidRPr="00123262">
              <w:rPr>
                <w:b/>
                <w:bCs/>
              </w:rPr>
              <w:t>2023-24</w:t>
            </w:r>
          </w:p>
        </w:tc>
        <w:tc>
          <w:tcPr>
            <w:tcW w:w="850" w:type="dxa"/>
            <w:vAlign w:val="center"/>
          </w:tcPr>
          <w:p w14:paraId="164C46D4" w14:textId="77777777" w:rsidR="00CA538D" w:rsidRPr="00123262" w:rsidRDefault="00CA538D" w:rsidP="00051B50">
            <w:pPr>
              <w:pStyle w:val="Tabletext0"/>
              <w:keepNext/>
              <w:jc w:val="center"/>
              <w:rPr>
                <w:b/>
                <w:bCs/>
              </w:rPr>
            </w:pPr>
            <w:r w:rsidRPr="00123262">
              <w:rPr>
                <w:b/>
                <w:bCs/>
              </w:rPr>
              <w:t>2024-25</w:t>
            </w:r>
          </w:p>
        </w:tc>
        <w:tc>
          <w:tcPr>
            <w:tcW w:w="849" w:type="dxa"/>
            <w:vAlign w:val="center"/>
          </w:tcPr>
          <w:p w14:paraId="0745F615" w14:textId="77777777" w:rsidR="00CA538D" w:rsidRPr="00123262" w:rsidRDefault="00CA538D" w:rsidP="00051B50">
            <w:pPr>
              <w:pStyle w:val="Tabletext0"/>
              <w:keepNext/>
              <w:jc w:val="center"/>
              <w:rPr>
                <w:b/>
                <w:bCs/>
              </w:rPr>
            </w:pPr>
            <w:r w:rsidRPr="00123262">
              <w:rPr>
                <w:b/>
                <w:bCs/>
              </w:rPr>
              <w:t>2025-26</w:t>
            </w:r>
          </w:p>
        </w:tc>
        <w:tc>
          <w:tcPr>
            <w:tcW w:w="850" w:type="dxa"/>
            <w:vAlign w:val="center"/>
          </w:tcPr>
          <w:p w14:paraId="21FE268C" w14:textId="77777777" w:rsidR="00CA538D" w:rsidRPr="00123262" w:rsidRDefault="00CA538D" w:rsidP="00051B50">
            <w:pPr>
              <w:pStyle w:val="Tabletext0"/>
              <w:keepNext/>
              <w:jc w:val="center"/>
              <w:rPr>
                <w:b/>
                <w:bCs/>
              </w:rPr>
            </w:pPr>
            <w:r w:rsidRPr="00123262">
              <w:rPr>
                <w:b/>
                <w:bCs/>
              </w:rPr>
              <w:t>2026-27</w:t>
            </w:r>
          </w:p>
        </w:tc>
        <w:tc>
          <w:tcPr>
            <w:tcW w:w="2342" w:type="dxa"/>
            <w:vAlign w:val="center"/>
          </w:tcPr>
          <w:p w14:paraId="2E199510" w14:textId="77777777" w:rsidR="00CA538D" w:rsidRPr="00124440" w:rsidRDefault="00CA538D" w:rsidP="00051B50">
            <w:pPr>
              <w:pStyle w:val="Tabletext0"/>
              <w:keepNext/>
              <w:jc w:val="center"/>
            </w:pPr>
          </w:p>
        </w:tc>
      </w:tr>
      <w:tr w:rsidR="00CA538D" w:rsidRPr="00123262" w14:paraId="0C6A70B8" w14:textId="77777777" w:rsidTr="00051B50">
        <w:tc>
          <w:tcPr>
            <w:tcW w:w="1555" w:type="dxa"/>
            <w:vAlign w:val="center"/>
          </w:tcPr>
          <w:p w14:paraId="71912A50" w14:textId="114893F3" w:rsidR="00CA538D" w:rsidRDefault="00CA538D" w:rsidP="00051B50">
            <w:pPr>
              <w:pStyle w:val="Tabletext0"/>
              <w:keepNext/>
              <w:jc w:val="left"/>
            </w:pPr>
            <w:r w:rsidRPr="00124440">
              <w:t>Population</w:t>
            </w:r>
          </w:p>
          <w:p w14:paraId="69113C31" w14:textId="77777777" w:rsidR="00CA538D" w:rsidRPr="00124440" w:rsidRDefault="00CA538D" w:rsidP="00051B50">
            <w:pPr>
              <w:pStyle w:val="Tabletext0"/>
              <w:keepNext/>
              <w:jc w:val="left"/>
            </w:pPr>
            <w:r>
              <w:t>(≥18 years)</w:t>
            </w:r>
            <w:r>
              <w:br/>
              <w:t>&lt;18 years</w:t>
            </w:r>
          </w:p>
        </w:tc>
        <w:tc>
          <w:tcPr>
            <w:tcW w:w="872" w:type="dxa"/>
            <w:vAlign w:val="center"/>
          </w:tcPr>
          <w:p w14:paraId="553F0AD4" w14:textId="77777777" w:rsidR="00CA538D" w:rsidRDefault="00CA538D" w:rsidP="00051B50">
            <w:pPr>
              <w:pStyle w:val="Tabletext0"/>
              <w:keepNext/>
              <w:jc w:val="center"/>
            </w:pPr>
          </w:p>
          <w:p w14:paraId="6E8F377C" w14:textId="77777777" w:rsidR="00CA538D" w:rsidRPr="00124440" w:rsidRDefault="00CA538D" w:rsidP="00051B50">
            <w:pPr>
              <w:pStyle w:val="Tabletext0"/>
              <w:keepNext/>
              <w:jc w:val="center"/>
            </w:pPr>
            <w:r w:rsidRPr="00124440">
              <w:t>250</w:t>
            </w:r>
            <w:r>
              <w:br/>
              <w:t>80</w:t>
            </w:r>
          </w:p>
        </w:tc>
        <w:tc>
          <w:tcPr>
            <w:tcW w:w="849" w:type="dxa"/>
            <w:vAlign w:val="center"/>
          </w:tcPr>
          <w:p w14:paraId="07509366" w14:textId="77777777" w:rsidR="00CA538D" w:rsidRDefault="00CA538D" w:rsidP="00051B50">
            <w:pPr>
              <w:pStyle w:val="Tabletext0"/>
              <w:keepNext/>
              <w:jc w:val="center"/>
            </w:pPr>
          </w:p>
          <w:p w14:paraId="39337391" w14:textId="68ABF86B" w:rsidR="00CA538D" w:rsidRPr="00124440" w:rsidRDefault="00CA538D" w:rsidP="00051B50">
            <w:pPr>
              <w:pStyle w:val="Tabletext0"/>
              <w:keepNext/>
              <w:jc w:val="center"/>
            </w:pPr>
            <w:r w:rsidRPr="00124440">
              <w:t>2</w:t>
            </w:r>
            <w:r w:rsidR="00813F99">
              <w:t>75</w:t>
            </w:r>
            <w:r>
              <w:br/>
              <w:t>8</w:t>
            </w:r>
            <w:r w:rsidR="005A49E1">
              <w:t>8</w:t>
            </w:r>
          </w:p>
        </w:tc>
        <w:tc>
          <w:tcPr>
            <w:tcW w:w="849" w:type="dxa"/>
            <w:vAlign w:val="center"/>
          </w:tcPr>
          <w:p w14:paraId="05E54E68" w14:textId="77777777" w:rsidR="00CA538D" w:rsidRDefault="00CA538D" w:rsidP="00051B50">
            <w:pPr>
              <w:pStyle w:val="Tabletext0"/>
              <w:keepNext/>
              <w:jc w:val="center"/>
            </w:pPr>
          </w:p>
          <w:p w14:paraId="48FD9F42" w14:textId="6C4FBE47" w:rsidR="00CA538D" w:rsidRPr="00124440" w:rsidRDefault="005A49E1" w:rsidP="00051B50">
            <w:pPr>
              <w:pStyle w:val="Tabletext0"/>
              <w:keepNext/>
              <w:jc w:val="center"/>
            </w:pPr>
            <w:r>
              <w:t>302</w:t>
            </w:r>
            <w:r w:rsidR="00CA538D">
              <w:br/>
            </w:r>
            <w:r>
              <w:t>97</w:t>
            </w:r>
          </w:p>
        </w:tc>
        <w:tc>
          <w:tcPr>
            <w:tcW w:w="850" w:type="dxa"/>
            <w:vAlign w:val="center"/>
          </w:tcPr>
          <w:p w14:paraId="44D378A6" w14:textId="77777777" w:rsidR="00CA538D" w:rsidRDefault="00CA538D" w:rsidP="00051B50">
            <w:pPr>
              <w:pStyle w:val="Tabletext0"/>
              <w:keepNext/>
              <w:jc w:val="center"/>
            </w:pPr>
          </w:p>
          <w:p w14:paraId="7FC851B1" w14:textId="1D93335A" w:rsidR="00CA538D" w:rsidRPr="00124440" w:rsidRDefault="005A49E1" w:rsidP="00051B50">
            <w:pPr>
              <w:pStyle w:val="Tabletext0"/>
              <w:keepNext/>
              <w:jc w:val="center"/>
            </w:pPr>
            <w:r>
              <w:t>333</w:t>
            </w:r>
            <w:r w:rsidR="00CA538D">
              <w:br/>
            </w:r>
            <w:r>
              <w:t>106</w:t>
            </w:r>
          </w:p>
        </w:tc>
        <w:tc>
          <w:tcPr>
            <w:tcW w:w="849" w:type="dxa"/>
            <w:vAlign w:val="center"/>
          </w:tcPr>
          <w:p w14:paraId="42F2E7E4" w14:textId="77777777" w:rsidR="00CA538D" w:rsidRDefault="00CA538D" w:rsidP="00051B50">
            <w:pPr>
              <w:pStyle w:val="Tabletext0"/>
              <w:keepNext/>
              <w:jc w:val="center"/>
            </w:pPr>
          </w:p>
          <w:p w14:paraId="7BB6E194" w14:textId="4DB0CDF3" w:rsidR="00CA538D" w:rsidRPr="00124440" w:rsidRDefault="005A49E1" w:rsidP="00051B50">
            <w:pPr>
              <w:pStyle w:val="Tabletext0"/>
              <w:keepNext/>
              <w:jc w:val="center"/>
            </w:pPr>
            <w:r>
              <w:t>366</w:t>
            </w:r>
            <w:r w:rsidR="00CA538D">
              <w:br/>
            </w:r>
            <w:r>
              <w:t>117</w:t>
            </w:r>
          </w:p>
        </w:tc>
        <w:tc>
          <w:tcPr>
            <w:tcW w:w="850" w:type="dxa"/>
            <w:vAlign w:val="center"/>
          </w:tcPr>
          <w:p w14:paraId="31F8DD1B" w14:textId="77777777" w:rsidR="00CA538D" w:rsidRDefault="00CA538D" w:rsidP="00051B50">
            <w:pPr>
              <w:pStyle w:val="Tabletext0"/>
              <w:keepNext/>
              <w:jc w:val="center"/>
            </w:pPr>
          </w:p>
          <w:p w14:paraId="334735D8" w14:textId="4960B53B" w:rsidR="00CA538D" w:rsidRPr="00124440" w:rsidRDefault="005A49E1" w:rsidP="00051B50">
            <w:pPr>
              <w:pStyle w:val="Tabletext0"/>
              <w:keepNext/>
              <w:jc w:val="center"/>
            </w:pPr>
            <w:r>
              <w:t>403</w:t>
            </w:r>
            <w:r w:rsidR="00CA538D">
              <w:br/>
            </w:r>
            <w:r>
              <w:t>139</w:t>
            </w:r>
          </w:p>
        </w:tc>
        <w:tc>
          <w:tcPr>
            <w:tcW w:w="2342" w:type="dxa"/>
            <w:vAlign w:val="center"/>
          </w:tcPr>
          <w:p w14:paraId="4DE95B90" w14:textId="77777777" w:rsidR="00CA538D" w:rsidRPr="00124440" w:rsidRDefault="00CA538D" w:rsidP="00051B50">
            <w:pPr>
              <w:pStyle w:val="Tabletext0"/>
              <w:keepNext/>
              <w:jc w:val="center"/>
            </w:pPr>
            <w:r w:rsidRPr="00124440">
              <w:t>Application</w:t>
            </w:r>
          </w:p>
        </w:tc>
      </w:tr>
      <w:tr w:rsidR="00CA538D" w:rsidRPr="00123262" w14:paraId="24D301CD" w14:textId="77777777" w:rsidTr="00051B50">
        <w:tc>
          <w:tcPr>
            <w:tcW w:w="1555" w:type="dxa"/>
            <w:vAlign w:val="center"/>
          </w:tcPr>
          <w:p w14:paraId="6A72E84E" w14:textId="4A17E211" w:rsidR="00CA538D" w:rsidRPr="00124440" w:rsidRDefault="00CA538D" w:rsidP="00051B50">
            <w:pPr>
              <w:pStyle w:val="Tabletext0"/>
              <w:keepNext/>
              <w:jc w:val="left"/>
            </w:pPr>
            <w:r w:rsidRPr="00124440">
              <w:t>Population growth</w:t>
            </w:r>
          </w:p>
        </w:tc>
        <w:tc>
          <w:tcPr>
            <w:tcW w:w="872" w:type="dxa"/>
            <w:vAlign w:val="center"/>
          </w:tcPr>
          <w:p w14:paraId="5546F1A5" w14:textId="77777777" w:rsidR="00CA538D" w:rsidRPr="00123262" w:rsidRDefault="00CA538D" w:rsidP="00051B50">
            <w:pPr>
              <w:pStyle w:val="Tabletext0"/>
              <w:keepNext/>
              <w:jc w:val="center"/>
              <w:rPr>
                <w:b/>
                <w:bCs/>
              </w:rPr>
            </w:pPr>
            <w:r>
              <w:rPr>
                <w:b/>
                <w:bCs/>
              </w:rPr>
              <w:t>0</w:t>
            </w:r>
          </w:p>
        </w:tc>
        <w:tc>
          <w:tcPr>
            <w:tcW w:w="849" w:type="dxa"/>
            <w:vAlign w:val="center"/>
          </w:tcPr>
          <w:p w14:paraId="1DB123B4" w14:textId="77777777" w:rsidR="00CA538D" w:rsidRPr="00123262" w:rsidRDefault="00CA538D" w:rsidP="00051B50">
            <w:pPr>
              <w:pStyle w:val="Tabletext0"/>
              <w:keepNext/>
              <w:jc w:val="center"/>
              <w:rPr>
                <w:b/>
                <w:bCs/>
              </w:rPr>
            </w:pPr>
            <w:r>
              <w:rPr>
                <w:b/>
                <w:bCs/>
              </w:rPr>
              <w:t>0.1</w:t>
            </w:r>
          </w:p>
        </w:tc>
        <w:tc>
          <w:tcPr>
            <w:tcW w:w="849" w:type="dxa"/>
            <w:vAlign w:val="center"/>
          </w:tcPr>
          <w:p w14:paraId="2FB38549" w14:textId="77777777" w:rsidR="00CA538D" w:rsidRPr="00123262" w:rsidRDefault="00CA538D" w:rsidP="00051B50">
            <w:pPr>
              <w:pStyle w:val="Tabletext0"/>
              <w:keepNext/>
              <w:jc w:val="center"/>
              <w:rPr>
                <w:b/>
                <w:bCs/>
              </w:rPr>
            </w:pPr>
            <w:r>
              <w:rPr>
                <w:b/>
                <w:bCs/>
              </w:rPr>
              <w:t>0.1</w:t>
            </w:r>
          </w:p>
        </w:tc>
        <w:tc>
          <w:tcPr>
            <w:tcW w:w="850" w:type="dxa"/>
            <w:vAlign w:val="center"/>
          </w:tcPr>
          <w:p w14:paraId="150D13A5" w14:textId="77777777" w:rsidR="00CA538D" w:rsidRPr="00123262" w:rsidRDefault="00CA538D" w:rsidP="00051B50">
            <w:pPr>
              <w:pStyle w:val="Tabletext0"/>
              <w:keepNext/>
              <w:jc w:val="center"/>
              <w:rPr>
                <w:b/>
                <w:bCs/>
              </w:rPr>
            </w:pPr>
            <w:r>
              <w:rPr>
                <w:b/>
                <w:bCs/>
              </w:rPr>
              <w:t>0.1</w:t>
            </w:r>
          </w:p>
        </w:tc>
        <w:tc>
          <w:tcPr>
            <w:tcW w:w="849" w:type="dxa"/>
            <w:vAlign w:val="center"/>
          </w:tcPr>
          <w:p w14:paraId="31B7576A" w14:textId="77777777" w:rsidR="00CA538D" w:rsidRPr="00123262" w:rsidRDefault="00CA538D" w:rsidP="00051B50">
            <w:pPr>
              <w:pStyle w:val="Tabletext0"/>
              <w:keepNext/>
              <w:jc w:val="center"/>
              <w:rPr>
                <w:b/>
                <w:bCs/>
              </w:rPr>
            </w:pPr>
            <w:r>
              <w:rPr>
                <w:b/>
                <w:bCs/>
              </w:rPr>
              <w:t>0.1</w:t>
            </w:r>
          </w:p>
        </w:tc>
        <w:tc>
          <w:tcPr>
            <w:tcW w:w="850" w:type="dxa"/>
            <w:vAlign w:val="center"/>
          </w:tcPr>
          <w:p w14:paraId="61A1595E" w14:textId="77777777" w:rsidR="00CA538D" w:rsidRPr="00123262" w:rsidRDefault="00CA538D" w:rsidP="00051B50">
            <w:pPr>
              <w:pStyle w:val="Tabletext0"/>
              <w:keepNext/>
              <w:jc w:val="center"/>
              <w:rPr>
                <w:b/>
                <w:bCs/>
              </w:rPr>
            </w:pPr>
            <w:r>
              <w:rPr>
                <w:b/>
                <w:bCs/>
              </w:rPr>
              <w:t>0.1</w:t>
            </w:r>
          </w:p>
        </w:tc>
        <w:tc>
          <w:tcPr>
            <w:tcW w:w="2342" w:type="dxa"/>
            <w:vAlign w:val="center"/>
          </w:tcPr>
          <w:p w14:paraId="05EE5F84" w14:textId="77777777" w:rsidR="00CA538D" w:rsidRPr="00124440" w:rsidRDefault="00CA538D" w:rsidP="00051B50">
            <w:pPr>
              <w:pStyle w:val="Tabletext0"/>
              <w:keepNext/>
              <w:jc w:val="center"/>
            </w:pPr>
            <w:r w:rsidRPr="00124440">
              <w:t>10% growth (estimate)</w:t>
            </w:r>
          </w:p>
        </w:tc>
      </w:tr>
      <w:tr w:rsidR="00CA538D" w:rsidRPr="00123262" w14:paraId="599FA590" w14:textId="77777777" w:rsidTr="00051B50">
        <w:tc>
          <w:tcPr>
            <w:tcW w:w="1555" w:type="dxa"/>
            <w:vAlign w:val="center"/>
          </w:tcPr>
          <w:p w14:paraId="4DF8EDD0" w14:textId="1712DF94" w:rsidR="00CA538D" w:rsidRPr="00124440" w:rsidRDefault="00CA538D" w:rsidP="00051B50">
            <w:pPr>
              <w:pStyle w:val="Tabletext0"/>
              <w:keepNext/>
              <w:jc w:val="left"/>
            </w:pPr>
            <w:r w:rsidRPr="00124440">
              <w:t>Total population</w:t>
            </w:r>
          </w:p>
        </w:tc>
        <w:tc>
          <w:tcPr>
            <w:tcW w:w="872" w:type="dxa"/>
          </w:tcPr>
          <w:p w14:paraId="61C82452" w14:textId="77777777" w:rsidR="00CA538D" w:rsidRPr="00123262" w:rsidRDefault="00CA538D" w:rsidP="00051B50">
            <w:pPr>
              <w:pStyle w:val="Tabletext0"/>
              <w:keepNext/>
              <w:jc w:val="center"/>
              <w:rPr>
                <w:b/>
                <w:bCs/>
              </w:rPr>
            </w:pPr>
            <w:r>
              <w:t>330</w:t>
            </w:r>
          </w:p>
        </w:tc>
        <w:tc>
          <w:tcPr>
            <w:tcW w:w="849" w:type="dxa"/>
          </w:tcPr>
          <w:p w14:paraId="56263CDF" w14:textId="77777777" w:rsidR="00CA538D" w:rsidRPr="00123262" w:rsidRDefault="00CA538D" w:rsidP="00051B50">
            <w:pPr>
              <w:pStyle w:val="Tabletext0"/>
              <w:keepNext/>
              <w:jc w:val="center"/>
              <w:rPr>
                <w:b/>
                <w:bCs/>
              </w:rPr>
            </w:pPr>
            <w:r>
              <w:t>363</w:t>
            </w:r>
          </w:p>
        </w:tc>
        <w:tc>
          <w:tcPr>
            <w:tcW w:w="849" w:type="dxa"/>
          </w:tcPr>
          <w:p w14:paraId="13FA241C" w14:textId="77777777" w:rsidR="00CA538D" w:rsidRPr="00123262" w:rsidRDefault="00CA538D" w:rsidP="00051B50">
            <w:pPr>
              <w:pStyle w:val="Tabletext0"/>
              <w:keepNext/>
              <w:jc w:val="center"/>
              <w:rPr>
                <w:b/>
                <w:bCs/>
              </w:rPr>
            </w:pPr>
            <w:r w:rsidRPr="00C76516">
              <w:t>399</w:t>
            </w:r>
          </w:p>
        </w:tc>
        <w:tc>
          <w:tcPr>
            <w:tcW w:w="850" w:type="dxa"/>
          </w:tcPr>
          <w:p w14:paraId="7E480BA0" w14:textId="77777777" w:rsidR="00CA538D" w:rsidRPr="00123262" w:rsidRDefault="00CA538D" w:rsidP="00051B50">
            <w:pPr>
              <w:pStyle w:val="Tabletext0"/>
              <w:keepNext/>
              <w:jc w:val="center"/>
              <w:rPr>
                <w:b/>
                <w:bCs/>
              </w:rPr>
            </w:pPr>
            <w:r w:rsidRPr="00C76516">
              <w:t>439</w:t>
            </w:r>
          </w:p>
        </w:tc>
        <w:tc>
          <w:tcPr>
            <w:tcW w:w="849" w:type="dxa"/>
          </w:tcPr>
          <w:p w14:paraId="2CF307F1" w14:textId="77777777" w:rsidR="00CA538D" w:rsidRPr="00123262" w:rsidRDefault="00CA538D" w:rsidP="00051B50">
            <w:pPr>
              <w:pStyle w:val="Tabletext0"/>
              <w:keepNext/>
              <w:jc w:val="center"/>
              <w:rPr>
                <w:b/>
                <w:bCs/>
              </w:rPr>
            </w:pPr>
            <w:r w:rsidRPr="00C76516">
              <w:t>483</w:t>
            </w:r>
          </w:p>
        </w:tc>
        <w:tc>
          <w:tcPr>
            <w:tcW w:w="850" w:type="dxa"/>
          </w:tcPr>
          <w:p w14:paraId="0284641F" w14:textId="77777777" w:rsidR="00CA538D" w:rsidRPr="00123262" w:rsidRDefault="00CA538D" w:rsidP="00051B50">
            <w:pPr>
              <w:pStyle w:val="Tabletext0"/>
              <w:keepNext/>
              <w:jc w:val="center"/>
              <w:rPr>
                <w:b/>
                <w:bCs/>
              </w:rPr>
            </w:pPr>
            <w:r w:rsidRPr="00C76516">
              <w:t>531</w:t>
            </w:r>
          </w:p>
        </w:tc>
        <w:tc>
          <w:tcPr>
            <w:tcW w:w="2342" w:type="dxa"/>
            <w:vAlign w:val="center"/>
          </w:tcPr>
          <w:p w14:paraId="2C01BC40" w14:textId="77777777" w:rsidR="00CA538D" w:rsidRPr="00124440" w:rsidRDefault="00CA538D" w:rsidP="00051B50">
            <w:pPr>
              <w:pStyle w:val="Tabletext0"/>
              <w:keepNext/>
              <w:jc w:val="center"/>
            </w:pPr>
          </w:p>
        </w:tc>
      </w:tr>
      <w:tr w:rsidR="00CA538D" w:rsidRPr="00123262" w14:paraId="525988B7" w14:textId="77777777" w:rsidTr="00051B50">
        <w:tc>
          <w:tcPr>
            <w:tcW w:w="1555" w:type="dxa"/>
            <w:vAlign w:val="center"/>
          </w:tcPr>
          <w:p w14:paraId="5C9F6CA3" w14:textId="603CC9B4" w:rsidR="00CA538D" w:rsidRPr="00124440" w:rsidRDefault="00CA538D" w:rsidP="00051B50">
            <w:pPr>
              <w:pStyle w:val="Tabletext0"/>
              <w:keepNext/>
              <w:jc w:val="left"/>
            </w:pPr>
            <w:r w:rsidRPr="00124440">
              <w:t>Cost</w:t>
            </w:r>
          </w:p>
        </w:tc>
        <w:tc>
          <w:tcPr>
            <w:tcW w:w="872" w:type="dxa"/>
          </w:tcPr>
          <w:p w14:paraId="6B17958F" w14:textId="5C76EDE5" w:rsidR="00CA538D" w:rsidRPr="00566837" w:rsidRDefault="00CA538D" w:rsidP="00051B50">
            <w:pPr>
              <w:pStyle w:val="Tabletext0"/>
              <w:keepNext/>
              <w:jc w:val="center"/>
            </w:pPr>
            <w:r w:rsidRPr="00472049">
              <w:t>$495,000</w:t>
            </w:r>
          </w:p>
        </w:tc>
        <w:tc>
          <w:tcPr>
            <w:tcW w:w="849" w:type="dxa"/>
          </w:tcPr>
          <w:p w14:paraId="02D181D1" w14:textId="36F4012C" w:rsidR="00CA538D" w:rsidRPr="00566837" w:rsidRDefault="00CA538D" w:rsidP="00051B50">
            <w:pPr>
              <w:pStyle w:val="Tabletext0"/>
              <w:keepNext/>
              <w:jc w:val="center"/>
            </w:pPr>
            <w:r w:rsidRPr="00472049">
              <w:t>$544,500</w:t>
            </w:r>
          </w:p>
        </w:tc>
        <w:tc>
          <w:tcPr>
            <w:tcW w:w="849" w:type="dxa"/>
          </w:tcPr>
          <w:p w14:paraId="3A6DF3EF" w14:textId="5AB68475" w:rsidR="00CA538D" w:rsidRPr="00566837" w:rsidRDefault="00CA538D" w:rsidP="00051B50">
            <w:pPr>
              <w:pStyle w:val="Tabletext0"/>
              <w:keepNext/>
              <w:jc w:val="center"/>
            </w:pPr>
            <w:r w:rsidRPr="00472049">
              <w:t>$598,950</w:t>
            </w:r>
          </w:p>
        </w:tc>
        <w:tc>
          <w:tcPr>
            <w:tcW w:w="850" w:type="dxa"/>
          </w:tcPr>
          <w:p w14:paraId="2733FCD5" w14:textId="6C8B1E79" w:rsidR="00CA538D" w:rsidRPr="00566837" w:rsidRDefault="00CA538D" w:rsidP="00051B50">
            <w:pPr>
              <w:pStyle w:val="Tabletext0"/>
              <w:keepNext/>
              <w:jc w:val="center"/>
            </w:pPr>
            <w:r w:rsidRPr="00472049">
              <w:t>$658,845</w:t>
            </w:r>
          </w:p>
        </w:tc>
        <w:tc>
          <w:tcPr>
            <w:tcW w:w="849" w:type="dxa"/>
          </w:tcPr>
          <w:p w14:paraId="10773C2B" w14:textId="64EE7D4B" w:rsidR="00CA538D" w:rsidRPr="00566837" w:rsidRDefault="00CA538D" w:rsidP="00051B50">
            <w:pPr>
              <w:pStyle w:val="Tabletext0"/>
              <w:keepNext/>
              <w:jc w:val="center"/>
            </w:pPr>
            <w:r w:rsidRPr="00472049">
              <w:t>$724,730</w:t>
            </w:r>
          </w:p>
        </w:tc>
        <w:tc>
          <w:tcPr>
            <w:tcW w:w="850" w:type="dxa"/>
          </w:tcPr>
          <w:p w14:paraId="494BE75B" w14:textId="1BBDB26A" w:rsidR="00CA538D" w:rsidRPr="00566837" w:rsidRDefault="00CA538D" w:rsidP="00051B50">
            <w:pPr>
              <w:pStyle w:val="Tabletext0"/>
              <w:keepNext/>
              <w:jc w:val="center"/>
            </w:pPr>
            <w:r w:rsidRPr="00472049">
              <w:t>$797,202</w:t>
            </w:r>
          </w:p>
        </w:tc>
        <w:tc>
          <w:tcPr>
            <w:tcW w:w="2342" w:type="dxa"/>
            <w:vAlign w:val="center"/>
          </w:tcPr>
          <w:p w14:paraId="7FF76E90" w14:textId="77777777" w:rsidR="00CA538D" w:rsidRPr="00124440" w:rsidRDefault="00CA538D" w:rsidP="00051B50">
            <w:pPr>
              <w:pStyle w:val="Tabletext0"/>
              <w:keepNext/>
              <w:jc w:val="center"/>
            </w:pPr>
            <w:r w:rsidRPr="00124440">
              <w:t>MBS fee $1500</w:t>
            </w:r>
          </w:p>
        </w:tc>
      </w:tr>
      <w:tr w:rsidR="00CA538D" w:rsidRPr="00360992" w14:paraId="04831185" w14:textId="77777777" w:rsidTr="00051B50">
        <w:tc>
          <w:tcPr>
            <w:tcW w:w="1555" w:type="dxa"/>
            <w:vAlign w:val="center"/>
          </w:tcPr>
          <w:p w14:paraId="4FDEBECE" w14:textId="001928BF" w:rsidR="00CA538D" w:rsidRPr="000B5FFC" w:rsidRDefault="00CA538D" w:rsidP="00051B50">
            <w:pPr>
              <w:pStyle w:val="Tabletext0"/>
              <w:keepNext/>
              <w:jc w:val="left"/>
              <w:rPr>
                <w:b/>
                <w:bCs/>
              </w:rPr>
            </w:pPr>
            <w:r w:rsidRPr="00BC7D06">
              <w:rPr>
                <w:b/>
                <w:bCs/>
              </w:rPr>
              <w:t>Net cost</w:t>
            </w:r>
          </w:p>
        </w:tc>
        <w:tc>
          <w:tcPr>
            <w:tcW w:w="872" w:type="dxa"/>
          </w:tcPr>
          <w:p w14:paraId="2F4AB503" w14:textId="2FD92038" w:rsidR="00CA538D" w:rsidRPr="00225570" w:rsidRDefault="00CA538D" w:rsidP="00051B50">
            <w:pPr>
              <w:pStyle w:val="Tabletext0"/>
              <w:keepNext/>
              <w:jc w:val="center"/>
              <w:rPr>
                <w:b/>
                <w:bCs/>
              </w:rPr>
            </w:pPr>
            <w:r w:rsidRPr="00225570">
              <w:rPr>
                <w:b/>
                <w:bCs/>
              </w:rPr>
              <w:t>$465,993</w:t>
            </w:r>
          </w:p>
        </w:tc>
        <w:tc>
          <w:tcPr>
            <w:tcW w:w="849" w:type="dxa"/>
          </w:tcPr>
          <w:p w14:paraId="600EF533" w14:textId="2532FB22" w:rsidR="00CA538D" w:rsidRPr="00225570" w:rsidRDefault="00CA538D" w:rsidP="00051B50">
            <w:pPr>
              <w:pStyle w:val="Tabletext0"/>
              <w:keepNext/>
              <w:jc w:val="center"/>
              <w:rPr>
                <w:b/>
                <w:bCs/>
              </w:rPr>
            </w:pPr>
            <w:r w:rsidRPr="00225570">
              <w:rPr>
                <w:b/>
                <w:bCs/>
              </w:rPr>
              <w:t>$512,592</w:t>
            </w:r>
          </w:p>
        </w:tc>
        <w:tc>
          <w:tcPr>
            <w:tcW w:w="849" w:type="dxa"/>
          </w:tcPr>
          <w:p w14:paraId="38E19FD0" w14:textId="19336CC8" w:rsidR="00CA538D" w:rsidRPr="00225570" w:rsidRDefault="00CA538D" w:rsidP="00051B50">
            <w:pPr>
              <w:pStyle w:val="Tabletext0"/>
              <w:keepNext/>
              <w:jc w:val="center"/>
              <w:rPr>
                <w:b/>
                <w:bCs/>
              </w:rPr>
            </w:pPr>
            <w:r w:rsidRPr="00225570">
              <w:rPr>
                <w:b/>
                <w:bCs/>
              </w:rPr>
              <w:t>$563,852</w:t>
            </w:r>
          </w:p>
        </w:tc>
        <w:tc>
          <w:tcPr>
            <w:tcW w:w="850" w:type="dxa"/>
          </w:tcPr>
          <w:p w14:paraId="42BCB2D3" w14:textId="3DD23D85" w:rsidR="00CA538D" w:rsidRPr="00225570" w:rsidRDefault="00CA538D" w:rsidP="00051B50">
            <w:pPr>
              <w:pStyle w:val="Tabletext0"/>
              <w:keepNext/>
              <w:jc w:val="center"/>
              <w:rPr>
                <w:b/>
                <w:bCs/>
              </w:rPr>
            </w:pPr>
            <w:r w:rsidRPr="00225570">
              <w:rPr>
                <w:b/>
                <w:bCs/>
              </w:rPr>
              <w:t>$620,237</w:t>
            </w:r>
          </w:p>
        </w:tc>
        <w:tc>
          <w:tcPr>
            <w:tcW w:w="849" w:type="dxa"/>
          </w:tcPr>
          <w:p w14:paraId="5C250E56" w14:textId="172C6E3C" w:rsidR="00CA538D" w:rsidRPr="00225570" w:rsidRDefault="00CA538D" w:rsidP="00051B50">
            <w:pPr>
              <w:pStyle w:val="Tabletext0"/>
              <w:keepNext/>
              <w:jc w:val="center"/>
              <w:rPr>
                <w:b/>
                <w:bCs/>
              </w:rPr>
            </w:pPr>
            <w:r w:rsidRPr="00225570">
              <w:rPr>
                <w:b/>
                <w:bCs/>
              </w:rPr>
              <w:t>$682,260</w:t>
            </w:r>
          </w:p>
        </w:tc>
        <w:tc>
          <w:tcPr>
            <w:tcW w:w="850" w:type="dxa"/>
          </w:tcPr>
          <w:p w14:paraId="14A3D03D" w14:textId="58BF2DAB" w:rsidR="00CA538D" w:rsidRPr="00225570" w:rsidRDefault="00CA538D" w:rsidP="00051B50">
            <w:pPr>
              <w:pStyle w:val="Tabletext0"/>
              <w:keepNext/>
              <w:jc w:val="center"/>
              <w:rPr>
                <w:b/>
                <w:bCs/>
              </w:rPr>
            </w:pPr>
            <w:r w:rsidRPr="00225570">
              <w:rPr>
                <w:b/>
                <w:bCs/>
              </w:rPr>
              <w:t>$750,486</w:t>
            </w:r>
          </w:p>
        </w:tc>
        <w:tc>
          <w:tcPr>
            <w:tcW w:w="2342" w:type="dxa"/>
            <w:vAlign w:val="center"/>
          </w:tcPr>
          <w:p w14:paraId="6B786336" w14:textId="77777777" w:rsidR="00CA538D" w:rsidRPr="00360992" w:rsidRDefault="00CA538D" w:rsidP="00051B50">
            <w:pPr>
              <w:pStyle w:val="Tabletext0"/>
              <w:keepNext/>
              <w:jc w:val="center"/>
              <w:rPr>
                <w:b/>
                <w:bCs/>
              </w:rPr>
            </w:pPr>
            <w:r w:rsidRPr="00B9416F">
              <w:rPr>
                <w:b/>
                <w:bCs/>
              </w:rPr>
              <w:t>MBS fee $1500</w:t>
            </w:r>
            <w:r>
              <w:rPr>
                <w:b/>
                <w:bCs/>
              </w:rPr>
              <w:t xml:space="preserve"> - GPG $87.90</w:t>
            </w:r>
          </w:p>
        </w:tc>
      </w:tr>
    </w:tbl>
    <w:p w14:paraId="5DCD3F17" w14:textId="77777777" w:rsidR="00C919D5" w:rsidRPr="00E83A95" w:rsidRDefault="00C919D5" w:rsidP="00C919D5">
      <w:pPr>
        <w:spacing w:before="0" w:after="240"/>
        <w:rPr>
          <w:rFonts w:ascii="Arial Narrow" w:hAnsi="Arial Narrow"/>
          <w:sz w:val="18"/>
          <w:szCs w:val="18"/>
        </w:rPr>
      </w:pPr>
      <w:r>
        <w:rPr>
          <w:rFonts w:ascii="Arial Narrow" w:hAnsi="Arial Narrow"/>
          <w:sz w:val="18"/>
          <w:szCs w:val="18"/>
        </w:rPr>
        <w:t>GPG=greatest permissible gap</w:t>
      </w:r>
    </w:p>
    <w:p w14:paraId="7F682412" w14:textId="4607668E" w:rsidR="00BA1955" w:rsidRPr="00BA1955" w:rsidRDefault="00BA1955" w:rsidP="00705109">
      <w:pPr>
        <w:pStyle w:val="Caption"/>
        <w:spacing w:before="240"/>
      </w:pPr>
      <w:bookmarkStart w:id="35" w:name="_Ref102443349"/>
      <w:r>
        <w:t xml:space="preserve">Table </w:t>
      </w:r>
      <w:r w:rsidR="0067109A">
        <w:fldChar w:fldCharType="begin"/>
      </w:r>
      <w:r w:rsidR="0067109A">
        <w:instrText xml:space="preserve"> SEQ Table \* ARABIC </w:instrText>
      </w:r>
      <w:r w:rsidR="0067109A">
        <w:fldChar w:fldCharType="separate"/>
      </w:r>
      <w:r w:rsidR="00822248">
        <w:rPr>
          <w:noProof/>
        </w:rPr>
        <w:t>15</w:t>
      </w:r>
      <w:r w:rsidR="0067109A">
        <w:rPr>
          <w:noProof/>
        </w:rPr>
        <w:fldChar w:fldCharType="end"/>
      </w:r>
      <w:bookmarkEnd w:id="35"/>
      <w:r w:rsidR="00370686">
        <w:tab/>
      </w:r>
      <w:r>
        <w:t>Net financial implications of WBMRI to the MBS—second financial analysis</w:t>
      </w:r>
    </w:p>
    <w:tbl>
      <w:tblPr>
        <w:tblStyle w:val="TableGrid"/>
        <w:tblW w:w="9067" w:type="dxa"/>
        <w:tblLayout w:type="fixed"/>
        <w:tblCellMar>
          <w:left w:w="28" w:type="dxa"/>
          <w:right w:w="28" w:type="dxa"/>
        </w:tblCellMar>
        <w:tblLook w:val="04A0" w:firstRow="1" w:lastRow="0" w:firstColumn="1" w:lastColumn="0" w:noHBand="0" w:noVBand="1"/>
      </w:tblPr>
      <w:tblGrid>
        <w:gridCol w:w="2429"/>
        <w:gridCol w:w="1106"/>
        <w:gridCol w:w="1106"/>
        <w:gridCol w:w="1107"/>
        <w:gridCol w:w="1106"/>
        <w:gridCol w:w="1106"/>
        <w:gridCol w:w="1107"/>
      </w:tblGrid>
      <w:tr w:rsidR="00C63231" w:rsidRPr="00431E96" w14:paraId="087CDD11" w14:textId="77777777" w:rsidTr="00C63231">
        <w:tc>
          <w:tcPr>
            <w:tcW w:w="2429" w:type="dxa"/>
          </w:tcPr>
          <w:p w14:paraId="06C05AC9" w14:textId="5814B12E" w:rsidR="00370686" w:rsidRPr="00431E96" w:rsidRDefault="00370686" w:rsidP="00B06469">
            <w:pPr>
              <w:keepNext/>
              <w:spacing w:before="40" w:after="40"/>
              <w:rPr>
                <w:rFonts w:ascii="Arial Narrow" w:hAnsi="Arial Narrow"/>
                <w:sz w:val="20"/>
                <w:szCs w:val="20"/>
              </w:rPr>
            </w:pPr>
            <w:bookmarkStart w:id="36" w:name="_Hlk68276814"/>
            <w:r w:rsidRPr="00431E96">
              <w:rPr>
                <w:rFonts w:ascii="Arial Narrow" w:hAnsi="Arial Narrow"/>
                <w:b/>
                <w:bCs/>
                <w:sz w:val="20"/>
                <w:szCs w:val="20"/>
              </w:rPr>
              <w:t>Parameter</w:t>
            </w:r>
          </w:p>
        </w:tc>
        <w:tc>
          <w:tcPr>
            <w:tcW w:w="1106" w:type="dxa"/>
            <w:vAlign w:val="center"/>
          </w:tcPr>
          <w:p w14:paraId="1C677EE1" w14:textId="77777777" w:rsidR="00370686" w:rsidRPr="00431E96" w:rsidRDefault="00370686" w:rsidP="00B06469">
            <w:pPr>
              <w:keepNext/>
              <w:spacing w:before="40" w:after="40"/>
              <w:jc w:val="center"/>
              <w:rPr>
                <w:rFonts w:ascii="Arial Narrow" w:hAnsi="Arial Narrow"/>
                <w:sz w:val="20"/>
                <w:szCs w:val="20"/>
              </w:rPr>
            </w:pPr>
            <w:r w:rsidRPr="00431E96">
              <w:rPr>
                <w:rFonts w:ascii="Arial Narrow" w:hAnsi="Arial Narrow"/>
                <w:b/>
                <w:bCs/>
                <w:sz w:val="20"/>
                <w:szCs w:val="20"/>
              </w:rPr>
              <w:t>Year 1</w:t>
            </w:r>
          </w:p>
        </w:tc>
        <w:tc>
          <w:tcPr>
            <w:tcW w:w="1106" w:type="dxa"/>
            <w:vAlign w:val="center"/>
          </w:tcPr>
          <w:p w14:paraId="497B3782" w14:textId="77777777" w:rsidR="00370686" w:rsidRPr="00431E96" w:rsidRDefault="00370686" w:rsidP="00B06469">
            <w:pPr>
              <w:keepNext/>
              <w:spacing w:before="40" w:after="40"/>
              <w:jc w:val="center"/>
              <w:rPr>
                <w:rFonts w:ascii="Arial Narrow" w:hAnsi="Arial Narrow"/>
                <w:sz w:val="20"/>
                <w:szCs w:val="20"/>
              </w:rPr>
            </w:pPr>
            <w:r w:rsidRPr="00431E96">
              <w:rPr>
                <w:rFonts w:ascii="Arial Narrow" w:hAnsi="Arial Narrow"/>
                <w:b/>
                <w:bCs/>
                <w:sz w:val="20"/>
                <w:szCs w:val="20"/>
              </w:rPr>
              <w:t>Year 2</w:t>
            </w:r>
          </w:p>
        </w:tc>
        <w:tc>
          <w:tcPr>
            <w:tcW w:w="1107" w:type="dxa"/>
            <w:vAlign w:val="center"/>
          </w:tcPr>
          <w:p w14:paraId="170D51CB" w14:textId="77777777" w:rsidR="00370686" w:rsidRPr="00431E96" w:rsidRDefault="00370686" w:rsidP="00B06469">
            <w:pPr>
              <w:keepNext/>
              <w:spacing w:before="40" w:after="40"/>
              <w:jc w:val="center"/>
              <w:rPr>
                <w:rFonts w:ascii="Arial Narrow" w:hAnsi="Arial Narrow"/>
                <w:sz w:val="20"/>
                <w:szCs w:val="20"/>
              </w:rPr>
            </w:pPr>
            <w:r w:rsidRPr="00431E96">
              <w:rPr>
                <w:rFonts w:ascii="Arial Narrow" w:hAnsi="Arial Narrow"/>
                <w:b/>
                <w:bCs/>
                <w:sz w:val="20"/>
                <w:szCs w:val="20"/>
              </w:rPr>
              <w:t>Year 3</w:t>
            </w:r>
          </w:p>
        </w:tc>
        <w:tc>
          <w:tcPr>
            <w:tcW w:w="1106" w:type="dxa"/>
            <w:vAlign w:val="center"/>
          </w:tcPr>
          <w:p w14:paraId="75078ADF" w14:textId="77777777" w:rsidR="00370686" w:rsidRPr="00431E96" w:rsidRDefault="00370686" w:rsidP="00B06469">
            <w:pPr>
              <w:keepNext/>
              <w:spacing w:before="40" w:after="40"/>
              <w:jc w:val="center"/>
              <w:rPr>
                <w:rFonts w:ascii="Arial Narrow" w:hAnsi="Arial Narrow"/>
                <w:sz w:val="20"/>
                <w:szCs w:val="20"/>
              </w:rPr>
            </w:pPr>
            <w:r w:rsidRPr="00431E96">
              <w:rPr>
                <w:rFonts w:ascii="Arial Narrow" w:hAnsi="Arial Narrow"/>
                <w:b/>
                <w:bCs/>
                <w:sz w:val="20"/>
                <w:szCs w:val="20"/>
              </w:rPr>
              <w:t>Year 4</w:t>
            </w:r>
          </w:p>
        </w:tc>
        <w:tc>
          <w:tcPr>
            <w:tcW w:w="1106" w:type="dxa"/>
            <w:vAlign w:val="center"/>
          </w:tcPr>
          <w:p w14:paraId="3D677AB5" w14:textId="77777777" w:rsidR="00370686" w:rsidRPr="00431E96" w:rsidRDefault="00370686" w:rsidP="00B06469">
            <w:pPr>
              <w:keepNext/>
              <w:spacing w:before="40" w:after="40"/>
              <w:jc w:val="center"/>
              <w:rPr>
                <w:rFonts w:ascii="Arial Narrow" w:hAnsi="Arial Narrow"/>
                <w:sz w:val="20"/>
                <w:szCs w:val="20"/>
              </w:rPr>
            </w:pPr>
            <w:r w:rsidRPr="00431E96">
              <w:rPr>
                <w:rFonts w:ascii="Arial Narrow" w:hAnsi="Arial Narrow"/>
                <w:b/>
                <w:bCs/>
                <w:sz w:val="20"/>
                <w:szCs w:val="20"/>
              </w:rPr>
              <w:t>Year 5</w:t>
            </w:r>
          </w:p>
        </w:tc>
        <w:tc>
          <w:tcPr>
            <w:tcW w:w="1107" w:type="dxa"/>
            <w:vAlign w:val="center"/>
          </w:tcPr>
          <w:p w14:paraId="45DB4899" w14:textId="77777777" w:rsidR="00370686" w:rsidRPr="00431E96" w:rsidRDefault="00370686" w:rsidP="00B06469">
            <w:pPr>
              <w:keepNext/>
              <w:spacing w:before="40" w:after="40"/>
              <w:jc w:val="center"/>
              <w:rPr>
                <w:rFonts w:ascii="Arial Narrow" w:hAnsi="Arial Narrow"/>
                <w:sz w:val="20"/>
                <w:szCs w:val="20"/>
              </w:rPr>
            </w:pPr>
            <w:r w:rsidRPr="00431E96">
              <w:rPr>
                <w:rFonts w:ascii="Arial Narrow" w:hAnsi="Arial Narrow"/>
                <w:b/>
                <w:bCs/>
                <w:sz w:val="20"/>
                <w:szCs w:val="20"/>
              </w:rPr>
              <w:t>Year 6</w:t>
            </w:r>
          </w:p>
        </w:tc>
      </w:tr>
      <w:tr w:rsidR="00C63231" w:rsidRPr="00431E96" w14:paraId="34E56240" w14:textId="77777777" w:rsidTr="00C63231">
        <w:tc>
          <w:tcPr>
            <w:tcW w:w="2429" w:type="dxa"/>
            <w:tcBorders>
              <w:right w:val="nil"/>
            </w:tcBorders>
          </w:tcPr>
          <w:p w14:paraId="39399397" w14:textId="77777777" w:rsidR="00370686" w:rsidRPr="00431E96" w:rsidRDefault="00370686" w:rsidP="00B06469">
            <w:pPr>
              <w:keepNext/>
              <w:spacing w:before="40" w:after="40"/>
              <w:rPr>
                <w:rFonts w:ascii="Arial Narrow" w:hAnsi="Arial Narrow"/>
                <w:sz w:val="20"/>
                <w:szCs w:val="20"/>
              </w:rPr>
            </w:pPr>
            <w:r w:rsidRPr="00431E96">
              <w:rPr>
                <w:rFonts w:ascii="Arial Narrow" w:hAnsi="Arial Narrow"/>
                <w:b/>
                <w:bCs/>
                <w:sz w:val="20"/>
                <w:szCs w:val="20"/>
              </w:rPr>
              <w:t>Estimated use and cost of the proposed health technology</w:t>
            </w:r>
          </w:p>
        </w:tc>
        <w:tc>
          <w:tcPr>
            <w:tcW w:w="1106" w:type="dxa"/>
            <w:tcBorders>
              <w:left w:val="nil"/>
              <w:right w:val="nil"/>
            </w:tcBorders>
            <w:vAlign w:val="center"/>
          </w:tcPr>
          <w:p w14:paraId="70DFED75" w14:textId="77777777" w:rsidR="00370686" w:rsidRPr="00431E96" w:rsidRDefault="00370686" w:rsidP="00B06469">
            <w:pPr>
              <w:keepNext/>
              <w:spacing w:before="40" w:after="40"/>
              <w:jc w:val="center"/>
              <w:rPr>
                <w:rFonts w:ascii="Arial Narrow" w:hAnsi="Arial Narrow"/>
                <w:sz w:val="20"/>
                <w:szCs w:val="20"/>
              </w:rPr>
            </w:pPr>
          </w:p>
        </w:tc>
        <w:tc>
          <w:tcPr>
            <w:tcW w:w="1106" w:type="dxa"/>
            <w:tcBorders>
              <w:left w:val="nil"/>
              <w:right w:val="nil"/>
            </w:tcBorders>
            <w:vAlign w:val="center"/>
          </w:tcPr>
          <w:p w14:paraId="59A58708" w14:textId="77777777" w:rsidR="00370686" w:rsidRPr="00431E96" w:rsidRDefault="00370686" w:rsidP="00B06469">
            <w:pPr>
              <w:keepNext/>
              <w:spacing w:before="40" w:after="40"/>
              <w:jc w:val="center"/>
              <w:rPr>
                <w:rFonts w:ascii="Arial Narrow" w:hAnsi="Arial Narrow"/>
                <w:sz w:val="20"/>
                <w:szCs w:val="20"/>
              </w:rPr>
            </w:pPr>
          </w:p>
        </w:tc>
        <w:tc>
          <w:tcPr>
            <w:tcW w:w="1107" w:type="dxa"/>
            <w:tcBorders>
              <w:left w:val="nil"/>
              <w:right w:val="nil"/>
            </w:tcBorders>
            <w:vAlign w:val="center"/>
          </w:tcPr>
          <w:p w14:paraId="3E3A1C8B" w14:textId="77777777" w:rsidR="00370686" w:rsidRPr="00431E96" w:rsidRDefault="00370686" w:rsidP="00B06469">
            <w:pPr>
              <w:keepNext/>
              <w:spacing w:before="40" w:after="40"/>
              <w:jc w:val="center"/>
              <w:rPr>
                <w:rFonts w:ascii="Arial Narrow" w:hAnsi="Arial Narrow"/>
                <w:sz w:val="20"/>
                <w:szCs w:val="20"/>
              </w:rPr>
            </w:pPr>
          </w:p>
        </w:tc>
        <w:tc>
          <w:tcPr>
            <w:tcW w:w="1106" w:type="dxa"/>
            <w:tcBorders>
              <w:left w:val="nil"/>
              <w:right w:val="nil"/>
            </w:tcBorders>
            <w:vAlign w:val="center"/>
          </w:tcPr>
          <w:p w14:paraId="5665C3C8" w14:textId="77777777" w:rsidR="00370686" w:rsidRPr="00431E96" w:rsidRDefault="00370686" w:rsidP="00B06469">
            <w:pPr>
              <w:keepNext/>
              <w:spacing w:before="40" w:after="40"/>
              <w:jc w:val="center"/>
              <w:rPr>
                <w:rFonts w:ascii="Arial Narrow" w:hAnsi="Arial Narrow"/>
                <w:sz w:val="20"/>
                <w:szCs w:val="20"/>
              </w:rPr>
            </w:pPr>
          </w:p>
        </w:tc>
        <w:tc>
          <w:tcPr>
            <w:tcW w:w="1106" w:type="dxa"/>
            <w:tcBorders>
              <w:left w:val="nil"/>
              <w:right w:val="nil"/>
            </w:tcBorders>
            <w:vAlign w:val="center"/>
          </w:tcPr>
          <w:p w14:paraId="1914ADD8" w14:textId="77777777" w:rsidR="00370686" w:rsidRPr="00431E96" w:rsidRDefault="00370686" w:rsidP="00B06469">
            <w:pPr>
              <w:keepNext/>
              <w:spacing w:before="40" w:after="40"/>
              <w:jc w:val="center"/>
              <w:rPr>
                <w:rFonts w:ascii="Arial Narrow" w:hAnsi="Arial Narrow"/>
                <w:sz w:val="20"/>
                <w:szCs w:val="20"/>
              </w:rPr>
            </w:pPr>
          </w:p>
        </w:tc>
        <w:tc>
          <w:tcPr>
            <w:tcW w:w="1107" w:type="dxa"/>
            <w:tcBorders>
              <w:left w:val="nil"/>
            </w:tcBorders>
            <w:vAlign w:val="center"/>
          </w:tcPr>
          <w:p w14:paraId="495DF74F" w14:textId="77777777" w:rsidR="00370686" w:rsidRPr="00431E96" w:rsidRDefault="00370686" w:rsidP="00B06469">
            <w:pPr>
              <w:keepNext/>
              <w:spacing w:before="40" w:after="40"/>
              <w:jc w:val="center"/>
              <w:rPr>
                <w:rFonts w:ascii="Arial Narrow" w:hAnsi="Arial Narrow"/>
                <w:sz w:val="20"/>
                <w:szCs w:val="20"/>
              </w:rPr>
            </w:pPr>
          </w:p>
        </w:tc>
      </w:tr>
      <w:tr w:rsidR="00C63231" w:rsidRPr="00431E96" w14:paraId="110A8749" w14:textId="77777777" w:rsidTr="00C63231">
        <w:tc>
          <w:tcPr>
            <w:tcW w:w="2429" w:type="dxa"/>
          </w:tcPr>
          <w:p w14:paraId="5EF6EED7" w14:textId="77777777" w:rsidR="00370686" w:rsidRPr="00431E96" w:rsidRDefault="00370686" w:rsidP="00B06469">
            <w:pPr>
              <w:keepNext/>
              <w:spacing w:before="40" w:after="40"/>
              <w:rPr>
                <w:rFonts w:ascii="Arial Narrow" w:hAnsi="Arial Narrow"/>
                <w:sz w:val="20"/>
                <w:szCs w:val="20"/>
              </w:rPr>
            </w:pPr>
            <w:r w:rsidRPr="00431E96">
              <w:rPr>
                <w:rFonts w:ascii="Arial Narrow" w:hAnsi="Arial Narrow"/>
                <w:sz w:val="20"/>
                <w:szCs w:val="20"/>
              </w:rPr>
              <w:t xml:space="preserve">Number of people eligible for WBMRI </w:t>
            </w:r>
          </w:p>
        </w:tc>
        <w:tc>
          <w:tcPr>
            <w:tcW w:w="1106" w:type="dxa"/>
            <w:vAlign w:val="center"/>
          </w:tcPr>
          <w:p w14:paraId="423593C9" w14:textId="77777777" w:rsidR="00370686" w:rsidRPr="00431E96" w:rsidRDefault="00370686" w:rsidP="00B06469">
            <w:pPr>
              <w:keepNext/>
              <w:spacing w:before="40" w:after="40"/>
              <w:jc w:val="center"/>
              <w:rPr>
                <w:rFonts w:ascii="Arial Narrow" w:hAnsi="Arial Narrow"/>
                <w:sz w:val="20"/>
                <w:szCs w:val="20"/>
              </w:rPr>
            </w:pPr>
            <w:r w:rsidRPr="00431E96">
              <w:rPr>
                <w:rFonts w:ascii="Arial Narrow" w:hAnsi="Arial Narrow"/>
                <w:sz w:val="20"/>
                <w:szCs w:val="20"/>
              </w:rPr>
              <w:t>1069</w:t>
            </w:r>
          </w:p>
        </w:tc>
        <w:tc>
          <w:tcPr>
            <w:tcW w:w="1106" w:type="dxa"/>
            <w:vAlign w:val="center"/>
          </w:tcPr>
          <w:p w14:paraId="1C734C28" w14:textId="5003303C" w:rsidR="00370686" w:rsidRPr="00431E96" w:rsidRDefault="00453705" w:rsidP="00B06469">
            <w:pPr>
              <w:keepNext/>
              <w:spacing w:before="40" w:after="40"/>
              <w:jc w:val="center"/>
              <w:rPr>
                <w:rFonts w:ascii="Arial Narrow" w:hAnsi="Arial Narrow"/>
                <w:sz w:val="20"/>
                <w:szCs w:val="20"/>
              </w:rPr>
            </w:pPr>
            <w:r>
              <w:rPr>
                <w:rFonts w:ascii="Arial Narrow" w:hAnsi="Arial Narrow"/>
                <w:sz w:val="20"/>
                <w:szCs w:val="20"/>
              </w:rPr>
              <w:t>1196</w:t>
            </w:r>
          </w:p>
        </w:tc>
        <w:tc>
          <w:tcPr>
            <w:tcW w:w="1107" w:type="dxa"/>
            <w:vAlign w:val="center"/>
          </w:tcPr>
          <w:p w14:paraId="0E3D4E9C" w14:textId="255E5606" w:rsidR="00370686" w:rsidRPr="00431E96" w:rsidRDefault="00453705" w:rsidP="00B06469">
            <w:pPr>
              <w:keepNext/>
              <w:spacing w:before="40" w:after="40"/>
              <w:jc w:val="center"/>
              <w:rPr>
                <w:rFonts w:ascii="Arial Narrow" w:hAnsi="Arial Narrow"/>
                <w:sz w:val="20"/>
                <w:szCs w:val="20"/>
              </w:rPr>
            </w:pPr>
            <w:r>
              <w:rPr>
                <w:rFonts w:ascii="Arial Narrow" w:hAnsi="Arial Narrow"/>
                <w:sz w:val="20"/>
                <w:szCs w:val="20"/>
              </w:rPr>
              <w:t>1196</w:t>
            </w:r>
          </w:p>
        </w:tc>
        <w:tc>
          <w:tcPr>
            <w:tcW w:w="1106" w:type="dxa"/>
            <w:vAlign w:val="center"/>
          </w:tcPr>
          <w:p w14:paraId="60FD735D" w14:textId="2F16F10F" w:rsidR="00370686" w:rsidRPr="00431E96" w:rsidRDefault="00453705" w:rsidP="00B06469">
            <w:pPr>
              <w:keepNext/>
              <w:spacing w:before="40" w:after="40"/>
              <w:jc w:val="center"/>
              <w:rPr>
                <w:rFonts w:ascii="Arial Narrow" w:hAnsi="Arial Narrow"/>
                <w:sz w:val="20"/>
                <w:szCs w:val="20"/>
              </w:rPr>
            </w:pPr>
            <w:r>
              <w:rPr>
                <w:rFonts w:ascii="Arial Narrow" w:hAnsi="Arial Narrow"/>
                <w:sz w:val="20"/>
                <w:szCs w:val="20"/>
              </w:rPr>
              <w:t>1196</w:t>
            </w:r>
          </w:p>
        </w:tc>
        <w:tc>
          <w:tcPr>
            <w:tcW w:w="1106" w:type="dxa"/>
            <w:vAlign w:val="center"/>
          </w:tcPr>
          <w:p w14:paraId="763F9591" w14:textId="1E2A8DDD" w:rsidR="00370686" w:rsidRPr="00431E96" w:rsidRDefault="00453705" w:rsidP="00B06469">
            <w:pPr>
              <w:keepNext/>
              <w:spacing w:before="40" w:after="40"/>
              <w:jc w:val="center"/>
              <w:rPr>
                <w:rFonts w:ascii="Arial Narrow" w:hAnsi="Arial Narrow"/>
                <w:sz w:val="20"/>
                <w:szCs w:val="20"/>
              </w:rPr>
            </w:pPr>
            <w:r>
              <w:rPr>
                <w:rFonts w:ascii="Arial Narrow" w:hAnsi="Arial Narrow"/>
                <w:sz w:val="20"/>
                <w:szCs w:val="20"/>
              </w:rPr>
              <w:t>1196</w:t>
            </w:r>
          </w:p>
        </w:tc>
        <w:tc>
          <w:tcPr>
            <w:tcW w:w="1107" w:type="dxa"/>
            <w:vAlign w:val="center"/>
          </w:tcPr>
          <w:p w14:paraId="0059D344" w14:textId="17A0E69F" w:rsidR="00370686" w:rsidRPr="00431E96" w:rsidRDefault="00453705" w:rsidP="00B06469">
            <w:pPr>
              <w:keepNext/>
              <w:spacing w:before="40" w:after="40"/>
              <w:jc w:val="center"/>
              <w:rPr>
                <w:rFonts w:ascii="Arial Narrow" w:hAnsi="Arial Narrow"/>
                <w:sz w:val="20"/>
                <w:szCs w:val="20"/>
              </w:rPr>
            </w:pPr>
            <w:r>
              <w:rPr>
                <w:rFonts w:ascii="Arial Narrow" w:hAnsi="Arial Narrow"/>
                <w:sz w:val="20"/>
                <w:szCs w:val="20"/>
              </w:rPr>
              <w:t>1196</w:t>
            </w:r>
          </w:p>
        </w:tc>
      </w:tr>
      <w:tr w:rsidR="00C63231" w:rsidRPr="00431E96" w14:paraId="101EED37" w14:textId="77777777" w:rsidTr="00C63231">
        <w:tc>
          <w:tcPr>
            <w:tcW w:w="2429" w:type="dxa"/>
          </w:tcPr>
          <w:p w14:paraId="5BF4BC1C" w14:textId="77777777" w:rsidR="00370686" w:rsidRPr="00431E96" w:rsidRDefault="00370686" w:rsidP="00B06469">
            <w:pPr>
              <w:keepNext/>
              <w:spacing w:before="40" w:after="40"/>
              <w:rPr>
                <w:rFonts w:ascii="Arial Narrow" w:hAnsi="Arial Narrow"/>
                <w:sz w:val="20"/>
                <w:szCs w:val="20"/>
              </w:rPr>
            </w:pPr>
            <w:r w:rsidRPr="00431E96">
              <w:rPr>
                <w:rFonts w:ascii="Arial Narrow" w:hAnsi="Arial Narrow"/>
                <w:sz w:val="20"/>
                <w:szCs w:val="20"/>
              </w:rPr>
              <w:t>Number of people who receive WBMRI</w:t>
            </w:r>
          </w:p>
        </w:tc>
        <w:tc>
          <w:tcPr>
            <w:tcW w:w="1106" w:type="dxa"/>
            <w:vAlign w:val="center"/>
          </w:tcPr>
          <w:p w14:paraId="56E1560B" w14:textId="77777777" w:rsidR="00370686" w:rsidRPr="00431E96" w:rsidRDefault="00370686" w:rsidP="00B06469">
            <w:pPr>
              <w:keepNext/>
              <w:spacing w:before="40" w:after="40"/>
              <w:jc w:val="center"/>
              <w:rPr>
                <w:rFonts w:ascii="Arial Narrow" w:hAnsi="Arial Narrow"/>
                <w:sz w:val="20"/>
                <w:szCs w:val="20"/>
              </w:rPr>
            </w:pPr>
            <w:r w:rsidRPr="00431E96">
              <w:rPr>
                <w:rFonts w:ascii="Arial Narrow" w:hAnsi="Arial Narrow"/>
                <w:sz w:val="20"/>
                <w:szCs w:val="20"/>
              </w:rPr>
              <w:t>658</w:t>
            </w:r>
          </w:p>
        </w:tc>
        <w:tc>
          <w:tcPr>
            <w:tcW w:w="1106" w:type="dxa"/>
            <w:vAlign w:val="center"/>
          </w:tcPr>
          <w:p w14:paraId="1DAEC82D" w14:textId="77777777" w:rsidR="00370686" w:rsidRPr="00431E96" w:rsidRDefault="00370686" w:rsidP="00B06469">
            <w:pPr>
              <w:keepNext/>
              <w:spacing w:before="40" w:after="40"/>
              <w:jc w:val="center"/>
              <w:rPr>
                <w:rFonts w:ascii="Arial Narrow" w:hAnsi="Arial Narrow"/>
                <w:sz w:val="20"/>
                <w:szCs w:val="20"/>
              </w:rPr>
            </w:pPr>
            <w:r w:rsidRPr="00431E96">
              <w:rPr>
                <w:rFonts w:ascii="Arial Narrow" w:hAnsi="Arial Narrow"/>
                <w:sz w:val="20"/>
                <w:szCs w:val="20"/>
              </w:rPr>
              <w:t>739</w:t>
            </w:r>
          </w:p>
        </w:tc>
        <w:tc>
          <w:tcPr>
            <w:tcW w:w="1107" w:type="dxa"/>
            <w:vAlign w:val="center"/>
          </w:tcPr>
          <w:p w14:paraId="55423A91" w14:textId="77777777" w:rsidR="00370686" w:rsidRPr="00431E96" w:rsidRDefault="00370686" w:rsidP="00B06469">
            <w:pPr>
              <w:keepNext/>
              <w:spacing w:before="40" w:after="40"/>
              <w:jc w:val="center"/>
              <w:rPr>
                <w:rFonts w:ascii="Arial Narrow" w:hAnsi="Arial Narrow"/>
                <w:sz w:val="20"/>
                <w:szCs w:val="20"/>
              </w:rPr>
            </w:pPr>
            <w:r w:rsidRPr="00431E96">
              <w:rPr>
                <w:rFonts w:ascii="Arial Narrow" w:hAnsi="Arial Narrow"/>
                <w:sz w:val="20"/>
                <w:szCs w:val="20"/>
              </w:rPr>
              <w:t>739</w:t>
            </w:r>
          </w:p>
        </w:tc>
        <w:tc>
          <w:tcPr>
            <w:tcW w:w="1106" w:type="dxa"/>
            <w:vAlign w:val="center"/>
          </w:tcPr>
          <w:p w14:paraId="68CDACCE" w14:textId="77777777" w:rsidR="00370686" w:rsidRPr="00431E96" w:rsidRDefault="00370686" w:rsidP="00B06469">
            <w:pPr>
              <w:keepNext/>
              <w:spacing w:before="40" w:after="40"/>
              <w:jc w:val="center"/>
              <w:rPr>
                <w:rFonts w:ascii="Arial Narrow" w:hAnsi="Arial Narrow"/>
                <w:sz w:val="20"/>
                <w:szCs w:val="20"/>
              </w:rPr>
            </w:pPr>
            <w:r w:rsidRPr="00431E96">
              <w:rPr>
                <w:rFonts w:ascii="Arial Narrow" w:hAnsi="Arial Narrow"/>
                <w:sz w:val="20"/>
                <w:szCs w:val="20"/>
              </w:rPr>
              <w:t>739</w:t>
            </w:r>
          </w:p>
        </w:tc>
        <w:tc>
          <w:tcPr>
            <w:tcW w:w="1106" w:type="dxa"/>
            <w:vAlign w:val="center"/>
          </w:tcPr>
          <w:p w14:paraId="356B5CC3" w14:textId="77777777" w:rsidR="00370686" w:rsidRPr="00431E96" w:rsidRDefault="00370686" w:rsidP="00B06469">
            <w:pPr>
              <w:keepNext/>
              <w:spacing w:before="40" w:after="40"/>
              <w:jc w:val="center"/>
              <w:rPr>
                <w:rFonts w:ascii="Arial Narrow" w:hAnsi="Arial Narrow"/>
                <w:sz w:val="20"/>
                <w:szCs w:val="20"/>
              </w:rPr>
            </w:pPr>
            <w:r w:rsidRPr="00431E96">
              <w:rPr>
                <w:rFonts w:ascii="Arial Narrow" w:hAnsi="Arial Narrow"/>
                <w:sz w:val="20"/>
                <w:szCs w:val="20"/>
              </w:rPr>
              <w:t>739</w:t>
            </w:r>
          </w:p>
        </w:tc>
        <w:tc>
          <w:tcPr>
            <w:tcW w:w="1107" w:type="dxa"/>
            <w:vAlign w:val="center"/>
          </w:tcPr>
          <w:p w14:paraId="72D27D54" w14:textId="77777777" w:rsidR="00370686" w:rsidRPr="00431E96" w:rsidRDefault="00370686" w:rsidP="00B06469">
            <w:pPr>
              <w:keepNext/>
              <w:spacing w:before="40" w:after="40"/>
              <w:jc w:val="center"/>
              <w:rPr>
                <w:rFonts w:ascii="Arial Narrow" w:hAnsi="Arial Narrow"/>
                <w:sz w:val="20"/>
                <w:szCs w:val="20"/>
              </w:rPr>
            </w:pPr>
            <w:r w:rsidRPr="00431E96">
              <w:rPr>
                <w:rFonts w:ascii="Arial Narrow" w:hAnsi="Arial Narrow"/>
                <w:sz w:val="20"/>
                <w:szCs w:val="20"/>
              </w:rPr>
              <w:t>739</w:t>
            </w:r>
          </w:p>
        </w:tc>
      </w:tr>
      <w:tr w:rsidR="00C63231" w:rsidRPr="00431E96" w14:paraId="54E988F8" w14:textId="77777777" w:rsidTr="00C63231">
        <w:tc>
          <w:tcPr>
            <w:tcW w:w="2429" w:type="dxa"/>
            <w:tcBorders>
              <w:right w:val="single" w:sz="4" w:space="0" w:color="auto"/>
            </w:tcBorders>
          </w:tcPr>
          <w:p w14:paraId="0D7F0776" w14:textId="12BC28F2" w:rsidR="00370686" w:rsidRPr="00431E96" w:rsidRDefault="00370686" w:rsidP="00B06469">
            <w:pPr>
              <w:keepNext/>
              <w:spacing w:before="40" w:after="40"/>
              <w:rPr>
                <w:rFonts w:ascii="Arial Narrow" w:hAnsi="Arial Narrow"/>
                <w:sz w:val="20"/>
                <w:szCs w:val="20"/>
              </w:rPr>
            </w:pPr>
            <w:r w:rsidRPr="00431E96">
              <w:rPr>
                <w:rFonts w:ascii="Arial Narrow" w:hAnsi="Arial Narrow"/>
                <w:sz w:val="20"/>
                <w:szCs w:val="20"/>
              </w:rPr>
              <w:t xml:space="preserve">Number of services of </w:t>
            </w:r>
            <w:r w:rsidR="00EB1EBC">
              <w:rPr>
                <w:rFonts w:ascii="Arial Narrow" w:hAnsi="Arial Narrow"/>
                <w:sz w:val="20"/>
                <w:szCs w:val="20"/>
              </w:rPr>
              <w:t>WBMRI</w:t>
            </w:r>
            <w:r w:rsidRPr="00431E96">
              <w:rPr>
                <w:rFonts w:ascii="Arial Narrow" w:hAnsi="Arial Narrow"/>
                <w:sz w:val="20"/>
                <w:szCs w:val="20"/>
              </w:rPr>
              <w:t xml:space="preserve"> (if more than one per person)</w:t>
            </w:r>
          </w:p>
        </w:tc>
        <w:tc>
          <w:tcPr>
            <w:tcW w:w="1106" w:type="dxa"/>
            <w:tcBorders>
              <w:left w:val="single" w:sz="4" w:space="0" w:color="auto"/>
              <w:right w:val="nil"/>
            </w:tcBorders>
            <w:vAlign w:val="center"/>
          </w:tcPr>
          <w:p w14:paraId="5D4E0159" w14:textId="77777777" w:rsidR="00370686" w:rsidRPr="00431E96" w:rsidRDefault="00370686" w:rsidP="00B06469">
            <w:pPr>
              <w:keepNext/>
              <w:spacing w:before="40" w:after="40"/>
              <w:jc w:val="center"/>
              <w:rPr>
                <w:rFonts w:ascii="Arial Narrow" w:hAnsi="Arial Narrow"/>
                <w:sz w:val="20"/>
                <w:szCs w:val="20"/>
              </w:rPr>
            </w:pPr>
          </w:p>
        </w:tc>
        <w:tc>
          <w:tcPr>
            <w:tcW w:w="1106" w:type="dxa"/>
            <w:tcBorders>
              <w:left w:val="nil"/>
              <w:right w:val="nil"/>
            </w:tcBorders>
            <w:vAlign w:val="center"/>
          </w:tcPr>
          <w:p w14:paraId="1496981D" w14:textId="77777777" w:rsidR="00370686" w:rsidRPr="00431E96" w:rsidRDefault="00370686" w:rsidP="00B06469">
            <w:pPr>
              <w:keepNext/>
              <w:spacing w:before="40" w:after="40"/>
              <w:jc w:val="center"/>
              <w:rPr>
                <w:rFonts w:ascii="Arial Narrow" w:hAnsi="Arial Narrow"/>
                <w:sz w:val="20"/>
                <w:szCs w:val="20"/>
              </w:rPr>
            </w:pPr>
          </w:p>
        </w:tc>
        <w:tc>
          <w:tcPr>
            <w:tcW w:w="1107" w:type="dxa"/>
            <w:tcBorders>
              <w:left w:val="nil"/>
              <w:right w:val="nil"/>
            </w:tcBorders>
            <w:vAlign w:val="center"/>
          </w:tcPr>
          <w:p w14:paraId="70564FC6" w14:textId="77777777" w:rsidR="00370686" w:rsidRPr="00431E96" w:rsidRDefault="00370686" w:rsidP="00B06469">
            <w:pPr>
              <w:keepNext/>
              <w:spacing w:before="40" w:after="40"/>
              <w:jc w:val="right"/>
              <w:rPr>
                <w:rFonts w:ascii="Arial Narrow" w:hAnsi="Arial Narrow"/>
                <w:sz w:val="20"/>
                <w:szCs w:val="20"/>
              </w:rPr>
            </w:pPr>
            <w:r w:rsidRPr="00431E96">
              <w:rPr>
                <w:rFonts w:ascii="Arial Narrow" w:hAnsi="Arial Narrow"/>
                <w:sz w:val="20"/>
                <w:szCs w:val="20"/>
              </w:rPr>
              <w:t>N/A</w:t>
            </w:r>
          </w:p>
        </w:tc>
        <w:tc>
          <w:tcPr>
            <w:tcW w:w="1106" w:type="dxa"/>
            <w:tcBorders>
              <w:left w:val="nil"/>
              <w:right w:val="nil"/>
            </w:tcBorders>
            <w:vAlign w:val="center"/>
          </w:tcPr>
          <w:p w14:paraId="3A3F4475" w14:textId="77777777" w:rsidR="00370686" w:rsidRPr="00431E96" w:rsidRDefault="00370686" w:rsidP="00B06469">
            <w:pPr>
              <w:keepNext/>
              <w:spacing w:before="40" w:after="40"/>
              <w:jc w:val="center"/>
              <w:rPr>
                <w:rFonts w:ascii="Arial Narrow" w:hAnsi="Arial Narrow"/>
                <w:sz w:val="20"/>
                <w:szCs w:val="20"/>
              </w:rPr>
            </w:pPr>
          </w:p>
        </w:tc>
        <w:tc>
          <w:tcPr>
            <w:tcW w:w="1106" w:type="dxa"/>
            <w:tcBorders>
              <w:left w:val="nil"/>
              <w:right w:val="nil"/>
            </w:tcBorders>
            <w:vAlign w:val="center"/>
          </w:tcPr>
          <w:p w14:paraId="28321B24" w14:textId="77777777" w:rsidR="00370686" w:rsidRPr="00431E96" w:rsidRDefault="00370686" w:rsidP="00B06469">
            <w:pPr>
              <w:keepNext/>
              <w:spacing w:before="40" w:after="40"/>
              <w:jc w:val="center"/>
              <w:rPr>
                <w:rFonts w:ascii="Arial Narrow" w:hAnsi="Arial Narrow"/>
                <w:sz w:val="20"/>
                <w:szCs w:val="20"/>
              </w:rPr>
            </w:pPr>
          </w:p>
        </w:tc>
        <w:tc>
          <w:tcPr>
            <w:tcW w:w="1107" w:type="dxa"/>
            <w:tcBorders>
              <w:left w:val="nil"/>
            </w:tcBorders>
            <w:vAlign w:val="center"/>
          </w:tcPr>
          <w:p w14:paraId="2547F75E" w14:textId="77777777" w:rsidR="00370686" w:rsidRPr="00431E96" w:rsidRDefault="00370686" w:rsidP="00B06469">
            <w:pPr>
              <w:keepNext/>
              <w:spacing w:before="40" w:after="40"/>
              <w:jc w:val="center"/>
              <w:rPr>
                <w:rFonts w:ascii="Arial Narrow" w:hAnsi="Arial Narrow"/>
                <w:sz w:val="20"/>
                <w:szCs w:val="20"/>
              </w:rPr>
            </w:pPr>
          </w:p>
        </w:tc>
      </w:tr>
      <w:tr w:rsidR="00C63231" w:rsidRPr="00431E96" w14:paraId="6E083C43" w14:textId="77777777" w:rsidTr="00987C77">
        <w:tc>
          <w:tcPr>
            <w:tcW w:w="2429" w:type="dxa"/>
          </w:tcPr>
          <w:p w14:paraId="1E38784C" w14:textId="3298CE99" w:rsidR="00C63231" w:rsidRPr="00431E96" w:rsidRDefault="00C63231" w:rsidP="00B06469">
            <w:pPr>
              <w:keepNext/>
              <w:spacing w:before="40" w:after="40"/>
              <w:rPr>
                <w:rFonts w:ascii="Arial Narrow" w:hAnsi="Arial Narrow"/>
                <w:sz w:val="20"/>
                <w:szCs w:val="20"/>
              </w:rPr>
            </w:pPr>
            <w:r w:rsidRPr="00431E96">
              <w:rPr>
                <w:rFonts w:ascii="Arial Narrow" w:hAnsi="Arial Narrow"/>
                <w:sz w:val="20"/>
                <w:szCs w:val="20"/>
              </w:rPr>
              <w:t xml:space="preserve">Cost of WBMRI (with appropriate co-payments </w:t>
            </w:r>
            <w:r w:rsidR="00B9416F">
              <w:rPr>
                <w:rFonts w:ascii="Arial Narrow" w:hAnsi="Arial Narrow"/>
                <w:sz w:val="20"/>
                <w:szCs w:val="20"/>
              </w:rPr>
              <w:t>[</w:t>
            </w:r>
            <w:r>
              <w:rPr>
                <w:rFonts w:ascii="Arial Narrow" w:hAnsi="Arial Narrow"/>
                <w:sz w:val="20"/>
                <w:szCs w:val="20"/>
              </w:rPr>
              <w:t>GPG</w:t>
            </w:r>
            <w:r w:rsidR="00B9416F">
              <w:rPr>
                <w:rFonts w:ascii="Arial Narrow" w:hAnsi="Arial Narrow"/>
                <w:sz w:val="20"/>
                <w:szCs w:val="20"/>
              </w:rPr>
              <w:t>]</w:t>
            </w:r>
            <w:r>
              <w:rPr>
                <w:rFonts w:ascii="Arial Narrow" w:hAnsi="Arial Narrow"/>
                <w:sz w:val="20"/>
                <w:szCs w:val="20"/>
              </w:rPr>
              <w:t xml:space="preserve"> </w:t>
            </w:r>
            <w:r w:rsidRPr="00431E96">
              <w:rPr>
                <w:rFonts w:ascii="Arial Narrow" w:hAnsi="Arial Narrow"/>
                <w:sz w:val="20"/>
                <w:szCs w:val="20"/>
              </w:rPr>
              <w:t>excluded)</w:t>
            </w:r>
          </w:p>
        </w:tc>
        <w:tc>
          <w:tcPr>
            <w:tcW w:w="1106" w:type="dxa"/>
            <w:vAlign w:val="center"/>
          </w:tcPr>
          <w:p w14:paraId="776BCC27" w14:textId="70DC4595" w:rsidR="00C63231" w:rsidRPr="00987C77" w:rsidRDefault="00C63231" w:rsidP="00B06469">
            <w:pPr>
              <w:keepNext/>
              <w:spacing w:before="40" w:after="40"/>
              <w:jc w:val="center"/>
              <w:rPr>
                <w:rFonts w:ascii="Arial Narrow" w:hAnsi="Arial Narrow"/>
                <w:sz w:val="20"/>
                <w:szCs w:val="20"/>
                <w:highlight w:val="yellow"/>
              </w:rPr>
            </w:pPr>
            <w:r w:rsidRPr="00987C77">
              <w:rPr>
                <w:rFonts w:ascii="Arial Narrow" w:hAnsi="Arial Narrow"/>
                <w:sz w:val="20"/>
                <w:szCs w:val="20"/>
              </w:rPr>
              <w:t>$929,315</w:t>
            </w:r>
          </w:p>
        </w:tc>
        <w:tc>
          <w:tcPr>
            <w:tcW w:w="1106" w:type="dxa"/>
            <w:vAlign w:val="center"/>
          </w:tcPr>
          <w:p w14:paraId="7D83FE7B" w14:textId="4D665406" w:rsidR="00C63231" w:rsidRPr="00987C77" w:rsidRDefault="00C63231" w:rsidP="00B06469">
            <w:pPr>
              <w:keepNext/>
              <w:spacing w:before="40" w:after="40"/>
              <w:jc w:val="center"/>
              <w:rPr>
                <w:rFonts w:ascii="Arial Narrow" w:hAnsi="Arial Narrow"/>
                <w:sz w:val="20"/>
                <w:szCs w:val="20"/>
                <w:highlight w:val="yellow"/>
              </w:rPr>
            </w:pPr>
            <w:r w:rsidRPr="00987C77">
              <w:rPr>
                <w:rFonts w:ascii="Arial Narrow" w:hAnsi="Arial Narrow"/>
                <w:sz w:val="20"/>
                <w:szCs w:val="20"/>
              </w:rPr>
              <w:t>$1,043,889</w:t>
            </w:r>
          </w:p>
        </w:tc>
        <w:tc>
          <w:tcPr>
            <w:tcW w:w="1107" w:type="dxa"/>
            <w:vAlign w:val="center"/>
          </w:tcPr>
          <w:p w14:paraId="4BC6C0E0" w14:textId="69B23D6C" w:rsidR="00C63231" w:rsidRPr="00987C77" w:rsidRDefault="00C63231" w:rsidP="00B06469">
            <w:pPr>
              <w:keepNext/>
              <w:spacing w:before="40" w:after="40"/>
              <w:jc w:val="center"/>
              <w:rPr>
                <w:rFonts w:ascii="Arial Narrow" w:hAnsi="Arial Narrow"/>
                <w:sz w:val="20"/>
                <w:szCs w:val="20"/>
                <w:highlight w:val="yellow"/>
              </w:rPr>
            </w:pPr>
            <w:r w:rsidRPr="00987C77">
              <w:rPr>
                <w:rFonts w:ascii="Arial Narrow" w:hAnsi="Arial Narrow"/>
                <w:sz w:val="20"/>
                <w:szCs w:val="20"/>
              </w:rPr>
              <w:t>$1,043,889</w:t>
            </w:r>
          </w:p>
        </w:tc>
        <w:tc>
          <w:tcPr>
            <w:tcW w:w="1106" w:type="dxa"/>
            <w:vAlign w:val="center"/>
          </w:tcPr>
          <w:p w14:paraId="22E22586" w14:textId="75EB50DE" w:rsidR="00C63231" w:rsidRPr="00987C77" w:rsidRDefault="00C63231" w:rsidP="00B06469">
            <w:pPr>
              <w:keepNext/>
              <w:spacing w:before="40" w:after="40"/>
              <w:jc w:val="center"/>
              <w:rPr>
                <w:rFonts w:ascii="Arial Narrow" w:hAnsi="Arial Narrow"/>
                <w:sz w:val="20"/>
                <w:szCs w:val="20"/>
                <w:highlight w:val="yellow"/>
              </w:rPr>
            </w:pPr>
            <w:r w:rsidRPr="00987C77">
              <w:rPr>
                <w:rFonts w:ascii="Arial Narrow" w:hAnsi="Arial Narrow"/>
                <w:sz w:val="20"/>
                <w:szCs w:val="20"/>
              </w:rPr>
              <w:t>$1,043,889</w:t>
            </w:r>
          </w:p>
        </w:tc>
        <w:tc>
          <w:tcPr>
            <w:tcW w:w="1106" w:type="dxa"/>
            <w:vAlign w:val="center"/>
          </w:tcPr>
          <w:p w14:paraId="58C6387B" w14:textId="5F8A3F6B" w:rsidR="00C63231" w:rsidRPr="00987C77" w:rsidRDefault="00C63231" w:rsidP="00B06469">
            <w:pPr>
              <w:keepNext/>
              <w:spacing w:before="40" w:after="40"/>
              <w:jc w:val="center"/>
              <w:rPr>
                <w:rFonts w:ascii="Arial Narrow" w:hAnsi="Arial Narrow"/>
                <w:sz w:val="20"/>
                <w:szCs w:val="20"/>
                <w:highlight w:val="yellow"/>
              </w:rPr>
            </w:pPr>
            <w:r w:rsidRPr="00987C77">
              <w:rPr>
                <w:rFonts w:ascii="Arial Narrow" w:hAnsi="Arial Narrow"/>
                <w:sz w:val="20"/>
                <w:szCs w:val="20"/>
              </w:rPr>
              <w:t>$1,043,889</w:t>
            </w:r>
          </w:p>
        </w:tc>
        <w:tc>
          <w:tcPr>
            <w:tcW w:w="1107" w:type="dxa"/>
            <w:vAlign w:val="center"/>
          </w:tcPr>
          <w:p w14:paraId="4771A65E" w14:textId="55AFE5EE" w:rsidR="00C63231" w:rsidRPr="00987C77" w:rsidRDefault="00C63231" w:rsidP="00B06469">
            <w:pPr>
              <w:keepNext/>
              <w:spacing w:before="40" w:after="40"/>
              <w:jc w:val="center"/>
              <w:rPr>
                <w:rFonts w:ascii="Arial Narrow" w:hAnsi="Arial Narrow"/>
                <w:sz w:val="20"/>
                <w:szCs w:val="20"/>
                <w:highlight w:val="yellow"/>
              </w:rPr>
            </w:pPr>
            <w:r w:rsidRPr="00987C77">
              <w:rPr>
                <w:rFonts w:ascii="Arial Narrow" w:hAnsi="Arial Narrow"/>
                <w:sz w:val="20"/>
                <w:szCs w:val="20"/>
              </w:rPr>
              <w:t>$1,043,889</w:t>
            </w:r>
          </w:p>
        </w:tc>
      </w:tr>
      <w:tr w:rsidR="00C63231" w:rsidRPr="00431E96" w14:paraId="10385358" w14:textId="77777777" w:rsidTr="00C63231">
        <w:tc>
          <w:tcPr>
            <w:tcW w:w="2429" w:type="dxa"/>
            <w:tcBorders>
              <w:right w:val="nil"/>
            </w:tcBorders>
          </w:tcPr>
          <w:p w14:paraId="4CFCC78E" w14:textId="77777777" w:rsidR="00370686" w:rsidRPr="00431E96" w:rsidRDefault="00370686" w:rsidP="00B06469">
            <w:pPr>
              <w:keepNext/>
              <w:spacing w:before="40" w:after="40"/>
              <w:rPr>
                <w:rFonts w:ascii="Arial Narrow" w:hAnsi="Arial Narrow"/>
                <w:sz w:val="20"/>
                <w:szCs w:val="20"/>
              </w:rPr>
            </w:pPr>
            <w:r w:rsidRPr="00431E96">
              <w:rPr>
                <w:rFonts w:ascii="Arial Narrow" w:hAnsi="Arial Narrow"/>
                <w:b/>
                <w:bCs/>
                <w:sz w:val="20"/>
                <w:szCs w:val="20"/>
              </w:rPr>
              <w:t>Change in use and cost of other health technologies</w:t>
            </w:r>
          </w:p>
        </w:tc>
        <w:tc>
          <w:tcPr>
            <w:tcW w:w="1106" w:type="dxa"/>
            <w:tcBorders>
              <w:left w:val="nil"/>
              <w:right w:val="nil"/>
            </w:tcBorders>
            <w:vAlign w:val="center"/>
          </w:tcPr>
          <w:p w14:paraId="18807E1C" w14:textId="77777777" w:rsidR="00370686" w:rsidRPr="00431E96" w:rsidRDefault="00370686" w:rsidP="00B06469">
            <w:pPr>
              <w:keepNext/>
              <w:spacing w:before="40" w:after="40"/>
              <w:jc w:val="center"/>
              <w:rPr>
                <w:rFonts w:ascii="Arial Narrow" w:hAnsi="Arial Narrow"/>
                <w:sz w:val="20"/>
                <w:szCs w:val="20"/>
              </w:rPr>
            </w:pPr>
          </w:p>
        </w:tc>
        <w:tc>
          <w:tcPr>
            <w:tcW w:w="1106" w:type="dxa"/>
            <w:tcBorders>
              <w:left w:val="nil"/>
              <w:right w:val="nil"/>
            </w:tcBorders>
            <w:vAlign w:val="center"/>
          </w:tcPr>
          <w:p w14:paraId="1472C4C0" w14:textId="77777777" w:rsidR="00370686" w:rsidRPr="00431E96" w:rsidRDefault="00370686" w:rsidP="00B06469">
            <w:pPr>
              <w:keepNext/>
              <w:spacing w:before="40" w:after="40"/>
              <w:jc w:val="center"/>
              <w:rPr>
                <w:rFonts w:ascii="Arial Narrow" w:hAnsi="Arial Narrow"/>
                <w:sz w:val="20"/>
                <w:szCs w:val="20"/>
              </w:rPr>
            </w:pPr>
          </w:p>
        </w:tc>
        <w:tc>
          <w:tcPr>
            <w:tcW w:w="1107" w:type="dxa"/>
            <w:tcBorders>
              <w:left w:val="nil"/>
              <w:right w:val="nil"/>
            </w:tcBorders>
            <w:vAlign w:val="center"/>
          </w:tcPr>
          <w:p w14:paraId="11F2C5A8" w14:textId="77777777" w:rsidR="00370686" w:rsidRPr="00431E96" w:rsidRDefault="00370686" w:rsidP="00B06469">
            <w:pPr>
              <w:keepNext/>
              <w:spacing w:before="40" w:after="40"/>
              <w:jc w:val="center"/>
              <w:rPr>
                <w:rFonts w:ascii="Arial Narrow" w:hAnsi="Arial Narrow"/>
                <w:sz w:val="20"/>
                <w:szCs w:val="20"/>
              </w:rPr>
            </w:pPr>
          </w:p>
        </w:tc>
        <w:tc>
          <w:tcPr>
            <w:tcW w:w="1106" w:type="dxa"/>
            <w:tcBorders>
              <w:left w:val="nil"/>
              <w:right w:val="nil"/>
            </w:tcBorders>
            <w:vAlign w:val="center"/>
          </w:tcPr>
          <w:p w14:paraId="29957195" w14:textId="77777777" w:rsidR="00370686" w:rsidRPr="00431E96" w:rsidRDefault="00370686" w:rsidP="00B06469">
            <w:pPr>
              <w:keepNext/>
              <w:spacing w:before="40" w:after="40"/>
              <w:jc w:val="center"/>
              <w:rPr>
                <w:rFonts w:ascii="Arial Narrow" w:hAnsi="Arial Narrow"/>
                <w:sz w:val="20"/>
                <w:szCs w:val="20"/>
              </w:rPr>
            </w:pPr>
          </w:p>
        </w:tc>
        <w:tc>
          <w:tcPr>
            <w:tcW w:w="1106" w:type="dxa"/>
            <w:tcBorders>
              <w:left w:val="nil"/>
              <w:right w:val="nil"/>
            </w:tcBorders>
            <w:vAlign w:val="center"/>
          </w:tcPr>
          <w:p w14:paraId="653339C4" w14:textId="77777777" w:rsidR="00370686" w:rsidRPr="00431E96" w:rsidRDefault="00370686" w:rsidP="00B06469">
            <w:pPr>
              <w:keepNext/>
              <w:spacing w:before="40" w:after="40"/>
              <w:jc w:val="center"/>
              <w:rPr>
                <w:rFonts w:ascii="Arial Narrow" w:hAnsi="Arial Narrow"/>
                <w:sz w:val="20"/>
                <w:szCs w:val="20"/>
              </w:rPr>
            </w:pPr>
          </w:p>
        </w:tc>
        <w:tc>
          <w:tcPr>
            <w:tcW w:w="1107" w:type="dxa"/>
            <w:tcBorders>
              <w:left w:val="nil"/>
            </w:tcBorders>
            <w:vAlign w:val="center"/>
          </w:tcPr>
          <w:p w14:paraId="793C0FD5" w14:textId="77777777" w:rsidR="00370686" w:rsidRPr="00431E96" w:rsidRDefault="00370686" w:rsidP="00B06469">
            <w:pPr>
              <w:keepNext/>
              <w:spacing w:before="40" w:after="40"/>
              <w:jc w:val="center"/>
              <w:rPr>
                <w:rFonts w:ascii="Arial Narrow" w:hAnsi="Arial Narrow"/>
                <w:sz w:val="20"/>
                <w:szCs w:val="20"/>
              </w:rPr>
            </w:pPr>
          </w:p>
        </w:tc>
      </w:tr>
      <w:tr w:rsidR="00DF790E" w:rsidRPr="00431E96" w14:paraId="22B9FF62" w14:textId="77777777" w:rsidTr="00C63231">
        <w:tc>
          <w:tcPr>
            <w:tcW w:w="2429" w:type="dxa"/>
          </w:tcPr>
          <w:p w14:paraId="5BE21F46" w14:textId="77777777" w:rsidR="00DF790E" w:rsidRPr="00467E8F" w:rsidRDefault="00DF790E" w:rsidP="00B06469">
            <w:pPr>
              <w:keepNext/>
              <w:spacing w:before="40" w:after="40"/>
              <w:rPr>
                <w:rFonts w:ascii="Arial Narrow" w:hAnsi="Arial Narrow"/>
                <w:sz w:val="20"/>
                <w:szCs w:val="20"/>
              </w:rPr>
            </w:pPr>
            <w:r w:rsidRPr="00467E8F">
              <w:rPr>
                <w:rFonts w:ascii="Arial Narrow" w:hAnsi="Arial Narrow"/>
                <w:sz w:val="20"/>
                <w:szCs w:val="20"/>
              </w:rPr>
              <w:t xml:space="preserve">Change in use of MBS items </w:t>
            </w:r>
          </w:p>
        </w:tc>
        <w:tc>
          <w:tcPr>
            <w:tcW w:w="1106" w:type="dxa"/>
          </w:tcPr>
          <w:p w14:paraId="0CD6A523" w14:textId="6E86652F" w:rsidR="00DF790E" w:rsidRPr="00A348CC" w:rsidRDefault="00DF790E" w:rsidP="00B06469">
            <w:pPr>
              <w:keepNext/>
              <w:spacing w:before="40" w:after="40"/>
              <w:jc w:val="center"/>
              <w:rPr>
                <w:rFonts w:ascii="Arial Narrow" w:hAnsi="Arial Narrow"/>
                <w:sz w:val="20"/>
                <w:szCs w:val="20"/>
              </w:rPr>
            </w:pPr>
            <w:r w:rsidRPr="00124440">
              <w:rPr>
                <w:rFonts w:ascii="Arial Narrow" w:hAnsi="Arial Narrow"/>
                <w:sz w:val="20"/>
                <w:szCs w:val="20"/>
              </w:rPr>
              <w:t>$</w:t>
            </w:r>
            <w:r>
              <w:rPr>
                <w:rFonts w:ascii="Arial Narrow" w:hAnsi="Arial Narrow"/>
                <w:sz w:val="20"/>
                <w:szCs w:val="20"/>
              </w:rPr>
              <w:t>85,731</w:t>
            </w:r>
          </w:p>
        </w:tc>
        <w:tc>
          <w:tcPr>
            <w:tcW w:w="1106" w:type="dxa"/>
          </w:tcPr>
          <w:p w14:paraId="2189E7FD" w14:textId="34E4AC9E" w:rsidR="00DF790E" w:rsidRPr="00A348CC" w:rsidRDefault="00DF790E" w:rsidP="00B06469">
            <w:pPr>
              <w:keepNext/>
              <w:spacing w:before="40" w:after="40"/>
              <w:jc w:val="center"/>
              <w:rPr>
                <w:rFonts w:ascii="Arial Narrow" w:hAnsi="Arial Narrow"/>
                <w:sz w:val="20"/>
                <w:szCs w:val="20"/>
              </w:rPr>
            </w:pPr>
            <w:r w:rsidRPr="00124440">
              <w:rPr>
                <w:rFonts w:ascii="Arial Narrow" w:hAnsi="Arial Narrow"/>
                <w:sz w:val="20"/>
                <w:szCs w:val="20"/>
              </w:rPr>
              <w:t>$18,</w:t>
            </w:r>
            <w:r>
              <w:rPr>
                <w:rFonts w:ascii="Arial Narrow" w:hAnsi="Arial Narrow"/>
                <w:sz w:val="20"/>
                <w:szCs w:val="20"/>
              </w:rPr>
              <w:t>639</w:t>
            </w:r>
          </w:p>
        </w:tc>
        <w:tc>
          <w:tcPr>
            <w:tcW w:w="1107" w:type="dxa"/>
          </w:tcPr>
          <w:p w14:paraId="42959832" w14:textId="43BEFCA5" w:rsidR="00DF790E" w:rsidRPr="00A348CC" w:rsidRDefault="00DF790E" w:rsidP="00B06469">
            <w:pPr>
              <w:keepNext/>
              <w:spacing w:before="40" w:after="40"/>
              <w:jc w:val="center"/>
              <w:rPr>
                <w:rFonts w:ascii="Arial Narrow" w:hAnsi="Arial Narrow"/>
                <w:sz w:val="20"/>
                <w:szCs w:val="20"/>
              </w:rPr>
            </w:pPr>
            <w:r w:rsidRPr="00124440">
              <w:rPr>
                <w:rFonts w:ascii="Arial Narrow" w:hAnsi="Arial Narrow"/>
                <w:sz w:val="20"/>
                <w:szCs w:val="20"/>
              </w:rPr>
              <w:t>$18,</w:t>
            </w:r>
            <w:r>
              <w:rPr>
                <w:rFonts w:ascii="Arial Narrow" w:hAnsi="Arial Narrow"/>
                <w:sz w:val="20"/>
                <w:szCs w:val="20"/>
              </w:rPr>
              <w:t>639</w:t>
            </w:r>
          </w:p>
        </w:tc>
        <w:tc>
          <w:tcPr>
            <w:tcW w:w="1106" w:type="dxa"/>
          </w:tcPr>
          <w:p w14:paraId="7FFC9458" w14:textId="10EF1837" w:rsidR="00DF790E" w:rsidRPr="00A348CC" w:rsidRDefault="00DF790E" w:rsidP="00B06469">
            <w:pPr>
              <w:keepNext/>
              <w:spacing w:before="40" w:after="40"/>
              <w:jc w:val="center"/>
              <w:rPr>
                <w:rFonts w:ascii="Arial Narrow" w:hAnsi="Arial Narrow"/>
                <w:sz w:val="20"/>
                <w:szCs w:val="20"/>
              </w:rPr>
            </w:pPr>
            <w:r w:rsidRPr="00124440">
              <w:rPr>
                <w:rFonts w:ascii="Arial Narrow" w:hAnsi="Arial Narrow"/>
                <w:sz w:val="20"/>
                <w:szCs w:val="20"/>
              </w:rPr>
              <w:t>$18,</w:t>
            </w:r>
            <w:r>
              <w:rPr>
                <w:rFonts w:ascii="Arial Narrow" w:hAnsi="Arial Narrow"/>
                <w:sz w:val="20"/>
                <w:szCs w:val="20"/>
              </w:rPr>
              <w:t>639</w:t>
            </w:r>
          </w:p>
        </w:tc>
        <w:tc>
          <w:tcPr>
            <w:tcW w:w="1106" w:type="dxa"/>
          </w:tcPr>
          <w:p w14:paraId="17D40089" w14:textId="3F80BA64" w:rsidR="00DF790E" w:rsidRPr="00A348CC" w:rsidRDefault="00DF790E" w:rsidP="00B06469">
            <w:pPr>
              <w:keepNext/>
              <w:spacing w:before="40" w:after="40"/>
              <w:jc w:val="center"/>
              <w:rPr>
                <w:rFonts w:ascii="Arial Narrow" w:hAnsi="Arial Narrow"/>
                <w:sz w:val="20"/>
                <w:szCs w:val="20"/>
              </w:rPr>
            </w:pPr>
            <w:r w:rsidRPr="00124440">
              <w:rPr>
                <w:rFonts w:ascii="Arial Narrow" w:hAnsi="Arial Narrow"/>
                <w:sz w:val="20"/>
                <w:szCs w:val="20"/>
              </w:rPr>
              <w:t>$18,</w:t>
            </w:r>
            <w:r>
              <w:rPr>
                <w:rFonts w:ascii="Arial Narrow" w:hAnsi="Arial Narrow"/>
                <w:sz w:val="20"/>
                <w:szCs w:val="20"/>
              </w:rPr>
              <w:t>639</w:t>
            </w:r>
          </w:p>
        </w:tc>
        <w:tc>
          <w:tcPr>
            <w:tcW w:w="1107" w:type="dxa"/>
          </w:tcPr>
          <w:p w14:paraId="3B255851" w14:textId="487B61F3" w:rsidR="00DF790E" w:rsidRPr="00A348CC" w:rsidRDefault="00DF790E" w:rsidP="00B06469">
            <w:pPr>
              <w:keepNext/>
              <w:spacing w:before="40" w:after="40"/>
              <w:jc w:val="center"/>
              <w:rPr>
                <w:rFonts w:ascii="Arial Narrow" w:hAnsi="Arial Narrow"/>
                <w:sz w:val="20"/>
                <w:szCs w:val="20"/>
              </w:rPr>
            </w:pPr>
            <w:r w:rsidRPr="00124440">
              <w:rPr>
                <w:rFonts w:ascii="Arial Narrow" w:hAnsi="Arial Narrow"/>
                <w:sz w:val="20"/>
                <w:szCs w:val="20"/>
              </w:rPr>
              <w:t>$18,</w:t>
            </w:r>
            <w:r>
              <w:rPr>
                <w:rFonts w:ascii="Arial Narrow" w:hAnsi="Arial Narrow"/>
                <w:sz w:val="20"/>
                <w:szCs w:val="20"/>
              </w:rPr>
              <w:t>639</w:t>
            </w:r>
          </w:p>
        </w:tc>
      </w:tr>
      <w:tr w:rsidR="00C63231" w:rsidRPr="00431E96" w14:paraId="73D6FCC9" w14:textId="77777777" w:rsidTr="00C63231">
        <w:tc>
          <w:tcPr>
            <w:tcW w:w="2429" w:type="dxa"/>
          </w:tcPr>
          <w:p w14:paraId="548711EA" w14:textId="28E1C0B6" w:rsidR="00370686" w:rsidRPr="00467E8F" w:rsidRDefault="00370686" w:rsidP="00B06469">
            <w:pPr>
              <w:keepNext/>
              <w:spacing w:before="40" w:after="40"/>
              <w:rPr>
                <w:rFonts w:ascii="Arial Narrow" w:hAnsi="Arial Narrow"/>
                <w:sz w:val="20"/>
                <w:szCs w:val="20"/>
              </w:rPr>
            </w:pPr>
            <w:r w:rsidRPr="00467E8F">
              <w:rPr>
                <w:rFonts w:ascii="Arial Narrow" w:hAnsi="Arial Narrow"/>
                <w:sz w:val="20"/>
                <w:szCs w:val="20"/>
              </w:rPr>
              <w:t xml:space="preserve">Change in use of </w:t>
            </w:r>
            <w:r w:rsidR="0071179F" w:rsidRPr="00987C77">
              <w:rPr>
                <w:rFonts w:ascii="Arial Narrow" w:hAnsi="Arial Narrow"/>
                <w:sz w:val="20"/>
                <w:szCs w:val="20"/>
              </w:rPr>
              <w:t>further investigations</w:t>
            </w:r>
          </w:p>
        </w:tc>
        <w:tc>
          <w:tcPr>
            <w:tcW w:w="1106" w:type="dxa"/>
            <w:tcBorders>
              <w:right w:val="nil"/>
            </w:tcBorders>
            <w:vAlign w:val="center"/>
          </w:tcPr>
          <w:p w14:paraId="5CC72A81" w14:textId="77777777" w:rsidR="00370686" w:rsidRPr="002F138F" w:rsidRDefault="00370686" w:rsidP="00B06469">
            <w:pPr>
              <w:keepNext/>
              <w:spacing w:before="40" w:after="40"/>
              <w:jc w:val="center"/>
              <w:rPr>
                <w:rFonts w:ascii="Arial Narrow" w:hAnsi="Arial Narrow"/>
                <w:sz w:val="20"/>
                <w:szCs w:val="20"/>
              </w:rPr>
            </w:pPr>
          </w:p>
        </w:tc>
        <w:tc>
          <w:tcPr>
            <w:tcW w:w="1106" w:type="dxa"/>
            <w:tcBorders>
              <w:left w:val="nil"/>
              <w:right w:val="nil"/>
            </w:tcBorders>
            <w:vAlign w:val="center"/>
          </w:tcPr>
          <w:p w14:paraId="5FB6714D" w14:textId="77777777" w:rsidR="00370686" w:rsidRPr="00D351E4" w:rsidRDefault="00370686" w:rsidP="00B06469">
            <w:pPr>
              <w:keepNext/>
              <w:spacing w:before="40" w:after="40"/>
              <w:jc w:val="center"/>
              <w:rPr>
                <w:rFonts w:ascii="Arial Narrow" w:hAnsi="Arial Narrow"/>
                <w:sz w:val="20"/>
                <w:szCs w:val="20"/>
              </w:rPr>
            </w:pPr>
          </w:p>
        </w:tc>
        <w:tc>
          <w:tcPr>
            <w:tcW w:w="1107" w:type="dxa"/>
            <w:tcBorders>
              <w:left w:val="nil"/>
              <w:right w:val="nil"/>
            </w:tcBorders>
            <w:vAlign w:val="center"/>
          </w:tcPr>
          <w:p w14:paraId="75257A06" w14:textId="77777777" w:rsidR="00370686" w:rsidRPr="00A348CC" w:rsidRDefault="00370686" w:rsidP="00B06469">
            <w:pPr>
              <w:keepNext/>
              <w:spacing w:before="40" w:after="40"/>
              <w:jc w:val="right"/>
              <w:rPr>
                <w:rFonts w:ascii="Arial Narrow" w:hAnsi="Arial Narrow"/>
                <w:sz w:val="20"/>
                <w:szCs w:val="20"/>
              </w:rPr>
            </w:pPr>
            <w:r w:rsidRPr="00431E96">
              <w:rPr>
                <w:rFonts w:ascii="Arial Narrow" w:hAnsi="Arial Narrow"/>
                <w:sz w:val="20"/>
                <w:szCs w:val="20"/>
              </w:rPr>
              <w:t>N/A</w:t>
            </w:r>
          </w:p>
        </w:tc>
        <w:tc>
          <w:tcPr>
            <w:tcW w:w="1106" w:type="dxa"/>
            <w:tcBorders>
              <w:left w:val="nil"/>
              <w:right w:val="nil"/>
            </w:tcBorders>
            <w:vAlign w:val="center"/>
          </w:tcPr>
          <w:p w14:paraId="39C73D54" w14:textId="77777777" w:rsidR="00370686" w:rsidRPr="002F138F" w:rsidRDefault="00370686" w:rsidP="00B06469">
            <w:pPr>
              <w:keepNext/>
              <w:spacing w:before="40" w:after="40"/>
              <w:jc w:val="center"/>
              <w:rPr>
                <w:rFonts w:ascii="Arial Narrow" w:hAnsi="Arial Narrow"/>
                <w:sz w:val="20"/>
                <w:szCs w:val="20"/>
              </w:rPr>
            </w:pPr>
          </w:p>
        </w:tc>
        <w:tc>
          <w:tcPr>
            <w:tcW w:w="1106" w:type="dxa"/>
            <w:tcBorders>
              <w:left w:val="nil"/>
              <w:right w:val="nil"/>
            </w:tcBorders>
            <w:vAlign w:val="center"/>
          </w:tcPr>
          <w:p w14:paraId="2B8890D0" w14:textId="77777777" w:rsidR="00370686" w:rsidRPr="00D351E4" w:rsidRDefault="00370686" w:rsidP="00B06469">
            <w:pPr>
              <w:keepNext/>
              <w:spacing w:before="40" w:after="40"/>
              <w:jc w:val="center"/>
              <w:rPr>
                <w:rFonts w:ascii="Arial Narrow" w:hAnsi="Arial Narrow"/>
                <w:sz w:val="20"/>
                <w:szCs w:val="20"/>
              </w:rPr>
            </w:pPr>
          </w:p>
        </w:tc>
        <w:tc>
          <w:tcPr>
            <w:tcW w:w="1107" w:type="dxa"/>
            <w:tcBorders>
              <w:left w:val="nil"/>
            </w:tcBorders>
            <w:vAlign w:val="center"/>
          </w:tcPr>
          <w:p w14:paraId="3128587A" w14:textId="77777777" w:rsidR="00370686" w:rsidRPr="00D351E4" w:rsidRDefault="00370686" w:rsidP="00B06469">
            <w:pPr>
              <w:keepNext/>
              <w:spacing w:before="40" w:after="40"/>
              <w:jc w:val="center"/>
              <w:rPr>
                <w:rFonts w:ascii="Arial Narrow" w:hAnsi="Arial Narrow"/>
                <w:sz w:val="20"/>
                <w:szCs w:val="20"/>
              </w:rPr>
            </w:pPr>
          </w:p>
        </w:tc>
      </w:tr>
      <w:tr w:rsidR="00DF790E" w:rsidRPr="00431E96" w14:paraId="7D924FA3" w14:textId="77777777" w:rsidTr="00C63231">
        <w:tc>
          <w:tcPr>
            <w:tcW w:w="2429" w:type="dxa"/>
          </w:tcPr>
          <w:p w14:paraId="19AC9B44" w14:textId="77AADB9B" w:rsidR="00DF790E" w:rsidRPr="00987C77" w:rsidRDefault="00DF790E" w:rsidP="00B06469">
            <w:pPr>
              <w:keepNext/>
              <w:spacing w:before="40" w:after="40"/>
              <w:rPr>
                <w:rFonts w:ascii="Arial Narrow" w:hAnsi="Arial Narrow"/>
                <w:sz w:val="20"/>
                <w:szCs w:val="20"/>
              </w:rPr>
            </w:pPr>
            <w:r w:rsidRPr="00124440">
              <w:rPr>
                <w:rFonts w:ascii="Arial Narrow" w:hAnsi="Arial Narrow"/>
                <w:sz w:val="20"/>
                <w:szCs w:val="20"/>
              </w:rPr>
              <w:t>Net change in costs to MBS (with appropriate co-payments excluded</w:t>
            </w:r>
            <w:r>
              <w:rPr>
                <w:rFonts w:ascii="Arial Narrow" w:hAnsi="Arial Narrow"/>
                <w:sz w:val="20"/>
                <w:szCs w:val="20"/>
              </w:rPr>
              <w:t>, assume 0.85</w:t>
            </w:r>
            <w:r w:rsidRPr="00124440">
              <w:rPr>
                <w:rFonts w:ascii="Arial Narrow" w:hAnsi="Arial Narrow"/>
                <w:sz w:val="20"/>
                <w:szCs w:val="20"/>
              </w:rPr>
              <w:t>)</w:t>
            </w:r>
          </w:p>
        </w:tc>
        <w:tc>
          <w:tcPr>
            <w:tcW w:w="1106" w:type="dxa"/>
            <w:vAlign w:val="center"/>
          </w:tcPr>
          <w:p w14:paraId="0DCD3714" w14:textId="70B7D32D" w:rsidR="00DF790E" w:rsidRPr="00A348CC" w:rsidRDefault="00DF790E" w:rsidP="00B06469">
            <w:pPr>
              <w:keepNext/>
              <w:spacing w:before="40" w:after="40"/>
              <w:jc w:val="center"/>
              <w:rPr>
                <w:rFonts w:ascii="Arial Narrow" w:hAnsi="Arial Narrow"/>
                <w:sz w:val="20"/>
                <w:szCs w:val="20"/>
              </w:rPr>
            </w:pPr>
            <w:r w:rsidRPr="00124440">
              <w:rPr>
                <w:rFonts w:ascii="Arial Narrow" w:hAnsi="Arial Narrow"/>
                <w:sz w:val="20"/>
                <w:szCs w:val="20"/>
              </w:rPr>
              <w:t>$</w:t>
            </w:r>
            <w:r>
              <w:rPr>
                <w:rFonts w:ascii="Arial Narrow" w:hAnsi="Arial Narrow"/>
                <w:sz w:val="20"/>
                <w:szCs w:val="20"/>
              </w:rPr>
              <w:t>72,871</w:t>
            </w:r>
          </w:p>
        </w:tc>
        <w:tc>
          <w:tcPr>
            <w:tcW w:w="1106" w:type="dxa"/>
            <w:vAlign w:val="center"/>
          </w:tcPr>
          <w:p w14:paraId="14C6B6A9" w14:textId="572D4794" w:rsidR="00DF790E" w:rsidRPr="00A348CC" w:rsidRDefault="00DF790E" w:rsidP="00B06469">
            <w:pPr>
              <w:keepNext/>
              <w:spacing w:before="40" w:after="40"/>
              <w:jc w:val="center"/>
              <w:rPr>
                <w:rFonts w:ascii="Arial Narrow" w:hAnsi="Arial Narrow"/>
                <w:sz w:val="20"/>
                <w:szCs w:val="20"/>
              </w:rPr>
            </w:pPr>
            <w:r w:rsidRPr="00124440">
              <w:rPr>
                <w:rFonts w:ascii="Arial Narrow" w:hAnsi="Arial Narrow"/>
                <w:sz w:val="20"/>
                <w:szCs w:val="20"/>
              </w:rPr>
              <w:t>$15,</w:t>
            </w:r>
            <w:r>
              <w:rPr>
                <w:rFonts w:ascii="Arial Narrow" w:hAnsi="Arial Narrow"/>
                <w:sz w:val="20"/>
                <w:szCs w:val="20"/>
              </w:rPr>
              <w:t>843</w:t>
            </w:r>
          </w:p>
        </w:tc>
        <w:tc>
          <w:tcPr>
            <w:tcW w:w="1107" w:type="dxa"/>
            <w:vAlign w:val="center"/>
          </w:tcPr>
          <w:p w14:paraId="265A344F" w14:textId="7F1FD7B2" w:rsidR="00DF790E" w:rsidRPr="00A348CC" w:rsidRDefault="00DF790E" w:rsidP="00B06469">
            <w:pPr>
              <w:keepNext/>
              <w:spacing w:before="40" w:after="40"/>
              <w:jc w:val="center"/>
              <w:rPr>
                <w:rFonts w:ascii="Arial Narrow" w:hAnsi="Arial Narrow"/>
                <w:sz w:val="20"/>
                <w:szCs w:val="20"/>
              </w:rPr>
            </w:pPr>
            <w:r w:rsidRPr="00124440">
              <w:rPr>
                <w:rFonts w:ascii="Arial Narrow" w:hAnsi="Arial Narrow"/>
                <w:sz w:val="20"/>
                <w:szCs w:val="20"/>
              </w:rPr>
              <w:t>$15,</w:t>
            </w:r>
            <w:r>
              <w:rPr>
                <w:rFonts w:ascii="Arial Narrow" w:hAnsi="Arial Narrow"/>
                <w:sz w:val="20"/>
                <w:szCs w:val="20"/>
              </w:rPr>
              <w:t>843</w:t>
            </w:r>
          </w:p>
        </w:tc>
        <w:tc>
          <w:tcPr>
            <w:tcW w:w="1106" w:type="dxa"/>
            <w:vAlign w:val="center"/>
          </w:tcPr>
          <w:p w14:paraId="6D95760A" w14:textId="03A2CD31" w:rsidR="00DF790E" w:rsidRPr="00A348CC" w:rsidRDefault="00DF790E" w:rsidP="00B06469">
            <w:pPr>
              <w:keepNext/>
              <w:spacing w:before="40" w:after="40"/>
              <w:jc w:val="center"/>
              <w:rPr>
                <w:rFonts w:ascii="Arial Narrow" w:hAnsi="Arial Narrow"/>
                <w:sz w:val="20"/>
                <w:szCs w:val="20"/>
              </w:rPr>
            </w:pPr>
            <w:r w:rsidRPr="00124440">
              <w:rPr>
                <w:rFonts w:ascii="Arial Narrow" w:hAnsi="Arial Narrow"/>
                <w:sz w:val="20"/>
                <w:szCs w:val="20"/>
              </w:rPr>
              <w:t>$15,</w:t>
            </w:r>
            <w:r>
              <w:rPr>
                <w:rFonts w:ascii="Arial Narrow" w:hAnsi="Arial Narrow"/>
                <w:sz w:val="20"/>
                <w:szCs w:val="20"/>
              </w:rPr>
              <w:t>843</w:t>
            </w:r>
          </w:p>
        </w:tc>
        <w:tc>
          <w:tcPr>
            <w:tcW w:w="1106" w:type="dxa"/>
            <w:vAlign w:val="center"/>
          </w:tcPr>
          <w:p w14:paraId="19DE5871" w14:textId="17A6784A" w:rsidR="00DF790E" w:rsidRPr="00A348CC" w:rsidRDefault="00DF790E" w:rsidP="00B06469">
            <w:pPr>
              <w:keepNext/>
              <w:spacing w:before="40" w:after="40"/>
              <w:jc w:val="center"/>
              <w:rPr>
                <w:rFonts w:ascii="Arial Narrow" w:hAnsi="Arial Narrow"/>
                <w:sz w:val="20"/>
                <w:szCs w:val="20"/>
              </w:rPr>
            </w:pPr>
            <w:r w:rsidRPr="00124440">
              <w:rPr>
                <w:rFonts w:ascii="Arial Narrow" w:hAnsi="Arial Narrow"/>
                <w:sz w:val="20"/>
                <w:szCs w:val="20"/>
              </w:rPr>
              <w:t>$15,</w:t>
            </w:r>
            <w:r>
              <w:rPr>
                <w:rFonts w:ascii="Arial Narrow" w:hAnsi="Arial Narrow"/>
                <w:sz w:val="20"/>
                <w:szCs w:val="20"/>
              </w:rPr>
              <w:t>843</w:t>
            </w:r>
          </w:p>
        </w:tc>
        <w:tc>
          <w:tcPr>
            <w:tcW w:w="1107" w:type="dxa"/>
            <w:vAlign w:val="center"/>
          </w:tcPr>
          <w:p w14:paraId="01F3B5CE" w14:textId="68617E28" w:rsidR="00DF790E" w:rsidRPr="00A348CC" w:rsidRDefault="00DF790E" w:rsidP="00B06469">
            <w:pPr>
              <w:keepNext/>
              <w:spacing w:before="40" w:after="40"/>
              <w:jc w:val="center"/>
              <w:rPr>
                <w:rFonts w:ascii="Arial Narrow" w:hAnsi="Arial Narrow"/>
                <w:sz w:val="20"/>
                <w:szCs w:val="20"/>
              </w:rPr>
            </w:pPr>
            <w:r w:rsidRPr="00124440">
              <w:rPr>
                <w:rFonts w:ascii="Arial Narrow" w:hAnsi="Arial Narrow"/>
                <w:sz w:val="20"/>
                <w:szCs w:val="20"/>
              </w:rPr>
              <w:t>$15,</w:t>
            </w:r>
            <w:r>
              <w:rPr>
                <w:rFonts w:ascii="Arial Narrow" w:hAnsi="Arial Narrow"/>
                <w:sz w:val="20"/>
                <w:szCs w:val="20"/>
              </w:rPr>
              <w:t>843</w:t>
            </w:r>
          </w:p>
        </w:tc>
      </w:tr>
      <w:tr w:rsidR="00DF790E" w:rsidRPr="00431E96" w14:paraId="3CAD5FF8" w14:textId="77777777" w:rsidTr="00C63231">
        <w:tc>
          <w:tcPr>
            <w:tcW w:w="2429" w:type="dxa"/>
          </w:tcPr>
          <w:p w14:paraId="71061C12" w14:textId="77777777" w:rsidR="00DF790E" w:rsidRPr="007D3FA3" w:rsidRDefault="00DF790E" w:rsidP="00B06469">
            <w:pPr>
              <w:keepNext/>
              <w:spacing w:before="40" w:after="40"/>
              <w:rPr>
                <w:rFonts w:ascii="Arial Narrow" w:hAnsi="Arial Narrow"/>
                <w:sz w:val="20"/>
                <w:szCs w:val="20"/>
              </w:rPr>
            </w:pPr>
            <w:r w:rsidRPr="00467E8F">
              <w:rPr>
                <w:rFonts w:ascii="Arial Narrow" w:hAnsi="Arial Narrow"/>
                <w:b/>
                <w:bCs/>
                <w:sz w:val="20"/>
                <w:szCs w:val="20"/>
              </w:rPr>
              <w:t>Net financial impact to the MBS</w:t>
            </w:r>
          </w:p>
        </w:tc>
        <w:tc>
          <w:tcPr>
            <w:tcW w:w="1106" w:type="dxa"/>
            <w:vAlign w:val="center"/>
          </w:tcPr>
          <w:p w14:paraId="126FD90D" w14:textId="7F31A51C" w:rsidR="00DF790E" w:rsidRPr="00431E96" w:rsidRDefault="00DF790E" w:rsidP="00B06469">
            <w:pPr>
              <w:keepNext/>
              <w:spacing w:before="40" w:after="40"/>
              <w:jc w:val="center"/>
              <w:rPr>
                <w:rFonts w:ascii="Arial Narrow" w:hAnsi="Arial Narrow"/>
                <w:b/>
                <w:bCs/>
                <w:sz w:val="20"/>
                <w:szCs w:val="20"/>
              </w:rPr>
            </w:pPr>
            <w:r w:rsidRPr="0071179F">
              <w:rPr>
                <w:rFonts w:ascii="Arial Narrow" w:hAnsi="Arial Narrow"/>
                <w:b/>
                <w:bCs/>
                <w:sz w:val="20"/>
                <w:szCs w:val="20"/>
              </w:rPr>
              <w:t>$1,002,186</w:t>
            </w:r>
          </w:p>
        </w:tc>
        <w:tc>
          <w:tcPr>
            <w:tcW w:w="1106" w:type="dxa"/>
            <w:vAlign w:val="center"/>
          </w:tcPr>
          <w:p w14:paraId="67E67A99" w14:textId="2E98288C" w:rsidR="00DF790E" w:rsidRPr="00431E96" w:rsidRDefault="00DF790E" w:rsidP="00B06469">
            <w:pPr>
              <w:keepNext/>
              <w:spacing w:before="40" w:after="40"/>
              <w:jc w:val="center"/>
              <w:rPr>
                <w:rFonts w:ascii="Arial Narrow" w:hAnsi="Arial Narrow"/>
                <w:b/>
                <w:bCs/>
                <w:sz w:val="20"/>
                <w:szCs w:val="20"/>
              </w:rPr>
            </w:pPr>
            <w:r w:rsidRPr="0071179F">
              <w:rPr>
                <w:rFonts w:ascii="Arial Narrow" w:hAnsi="Arial Narrow"/>
                <w:b/>
                <w:bCs/>
                <w:sz w:val="20"/>
                <w:szCs w:val="20"/>
              </w:rPr>
              <w:t>$1,059,731</w:t>
            </w:r>
          </w:p>
        </w:tc>
        <w:tc>
          <w:tcPr>
            <w:tcW w:w="1107" w:type="dxa"/>
            <w:vAlign w:val="center"/>
          </w:tcPr>
          <w:p w14:paraId="0FFA263D" w14:textId="1E5842A0" w:rsidR="00DF790E" w:rsidRPr="00431E96" w:rsidRDefault="00DF790E" w:rsidP="00B06469">
            <w:pPr>
              <w:keepNext/>
              <w:spacing w:before="40" w:after="40"/>
              <w:jc w:val="center"/>
              <w:rPr>
                <w:rFonts w:ascii="Arial Narrow" w:hAnsi="Arial Narrow"/>
                <w:b/>
                <w:bCs/>
                <w:sz w:val="20"/>
                <w:szCs w:val="20"/>
              </w:rPr>
            </w:pPr>
            <w:r w:rsidRPr="0071179F">
              <w:rPr>
                <w:rFonts w:ascii="Arial Narrow" w:hAnsi="Arial Narrow"/>
                <w:b/>
                <w:bCs/>
                <w:sz w:val="20"/>
                <w:szCs w:val="20"/>
              </w:rPr>
              <w:t>$1,059,731</w:t>
            </w:r>
          </w:p>
        </w:tc>
        <w:tc>
          <w:tcPr>
            <w:tcW w:w="1106" w:type="dxa"/>
            <w:vAlign w:val="center"/>
          </w:tcPr>
          <w:p w14:paraId="0A999FCC" w14:textId="3B00BDB5" w:rsidR="00DF790E" w:rsidRPr="00431E96" w:rsidRDefault="00DF790E" w:rsidP="00B06469">
            <w:pPr>
              <w:keepNext/>
              <w:spacing w:before="40" w:after="40"/>
              <w:jc w:val="center"/>
              <w:rPr>
                <w:rFonts w:ascii="Arial Narrow" w:hAnsi="Arial Narrow"/>
                <w:b/>
                <w:bCs/>
                <w:sz w:val="20"/>
                <w:szCs w:val="20"/>
              </w:rPr>
            </w:pPr>
            <w:r w:rsidRPr="0071179F">
              <w:rPr>
                <w:rFonts w:ascii="Arial Narrow" w:hAnsi="Arial Narrow"/>
                <w:b/>
                <w:bCs/>
                <w:sz w:val="20"/>
                <w:szCs w:val="20"/>
              </w:rPr>
              <w:t>$1,059,731</w:t>
            </w:r>
          </w:p>
        </w:tc>
        <w:tc>
          <w:tcPr>
            <w:tcW w:w="1106" w:type="dxa"/>
            <w:vAlign w:val="center"/>
          </w:tcPr>
          <w:p w14:paraId="4293F9F9" w14:textId="267A8A78" w:rsidR="00DF790E" w:rsidRPr="00431E96" w:rsidRDefault="00DF790E" w:rsidP="00B06469">
            <w:pPr>
              <w:keepNext/>
              <w:spacing w:before="40" w:after="40"/>
              <w:jc w:val="center"/>
              <w:rPr>
                <w:rFonts w:ascii="Arial Narrow" w:hAnsi="Arial Narrow"/>
                <w:b/>
                <w:bCs/>
                <w:sz w:val="20"/>
                <w:szCs w:val="20"/>
              </w:rPr>
            </w:pPr>
            <w:r w:rsidRPr="0071179F">
              <w:rPr>
                <w:rFonts w:ascii="Arial Narrow" w:hAnsi="Arial Narrow"/>
                <w:b/>
                <w:bCs/>
                <w:sz w:val="20"/>
                <w:szCs w:val="20"/>
              </w:rPr>
              <w:t>$1,059,731</w:t>
            </w:r>
          </w:p>
        </w:tc>
        <w:tc>
          <w:tcPr>
            <w:tcW w:w="1107" w:type="dxa"/>
            <w:vAlign w:val="center"/>
          </w:tcPr>
          <w:p w14:paraId="41E9AD62" w14:textId="461EDC89" w:rsidR="00DF790E" w:rsidRPr="00431E96" w:rsidRDefault="00DF790E" w:rsidP="00B06469">
            <w:pPr>
              <w:keepNext/>
              <w:spacing w:before="40" w:after="40"/>
              <w:jc w:val="center"/>
              <w:rPr>
                <w:rFonts w:ascii="Arial Narrow" w:hAnsi="Arial Narrow"/>
                <w:b/>
                <w:bCs/>
                <w:sz w:val="20"/>
                <w:szCs w:val="20"/>
              </w:rPr>
            </w:pPr>
            <w:r w:rsidRPr="0071179F">
              <w:rPr>
                <w:rFonts w:ascii="Arial Narrow" w:hAnsi="Arial Narrow"/>
                <w:b/>
                <w:bCs/>
                <w:sz w:val="20"/>
                <w:szCs w:val="20"/>
              </w:rPr>
              <w:t>$1,059,731</w:t>
            </w:r>
          </w:p>
        </w:tc>
      </w:tr>
    </w:tbl>
    <w:p w14:paraId="18338721" w14:textId="0BADF29E" w:rsidR="00F77D81" w:rsidRPr="00955384" w:rsidRDefault="00DF790E" w:rsidP="00705109">
      <w:pPr>
        <w:pStyle w:val="TableFigureFooter"/>
        <w:spacing w:before="0" w:after="240"/>
      </w:pPr>
      <w:r>
        <w:t xml:space="preserve">GPG=greatest permissible gap; </w:t>
      </w:r>
      <w:r w:rsidR="00F77D81">
        <w:t>MBS=</w:t>
      </w:r>
      <w:r w:rsidR="00C46F6A">
        <w:t>M</w:t>
      </w:r>
      <w:r w:rsidR="00F77D81">
        <w:t>edica</w:t>
      </w:r>
      <w:r w:rsidR="00C46F6A">
        <w:t>re</w:t>
      </w:r>
      <w:r w:rsidR="00F77D81">
        <w:t xml:space="preserve"> </w:t>
      </w:r>
      <w:r w:rsidR="00C46F6A">
        <w:t>B</w:t>
      </w:r>
      <w:r w:rsidR="00F77D81">
        <w:t xml:space="preserve">enefits </w:t>
      </w:r>
      <w:r w:rsidR="00C46F6A">
        <w:t>S</w:t>
      </w:r>
      <w:r w:rsidR="00F77D81">
        <w:t>chedule</w:t>
      </w:r>
      <w:r>
        <w:t xml:space="preserve">; </w:t>
      </w:r>
      <w:r w:rsidRPr="00955384">
        <w:t>WBMRI</w:t>
      </w:r>
      <w:r>
        <w:t>=whole</w:t>
      </w:r>
      <w:r w:rsidR="007D1B95">
        <w:t>-</w:t>
      </w:r>
      <w:r>
        <w:t>body magnetic resonance imaging</w:t>
      </w:r>
    </w:p>
    <w:bookmarkEnd w:id="36"/>
    <w:p w14:paraId="70193B40" w14:textId="24967622" w:rsidR="00F77D81" w:rsidRDefault="00F77D81" w:rsidP="00376CFC">
      <w:pPr>
        <w:keepNext/>
      </w:pPr>
      <w:r>
        <w:t xml:space="preserve">The </w:t>
      </w:r>
      <w:r w:rsidR="00705109">
        <w:t xml:space="preserve">estimated </w:t>
      </w:r>
      <w:r>
        <w:t>financial implications</w:t>
      </w:r>
      <w:r w:rsidR="002563C4">
        <w:t xml:space="preserve"> relied on the foll</w:t>
      </w:r>
      <w:r w:rsidR="00705109">
        <w:t>o</w:t>
      </w:r>
      <w:r w:rsidR="002563C4">
        <w:t>wing</w:t>
      </w:r>
      <w:r>
        <w:t>:</w:t>
      </w:r>
    </w:p>
    <w:p w14:paraId="1302FDC4" w14:textId="70F04F33" w:rsidR="00F77D81" w:rsidRDefault="00F77D81" w:rsidP="00411DE4">
      <w:pPr>
        <w:pStyle w:val="ListParagraph"/>
        <w:numPr>
          <w:ilvl w:val="0"/>
          <w:numId w:val="49"/>
        </w:numPr>
      </w:pPr>
      <w:r>
        <w:t>The average cost of WBMRI per patient per year is $</w:t>
      </w:r>
      <w:r w:rsidR="00C919D5">
        <w:t>1,4</w:t>
      </w:r>
      <w:r w:rsidR="009D0E40">
        <w:t>12.10 (MBS Fee of $1,500 minus the greatest permissible gap (GPG) of $87.90).</w:t>
      </w:r>
    </w:p>
    <w:p w14:paraId="74CDF0E3" w14:textId="1DC51B87" w:rsidR="00F77D81" w:rsidRDefault="00F77D81" w:rsidP="00411DE4">
      <w:pPr>
        <w:pStyle w:val="ListParagraph"/>
        <w:numPr>
          <w:ilvl w:val="0"/>
          <w:numId w:val="49"/>
        </w:numPr>
      </w:pPr>
      <w:r>
        <w:t>The average frequency of use of WBMRI is once per year</w:t>
      </w:r>
      <w:r w:rsidR="009D0E40">
        <w:t>.</w:t>
      </w:r>
    </w:p>
    <w:p w14:paraId="1B9F2682" w14:textId="344A80CE" w:rsidR="00F77D81" w:rsidRDefault="00F77D81" w:rsidP="00411DE4">
      <w:pPr>
        <w:pStyle w:val="ListParagraph"/>
        <w:numPr>
          <w:ilvl w:val="0"/>
          <w:numId w:val="49"/>
        </w:numPr>
      </w:pPr>
      <w:r>
        <w:t xml:space="preserve">If the WBMRI is bulk billed, then there will be no cost to the patient. If it requires a </w:t>
      </w:r>
      <w:r w:rsidR="004C1234">
        <w:t>co-payment,</w:t>
      </w:r>
      <w:r>
        <w:t xml:space="preserve"> then the patient is required to pay $</w:t>
      </w:r>
      <w:r w:rsidR="009D0E40">
        <w:t>87.90</w:t>
      </w:r>
      <w:r>
        <w:t>/year.</w:t>
      </w:r>
    </w:p>
    <w:p w14:paraId="4FDC8C74" w14:textId="4D8A66F0" w:rsidR="004E7C0A" w:rsidRDefault="00F77D81" w:rsidP="002563C4">
      <w:r>
        <w:t>The estimated likely eligible population for WBMR</w:t>
      </w:r>
      <w:r w:rsidR="00491E5C">
        <w:t>I</w:t>
      </w:r>
      <w:r>
        <w:t xml:space="preserve"> is greater than </w:t>
      </w:r>
      <w:r w:rsidR="002563C4">
        <w:t xml:space="preserve">that in </w:t>
      </w:r>
      <w:r>
        <w:t>the application.</w:t>
      </w:r>
    </w:p>
    <w:p w14:paraId="120C8354" w14:textId="6AC2F404" w:rsidR="00BF55D2" w:rsidRDefault="004C1234" w:rsidP="002563C4">
      <w:r>
        <w:t xml:space="preserve">The second financial </w:t>
      </w:r>
      <w:r w:rsidR="004E7C0A">
        <w:t>analysis</w:t>
      </w:r>
      <w:r>
        <w:t xml:space="preserve"> estimated the </w:t>
      </w:r>
      <w:r w:rsidR="004E7C0A">
        <w:t xml:space="preserve">potential </w:t>
      </w:r>
      <w:r>
        <w:t xml:space="preserve">prevalence </w:t>
      </w:r>
      <w:r w:rsidR="004E7C0A">
        <w:t xml:space="preserve">of heritable </w:t>
      </w:r>
      <w:r w:rsidR="004E7C0A" w:rsidRPr="002563C4">
        <w:rPr>
          <w:i/>
          <w:iCs/>
        </w:rPr>
        <w:t>TP53</w:t>
      </w:r>
      <w:r w:rsidR="004E7C0A">
        <w:t>-related cancer syndrome in both the paediatric and adult population.</w:t>
      </w:r>
      <w:r w:rsidR="002563C4">
        <w:t xml:space="preserve"> </w:t>
      </w:r>
      <w:r w:rsidR="004E7C0A">
        <w:t xml:space="preserve">It assumed that being an identified </w:t>
      </w:r>
      <w:r w:rsidR="004E7C0A">
        <w:lastRenderedPageBreak/>
        <w:t>carrier w</w:t>
      </w:r>
      <w:r w:rsidR="002563C4">
        <w:t>ould</w:t>
      </w:r>
      <w:r w:rsidR="004E7C0A">
        <w:t xml:space="preserve"> result in surveillance for cancer</w:t>
      </w:r>
      <w:r w:rsidR="002563C4">
        <w:t xml:space="preserve"> in</w:t>
      </w:r>
      <w:r w:rsidR="004E7C0A">
        <w:t xml:space="preserve"> a one-to-one relationship. This is unlikely to occur as patients first need to be identified by molecular testing, be of age for which annual surveillance has benefit</w:t>
      </w:r>
      <w:r w:rsidR="00387C95">
        <w:t>, agree to ongoing surveillance</w:t>
      </w:r>
      <w:r w:rsidR="004E7C0A">
        <w:t xml:space="preserve"> and either to have not yet had a cancer o</w:t>
      </w:r>
      <w:r w:rsidR="00387C95">
        <w:t xml:space="preserve">r </w:t>
      </w:r>
      <w:r w:rsidR="002563C4">
        <w:t xml:space="preserve">to have a </w:t>
      </w:r>
      <w:r w:rsidR="00387C95">
        <w:t>prior</w:t>
      </w:r>
      <w:r w:rsidR="004E7C0A">
        <w:t xml:space="preserve"> cancer </w:t>
      </w:r>
      <w:r w:rsidR="00387C95">
        <w:t>being</w:t>
      </w:r>
      <w:r w:rsidR="004E7C0A">
        <w:t xml:space="preserve"> treated with curative intent.</w:t>
      </w:r>
      <w:r w:rsidR="002563C4">
        <w:t xml:space="preserve"> This analysis also </w:t>
      </w:r>
      <w:r w:rsidR="004E7C0A">
        <w:t>include</w:t>
      </w:r>
      <w:r w:rsidR="002563C4">
        <w:t>d</w:t>
      </w:r>
      <w:r w:rsidR="004E7C0A">
        <w:t xml:space="preserve"> an average cost of follow up investigations for benign tumours</w:t>
      </w:r>
      <w:r w:rsidR="00BF55D2">
        <w:t>.</w:t>
      </w:r>
    </w:p>
    <w:p w14:paraId="691EED62" w14:textId="6B5A1A68" w:rsidR="00BF55D2" w:rsidRDefault="00BF55D2" w:rsidP="002563C4">
      <w:r>
        <w:t>The applicant’s pre-ESC submission noted that o</w:t>
      </w:r>
      <w:r w:rsidRPr="00BF55D2">
        <w:t>ne way to accommodate th</w:t>
      </w:r>
      <w:r>
        <w:t>e</w:t>
      </w:r>
      <w:r w:rsidR="00C329AF">
        <w:t xml:space="preserve"> </w:t>
      </w:r>
      <w:r w:rsidRPr="00BF55D2">
        <w:t>uncertainty</w:t>
      </w:r>
      <w:r>
        <w:t xml:space="preserve"> in projections of use</w:t>
      </w:r>
      <w:r w:rsidRPr="00BF55D2">
        <w:t xml:space="preserve"> is to approve the </w:t>
      </w:r>
      <w:r>
        <w:t>application</w:t>
      </w:r>
      <w:r w:rsidRPr="00BF55D2">
        <w:t xml:space="preserve"> subject to ongoing data collection, </w:t>
      </w:r>
      <w:proofErr w:type="gramStart"/>
      <w:r w:rsidRPr="00BF55D2">
        <w:t>similar to</w:t>
      </w:r>
      <w:proofErr w:type="gramEnd"/>
      <w:r w:rsidRPr="00BF55D2">
        <w:t xml:space="preserve"> what was undertaken for breast MRI in women at high risk for breast cancer, with a review of the uptake in 3-5 years</w:t>
      </w:r>
      <w:r>
        <w:t>’</w:t>
      </w:r>
      <w:r w:rsidRPr="00BF55D2">
        <w:t xml:space="preserve"> time</w:t>
      </w:r>
      <w:r w:rsidR="00F04C22">
        <w:t xml:space="preserve"> with the option to further refine the item description and explanatory guidance material at this time. </w:t>
      </w:r>
      <w:bookmarkStart w:id="37" w:name="_Hlk107322834"/>
      <w:r w:rsidR="00F04C22">
        <w:t xml:space="preserve">The Department </w:t>
      </w:r>
      <w:r w:rsidR="00147FE5">
        <w:t>proposes to</w:t>
      </w:r>
      <w:r w:rsidR="00F04C22">
        <w:t xml:space="preserve"> undertake ongoing review of the item usage following implementation, and work with relevant stakeholders where higher or lower than expected item usage is identified</w:t>
      </w:r>
      <w:bookmarkEnd w:id="37"/>
    </w:p>
    <w:p w14:paraId="7838A9FF" w14:textId="63500D64" w:rsidR="00772829" w:rsidRDefault="00C36633" w:rsidP="002A18BE">
      <w:pPr>
        <w:pStyle w:val="Heading2"/>
        <w:numPr>
          <w:ilvl w:val="0"/>
          <w:numId w:val="0"/>
        </w:numPr>
      </w:pPr>
      <w:bookmarkStart w:id="38" w:name="_Toc102443852"/>
      <w:r>
        <w:t>1</w:t>
      </w:r>
      <w:r w:rsidR="00262C24">
        <w:t>5</w:t>
      </w:r>
      <w:r>
        <w:t>.</w:t>
      </w:r>
      <w:r>
        <w:tab/>
      </w:r>
      <w:r w:rsidR="00772829" w:rsidRPr="00CE28E3">
        <w:t xml:space="preserve">Other relevant </w:t>
      </w:r>
      <w:r w:rsidR="00FA5766">
        <w:t>information</w:t>
      </w:r>
      <w:bookmarkEnd w:id="38"/>
    </w:p>
    <w:p w14:paraId="27D50CC8" w14:textId="40D94055" w:rsidR="00F77D81" w:rsidRPr="00F77D81" w:rsidRDefault="00F77D81" w:rsidP="00F77D81">
      <w:r>
        <w:t>None</w:t>
      </w:r>
      <w:r w:rsidR="002563C4">
        <w:t>.</w:t>
      </w:r>
    </w:p>
    <w:p w14:paraId="01174F8A" w14:textId="77777777" w:rsidR="00262C24" w:rsidRDefault="00262C24" w:rsidP="00262C24">
      <w:pPr>
        <w:pStyle w:val="Heading2"/>
        <w:numPr>
          <w:ilvl w:val="0"/>
          <w:numId w:val="0"/>
        </w:numPr>
        <w:ind w:left="720" w:hanging="720"/>
      </w:pPr>
      <w:r>
        <w:t>16.</w:t>
      </w:r>
      <w:r>
        <w:tab/>
        <w:t>Key issues from ESC to MSAC</w:t>
      </w:r>
    </w:p>
    <w:tbl>
      <w:tblPr>
        <w:tblStyle w:val="TableGrid"/>
        <w:tblW w:w="8988" w:type="dxa"/>
        <w:tblInd w:w="-147" w:type="dxa"/>
        <w:tblLook w:val="04A0" w:firstRow="1" w:lastRow="0" w:firstColumn="1" w:lastColumn="0" w:noHBand="0" w:noVBand="1"/>
      </w:tblPr>
      <w:tblGrid>
        <w:gridCol w:w="8988"/>
      </w:tblGrid>
      <w:tr w:rsidR="006C4966" w:rsidRPr="009A4697" w14:paraId="60B8D2E9" w14:textId="77777777" w:rsidTr="006C4966">
        <w:tc>
          <w:tcPr>
            <w:tcW w:w="8988" w:type="dxa"/>
          </w:tcPr>
          <w:p w14:paraId="2567BDEC" w14:textId="7F37B214" w:rsidR="006C4966" w:rsidRPr="009A4697" w:rsidRDefault="006C4966" w:rsidP="006C4966">
            <w:pPr>
              <w:spacing w:before="240" w:after="240"/>
              <w:rPr>
                <w:rFonts w:eastAsia="Calibri" w:cs="Times New Roman"/>
                <w:b/>
                <w:bCs/>
                <w:sz w:val="24"/>
                <w:szCs w:val="24"/>
              </w:rPr>
            </w:pPr>
            <w:bookmarkStart w:id="39" w:name="_Hlk69734340"/>
            <w:r w:rsidRPr="009A4697">
              <w:rPr>
                <w:rFonts w:eastAsia="Calibri" w:cs="Times New Roman"/>
                <w:b/>
                <w:bCs/>
                <w:sz w:val="24"/>
                <w:szCs w:val="24"/>
              </w:rPr>
              <w:t>Main issues for MSAC consideration</w:t>
            </w:r>
          </w:p>
          <w:p w14:paraId="17EDBF02" w14:textId="16B7A43A" w:rsidR="006C4966" w:rsidRDefault="006C4966" w:rsidP="006C4966">
            <w:pPr>
              <w:rPr>
                <w:rFonts w:eastAsia="Calibri" w:cs="Times New Roman"/>
                <w:b/>
              </w:rPr>
            </w:pPr>
            <w:r>
              <w:rPr>
                <w:rFonts w:eastAsia="Calibri" w:cs="Times New Roman"/>
                <w:b/>
              </w:rPr>
              <w:t>Proposed MBS fee and item descriptor:</w:t>
            </w:r>
          </w:p>
          <w:p w14:paraId="16C57304" w14:textId="77777777" w:rsidR="006C4966" w:rsidRDefault="006C4966" w:rsidP="006C4966">
            <w:pPr>
              <w:spacing w:after="120"/>
              <w:rPr>
                <w:rFonts w:eastAsia="Calibri" w:cs="Times New Roman"/>
                <w:iCs/>
              </w:rPr>
            </w:pPr>
            <w:r>
              <w:rPr>
                <w:rFonts w:eastAsia="Calibri" w:cs="Times New Roman"/>
              </w:rPr>
              <w:t xml:space="preserve">The </w:t>
            </w:r>
            <w:r w:rsidRPr="009A4697">
              <w:rPr>
                <w:rFonts w:eastAsia="Calibri" w:cs="Times New Roman"/>
              </w:rPr>
              <w:t xml:space="preserve">MBS item descriptor should specify </w:t>
            </w:r>
            <w:r w:rsidRPr="009A4697">
              <w:rPr>
                <w:rFonts w:eastAsia="Calibri" w:cs="Times New Roman"/>
                <w:i/>
                <w:iCs/>
              </w:rPr>
              <w:t>TP53</w:t>
            </w:r>
            <w:r w:rsidRPr="009A4697">
              <w:rPr>
                <w:rFonts w:eastAsia="Calibri" w:cs="Times New Roman"/>
              </w:rPr>
              <w:t xml:space="preserve"> variants</w:t>
            </w:r>
          </w:p>
          <w:p w14:paraId="2FDA1847" w14:textId="77777777" w:rsidR="006C4966" w:rsidRDefault="006C4966" w:rsidP="006C4966">
            <w:pPr>
              <w:rPr>
                <w:rFonts w:eastAsia="Calibri" w:cs="Times New Roman"/>
                <w:b/>
              </w:rPr>
            </w:pPr>
            <w:r w:rsidRPr="009A4697">
              <w:rPr>
                <w:rFonts w:eastAsia="Calibri" w:cs="Times New Roman"/>
              </w:rPr>
              <w:t>The proposed fee of $1,500 seems high relative to MBS fees for other MRI items</w:t>
            </w:r>
            <w:r>
              <w:rPr>
                <w:rFonts w:eastAsia="Calibri" w:cs="Times New Roman"/>
              </w:rPr>
              <w:t xml:space="preserve"> but may be reasonable if account is taken of reporting time as well as examination time. </w:t>
            </w:r>
            <w:proofErr w:type="gramStart"/>
            <w:r>
              <w:rPr>
                <w:rFonts w:eastAsia="Calibri" w:cs="Times New Roman"/>
              </w:rPr>
              <w:t>However</w:t>
            </w:r>
            <w:proofErr w:type="gramEnd"/>
            <w:r w:rsidRPr="009A4697">
              <w:rPr>
                <w:rFonts w:eastAsia="Calibri" w:cs="Times New Roman"/>
              </w:rPr>
              <w:t xml:space="preserve"> no justification of the fee has been provided by the applicant. The possibility of a lower fee for children has not been explored</w:t>
            </w:r>
            <w:r>
              <w:rPr>
                <w:rFonts w:eastAsia="Calibri" w:cs="Times New Roman"/>
              </w:rPr>
              <w:t xml:space="preserve">, </w:t>
            </w:r>
            <w:proofErr w:type="gramStart"/>
            <w:r>
              <w:rPr>
                <w:rFonts w:eastAsia="Calibri" w:cs="Times New Roman"/>
              </w:rPr>
              <w:t>The</w:t>
            </w:r>
            <w:proofErr w:type="gramEnd"/>
            <w:r>
              <w:rPr>
                <w:rFonts w:eastAsia="Calibri" w:cs="Times New Roman"/>
              </w:rPr>
              <w:t xml:space="preserve"> proposed fee is supported by RANZCR due to the time requirements and complexity of this service.</w:t>
            </w:r>
          </w:p>
          <w:p w14:paraId="5CE21BA1" w14:textId="77777777" w:rsidR="006C4966" w:rsidRPr="009A4697" w:rsidRDefault="006C4966" w:rsidP="002563C4">
            <w:pPr>
              <w:keepNext/>
              <w:rPr>
                <w:rFonts w:eastAsia="Calibri" w:cs="Times New Roman"/>
                <w:b/>
              </w:rPr>
            </w:pPr>
            <w:r w:rsidRPr="009A4697">
              <w:rPr>
                <w:rFonts w:eastAsia="Calibri" w:cs="Times New Roman"/>
                <w:b/>
              </w:rPr>
              <w:t xml:space="preserve">Clinical </w:t>
            </w:r>
            <w:r>
              <w:rPr>
                <w:rFonts w:eastAsia="Calibri" w:cs="Times New Roman"/>
                <w:b/>
              </w:rPr>
              <w:t xml:space="preserve">evidence </w:t>
            </w:r>
            <w:r w:rsidRPr="009A4697">
              <w:rPr>
                <w:rFonts w:eastAsia="Calibri" w:cs="Times New Roman"/>
                <w:b/>
              </w:rPr>
              <w:t>issues:</w:t>
            </w:r>
          </w:p>
          <w:p w14:paraId="694AE666" w14:textId="77777777" w:rsidR="006C4966" w:rsidRDefault="006C4966" w:rsidP="006C4966">
            <w:pPr>
              <w:spacing w:after="120"/>
              <w:rPr>
                <w:rFonts w:eastAsia="Calibri" w:cs="Times New Roman"/>
              </w:rPr>
            </w:pPr>
            <w:r>
              <w:rPr>
                <w:rFonts w:eastAsia="Calibri" w:cs="Times New Roman"/>
                <w:iCs/>
              </w:rPr>
              <w:t>L</w:t>
            </w:r>
            <w:r w:rsidRPr="00846F6C">
              <w:rPr>
                <w:rFonts w:eastAsia="Calibri" w:cs="Times New Roman"/>
                <w:iCs/>
              </w:rPr>
              <w:t xml:space="preserve">ocal and international </w:t>
            </w:r>
            <w:r>
              <w:rPr>
                <w:rFonts w:eastAsia="Calibri" w:cs="Times New Roman"/>
                <w:iCs/>
              </w:rPr>
              <w:t xml:space="preserve">clinical practice guidelines </w:t>
            </w:r>
            <w:r w:rsidRPr="00846F6C">
              <w:rPr>
                <w:rFonts w:eastAsia="Calibri" w:cs="Times New Roman"/>
                <w:iCs/>
              </w:rPr>
              <w:t>recommend the use of WBMRI in th</w:t>
            </w:r>
            <w:r>
              <w:rPr>
                <w:rFonts w:eastAsia="Calibri" w:cs="Times New Roman"/>
                <w:iCs/>
              </w:rPr>
              <w:t xml:space="preserve">e defined patient </w:t>
            </w:r>
            <w:r w:rsidRPr="00846F6C">
              <w:rPr>
                <w:rFonts w:eastAsia="Calibri" w:cs="Times New Roman"/>
                <w:iCs/>
              </w:rPr>
              <w:t>population</w:t>
            </w:r>
            <w:r w:rsidRPr="0061412E">
              <w:t xml:space="preserve"> </w:t>
            </w:r>
            <w:r w:rsidRPr="0061412E">
              <w:rPr>
                <w:rFonts w:eastAsia="Calibri" w:cs="Times New Roman"/>
                <w:iCs/>
              </w:rPr>
              <w:t xml:space="preserve">as </w:t>
            </w:r>
            <w:r>
              <w:rPr>
                <w:rFonts w:eastAsia="Calibri" w:cs="Times New Roman"/>
                <w:iCs/>
              </w:rPr>
              <w:t>this modality supports</w:t>
            </w:r>
            <w:r w:rsidRPr="0061412E">
              <w:rPr>
                <w:rFonts w:eastAsia="Calibri" w:cs="Times New Roman"/>
                <w:iCs/>
              </w:rPr>
              <w:t xml:space="preserve"> more comprehensive </w:t>
            </w:r>
            <w:r>
              <w:rPr>
                <w:rFonts w:eastAsia="Calibri" w:cs="Times New Roman"/>
                <w:iCs/>
              </w:rPr>
              <w:t xml:space="preserve">surveillance, </w:t>
            </w:r>
            <w:r w:rsidRPr="0061412E">
              <w:rPr>
                <w:rFonts w:eastAsia="Calibri" w:cs="Times New Roman"/>
                <w:iCs/>
              </w:rPr>
              <w:t>detect</w:t>
            </w:r>
            <w:r>
              <w:rPr>
                <w:rFonts w:eastAsia="Calibri" w:cs="Times New Roman"/>
                <w:iCs/>
              </w:rPr>
              <w:t>ing</w:t>
            </w:r>
            <w:r w:rsidRPr="0061412E">
              <w:rPr>
                <w:rFonts w:eastAsia="Calibri" w:cs="Times New Roman"/>
                <w:iCs/>
              </w:rPr>
              <w:t xml:space="preserve"> a broader spectrum of cancers tha</w:t>
            </w:r>
            <w:r>
              <w:rPr>
                <w:rFonts w:eastAsia="Calibri" w:cs="Times New Roman"/>
                <w:iCs/>
              </w:rPr>
              <w:t>n</w:t>
            </w:r>
            <w:r w:rsidRPr="0061412E">
              <w:rPr>
                <w:rFonts w:eastAsia="Calibri" w:cs="Times New Roman"/>
                <w:iCs/>
              </w:rPr>
              <w:t xml:space="preserve"> </w:t>
            </w:r>
            <w:r>
              <w:rPr>
                <w:rFonts w:eastAsia="Calibri" w:cs="Times New Roman"/>
                <w:iCs/>
              </w:rPr>
              <w:t>is possible with</w:t>
            </w:r>
            <w:r w:rsidRPr="0061412E">
              <w:rPr>
                <w:rFonts w:eastAsia="Calibri" w:cs="Times New Roman"/>
                <w:iCs/>
              </w:rPr>
              <w:t xml:space="preserve"> standard of care surveillance </w:t>
            </w:r>
            <w:r>
              <w:rPr>
                <w:rFonts w:eastAsia="Calibri" w:cs="Times New Roman"/>
                <w:iCs/>
              </w:rPr>
              <w:t>(without imaging).</w:t>
            </w:r>
            <w:r>
              <w:t xml:space="preserve"> </w:t>
            </w:r>
            <w:proofErr w:type="gramStart"/>
            <w:r w:rsidRPr="00AE360E">
              <w:rPr>
                <w:rFonts w:eastAsia="Calibri" w:cs="Times New Roman"/>
                <w:iCs/>
              </w:rPr>
              <w:t>However</w:t>
            </w:r>
            <w:proofErr w:type="gramEnd"/>
            <w:r w:rsidRPr="00AE360E">
              <w:rPr>
                <w:rFonts w:eastAsia="Calibri" w:cs="Times New Roman"/>
                <w:iCs/>
              </w:rPr>
              <w:t xml:space="preserve"> </w:t>
            </w:r>
            <w:r>
              <w:rPr>
                <w:rFonts w:eastAsia="Calibri" w:cs="Times New Roman"/>
                <w:iCs/>
              </w:rPr>
              <w:t xml:space="preserve">it should be noted that </w:t>
            </w:r>
            <w:r w:rsidRPr="00AE360E">
              <w:rPr>
                <w:rFonts w:eastAsia="Calibri" w:cs="Times New Roman"/>
                <w:iCs/>
              </w:rPr>
              <w:t>these are consensus recommendations rather than evidence-based recommendations</w:t>
            </w:r>
            <w:r>
              <w:rPr>
                <w:rFonts w:eastAsia="Calibri" w:cs="Times New Roman"/>
                <w:iCs/>
              </w:rPr>
              <w:t>. B</w:t>
            </w:r>
            <w:r w:rsidRPr="00AE360E">
              <w:rPr>
                <w:rFonts w:eastAsia="Calibri" w:cs="Times New Roman"/>
                <w:iCs/>
              </w:rPr>
              <w:t xml:space="preserve">ecause of the challenge of collecting </w:t>
            </w:r>
            <w:r>
              <w:rPr>
                <w:rFonts w:eastAsia="Calibri" w:cs="Times New Roman"/>
                <w:iCs/>
              </w:rPr>
              <w:t xml:space="preserve">robust </w:t>
            </w:r>
            <w:r w:rsidRPr="00AE360E">
              <w:rPr>
                <w:rFonts w:eastAsia="Calibri" w:cs="Times New Roman"/>
                <w:iCs/>
              </w:rPr>
              <w:t>evidence given the rarity of the syndrome</w:t>
            </w:r>
            <w:r>
              <w:rPr>
                <w:rFonts w:eastAsia="Calibri" w:cs="Times New Roman"/>
                <w:iCs/>
              </w:rPr>
              <w:t>, t</w:t>
            </w:r>
            <w:r>
              <w:rPr>
                <w:rFonts w:eastAsia="Calibri" w:cs="Times New Roman"/>
              </w:rPr>
              <w:t xml:space="preserve">here </w:t>
            </w:r>
            <w:r w:rsidRPr="009A4697">
              <w:rPr>
                <w:rFonts w:eastAsia="Calibri" w:cs="Times New Roman"/>
              </w:rPr>
              <w:t xml:space="preserve">is, and likely always will be, a limited evidence </w:t>
            </w:r>
            <w:proofErr w:type="gramStart"/>
            <w:r w:rsidRPr="009A4697">
              <w:rPr>
                <w:rFonts w:eastAsia="Calibri" w:cs="Times New Roman"/>
              </w:rPr>
              <w:t>base</w:t>
            </w:r>
            <w:proofErr w:type="gramEnd"/>
            <w:r w:rsidRPr="009A4697">
              <w:rPr>
                <w:rFonts w:eastAsia="Calibri" w:cs="Times New Roman"/>
              </w:rPr>
              <w:t xml:space="preserve"> to support screening recommendations in terms of early detection and cancer mortality.</w:t>
            </w:r>
          </w:p>
          <w:p w14:paraId="7975BB01" w14:textId="77777777" w:rsidR="006C4966" w:rsidRPr="003523B6" w:rsidRDefault="006C4966" w:rsidP="002563C4">
            <w:pPr>
              <w:keepNext/>
              <w:spacing w:after="120"/>
              <w:rPr>
                <w:rFonts w:eastAsia="Calibri" w:cs="Times New Roman"/>
                <w:b/>
                <w:bCs/>
              </w:rPr>
            </w:pPr>
            <w:r w:rsidRPr="003523B6">
              <w:rPr>
                <w:rFonts w:eastAsia="Calibri" w:cs="Times New Roman"/>
                <w:b/>
                <w:bCs/>
              </w:rPr>
              <w:t>Safety:</w:t>
            </w:r>
          </w:p>
          <w:p w14:paraId="34942168" w14:textId="5D902DBE" w:rsidR="006C4966" w:rsidRPr="009A4697" w:rsidRDefault="006C4966" w:rsidP="006C4966">
            <w:pPr>
              <w:spacing w:after="120"/>
              <w:rPr>
                <w:rFonts w:eastAsia="Calibri" w:cs="Times New Roman"/>
              </w:rPr>
            </w:pPr>
            <w:r w:rsidRPr="009A4697">
              <w:rPr>
                <w:rFonts w:eastAsia="Calibri" w:cs="Times New Roman"/>
              </w:rPr>
              <w:t xml:space="preserve">MRI </w:t>
            </w:r>
            <w:r>
              <w:rPr>
                <w:rFonts w:eastAsia="Calibri" w:cs="Times New Roman"/>
              </w:rPr>
              <w:t>surveillance</w:t>
            </w:r>
            <w:r w:rsidRPr="009A4697">
              <w:rPr>
                <w:rFonts w:eastAsia="Calibri" w:cs="Times New Roman"/>
              </w:rPr>
              <w:t xml:space="preserve"> is </w:t>
            </w:r>
            <w:r>
              <w:rPr>
                <w:rFonts w:eastAsia="Calibri" w:cs="Times New Roman"/>
              </w:rPr>
              <w:t xml:space="preserve">generally </w:t>
            </w:r>
            <w:r w:rsidRPr="009A4697">
              <w:rPr>
                <w:rFonts w:eastAsia="Calibri" w:cs="Times New Roman"/>
              </w:rPr>
              <w:t xml:space="preserve">safe and acceptable </w:t>
            </w:r>
            <w:r>
              <w:rPr>
                <w:rFonts w:eastAsia="Calibri" w:cs="Times New Roman"/>
              </w:rPr>
              <w:t>as it does not rely on ionising radiation</w:t>
            </w:r>
            <w:r w:rsidRPr="009A4697">
              <w:rPr>
                <w:rFonts w:eastAsia="Calibri" w:cs="Times New Roman"/>
              </w:rPr>
              <w:t xml:space="preserve">. However, in the context of this population </w:t>
            </w:r>
            <w:r>
              <w:rPr>
                <w:rFonts w:eastAsia="Calibri" w:cs="Times New Roman"/>
              </w:rPr>
              <w:t xml:space="preserve">who are </w:t>
            </w:r>
            <w:r w:rsidRPr="009A4697">
              <w:rPr>
                <w:rFonts w:eastAsia="Calibri" w:cs="Times New Roman"/>
              </w:rPr>
              <w:t xml:space="preserve">likely </w:t>
            </w:r>
            <w:r>
              <w:rPr>
                <w:rFonts w:eastAsia="Calibri" w:cs="Times New Roman"/>
              </w:rPr>
              <w:t xml:space="preserve">to </w:t>
            </w:r>
            <w:r w:rsidRPr="009A4697">
              <w:rPr>
                <w:rFonts w:eastAsia="Calibri" w:cs="Times New Roman"/>
              </w:rPr>
              <w:t xml:space="preserve">undergo multiple MRI examinations, the use of gadolinium </w:t>
            </w:r>
            <w:r>
              <w:rPr>
                <w:rFonts w:eastAsia="Calibri" w:cs="Times New Roman"/>
              </w:rPr>
              <w:t xml:space="preserve">as a </w:t>
            </w:r>
            <w:r w:rsidRPr="009A4697">
              <w:rPr>
                <w:rFonts w:eastAsia="Calibri" w:cs="Times New Roman"/>
              </w:rPr>
              <w:t>contrast agent needs to be limited due to the potential long-term accumulation of gadolinium deposition in the brain and the kidneys with uncertain long-term consequences.</w:t>
            </w:r>
          </w:p>
          <w:p w14:paraId="31D258FE" w14:textId="77777777" w:rsidR="006C4966" w:rsidRPr="009A4697" w:rsidRDefault="006C4966" w:rsidP="002563C4">
            <w:pPr>
              <w:keepNext/>
              <w:spacing w:after="120"/>
              <w:rPr>
                <w:rFonts w:eastAsia="Calibri" w:cs="Times New Roman"/>
                <w:b/>
              </w:rPr>
            </w:pPr>
            <w:r w:rsidRPr="009A4697">
              <w:rPr>
                <w:rFonts w:eastAsia="Calibri" w:cs="Times New Roman"/>
                <w:b/>
              </w:rPr>
              <w:t>Economic issues:</w:t>
            </w:r>
          </w:p>
          <w:p w14:paraId="6DACC351" w14:textId="77777777" w:rsidR="006C4966" w:rsidRPr="009A4697" w:rsidRDefault="006C4966" w:rsidP="006C4966">
            <w:pPr>
              <w:spacing w:after="120"/>
              <w:rPr>
                <w:rFonts w:eastAsia="Calibri" w:cs="Times New Roman"/>
              </w:rPr>
            </w:pPr>
            <w:r w:rsidRPr="009A4697">
              <w:rPr>
                <w:rFonts w:eastAsia="Calibri" w:cs="Times New Roman"/>
              </w:rPr>
              <w:t xml:space="preserve">While the base case ICER in the DCAR is similar in value to ICERs previously accepted by MSAC for genetic and genomic testing, it is based on a </w:t>
            </w:r>
            <w:r>
              <w:rPr>
                <w:rFonts w:eastAsia="Calibri" w:cs="Times New Roman"/>
              </w:rPr>
              <w:t xml:space="preserve">slightly </w:t>
            </w:r>
            <w:r w:rsidRPr="009A4697">
              <w:rPr>
                <w:rFonts w:eastAsia="Calibri" w:cs="Times New Roman"/>
              </w:rPr>
              <w:t>different definition of diagnostic yield.</w:t>
            </w:r>
          </w:p>
          <w:p w14:paraId="17CDD95D" w14:textId="09996A50" w:rsidR="006C4966" w:rsidRDefault="006C4966" w:rsidP="006C4966">
            <w:pPr>
              <w:spacing w:after="120"/>
              <w:rPr>
                <w:rFonts w:eastAsia="Calibri" w:cs="Times New Roman"/>
              </w:rPr>
            </w:pPr>
            <w:r>
              <w:rPr>
                <w:rFonts w:eastAsia="Calibri" w:cs="Times New Roman"/>
              </w:rPr>
              <w:lastRenderedPageBreak/>
              <w:t>While there are</w:t>
            </w:r>
            <w:r w:rsidRPr="009A4697">
              <w:rPr>
                <w:rFonts w:eastAsia="Calibri" w:cs="Times New Roman"/>
              </w:rPr>
              <w:t xml:space="preserve"> limitations in the dataset relied on in the DCAR to generate the ICER and the financial estimates, additional data </w:t>
            </w:r>
            <w:r>
              <w:rPr>
                <w:rFonts w:eastAsia="Calibri" w:cs="Times New Roman"/>
              </w:rPr>
              <w:t>are</w:t>
            </w:r>
            <w:r w:rsidRPr="009A4697">
              <w:rPr>
                <w:rFonts w:eastAsia="Calibri" w:cs="Times New Roman"/>
              </w:rPr>
              <w:t xml:space="preserve"> unlikely to emerge given the</w:t>
            </w:r>
            <w:r>
              <w:rPr>
                <w:rFonts w:eastAsia="Calibri" w:cs="Times New Roman"/>
              </w:rPr>
              <w:t xml:space="preserve"> general</w:t>
            </w:r>
            <w:r w:rsidRPr="009A4697">
              <w:rPr>
                <w:rFonts w:eastAsia="Calibri" w:cs="Times New Roman"/>
              </w:rPr>
              <w:t xml:space="preserve"> </w:t>
            </w:r>
            <w:r>
              <w:rPr>
                <w:rFonts w:eastAsia="Calibri" w:cs="Times New Roman"/>
              </w:rPr>
              <w:t>paucity of robust clinical data (as identified earlier).</w:t>
            </w:r>
          </w:p>
          <w:p w14:paraId="4F187DA8" w14:textId="77777777" w:rsidR="006C4966" w:rsidRDefault="006C4966" w:rsidP="002563C4">
            <w:pPr>
              <w:spacing w:after="120"/>
              <w:rPr>
                <w:rFonts w:eastAsia="Calibri" w:cs="Times New Roman"/>
                <w:highlight w:val="yellow"/>
              </w:rPr>
            </w:pPr>
            <w:r w:rsidRPr="00101A58">
              <w:rPr>
                <w:rFonts w:eastAsia="Calibri" w:cs="Times New Roman"/>
              </w:rPr>
              <w:t xml:space="preserve">While ESC accepts the approach in the DCAR of reporting ICERs on a per scan basis, it was acknowledged that there may be diminishing marginal value </w:t>
            </w:r>
            <w:r w:rsidRPr="00101A58">
              <w:rPr>
                <w:rFonts w:eastAsia="Calibri" w:cs="Times New Roman"/>
                <w:i/>
                <w:iCs/>
              </w:rPr>
              <w:t>per patient</w:t>
            </w:r>
            <w:r w:rsidRPr="00101A58">
              <w:rPr>
                <w:rFonts w:eastAsia="Calibri" w:cs="Times New Roman"/>
              </w:rPr>
              <w:t xml:space="preserve"> scanned over time if new cancers tend to emerge in earlier years of scanning. Additional evidence regarding the natural history of new primary cancers emerging over time in the defined population would be needed to address this possibility (the key studies in the DCAR are not sufficiently powered to provide year by year estimates of cancer detection rates). However, this would be difficult to measure in practice as (</w:t>
            </w:r>
            <w:proofErr w:type="spellStart"/>
            <w:r w:rsidRPr="00101A58">
              <w:rPr>
                <w:rFonts w:eastAsia="Calibri" w:cs="Times New Roman"/>
              </w:rPr>
              <w:t>i</w:t>
            </w:r>
            <w:proofErr w:type="spellEnd"/>
            <w:r w:rsidRPr="00101A58">
              <w:rPr>
                <w:rFonts w:eastAsia="Calibri" w:cs="Times New Roman"/>
              </w:rPr>
              <w:t xml:space="preserve">) </w:t>
            </w:r>
            <w:r w:rsidRPr="00101A58">
              <w:rPr>
                <w:rFonts w:eastAsia="Calibri" w:cs="Times New Roman"/>
                <w:i/>
                <w:iCs/>
              </w:rPr>
              <w:t>TP53</w:t>
            </w:r>
            <w:r w:rsidRPr="00101A58">
              <w:rPr>
                <w:rFonts w:eastAsia="Calibri" w:cs="Times New Roman"/>
              </w:rPr>
              <w:t xml:space="preserve">-positive individuals would be entering and leaving the </w:t>
            </w:r>
            <w:proofErr w:type="spellStart"/>
            <w:r w:rsidRPr="00101A58">
              <w:rPr>
                <w:rFonts w:eastAsia="Calibri" w:cs="Times New Roman"/>
              </w:rPr>
              <w:t>surveilled</w:t>
            </w:r>
            <w:proofErr w:type="spellEnd"/>
            <w:r w:rsidRPr="00101A58">
              <w:rPr>
                <w:rFonts w:eastAsia="Calibri" w:cs="Times New Roman"/>
              </w:rPr>
              <w:t xml:space="preserve"> cohort each year, and (ii) the emergence of </w:t>
            </w:r>
            <w:r w:rsidRPr="00101A58">
              <w:rPr>
                <w:rFonts w:eastAsia="Calibri" w:cs="Times New Roman"/>
                <w:i/>
                <w:iCs/>
              </w:rPr>
              <w:t>TP53</w:t>
            </w:r>
            <w:r w:rsidRPr="00101A58">
              <w:rPr>
                <w:rFonts w:eastAsia="Calibri" w:cs="Times New Roman"/>
              </w:rPr>
              <w:t>-associated cancers is age-dependent and differs by cancer type.</w:t>
            </w:r>
          </w:p>
          <w:p w14:paraId="79996AB2" w14:textId="77777777" w:rsidR="006C4966" w:rsidRPr="009A4697" w:rsidRDefault="006C4966" w:rsidP="002563C4">
            <w:pPr>
              <w:keepNext/>
              <w:rPr>
                <w:rFonts w:eastAsia="Calibri" w:cs="Times New Roman"/>
                <w:b/>
              </w:rPr>
            </w:pPr>
            <w:r w:rsidRPr="009A4697">
              <w:rPr>
                <w:rFonts w:eastAsia="Calibri" w:cs="Times New Roman"/>
                <w:b/>
              </w:rPr>
              <w:t>Financial issues:</w:t>
            </w:r>
          </w:p>
          <w:p w14:paraId="0D9F389C" w14:textId="77777777" w:rsidR="006C4966" w:rsidRPr="009A4697" w:rsidRDefault="006C4966" w:rsidP="006C4966">
            <w:pPr>
              <w:spacing w:after="120"/>
              <w:rPr>
                <w:rFonts w:eastAsia="Calibri" w:cs="Times New Roman"/>
              </w:rPr>
            </w:pPr>
            <w:r w:rsidRPr="009A4697">
              <w:rPr>
                <w:rFonts w:eastAsia="Calibri" w:cs="Times New Roman"/>
              </w:rPr>
              <w:t>Despite the high MBS fee per WBMRI, the low prevalence of the syndrome means that the total impact to the MBS budget is modest. The requirement for prior genetic testing means the likelihood of utilisation outside the intended indication is close to zero.</w:t>
            </w:r>
          </w:p>
          <w:p w14:paraId="304B7B96" w14:textId="77777777" w:rsidR="006C4966" w:rsidRPr="009A4697" w:rsidRDefault="006C4966" w:rsidP="002563C4">
            <w:pPr>
              <w:keepNext/>
              <w:spacing w:after="120"/>
              <w:rPr>
                <w:rFonts w:eastAsia="Calibri" w:cs="Times New Roman"/>
                <w:b/>
                <w:bCs/>
              </w:rPr>
            </w:pPr>
            <w:r w:rsidRPr="009A4697">
              <w:rPr>
                <w:rFonts w:eastAsia="Calibri" w:cs="Times New Roman"/>
                <w:b/>
                <w:bCs/>
              </w:rPr>
              <w:t>Other relevant information:</w:t>
            </w:r>
          </w:p>
          <w:p w14:paraId="5AD0E4D6" w14:textId="351534DA" w:rsidR="006C4966" w:rsidRPr="009A4697" w:rsidRDefault="006C4966" w:rsidP="006C4966">
            <w:pPr>
              <w:spacing w:after="120"/>
              <w:rPr>
                <w:rFonts w:eastAsia="Calibri" w:cs="Times New Roman"/>
              </w:rPr>
            </w:pPr>
            <w:r w:rsidRPr="009A4697">
              <w:rPr>
                <w:rFonts w:eastAsia="Calibri" w:cs="Times New Roman"/>
              </w:rPr>
              <w:t xml:space="preserve">The current limited availability of testing for </w:t>
            </w:r>
            <w:r w:rsidRPr="009A4697">
              <w:rPr>
                <w:rFonts w:eastAsia="Calibri" w:cs="Times New Roman"/>
                <w:i/>
                <w:iCs/>
              </w:rPr>
              <w:t>TP53</w:t>
            </w:r>
            <w:r w:rsidRPr="009A4697">
              <w:rPr>
                <w:rFonts w:eastAsia="Calibri" w:cs="Times New Roman"/>
              </w:rPr>
              <w:t xml:space="preserve"> variants (affected individual and cascade) on the MBS needs to be addressed</w:t>
            </w:r>
            <w:r w:rsidR="00376CFC">
              <w:rPr>
                <w:rFonts w:eastAsia="Calibri" w:cs="Times New Roman"/>
              </w:rPr>
              <w:t>.</w:t>
            </w:r>
          </w:p>
          <w:p w14:paraId="1AE7BA30" w14:textId="65D8467E" w:rsidR="006C4966" w:rsidRDefault="006C4966" w:rsidP="006C4966">
            <w:pPr>
              <w:spacing w:after="120"/>
              <w:rPr>
                <w:rFonts w:eastAsia="Calibri" w:cs="Times New Roman"/>
              </w:rPr>
            </w:pPr>
            <w:r w:rsidRPr="009A4697">
              <w:rPr>
                <w:rFonts w:eastAsia="Calibri" w:cs="Times New Roman"/>
              </w:rPr>
              <w:t>The addition of WBMRI screening to standard screening regime</w:t>
            </w:r>
            <w:r>
              <w:rPr>
                <w:rFonts w:eastAsia="Calibri" w:cs="Times New Roman"/>
              </w:rPr>
              <w:t>n</w:t>
            </w:r>
            <w:r w:rsidRPr="009A4697">
              <w:rPr>
                <w:rFonts w:eastAsia="Calibri" w:cs="Times New Roman"/>
              </w:rPr>
              <w:t xml:space="preserve">s needs coordination and planning to integrate with physical examination, breast screening, ultrasound imaging, </w:t>
            </w:r>
            <w:proofErr w:type="gramStart"/>
            <w:r w:rsidRPr="009A4697">
              <w:rPr>
                <w:rFonts w:eastAsia="Calibri" w:cs="Times New Roman"/>
              </w:rPr>
              <w:t>colonoscopies</w:t>
            </w:r>
            <w:proofErr w:type="gramEnd"/>
            <w:r w:rsidRPr="009A4697">
              <w:rPr>
                <w:rFonts w:eastAsia="Calibri" w:cs="Times New Roman"/>
              </w:rPr>
              <w:t xml:space="preserve"> and gastroscopies.</w:t>
            </w:r>
          </w:p>
          <w:p w14:paraId="639831BC" w14:textId="68B0E89A" w:rsidR="006C4966" w:rsidRPr="009A4697" w:rsidRDefault="006C4966" w:rsidP="00376CFC">
            <w:pPr>
              <w:spacing w:after="120"/>
              <w:rPr>
                <w:rFonts w:eastAsia="Calibri" w:cs="Times New Roman"/>
              </w:rPr>
            </w:pPr>
            <w:r w:rsidRPr="00FF096D">
              <w:rPr>
                <w:rFonts w:eastAsia="Calibri" w:cs="Times New Roman"/>
              </w:rPr>
              <w:t xml:space="preserve">This application is for a very </w:t>
            </w:r>
            <w:r>
              <w:rPr>
                <w:rFonts w:eastAsia="Calibri" w:cs="Times New Roman"/>
              </w:rPr>
              <w:t>limited</w:t>
            </w:r>
            <w:r w:rsidRPr="00FF096D">
              <w:rPr>
                <w:rFonts w:eastAsia="Calibri" w:cs="Times New Roman"/>
              </w:rPr>
              <w:t xml:space="preserve"> population with a rare genetic cancer predisposition </w:t>
            </w:r>
            <w:r>
              <w:rPr>
                <w:rFonts w:eastAsia="Calibri" w:cs="Times New Roman"/>
              </w:rPr>
              <w:t>which is associated with a very</w:t>
            </w:r>
            <w:r w:rsidRPr="00FF096D">
              <w:rPr>
                <w:rFonts w:eastAsia="Calibri" w:cs="Times New Roman"/>
              </w:rPr>
              <w:t xml:space="preserve"> high lifetime risk of developing </w:t>
            </w:r>
            <w:r>
              <w:rPr>
                <w:rFonts w:eastAsia="Calibri" w:cs="Times New Roman"/>
              </w:rPr>
              <w:t xml:space="preserve">various </w:t>
            </w:r>
            <w:r w:rsidRPr="00FF096D">
              <w:rPr>
                <w:rFonts w:eastAsia="Calibri" w:cs="Times New Roman"/>
              </w:rPr>
              <w:t>cancers</w:t>
            </w:r>
            <w:r>
              <w:rPr>
                <w:rFonts w:eastAsia="Calibri" w:cs="Times New Roman"/>
              </w:rPr>
              <w:t>.</w:t>
            </w:r>
          </w:p>
        </w:tc>
      </w:tr>
    </w:tbl>
    <w:bookmarkEnd w:id="39"/>
    <w:p w14:paraId="261CECAF" w14:textId="77777777" w:rsidR="006C4966" w:rsidRPr="009A4697" w:rsidRDefault="006C4966" w:rsidP="002563C4">
      <w:pPr>
        <w:keepNext/>
        <w:spacing w:before="240" w:after="240"/>
        <w:rPr>
          <w:rFonts w:eastAsia="Calibri" w:cs="Times New Roman"/>
          <w:b/>
          <w:bCs/>
          <w:iCs/>
        </w:rPr>
      </w:pPr>
      <w:r w:rsidRPr="009A4697">
        <w:rPr>
          <w:rFonts w:eastAsia="Calibri" w:cs="Times New Roman"/>
          <w:b/>
          <w:bCs/>
          <w:iCs/>
        </w:rPr>
        <w:lastRenderedPageBreak/>
        <w:t>ESC discussion</w:t>
      </w:r>
    </w:p>
    <w:p w14:paraId="3EB0C2AD" w14:textId="7899B37E" w:rsidR="006C4966" w:rsidRPr="009A4697" w:rsidRDefault="006C4966" w:rsidP="006C4966">
      <w:pPr>
        <w:spacing w:after="240"/>
        <w:rPr>
          <w:rFonts w:eastAsia="Calibri" w:cs="Times New Roman"/>
          <w:iCs/>
        </w:rPr>
      </w:pPr>
      <w:r w:rsidRPr="009A4697">
        <w:rPr>
          <w:rFonts w:eastAsia="Calibri" w:cs="Times New Roman"/>
          <w:iCs/>
        </w:rPr>
        <w:t>ESC noted that the application was for Medicare Benefits Schedule (MBS) listing of whole</w:t>
      </w:r>
      <w:r w:rsidR="00376CFC">
        <w:rPr>
          <w:rFonts w:eastAsia="Calibri" w:cs="Times New Roman"/>
          <w:iCs/>
        </w:rPr>
        <w:t>-</w:t>
      </w:r>
      <w:r w:rsidRPr="009A4697">
        <w:rPr>
          <w:rFonts w:eastAsia="Calibri" w:cs="Times New Roman"/>
          <w:iCs/>
        </w:rPr>
        <w:t>body magnetic resonance imaging (WBMRI) for surveillance of pat</w:t>
      </w:r>
      <w:r>
        <w:rPr>
          <w:rFonts w:eastAsia="Calibri" w:cs="Times New Roman"/>
          <w:iCs/>
        </w:rPr>
        <w:t>i</w:t>
      </w:r>
      <w:r w:rsidRPr="009A4697">
        <w:rPr>
          <w:rFonts w:eastAsia="Calibri" w:cs="Times New Roman"/>
          <w:iCs/>
        </w:rPr>
        <w:t xml:space="preserve">ents with a germline pathogenic or likely pathogenic variant of the </w:t>
      </w:r>
      <w:r w:rsidRPr="009A4697">
        <w:rPr>
          <w:rFonts w:eastAsia="Calibri" w:cs="Times New Roman"/>
          <w:i/>
        </w:rPr>
        <w:t>TP53</w:t>
      </w:r>
      <w:r w:rsidRPr="009A4697">
        <w:rPr>
          <w:rFonts w:eastAsia="Calibri" w:cs="Times New Roman"/>
          <w:iCs/>
        </w:rPr>
        <w:t xml:space="preserve"> gene for the early detection of cancer.</w:t>
      </w:r>
    </w:p>
    <w:p w14:paraId="1E293D2B" w14:textId="00A9A788" w:rsidR="006C4966" w:rsidRDefault="006C4966" w:rsidP="006C4966">
      <w:pPr>
        <w:spacing w:after="240"/>
      </w:pPr>
      <w:r>
        <w:rPr>
          <w:rFonts w:eastAsia="Calibri" w:cs="Times New Roman"/>
          <w:iCs/>
        </w:rPr>
        <w:t>ESC noted that g</w:t>
      </w:r>
      <w:r w:rsidRPr="00F35039">
        <w:rPr>
          <w:rFonts w:eastAsia="Calibri" w:cs="Times New Roman"/>
          <w:iCs/>
        </w:rPr>
        <w:t xml:space="preserve">ermline pathogenic variants in the </w:t>
      </w:r>
      <w:r w:rsidRPr="00464530">
        <w:rPr>
          <w:rFonts w:eastAsia="Calibri" w:cs="Times New Roman"/>
          <w:i/>
        </w:rPr>
        <w:t>TP53</w:t>
      </w:r>
      <w:r w:rsidRPr="00F35039">
        <w:rPr>
          <w:rFonts w:eastAsia="Calibri" w:cs="Times New Roman"/>
          <w:iCs/>
        </w:rPr>
        <w:t xml:space="preserve"> gene cause Li Fraumeni Syndrome (LFS)</w:t>
      </w:r>
      <w:r>
        <w:rPr>
          <w:rFonts w:eastAsia="Calibri" w:cs="Times New Roman"/>
          <w:iCs/>
        </w:rPr>
        <w:t xml:space="preserve">, </w:t>
      </w:r>
      <w:r w:rsidRPr="008124FA">
        <w:rPr>
          <w:rFonts w:eastAsia="Calibri" w:cs="Times New Roman"/>
          <w:iCs/>
        </w:rPr>
        <w:t>a rare condition affecting between 1 in 5,000 and 1 in 20,000 of the population</w:t>
      </w:r>
      <w:r>
        <w:rPr>
          <w:rFonts w:eastAsia="Calibri" w:cs="Times New Roman"/>
          <w:iCs/>
        </w:rPr>
        <w:t xml:space="preserve"> which is associated with higher cancer risk. </w:t>
      </w:r>
      <w:proofErr w:type="gramStart"/>
      <w:r>
        <w:rPr>
          <w:rFonts w:eastAsia="Calibri" w:cs="Times New Roman"/>
          <w:iCs/>
        </w:rPr>
        <w:t>In particular, this</w:t>
      </w:r>
      <w:proofErr w:type="gramEnd"/>
      <w:r>
        <w:rPr>
          <w:rFonts w:eastAsia="Calibri" w:cs="Times New Roman"/>
          <w:iCs/>
        </w:rPr>
        <w:t xml:space="preserve"> </w:t>
      </w:r>
      <w:r w:rsidRPr="009A4697">
        <w:rPr>
          <w:rFonts w:eastAsia="Calibri" w:cs="Times New Roman"/>
          <w:iCs/>
        </w:rPr>
        <w:t>patient population has a very significant clinical need</w:t>
      </w:r>
      <w:r>
        <w:rPr>
          <w:rFonts w:eastAsia="Calibri" w:cs="Times New Roman"/>
          <w:iCs/>
        </w:rPr>
        <w:t xml:space="preserve"> for surveillance for the early detection of cancer as they have a </w:t>
      </w:r>
      <w:r w:rsidRPr="009A4697">
        <w:rPr>
          <w:rFonts w:eastAsia="Calibri" w:cs="Times New Roman"/>
          <w:iCs/>
        </w:rPr>
        <w:t>greater than 90% chance of developing cancer in the</w:t>
      </w:r>
      <w:r>
        <w:rPr>
          <w:rFonts w:eastAsia="Calibri" w:cs="Times New Roman"/>
          <w:iCs/>
        </w:rPr>
        <w:t xml:space="preserve">ir </w:t>
      </w:r>
      <w:r w:rsidRPr="009A4697">
        <w:rPr>
          <w:rFonts w:eastAsia="Calibri" w:cs="Times New Roman"/>
          <w:iCs/>
        </w:rPr>
        <w:t>lifetime, the highest of all cancer predisposition syndromes.</w:t>
      </w:r>
      <w:r w:rsidRPr="00846F6C">
        <w:t xml:space="preserve"> </w:t>
      </w:r>
      <w:r>
        <w:t xml:space="preserve">ESC noted that while </w:t>
      </w:r>
      <w:r w:rsidRPr="00464530">
        <w:rPr>
          <w:i/>
          <w:iCs/>
        </w:rPr>
        <w:t>TP53</w:t>
      </w:r>
      <w:r w:rsidRPr="008124FA">
        <w:t xml:space="preserve"> is the only gene that has been definitively associated with LFS, not all people with a </w:t>
      </w:r>
      <w:r w:rsidRPr="00464530">
        <w:rPr>
          <w:i/>
          <w:iCs/>
        </w:rPr>
        <w:t>TP53</w:t>
      </w:r>
      <w:r w:rsidRPr="008124FA">
        <w:t xml:space="preserve"> variant will have LFS.</w:t>
      </w:r>
    </w:p>
    <w:p w14:paraId="2F1C57B0" w14:textId="77777777" w:rsidR="006C4966" w:rsidRPr="009A4697" w:rsidRDefault="006C4966" w:rsidP="006C4966">
      <w:pPr>
        <w:spacing w:after="240"/>
        <w:rPr>
          <w:rFonts w:eastAsia="Calibri" w:cs="Times New Roman"/>
          <w:iCs/>
        </w:rPr>
      </w:pPr>
      <w:r>
        <w:rPr>
          <w:rFonts w:eastAsia="Calibri" w:cs="Times New Roman"/>
          <w:iCs/>
        </w:rPr>
        <w:t xml:space="preserve">ESC noted that the </w:t>
      </w:r>
      <w:r w:rsidRPr="00A10AB9">
        <w:rPr>
          <w:rFonts w:eastAsia="Calibri" w:cs="Times New Roman"/>
          <w:iCs/>
        </w:rPr>
        <w:t>proposed intervention, WBMRI, would be in addition to current cancer ris</w:t>
      </w:r>
      <w:r>
        <w:rPr>
          <w:rFonts w:eastAsia="Calibri" w:cs="Times New Roman"/>
          <w:iCs/>
        </w:rPr>
        <w:t xml:space="preserve">k surveillance options which for </w:t>
      </w:r>
      <w:r w:rsidRPr="00A10AB9">
        <w:rPr>
          <w:rFonts w:eastAsia="Calibri" w:cs="Times New Roman"/>
          <w:iCs/>
        </w:rPr>
        <w:t xml:space="preserve">this condition </w:t>
      </w:r>
      <w:r>
        <w:rPr>
          <w:rFonts w:eastAsia="Calibri" w:cs="Times New Roman"/>
          <w:iCs/>
        </w:rPr>
        <w:t>are</w:t>
      </w:r>
      <w:r w:rsidRPr="00A10AB9">
        <w:rPr>
          <w:rFonts w:eastAsia="Calibri" w:cs="Times New Roman"/>
          <w:iCs/>
        </w:rPr>
        <w:t xml:space="preserve"> complex, </w:t>
      </w:r>
      <w:proofErr w:type="gramStart"/>
      <w:r w:rsidRPr="00A10AB9">
        <w:rPr>
          <w:rFonts w:eastAsia="Calibri" w:cs="Times New Roman"/>
          <w:iCs/>
        </w:rPr>
        <w:t>evolving</w:t>
      </w:r>
      <w:proofErr w:type="gramEnd"/>
      <w:r w:rsidRPr="00A10AB9">
        <w:rPr>
          <w:rFonts w:eastAsia="Calibri" w:cs="Times New Roman"/>
          <w:iCs/>
        </w:rPr>
        <w:t xml:space="preserve"> and patient specific</w:t>
      </w:r>
      <w:r>
        <w:rPr>
          <w:rFonts w:eastAsia="Calibri" w:cs="Times New Roman"/>
          <w:iCs/>
        </w:rPr>
        <w:t>.</w:t>
      </w:r>
    </w:p>
    <w:p w14:paraId="6D5CD633" w14:textId="5C749CA1" w:rsidR="006C4966" w:rsidRPr="009A4697" w:rsidRDefault="006C4966" w:rsidP="006C4966">
      <w:pPr>
        <w:spacing w:after="240"/>
        <w:rPr>
          <w:rFonts w:eastAsia="Calibri" w:cs="Times New Roman"/>
          <w:iCs/>
        </w:rPr>
      </w:pPr>
      <w:r w:rsidRPr="009A4697">
        <w:rPr>
          <w:rFonts w:eastAsia="Calibri" w:cs="Times New Roman"/>
          <w:iCs/>
        </w:rPr>
        <w:t xml:space="preserve">ESC noted that this application initially sought to list an annual WBMRI scan to detect cancer in asymptomatic individuals aged 18 years and over with germline pathogenic </w:t>
      </w:r>
      <w:r w:rsidRPr="009A4697">
        <w:rPr>
          <w:rFonts w:eastAsia="Calibri" w:cs="Times New Roman"/>
          <w:i/>
        </w:rPr>
        <w:t>TP53</w:t>
      </w:r>
      <w:r w:rsidRPr="009A4697">
        <w:rPr>
          <w:rFonts w:eastAsia="Calibri" w:cs="Times New Roman"/>
          <w:iCs/>
        </w:rPr>
        <w:t xml:space="preserve"> variants. However, at its August 2021 meeting, PASC recommended that the population be expanded to include children with germline pathogenic </w:t>
      </w:r>
      <w:r w:rsidRPr="009A4697">
        <w:rPr>
          <w:rFonts w:eastAsia="Calibri" w:cs="Times New Roman"/>
          <w:i/>
        </w:rPr>
        <w:t>TP53</w:t>
      </w:r>
      <w:r w:rsidRPr="009A4697">
        <w:rPr>
          <w:rFonts w:eastAsia="Calibri" w:cs="Times New Roman"/>
          <w:iCs/>
        </w:rPr>
        <w:t xml:space="preserve"> variants (under 18 years).</w:t>
      </w:r>
    </w:p>
    <w:p w14:paraId="1D924583" w14:textId="087A7203" w:rsidR="006C4966" w:rsidRPr="009A4697" w:rsidRDefault="006C4966" w:rsidP="006C4966">
      <w:pPr>
        <w:spacing w:after="240"/>
        <w:rPr>
          <w:rFonts w:eastAsia="Calibri" w:cs="Times New Roman"/>
          <w:iCs/>
        </w:rPr>
      </w:pPr>
      <w:r>
        <w:t xml:space="preserve">ESC noted that the applicant’s </w:t>
      </w:r>
      <w:r>
        <w:rPr>
          <w:rFonts w:eastAsia="Calibri" w:cs="Times New Roman"/>
          <w:iCs/>
        </w:rPr>
        <w:t>c</w:t>
      </w:r>
      <w:r w:rsidRPr="00846F6C">
        <w:rPr>
          <w:rFonts w:eastAsia="Calibri" w:cs="Times New Roman"/>
          <w:iCs/>
        </w:rPr>
        <w:t xml:space="preserve">laim is that annual surveillance with WBMRI will result in earlier detection of malignant lesions, and that subsequent earlier treatment will improve </w:t>
      </w:r>
      <w:r>
        <w:rPr>
          <w:rFonts w:eastAsia="Calibri" w:cs="Times New Roman"/>
          <w:iCs/>
        </w:rPr>
        <w:t xml:space="preserve">patient </w:t>
      </w:r>
      <w:r w:rsidRPr="00846F6C">
        <w:rPr>
          <w:rFonts w:eastAsia="Calibri" w:cs="Times New Roman"/>
          <w:iCs/>
        </w:rPr>
        <w:t>outcomes</w:t>
      </w:r>
      <w:r>
        <w:rPr>
          <w:rFonts w:eastAsia="Calibri" w:cs="Times New Roman"/>
          <w:iCs/>
        </w:rPr>
        <w:t xml:space="preserve">. </w:t>
      </w:r>
      <w:r w:rsidRPr="009A4697">
        <w:rPr>
          <w:rFonts w:eastAsia="Calibri" w:cs="Times New Roman"/>
          <w:iCs/>
        </w:rPr>
        <w:t xml:space="preserve">ESC noted that </w:t>
      </w:r>
      <w:r>
        <w:rPr>
          <w:rFonts w:eastAsia="Calibri" w:cs="Times New Roman"/>
          <w:iCs/>
        </w:rPr>
        <w:t>the earlier detection and treatment</w:t>
      </w:r>
      <w:r w:rsidRPr="009A4697">
        <w:rPr>
          <w:rFonts w:eastAsia="Calibri" w:cs="Times New Roman"/>
          <w:iCs/>
        </w:rPr>
        <w:t xml:space="preserve"> </w:t>
      </w:r>
      <w:r>
        <w:rPr>
          <w:rFonts w:eastAsia="Calibri" w:cs="Times New Roman"/>
          <w:iCs/>
        </w:rPr>
        <w:t xml:space="preserve">facilitated by annual WBMRI </w:t>
      </w:r>
      <w:r>
        <w:rPr>
          <w:rFonts w:eastAsia="Calibri" w:cs="Times New Roman"/>
          <w:iCs/>
        </w:rPr>
        <w:lastRenderedPageBreak/>
        <w:t xml:space="preserve">surveillance may lead to overall lower </w:t>
      </w:r>
      <w:r w:rsidRPr="009A4697">
        <w:rPr>
          <w:rFonts w:eastAsia="Calibri" w:cs="Times New Roman"/>
          <w:iCs/>
        </w:rPr>
        <w:t>treatment</w:t>
      </w:r>
      <w:r>
        <w:rPr>
          <w:rFonts w:eastAsia="Calibri" w:cs="Times New Roman"/>
          <w:iCs/>
        </w:rPr>
        <w:t xml:space="preserve"> costs </w:t>
      </w:r>
      <w:r w:rsidRPr="009A4697">
        <w:rPr>
          <w:rFonts w:eastAsia="Calibri" w:cs="Times New Roman"/>
          <w:iCs/>
        </w:rPr>
        <w:t>and faster recovery</w:t>
      </w:r>
      <w:r>
        <w:rPr>
          <w:rFonts w:eastAsia="Calibri" w:cs="Times New Roman"/>
          <w:iCs/>
        </w:rPr>
        <w:t xml:space="preserve"> for patients</w:t>
      </w:r>
      <w:r w:rsidRPr="009A4697">
        <w:rPr>
          <w:rFonts w:eastAsia="Calibri" w:cs="Times New Roman"/>
          <w:iCs/>
        </w:rPr>
        <w:t xml:space="preserve">. However, there are </w:t>
      </w:r>
      <w:r>
        <w:rPr>
          <w:rFonts w:eastAsia="Calibri" w:cs="Times New Roman"/>
          <w:iCs/>
        </w:rPr>
        <w:t xml:space="preserve">also </w:t>
      </w:r>
      <w:r w:rsidRPr="009A4697">
        <w:rPr>
          <w:rFonts w:eastAsia="Calibri" w:cs="Times New Roman"/>
          <w:iCs/>
        </w:rPr>
        <w:t>costs associated with attending additional appointments</w:t>
      </w:r>
      <w:r>
        <w:rPr>
          <w:rFonts w:eastAsia="Calibri" w:cs="Times New Roman"/>
          <w:iCs/>
        </w:rPr>
        <w:t xml:space="preserve"> for the WBMRI scan</w:t>
      </w:r>
      <w:r w:rsidRPr="009A4697">
        <w:rPr>
          <w:rFonts w:eastAsia="Calibri" w:cs="Times New Roman"/>
          <w:iCs/>
        </w:rPr>
        <w:t xml:space="preserve"> which could result in loss of income, particularly for those in rural or remote communities.</w:t>
      </w:r>
    </w:p>
    <w:p w14:paraId="0F81641F" w14:textId="13C3F184" w:rsidR="006C4966" w:rsidRPr="009A4697" w:rsidRDefault="006C4966" w:rsidP="006C4966">
      <w:pPr>
        <w:spacing w:after="240"/>
        <w:rPr>
          <w:rFonts w:eastAsia="Calibri" w:cs="Times New Roman"/>
          <w:iCs/>
        </w:rPr>
      </w:pPr>
      <w:r w:rsidRPr="009A4697">
        <w:rPr>
          <w:rFonts w:eastAsia="Calibri" w:cs="Times New Roman"/>
          <w:iCs/>
        </w:rPr>
        <w:t xml:space="preserve">ESC noted that, currently, </w:t>
      </w:r>
      <w:r>
        <w:rPr>
          <w:rFonts w:eastAsia="Calibri" w:cs="Times New Roman"/>
          <w:iCs/>
        </w:rPr>
        <w:t xml:space="preserve">some </w:t>
      </w:r>
      <w:r w:rsidRPr="009A4697">
        <w:rPr>
          <w:rFonts w:eastAsia="Calibri" w:cs="Times New Roman"/>
          <w:iCs/>
        </w:rPr>
        <w:t xml:space="preserve">germline </w:t>
      </w:r>
      <w:r w:rsidRPr="009A4697">
        <w:rPr>
          <w:rFonts w:eastAsia="Calibri" w:cs="Times New Roman"/>
          <w:i/>
        </w:rPr>
        <w:t>TP53</w:t>
      </w:r>
      <w:r w:rsidRPr="009A4697">
        <w:rPr>
          <w:rFonts w:eastAsia="Calibri" w:cs="Times New Roman"/>
          <w:iCs/>
        </w:rPr>
        <w:t xml:space="preserve"> testing is access</w:t>
      </w:r>
      <w:r>
        <w:rPr>
          <w:rFonts w:eastAsia="Calibri" w:cs="Times New Roman"/>
          <w:iCs/>
        </w:rPr>
        <w:t xml:space="preserve">ible </w:t>
      </w:r>
      <w:r w:rsidRPr="009A4697">
        <w:rPr>
          <w:rFonts w:eastAsia="Calibri" w:cs="Times New Roman"/>
          <w:iCs/>
        </w:rPr>
        <w:t>via the MBS</w:t>
      </w:r>
      <w:r>
        <w:rPr>
          <w:rFonts w:eastAsia="Calibri" w:cs="Times New Roman"/>
          <w:iCs/>
        </w:rPr>
        <w:t xml:space="preserve"> through items </w:t>
      </w:r>
      <w:r w:rsidRPr="009A4697">
        <w:rPr>
          <w:rFonts w:eastAsia="Calibri" w:cs="Times New Roman"/>
          <w:iCs/>
        </w:rPr>
        <w:t>73296</w:t>
      </w:r>
      <w:r>
        <w:rPr>
          <w:rFonts w:eastAsia="Calibri" w:cs="Times New Roman"/>
          <w:iCs/>
        </w:rPr>
        <w:t xml:space="preserve"> and</w:t>
      </w:r>
      <w:r w:rsidRPr="009A4697">
        <w:rPr>
          <w:rFonts w:eastAsia="Calibri" w:cs="Times New Roman"/>
          <w:iCs/>
        </w:rPr>
        <w:t xml:space="preserve"> 73297</w:t>
      </w:r>
      <w:r>
        <w:rPr>
          <w:rFonts w:eastAsia="Calibri" w:cs="Times New Roman"/>
          <w:iCs/>
        </w:rPr>
        <w:t xml:space="preserve"> </w:t>
      </w:r>
      <w:r w:rsidRPr="009A4697">
        <w:rPr>
          <w:rFonts w:eastAsia="Calibri" w:cs="Times New Roman"/>
          <w:iCs/>
        </w:rPr>
        <w:t xml:space="preserve">for individuals suspected of hereditary breast and ovarian cancer (HBOC), as </w:t>
      </w:r>
      <w:r w:rsidRPr="003523B6">
        <w:rPr>
          <w:rFonts w:eastAsia="Calibri" w:cs="Times New Roman"/>
          <w:i/>
        </w:rPr>
        <w:t xml:space="preserve">TP53 </w:t>
      </w:r>
      <w:r>
        <w:rPr>
          <w:rFonts w:eastAsia="Calibri" w:cs="Times New Roman"/>
          <w:iCs/>
        </w:rPr>
        <w:t xml:space="preserve">is </w:t>
      </w:r>
      <w:r w:rsidRPr="009A4697">
        <w:rPr>
          <w:rFonts w:eastAsia="Calibri" w:cs="Times New Roman"/>
          <w:iCs/>
        </w:rPr>
        <w:t>one of four genes suspected to increase risk of these cancers</w:t>
      </w:r>
      <w:r>
        <w:rPr>
          <w:rFonts w:eastAsia="Calibri" w:cs="Times New Roman"/>
          <w:iCs/>
        </w:rPr>
        <w:t xml:space="preserve">. </w:t>
      </w:r>
      <w:proofErr w:type="gramStart"/>
      <w:r>
        <w:rPr>
          <w:rFonts w:eastAsia="Calibri" w:cs="Times New Roman"/>
          <w:iCs/>
        </w:rPr>
        <w:t>However</w:t>
      </w:r>
      <w:proofErr w:type="gramEnd"/>
      <w:r>
        <w:rPr>
          <w:rFonts w:eastAsia="Calibri" w:cs="Times New Roman"/>
          <w:iCs/>
        </w:rPr>
        <w:t xml:space="preserve"> with the exception of these MBS items there is</w:t>
      </w:r>
      <w:r w:rsidRPr="009A4697">
        <w:rPr>
          <w:rFonts w:eastAsia="Calibri" w:cs="Times New Roman"/>
          <w:iCs/>
        </w:rPr>
        <w:t xml:space="preserve"> limited availability of testing for </w:t>
      </w:r>
      <w:r w:rsidRPr="009A4697">
        <w:rPr>
          <w:rFonts w:eastAsia="Calibri" w:cs="Times New Roman"/>
          <w:i/>
        </w:rPr>
        <w:t>TP53</w:t>
      </w:r>
      <w:r w:rsidRPr="009A4697">
        <w:rPr>
          <w:rFonts w:eastAsia="Calibri" w:cs="Times New Roman"/>
          <w:iCs/>
        </w:rPr>
        <w:t xml:space="preserve"> variants (affected individual and cascade) on the MBS. </w:t>
      </w:r>
      <w:r w:rsidRPr="009A4697">
        <w:rPr>
          <w:rFonts w:eastAsia="Calibri" w:cs="Times New Roman"/>
          <w:i/>
        </w:rPr>
        <w:t>TP53</w:t>
      </w:r>
      <w:r w:rsidRPr="009A4697">
        <w:rPr>
          <w:rFonts w:eastAsia="Calibri" w:cs="Times New Roman"/>
          <w:iCs/>
        </w:rPr>
        <w:t xml:space="preserve"> testing is currently funded by </w:t>
      </w:r>
      <w:r>
        <w:rPr>
          <w:rFonts w:eastAsia="Calibri" w:cs="Times New Roman"/>
          <w:iCs/>
        </w:rPr>
        <w:t>S</w:t>
      </w:r>
      <w:r w:rsidRPr="009A4697">
        <w:rPr>
          <w:rFonts w:eastAsia="Calibri" w:cs="Times New Roman"/>
          <w:iCs/>
        </w:rPr>
        <w:t>tate/</w:t>
      </w:r>
      <w:r>
        <w:rPr>
          <w:rFonts w:eastAsia="Calibri" w:cs="Times New Roman"/>
          <w:iCs/>
        </w:rPr>
        <w:t>T</w:t>
      </w:r>
      <w:r w:rsidRPr="009A4697">
        <w:rPr>
          <w:rFonts w:eastAsia="Calibri" w:cs="Times New Roman"/>
          <w:iCs/>
        </w:rPr>
        <w:t>erritory genetic services.</w:t>
      </w:r>
    </w:p>
    <w:p w14:paraId="71EAAF35" w14:textId="0ABA891A" w:rsidR="006C4966" w:rsidRPr="003523B6" w:rsidRDefault="006C4966" w:rsidP="002563C4">
      <w:pPr>
        <w:keepNext/>
        <w:tabs>
          <w:tab w:val="num" w:pos="426"/>
        </w:tabs>
        <w:rPr>
          <w:bCs/>
        </w:rPr>
      </w:pPr>
      <w:r w:rsidRPr="007648AF">
        <w:rPr>
          <w:rFonts w:eastAsia="Calibri" w:cs="Times New Roman"/>
          <w:iCs/>
        </w:rPr>
        <w:t>ESC noted that the MBS item descriptor in the policy paper</w:t>
      </w:r>
      <w:r w:rsidRPr="003523B6">
        <w:rPr>
          <w:rFonts w:eastAsia="Calibri" w:cs="Times New Roman"/>
          <w:iCs/>
        </w:rPr>
        <w:t xml:space="preserve"> currently describes the population as </w:t>
      </w:r>
      <w:r w:rsidRPr="007648AF">
        <w:rPr>
          <w:rFonts w:eastAsia="Calibri" w:cs="Times New Roman"/>
          <w:iCs/>
        </w:rPr>
        <w:t xml:space="preserve">person[s] with </w:t>
      </w:r>
      <w:r w:rsidRPr="007648AF">
        <w:rPr>
          <w:bCs/>
        </w:rPr>
        <w:t>“</w:t>
      </w:r>
      <w:r w:rsidRPr="005E205C">
        <w:rPr>
          <w:bCs/>
        </w:rPr>
        <w:t xml:space="preserve">a high risk of developing cancer malignancy due to heritable </w:t>
      </w:r>
      <w:r w:rsidRPr="00292398">
        <w:rPr>
          <w:bCs/>
          <w:i/>
          <w:iCs/>
        </w:rPr>
        <w:t>TP53</w:t>
      </w:r>
      <w:r w:rsidRPr="005E205C">
        <w:rPr>
          <w:bCs/>
        </w:rPr>
        <w:t>-related cancer (h</w:t>
      </w:r>
      <w:r w:rsidRPr="00A426F9">
        <w:rPr>
          <w:bCs/>
          <w:i/>
          <w:iCs/>
        </w:rPr>
        <w:t>TP53</w:t>
      </w:r>
      <w:r w:rsidRPr="005E205C">
        <w:rPr>
          <w:bCs/>
        </w:rPr>
        <w:t>rc) syndrome</w:t>
      </w:r>
      <w:r w:rsidRPr="007648AF">
        <w:rPr>
          <w:bCs/>
        </w:rPr>
        <w:t xml:space="preserve">”. This does not yet reflect </w:t>
      </w:r>
      <w:r w:rsidRPr="007648AF">
        <w:rPr>
          <w:rFonts w:eastAsia="Calibri" w:cs="Times New Roman"/>
          <w:iCs/>
        </w:rPr>
        <w:t>th</w:t>
      </w:r>
      <w:r w:rsidRPr="003523B6">
        <w:rPr>
          <w:rFonts w:eastAsia="Calibri" w:cs="Times New Roman"/>
          <w:iCs/>
        </w:rPr>
        <w:t xml:space="preserve">e proposal discussed between the </w:t>
      </w:r>
      <w:r w:rsidRPr="007648AF">
        <w:rPr>
          <w:rFonts w:eastAsia="Calibri" w:cs="Times New Roman"/>
          <w:iCs/>
        </w:rPr>
        <w:t>applicant and Department</w:t>
      </w:r>
      <w:r w:rsidRPr="003523B6">
        <w:rPr>
          <w:rFonts w:eastAsia="Calibri" w:cs="Times New Roman"/>
          <w:iCs/>
        </w:rPr>
        <w:t xml:space="preserve"> to limit the </w:t>
      </w:r>
      <w:r w:rsidRPr="007648AF">
        <w:rPr>
          <w:rFonts w:eastAsia="Calibri" w:cs="Times New Roman"/>
          <w:iCs/>
        </w:rPr>
        <w:t xml:space="preserve">eligible population </w:t>
      </w:r>
      <w:r w:rsidRPr="003523B6">
        <w:rPr>
          <w:rFonts w:eastAsia="Calibri" w:cs="Times New Roman"/>
          <w:iCs/>
        </w:rPr>
        <w:t>to</w:t>
      </w:r>
      <w:r w:rsidRPr="007648AF">
        <w:rPr>
          <w:rFonts w:eastAsia="Calibri" w:cs="Times New Roman"/>
          <w:iCs/>
        </w:rPr>
        <w:t xml:space="preserve">: “carriers of pathogenic or likely pathogenic germline </w:t>
      </w:r>
      <w:r w:rsidR="004F36FB">
        <w:rPr>
          <w:rFonts w:eastAsia="Calibri" w:cs="Times New Roman"/>
          <w:iCs/>
        </w:rPr>
        <w:t>variants</w:t>
      </w:r>
      <w:r w:rsidRPr="007648AF">
        <w:rPr>
          <w:rFonts w:eastAsia="Calibri" w:cs="Times New Roman"/>
          <w:iCs/>
        </w:rPr>
        <w:t xml:space="preserve"> in </w:t>
      </w:r>
      <w:r w:rsidRPr="007648AF">
        <w:rPr>
          <w:rFonts w:eastAsia="Calibri" w:cs="Times New Roman"/>
          <w:i/>
        </w:rPr>
        <w:t>TP53</w:t>
      </w:r>
      <w:r w:rsidRPr="007648AF">
        <w:rPr>
          <w:rFonts w:eastAsia="Calibri" w:cs="Times New Roman"/>
          <w:iCs/>
        </w:rPr>
        <w:t xml:space="preserve">, who have either </w:t>
      </w:r>
      <w:r w:rsidRPr="007648AF">
        <w:rPr>
          <w:rFonts w:eastAsia="Calibri" w:cs="Times New Roman"/>
          <w:b/>
          <w:bCs/>
          <w:iCs/>
        </w:rPr>
        <w:t>never had a cancer diagnosis</w:t>
      </w:r>
      <w:r w:rsidRPr="007648AF">
        <w:rPr>
          <w:rFonts w:eastAsia="Calibri" w:cs="Times New Roman"/>
          <w:iCs/>
        </w:rPr>
        <w:t xml:space="preserve">, or have had a prior cancer treated systemically with curative intent </w:t>
      </w:r>
      <w:r w:rsidRPr="007648AF">
        <w:rPr>
          <w:rFonts w:eastAsia="Calibri" w:cs="Times New Roman"/>
          <w:b/>
          <w:bCs/>
          <w:iCs/>
        </w:rPr>
        <w:t>more than 2 years previously and who remain disease-free</w:t>
      </w:r>
      <w:r w:rsidRPr="007648AF">
        <w:rPr>
          <w:rFonts w:eastAsia="Calibri" w:cs="Times New Roman"/>
          <w:iCs/>
        </w:rPr>
        <w:t xml:space="preserve">”. </w:t>
      </w:r>
      <w:proofErr w:type="gramStart"/>
      <w:r w:rsidRPr="007648AF">
        <w:rPr>
          <w:rFonts w:eastAsia="Calibri" w:cs="Times New Roman"/>
          <w:iCs/>
        </w:rPr>
        <w:t>However</w:t>
      </w:r>
      <w:proofErr w:type="gramEnd"/>
      <w:r w:rsidRPr="007648AF">
        <w:rPr>
          <w:rFonts w:eastAsia="Calibri" w:cs="Times New Roman"/>
          <w:iCs/>
        </w:rPr>
        <w:t xml:space="preserve"> ESC noted that the population description has not been adjusted in the item descriptor because:</w:t>
      </w:r>
    </w:p>
    <w:p w14:paraId="53507C10" w14:textId="77777777" w:rsidR="006C4966" w:rsidRPr="003523B6" w:rsidRDefault="006C4966" w:rsidP="00411DE4">
      <w:pPr>
        <w:pStyle w:val="ListParagraph"/>
        <w:numPr>
          <w:ilvl w:val="0"/>
          <w:numId w:val="49"/>
        </w:numPr>
        <w:rPr>
          <w:rFonts w:eastAsia="Calibri" w:cs="Times New Roman"/>
          <w:iCs/>
        </w:rPr>
      </w:pPr>
      <w:r w:rsidRPr="003523B6">
        <w:rPr>
          <w:rFonts w:eastAsia="Calibri" w:cs="Times New Roman"/>
          <w:iCs/>
        </w:rPr>
        <w:t>the term “disease free’ of cancer is often a subjective assessment by the clinician often without any objective measures</w:t>
      </w:r>
    </w:p>
    <w:p w14:paraId="51B45CBC" w14:textId="77777777" w:rsidR="006C4966" w:rsidRDefault="006C4966" w:rsidP="00411DE4">
      <w:pPr>
        <w:pStyle w:val="ListParagraph"/>
        <w:numPr>
          <w:ilvl w:val="0"/>
          <w:numId w:val="49"/>
        </w:numPr>
        <w:rPr>
          <w:rFonts w:eastAsia="Calibri" w:cs="Times New Roman"/>
          <w:iCs/>
        </w:rPr>
      </w:pPr>
      <w:r w:rsidRPr="003523B6">
        <w:rPr>
          <w:rFonts w:eastAsia="Calibri" w:cs="Times New Roman"/>
          <w:iCs/>
        </w:rPr>
        <w:t>such a restriction would be inappropriate in this population who need ongoing surveillance even in the context of a recent cancer diagnosis, particularly as they are prone to multi-site malignancies</w:t>
      </w:r>
      <w:r>
        <w:rPr>
          <w:rFonts w:eastAsia="Calibri" w:cs="Times New Roman"/>
          <w:iCs/>
        </w:rPr>
        <w:t>.</w:t>
      </w:r>
    </w:p>
    <w:p w14:paraId="0F5679DB" w14:textId="4B946C41" w:rsidR="006C4966" w:rsidRDefault="006C4966" w:rsidP="006C4966">
      <w:pPr>
        <w:tabs>
          <w:tab w:val="left" w:pos="5820"/>
        </w:tabs>
        <w:spacing w:after="240"/>
      </w:pPr>
      <w:r w:rsidRPr="009A4697">
        <w:rPr>
          <w:rFonts w:eastAsia="Calibri" w:cs="Times New Roman"/>
          <w:iCs/>
        </w:rPr>
        <w:t xml:space="preserve">The revised descriptor </w:t>
      </w:r>
      <w:r>
        <w:rPr>
          <w:rFonts w:eastAsia="Calibri" w:cs="Times New Roman"/>
          <w:iCs/>
        </w:rPr>
        <w:t xml:space="preserve">also </w:t>
      </w:r>
      <w:r w:rsidRPr="009A4697">
        <w:rPr>
          <w:rFonts w:eastAsia="Calibri" w:cs="Times New Roman"/>
          <w:iCs/>
        </w:rPr>
        <w:t>removes</w:t>
      </w:r>
      <w:r>
        <w:rPr>
          <w:rFonts w:eastAsia="Calibri" w:cs="Times New Roman"/>
          <w:iCs/>
        </w:rPr>
        <w:t xml:space="preserve"> both lower and upper</w:t>
      </w:r>
      <w:r w:rsidRPr="009A4697">
        <w:rPr>
          <w:rFonts w:eastAsia="Calibri" w:cs="Times New Roman"/>
          <w:iCs/>
        </w:rPr>
        <w:t xml:space="preserve"> age limits</w:t>
      </w:r>
      <w:r>
        <w:rPr>
          <w:rFonts w:eastAsia="Calibri" w:cs="Times New Roman"/>
          <w:iCs/>
        </w:rPr>
        <w:t>.</w:t>
      </w:r>
    </w:p>
    <w:p w14:paraId="038D8D12" w14:textId="27C1DB70" w:rsidR="006C4966" w:rsidRPr="002563C4" w:rsidRDefault="006C4966" w:rsidP="002563C4">
      <w:pPr>
        <w:rPr>
          <w:rFonts w:eastAsia="Calibri" w:cs="Times New Roman"/>
          <w:iCs/>
        </w:rPr>
      </w:pPr>
      <w:r>
        <w:t xml:space="preserve">ESC noted that the </w:t>
      </w:r>
      <w:r w:rsidRPr="002563C4">
        <w:rPr>
          <w:rFonts w:eastAsia="Calibri" w:cs="Times New Roman"/>
          <w:iCs/>
        </w:rPr>
        <w:t xml:space="preserve">MBS item descriptor should specify the </w:t>
      </w:r>
      <w:r w:rsidRPr="002563C4">
        <w:rPr>
          <w:rFonts w:eastAsia="Calibri" w:cs="Times New Roman"/>
          <w:i/>
        </w:rPr>
        <w:t xml:space="preserve">TP53 </w:t>
      </w:r>
      <w:r w:rsidRPr="002563C4">
        <w:rPr>
          <w:rFonts w:eastAsia="Calibri" w:cs="Times New Roman"/>
          <w:iCs/>
        </w:rPr>
        <w:t xml:space="preserve">variants. Post-ESC, policy noted that one option to address </w:t>
      </w:r>
      <w:r w:rsidRPr="00411DE4">
        <w:t>this</w:t>
      </w:r>
      <w:r w:rsidRPr="002563C4">
        <w:rPr>
          <w:rFonts w:eastAsia="Calibri" w:cs="Times New Roman"/>
          <w:iCs/>
        </w:rPr>
        <w:t xml:space="preserve"> is </w:t>
      </w:r>
      <w:r>
        <w:t xml:space="preserve">to provide guidance on the </w:t>
      </w:r>
      <w:r w:rsidRPr="002563C4">
        <w:rPr>
          <w:i/>
          <w:iCs/>
        </w:rPr>
        <w:t>TP53</w:t>
      </w:r>
      <w:r>
        <w:t xml:space="preserve"> variants in the explanatory notes for requestors</w:t>
      </w:r>
      <w:r w:rsidRPr="002563C4">
        <w:rPr>
          <w:rFonts w:eastAsia="Calibri" w:cs="Times New Roman"/>
          <w:iCs/>
        </w:rPr>
        <w:t>.</w:t>
      </w:r>
    </w:p>
    <w:p w14:paraId="68699C17" w14:textId="77777777" w:rsidR="006C4966" w:rsidRPr="00A142DA" w:rsidRDefault="006C4966" w:rsidP="006C4966">
      <w:pPr>
        <w:tabs>
          <w:tab w:val="left" w:pos="5820"/>
        </w:tabs>
        <w:spacing w:after="240"/>
        <w:rPr>
          <w:rFonts w:eastAsia="Calibri" w:cs="Times New Roman"/>
          <w:iCs/>
        </w:rPr>
      </w:pPr>
      <w:bookmarkStart w:id="40" w:name="_Hlk107323648"/>
      <w:r w:rsidRPr="00A142DA">
        <w:rPr>
          <w:rFonts w:eastAsia="Calibri" w:cs="Times New Roman"/>
          <w:iCs/>
        </w:rPr>
        <w:t>The Department wil</w:t>
      </w:r>
      <w:r>
        <w:rPr>
          <w:rFonts w:eastAsia="Calibri" w:cs="Times New Roman"/>
          <w:iCs/>
        </w:rPr>
        <w:t>l monitor the</w:t>
      </w:r>
      <w:r w:rsidRPr="00A142DA">
        <w:rPr>
          <w:rFonts w:eastAsia="Calibri" w:cs="Times New Roman"/>
          <w:iCs/>
        </w:rPr>
        <w:t xml:space="preserve"> usage </w:t>
      </w:r>
      <w:r>
        <w:rPr>
          <w:rFonts w:eastAsia="Calibri" w:cs="Times New Roman"/>
          <w:iCs/>
        </w:rPr>
        <w:t xml:space="preserve">of the item </w:t>
      </w:r>
      <w:r w:rsidRPr="00A142DA">
        <w:rPr>
          <w:rFonts w:eastAsia="Calibri" w:cs="Times New Roman"/>
          <w:iCs/>
        </w:rPr>
        <w:t xml:space="preserve">following </w:t>
      </w:r>
      <w:r>
        <w:rPr>
          <w:rFonts w:eastAsia="Calibri" w:cs="Times New Roman"/>
          <w:iCs/>
        </w:rPr>
        <w:t xml:space="preserve">its </w:t>
      </w:r>
      <w:r w:rsidRPr="00A142DA">
        <w:rPr>
          <w:rFonts w:eastAsia="Calibri" w:cs="Times New Roman"/>
          <w:iCs/>
        </w:rPr>
        <w:t>implementation, and work with relevant stakeholders</w:t>
      </w:r>
      <w:r>
        <w:rPr>
          <w:rFonts w:eastAsia="Calibri" w:cs="Times New Roman"/>
          <w:iCs/>
        </w:rPr>
        <w:t xml:space="preserve"> to further refine the item </w:t>
      </w:r>
      <w:proofErr w:type="gramStart"/>
      <w:r>
        <w:rPr>
          <w:rFonts w:eastAsia="Calibri" w:cs="Times New Roman"/>
          <w:iCs/>
        </w:rPr>
        <w:t>descriptor</w:t>
      </w:r>
      <w:proofErr w:type="gramEnd"/>
      <w:r>
        <w:rPr>
          <w:rFonts w:eastAsia="Calibri" w:cs="Times New Roman"/>
          <w:iCs/>
        </w:rPr>
        <w:t xml:space="preserve"> if necessary, </w:t>
      </w:r>
      <w:r w:rsidRPr="00A142DA">
        <w:rPr>
          <w:rFonts w:eastAsia="Calibri" w:cs="Times New Roman"/>
          <w:iCs/>
        </w:rPr>
        <w:t>where higher or lower than expected item usage is identified</w:t>
      </w:r>
      <w:bookmarkEnd w:id="40"/>
      <w:r w:rsidRPr="00A142DA">
        <w:rPr>
          <w:rFonts w:eastAsia="Calibri" w:cs="Times New Roman"/>
          <w:iCs/>
        </w:rPr>
        <w:t>.</w:t>
      </w:r>
    </w:p>
    <w:p w14:paraId="3696132B" w14:textId="77777777" w:rsidR="006C4966" w:rsidRDefault="006C4966" w:rsidP="006C4966">
      <w:pPr>
        <w:spacing w:after="240"/>
        <w:rPr>
          <w:rFonts w:eastAsia="Calibri" w:cs="Times New Roman"/>
          <w:iCs/>
        </w:rPr>
      </w:pPr>
      <w:r w:rsidRPr="009A4697">
        <w:rPr>
          <w:rFonts w:eastAsia="Calibri" w:cs="Times New Roman"/>
          <w:iCs/>
        </w:rPr>
        <w:t>ESC noted that there is a low risk of leakage because the patient population is well-defined.</w:t>
      </w:r>
    </w:p>
    <w:p w14:paraId="366A3948" w14:textId="530C23BD" w:rsidR="006C4966" w:rsidRDefault="006C4966" w:rsidP="006C4966">
      <w:pPr>
        <w:spacing w:after="240"/>
        <w:rPr>
          <w:rFonts w:eastAsia="Calibri" w:cs="Times New Roman"/>
          <w:iCs/>
        </w:rPr>
      </w:pPr>
      <w:r w:rsidRPr="009A4697">
        <w:rPr>
          <w:rFonts w:eastAsia="Calibri" w:cs="Times New Roman"/>
          <w:iCs/>
        </w:rPr>
        <w:t>ESC noted that the</w:t>
      </w:r>
      <w:r>
        <w:rPr>
          <w:rFonts w:eastAsia="Calibri" w:cs="Times New Roman"/>
          <w:iCs/>
        </w:rPr>
        <w:t xml:space="preserve"> applicant did not provide </w:t>
      </w:r>
      <w:r w:rsidRPr="009A4697">
        <w:rPr>
          <w:rFonts w:eastAsia="Calibri" w:cs="Times New Roman"/>
          <w:iCs/>
        </w:rPr>
        <w:t>justification for the</w:t>
      </w:r>
      <w:r>
        <w:rPr>
          <w:rFonts w:eastAsia="Calibri" w:cs="Times New Roman"/>
          <w:iCs/>
        </w:rPr>
        <w:t xml:space="preserve"> $1500</w:t>
      </w:r>
      <w:r w:rsidRPr="009A4697">
        <w:rPr>
          <w:rFonts w:eastAsia="Calibri" w:cs="Times New Roman"/>
          <w:iCs/>
        </w:rPr>
        <w:t xml:space="preserve"> fee other than </w:t>
      </w:r>
      <w:r>
        <w:rPr>
          <w:rFonts w:eastAsia="Calibri" w:cs="Times New Roman"/>
          <w:iCs/>
        </w:rPr>
        <w:t>the claim that it t</w:t>
      </w:r>
      <w:r w:rsidRPr="009A4697">
        <w:rPr>
          <w:rFonts w:eastAsia="Calibri" w:cs="Times New Roman"/>
          <w:iCs/>
        </w:rPr>
        <w:t>akes one hour to perform the scan</w:t>
      </w:r>
      <w:r>
        <w:rPr>
          <w:rFonts w:eastAsia="Calibri" w:cs="Times New Roman"/>
          <w:iCs/>
        </w:rPr>
        <w:t>, though stakeholder feedback supported the proposed fee</w:t>
      </w:r>
      <w:r w:rsidRPr="009A4697">
        <w:rPr>
          <w:rFonts w:eastAsia="Calibri" w:cs="Times New Roman"/>
          <w:iCs/>
        </w:rPr>
        <w:t xml:space="preserve">. </w:t>
      </w:r>
      <w:r>
        <w:rPr>
          <w:rFonts w:eastAsia="Calibri" w:cs="Times New Roman"/>
          <w:iCs/>
        </w:rPr>
        <w:t>ESC noted the advice from RANZCR that the scan also has a lengthy reporting time of at least an hour due to the number of sequences to be reviewed.</w:t>
      </w:r>
    </w:p>
    <w:p w14:paraId="24243EC6" w14:textId="77777777" w:rsidR="006C4966" w:rsidRPr="009A4697" w:rsidRDefault="006C4966" w:rsidP="006C4966">
      <w:pPr>
        <w:spacing w:after="240"/>
        <w:rPr>
          <w:rFonts w:eastAsia="Calibri" w:cs="Times New Roman"/>
          <w:iCs/>
        </w:rPr>
      </w:pPr>
      <w:r>
        <w:rPr>
          <w:rFonts w:eastAsia="Calibri" w:cs="Times New Roman"/>
          <w:iCs/>
        </w:rPr>
        <w:t xml:space="preserve">ESC noted that currently </w:t>
      </w:r>
      <w:r w:rsidRPr="00A10AB9">
        <w:rPr>
          <w:rFonts w:eastAsia="Calibri" w:cs="Times New Roman"/>
          <w:iCs/>
        </w:rPr>
        <w:t xml:space="preserve">the highest schedule fee for MRI services is $1,200.00 for </w:t>
      </w:r>
      <w:proofErr w:type="spellStart"/>
      <w:r w:rsidRPr="00A10AB9">
        <w:rPr>
          <w:rFonts w:eastAsia="Calibri" w:cs="Times New Roman"/>
          <w:iCs/>
        </w:rPr>
        <w:t>fetal</w:t>
      </w:r>
      <w:proofErr w:type="spellEnd"/>
      <w:r w:rsidRPr="00A10AB9">
        <w:rPr>
          <w:rFonts w:eastAsia="Calibri" w:cs="Times New Roman"/>
          <w:iCs/>
        </w:rPr>
        <w:t xml:space="preserve"> MRI</w:t>
      </w:r>
      <w:r>
        <w:rPr>
          <w:rFonts w:eastAsia="Calibri" w:cs="Times New Roman"/>
          <w:iCs/>
        </w:rPr>
        <w:t>,</w:t>
      </w:r>
      <w:r w:rsidRPr="00A10AB9">
        <w:rPr>
          <w:rFonts w:eastAsia="Calibri" w:cs="Times New Roman"/>
          <w:iCs/>
        </w:rPr>
        <w:t xml:space="preserve"> a complex scan which takes a minimum of 45 minutes to complete</w:t>
      </w:r>
      <w:r>
        <w:rPr>
          <w:rFonts w:eastAsia="Calibri" w:cs="Times New Roman"/>
          <w:iCs/>
        </w:rPr>
        <w:t xml:space="preserve">. ESC noted that </w:t>
      </w:r>
      <w:r w:rsidRPr="009A4697">
        <w:rPr>
          <w:rFonts w:eastAsia="Calibri" w:cs="Times New Roman"/>
          <w:iCs/>
        </w:rPr>
        <w:t>based on the lowest and highest fee per minute from MBS items 6</w:t>
      </w:r>
      <w:r>
        <w:rPr>
          <w:rFonts w:eastAsia="Calibri" w:cs="Times New Roman"/>
          <w:iCs/>
        </w:rPr>
        <w:t>3</w:t>
      </w:r>
      <w:r w:rsidRPr="009A4697">
        <w:rPr>
          <w:rFonts w:eastAsia="Calibri" w:cs="Times New Roman"/>
          <w:iCs/>
        </w:rPr>
        <w:t>001</w:t>
      </w:r>
      <w:r>
        <w:rPr>
          <w:rFonts w:eastAsia="Calibri" w:cs="Times New Roman"/>
          <w:iCs/>
        </w:rPr>
        <w:t xml:space="preserve"> for brain MRI</w:t>
      </w:r>
      <w:r w:rsidRPr="009A4697">
        <w:rPr>
          <w:rFonts w:eastAsia="Calibri" w:cs="Times New Roman"/>
          <w:iCs/>
        </w:rPr>
        <w:t xml:space="preserve"> and 63464</w:t>
      </w:r>
      <w:r>
        <w:rPr>
          <w:rFonts w:eastAsia="Calibri" w:cs="Times New Roman"/>
          <w:iCs/>
        </w:rPr>
        <w:t xml:space="preserve"> for breast MRI</w:t>
      </w:r>
      <w:r w:rsidRPr="009A4697">
        <w:rPr>
          <w:rFonts w:eastAsia="Calibri" w:cs="Times New Roman"/>
          <w:iCs/>
        </w:rPr>
        <w:t>, the full MBS fee for WBMRI would be $805.80 to $1,380.00 for a 60-minute scan. ESC queried if the fee should be lower for children, since the time taken to scan</w:t>
      </w:r>
      <w:r>
        <w:rPr>
          <w:rFonts w:eastAsia="Calibri" w:cs="Times New Roman"/>
          <w:iCs/>
        </w:rPr>
        <w:t xml:space="preserve"> from vertex to the soles of the feet</w:t>
      </w:r>
      <w:r w:rsidRPr="009A4697">
        <w:rPr>
          <w:rFonts w:eastAsia="Calibri" w:cs="Times New Roman"/>
          <w:iCs/>
        </w:rPr>
        <w:t xml:space="preserve"> is shorter</w:t>
      </w:r>
      <w:r>
        <w:rPr>
          <w:rFonts w:eastAsia="Calibri" w:cs="Times New Roman"/>
          <w:iCs/>
        </w:rPr>
        <w:t xml:space="preserve"> but the distance between scanning planes is the same</w:t>
      </w:r>
      <w:r w:rsidRPr="009A4697">
        <w:rPr>
          <w:rFonts w:eastAsia="Calibri" w:cs="Times New Roman"/>
          <w:iCs/>
        </w:rPr>
        <w:t>.</w:t>
      </w:r>
      <w:r w:rsidRPr="009A4697">
        <w:rPr>
          <w:rFonts w:ascii="Calibri" w:eastAsia="Calibri" w:hAnsi="Calibri" w:cs="Times New Roman"/>
        </w:rPr>
        <w:t xml:space="preserve"> </w:t>
      </w:r>
      <w:r w:rsidRPr="009A4697">
        <w:rPr>
          <w:rFonts w:eastAsia="Calibri" w:cs="Times New Roman"/>
          <w:iCs/>
        </w:rPr>
        <w:t>ESC also noted that there is a bulk billing incentive for other MRI items, which may or may not apply to this new item.</w:t>
      </w:r>
    </w:p>
    <w:p w14:paraId="1D88ED93" w14:textId="081FEB59" w:rsidR="006C4966" w:rsidRDefault="006C4966" w:rsidP="006C4966">
      <w:pPr>
        <w:spacing w:after="240"/>
        <w:rPr>
          <w:rFonts w:eastAsia="Calibri" w:cs="Times New Roman"/>
          <w:iCs/>
        </w:rPr>
      </w:pPr>
      <w:r w:rsidRPr="009A4697">
        <w:rPr>
          <w:rFonts w:eastAsia="Calibri" w:cs="Times New Roman"/>
          <w:iCs/>
        </w:rPr>
        <w:lastRenderedPageBreak/>
        <w:t xml:space="preserve">ESC noted that the 85% fee accounts for </w:t>
      </w:r>
      <w:r>
        <w:rPr>
          <w:rFonts w:eastAsia="Calibri" w:cs="Times New Roman"/>
          <w:iCs/>
        </w:rPr>
        <w:t xml:space="preserve">the </w:t>
      </w:r>
      <w:r w:rsidRPr="009A4697">
        <w:rPr>
          <w:rFonts w:eastAsia="Calibri" w:cs="Times New Roman"/>
          <w:iCs/>
        </w:rPr>
        <w:t xml:space="preserve">greatest permissible gap of $87.90. It was noted that </w:t>
      </w:r>
      <w:r>
        <w:rPr>
          <w:rFonts w:eastAsia="Calibri" w:cs="Times New Roman"/>
          <w:iCs/>
        </w:rPr>
        <w:t xml:space="preserve">neither </w:t>
      </w:r>
      <w:r w:rsidRPr="009A4697">
        <w:rPr>
          <w:rFonts w:eastAsia="Calibri" w:cs="Times New Roman"/>
          <w:iCs/>
        </w:rPr>
        <w:t xml:space="preserve">the application </w:t>
      </w:r>
      <w:r>
        <w:rPr>
          <w:rFonts w:eastAsia="Calibri" w:cs="Times New Roman"/>
          <w:iCs/>
        </w:rPr>
        <w:t>n</w:t>
      </w:r>
      <w:r w:rsidRPr="009A4697">
        <w:rPr>
          <w:rFonts w:eastAsia="Calibri" w:cs="Times New Roman"/>
          <w:iCs/>
        </w:rPr>
        <w:t>or Department-contracted assessment report (DCAR) mention</w:t>
      </w:r>
      <w:r>
        <w:rPr>
          <w:rFonts w:eastAsia="Calibri" w:cs="Times New Roman"/>
          <w:iCs/>
        </w:rPr>
        <w:t>s</w:t>
      </w:r>
      <w:r w:rsidRPr="009A4697">
        <w:rPr>
          <w:rFonts w:eastAsia="Calibri" w:cs="Times New Roman"/>
          <w:iCs/>
        </w:rPr>
        <w:t xml:space="preserve"> the 75% fee, but th</w:t>
      </w:r>
      <w:r>
        <w:rPr>
          <w:rFonts w:eastAsia="Calibri" w:cs="Times New Roman"/>
          <w:iCs/>
        </w:rPr>
        <w:t>is</w:t>
      </w:r>
      <w:r w:rsidRPr="009A4697">
        <w:rPr>
          <w:rFonts w:eastAsia="Calibri" w:cs="Times New Roman"/>
          <w:iCs/>
        </w:rPr>
        <w:t xml:space="preserve"> may not </w:t>
      </w:r>
      <w:r>
        <w:rPr>
          <w:rFonts w:eastAsia="Calibri" w:cs="Times New Roman"/>
          <w:iCs/>
        </w:rPr>
        <w:t xml:space="preserve">be </w:t>
      </w:r>
      <w:r w:rsidRPr="009A4697">
        <w:rPr>
          <w:rFonts w:eastAsia="Calibri" w:cs="Times New Roman"/>
          <w:iCs/>
        </w:rPr>
        <w:t>required if the service will not be provided to admitted patients.</w:t>
      </w:r>
    </w:p>
    <w:p w14:paraId="290EEA5C" w14:textId="77777777" w:rsidR="006C4966" w:rsidRDefault="006C4966" w:rsidP="006C4966">
      <w:pPr>
        <w:spacing w:after="240"/>
        <w:rPr>
          <w:rFonts w:eastAsia="Calibri" w:cs="Times New Roman"/>
          <w:iCs/>
        </w:rPr>
      </w:pPr>
      <w:r>
        <w:rPr>
          <w:rFonts w:eastAsia="Calibri" w:cs="Times New Roman"/>
          <w:iCs/>
        </w:rPr>
        <w:t>ESC noted that a</w:t>
      </w:r>
      <w:r w:rsidRPr="00AC7A41">
        <w:rPr>
          <w:rFonts w:eastAsia="Calibri" w:cs="Times New Roman"/>
          <w:iCs/>
        </w:rPr>
        <w:t>s with most MBS-reimbursed MRI services, requesting</w:t>
      </w:r>
      <w:r>
        <w:rPr>
          <w:rFonts w:eastAsia="Calibri" w:cs="Times New Roman"/>
          <w:iCs/>
        </w:rPr>
        <w:t xml:space="preserve"> of the proposed item</w:t>
      </w:r>
      <w:r w:rsidRPr="00AC7A41">
        <w:rPr>
          <w:rFonts w:eastAsia="Calibri" w:cs="Times New Roman"/>
          <w:iCs/>
        </w:rPr>
        <w:t xml:space="preserve"> will be restricted to a specialist or consultant physician in consultation with a clinical geneticist in a familial cancer or genetic clinic</w:t>
      </w:r>
      <w:r>
        <w:rPr>
          <w:rFonts w:eastAsia="Calibri" w:cs="Times New Roman"/>
          <w:iCs/>
        </w:rPr>
        <w:t>.</w:t>
      </w:r>
    </w:p>
    <w:p w14:paraId="3C41899D" w14:textId="77777777" w:rsidR="006C4966" w:rsidRPr="009A4697" w:rsidRDefault="006C4966" w:rsidP="006C4966">
      <w:pPr>
        <w:spacing w:after="240"/>
        <w:rPr>
          <w:rFonts w:eastAsia="Calibri" w:cs="Times New Roman"/>
          <w:iCs/>
        </w:rPr>
      </w:pPr>
      <w:r>
        <w:rPr>
          <w:rFonts w:eastAsia="Calibri" w:cs="Times New Roman"/>
          <w:iCs/>
        </w:rPr>
        <w:t xml:space="preserve">ESC noted that it is proposed that </w:t>
      </w:r>
      <w:r w:rsidRPr="00AC7A41">
        <w:rPr>
          <w:rFonts w:eastAsia="Calibri" w:cs="Times New Roman"/>
          <w:iCs/>
        </w:rPr>
        <w:t>WBMRI will be provided by a specialist in diagnostic radiology who is a participant in the RANZCR Quality and Accreditation Program. Currently, there are 385 operational MRI units eligible to provide this service through Medicare.</w:t>
      </w:r>
    </w:p>
    <w:p w14:paraId="39491CBC" w14:textId="77777777" w:rsidR="006C4966" w:rsidRDefault="006C4966" w:rsidP="006C4966">
      <w:pPr>
        <w:spacing w:after="240"/>
        <w:rPr>
          <w:rFonts w:eastAsia="Calibri" w:cs="Times New Roman"/>
          <w:iCs/>
        </w:rPr>
      </w:pPr>
      <w:r>
        <w:rPr>
          <w:rFonts w:eastAsia="Calibri" w:cs="Times New Roman"/>
          <w:iCs/>
        </w:rPr>
        <w:t>ESC noted that l</w:t>
      </w:r>
      <w:r w:rsidRPr="00846F6C">
        <w:rPr>
          <w:rFonts w:eastAsia="Calibri" w:cs="Times New Roman"/>
          <w:iCs/>
        </w:rPr>
        <w:t xml:space="preserve">ocal and international </w:t>
      </w:r>
      <w:r>
        <w:rPr>
          <w:rFonts w:eastAsia="Calibri" w:cs="Times New Roman"/>
          <w:iCs/>
        </w:rPr>
        <w:t xml:space="preserve">clinical practice guidelines </w:t>
      </w:r>
      <w:r w:rsidRPr="00846F6C">
        <w:rPr>
          <w:rFonts w:eastAsia="Calibri" w:cs="Times New Roman"/>
          <w:iCs/>
        </w:rPr>
        <w:t>recommend the use of WBMRI in th</w:t>
      </w:r>
      <w:r>
        <w:rPr>
          <w:rFonts w:eastAsia="Calibri" w:cs="Times New Roman"/>
          <w:iCs/>
        </w:rPr>
        <w:t xml:space="preserve">e defined patient </w:t>
      </w:r>
      <w:r w:rsidRPr="00846F6C">
        <w:rPr>
          <w:rFonts w:eastAsia="Calibri" w:cs="Times New Roman"/>
          <w:iCs/>
        </w:rPr>
        <w:t>population</w:t>
      </w:r>
      <w:r w:rsidRPr="0061412E">
        <w:t xml:space="preserve"> </w:t>
      </w:r>
      <w:r w:rsidRPr="0061412E">
        <w:rPr>
          <w:rFonts w:eastAsia="Calibri" w:cs="Times New Roman"/>
          <w:iCs/>
        </w:rPr>
        <w:t>as a more comprehensive screening modality that c</w:t>
      </w:r>
      <w:r>
        <w:rPr>
          <w:rFonts w:eastAsia="Calibri" w:cs="Times New Roman"/>
          <w:iCs/>
        </w:rPr>
        <w:t xml:space="preserve">an </w:t>
      </w:r>
      <w:r w:rsidRPr="0061412E">
        <w:rPr>
          <w:rFonts w:eastAsia="Calibri" w:cs="Times New Roman"/>
          <w:iCs/>
        </w:rPr>
        <w:t xml:space="preserve">detect a broader spectrum of cancers that would not be picked up by standard of care surveillance </w:t>
      </w:r>
      <w:r>
        <w:rPr>
          <w:rFonts w:eastAsia="Calibri" w:cs="Times New Roman"/>
          <w:iCs/>
        </w:rPr>
        <w:t xml:space="preserve">without imaging. </w:t>
      </w:r>
      <w:proofErr w:type="gramStart"/>
      <w:r>
        <w:rPr>
          <w:rFonts w:eastAsia="Calibri" w:cs="Times New Roman"/>
          <w:iCs/>
        </w:rPr>
        <w:t>However</w:t>
      </w:r>
      <w:proofErr w:type="gramEnd"/>
      <w:r>
        <w:rPr>
          <w:rFonts w:eastAsia="Calibri" w:cs="Times New Roman"/>
          <w:iCs/>
        </w:rPr>
        <w:t xml:space="preserve"> ESC noted that </w:t>
      </w:r>
      <w:r w:rsidRPr="00846F6C">
        <w:rPr>
          <w:rFonts w:eastAsia="Calibri" w:cs="Times New Roman"/>
          <w:iCs/>
        </w:rPr>
        <w:t>these are consensus rec</w:t>
      </w:r>
      <w:r>
        <w:rPr>
          <w:rFonts w:eastAsia="Calibri" w:cs="Times New Roman"/>
          <w:iCs/>
        </w:rPr>
        <w:t xml:space="preserve">ommendations </w:t>
      </w:r>
      <w:r w:rsidRPr="00846F6C">
        <w:rPr>
          <w:rFonts w:eastAsia="Calibri" w:cs="Times New Roman"/>
          <w:iCs/>
        </w:rPr>
        <w:t>rather than evidence-based rec</w:t>
      </w:r>
      <w:r>
        <w:rPr>
          <w:rFonts w:eastAsia="Calibri" w:cs="Times New Roman"/>
          <w:iCs/>
        </w:rPr>
        <w:t xml:space="preserve">ommendations </w:t>
      </w:r>
      <w:r w:rsidRPr="00846F6C">
        <w:rPr>
          <w:rFonts w:eastAsia="Calibri" w:cs="Times New Roman"/>
          <w:iCs/>
        </w:rPr>
        <w:t xml:space="preserve">because of </w:t>
      </w:r>
      <w:r>
        <w:rPr>
          <w:rFonts w:eastAsia="Calibri" w:cs="Times New Roman"/>
          <w:iCs/>
        </w:rPr>
        <w:t xml:space="preserve">the </w:t>
      </w:r>
      <w:r w:rsidRPr="00846F6C">
        <w:rPr>
          <w:rFonts w:eastAsia="Calibri" w:cs="Times New Roman"/>
          <w:iCs/>
        </w:rPr>
        <w:t xml:space="preserve">challenge </w:t>
      </w:r>
      <w:r>
        <w:rPr>
          <w:rFonts w:eastAsia="Calibri" w:cs="Times New Roman"/>
          <w:iCs/>
        </w:rPr>
        <w:t xml:space="preserve">of </w:t>
      </w:r>
      <w:r w:rsidRPr="00846F6C">
        <w:rPr>
          <w:rFonts w:eastAsia="Calibri" w:cs="Times New Roman"/>
          <w:iCs/>
        </w:rPr>
        <w:t>collecting evidence given the rarity of the syndrome</w:t>
      </w:r>
      <w:r>
        <w:rPr>
          <w:rFonts w:eastAsia="Calibri" w:cs="Times New Roman"/>
          <w:iCs/>
        </w:rPr>
        <w:t>.</w:t>
      </w:r>
    </w:p>
    <w:p w14:paraId="44E023D3" w14:textId="4710588D" w:rsidR="006C4966" w:rsidRDefault="006C4966" w:rsidP="006C4966">
      <w:pPr>
        <w:spacing w:after="240"/>
        <w:rPr>
          <w:rFonts w:eastAsia="Calibri" w:cs="Times New Roman"/>
          <w:iCs/>
        </w:rPr>
      </w:pPr>
      <w:r w:rsidRPr="009A4697">
        <w:rPr>
          <w:rFonts w:eastAsia="Calibri" w:cs="Times New Roman"/>
          <w:iCs/>
        </w:rPr>
        <w:t xml:space="preserve">ESC recognised that due to the rarity of </w:t>
      </w:r>
      <w:r w:rsidRPr="00101A58">
        <w:rPr>
          <w:rFonts w:eastAsia="Calibri" w:cs="Times New Roman"/>
          <w:iCs/>
        </w:rPr>
        <w:t>LFS</w:t>
      </w:r>
      <w:r w:rsidRPr="009A4697">
        <w:rPr>
          <w:rFonts w:eastAsia="Calibri" w:cs="Times New Roman"/>
          <w:iCs/>
        </w:rPr>
        <w:t xml:space="preserve"> and </w:t>
      </w:r>
      <w:r w:rsidRPr="009A4697">
        <w:rPr>
          <w:rFonts w:eastAsia="Calibri" w:cs="Times New Roman"/>
          <w:i/>
        </w:rPr>
        <w:t>TP53</w:t>
      </w:r>
      <w:r w:rsidRPr="009A4697">
        <w:rPr>
          <w:rFonts w:eastAsia="Calibri" w:cs="Times New Roman"/>
          <w:iCs/>
        </w:rPr>
        <w:t xml:space="preserve"> pathogenic variants, there is, and likely always will be, a limited evidence </w:t>
      </w:r>
      <w:proofErr w:type="gramStart"/>
      <w:r w:rsidRPr="009A4697">
        <w:rPr>
          <w:rFonts w:eastAsia="Calibri" w:cs="Times New Roman"/>
          <w:iCs/>
        </w:rPr>
        <w:t>base</w:t>
      </w:r>
      <w:proofErr w:type="gramEnd"/>
      <w:r w:rsidRPr="009A4697">
        <w:rPr>
          <w:rFonts w:eastAsia="Calibri" w:cs="Times New Roman"/>
          <w:iCs/>
        </w:rPr>
        <w:t xml:space="preserve"> to support </w:t>
      </w:r>
      <w:r>
        <w:rPr>
          <w:rFonts w:eastAsia="Calibri" w:cs="Times New Roman"/>
          <w:iCs/>
        </w:rPr>
        <w:t>surveillance</w:t>
      </w:r>
      <w:r w:rsidRPr="009A4697">
        <w:rPr>
          <w:rFonts w:eastAsia="Calibri" w:cs="Times New Roman"/>
          <w:iCs/>
        </w:rPr>
        <w:t xml:space="preserve"> recommendations in terms of early detection and cancer mortality.</w:t>
      </w:r>
    </w:p>
    <w:p w14:paraId="65CB3316" w14:textId="5921FE26" w:rsidR="006C4966" w:rsidRPr="009A4697" w:rsidRDefault="006C4966" w:rsidP="006C4966">
      <w:pPr>
        <w:spacing w:after="240"/>
        <w:rPr>
          <w:rFonts w:eastAsia="Calibri" w:cs="Times New Roman"/>
          <w:iCs/>
        </w:rPr>
      </w:pPr>
      <w:r w:rsidRPr="009A4697">
        <w:rPr>
          <w:rFonts w:eastAsia="Calibri" w:cs="Times New Roman"/>
          <w:iCs/>
        </w:rPr>
        <w:t xml:space="preserve">ESC noted that MRI is </w:t>
      </w:r>
      <w:r>
        <w:rPr>
          <w:rFonts w:eastAsia="Calibri" w:cs="Times New Roman"/>
          <w:iCs/>
        </w:rPr>
        <w:t xml:space="preserve">generally </w:t>
      </w:r>
      <w:r w:rsidRPr="009A4697">
        <w:rPr>
          <w:rFonts w:eastAsia="Calibri" w:cs="Times New Roman"/>
          <w:iCs/>
        </w:rPr>
        <w:t xml:space="preserve">safe, </w:t>
      </w:r>
      <w:r>
        <w:rPr>
          <w:rFonts w:eastAsia="Calibri" w:cs="Times New Roman"/>
          <w:iCs/>
        </w:rPr>
        <w:t xml:space="preserve">as it is </w:t>
      </w:r>
      <w:r w:rsidRPr="009A4697">
        <w:rPr>
          <w:rFonts w:eastAsia="Calibri" w:cs="Times New Roman"/>
          <w:iCs/>
        </w:rPr>
        <w:t>non-ionising (critical for a patient population at high risk of developing cancers) and is proven to have equivalent or superior sensitivity and specificity than modalities such as ultrasound and computed tomography for the detection of tumours not arising in a hollow viscus. ESC noted that that perceived benefits from WBMRI plus standard surveillance included the early detection of cancers, peace of mind (beneficial psychological impact) and information from surveillance.</w:t>
      </w:r>
    </w:p>
    <w:p w14:paraId="3F73C03D" w14:textId="50CC4217" w:rsidR="006C4966" w:rsidRDefault="006C4966" w:rsidP="006C4966">
      <w:pPr>
        <w:spacing w:after="240"/>
        <w:rPr>
          <w:rFonts w:eastAsia="Calibri" w:cs="Times New Roman"/>
          <w:iCs/>
        </w:rPr>
      </w:pPr>
      <w:proofErr w:type="gramStart"/>
      <w:r>
        <w:rPr>
          <w:rFonts w:eastAsia="Calibri" w:cs="Times New Roman"/>
          <w:iCs/>
        </w:rPr>
        <w:t>However</w:t>
      </w:r>
      <w:proofErr w:type="gramEnd"/>
      <w:r>
        <w:rPr>
          <w:rFonts w:eastAsia="Calibri" w:cs="Times New Roman"/>
          <w:iCs/>
        </w:rPr>
        <w:t xml:space="preserve"> </w:t>
      </w:r>
      <w:r w:rsidRPr="009A4697">
        <w:rPr>
          <w:rFonts w:eastAsia="Calibri" w:cs="Times New Roman"/>
          <w:iCs/>
        </w:rPr>
        <w:t>ESC noted tha</w:t>
      </w:r>
      <w:r>
        <w:rPr>
          <w:rFonts w:eastAsia="Calibri" w:cs="Times New Roman"/>
          <w:iCs/>
        </w:rPr>
        <w:t>t one</w:t>
      </w:r>
      <w:r w:rsidRPr="009A4697">
        <w:rPr>
          <w:rFonts w:eastAsia="Calibri" w:cs="Times New Roman"/>
          <w:iCs/>
        </w:rPr>
        <w:t xml:space="preserve"> additional point of concern</w:t>
      </w:r>
      <w:r>
        <w:rPr>
          <w:rFonts w:eastAsia="Calibri" w:cs="Times New Roman"/>
          <w:iCs/>
        </w:rPr>
        <w:t xml:space="preserve"> for WBMRI </w:t>
      </w:r>
      <w:r w:rsidRPr="009A4697">
        <w:rPr>
          <w:rFonts w:eastAsia="Calibri" w:cs="Times New Roman"/>
          <w:iCs/>
        </w:rPr>
        <w:t xml:space="preserve">was the routine use of contrast agents with WBMRI for screening, which is highly discouraged. </w:t>
      </w:r>
      <w:proofErr w:type="spellStart"/>
      <w:r w:rsidRPr="009A4697">
        <w:rPr>
          <w:rFonts w:eastAsia="Calibri" w:cs="Times New Roman"/>
          <w:iCs/>
        </w:rPr>
        <w:t>Petralia</w:t>
      </w:r>
      <w:proofErr w:type="spellEnd"/>
      <w:r w:rsidRPr="009A4697">
        <w:rPr>
          <w:rFonts w:eastAsia="Calibri" w:cs="Times New Roman"/>
          <w:iCs/>
        </w:rPr>
        <w:t xml:space="preserve"> (2021)</w:t>
      </w:r>
      <w:r>
        <w:rPr>
          <w:rStyle w:val="FootnoteReference"/>
          <w:rFonts w:eastAsia="Calibri" w:cs="Times New Roman"/>
          <w:iCs/>
        </w:rPr>
        <w:footnoteReference w:id="33"/>
      </w:r>
      <w:r w:rsidRPr="009A4697">
        <w:rPr>
          <w:rFonts w:eastAsia="Calibri" w:cs="Times New Roman"/>
          <w:iCs/>
        </w:rPr>
        <w:t xml:space="preserve"> reported long-term gadolinium deposition in the brain (Guo 2018)</w:t>
      </w:r>
      <w:r w:rsidRPr="00F75890">
        <w:rPr>
          <w:rStyle w:val="FootnoteReference"/>
          <w:rFonts w:eastAsia="Calibri" w:cs="Times New Roman"/>
          <w:iCs/>
        </w:rPr>
        <w:t xml:space="preserve"> </w:t>
      </w:r>
      <w:r>
        <w:rPr>
          <w:rStyle w:val="FootnoteReference"/>
          <w:rFonts w:eastAsia="Calibri" w:cs="Times New Roman"/>
          <w:iCs/>
        </w:rPr>
        <w:footnoteReference w:id="34"/>
      </w:r>
      <w:r w:rsidRPr="009A4697">
        <w:rPr>
          <w:rFonts w:eastAsia="Calibri" w:cs="Times New Roman"/>
          <w:iCs/>
        </w:rPr>
        <w:t xml:space="preserve"> and possible adverse effects in patients with undisclosed acute kidney injury (</w:t>
      </w:r>
      <w:proofErr w:type="spellStart"/>
      <w:r w:rsidRPr="009A4697">
        <w:rPr>
          <w:rFonts w:eastAsia="Calibri" w:cs="Times New Roman"/>
          <w:iCs/>
        </w:rPr>
        <w:t>Schieda</w:t>
      </w:r>
      <w:proofErr w:type="spellEnd"/>
      <w:r w:rsidRPr="009A4697">
        <w:rPr>
          <w:rFonts w:eastAsia="Calibri" w:cs="Times New Roman"/>
          <w:iCs/>
        </w:rPr>
        <w:t xml:space="preserve"> 2018)</w:t>
      </w:r>
      <w:r w:rsidRPr="00F75890">
        <w:rPr>
          <w:rStyle w:val="FootnoteReference"/>
          <w:rFonts w:eastAsia="Calibri" w:cs="Times New Roman"/>
          <w:iCs/>
        </w:rPr>
        <w:t xml:space="preserve"> </w:t>
      </w:r>
      <w:r>
        <w:rPr>
          <w:rStyle w:val="FootnoteReference"/>
          <w:rFonts w:eastAsia="Calibri" w:cs="Times New Roman"/>
          <w:iCs/>
        </w:rPr>
        <w:footnoteReference w:id="35"/>
      </w:r>
      <w:r w:rsidRPr="009A4697">
        <w:rPr>
          <w:rFonts w:eastAsia="Calibri" w:cs="Times New Roman"/>
          <w:iCs/>
        </w:rPr>
        <w:t>. ESC noted that if gadolinium were to be used in WBMRI as well as other standard MRI screening episodes, the total usage of the contrast agent would need to be monitored.</w:t>
      </w:r>
    </w:p>
    <w:p w14:paraId="56A2B78E" w14:textId="3F02282E" w:rsidR="006C4966" w:rsidRDefault="006C4966" w:rsidP="006C4966">
      <w:pPr>
        <w:spacing w:after="240"/>
        <w:rPr>
          <w:rFonts w:eastAsia="Calibri" w:cs="Times New Roman"/>
          <w:iCs/>
        </w:rPr>
      </w:pPr>
      <w:r>
        <w:rPr>
          <w:rFonts w:eastAsia="Calibri" w:cs="Times New Roman"/>
          <w:iCs/>
        </w:rPr>
        <w:t xml:space="preserve">ESC noted that patients with </w:t>
      </w:r>
      <w:r w:rsidRPr="00464530">
        <w:rPr>
          <w:rFonts w:eastAsia="Calibri" w:cs="Times New Roman"/>
          <w:i/>
        </w:rPr>
        <w:t xml:space="preserve">TP53 </w:t>
      </w:r>
      <w:r w:rsidRPr="00BB75B3">
        <w:rPr>
          <w:rFonts w:eastAsia="Calibri" w:cs="Times New Roman"/>
          <w:iCs/>
        </w:rPr>
        <w:t xml:space="preserve">pathogenic variants have increased radiation sensitivity due to impaired recognition and repair of DNA damage and there are numerous reports of second primary malignancies developing in areas previously treated with radiation therapy. Minimising radiation therapy is </w:t>
      </w:r>
      <w:r>
        <w:rPr>
          <w:rFonts w:eastAsia="Calibri" w:cs="Times New Roman"/>
          <w:iCs/>
        </w:rPr>
        <w:t xml:space="preserve">therefore </w:t>
      </w:r>
      <w:r w:rsidRPr="00BB75B3">
        <w:rPr>
          <w:rFonts w:eastAsia="Calibri" w:cs="Times New Roman"/>
          <w:iCs/>
        </w:rPr>
        <w:t>recommended where possible, especially if other treatment modalities with comparable cure rates are available</w:t>
      </w:r>
      <w:r>
        <w:rPr>
          <w:rFonts w:eastAsia="Calibri" w:cs="Times New Roman"/>
          <w:iCs/>
        </w:rPr>
        <w:t>. ESC noted that t</w:t>
      </w:r>
      <w:r w:rsidRPr="00BB75B3">
        <w:rPr>
          <w:rFonts w:eastAsia="Calibri" w:cs="Times New Roman"/>
          <w:iCs/>
        </w:rPr>
        <w:t xml:space="preserve">here is no published study evaluating </w:t>
      </w:r>
      <w:r>
        <w:rPr>
          <w:rFonts w:eastAsia="Calibri" w:cs="Times New Roman"/>
          <w:iCs/>
        </w:rPr>
        <w:t xml:space="preserve">the </w:t>
      </w:r>
      <w:r w:rsidRPr="00BB75B3">
        <w:rPr>
          <w:rFonts w:eastAsia="Calibri" w:cs="Times New Roman"/>
          <w:iCs/>
        </w:rPr>
        <w:t xml:space="preserve">potential detrimental effect of ionising radiation (mammography) used for screening purposes in </w:t>
      </w:r>
      <w:r w:rsidRPr="003523B6">
        <w:rPr>
          <w:rFonts w:eastAsia="Calibri" w:cs="Times New Roman"/>
          <w:i/>
        </w:rPr>
        <w:t>TP53</w:t>
      </w:r>
      <w:r w:rsidRPr="00BB75B3">
        <w:rPr>
          <w:rFonts w:eastAsia="Calibri" w:cs="Times New Roman"/>
          <w:iCs/>
        </w:rPr>
        <w:t xml:space="preserve"> pathogenic variant carriers. However, there is a concern about the cumulative risk of mammograms in very young women exposed to mammograms for a long </w:t>
      </w:r>
      <w:r w:rsidRPr="00BB75B3">
        <w:rPr>
          <w:rFonts w:eastAsia="Calibri" w:cs="Times New Roman"/>
          <w:iCs/>
        </w:rPr>
        <w:lastRenderedPageBreak/>
        <w:t>period of time</w:t>
      </w:r>
      <w:r>
        <w:rPr>
          <w:rFonts w:eastAsia="Calibri" w:cs="Times New Roman"/>
          <w:iCs/>
        </w:rPr>
        <w:t xml:space="preserve">. </w:t>
      </w:r>
      <w:proofErr w:type="gramStart"/>
      <w:r w:rsidRPr="007648AF">
        <w:rPr>
          <w:rFonts w:eastAsia="Calibri" w:cs="Times New Roman"/>
          <w:iCs/>
        </w:rPr>
        <w:t>Additionally</w:t>
      </w:r>
      <w:proofErr w:type="gramEnd"/>
      <w:r w:rsidRPr="007648AF">
        <w:rPr>
          <w:rFonts w:eastAsia="Calibri" w:cs="Times New Roman"/>
          <w:iCs/>
        </w:rPr>
        <w:t xml:space="preserve"> ESC noted that mammograms may be more difficult to interpret in younger women with denser breasts</w:t>
      </w:r>
      <w:r>
        <w:rPr>
          <w:rStyle w:val="FootnoteReference"/>
          <w:rFonts w:eastAsia="Calibri" w:cs="Times New Roman"/>
          <w:iCs/>
        </w:rPr>
        <w:footnoteReference w:id="36"/>
      </w:r>
      <w:r>
        <w:rPr>
          <w:rStyle w:val="FootnoteReference"/>
          <w:rFonts w:eastAsia="Calibri" w:cs="Times New Roman"/>
          <w:iCs/>
        </w:rPr>
        <w:footnoteReference w:id="37"/>
      </w:r>
      <w:r w:rsidRPr="007648AF">
        <w:rPr>
          <w:rFonts w:eastAsia="Calibri" w:cs="Times New Roman"/>
          <w:iCs/>
        </w:rPr>
        <w:t xml:space="preserve"> so if breast MRI is available for younger women in this patient population it should be used in preference to mammography.</w:t>
      </w:r>
    </w:p>
    <w:p w14:paraId="3B68A2CB" w14:textId="2612EC5B" w:rsidR="006C4966" w:rsidRDefault="006C4966" w:rsidP="006C4966">
      <w:pPr>
        <w:spacing w:after="240"/>
        <w:rPr>
          <w:rFonts w:eastAsia="Calibri" w:cs="Times New Roman"/>
          <w:iCs/>
        </w:rPr>
      </w:pPr>
      <w:r w:rsidRPr="009A4697">
        <w:rPr>
          <w:rFonts w:eastAsia="Calibri" w:cs="Times New Roman"/>
          <w:iCs/>
        </w:rPr>
        <w:t xml:space="preserve">ESC noted that, for </w:t>
      </w:r>
      <w:r>
        <w:rPr>
          <w:rFonts w:eastAsia="Calibri" w:cs="Times New Roman"/>
          <w:iCs/>
        </w:rPr>
        <w:t xml:space="preserve">clinical </w:t>
      </w:r>
      <w:r w:rsidRPr="009A4697">
        <w:rPr>
          <w:rFonts w:eastAsia="Calibri" w:cs="Times New Roman"/>
          <w:iCs/>
        </w:rPr>
        <w:t>effectiveness, a direct evidence approach was used, supplemented by a linked evidence approach, given bias, methodological and applicability concerns with the direct evidence</w:t>
      </w:r>
      <w:r>
        <w:rPr>
          <w:rFonts w:eastAsia="Calibri" w:cs="Times New Roman"/>
          <w:iCs/>
        </w:rPr>
        <w:t>.</w:t>
      </w:r>
    </w:p>
    <w:p w14:paraId="383A2847" w14:textId="08D67353" w:rsidR="006C4966" w:rsidRDefault="006C4966" w:rsidP="006C4966">
      <w:pPr>
        <w:spacing w:after="240"/>
        <w:rPr>
          <w:rFonts w:eastAsia="Calibri" w:cs="Times New Roman"/>
          <w:iCs/>
        </w:rPr>
      </w:pPr>
      <w:r>
        <w:rPr>
          <w:rFonts w:eastAsia="Calibri" w:cs="Times New Roman"/>
          <w:iCs/>
        </w:rPr>
        <w:t xml:space="preserve">ESC noted that </w:t>
      </w:r>
      <w:r w:rsidRPr="0098661E">
        <w:rPr>
          <w:rFonts w:eastAsia="Calibri" w:cs="Times New Roman"/>
          <w:iCs/>
        </w:rPr>
        <w:t xml:space="preserve">four </w:t>
      </w:r>
      <w:r w:rsidRPr="003523B6">
        <w:rPr>
          <w:rFonts w:eastAsia="Calibri" w:cs="Times New Roman"/>
          <w:iCs/>
        </w:rPr>
        <w:t xml:space="preserve">sets of </w:t>
      </w:r>
      <w:r w:rsidRPr="00F23182">
        <w:rPr>
          <w:rFonts w:eastAsia="Calibri" w:cs="Times New Roman"/>
          <w:iCs/>
        </w:rPr>
        <w:t>studies</w:t>
      </w:r>
      <w:r w:rsidRPr="009A4697">
        <w:rPr>
          <w:rFonts w:eastAsia="Calibri" w:cs="Times New Roman"/>
          <w:iCs/>
        </w:rPr>
        <w:t xml:space="preserve"> formed the evidence base</w:t>
      </w:r>
      <w:r>
        <w:rPr>
          <w:rFonts w:eastAsia="Calibri" w:cs="Times New Roman"/>
          <w:iCs/>
        </w:rPr>
        <w:t xml:space="preserve"> for clinical effectiveness in the application – the LIFSCREEN randomised controlled trial (RCT)</w:t>
      </w:r>
      <w:r w:rsidRPr="00F75890">
        <w:rPr>
          <w:rStyle w:val="FootnoteReference"/>
          <w:rFonts w:eastAsia="Calibri" w:cs="Times New Roman"/>
          <w:iCs/>
        </w:rPr>
        <w:t xml:space="preserve"> </w:t>
      </w:r>
      <w:r>
        <w:rPr>
          <w:rStyle w:val="FootnoteReference"/>
          <w:rFonts w:eastAsia="Calibri" w:cs="Times New Roman"/>
          <w:iCs/>
        </w:rPr>
        <w:footnoteReference w:id="38"/>
      </w:r>
      <w:r>
        <w:rPr>
          <w:rFonts w:eastAsia="Calibri" w:cs="Times New Roman"/>
          <w:iCs/>
        </w:rPr>
        <w:t>; the Villani (2011)</w:t>
      </w:r>
      <w:r w:rsidRPr="00F75890">
        <w:rPr>
          <w:rStyle w:val="FootnoteReference"/>
          <w:rFonts w:eastAsia="Calibri" w:cs="Times New Roman"/>
          <w:iCs/>
        </w:rPr>
        <w:t xml:space="preserve"> </w:t>
      </w:r>
      <w:r>
        <w:rPr>
          <w:rStyle w:val="FootnoteReference"/>
          <w:rFonts w:eastAsia="Calibri" w:cs="Times New Roman"/>
          <w:iCs/>
        </w:rPr>
        <w:footnoteReference w:id="39"/>
      </w:r>
      <w:r>
        <w:rPr>
          <w:rFonts w:eastAsia="Calibri" w:cs="Times New Roman"/>
          <w:iCs/>
        </w:rPr>
        <w:t xml:space="preserve"> and Villani (2016)</w:t>
      </w:r>
      <w:r w:rsidRPr="00F75890">
        <w:rPr>
          <w:rStyle w:val="FootnoteReference"/>
          <w:rFonts w:eastAsia="Calibri" w:cs="Times New Roman"/>
          <w:iCs/>
        </w:rPr>
        <w:t xml:space="preserve"> </w:t>
      </w:r>
      <w:r>
        <w:rPr>
          <w:rStyle w:val="FootnoteReference"/>
          <w:rFonts w:eastAsia="Calibri" w:cs="Times New Roman"/>
          <w:iCs/>
        </w:rPr>
        <w:footnoteReference w:id="40"/>
      </w:r>
      <w:r>
        <w:rPr>
          <w:rFonts w:eastAsia="Calibri" w:cs="Times New Roman"/>
          <w:iCs/>
        </w:rPr>
        <w:t xml:space="preserve"> </w:t>
      </w:r>
      <w:r w:rsidRPr="0042421D">
        <w:rPr>
          <w:rFonts w:eastAsia="Calibri" w:cs="Times New Roman"/>
          <w:iCs/>
        </w:rPr>
        <w:t xml:space="preserve">observational comparative study </w:t>
      </w:r>
      <w:r>
        <w:rPr>
          <w:rFonts w:eastAsia="Calibri" w:cs="Times New Roman"/>
          <w:iCs/>
        </w:rPr>
        <w:t xml:space="preserve">with </w:t>
      </w:r>
      <w:r w:rsidRPr="0042421D">
        <w:rPr>
          <w:rFonts w:eastAsia="Calibri" w:cs="Times New Roman"/>
          <w:iCs/>
        </w:rPr>
        <w:t>11 years</w:t>
      </w:r>
      <w:r>
        <w:rPr>
          <w:rFonts w:eastAsia="Calibri" w:cs="Times New Roman"/>
          <w:iCs/>
        </w:rPr>
        <w:t xml:space="preserve"> follow up; the </w:t>
      </w:r>
      <w:r w:rsidRPr="00B20894">
        <w:rPr>
          <w:rFonts w:eastAsia="Calibri" w:cs="Times New Roman"/>
          <w:iCs/>
        </w:rPr>
        <w:t>Surveillance study in Multi-Organ Cancers (SMOC</w:t>
      </w:r>
      <w:r>
        <w:rPr>
          <w:rFonts w:eastAsia="Calibri" w:cs="Times New Roman"/>
          <w:iCs/>
        </w:rPr>
        <w:t>) reported by SMOC+</w:t>
      </w:r>
      <w:r>
        <w:rPr>
          <w:rStyle w:val="FootnoteReference"/>
          <w:rFonts w:eastAsia="Calibri" w:cs="Times New Roman"/>
          <w:iCs/>
        </w:rPr>
        <w:footnoteReference w:id="41"/>
      </w:r>
      <w:r>
        <w:rPr>
          <w:rFonts w:eastAsia="Calibri" w:cs="Times New Roman"/>
          <w:iCs/>
        </w:rPr>
        <w:t xml:space="preserve">, </w:t>
      </w:r>
      <w:proofErr w:type="spellStart"/>
      <w:r w:rsidRPr="00B20894">
        <w:rPr>
          <w:rFonts w:eastAsia="Calibri" w:cs="Times New Roman"/>
          <w:iCs/>
        </w:rPr>
        <w:t>Paixao</w:t>
      </w:r>
      <w:proofErr w:type="spellEnd"/>
      <w:r w:rsidRPr="00B20894">
        <w:rPr>
          <w:rFonts w:eastAsia="Calibri" w:cs="Times New Roman"/>
          <w:iCs/>
        </w:rPr>
        <w:t xml:space="preserve"> </w:t>
      </w:r>
      <w:r>
        <w:rPr>
          <w:rFonts w:eastAsia="Calibri" w:cs="Times New Roman"/>
          <w:iCs/>
        </w:rPr>
        <w:t>(</w:t>
      </w:r>
      <w:r w:rsidRPr="00B20894">
        <w:rPr>
          <w:rFonts w:eastAsia="Calibri" w:cs="Times New Roman"/>
          <w:iCs/>
        </w:rPr>
        <w:t>2018</w:t>
      </w:r>
      <w:r>
        <w:rPr>
          <w:rFonts w:eastAsia="Calibri" w:cs="Times New Roman"/>
          <w:iCs/>
        </w:rPr>
        <w:t>)</w:t>
      </w:r>
      <w:r w:rsidRPr="00F75890">
        <w:rPr>
          <w:rStyle w:val="FootnoteReference"/>
          <w:rFonts w:eastAsia="Calibri" w:cs="Times New Roman"/>
          <w:iCs/>
        </w:rPr>
        <w:t xml:space="preserve"> </w:t>
      </w:r>
      <w:r>
        <w:rPr>
          <w:rStyle w:val="FootnoteReference"/>
          <w:rFonts w:eastAsia="Calibri" w:cs="Times New Roman"/>
          <w:iCs/>
        </w:rPr>
        <w:footnoteReference w:id="42"/>
      </w:r>
      <w:r>
        <w:rPr>
          <w:rFonts w:eastAsia="Calibri" w:cs="Times New Roman"/>
          <w:iCs/>
        </w:rPr>
        <w:t xml:space="preserve"> and </w:t>
      </w:r>
      <w:r w:rsidRPr="00B20894">
        <w:rPr>
          <w:rFonts w:eastAsia="Calibri" w:cs="Times New Roman"/>
          <w:iCs/>
        </w:rPr>
        <w:t xml:space="preserve">O’Neil </w:t>
      </w:r>
      <w:r>
        <w:rPr>
          <w:rFonts w:eastAsia="Calibri" w:cs="Times New Roman"/>
          <w:iCs/>
        </w:rPr>
        <w:t>(</w:t>
      </w:r>
      <w:r w:rsidRPr="00B20894">
        <w:rPr>
          <w:rFonts w:eastAsia="Calibri" w:cs="Times New Roman"/>
          <w:iCs/>
        </w:rPr>
        <w:t>2018</w:t>
      </w:r>
      <w:r>
        <w:rPr>
          <w:rFonts w:eastAsia="Calibri" w:cs="Times New Roman"/>
          <w:iCs/>
        </w:rPr>
        <w:t>)</w:t>
      </w:r>
      <w:r w:rsidRPr="00F75890">
        <w:rPr>
          <w:rStyle w:val="FootnoteReference"/>
          <w:rFonts w:eastAsia="Calibri" w:cs="Times New Roman"/>
          <w:iCs/>
        </w:rPr>
        <w:t xml:space="preserve"> </w:t>
      </w:r>
      <w:r>
        <w:rPr>
          <w:rStyle w:val="FootnoteReference"/>
          <w:rFonts w:eastAsia="Calibri" w:cs="Times New Roman"/>
          <w:iCs/>
        </w:rPr>
        <w:footnoteReference w:id="43"/>
      </w:r>
      <w:r>
        <w:rPr>
          <w:rFonts w:eastAsia="Calibri" w:cs="Times New Roman"/>
          <w:iCs/>
        </w:rPr>
        <w:t>, and the</w:t>
      </w:r>
      <w:r w:rsidRPr="00B20894">
        <w:t xml:space="preserve"> </w:t>
      </w:r>
      <w:r w:rsidRPr="00B20894">
        <w:rPr>
          <w:rFonts w:eastAsia="Calibri" w:cs="Times New Roman"/>
          <w:iCs/>
        </w:rPr>
        <w:t xml:space="preserve">Ballinger </w:t>
      </w:r>
      <w:r>
        <w:rPr>
          <w:rFonts w:eastAsia="Calibri" w:cs="Times New Roman"/>
          <w:iCs/>
        </w:rPr>
        <w:t>(</w:t>
      </w:r>
      <w:r w:rsidRPr="00B20894">
        <w:rPr>
          <w:rFonts w:eastAsia="Calibri" w:cs="Times New Roman"/>
          <w:iCs/>
        </w:rPr>
        <w:t>2017</w:t>
      </w:r>
      <w:r>
        <w:rPr>
          <w:rFonts w:eastAsia="Calibri" w:cs="Times New Roman"/>
          <w:iCs/>
        </w:rPr>
        <w:t>)</w:t>
      </w:r>
      <w:r>
        <w:rPr>
          <w:rStyle w:val="FootnoteReference"/>
          <w:rFonts w:eastAsia="Calibri" w:cs="Times New Roman"/>
          <w:iCs/>
        </w:rPr>
        <w:footnoteReference w:id="44"/>
      </w:r>
      <w:r>
        <w:rPr>
          <w:rFonts w:eastAsia="Calibri" w:cs="Times New Roman"/>
          <w:iCs/>
        </w:rPr>
        <w:t xml:space="preserve"> </w:t>
      </w:r>
      <w:r w:rsidRPr="00B20894">
        <w:rPr>
          <w:rFonts w:eastAsia="Calibri" w:cs="Times New Roman"/>
          <w:iCs/>
        </w:rPr>
        <w:t>meta-analysis</w:t>
      </w:r>
      <w:r>
        <w:rPr>
          <w:rFonts w:eastAsia="Calibri" w:cs="Times New Roman"/>
          <w:iCs/>
        </w:rPr>
        <w:t>.</w:t>
      </w:r>
    </w:p>
    <w:p w14:paraId="2A28002A" w14:textId="032A4CF1" w:rsidR="006C4966" w:rsidRPr="009A4697" w:rsidRDefault="006C4966" w:rsidP="006C4966">
      <w:pPr>
        <w:spacing w:after="240"/>
        <w:rPr>
          <w:rFonts w:eastAsia="Calibri" w:cs="Times New Roman"/>
          <w:iCs/>
        </w:rPr>
      </w:pPr>
      <w:r>
        <w:rPr>
          <w:rFonts w:eastAsia="Calibri" w:cs="Times New Roman"/>
          <w:iCs/>
        </w:rPr>
        <w:t>ESC noted that t</w:t>
      </w:r>
      <w:r w:rsidRPr="009A4697">
        <w:rPr>
          <w:rFonts w:eastAsia="Calibri" w:cs="Times New Roman"/>
          <w:iCs/>
        </w:rPr>
        <w:t>he</w:t>
      </w:r>
      <w:r>
        <w:rPr>
          <w:rFonts w:eastAsia="Calibri" w:cs="Times New Roman"/>
          <w:iCs/>
        </w:rPr>
        <w:t xml:space="preserve"> only</w:t>
      </w:r>
      <w:r w:rsidRPr="009A4697">
        <w:rPr>
          <w:rFonts w:eastAsia="Calibri" w:cs="Times New Roman"/>
          <w:iCs/>
        </w:rPr>
        <w:t xml:space="preserve"> prospective RCT</w:t>
      </w:r>
      <w:r>
        <w:rPr>
          <w:rFonts w:eastAsia="Calibri" w:cs="Times New Roman"/>
          <w:iCs/>
        </w:rPr>
        <w:t xml:space="preserve">, LIFSCREEN, </w:t>
      </w:r>
      <w:r w:rsidRPr="009A4697">
        <w:rPr>
          <w:rFonts w:eastAsia="Calibri" w:cs="Times New Roman"/>
          <w:iCs/>
        </w:rPr>
        <w:t>had flawed data, was not peer reviewed a</w:t>
      </w:r>
      <w:r>
        <w:rPr>
          <w:rFonts w:eastAsia="Calibri" w:cs="Times New Roman"/>
          <w:iCs/>
        </w:rPr>
        <w:t xml:space="preserve">nd </w:t>
      </w:r>
      <w:r w:rsidRPr="009A4697">
        <w:rPr>
          <w:rFonts w:eastAsia="Calibri" w:cs="Times New Roman"/>
          <w:iCs/>
        </w:rPr>
        <w:t>was only presented at a conference.</w:t>
      </w:r>
      <w:r w:rsidRPr="00F43793">
        <w:t xml:space="preserve"> </w:t>
      </w:r>
      <w:r>
        <w:t xml:space="preserve">LIFSCREEN was also </w:t>
      </w:r>
      <w:r w:rsidRPr="00F43793">
        <w:rPr>
          <w:rFonts w:eastAsia="Calibri" w:cs="Times New Roman"/>
          <w:iCs/>
        </w:rPr>
        <w:t>considered to have a high risk of bias due to neither patients nor investigators being blinded to surveillance allocation, not all outcomes (e.g., quality of life) being reported</w:t>
      </w:r>
      <w:r>
        <w:rPr>
          <w:rFonts w:eastAsia="Calibri" w:cs="Times New Roman"/>
          <w:iCs/>
        </w:rPr>
        <w:t>,</w:t>
      </w:r>
      <w:r w:rsidRPr="00F43793">
        <w:rPr>
          <w:rFonts w:eastAsia="Calibri" w:cs="Times New Roman"/>
          <w:iCs/>
        </w:rPr>
        <w:t xml:space="preserve"> and the relatively small sample size and short follow-up </w:t>
      </w:r>
      <w:r>
        <w:rPr>
          <w:rFonts w:eastAsia="Calibri" w:cs="Times New Roman"/>
          <w:iCs/>
        </w:rPr>
        <w:t>meaning the study was likely</w:t>
      </w:r>
      <w:r w:rsidRPr="00F43793">
        <w:rPr>
          <w:rFonts w:eastAsia="Calibri" w:cs="Times New Roman"/>
          <w:iCs/>
        </w:rPr>
        <w:t xml:space="preserve"> underpowered</w:t>
      </w:r>
      <w:r>
        <w:rPr>
          <w:rFonts w:eastAsia="Calibri" w:cs="Times New Roman"/>
          <w:iCs/>
        </w:rPr>
        <w:t xml:space="preserve"> to detect a difference in patient outcomes.</w:t>
      </w:r>
    </w:p>
    <w:p w14:paraId="5B9B12F6" w14:textId="57236018" w:rsidR="006C4966" w:rsidRDefault="006C4966" w:rsidP="006C4966">
      <w:pPr>
        <w:spacing w:after="240"/>
        <w:rPr>
          <w:rFonts w:eastAsia="Calibri" w:cs="Times New Roman"/>
          <w:iCs/>
        </w:rPr>
      </w:pPr>
      <w:r>
        <w:rPr>
          <w:rFonts w:eastAsia="Calibri" w:cs="Times New Roman"/>
          <w:iCs/>
        </w:rPr>
        <w:t xml:space="preserve">ESC noted that while LIFSCREEN </w:t>
      </w:r>
      <w:r w:rsidRPr="00A10AB9">
        <w:rPr>
          <w:rFonts w:eastAsia="Calibri" w:cs="Times New Roman"/>
          <w:iCs/>
        </w:rPr>
        <w:t>was designed to evaluate the impact of adding WBMRI as a screening tool on the overall survival (OS) of LFS patients</w:t>
      </w:r>
      <w:r>
        <w:rPr>
          <w:rFonts w:eastAsia="Calibri" w:cs="Times New Roman"/>
          <w:iCs/>
        </w:rPr>
        <w:t xml:space="preserve"> it found no difference between the standard surveillance arm and the standard + WBMRI arm in terms of </w:t>
      </w:r>
      <w:proofErr w:type="gramStart"/>
      <w:r>
        <w:rPr>
          <w:rFonts w:eastAsia="Calibri" w:cs="Times New Roman"/>
          <w:iCs/>
        </w:rPr>
        <w:t>3 year</w:t>
      </w:r>
      <w:proofErr w:type="gramEnd"/>
      <w:r>
        <w:rPr>
          <w:rFonts w:eastAsia="Calibri" w:cs="Times New Roman"/>
          <w:iCs/>
        </w:rPr>
        <w:t xml:space="preserve"> OS or cancer free survival. However, as noted previously this may be due to the study being underpowered.</w:t>
      </w:r>
    </w:p>
    <w:p w14:paraId="6733610C" w14:textId="312798F3" w:rsidR="006C4966" w:rsidRDefault="006C4966" w:rsidP="006C4966">
      <w:pPr>
        <w:spacing w:after="240"/>
        <w:rPr>
          <w:rFonts w:eastAsia="Calibri" w:cs="Times New Roman"/>
          <w:iCs/>
        </w:rPr>
      </w:pPr>
      <w:r>
        <w:rPr>
          <w:rFonts w:eastAsia="Calibri" w:cs="Times New Roman"/>
          <w:iCs/>
        </w:rPr>
        <w:t>ESC noted that i</w:t>
      </w:r>
      <w:r w:rsidRPr="00B20894">
        <w:rPr>
          <w:rFonts w:eastAsia="Calibri" w:cs="Times New Roman"/>
          <w:iCs/>
        </w:rPr>
        <w:t>n LIFSCREEN, the addition of WBMRI to standard surveillance increased the diagnostic yield compared to standard surveillance (5.73% versus 4.97%, respectively</w:t>
      </w:r>
      <w:r>
        <w:rPr>
          <w:rFonts w:eastAsia="Calibri" w:cs="Times New Roman"/>
          <w:iCs/>
        </w:rPr>
        <w:t xml:space="preserve">) and the </w:t>
      </w:r>
      <w:r w:rsidRPr="00B20894">
        <w:rPr>
          <w:rFonts w:eastAsia="Calibri" w:cs="Times New Roman"/>
          <w:iCs/>
        </w:rPr>
        <w:t xml:space="preserve">sensitivity of a regimen containing WBMRI was also higher, </w:t>
      </w:r>
      <w:r>
        <w:rPr>
          <w:rFonts w:eastAsia="Calibri" w:cs="Times New Roman"/>
          <w:iCs/>
        </w:rPr>
        <w:t xml:space="preserve">though </w:t>
      </w:r>
      <w:r w:rsidRPr="00B20894">
        <w:rPr>
          <w:rFonts w:eastAsia="Calibri" w:cs="Times New Roman"/>
          <w:iCs/>
        </w:rPr>
        <w:t>with reduced specificity</w:t>
      </w:r>
      <w:r>
        <w:rPr>
          <w:rFonts w:eastAsia="Calibri" w:cs="Times New Roman"/>
          <w:iCs/>
        </w:rPr>
        <w:t>.</w:t>
      </w:r>
    </w:p>
    <w:p w14:paraId="391F08F7" w14:textId="77777777" w:rsidR="006C4966" w:rsidRDefault="006C4966" w:rsidP="006C4966">
      <w:pPr>
        <w:spacing w:after="240"/>
        <w:rPr>
          <w:rFonts w:eastAsia="Calibri" w:cs="Times New Roman"/>
          <w:iCs/>
        </w:rPr>
      </w:pPr>
      <w:r>
        <w:rPr>
          <w:rFonts w:eastAsia="Calibri" w:cs="Times New Roman"/>
          <w:iCs/>
        </w:rPr>
        <w:t xml:space="preserve">ESC noted that </w:t>
      </w:r>
      <w:r w:rsidRPr="009A4697">
        <w:rPr>
          <w:rFonts w:eastAsia="Calibri" w:cs="Times New Roman"/>
          <w:iCs/>
        </w:rPr>
        <w:t xml:space="preserve">Villani (2016, 2011) </w:t>
      </w:r>
      <w:proofErr w:type="gramStart"/>
      <w:r w:rsidRPr="009A4697">
        <w:rPr>
          <w:rFonts w:eastAsia="Calibri" w:cs="Times New Roman"/>
          <w:iCs/>
        </w:rPr>
        <w:t>was considered to be</w:t>
      </w:r>
      <w:proofErr w:type="gramEnd"/>
      <w:r w:rsidRPr="009A4697">
        <w:rPr>
          <w:rFonts w:eastAsia="Calibri" w:cs="Times New Roman"/>
          <w:iCs/>
        </w:rPr>
        <w:t xml:space="preserve"> at a high risk of bias given the study was not randomised (patients chose surveillance versus no surveillance, introducing confounding related to the potential systematic differences in characteristics of participants in each group), </w:t>
      </w:r>
      <w:r w:rsidRPr="009A4697">
        <w:rPr>
          <w:rFonts w:eastAsia="Calibri" w:cs="Times New Roman"/>
          <w:iCs/>
        </w:rPr>
        <w:lastRenderedPageBreak/>
        <w:t>neither patients nor investigators were blinded to surveillance strategy, patients could cross-over at any time and analyses were conducted on an as-treated basis.</w:t>
      </w:r>
      <w:r>
        <w:rPr>
          <w:rFonts w:eastAsia="Calibri" w:cs="Times New Roman"/>
          <w:iCs/>
        </w:rPr>
        <w:t xml:space="preserve"> ESC noted that, subject to these significant caveats, </w:t>
      </w:r>
      <w:r w:rsidRPr="00B20894">
        <w:rPr>
          <w:rFonts w:eastAsia="Calibri" w:cs="Times New Roman"/>
          <w:iCs/>
        </w:rPr>
        <w:t>a survival benefit in those who underwent cancer surveillance compared to those who did not was observed at 3-years (Villani 2011) and at 5-years (Villani 2016).</w:t>
      </w:r>
    </w:p>
    <w:p w14:paraId="76A7AC04" w14:textId="1AD70098" w:rsidR="006C4966" w:rsidRDefault="006C4966" w:rsidP="006C4966">
      <w:pPr>
        <w:spacing w:after="240"/>
        <w:rPr>
          <w:rFonts w:eastAsia="Calibri" w:cs="Times New Roman"/>
          <w:iCs/>
        </w:rPr>
      </w:pPr>
      <w:r>
        <w:rPr>
          <w:rFonts w:eastAsia="Calibri" w:cs="Times New Roman"/>
          <w:iCs/>
        </w:rPr>
        <w:t>ESC noted that the SMOC studies (</w:t>
      </w:r>
      <w:r w:rsidRPr="00CE3FA1">
        <w:rPr>
          <w:rFonts w:eastAsia="Calibri" w:cs="Times New Roman"/>
          <w:iCs/>
        </w:rPr>
        <w:t>SMOC+</w:t>
      </w:r>
      <w:r>
        <w:rPr>
          <w:rFonts w:eastAsia="Calibri" w:cs="Times New Roman"/>
          <w:iCs/>
        </w:rPr>
        <w:t xml:space="preserve">, </w:t>
      </w:r>
      <w:proofErr w:type="spellStart"/>
      <w:r w:rsidRPr="00CE3FA1">
        <w:rPr>
          <w:rFonts w:eastAsia="Calibri" w:cs="Times New Roman"/>
          <w:iCs/>
        </w:rPr>
        <w:t>Paixao</w:t>
      </w:r>
      <w:proofErr w:type="spellEnd"/>
      <w:r w:rsidRPr="00CE3FA1">
        <w:rPr>
          <w:rFonts w:eastAsia="Calibri" w:cs="Times New Roman"/>
          <w:iCs/>
        </w:rPr>
        <w:t xml:space="preserve"> 2018</w:t>
      </w:r>
      <w:r>
        <w:rPr>
          <w:rFonts w:eastAsia="Calibri" w:cs="Times New Roman"/>
          <w:iCs/>
        </w:rPr>
        <w:t>)</w:t>
      </w:r>
      <w:r w:rsidRPr="00CE3FA1">
        <w:rPr>
          <w:rFonts w:eastAsia="Calibri" w:cs="Times New Roman"/>
          <w:iCs/>
        </w:rPr>
        <w:t xml:space="preserve"> </w:t>
      </w:r>
      <w:r>
        <w:rPr>
          <w:rFonts w:eastAsia="Calibri" w:cs="Times New Roman"/>
          <w:iCs/>
        </w:rPr>
        <w:t>found high sensitivity of WBMRI i</w:t>
      </w:r>
      <w:r w:rsidRPr="00CE3FA1">
        <w:rPr>
          <w:rFonts w:eastAsia="Calibri" w:cs="Times New Roman"/>
          <w:iCs/>
        </w:rPr>
        <w:t xml:space="preserve">n </w:t>
      </w:r>
      <w:r w:rsidRPr="00A426F9">
        <w:rPr>
          <w:rFonts w:eastAsia="Calibri" w:cs="Times New Roman"/>
          <w:i/>
        </w:rPr>
        <w:t>TP53</w:t>
      </w:r>
      <w:r w:rsidRPr="00CE3FA1">
        <w:rPr>
          <w:rFonts w:eastAsia="Calibri" w:cs="Times New Roman"/>
          <w:iCs/>
        </w:rPr>
        <w:t xml:space="preserve"> adults</w:t>
      </w:r>
      <w:r>
        <w:rPr>
          <w:rFonts w:eastAsia="Calibri" w:cs="Times New Roman"/>
          <w:iCs/>
        </w:rPr>
        <w:t>.</w:t>
      </w:r>
    </w:p>
    <w:p w14:paraId="197F0FD0" w14:textId="77777777" w:rsidR="006C4966" w:rsidRPr="009A4697" w:rsidRDefault="006C4966" w:rsidP="006C4966">
      <w:pPr>
        <w:spacing w:after="240"/>
        <w:rPr>
          <w:rFonts w:eastAsia="Calibri" w:cs="Times New Roman"/>
          <w:iCs/>
        </w:rPr>
      </w:pPr>
      <w:r>
        <w:rPr>
          <w:rFonts w:eastAsia="Calibri" w:cs="Times New Roman"/>
          <w:iCs/>
        </w:rPr>
        <w:t xml:space="preserve">ESC noted that in the Ballinger (2017) meta-analysis the </w:t>
      </w:r>
      <w:r w:rsidRPr="00CE3FA1">
        <w:rPr>
          <w:rFonts w:eastAsia="Calibri" w:cs="Times New Roman"/>
          <w:iCs/>
        </w:rPr>
        <w:t>overall estimated detection rate for new, localized primary cancers was 7% (95% CI, 5%-9%) and the false-positive rate was 42.5%.</w:t>
      </w:r>
    </w:p>
    <w:p w14:paraId="3A8E69DE" w14:textId="453E97FE" w:rsidR="006C4966" w:rsidRDefault="006C4966" w:rsidP="006C4966">
      <w:pPr>
        <w:spacing w:after="240"/>
        <w:rPr>
          <w:rFonts w:eastAsia="Calibri" w:cs="Times New Roman"/>
          <w:iCs/>
        </w:rPr>
      </w:pPr>
      <w:r>
        <w:rPr>
          <w:rFonts w:eastAsia="Calibri" w:cs="Times New Roman"/>
          <w:iCs/>
        </w:rPr>
        <w:t>ESC agreed that in the cost effectiveness analysis, a cost per life years saved approach was not informative</w:t>
      </w:r>
      <w:r w:rsidRPr="005E227F">
        <w:rPr>
          <w:rFonts w:eastAsia="Calibri" w:cs="Times New Roman"/>
          <w:iCs/>
        </w:rPr>
        <w:t xml:space="preserve"> based on </w:t>
      </w:r>
      <w:r>
        <w:rPr>
          <w:rFonts w:eastAsia="Calibri" w:cs="Times New Roman"/>
          <w:iCs/>
        </w:rPr>
        <w:t>the direct</w:t>
      </w:r>
      <w:r w:rsidRPr="005E227F">
        <w:rPr>
          <w:rFonts w:eastAsia="Calibri" w:cs="Times New Roman"/>
          <w:iCs/>
        </w:rPr>
        <w:t xml:space="preserve"> clinical evidence</w:t>
      </w:r>
      <w:r>
        <w:rPr>
          <w:rFonts w:eastAsia="Calibri" w:cs="Times New Roman"/>
          <w:iCs/>
        </w:rPr>
        <w:t xml:space="preserve"> (given the inconclusive results from the LIFSCREEN trial).</w:t>
      </w:r>
    </w:p>
    <w:p w14:paraId="0480322F" w14:textId="0D59BDC6" w:rsidR="006C4966" w:rsidRDefault="006C4966" w:rsidP="006C4966">
      <w:pPr>
        <w:spacing w:after="240"/>
        <w:rPr>
          <w:rFonts w:eastAsia="Calibri" w:cs="Times New Roman"/>
          <w:iCs/>
        </w:rPr>
      </w:pPr>
      <w:r w:rsidRPr="002741F8">
        <w:rPr>
          <w:rFonts w:eastAsia="Calibri" w:cs="Times New Roman"/>
          <w:iCs/>
        </w:rPr>
        <w:t>ESC noted that</w:t>
      </w:r>
      <w:r w:rsidRPr="003523B6">
        <w:rPr>
          <w:rFonts w:eastAsia="Calibri" w:cs="Times New Roman"/>
          <w:iCs/>
        </w:rPr>
        <w:t xml:space="preserve"> the DCAR </w:t>
      </w:r>
      <w:r w:rsidRPr="002741F8">
        <w:rPr>
          <w:rFonts w:eastAsia="Calibri" w:cs="Times New Roman"/>
          <w:iCs/>
        </w:rPr>
        <w:t>derive</w:t>
      </w:r>
      <w:r w:rsidRPr="003523B6">
        <w:rPr>
          <w:rFonts w:eastAsia="Calibri" w:cs="Times New Roman"/>
          <w:iCs/>
        </w:rPr>
        <w:t>d</w:t>
      </w:r>
      <w:r w:rsidRPr="002741F8">
        <w:rPr>
          <w:rFonts w:eastAsia="Calibri" w:cs="Times New Roman"/>
          <w:iCs/>
        </w:rPr>
        <w:t xml:space="preserve"> incremental cost-effectiveness ratios (ICERs) based on shorter term outcomes</w:t>
      </w:r>
      <w:r>
        <w:rPr>
          <w:rFonts w:eastAsia="Calibri" w:cs="Times New Roman"/>
          <w:iCs/>
        </w:rPr>
        <w:t>,</w:t>
      </w:r>
      <w:r w:rsidRPr="002741F8">
        <w:rPr>
          <w:rFonts w:eastAsia="Calibri" w:cs="Times New Roman"/>
          <w:iCs/>
        </w:rPr>
        <w:t xml:space="preserve"> namely diagnostic accuracy estimates from LIFSCREEN. ESC</w:t>
      </w:r>
      <w:r>
        <w:rPr>
          <w:rFonts w:eastAsia="Calibri" w:cs="Times New Roman"/>
          <w:iCs/>
        </w:rPr>
        <w:t xml:space="preserve"> noted that examples of such measures from past MSAC applications include </w:t>
      </w:r>
      <w:r w:rsidRPr="00D00A89">
        <w:rPr>
          <w:rFonts w:eastAsia="Calibri" w:cs="Times New Roman"/>
          <w:iCs/>
        </w:rPr>
        <w:t>incremental cost per [improved] measure of diagnostic yield</w:t>
      </w:r>
      <w:r>
        <w:rPr>
          <w:rFonts w:eastAsia="Calibri" w:cs="Times New Roman"/>
          <w:iCs/>
        </w:rPr>
        <w:t xml:space="preserve">, and that these ICERs have been used </w:t>
      </w:r>
      <w:r w:rsidRPr="00D00A89">
        <w:rPr>
          <w:rFonts w:eastAsia="Calibri" w:cs="Times New Roman"/>
          <w:iCs/>
        </w:rPr>
        <w:t xml:space="preserve">in situations where the condition of interest is rare, </w:t>
      </w:r>
      <w:r>
        <w:rPr>
          <w:rFonts w:eastAsia="Calibri" w:cs="Times New Roman"/>
          <w:iCs/>
        </w:rPr>
        <w:t xml:space="preserve">and </w:t>
      </w:r>
      <w:r w:rsidRPr="00D00A89">
        <w:rPr>
          <w:rFonts w:eastAsia="Calibri" w:cs="Times New Roman"/>
          <w:iCs/>
        </w:rPr>
        <w:t>evidence of downstream consequences is absent or very limited</w:t>
      </w:r>
      <w:r>
        <w:rPr>
          <w:rFonts w:eastAsia="Calibri" w:cs="Times New Roman"/>
          <w:iCs/>
        </w:rPr>
        <w:t>. ESC noted that the measure ‘</w:t>
      </w:r>
      <w:r w:rsidRPr="00D00A89">
        <w:rPr>
          <w:rFonts w:eastAsia="Calibri" w:cs="Times New Roman"/>
          <w:iCs/>
        </w:rPr>
        <w:t>incremental cost per extra treatment allocation improvement</w:t>
      </w:r>
      <w:r>
        <w:rPr>
          <w:rFonts w:eastAsia="Calibri" w:cs="Times New Roman"/>
          <w:iCs/>
        </w:rPr>
        <w:t xml:space="preserve">’ was relied on by MSAC for the </w:t>
      </w:r>
      <w:r w:rsidRPr="00D00A89">
        <w:rPr>
          <w:rFonts w:eastAsia="Calibri" w:cs="Times New Roman"/>
          <w:iCs/>
        </w:rPr>
        <w:t xml:space="preserve">use of </w:t>
      </w:r>
      <w:r>
        <w:rPr>
          <w:rFonts w:eastAsia="Calibri" w:cs="Times New Roman"/>
          <w:iCs/>
        </w:rPr>
        <w:t>FDG-</w:t>
      </w:r>
      <w:r w:rsidRPr="00D00A89">
        <w:rPr>
          <w:rFonts w:eastAsia="Calibri" w:cs="Times New Roman"/>
          <w:iCs/>
        </w:rPr>
        <w:t>PET in staging for rare cancers</w:t>
      </w:r>
      <w:r>
        <w:rPr>
          <w:rFonts w:eastAsia="Calibri" w:cs="Times New Roman"/>
          <w:iCs/>
        </w:rPr>
        <w:t>.</w:t>
      </w:r>
    </w:p>
    <w:p w14:paraId="4511E1F5" w14:textId="77777777" w:rsidR="006C4966" w:rsidRPr="001A2BC1" w:rsidRDefault="006C4966" w:rsidP="00411DE4">
      <w:pPr>
        <w:keepNext/>
        <w:spacing w:after="240"/>
        <w:rPr>
          <w:rFonts w:eastAsia="Calibri" w:cs="Times New Roman"/>
          <w:iCs/>
        </w:rPr>
      </w:pPr>
      <w:r>
        <w:rPr>
          <w:rFonts w:eastAsia="Calibri" w:cs="Times New Roman"/>
          <w:iCs/>
        </w:rPr>
        <w:t xml:space="preserve">ESC noted there were </w:t>
      </w:r>
      <w:r w:rsidRPr="001A2BC1">
        <w:rPr>
          <w:rFonts w:eastAsia="Calibri" w:cs="Times New Roman"/>
          <w:iCs/>
        </w:rPr>
        <w:t>challenges with directly comparing the</w:t>
      </w:r>
      <w:r>
        <w:rPr>
          <w:rFonts w:eastAsia="Calibri" w:cs="Times New Roman"/>
          <w:iCs/>
        </w:rPr>
        <w:t xml:space="preserve"> ICERs from the economic evaluation with </w:t>
      </w:r>
      <w:r w:rsidRPr="001A2BC1">
        <w:rPr>
          <w:rFonts w:eastAsia="Calibri" w:cs="Times New Roman"/>
          <w:iCs/>
        </w:rPr>
        <w:t>ICERs generated for genetic/genomic testing</w:t>
      </w:r>
      <w:r>
        <w:rPr>
          <w:rFonts w:eastAsia="Calibri" w:cs="Times New Roman"/>
          <w:iCs/>
        </w:rPr>
        <w:t xml:space="preserve"> in previous MSAC applications</w:t>
      </w:r>
      <w:r w:rsidRPr="001A2BC1">
        <w:rPr>
          <w:rFonts w:eastAsia="Calibri" w:cs="Times New Roman"/>
          <w:iCs/>
        </w:rPr>
        <w:t xml:space="preserve"> as:</w:t>
      </w:r>
    </w:p>
    <w:p w14:paraId="5A164646" w14:textId="77777777" w:rsidR="006C4966" w:rsidRDefault="006C4966" w:rsidP="00411DE4">
      <w:pPr>
        <w:pStyle w:val="ListParagraph"/>
        <w:numPr>
          <w:ilvl w:val="0"/>
          <w:numId w:val="49"/>
        </w:numPr>
        <w:rPr>
          <w:rFonts w:eastAsia="Calibri" w:cs="Times New Roman"/>
          <w:iCs/>
        </w:rPr>
      </w:pPr>
      <w:r w:rsidRPr="00464530">
        <w:rPr>
          <w:rFonts w:eastAsia="Calibri" w:cs="Times New Roman"/>
          <w:iCs/>
        </w:rPr>
        <w:t>the</w:t>
      </w:r>
      <w:r>
        <w:rPr>
          <w:rFonts w:eastAsia="Calibri" w:cs="Times New Roman"/>
          <w:iCs/>
        </w:rPr>
        <w:t xml:space="preserve"> latter</w:t>
      </w:r>
      <w:r w:rsidRPr="00464530">
        <w:rPr>
          <w:rFonts w:eastAsia="Calibri" w:cs="Times New Roman"/>
          <w:iCs/>
        </w:rPr>
        <w:t xml:space="preserve"> assumed 100% sensitivity and 100% specificity</w:t>
      </w:r>
    </w:p>
    <w:p w14:paraId="2392D634" w14:textId="024697C7" w:rsidR="006C4966" w:rsidRDefault="006C4966" w:rsidP="00411DE4">
      <w:pPr>
        <w:pStyle w:val="ListParagraph"/>
        <w:numPr>
          <w:ilvl w:val="0"/>
          <w:numId w:val="49"/>
        </w:numPr>
        <w:rPr>
          <w:rFonts w:eastAsia="Calibri" w:cs="Times New Roman"/>
          <w:iCs/>
        </w:rPr>
      </w:pPr>
      <w:r>
        <w:rPr>
          <w:rFonts w:eastAsia="Calibri" w:cs="Times New Roman"/>
          <w:iCs/>
        </w:rPr>
        <w:t>t</w:t>
      </w:r>
      <w:r w:rsidRPr="00464530">
        <w:rPr>
          <w:rFonts w:eastAsia="Calibri" w:cs="Times New Roman"/>
          <w:iCs/>
        </w:rPr>
        <w:t>he ICERs for the genetic/genomic testing were based on a different definition of diagnostic yield (all positive test results</w:t>
      </w:r>
      <w:r>
        <w:rPr>
          <w:rFonts w:eastAsia="Calibri" w:cs="Times New Roman"/>
          <w:iCs/>
        </w:rPr>
        <w:t xml:space="preserve">, </w:t>
      </w:r>
      <w:proofErr w:type="gramStart"/>
      <w:r>
        <w:rPr>
          <w:rFonts w:eastAsia="Calibri" w:cs="Times New Roman"/>
          <w:iCs/>
        </w:rPr>
        <w:t>i.e.</w:t>
      </w:r>
      <w:proofErr w:type="gramEnd"/>
      <w:r>
        <w:rPr>
          <w:rFonts w:eastAsia="Calibri" w:cs="Times New Roman"/>
          <w:iCs/>
        </w:rPr>
        <w:t xml:space="preserve"> true positives plus false positives).</w:t>
      </w:r>
    </w:p>
    <w:p w14:paraId="53305C82" w14:textId="78FE734A" w:rsidR="006C4966" w:rsidRDefault="006C4966" w:rsidP="006C4966">
      <w:pPr>
        <w:spacing w:after="240"/>
        <w:rPr>
          <w:rFonts w:eastAsia="Calibri" w:cs="Times New Roman"/>
          <w:iCs/>
        </w:rPr>
      </w:pPr>
      <w:bookmarkStart w:id="41" w:name="_Hlk111029640"/>
      <w:r>
        <w:rPr>
          <w:rFonts w:eastAsia="Calibri" w:cs="Times New Roman"/>
          <w:iCs/>
        </w:rPr>
        <w:t xml:space="preserve">ESC noted that the DCAR reported the results of cost effectiveness analysis based on two data series. The first relied on </w:t>
      </w:r>
      <w:r w:rsidRPr="00CC211C">
        <w:rPr>
          <w:rFonts w:eastAsia="Calibri" w:cs="Times New Roman"/>
          <w:iCs/>
        </w:rPr>
        <w:t>data as reported by LIFSCREEN</w:t>
      </w:r>
      <w:r>
        <w:rPr>
          <w:rFonts w:eastAsia="Calibri" w:cs="Times New Roman"/>
          <w:iCs/>
        </w:rPr>
        <w:t>. The second</w:t>
      </w:r>
      <w:r w:rsidRPr="00CC211C">
        <w:t xml:space="preserve"> </w:t>
      </w:r>
      <w:r w:rsidRPr="00CC211C">
        <w:rPr>
          <w:rFonts w:eastAsia="Calibri" w:cs="Times New Roman"/>
          <w:iCs/>
        </w:rPr>
        <w:t>relie</w:t>
      </w:r>
      <w:r>
        <w:rPr>
          <w:rFonts w:eastAsia="Calibri" w:cs="Times New Roman"/>
          <w:iCs/>
        </w:rPr>
        <w:t>d</w:t>
      </w:r>
      <w:r w:rsidRPr="00CC211C">
        <w:rPr>
          <w:rFonts w:eastAsia="Calibri" w:cs="Times New Roman"/>
          <w:iCs/>
        </w:rPr>
        <w:t xml:space="preserve"> on</w:t>
      </w:r>
      <w:r>
        <w:rPr>
          <w:rFonts w:eastAsia="Calibri" w:cs="Times New Roman"/>
          <w:iCs/>
        </w:rPr>
        <w:t xml:space="preserve"> the applicant’s</w:t>
      </w:r>
      <w:r w:rsidRPr="00CC211C">
        <w:rPr>
          <w:rFonts w:eastAsia="Calibri" w:cs="Times New Roman"/>
          <w:iCs/>
        </w:rPr>
        <w:t xml:space="preserve"> re-interpretation of LIFSCREEN dat</w:t>
      </w:r>
      <w:r>
        <w:rPr>
          <w:rFonts w:eastAsia="Calibri" w:cs="Times New Roman"/>
          <w:iCs/>
        </w:rPr>
        <w:t xml:space="preserve">a which was reviewed by the assessment group. ESC noted that while </w:t>
      </w:r>
      <w:r w:rsidRPr="00CC211C">
        <w:rPr>
          <w:rFonts w:eastAsia="Calibri" w:cs="Times New Roman"/>
          <w:iCs/>
        </w:rPr>
        <w:t xml:space="preserve">neither dataset </w:t>
      </w:r>
      <w:r>
        <w:rPr>
          <w:rFonts w:eastAsia="Calibri" w:cs="Times New Roman"/>
          <w:iCs/>
        </w:rPr>
        <w:t>was</w:t>
      </w:r>
      <w:r w:rsidRPr="00CC211C">
        <w:rPr>
          <w:rFonts w:eastAsia="Calibri" w:cs="Times New Roman"/>
          <w:iCs/>
        </w:rPr>
        <w:t xml:space="preserve"> ideal, </w:t>
      </w:r>
      <w:r>
        <w:rPr>
          <w:rFonts w:eastAsia="Calibri" w:cs="Times New Roman"/>
          <w:iCs/>
        </w:rPr>
        <w:t>the second series wa</w:t>
      </w:r>
      <w:r w:rsidRPr="00CC211C">
        <w:rPr>
          <w:rFonts w:eastAsia="Calibri" w:cs="Times New Roman"/>
          <w:iCs/>
        </w:rPr>
        <w:t>s more applicable from an HTA perspective as it adjusts for current surveillance protocols in Australia</w:t>
      </w:r>
      <w:bookmarkEnd w:id="41"/>
      <w:r>
        <w:rPr>
          <w:rFonts w:eastAsia="Calibri" w:cs="Times New Roman"/>
          <w:iCs/>
        </w:rPr>
        <w:t>.</w:t>
      </w:r>
      <w:r w:rsidRPr="00963BD7">
        <w:rPr>
          <w:rFonts w:eastAsia="Calibri" w:cs="Times New Roman"/>
        </w:rPr>
        <w:t xml:space="preserve"> </w:t>
      </w:r>
      <w:r>
        <w:rPr>
          <w:rFonts w:eastAsia="Calibri" w:cs="Times New Roman"/>
        </w:rPr>
        <w:t>While there are</w:t>
      </w:r>
      <w:r w:rsidRPr="009A4697">
        <w:rPr>
          <w:rFonts w:eastAsia="Calibri" w:cs="Times New Roman"/>
        </w:rPr>
        <w:t xml:space="preserve"> limitations in the dataset relied on in the DCAR to generate the ICER </w:t>
      </w:r>
      <w:r>
        <w:rPr>
          <w:rFonts w:eastAsia="Calibri" w:cs="Times New Roman"/>
        </w:rPr>
        <w:t>(</w:t>
      </w:r>
      <w:r w:rsidRPr="009A4697">
        <w:rPr>
          <w:rFonts w:eastAsia="Calibri" w:cs="Times New Roman"/>
        </w:rPr>
        <w:t>and the financial estimates</w:t>
      </w:r>
      <w:r>
        <w:rPr>
          <w:rFonts w:eastAsia="Calibri" w:cs="Times New Roman"/>
        </w:rPr>
        <w:t>)</w:t>
      </w:r>
      <w:r w:rsidRPr="009A4697">
        <w:rPr>
          <w:rFonts w:eastAsia="Calibri" w:cs="Times New Roman"/>
        </w:rPr>
        <w:t>, additional data is unlikely to emerge given the</w:t>
      </w:r>
      <w:r>
        <w:rPr>
          <w:rFonts w:eastAsia="Calibri" w:cs="Times New Roman"/>
        </w:rPr>
        <w:t xml:space="preserve"> general</w:t>
      </w:r>
      <w:r w:rsidRPr="009A4697">
        <w:rPr>
          <w:rFonts w:eastAsia="Calibri" w:cs="Times New Roman"/>
        </w:rPr>
        <w:t xml:space="preserve"> </w:t>
      </w:r>
      <w:r>
        <w:rPr>
          <w:rFonts w:eastAsia="Calibri" w:cs="Times New Roman"/>
        </w:rPr>
        <w:t>paucity of robust clinical data (as identified earlier).</w:t>
      </w:r>
    </w:p>
    <w:p w14:paraId="0159DC58" w14:textId="77777777" w:rsidR="006C4966" w:rsidRPr="000A19C2" w:rsidRDefault="006C4966" w:rsidP="006C4966">
      <w:pPr>
        <w:spacing w:after="240"/>
        <w:rPr>
          <w:rFonts w:eastAsia="Calibri" w:cs="Times New Roman"/>
          <w:iCs/>
        </w:rPr>
      </w:pPr>
      <w:r w:rsidRPr="000A19C2">
        <w:rPr>
          <w:rFonts w:eastAsia="Calibri" w:cs="Times New Roman"/>
          <w:iCs/>
        </w:rPr>
        <w:t>ESC noted that the key cost input into the economic evaluation was the annual cost of WBMRI as proposed by applicant of $1,500. Added to this was the weighted average annual cost of additional investigations associated with detection of lesions subsequently found to be benign or normal which based on observed resource use in the SMOC study was estimated at $61. ESC noted that the key outcomes of the economic evaluation were expressed in terms of positive new primary cancers (NPCs) correctly identified and negative NPCs correctly ruled out.</w:t>
      </w:r>
    </w:p>
    <w:p w14:paraId="6F66CBC5" w14:textId="0B4860D5" w:rsidR="006C4966" w:rsidRPr="000A19C2" w:rsidRDefault="006C4966" w:rsidP="006C4966">
      <w:pPr>
        <w:spacing w:after="240"/>
        <w:rPr>
          <w:rFonts w:eastAsia="Calibri" w:cs="Times New Roman"/>
          <w:iCs/>
        </w:rPr>
      </w:pPr>
      <w:r w:rsidRPr="000A19C2">
        <w:rPr>
          <w:rFonts w:eastAsia="Calibri" w:cs="Times New Roman"/>
          <w:iCs/>
        </w:rPr>
        <w:t xml:space="preserve">ESC noted that the DCAR reported an ICER per positive NPC </w:t>
      </w:r>
      <w:r w:rsidR="008027B8">
        <w:rPr>
          <w:rFonts w:eastAsia="Calibri" w:cs="Times New Roman"/>
          <w:iCs/>
        </w:rPr>
        <w:t xml:space="preserve">correctly </w:t>
      </w:r>
      <w:r w:rsidRPr="000A19C2">
        <w:rPr>
          <w:rFonts w:eastAsia="Calibri" w:cs="Times New Roman"/>
          <w:iCs/>
        </w:rPr>
        <w:t xml:space="preserve">identified of $23,494 and an ICER per negative NPC </w:t>
      </w:r>
      <w:r w:rsidR="008027B8">
        <w:rPr>
          <w:rFonts w:eastAsia="Calibri" w:cs="Times New Roman"/>
          <w:iCs/>
        </w:rPr>
        <w:t xml:space="preserve">correctly </w:t>
      </w:r>
      <w:r w:rsidRPr="000A19C2">
        <w:rPr>
          <w:rFonts w:eastAsia="Calibri" w:cs="Times New Roman"/>
          <w:iCs/>
        </w:rPr>
        <w:t xml:space="preserve">ruled out of $33,007 </w:t>
      </w:r>
      <w:r>
        <w:rPr>
          <w:rFonts w:eastAsia="Calibri" w:cs="Times New Roman"/>
          <w:iCs/>
        </w:rPr>
        <w:t>assuming</w:t>
      </w:r>
      <w:r w:rsidRPr="000A19C2">
        <w:rPr>
          <w:rFonts w:eastAsia="Calibri" w:cs="Times New Roman"/>
          <w:iCs/>
        </w:rPr>
        <w:t xml:space="preserve"> a</w:t>
      </w:r>
      <w:r>
        <w:rPr>
          <w:rFonts w:eastAsia="Calibri" w:cs="Times New Roman"/>
          <w:iCs/>
        </w:rPr>
        <w:t>n underlying</w:t>
      </w:r>
      <w:r w:rsidRPr="000A19C2">
        <w:rPr>
          <w:rFonts w:eastAsia="Calibri" w:cs="Times New Roman"/>
          <w:iCs/>
        </w:rPr>
        <w:t xml:space="preserve"> cancer prevalence of 6%. ESC noted that a sensitivity analysis was undertaken around this baseline assuming a minimum cancer prevalence of 3.57%</w:t>
      </w:r>
      <w:r>
        <w:rPr>
          <w:rFonts w:eastAsia="Calibri" w:cs="Times New Roman"/>
          <w:iCs/>
        </w:rPr>
        <w:t xml:space="preserve">, </w:t>
      </w:r>
      <w:r w:rsidRPr="000A19C2">
        <w:rPr>
          <w:rFonts w:eastAsia="Calibri" w:cs="Times New Roman"/>
          <w:iCs/>
        </w:rPr>
        <w:t xml:space="preserve">resulting in ICER per positive NPC </w:t>
      </w:r>
      <w:r w:rsidR="008027B8">
        <w:rPr>
          <w:rFonts w:eastAsia="Calibri" w:cs="Times New Roman"/>
          <w:iCs/>
        </w:rPr>
        <w:t xml:space="preserve">correctly </w:t>
      </w:r>
      <w:r w:rsidRPr="000A19C2">
        <w:rPr>
          <w:rFonts w:eastAsia="Calibri" w:cs="Times New Roman"/>
          <w:iCs/>
        </w:rPr>
        <w:t xml:space="preserve">identified of $38,079 and ICER per negative NPC </w:t>
      </w:r>
      <w:r w:rsidR="008027B8">
        <w:rPr>
          <w:rFonts w:eastAsia="Calibri" w:cs="Times New Roman"/>
          <w:iCs/>
        </w:rPr>
        <w:t xml:space="preserve">correctly </w:t>
      </w:r>
      <w:r w:rsidRPr="000A19C2">
        <w:rPr>
          <w:rFonts w:eastAsia="Calibri" w:cs="Times New Roman"/>
          <w:iCs/>
        </w:rPr>
        <w:t xml:space="preserve">ruled out of $55,758; and a maximum cancer prevalence of 13.21% resulting in ICER per positive NPC </w:t>
      </w:r>
      <w:r w:rsidR="008027B8">
        <w:rPr>
          <w:rFonts w:eastAsia="Calibri" w:cs="Times New Roman"/>
          <w:iCs/>
        </w:rPr>
        <w:t xml:space="preserve">correctly </w:t>
      </w:r>
      <w:r w:rsidRPr="000A19C2">
        <w:rPr>
          <w:rFonts w:eastAsia="Calibri" w:cs="Times New Roman"/>
          <w:iCs/>
        </w:rPr>
        <w:t xml:space="preserve">identified of $12,293 and ICER per negative NPC </w:t>
      </w:r>
      <w:bookmarkStart w:id="42" w:name="_Hlk112425304"/>
      <w:r w:rsidR="00263D0D">
        <w:rPr>
          <w:rFonts w:eastAsia="Calibri" w:cs="Times New Roman"/>
          <w:iCs/>
        </w:rPr>
        <w:t xml:space="preserve">correctly </w:t>
      </w:r>
      <w:bookmarkEnd w:id="42"/>
      <w:r w:rsidRPr="000A19C2">
        <w:rPr>
          <w:rFonts w:eastAsia="Calibri" w:cs="Times New Roman"/>
          <w:iCs/>
        </w:rPr>
        <w:t>ruled out of $15,547.</w:t>
      </w:r>
    </w:p>
    <w:p w14:paraId="55A4406C" w14:textId="77777777" w:rsidR="006C4966" w:rsidRPr="000A19C2" w:rsidRDefault="006C4966" w:rsidP="006C4966">
      <w:pPr>
        <w:spacing w:after="240"/>
        <w:rPr>
          <w:rFonts w:eastAsia="Calibri" w:cs="Times New Roman"/>
          <w:iCs/>
        </w:rPr>
      </w:pPr>
      <w:r w:rsidRPr="000A19C2">
        <w:rPr>
          <w:rFonts w:eastAsia="Calibri" w:cs="Times New Roman"/>
          <w:iCs/>
        </w:rPr>
        <w:lastRenderedPageBreak/>
        <w:t>ESC had questions on whether the specific approach used in the DCAR was appropriate and accordingly sought and received the following clarifications from the assessment group:</w:t>
      </w:r>
    </w:p>
    <w:p w14:paraId="19485E5B" w14:textId="77777777" w:rsidR="006C4966" w:rsidRPr="003523B6" w:rsidRDefault="006C4966" w:rsidP="00411DE4">
      <w:pPr>
        <w:pStyle w:val="ListParagraph"/>
        <w:numPr>
          <w:ilvl w:val="0"/>
          <w:numId w:val="49"/>
        </w:numPr>
        <w:rPr>
          <w:rFonts w:eastAsia="Calibri" w:cs="Times New Roman"/>
          <w:iCs/>
        </w:rPr>
      </w:pPr>
      <w:r w:rsidRPr="000A19C2">
        <w:rPr>
          <w:rFonts w:eastAsia="Calibri" w:cs="Times New Roman"/>
          <w:iCs/>
        </w:rPr>
        <w:t xml:space="preserve">The base case cancer </w:t>
      </w:r>
      <w:r w:rsidRPr="00411DE4">
        <w:t>prevalence</w:t>
      </w:r>
      <w:r w:rsidRPr="000A19C2">
        <w:rPr>
          <w:rFonts w:eastAsia="Calibri" w:cs="Times New Roman"/>
          <w:iCs/>
        </w:rPr>
        <w:t xml:space="preserve"> of 6% (the prior probability of cancer) </w:t>
      </w:r>
      <w:r>
        <w:rPr>
          <w:rFonts w:eastAsia="Calibri" w:cs="Times New Roman"/>
          <w:iCs/>
        </w:rPr>
        <w:t>is a rounding of the</w:t>
      </w:r>
      <w:r w:rsidRPr="000A19C2">
        <w:rPr>
          <w:rFonts w:eastAsia="Calibri" w:cs="Times New Roman"/>
          <w:iCs/>
        </w:rPr>
        <w:t xml:space="preserve"> diagnostic yield figure of 5.73% in Table 23 of the DCAR.</w:t>
      </w:r>
    </w:p>
    <w:p w14:paraId="08588AD9" w14:textId="77777777" w:rsidR="006C4966" w:rsidRPr="000A19C2" w:rsidRDefault="006C4966" w:rsidP="00411DE4">
      <w:pPr>
        <w:pStyle w:val="ListParagraph"/>
        <w:numPr>
          <w:ilvl w:val="0"/>
          <w:numId w:val="49"/>
        </w:numPr>
        <w:rPr>
          <w:rFonts w:eastAsia="Calibri" w:cs="Times New Roman"/>
          <w:iCs/>
        </w:rPr>
      </w:pPr>
      <w:r w:rsidRPr="000A19C2">
        <w:rPr>
          <w:rFonts w:eastAsia="Calibri" w:cs="Times New Roman"/>
          <w:iCs/>
        </w:rPr>
        <w:t xml:space="preserve">The definition of diagnostic </w:t>
      </w:r>
      <w:r w:rsidRPr="00411DE4">
        <w:t>yield</w:t>
      </w:r>
      <w:r w:rsidRPr="000A19C2">
        <w:rPr>
          <w:rFonts w:eastAsia="Calibri" w:cs="Times New Roman"/>
          <w:iCs/>
        </w:rPr>
        <w:t xml:space="preserve"> was the number of new primary cancers detected/total number of scans performed, which can be distinguished from a possible alternative definition of diagnostic yield as the rate of positive findings. Diagnostic yields</w:t>
      </w:r>
      <w:r w:rsidRPr="000A19C2">
        <w:t xml:space="preserve"> were </w:t>
      </w:r>
      <w:r w:rsidRPr="000A19C2">
        <w:rPr>
          <w:rFonts w:eastAsia="Calibri" w:cs="Times New Roman"/>
          <w:iCs/>
        </w:rPr>
        <w:t>calculated separately by trial arm and then the highest value (“6%” as above) was used as the estimate of cancer prevalence (</w:t>
      </w:r>
      <w:proofErr w:type="gramStart"/>
      <w:r w:rsidRPr="000A19C2">
        <w:rPr>
          <w:rFonts w:eastAsia="Calibri" w:cs="Times New Roman"/>
          <w:iCs/>
        </w:rPr>
        <w:t>i.e.</w:t>
      </w:r>
      <w:proofErr w:type="gramEnd"/>
      <w:r w:rsidRPr="000A19C2">
        <w:rPr>
          <w:rFonts w:eastAsia="Calibri" w:cs="Times New Roman"/>
          <w:iCs/>
        </w:rPr>
        <w:t xml:space="preserve"> prior probability of cancer in the defined population) for both arms in the cost effectiveness analysis.</w:t>
      </w:r>
    </w:p>
    <w:p w14:paraId="47D36CBD" w14:textId="0289F9F3" w:rsidR="006C4966" w:rsidRPr="000A19C2" w:rsidRDefault="006C4966" w:rsidP="00411DE4">
      <w:pPr>
        <w:pStyle w:val="ListParagraph"/>
        <w:numPr>
          <w:ilvl w:val="0"/>
          <w:numId w:val="49"/>
        </w:numPr>
        <w:rPr>
          <w:rFonts w:eastAsia="Calibri" w:cs="Times New Roman"/>
          <w:iCs/>
        </w:rPr>
      </w:pPr>
      <w:r w:rsidRPr="000A19C2">
        <w:rPr>
          <w:rFonts w:eastAsia="Calibri" w:cs="Times New Roman"/>
          <w:iCs/>
        </w:rPr>
        <w:t xml:space="preserve">The diagnostic yield data </w:t>
      </w:r>
      <w:r w:rsidRPr="00411DE4">
        <w:t>from</w:t>
      </w:r>
      <w:r w:rsidRPr="000A19C2">
        <w:rPr>
          <w:rFonts w:eastAsia="Calibri" w:cs="Times New Roman"/>
          <w:iCs/>
        </w:rPr>
        <w:t xml:space="preserve"> the study itself w</w:t>
      </w:r>
      <w:r>
        <w:rPr>
          <w:rFonts w:eastAsia="Calibri" w:cs="Times New Roman"/>
          <w:iCs/>
        </w:rPr>
        <w:t>ere</w:t>
      </w:r>
      <w:r w:rsidRPr="000A19C2">
        <w:rPr>
          <w:rFonts w:eastAsia="Calibri" w:cs="Times New Roman"/>
          <w:iCs/>
        </w:rPr>
        <w:t xml:space="preserve"> used to define the prior probability (of cancer prevalence) in the Bayesian approach to the economic analysis because an alternative source, namely Ballinger </w:t>
      </w:r>
      <w:r>
        <w:rPr>
          <w:rFonts w:eastAsia="Calibri" w:cs="Times New Roman"/>
          <w:iCs/>
        </w:rPr>
        <w:t xml:space="preserve">2017 </w:t>
      </w:r>
      <w:r w:rsidRPr="000A19C2">
        <w:rPr>
          <w:rFonts w:eastAsia="Calibri" w:cs="Times New Roman"/>
          <w:iCs/>
        </w:rPr>
        <w:t xml:space="preserve">reported a 7% cancer detection rate; </w:t>
      </w:r>
      <w:proofErr w:type="gramStart"/>
      <w:r w:rsidRPr="000A19C2">
        <w:rPr>
          <w:rFonts w:eastAsia="Calibri" w:cs="Times New Roman"/>
          <w:iCs/>
        </w:rPr>
        <w:t>so</w:t>
      </w:r>
      <w:proofErr w:type="gramEnd"/>
      <w:r w:rsidRPr="000A19C2">
        <w:rPr>
          <w:rFonts w:eastAsia="Calibri" w:cs="Times New Roman"/>
          <w:iCs/>
        </w:rPr>
        <w:t xml:space="preserve"> the base case assumption of 6% is a conservative estimate within the 95% confidence interval.</w:t>
      </w:r>
    </w:p>
    <w:p w14:paraId="14FF7A8F" w14:textId="77777777" w:rsidR="006C4966" w:rsidRDefault="006C4966" w:rsidP="006C4966">
      <w:pPr>
        <w:pStyle w:val="ListParagraph"/>
        <w:numPr>
          <w:ilvl w:val="1"/>
          <w:numId w:val="50"/>
        </w:numPr>
        <w:spacing w:after="240"/>
        <w:rPr>
          <w:rFonts w:eastAsia="Calibri" w:cs="Times New Roman"/>
          <w:iCs/>
        </w:rPr>
      </w:pPr>
      <w:r w:rsidRPr="000A19C2">
        <w:rPr>
          <w:rFonts w:eastAsia="Calibri" w:cs="Times New Roman"/>
          <w:iCs/>
        </w:rPr>
        <w:t xml:space="preserve">ESC noted that the assessment group will update the base case using 7% from Ballinger 2017 for </w:t>
      </w:r>
      <w:r>
        <w:rPr>
          <w:rFonts w:eastAsia="Calibri" w:cs="Times New Roman"/>
          <w:iCs/>
        </w:rPr>
        <w:t xml:space="preserve">methodological </w:t>
      </w:r>
      <w:r w:rsidRPr="000A19C2">
        <w:rPr>
          <w:rFonts w:eastAsia="Calibri" w:cs="Times New Roman"/>
          <w:iCs/>
        </w:rPr>
        <w:t xml:space="preserve">completeness, although it </w:t>
      </w:r>
      <w:r>
        <w:rPr>
          <w:rFonts w:eastAsia="Calibri" w:cs="Times New Roman"/>
          <w:iCs/>
        </w:rPr>
        <w:t>is not expected to</w:t>
      </w:r>
      <w:r w:rsidRPr="000A19C2">
        <w:rPr>
          <w:rFonts w:eastAsia="Calibri" w:cs="Times New Roman"/>
          <w:iCs/>
        </w:rPr>
        <w:t xml:space="preserve"> have any significant financial impact.</w:t>
      </w:r>
      <w:r>
        <w:rPr>
          <w:rFonts w:eastAsia="Calibri" w:cs="Times New Roman"/>
          <w:iCs/>
        </w:rPr>
        <w:t xml:space="preserve"> </w:t>
      </w:r>
    </w:p>
    <w:p w14:paraId="280D8902" w14:textId="77777777" w:rsidR="006C4966" w:rsidRPr="000A19C2" w:rsidRDefault="006C4966" w:rsidP="006C4966">
      <w:pPr>
        <w:pStyle w:val="ListParagraph"/>
        <w:numPr>
          <w:ilvl w:val="1"/>
          <w:numId w:val="50"/>
        </w:numPr>
        <w:spacing w:after="240"/>
        <w:rPr>
          <w:rFonts w:eastAsia="Calibri" w:cs="Times New Roman"/>
          <w:iCs/>
        </w:rPr>
      </w:pPr>
      <w:r>
        <w:rPr>
          <w:rFonts w:eastAsia="Calibri" w:cs="Times New Roman"/>
          <w:iCs/>
        </w:rPr>
        <w:t>Post-ESC it is noted that the assessment group has provided in a separate addendum new ICER estimates based on a 7% cancer detection rate and under three different sets of assumptions on WBMRI sensitivity and specificity.</w:t>
      </w:r>
    </w:p>
    <w:p w14:paraId="2A4DC906" w14:textId="77777777" w:rsidR="006C4966" w:rsidRPr="000A19C2" w:rsidRDefault="006C4966" w:rsidP="00411DE4">
      <w:pPr>
        <w:pStyle w:val="ListParagraph"/>
        <w:numPr>
          <w:ilvl w:val="0"/>
          <w:numId w:val="49"/>
        </w:numPr>
        <w:rPr>
          <w:rFonts w:eastAsia="Calibri" w:cs="Times New Roman"/>
          <w:iCs/>
        </w:rPr>
      </w:pPr>
      <w:r w:rsidRPr="000A19C2">
        <w:rPr>
          <w:rFonts w:eastAsia="Calibri" w:cs="Times New Roman"/>
          <w:iCs/>
        </w:rPr>
        <w:t xml:space="preserve">Because the total </w:t>
      </w:r>
      <w:r w:rsidRPr="00411DE4">
        <w:t>number</w:t>
      </w:r>
      <w:r w:rsidRPr="000A19C2">
        <w:rPr>
          <w:rFonts w:eastAsia="Calibri" w:cs="Times New Roman"/>
          <w:iCs/>
        </w:rPr>
        <w:t xml:space="preserve"> of benign lesions (over the period of the LIFSCREEN trial) was used to estimate sensitivity and specificity, the assessment group considered it appropriate to hold constant the $61 per additional investigation per lesion due to false positive results in all the analyses presented in the DCAR. Moreover the $61 was only 4% of the current cost per investigation of $1561 and therefore the assessment group considered that a sensitivity analysis based on varying this cost component would result in negligible differences in outcomes.</w:t>
      </w:r>
    </w:p>
    <w:p w14:paraId="0525C6F9" w14:textId="77777777" w:rsidR="006C4966" w:rsidRPr="000A19C2" w:rsidRDefault="006C4966" w:rsidP="00411DE4">
      <w:pPr>
        <w:pStyle w:val="ListParagraph"/>
        <w:numPr>
          <w:ilvl w:val="0"/>
          <w:numId w:val="49"/>
        </w:numPr>
        <w:rPr>
          <w:rFonts w:eastAsia="Calibri" w:cs="Times New Roman"/>
          <w:iCs/>
        </w:rPr>
      </w:pPr>
      <w:r w:rsidRPr="000A19C2">
        <w:rPr>
          <w:rFonts w:eastAsia="Calibri" w:cs="Times New Roman"/>
          <w:iCs/>
        </w:rPr>
        <w:t xml:space="preserve">The economic evaluation used data from the total number of screens over the entire period of the trial to reconstruct unreported true negatives and to inform false negative rates, </w:t>
      </w:r>
      <w:proofErr w:type="gramStart"/>
      <w:r w:rsidRPr="000A19C2">
        <w:rPr>
          <w:rFonts w:eastAsia="Calibri" w:cs="Times New Roman"/>
          <w:iCs/>
        </w:rPr>
        <w:t>Based</w:t>
      </w:r>
      <w:proofErr w:type="gramEnd"/>
      <w:r w:rsidRPr="000A19C2">
        <w:rPr>
          <w:rFonts w:eastAsia="Calibri" w:cs="Times New Roman"/>
          <w:iCs/>
        </w:rPr>
        <w:t xml:space="preserve"> on this </w:t>
      </w:r>
      <w:r w:rsidRPr="00411DE4">
        <w:t>approach</w:t>
      </w:r>
      <w:r w:rsidRPr="000A19C2">
        <w:rPr>
          <w:rFonts w:eastAsia="Calibri" w:cs="Times New Roman"/>
          <w:iCs/>
        </w:rPr>
        <w:t>, the assessment group assumed that the sensitivity and specificity estimates were applicable at any point in time (i.e. at annual testings), thus attracting only the annual cost of $1561.</w:t>
      </w:r>
    </w:p>
    <w:p w14:paraId="154EDF21" w14:textId="77777777" w:rsidR="006C4966" w:rsidRPr="000A19C2" w:rsidRDefault="006C4966" w:rsidP="006C4966">
      <w:pPr>
        <w:pStyle w:val="ListParagraph"/>
        <w:numPr>
          <w:ilvl w:val="1"/>
          <w:numId w:val="50"/>
        </w:numPr>
        <w:spacing w:after="240"/>
        <w:rPr>
          <w:rFonts w:eastAsia="Calibri" w:cs="Times New Roman"/>
          <w:iCs/>
        </w:rPr>
      </w:pPr>
      <w:r w:rsidRPr="000A19C2">
        <w:rPr>
          <w:rFonts w:eastAsia="Calibri" w:cs="Times New Roman"/>
          <w:iCs/>
        </w:rPr>
        <w:t xml:space="preserve">ESC noted that the assessment group will amend Table 61 </w:t>
      </w:r>
      <w:r>
        <w:rPr>
          <w:rFonts w:eastAsia="Calibri" w:cs="Times New Roman"/>
          <w:iCs/>
        </w:rPr>
        <w:t xml:space="preserve">of the DCAR </w:t>
      </w:r>
      <w:r w:rsidRPr="000A19C2">
        <w:rPr>
          <w:rFonts w:eastAsia="Calibri" w:cs="Times New Roman"/>
          <w:iCs/>
        </w:rPr>
        <w:t xml:space="preserve">to reflect the fact that although the median follow-up was 3.2 years in both arms of LIFSCREEN, the data have been applied in the economic evaluation as if collected over a </w:t>
      </w:r>
      <w:proofErr w:type="gramStart"/>
      <w:r w:rsidRPr="000A19C2">
        <w:rPr>
          <w:rFonts w:eastAsia="Calibri" w:cs="Times New Roman"/>
          <w:iCs/>
        </w:rPr>
        <w:t>one year</w:t>
      </w:r>
      <w:proofErr w:type="gramEnd"/>
      <w:r w:rsidRPr="000A19C2">
        <w:rPr>
          <w:rFonts w:eastAsia="Calibri" w:cs="Times New Roman"/>
          <w:iCs/>
        </w:rPr>
        <w:t xml:space="preserve"> period. This also means that discount rates are not applicable in the economic evaluation.</w:t>
      </w:r>
    </w:p>
    <w:p w14:paraId="0DD2AFF6" w14:textId="3507AD23" w:rsidR="006C4966" w:rsidRPr="000A19C2" w:rsidRDefault="006C4966" w:rsidP="00411DE4">
      <w:pPr>
        <w:pStyle w:val="ListParagraph"/>
        <w:numPr>
          <w:ilvl w:val="0"/>
          <w:numId w:val="49"/>
        </w:numPr>
        <w:rPr>
          <w:rFonts w:eastAsia="Calibri" w:cs="Times New Roman"/>
          <w:iCs/>
        </w:rPr>
      </w:pPr>
      <w:r w:rsidRPr="000A19C2">
        <w:rPr>
          <w:rFonts w:eastAsia="Calibri" w:cs="Times New Roman"/>
          <w:iCs/>
        </w:rPr>
        <w:t xml:space="preserve">The outcomes used in </w:t>
      </w:r>
      <w:r w:rsidRPr="00411DE4">
        <w:t>column</w:t>
      </w:r>
      <w:r w:rsidRPr="000A19C2">
        <w:rPr>
          <w:rFonts w:eastAsia="Calibri" w:cs="Times New Roman"/>
          <w:iCs/>
        </w:rPr>
        <w:t xml:space="preserve"> 4 of Tables 63–65 of the DCAR (the positive NPCs correctly identified) are not conventional intermediate outcomes but are conditional probabilities.</w:t>
      </w:r>
    </w:p>
    <w:p w14:paraId="66B521F8" w14:textId="77777777" w:rsidR="006C4966" w:rsidRPr="000A19C2" w:rsidRDefault="006C4966" w:rsidP="006C4966">
      <w:pPr>
        <w:pStyle w:val="ListParagraph"/>
        <w:numPr>
          <w:ilvl w:val="1"/>
          <w:numId w:val="50"/>
        </w:numPr>
        <w:spacing w:after="240"/>
        <w:rPr>
          <w:rFonts w:eastAsia="Calibri" w:cs="Times New Roman"/>
          <w:iCs/>
        </w:rPr>
      </w:pPr>
      <w:r w:rsidRPr="000A19C2">
        <w:rPr>
          <w:rFonts w:eastAsia="Calibri" w:cs="Times New Roman"/>
          <w:iCs/>
        </w:rPr>
        <w:t>ESC noted that the DCAR should revised to make this clearer.</w:t>
      </w:r>
    </w:p>
    <w:p w14:paraId="4DE50A60" w14:textId="77777777" w:rsidR="006C4966" w:rsidRPr="003523B6" w:rsidRDefault="006C4966" w:rsidP="006C4966">
      <w:pPr>
        <w:spacing w:after="240"/>
        <w:rPr>
          <w:rFonts w:eastAsia="Calibri" w:cs="Times New Roman"/>
          <w:iCs/>
        </w:rPr>
      </w:pPr>
      <w:r w:rsidRPr="00CF7462">
        <w:rPr>
          <w:rFonts w:eastAsia="Calibri" w:cs="Times New Roman"/>
        </w:rPr>
        <w:t xml:space="preserve">While ESC accepted the approach in the DCAR of reporting ICERs on a per scan basis, it was acknowledged that there may be diminishing marginal value </w:t>
      </w:r>
      <w:r w:rsidRPr="00CF7462">
        <w:rPr>
          <w:rFonts w:eastAsia="Calibri" w:cs="Times New Roman"/>
          <w:i/>
          <w:iCs/>
        </w:rPr>
        <w:t>per patient</w:t>
      </w:r>
      <w:r w:rsidRPr="00CF7462">
        <w:rPr>
          <w:rFonts w:eastAsia="Calibri" w:cs="Times New Roman"/>
        </w:rPr>
        <w:t xml:space="preserve"> scanned over time if new cancers tend to emerge in earlier years of scanning. Additional evidence regarding the natural history of new primary cancers emerging over time in the defined population would be needed to address this possibility (the key studies in the DCAR are not sufficiently powered to provide year by year estimates of cancer detection rates). However, this would be difficult to measure in practice as (</w:t>
      </w:r>
      <w:proofErr w:type="spellStart"/>
      <w:r w:rsidRPr="00CF7462">
        <w:rPr>
          <w:rFonts w:eastAsia="Calibri" w:cs="Times New Roman"/>
        </w:rPr>
        <w:t>i</w:t>
      </w:r>
      <w:proofErr w:type="spellEnd"/>
      <w:r w:rsidRPr="00CF7462">
        <w:rPr>
          <w:rFonts w:eastAsia="Calibri" w:cs="Times New Roman"/>
        </w:rPr>
        <w:t xml:space="preserve">) </w:t>
      </w:r>
      <w:r w:rsidRPr="00CF7462">
        <w:rPr>
          <w:rFonts w:eastAsia="Calibri" w:cs="Times New Roman"/>
          <w:i/>
          <w:iCs/>
        </w:rPr>
        <w:t>TP53</w:t>
      </w:r>
      <w:r w:rsidRPr="00CF7462">
        <w:rPr>
          <w:rFonts w:eastAsia="Calibri" w:cs="Times New Roman"/>
        </w:rPr>
        <w:t xml:space="preserve">-positive individuals would be entering and leaving the </w:t>
      </w:r>
      <w:proofErr w:type="spellStart"/>
      <w:r w:rsidRPr="00CF7462">
        <w:rPr>
          <w:rFonts w:eastAsia="Calibri" w:cs="Times New Roman"/>
        </w:rPr>
        <w:t>surveilled</w:t>
      </w:r>
      <w:proofErr w:type="spellEnd"/>
      <w:r w:rsidRPr="00CF7462">
        <w:rPr>
          <w:rFonts w:eastAsia="Calibri" w:cs="Times New Roman"/>
        </w:rPr>
        <w:t xml:space="preserve"> cohort each </w:t>
      </w:r>
      <w:r w:rsidRPr="00CF7462">
        <w:rPr>
          <w:rFonts w:eastAsia="Calibri" w:cs="Times New Roman"/>
        </w:rPr>
        <w:lastRenderedPageBreak/>
        <w:t xml:space="preserve">year, and (ii) the emergence of </w:t>
      </w:r>
      <w:r w:rsidRPr="00CF7462">
        <w:rPr>
          <w:rFonts w:eastAsia="Calibri" w:cs="Times New Roman"/>
          <w:i/>
          <w:iCs/>
        </w:rPr>
        <w:t>TP53</w:t>
      </w:r>
      <w:r w:rsidRPr="00CF7462">
        <w:rPr>
          <w:rFonts w:eastAsia="Calibri" w:cs="Times New Roman"/>
        </w:rPr>
        <w:t>-associated cancers is age-dependent and differs by cancer type</w:t>
      </w:r>
      <w:r w:rsidRPr="00101A58">
        <w:rPr>
          <w:rFonts w:eastAsia="Calibri" w:cs="Times New Roman"/>
          <w:iCs/>
        </w:rPr>
        <w:t>.</w:t>
      </w:r>
    </w:p>
    <w:p w14:paraId="66CBD233" w14:textId="54270085" w:rsidR="006C4966" w:rsidRPr="009A4697" w:rsidRDefault="006C4966" w:rsidP="006C4966">
      <w:pPr>
        <w:spacing w:after="240"/>
        <w:rPr>
          <w:rFonts w:eastAsia="Calibri" w:cs="Times New Roman"/>
          <w:iCs/>
        </w:rPr>
      </w:pPr>
      <w:r w:rsidRPr="009A4697">
        <w:rPr>
          <w:rFonts w:eastAsia="Calibri" w:cs="Times New Roman"/>
          <w:iCs/>
        </w:rPr>
        <w:t>ESC noted that, in the pre-ESC response, the applica</w:t>
      </w:r>
      <w:r>
        <w:rPr>
          <w:rFonts w:eastAsia="Calibri" w:cs="Times New Roman"/>
          <w:iCs/>
        </w:rPr>
        <w:t>nt</w:t>
      </w:r>
      <w:r w:rsidRPr="009A4697">
        <w:rPr>
          <w:rFonts w:eastAsia="Calibri" w:cs="Times New Roman"/>
          <w:iCs/>
        </w:rPr>
        <w:t xml:space="preserve"> re-iterated issues with the LIFSCREEN dataset and unreliability of survival outcomes. The</w:t>
      </w:r>
      <w:r>
        <w:rPr>
          <w:rFonts w:eastAsia="Calibri" w:cs="Times New Roman"/>
          <w:iCs/>
        </w:rPr>
        <w:t xml:space="preserve"> applicant</w:t>
      </w:r>
      <w:r w:rsidRPr="009A4697">
        <w:rPr>
          <w:rFonts w:eastAsia="Calibri" w:cs="Times New Roman"/>
          <w:iCs/>
        </w:rPr>
        <w:t xml:space="preserve"> also provided analysis of the ANZ Sarcoma Alliance ACCORD dataset to support the argument of value of WBMRI in downstaging of LFS cancers</w:t>
      </w:r>
      <w:r>
        <w:rPr>
          <w:rFonts w:eastAsia="Calibri" w:cs="Times New Roman"/>
          <w:iCs/>
        </w:rPr>
        <w:t>. The assessment group was unable to verify this new data at the time of the ESC meeting</w:t>
      </w:r>
      <w:r w:rsidRPr="009A4697">
        <w:rPr>
          <w:rFonts w:eastAsia="Calibri" w:cs="Times New Roman"/>
          <w:iCs/>
        </w:rPr>
        <w:t>.</w:t>
      </w:r>
    </w:p>
    <w:p w14:paraId="344BD9C0" w14:textId="77777777" w:rsidR="006C4966" w:rsidRPr="009A4697" w:rsidRDefault="006C4966" w:rsidP="006C4966">
      <w:pPr>
        <w:spacing w:after="240"/>
        <w:rPr>
          <w:rFonts w:eastAsia="Calibri" w:cs="Times New Roman"/>
          <w:iCs/>
        </w:rPr>
      </w:pPr>
      <w:r w:rsidRPr="009A4697">
        <w:rPr>
          <w:rFonts w:eastAsia="Calibri" w:cs="Times New Roman"/>
          <w:iCs/>
        </w:rPr>
        <w:t xml:space="preserve">ESC noted the financial impact </w:t>
      </w:r>
      <w:r>
        <w:rPr>
          <w:rFonts w:eastAsia="Calibri" w:cs="Times New Roman"/>
          <w:iCs/>
        </w:rPr>
        <w:t xml:space="preserve">presented in the DCAR </w:t>
      </w:r>
      <w:r w:rsidRPr="009A4697">
        <w:rPr>
          <w:rFonts w:eastAsia="Calibri" w:cs="Times New Roman"/>
          <w:iCs/>
        </w:rPr>
        <w:t>was $1,059,731 by Year 6, but that this is based on prevalence of 1 in 20,000. If a prevalence of 1 in 5,000 is used, then the financial impact would be closer to $3,000,000 by Year 6.</w:t>
      </w:r>
      <w:r>
        <w:rPr>
          <w:rFonts w:eastAsia="Calibri" w:cs="Times New Roman"/>
          <w:iCs/>
        </w:rPr>
        <w:t xml:space="preserve"> ESC considered that sensitivity analyses of the financial impact with alternative lower MBS fees (especially for children) would be informative.</w:t>
      </w:r>
    </w:p>
    <w:p w14:paraId="5CED71D1" w14:textId="774BE11A" w:rsidR="006C4966" w:rsidRPr="000A19C2" w:rsidRDefault="006C4966" w:rsidP="006C4966">
      <w:pPr>
        <w:spacing w:after="240"/>
        <w:rPr>
          <w:rFonts w:eastAsia="Calibri" w:cs="Times New Roman"/>
        </w:rPr>
      </w:pPr>
      <w:r w:rsidRPr="000A19C2">
        <w:rPr>
          <w:rFonts w:eastAsia="Calibri" w:cs="Times New Roman"/>
        </w:rPr>
        <w:t xml:space="preserve">ESC noted that the addition of WBMRI screening to standard screening regimes will require coordination and planning to integrate with physical examination, breast screening, ultrasound imaging, </w:t>
      </w:r>
      <w:proofErr w:type="gramStart"/>
      <w:r w:rsidRPr="000A19C2">
        <w:rPr>
          <w:rFonts w:eastAsia="Calibri" w:cs="Times New Roman"/>
        </w:rPr>
        <w:t>colonoscopies</w:t>
      </w:r>
      <w:proofErr w:type="gramEnd"/>
      <w:r w:rsidRPr="000A19C2">
        <w:rPr>
          <w:rFonts w:eastAsia="Calibri" w:cs="Times New Roman"/>
        </w:rPr>
        <w:t xml:space="preserve"> and gastroscopies.</w:t>
      </w:r>
    </w:p>
    <w:p w14:paraId="1558D636" w14:textId="77777777" w:rsidR="00262C24" w:rsidRDefault="00262C24" w:rsidP="00262C24">
      <w:pPr>
        <w:pStyle w:val="Heading2"/>
        <w:numPr>
          <w:ilvl w:val="0"/>
          <w:numId w:val="0"/>
        </w:numPr>
        <w:ind w:left="720" w:hanging="862"/>
      </w:pPr>
      <w:r>
        <w:t>17.</w:t>
      </w:r>
      <w:r>
        <w:tab/>
        <w:t>Applicant comments on MSAC’s Public Summary Document</w:t>
      </w:r>
    </w:p>
    <w:p w14:paraId="0C1E98E8" w14:textId="2F2F35BF" w:rsidR="00262C24" w:rsidRPr="00E726C4" w:rsidRDefault="00E726C4" w:rsidP="00262C24">
      <w:r w:rsidRPr="00E726C4">
        <w:t>The applicant (</w:t>
      </w:r>
      <w:proofErr w:type="spellStart"/>
      <w:r w:rsidRPr="00E726C4">
        <w:t>Omico</w:t>
      </w:r>
      <w:proofErr w:type="spellEnd"/>
      <w:r w:rsidRPr="00E726C4">
        <w:t xml:space="preserve">) </w:t>
      </w:r>
      <w:proofErr w:type="gramStart"/>
      <w:r w:rsidRPr="00E726C4">
        <w:t>welcome</w:t>
      </w:r>
      <w:proofErr w:type="gramEnd"/>
      <w:r w:rsidRPr="00E726C4">
        <w:t xml:space="preserve"> the opportunity to work with the Department in monitoring WBMRI usage and outcomes.</w:t>
      </w:r>
    </w:p>
    <w:p w14:paraId="0CDCB41B" w14:textId="77777777" w:rsidR="00262C24" w:rsidRDefault="00262C24" w:rsidP="00262C24">
      <w:pPr>
        <w:pStyle w:val="Heading2"/>
        <w:numPr>
          <w:ilvl w:val="0"/>
          <w:numId w:val="0"/>
        </w:numPr>
        <w:ind w:left="720" w:hanging="862"/>
      </w:pPr>
      <w:r>
        <w:t>18.</w:t>
      </w:r>
      <w:r>
        <w:tab/>
        <w:t>Further information on MSAC</w:t>
      </w:r>
    </w:p>
    <w:p w14:paraId="71A36BB4" w14:textId="14EC82E1" w:rsidR="006C4966" w:rsidRPr="00262C24" w:rsidRDefault="00262C24" w:rsidP="00262C24">
      <w:pPr>
        <w:pStyle w:val="BodyText"/>
        <w:rPr>
          <w:rFonts w:ascii="Franklin Gothic Book" w:hAnsi="Franklin Gothic Book"/>
        </w:rPr>
      </w:pPr>
      <w:r>
        <w:rPr>
          <w:rFonts w:ascii="Franklin Gothic Book" w:hAnsi="Franklin Gothic Book"/>
        </w:rPr>
        <w:t xml:space="preserve">MSAC Terms of Reference and other information are available on the MSAC Website: </w:t>
      </w:r>
      <w:hyperlink r:id="rId10" w:tooltip="Link to the MSAC website" w:history="1">
        <w:r>
          <w:rPr>
            <w:rStyle w:val="Hyperlink"/>
            <w:rFonts w:ascii="Franklin Gothic Book" w:hAnsi="Franklin Gothic Book"/>
          </w:rPr>
          <w:t>visit the MSAC website</w:t>
        </w:r>
      </w:hyperlink>
    </w:p>
    <w:sectPr w:rsidR="006C4966" w:rsidRPr="00262C24" w:rsidSect="00DC05AB">
      <w:footerReference w:type="even" r:id="rId11"/>
      <w:footerReference w:type="default" r:id="rId12"/>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B6E0C" w14:textId="77777777" w:rsidR="001F4F16" w:rsidRDefault="001F4F16" w:rsidP="00B62DF2">
      <w:pPr>
        <w:spacing w:after="0" w:line="240" w:lineRule="auto"/>
      </w:pPr>
      <w:r>
        <w:separator/>
      </w:r>
    </w:p>
  </w:endnote>
  <w:endnote w:type="continuationSeparator" w:id="0">
    <w:p w14:paraId="74A9EC49" w14:textId="77777777" w:rsidR="001F4F16" w:rsidRDefault="001F4F16" w:rsidP="00B62DF2">
      <w:pPr>
        <w:spacing w:after="0" w:line="240" w:lineRule="auto"/>
      </w:pPr>
      <w:r>
        <w:continuationSeparator/>
      </w:r>
    </w:p>
  </w:endnote>
  <w:endnote w:type="continuationNotice" w:id="1">
    <w:p w14:paraId="1D7DB0DC" w14:textId="77777777" w:rsidR="001F4F16" w:rsidRDefault="001F4F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460831"/>
      <w:docPartObj>
        <w:docPartGallery w:val="Page Numbers (Bottom of Page)"/>
        <w:docPartUnique/>
      </w:docPartObj>
    </w:sdtPr>
    <w:sdtEndPr>
      <w:rPr>
        <w:noProof/>
      </w:rPr>
    </w:sdtEndPr>
    <w:sdtContent>
      <w:p w14:paraId="6E76D499" w14:textId="47AFBDD6" w:rsidR="001F4F16" w:rsidRDefault="001F4F16" w:rsidP="00DC05AB">
        <w:pPr>
          <w:pStyle w:val="Footer"/>
          <w:ind w:left="4513" w:firstLine="4513"/>
        </w:pPr>
        <w:r>
          <w:fldChar w:fldCharType="begin"/>
        </w:r>
        <w:r>
          <w:instrText xml:space="preserve"> PAGE   \* MERGEFORMAT </w:instrText>
        </w:r>
        <w:r>
          <w:fldChar w:fldCharType="separate"/>
        </w:r>
        <w:r>
          <w:rPr>
            <w:noProof/>
          </w:rPr>
          <w:t>72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4596300D" w:rsidR="001F4F16" w:rsidRDefault="001F4F16" w:rsidP="00052DD3">
        <w:pPr>
          <w:pStyle w:val="Footer"/>
          <w:jc w:val="right"/>
        </w:pPr>
        <w:r>
          <w:fldChar w:fldCharType="begin"/>
        </w:r>
        <w:r>
          <w:instrText xml:space="preserve"> PAGE   \* MERGEFORMAT </w:instrText>
        </w:r>
        <w:r>
          <w:fldChar w:fldCharType="separate"/>
        </w:r>
        <w:r>
          <w:rPr>
            <w:noProof/>
          </w:rPr>
          <w:t>73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898C0" w14:textId="77777777" w:rsidR="001F4F16" w:rsidRDefault="001F4F16" w:rsidP="00B62DF2">
      <w:pPr>
        <w:spacing w:after="0" w:line="240" w:lineRule="auto"/>
      </w:pPr>
      <w:r>
        <w:separator/>
      </w:r>
    </w:p>
  </w:footnote>
  <w:footnote w:type="continuationSeparator" w:id="0">
    <w:p w14:paraId="5AD9DE74" w14:textId="77777777" w:rsidR="001F4F16" w:rsidRDefault="001F4F16" w:rsidP="00B62DF2">
      <w:pPr>
        <w:spacing w:after="0" w:line="240" w:lineRule="auto"/>
      </w:pPr>
      <w:r>
        <w:continuationSeparator/>
      </w:r>
    </w:p>
  </w:footnote>
  <w:footnote w:type="continuationNotice" w:id="1">
    <w:p w14:paraId="413E8A5C" w14:textId="77777777" w:rsidR="001F4F16" w:rsidRDefault="001F4F16">
      <w:pPr>
        <w:spacing w:before="0" w:after="0" w:line="240" w:lineRule="auto"/>
      </w:pPr>
    </w:p>
  </w:footnote>
  <w:footnote w:id="2">
    <w:p w14:paraId="412CFAD6" w14:textId="77777777" w:rsidR="001F4F16" w:rsidRDefault="001F4F16" w:rsidP="00A01794">
      <w:pPr>
        <w:pStyle w:val="FootnoteText"/>
      </w:pPr>
      <w:r>
        <w:rPr>
          <w:rStyle w:val="FootnoteReference"/>
        </w:rPr>
        <w:footnoteRef/>
      </w:r>
      <w:r>
        <w:t xml:space="preserve"> </w:t>
      </w:r>
      <w:proofErr w:type="spellStart"/>
      <w:r w:rsidRPr="006D5155">
        <w:t>Petralia</w:t>
      </w:r>
      <w:proofErr w:type="spellEnd"/>
      <w:r w:rsidRPr="006D5155">
        <w:t xml:space="preserve"> G, et al. (2021). 'Whole-body magnetic resonance imaging (WB-MRI) for cancer screening: recommendations for use', </w:t>
      </w:r>
      <w:r w:rsidRPr="004C1651">
        <w:rPr>
          <w:i/>
          <w:iCs/>
        </w:rPr>
        <w:t xml:space="preserve">La </w:t>
      </w:r>
      <w:proofErr w:type="spellStart"/>
      <w:r w:rsidRPr="004C1651">
        <w:rPr>
          <w:i/>
          <w:iCs/>
        </w:rPr>
        <w:t>Radiologia</w:t>
      </w:r>
      <w:proofErr w:type="spellEnd"/>
      <w:r w:rsidRPr="004C1651">
        <w:rPr>
          <w:i/>
          <w:iCs/>
        </w:rPr>
        <w:t xml:space="preserve"> Medica</w:t>
      </w:r>
      <w:r w:rsidRPr="006D5155">
        <w:t xml:space="preserve">, </w:t>
      </w:r>
      <w:r w:rsidRPr="004C1651">
        <w:rPr>
          <w:b/>
          <w:bCs/>
        </w:rPr>
        <w:t>126</w:t>
      </w:r>
      <w:r w:rsidRPr="006D5155">
        <w:t>(11):1434-1450</w:t>
      </w:r>
    </w:p>
  </w:footnote>
  <w:footnote w:id="3">
    <w:p w14:paraId="52E380FF" w14:textId="77777777" w:rsidR="001F4F16" w:rsidRDefault="001F4F16" w:rsidP="00A01794">
      <w:pPr>
        <w:pStyle w:val="FootnoteText"/>
      </w:pPr>
      <w:r>
        <w:rPr>
          <w:rStyle w:val="FootnoteReference"/>
        </w:rPr>
        <w:footnoteRef/>
      </w:r>
      <w:r>
        <w:t xml:space="preserve"> </w:t>
      </w:r>
      <w:r w:rsidRPr="006D5155">
        <w:t xml:space="preserve">Guo BJ, et al (2018). 'Gadolinium Deposition in Brain: Current Scientific Evidence and Future Perspectives', </w:t>
      </w:r>
      <w:r w:rsidRPr="004C1651">
        <w:rPr>
          <w:i/>
          <w:iCs/>
        </w:rPr>
        <w:t>Front Mol Neurosci.</w:t>
      </w:r>
      <w:r w:rsidRPr="004C1651">
        <w:rPr>
          <w:b/>
          <w:bCs/>
        </w:rPr>
        <w:t>11</w:t>
      </w:r>
      <w:r w:rsidRPr="006D5155">
        <w:t>:335</w:t>
      </w:r>
      <w:r>
        <w:t>.</w:t>
      </w:r>
    </w:p>
  </w:footnote>
  <w:footnote w:id="4">
    <w:p w14:paraId="456451D7" w14:textId="77777777" w:rsidR="001F4F16" w:rsidRDefault="001F4F16" w:rsidP="00A01794">
      <w:pPr>
        <w:pStyle w:val="FootnoteText"/>
      </w:pPr>
      <w:r>
        <w:rPr>
          <w:rStyle w:val="FootnoteReference"/>
        </w:rPr>
        <w:footnoteRef/>
      </w:r>
      <w:r>
        <w:t xml:space="preserve"> </w:t>
      </w:r>
      <w:proofErr w:type="spellStart"/>
      <w:r w:rsidRPr="00327B86">
        <w:t>Schieda</w:t>
      </w:r>
      <w:proofErr w:type="spellEnd"/>
      <w:r w:rsidRPr="00327B86">
        <w:t xml:space="preserve"> N, et al. (2018). 'Gadolinium-Based Contrast Agents in Kidney Disease: Comprehensive Review and Clinical Practice Guideline Issued by the Canadian Association of Radiologists', </w:t>
      </w:r>
      <w:r w:rsidRPr="004C1651">
        <w:rPr>
          <w:i/>
          <w:iCs/>
        </w:rPr>
        <w:t xml:space="preserve">Can Assoc </w:t>
      </w:r>
      <w:proofErr w:type="spellStart"/>
      <w:r w:rsidRPr="004C1651">
        <w:rPr>
          <w:i/>
          <w:iCs/>
        </w:rPr>
        <w:t>Radiol</w:t>
      </w:r>
      <w:proofErr w:type="spellEnd"/>
      <w:r w:rsidRPr="00327B86">
        <w:t xml:space="preserve"> J. </w:t>
      </w:r>
      <w:r w:rsidRPr="004C1651">
        <w:rPr>
          <w:b/>
          <w:bCs/>
        </w:rPr>
        <w:t>69</w:t>
      </w:r>
      <w:r w:rsidRPr="00327B86">
        <w:t>(2):136-150</w:t>
      </w:r>
    </w:p>
  </w:footnote>
  <w:footnote w:id="5">
    <w:p w14:paraId="78DB2AE9" w14:textId="77777777" w:rsidR="001F4F16" w:rsidRDefault="001F4F16" w:rsidP="00E137FA">
      <w:pPr>
        <w:pStyle w:val="FootnoteText"/>
      </w:pPr>
      <w:r>
        <w:rPr>
          <w:rStyle w:val="FootnoteReference"/>
        </w:rPr>
        <w:footnoteRef/>
      </w:r>
      <w:r>
        <w:t xml:space="preserve"> </w:t>
      </w:r>
      <w:r w:rsidRPr="00327B86">
        <w:t xml:space="preserve">Caron O, et al. (2017). 'Lung Adenocarcinoma as Part of the Li-Fraumeni Syndrome Spectrum: Preliminary Data of the LIFSCREEN Randomized Clinical Trial', </w:t>
      </w:r>
      <w:r w:rsidRPr="004C1651">
        <w:rPr>
          <w:i/>
          <w:iCs/>
        </w:rPr>
        <w:t>JAMA Oncology</w:t>
      </w:r>
      <w:r w:rsidRPr="00327B86">
        <w:t xml:space="preserve">, </w:t>
      </w:r>
      <w:r w:rsidRPr="004C1651">
        <w:rPr>
          <w:b/>
          <w:bCs/>
        </w:rPr>
        <w:t>3</w:t>
      </w:r>
      <w:r w:rsidRPr="00327B86">
        <w:t>(12):1736-1737</w:t>
      </w:r>
    </w:p>
  </w:footnote>
  <w:footnote w:id="6">
    <w:p w14:paraId="0B0A244F" w14:textId="77777777" w:rsidR="001F4F16" w:rsidRDefault="001F4F16" w:rsidP="00E137FA">
      <w:pPr>
        <w:pStyle w:val="FootnoteText"/>
      </w:pPr>
      <w:r>
        <w:rPr>
          <w:rStyle w:val="FootnoteReference"/>
        </w:rPr>
        <w:footnoteRef/>
      </w:r>
      <w:r>
        <w:t xml:space="preserve"> </w:t>
      </w:r>
      <w:r w:rsidRPr="003A31FF">
        <w:t xml:space="preserve">Villani A, et al. (2011). 'Biochemical and imaging surveillance in germline TP53 mutation carriers with Li-Fraumeni syndrome: a prospective observational study', </w:t>
      </w:r>
      <w:r w:rsidRPr="004C1651">
        <w:rPr>
          <w:i/>
          <w:iCs/>
        </w:rPr>
        <w:t>The Lancet Oncology</w:t>
      </w:r>
      <w:r w:rsidRPr="003A31FF">
        <w:t xml:space="preserve">, </w:t>
      </w:r>
      <w:r w:rsidRPr="004C1651">
        <w:rPr>
          <w:b/>
          <w:bCs/>
        </w:rPr>
        <w:t>12</w:t>
      </w:r>
      <w:r w:rsidRPr="003A31FF">
        <w:t>(6):559-567</w:t>
      </w:r>
    </w:p>
  </w:footnote>
  <w:footnote w:id="7">
    <w:p w14:paraId="1F1FA153" w14:textId="77777777" w:rsidR="001F4F16" w:rsidRDefault="001F4F16" w:rsidP="00E137FA">
      <w:pPr>
        <w:pStyle w:val="FootnoteText"/>
      </w:pPr>
      <w:r>
        <w:rPr>
          <w:rStyle w:val="FootnoteReference"/>
        </w:rPr>
        <w:footnoteRef/>
      </w:r>
      <w:r>
        <w:t xml:space="preserve"> </w:t>
      </w:r>
      <w:r w:rsidRPr="00327B86">
        <w:t xml:space="preserve">Villani A, et al. (2016). 'Biochemical and imaging surveillance in germline TP53 mutation carriers with Li-Fraumeni syndrome: </w:t>
      </w:r>
      <w:proofErr w:type="gramStart"/>
      <w:r w:rsidRPr="00327B86">
        <w:t>11 year</w:t>
      </w:r>
      <w:proofErr w:type="gramEnd"/>
      <w:r w:rsidRPr="00327B86">
        <w:t xml:space="preserve"> follow-up of a prospective observational study', </w:t>
      </w:r>
      <w:r w:rsidRPr="004C1651">
        <w:rPr>
          <w:i/>
          <w:iCs/>
        </w:rPr>
        <w:t>The Lancet Oncology</w:t>
      </w:r>
      <w:r w:rsidRPr="00327B86">
        <w:t xml:space="preserve">, </w:t>
      </w:r>
      <w:r w:rsidRPr="004C1651">
        <w:rPr>
          <w:b/>
          <w:bCs/>
        </w:rPr>
        <w:t>17</w:t>
      </w:r>
      <w:r w:rsidRPr="00327B86">
        <w:t>(9):1295-1305</w:t>
      </w:r>
    </w:p>
  </w:footnote>
  <w:footnote w:id="8">
    <w:p w14:paraId="1B7CB097" w14:textId="77777777" w:rsidR="001F4F16" w:rsidRDefault="001F4F16" w:rsidP="00E137FA">
      <w:pPr>
        <w:pStyle w:val="FootnoteText"/>
      </w:pPr>
      <w:r>
        <w:rPr>
          <w:rStyle w:val="FootnoteReference"/>
        </w:rPr>
        <w:footnoteRef/>
      </w:r>
      <w:r>
        <w:t xml:space="preserve"> </w:t>
      </w:r>
      <w:r w:rsidRPr="00B96F6D">
        <w:t xml:space="preserve">Thomas D </w:t>
      </w:r>
      <w:r>
        <w:t xml:space="preserve">and </w:t>
      </w:r>
      <w:r w:rsidRPr="00B96F6D">
        <w:t xml:space="preserve">Ballinger M. (unpublished). ‘Unpublished data from the Australian SMOC+ whole-body MRI surveillance study in TP53 germline variant </w:t>
      </w:r>
      <w:proofErr w:type="gramStart"/>
      <w:r w:rsidRPr="00B96F6D">
        <w:t>carriers’</w:t>
      </w:r>
      <w:proofErr w:type="gramEnd"/>
      <w:r w:rsidRPr="00B96F6D">
        <w:t>. Provided March 2022</w:t>
      </w:r>
      <w:r>
        <w:t xml:space="preserve">. </w:t>
      </w:r>
    </w:p>
  </w:footnote>
  <w:footnote w:id="9">
    <w:p w14:paraId="198F569E" w14:textId="77777777" w:rsidR="001F4F16" w:rsidRDefault="001F4F16" w:rsidP="00E137FA">
      <w:pPr>
        <w:pStyle w:val="FootnoteText"/>
      </w:pPr>
      <w:r>
        <w:rPr>
          <w:rStyle w:val="FootnoteReference"/>
        </w:rPr>
        <w:footnoteRef/>
      </w:r>
      <w:r>
        <w:t xml:space="preserve"> </w:t>
      </w:r>
      <w:proofErr w:type="spellStart"/>
      <w:r w:rsidRPr="00327B86">
        <w:t>Paixão</w:t>
      </w:r>
      <w:proofErr w:type="spellEnd"/>
      <w:r w:rsidRPr="00327B86">
        <w:t xml:space="preserve"> D, et al. (2018). 'Whole-body magnetic resonance imaging of Li-Fraumeni syndrome patients: observations from a two rounds screening of Brazilian patients', </w:t>
      </w:r>
      <w:r w:rsidRPr="004C1651">
        <w:rPr>
          <w:i/>
          <w:iCs/>
        </w:rPr>
        <w:t>Cancer Imaging: the official publication of the International Cancer Imaging Society</w:t>
      </w:r>
      <w:r w:rsidRPr="00327B86">
        <w:t xml:space="preserve">, </w:t>
      </w:r>
      <w:r w:rsidRPr="004C1651">
        <w:rPr>
          <w:b/>
          <w:bCs/>
        </w:rPr>
        <w:t>18</w:t>
      </w:r>
      <w:r w:rsidRPr="00327B86">
        <w:t>(1):27</w:t>
      </w:r>
      <w:r>
        <w:t>.</w:t>
      </w:r>
    </w:p>
  </w:footnote>
  <w:footnote w:id="10">
    <w:p w14:paraId="2AFAA2FF" w14:textId="77777777" w:rsidR="001F4F16" w:rsidRDefault="001F4F16" w:rsidP="00E137FA">
      <w:pPr>
        <w:pStyle w:val="FootnoteText"/>
      </w:pPr>
      <w:r>
        <w:rPr>
          <w:rStyle w:val="FootnoteReference"/>
        </w:rPr>
        <w:footnoteRef/>
      </w:r>
      <w:r>
        <w:t xml:space="preserve"> </w:t>
      </w:r>
      <w:r w:rsidRPr="00327B86">
        <w:t xml:space="preserve">O'Neill AF, et al. (2018). 'Screening with whole-body magnetic resonance imaging in </w:t>
      </w:r>
      <w:proofErr w:type="spellStart"/>
      <w:r w:rsidRPr="00327B86">
        <w:t>pediatric</w:t>
      </w:r>
      <w:proofErr w:type="spellEnd"/>
      <w:r w:rsidRPr="00327B86">
        <w:t xml:space="preserve"> subjects with Li–Fraumeni syndrome: A single institution pilot study', </w:t>
      </w:r>
      <w:proofErr w:type="spellStart"/>
      <w:r w:rsidRPr="004C1651">
        <w:rPr>
          <w:i/>
          <w:iCs/>
        </w:rPr>
        <w:t>Pediatric</w:t>
      </w:r>
      <w:proofErr w:type="spellEnd"/>
      <w:r w:rsidRPr="004C1651">
        <w:rPr>
          <w:i/>
          <w:iCs/>
        </w:rPr>
        <w:t xml:space="preserve"> Blood and Cancer</w:t>
      </w:r>
      <w:r w:rsidRPr="00327B86">
        <w:t xml:space="preserve">, </w:t>
      </w:r>
      <w:r w:rsidRPr="004C1651">
        <w:rPr>
          <w:b/>
          <w:bCs/>
        </w:rPr>
        <w:t>65</w:t>
      </w:r>
      <w:r w:rsidRPr="00327B86">
        <w:t>(2).</w:t>
      </w:r>
    </w:p>
  </w:footnote>
  <w:footnote w:id="11">
    <w:p w14:paraId="6C4BE1EE" w14:textId="77777777" w:rsidR="001F4F16" w:rsidRDefault="001F4F16" w:rsidP="00E137FA">
      <w:pPr>
        <w:pStyle w:val="FootnoteText"/>
      </w:pPr>
      <w:r>
        <w:rPr>
          <w:rStyle w:val="FootnoteReference"/>
        </w:rPr>
        <w:footnoteRef/>
      </w:r>
      <w:r>
        <w:t xml:space="preserve"> </w:t>
      </w:r>
      <w:r w:rsidRPr="00765E78">
        <w:t xml:space="preserve">Ballinger ML, et al. (2017). 'Baseline Surveillance in Li-Fraumeni Syndrome Using Whole-Body Magnetic Resonance Imaging: A Meta-analysis', </w:t>
      </w:r>
      <w:r w:rsidRPr="004C1651">
        <w:rPr>
          <w:i/>
          <w:iCs/>
        </w:rPr>
        <w:t>JAMA Oncology</w:t>
      </w:r>
      <w:r w:rsidRPr="00765E78">
        <w:t xml:space="preserve">, </w:t>
      </w:r>
      <w:r w:rsidRPr="004C1651">
        <w:rPr>
          <w:b/>
          <w:bCs/>
        </w:rPr>
        <w:t>3</w:t>
      </w:r>
      <w:r w:rsidRPr="00765E78">
        <w:t>(12):1634-1639</w:t>
      </w:r>
      <w:r>
        <w:t>.</w:t>
      </w:r>
    </w:p>
  </w:footnote>
  <w:footnote w:id="12">
    <w:p w14:paraId="0FD570A0" w14:textId="77777777" w:rsidR="001F4F16" w:rsidRDefault="001F4F16" w:rsidP="00FB081D">
      <w:pPr>
        <w:pStyle w:val="FootnoteText"/>
      </w:pPr>
      <w:r>
        <w:rPr>
          <w:rStyle w:val="FootnoteReference"/>
        </w:rPr>
        <w:footnoteRef/>
      </w:r>
      <w:r>
        <w:t xml:space="preserve"> </w:t>
      </w:r>
      <w:r w:rsidRPr="004F0CD0">
        <w:t>Hanson H, et al. (2021). 'UKCGG Consensus Group guidelines for the management of patients with constitutional TP53 pathogenic variants', Journal of Medical Genetics, 58(2):135-139.</w:t>
      </w:r>
    </w:p>
  </w:footnote>
  <w:footnote w:id="13">
    <w:p w14:paraId="498FD414" w14:textId="77777777" w:rsidR="001F4F16" w:rsidRDefault="001F4F16" w:rsidP="00FB081D">
      <w:pPr>
        <w:pStyle w:val="FootnoteText"/>
      </w:pPr>
      <w:r>
        <w:rPr>
          <w:rStyle w:val="FootnoteReference"/>
        </w:rPr>
        <w:footnoteRef/>
      </w:r>
      <w:r>
        <w:t xml:space="preserve"> </w:t>
      </w:r>
      <w:proofErr w:type="spellStart"/>
      <w:r w:rsidRPr="004F0CD0">
        <w:t>Frebourg</w:t>
      </w:r>
      <w:proofErr w:type="spellEnd"/>
      <w:r w:rsidRPr="004F0CD0">
        <w:t xml:space="preserve"> T, et al. (2020). 'Guidelines for the Li–Fraumeni and heritable TP53-related cancer syndromes', European Journal of Human Genetics, 28(10):1379-1386</w:t>
      </w:r>
      <w:r>
        <w:t xml:space="preserve">. </w:t>
      </w:r>
    </w:p>
  </w:footnote>
  <w:footnote w:id="14">
    <w:p w14:paraId="7FF01E3D" w14:textId="77777777" w:rsidR="001F4F16" w:rsidRDefault="001F4F16" w:rsidP="00FB081D">
      <w:pPr>
        <w:pStyle w:val="FootnoteText"/>
      </w:pPr>
      <w:r>
        <w:rPr>
          <w:rStyle w:val="FootnoteReference"/>
        </w:rPr>
        <w:footnoteRef/>
      </w:r>
      <w:r>
        <w:t xml:space="preserve"> </w:t>
      </w:r>
      <w:r w:rsidRPr="004A7E6A">
        <w:t xml:space="preserve">Consul N, et al. (2021). 'Li-Fraumeni Syndrome and Whole-Body MRI Screening: Screening Guidelines, Imaging Features, and Impact on Patient Management', AJR Am J </w:t>
      </w:r>
      <w:proofErr w:type="spellStart"/>
      <w:r w:rsidRPr="004A7E6A">
        <w:t>Roentgenol</w:t>
      </w:r>
      <w:proofErr w:type="spellEnd"/>
      <w:r w:rsidRPr="004A7E6A">
        <w:t>. 216(1):252-263</w:t>
      </w:r>
      <w:r>
        <w:t xml:space="preserve">. </w:t>
      </w:r>
    </w:p>
  </w:footnote>
  <w:footnote w:id="15">
    <w:p w14:paraId="2C019D5C" w14:textId="77777777" w:rsidR="001F4F16" w:rsidRDefault="001F4F16" w:rsidP="00FB081D">
      <w:pPr>
        <w:pStyle w:val="FootnoteText"/>
      </w:pPr>
      <w:r>
        <w:rPr>
          <w:rStyle w:val="FootnoteReference"/>
        </w:rPr>
        <w:footnoteRef/>
      </w:r>
      <w:r>
        <w:t xml:space="preserve"> </w:t>
      </w:r>
      <w:r w:rsidRPr="004A7E6A">
        <w:t xml:space="preserve">Ballinger ML, et al. (2015). 'Surveillance recommendations for patients with germline TP53 mutations', </w:t>
      </w:r>
      <w:proofErr w:type="spellStart"/>
      <w:r w:rsidRPr="004A7E6A">
        <w:t>Curr</w:t>
      </w:r>
      <w:proofErr w:type="spellEnd"/>
      <w:r w:rsidRPr="004A7E6A">
        <w:t xml:space="preserve"> </w:t>
      </w:r>
      <w:proofErr w:type="spellStart"/>
      <w:r w:rsidRPr="004A7E6A">
        <w:t>Opin</w:t>
      </w:r>
      <w:proofErr w:type="spellEnd"/>
      <w:r w:rsidRPr="004A7E6A">
        <w:t xml:space="preserve"> Oncol. 27(4):332-7</w:t>
      </w:r>
      <w:r w:rsidRPr="0032046A">
        <w:t>.</w:t>
      </w:r>
    </w:p>
  </w:footnote>
  <w:footnote w:id="16">
    <w:p w14:paraId="7BCC3472" w14:textId="0AD61985" w:rsidR="001F4F16" w:rsidRDefault="001F4F16">
      <w:pPr>
        <w:pStyle w:val="FootnoteText"/>
      </w:pPr>
      <w:r>
        <w:rPr>
          <w:rStyle w:val="FootnoteReference"/>
        </w:rPr>
        <w:footnoteRef/>
      </w:r>
      <w:r>
        <w:t xml:space="preserve"> </w:t>
      </w:r>
      <w:proofErr w:type="spellStart"/>
      <w:r>
        <w:t>eviQ</w:t>
      </w:r>
      <w:proofErr w:type="spellEnd"/>
      <w:r>
        <w:t xml:space="preserve"> Guidelines, available at </w:t>
      </w:r>
      <w:r w:rsidRPr="0093053B">
        <w:t>https://www.eviq.org.au/cancer-genetics</w:t>
      </w:r>
    </w:p>
  </w:footnote>
  <w:footnote w:id="17">
    <w:p w14:paraId="19107826" w14:textId="1913425A" w:rsidR="001F4F16" w:rsidRDefault="001F4F16">
      <w:pPr>
        <w:pStyle w:val="FootnoteText"/>
      </w:pPr>
      <w:r>
        <w:rPr>
          <w:rStyle w:val="FootnoteReference"/>
        </w:rPr>
        <w:footnoteRef/>
      </w:r>
      <w:r>
        <w:t xml:space="preserve"> NCCN Guidelines Version 2.2022, Li-Fraumeni Syndrome Management. </w:t>
      </w:r>
    </w:p>
  </w:footnote>
  <w:footnote w:id="18">
    <w:p w14:paraId="72174774" w14:textId="330A9A65" w:rsidR="001F4F16" w:rsidRPr="00703695" w:rsidRDefault="001F4F16">
      <w:pPr>
        <w:pStyle w:val="FootnoteText"/>
        <w:rPr>
          <w:rFonts w:cstheme="minorHAnsi"/>
          <w:szCs w:val="18"/>
        </w:rPr>
      </w:pPr>
      <w:r>
        <w:rPr>
          <w:rStyle w:val="FootnoteReference"/>
        </w:rPr>
        <w:footnoteRef/>
      </w:r>
      <w:r>
        <w:t xml:space="preserve"> </w:t>
      </w:r>
      <w:proofErr w:type="spellStart"/>
      <w:r w:rsidRPr="00703695">
        <w:rPr>
          <w:rFonts w:cstheme="minorHAnsi"/>
          <w:szCs w:val="18"/>
        </w:rPr>
        <w:t>Rippinger</w:t>
      </w:r>
      <w:proofErr w:type="spellEnd"/>
      <w:r w:rsidRPr="00703695">
        <w:rPr>
          <w:rFonts w:cstheme="minorHAnsi"/>
          <w:szCs w:val="18"/>
        </w:rPr>
        <w:t xml:space="preserve"> N, et al. (2020). 'Cancer surveillance and distress among adult pathogenic TP53 germline variant carriers in Germany: A </w:t>
      </w:r>
      <w:proofErr w:type="spellStart"/>
      <w:r w:rsidRPr="00703695">
        <w:rPr>
          <w:rFonts w:cstheme="minorHAnsi"/>
          <w:szCs w:val="18"/>
        </w:rPr>
        <w:t>multicenter</w:t>
      </w:r>
      <w:proofErr w:type="spellEnd"/>
      <w:r w:rsidRPr="00703695">
        <w:rPr>
          <w:rFonts w:cstheme="minorHAnsi"/>
          <w:szCs w:val="18"/>
        </w:rPr>
        <w:t xml:space="preserve"> feasibility and acceptance survey', </w:t>
      </w:r>
      <w:r w:rsidRPr="00703695">
        <w:rPr>
          <w:rFonts w:cstheme="minorHAnsi"/>
          <w:i/>
          <w:iCs/>
          <w:szCs w:val="18"/>
        </w:rPr>
        <w:t>Cancer</w:t>
      </w:r>
      <w:r w:rsidRPr="00703695">
        <w:rPr>
          <w:rFonts w:cstheme="minorHAnsi"/>
          <w:szCs w:val="18"/>
        </w:rPr>
        <w:t xml:space="preserve">, </w:t>
      </w:r>
      <w:r w:rsidRPr="007123F6">
        <w:rPr>
          <w:rFonts w:cstheme="minorHAnsi"/>
          <w:b/>
          <w:bCs/>
          <w:szCs w:val="18"/>
        </w:rPr>
        <w:t>126</w:t>
      </w:r>
      <w:r w:rsidRPr="00703695">
        <w:rPr>
          <w:rFonts w:cstheme="minorHAnsi"/>
          <w:szCs w:val="18"/>
        </w:rPr>
        <w:t xml:space="preserve">(17):4032-4041. </w:t>
      </w:r>
    </w:p>
  </w:footnote>
  <w:footnote w:id="19">
    <w:p w14:paraId="7769090F" w14:textId="77777777" w:rsidR="001F4F16" w:rsidRPr="00703695" w:rsidRDefault="001F4F16" w:rsidP="00703695">
      <w:pPr>
        <w:rPr>
          <w:rFonts w:asciiTheme="minorHAnsi" w:hAnsiTheme="minorHAnsi" w:cstheme="minorHAnsi"/>
          <w:sz w:val="18"/>
          <w:szCs w:val="18"/>
        </w:rPr>
      </w:pPr>
      <w:r w:rsidRPr="00703695">
        <w:rPr>
          <w:rStyle w:val="FootnoteReference"/>
          <w:rFonts w:asciiTheme="minorHAnsi" w:hAnsiTheme="minorHAnsi" w:cstheme="minorHAnsi"/>
          <w:sz w:val="18"/>
          <w:szCs w:val="18"/>
        </w:rPr>
        <w:footnoteRef/>
      </w:r>
      <w:r w:rsidRPr="00703695">
        <w:rPr>
          <w:rFonts w:asciiTheme="minorHAnsi" w:hAnsiTheme="minorHAnsi" w:cstheme="minorHAnsi"/>
          <w:sz w:val="18"/>
          <w:szCs w:val="18"/>
        </w:rPr>
        <w:t xml:space="preserve"> Ross J, et al. (2017). 'The psychosocial effects of the Li-Fraumeni Education and Early Detection (LEAD) program on individuals with Li-Fraumeni syndrome', </w:t>
      </w:r>
      <w:r w:rsidRPr="00703695">
        <w:rPr>
          <w:rFonts w:asciiTheme="minorHAnsi" w:hAnsiTheme="minorHAnsi" w:cstheme="minorHAnsi"/>
          <w:i/>
          <w:iCs/>
          <w:sz w:val="18"/>
          <w:szCs w:val="18"/>
        </w:rPr>
        <w:t>Genetics in Medicine</w:t>
      </w:r>
      <w:r w:rsidRPr="00703695">
        <w:rPr>
          <w:rFonts w:asciiTheme="minorHAnsi" w:hAnsiTheme="minorHAnsi" w:cstheme="minorHAnsi"/>
          <w:sz w:val="18"/>
          <w:szCs w:val="18"/>
        </w:rPr>
        <w:t xml:space="preserve">: official journal of the American College of Medical Genetics, </w:t>
      </w:r>
      <w:r w:rsidRPr="007123F6">
        <w:rPr>
          <w:rFonts w:asciiTheme="minorHAnsi" w:hAnsiTheme="minorHAnsi" w:cstheme="minorHAnsi"/>
          <w:b/>
          <w:bCs/>
          <w:sz w:val="18"/>
          <w:szCs w:val="18"/>
        </w:rPr>
        <w:t>19</w:t>
      </w:r>
      <w:r w:rsidRPr="00703695">
        <w:rPr>
          <w:rFonts w:asciiTheme="minorHAnsi" w:hAnsiTheme="minorHAnsi" w:cstheme="minorHAnsi"/>
          <w:sz w:val="18"/>
          <w:szCs w:val="18"/>
        </w:rPr>
        <w:t>(9):1064-1070.</w:t>
      </w:r>
    </w:p>
    <w:p w14:paraId="48C9CE8F" w14:textId="138D89AD" w:rsidR="001F4F16" w:rsidRDefault="001F4F16">
      <w:pPr>
        <w:pStyle w:val="FootnoteText"/>
      </w:pPr>
    </w:p>
  </w:footnote>
  <w:footnote w:id="20">
    <w:p w14:paraId="3F231FBB" w14:textId="1AE5B6E3" w:rsidR="001F4F16" w:rsidRDefault="001F4F16">
      <w:pPr>
        <w:pStyle w:val="FootnoteText"/>
      </w:pPr>
      <w:r>
        <w:rPr>
          <w:rStyle w:val="FootnoteReference"/>
        </w:rPr>
        <w:footnoteRef/>
      </w:r>
      <w:r>
        <w:t xml:space="preserve"> </w:t>
      </w:r>
      <w:r w:rsidRPr="00F97A5F">
        <w:t>Bancroft EK, et al. (2020). 'Psychosocial effects of whole-body MRI screening in adult high-risk pathogenic TP53 mutation carriers: a case-controlled study (SIGNIFY)', Journal of Medical Genetics, 57(4):226-236</w:t>
      </w:r>
      <w:r>
        <w:t>.</w:t>
      </w:r>
    </w:p>
  </w:footnote>
  <w:footnote w:id="21">
    <w:p w14:paraId="22EA840C" w14:textId="3ACBD01A" w:rsidR="001F4F16" w:rsidRDefault="001F4F16">
      <w:pPr>
        <w:pStyle w:val="FootnoteText"/>
      </w:pPr>
      <w:r>
        <w:rPr>
          <w:rStyle w:val="FootnoteReference"/>
        </w:rPr>
        <w:footnoteRef/>
      </w:r>
      <w:r>
        <w:t xml:space="preserve"> </w:t>
      </w:r>
      <w:r w:rsidRPr="00703695">
        <w:t>Mai PL, et al. (2017). 'Prevalence of Cancer at Baseline Screening in the National Cancer Institute Li-Fraumeni Syndrome Cohort', JAMA Oncology, 3(12): 1640-1645</w:t>
      </w:r>
      <w:r>
        <w:t>.</w:t>
      </w:r>
    </w:p>
  </w:footnote>
  <w:footnote w:id="22">
    <w:p w14:paraId="7EF309D9" w14:textId="4720D516" w:rsidR="001F4F16" w:rsidRDefault="001F4F16">
      <w:pPr>
        <w:pStyle w:val="FootnoteText"/>
      </w:pPr>
      <w:r>
        <w:rPr>
          <w:rStyle w:val="FootnoteReference"/>
        </w:rPr>
        <w:footnoteRef/>
      </w:r>
      <w:r>
        <w:t xml:space="preserve"> </w:t>
      </w:r>
      <w:proofErr w:type="spellStart"/>
      <w:r w:rsidRPr="0033675F">
        <w:t>Bojadzieva</w:t>
      </w:r>
      <w:proofErr w:type="spellEnd"/>
      <w:r w:rsidRPr="0033675F">
        <w:t xml:space="preserve"> J, et al. (2018). 'Whole body magnetic resonance imaging (WB-MRI) and brain MRI baseline surveillance in TP53 germline mutation carriers: experience from the Li-Fraumeni Syndrome Education and Early Detection (LEAD) clinic', Familial Cancer, 17(2):287-294</w:t>
      </w:r>
      <w:r>
        <w:t>.</w:t>
      </w:r>
    </w:p>
  </w:footnote>
  <w:footnote w:id="23">
    <w:p w14:paraId="0899D75F" w14:textId="68AAD2CE" w:rsidR="001F4F16" w:rsidRDefault="001F4F16">
      <w:pPr>
        <w:pStyle w:val="FootnoteText"/>
      </w:pPr>
      <w:r>
        <w:rPr>
          <w:rStyle w:val="FootnoteReference"/>
        </w:rPr>
        <w:footnoteRef/>
      </w:r>
      <w:r>
        <w:t xml:space="preserve"> </w:t>
      </w:r>
      <w:r w:rsidRPr="004F0CD0">
        <w:t xml:space="preserve">Kratz CP, et al. (2021). 'Overview of the Clinical Features of Li-Fraumeni Syndrome and the Current European ERN GENTURIS Guideline', </w:t>
      </w:r>
      <w:proofErr w:type="spellStart"/>
      <w:r w:rsidRPr="004F0CD0">
        <w:t>Geburtshilfe</w:t>
      </w:r>
      <w:proofErr w:type="spellEnd"/>
      <w:r w:rsidRPr="004F0CD0">
        <w:t xml:space="preserve"> und </w:t>
      </w:r>
      <w:proofErr w:type="spellStart"/>
      <w:r w:rsidRPr="004F0CD0">
        <w:t>Frauenheilkunde</w:t>
      </w:r>
      <w:proofErr w:type="spellEnd"/>
      <w:r w:rsidRPr="004F0CD0">
        <w:t>, 82(1):42-49.</w:t>
      </w:r>
    </w:p>
  </w:footnote>
  <w:footnote w:id="24">
    <w:p w14:paraId="6EE5129A" w14:textId="7D202BCB" w:rsidR="001F4F16" w:rsidRDefault="001F4F16">
      <w:pPr>
        <w:pStyle w:val="FootnoteText"/>
      </w:pPr>
      <w:r>
        <w:rPr>
          <w:rStyle w:val="FootnoteReference"/>
        </w:rPr>
        <w:footnoteRef/>
      </w:r>
      <w:r>
        <w:t xml:space="preserve"> </w:t>
      </w:r>
      <w:r w:rsidRPr="004F0CD0">
        <w:t>Hanson H, et al. (2021). 'UKCGG Consensus Group guidelines for the management of patients with constitutional TP53 pathogenic variants', Journal of Medical Genetics, 58(2):135-139.</w:t>
      </w:r>
    </w:p>
  </w:footnote>
  <w:footnote w:id="25">
    <w:p w14:paraId="46E04B14" w14:textId="2A98D6B0" w:rsidR="001F4F16" w:rsidRDefault="001F4F16">
      <w:pPr>
        <w:pStyle w:val="FootnoteText"/>
      </w:pPr>
      <w:r>
        <w:rPr>
          <w:rStyle w:val="FootnoteReference"/>
        </w:rPr>
        <w:footnoteRef/>
      </w:r>
      <w:r>
        <w:t xml:space="preserve"> </w:t>
      </w:r>
      <w:proofErr w:type="spellStart"/>
      <w:r w:rsidRPr="004F0CD0">
        <w:t>Frebourg</w:t>
      </w:r>
      <w:proofErr w:type="spellEnd"/>
      <w:r w:rsidRPr="004F0CD0">
        <w:t xml:space="preserve"> T, et al. (2020). 'Guidelines for the Li–Fraumeni and heritable TP53-related cancer syndromes', European Journal of Human Genetics, 28(10):1379-1386</w:t>
      </w:r>
      <w:r>
        <w:t xml:space="preserve">. </w:t>
      </w:r>
    </w:p>
  </w:footnote>
  <w:footnote w:id="26">
    <w:p w14:paraId="2A4C3241" w14:textId="4E7FBA11" w:rsidR="001F4F16" w:rsidRDefault="001F4F16">
      <w:pPr>
        <w:pStyle w:val="FootnoteText"/>
      </w:pPr>
      <w:r>
        <w:rPr>
          <w:rStyle w:val="FootnoteReference"/>
        </w:rPr>
        <w:footnoteRef/>
      </w:r>
      <w:r>
        <w:t xml:space="preserve"> </w:t>
      </w:r>
      <w:r w:rsidRPr="004A7E6A">
        <w:t xml:space="preserve">Consul N, et al. (2021). 'Li-Fraumeni Syndrome and Whole-Body MRI Screening: Screening Guidelines, Imaging Features, and Impact on Patient Management', AJR Am J </w:t>
      </w:r>
      <w:proofErr w:type="spellStart"/>
      <w:r w:rsidRPr="004A7E6A">
        <w:t>Roentgenol</w:t>
      </w:r>
      <w:proofErr w:type="spellEnd"/>
      <w:r w:rsidRPr="004A7E6A">
        <w:t>. 216(1):252-263</w:t>
      </w:r>
      <w:r>
        <w:t xml:space="preserve">. </w:t>
      </w:r>
    </w:p>
  </w:footnote>
  <w:footnote w:id="27">
    <w:p w14:paraId="39399D15" w14:textId="1511EB21" w:rsidR="001F4F16" w:rsidRDefault="001F4F16">
      <w:pPr>
        <w:pStyle w:val="FootnoteText"/>
      </w:pPr>
      <w:r>
        <w:rPr>
          <w:rStyle w:val="FootnoteReference"/>
        </w:rPr>
        <w:footnoteRef/>
      </w:r>
      <w:r>
        <w:t xml:space="preserve"> </w:t>
      </w:r>
      <w:r w:rsidRPr="004A7E6A">
        <w:t xml:space="preserve">Ballinger ML, et al. (2015). 'Surveillance recommendations for patients with germline TP53 mutations', </w:t>
      </w:r>
      <w:proofErr w:type="spellStart"/>
      <w:r w:rsidRPr="004A7E6A">
        <w:t>Curr</w:t>
      </w:r>
      <w:proofErr w:type="spellEnd"/>
      <w:r w:rsidRPr="004A7E6A">
        <w:t xml:space="preserve"> </w:t>
      </w:r>
      <w:proofErr w:type="spellStart"/>
      <w:r w:rsidRPr="004A7E6A">
        <w:t>Opin</w:t>
      </w:r>
      <w:proofErr w:type="spellEnd"/>
      <w:r w:rsidRPr="004A7E6A">
        <w:t xml:space="preserve"> Oncol. 27(4):332-7</w:t>
      </w:r>
      <w:r w:rsidRPr="0032046A">
        <w:t>.</w:t>
      </w:r>
    </w:p>
  </w:footnote>
  <w:footnote w:id="28">
    <w:p w14:paraId="0ED4649C" w14:textId="0FCACEBC" w:rsidR="001F4F16" w:rsidRDefault="001F4F16">
      <w:pPr>
        <w:pStyle w:val="FootnoteText"/>
      </w:pPr>
      <w:r>
        <w:rPr>
          <w:rStyle w:val="FootnoteReference"/>
        </w:rPr>
        <w:footnoteRef/>
      </w:r>
      <w:r>
        <w:t xml:space="preserve"> </w:t>
      </w:r>
      <w:proofErr w:type="spellStart"/>
      <w:r w:rsidRPr="0033675F">
        <w:t>Ruijs</w:t>
      </w:r>
      <w:proofErr w:type="spellEnd"/>
      <w:r w:rsidRPr="0033675F">
        <w:t xml:space="preserve"> MWG, et al. (2017). 'Surveillance of Dutch Patients </w:t>
      </w:r>
      <w:proofErr w:type="gramStart"/>
      <w:r w:rsidRPr="0033675F">
        <w:t>With</w:t>
      </w:r>
      <w:proofErr w:type="gramEnd"/>
      <w:r w:rsidRPr="0033675F">
        <w:t xml:space="preserve"> Li-Fraumeni Syndrome: The </w:t>
      </w:r>
      <w:proofErr w:type="spellStart"/>
      <w:r w:rsidRPr="0033675F">
        <w:t>LiFe</w:t>
      </w:r>
      <w:proofErr w:type="spellEnd"/>
      <w:r w:rsidRPr="0033675F">
        <w:t>-Guard Study', JAMA Oncology, 3(12):1733-1734.</w:t>
      </w:r>
    </w:p>
  </w:footnote>
  <w:footnote w:id="29">
    <w:p w14:paraId="0A5818D5" w14:textId="37AE1424" w:rsidR="001F4F16" w:rsidRDefault="001F4F16">
      <w:pPr>
        <w:pStyle w:val="FootnoteText"/>
      </w:pPr>
      <w:r>
        <w:rPr>
          <w:rStyle w:val="FootnoteReference"/>
        </w:rPr>
        <w:footnoteRef/>
      </w:r>
      <w:r>
        <w:t xml:space="preserve"> </w:t>
      </w:r>
      <w:r w:rsidRPr="00FA009F">
        <w:t>Johnson BA, et al. (2021). 'A systematic review and meta-analysis of surgery delays and survival in breast, lung and colon cancers: Implication for surgical triage during the COVID-19 pandemic', American Journal of Surgery, 222(2):311-318.</w:t>
      </w:r>
    </w:p>
  </w:footnote>
  <w:footnote w:id="30">
    <w:p w14:paraId="3A7FE6FC" w14:textId="258CAF80" w:rsidR="001F4F16" w:rsidRDefault="001F4F16">
      <w:pPr>
        <w:pStyle w:val="FootnoteText"/>
      </w:pPr>
      <w:r>
        <w:rPr>
          <w:rStyle w:val="FootnoteReference"/>
        </w:rPr>
        <w:footnoteRef/>
      </w:r>
      <w:r>
        <w:t xml:space="preserve"> </w:t>
      </w:r>
      <w:r w:rsidRPr="00FA009F">
        <w:t>Hanna TP, et al. (2020). 'Mortality due to cancer treatment delay: systematic review and meta-analysis', BMJ (Clinical research ed.), 371.</w:t>
      </w:r>
    </w:p>
  </w:footnote>
  <w:footnote w:id="31">
    <w:p w14:paraId="2A827F87" w14:textId="30CB20B4" w:rsidR="001F4F16" w:rsidRDefault="001F4F16">
      <w:pPr>
        <w:pStyle w:val="FootnoteText"/>
      </w:pPr>
      <w:r>
        <w:rPr>
          <w:rStyle w:val="FootnoteReference"/>
        </w:rPr>
        <w:footnoteRef/>
      </w:r>
      <w:r>
        <w:t xml:space="preserve"> </w:t>
      </w:r>
      <w:proofErr w:type="spellStart"/>
      <w:r w:rsidRPr="00FA009F">
        <w:t>Mhaskar</w:t>
      </w:r>
      <w:proofErr w:type="spellEnd"/>
      <w:r w:rsidRPr="00FA009F">
        <w:t xml:space="preserve"> AR, et al. (2010). 'Timing of first-line cancer treatments - early versus late - a systematic review of phase III randomized trials', Cancer Treatment Reviews, 36(8):621-628.</w:t>
      </w:r>
    </w:p>
  </w:footnote>
  <w:footnote w:id="32">
    <w:p w14:paraId="3A6EF722" w14:textId="2CB816D2" w:rsidR="001F4F16" w:rsidRDefault="001F4F16">
      <w:pPr>
        <w:pStyle w:val="FootnoteText"/>
      </w:pPr>
      <w:r>
        <w:rPr>
          <w:rStyle w:val="FootnoteReference"/>
        </w:rPr>
        <w:footnoteRef/>
      </w:r>
      <w:r>
        <w:t xml:space="preserve"> </w:t>
      </w:r>
      <w:r w:rsidRPr="005B32C0">
        <w:t>Gonzalez K, et al. (2009). 'Beyond Li Fraumeni Syndrome: clinical characteristics of families with p53 germline mutations', Journal of Clinical Oncology, 27(8): 1250-1256</w:t>
      </w:r>
      <w:r w:rsidRPr="00FA009F">
        <w:t>.</w:t>
      </w:r>
    </w:p>
  </w:footnote>
  <w:footnote w:id="33">
    <w:p w14:paraId="1C343B51" w14:textId="77777777" w:rsidR="001F4F16" w:rsidRDefault="001F4F16" w:rsidP="006C4966">
      <w:pPr>
        <w:pStyle w:val="FootnoteText"/>
      </w:pPr>
      <w:r>
        <w:rPr>
          <w:rStyle w:val="FootnoteReference"/>
        </w:rPr>
        <w:footnoteRef/>
      </w:r>
      <w:r>
        <w:t xml:space="preserve"> </w:t>
      </w:r>
      <w:proofErr w:type="spellStart"/>
      <w:r w:rsidRPr="006D5155">
        <w:t>Petralia</w:t>
      </w:r>
      <w:proofErr w:type="spellEnd"/>
      <w:r w:rsidRPr="006D5155">
        <w:t xml:space="preserve"> G, et al. (2021). 'Whole-body magnetic resonance imaging (WB-MRI) for cancer screening: recommendations for use', </w:t>
      </w:r>
      <w:r w:rsidRPr="004C1651">
        <w:rPr>
          <w:i/>
          <w:iCs/>
        </w:rPr>
        <w:t xml:space="preserve">La </w:t>
      </w:r>
      <w:proofErr w:type="spellStart"/>
      <w:r w:rsidRPr="004C1651">
        <w:rPr>
          <w:i/>
          <w:iCs/>
        </w:rPr>
        <w:t>Radiologia</w:t>
      </w:r>
      <w:proofErr w:type="spellEnd"/>
      <w:r w:rsidRPr="004C1651">
        <w:rPr>
          <w:i/>
          <w:iCs/>
        </w:rPr>
        <w:t xml:space="preserve"> Medica</w:t>
      </w:r>
      <w:r w:rsidRPr="006D5155">
        <w:t xml:space="preserve">, </w:t>
      </w:r>
      <w:r w:rsidRPr="004C1651">
        <w:rPr>
          <w:b/>
          <w:bCs/>
        </w:rPr>
        <w:t>126</w:t>
      </w:r>
      <w:r w:rsidRPr="006D5155">
        <w:t>(11):1434-1450</w:t>
      </w:r>
    </w:p>
  </w:footnote>
  <w:footnote w:id="34">
    <w:p w14:paraId="1AD4447B" w14:textId="77777777" w:rsidR="001F4F16" w:rsidRDefault="001F4F16" w:rsidP="006C4966">
      <w:pPr>
        <w:pStyle w:val="FootnoteText"/>
      </w:pPr>
      <w:r>
        <w:rPr>
          <w:rStyle w:val="FootnoteReference"/>
        </w:rPr>
        <w:footnoteRef/>
      </w:r>
      <w:r>
        <w:t xml:space="preserve"> </w:t>
      </w:r>
      <w:r w:rsidRPr="006D5155">
        <w:t xml:space="preserve">Guo BJ, et al (2018). 'Gadolinium Deposition in Brain: Current Scientific Evidence and Future Perspectives', </w:t>
      </w:r>
      <w:r w:rsidRPr="004C1651">
        <w:rPr>
          <w:i/>
          <w:iCs/>
        </w:rPr>
        <w:t>Front Mol Neurosci.</w:t>
      </w:r>
      <w:r w:rsidRPr="004C1651">
        <w:rPr>
          <w:b/>
          <w:bCs/>
        </w:rPr>
        <w:t>11</w:t>
      </w:r>
      <w:r w:rsidRPr="006D5155">
        <w:t>:335</w:t>
      </w:r>
      <w:r>
        <w:t>.</w:t>
      </w:r>
    </w:p>
  </w:footnote>
  <w:footnote w:id="35">
    <w:p w14:paraId="5C53E30C" w14:textId="77777777" w:rsidR="001F4F16" w:rsidRDefault="001F4F16" w:rsidP="006C4966">
      <w:pPr>
        <w:pStyle w:val="FootnoteText"/>
      </w:pPr>
      <w:r>
        <w:rPr>
          <w:rStyle w:val="FootnoteReference"/>
        </w:rPr>
        <w:footnoteRef/>
      </w:r>
      <w:r>
        <w:t xml:space="preserve"> </w:t>
      </w:r>
      <w:proofErr w:type="spellStart"/>
      <w:r w:rsidRPr="00327B86">
        <w:t>Schieda</w:t>
      </w:r>
      <w:proofErr w:type="spellEnd"/>
      <w:r w:rsidRPr="00327B86">
        <w:t xml:space="preserve"> N, et al. (2018). 'Gadolinium-Based Contrast Agents in Kidney Disease: Comprehensive Review and Clinical Practice Guideline Issued by the Canadian Association of Radiologists', </w:t>
      </w:r>
      <w:r w:rsidRPr="004C1651">
        <w:rPr>
          <w:i/>
          <w:iCs/>
        </w:rPr>
        <w:t xml:space="preserve">Can Assoc </w:t>
      </w:r>
      <w:proofErr w:type="spellStart"/>
      <w:r w:rsidRPr="004C1651">
        <w:rPr>
          <w:i/>
          <w:iCs/>
        </w:rPr>
        <w:t>Radiol</w:t>
      </w:r>
      <w:proofErr w:type="spellEnd"/>
      <w:r w:rsidRPr="00327B86">
        <w:t xml:space="preserve"> J. </w:t>
      </w:r>
      <w:r w:rsidRPr="004C1651">
        <w:rPr>
          <w:b/>
          <w:bCs/>
        </w:rPr>
        <w:t>69</w:t>
      </w:r>
      <w:r w:rsidRPr="00327B86">
        <w:t>(2):136-150</w:t>
      </w:r>
    </w:p>
  </w:footnote>
  <w:footnote w:id="36">
    <w:p w14:paraId="193A1E53" w14:textId="77777777" w:rsidR="001F4F16" w:rsidRDefault="001F4F16" w:rsidP="006C4966">
      <w:pPr>
        <w:pStyle w:val="FootnoteText"/>
      </w:pPr>
      <w:r>
        <w:rPr>
          <w:rStyle w:val="FootnoteReference"/>
        </w:rPr>
        <w:footnoteRef/>
      </w:r>
      <w:r>
        <w:t xml:space="preserve"> Pinsky RW, et al. (2010). ‘Mammographic breast density: effect on imaging and breast cancer risk’, </w:t>
      </w:r>
      <w:r w:rsidRPr="00101A58">
        <w:rPr>
          <w:i/>
          <w:iCs/>
        </w:rPr>
        <w:t xml:space="preserve">L Natl </w:t>
      </w:r>
      <w:proofErr w:type="spellStart"/>
      <w:r w:rsidRPr="00101A58">
        <w:rPr>
          <w:i/>
          <w:iCs/>
        </w:rPr>
        <w:t>Compr</w:t>
      </w:r>
      <w:proofErr w:type="spellEnd"/>
      <w:r w:rsidRPr="00101A58">
        <w:rPr>
          <w:i/>
          <w:iCs/>
        </w:rPr>
        <w:t xml:space="preserve"> </w:t>
      </w:r>
      <w:proofErr w:type="spellStart"/>
      <w:r w:rsidRPr="00101A58">
        <w:rPr>
          <w:i/>
          <w:iCs/>
        </w:rPr>
        <w:t>Canc</w:t>
      </w:r>
      <w:proofErr w:type="spellEnd"/>
      <w:r w:rsidRPr="00101A58">
        <w:rPr>
          <w:i/>
          <w:iCs/>
        </w:rPr>
        <w:t xml:space="preserve"> </w:t>
      </w:r>
      <w:proofErr w:type="spellStart"/>
      <w:r w:rsidRPr="00101A58">
        <w:rPr>
          <w:i/>
          <w:iCs/>
        </w:rPr>
        <w:t>Netw</w:t>
      </w:r>
      <w:proofErr w:type="spellEnd"/>
      <w:r>
        <w:t xml:space="preserve">, </w:t>
      </w:r>
      <w:r w:rsidRPr="00101A58">
        <w:rPr>
          <w:b/>
          <w:bCs/>
        </w:rPr>
        <w:t>8</w:t>
      </w:r>
      <w:r>
        <w:t xml:space="preserve">(10): 1157-64. </w:t>
      </w:r>
    </w:p>
  </w:footnote>
  <w:footnote w:id="37">
    <w:p w14:paraId="65AA1D42" w14:textId="2D48CAFC" w:rsidR="001F4F16" w:rsidRDefault="001F4F16" w:rsidP="006C4966">
      <w:pPr>
        <w:pStyle w:val="FootnoteText"/>
      </w:pPr>
      <w:r>
        <w:rPr>
          <w:rStyle w:val="FootnoteReference"/>
        </w:rPr>
        <w:footnoteRef/>
      </w:r>
      <w:r>
        <w:t xml:space="preserve"> Bell RJ. (2020). ‘Mammographic density and breast cancer screening’, </w:t>
      </w:r>
      <w:r w:rsidRPr="00101A58">
        <w:rPr>
          <w:i/>
          <w:iCs/>
        </w:rPr>
        <w:t>Climacteric</w:t>
      </w:r>
      <w:r>
        <w:t xml:space="preserve">, </w:t>
      </w:r>
      <w:r w:rsidRPr="00101A58">
        <w:rPr>
          <w:b/>
          <w:bCs/>
        </w:rPr>
        <w:t>23</w:t>
      </w:r>
      <w:r>
        <w:t>(5): 460-465.</w:t>
      </w:r>
    </w:p>
  </w:footnote>
  <w:footnote w:id="38">
    <w:p w14:paraId="4A315547" w14:textId="77777777" w:rsidR="001F4F16" w:rsidRDefault="001F4F16" w:rsidP="006C4966">
      <w:pPr>
        <w:pStyle w:val="FootnoteText"/>
      </w:pPr>
      <w:r>
        <w:rPr>
          <w:rStyle w:val="FootnoteReference"/>
        </w:rPr>
        <w:footnoteRef/>
      </w:r>
      <w:r>
        <w:t xml:space="preserve"> </w:t>
      </w:r>
      <w:r w:rsidRPr="00327B86">
        <w:t xml:space="preserve">Caron O, et al. (2017). 'Lung Adenocarcinoma as Part of the Li-Fraumeni Syndrome Spectrum: Preliminary Data of the LIFSCREEN Randomized Clinical Trial', </w:t>
      </w:r>
      <w:r w:rsidRPr="004C1651">
        <w:rPr>
          <w:i/>
          <w:iCs/>
        </w:rPr>
        <w:t>JAMA Oncology</w:t>
      </w:r>
      <w:r w:rsidRPr="00327B86">
        <w:t xml:space="preserve">, </w:t>
      </w:r>
      <w:r w:rsidRPr="004C1651">
        <w:rPr>
          <w:b/>
          <w:bCs/>
        </w:rPr>
        <w:t>3</w:t>
      </w:r>
      <w:r w:rsidRPr="00327B86">
        <w:t>(12):1736-1737</w:t>
      </w:r>
    </w:p>
  </w:footnote>
  <w:footnote w:id="39">
    <w:p w14:paraId="61A158A3" w14:textId="77777777" w:rsidR="001F4F16" w:rsidRDefault="001F4F16" w:rsidP="006C4966">
      <w:pPr>
        <w:pStyle w:val="FootnoteText"/>
      </w:pPr>
      <w:r>
        <w:rPr>
          <w:rStyle w:val="FootnoteReference"/>
        </w:rPr>
        <w:footnoteRef/>
      </w:r>
      <w:r>
        <w:t xml:space="preserve"> </w:t>
      </w:r>
      <w:r w:rsidRPr="003A31FF">
        <w:t xml:space="preserve">Villani A, et al. (2011). 'Biochemical and imaging surveillance in germline TP53 mutation carriers with Li-Fraumeni syndrome: a prospective observational study', </w:t>
      </w:r>
      <w:r w:rsidRPr="004C1651">
        <w:rPr>
          <w:i/>
          <w:iCs/>
        </w:rPr>
        <w:t>The Lancet Oncology</w:t>
      </w:r>
      <w:r w:rsidRPr="003A31FF">
        <w:t xml:space="preserve">, </w:t>
      </w:r>
      <w:r w:rsidRPr="004C1651">
        <w:rPr>
          <w:b/>
          <w:bCs/>
        </w:rPr>
        <w:t>12</w:t>
      </w:r>
      <w:r w:rsidRPr="003A31FF">
        <w:t>(6):559-567</w:t>
      </w:r>
    </w:p>
  </w:footnote>
  <w:footnote w:id="40">
    <w:p w14:paraId="05D248E0" w14:textId="77777777" w:rsidR="001F4F16" w:rsidRDefault="001F4F16" w:rsidP="006C4966">
      <w:pPr>
        <w:pStyle w:val="FootnoteText"/>
      </w:pPr>
      <w:r>
        <w:rPr>
          <w:rStyle w:val="FootnoteReference"/>
        </w:rPr>
        <w:footnoteRef/>
      </w:r>
      <w:r>
        <w:t xml:space="preserve"> </w:t>
      </w:r>
      <w:r w:rsidRPr="00327B86">
        <w:t xml:space="preserve">Villani A, et al. (2016). 'Biochemical and imaging surveillance in germline TP53 mutation carriers with Li-Fraumeni syndrome: </w:t>
      </w:r>
      <w:proofErr w:type="gramStart"/>
      <w:r w:rsidRPr="00327B86">
        <w:t>11 year</w:t>
      </w:r>
      <w:proofErr w:type="gramEnd"/>
      <w:r w:rsidRPr="00327B86">
        <w:t xml:space="preserve"> follow-up of a prospective observational study', </w:t>
      </w:r>
      <w:r w:rsidRPr="004C1651">
        <w:rPr>
          <w:i/>
          <w:iCs/>
        </w:rPr>
        <w:t>The Lancet Oncology</w:t>
      </w:r>
      <w:r w:rsidRPr="00327B86">
        <w:t xml:space="preserve">, </w:t>
      </w:r>
      <w:r w:rsidRPr="004C1651">
        <w:rPr>
          <w:b/>
          <w:bCs/>
        </w:rPr>
        <w:t>17</w:t>
      </w:r>
      <w:r w:rsidRPr="00327B86">
        <w:t>(9):1295-1305</w:t>
      </w:r>
    </w:p>
  </w:footnote>
  <w:footnote w:id="41">
    <w:p w14:paraId="6F425CD0" w14:textId="77777777" w:rsidR="001F4F16" w:rsidRDefault="001F4F16" w:rsidP="006C4966">
      <w:pPr>
        <w:pStyle w:val="FootnoteText"/>
      </w:pPr>
      <w:r>
        <w:rPr>
          <w:rStyle w:val="FootnoteReference"/>
        </w:rPr>
        <w:footnoteRef/>
      </w:r>
      <w:r>
        <w:t xml:space="preserve"> </w:t>
      </w:r>
      <w:r w:rsidRPr="00B96F6D">
        <w:t xml:space="preserve">Thomas D </w:t>
      </w:r>
      <w:r>
        <w:t xml:space="preserve">and </w:t>
      </w:r>
      <w:r w:rsidRPr="00B96F6D">
        <w:t xml:space="preserve">Ballinger M. (unpublished). ‘Unpublished data from the Australian SMOC+ whole-body MRI surveillance study in TP53 germline variant </w:t>
      </w:r>
      <w:proofErr w:type="gramStart"/>
      <w:r w:rsidRPr="00B96F6D">
        <w:t>carriers’</w:t>
      </w:r>
      <w:proofErr w:type="gramEnd"/>
      <w:r w:rsidRPr="00B96F6D">
        <w:t>. Provided March 2022</w:t>
      </w:r>
      <w:r>
        <w:t xml:space="preserve">. </w:t>
      </w:r>
    </w:p>
  </w:footnote>
  <w:footnote w:id="42">
    <w:p w14:paraId="5FEF948B" w14:textId="77777777" w:rsidR="001F4F16" w:rsidRDefault="001F4F16" w:rsidP="006C4966">
      <w:pPr>
        <w:pStyle w:val="FootnoteText"/>
      </w:pPr>
      <w:r>
        <w:rPr>
          <w:rStyle w:val="FootnoteReference"/>
        </w:rPr>
        <w:footnoteRef/>
      </w:r>
      <w:r>
        <w:t xml:space="preserve"> </w:t>
      </w:r>
      <w:proofErr w:type="spellStart"/>
      <w:r w:rsidRPr="00327B86">
        <w:t>Paixão</w:t>
      </w:r>
      <w:proofErr w:type="spellEnd"/>
      <w:r w:rsidRPr="00327B86">
        <w:t xml:space="preserve"> D, et al. (2018). 'Whole-body magnetic resonance imaging of Li-Fraumeni syndrome patients: observations from a two rounds screening of Brazilian patients', </w:t>
      </w:r>
      <w:r w:rsidRPr="004C1651">
        <w:rPr>
          <w:i/>
          <w:iCs/>
        </w:rPr>
        <w:t>Cancer Imaging: the official publication of the International Cancer Imaging Society</w:t>
      </w:r>
      <w:r w:rsidRPr="00327B86">
        <w:t xml:space="preserve">, </w:t>
      </w:r>
      <w:r w:rsidRPr="004C1651">
        <w:rPr>
          <w:b/>
          <w:bCs/>
        </w:rPr>
        <w:t>18</w:t>
      </w:r>
      <w:r w:rsidRPr="00327B86">
        <w:t>(1):27</w:t>
      </w:r>
      <w:r>
        <w:t>.</w:t>
      </w:r>
    </w:p>
  </w:footnote>
  <w:footnote w:id="43">
    <w:p w14:paraId="05227171" w14:textId="77777777" w:rsidR="001F4F16" w:rsidRDefault="001F4F16" w:rsidP="006C4966">
      <w:pPr>
        <w:pStyle w:val="FootnoteText"/>
      </w:pPr>
      <w:r>
        <w:rPr>
          <w:rStyle w:val="FootnoteReference"/>
        </w:rPr>
        <w:footnoteRef/>
      </w:r>
      <w:r>
        <w:t xml:space="preserve"> </w:t>
      </w:r>
      <w:r w:rsidRPr="00327B86">
        <w:t xml:space="preserve">O'Neill AF, et al. (2018). 'Screening with whole-body magnetic resonance imaging in </w:t>
      </w:r>
      <w:proofErr w:type="spellStart"/>
      <w:r w:rsidRPr="00327B86">
        <w:t>pediatric</w:t>
      </w:r>
      <w:proofErr w:type="spellEnd"/>
      <w:r w:rsidRPr="00327B86">
        <w:t xml:space="preserve"> subjects with Li–Fraumeni syndrome: A single institution pilot study', </w:t>
      </w:r>
      <w:proofErr w:type="spellStart"/>
      <w:r w:rsidRPr="004C1651">
        <w:rPr>
          <w:i/>
          <w:iCs/>
        </w:rPr>
        <w:t>Pediatric</w:t>
      </w:r>
      <w:proofErr w:type="spellEnd"/>
      <w:r w:rsidRPr="004C1651">
        <w:rPr>
          <w:i/>
          <w:iCs/>
        </w:rPr>
        <w:t xml:space="preserve"> Blood and Cancer</w:t>
      </w:r>
      <w:r w:rsidRPr="00327B86">
        <w:t xml:space="preserve">, </w:t>
      </w:r>
      <w:r w:rsidRPr="004C1651">
        <w:rPr>
          <w:b/>
          <w:bCs/>
        </w:rPr>
        <w:t>65</w:t>
      </w:r>
      <w:r w:rsidRPr="00327B86">
        <w:t>(2).</w:t>
      </w:r>
    </w:p>
  </w:footnote>
  <w:footnote w:id="44">
    <w:p w14:paraId="1566A078" w14:textId="77777777" w:rsidR="001F4F16" w:rsidRDefault="001F4F16" w:rsidP="006C4966">
      <w:pPr>
        <w:pStyle w:val="FootnoteText"/>
      </w:pPr>
      <w:r>
        <w:rPr>
          <w:rStyle w:val="FootnoteReference"/>
        </w:rPr>
        <w:footnoteRef/>
      </w:r>
      <w:r>
        <w:t xml:space="preserve"> </w:t>
      </w:r>
      <w:r w:rsidRPr="00765E78">
        <w:t xml:space="preserve">Ballinger ML, et al. (2017). 'Baseline Surveillance in Li-Fraumeni Syndrome Using Whole-Body Magnetic Resonance Imaging: A Meta-analysis', </w:t>
      </w:r>
      <w:r w:rsidRPr="004C1651">
        <w:rPr>
          <w:i/>
          <w:iCs/>
        </w:rPr>
        <w:t>JAMA Oncology</w:t>
      </w:r>
      <w:r w:rsidRPr="00765E78">
        <w:t xml:space="preserve">, </w:t>
      </w:r>
      <w:r w:rsidRPr="004C1651">
        <w:rPr>
          <w:b/>
          <w:bCs/>
        </w:rPr>
        <w:t>3</w:t>
      </w:r>
      <w:r w:rsidRPr="00765E78">
        <w:t>(12):1634-1639</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3E5"/>
    <w:multiLevelType w:val="hybridMultilevel"/>
    <w:tmpl w:val="511064C0"/>
    <w:lvl w:ilvl="0" w:tplc="DF902D04">
      <w:numFmt w:val="bullet"/>
      <w:lvlText w:val="-"/>
      <w:lvlJc w:val="left"/>
      <w:pPr>
        <w:ind w:left="720" w:hanging="360"/>
      </w:pPr>
      <w:rPr>
        <w:rFonts w:ascii="Franklin Gothic Book" w:eastAsia="Calibri" w:hAnsi="Franklin Gothic Book"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A610A7"/>
    <w:multiLevelType w:val="hybridMultilevel"/>
    <w:tmpl w:val="FE189260"/>
    <w:lvl w:ilvl="0" w:tplc="59AEED2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455927"/>
    <w:multiLevelType w:val="hybridMultilevel"/>
    <w:tmpl w:val="9F68CAD4"/>
    <w:lvl w:ilvl="0" w:tplc="59AEED2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5D304D"/>
    <w:multiLevelType w:val="hybridMultilevel"/>
    <w:tmpl w:val="2E340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A13101"/>
    <w:multiLevelType w:val="hybridMultilevel"/>
    <w:tmpl w:val="71D6778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A777F3"/>
    <w:multiLevelType w:val="hybridMultilevel"/>
    <w:tmpl w:val="D3620C8A"/>
    <w:lvl w:ilvl="0" w:tplc="0C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136C3AA9"/>
    <w:multiLevelType w:val="hybridMultilevel"/>
    <w:tmpl w:val="4F9EB940"/>
    <w:lvl w:ilvl="0" w:tplc="0C090001">
      <w:start w:val="1"/>
      <w:numFmt w:val="bullet"/>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C613B"/>
    <w:multiLevelType w:val="hybridMultilevel"/>
    <w:tmpl w:val="1B3053B6"/>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C70B1"/>
    <w:multiLevelType w:val="hybridMultilevel"/>
    <w:tmpl w:val="FBD49A6A"/>
    <w:lvl w:ilvl="0" w:tplc="59AEED2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463BE5"/>
    <w:multiLevelType w:val="hybridMultilevel"/>
    <w:tmpl w:val="FA52AA9C"/>
    <w:lvl w:ilvl="0" w:tplc="0C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B5D2C"/>
    <w:multiLevelType w:val="hybridMultilevel"/>
    <w:tmpl w:val="53287AEA"/>
    <w:lvl w:ilvl="0" w:tplc="A2B8042C">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3" w15:restartNumberingAfterBreak="0">
    <w:nsid w:val="24C1374D"/>
    <w:multiLevelType w:val="hybridMultilevel"/>
    <w:tmpl w:val="613EE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E867E0"/>
    <w:multiLevelType w:val="hybridMultilevel"/>
    <w:tmpl w:val="878E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4B36D3"/>
    <w:multiLevelType w:val="hybridMultilevel"/>
    <w:tmpl w:val="17428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9B6AEC"/>
    <w:multiLevelType w:val="hybridMultilevel"/>
    <w:tmpl w:val="7930B2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FE3771"/>
    <w:multiLevelType w:val="hybridMultilevel"/>
    <w:tmpl w:val="3DDED082"/>
    <w:lvl w:ilvl="0" w:tplc="7F6609A4">
      <w:start w:val="1"/>
      <w:numFmt w:val="lowerLetter"/>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2A820953"/>
    <w:multiLevelType w:val="hybridMultilevel"/>
    <w:tmpl w:val="B6CE76F6"/>
    <w:lvl w:ilvl="0" w:tplc="59AEED2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414871"/>
    <w:multiLevelType w:val="hybridMultilevel"/>
    <w:tmpl w:val="33E402E6"/>
    <w:lvl w:ilvl="0" w:tplc="B3DA2C6A">
      <w:start w:val="1"/>
      <w:numFmt w:val="bullet"/>
      <w:pStyle w:val="BulletBefore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BD7173"/>
    <w:multiLevelType w:val="hybridMultilevel"/>
    <w:tmpl w:val="CC2E95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8D71FB"/>
    <w:multiLevelType w:val="hybridMultilevel"/>
    <w:tmpl w:val="05A8472E"/>
    <w:lvl w:ilvl="0" w:tplc="1AC8E93A">
      <w:start w:val="1"/>
      <w:numFmt w:val="bullet"/>
      <w:lvlText w:val="•"/>
      <w:lvlJc w:val="left"/>
      <w:pPr>
        <w:tabs>
          <w:tab w:val="num" w:pos="720"/>
        </w:tabs>
        <w:ind w:left="720" w:hanging="360"/>
      </w:pPr>
      <w:rPr>
        <w:rFonts w:ascii="Arial" w:hAnsi="Arial" w:hint="default"/>
      </w:rPr>
    </w:lvl>
    <w:lvl w:ilvl="1" w:tplc="D4FC720C" w:tentative="1">
      <w:start w:val="1"/>
      <w:numFmt w:val="bullet"/>
      <w:lvlText w:val="•"/>
      <w:lvlJc w:val="left"/>
      <w:pPr>
        <w:tabs>
          <w:tab w:val="num" w:pos="1440"/>
        </w:tabs>
        <w:ind w:left="1440" w:hanging="360"/>
      </w:pPr>
      <w:rPr>
        <w:rFonts w:ascii="Arial" w:hAnsi="Arial" w:hint="default"/>
      </w:rPr>
    </w:lvl>
    <w:lvl w:ilvl="2" w:tplc="A39062C4" w:tentative="1">
      <w:start w:val="1"/>
      <w:numFmt w:val="bullet"/>
      <w:lvlText w:val="•"/>
      <w:lvlJc w:val="left"/>
      <w:pPr>
        <w:tabs>
          <w:tab w:val="num" w:pos="2160"/>
        </w:tabs>
        <w:ind w:left="2160" w:hanging="360"/>
      </w:pPr>
      <w:rPr>
        <w:rFonts w:ascii="Arial" w:hAnsi="Arial" w:hint="default"/>
      </w:rPr>
    </w:lvl>
    <w:lvl w:ilvl="3" w:tplc="83E8F790" w:tentative="1">
      <w:start w:val="1"/>
      <w:numFmt w:val="bullet"/>
      <w:lvlText w:val="•"/>
      <w:lvlJc w:val="left"/>
      <w:pPr>
        <w:tabs>
          <w:tab w:val="num" w:pos="2880"/>
        </w:tabs>
        <w:ind w:left="2880" w:hanging="360"/>
      </w:pPr>
      <w:rPr>
        <w:rFonts w:ascii="Arial" w:hAnsi="Arial" w:hint="default"/>
      </w:rPr>
    </w:lvl>
    <w:lvl w:ilvl="4" w:tplc="EFBA7C9E" w:tentative="1">
      <w:start w:val="1"/>
      <w:numFmt w:val="bullet"/>
      <w:lvlText w:val="•"/>
      <w:lvlJc w:val="left"/>
      <w:pPr>
        <w:tabs>
          <w:tab w:val="num" w:pos="3600"/>
        </w:tabs>
        <w:ind w:left="3600" w:hanging="360"/>
      </w:pPr>
      <w:rPr>
        <w:rFonts w:ascii="Arial" w:hAnsi="Arial" w:hint="default"/>
      </w:rPr>
    </w:lvl>
    <w:lvl w:ilvl="5" w:tplc="1AEC4FB6" w:tentative="1">
      <w:start w:val="1"/>
      <w:numFmt w:val="bullet"/>
      <w:lvlText w:val="•"/>
      <w:lvlJc w:val="left"/>
      <w:pPr>
        <w:tabs>
          <w:tab w:val="num" w:pos="4320"/>
        </w:tabs>
        <w:ind w:left="4320" w:hanging="360"/>
      </w:pPr>
      <w:rPr>
        <w:rFonts w:ascii="Arial" w:hAnsi="Arial" w:hint="default"/>
      </w:rPr>
    </w:lvl>
    <w:lvl w:ilvl="6" w:tplc="71E258EE" w:tentative="1">
      <w:start w:val="1"/>
      <w:numFmt w:val="bullet"/>
      <w:lvlText w:val="•"/>
      <w:lvlJc w:val="left"/>
      <w:pPr>
        <w:tabs>
          <w:tab w:val="num" w:pos="5040"/>
        </w:tabs>
        <w:ind w:left="5040" w:hanging="360"/>
      </w:pPr>
      <w:rPr>
        <w:rFonts w:ascii="Arial" w:hAnsi="Arial" w:hint="default"/>
      </w:rPr>
    </w:lvl>
    <w:lvl w:ilvl="7" w:tplc="33F22048" w:tentative="1">
      <w:start w:val="1"/>
      <w:numFmt w:val="bullet"/>
      <w:lvlText w:val="•"/>
      <w:lvlJc w:val="left"/>
      <w:pPr>
        <w:tabs>
          <w:tab w:val="num" w:pos="5760"/>
        </w:tabs>
        <w:ind w:left="5760" w:hanging="360"/>
      </w:pPr>
      <w:rPr>
        <w:rFonts w:ascii="Arial" w:hAnsi="Arial" w:hint="default"/>
      </w:rPr>
    </w:lvl>
    <w:lvl w:ilvl="8" w:tplc="C22E0B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6E37022"/>
    <w:multiLevelType w:val="hybridMultilevel"/>
    <w:tmpl w:val="EDDA545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C386F5C"/>
    <w:multiLevelType w:val="hybridMultilevel"/>
    <w:tmpl w:val="F98CFCB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950EFE"/>
    <w:multiLevelType w:val="hybridMultilevel"/>
    <w:tmpl w:val="D03E5C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05243C7"/>
    <w:multiLevelType w:val="hybridMultilevel"/>
    <w:tmpl w:val="C3BCB81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AA7027"/>
    <w:multiLevelType w:val="hybridMultilevel"/>
    <w:tmpl w:val="C3D65E1C"/>
    <w:lvl w:ilvl="0" w:tplc="59AEED2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C949D3"/>
    <w:multiLevelType w:val="hybridMultilevel"/>
    <w:tmpl w:val="FABECC4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6D04FA2"/>
    <w:multiLevelType w:val="hybridMultilevel"/>
    <w:tmpl w:val="9F12E9C8"/>
    <w:lvl w:ilvl="0" w:tplc="0C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47AB24D2"/>
    <w:multiLevelType w:val="hybridMultilevel"/>
    <w:tmpl w:val="7AE06312"/>
    <w:lvl w:ilvl="0" w:tplc="36142358">
      <w:start w:val="1"/>
      <w:numFmt w:val="bullet"/>
      <w:lvlText w:val="•"/>
      <w:lvlJc w:val="left"/>
      <w:pPr>
        <w:tabs>
          <w:tab w:val="num" w:pos="720"/>
        </w:tabs>
        <w:ind w:left="720" w:hanging="360"/>
      </w:pPr>
      <w:rPr>
        <w:rFonts w:ascii="Arial" w:hAnsi="Arial" w:cs="Times New Roman" w:hint="default"/>
      </w:rPr>
    </w:lvl>
    <w:lvl w:ilvl="1" w:tplc="3248804C">
      <w:start w:val="1"/>
      <w:numFmt w:val="bullet"/>
      <w:lvlText w:val="•"/>
      <w:lvlJc w:val="left"/>
      <w:pPr>
        <w:tabs>
          <w:tab w:val="num" w:pos="1440"/>
        </w:tabs>
        <w:ind w:left="1440" w:hanging="360"/>
      </w:pPr>
      <w:rPr>
        <w:rFonts w:ascii="Arial" w:hAnsi="Arial" w:cs="Times New Roman" w:hint="default"/>
      </w:rPr>
    </w:lvl>
    <w:lvl w:ilvl="2" w:tplc="77B01332">
      <w:start w:val="1"/>
      <w:numFmt w:val="bullet"/>
      <w:lvlText w:val="•"/>
      <w:lvlJc w:val="left"/>
      <w:pPr>
        <w:tabs>
          <w:tab w:val="num" w:pos="2160"/>
        </w:tabs>
        <w:ind w:left="2160" w:hanging="360"/>
      </w:pPr>
      <w:rPr>
        <w:rFonts w:ascii="Arial" w:hAnsi="Arial" w:cs="Times New Roman" w:hint="default"/>
      </w:rPr>
    </w:lvl>
    <w:lvl w:ilvl="3" w:tplc="C1C426CA">
      <w:start w:val="1"/>
      <w:numFmt w:val="bullet"/>
      <w:lvlText w:val="•"/>
      <w:lvlJc w:val="left"/>
      <w:pPr>
        <w:tabs>
          <w:tab w:val="num" w:pos="2880"/>
        </w:tabs>
        <w:ind w:left="2880" w:hanging="360"/>
      </w:pPr>
      <w:rPr>
        <w:rFonts w:ascii="Arial" w:hAnsi="Arial" w:cs="Times New Roman" w:hint="default"/>
      </w:rPr>
    </w:lvl>
    <w:lvl w:ilvl="4" w:tplc="69229E76">
      <w:start w:val="1"/>
      <w:numFmt w:val="bullet"/>
      <w:lvlText w:val="•"/>
      <w:lvlJc w:val="left"/>
      <w:pPr>
        <w:tabs>
          <w:tab w:val="num" w:pos="3600"/>
        </w:tabs>
        <w:ind w:left="3600" w:hanging="360"/>
      </w:pPr>
      <w:rPr>
        <w:rFonts w:ascii="Arial" w:hAnsi="Arial" w:cs="Times New Roman" w:hint="default"/>
      </w:rPr>
    </w:lvl>
    <w:lvl w:ilvl="5" w:tplc="BF0E1D60">
      <w:start w:val="1"/>
      <w:numFmt w:val="bullet"/>
      <w:lvlText w:val="•"/>
      <w:lvlJc w:val="left"/>
      <w:pPr>
        <w:tabs>
          <w:tab w:val="num" w:pos="4320"/>
        </w:tabs>
        <w:ind w:left="4320" w:hanging="360"/>
      </w:pPr>
      <w:rPr>
        <w:rFonts w:ascii="Arial" w:hAnsi="Arial" w:cs="Times New Roman" w:hint="default"/>
      </w:rPr>
    </w:lvl>
    <w:lvl w:ilvl="6" w:tplc="36188058">
      <w:start w:val="1"/>
      <w:numFmt w:val="bullet"/>
      <w:lvlText w:val="•"/>
      <w:lvlJc w:val="left"/>
      <w:pPr>
        <w:tabs>
          <w:tab w:val="num" w:pos="5040"/>
        </w:tabs>
        <w:ind w:left="5040" w:hanging="360"/>
      </w:pPr>
      <w:rPr>
        <w:rFonts w:ascii="Arial" w:hAnsi="Arial" w:cs="Times New Roman" w:hint="default"/>
      </w:rPr>
    </w:lvl>
    <w:lvl w:ilvl="7" w:tplc="3B466A2C">
      <w:start w:val="1"/>
      <w:numFmt w:val="bullet"/>
      <w:lvlText w:val="•"/>
      <w:lvlJc w:val="left"/>
      <w:pPr>
        <w:tabs>
          <w:tab w:val="num" w:pos="5760"/>
        </w:tabs>
        <w:ind w:left="5760" w:hanging="360"/>
      </w:pPr>
      <w:rPr>
        <w:rFonts w:ascii="Arial" w:hAnsi="Arial" w:cs="Times New Roman" w:hint="default"/>
      </w:rPr>
    </w:lvl>
    <w:lvl w:ilvl="8" w:tplc="7068B616">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4DEA5309"/>
    <w:multiLevelType w:val="hybridMultilevel"/>
    <w:tmpl w:val="C8FE6A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76448A"/>
    <w:multiLevelType w:val="hybridMultilevel"/>
    <w:tmpl w:val="FD10FD40"/>
    <w:lvl w:ilvl="0" w:tplc="EA149FE4">
      <w:numFmt w:val="bullet"/>
      <w:lvlText w:val="-"/>
      <w:lvlJc w:val="left"/>
      <w:pPr>
        <w:ind w:left="780" w:hanging="360"/>
      </w:pPr>
      <w:rPr>
        <w:rFonts w:ascii="Times New Roman" w:eastAsia="Times New Roman"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4FA4068D"/>
    <w:multiLevelType w:val="hybridMultilevel"/>
    <w:tmpl w:val="1146045E"/>
    <w:lvl w:ilvl="0" w:tplc="59AEED2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6DA2313"/>
    <w:multiLevelType w:val="hybridMultilevel"/>
    <w:tmpl w:val="A26CAF74"/>
    <w:lvl w:ilvl="0" w:tplc="59AEED2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7013BE"/>
    <w:multiLevelType w:val="hybridMultilevel"/>
    <w:tmpl w:val="F4A4F5B8"/>
    <w:lvl w:ilvl="0" w:tplc="08D2D25E">
      <w:start w:val="3"/>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B046D9D"/>
    <w:multiLevelType w:val="hybridMultilevel"/>
    <w:tmpl w:val="C54C9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F80884"/>
    <w:multiLevelType w:val="hybridMultilevel"/>
    <w:tmpl w:val="D52A4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0C536B9"/>
    <w:multiLevelType w:val="hybridMultilevel"/>
    <w:tmpl w:val="1F5434DE"/>
    <w:lvl w:ilvl="0" w:tplc="691E1A74">
      <w:numFmt w:val="bullet"/>
      <w:lvlText w:val=""/>
      <w:lvlJc w:val="left"/>
      <w:pPr>
        <w:ind w:left="360" w:hanging="360"/>
      </w:pPr>
      <w:rPr>
        <w:rFonts w:ascii="Symbol" w:eastAsiaTheme="minorHAns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6384D56"/>
    <w:multiLevelType w:val="hybridMultilevel"/>
    <w:tmpl w:val="505ADD5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A50422"/>
    <w:multiLevelType w:val="hybridMultilevel"/>
    <w:tmpl w:val="F8C65C54"/>
    <w:lvl w:ilvl="0" w:tplc="0C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4036AA"/>
    <w:multiLevelType w:val="hybridMultilevel"/>
    <w:tmpl w:val="8E6C3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0314C65"/>
    <w:multiLevelType w:val="hybridMultilevel"/>
    <w:tmpl w:val="22488CEC"/>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E00EF6"/>
    <w:multiLevelType w:val="hybridMultilevel"/>
    <w:tmpl w:val="3F308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8BE6793"/>
    <w:multiLevelType w:val="hybridMultilevel"/>
    <w:tmpl w:val="5BF08C0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8E41F3"/>
    <w:multiLevelType w:val="hybridMultilevel"/>
    <w:tmpl w:val="8E0250A6"/>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25"/>
  </w:num>
  <w:num w:numId="2">
    <w:abstractNumId w:val="53"/>
  </w:num>
  <w:num w:numId="3">
    <w:abstractNumId w:val="5"/>
  </w:num>
  <w:num w:numId="4">
    <w:abstractNumId w:val="12"/>
  </w:num>
  <w:num w:numId="5">
    <w:abstractNumId w:val="50"/>
  </w:num>
  <w:num w:numId="6">
    <w:abstractNumId w:val="16"/>
  </w:num>
  <w:num w:numId="7">
    <w:abstractNumId w:val="32"/>
  </w:num>
  <w:num w:numId="8">
    <w:abstractNumId w:val="19"/>
  </w:num>
  <w:num w:numId="9">
    <w:abstractNumId w:val="24"/>
  </w:num>
  <w:num w:numId="10">
    <w:abstractNumId w:val="34"/>
  </w:num>
  <w:num w:numId="11">
    <w:abstractNumId w:val="3"/>
  </w:num>
  <w:num w:numId="12">
    <w:abstractNumId w:val="43"/>
  </w:num>
  <w:num w:numId="13">
    <w:abstractNumId w:val="21"/>
  </w:num>
  <w:num w:numId="14">
    <w:abstractNumId w:val="10"/>
  </w:num>
  <w:num w:numId="15">
    <w:abstractNumId w:val="6"/>
  </w:num>
  <w:num w:numId="16">
    <w:abstractNumId w:val="11"/>
  </w:num>
  <w:num w:numId="17">
    <w:abstractNumId w:val="18"/>
  </w:num>
  <w:num w:numId="18">
    <w:abstractNumId w:val="29"/>
  </w:num>
  <w:num w:numId="19">
    <w:abstractNumId w:val="14"/>
  </w:num>
  <w:num w:numId="20">
    <w:abstractNumId w:val="7"/>
  </w:num>
  <w:num w:numId="21">
    <w:abstractNumId w:val="27"/>
  </w:num>
  <w:num w:numId="22">
    <w:abstractNumId w:val="8"/>
  </w:num>
  <w:num w:numId="23">
    <w:abstractNumId w:val="4"/>
  </w:num>
  <w:num w:numId="24">
    <w:abstractNumId w:val="48"/>
  </w:num>
  <w:num w:numId="25">
    <w:abstractNumId w:val="51"/>
  </w:num>
  <w:num w:numId="26">
    <w:abstractNumId w:val="15"/>
  </w:num>
  <w:num w:numId="27">
    <w:abstractNumId w:val="45"/>
  </w:num>
  <w:num w:numId="28">
    <w:abstractNumId w:val="13"/>
  </w:num>
  <w:num w:numId="29">
    <w:abstractNumId w:val="17"/>
  </w:num>
  <w:num w:numId="30">
    <w:abstractNumId w:val="49"/>
  </w:num>
  <w:num w:numId="31">
    <w:abstractNumId w:val="47"/>
  </w:num>
  <w:num w:numId="32">
    <w:abstractNumId w:val="26"/>
  </w:num>
  <w:num w:numId="33">
    <w:abstractNumId w:val="22"/>
  </w:num>
  <w:num w:numId="34">
    <w:abstractNumId w:val="41"/>
  </w:num>
  <w:num w:numId="35">
    <w:abstractNumId w:val="36"/>
  </w:num>
  <w:num w:numId="36">
    <w:abstractNumId w:val="52"/>
  </w:num>
  <w:num w:numId="37">
    <w:abstractNumId w:val="46"/>
  </w:num>
  <w:num w:numId="38">
    <w:abstractNumId w:val="33"/>
  </w:num>
  <w:num w:numId="39">
    <w:abstractNumId w:val="38"/>
  </w:num>
  <w:num w:numId="40">
    <w:abstractNumId w:val="39"/>
  </w:num>
  <w:num w:numId="41">
    <w:abstractNumId w:val="2"/>
  </w:num>
  <w:num w:numId="42">
    <w:abstractNumId w:val="9"/>
  </w:num>
  <w:num w:numId="43">
    <w:abstractNumId w:val="30"/>
  </w:num>
  <w:num w:numId="44">
    <w:abstractNumId w:val="20"/>
  </w:num>
  <w:num w:numId="45">
    <w:abstractNumId w:val="1"/>
  </w:num>
  <w:num w:numId="46">
    <w:abstractNumId w:val="44"/>
  </w:num>
  <w:num w:numId="47">
    <w:abstractNumId w:val="42"/>
  </w:num>
  <w:num w:numId="48">
    <w:abstractNumId w:val="31"/>
  </w:num>
  <w:num w:numId="49">
    <w:abstractNumId w:val="28"/>
  </w:num>
  <w:num w:numId="50">
    <w:abstractNumId w:val="0"/>
  </w:num>
  <w:num w:numId="51">
    <w:abstractNumId w:val="23"/>
  </w:num>
  <w:num w:numId="52">
    <w:abstractNumId w:val="37"/>
  </w:num>
  <w:num w:numId="53">
    <w:abstractNumId w:val="25"/>
  </w:num>
  <w:num w:numId="54">
    <w:abstractNumId w:val="35"/>
  </w:num>
  <w:num w:numId="55">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225"/>
    <w:rsid w:val="0000109A"/>
    <w:rsid w:val="00001AE6"/>
    <w:rsid w:val="0000246E"/>
    <w:rsid w:val="000033BD"/>
    <w:rsid w:val="00003497"/>
    <w:rsid w:val="00003870"/>
    <w:rsid w:val="0000416B"/>
    <w:rsid w:val="00004D69"/>
    <w:rsid w:val="00004F7F"/>
    <w:rsid w:val="000054C9"/>
    <w:rsid w:val="000059AF"/>
    <w:rsid w:val="0000609A"/>
    <w:rsid w:val="000066D6"/>
    <w:rsid w:val="00006FAD"/>
    <w:rsid w:val="00007091"/>
    <w:rsid w:val="00007108"/>
    <w:rsid w:val="00007750"/>
    <w:rsid w:val="00007AE6"/>
    <w:rsid w:val="00010D67"/>
    <w:rsid w:val="00011568"/>
    <w:rsid w:val="0001227E"/>
    <w:rsid w:val="0001233D"/>
    <w:rsid w:val="000123CC"/>
    <w:rsid w:val="00012928"/>
    <w:rsid w:val="00012E9D"/>
    <w:rsid w:val="00013071"/>
    <w:rsid w:val="00013E2F"/>
    <w:rsid w:val="00014974"/>
    <w:rsid w:val="000166E6"/>
    <w:rsid w:val="00017189"/>
    <w:rsid w:val="00020815"/>
    <w:rsid w:val="00021D2D"/>
    <w:rsid w:val="00021FFF"/>
    <w:rsid w:val="00022788"/>
    <w:rsid w:val="000228B8"/>
    <w:rsid w:val="00022E21"/>
    <w:rsid w:val="00023812"/>
    <w:rsid w:val="0002381B"/>
    <w:rsid w:val="000242C3"/>
    <w:rsid w:val="0002445D"/>
    <w:rsid w:val="00024EA5"/>
    <w:rsid w:val="0002504C"/>
    <w:rsid w:val="00025969"/>
    <w:rsid w:val="00025C3C"/>
    <w:rsid w:val="0002648A"/>
    <w:rsid w:val="000264C6"/>
    <w:rsid w:val="000264CA"/>
    <w:rsid w:val="00026D2C"/>
    <w:rsid w:val="0002705C"/>
    <w:rsid w:val="0002755F"/>
    <w:rsid w:val="00027E45"/>
    <w:rsid w:val="0003030B"/>
    <w:rsid w:val="0003134A"/>
    <w:rsid w:val="00031714"/>
    <w:rsid w:val="00032759"/>
    <w:rsid w:val="0003286D"/>
    <w:rsid w:val="0003423A"/>
    <w:rsid w:val="0003477F"/>
    <w:rsid w:val="00034DD7"/>
    <w:rsid w:val="00035509"/>
    <w:rsid w:val="0003596A"/>
    <w:rsid w:val="00036510"/>
    <w:rsid w:val="00036AD8"/>
    <w:rsid w:val="00036D4A"/>
    <w:rsid w:val="00037037"/>
    <w:rsid w:val="00037302"/>
    <w:rsid w:val="0004005D"/>
    <w:rsid w:val="00040183"/>
    <w:rsid w:val="00040624"/>
    <w:rsid w:val="00040ADF"/>
    <w:rsid w:val="00040B8C"/>
    <w:rsid w:val="00040C8D"/>
    <w:rsid w:val="00040FB4"/>
    <w:rsid w:val="0004178C"/>
    <w:rsid w:val="0004198E"/>
    <w:rsid w:val="00041F5D"/>
    <w:rsid w:val="00042073"/>
    <w:rsid w:val="00042E55"/>
    <w:rsid w:val="000443A6"/>
    <w:rsid w:val="000448B4"/>
    <w:rsid w:val="000449D1"/>
    <w:rsid w:val="000452DD"/>
    <w:rsid w:val="00045724"/>
    <w:rsid w:val="000459BE"/>
    <w:rsid w:val="00045B8D"/>
    <w:rsid w:val="00045CC5"/>
    <w:rsid w:val="00046B6A"/>
    <w:rsid w:val="000472D4"/>
    <w:rsid w:val="00050B31"/>
    <w:rsid w:val="000513E4"/>
    <w:rsid w:val="00051B50"/>
    <w:rsid w:val="00052DD3"/>
    <w:rsid w:val="0005326D"/>
    <w:rsid w:val="000539CC"/>
    <w:rsid w:val="00053F6C"/>
    <w:rsid w:val="000546C3"/>
    <w:rsid w:val="00054ADC"/>
    <w:rsid w:val="00054B0C"/>
    <w:rsid w:val="00055EA5"/>
    <w:rsid w:val="00055F5D"/>
    <w:rsid w:val="000569BF"/>
    <w:rsid w:val="00057334"/>
    <w:rsid w:val="00057641"/>
    <w:rsid w:val="00057814"/>
    <w:rsid w:val="00057CA6"/>
    <w:rsid w:val="00060EB1"/>
    <w:rsid w:val="00061913"/>
    <w:rsid w:val="00062ADE"/>
    <w:rsid w:val="0006339C"/>
    <w:rsid w:val="00063821"/>
    <w:rsid w:val="00063896"/>
    <w:rsid w:val="00064783"/>
    <w:rsid w:val="000647C2"/>
    <w:rsid w:val="00065089"/>
    <w:rsid w:val="00066D10"/>
    <w:rsid w:val="00067313"/>
    <w:rsid w:val="00067833"/>
    <w:rsid w:val="0006799D"/>
    <w:rsid w:val="00067BAA"/>
    <w:rsid w:val="0007006E"/>
    <w:rsid w:val="0007021F"/>
    <w:rsid w:val="000709A0"/>
    <w:rsid w:val="00070E35"/>
    <w:rsid w:val="00071151"/>
    <w:rsid w:val="00071E94"/>
    <w:rsid w:val="00072517"/>
    <w:rsid w:val="000734F8"/>
    <w:rsid w:val="00074199"/>
    <w:rsid w:val="0007419F"/>
    <w:rsid w:val="000741C4"/>
    <w:rsid w:val="000750D9"/>
    <w:rsid w:val="000753C6"/>
    <w:rsid w:val="000764E0"/>
    <w:rsid w:val="000767E4"/>
    <w:rsid w:val="000774F3"/>
    <w:rsid w:val="00077858"/>
    <w:rsid w:val="0007798D"/>
    <w:rsid w:val="00077BA1"/>
    <w:rsid w:val="00077D3D"/>
    <w:rsid w:val="00077FAD"/>
    <w:rsid w:val="00080241"/>
    <w:rsid w:val="00081778"/>
    <w:rsid w:val="0008222F"/>
    <w:rsid w:val="00082EA7"/>
    <w:rsid w:val="00083703"/>
    <w:rsid w:val="00084607"/>
    <w:rsid w:val="00085857"/>
    <w:rsid w:val="00085B83"/>
    <w:rsid w:val="00085FF2"/>
    <w:rsid w:val="000870B6"/>
    <w:rsid w:val="00090134"/>
    <w:rsid w:val="00090613"/>
    <w:rsid w:val="00090A5A"/>
    <w:rsid w:val="00090BD1"/>
    <w:rsid w:val="00090E31"/>
    <w:rsid w:val="00091296"/>
    <w:rsid w:val="00091857"/>
    <w:rsid w:val="00091C59"/>
    <w:rsid w:val="00092A21"/>
    <w:rsid w:val="00093D9A"/>
    <w:rsid w:val="00093EC2"/>
    <w:rsid w:val="00094656"/>
    <w:rsid w:val="0009521A"/>
    <w:rsid w:val="00095681"/>
    <w:rsid w:val="00095BBB"/>
    <w:rsid w:val="00096B52"/>
    <w:rsid w:val="00096D4A"/>
    <w:rsid w:val="00097ACB"/>
    <w:rsid w:val="00097BDA"/>
    <w:rsid w:val="00097D67"/>
    <w:rsid w:val="000A00CF"/>
    <w:rsid w:val="000A0AB0"/>
    <w:rsid w:val="000A0B38"/>
    <w:rsid w:val="000A10BF"/>
    <w:rsid w:val="000A19C2"/>
    <w:rsid w:val="000A1AE5"/>
    <w:rsid w:val="000A2271"/>
    <w:rsid w:val="000A28EF"/>
    <w:rsid w:val="000A2ACD"/>
    <w:rsid w:val="000A2B65"/>
    <w:rsid w:val="000A2C7F"/>
    <w:rsid w:val="000A2DA8"/>
    <w:rsid w:val="000A3033"/>
    <w:rsid w:val="000A3332"/>
    <w:rsid w:val="000A450A"/>
    <w:rsid w:val="000A49CD"/>
    <w:rsid w:val="000A4A6C"/>
    <w:rsid w:val="000A50EA"/>
    <w:rsid w:val="000A58B4"/>
    <w:rsid w:val="000A5C47"/>
    <w:rsid w:val="000A629E"/>
    <w:rsid w:val="000A6472"/>
    <w:rsid w:val="000A6B30"/>
    <w:rsid w:val="000A70BC"/>
    <w:rsid w:val="000A712C"/>
    <w:rsid w:val="000B0106"/>
    <w:rsid w:val="000B1039"/>
    <w:rsid w:val="000B18B7"/>
    <w:rsid w:val="000B2180"/>
    <w:rsid w:val="000B2476"/>
    <w:rsid w:val="000B2CCD"/>
    <w:rsid w:val="000B3330"/>
    <w:rsid w:val="000B3BE9"/>
    <w:rsid w:val="000B3BEE"/>
    <w:rsid w:val="000B3EB4"/>
    <w:rsid w:val="000B410E"/>
    <w:rsid w:val="000B4389"/>
    <w:rsid w:val="000B4650"/>
    <w:rsid w:val="000B467B"/>
    <w:rsid w:val="000B47FF"/>
    <w:rsid w:val="000B5FFC"/>
    <w:rsid w:val="000B60A0"/>
    <w:rsid w:val="000B6287"/>
    <w:rsid w:val="000B675E"/>
    <w:rsid w:val="000B6CF0"/>
    <w:rsid w:val="000B720C"/>
    <w:rsid w:val="000B73B2"/>
    <w:rsid w:val="000B7665"/>
    <w:rsid w:val="000B7B22"/>
    <w:rsid w:val="000C1068"/>
    <w:rsid w:val="000C1490"/>
    <w:rsid w:val="000C3A3A"/>
    <w:rsid w:val="000C3A55"/>
    <w:rsid w:val="000C736E"/>
    <w:rsid w:val="000C77B8"/>
    <w:rsid w:val="000C7C46"/>
    <w:rsid w:val="000C7FB2"/>
    <w:rsid w:val="000D07E7"/>
    <w:rsid w:val="000D0D4D"/>
    <w:rsid w:val="000D1450"/>
    <w:rsid w:val="000D1AF7"/>
    <w:rsid w:val="000D1B52"/>
    <w:rsid w:val="000D275A"/>
    <w:rsid w:val="000D2BBC"/>
    <w:rsid w:val="000D36B9"/>
    <w:rsid w:val="000D3D60"/>
    <w:rsid w:val="000D4951"/>
    <w:rsid w:val="000D4C1B"/>
    <w:rsid w:val="000D50A6"/>
    <w:rsid w:val="000D51CE"/>
    <w:rsid w:val="000D5523"/>
    <w:rsid w:val="000D5804"/>
    <w:rsid w:val="000D58F2"/>
    <w:rsid w:val="000D682D"/>
    <w:rsid w:val="000D716C"/>
    <w:rsid w:val="000D790A"/>
    <w:rsid w:val="000D7B2C"/>
    <w:rsid w:val="000E03DC"/>
    <w:rsid w:val="000E03FD"/>
    <w:rsid w:val="000E0588"/>
    <w:rsid w:val="000E09E3"/>
    <w:rsid w:val="000E1124"/>
    <w:rsid w:val="000E18DB"/>
    <w:rsid w:val="000E2F08"/>
    <w:rsid w:val="000E4EFE"/>
    <w:rsid w:val="000E527B"/>
    <w:rsid w:val="000E5531"/>
    <w:rsid w:val="000E6410"/>
    <w:rsid w:val="000E662D"/>
    <w:rsid w:val="000E678B"/>
    <w:rsid w:val="000E68B0"/>
    <w:rsid w:val="000E6AEF"/>
    <w:rsid w:val="000E6F62"/>
    <w:rsid w:val="000E6FF2"/>
    <w:rsid w:val="000E7531"/>
    <w:rsid w:val="000E7A24"/>
    <w:rsid w:val="000F0F33"/>
    <w:rsid w:val="000F0FD7"/>
    <w:rsid w:val="000F28B3"/>
    <w:rsid w:val="000F2C25"/>
    <w:rsid w:val="000F2E01"/>
    <w:rsid w:val="000F2F2D"/>
    <w:rsid w:val="000F30D0"/>
    <w:rsid w:val="000F3372"/>
    <w:rsid w:val="000F3E0B"/>
    <w:rsid w:val="000F42E4"/>
    <w:rsid w:val="000F439C"/>
    <w:rsid w:val="000F57F6"/>
    <w:rsid w:val="000F5A54"/>
    <w:rsid w:val="000F6FCA"/>
    <w:rsid w:val="000F7649"/>
    <w:rsid w:val="000F7712"/>
    <w:rsid w:val="000F7987"/>
    <w:rsid w:val="000F79C6"/>
    <w:rsid w:val="0010051C"/>
    <w:rsid w:val="0010059D"/>
    <w:rsid w:val="0010078C"/>
    <w:rsid w:val="00100B0F"/>
    <w:rsid w:val="00101164"/>
    <w:rsid w:val="00101539"/>
    <w:rsid w:val="00101936"/>
    <w:rsid w:val="00101A58"/>
    <w:rsid w:val="00101DAA"/>
    <w:rsid w:val="00102C89"/>
    <w:rsid w:val="00103DA3"/>
    <w:rsid w:val="00103E47"/>
    <w:rsid w:val="00104326"/>
    <w:rsid w:val="0010448B"/>
    <w:rsid w:val="00104549"/>
    <w:rsid w:val="0010521F"/>
    <w:rsid w:val="001055BB"/>
    <w:rsid w:val="00105E63"/>
    <w:rsid w:val="0010625A"/>
    <w:rsid w:val="00107524"/>
    <w:rsid w:val="001079BE"/>
    <w:rsid w:val="00107DCD"/>
    <w:rsid w:val="00107EF0"/>
    <w:rsid w:val="00107F5A"/>
    <w:rsid w:val="001106B7"/>
    <w:rsid w:val="00110984"/>
    <w:rsid w:val="00111417"/>
    <w:rsid w:val="00111532"/>
    <w:rsid w:val="00111E9D"/>
    <w:rsid w:val="001123DD"/>
    <w:rsid w:val="00112502"/>
    <w:rsid w:val="00112606"/>
    <w:rsid w:val="0011320D"/>
    <w:rsid w:val="001136E0"/>
    <w:rsid w:val="001137A8"/>
    <w:rsid w:val="00113C60"/>
    <w:rsid w:val="00113DFB"/>
    <w:rsid w:val="0011438B"/>
    <w:rsid w:val="0011489F"/>
    <w:rsid w:val="00114C3B"/>
    <w:rsid w:val="00115691"/>
    <w:rsid w:val="001162D7"/>
    <w:rsid w:val="001162DD"/>
    <w:rsid w:val="00116E35"/>
    <w:rsid w:val="00117039"/>
    <w:rsid w:val="0011782D"/>
    <w:rsid w:val="00117F04"/>
    <w:rsid w:val="001209D1"/>
    <w:rsid w:val="00120D5D"/>
    <w:rsid w:val="0012197A"/>
    <w:rsid w:val="00122342"/>
    <w:rsid w:val="00122372"/>
    <w:rsid w:val="001229C0"/>
    <w:rsid w:val="001229DD"/>
    <w:rsid w:val="00122AE3"/>
    <w:rsid w:val="00122EE1"/>
    <w:rsid w:val="001233B7"/>
    <w:rsid w:val="00123658"/>
    <w:rsid w:val="001237AF"/>
    <w:rsid w:val="00123C64"/>
    <w:rsid w:val="00124276"/>
    <w:rsid w:val="00124440"/>
    <w:rsid w:val="001247EB"/>
    <w:rsid w:val="00124F00"/>
    <w:rsid w:val="00124F3C"/>
    <w:rsid w:val="0012523C"/>
    <w:rsid w:val="0012558B"/>
    <w:rsid w:val="00125B61"/>
    <w:rsid w:val="00126122"/>
    <w:rsid w:val="00126313"/>
    <w:rsid w:val="00127D2B"/>
    <w:rsid w:val="00127FF7"/>
    <w:rsid w:val="00130135"/>
    <w:rsid w:val="001308B2"/>
    <w:rsid w:val="00131256"/>
    <w:rsid w:val="00131619"/>
    <w:rsid w:val="00131D45"/>
    <w:rsid w:val="001320F0"/>
    <w:rsid w:val="00132E63"/>
    <w:rsid w:val="00133394"/>
    <w:rsid w:val="001336E0"/>
    <w:rsid w:val="00133BFB"/>
    <w:rsid w:val="00133F34"/>
    <w:rsid w:val="0013427D"/>
    <w:rsid w:val="00135273"/>
    <w:rsid w:val="00135C56"/>
    <w:rsid w:val="00135FB3"/>
    <w:rsid w:val="00135FC9"/>
    <w:rsid w:val="00136547"/>
    <w:rsid w:val="00136B5A"/>
    <w:rsid w:val="00136F36"/>
    <w:rsid w:val="0013776E"/>
    <w:rsid w:val="00140EAB"/>
    <w:rsid w:val="0014158E"/>
    <w:rsid w:val="001422CA"/>
    <w:rsid w:val="00142F14"/>
    <w:rsid w:val="00143478"/>
    <w:rsid w:val="001438E7"/>
    <w:rsid w:val="00143E8E"/>
    <w:rsid w:val="00143F2F"/>
    <w:rsid w:val="001453FD"/>
    <w:rsid w:val="00145835"/>
    <w:rsid w:val="00145EF3"/>
    <w:rsid w:val="001460FA"/>
    <w:rsid w:val="00146111"/>
    <w:rsid w:val="00146624"/>
    <w:rsid w:val="00147161"/>
    <w:rsid w:val="0014777B"/>
    <w:rsid w:val="00147FE5"/>
    <w:rsid w:val="001501BC"/>
    <w:rsid w:val="00150376"/>
    <w:rsid w:val="00150968"/>
    <w:rsid w:val="00150BB3"/>
    <w:rsid w:val="0015173E"/>
    <w:rsid w:val="00151DBD"/>
    <w:rsid w:val="00152866"/>
    <w:rsid w:val="001531D6"/>
    <w:rsid w:val="0015436F"/>
    <w:rsid w:val="001550EE"/>
    <w:rsid w:val="00155434"/>
    <w:rsid w:val="001555AD"/>
    <w:rsid w:val="00155BDA"/>
    <w:rsid w:val="00155D5F"/>
    <w:rsid w:val="00156727"/>
    <w:rsid w:val="00156E75"/>
    <w:rsid w:val="00156FA7"/>
    <w:rsid w:val="00157A36"/>
    <w:rsid w:val="00157B8A"/>
    <w:rsid w:val="00157BCB"/>
    <w:rsid w:val="0016023A"/>
    <w:rsid w:val="001603C0"/>
    <w:rsid w:val="00161DD5"/>
    <w:rsid w:val="00162568"/>
    <w:rsid w:val="00162DBF"/>
    <w:rsid w:val="00163D01"/>
    <w:rsid w:val="00163FB6"/>
    <w:rsid w:val="00164CF8"/>
    <w:rsid w:val="00164D12"/>
    <w:rsid w:val="001653AE"/>
    <w:rsid w:val="00165E8A"/>
    <w:rsid w:val="00166F4B"/>
    <w:rsid w:val="00167025"/>
    <w:rsid w:val="00167B74"/>
    <w:rsid w:val="00167B83"/>
    <w:rsid w:val="00170754"/>
    <w:rsid w:val="001709ED"/>
    <w:rsid w:val="00170D5B"/>
    <w:rsid w:val="00172370"/>
    <w:rsid w:val="00172B8F"/>
    <w:rsid w:val="00172D52"/>
    <w:rsid w:val="00173066"/>
    <w:rsid w:val="001731E1"/>
    <w:rsid w:val="001736F8"/>
    <w:rsid w:val="00173D85"/>
    <w:rsid w:val="00173E6F"/>
    <w:rsid w:val="00174028"/>
    <w:rsid w:val="00174800"/>
    <w:rsid w:val="0017483D"/>
    <w:rsid w:val="00174FD4"/>
    <w:rsid w:val="00175D5F"/>
    <w:rsid w:val="0017610D"/>
    <w:rsid w:val="00176222"/>
    <w:rsid w:val="0017707B"/>
    <w:rsid w:val="001805FA"/>
    <w:rsid w:val="00180E75"/>
    <w:rsid w:val="00180E9B"/>
    <w:rsid w:val="00181078"/>
    <w:rsid w:val="00184085"/>
    <w:rsid w:val="00184BAE"/>
    <w:rsid w:val="0018516A"/>
    <w:rsid w:val="001851A9"/>
    <w:rsid w:val="00185300"/>
    <w:rsid w:val="001853AB"/>
    <w:rsid w:val="00185E24"/>
    <w:rsid w:val="00185E5E"/>
    <w:rsid w:val="001870E1"/>
    <w:rsid w:val="00187479"/>
    <w:rsid w:val="0019065C"/>
    <w:rsid w:val="001906F6"/>
    <w:rsid w:val="00191036"/>
    <w:rsid w:val="00191106"/>
    <w:rsid w:val="001912E1"/>
    <w:rsid w:val="0019130B"/>
    <w:rsid w:val="00191588"/>
    <w:rsid w:val="0019362A"/>
    <w:rsid w:val="001938A5"/>
    <w:rsid w:val="0019474E"/>
    <w:rsid w:val="0019484D"/>
    <w:rsid w:val="00195728"/>
    <w:rsid w:val="0019613B"/>
    <w:rsid w:val="0019644E"/>
    <w:rsid w:val="001967BB"/>
    <w:rsid w:val="00196DBA"/>
    <w:rsid w:val="001970C0"/>
    <w:rsid w:val="00197932"/>
    <w:rsid w:val="001A01CF"/>
    <w:rsid w:val="001A02FB"/>
    <w:rsid w:val="001A14F9"/>
    <w:rsid w:val="001A15FF"/>
    <w:rsid w:val="001A1CB7"/>
    <w:rsid w:val="001A2BC1"/>
    <w:rsid w:val="001A39EA"/>
    <w:rsid w:val="001A3AF1"/>
    <w:rsid w:val="001A420B"/>
    <w:rsid w:val="001A47E0"/>
    <w:rsid w:val="001A4B97"/>
    <w:rsid w:val="001A4F7D"/>
    <w:rsid w:val="001A53EE"/>
    <w:rsid w:val="001A66AA"/>
    <w:rsid w:val="001A6D38"/>
    <w:rsid w:val="001A773B"/>
    <w:rsid w:val="001A7B42"/>
    <w:rsid w:val="001A7BAB"/>
    <w:rsid w:val="001A7D83"/>
    <w:rsid w:val="001A7D8F"/>
    <w:rsid w:val="001B0626"/>
    <w:rsid w:val="001B0655"/>
    <w:rsid w:val="001B0C59"/>
    <w:rsid w:val="001B1263"/>
    <w:rsid w:val="001B298D"/>
    <w:rsid w:val="001B2A97"/>
    <w:rsid w:val="001B2CD4"/>
    <w:rsid w:val="001B3543"/>
    <w:rsid w:val="001B37FC"/>
    <w:rsid w:val="001B3EB8"/>
    <w:rsid w:val="001B41AA"/>
    <w:rsid w:val="001B4223"/>
    <w:rsid w:val="001B49CA"/>
    <w:rsid w:val="001B564F"/>
    <w:rsid w:val="001B651B"/>
    <w:rsid w:val="001B6568"/>
    <w:rsid w:val="001B6BE7"/>
    <w:rsid w:val="001B7140"/>
    <w:rsid w:val="001B7306"/>
    <w:rsid w:val="001B7329"/>
    <w:rsid w:val="001B75E8"/>
    <w:rsid w:val="001B76ED"/>
    <w:rsid w:val="001B77F6"/>
    <w:rsid w:val="001C0B93"/>
    <w:rsid w:val="001C174A"/>
    <w:rsid w:val="001C17DD"/>
    <w:rsid w:val="001C182A"/>
    <w:rsid w:val="001C1B4A"/>
    <w:rsid w:val="001C1D05"/>
    <w:rsid w:val="001C1DB9"/>
    <w:rsid w:val="001C2A48"/>
    <w:rsid w:val="001C2BD7"/>
    <w:rsid w:val="001C3CBF"/>
    <w:rsid w:val="001C4391"/>
    <w:rsid w:val="001C4639"/>
    <w:rsid w:val="001C5C19"/>
    <w:rsid w:val="001C60C3"/>
    <w:rsid w:val="001C69E3"/>
    <w:rsid w:val="001C6DFD"/>
    <w:rsid w:val="001C6FF3"/>
    <w:rsid w:val="001C7279"/>
    <w:rsid w:val="001C72B4"/>
    <w:rsid w:val="001C7459"/>
    <w:rsid w:val="001C79F2"/>
    <w:rsid w:val="001D01CE"/>
    <w:rsid w:val="001D0D29"/>
    <w:rsid w:val="001D12E2"/>
    <w:rsid w:val="001D1ABA"/>
    <w:rsid w:val="001D211C"/>
    <w:rsid w:val="001D26BD"/>
    <w:rsid w:val="001D29BF"/>
    <w:rsid w:val="001D3276"/>
    <w:rsid w:val="001D32C0"/>
    <w:rsid w:val="001D3A64"/>
    <w:rsid w:val="001D4131"/>
    <w:rsid w:val="001D415D"/>
    <w:rsid w:val="001D4A2C"/>
    <w:rsid w:val="001D5793"/>
    <w:rsid w:val="001D6C7C"/>
    <w:rsid w:val="001D74A7"/>
    <w:rsid w:val="001D7602"/>
    <w:rsid w:val="001D76F3"/>
    <w:rsid w:val="001E0C28"/>
    <w:rsid w:val="001E13F0"/>
    <w:rsid w:val="001E15F2"/>
    <w:rsid w:val="001E22F7"/>
    <w:rsid w:val="001E23F0"/>
    <w:rsid w:val="001E465F"/>
    <w:rsid w:val="001E5088"/>
    <w:rsid w:val="001E5255"/>
    <w:rsid w:val="001E55AC"/>
    <w:rsid w:val="001E5640"/>
    <w:rsid w:val="001E564C"/>
    <w:rsid w:val="001E6AF2"/>
    <w:rsid w:val="001E6DEF"/>
    <w:rsid w:val="001E74CB"/>
    <w:rsid w:val="001E7754"/>
    <w:rsid w:val="001E7A0A"/>
    <w:rsid w:val="001E7D8E"/>
    <w:rsid w:val="001F0260"/>
    <w:rsid w:val="001F04D7"/>
    <w:rsid w:val="001F0837"/>
    <w:rsid w:val="001F0ADE"/>
    <w:rsid w:val="001F1F25"/>
    <w:rsid w:val="001F1FE9"/>
    <w:rsid w:val="001F2902"/>
    <w:rsid w:val="001F2F20"/>
    <w:rsid w:val="001F3F36"/>
    <w:rsid w:val="001F432D"/>
    <w:rsid w:val="001F4388"/>
    <w:rsid w:val="001F4F16"/>
    <w:rsid w:val="001F51E9"/>
    <w:rsid w:val="001F5458"/>
    <w:rsid w:val="001F658C"/>
    <w:rsid w:val="001F675C"/>
    <w:rsid w:val="001F6A61"/>
    <w:rsid w:val="001F6C80"/>
    <w:rsid w:val="001F6F44"/>
    <w:rsid w:val="001F7140"/>
    <w:rsid w:val="001F7563"/>
    <w:rsid w:val="001F7BEA"/>
    <w:rsid w:val="001F7ED9"/>
    <w:rsid w:val="00200E52"/>
    <w:rsid w:val="00200EA8"/>
    <w:rsid w:val="002020C0"/>
    <w:rsid w:val="002023AF"/>
    <w:rsid w:val="002025EF"/>
    <w:rsid w:val="002031FC"/>
    <w:rsid w:val="00205193"/>
    <w:rsid w:val="00206CAA"/>
    <w:rsid w:val="0020744E"/>
    <w:rsid w:val="0020752D"/>
    <w:rsid w:val="00207668"/>
    <w:rsid w:val="00207AAF"/>
    <w:rsid w:val="00207B9F"/>
    <w:rsid w:val="00207F59"/>
    <w:rsid w:val="002104A4"/>
    <w:rsid w:val="00210610"/>
    <w:rsid w:val="00210A1C"/>
    <w:rsid w:val="00211114"/>
    <w:rsid w:val="0021154D"/>
    <w:rsid w:val="00211AD0"/>
    <w:rsid w:val="00211DC3"/>
    <w:rsid w:val="002130F9"/>
    <w:rsid w:val="002133AC"/>
    <w:rsid w:val="002137B1"/>
    <w:rsid w:val="0021460B"/>
    <w:rsid w:val="00214C86"/>
    <w:rsid w:val="002151B8"/>
    <w:rsid w:val="002155B6"/>
    <w:rsid w:val="002157E4"/>
    <w:rsid w:val="002158FF"/>
    <w:rsid w:val="00215AFB"/>
    <w:rsid w:val="00215DEA"/>
    <w:rsid w:val="00216945"/>
    <w:rsid w:val="00216C84"/>
    <w:rsid w:val="00216F68"/>
    <w:rsid w:val="002172CF"/>
    <w:rsid w:val="0021733E"/>
    <w:rsid w:val="002178AC"/>
    <w:rsid w:val="00217A9C"/>
    <w:rsid w:val="00217F32"/>
    <w:rsid w:val="002200D8"/>
    <w:rsid w:val="00220C10"/>
    <w:rsid w:val="00221AA6"/>
    <w:rsid w:val="00222080"/>
    <w:rsid w:val="00222672"/>
    <w:rsid w:val="00223664"/>
    <w:rsid w:val="00223A56"/>
    <w:rsid w:val="00223E2C"/>
    <w:rsid w:val="00224B86"/>
    <w:rsid w:val="00225833"/>
    <w:rsid w:val="00226095"/>
    <w:rsid w:val="00227353"/>
    <w:rsid w:val="00227B89"/>
    <w:rsid w:val="00227F43"/>
    <w:rsid w:val="00230CDC"/>
    <w:rsid w:val="00231076"/>
    <w:rsid w:val="002315BC"/>
    <w:rsid w:val="00231CB1"/>
    <w:rsid w:val="00231E7C"/>
    <w:rsid w:val="00231FB8"/>
    <w:rsid w:val="002327E9"/>
    <w:rsid w:val="00232968"/>
    <w:rsid w:val="0023308F"/>
    <w:rsid w:val="0023389A"/>
    <w:rsid w:val="00233B31"/>
    <w:rsid w:val="00233B45"/>
    <w:rsid w:val="00233CE1"/>
    <w:rsid w:val="00234131"/>
    <w:rsid w:val="00234640"/>
    <w:rsid w:val="00234B45"/>
    <w:rsid w:val="00235C7B"/>
    <w:rsid w:val="002366AA"/>
    <w:rsid w:val="00237389"/>
    <w:rsid w:val="002377B6"/>
    <w:rsid w:val="00237AE5"/>
    <w:rsid w:val="00237B1B"/>
    <w:rsid w:val="00240106"/>
    <w:rsid w:val="002411C7"/>
    <w:rsid w:val="00242635"/>
    <w:rsid w:val="00242D65"/>
    <w:rsid w:val="00242D77"/>
    <w:rsid w:val="00242F4E"/>
    <w:rsid w:val="00244EFE"/>
    <w:rsid w:val="002452A0"/>
    <w:rsid w:val="00245334"/>
    <w:rsid w:val="0024549C"/>
    <w:rsid w:val="002463A6"/>
    <w:rsid w:val="00246ADB"/>
    <w:rsid w:val="00246DA8"/>
    <w:rsid w:val="002473E5"/>
    <w:rsid w:val="00247BE1"/>
    <w:rsid w:val="00251390"/>
    <w:rsid w:val="0025154A"/>
    <w:rsid w:val="002517A5"/>
    <w:rsid w:val="00251A08"/>
    <w:rsid w:val="00251F6C"/>
    <w:rsid w:val="00252095"/>
    <w:rsid w:val="00252098"/>
    <w:rsid w:val="002522DD"/>
    <w:rsid w:val="0025249C"/>
    <w:rsid w:val="0025277D"/>
    <w:rsid w:val="00252942"/>
    <w:rsid w:val="00252B20"/>
    <w:rsid w:val="00252C90"/>
    <w:rsid w:val="002539ED"/>
    <w:rsid w:val="00253A2D"/>
    <w:rsid w:val="0025440D"/>
    <w:rsid w:val="0025450E"/>
    <w:rsid w:val="00255152"/>
    <w:rsid w:val="002553CA"/>
    <w:rsid w:val="0025554E"/>
    <w:rsid w:val="002562A0"/>
    <w:rsid w:val="002563C4"/>
    <w:rsid w:val="0025644E"/>
    <w:rsid w:val="00257A4A"/>
    <w:rsid w:val="0026096B"/>
    <w:rsid w:val="00260A37"/>
    <w:rsid w:val="0026105D"/>
    <w:rsid w:val="00261305"/>
    <w:rsid w:val="00261651"/>
    <w:rsid w:val="00261720"/>
    <w:rsid w:val="002625E5"/>
    <w:rsid w:val="00262C0C"/>
    <w:rsid w:val="00262C24"/>
    <w:rsid w:val="00263113"/>
    <w:rsid w:val="002638F4"/>
    <w:rsid w:val="0026392B"/>
    <w:rsid w:val="00263D0D"/>
    <w:rsid w:val="0026488F"/>
    <w:rsid w:val="00264F2F"/>
    <w:rsid w:val="0026608C"/>
    <w:rsid w:val="00266595"/>
    <w:rsid w:val="00267217"/>
    <w:rsid w:val="002700BD"/>
    <w:rsid w:val="00270C34"/>
    <w:rsid w:val="00271576"/>
    <w:rsid w:val="0027160C"/>
    <w:rsid w:val="00271616"/>
    <w:rsid w:val="002717CD"/>
    <w:rsid w:val="00271933"/>
    <w:rsid w:val="00272A02"/>
    <w:rsid w:val="002738FE"/>
    <w:rsid w:val="00273B0E"/>
    <w:rsid w:val="002741F8"/>
    <w:rsid w:val="00274535"/>
    <w:rsid w:val="0027455E"/>
    <w:rsid w:val="002751D1"/>
    <w:rsid w:val="00275209"/>
    <w:rsid w:val="00275B5D"/>
    <w:rsid w:val="00275BAF"/>
    <w:rsid w:val="002762E9"/>
    <w:rsid w:val="00280589"/>
    <w:rsid w:val="00280775"/>
    <w:rsid w:val="0028120A"/>
    <w:rsid w:val="002816B0"/>
    <w:rsid w:val="00281FD9"/>
    <w:rsid w:val="0028287B"/>
    <w:rsid w:val="00283565"/>
    <w:rsid w:val="00283819"/>
    <w:rsid w:val="00283C54"/>
    <w:rsid w:val="00284340"/>
    <w:rsid w:val="0028488E"/>
    <w:rsid w:val="00285499"/>
    <w:rsid w:val="00285FF2"/>
    <w:rsid w:val="002874E6"/>
    <w:rsid w:val="00287790"/>
    <w:rsid w:val="00287A93"/>
    <w:rsid w:val="00287E78"/>
    <w:rsid w:val="002903C6"/>
    <w:rsid w:val="00290676"/>
    <w:rsid w:val="002906CA"/>
    <w:rsid w:val="00290924"/>
    <w:rsid w:val="00291462"/>
    <w:rsid w:val="00291572"/>
    <w:rsid w:val="00291B3A"/>
    <w:rsid w:val="00292398"/>
    <w:rsid w:val="0029242D"/>
    <w:rsid w:val="002924D1"/>
    <w:rsid w:val="002925B7"/>
    <w:rsid w:val="00292F97"/>
    <w:rsid w:val="002943A0"/>
    <w:rsid w:val="00294618"/>
    <w:rsid w:val="00295C4C"/>
    <w:rsid w:val="00295CB7"/>
    <w:rsid w:val="0029628F"/>
    <w:rsid w:val="00297D02"/>
    <w:rsid w:val="002A04B4"/>
    <w:rsid w:val="002A13BE"/>
    <w:rsid w:val="002A145B"/>
    <w:rsid w:val="002A18BE"/>
    <w:rsid w:val="002A229E"/>
    <w:rsid w:val="002A2B19"/>
    <w:rsid w:val="002A3573"/>
    <w:rsid w:val="002A359C"/>
    <w:rsid w:val="002A36F6"/>
    <w:rsid w:val="002A3971"/>
    <w:rsid w:val="002A4084"/>
    <w:rsid w:val="002A413F"/>
    <w:rsid w:val="002A4AD6"/>
    <w:rsid w:val="002A563E"/>
    <w:rsid w:val="002A5D45"/>
    <w:rsid w:val="002A6C0B"/>
    <w:rsid w:val="002A7196"/>
    <w:rsid w:val="002A71F2"/>
    <w:rsid w:val="002A76AE"/>
    <w:rsid w:val="002B020D"/>
    <w:rsid w:val="002B123D"/>
    <w:rsid w:val="002B1384"/>
    <w:rsid w:val="002B1689"/>
    <w:rsid w:val="002B18EA"/>
    <w:rsid w:val="002B1953"/>
    <w:rsid w:val="002B1D09"/>
    <w:rsid w:val="002B2781"/>
    <w:rsid w:val="002B2DF3"/>
    <w:rsid w:val="002B2FB1"/>
    <w:rsid w:val="002B3681"/>
    <w:rsid w:val="002B3FD0"/>
    <w:rsid w:val="002B4331"/>
    <w:rsid w:val="002B4B17"/>
    <w:rsid w:val="002B4CED"/>
    <w:rsid w:val="002B5627"/>
    <w:rsid w:val="002B59F2"/>
    <w:rsid w:val="002B59FD"/>
    <w:rsid w:val="002B5AEF"/>
    <w:rsid w:val="002B5BB6"/>
    <w:rsid w:val="002B5FCF"/>
    <w:rsid w:val="002B637E"/>
    <w:rsid w:val="002B651A"/>
    <w:rsid w:val="002B667C"/>
    <w:rsid w:val="002B669D"/>
    <w:rsid w:val="002B6F57"/>
    <w:rsid w:val="002C11CA"/>
    <w:rsid w:val="002C2000"/>
    <w:rsid w:val="002C45E8"/>
    <w:rsid w:val="002C4D39"/>
    <w:rsid w:val="002C4FD3"/>
    <w:rsid w:val="002C5909"/>
    <w:rsid w:val="002C5A76"/>
    <w:rsid w:val="002C69D1"/>
    <w:rsid w:val="002C7083"/>
    <w:rsid w:val="002C70CE"/>
    <w:rsid w:val="002C7448"/>
    <w:rsid w:val="002C7A1B"/>
    <w:rsid w:val="002D0725"/>
    <w:rsid w:val="002D1424"/>
    <w:rsid w:val="002D1959"/>
    <w:rsid w:val="002D2452"/>
    <w:rsid w:val="002D2ED3"/>
    <w:rsid w:val="002D5097"/>
    <w:rsid w:val="002D5287"/>
    <w:rsid w:val="002D55E4"/>
    <w:rsid w:val="002D5896"/>
    <w:rsid w:val="002D5CCF"/>
    <w:rsid w:val="002D664B"/>
    <w:rsid w:val="002D690D"/>
    <w:rsid w:val="002D6A4A"/>
    <w:rsid w:val="002D759C"/>
    <w:rsid w:val="002E0181"/>
    <w:rsid w:val="002E1436"/>
    <w:rsid w:val="002E15FF"/>
    <w:rsid w:val="002E21A2"/>
    <w:rsid w:val="002E2752"/>
    <w:rsid w:val="002E4490"/>
    <w:rsid w:val="002E5C21"/>
    <w:rsid w:val="002E5EA2"/>
    <w:rsid w:val="002E69DD"/>
    <w:rsid w:val="002E6D50"/>
    <w:rsid w:val="002E6DC7"/>
    <w:rsid w:val="002E6FCF"/>
    <w:rsid w:val="002E7251"/>
    <w:rsid w:val="002E7775"/>
    <w:rsid w:val="002E7AD2"/>
    <w:rsid w:val="002E7C0F"/>
    <w:rsid w:val="002F0049"/>
    <w:rsid w:val="002F01A8"/>
    <w:rsid w:val="002F02EC"/>
    <w:rsid w:val="002F037B"/>
    <w:rsid w:val="002F03F8"/>
    <w:rsid w:val="002F138F"/>
    <w:rsid w:val="002F1399"/>
    <w:rsid w:val="002F1EF9"/>
    <w:rsid w:val="002F2C32"/>
    <w:rsid w:val="002F2F13"/>
    <w:rsid w:val="002F3077"/>
    <w:rsid w:val="002F32FB"/>
    <w:rsid w:val="002F3575"/>
    <w:rsid w:val="002F3DB2"/>
    <w:rsid w:val="002F4305"/>
    <w:rsid w:val="002F5611"/>
    <w:rsid w:val="002F5F5E"/>
    <w:rsid w:val="002F5F85"/>
    <w:rsid w:val="002F693F"/>
    <w:rsid w:val="002F6CA7"/>
    <w:rsid w:val="002F73DC"/>
    <w:rsid w:val="003008CC"/>
    <w:rsid w:val="003013EA"/>
    <w:rsid w:val="0030147F"/>
    <w:rsid w:val="00301763"/>
    <w:rsid w:val="00301996"/>
    <w:rsid w:val="003019C4"/>
    <w:rsid w:val="00302252"/>
    <w:rsid w:val="00302D12"/>
    <w:rsid w:val="00303B39"/>
    <w:rsid w:val="00303C60"/>
    <w:rsid w:val="0030476A"/>
    <w:rsid w:val="00304780"/>
    <w:rsid w:val="00304FB8"/>
    <w:rsid w:val="00305A56"/>
    <w:rsid w:val="00306704"/>
    <w:rsid w:val="0030693B"/>
    <w:rsid w:val="00307299"/>
    <w:rsid w:val="00310662"/>
    <w:rsid w:val="00310B9B"/>
    <w:rsid w:val="00310C3F"/>
    <w:rsid w:val="0031111F"/>
    <w:rsid w:val="0031141F"/>
    <w:rsid w:val="00311AA1"/>
    <w:rsid w:val="00312010"/>
    <w:rsid w:val="00312041"/>
    <w:rsid w:val="003124F1"/>
    <w:rsid w:val="00313F84"/>
    <w:rsid w:val="003140D2"/>
    <w:rsid w:val="00314BFC"/>
    <w:rsid w:val="00314EA3"/>
    <w:rsid w:val="0031501E"/>
    <w:rsid w:val="0031509B"/>
    <w:rsid w:val="00315198"/>
    <w:rsid w:val="00315CA8"/>
    <w:rsid w:val="00315FF9"/>
    <w:rsid w:val="00316018"/>
    <w:rsid w:val="00316818"/>
    <w:rsid w:val="00316C56"/>
    <w:rsid w:val="00316C9E"/>
    <w:rsid w:val="00317714"/>
    <w:rsid w:val="00317A46"/>
    <w:rsid w:val="0032046A"/>
    <w:rsid w:val="00320A17"/>
    <w:rsid w:val="00320BB6"/>
    <w:rsid w:val="00320EAA"/>
    <w:rsid w:val="00321504"/>
    <w:rsid w:val="0032176F"/>
    <w:rsid w:val="00321A50"/>
    <w:rsid w:val="00322DA9"/>
    <w:rsid w:val="00322F2D"/>
    <w:rsid w:val="00323011"/>
    <w:rsid w:val="0032398C"/>
    <w:rsid w:val="00323AF6"/>
    <w:rsid w:val="00323DB6"/>
    <w:rsid w:val="00323EFC"/>
    <w:rsid w:val="003251C2"/>
    <w:rsid w:val="00325B39"/>
    <w:rsid w:val="00325D38"/>
    <w:rsid w:val="00325FA0"/>
    <w:rsid w:val="00326295"/>
    <w:rsid w:val="00326C36"/>
    <w:rsid w:val="00326F1C"/>
    <w:rsid w:val="00327162"/>
    <w:rsid w:val="003272DA"/>
    <w:rsid w:val="003306C5"/>
    <w:rsid w:val="00330A0A"/>
    <w:rsid w:val="00330C2F"/>
    <w:rsid w:val="00330F30"/>
    <w:rsid w:val="00331E9D"/>
    <w:rsid w:val="003328A9"/>
    <w:rsid w:val="00332AEA"/>
    <w:rsid w:val="00332CD6"/>
    <w:rsid w:val="0033353E"/>
    <w:rsid w:val="00333BB1"/>
    <w:rsid w:val="0033675F"/>
    <w:rsid w:val="0033683C"/>
    <w:rsid w:val="00336AA3"/>
    <w:rsid w:val="003371B5"/>
    <w:rsid w:val="003373E0"/>
    <w:rsid w:val="00337A18"/>
    <w:rsid w:val="00337B91"/>
    <w:rsid w:val="00337BAF"/>
    <w:rsid w:val="00340341"/>
    <w:rsid w:val="003409B8"/>
    <w:rsid w:val="00340A5D"/>
    <w:rsid w:val="00340C6A"/>
    <w:rsid w:val="00340CAA"/>
    <w:rsid w:val="00340F74"/>
    <w:rsid w:val="003417CB"/>
    <w:rsid w:val="00341C8D"/>
    <w:rsid w:val="00341DAC"/>
    <w:rsid w:val="00341E98"/>
    <w:rsid w:val="00342C52"/>
    <w:rsid w:val="00342D85"/>
    <w:rsid w:val="0034301B"/>
    <w:rsid w:val="003435A9"/>
    <w:rsid w:val="00343858"/>
    <w:rsid w:val="00343CBB"/>
    <w:rsid w:val="00344649"/>
    <w:rsid w:val="00344F81"/>
    <w:rsid w:val="00345496"/>
    <w:rsid w:val="003455BD"/>
    <w:rsid w:val="003455D8"/>
    <w:rsid w:val="00345941"/>
    <w:rsid w:val="00345BCF"/>
    <w:rsid w:val="003466F9"/>
    <w:rsid w:val="00346C91"/>
    <w:rsid w:val="00350092"/>
    <w:rsid w:val="00351315"/>
    <w:rsid w:val="003519AD"/>
    <w:rsid w:val="00351E0E"/>
    <w:rsid w:val="00351E13"/>
    <w:rsid w:val="00351E81"/>
    <w:rsid w:val="0035213B"/>
    <w:rsid w:val="003523B6"/>
    <w:rsid w:val="003526C8"/>
    <w:rsid w:val="00352D7B"/>
    <w:rsid w:val="0035317C"/>
    <w:rsid w:val="003539DD"/>
    <w:rsid w:val="00353E24"/>
    <w:rsid w:val="00354155"/>
    <w:rsid w:val="003542B5"/>
    <w:rsid w:val="00354889"/>
    <w:rsid w:val="00354EB4"/>
    <w:rsid w:val="0035675C"/>
    <w:rsid w:val="00356A3A"/>
    <w:rsid w:val="00356D29"/>
    <w:rsid w:val="003571C2"/>
    <w:rsid w:val="00357C4F"/>
    <w:rsid w:val="00360992"/>
    <w:rsid w:val="00361773"/>
    <w:rsid w:val="00361C8E"/>
    <w:rsid w:val="00361FB3"/>
    <w:rsid w:val="003640A7"/>
    <w:rsid w:val="00365447"/>
    <w:rsid w:val="00365875"/>
    <w:rsid w:val="00365AA5"/>
    <w:rsid w:val="0036629C"/>
    <w:rsid w:val="00366F0E"/>
    <w:rsid w:val="00366FDC"/>
    <w:rsid w:val="003670B1"/>
    <w:rsid w:val="0036794E"/>
    <w:rsid w:val="00367C92"/>
    <w:rsid w:val="00370686"/>
    <w:rsid w:val="00370DC3"/>
    <w:rsid w:val="00373808"/>
    <w:rsid w:val="00374487"/>
    <w:rsid w:val="00374D4D"/>
    <w:rsid w:val="00374D8A"/>
    <w:rsid w:val="003755F1"/>
    <w:rsid w:val="00376875"/>
    <w:rsid w:val="00376CFC"/>
    <w:rsid w:val="00377AA1"/>
    <w:rsid w:val="003801A2"/>
    <w:rsid w:val="00380723"/>
    <w:rsid w:val="0038146C"/>
    <w:rsid w:val="00382609"/>
    <w:rsid w:val="0038283B"/>
    <w:rsid w:val="003831D1"/>
    <w:rsid w:val="00383359"/>
    <w:rsid w:val="003835A5"/>
    <w:rsid w:val="0038373D"/>
    <w:rsid w:val="00383C5D"/>
    <w:rsid w:val="00384136"/>
    <w:rsid w:val="003846B1"/>
    <w:rsid w:val="0038472A"/>
    <w:rsid w:val="00384B41"/>
    <w:rsid w:val="003855D2"/>
    <w:rsid w:val="00385862"/>
    <w:rsid w:val="00386124"/>
    <w:rsid w:val="003864D5"/>
    <w:rsid w:val="00387AA9"/>
    <w:rsid w:val="00387C95"/>
    <w:rsid w:val="00387DE3"/>
    <w:rsid w:val="00390567"/>
    <w:rsid w:val="00390E91"/>
    <w:rsid w:val="003910F7"/>
    <w:rsid w:val="003913AA"/>
    <w:rsid w:val="003924F2"/>
    <w:rsid w:val="003929B2"/>
    <w:rsid w:val="00392F6F"/>
    <w:rsid w:val="00393DF4"/>
    <w:rsid w:val="00393EB1"/>
    <w:rsid w:val="003943AE"/>
    <w:rsid w:val="00394943"/>
    <w:rsid w:val="003949D3"/>
    <w:rsid w:val="00395B6C"/>
    <w:rsid w:val="003963F2"/>
    <w:rsid w:val="003966F6"/>
    <w:rsid w:val="0039677D"/>
    <w:rsid w:val="00396AC7"/>
    <w:rsid w:val="0039720B"/>
    <w:rsid w:val="0039775A"/>
    <w:rsid w:val="003A0660"/>
    <w:rsid w:val="003A0D52"/>
    <w:rsid w:val="003A1149"/>
    <w:rsid w:val="003A1793"/>
    <w:rsid w:val="003A1A6A"/>
    <w:rsid w:val="003A1C8E"/>
    <w:rsid w:val="003A1CFB"/>
    <w:rsid w:val="003A2ED1"/>
    <w:rsid w:val="003A31FF"/>
    <w:rsid w:val="003A3740"/>
    <w:rsid w:val="003A3917"/>
    <w:rsid w:val="003A42E0"/>
    <w:rsid w:val="003A431C"/>
    <w:rsid w:val="003A4C47"/>
    <w:rsid w:val="003A4DCC"/>
    <w:rsid w:val="003A5106"/>
    <w:rsid w:val="003A5D8B"/>
    <w:rsid w:val="003A60DF"/>
    <w:rsid w:val="003A6410"/>
    <w:rsid w:val="003A6590"/>
    <w:rsid w:val="003A65F3"/>
    <w:rsid w:val="003A6724"/>
    <w:rsid w:val="003A6E1A"/>
    <w:rsid w:val="003A7301"/>
    <w:rsid w:val="003B0BA1"/>
    <w:rsid w:val="003B11EC"/>
    <w:rsid w:val="003B15A4"/>
    <w:rsid w:val="003B1D7B"/>
    <w:rsid w:val="003B2B65"/>
    <w:rsid w:val="003B36BF"/>
    <w:rsid w:val="003B452A"/>
    <w:rsid w:val="003B4599"/>
    <w:rsid w:val="003B4621"/>
    <w:rsid w:val="003B479C"/>
    <w:rsid w:val="003B4804"/>
    <w:rsid w:val="003B50F6"/>
    <w:rsid w:val="003B61B7"/>
    <w:rsid w:val="003B6682"/>
    <w:rsid w:val="003B711A"/>
    <w:rsid w:val="003C0760"/>
    <w:rsid w:val="003C1AE2"/>
    <w:rsid w:val="003C1BB7"/>
    <w:rsid w:val="003C1D39"/>
    <w:rsid w:val="003C20CE"/>
    <w:rsid w:val="003C2449"/>
    <w:rsid w:val="003C466E"/>
    <w:rsid w:val="003C468D"/>
    <w:rsid w:val="003C4EBF"/>
    <w:rsid w:val="003C4F8F"/>
    <w:rsid w:val="003C523D"/>
    <w:rsid w:val="003C5D69"/>
    <w:rsid w:val="003C6B59"/>
    <w:rsid w:val="003D0527"/>
    <w:rsid w:val="003D18BA"/>
    <w:rsid w:val="003D227F"/>
    <w:rsid w:val="003D2772"/>
    <w:rsid w:val="003D299E"/>
    <w:rsid w:val="003D3686"/>
    <w:rsid w:val="003D3B60"/>
    <w:rsid w:val="003D3F1E"/>
    <w:rsid w:val="003D4290"/>
    <w:rsid w:val="003D4D23"/>
    <w:rsid w:val="003D4E15"/>
    <w:rsid w:val="003D55E1"/>
    <w:rsid w:val="003D5CF7"/>
    <w:rsid w:val="003D6046"/>
    <w:rsid w:val="003D641A"/>
    <w:rsid w:val="003D6F4F"/>
    <w:rsid w:val="003D71EB"/>
    <w:rsid w:val="003D7BAC"/>
    <w:rsid w:val="003E05DC"/>
    <w:rsid w:val="003E0861"/>
    <w:rsid w:val="003E0ADE"/>
    <w:rsid w:val="003E0DB2"/>
    <w:rsid w:val="003E22CB"/>
    <w:rsid w:val="003E2343"/>
    <w:rsid w:val="003E2BEE"/>
    <w:rsid w:val="003E2D8B"/>
    <w:rsid w:val="003E2E57"/>
    <w:rsid w:val="003E2ED6"/>
    <w:rsid w:val="003E36A8"/>
    <w:rsid w:val="003E38E7"/>
    <w:rsid w:val="003E3FBB"/>
    <w:rsid w:val="003E406B"/>
    <w:rsid w:val="003E4698"/>
    <w:rsid w:val="003E4B3B"/>
    <w:rsid w:val="003E4F96"/>
    <w:rsid w:val="003E5039"/>
    <w:rsid w:val="003E50F0"/>
    <w:rsid w:val="003E5CCA"/>
    <w:rsid w:val="003E6B4C"/>
    <w:rsid w:val="003E700E"/>
    <w:rsid w:val="003E7773"/>
    <w:rsid w:val="003E7903"/>
    <w:rsid w:val="003F06A4"/>
    <w:rsid w:val="003F07F2"/>
    <w:rsid w:val="003F115E"/>
    <w:rsid w:val="003F12F3"/>
    <w:rsid w:val="003F1459"/>
    <w:rsid w:val="003F14C2"/>
    <w:rsid w:val="003F1CF8"/>
    <w:rsid w:val="003F2210"/>
    <w:rsid w:val="003F244E"/>
    <w:rsid w:val="003F27D7"/>
    <w:rsid w:val="003F341E"/>
    <w:rsid w:val="003F3591"/>
    <w:rsid w:val="003F535C"/>
    <w:rsid w:val="003F5A7C"/>
    <w:rsid w:val="003F6208"/>
    <w:rsid w:val="003F65DA"/>
    <w:rsid w:val="003F6DAA"/>
    <w:rsid w:val="003F7196"/>
    <w:rsid w:val="003F756F"/>
    <w:rsid w:val="0040032E"/>
    <w:rsid w:val="004008AF"/>
    <w:rsid w:val="00400B5F"/>
    <w:rsid w:val="00401128"/>
    <w:rsid w:val="00401560"/>
    <w:rsid w:val="00401DBF"/>
    <w:rsid w:val="00401E14"/>
    <w:rsid w:val="00402062"/>
    <w:rsid w:val="004028AE"/>
    <w:rsid w:val="00402D5C"/>
    <w:rsid w:val="00402F73"/>
    <w:rsid w:val="004033D9"/>
    <w:rsid w:val="00403B34"/>
    <w:rsid w:val="0040401F"/>
    <w:rsid w:val="004041F6"/>
    <w:rsid w:val="00404281"/>
    <w:rsid w:val="004046EA"/>
    <w:rsid w:val="00404A94"/>
    <w:rsid w:val="004051F1"/>
    <w:rsid w:val="0040551F"/>
    <w:rsid w:val="0040565F"/>
    <w:rsid w:val="00407594"/>
    <w:rsid w:val="0040771F"/>
    <w:rsid w:val="004078C7"/>
    <w:rsid w:val="00407C9F"/>
    <w:rsid w:val="00407DF1"/>
    <w:rsid w:val="00407F83"/>
    <w:rsid w:val="00407F85"/>
    <w:rsid w:val="00410307"/>
    <w:rsid w:val="00410410"/>
    <w:rsid w:val="0041063B"/>
    <w:rsid w:val="004111F7"/>
    <w:rsid w:val="00411B5E"/>
    <w:rsid w:val="00411DE4"/>
    <w:rsid w:val="0041217D"/>
    <w:rsid w:val="004122F8"/>
    <w:rsid w:val="004125C6"/>
    <w:rsid w:val="0041275F"/>
    <w:rsid w:val="004129F7"/>
    <w:rsid w:val="0041320C"/>
    <w:rsid w:val="004144AE"/>
    <w:rsid w:val="0041493A"/>
    <w:rsid w:val="00416069"/>
    <w:rsid w:val="00416B6A"/>
    <w:rsid w:val="00417598"/>
    <w:rsid w:val="004206F9"/>
    <w:rsid w:val="00420A34"/>
    <w:rsid w:val="00420BFD"/>
    <w:rsid w:val="00421013"/>
    <w:rsid w:val="0042101A"/>
    <w:rsid w:val="00421A89"/>
    <w:rsid w:val="00421EBC"/>
    <w:rsid w:val="00422BA8"/>
    <w:rsid w:val="00422D3A"/>
    <w:rsid w:val="0042304B"/>
    <w:rsid w:val="00423319"/>
    <w:rsid w:val="004233AE"/>
    <w:rsid w:val="00424084"/>
    <w:rsid w:val="0042421D"/>
    <w:rsid w:val="004249BB"/>
    <w:rsid w:val="00424EC6"/>
    <w:rsid w:val="00424F3E"/>
    <w:rsid w:val="00424FB7"/>
    <w:rsid w:val="00425832"/>
    <w:rsid w:val="0042621D"/>
    <w:rsid w:val="00426DEE"/>
    <w:rsid w:val="004273AD"/>
    <w:rsid w:val="004273E7"/>
    <w:rsid w:val="004275C3"/>
    <w:rsid w:val="004305AE"/>
    <w:rsid w:val="00431800"/>
    <w:rsid w:val="004326B5"/>
    <w:rsid w:val="00432B15"/>
    <w:rsid w:val="00432CC6"/>
    <w:rsid w:val="00432D18"/>
    <w:rsid w:val="00432EEC"/>
    <w:rsid w:val="00433215"/>
    <w:rsid w:val="00433541"/>
    <w:rsid w:val="00435C2F"/>
    <w:rsid w:val="00436514"/>
    <w:rsid w:val="00436A58"/>
    <w:rsid w:val="004372DE"/>
    <w:rsid w:val="0043770A"/>
    <w:rsid w:val="00437921"/>
    <w:rsid w:val="004422B1"/>
    <w:rsid w:val="004423F7"/>
    <w:rsid w:val="004426D7"/>
    <w:rsid w:val="00442A49"/>
    <w:rsid w:val="004457E1"/>
    <w:rsid w:val="00446379"/>
    <w:rsid w:val="0044690B"/>
    <w:rsid w:val="00446BBE"/>
    <w:rsid w:val="004477C2"/>
    <w:rsid w:val="0044782C"/>
    <w:rsid w:val="00450451"/>
    <w:rsid w:val="0045093D"/>
    <w:rsid w:val="00450A57"/>
    <w:rsid w:val="00451645"/>
    <w:rsid w:val="0045249F"/>
    <w:rsid w:val="004525D3"/>
    <w:rsid w:val="00452C56"/>
    <w:rsid w:val="00452F9F"/>
    <w:rsid w:val="00453414"/>
    <w:rsid w:val="00453705"/>
    <w:rsid w:val="0045378B"/>
    <w:rsid w:val="00453A2D"/>
    <w:rsid w:val="004545FC"/>
    <w:rsid w:val="00454F8E"/>
    <w:rsid w:val="00455475"/>
    <w:rsid w:val="00455828"/>
    <w:rsid w:val="00456173"/>
    <w:rsid w:val="0045654F"/>
    <w:rsid w:val="00460EC0"/>
    <w:rsid w:val="004614C8"/>
    <w:rsid w:val="00461532"/>
    <w:rsid w:val="00462585"/>
    <w:rsid w:val="00462778"/>
    <w:rsid w:val="00462805"/>
    <w:rsid w:val="0046338F"/>
    <w:rsid w:val="0046464C"/>
    <w:rsid w:val="004647C5"/>
    <w:rsid w:val="00464F6C"/>
    <w:rsid w:val="004650DC"/>
    <w:rsid w:val="00465AF8"/>
    <w:rsid w:val="0046640F"/>
    <w:rsid w:val="004666DA"/>
    <w:rsid w:val="004667BC"/>
    <w:rsid w:val="004667C4"/>
    <w:rsid w:val="00466896"/>
    <w:rsid w:val="00467E8F"/>
    <w:rsid w:val="004701B0"/>
    <w:rsid w:val="00470673"/>
    <w:rsid w:val="00470D6D"/>
    <w:rsid w:val="0047105F"/>
    <w:rsid w:val="00471AF6"/>
    <w:rsid w:val="00471D0D"/>
    <w:rsid w:val="00471F3C"/>
    <w:rsid w:val="00472741"/>
    <w:rsid w:val="004737D7"/>
    <w:rsid w:val="00474664"/>
    <w:rsid w:val="00474B3A"/>
    <w:rsid w:val="00474CF0"/>
    <w:rsid w:val="00474DF5"/>
    <w:rsid w:val="00474E01"/>
    <w:rsid w:val="00475492"/>
    <w:rsid w:val="00475CB7"/>
    <w:rsid w:val="004761F1"/>
    <w:rsid w:val="0047622E"/>
    <w:rsid w:val="00476441"/>
    <w:rsid w:val="0047655C"/>
    <w:rsid w:val="00476685"/>
    <w:rsid w:val="00476E2F"/>
    <w:rsid w:val="004772D3"/>
    <w:rsid w:val="004800C3"/>
    <w:rsid w:val="0048016E"/>
    <w:rsid w:val="00480CFA"/>
    <w:rsid w:val="0048260B"/>
    <w:rsid w:val="00482719"/>
    <w:rsid w:val="00482804"/>
    <w:rsid w:val="00482B47"/>
    <w:rsid w:val="00482F6C"/>
    <w:rsid w:val="0048323E"/>
    <w:rsid w:val="00483884"/>
    <w:rsid w:val="00483C7A"/>
    <w:rsid w:val="00484A6B"/>
    <w:rsid w:val="00484DC5"/>
    <w:rsid w:val="00484E38"/>
    <w:rsid w:val="0048532D"/>
    <w:rsid w:val="0048555D"/>
    <w:rsid w:val="00485675"/>
    <w:rsid w:val="00485B68"/>
    <w:rsid w:val="00485C01"/>
    <w:rsid w:val="00486F57"/>
    <w:rsid w:val="00487C85"/>
    <w:rsid w:val="00490167"/>
    <w:rsid w:val="00490DC4"/>
    <w:rsid w:val="00490F34"/>
    <w:rsid w:val="0049149D"/>
    <w:rsid w:val="00491A0C"/>
    <w:rsid w:val="00491E5C"/>
    <w:rsid w:val="00492E12"/>
    <w:rsid w:val="00493009"/>
    <w:rsid w:val="00494480"/>
    <w:rsid w:val="00494F64"/>
    <w:rsid w:val="00496006"/>
    <w:rsid w:val="00496C98"/>
    <w:rsid w:val="004970AB"/>
    <w:rsid w:val="004974D3"/>
    <w:rsid w:val="00497B9F"/>
    <w:rsid w:val="004A02AF"/>
    <w:rsid w:val="004A1401"/>
    <w:rsid w:val="004A1C5C"/>
    <w:rsid w:val="004A1DA3"/>
    <w:rsid w:val="004A2084"/>
    <w:rsid w:val="004A2AFD"/>
    <w:rsid w:val="004A2E20"/>
    <w:rsid w:val="004A3139"/>
    <w:rsid w:val="004A324D"/>
    <w:rsid w:val="004A3443"/>
    <w:rsid w:val="004A43DD"/>
    <w:rsid w:val="004A4430"/>
    <w:rsid w:val="004A4496"/>
    <w:rsid w:val="004A4D05"/>
    <w:rsid w:val="004A4ED1"/>
    <w:rsid w:val="004A4FB3"/>
    <w:rsid w:val="004A4FDF"/>
    <w:rsid w:val="004A5489"/>
    <w:rsid w:val="004A56AF"/>
    <w:rsid w:val="004A5E73"/>
    <w:rsid w:val="004A6940"/>
    <w:rsid w:val="004A7A52"/>
    <w:rsid w:val="004A7E6A"/>
    <w:rsid w:val="004B08DA"/>
    <w:rsid w:val="004B19FE"/>
    <w:rsid w:val="004B2A4D"/>
    <w:rsid w:val="004B2B19"/>
    <w:rsid w:val="004B2F45"/>
    <w:rsid w:val="004B33C2"/>
    <w:rsid w:val="004B3436"/>
    <w:rsid w:val="004B364A"/>
    <w:rsid w:val="004B3902"/>
    <w:rsid w:val="004B3977"/>
    <w:rsid w:val="004B4214"/>
    <w:rsid w:val="004B5911"/>
    <w:rsid w:val="004B5FE5"/>
    <w:rsid w:val="004B62EE"/>
    <w:rsid w:val="004B689D"/>
    <w:rsid w:val="004B68F3"/>
    <w:rsid w:val="004B6EDA"/>
    <w:rsid w:val="004C09B6"/>
    <w:rsid w:val="004C0DAD"/>
    <w:rsid w:val="004C0E97"/>
    <w:rsid w:val="004C1234"/>
    <w:rsid w:val="004C2F1E"/>
    <w:rsid w:val="004C3D4B"/>
    <w:rsid w:val="004C3EB3"/>
    <w:rsid w:val="004C48C8"/>
    <w:rsid w:val="004C4DFF"/>
    <w:rsid w:val="004C5200"/>
    <w:rsid w:val="004C598D"/>
    <w:rsid w:val="004C5C1D"/>
    <w:rsid w:val="004C626F"/>
    <w:rsid w:val="004C65A3"/>
    <w:rsid w:val="004C660F"/>
    <w:rsid w:val="004C6864"/>
    <w:rsid w:val="004C6D73"/>
    <w:rsid w:val="004C6D90"/>
    <w:rsid w:val="004D041F"/>
    <w:rsid w:val="004D0C89"/>
    <w:rsid w:val="004D1A53"/>
    <w:rsid w:val="004D1AB0"/>
    <w:rsid w:val="004D1FEE"/>
    <w:rsid w:val="004D2AB8"/>
    <w:rsid w:val="004D3048"/>
    <w:rsid w:val="004D3897"/>
    <w:rsid w:val="004D38E4"/>
    <w:rsid w:val="004D4425"/>
    <w:rsid w:val="004D6BE8"/>
    <w:rsid w:val="004D7597"/>
    <w:rsid w:val="004D7ABD"/>
    <w:rsid w:val="004E07D4"/>
    <w:rsid w:val="004E08D8"/>
    <w:rsid w:val="004E152A"/>
    <w:rsid w:val="004E20F3"/>
    <w:rsid w:val="004E21D0"/>
    <w:rsid w:val="004E2BD6"/>
    <w:rsid w:val="004E2E0C"/>
    <w:rsid w:val="004E35EB"/>
    <w:rsid w:val="004E47D0"/>
    <w:rsid w:val="004E4A0C"/>
    <w:rsid w:val="004E5565"/>
    <w:rsid w:val="004E57ED"/>
    <w:rsid w:val="004E64C4"/>
    <w:rsid w:val="004E6F93"/>
    <w:rsid w:val="004E70BD"/>
    <w:rsid w:val="004E7647"/>
    <w:rsid w:val="004E7870"/>
    <w:rsid w:val="004E7C0A"/>
    <w:rsid w:val="004E7DE2"/>
    <w:rsid w:val="004F0CD0"/>
    <w:rsid w:val="004F1866"/>
    <w:rsid w:val="004F19DC"/>
    <w:rsid w:val="004F228D"/>
    <w:rsid w:val="004F27CB"/>
    <w:rsid w:val="004F2865"/>
    <w:rsid w:val="004F36FB"/>
    <w:rsid w:val="004F3825"/>
    <w:rsid w:val="004F4069"/>
    <w:rsid w:val="004F44B5"/>
    <w:rsid w:val="004F472D"/>
    <w:rsid w:val="004F4DCF"/>
    <w:rsid w:val="004F5447"/>
    <w:rsid w:val="004F6AD3"/>
    <w:rsid w:val="00500D39"/>
    <w:rsid w:val="00501386"/>
    <w:rsid w:val="005018DE"/>
    <w:rsid w:val="00501BD9"/>
    <w:rsid w:val="00501C25"/>
    <w:rsid w:val="00502196"/>
    <w:rsid w:val="005027A6"/>
    <w:rsid w:val="00502D68"/>
    <w:rsid w:val="00502DAE"/>
    <w:rsid w:val="00502FFB"/>
    <w:rsid w:val="005038A0"/>
    <w:rsid w:val="00503D85"/>
    <w:rsid w:val="00504A82"/>
    <w:rsid w:val="00505E19"/>
    <w:rsid w:val="005071E5"/>
    <w:rsid w:val="00507F82"/>
    <w:rsid w:val="00510280"/>
    <w:rsid w:val="005102F4"/>
    <w:rsid w:val="00510327"/>
    <w:rsid w:val="005103C5"/>
    <w:rsid w:val="0051083E"/>
    <w:rsid w:val="00510931"/>
    <w:rsid w:val="00510B87"/>
    <w:rsid w:val="00510E1B"/>
    <w:rsid w:val="00511080"/>
    <w:rsid w:val="00511253"/>
    <w:rsid w:val="0051217D"/>
    <w:rsid w:val="0051315A"/>
    <w:rsid w:val="005131D3"/>
    <w:rsid w:val="005133DF"/>
    <w:rsid w:val="0051352C"/>
    <w:rsid w:val="0051362C"/>
    <w:rsid w:val="005142C3"/>
    <w:rsid w:val="005144FA"/>
    <w:rsid w:val="00514FC2"/>
    <w:rsid w:val="0051566F"/>
    <w:rsid w:val="00515B51"/>
    <w:rsid w:val="00515BFA"/>
    <w:rsid w:val="00515F1C"/>
    <w:rsid w:val="00516FE7"/>
    <w:rsid w:val="00517192"/>
    <w:rsid w:val="005173D0"/>
    <w:rsid w:val="00517A86"/>
    <w:rsid w:val="00517F30"/>
    <w:rsid w:val="005206A7"/>
    <w:rsid w:val="00520AC1"/>
    <w:rsid w:val="00521256"/>
    <w:rsid w:val="00521526"/>
    <w:rsid w:val="00521F17"/>
    <w:rsid w:val="00521F35"/>
    <w:rsid w:val="00522BC5"/>
    <w:rsid w:val="0052349D"/>
    <w:rsid w:val="005235F6"/>
    <w:rsid w:val="00523B4F"/>
    <w:rsid w:val="00524660"/>
    <w:rsid w:val="00524BE8"/>
    <w:rsid w:val="00525485"/>
    <w:rsid w:val="0052575D"/>
    <w:rsid w:val="00525F85"/>
    <w:rsid w:val="00526690"/>
    <w:rsid w:val="00526C92"/>
    <w:rsid w:val="005275FC"/>
    <w:rsid w:val="0052768C"/>
    <w:rsid w:val="00530896"/>
    <w:rsid w:val="00530FCF"/>
    <w:rsid w:val="005310AF"/>
    <w:rsid w:val="0053186B"/>
    <w:rsid w:val="005322FF"/>
    <w:rsid w:val="0053256F"/>
    <w:rsid w:val="005328CE"/>
    <w:rsid w:val="005342C3"/>
    <w:rsid w:val="00535804"/>
    <w:rsid w:val="005362F5"/>
    <w:rsid w:val="00537083"/>
    <w:rsid w:val="0053725B"/>
    <w:rsid w:val="00540B60"/>
    <w:rsid w:val="00540C57"/>
    <w:rsid w:val="00540F3E"/>
    <w:rsid w:val="0054235F"/>
    <w:rsid w:val="00542D62"/>
    <w:rsid w:val="00544420"/>
    <w:rsid w:val="00544465"/>
    <w:rsid w:val="005456F3"/>
    <w:rsid w:val="00545B9F"/>
    <w:rsid w:val="00546184"/>
    <w:rsid w:val="00547A26"/>
    <w:rsid w:val="00547DFF"/>
    <w:rsid w:val="0055018A"/>
    <w:rsid w:val="00550703"/>
    <w:rsid w:val="00550C7D"/>
    <w:rsid w:val="00550D66"/>
    <w:rsid w:val="00550F60"/>
    <w:rsid w:val="005517E3"/>
    <w:rsid w:val="00551980"/>
    <w:rsid w:val="0055206D"/>
    <w:rsid w:val="00552C94"/>
    <w:rsid w:val="005531BD"/>
    <w:rsid w:val="00553BCB"/>
    <w:rsid w:val="00554B5A"/>
    <w:rsid w:val="00554CDF"/>
    <w:rsid w:val="005567B2"/>
    <w:rsid w:val="005567C2"/>
    <w:rsid w:val="005575D1"/>
    <w:rsid w:val="005577D2"/>
    <w:rsid w:val="00557870"/>
    <w:rsid w:val="00557F31"/>
    <w:rsid w:val="00560245"/>
    <w:rsid w:val="00560277"/>
    <w:rsid w:val="005605CE"/>
    <w:rsid w:val="00560938"/>
    <w:rsid w:val="00560AF1"/>
    <w:rsid w:val="0056107F"/>
    <w:rsid w:val="00561562"/>
    <w:rsid w:val="00561DA4"/>
    <w:rsid w:val="00563243"/>
    <w:rsid w:val="00563DE6"/>
    <w:rsid w:val="0056480A"/>
    <w:rsid w:val="0056528D"/>
    <w:rsid w:val="005659F5"/>
    <w:rsid w:val="0056628B"/>
    <w:rsid w:val="00566298"/>
    <w:rsid w:val="00566462"/>
    <w:rsid w:val="00566D17"/>
    <w:rsid w:val="00566D1E"/>
    <w:rsid w:val="00567B87"/>
    <w:rsid w:val="005704A2"/>
    <w:rsid w:val="0057091E"/>
    <w:rsid w:val="005723D6"/>
    <w:rsid w:val="0057313B"/>
    <w:rsid w:val="0057381A"/>
    <w:rsid w:val="0057412F"/>
    <w:rsid w:val="005744DA"/>
    <w:rsid w:val="0057466C"/>
    <w:rsid w:val="00574A6E"/>
    <w:rsid w:val="0057576C"/>
    <w:rsid w:val="00575C5B"/>
    <w:rsid w:val="005764FE"/>
    <w:rsid w:val="00576501"/>
    <w:rsid w:val="00576A10"/>
    <w:rsid w:val="00577145"/>
    <w:rsid w:val="0057723F"/>
    <w:rsid w:val="0057739A"/>
    <w:rsid w:val="005773BE"/>
    <w:rsid w:val="00577BE9"/>
    <w:rsid w:val="00577C43"/>
    <w:rsid w:val="00580C87"/>
    <w:rsid w:val="00580EDA"/>
    <w:rsid w:val="00581723"/>
    <w:rsid w:val="00582365"/>
    <w:rsid w:val="005848F3"/>
    <w:rsid w:val="00584F08"/>
    <w:rsid w:val="00585C1B"/>
    <w:rsid w:val="00586684"/>
    <w:rsid w:val="00586BE9"/>
    <w:rsid w:val="00586DAD"/>
    <w:rsid w:val="00586FEB"/>
    <w:rsid w:val="00587639"/>
    <w:rsid w:val="0058767F"/>
    <w:rsid w:val="00587B2D"/>
    <w:rsid w:val="0059008C"/>
    <w:rsid w:val="005914AC"/>
    <w:rsid w:val="00591D55"/>
    <w:rsid w:val="00592638"/>
    <w:rsid w:val="0059290E"/>
    <w:rsid w:val="00593138"/>
    <w:rsid w:val="00593824"/>
    <w:rsid w:val="00593912"/>
    <w:rsid w:val="00593A33"/>
    <w:rsid w:val="0059402E"/>
    <w:rsid w:val="005947B5"/>
    <w:rsid w:val="005951A0"/>
    <w:rsid w:val="0059536C"/>
    <w:rsid w:val="00595D95"/>
    <w:rsid w:val="00595FD9"/>
    <w:rsid w:val="00596025"/>
    <w:rsid w:val="005960BB"/>
    <w:rsid w:val="00596385"/>
    <w:rsid w:val="005967E1"/>
    <w:rsid w:val="00596964"/>
    <w:rsid w:val="00597407"/>
    <w:rsid w:val="00597CBB"/>
    <w:rsid w:val="005A0496"/>
    <w:rsid w:val="005A0712"/>
    <w:rsid w:val="005A0713"/>
    <w:rsid w:val="005A188E"/>
    <w:rsid w:val="005A1B5B"/>
    <w:rsid w:val="005A1D22"/>
    <w:rsid w:val="005A1EFC"/>
    <w:rsid w:val="005A21BC"/>
    <w:rsid w:val="005A3748"/>
    <w:rsid w:val="005A3B94"/>
    <w:rsid w:val="005A3DB3"/>
    <w:rsid w:val="005A4047"/>
    <w:rsid w:val="005A4384"/>
    <w:rsid w:val="005A43D6"/>
    <w:rsid w:val="005A4846"/>
    <w:rsid w:val="005A49E1"/>
    <w:rsid w:val="005A5C7C"/>
    <w:rsid w:val="005A7012"/>
    <w:rsid w:val="005A7319"/>
    <w:rsid w:val="005A7A5E"/>
    <w:rsid w:val="005A7B05"/>
    <w:rsid w:val="005B1136"/>
    <w:rsid w:val="005B1C07"/>
    <w:rsid w:val="005B261A"/>
    <w:rsid w:val="005B32C0"/>
    <w:rsid w:val="005B3432"/>
    <w:rsid w:val="005B3BD6"/>
    <w:rsid w:val="005B3FFE"/>
    <w:rsid w:val="005B46A0"/>
    <w:rsid w:val="005B4B9E"/>
    <w:rsid w:val="005B564E"/>
    <w:rsid w:val="005B675D"/>
    <w:rsid w:val="005B7B17"/>
    <w:rsid w:val="005B7D6C"/>
    <w:rsid w:val="005B7E63"/>
    <w:rsid w:val="005C0C3E"/>
    <w:rsid w:val="005C2226"/>
    <w:rsid w:val="005C279F"/>
    <w:rsid w:val="005C3458"/>
    <w:rsid w:val="005C34B8"/>
    <w:rsid w:val="005C34C4"/>
    <w:rsid w:val="005C43CF"/>
    <w:rsid w:val="005C4ADC"/>
    <w:rsid w:val="005C4DD0"/>
    <w:rsid w:val="005C520C"/>
    <w:rsid w:val="005C5BA8"/>
    <w:rsid w:val="005C7215"/>
    <w:rsid w:val="005C73C4"/>
    <w:rsid w:val="005C7854"/>
    <w:rsid w:val="005C78D5"/>
    <w:rsid w:val="005D00EA"/>
    <w:rsid w:val="005D023B"/>
    <w:rsid w:val="005D02D4"/>
    <w:rsid w:val="005D068E"/>
    <w:rsid w:val="005D09A8"/>
    <w:rsid w:val="005D0B80"/>
    <w:rsid w:val="005D0E5A"/>
    <w:rsid w:val="005D1529"/>
    <w:rsid w:val="005D17F7"/>
    <w:rsid w:val="005D20A3"/>
    <w:rsid w:val="005D2304"/>
    <w:rsid w:val="005D32DD"/>
    <w:rsid w:val="005D378D"/>
    <w:rsid w:val="005D3A04"/>
    <w:rsid w:val="005D468A"/>
    <w:rsid w:val="005D48FE"/>
    <w:rsid w:val="005D599F"/>
    <w:rsid w:val="005D5C19"/>
    <w:rsid w:val="005D6870"/>
    <w:rsid w:val="005D699F"/>
    <w:rsid w:val="005D6C67"/>
    <w:rsid w:val="005D71B5"/>
    <w:rsid w:val="005D72AE"/>
    <w:rsid w:val="005D7471"/>
    <w:rsid w:val="005D749D"/>
    <w:rsid w:val="005D7827"/>
    <w:rsid w:val="005D7970"/>
    <w:rsid w:val="005D7A26"/>
    <w:rsid w:val="005D7B3E"/>
    <w:rsid w:val="005E03B4"/>
    <w:rsid w:val="005E205C"/>
    <w:rsid w:val="005E2109"/>
    <w:rsid w:val="005E2246"/>
    <w:rsid w:val="005E227F"/>
    <w:rsid w:val="005E2702"/>
    <w:rsid w:val="005E2AE3"/>
    <w:rsid w:val="005E2B6F"/>
    <w:rsid w:val="005E3FDE"/>
    <w:rsid w:val="005E4891"/>
    <w:rsid w:val="005E5874"/>
    <w:rsid w:val="005E5892"/>
    <w:rsid w:val="005E5D9C"/>
    <w:rsid w:val="005E5EB7"/>
    <w:rsid w:val="005E6ED9"/>
    <w:rsid w:val="005E6FF1"/>
    <w:rsid w:val="005E75B6"/>
    <w:rsid w:val="005E75D5"/>
    <w:rsid w:val="005E795A"/>
    <w:rsid w:val="005E7AE3"/>
    <w:rsid w:val="005E7B19"/>
    <w:rsid w:val="005E7B2B"/>
    <w:rsid w:val="005E7E15"/>
    <w:rsid w:val="005F0DBC"/>
    <w:rsid w:val="005F1555"/>
    <w:rsid w:val="005F189B"/>
    <w:rsid w:val="005F2122"/>
    <w:rsid w:val="005F2978"/>
    <w:rsid w:val="005F32C1"/>
    <w:rsid w:val="005F3E87"/>
    <w:rsid w:val="005F44BA"/>
    <w:rsid w:val="005F4721"/>
    <w:rsid w:val="005F5DD1"/>
    <w:rsid w:val="005F6472"/>
    <w:rsid w:val="005F720A"/>
    <w:rsid w:val="005F74EE"/>
    <w:rsid w:val="005F7AED"/>
    <w:rsid w:val="00600E10"/>
    <w:rsid w:val="00601497"/>
    <w:rsid w:val="00601688"/>
    <w:rsid w:val="00601849"/>
    <w:rsid w:val="0060258F"/>
    <w:rsid w:val="00602A16"/>
    <w:rsid w:val="00602BB1"/>
    <w:rsid w:val="00602F43"/>
    <w:rsid w:val="00603B08"/>
    <w:rsid w:val="00604617"/>
    <w:rsid w:val="00604854"/>
    <w:rsid w:val="00604B99"/>
    <w:rsid w:val="00604C79"/>
    <w:rsid w:val="00604F9E"/>
    <w:rsid w:val="00605776"/>
    <w:rsid w:val="00605EA9"/>
    <w:rsid w:val="006063DC"/>
    <w:rsid w:val="006068C1"/>
    <w:rsid w:val="00606D3B"/>
    <w:rsid w:val="00606DC5"/>
    <w:rsid w:val="00607130"/>
    <w:rsid w:val="00607956"/>
    <w:rsid w:val="00607A93"/>
    <w:rsid w:val="00610162"/>
    <w:rsid w:val="0061062F"/>
    <w:rsid w:val="00610ABA"/>
    <w:rsid w:val="006110EF"/>
    <w:rsid w:val="006113FA"/>
    <w:rsid w:val="00611E12"/>
    <w:rsid w:val="006122F9"/>
    <w:rsid w:val="00613037"/>
    <w:rsid w:val="006135AB"/>
    <w:rsid w:val="006138E4"/>
    <w:rsid w:val="0061412E"/>
    <w:rsid w:val="006144F6"/>
    <w:rsid w:val="00614520"/>
    <w:rsid w:val="006145A8"/>
    <w:rsid w:val="00614C9E"/>
    <w:rsid w:val="006156DD"/>
    <w:rsid w:val="00616407"/>
    <w:rsid w:val="0061663B"/>
    <w:rsid w:val="00616900"/>
    <w:rsid w:val="006173C5"/>
    <w:rsid w:val="00617BB7"/>
    <w:rsid w:val="00617BFE"/>
    <w:rsid w:val="006204F1"/>
    <w:rsid w:val="00620E5A"/>
    <w:rsid w:val="0062155D"/>
    <w:rsid w:val="006219E3"/>
    <w:rsid w:val="006223F1"/>
    <w:rsid w:val="00622CAF"/>
    <w:rsid w:val="00622E26"/>
    <w:rsid w:val="006245C0"/>
    <w:rsid w:val="00624CE3"/>
    <w:rsid w:val="00624F9A"/>
    <w:rsid w:val="0062500D"/>
    <w:rsid w:val="006250E9"/>
    <w:rsid w:val="006254A1"/>
    <w:rsid w:val="006258BA"/>
    <w:rsid w:val="00625C88"/>
    <w:rsid w:val="006269D9"/>
    <w:rsid w:val="00626E5A"/>
    <w:rsid w:val="006271F2"/>
    <w:rsid w:val="0062745F"/>
    <w:rsid w:val="00632B08"/>
    <w:rsid w:val="00633AC8"/>
    <w:rsid w:val="00633B2F"/>
    <w:rsid w:val="00633B5F"/>
    <w:rsid w:val="00633D33"/>
    <w:rsid w:val="00633F29"/>
    <w:rsid w:val="006355B8"/>
    <w:rsid w:val="00635646"/>
    <w:rsid w:val="0063582A"/>
    <w:rsid w:val="00636F22"/>
    <w:rsid w:val="0063739C"/>
    <w:rsid w:val="006378C6"/>
    <w:rsid w:val="00637ED5"/>
    <w:rsid w:val="00640C31"/>
    <w:rsid w:val="006416AE"/>
    <w:rsid w:val="00641B3E"/>
    <w:rsid w:val="00642052"/>
    <w:rsid w:val="00643226"/>
    <w:rsid w:val="006459EF"/>
    <w:rsid w:val="00645DA0"/>
    <w:rsid w:val="00646283"/>
    <w:rsid w:val="006465F3"/>
    <w:rsid w:val="006467F0"/>
    <w:rsid w:val="00647049"/>
    <w:rsid w:val="00647D31"/>
    <w:rsid w:val="00647D73"/>
    <w:rsid w:val="006508B7"/>
    <w:rsid w:val="00651667"/>
    <w:rsid w:val="006519AF"/>
    <w:rsid w:val="0065215E"/>
    <w:rsid w:val="00652420"/>
    <w:rsid w:val="00652524"/>
    <w:rsid w:val="00652785"/>
    <w:rsid w:val="006534BF"/>
    <w:rsid w:val="006537D7"/>
    <w:rsid w:val="006539BF"/>
    <w:rsid w:val="0065444A"/>
    <w:rsid w:val="006546D1"/>
    <w:rsid w:val="00654F68"/>
    <w:rsid w:val="00655B05"/>
    <w:rsid w:val="00655CF9"/>
    <w:rsid w:val="00655D45"/>
    <w:rsid w:val="006561EE"/>
    <w:rsid w:val="006563BC"/>
    <w:rsid w:val="00656E01"/>
    <w:rsid w:val="0065714C"/>
    <w:rsid w:val="006578B8"/>
    <w:rsid w:val="00657A8E"/>
    <w:rsid w:val="00657CA5"/>
    <w:rsid w:val="00660407"/>
    <w:rsid w:val="00660A74"/>
    <w:rsid w:val="006614EF"/>
    <w:rsid w:val="006615DA"/>
    <w:rsid w:val="00662D45"/>
    <w:rsid w:val="00662E5F"/>
    <w:rsid w:val="006630B7"/>
    <w:rsid w:val="00663559"/>
    <w:rsid w:val="006639B7"/>
    <w:rsid w:val="00664434"/>
    <w:rsid w:val="00664F47"/>
    <w:rsid w:val="0066561F"/>
    <w:rsid w:val="0066585E"/>
    <w:rsid w:val="00666361"/>
    <w:rsid w:val="00666A58"/>
    <w:rsid w:val="00666F51"/>
    <w:rsid w:val="00667126"/>
    <w:rsid w:val="0066716D"/>
    <w:rsid w:val="006677F0"/>
    <w:rsid w:val="00670650"/>
    <w:rsid w:val="00670C6D"/>
    <w:rsid w:val="00670D59"/>
    <w:rsid w:val="0067109A"/>
    <w:rsid w:val="006710A4"/>
    <w:rsid w:val="006712C0"/>
    <w:rsid w:val="006713A8"/>
    <w:rsid w:val="00672097"/>
    <w:rsid w:val="00672157"/>
    <w:rsid w:val="00672388"/>
    <w:rsid w:val="006727C7"/>
    <w:rsid w:val="00672C63"/>
    <w:rsid w:val="00673055"/>
    <w:rsid w:val="00673337"/>
    <w:rsid w:val="00673B9A"/>
    <w:rsid w:val="006744AC"/>
    <w:rsid w:val="00674C7D"/>
    <w:rsid w:val="0067522D"/>
    <w:rsid w:val="00675899"/>
    <w:rsid w:val="00676331"/>
    <w:rsid w:val="006768E9"/>
    <w:rsid w:val="00676E39"/>
    <w:rsid w:val="00677703"/>
    <w:rsid w:val="006809FB"/>
    <w:rsid w:val="00680B40"/>
    <w:rsid w:val="0068160E"/>
    <w:rsid w:val="006816DA"/>
    <w:rsid w:val="0068181A"/>
    <w:rsid w:val="00681EC9"/>
    <w:rsid w:val="006822FA"/>
    <w:rsid w:val="006824B2"/>
    <w:rsid w:val="0068288C"/>
    <w:rsid w:val="00682F41"/>
    <w:rsid w:val="006837D3"/>
    <w:rsid w:val="00683F36"/>
    <w:rsid w:val="00684164"/>
    <w:rsid w:val="00684344"/>
    <w:rsid w:val="00685589"/>
    <w:rsid w:val="0068682C"/>
    <w:rsid w:val="006875C1"/>
    <w:rsid w:val="006879DA"/>
    <w:rsid w:val="006908AA"/>
    <w:rsid w:val="00690EC8"/>
    <w:rsid w:val="00691603"/>
    <w:rsid w:val="00691730"/>
    <w:rsid w:val="006918D5"/>
    <w:rsid w:val="00691ACA"/>
    <w:rsid w:val="00692ADE"/>
    <w:rsid w:val="00692C86"/>
    <w:rsid w:val="00692E0D"/>
    <w:rsid w:val="006934EE"/>
    <w:rsid w:val="00693667"/>
    <w:rsid w:val="006938AA"/>
    <w:rsid w:val="00693E85"/>
    <w:rsid w:val="0069474B"/>
    <w:rsid w:val="0069475D"/>
    <w:rsid w:val="00694909"/>
    <w:rsid w:val="00694ED8"/>
    <w:rsid w:val="00695653"/>
    <w:rsid w:val="006957AA"/>
    <w:rsid w:val="006965F6"/>
    <w:rsid w:val="00696780"/>
    <w:rsid w:val="00697957"/>
    <w:rsid w:val="00697966"/>
    <w:rsid w:val="00697ACB"/>
    <w:rsid w:val="00697EF0"/>
    <w:rsid w:val="006A1413"/>
    <w:rsid w:val="006A141F"/>
    <w:rsid w:val="006A1844"/>
    <w:rsid w:val="006A28B4"/>
    <w:rsid w:val="006A38B6"/>
    <w:rsid w:val="006A3A2B"/>
    <w:rsid w:val="006A5337"/>
    <w:rsid w:val="006A583C"/>
    <w:rsid w:val="006A5DE0"/>
    <w:rsid w:val="006A6BF1"/>
    <w:rsid w:val="006A743D"/>
    <w:rsid w:val="006A7961"/>
    <w:rsid w:val="006A7AA0"/>
    <w:rsid w:val="006B2AED"/>
    <w:rsid w:val="006B3032"/>
    <w:rsid w:val="006B362E"/>
    <w:rsid w:val="006B42BD"/>
    <w:rsid w:val="006B4B4A"/>
    <w:rsid w:val="006B51D1"/>
    <w:rsid w:val="006B64D0"/>
    <w:rsid w:val="006B64FE"/>
    <w:rsid w:val="006B75C6"/>
    <w:rsid w:val="006B79A6"/>
    <w:rsid w:val="006B7FC1"/>
    <w:rsid w:val="006C022E"/>
    <w:rsid w:val="006C066B"/>
    <w:rsid w:val="006C0F16"/>
    <w:rsid w:val="006C12B5"/>
    <w:rsid w:val="006C1D67"/>
    <w:rsid w:val="006C2246"/>
    <w:rsid w:val="006C224B"/>
    <w:rsid w:val="006C2301"/>
    <w:rsid w:val="006C2411"/>
    <w:rsid w:val="006C3035"/>
    <w:rsid w:val="006C354C"/>
    <w:rsid w:val="006C3B76"/>
    <w:rsid w:val="006C4572"/>
    <w:rsid w:val="006C4966"/>
    <w:rsid w:val="006C4AF0"/>
    <w:rsid w:val="006C5CF3"/>
    <w:rsid w:val="006C6F0E"/>
    <w:rsid w:val="006C783C"/>
    <w:rsid w:val="006C7978"/>
    <w:rsid w:val="006C7B03"/>
    <w:rsid w:val="006D0B89"/>
    <w:rsid w:val="006D0EC2"/>
    <w:rsid w:val="006D0FEE"/>
    <w:rsid w:val="006D354F"/>
    <w:rsid w:val="006D4245"/>
    <w:rsid w:val="006D4C72"/>
    <w:rsid w:val="006D4CA0"/>
    <w:rsid w:val="006D4E4C"/>
    <w:rsid w:val="006D5585"/>
    <w:rsid w:val="006D5F76"/>
    <w:rsid w:val="006D65C3"/>
    <w:rsid w:val="006D68B1"/>
    <w:rsid w:val="006D6B27"/>
    <w:rsid w:val="006D6D96"/>
    <w:rsid w:val="006D7211"/>
    <w:rsid w:val="006D7325"/>
    <w:rsid w:val="006D75C8"/>
    <w:rsid w:val="006D79F1"/>
    <w:rsid w:val="006D7BA4"/>
    <w:rsid w:val="006E0609"/>
    <w:rsid w:val="006E12D5"/>
    <w:rsid w:val="006E1424"/>
    <w:rsid w:val="006E19D3"/>
    <w:rsid w:val="006E1CAF"/>
    <w:rsid w:val="006E3168"/>
    <w:rsid w:val="006E3FEB"/>
    <w:rsid w:val="006E45BD"/>
    <w:rsid w:val="006E6CB0"/>
    <w:rsid w:val="006E6EF5"/>
    <w:rsid w:val="006E6FDD"/>
    <w:rsid w:val="006E7F5E"/>
    <w:rsid w:val="006F0045"/>
    <w:rsid w:val="006F05E5"/>
    <w:rsid w:val="006F0D46"/>
    <w:rsid w:val="006F19C2"/>
    <w:rsid w:val="006F1FD7"/>
    <w:rsid w:val="006F23A4"/>
    <w:rsid w:val="006F23DD"/>
    <w:rsid w:val="006F24CD"/>
    <w:rsid w:val="006F2C86"/>
    <w:rsid w:val="006F38A8"/>
    <w:rsid w:val="006F3A19"/>
    <w:rsid w:val="006F3C07"/>
    <w:rsid w:val="006F4669"/>
    <w:rsid w:val="006F4800"/>
    <w:rsid w:val="006F4B13"/>
    <w:rsid w:val="006F4DB5"/>
    <w:rsid w:val="006F5158"/>
    <w:rsid w:val="006F525D"/>
    <w:rsid w:val="006F569C"/>
    <w:rsid w:val="006F77B1"/>
    <w:rsid w:val="006F7800"/>
    <w:rsid w:val="00700950"/>
    <w:rsid w:val="00701136"/>
    <w:rsid w:val="00701154"/>
    <w:rsid w:val="007013EA"/>
    <w:rsid w:val="007016D6"/>
    <w:rsid w:val="00701C32"/>
    <w:rsid w:val="0070201D"/>
    <w:rsid w:val="00702308"/>
    <w:rsid w:val="00702A9C"/>
    <w:rsid w:val="0070319A"/>
    <w:rsid w:val="00703680"/>
    <w:rsid w:val="00703695"/>
    <w:rsid w:val="00703CB4"/>
    <w:rsid w:val="00703FC7"/>
    <w:rsid w:val="00704074"/>
    <w:rsid w:val="007040C5"/>
    <w:rsid w:val="00704766"/>
    <w:rsid w:val="00704ADB"/>
    <w:rsid w:val="00704B9E"/>
    <w:rsid w:val="00705109"/>
    <w:rsid w:val="00705793"/>
    <w:rsid w:val="00706FC6"/>
    <w:rsid w:val="007075EA"/>
    <w:rsid w:val="007076BD"/>
    <w:rsid w:val="00707C18"/>
    <w:rsid w:val="007103A9"/>
    <w:rsid w:val="00710C57"/>
    <w:rsid w:val="007110B4"/>
    <w:rsid w:val="00711307"/>
    <w:rsid w:val="007113D5"/>
    <w:rsid w:val="0071179F"/>
    <w:rsid w:val="0071189F"/>
    <w:rsid w:val="007122C3"/>
    <w:rsid w:val="0071232B"/>
    <w:rsid w:val="007123AE"/>
    <w:rsid w:val="007123F6"/>
    <w:rsid w:val="007139DE"/>
    <w:rsid w:val="00714C9E"/>
    <w:rsid w:val="007159E3"/>
    <w:rsid w:val="00715A42"/>
    <w:rsid w:val="00715A4C"/>
    <w:rsid w:val="00716498"/>
    <w:rsid w:val="00716AD2"/>
    <w:rsid w:val="00716D1F"/>
    <w:rsid w:val="00716DB7"/>
    <w:rsid w:val="0071782A"/>
    <w:rsid w:val="007178BA"/>
    <w:rsid w:val="00717FB8"/>
    <w:rsid w:val="007203CA"/>
    <w:rsid w:val="00720423"/>
    <w:rsid w:val="00720571"/>
    <w:rsid w:val="00720B3B"/>
    <w:rsid w:val="00720DD0"/>
    <w:rsid w:val="0072113A"/>
    <w:rsid w:val="007226F5"/>
    <w:rsid w:val="007228E5"/>
    <w:rsid w:val="00722B41"/>
    <w:rsid w:val="00722CDA"/>
    <w:rsid w:val="00723067"/>
    <w:rsid w:val="00723B2C"/>
    <w:rsid w:val="007245F6"/>
    <w:rsid w:val="0072485D"/>
    <w:rsid w:val="00724974"/>
    <w:rsid w:val="00724ED0"/>
    <w:rsid w:val="00724F92"/>
    <w:rsid w:val="007253D6"/>
    <w:rsid w:val="0072578A"/>
    <w:rsid w:val="00725848"/>
    <w:rsid w:val="0072597A"/>
    <w:rsid w:val="00727D24"/>
    <w:rsid w:val="00730D05"/>
    <w:rsid w:val="0073136D"/>
    <w:rsid w:val="007314C8"/>
    <w:rsid w:val="00731999"/>
    <w:rsid w:val="007331B2"/>
    <w:rsid w:val="00733484"/>
    <w:rsid w:val="00734430"/>
    <w:rsid w:val="00736488"/>
    <w:rsid w:val="007366EC"/>
    <w:rsid w:val="0073792C"/>
    <w:rsid w:val="0074042E"/>
    <w:rsid w:val="0074084C"/>
    <w:rsid w:val="00740A12"/>
    <w:rsid w:val="007410A8"/>
    <w:rsid w:val="00741571"/>
    <w:rsid w:val="0074257A"/>
    <w:rsid w:val="00743F1E"/>
    <w:rsid w:val="00745F30"/>
    <w:rsid w:val="007460AD"/>
    <w:rsid w:val="0074618D"/>
    <w:rsid w:val="00747434"/>
    <w:rsid w:val="00747682"/>
    <w:rsid w:val="0074788B"/>
    <w:rsid w:val="007504C9"/>
    <w:rsid w:val="00750D0B"/>
    <w:rsid w:val="007511F0"/>
    <w:rsid w:val="0075137C"/>
    <w:rsid w:val="007522C8"/>
    <w:rsid w:val="00752483"/>
    <w:rsid w:val="0075250F"/>
    <w:rsid w:val="00753576"/>
    <w:rsid w:val="00753E68"/>
    <w:rsid w:val="00753E7C"/>
    <w:rsid w:val="0075418A"/>
    <w:rsid w:val="007546D0"/>
    <w:rsid w:val="007550A9"/>
    <w:rsid w:val="0075560D"/>
    <w:rsid w:val="00755C0A"/>
    <w:rsid w:val="00755F01"/>
    <w:rsid w:val="00755F5F"/>
    <w:rsid w:val="00756023"/>
    <w:rsid w:val="0075606C"/>
    <w:rsid w:val="0075614E"/>
    <w:rsid w:val="00757457"/>
    <w:rsid w:val="0075774E"/>
    <w:rsid w:val="00760F03"/>
    <w:rsid w:val="00761712"/>
    <w:rsid w:val="007619CD"/>
    <w:rsid w:val="00761DCC"/>
    <w:rsid w:val="0076260D"/>
    <w:rsid w:val="00762C3A"/>
    <w:rsid w:val="00763346"/>
    <w:rsid w:val="007636A6"/>
    <w:rsid w:val="00763B77"/>
    <w:rsid w:val="0076423A"/>
    <w:rsid w:val="007648AF"/>
    <w:rsid w:val="00764E88"/>
    <w:rsid w:val="00766239"/>
    <w:rsid w:val="00766242"/>
    <w:rsid w:val="00766B9A"/>
    <w:rsid w:val="00766C79"/>
    <w:rsid w:val="0076702C"/>
    <w:rsid w:val="00767142"/>
    <w:rsid w:val="00767248"/>
    <w:rsid w:val="0076742B"/>
    <w:rsid w:val="00767F6C"/>
    <w:rsid w:val="00770081"/>
    <w:rsid w:val="007708D0"/>
    <w:rsid w:val="00770B80"/>
    <w:rsid w:val="00771F22"/>
    <w:rsid w:val="00772829"/>
    <w:rsid w:val="00773174"/>
    <w:rsid w:val="00773458"/>
    <w:rsid w:val="00774277"/>
    <w:rsid w:val="0077534C"/>
    <w:rsid w:val="00775375"/>
    <w:rsid w:val="00775708"/>
    <w:rsid w:val="00775A7C"/>
    <w:rsid w:val="00775E68"/>
    <w:rsid w:val="00777848"/>
    <w:rsid w:val="00777893"/>
    <w:rsid w:val="00777CF3"/>
    <w:rsid w:val="007802DA"/>
    <w:rsid w:val="0078085A"/>
    <w:rsid w:val="007816B6"/>
    <w:rsid w:val="00781AE7"/>
    <w:rsid w:val="00781DCF"/>
    <w:rsid w:val="007830C9"/>
    <w:rsid w:val="00783258"/>
    <w:rsid w:val="0078509C"/>
    <w:rsid w:val="007852E9"/>
    <w:rsid w:val="00785616"/>
    <w:rsid w:val="00785C3E"/>
    <w:rsid w:val="0078686D"/>
    <w:rsid w:val="0078690C"/>
    <w:rsid w:val="00787B45"/>
    <w:rsid w:val="00787E5A"/>
    <w:rsid w:val="00790167"/>
    <w:rsid w:val="00790B15"/>
    <w:rsid w:val="00790F49"/>
    <w:rsid w:val="007915A0"/>
    <w:rsid w:val="007931CB"/>
    <w:rsid w:val="007941A9"/>
    <w:rsid w:val="00794494"/>
    <w:rsid w:val="00794935"/>
    <w:rsid w:val="00794D74"/>
    <w:rsid w:val="007951D4"/>
    <w:rsid w:val="00795625"/>
    <w:rsid w:val="007970FC"/>
    <w:rsid w:val="00797C46"/>
    <w:rsid w:val="00797CAD"/>
    <w:rsid w:val="00797D9E"/>
    <w:rsid w:val="00797FF7"/>
    <w:rsid w:val="007A0474"/>
    <w:rsid w:val="007A068C"/>
    <w:rsid w:val="007A080C"/>
    <w:rsid w:val="007A0963"/>
    <w:rsid w:val="007A0E0D"/>
    <w:rsid w:val="007A0E90"/>
    <w:rsid w:val="007A19F6"/>
    <w:rsid w:val="007A287C"/>
    <w:rsid w:val="007A2B65"/>
    <w:rsid w:val="007A31A0"/>
    <w:rsid w:val="007A3543"/>
    <w:rsid w:val="007A464A"/>
    <w:rsid w:val="007A5226"/>
    <w:rsid w:val="007A5617"/>
    <w:rsid w:val="007A581B"/>
    <w:rsid w:val="007A5854"/>
    <w:rsid w:val="007A5D72"/>
    <w:rsid w:val="007A62B1"/>
    <w:rsid w:val="007A636C"/>
    <w:rsid w:val="007A698B"/>
    <w:rsid w:val="007A77DE"/>
    <w:rsid w:val="007B0245"/>
    <w:rsid w:val="007B02A3"/>
    <w:rsid w:val="007B083F"/>
    <w:rsid w:val="007B0880"/>
    <w:rsid w:val="007B0D01"/>
    <w:rsid w:val="007B205B"/>
    <w:rsid w:val="007B2085"/>
    <w:rsid w:val="007B2FDC"/>
    <w:rsid w:val="007B36F9"/>
    <w:rsid w:val="007B38A0"/>
    <w:rsid w:val="007B38B7"/>
    <w:rsid w:val="007B4579"/>
    <w:rsid w:val="007B4E82"/>
    <w:rsid w:val="007B4F7B"/>
    <w:rsid w:val="007B50E7"/>
    <w:rsid w:val="007B583D"/>
    <w:rsid w:val="007B6684"/>
    <w:rsid w:val="007B69CE"/>
    <w:rsid w:val="007B69D5"/>
    <w:rsid w:val="007B6B21"/>
    <w:rsid w:val="007B7024"/>
    <w:rsid w:val="007B7D56"/>
    <w:rsid w:val="007C0390"/>
    <w:rsid w:val="007C03BF"/>
    <w:rsid w:val="007C14A2"/>
    <w:rsid w:val="007C1AF5"/>
    <w:rsid w:val="007C300E"/>
    <w:rsid w:val="007C328D"/>
    <w:rsid w:val="007C336F"/>
    <w:rsid w:val="007C41B1"/>
    <w:rsid w:val="007C4240"/>
    <w:rsid w:val="007C5843"/>
    <w:rsid w:val="007C59C1"/>
    <w:rsid w:val="007C6B25"/>
    <w:rsid w:val="007C7BC3"/>
    <w:rsid w:val="007C7C79"/>
    <w:rsid w:val="007D03C9"/>
    <w:rsid w:val="007D1324"/>
    <w:rsid w:val="007D1917"/>
    <w:rsid w:val="007D1B95"/>
    <w:rsid w:val="007D20BB"/>
    <w:rsid w:val="007D2EB0"/>
    <w:rsid w:val="007D30B7"/>
    <w:rsid w:val="007D3B25"/>
    <w:rsid w:val="007D3FA3"/>
    <w:rsid w:val="007D458C"/>
    <w:rsid w:val="007D54D7"/>
    <w:rsid w:val="007D59E5"/>
    <w:rsid w:val="007D628A"/>
    <w:rsid w:val="007D6DD5"/>
    <w:rsid w:val="007D7071"/>
    <w:rsid w:val="007D746A"/>
    <w:rsid w:val="007E05B6"/>
    <w:rsid w:val="007E11F4"/>
    <w:rsid w:val="007E15AD"/>
    <w:rsid w:val="007E2123"/>
    <w:rsid w:val="007E216A"/>
    <w:rsid w:val="007E25ED"/>
    <w:rsid w:val="007E2BC0"/>
    <w:rsid w:val="007E3270"/>
    <w:rsid w:val="007E3563"/>
    <w:rsid w:val="007E3E8C"/>
    <w:rsid w:val="007E465F"/>
    <w:rsid w:val="007E5907"/>
    <w:rsid w:val="007E6DF4"/>
    <w:rsid w:val="007F0031"/>
    <w:rsid w:val="007F0C06"/>
    <w:rsid w:val="007F1097"/>
    <w:rsid w:val="007F12E7"/>
    <w:rsid w:val="007F179F"/>
    <w:rsid w:val="007F1D48"/>
    <w:rsid w:val="007F1F03"/>
    <w:rsid w:val="007F2AB5"/>
    <w:rsid w:val="007F2CF4"/>
    <w:rsid w:val="007F3976"/>
    <w:rsid w:val="007F3D18"/>
    <w:rsid w:val="007F4DA9"/>
    <w:rsid w:val="007F4DF0"/>
    <w:rsid w:val="007F4ED6"/>
    <w:rsid w:val="007F4F4C"/>
    <w:rsid w:val="007F546D"/>
    <w:rsid w:val="007F5C89"/>
    <w:rsid w:val="007F5FF8"/>
    <w:rsid w:val="007F67E9"/>
    <w:rsid w:val="007F68EB"/>
    <w:rsid w:val="007F7BC2"/>
    <w:rsid w:val="007F7C7B"/>
    <w:rsid w:val="007F7DDC"/>
    <w:rsid w:val="007F7E1D"/>
    <w:rsid w:val="008003A2"/>
    <w:rsid w:val="008006B0"/>
    <w:rsid w:val="008013CD"/>
    <w:rsid w:val="00801420"/>
    <w:rsid w:val="00801594"/>
    <w:rsid w:val="0080169E"/>
    <w:rsid w:val="00801A20"/>
    <w:rsid w:val="00801EDF"/>
    <w:rsid w:val="008027B8"/>
    <w:rsid w:val="008027E5"/>
    <w:rsid w:val="008028CB"/>
    <w:rsid w:val="008040A2"/>
    <w:rsid w:val="00804624"/>
    <w:rsid w:val="00804632"/>
    <w:rsid w:val="00804AEC"/>
    <w:rsid w:val="008054D9"/>
    <w:rsid w:val="008058AC"/>
    <w:rsid w:val="0080661D"/>
    <w:rsid w:val="00806688"/>
    <w:rsid w:val="00806963"/>
    <w:rsid w:val="00807721"/>
    <w:rsid w:val="008078FF"/>
    <w:rsid w:val="00807A3E"/>
    <w:rsid w:val="00807EB2"/>
    <w:rsid w:val="008102E6"/>
    <w:rsid w:val="00810338"/>
    <w:rsid w:val="008104D4"/>
    <w:rsid w:val="00811019"/>
    <w:rsid w:val="008112DF"/>
    <w:rsid w:val="00812282"/>
    <w:rsid w:val="008124FA"/>
    <w:rsid w:val="00813F58"/>
    <w:rsid w:val="00813F99"/>
    <w:rsid w:val="00814746"/>
    <w:rsid w:val="008148E4"/>
    <w:rsid w:val="00814B91"/>
    <w:rsid w:val="008156FF"/>
    <w:rsid w:val="008157F1"/>
    <w:rsid w:val="00816C08"/>
    <w:rsid w:val="00816EC2"/>
    <w:rsid w:val="00817FBF"/>
    <w:rsid w:val="00820512"/>
    <w:rsid w:val="00822196"/>
    <w:rsid w:val="008221FE"/>
    <w:rsid w:val="00822248"/>
    <w:rsid w:val="008236E1"/>
    <w:rsid w:val="00823E68"/>
    <w:rsid w:val="00824458"/>
    <w:rsid w:val="008249F7"/>
    <w:rsid w:val="00824B74"/>
    <w:rsid w:val="00825265"/>
    <w:rsid w:val="00825614"/>
    <w:rsid w:val="00825930"/>
    <w:rsid w:val="008259E8"/>
    <w:rsid w:val="00825F1D"/>
    <w:rsid w:val="00826163"/>
    <w:rsid w:val="00826835"/>
    <w:rsid w:val="00827027"/>
    <w:rsid w:val="00830102"/>
    <w:rsid w:val="008304D4"/>
    <w:rsid w:val="0083054C"/>
    <w:rsid w:val="00831328"/>
    <w:rsid w:val="008318BD"/>
    <w:rsid w:val="008334F0"/>
    <w:rsid w:val="00835E4C"/>
    <w:rsid w:val="00835EC9"/>
    <w:rsid w:val="00836C64"/>
    <w:rsid w:val="00836C92"/>
    <w:rsid w:val="008373DC"/>
    <w:rsid w:val="0084005C"/>
    <w:rsid w:val="00841097"/>
    <w:rsid w:val="00841388"/>
    <w:rsid w:val="00841405"/>
    <w:rsid w:val="00841433"/>
    <w:rsid w:val="00841EFB"/>
    <w:rsid w:val="00841F44"/>
    <w:rsid w:val="008420C4"/>
    <w:rsid w:val="00842952"/>
    <w:rsid w:val="00842ACE"/>
    <w:rsid w:val="00842C82"/>
    <w:rsid w:val="008436D7"/>
    <w:rsid w:val="00843AD1"/>
    <w:rsid w:val="008440FE"/>
    <w:rsid w:val="00844337"/>
    <w:rsid w:val="00845FA9"/>
    <w:rsid w:val="00846119"/>
    <w:rsid w:val="008464BD"/>
    <w:rsid w:val="00846564"/>
    <w:rsid w:val="00846DB5"/>
    <w:rsid w:val="00846F6C"/>
    <w:rsid w:val="00847079"/>
    <w:rsid w:val="008474E3"/>
    <w:rsid w:val="008500FD"/>
    <w:rsid w:val="00850559"/>
    <w:rsid w:val="008511BF"/>
    <w:rsid w:val="0085136A"/>
    <w:rsid w:val="00851EF3"/>
    <w:rsid w:val="0085279B"/>
    <w:rsid w:val="008527ED"/>
    <w:rsid w:val="00852B37"/>
    <w:rsid w:val="0085370B"/>
    <w:rsid w:val="008537F7"/>
    <w:rsid w:val="00853899"/>
    <w:rsid w:val="008546BE"/>
    <w:rsid w:val="008551AF"/>
    <w:rsid w:val="00855334"/>
    <w:rsid w:val="00855C93"/>
    <w:rsid w:val="00856074"/>
    <w:rsid w:val="00856661"/>
    <w:rsid w:val="00857949"/>
    <w:rsid w:val="00857E19"/>
    <w:rsid w:val="008604EF"/>
    <w:rsid w:val="00861096"/>
    <w:rsid w:val="008615EA"/>
    <w:rsid w:val="00862691"/>
    <w:rsid w:val="008636FB"/>
    <w:rsid w:val="008640E5"/>
    <w:rsid w:val="0086587F"/>
    <w:rsid w:val="00865E5E"/>
    <w:rsid w:val="008675B1"/>
    <w:rsid w:val="00867CD1"/>
    <w:rsid w:val="008725A8"/>
    <w:rsid w:val="0087277A"/>
    <w:rsid w:val="00872A47"/>
    <w:rsid w:val="00872D98"/>
    <w:rsid w:val="00873488"/>
    <w:rsid w:val="008736E2"/>
    <w:rsid w:val="00874565"/>
    <w:rsid w:val="008754C8"/>
    <w:rsid w:val="0087587E"/>
    <w:rsid w:val="00876055"/>
    <w:rsid w:val="008762B7"/>
    <w:rsid w:val="0087722E"/>
    <w:rsid w:val="00877247"/>
    <w:rsid w:val="00877A1F"/>
    <w:rsid w:val="008801AE"/>
    <w:rsid w:val="008802BC"/>
    <w:rsid w:val="008802C8"/>
    <w:rsid w:val="00880622"/>
    <w:rsid w:val="00880A3F"/>
    <w:rsid w:val="00880AA3"/>
    <w:rsid w:val="00880EF0"/>
    <w:rsid w:val="00882CBF"/>
    <w:rsid w:val="008838B5"/>
    <w:rsid w:val="00883C3B"/>
    <w:rsid w:val="0088421C"/>
    <w:rsid w:val="0088445B"/>
    <w:rsid w:val="00884563"/>
    <w:rsid w:val="0088506D"/>
    <w:rsid w:val="00887B96"/>
    <w:rsid w:val="00887FED"/>
    <w:rsid w:val="008903C8"/>
    <w:rsid w:val="0089053A"/>
    <w:rsid w:val="00890626"/>
    <w:rsid w:val="00891230"/>
    <w:rsid w:val="00891414"/>
    <w:rsid w:val="00891AF6"/>
    <w:rsid w:val="00891BC3"/>
    <w:rsid w:val="00892581"/>
    <w:rsid w:val="008929DE"/>
    <w:rsid w:val="0089306C"/>
    <w:rsid w:val="008934DB"/>
    <w:rsid w:val="00893532"/>
    <w:rsid w:val="008937C8"/>
    <w:rsid w:val="008938DD"/>
    <w:rsid w:val="00893B87"/>
    <w:rsid w:val="00893BFE"/>
    <w:rsid w:val="00893C82"/>
    <w:rsid w:val="00894786"/>
    <w:rsid w:val="00894858"/>
    <w:rsid w:val="00895838"/>
    <w:rsid w:val="00895AFC"/>
    <w:rsid w:val="00895FDF"/>
    <w:rsid w:val="008967C4"/>
    <w:rsid w:val="0089684B"/>
    <w:rsid w:val="008969DE"/>
    <w:rsid w:val="00897F8B"/>
    <w:rsid w:val="008A0A8C"/>
    <w:rsid w:val="008A0D2A"/>
    <w:rsid w:val="008A1693"/>
    <w:rsid w:val="008A23F9"/>
    <w:rsid w:val="008A254F"/>
    <w:rsid w:val="008A2630"/>
    <w:rsid w:val="008A3198"/>
    <w:rsid w:val="008A3377"/>
    <w:rsid w:val="008A37B5"/>
    <w:rsid w:val="008A4A0A"/>
    <w:rsid w:val="008A4FF4"/>
    <w:rsid w:val="008A5293"/>
    <w:rsid w:val="008A539E"/>
    <w:rsid w:val="008A5833"/>
    <w:rsid w:val="008A6165"/>
    <w:rsid w:val="008A65B7"/>
    <w:rsid w:val="008A73A2"/>
    <w:rsid w:val="008A7F55"/>
    <w:rsid w:val="008A7FF5"/>
    <w:rsid w:val="008B162D"/>
    <w:rsid w:val="008B1FC4"/>
    <w:rsid w:val="008B2725"/>
    <w:rsid w:val="008B3478"/>
    <w:rsid w:val="008B35A1"/>
    <w:rsid w:val="008B36E5"/>
    <w:rsid w:val="008B3977"/>
    <w:rsid w:val="008B3A6A"/>
    <w:rsid w:val="008B3A88"/>
    <w:rsid w:val="008B3C72"/>
    <w:rsid w:val="008B442F"/>
    <w:rsid w:val="008B4BFC"/>
    <w:rsid w:val="008B4DC6"/>
    <w:rsid w:val="008B51B4"/>
    <w:rsid w:val="008B53FF"/>
    <w:rsid w:val="008B593D"/>
    <w:rsid w:val="008B5B67"/>
    <w:rsid w:val="008B5D7A"/>
    <w:rsid w:val="008B66E3"/>
    <w:rsid w:val="008B6E94"/>
    <w:rsid w:val="008B7018"/>
    <w:rsid w:val="008B7848"/>
    <w:rsid w:val="008B787F"/>
    <w:rsid w:val="008C0C56"/>
    <w:rsid w:val="008C0D22"/>
    <w:rsid w:val="008C13C5"/>
    <w:rsid w:val="008C192B"/>
    <w:rsid w:val="008C1E05"/>
    <w:rsid w:val="008C2829"/>
    <w:rsid w:val="008C30FB"/>
    <w:rsid w:val="008C34BB"/>
    <w:rsid w:val="008C3B57"/>
    <w:rsid w:val="008C44DB"/>
    <w:rsid w:val="008C45E2"/>
    <w:rsid w:val="008C51BF"/>
    <w:rsid w:val="008C584A"/>
    <w:rsid w:val="008C5900"/>
    <w:rsid w:val="008C5CD4"/>
    <w:rsid w:val="008C5CE0"/>
    <w:rsid w:val="008C64B1"/>
    <w:rsid w:val="008C64ED"/>
    <w:rsid w:val="008C6E64"/>
    <w:rsid w:val="008D033E"/>
    <w:rsid w:val="008D0B99"/>
    <w:rsid w:val="008D1859"/>
    <w:rsid w:val="008D2117"/>
    <w:rsid w:val="008D23CB"/>
    <w:rsid w:val="008D2689"/>
    <w:rsid w:val="008D2F1D"/>
    <w:rsid w:val="008D2F1E"/>
    <w:rsid w:val="008D317F"/>
    <w:rsid w:val="008D34EA"/>
    <w:rsid w:val="008D3726"/>
    <w:rsid w:val="008D452C"/>
    <w:rsid w:val="008D483B"/>
    <w:rsid w:val="008D4AB3"/>
    <w:rsid w:val="008D4C96"/>
    <w:rsid w:val="008D4CB0"/>
    <w:rsid w:val="008D5461"/>
    <w:rsid w:val="008D5A18"/>
    <w:rsid w:val="008D5E07"/>
    <w:rsid w:val="008D6397"/>
    <w:rsid w:val="008D6978"/>
    <w:rsid w:val="008D73C9"/>
    <w:rsid w:val="008E0225"/>
    <w:rsid w:val="008E16BF"/>
    <w:rsid w:val="008E1A43"/>
    <w:rsid w:val="008E1DAD"/>
    <w:rsid w:val="008E2ACA"/>
    <w:rsid w:val="008E2C11"/>
    <w:rsid w:val="008E2ED1"/>
    <w:rsid w:val="008E3049"/>
    <w:rsid w:val="008E35A3"/>
    <w:rsid w:val="008E4085"/>
    <w:rsid w:val="008E4CB3"/>
    <w:rsid w:val="008E7274"/>
    <w:rsid w:val="008E7974"/>
    <w:rsid w:val="008E7F2A"/>
    <w:rsid w:val="008F0562"/>
    <w:rsid w:val="008F06F4"/>
    <w:rsid w:val="008F139C"/>
    <w:rsid w:val="008F1BF3"/>
    <w:rsid w:val="008F217A"/>
    <w:rsid w:val="008F260B"/>
    <w:rsid w:val="008F2698"/>
    <w:rsid w:val="008F2A46"/>
    <w:rsid w:val="008F2AB1"/>
    <w:rsid w:val="008F2F87"/>
    <w:rsid w:val="008F3591"/>
    <w:rsid w:val="008F3874"/>
    <w:rsid w:val="008F4A4E"/>
    <w:rsid w:val="008F5468"/>
    <w:rsid w:val="008F5495"/>
    <w:rsid w:val="008F5A77"/>
    <w:rsid w:val="008F5B77"/>
    <w:rsid w:val="008F5EB7"/>
    <w:rsid w:val="008F607E"/>
    <w:rsid w:val="008F63A6"/>
    <w:rsid w:val="008F66D9"/>
    <w:rsid w:val="008F76B0"/>
    <w:rsid w:val="00900CAA"/>
    <w:rsid w:val="00900D5B"/>
    <w:rsid w:val="009021D3"/>
    <w:rsid w:val="00902462"/>
    <w:rsid w:val="00902EFD"/>
    <w:rsid w:val="00903390"/>
    <w:rsid w:val="00903A12"/>
    <w:rsid w:val="00903D99"/>
    <w:rsid w:val="00904429"/>
    <w:rsid w:val="0090504E"/>
    <w:rsid w:val="009053EB"/>
    <w:rsid w:val="009056FF"/>
    <w:rsid w:val="00906E65"/>
    <w:rsid w:val="00907803"/>
    <w:rsid w:val="009114D1"/>
    <w:rsid w:val="00911785"/>
    <w:rsid w:val="009118A3"/>
    <w:rsid w:val="00911ABB"/>
    <w:rsid w:val="00912016"/>
    <w:rsid w:val="00912607"/>
    <w:rsid w:val="009127A7"/>
    <w:rsid w:val="0091295F"/>
    <w:rsid w:val="00912984"/>
    <w:rsid w:val="00912A0F"/>
    <w:rsid w:val="00912CD8"/>
    <w:rsid w:val="0091317E"/>
    <w:rsid w:val="0091386B"/>
    <w:rsid w:val="009140D4"/>
    <w:rsid w:val="009143B8"/>
    <w:rsid w:val="009144D5"/>
    <w:rsid w:val="00914525"/>
    <w:rsid w:val="00914CE2"/>
    <w:rsid w:val="00914D42"/>
    <w:rsid w:val="00915F98"/>
    <w:rsid w:val="00915FA3"/>
    <w:rsid w:val="00917464"/>
    <w:rsid w:val="00917633"/>
    <w:rsid w:val="00920EF2"/>
    <w:rsid w:val="00921028"/>
    <w:rsid w:val="009216C1"/>
    <w:rsid w:val="009217F8"/>
    <w:rsid w:val="00922C9F"/>
    <w:rsid w:val="0092419F"/>
    <w:rsid w:val="0092470E"/>
    <w:rsid w:val="00924775"/>
    <w:rsid w:val="00924AE4"/>
    <w:rsid w:val="00924FEF"/>
    <w:rsid w:val="00925187"/>
    <w:rsid w:val="0092605E"/>
    <w:rsid w:val="0092626B"/>
    <w:rsid w:val="00926B75"/>
    <w:rsid w:val="0092709C"/>
    <w:rsid w:val="0092717F"/>
    <w:rsid w:val="00927401"/>
    <w:rsid w:val="00927744"/>
    <w:rsid w:val="00927B05"/>
    <w:rsid w:val="00927D48"/>
    <w:rsid w:val="00930151"/>
    <w:rsid w:val="0093053B"/>
    <w:rsid w:val="00930E4A"/>
    <w:rsid w:val="00930F4E"/>
    <w:rsid w:val="009316FA"/>
    <w:rsid w:val="00931B0D"/>
    <w:rsid w:val="00931E3E"/>
    <w:rsid w:val="009324EE"/>
    <w:rsid w:val="0093327F"/>
    <w:rsid w:val="009332B5"/>
    <w:rsid w:val="009343C0"/>
    <w:rsid w:val="0093499E"/>
    <w:rsid w:val="00934A77"/>
    <w:rsid w:val="0093510D"/>
    <w:rsid w:val="00936062"/>
    <w:rsid w:val="009361B6"/>
    <w:rsid w:val="009366E6"/>
    <w:rsid w:val="0093670C"/>
    <w:rsid w:val="00936B93"/>
    <w:rsid w:val="00936D42"/>
    <w:rsid w:val="00936FBD"/>
    <w:rsid w:val="00937320"/>
    <w:rsid w:val="009374C1"/>
    <w:rsid w:val="0093766B"/>
    <w:rsid w:val="00937CBE"/>
    <w:rsid w:val="0094062E"/>
    <w:rsid w:val="00940F7E"/>
    <w:rsid w:val="00941645"/>
    <w:rsid w:val="00941703"/>
    <w:rsid w:val="00942878"/>
    <w:rsid w:val="009428DF"/>
    <w:rsid w:val="009430A1"/>
    <w:rsid w:val="00943ADB"/>
    <w:rsid w:val="00944087"/>
    <w:rsid w:val="009447F1"/>
    <w:rsid w:val="00944930"/>
    <w:rsid w:val="00944E74"/>
    <w:rsid w:val="00945B76"/>
    <w:rsid w:val="00945D9A"/>
    <w:rsid w:val="009461CE"/>
    <w:rsid w:val="00946908"/>
    <w:rsid w:val="00946B10"/>
    <w:rsid w:val="00946BFF"/>
    <w:rsid w:val="00946CB4"/>
    <w:rsid w:val="009470F1"/>
    <w:rsid w:val="00947E6F"/>
    <w:rsid w:val="0095012E"/>
    <w:rsid w:val="00950814"/>
    <w:rsid w:val="00950F73"/>
    <w:rsid w:val="00951026"/>
    <w:rsid w:val="00951934"/>
    <w:rsid w:val="0095207B"/>
    <w:rsid w:val="00952081"/>
    <w:rsid w:val="00952BF1"/>
    <w:rsid w:val="009537F0"/>
    <w:rsid w:val="00953949"/>
    <w:rsid w:val="00954569"/>
    <w:rsid w:val="00954B6D"/>
    <w:rsid w:val="00954B98"/>
    <w:rsid w:val="00954C8C"/>
    <w:rsid w:val="00954DBB"/>
    <w:rsid w:val="00954E2E"/>
    <w:rsid w:val="00954E58"/>
    <w:rsid w:val="009561DD"/>
    <w:rsid w:val="00956ACE"/>
    <w:rsid w:val="00957145"/>
    <w:rsid w:val="009572A0"/>
    <w:rsid w:val="0095749A"/>
    <w:rsid w:val="0095770D"/>
    <w:rsid w:val="00957D24"/>
    <w:rsid w:val="00960DCF"/>
    <w:rsid w:val="00960E82"/>
    <w:rsid w:val="009615CB"/>
    <w:rsid w:val="00961B53"/>
    <w:rsid w:val="00962026"/>
    <w:rsid w:val="00962B79"/>
    <w:rsid w:val="00962B7E"/>
    <w:rsid w:val="00963264"/>
    <w:rsid w:val="0096389D"/>
    <w:rsid w:val="00963BD7"/>
    <w:rsid w:val="00963C70"/>
    <w:rsid w:val="0096487A"/>
    <w:rsid w:val="009651AE"/>
    <w:rsid w:val="00965A7B"/>
    <w:rsid w:val="00965CB1"/>
    <w:rsid w:val="009674ED"/>
    <w:rsid w:val="00967549"/>
    <w:rsid w:val="009676C0"/>
    <w:rsid w:val="00970C65"/>
    <w:rsid w:val="00971077"/>
    <w:rsid w:val="00972450"/>
    <w:rsid w:val="00972468"/>
    <w:rsid w:val="00972917"/>
    <w:rsid w:val="00972F4E"/>
    <w:rsid w:val="00973174"/>
    <w:rsid w:val="00973782"/>
    <w:rsid w:val="00975792"/>
    <w:rsid w:val="009758E6"/>
    <w:rsid w:val="009760ED"/>
    <w:rsid w:val="0097736D"/>
    <w:rsid w:val="00977582"/>
    <w:rsid w:val="009776BF"/>
    <w:rsid w:val="00977F5E"/>
    <w:rsid w:val="009803A9"/>
    <w:rsid w:val="009803CB"/>
    <w:rsid w:val="009803D4"/>
    <w:rsid w:val="009806A4"/>
    <w:rsid w:val="009807A2"/>
    <w:rsid w:val="00980944"/>
    <w:rsid w:val="009810A0"/>
    <w:rsid w:val="009811A6"/>
    <w:rsid w:val="009816B0"/>
    <w:rsid w:val="0098199C"/>
    <w:rsid w:val="00981A35"/>
    <w:rsid w:val="00981C85"/>
    <w:rsid w:val="0098268D"/>
    <w:rsid w:val="009830FA"/>
    <w:rsid w:val="009841DC"/>
    <w:rsid w:val="00984814"/>
    <w:rsid w:val="00985182"/>
    <w:rsid w:val="00985E16"/>
    <w:rsid w:val="0098661E"/>
    <w:rsid w:val="00986764"/>
    <w:rsid w:val="009867A2"/>
    <w:rsid w:val="0098691A"/>
    <w:rsid w:val="00986CAB"/>
    <w:rsid w:val="009873D7"/>
    <w:rsid w:val="009873F3"/>
    <w:rsid w:val="009874F0"/>
    <w:rsid w:val="00987C77"/>
    <w:rsid w:val="009906C5"/>
    <w:rsid w:val="009909DF"/>
    <w:rsid w:val="009921AD"/>
    <w:rsid w:val="00992FC1"/>
    <w:rsid w:val="0099332D"/>
    <w:rsid w:val="00993A31"/>
    <w:rsid w:val="009940F0"/>
    <w:rsid w:val="00994F57"/>
    <w:rsid w:val="00995E98"/>
    <w:rsid w:val="00996729"/>
    <w:rsid w:val="0099676B"/>
    <w:rsid w:val="00996F15"/>
    <w:rsid w:val="0099730F"/>
    <w:rsid w:val="00997BA8"/>
    <w:rsid w:val="009A06F4"/>
    <w:rsid w:val="009A0D74"/>
    <w:rsid w:val="009A11A0"/>
    <w:rsid w:val="009A25DC"/>
    <w:rsid w:val="009A2882"/>
    <w:rsid w:val="009A289E"/>
    <w:rsid w:val="009A29B4"/>
    <w:rsid w:val="009A3400"/>
    <w:rsid w:val="009A3778"/>
    <w:rsid w:val="009A3E2E"/>
    <w:rsid w:val="009A420E"/>
    <w:rsid w:val="009A4697"/>
    <w:rsid w:val="009A4720"/>
    <w:rsid w:val="009A794E"/>
    <w:rsid w:val="009A7F34"/>
    <w:rsid w:val="009B03C7"/>
    <w:rsid w:val="009B090D"/>
    <w:rsid w:val="009B0B88"/>
    <w:rsid w:val="009B146B"/>
    <w:rsid w:val="009B2245"/>
    <w:rsid w:val="009B258E"/>
    <w:rsid w:val="009B2E27"/>
    <w:rsid w:val="009B358B"/>
    <w:rsid w:val="009B4A71"/>
    <w:rsid w:val="009B4DE7"/>
    <w:rsid w:val="009B5997"/>
    <w:rsid w:val="009B5EB5"/>
    <w:rsid w:val="009B6B23"/>
    <w:rsid w:val="009B71DA"/>
    <w:rsid w:val="009B74D3"/>
    <w:rsid w:val="009B7A3E"/>
    <w:rsid w:val="009B7ABD"/>
    <w:rsid w:val="009B7DBE"/>
    <w:rsid w:val="009C1D27"/>
    <w:rsid w:val="009C22B5"/>
    <w:rsid w:val="009C3BD9"/>
    <w:rsid w:val="009C4A30"/>
    <w:rsid w:val="009C5B82"/>
    <w:rsid w:val="009C5C18"/>
    <w:rsid w:val="009C6DD7"/>
    <w:rsid w:val="009C710D"/>
    <w:rsid w:val="009C7185"/>
    <w:rsid w:val="009C72B6"/>
    <w:rsid w:val="009C756E"/>
    <w:rsid w:val="009C771A"/>
    <w:rsid w:val="009C7BAC"/>
    <w:rsid w:val="009D04EF"/>
    <w:rsid w:val="009D0A35"/>
    <w:rsid w:val="009D0E40"/>
    <w:rsid w:val="009D1385"/>
    <w:rsid w:val="009D1E3A"/>
    <w:rsid w:val="009D21BE"/>
    <w:rsid w:val="009D2231"/>
    <w:rsid w:val="009D33D2"/>
    <w:rsid w:val="009D39A5"/>
    <w:rsid w:val="009D3C3D"/>
    <w:rsid w:val="009D4581"/>
    <w:rsid w:val="009D5177"/>
    <w:rsid w:val="009D5288"/>
    <w:rsid w:val="009D5618"/>
    <w:rsid w:val="009D626B"/>
    <w:rsid w:val="009D6F4F"/>
    <w:rsid w:val="009D6F62"/>
    <w:rsid w:val="009D7A2F"/>
    <w:rsid w:val="009E0229"/>
    <w:rsid w:val="009E1032"/>
    <w:rsid w:val="009E1D23"/>
    <w:rsid w:val="009E2AD3"/>
    <w:rsid w:val="009E2B25"/>
    <w:rsid w:val="009E31AE"/>
    <w:rsid w:val="009E3E5C"/>
    <w:rsid w:val="009E3F9A"/>
    <w:rsid w:val="009E40D3"/>
    <w:rsid w:val="009E43F7"/>
    <w:rsid w:val="009E47E5"/>
    <w:rsid w:val="009E49D5"/>
    <w:rsid w:val="009E5024"/>
    <w:rsid w:val="009E5070"/>
    <w:rsid w:val="009E5BAE"/>
    <w:rsid w:val="009E5FA5"/>
    <w:rsid w:val="009E67CA"/>
    <w:rsid w:val="009F146F"/>
    <w:rsid w:val="009F19E1"/>
    <w:rsid w:val="009F1E73"/>
    <w:rsid w:val="009F2C4F"/>
    <w:rsid w:val="009F2F91"/>
    <w:rsid w:val="009F3299"/>
    <w:rsid w:val="009F3C60"/>
    <w:rsid w:val="009F3C75"/>
    <w:rsid w:val="009F3EF6"/>
    <w:rsid w:val="009F4B69"/>
    <w:rsid w:val="009F5884"/>
    <w:rsid w:val="00A0037E"/>
    <w:rsid w:val="00A01303"/>
    <w:rsid w:val="00A01794"/>
    <w:rsid w:val="00A02C4F"/>
    <w:rsid w:val="00A04947"/>
    <w:rsid w:val="00A04A09"/>
    <w:rsid w:val="00A04F20"/>
    <w:rsid w:val="00A05136"/>
    <w:rsid w:val="00A05821"/>
    <w:rsid w:val="00A05D1D"/>
    <w:rsid w:val="00A05EA2"/>
    <w:rsid w:val="00A060E0"/>
    <w:rsid w:val="00A06BCA"/>
    <w:rsid w:val="00A076CC"/>
    <w:rsid w:val="00A07953"/>
    <w:rsid w:val="00A07D01"/>
    <w:rsid w:val="00A07EA9"/>
    <w:rsid w:val="00A10935"/>
    <w:rsid w:val="00A10AB9"/>
    <w:rsid w:val="00A10E55"/>
    <w:rsid w:val="00A1165C"/>
    <w:rsid w:val="00A11DAF"/>
    <w:rsid w:val="00A125D6"/>
    <w:rsid w:val="00A12C31"/>
    <w:rsid w:val="00A12D3E"/>
    <w:rsid w:val="00A130BE"/>
    <w:rsid w:val="00A13650"/>
    <w:rsid w:val="00A140CC"/>
    <w:rsid w:val="00A1469C"/>
    <w:rsid w:val="00A14BF2"/>
    <w:rsid w:val="00A14E53"/>
    <w:rsid w:val="00A15580"/>
    <w:rsid w:val="00A15857"/>
    <w:rsid w:val="00A16449"/>
    <w:rsid w:val="00A17A4C"/>
    <w:rsid w:val="00A20785"/>
    <w:rsid w:val="00A20D44"/>
    <w:rsid w:val="00A22EFC"/>
    <w:rsid w:val="00A2357E"/>
    <w:rsid w:val="00A2412D"/>
    <w:rsid w:val="00A2426D"/>
    <w:rsid w:val="00A24312"/>
    <w:rsid w:val="00A250AD"/>
    <w:rsid w:val="00A25386"/>
    <w:rsid w:val="00A253D0"/>
    <w:rsid w:val="00A25652"/>
    <w:rsid w:val="00A26389"/>
    <w:rsid w:val="00A266B4"/>
    <w:rsid w:val="00A26F5B"/>
    <w:rsid w:val="00A26F84"/>
    <w:rsid w:val="00A27126"/>
    <w:rsid w:val="00A27F9A"/>
    <w:rsid w:val="00A303B8"/>
    <w:rsid w:val="00A306DA"/>
    <w:rsid w:val="00A317D8"/>
    <w:rsid w:val="00A31D2E"/>
    <w:rsid w:val="00A321A9"/>
    <w:rsid w:val="00A32E7F"/>
    <w:rsid w:val="00A33FF8"/>
    <w:rsid w:val="00A347DF"/>
    <w:rsid w:val="00A348CC"/>
    <w:rsid w:val="00A34AE8"/>
    <w:rsid w:val="00A35603"/>
    <w:rsid w:val="00A361C3"/>
    <w:rsid w:val="00A36C6A"/>
    <w:rsid w:val="00A4069C"/>
    <w:rsid w:val="00A4078C"/>
    <w:rsid w:val="00A40D15"/>
    <w:rsid w:val="00A411FA"/>
    <w:rsid w:val="00A418D5"/>
    <w:rsid w:val="00A41C05"/>
    <w:rsid w:val="00A41D74"/>
    <w:rsid w:val="00A426F9"/>
    <w:rsid w:val="00A42EC3"/>
    <w:rsid w:val="00A4332A"/>
    <w:rsid w:val="00A4343A"/>
    <w:rsid w:val="00A435A7"/>
    <w:rsid w:val="00A43F9E"/>
    <w:rsid w:val="00A4410D"/>
    <w:rsid w:val="00A448CE"/>
    <w:rsid w:val="00A44EC1"/>
    <w:rsid w:val="00A44EF4"/>
    <w:rsid w:val="00A454B3"/>
    <w:rsid w:val="00A45E52"/>
    <w:rsid w:val="00A4660D"/>
    <w:rsid w:val="00A46652"/>
    <w:rsid w:val="00A46C9B"/>
    <w:rsid w:val="00A46D15"/>
    <w:rsid w:val="00A4713D"/>
    <w:rsid w:val="00A47804"/>
    <w:rsid w:val="00A50B62"/>
    <w:rsid w:val="00A50CD9"/>
    <w:rsid w:val="00A5122D"/>
    <w:rsid w:val="00A51B24"/>
    <w:rsid w:val="00A5323B"/>
    <w:rsid w:val="00A537E4"/>
    <w:rsid w:val="00A541CF"/>
    <w:rsid w:val="00A549E4"/>
    <w:rsid w:val="00A54FB4"/>
    <w:rsid w:val="00A55C38"/>
    <w:rsid w:val="00A55C42"/>
    <w:rsid w:val="00A55F12"/>
    <w:rsid w:val="00A55FA2"/>
    <w:rsid w:val="00A56DE0"/>
    <w:rsid w:val="00A571DC"/>
    <w:rsid w:val="00A607E3"/>
    <w:rsid w:val="00A6112C"/>
    <w:rsid w:val="00A6122C"/>
    <w:rsid w:val="00A62A90"/>
    <w:rsid w:val="00A62FFF"/>
    <w:rsid w:val="00A63142"/>
    <w:rsid w:val="00A63320"/>
    <w:rsid w:val="00A63B86"/>
    <w:rsid w:val="00A63C18"/>
    <w:rsid w:val="00A63D60"/>
    <w:rsid w:val="00A6485E"/>
    <w:rsid w:val="00A64B04"/>
    <w:rsid w:val="00A64BBB"/>
    <w:rsid w:val="00A6526F"/>
    <w:rsid w:val="00A653AD"/>
    <w:rsid w:val="00A65D85"/>
    <w:rsid w:val="00A662DC"/>
    <w:rsid w:val="00A66ABF"/>
    <w:rsid w:val="00A66C95"/>
    <w:rsid w:val="00A6741B"/>
    <w:rsid w:val="00A67F51"/>
    <w:rsid w:val="00A71074"/>
    <w:rsid w:val="00A71F1E"/>
    <w:rsid w:val="00A72955"/>
    <w:rsid w:val="00A72DAD"/>
    <w:rsid w:val="00A734E6"/>
    <w:rsid w:val="00A7368A"/>
    <w:rsid w:val="00A73E94"/>
    <w:rsid w:val="00A74226"/>
    <w:rsid w:val="00A74DBC"/>
    <w:rsid w:val="00A75429"/>
    <w:rsid w:val="00A757B0"/>
    <w:rsid w:val="00A7668D"/>
    <w:rsid w:val="00A7751F"/>
    <w:rsid w:val="00A776A4"/>
    <w:rsid w:val="00A77B6F"/>
    <w:rsid w:val="00A8049D"/>
    <w:rsid w:val="00A81578"/>
    <w:rsid w:val="00A8192C"/>
    <w:rsid w:val="00A81F14"/>
    <w:rsid w:val="00A822C2"/>
    <w:rsid w:val="00A82990"/>
    <w:rsid w:val="00A82B96"/>
    <w:rsid w:val="00A8495D"/>
    <w:rsid w:val="00A84EAD"/>
    <w:rsid w:val="00A86D7E"/>
    <w:rsid w:val="00A90401"/>
    <w:rsid w:val="00A90D2E"/>
    <w:rsid w:val="00A90E53"/>
    <w:rsid w:val="00A912DA"/>
    <w:rsid w:val="00A91684"/>
    <w:rsid w:val="00A921E3"/>
    <w:rsid w:val="00A93139"/>
    <w:rsid w:val="00A93974"/>
    <w:rsid w:val="00A94443"/>
    <w:rsid w:val="00A944B9"/>
    <w:rsid w:val="00A94D20"/>
    <w:rsid w:val="00A951D4"/>
    <w:rsid w:val="00A9585A"/>
    <w:rsid w:val="00A96EAE"/>
    <w:rsid w:val="00A9721B"/>
    <w:rsid w:val="00A9752B"/>
    <w:rsid w:val="00A97892"/>
    <w:rsid w:val="00AA00D7"/>
    <w:rsid w:val="00AA0D70"/>
    <w:rsid w:val="00AA1188"/>
    <w:rsid w:val="00AA1AF7"/>
    <w:rsid w:val="00AA1F14"/>
    <w:rsid w:val="00AA2461"/>
    <w:rsid w:val="00AA2865"/>
    <w:rsid w:val="00AA2989"/>
    <w:rsid w:val="00AA364B"/>
    <w:rsid w:val="00AA3805"/>
    <w:rsid w:val="00AA3A9B"/>
    <w:rsid w:val="00AA3BF1"/>
    <w:rsid w:val="00AA455F"/>
    <w:rsid w:val="00AA4A2B"/>
    <w:rsid w:val="00AA5410"/>
    <w:rsid w:val="00AA5C84"/>
    <w:rsid w:val="00AA613E"/>
    <w:rsid w:val="00AA6BA1"/>
    <w:rsid w:val="00AB0402"/>
    <w:rsid w:val="00AB05AC"/>
    <w:rsid w:val="00AB0C8E"/>
    <w:rsid w:val="00AB21C6"/>
    <w:rsid w:val="00AB2841"/>
    <w:rsid w:val="00AB31A9"/>
    <w:rsid w:val="00AB3DAE"/>
    <w:rsid w:val="00AB48D0"/>
    <w:rsid w:val="00AB586C"/>
    <w:rsid w:val="00AB5956"/>
    <w:rsid w:val="00AB5CC6"/>
    <w:rsid w:val="00AB6FEF"/>
    <w:rsid w:val="00AC0760"/>
    <w:rsid w:val="00AC0CE2"/>
    <w:rsid w:val="00AC1622"/>
    <w:rsid w:val="00AC163C"/>
    <w:rsid w:val="00AC1659"/>
    <w:rsid w:val="00AC1891"/>
    <w:rsid w:val="00AC1BFE"/>
    <w:rsid w:val="00AC1E89"/>
    <w:rsid w:val="00AC1E8C"/>
    <w:rsid w:val="00AC2A75"/>
    <w:rsid w:val="00AC2AE2"/>
    <w:rsid w:val="00AC3619"/>
    <w:rsid w:val="00AC4580"/>
    <w:rsid w:val="00AC6AF5"/>
    <w:rsid w:val="00AC6F7D"/>
    <w:rsid w:val="00AC6FDB"/>
    <w:rsid w:val="00AC720A"/>
    <w:rsid w:val="00AC7641"/>
    <w:rsid w:val="00AC7A41"/>
    <w:rsid w:val="00AC7B10"/>
    <w:rsid w:val="00AD04E9"/>
    <w:rsid w:val="00AD0597"/>
    <w:rsid w:val="00AD24FC"/>
    <w:rsid w:val="00AD2EB8"/>
    <w:rsid w:val="00AD33DD"/>
    <w:rsid w:val="00AD3AA1"/>
    <w:rsid w:val="00AD428A"/>
    <w:rsid w:val="00AD60EA"/>
    <w:rsid w:val="00AD67D4"/>
    <w:rsid w:val="00AE071F"/>
    <w:rsid w:val="00AE16F6"/>
    <w:rsid w:val="00AE288C"/>
    <w:rsid w:val="00AE33DC"/>
    <w:rsid w:val="00AE360E"/>
    <w:rsid w:val="00AE3807"/>
    <w:rsid w:val="00AE4331"/>
    <w:rsid w:val="00AE4C37"/>
    <w:rsid w:val="00AE4EF8"/>
    <w:rsid w:val="00AE5616"/>
    <w:rsid w:val="00AE58BF"/>
    <w:rsid w:val="00AE5F31"/>
    <w:rsid w:val="00AE614D"/>
    <w:rsid w:val="00AE6803"/>
    <w:rsid w:val="00AE7849"/>
    <w:rsid w:val="00AE7977"/>
    <w:rsid w:val="00AE7C42"/>
    <w:rsid w:val="00AE7D20"/>
    <w:rsid w:val="00AF0BBB"/>
    <w:rsid w:val="00AF1134"/>
    <w:rsid w:val="00AF1F10"/>
    <w:rsid w:val="00AF2ACA"/>
    <w:rsid w:val="00AF2DE7"/>
    <w:rsid w:val="00AF32C0"/>
    <w:rsid w:val="00AF37DF"/>
    <w:rsid w:val="00AF3D39"/>
    <w:rsid w:val="00AF456B"/>
    <w:rsid w:val="00AF497B"/>
    <w:rsid w:val="00AF4F20"/>
    <w:rsid w:val="00AF52D4"/>
    <w:rsid w:val="00AF56BD"/>
    <w:rsid w:val="00AF62B6"/>
    <w:rsid w:val="00AF63AF"/>
    <w:rsid w:val="00AF693B"/>
    <w:rsid w:val="00AF6A4C"/>
    <w:rsid w:val="00AF74B9"/>
    <w:rsid w:val="00AF7DA8"/>
    <w:rsid w:val="00B005AD"/>
    <w:rsid w:val="00B00F1F"/>
    <w:rsid w:val="00B0180E"/>
    <w:rsid w:val="00B02183"/>
    <w:rsid w:val="00B0239E"/>
    <w:rsid w:val="00B03328"/>
    <w:rsid w:val="00B03C41"/>
    <w:rsid w:val="00B03E76"/>
    <w:rsid w:val="00B040EA"/>
    <w:rsid w:val="00B043ED"/>
    <w:rsid w:val="00B047C2"/>
    <w:rsid w:val="00B04BCE"/>
    <w:rsid w:val="00B04CB1"/>
    <w:rsid w:val="00B04D08"/>
    <w:rsid w:val="00B04D77"/>
    <w:rsid w:val="00B052C2"/>
    <w:rsid w:val="00B054EE"/>
    <w:rsid w:val="00B05635"/>
    <w:rsid w:val="00B06031"/>
    <w:rsid w:val="00B06469"/>
    <w:rsid w:val="00B066E1"/>
    <w:rsid w:val="00B06823"/>
    <w:rsid w:val="00B07620"/>
    <w:rsid w:val="00B076D2"/>
    <w:rsid w:val="00B10AF8"/>
    <w:rsid w:val="00B11ED7"/>
    <w:rsid w:val="00B11F74"/>
    <w:rsid w:val="00B12903"/>
    <w:rsid w:val="00B12CDC"/>
    <w:rsid w:val="00B1314F"/>
    <w:rsid w:val="00B1434D"/>
    <w:rsid w:val="00B1471B"/>
    <w:rsid w:val="00B14CF8"/>
    <w:rsid w:val="00B151CF"/>
    <w:rsid w:val="00B1637A"/>
    <w:rsid w:val="00B163B5"/>
    <w:rsid w:val="00B169C3"/>
    <w:rsid w:val="00B16A38"/>
    <w:rsid w:val="00B16AA0"/>
    <w:rsid w:val="00B16FD3"/>
    <w:rsid w:val="00B17543"/>
    <w:rsid w:val="00B17AE6"/>
    <w:rsid w:val="00B20894"/>
    <w:rsid w:val="00B20A43"/>
    <w:rsid w:val="00B2150E"/>
    <w:rsid w:val="00B221C2"/>
    <w:rsid w:val="00B22A56"/>
    <w:rsid w:val="00B231D2"/>
    <w:rsid w:val="00B23A83"/>
    <w:rsid w:val="00B247AD"/>
    <w:rsid w:val="00B2489B"/>
    <w:rsid w:val="00B25249"/>
    <w:rsid w:val="00B25494"/>
    <w:rsid w:val="00B25C1C"/>
    <w:rsid w:val="00B25C1E"/>
    <w:rsid w:val="00B25D05"/>
    <w:rsid w:val="00B25D1F"/>
    <w:rsid w:val="00B25D54"/>
    <w:rsid w:val="00B26105"/>
    <w:rsid w:val="00B26622"/>
    <w:rsid w:val="00B26669"/>
    <w:rsid w:val="00B2701F"/>
    <w:rsid w:val="00B276B4"/>
    <w:rsid w:val="00B303F6"/>
    <w:rsid w:val="00B307B7"/>
    <w:rsid w:val="00B3086C"/>
    <w:rsid w:val="00B30DAC"/>
    <w:rsid w:val="00B313FD"/>
    <w:rsid w:val="00B316E6"/>
    <w:rsid w:val="00B34827"/>
    <w:rsid w:val="00B34A37"/>
    <w:rsid w:val="00B355D9"/>
    <w:rsid w:val="00B35922"/>
    <w:rsid w:val="00B35C1F"/>
    <w:rsid w:val="00B36028"/>
    <w:rsid w:val="00B36029"/>
    <w:rsid w:val="00B37134"/>
    <w:rsid w:val="00B3770F"/>
    <w:rsid w:val="00B40064"/>
    <w:rsid w:val="00B40097"/>
    <w:rsid w:val="00B40E46"/>
    <w:rsid w:val="00B41472"/>
    <w:rsid w:val="00B41A08"/>
    <w:rsid w:val="00B42ADC"/>
    <w:rsid w:val="00B42E8A"/>
    <w:rsid w:val="00B4442E"/>
    <w:rsid w:val="00B45268"/>
    <w:rsid w:val="00B459FC"/>
    <w:rsid w:val="00B46087"/>
    <w:rsid w:val="00B464F3"/>
    <w:rsid w:val="00B46AC6"/>
    <w:rsid w:val="00B479D3"/>
    <w:rsid w:val="00B47E13"/>
    <w:rsid w:val="00B504EB"/>
    <w:rsid w:val="00B50A44"/>
    <w:rsid w:val="00B51956"/>
    <w:rsid w:val="00B520E1"/>
    <w:rsid w:val="00B53156"/>
    <w:rsid w:val="00B53DC8"/>
    <w:rsid w:val="00B55524"/>
    <w:rsid w:val="00B55A76"/>
    <w:rsid w:val="00B57017"/>
    <w:rsid w:val="00B575BF"/>
    <w:rsid w:val="00B578C0"/>
    <w:rsid w:val="00B57A1B"/>
    <w:rsid w:val="00B57B8D"/>
    <w:rsid w:val="00B612EA"/>
    <w:rsid w:val="00B614E8"/>
    <w:rsid w:val="00B61AB3"/>
    <w:rsid w:val="00B61C66"/>
    <w:rsid w:val="00B61E98"/>
    <w:rsid w:val="00B61F43"/>
    <w:rsid w:val="00B62604"/>
    <w:rsid w:val="00B6268E"/>
    <w:rsid w:val="00B627D5"/>
    <w:rsid w:val="00B62DF2"/>
    <w:rsid w:val="00B63174"/>
    <w:rsid w:val="00B64864"/>
    <w:rsid w:val="00B65C8F"/>
    <w:rsid w:val="00B660B0"/>
    <w:rsid w:val="00B66A87"/>
    <w:rsid w:val="00B66D97"/>
    <w:rsid w:val="00B66F98"/>
    <w:rsid w:val="00B677D1"/>
    <w:rsid w:val="00B677E2"/>
    <w:rsid w:val="00B707B5"/>
    <w:rsid w:val="00B71015"/>
    <w:rsid w:val="00B71081"/>
    <w:rsid w:val="00B712D0"/>
    <w:rsid w:val="00B71AE6"/>
    <w:rsid w:val="00B72906"/>
    <w:rsid w:val="00B72C9D"/>
    <w:rsid w:val="00B7329B"/>
    <w:rsid w:val="00B73618"/>
    <w:rsid w:val="00B73BA8"/>
    <w:rsid w:val="00B73F1E"/>
    <w:rsid w:val="00B73F82"/>
    <w:rsid w:val="00B74752"/>
    <w:rsid w:val="00B74E0E"/>
    <w:rsid w:val="00B751F3"/>
    <w:rsid w:val="00B75375"/>
    <w:rsid w:val="00B757E5"/>
    <w:rsid w:val="00B758D2"/>
    <w:rsid w:val="00B768FC"/>
    <w:rsid w:val="00B76EEA"/>
    <w:rsid w:val="00B77848"/>
    <w:rsid w:val="00B77D55"/>
    <w:rsid w:val="00B77E1E"/>
    <w:rsid w:val="00B80DE8"/>
    <w:rsid w:val="00B812FC"/>
    <w:rsid w:val="00B81527"/>
    <w:rsid w:val="00B8197D"/>
    <w:rsid w:val="00B81F38"/>
    <w:rsid w:val="00B82FDF"/>
    <w:rsid w:val="00B83880"/>
    <w:rsid w:val="00B83B62"/>
    <w:rsid w:val="00B8454B"/>
    <w:rsid w:val="00B8535F"/>
    <w:rsid w:val="00B858CA"/>
    <w:rsid w:val="00B859EB"/>
    <w:rsid w:val="00B8635B"/>
    <w:rsid w:val="00B86739"/>
    <w:rsid w:val="00B8685A"/>
    <w:rsid w:val="00B86B14"/>
    <w:rsid w:val="00B86C24"/>
    <w:rsid w:val="00B87448"/>
    <w:rsid w:val="00B8785D"/>
    <w:rsid w:val="00B878CD"/>
    <w:rsid w:val="00B8793E"/>
    <w:rsid w:val="00B87AAE"/>
    <w:rsid w:val="00B87F05"/>
    <w:rsid w:val="00B901EE"/>
    <w:rsid w:val="00B902D2"/>
    <w:rsid w:val="00B9030D"/>
    <w:rsid w:val="00B908ED"/>
    <w:rsid w:val="00B90A7F"/>
    <w:rsid w:val="00B91751"/>
    <w:rsid w:val="00B91CB1"/>
    <w:rsid w:val="00B9249B"/>
    <w:rsid w:val="00B925C1"/>
    <w:rsid w:val="00B929C4"/>
    <w:rsid w:val="00B93207"/>
    <w:rsid w:val="00B9416F"/>
    <w:rsid w:val="00B94685"/>
    <w:rsid w:val="00B9485D"/>
    <w:rsid w:val="00B952BF"/>
    <w:rsid w:val="00B952D2"/>
    <w:rsid w:val="00B9536C"/>
    <w:rsid w:val="00B96C6D"/>
    <w:rsid w:val="00B96F6D"/>
    <w:rsid w:val="00BA0A6A"/>
    <w:rsid w:val="00BA167A"/>
    <w:rsid w:val="00BA1955"/>
    <w:rsid w:val="00BA1D7C"/>
    <w:rsid w:val="00BA1E1F"/>
    <w:rsid w:val="00BA1FFB"/>
    <w:rsid w:val="00BA2253"/>
    <w:rsid w:val="00BA26BC"/>
    <w:rsid w:val="00BA2942"/>
    <w:rsid w:val="00BA2B3F"/>
    <w:rsid w:val="00BA3A64"/>
    <w:rsid w:val="00BA4A9A"/>
    <w:rsid w:val="00BA4E1D"/>
    <w:rsid w:val="00BA4E45"/>
    <w:rsid w:val="00BA5263"/>
    <w:rsid w:val="00BA59FB"/>
    <w:rsid w:val="00BA5A65"/>
    <w:rsid w:val="00BA624A"/>
    <w:rsid w:val="00BA6B03"/>
    <w:rsid w:val="00BA6F5C"/>
    <w:rsid w:val="00BA7D88"/>
    <w:rsid w:val="00BB105F"/>
    <w:rsid w:val="00BB112D"/>
    <w:rsid w:val="00BB14A3"/>
    <w:rsid w:val="00BB2D45"/>
    <w:rsid w:val="00BB3A5D"/>
    <w:rsid w:val="00BB3EA8"/>
    <w:rsid w:val="00BB436D"/>
    <w:rsid w:val="00BB4C7B"/>
    <w:rsid w:val="00BB4F84"/>
    <w:rsid w:val="00BB5136"/>
    <w:rsid w:val="00BB5A74"/>
    <w:rsid w:val="00BB5AD7"/>
    <w:rsid w:val="00BB5C44"/>
    <w:rsid w:val="00BB5F61"/>
    <w:rsid w:val="00BB6B69"/>
    <w:rsid w:val="00BB6C22"/>
    <w:rsid w:val="00BB75B3"/>
    <w:rsid w:val="00BB7F74"/>
    <w:rsid w:val="00BC0F9A"/>
    <w:rsid w:val="00BC15DE"/>
    <w:rsid w:val="00BC17C8"/>
    <w:rsid w:val="00BC1A87"/>
    <w:rsid w:val="00BC2873"/>
    <w:rsid w:val="00BC369C"/>
    <w:rsid w:val="00BC417F"/>
    <w:rsid w:val="00BC4972"/>
    <w:rsid w:val="00BC5802"/>
    <w:rsid w:val="00BC5A4B"/>
    <w:rsid w:val="00BC5D7D"/>
    <w:rsid w:val="00BC619D"/>
    <w:rsid w:val="00BC6638"/>
    <w:rsid w:val="00BC6897"/>
    <w:rsid w:val="00BC6C71"/>
    <w:rsid w:val="00BC6E7E"/>
    <w:rsid w:val="00BC7232"/>
    <w:rsid w:val="00BC7D06"/>
    <w:rsid w:val="00BD025F"/>
    <w:rsid w:val="00BD13F6"/>
    <w:rsid w:val="00BD1D97"/>
    <w:rsid w:val="00BD33D4"/>
    <w:rsid w:val="00BD3962"/>
    <w:rsid w:val="00BD4096"/>
    <w:rsid w:val="00BD40B1"/>
    <w:rsid w:val="00BD43A6"/>
    <w:rsid w:val="00BD49E0"/>
    <w:rsid w:val="00BD4A62"/>
    <w:rsid w:val="00BD51C6"/>
    <w:rsid w:val="00BD5A92"/>
    <w:rsid w:val="00BD6721"/>
    <w:rsid w:val="00BD6E8B"/>
    <w:rsid w:val="00BD7116"/>
    <w:rsid w:val="00BD795F"/>
    <w:rsid w:val="00BE02E2"/>
    <w:rsid w:val="00BE0DDC"/>
    <w:rsid w:val="00BE14FD"/>
    <w:rsid w:val="00BE19AD"/>
    <w:rsid w:val="00BE1B0C"/>
    <w:rsid w:val="00BE303E"/>
    <w:rsid w:val="00BE319E"/>
    <w:rsid w:val="00BE32C6"/>
    <w:rsid w:val="00BE39E6"/>
    <w:rsid w:val="00BE47BF"/>
    <w:rsid w:val="00BE4C38"/>
    <w:rsid w:val="00BE5374"/>
    <w:rsid w:val="00BE5F24"/>
    <w:rsid w:val="00BE5FE0"/>
    <w:rsid w:val="00BE627A"/>
    <w:rsid w:val="00BE6A0A"/>
    <w:rsid w:val="00BE6CE8"/>
    <w:rsid w:val="00BE7ADB"/>
    <w:rsid w:val="00BF0343"/>
    <w:rsid w:val="00BF18E0"/>
    <w:rsid w:val="00BF1C85"/>
    <w:rsid w:val="00BF251F"/>
    <w:rsid w:val="00BF3B54"/>
    <w:rsid w:val="00BF3D20"/>
    <w:rsid w:val="00BF3FE8"/>
    <w:rsid w:val="00BF443D"/>
    <w:rsid w:val="00BF4971"/>
    <w:rsid w:val="00BF4A3F"/>
    <w:rsid w:val="00BF532B"/>
    <w:rsid w:val="00BF55D2"/>
    <w:rsid w:val="00BF5B7B"/>
    <w:rsid w:val="00BF6F67"/>
    <w:rsid w:val="00BF78C9"/>
    <w:rsid w:val="00BF7C54"/>
    <w:rsid w:val="00C00C68"/>
    <w:rsid w:val="00C01315"/>
    <w:rsid w:val="00C01D5F"/>
    <w:rsid w:val="00C01FA7"/>
    <w:rsid w:val="00C028EA"/>
    <w:rsid w:val="00C0345A"/>
    <w:rsid w:val="00C034DB"/>
    <w:rsid w:val="00C03511"/>
    <w:rsid w:val="00C0354D"/>
    <w:rsid w:val="00C041CF"/>
    <w:rsid w:val="00C04202"/>
    <w:rsid w:val="00C04AA8"/>
    <w:rsid w:val="00C04C3A"/>
    <w:rsid w:val="00C05700"/>
    <w:rsid w:val="00C06F98"/>
    <w:rsid w:val="00C071C4"/>
    <w:rsid w:val="00C074CD"/>
    <w:rsid w:val="00C107C3"/>
    <w:rsid w:val="00C10B77"/>
    <w:rsid w:val="00C10D24"/>
    <w:rsid w:val="00C10E79"/>
    <w:rsid w:val="00C1202D"/>
    <w:rsid w:val="00C127A1"/>
    <w:rsid w:val="00C12EFD"/>
    <w:rsid w:val="00C13459"/>
    <w:rsid w:val="00C13520"/>
    <w:rsid w:val="00C1460F"/>
    <w:rsid w:val="00C1484A"/>
    <w:rsid w:val="00C14F43"/>
    <w:rsid w:val="00C14F9B"/>
    <w:rsid w:val="00C14FAB"/>
    <w:rsid w:val="00C159C2"/>
    <w:rsid w:val="00C15DDB"/>
    <w:rsid w:val="00C15F42"/>
    <w:rsid w:val="00C15F58"/>
    <w:rsid w:val="00C1610B"/>
    <w:rsid w:val="00C1611D"/>
    <w:rsid w:val="00C163E7"/>
    <w:rsid w:val="00C163F7"/>
    <w:rsid w:val="00C1651C"/>
    <w:rsid w:val="00C16C9A"/>
    <w:rsid w:val="00C175E4"/>
    <w:rsid w:val="00C17CCB"/>
    <w:rsid w:val="00C206C0"/>
    <w:rsid w:val="00C20F6C"/>
    <w:rsid w:val="00C2184A"/>
    <w:rsid w:val="00C22299"/>
    <w:rsid w:val="00C2283A"/>
    <w:rsid w:val="00C232E0"/>
    <w:rsid w:val="00C23396"/>
    <w:rsid w:val="00C23F7D"/>
    <w:rsid w:val="00C24B5E"/>
    <w:rsid w:val="00C24DF6"/>
    <w:rsid w:val="00C250F7"/>
    <w:rsid w:val="00C251A7"/>
    <w:rsid w:val="00C2534F"/>
    <w:rsid w:val="00C271F0"/>
    <w:rsid w:val="00C27291"/>
    <w:rsid w:val="00C27759"/>
    <w:rsid w:val="00C27867"/>
    <w:rsid w:val="00C30058"/>
    <w:rsid w:val="00C305EB"/>
    <w:rsid w:val="00C317A2"/>
    <w:rsid w:val="00C319DB"/>
    <w:rsid w:val="00C32010"/>
    <w:rsid w:val="00C3209B"/>
    <w:rsid w:val="00C329AF"/>
    <w:rsid w:val="00C32FC8"/>
    <w:rsid w:val="00C3346A"/>
    <w:rsid w:val="00C339D9"/>
    <w:rsid w:val="00C33E1D"/>
    <w:rsid w:val="00C3423A"/>
    <w:rsid w:val="00C343FC"/>
    <w:rsid w:val="00C3446D"/>
    <w:rsid w:val="00C3464F"/>
    <w:rsid w:val="00C34B15"/>
    <w:rsid w:val="00C34C6A"/>
    <w:rsid w:val="00C34EF5"/>
    <w:rsid w:val="00C35065"/>
    <w:rsid w:val="00C35350"/>
    <w:rsid w:val="00C35D03"/>
    <w:rsid w:val="00C3651F"/>
    <w:rsid w:val="00C36633"/>
    <w:rsid w:val="00C36B32"/>
    <w:rsid w:val="00C36E9D"/>
    <w:rsid w:val="00C36EF2"/>
    <w:rsid w:val="00C371D6"/>
    <w:rsid w:val="00C372ED"/>
    <w:rsid w:val="00C37495"/>
    <w:rsid w:val="00C37BC1"/>
    <w:rsid w:val="00C37C86"/>
    <w:rsid w:val="00C400AD"/>
    <w:rsid w:val="00C4072E"/>
    <w:rsid w:val="00C411C8"/>
    <w:rsid w:val="00C412B1"/>
    <w:rsid w:val="00C4144E"/>
    <w:rsid w:val="00C419D3"/>
    <w:rsid w:val="00C41A66"/>
    <w:rsid w:val="00C421B1"/>
    <w:rsid w:val="00C42371"/>
    <w:rsid w:val="00C437EA"/>
    <w:rsid w:val="00C4399B"/>
    <w:rsid w:val="00C4436C"/>
    <w:rsid w:val="00C45023"/>
    <w:rsid w:val="00C45112"/>
    <w:rsid w:val="00C45534"/>
    <w:rsid w:val="00C45A68"/>
    <w:rsid w:val="00C46086"/>
    <w:rsid w:val="00C461B2"/>
    <w:rsid w:val="00C46940"/>
    <w:rsid w:val="00C46F6A"/>
    <w:rsid w:val="00C47C8E"/>
    <w:rsid w:val="00C51305"/>
    <w:rsid w:val="00C523BD"/>
    <w:rsid w:val="00C52798"/>
    <w:rsid w:val="00C52FD1"/>
    <w:rsid w:val="00C53148"/>
    <w:rsid w:val="00C53235"/>
    <w:rsid w:val="00C5359B"/>
    <w:rsid w:val="00C53AF7"/>
    <w:rsid w:val="00C55021"/>
    <w:rsid w:val="00C554B5"/>
    <w:rsid w:val="00C5604F"/>
    <w:rsid w:val="00C56EF2"/>
    <w:rsid w:val="00C570A6"/>
    <w:rsid w:val="00C57290"/>
    <w:rsid w:val="00C5789E"/>
    <w:rsid w:val="00C579F3"/>
    <w:rsid w:val="00C57EBA"/>
    <w:rsid w:val="00C600B3"/>
    <w:rsid w:val="00C608D3"/>
    <w:rsid w:val="00C61353"/>
    <w:rsid w:val="00C61464"/>
    <w:rsid w:val="00C6254E"/>
    <w:rsid w:val="00C62679"/>
    <w:rsid w:val="00C62EF5"/>
    <w:rsid w:val="00C63231"/>
    <w:rsid w:val="00C634CE"/>
    <w:rsid w:val="00C6400E"/>
    <w:rsid w:val="00C6409D"/>
    <w:rsid w:val="00C6492E"/>
    <w:rsid w:val="00C6658F"/>
    <w:rsid w:val="00C679A9"/>
    <w:rsid w:val="00C67E8E"/>
    <w:rsid w:val="00C70011"/>
    <w:rsid w:val="00C70BFE"/>
    <w:rsid w:val="00C71A7C"/>
    <w:rsid w:val="00C72177"/>
    <w:rsid w:val="00C727D9"/>
    <w:rsid w:val="00C729FC"/>
    <w:rsid w:val="00C72F61"/>
    <w:rsid w:val="00C7339A"/>
    <w:rsid w:val="00C733BF"/>
    <w:rsid w:val="00C73C3B"/>
    <w:rsid w:val="00C73DDA"/>
    <w:rsid w:val="00C74B8C"/>
    <w:rsid w:val="00C75FE0"/>
    <w:rsid w:val="00C762C3"/>
    <w:rsid w:val="00C76386"/>
    <w:rsid w:val="00C76907"/>
    <w:rsid w:val="00C76FF6"/>
    <w:rsid w:val="00C775DF"/>
    <w:rsid w:val="00C7779D"/>
    <w:rsid w:val="00C7782F"/>
    <w:rsid w:val="00C803F1"/>
    <w:rsid w:val="00C80937"/>
    <w:rsid w:val="00C80B50"/>
    <w:rsid w:val="00C80E10"/>
    <w:rsid w:val="00C80EB6"/>
    <w:rsid w:val="00C8102F"/>
    <w:rsid w:val="00C82312"/>
    <w:rsid w:val="00C8231D"/>
    <w:rsid w:val="00C82569"/>
    <w:rsid w:val="00C825D7"/>
    <w:rsid w:val="00C8268F"/>
    <w:rsid w:val="00C82755"/>
    <w:rsid w:val="00C828A8"/>
    <w:rsid w:val="00C82AD4"/>
    <w:rsid w:val="00C82E3A"/>
    <w:rsid w:val="00C83535"/>
    <w:rsid w:val="00C83B89"/>
    <w:rsid w:val="00C83D84"/>
    <w:rsid w:val="00C83F5F"/>
    <w:rsid w:val="00C84D4E"/>
    <w:rsid w:val="00C851DE"/>
    <w:rsid w:val="00C86054"/>
    <w:rsid w:val="00C8616A"/>
    <w:rsid w:val="00C8726E"/>
    <w:rsid w:val="00C872C5"/>
    <w:rsid w:val="00C87436"/>
    <w:rsid w:val="00C879B0"/>
    <w:rsid w:val="00C91651"/>
    <w:rsid w:val="00C917A4"/>
    <w:rsid w:val="00C917E2"/>
    <w:rsid w:val="00C91990"/>
    <w:rsid w:val="00C919D5"/>
    <w:rsid w:val="00C9210B"/>
    <w:rsid w:val="00C92219"/>
    <w:rsid w:val="00C922A2"/>
    <w:rsid w:val="00C92EDC"/>
    <w:rsid w:val="00C9301D"/>
    <w:rsid w:val="00C9407D"/>
    <w:rsid w:val="00C957EC"/>
    <w:rsid w:val="00C95EAD"/>
    <w:rsid w:val="00C96FDA"/>
    <w:rsid w:val="00C971DE"/>
    <w:rsid w:val="00C9750D"/>
    <w:rsid w:val="00C97635"/>
    <w:rsid w:val="00C97A9C"/>
    <w:rsid w:val="00C97CEE"/>
    <w:rsid w:val="00CA00A6"/>
    <w:rsid w:val="00CA025F"/>
    <w:rsid w:val="00CA04B2"/>
    <w:rsid w:val="00CA0571"/>
    <w:rsid w:val="00CA1C88"/>
    <w:rsid w:val="00CA2424"/>
    <w:rsid w:val="00CA26EA"/>
    <w:rsid w:val="00CA2D12"/>
    <w:rsid w:val="00CA2FB2"/>
    <w:rsid w:val="00CA3829"/>
    <w:rsid w:val="00CA3D3A"/>
    <w:rsid w:val="00CA3FB2"/>
    <w:rsid w:val="00CA42D6"/>
    <w:rsid w:val="00CA4D99"/>
    <w:rsid w:val="00CA4DC1"/>
    <w:rsid w:val="00CA528A"/>
    <w:rsid w:val="00CA538D"/>
    <w:rsid w:val="00CA53B4"/>
    <w:rsid w:val="00CA61B6"/>
    <w:rsid w:val="00CA72A7"/>
    <w:rsid w:val="00CA72FF"/>
    <w:rsid w:val="00CB0EEA"/>
    <w:rsid w:val="00CB15E9"/>
    <w:rsid w:val="00CB1F83"/>
    <w:rsid w:val="00CB2570"/>
    <w:rsid w:val="00CB2BD5"/>
    <w:rsid w:val="00CB366F"/>
    <w:rsid w:val="00CB3808"/>
    <w:rsid w:val="00CB4291"/>
    <w:rsid w:val="00CB4339"/>
    <w:rsid w:val="00CB43E2"/>
    <w:rsid w:val="00CB4464"/>
    <w:rsid w:val="00CB55C7"/>
    <w:rsid w:val="00CB5861"/>
    <w:rsid w:val="00CB5C55"/>
    <w:rsid w:val="00CB5CD0"/>
    <w:rsid w:val="00CB6325"/>
    <w:rsid w:val="00CB6D56"/>
    <w:rsid w:val="00CB7359"/>
    <w:rsid w:val="00CB7524"/>
    <w:rsid w:val="00CB7912"/>
    <w:rsid w:val="00CB7B00"/>
    <w:rsid w:val="00CB7D15"/>
    <w:rsid w:val="00CB7D9D"/>
    <w:rsid w:val="00CC1216"/>
    <w:rsid w:val="00CC1486"/>
    <w:rsid w:val="00CC1A2E"/>
    <w:rsid w:val="00CC1D1A"/>
    <w:rsid w:val="00CC211C"/>
    <w:rsid w:val="00CC3D5A"/>
    <w:rsid w:val="00CC4A8B"/>
    <w:rsid w:val="00CC545A"/>
    <w:rsid w:val="00CC55EF"/>
    <w:rsid w:val="00CC5643"/>
    <w:rsid w:val="00CC5E0E"/>
    <w:rsid w:val="00CC5F08"/>
    <w:rsid w:val="00CC6260"/>
    <w:rsid w:val="00CC6BCD"/>
    <w:rsid w:val="00CD06DD"/>
    <w:rsid w:val="00CD1404"/>
    <w:rsid w:val="00CD1E27"/>
    <w:rsid w:val="00CD22B7"/>
    <w:rsid w:val="00CD344A"/>
    <w:rsid w:val="00CD364F"/>
    <w:rsid w:val="00CD3669"/>
    <w:rsid w:val="00CD4123"/>
    <w:rsid w:val="00CD41BB"/>
    <w:rsid w:val="00CD5C0D"/>
    <w:rsid w:val="00CD5C16"/>
    <w:rsid w:val="00CD6240"/>
    <w:rsid w:val="00CD76F2"/>
    <w:rsid w:val="00CD7A83"/>
    <w:rsid w:val="00CD7E13"/>
    <w:rsid w:val="00CE1271"/>
    <w:rsid w:val="00CE1FC5"/>
    <w:rsid w:val="00CE20E6"/>
    <w:rsid w:val="00CE2338"/>
    <w:rsid w:val="00CE28E3"/>
    <w:rsid w:val="00CE2E7E"/>
    <w:rsid w:val="00CE3FA1"/>
    <w:rsid w:val="00CE3FAC"/>
    <w:rsid w:val="00CE4D44"/>
    <w:rsid w:val="00CE4DA2"/>
    <w:rsid w:val="00CE7635"/>
    <w:rsid w:val="00CF02D3"/>
    <w:rsid w:val="00CF05D3"/>
    <w:rsid w:val="00CF0D23"/>
    <w:rsid w:val="00CF157D"/>
    <w:rsid w:val="00CF1A2D"/>
    <w:rsid w:val="00CF1F40"/>
    <w:rsid w:val="00CF2913"/>
    <w:rsid w:val="00CF2EB6"/>
    <w:rsid w:val="00CF2F50"/>
    <w:rsid w:val="00CF439F"/>
    <w:rsid w:val="00CF4556"/>
    <w:rsid w:val="00CF4D08"/>
    <w:rsid w:val="00CF51CE"/>
    <w:rsid w:val="00CF56BF"/>
    <w:rsid w:val="00CF5768"/>
    <w:rsid w:val="00CF6974"/>
    <w:rsid w:val="00CF7120"/>
    <w:rsid w:val="00CF724C"/>
    <w:rsid w:val="00CF7462"/>
    <w:rsid w:val="00D001B4"/>
    <w:rsid w:val="00D003B7"/>
    <w:rsid w:val="00D006AA"/>
    <w:rsid w:val="00D00724"/>
    <w:rsid w:val="00D00A89"/>
    <w:rsid w:val="00D00E36"/>
    <w:rsid w:val="00D00EEF"/>
    <w:rsid w:val="00D018C8"/>
    <w:rsid w:val="00D01969"/>
    <w:rsid w:val="00D01C77"/>
    <w:rsid w:val="00D02A55"/>
    <w:rsid w:val="00D02F4F"/>
    <w:rsid w:val="00D030D7"/>
    <w:rsid w:val="00D03A57"/>
    <w:rsid w:val="00D03C4E"/>
    <w:rsid w:val="00D04560"/>
    <w:rsid w:val="00D04936"/>
    <w:rsid w:val="00D04CB3"/>
    <w:rsid w:val="00D05FB9"/>
    <w:rsid w:val="00D06FA0"/>
    <w:rsid w:val="00D07A9A"/>
    <w:rsid w:val="00D100F4"/>
    <w:rsid w:val="00D104DE"/>
    <w:rsid w:val="00D11809"/>
    <w:rsid w:val="00D12122"/>
    <w:rsid w:val="00D137C8"/>
    <w:rsid w:val="00D13865"/>
    <w:rsid w:val="00D14E59"/>
    <w:rsid w:val="00D14F19"/>
    <w:rsid w:val="00D152FA"/>
    <w:rsid w:val="00D1644A"/>
    <w:rsid w:val="00D1660F"/>
    <w:rsid w:val="00D169DC"/>
    <w:rsid w:val="00D173A5"/>
    <w:rsid w:val="00D17879"/>
    <w:rsid w:val="00D20031"/>
    <w:rsid w:val="00D2011B"/>
    <w:rsid w:val="00D2033C"/>
    <w:rsid w:val="00D20A8F"/>
    <w:rsid w:val="00D20ACF"/>
    <w:rsid w:val="00D21277"/>
    <w:rsid w:val="00D21429"/>
    <w:rsid w:val="00D22D47"/>
    <w:rsid w:val="00D23D8F"/>
    <w:rsid w:val="00D23E6F"/>
    <w:rsid w:val="00D25216"/>
    <w:rsid w:val="00D27E00"/>
    <w:rsid w:val="00D30E52"/>
    <w:rsid w:val="00D30F59"/>
    <w:rsid w:val="00D3120F"/>
    <w:rsid w:val="00D313B3"/>
    <w:rsid w:val="00D317F4"/>
    <w:rsid w:val="00D31ED6"/>
    <w:rsid w:val="00D32495"/>
    <w:rsid w:val="00D3292B"/>
    <w:rsid w:val="00D32D9E"/>
    <w:rsid w:val="00D33235"/>
    <w:rsid w:val="00D33DFA"/>
    <w:rsid w:val="00D33F02"/>
    <w:rsid w:val="00D351E4"/>
    <w:rsid w:val="00D356AF"/>
    <w:rsid w:val="00D356BC"/>
    <w:rsid w:val="00D358F7"/>
    <w:rsid w:val="00D359B6"/>
    <w:rsid w:val="00D36113"/>
    <w:rsid w:val="00D36376"/>
    <w:rsid w:val="00D363A1"/>
    <w:rsid w:val="00D36E67"/>
    <w:rsid w:val="00D3743F"/>
    <w:rsid w:val="00D37664"/>
    <w:rsid w:val="00D37902"/>
    <w:rsid w:val="00D37EF5"/>
    <w:rsid w:val="00D400C0"/>
    <w:rsid w:val="00D401FA"/>
    <w:rsid w:val="00D40480"/>
    <w:rsid w:val="00D40DF0"/>
    <w:rsid w:val="00D40FF4"/>
    <w:rsid w:val="00D410CF"/>
    <w:rsid w:val="00D410DA"/>
    <w:rsid w:val="00D41405"/>
    <w:rsid w:val="00D419C9"/>
    <w:rsid w:val="00D4202E"/>
    <w:rsid w:val="00D428B9"/>
    <w:rsid w:val="00D43246"/>
    <w:rsid w:val="00D432C7"/>
    <w:rsid w:val="00D43B50"/>
    <w:rsid w:val="00D44105"/>
    <w:rsid w:val="00D44AAD"/>
    <w:rsid w:val="00D44E96"/>
    <w:rsid w:val="00D45168"/>
    <w:rsid w:val="00D456A7"/>
    <w:rsid w:val="00D45750"/>
    <w:rsid w:val="00D457EA"/>
    <w:rsid w:val="00D45C42"/>
    <w:rsid w:val="00D45D05"/>
    <w:rsid w:val="00D46193"/>
    <w:rsid w:val="00D465E2"/>
    <w:rsid w:val="00D469E5"/>
    <w:rsid w:val="00D469F1"/>
    <w:rsid w:val="00D46B72"/>
    <w:rsid w:val="00D46B78"/>
    <w:rsid w:val="00D46E8F"/>
    <w:rsid w:val="00D476EF"/>
    <w:rsid w:val="00D47A49"/>
    <w:rsid w:val="00D50891"/>
    <w:rsid w:val="00D5102B"/>
    <w:rsid w:val="00D512A6"/>
    <w:rsid w:val="00D512F0"/>
    <w:rsid w:val="00D5139C"/>
    <w:rsid w:val="00D51C87"/>
    <w:rsid w:val="00D52426"/>
    <w:rsid w:val="00D52C63"/>
    <w:rsid w:val="00D52E54"/>
    <w:rsid w:val="00D52FF5"/>
    <w:rsid w:val="00D5317B"/>
    <w:rsid w:val="00D538B7"/>
    <w:rsid w:val="00D53986"/>
    <w:rsid w:val="00D542B3"/>
    <w:rsid w:val="00D55FBD"/>
    <w:rsid w:val="00D5656B"/>
    <w:rsid w:val="00D56B74"/>
    <w:rsid w:val="00D56B77"/>
    <w:rsid w:val="00D56CF2"/>
    <w:rsid w:val="00D56DFA"/>
    <w:rsid w:val="00D57217"/>
    <w:rsid w:val="00D5766E"/>
    <w:rsid w:val="00D60AFD"/>
    <w:rsid w:val="00D60E22"/>
    <w:rsid w:val="00D61302"/>
    <w:rsid w:val="00D614B0"/>
    <w:rsid w:val="00D61504"/>
    <w:rsid w:val="00D61843"/>
    <w:rsid w:val="00D624B9"/>
    <w:rsid w:val="00D62F4D"/>
    <w:rsid w:val="00D62F8E"/>
    <w:rsid w:val="00D63B84"/>
    <w:rsid w:val="00D6429A"/>
    <w:rsid w:val="00D6466D"/>
    <w:rsid w:val="00D65191"/>
    <w:rsid w:val="00D652D9"/>
    <w:rsid w:val="00D701C0"/>
    <w:rsid w:val="00D70D80"/>
    <w:rsid w:val="00D70DDA"/>
    <w:rsid w:val="00D719E1"/>
    <w:rsid w:val="00D72284"/>
    <w:rsid w:val="00D7243C"/>
    <w:rsid w:val="00D7251A"/>
    <w:rsid w:val="00D726B5"/>
    <w:rsid w:val="00D7288C"/>
    <w:rsid w:val="00D728DD"/>
    <w:rsid w:val="00D730CC"/>
    <w:rsid w:val="00D73AD9"/>
    <w:rsid w:val="00D747AA"/>
    <w:rsid w:val="00D74AD0"/>
    <w:rsid w:val="00D7597E"/>
    <w:rsid w:val="00D75B3F"/>
    <w:rsid w:val="00D75B48"/>
    <w:rsid w:val="00D75E31"/>
    <w:rsid w:val="00D76D77"/>
    <w:rsid w:val="00D76F54"/>
    <w:rsid w:val="00D7736C"/>
    <w:rsid w:val="00D77470"/>
    <w:rsid w:val="00D77859"/>
    <w:rsid w:val="00D778F8"/>
    <w:rsid w:val="00D779DD"/>
    <w:rsid w:val="00D77E05"/>
    <w:rsid w:val="00D80153"/>
    <w:rsid w:val="00D80C29"/>
    <w:rsid w:val="00D80D7D"/>
    <w:rsid w:val="00D81D05"/>
    <w:rsid w:val="00D82E0C"/>
    <w:rsid w:val="00D8316D"/>
    <w:rsid w:val="00D83784"/>
    <w:rsid w:val="00D83B51"/>
    <w:rsid w:val="00D83E97"/>
    <w:rsid w:val="00D84416"/>
    <w:rsid w:val="00D84588"/>
    <w:rsid w:val="00D847E9"/>
    <w:rsid w:val="00D84ECA"/>
    <w:rsid w:val="00D85114"/>
    <w:rsid w:val="00D851CA"/>
    <w:rsid w:val="00D8525E"/>
    <w:rsid w:val="00D85422"/>
    <w:rsid w:val="00D86419"/>
    <w:rsid w:val="00D86DFD"/>
    <w:rsid w:val="00D8742F"/>
    <w:rsid w:val="00D87FD8"/>
    <w:rsid w:val="00D9041B"/>
    <w:rsid w:val="00D90DBB"/>
    <w:rsid w:val="00D91162"/>
    <w:rsid w:val="00D9141D"/>
    <w:rsid w:val="00D91934"/>
    <w:rsid w:val="00D91E43"/>
    <w:rsid w:val="00D92ECD"/>
    <w:rsid w:val="00D93599"/>
    <w:rsid w:val="00D93CB5"/>
    <w:rsid w:val="00D943C0"/>
    <w:rsid w:val="00D946C9"/>
    <w:rsid w:val="00D9499B"/>
    <w:rsid w:val="00D94CF3"/>
    <w:rsid w:val="00D95CAF"/>
    <w:rsid w:val="00D967A8"/>
    <w:rsid w:val="00D96CDE"/>
    <w:rsid w:val="00D9701D"/>
    <w:rsid w:val="00D9716D"/>
    <w:rsid w:val="00DA058E"/>
    <w:rsid w:val="00DA06A5"/>
    <w:rsid w:val="00DA06BD"/>
    <w:rsid w:val="00DA0875"/>
    <w:rsid w:val="00DA1770"/>
    <w:rsid w:val="00DA1C35"/>
    <w:rsid w:val="00DA2BEE"/>
    <w:rsid w:val="00DA37D7"/>
    <w:rsid w:val="00DA3940"/>
    <w:rsid w:val="00DA49BC"/>
    <w:rsid w:val="00DA512C"/>
    <w:rsid w:val="00DA51D6"/>
    <w:rsid w:val="00DA54BC"/>
    <w:rsid w:val="00DA5B99"/>
    <w:rsid w:val="00DA5CCD"/>
    <w:rsid w:val="00DA62D1"/>
    <w:rsid w:val="00DA64D3"/>
    <w:rsid w:val="00DA6765"/>
    <w:rsid w:val="00DA6BBE"/>
    <w:rsid w:val="00DA73EE"/>
    <w:rsid w:val="00DB003C"/>
    <w:rsid w:val="00DB0879"/>
    <w:rsid w:val="00DB0EBF"/>
    <w:rsid w:val="00DB1BE9"/>
    <w:rsid w:val="00DB1E91"/>
    <w:rsid w:val="00DB2B59"/>
    <w:rsid w:val="00DB2E96"/>
    <w:rsid w:val="00DB3C5B"/>
    <w:rsid w:val="00DB4218"/>
    <w:rsid w:val="00DB4410"/>
    <w:rsid w:val="00DB5117"/>
    <w:rsid w:val="00DB5C53"/>
    <w:rsid w:val="00DB6031"/>
    <w:rsid w:val="00DB664A"/>
    <w:rsid w:val="00DB6AB0"/>
    <w:rsid w:val="00DB7463"/>
    <w:rsid w:val="00DB755F"/>
    <w:rsid w:val="00DC05AB"/>
    <w:rsid w:val="00DC0BB0"/>
    <w:rsid w:val="00DC0F9E"/>
    <w:rsid w:val="00DC14AF"/>
    <w:rsid w:val="00DC1720"/>
    <w:rsid w:val="00DC185F"/>
    <w:rsid w:val="00DC327E"/>
    <w:rsid w:val="00DC34FB"/>
    <w:rsid w:val="00DC3633"/>
    <w:rsid w:val="00DC3997"/>
    <w:rsid w:val="00DC3AF8"/>
    <w:rsid w:val="00DC4108"/>
    <w:rsid w:val="00DC4993"/>
    <w:rsid w:val="00DC4EC7"/>
    <w:rsid w:val="00DC4F64"/>
    <w:rsid w:val="00DC50C5"/>
    <w:rsid w:val="00DC584C"/>
    <w:rsid w:val="00DC5A1F"/>
    <w:rsid w:val="00DC637C"/>
    <w:rsid w:val="00DC64A7"/>
    <w:rsid w:val="00DC6964"/>
    <w:rsid w:val="00DC7543"/>
    <w:rsid w:val="00DD0953"/>
    <w:rsid w:val="00DD0D34"/>
    <w:rsid w:val="00DD17C0"/>
    <w:rsid w:val="00DD19D8"/>
    <w:rsid w:val="00DD1A2F"/>
    <w:rsid w:val="00DD1A95"/>
    <w:rsid w:val="00DD2192"/>
    <w:rsid w:val="00DD2C81"/>
    <w:rsid w:val="00DD2F13"/>
    <w:rsid w:val="00DD3C38"/>
    <w:rsid w:val="00DD3DDC"/>
    <w:rsid w:val="00DD3E8A"/>
    <w:rsid w:val="00DD4207"/>
    <w:rsid w:val="00DD506C"/>
    <w:rsid w:val="00DD5701"/>
    <w:rsid w:val="00DD5F93"/>
    <w:rsid w:val="00DD6CEE"/>
    <w:rsid w:val="00DE0304"/>
    <w:rsid w:val="00DE045C"/>
    <w:rsid w:val="00DE10AB"/>
    <w:rsid w:val="00DE1896"/>
    <w:rsid w:val="00DE1976"/>
    <w:rsid w:val="00DE2112"/>
    <w:rsid w:val="00DE21D2"/>
    <w:rsid w:val="00DE2496"/>
    <w:rsid w:val="00DE2E65"/>
    <w:rsid w:val="00DE4376"/>
    <w:rsid w:val="00DE4F54"/>
    <w:rsid w:val="00DE6160"/>
    <w:rsid w:val="00DE622B"/>
    <w:rsid w:val="00DE6B7A"/>
    <w:rsid w:val="00DE7099"/>
    <w:rsid w:val="00DE715C"/>
    <w:rsid w:val="00DE7D32"/>
    <w:rsid w:val="00DF04C1"/>
    <w:rsid w:val="00DF0DCA"/>
    <w:rsid w:val="00DF0FAA"/>
    <w:rsid w:val="00DF13F3"/>
    <w:rsid w:val="00DF1806"/>
    <w:rsid w:val="00DF28A9"/>
    <w:rsid w:val="00DF341B"/>
    <w:rsid w:val="00DF376E"/>
    <w:rsid w:val="00DF39E9"/>
    <w:rsid w:val="00DF3C89"/>
    <w:rsid w:val="00DF3D32"/>
    <w:rsid w:val="00DF431B"/>
    <w:rsid w:val="00DF4ACF"/>
    <w:rsid w:val="00DF54E8"/>
    <w:rsid w:val="00DF5D48"/>
    <w:rsid w:val="00DF5FA1"/>
    <w:rsid w:val="00DF6908"/>
    <w:rsid w:val="00DF6F37"/>
    <w:rsid w:val="00DF74D9"/>
    <w:rsid w:val="00DF790E"/>
    <w:rsid w:val="00DF7AF5"/>
    <w:rsid w:val="00DF7EC0"/>
    <w:rsid w:val="00E0015A"/>
    <w:rsid w:val="00E01631"/>
    <w:rsid w:val="00E01A9A"/>
    <w:rsid w:val="00E02117"/>
    <w:rsid w:val="00E03283"/>
    <w:rsid w:val="00E03378"/>
    <w:rsid w:val="00E0360B"/>
    <w:rsid w:val="00E03A96"/>
    <w:rsid w:val="00E03D1F"/>
    <w:rsid w:val="00E045A6"/>
    <w:rsid w:val="00E050DE"/>
    <w:rsid w:val="00E054E7"/>
    <w:rsid w:val="00E05D56"/>
    <w:rsid w:val="00E0637E"/>
    <w:rsid w:val="00E073D5"/>
    <w:rsid w:val="00E079B8"/>
    <w:rsid w:val="00E105A9"/>
    <w:rsid w:val="00E119CD"/>
    <w:rsid w:val="00E11E10"/>
    <w:rsid w:val="00E12FDC"/>
    <w:rsid w:val="00E137FA"/>
    <w:rsid w:val="00E13911"/>
    <w:rsid w:val="00E13A3E"/>
    <w:rsid w:val="00E13B7B"/>
    <w:rsid w:val="00E13EFE"/>
    <w:rsid w:val="00E147AC"/>
    <w:rsid w:val="00E15056"/>
    <w:rsid w:val="00E15504"/>
    <w:rsid w:val="00E1574E"/>
    <w:rsid w:val="00E15DB1"/>
    <w:rsid w:val="00E16C9C"/>
    <w:rsid w:val="00E170C7"/>
    <w:rsid w:val="00E173F0"/>
    <w:rsid w:val="00E17552"/>
    <w:rsid w:val="00E20B77"/>
    <w:rsid w:val="00E21B03"/>
    <w:rsid w:val="00E22445"/>
    <w:rsid w:val="00E22DA8"/>
    <w:rsid w:val="00E22FA5"/>
    <w:rsid w:val="00E23737"/>
    <w:rsid w:val="00E23C63"/>
    <w:rsid w:val="00E25593"/>
    <w:rsid w:val="00E25A38"/>
    <w:rsid w:val="00E25B92"/>
    <w:rsid w:val="00E25FD2"/>
    <w:rsid w:val="00E260A3"/>
    <w:rsid w:val="00E268A2"/>
    <w:rsid w:val="00E26D15"/>
    <w:rsid w:val="00E26FD1"/>
    <w:rsid w:val="00E26FDE"/>
    <w:rsid w:val="00E270AA"/>
    <w:rsid w:val="00E27DDB"/>
    <w:rsid w:val="00E27EE5"/>
    <w:rsid w:val="00E27FDF"/>
    <w:rsid w:val="00E30ED2"/>
    <w:rsid w:val="00E311E6"/>
    <w:rsid w:val="00E31702"/>
    <w:rsid w:val="00E31B75"/>
    <w:rsid w:val="00E3242E"/>
    <w:rsid w:val="00E32966"/>
    <w:rsid w:val="00E32FAA"/>
    <w:rsid w:val="00E330C9"/>
    <w:rsid w:val="00E3330E"/>
    <w:rsid w:val="00E3351F"/>
    <w:rsid w:val="00E33992"/>
    <w:rsid w:val="00E34124"/>
    <w:rsid w:val="00E35C32"/>
    <w:rsid w:val="00E35F69"/>
    <w:rsid w:val="00E3601D"/>
    <w:rsid w:val="00E36434"/>
    <w:rsid w:val="00E365BA"/>
    <w:rsid w:val="00E36CDE"/>
    <w:rsid w:val="00E3757B"/>
    <w:rsid w:val="00E37741"/>
    <w:rsid w:val="00E40C6B"/>
    <w:rsid w:val="00E40DAE"/>
    <w:rsid w:val="00E40F62"/>
    <w:rsid w:val="00E41F1B"/>
    <w:rsid w:val="00E43249"/>
    <w:rsid w:val="00E436A2"/>
    <w:rsid w:val="00E43F05"/>
    <w:rsid w:val="00E44F68"/>
    <w:rsid w:val="00E458D8"/>
    <w:rsid w:val="00E46206"/>
    <w:rsid w:val="00E46324"/>
    <w:rsid w:val="00E4647B"/>
    <w:rsid w:val="00E46F8C"/>
    <w:rsid w:val="00E50715"/>
    <w:rsid w:val="00E50DC9"/>
    <w:rsid w:val="00E50F1D"/>
    <w:rsid w:val="00E51006"/>
    <w:rsid w:val="00E5129F"/>
    <w:rsid w:val="00E516FA"/>
    <w:rsid w:val="00E518A7"/>
    <w:rsid w:val="00E51E9A"/>
    <w:rsid w:val="00E52203"/>
    <w:rsid w:val="00E529F5"/>
    <w:rsid w:val="00E52A62"/>
    <w:rsid w:val="00E5323F"/>
    <w:rsid w:val="00E53500"/>
    <w:rsid w:val="00E5356B"/>
    <w:rsid w:val="00E53E00"/>
    <w:rsid w:val="00E54221"/>
    <w:rsid w:val="00E54B22"/>
    <w:rsid w:val="00E54E55"/>
    <w:rsid w:val="00E5510B"/>
    <w:rsid w:val="00E554E7"/>
    <w:rsid w:val="00E55E56"/>
    <w:rsid w:val="00E56123"/>
    <w:rsid w:val="00E5650A"/>
    <w:rsid w:val="00E574EC"/>
    <w:rsid w:val="00E57F9C"/>
    <w:rsid w:val="00E601B8"/>
    <w:rsid w:val="00E603F6"/>
    <w:rsid w:val="00E604A4"/>
    <w:rsid w:val="00E60558"/>
    <w:rsid w:val="00E60E54"/>
    <w:rsid w:val="00E615F9"/>
    <w:rsid w:val="00E6193C"/>
    <w:rsid w:val="00E61B51"/>
    <w:rsid w:val="00E62BC2"/>
    <w:rsid w:val="00E6332B"/>
    <w:rsid w:val="00E6351F"/>
    <w:rsid w:val="00E63938"/>
    <w:rsid w:val="00E63CFC"/>
    <w:rsid w:val="00E63DAA"/>
    <w:rsid w:val="00E64C04"/>
    <w:rsid w:val="00E66C03"/>
    <w:rsid w:val="00E66C6B"/>
    <w:rsid w:val="00E66E62"/>
    <w:rsid w:val="00E675C4"/>
    <w:rsid w:val="00E67AD5"/>
    <w:rsid w:val="00E67DED"/>
    <w:rsid w:val="00E70577"/>
    <w:rsid w:val="00E70A0A"/>
    <w:rsid w:val="00E70A9E"/>
    <w:rsid w:val="00E71734"/>
    <w:rsid w:val="00E7175D"/>
    <w:rsid w:val="00E7221D"/>
    <w:rsid w:val="00E7222A"/>
    <w:rsid w:val="00E726C4"/>
    <w:rsid w:val="00E72D37"/>
    <w:rsid w:val="00E72E76"/>
    <w:rsid w:val="00E73BE3"/>
    <w:rsid w:val="00E73EC3"/>
    <w:rsid w:val="00E73F8D"/>
    <w:rsid w:val="00E74B5C"/>
    <w:rsid w:val="00E7615F"/>
    <w:rsid w:val="00E7650E"/>
    <w:rsid w:val="00E7665B"/>
    <w:rsid w:val="00E76968"/>
    <w:rsid w:val="00E769E7"/>
    <w:rsid w:val="00E76AE0"/>
    <w:rsid w:val="00E771C1"/>
    <w:rsid w:val="00E77402"/>
    <w:rsid w:val="00E776EB"/>
    <w:rsid w:val="00E802B9"/>
    <w:rsid w:val="00E808C9"/>
    <w:rsid w:val="00E81A87"/>
    <w:rsid w:val="00E81F7C"/>
    <w:rsid w:val="00E82B4A"/>
    <w:rsid w:val="00E82B87"/>
    <w:rsid w:val="00E82F93"/>
    <w:rsid w:val="00E8309E"/>
    <w:rsid w:val="00E83948"/>
    <w:rsid w:val="00E83CF9"/>
    <w:rsid w:val="00E8408B"/>
    <w:rsid w:val="00E84DB6"/>
    <w:rsid w:val="00E84EFF"/>
    <w:rsid w:val="00E861E1"/>
    <w:rsid w:val="00E8661C"/>
    <w:rsid w:val="00E875BB"/>
    <w:rsid w:val="00E900D2"/>
    <w:rsid w:val="00E904D2"/>
    <w:rsid w:val="00E90AEA"/>
    <w:rsid w:val="00E9165C"/>
    <w:rsid w:val="00E918A7"/>
    <w:rsid w:val="00E92974"/>
    <w:rsid w:val="00E92BF0"/>
    <w:rsid w:val="00E92F98"/>
    <w:rsid w:val="00E93241"/>
    <w:rsid w:val="00E9331D"/>
    <w:rsid w:val="00E93887"/>
    <w:rsid w:val="00E93F2C"/>
    <w:rsid w:val="00E93F50"/>
    <w:rsid w:val="00E941DF"/>
    <w:rsid w:val="00E942BA"/>
    <w:rsid w:val="00E94448"/>
    <w:rsid w:val="00E94A8D"/>
    <w:rsid w:val="00E94C13"/>
    <w:rsid w:val="00E95322"/>
    <w:rsid w:val="00E95490"/>
    <w:rsid w:val="00E95ACD"/>
    <w:rsid w:val="00E968C1"/>
    <w:rsid w:val="00E97014"/>
    <w:rsid w:val="00E971F6"/>
    <w:rsid w:val="00E97D87"/>
    <w:rsid w:val="00EA0E54"/>
    <w:rsid w:val="00EA1769"/>
    <w:rsid w:val="00EA229C"/>
    <w:rsid w:val="00EA23EA"/>
    <w:rsid w:val="00EA2743"/>
    <w:rsid w:val="00EA3671"/>
    <w:rsid w:val="00EA3847"/>
    <w:rsid w:val="00EA3FCC"/>
    <w:rsid w:val="00EA4CCC"/>
    <w:rsid w:val="00EA61F4"/>
    <w:rsid w:val="00EA6272"/>
    <w:rsid w:val="00EA6529"/>
    <w:rsid w:val="00EA668E"/>
    <w:rsid w:val="00EA67A1"/>
    <w:rsid w:val="00EA69F6"/>
    <w:rsid w:val="00EA6CBD"/>
    <w:rsid w:val="00EA6CC0"/>
    <w:rsid w:val="00EA6D98"/>
    <w:rsid w:val="00EA7258"/>
    <w:rsid w:val="00EA7D37"/>
    <w:rsid w:val="00EB0A9B"/>
    <w:rsid w:val="00EB0DEA"/>
    <w:rsid w:val="00EB16BD"/>
    <w:rsid w:val="00EB1EBC"/>
    <w:rsid w:val="00EB1F63"/>
    <w:rsid w:val="00EB2032"/>
    <w:rsid w:val="00EB218B"/>
    <w:rsid w:val="00EB27BC"/>
    <w:rsid w:val="00EB309F"/>
    <w:rsid w:val="00EB329E"/>
    <w:rsid w:val="00EB34CE"/>
    <w:rsid w:val="00EB3D54"/>
    <w:rsid w:val="00EB63DD"/>
    <w:rsid w:val="00EB6A24"/>
    <w:rsid w:val="00EB6A32"/>
    <w:rsid w:val="00EC091B"/>
    <w:rsid w:val="00EC0B39"/>
    <w:rsid w:val="00EC0D38"/>
    <w:rsid w:val="00EC189F"/>
    <w:rsid w:val="00EC2063"/>
    <w:rsid w:val="00EC2B08"/>
    <w:rsid w:val="00EC33A0"/>
    <w:rsid w:val="00EC3C4D"/>
    <w:rsid w:val="00EC3F60"/>
    <w:rsid w:val="00EC4836"/>
    <w:rsid w:val="00EC4AB6"/>
    <w:rsid w:val="00EC5088"/>
    <w:rsid w:val="00EC5AF8"/>
    <w:rsid w:val="00EC610C"/>
    <w:rsid w:val="00EC684A"/>
    <w:rsid w:val="00EC6BB2"/>
    <w:rsid w:val="00EC75EE"/>
    <w:rsid w:val="00EC7D45"/>
    <w:rsid w:val="00ED1F6D"/>
    <w:rsid w:val="00ED22B0"/>
    <w:rsid w:val="00ED3686"/>
    <w:rsid w:val="00ED39EF"/>
    <w:rsid w:val="00ED49D4"/>
    <w:rsid w:val="00ED5B9C"/>
    <w:rsid w:val="00ED5D72"/>
    <w:rsid w:val="00ED5E38"/>
    <w:rsid w:val="00ED60FB"/>
    <w:rsid w:val="00ED6112"/>
    <w:rsid w:val="00ED6272"/>
    <w:rsid w:val="00ED6D19"/>
    <w:rsid w:val="00ED717B"/>
    <w:rsid w:val="00ED7315"/>
    <w:rsid w:val="00ED799D"/>
    <w:rsid w:val="00ED7B6D"/>
    <w:rsid w:val="00ED7B8A"/>
    <w:rsid w:val="00EE0431"/>
    <w:rsid w:val="00EE0BF6"/>
    <w:rsid w:val="00EE0BF9"/>
    <w:rsid w:val="00EE1180"/>
    <w:rsid w:val="00EE1CDD"/>
    <w:rsid w:val="00EE3D81"/>
    <w:rsid w:val="00EE3EEF"/>
    <w:rsid w:val="00EE4490"/>
    <w:rsid w:val="00EE4E28"/>
    <w:rsid w:val="00EE4EEF"/>
    <w:rsid w:val="00EE5522"/>
    <w:rsid w:val="00EE6832"/>
    <w:rsid w:val="00EF0006"/>
    <w:rsid w:val="00EF0652"/>
    <w:rsid w:val="00EF0C91"/>
    <w:rsid w:val="00EF0D2F"/>
    <w:rsid w:val="00EF1283"/>
    <w:rsid w:val="00EF15AB"/>
    <w:rsid w:val="00EF1755"/>
    <w:rsid w:val="00EF192E"/>
    <w:rsid w:val="00EF28E2"/>
    <w:rsid w:val="00EF2B6A"/>
    <w:rsid w:val="00EF2E8C"/>
    <w:rsid w:val="00EF3106"/>
    <w:rsid w:val="00EF361D"/>
    <w:rsid w:val="00EF3D58"/>
    <w:rsid w:val="00EF3FB6"/>
    <w:rsid w:val="00EF51DA"/>
    <w:rsid w:val="00EF57EC"/>
    <w:rsid w:val="00EF5DF6"/>
    <w:rsid w:val="00EF6C9F"/>
    <w:rsid w:val="00EF7063"/>
    <w:rsid w:val="00EF7084"/>
    <w:rsid w:val="00EF7679"/>
    <w:rsid w:val="00F0097A"/>
    <w:rsid w:val="00F00A60"/>
    <w:rsid w:val="00F00B2D"/>
    <w:rsid w:val="00F00C75"/>
    <w:rsid w:val="00F00DB2"/>
    <w:rsid w:val="00F01F35"/>
    <w:rsid w:val="00F0225A"/>
    <w:rsid w:val="00F02B16"/>
    <w:rsid w:val="00F03B39"/>
    <w:rsid w:val="00F04052"/>
    <w:rsid w:val="00F048E3"/>
    <w:rsid w:val="00F04C22"/>
    <w:rsid w:val="00F04FED"/>
    <w:rsid w:val="00F0583A"/>
    <w:rsid w:val="00F065EC"/>
    <w:rsid w:val="00F06673"/>
    <w:rsid w:val="00F06961"/>
    <w:rsid w:val="00F0713C"/>
    <w:rsid w:val="00F07285"/>
    <w:rsid w:val="00F10045"/>
    <w:rsid w:val="00F1066F"/>
    <w:rsid w:val="00F1137B"/>
    <w:rsid w:val="00F119DE"/>
    <w:rsid w:val="00F12272"/>
    <w:rsid w:val="00F12C61"/>
    <w:rsid w:val="00F12D5F"/>
    <w:rsid w:val="00F13674"/>
    <w:rsid w:val="00F13BF4"/>
    <w:rsid w:val="00F140CD"/>
    <w:rsid w:val="00F1415F"/>
    <w:rsid w:val="00F14201"/>
    <w:rsid w:val="00F142AD"/>
    <w:rsid w:val="00F14FDB"/>
    <w:rsid w:val="00F1508C"/>
    <w:rsid w:val="00F1578E"/>
    <w:rsid w:val="00F1607F"/>
    <w:rsid w:val="00F16430"/>
    <w:rsid w:val="00F167CB"/>
    <w:rsid w:val="00F171B7"/>
    <w:rsid w:val="00F17586"/>
    <w:rsid w:val="00F17688"/>
    <w:rsid w:val="00F17DBA"/>
    <w:rsid w:val="00F17FA1"/>
    <w:rsid w:val="00F20763"/>
    <w:rsid w:val="00F207C3"/>
    <w:rsid w:val="00F20BAF"/>
    <w:rsid w:val="00F21437"/>
    <w:rsid w:val="00F227C8"/>
    <w:rsid w:val="00F22A6F"/>
    <w:rsid w:val="00F22FF9"/>
    <w:rsid w:val="00F23182"/>
    <w:rsid w:val="00F239B5"/>
    <w:rsid w:val="00F23CB7"/>
    <w:rsid w:val="00F2418F"/>
    <w:rsid w:val="00F24CB5"/>
    <w:rsid w:val="00F257B5"/>
    <w:rsid w:val="00F25BBC"/>
    <w:rsid w:val="00F25C63"/>
    <w:rsid w:val="00F26029"/>
    <w:rsid w:val="00F26FA5"/>
    <w:rsid w:val="00F270E8"/>
    <w:rsid w:val="00F2720E"/>
    <w:rsid w:val="00F2776D"/>
    <w:rsid w:val="00F302B0"/>
    <w:rsid w:val="00F3059B"/>
    <w:rsid w:val="00F31495"/>
    <w:rsid w:val="00F318A5"/>
    <w:rsid w:val="00F326DE"/>
    <w:rsid w:val="00F328A6"/>
    <w:rsid w:val="00F32FD4"/>
    <w:rsid w:val="00F33143"/>
    <w:rsid w:val="00F337B3"/>
    <w:rsid w:val="00F33A39"/>
    <w:rsid w:val="00F33ABD"/>
    <w:rsid w:val="00F33EF3"/>
    <w:rsid w:val="00F340B8"/>
    <w:rsid w:val="00F346E6"/>
    <w:rsid w:val="00F34804"/>
    <w:rsid w:val="00F34A53"/>
    <w:rsid w:val="00F35039"/>
    <w:rsid w:val="00F35EAA"/>
    <w:rsid w:val="00F363F9"/>
    <w:rsid w:val="00F36C58"/>
    <w:rsid w:val="00F4069F"/>
    <w:rsid w:val="00F40864"/>
    <w:rsid w:val="00F40897"/>
    <w:rsid w:val="00F4123B"/>
    <w:rsid w:val="00F4192C"/>
    <w:rsid w:val="00F41D31"/>
    <w:rsid w:val="00F43793"/>
    <w:rsid w:val="00F43822"/>
    <w:rsid w:val="00F44293"/>
    <w:rsid w:val="00F44895"/>
    <w:rsid w:val="00F46188"/>
    <w:rsid w:val="00F46338"/>
    <w:rsid w:val="00F46E09"/>
    <w:rsid w:val="00F479B3"/>
    <w:rsid w:val="00F47C21"/>
    <w:rsid w:val="00F503E2"/>
    <w:rsid w:val="00F50585"/>
    <w:rsid w:val="00F50AA2"/>
    <w:rsid w:val="00F50ACD"/>
    <w:rsid w:val="00F50C24"/>
    <w:rsid w:val="00F513C5"/>
    <w:rsid w:val="00F516E3"/>
    <w:rsid w:val="00F51EFB"/>
    <w:rsid w:val="00F5262E"/>
    <w:rsid w:val="00F526D1"/>
    <w:rsid w:val="00F52CB9"/>
    <w:rsid w:val="00F533B2"/>
    <w:rsid w:val="00F533F0"/>
    <w:rsid w:val="00F540DC"/>
    <w:rsid w:val="00F544EC"/>
    <w:rsid w:val="00F54832"/>
    <w:rsid w:val="00F54F3C"/>
    <w:rsid w:val="00F552AA"/>
    <w:rsid w:val="00F5561C"/>
    <w:rsid w:val="00F557FF"/>
    <w:rsid w:val="00F55DBD"/>
    <w:rsid w:val="00F55E76"/>
    <w:rsid w:val="00F56856"/>
    <w:rsid w:val="00F57885"/>
    <w:rsid w:val="00F600C6"/>
    <w:rsid w:val="00F603FE"/>
    <w:rsid w:val="00F605A3"/>
    <w:rsid w:val="00F60609"/>
    <w:rsid w:val="00F60A8B"/>
    <w:rsid w:val="00F61AF9"/>
    <w:rsid w:val="00F61E25"/>
    <w:rsid w:val="00F6208B"/>
    <w:rsid w:val="00F635D9"/>
    <w:rsid w:val="00F63694"/>
    <w:rsid w:val="00F64804"/>
    <w:rsid w:val="00F65060"/>
    <w:rsid w:val="00F654FF"/>
    <w:rsid w:val="00F66144"/>
    <w:rsid w:val="00F66667"/>
    <w:rsid w:val="00F668E4"/>
    <w:rsid w:val="00F66DE4"/>
    <w:rsid w:val="00F66E51"/>
    <w:rsid w:val="00F6713F"/>
    <w:rsid w:val="00F674D6"/>
    <w:rsid w:val="00F70235"/>
    <w:rsid w:val="00F7071D"/>
    <w:rsid w:val="00F71512"/>
    <w:rsid w:val="00F71FA9"/>
    <w:rsid w:val="00F721A0"/>
    <w:rsid w:val="00F730C4"/>
    <w:rsid w:val="00F73FC2"/>
    <w:rsid w:val="00F74B51"/>
    <w:rsid w:val="00F74EBE"/>
    <w:rsid w:val="00F753E0"/>
    <w:rsid w:val="00F75890"/>
    <w:rsid w:val="00F7627C"/>
    <w:rsid w:val="00F76679"/>
    <w:rsid w:val="00F76CCB"/>
    <w:rsid w:val="00F76FB6"/>
    <w:rsid w:val="00F774AF"/>
    <w:rsid w:val="00F77AF4"/>
    <w:rsid w:val="00F77D81"/>
    <w:rsid w:val="00F77E87"/>
    <w:rsid w:val="00F80574"/>
    <w:rsid w:val="00F805C5"/>
    <w:rsid w:val="00F80C9C"/>
    <w:rsid w:val="00F81362"/>
    <w:rsid w:val="00F8176A"/>
    <w:rsid w:val="00F81866"/>
    <w:rsid w:val="00F81EE9"/>
    <w:rsid w:val="00F82F1B"/>
    <w:rsid w:val="00F844DA"/>
    <w:rsid w:val="00F85287"/>
    <w:rsid w:val="00F854EE"/>
    <w:rsid w:val="00F860AD"/>
    <w:rsid w:val="00F86F7B"/>
    <w:rsid w:val="00F87DB6"/>
    <w:rsid w:val="00F87EF5"/>
    <w:rsid w:val="00F87FB0"/>
    <w:rsid w:val="00F90030"/>
    <w:rsid w:val="00F904F8"/>
    <w:rsid w:val="00F90C0C"/>
    <w:rsid w:val="00F910AA"/>
    <w:rsid w:val="00F91353"/>
    <w:rsid w:val="00F916FA"/>
    <w:rsid w:val="00F91A8D"/>
    <w:rsid w:val="00F93220"/>
    <w:rsid w:val="00F93389"/>
    <w:rsid w:val="00F935B5"/>
    <w:rsid w:val="00F9382C"/>
    <w:rsid w:val="00F93E83"/>
    <w:rsid w:val="00F93EE4"/>
    <w:rsid w:val="00F94446"/>
    <w:rsid w:val="00F94488"/>
    <w:rsid w:val="00F94791"/>
    <w:rsid w:val="00F94E3C"/>
    <w:rsid w:val="00F952D6"/>
    <w:rsid w:val="00F95B95"/>
    <w:rsid w:val="00F95C5F"/>
    <w:rsid w:val="00F9684A"/>
    <w:rsid w:val="00F96A3D"/>
    <w:rsid w:val="00F96A92"/>
    <w:rsid w:val="00F96E5F"/>
    <w:rsid w:val="00F97003"/>
    <w:rsid w:val="00F97A5F"/>
    <w:rsid w:val="00FA009F"/>
    <w:rsid w:val="00FA017A"/>
    <w:rsid w:val="00FA0825"/>
    <w:rsid w:val="00FA08AD"/>
    <w:rsid w:val="00FA1036"/>
    <w:rsid w:val="00FA11FC"/>
    <w:rsid w:val="00FA1558"/>
    <w:rsid w:val="00FA1739"/>
    <w:rsid w:val="00FA1759"/>
    <w:rsid w:val="00FA1BC3"/>
    <w:rsid w:val="00FA2165"/>
    <w:rsid w:val="00FA2488"/>
    <w:rsid w:val="00FA2944"/>
    <w:rsid w:val="00FA2C27"/>
    <w:rsid w:val="00FA2F27"/>
    <w:rsid w:val="00FA3E0E"/>
    <w:rsid w:val="00FA3F46"/>
    <w:rsid w:val="00FA4150"/>
    <w:rsid w:val="00FA443B"/>
    <w:rsid w:val="00FA4579"/>
    <w:rsid w:val="00FA5316"/>
    <w:rsid w:val="00FA5766"/>
    <w:rsid w:val="00FA6815"/>
    <w:rsid w:val="00FA6977"/>
    <w:rsid w:val="00FA6A79"/>
    <w:rsid w:val="00FA7D7D"/>
    <w:rsid w:val="00FB0086"/>
    <w:rsid w:val="00FB081D"/>
    <w:rsid w:val="00FB100C"/>
    <w:rsid w:val="00FB163C"/>
    <w:rsid w:val="00FB1847"/>
    <w:rsid w:val="00FB2085"/>
    <w:rsid w:val="00FB2269"/>
    <w:rsid w:val="00FB2A77"/>
    <w:rsid w:val="00FB30BA"/>
    <w:rsid w:val="00FB438B"/>
    <w:rsid w:val="00FB4499"/>
    <w:rsid w:val="00FB538D"/>
    <w:rsid w:val="00FB5538"/>
    <w:rsid w:val="00FB620D"/>
    <w:rsid w:val="00FB6396"/>
    <w:rsid w:val="00FB6F67"/>
    <w:rsid w:val="00FB708B"/>
    <w:rsid w:val="00FB7BF6"/>
    <w:rsid w:val="00FC0145"/>
    <w:rsid w:val="00FC0243"/>
    <w:rsid w:val="00FC0340"/>
    <w:rsid w:val="00FC0AD7"/>
    <w:rsid w:val="00FC0BA5"/>
    <w:rsid w:val="00FC0BFB"/>
    <w:rsid w:val="00FC10DE"/>
    <w:rsid w:val="00FC2D5F"/>
    <w:rsid w:val="00FC3298"/>
    <w:rsid w:val="00FC40F8"/>
    <w:rsid w:val="00FC5496"/>
    <w:rsid w:val="00FC5603"/>
    <w:rsid w:val="00FC6138"/>
    <w:rsid w:val="00FC7185"/>
    <w:rsid w:val="00FD0B28"/>
    <w:rsid w:val="00FD13FB"/>
    <w:rsid w:val="00FD17BA"/>
    <w:rsid w:val="00FD1C74"/>
    <w:rsid w:val="00FD1F41"/>
    <w:rsid w:val="00FD2A21"/>
    <w:rsid w:val="00FD2C9D"/>
    <w:rsid w:val="00FD2F74"/>
    <w:rsid w:val="00FD30B6"/>
    <w:rsid w:val="00FD3B94"/>
    <w:rsid w:val="00FD40DD"/>
    <w:rsid w:val="00FD43B3"/>
    <w:rsid w:val="00FD4971"/>
    <w:rsid w:val="00FD52C5"/>
    <w:rsid w:val="00FD6295"/>
    <w:rsid w:val="00FD64C6"/>
    <w:rsid w:val="00FD6680"/>
    <w:rsid w:val="00FD7C72"/>
    <w:rsid w:val="00FE07F3"/>
    <w:rsid w:val="00FE1118"/>
    <w:rsid w:val="00FE1C4F"/>
    <w:rsid w:val="00FE2382"/>
    <w:rsid w:val="00FE24EE"/>
    <w:rsid w:val="00FE3EB8"/>
    <w:rsid w:val="00FE400B"/>
    <w:rsid w:val="00FE402D"/>
    <w:rsid w:val="00FE40E5"/>
    <w:rsid w:val="00FE4739"/>
    <w:rsid w:val="00FE4971"/>
    <w:rsid w:val="00FE4A79"/>
    <w:rsid w:val="00FE4DB2"/>
    <w:rsid w:val="00FE50E4"/>
    <w:rsid w:val="00FE59CC"/>
    <w:rsid w:val="00FE5EA4"/>
    <w:rsid w:val="00FE5FA0"/>
    <w:rsid w:val="00FE62D6"/>
    <w:rsid w:val="00FE6325"/>
    <w:rsid w:val="00FE681D"/>
    <w:rsid w:val="00FE6A40"/>
    <w:rsid w:val="00FE6EDA"/>
    <w:rsid w:val="00FE74DF"/>
    <w:rsid w:val="00FF0399"/>
    <w:rsid w:val="00FF096D"/>
    <w:rsid w:val="00FF0DBD"/>
    <w:rsid w:val="00FF11C2"/>
    <w:rsid w:val="00FF2100"/>
    <w:rsid w:val="00FF31ED"/>
    <w:rsid w:val="00FF35A3"/>
    <w:rsid w:val="00FF38CB"/>
    <w:rsid w:val="00FF3A07"/>
    <w:rsid w:val="00FF3FEA"/>
    <w:rsid w:val="00FF4B36"/>
    <w:rsid w:val="00FF4C68"/>
    <w:rsid w:val="00FF4F4E"/>
    <w:rsid w:val="00FF55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basedOn w:val="DefaultParagraphFont"/>
    <w:link w:val="ListParagraph"/>
    <w:uiPriority w:val="34"/>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qFormat/>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8"/>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9"/>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10"/>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styleId="UnresolvedMention">
    <w:name w:val="Unresolved Mention"/>
    <w:basedOn w:val="DefaultParagraphFont"/>
    <w:uiPriority w:val="99"/>
    <w:semiHidden/>
    <w:unhideWhenUsed/>
    <w:rsid w:val="00D13865"/>
    <w:rPr>
      <w:color w:val="605E5C"/>
      <w:shd w:val="clear" w:color="auto" w:fill="E1DFDD"/>
    </w:rPr>
  </w:style>
  <w:style w:type="character" w:styleId="PlaceholderText">
    <w:name w:val="Placeholder Text"/>
    <w:basedOn w:val="DefaultParagraphFont"/>
    <w:uiPriority w:val="99"/>
    <w:semiHidden/>
    <w:rsid w:val="002562A0"/>
    <w:rPr>
      <w:color w:val="808080"/>
    </w:rPr>
  </w:style>
  <w:style w:type="table" w:customStyle="1" w:styleId="TableHTAsimple">
    <w:name w:val="Table HTA simple"/>
    <w:basedOn w:val="TableNormal"/>
    <w:uiPriority w:val="99"/>
    <w:rsid w:val="00A10E55"/>
    <w:pPr>
      <w:spacing w:after="0" w:line="240" w:lineRule="auto"/>
    </w:pPr>
    <w:rPr>
      <w:sz w:val="18"/>
      <w:lang w:val="de-DE"/>
    </w:rPr>
    <w:tblPr>
      <w:tblStyleRowBandSize w:val="1"/>
      <w:tblBorders>
        <w:top w:val="single" w:sz="4" w:space="0" w:color="auto"/>
        <w:bottom w:val="single" w:sz="4" w:space="0" w:color="auto"/>
        <w:insideH w:val="single" w:sz="6" w:space="0" w:color="auto"/>
      </w:tblBorders>
    </w:tblPr>
    <w:tcPr>
      <w:vAlign w:val="center"/>
    </w:tcPr>
    <w:tblStylePr w:type="firstRow">
      <w:pPr>
        <w:wordWrap/>
        <w:spacing w:beforeLines="0" w:before="40" w:beforeAutospacing="0" w:afterLines="0" w:after="40" w:afterAutospacing="0" w:line="240" w:lineRule="auto"/>
      </w:pPr>
      <w:rPr>
        <w:rFonts w:asciiTheme="minorHAnsi" w:hAnsiTheme="minorHAnsi"/>
        <w:b w:val="0"/>
        <w:sz w:val="18"/>
      </w:rPr>
    </w:tblStylePr>
    <w:tblStylePr w:type="band1Horz">
      <w:pPr>
        <w:wordWrap/>
        <w:spacing w:beforeLines="0" w:before="20" w:beforeAutospacing="0" w:afterLines="0" w:after="20" w:afterAutospacing="0" w:line="240" w:lineRule="auto"/>
      </w:pPr>
    </w:tblStylePr>
    <w:tblStylePr w:type="band2Horz">
      <w:pPr>
        <w:wordWrap/>
        <w:spacing w:beforeLines="0" w:before="20" w:beforeAutospacing="0" w:afterLines="0" w:after="20" w:afterAutospacing="0" w:line="240" w:lineRule="auto"/>
      </w:pPr>
    </w:tblStylePr>
  </w:style>
  <w:style w:type="paragraph" w:customStyle="1" w:styleId="BulletLast">
    <w:name w:val="Bullet Last"/>
    <w:basedOn w:val="Bullet"/>
    <w:qFormat/>
    <w:rsid w:val="00FB100C"/>
    <w:pPr>
      <w:numPr>
        <w:numId w:val="12"/>
      </w:numPr>
      <w:spacing w:before="0" w:after="240"/>
      <w:ind w:left="357" w:hanging="357"/>
    </w:pPr>
  </w:style>
  <w:style w:type="paragraph" w:customStyle="1" w:styleId="BulletBeforeDash">
    <w:name w:val="Bullet Before Dash"/>
    <w:basedOn w:val="Bullet"/>
    <w:qFormat/>
    <w:rsid w:val="00FB100C"/>
    <w:pPr>
      <w:numPr>
        <w:numId w:val="13"/>
      </w:numPr>
      <w:spacing w:before="0" w:after="60"/>
      <w:ind w:left="357" w:hanging="357"/>
    </w:pPr>
  </w:style>
  <w:style w:type="paragraph" w:customStyle="1" w:styleId="Default">
    <w:name w:val="Default"/>
    <w:rsid w:val="00CB1F83"/>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D51C87"/>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D51C87"/>
    <w:rPr>
      <w:rFonts w:ascii="Franklin Gothic Book" w:hAnsi="Franklin Gothic Book"/>
      <w:sz w:val="20"/>
      <w:szCs w:val="20"/>
    </w:rPr>
  </w:style>
  <w:style w:type="character" w:styleId="EndnoteReference">
    <w:name w:val="endnote reference"/>
    <w:basedOn w:val="DefaultParagraphFont"/>
    <w:uiPriority w:val="99"/>
    <w:semiHidden/>
    <w:unhideWhenUsed/>
    <w:rsid w:val="00D51C87"/>
    <w:rPr>
      <w:vertAlign w:val="superscript"/>
    </w:rPr>
  </w:style>
  <w:style w:type="paragraph" w:customStyle="1" w:styleId="TableBullet">
    <w:name w:val="TableBullet"/>
    <w:basedOn w:val="TableText1"/>
    <w:rsid w:val="00DC05AB"/>
    <w:pPr>
      <w:numPr>
        <w:numId w:val="48"/>
      </w:numPr>
      <w:tabs>
        <w:tab w:val="left" w:pos="216"/>
      </w:tabs>
      <w:spacing w:before="60" w:after="60" w:line="240" w:lineRule="auto"/>
      <w:ind w:left="216" w:hanging="216"/>
      <w:jc w:val="left"/>
    </w:pPr>
    <w:rPr>
      <w:rFonts w:ascii="Times New Roman" w:hAnsi="Times New Roman" w:cs="Times New Roman"/>
      <w:color w:val="000000"/>
      <w:sz w:val="21"/>
      <w:szCs w:val="21"/>
    </w:rPr>
  </w:style>
  <w:style w:type="table" w:customStyle="1" w:styleId="HTAtableplain1">
    <w:name w:val="HTAtableplain1"/>
    <w:basedOn w:val="TableNormal"/>
    <w:uiPriority w:val="59"/>
    <w:rsid w:val="00DC05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262C24"/>
    <w:pPr>
      <w:spacing w:line="256" w:lineRule="auto"/>
    </w:pPr>
    <w:rPr>
      <w:rFonts w:asciiTheme="minorHAnsi" w:hAnsiTheme="minorHAnsi"/>
    </w:rPr>
  </w:style>
  <w:style w:type="character" w:customStyle="1" w:styleId="BodyTextChar">
    <w:name w:val="Body Text Char"/>
    <w:basedOn w:val="DefaultParagraphFont"/>
    <w:link w:val="BodyText"/>
    <w:rsid w:val="00262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951">
      <w:bodyDiv w:val="1"/>
      <w:marLeft w:val="0"/>
      <w:marRight w:val="0"/>
      <w:marTop w:val="0"/>
      <w:marBottom w:val="0"/>
      <w:divBdr>
        <w:top w:val="none" w:sz="0" w:space="0" w:color="auto"/>
        <w:left w:val="none" w:sz="0" w:space="0" w:color="auto"/>
        <w:bottom w:val="none" w:sz="0" w:space="0" w:color="auto"/>
        <w:right w:val="none" w:sz="0" w:space="0" w:color="auto"/>
      </w:divBdr>
    </w:div>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51199719">
      <w:bodyDiv w:val="1"/>
      <w:marLeft w:val="0"/>
      <w:marRight w:val="0"/>
      <w:marTop w:val="0"/>
      <w:marBottom w:val="0"/>
      <w:divBdr>
        <w:top w:val="none" w:sz="0" w:space="0" w:color="auto"/>
        <w:left w:val="none" w:sz="0" w:space="0" w:color="auto"/>
        <w:bottom w:val="none" w:sz="0" w:space="0" w:color="auto"/>
        <w:right w:val="none" w:sz="0" w:space="0" w:color="auto"/>
      </w:divBdr>
      <w:divsChild>
        <w:div w:id="1660420820">
          <w:marLeft w:val="288"/>
          <w:marRight w:val="0"/>
          <w:marTop w:val="115"/>
          <w:marBottom w:val="120"/>
          <w:divBdr>
            <w:top w:val="none" w:sz="0" w:space="0" w:color="auto"/>
            <w:left w:val="none" w:sz="0" w:space="0" w:color="auto"/>
            <w:bottom w:val="none" w:sz="0" w:space="0" w:color="auto"/>
            <w:right w:val="none" w:sz="0" w:space="0" w:color="auto"/>
          </w:divBdr>
        </w:div>
      </w:divsChild>
    </w:div>
    <w:div w:id="64646159">
      <w:bodyDiv w:val="1"/>
      <w:marLeft w:val="0"/>
      <w:marRight w:val="0"/>
      <w:marTop w:val="0"/>
      <w:marBottom w:val="0"/>
      <w:divBdr>
        <w:top w:val="none" w:sz="0" w:space="0" w:color="auto"/>
        <w:left w:val="none" w:sz="0" w:space="0" w:color="auto"/>
        <w:bottom w:val="none" w:sz="0" w:space="0" w:color="auto"/>
        <w:right w:val="none" w:sz="0" w:space="0" w:color="auto"/>
      </w:divBdr>
    </w:div>
    <w:div w:id="69274410">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82261605">
      <w:bodyDiv w:val="1"/>
      <w:marLeft w:val="0"/>
      <w:marRight w:val="0"/>
      <w:marTop w:val="0"/>
      <w:marBottom w:val="0"/>
      <w:divBdr>
        <w:top w:val="none" w:sz="0" w:space="0" w:color="auto"/>
        <w:left w:val="none" w:sz="0" w:space="0" w:color="auto"/>
        <w:bottom w:val="none" w:sz="0" w:space="0" w:color="auto"/>
        <w:right w:val="none" w:sz="0" w:space="0" w:color="auto"/>
      </w:divBdr>
    </w:div>
    <w:div w:id="118184512">
      <w:bodyDiv w:val="1"/>
      <w:marLeft w:val="0"/>
      <w:marRight w:val="0"/>
      <w:marTop w:val="0"/>
      <w:marBottom w:val="0"/>
      <w:divBdr>
        <w:top w:val="none" w:sz="0" w:space="0" w:color="auto"/>
        <w:left w:val="none" w:sz="0" w:space="0" w:color="auto"/>
        <w:bottom w:val="none" w:sz="0" w:space="0" w:color="auto"/>
        <w:right w:val="none" w:sz="0" w:space="0" w:color="auto"/>
      </w:divBdr>
    </w:div>
    <w:div w:id="124087965">
      <w:bodyDiv w:val="1"/>
      <w:marLeft w:val="0"/>
      <w:marRight w:val="0"/>
      <w:marTop w:val="0"/>
      <w:marBottom w:val="0"/>
      <w:divBdr>
        <w:top w:val="none" w:sz="0" w:space="0" w:color="auto"/>
        <w:left w:val="none" w:sz="0" w:space="0" w:color="auto"/>
        <w:bottom w:val="none" w:sz="0" w:space="0" w:color="auto"/>
        <w:right w:val="none" w:sz="0" w:space="0" w:color="auto"/>
      </w:divBdr>
    </w:div>
    <w:div w:id="164832111">
      <w:bodyDiv w:val="1"/>
      <w:marLeft w:val="0"/>
      <w:marRight w:val="0"/>
      <w:marTop w:val="0"/>
      <w:marBottom w:val="0"/>
      <w:divBdr>
        <w:top w:val="none" w:sz="0" w:space="0" w:color="auto"/>
        <w:left w:val="none" w:sz="0" w:space="0" w:color="auto"/>
        <w:bottom w:val="none" w:sz="0" w:space="0" w:color="auto"/>
        <w:right w:val="none" w:sz="0" w:space="0" w:color="auto"/>
      </w:divBdr>
    </w:div>
    <w:div w:id="169370065">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77698829">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2328526">
      <w:bodyDiv w:val="1"/>
      <w:marLeft w:val="0"/>
      <w:marRight w:val="0"/>
      <w:marTop w:val="0"/>
      <w:marBottom w:val="0"/>
      <w:divBdr>
        <w:top w:val="none" w:sz="0" w:space="0" w:color="auto"/>
        <w:left w:val="none" w:sz="0" w:space="0" w:color="auto"/>
        <w:bottom w:val="none" w:sz="0" w:space="0" w:color="auto"/>
        <w:right w:val="none" w:sz="0" w:space="0" w:color="auto"/>
      </w:divBdr>
    </w:div>
    <w:div w:id="203100134">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263928777">
      <w:bodyDiv w:val="1"/>
      <w:marLeft w:val="0"/>
      <w:marRight w:val="0"/>
      <w:marTop w:val="0"/>
      <w:marBottom w:val="0"/>
      <w:divBdr>
        <w:top w:val="none" w:sz="0" w:space="0" w:color="auto"/>
        <w:left w:val="none" w:sz="0" w:space="0" w:color="auto"/>
        <w:bottom w:val="none" w:sz="0" w:space="0" w:color="auto"/>
        <w:right w:val="none" w:sz="0" w:space="0" w:color="auto"/>
      </w:divBdr>
    </w:div>
    <w:div w:id="267782746">
      <w:bodyDiv w:val="1"/>
      <w:marLeft w:val="0"/>
      <w:marRight w:val="0"/>
      <w:marTop w:val="0"/>
      <w:marBottom w:val="0"/>
      <w:divBdr>
        <w:top w:val="none" w:sz="0" w:space="0" w:color="auto"/>
        <w:left w:val="none" w:sz="0" w:space="0" w:color="auto"/>
        <w:bottom w:val="none" w:sz="0" w:space="0" w:color="auto"/>
        <w:right w:val="none" w:sz="0" w:space="0" w:color="auto"/>
      </w:divBdr>
    </w:div>
    <w:div w:id="294142023">
      <w:bodyDiv w:val="1"/>
      <w:marLeft w:val="0"/>
      <w:marRight w:val="0"/>
      <w:marTop w:val="0"/>
      <w:marBottom w:val="0"/>
      <w:divBdr>
        <w:top w:val="none" w:sz="0" w:space="0" w:color="auto"/>
        <w:left w:val="none" w:sz="0" w:space="0" w:color="auto"/>
        <w:bottom w:val="none" w:sz="0" w:space="0" w:color="auto"/>
        <w:right w:val="none" w:sz="0" w:space="0" w:color="auto"/>
      </w:divBdr>
    </w:div>
    <w:div w:id="312178022">
      <w:bodyDiv w:val="1"/>
      <w:marLeft w:val="0"/>
      <w:marRight w:val="0"/>
      <w:marTop w:val="0"/>
      <w:marBottom w:val="0"/>
      <w:divBdr>
        <w:top w:val="none" w:sz="0" w:space="0" w:color="auto"/>
        <w:left w:val="none" w:sz="0" w:space="0" w:color="auto"/>
        <w:bottom w:val="none" w:sz="0" w:space="0" w:color="auto"/>
        <w:right w:val="none" w:sz="0" w:space="0" w:color="auto"/>
      </w:divBdr>
    </w:div>
    <w:div w:id="322197963">
      <w:bodyDiv w:val="1"/>
      <w:marLeft w:val="0"/>
      <w:marRight w:val="0"/>
      <w:marTop w:val="0"/>
      <w:marBottom w:val="0"/>
      <w:divBdr>
        <w:top w:val="none" w:sz="0" w:space="0" w:color="auto"/>
        <w:left w:val="none" w:sz="0" w:space="0" w:color="auto"/>
        <w:bottom w:val="none" w:sz="0" w:space="0" w:color="auto"/>
        <w:right w:val="none" w:sz="0" w:space="0" w:color="auto"/>
      </w:divBdr>
    </w:div>
    <w:div w:id="326174998">
      <w:bodyDiv w:val="1"/>
      <w:marLeft w:val="0"/>
      <w:marRight w:val="0"/>
      <w:marTop w:val="0"/>
      <w:marBottom w:val="0"/>
      <w:divBdr>
        <w:top w:val="none" w:sz="0" w:space="0" w:color="auto"/>
        <w:left w:val="none" w:sz="0" w:space="0" w:color="auto"/>
        <w:bottom w:val="none" w:sz="0" w:space="0" w:color="auto"/>
        <w:right w:val="none" w:sz="0" w:space="0" w:color="auto"/>
      </w:divBdr>
    </w:div>
    <w:div w:id="341782053">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0935063">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58456940">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18128396">
      <w:bodyDiv w:val="1"/>
      <w:marLeft w:val="0"/>
      <w:marRight w:val="0"/>
      <w:marTop w:val="0"/>
      <w:marBottom w:val="0"/>
      <w:divBdr>
        <w:top w:val="none" w:sz="0" w:space="0" w:color="auto"/>
        <w:left w:val="none" w:sz="0" w:space="0" w:color="auto"/>
        <w:bottom w:val="none" w:sz="0" w:space="0" w:color="auto"/>
        <w:right w:val="none" w:sz="0" w:space="0" w:color="auto"/>
      </w:divBdr>
    </w:div>
    <w:div w:id="532613188">
      <w:bodyDiv w:val="1"/>
      <w:marLeft w:val="0"/>
      <w:marRight w:val="0"/>
      <w:marTop w:val="0"/>
      <w:marBottom w:val="0"/>
      <w:divBdr>
        <w:top w:val="none" w:sz="0" w:space="0" w:color="auto"/>
        <w:left w:val="none" w:sz="0" w:space="0" w:color="auto"/>
        <w:bottom w:val="none" w:sz="0" w:space="0" w:color="auto"/>
        <w:right w:val="none" w:sz="0" w:space="0" w:color="auto"/>
      </w:divBdr>
    </w:div>
    <w:div w:id="542180269">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598220275">
      <w:bodyDiv w:val="1"/>
      <w:marLeft w:val="0"/>
      <w:marRight w:val="0"/>
      <w:marTop w:val="0"/>
      <w:marBottom w:val="0"/>
      <w:divBdr>
        <w:top w:val="none" w:sz="0" w:space="0" w:color="auto"/>
        <w:left w:val="none" w:sz="0" w:space="0" w:color="auto"/>
        <w:bottom w:val="none" w:sz="0" w:space="0" w:color="auto"/>
        <w:right w:val="none" w:sz="0" w:space="0" w:color="auto"/>
      </w:divBdr>
    </w:div>
    <w:div w:id="607086577">
      <w:bodyDiv w:val="1"/>
      <w:marLeft w:val="0"/>
      <w:marRight w:val="0"/>
      <w:marTop w:val="0"/>
      <w:marBottom w:val="0"/>
      <w:divBdr>
        <w:top w:val="none" w:sz="0" w:space="0" w:color="auto"/>
        <w:left w:val="none" w:sz="0" w:space="0" w:color="auto"/>
        <w:bottom w:val="none" w:sz="0" w:space="0" w:color="auto"/>
        <w:right w:val="none" w:sz="0" w:space="0" w:color="auto"/>
      </w:divBdr>
      <w:divsChild>
        <w:div w:id="519928361">
          <w:marLeft w:val="547"/>
          <w:marRight w:val="0"/>
          <w:marTop w:val="96"/>
          <w:marBottom w:val="0"/>
          <w:divBdr>
            <w:top w:val="none" w:sz="0" w:space="0" w:color="auto"/>
            <w:left w:val="none" w:sz="0" w:space="0" w:color="auto"/>
            <w:bottom w:val="none" w:sz="0" w:space="0" w:color="auto"/>
            <w:right w:val="none" w:sz="0" w:space="0" w:color="auto"/>
          </w:divBdr>
        </w:div>
      </w:divsChild>
    </w:div>
    <w:div w:id="625743798">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94306778">
      <w:bodyDiv w:val="1"/>
      <w:marLeft w:val="0"/>
      <w:marRight w:val="0"/>
      <w:marTop w:val="0"/>
      <w:marBottom w:val="0"/>
      <w:divBdr>
        <w:top w:val="none" w:sz="0" w:space="0" w:color="auto"/>
        <w:left w:val="none" w:sz="0" w:space="0" w:color="auto"/>
        <w:bottom w:val="none" w:sz="0" w:space="0" w:color="auto"/>
        <w:right w:val="none" w:sz="0" w:space="0" w:color="auto"/>
      </w:divBdr>
    </w:div>
    <w:div w:id="694578535">
      <w:bodyDiv w:val="1"/>
      <w:marLeft w:val="0"/>
      <w:marRight w:val="0"/>
      <w:marTop w:val="0"/>
      <w:marBottom w:val="0"/>
      <w:divBdr>
        <w:top w:val="none" w:sz="0" w:space="0" w:color="auto"/>
        <w:left w:val="none" w:sz="0" w:space="0" w:color="auto"/>
        <w:bottom w:val="none" w:sz="0" w:space="0" w:color="auto"/>
        <w:right w:val="none" w:sz="0" w:space="0" w:color="auto"/>
      </w:divBdr>
    </w:div>
    <w:div w:id="696078813">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40174817">
      <w:bodyDiv w:val="1"/>
      <w:marLeft w:val="0"/>
      <w:marRight w:val="0"/>
      <w:marTop w:val="0"/>
      <w:marBottom w:val="0"/>
      <w:divBdr>
        <w:top w:val="none" w:sz="0" w:space="0" w:color="auto"/>
        <w:left w:val="none" w:sz="0" w:space="0" w:color="auto"/>
        <w:bottom w:val="none" w:sz="0" w:space="0" w:color="auto"/>
        <w:right w:val="none" w:sz="0" w:space="0" w:color="auto"/>
      </w:divBdr>
    </w:div>
    <w:div w:id="779684155">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17647031">
      <w:bodyDiv w:val="1"/>
      <w:marLeft w:val="0"/>
      <w:marRight w:val="0"/>
      <w:marTop w:val="0"/>
      <w:marBottom w:val="0"/>
      <w:divBdr>
        <w:top w:val="none" w:sz="0" w:space="0" w:color="auto"/>
        <w:left w:val="none" w:sz="0" w:space="0" w:color="auto"/>
        <w:bottom w:val="none" w:sz="0" w:space="0" w:color="auto"/>
        <w:right w:val="none" w:sz="0" w:space="0" w:color="auto"/>
      </w:divBdr>
    </w:div>
    <w:div w:id="842353142">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00480319">
      <w:bodyDiv w:val="1"/>
      <w:marLeft w:val="0"/>
      <w:marRight w:val="0"/>
      <w:marTop w:val="0"/>
      <w:marBottom w:val="0"/>
      <w:divBdr>
        <w:top w:val="none" w:sz="0" w:space="0" w:color="auto"/>
        <w:left w:val="none" w:sz="0" w:space="0" w:color="auto"/>
        <w:bottom w:val="none" w:sz="0" w:space="0" w:color="auto"/>
        <w:right w:val="none" w:sz="0" w:space="0" w:color="auto"/>
      </w:divBdr>
    </w:div>
    <w:div w:id="907695303">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978412377">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70810699">
      <w:bodyDiv w:val="1"/>
      <w:marLeft w:val="0"/>
      <w:marRight w:val="0"/>
      <w:marTop w:val="0"/>
      <w:marBottom w:val="0"/>
      <w:divBdr>
        <w:top w:val="none" w:sz="0" w:space="0" w:color="auto"/>
        <w:left w:val="none" w:sz="0" w:space="0" w:color="auto"/>
        <w:bottom w:val="none" w:sz="0" w:space="0" w:color="auto"/>
        <w:right w:val="none" w:sz="0" w:space="0" w:color="auto"/>
      </w:divBdr>
    </w:div>
    <w:div w:id="1072780019">
      <w:bodyDiv w:val="1"/>
      <w:marLeft w:val="0"/>
      <w:marRight w:val="0"/>
      <w:marTop w:val="0"/>
      <w:marBottom w:val="0"/>
      <w:divBdr>
        <w:top w:val="none" w:sz="0" w:space="0" w:color="auto"/>
        <w:left w:val="none" w:sz="0" w:space="0" w:color="auto"/>
        <w:bottom w:val="none" w:sz="0" w:space="0" w:color="auto"/>
        <w:right w:val="none" w:sz="0" w:space="0" w:color="auto"/>
      </w:divBdr>
    </w:div>
    <w:div w:id="1095663587">
      <w:bodyDiv w:val="1"/>
      <w:marLeft w:val="0"/>
      <w:marRight w:val="0"/>
      <w:marTop w:val="0"/>
      <w:marBottom w:val="0"/>
      <w:divBdr>
        <w:top w:val="none" w:sz="0" w:space="0" w:color="auto"/>
        <w:left w:val="none" w:sz="0" w:space="0" w:color="auto"/>
        <w:bottom w:val="none" w:sz="0" w:space="0" w:color="auto"/>
        <w:right w:val="none" w:sz="0" w:space="0" w:color="auto"/>
      </w:divBdr>
    </w:div>
    <w:div w:id="1111431973">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27436107">
      <w:bodyDiv w:val="1"/>
      <w:marLeft w:val="0"/>
      <w:marRight w:val="0"/>
      <w:marTop w:val="0"/>
      <w:marBottom w:val="0"/>
      <w:divBdr>
        <w:top w:val="none" w:sz="0" w:space="0" w:color="auto"/>
        <w:left w:val="none" w:sz="0" w:space="0" w:color="auto"/>
        <w:bottom w:val="none" w:sz="0" w:space="0" w:color="auto"/>
        <w:right w:val="none" w:sz="0" w:space="0" w:color="auto"/>
      </w:divBdr>
    </w:div>
    <w:div w:id="1138690140">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180387956">
      <w:bodyDiv w:val="1"/>
      <w:marLeft w:val="0"/>
      <w:marRight w:val="0"/>
      <w:marTop w:val="0"/>
      <w:marBottom w:val="0"/>
      <w:divBdr>
        <w:top w:val="none" w:sz="0" w:space="0" w:color="auto"/>
        <w:left w:val="none" w:sz="0" w:space="0" w:color="auto"/>
        <w:bottom w:val="none" w:sz="0" w:space="0" w:color="auto"/>
        <w:right w:val="none" w:sz="0" w:space="0" w:color="auto"/>
      </w:divBdr>
    </w:div>
    <w:div w:id="1203790211">
      <w:bodyDiv w:val="1"/>
      <w:marLeft w:val="0"/>
      <w:marRight w:val="0"/>
      <w:marTop w:val="0"/>
      <w:marBottom w:val="0"/>
      <w:divBdr>
        <w:top w:val="none" w:sz="0" w:space="0" w:color="auto"/>
        <w:left w:val="none" w:sz="0" w:space="0" w:color="auto"/>
        <w:bottom w:val="none" w:sz="0" w:space="0" w:color="auto"/>
        <w:right w:val="none" w:sz="0" w:space="0" w:color="auto"/>
      </w:divBdr>
    </w:div>
    <w:div w:id="1217929950">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31117425">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4118693">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14985858">
      <w:bodyDiv w:val="1"/>
      <w:marLeft w:val="0"/>
      <w:marRight w:val="0"/>
      <w:marTop w:val="0"/>
      <w:marBottom w:val="0"/>
      <w:divBdr>
        <w:top w:val="none" w:sz="0" w:space="0" w:color="auto"/>
        <w:left w:val="none" w:sz="0" w:space="0" w:color="auto"/>
        <w:bottom w:val="none" w:sz="0" w:space="0" w:color="auto"/>
        <w:right w:val="none" w:sz="0" w:space="0" w:color="auto"/>
      </w:divBdr>
    </w:div>
    <w:div w:id="1318340960">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6806524">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72263633">
      <w:bodyDiv w:val="1"/>
      <w:marLeft w:val="0"/>
      <w:marRight w:val="0"/>
      <w:marTop w:val="0"/>
      <w:marBottom w:val="0"/>
      <w:divBdr>
        <w:top w:val="none" w:sz="0" w:space="0" w:color="auto"/>
        <w:left w:val="none" w:sz="0" w:space="0" w:color="auto"/>
        <w:bottom w:val="none" w:sz="0" w:space="0" w:color="auto"/>
        <w:right w:val="none" w:sz="0" w:space="0" w:color="auto"/>
      </w:divBdr>
    </w:div>
    <w:div w:id="1374816100">
      <w:bodyDiv w:val="1"/>
      <w:marLeft w:val="0"/>
      <w:marRight w:val="0"/>
      <w:marTop w:val="0"/>
      <w:marBottom w:val="0"/>
      <w:divBdr>
        <w:top w:val="none" w:sz="0" w:space="0" w:color="auto"/>
        <w:left w:val="none" w:sz="0" w:space="0" w:color="auto"/>
        <w:bottom w:val="none" w:sz="0" w:space="0" w:color="auto"/>
        <w:right w:val="none" w:sz="0" w:space="0" w:color="auto"/>
      </w:divBdr>
    </w:div>
    <w:div w:id="1403213065">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23259065">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52015845">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17186652">
      <w:bodyDiv w:val="1"/>
      <w:marLeft w:val="0"/>
      <w:marRight w:val="0"/>
      <w:marTop w:val="0"/>
      <w:marBottom w:val="0"/>
      <w:divBdr>
        <w:top w:val="none" w:sz="0" w:space="0" w:color="auto"/>
        <w:left w:val="none" w:sz="0" w:space="0" w:color="auto"/>
        <w:bottom w:val="none" w:sz="0" w:space="0" w:color="auto"/>
        <w:right w:val="none" w:sz="0" w:space="0" w:color="auto"/>
      </w:divBdr>
    </w:div>
    <w:div w:id="1539007643">
      <w:bodyDiv w:val="1"/>
      <w:marLeft w:val="0"/>
      <w:marRight w:val="0"/>
      <w:marTop w:val="0"/>
      <w:marBottom w:val="0"/>
      <w:divBdr>
        <w:top w:val="none" w:sz="0" w:space="0" w:color="auto"/>
        <w:left w:val="none" w:sz="0" w:space="0" w:color="auto"/>
        <w:bottom w:val="none" w:sz="0" w:space="0" w:color="auto"/>
        <w:right w:val="none" w:sz="0" w:space="0" w:color="auto"/>
      </w:divBdr>
    </w:div>
    <w:div w:id="1544446260">
      <w:bodyDiv w:val="1"/>
      <w:marLeft w:val="0"/>
      <w:marRight w:val="0"/>
      <w:marTop w:val="0"/>
      <w:marBottom w:val="0"/>
      <w:divBdr>
        <w:top w:val="none" w:sz="0" w:space="0" w:color="auto"/>
        <w:left w:val="none" w:sz="0" w:space="0" w:color="auto"/>
        <w:bottom w:val="none" w:sz="0" w:space="0" w:color="auto"/>
        <w:right w:val="none" w:sz="0" w:space="0" w:color="auto"/>
      </w:divBdr>
    </w:div>
    <w:div w:id="1556967044">
      <w:bodyDiv w:val="1"/>
      <w:marLeft w:val="0"/>
      <w:marRight w:val="0"/>
      <w:marTop w:val="0"/>
      <w:marBottom w:val="0"/>
      <w:divBdr>
        <w:top w:val="none" w:sz="0" w:space="0" w:color="auto"/>
        <w:left w:val="none" w:sz="0" w:space="0" w:color="auto"/>
        <w:bottom w:val="none" w:sz="0" w:space="0" w:color="auto"/>
        <w:right w:val="none" w:sz="0" w:space="0" w:color="auto"/>
      </w:divBdr>
    </w:div>
    <w:div w:id="1564024389">
      <w:bodyDiv w:val="1"/>
      <w:marLeft w:val="0"/>
      <w:marRight w:val="0"/>
      <w:marTop w:val="0"/>
      <w:marBottom w:val="0"/>
      <w:divBdr>
        <w:top w:val="none" w:sz="0" w:space="0" w:color="auto"/>
        <w:left w:val="none" w:sz="0" w:space="0" w:color="auto"/>
        <w:bottom w:val="none" w:sz="0" w:space="0" w:color="auto"/>
        <w:right w:val="none" w:sz="0" w:space="0" w:color="auto"/>
      </w:divBdr>
    </w:div>
    <w:div w:id="156468042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0093854">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56251804">
      <w:bodyDiv w:val="1"/>
      <w:marLeft w:val="0"/>
      <w:marRight w:val="0"/>
      <w:marTop w:val="0"/>
      <w:marBottom w:val="0"/>
      <w:divBdr>
        <w:top w:val="none" w:sz="0" w:space="0" w:color="auto"/>
        <w:left w:val="none" w:sz="0" w:space="0" w:color="auto"/>
        <w:bottom w:val="none" w:sz="0" w:space="0" w:color="auto"/>
        <w:right w:val="none" w:sz="0" w:space="0" w:color="auto"/>
      </w:divBdr>
    </w:div>
    <w:div w:id="1668052021">
      <w:bodyDiv w:val="1"/>
      <w:marLeft w:val="0"/>
      <w:marRight w:val="0"/>
      <w:marTop w:val="0"/>
      <w:marBottom w:val="0"/>
      <w:divBdr>
        <w:top w:val="none" w:sz="0" w:space="0" w:color="auto"/>
        <w:left w:val="none" w:sz="0" w:space="0" w:color="auto"/>
        <w:bottom w:val="none" w:sz="0" w:space="0" w:color="auto"/>
        <w:right w:val="none" w:sz="0" w:space="0" w:color="auto"/>
      </w:divBdr>
    </w:div>
    <w:div w:id="1718776096">
      <w:bodyDiv w:val="1"/>
      <w:marLeft w:val="0"/>
      <w:marRight w:val="0"/>
      <w:marTop w:val="0"/>
      <w:marBottom w:val="0"/>
      <w:divBdr>
        <w:top w:val="none" w:sz="0" w:space="0" w:color="auto"/>
        <w:left w:val="none" w:sz="0" w:space="0" w:color="auto"/>
        <w:bottom w:val="none" w:sz="0" w:space="0" w:color="auto"/>
        <w:right w:val="none" w:sz="0" w:space="0" w:color="auto"/>
      </w:divBdr>
    </w:div>
    <w:div w:id="1750883243">
      <w:bodyDiv w:val="1"/>
      <w:marLeft w:val="0"/>
      <w:marRight w:val="0"/>
      <w:marTop w:val="0"/>
      <w:marBottom w:val="0"/>
      <w:divBdr>
        <w:top w:val="none" w:sz="0" w:space="0" w:color="auto"/>
        <w:left w:val="none" w:sz="0" w:space="0" w:color="auto"/>
        <w:bottom w:val="none" w:sz="0" w:space="0" w:color="auto"/>
        <w:right w:val="none" w:sz="0" w:space="0" w:color="auto"/>
      </w:divBdr>
    </w:div>
    <w:div w:id="1753119253">
      <w:bodyDiv w:val="1"/>
      <w:marLeft w:val="0"/>
      <w:marRight w:val="0"/>
      <w:marTop w:val="0"/>
      <w:marBottom w:val="0"/>
      <w:divBdr>
        <w:top w:val="none" w:sz="0" w:space="0" w:color="auto"/>
        <w:left w:val="none" w:sz="0" w:space="0" w:color="auto"/>
        <w:bottom w:val="none" w:sz="0" w:space="0" w:color="auto"/>
        <w:right w:val="none" w:sz="0" w:space="0" w:color="auto"/>
      </w:divBdr>
    </w:div>
    <w:div w:id="1764640628">
      <w:bodyDiv w:val="1"/>
      <w:marLeft w:val="0"/>
      <w:marRight w:val="0"/>
      <w:marTop w:val="0"/>
      <w:marBottom w:val="0"/>
      <w:divBdr>
        <w:top w:val="none" w:sz="0" w:space="0" w:color="auto"/>
        <w:left w:val="none" w:sz="0" w:space="0" w:color="auto"/>
        <w:bottom w:val="none" w:sz="0" w:space="0" w:color="auto"/>
        <w:right w:val="none" w:sz="0" w:space="0" w:color="auto"/>
      </w:divBdr>
    </w:div>
    <w:div w:id="1786462268">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0337682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78734403">
      <w:bodyDiv w:val="1"/>
      <w:marLeft w:val="0"/>
      <w:marRight w:val="0"/>
      <w:marTop w:val="0"/>
      <w:marBottom w:val="0"/>
      <w:divBdr>
        <w:top w:val="none" w:sz="0" w:space="0" w:color="auto"/>
        <w:left w:val="none" w:sz="0" w:space="0" w:color="auto"/>
        <w:bottom w:val="none" w:sz="0" w:space="0" w:color="auto"/>
        <w:right w:val="none" w:sz="0" w:space="0" w:color="auto"/>
      </w:divBdr>
    </w:div>
    <w:div w:id="1879581343">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898055553">
      <w:bodyDiv w:val="1"/>
      <w:marLeft w:val="0"/>
      <w:marRight w:val="0"/>
      <w:marTop w:val="0"/>
      <w:marBottom w:val="0"/>
      <w:divBdr>
        <w:top w:val="none" w:sz="0" w:space="0" w:color="auto"/>
        <w:left w:val="none" w:sz="0" w:space="0" w:color="auto"/>
        <w:bottom w:val="none" w:sz="0" w:space="0" w:color="auto"/>
        <w:right w:val="none" w:sz="0" w:space="0" w:color="auto"/>
      </w:divBdr>
    </w:div>
    <w:div w:id="1902904882">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1985894259">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35114115">
      <w:bodyDiv w:val="1"/>
      <w:marLeft w:val="0"/>
      <w:marRight w:val="0"/>
      <w:marTop w:val="0"/>
      <w:marBottom w:val="0"/>
      <w:divBdr>
        <w:top w:val="none" w:sz="0" w:space="0" w:color="auto"/>
        <w:left w:val="none" w:sz="0" w:space="0" w:color="auto"/>
        <w:bottom w:val="none" w:sz="0" w:space="0" w:color="auto"/>
        <w:right w:val="none" w:sz="0" w:space="0" w:color="auto"/>
      </w:divBdr>
    </w:div>
    <w:div w:id="2035812683">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093233056">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 w:id="2133864910">
      <w:bodyDiv w:val="1"/>
      <w:marLeft w:val="0"/>
      <w:marRight w:val="0"/>
      <w:marTop w:val="0"/>
      <w:marBottom w:val="0"/>
      <w:divBdr>
        <w:top w:val="none" w:sz="0" w:space="0" w:color="auto"/>
        <w:left w:val="none" w:sz="0" w:space="0" w:color="auto"/>
        <w:bottom w:val="none" w:sz="0" w:space="0" w:color="auto"/>
        <w:right w:val="none" w:sz="0" w:space="0" w:color="auto"/>
      </w:divBdr>
    </w:div>
    <w:div w:id="214036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msac.gov.au/internet/msac/publishing.nsf/Content/Home-1"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EC862-DE60-4118-9756-B20D3C7F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14700</Words>
  <Characters>83794</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2022-10-23T23:13:00Z</dcterms:created>
  <dcterms:modified xsi:type="dcterms:W3CDTF">2022-10-23T23:13:00Z</dcterms:modified>
</cp:coreProperties>
</file>