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6101C"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06FD66EA" wp14:editId="4261C599">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DA4CB88"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0620CD38" w14:textId="77777777" w:rsidR="00BC1364" w:rsidRPr="00F715D1" w:rsidRDefault="00BC1364" w:rsidP="00323BEB">
      <w:pPr>
        <w:pStyle w:val="Subtitle"/>
      </w:pPr>
      <w:r w:rsidRPr="00F715D1">
        <w:t xml:space="preserve">Application No. </w:t>
      </w:r>
      <w:r w:rsidR="00712B1D">
        <w:t>15</w:t>
      </w:r>
      <w:r w:rsidR="003B42C4">
        <w:t>9</w:t>
      </w:r>
      <w:r w:rsidR="00C93A14">
        <w:t>8</w:t>
      </w:r>
      <w:r w:rsidR="00424791">
        <w:t xml:space="preserve"> –</w:t>
      </w:r>
      <w:r w:rsidR="00323BEB">
        <w:t xml:space="preserve"> </w:t>
      </w:r>
      <w:r w:rsidR="00323BEB" w:rsidRPr="00323BEB">
        <w:t>Genetic testing for diagnosis of inheritable cardiac rhythm disorders</w:t>
      </w:r>
    </w:p>
    <w:p w14:paraId="336D8249" w14:textId="77777777" w:rsidR="00BC1364" w:rsidRPr="00F715D1" w:rsidRDefault="00B35595" w:rsidP="00194A71">
      <w:pPr>
        <w:tabs>
          <w:tab w:val="left" w:pos="3686"/>
        </w:tabs>
        <w:spacing w:after="240"/>
        <w:ind w:left="1440" w:hanging="14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C93A14">
        <w:rPr>
          <w:rFonts w:ascii="Arial" w:hAnsi="Arial" w:cs="Arial"/>
          <w:b/>
          <w:szCs w:val="24"/>
        </w:rPr>
        <w:t>The Royal College of Pathologists of Australasia (RCPA)</w:t>
      </w:r>
    </w:p>
    <w:p w14:paraId="0B2BF30E"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194A71">
        <w:rPr>
          <w:rFonts w:ascii="Arial" w:hAnsi="Arial" w:cs="Arial"/>
          <w:b/>
          <w:szCs w:val="24"/>
        </w:rPr>
        <w:t>80</w:t>
      </w:r>
      <w:r w:rsidR="00194A71" w:rsidRPr="00194A71">
        <w:rPr>
          <w:rFonts w:ascii="Arial" w:hAnsi="Arial" w:cs="Arial"/>
          <w:b/>
          <w:szCs w:val="24"/>
          <w:vertAlign w:val="superscript"/>
        </w:rPr>
        <w:t>th</w:t>
      </w:r>
      <w:r w:rsidR="00194A71">
        <w:rPr>
          <w:rFonts w:ascii="Arial" w:hAnsi="Arial" w:cs="Arial"/>
          <w:b/>
          <w:szCs w:val="24"/>
        </w:rPr>
        <w:t xml:space="preserve"> </w:t>
      </w:r>
      <w:r w:rsidRPr="00F715D1">
        <w:rPr>
          <w:rFonts w:ascii="Arial" w:hAnsi="Arial" w:cs="Arial"/>
          <w:b/>
          <w:szCs w:val="24"/>
        </w:rPr>
        <w:t xml:space="preserve">Meeting, </w:t>
      </w:r>
      <w:r w:rsidR="00194A71">
        <w:rPr>
          <w:rFonts w:ascii="Arial" w:hAnsi="Arial" w:cs="Arial"/>
          <w:b/>
          <w:szCs w:val="24"/>
        </w:rPr>
        <w:t>26-27 November 2020</w:t>
      </w:r>
    </w:p>
    <w:p w14:paraId="30180CF8"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25B6585E" w14:textId="77777777" w:rsidR="003D7F29" w:rsidRDefault="003D7F29" w:rsidP="00F715D1">
      <w:pPr>
        <w:pStyle w:val="Heading1"/>
      </w:pPr>
      <w:r w:rsidRPr="00F715D1">
        <w:t>Purpose of application</w:t>
      </w:r>
      <w:r w:rsidR="00822C7E" w:rsidRPr="00F715D1">
        <w:t xml:space="preserve"> </w:t>
      </w:r>
    </w:p>
    <w:p w14:paraId="5F68D28E" w14:textId="2F53D8AB" w:rsidR="0079277F" w:rsidRPr="0079277F" w:rsidRDefault="0079277F" w:rsidP="0079277F">
      <w:r>
        <w:t>A clinical utility card (CUC) format application for genetic testing for the diagnosis of inheritable cardiac arrhythmias was received from the Royal College of Pathologists of Australasia (RCPA)</w:t>
      </w:r>
      <w:r w:rsidR="008B4B6A">
        <w:t xml:space="preserve"> by the Department of Health</w:t>
      </w:r>
      <w:r>
        <w:t>.</w:t>
      </w:r>
    </w:p>
    <w:p w14:paraId="53628B91" w14:textId="77777777" w:rsidR="00E977EE" w:rsidRPr="00F715D1" w:rsidRDefault="00E977EE" w:rsidP="00F715D1">
      <w:pPr>
        <w:pStyle w:val="Heading1"/>
      </w:pPr>
      <w:r w:rsidRPr="00F715D1">
        <w:t>MSAC’s advice to the Minister</w:t>
      </w:r>
    </w:p>
    <w:p w14:paraId="0ABCD18E" w14:textId="597128E9" w:rsidR="0083086B" w:rsidRDefault="00766CA7" w:rsidP="0083086B">
      <w:r>
        <w:t>After considering the strength of the available evidence in relation to comparative safety, clinical effectiveness and cost-effectiveness, MSAC supported the creation of new Medicare Benefits Schedule (MBS) items for germline genomic testing for inherited cardiac arrhythmias or channelopathies, based on the available evidence for comparative safety, clinical effect</w:t>
      </w:r>
      <w:r w:rsidR="0083086B">
        <w:t>iveness and cost-effectiveness.</w:t>
      </w:r>
    </w:p>
    <w:p w14:paraId="08BFE3B8" w14:textId="19BE4347" w:rsidR="00766CA7" w:rsidRDefault="00766CA7" w:rsidP="00754CF9">
      <w:pPr>
        <w:spacing w:before="240" w:after="240"/>
      </w:pPr>
      <w:r>
        <w:t xml:space="preserve">MSAC supported new items for testing of affected individuals, as well as cascade testing in biological relatives of those affected individuals who </w:t>
      </w:r>
      <w:r w:rsidR="0083086B">
        <w:t xml:space="preserve">receive </w:t>
      </w:r>
      <w:r>
        <w:t>a</w:t>
      </w:r>
      <w:r w:rsidR="0083086B">
        <w:t xml:space="preserve"> positive</w:t>
      </w:r>
      <w:r>
        <w:t xml:space="preserve"> genetic diagnosis. MSAC considered that the value of testing mainly arose from superior outcomes following cascade testing. MSAC also supported new items for reproductive partner testing for genes with autosomal recessive inheritance, and for </w:t>
      </w:r>
      <w:r w:rsidR="00657221">
        <w:t xml:space="preserve">subsequent </w:t>
      </w:r>
      <w:r>
        <w:t>re</w:t>
      </w:r>
      <w:r>
        <w:noBreakHyphen/>
        <w:t>analysis following a negative result of an affected individual if a virtual panel has been used on an exome background. MSAC recommended that utilisation of all these items should be reviewed after 2 years.</w:t>
      </w:r>
    </w:p>
    <w:tbl>
      <w:tblPr>
        <w:tblStyle w:val="TableGrid"/>
        <w:tblW w:w="0" w:type="auto"/>
        <w:tblLook w:val="04A0" w:firstRow="1" w:lastRow="0" w:firstColumn="1" w:lastColumn="0" w:noHBand="0" w:noVBand="1"/>
        <w:tblDescription w:val="Consumer summary of MSAC consideration"/>
      </w:tblPr>
      <w:tblGrid>
        <w:gridCol w:w="9016"/>
      </w:tblGrid>
      <w:tr w:rsidR="00754CF9" w14:paraId="456FBBDD" w14:textId="77777777" w:rsidTr="00754CF9">
        <w:trPr>
          <w:tblHeader/>
        </w:trPr>
        <w:tc>
          <w:tcPr>
            <w:tcW w:w="9016" w:type="dxa"/>
          </w:tcPr>
          <w:p w14:paraId="50115ED4" w14:textId="166A224C" w:rsidR="00754CF9" w:rsidRDefault="00754CF9" w:rsidP="00754CF9">
            <w:pPr>
              <w:spacing w:before="120" w:after="120"/>
              <w:rPr>
                <w:b/>
              </w:rPr>
            </w:pPr>
            <w:r w:rsidRPr="00754CF9">
              <w:rPr>
                <w:b/>
              </w:rPr>
              <w:t>Consumer summary</w:t>
            </w:r>
          </w:p>
        </w:tc>
      </w:tr>
      <w:tr w:rsidR="00754CF9" w14:paraId="544F28F1" w14:textId="77777777" w:rsidTr="00754CF9">
        <w:tc>
          <w:tcPr>
            <w:tcW w:w="9016" w:type="dxa"/>
          </w:tcPr>
          <w:p w14:paraId="22A6C176" w14:textId="77777777" w:rsidR="00754CF9" w:rsidRPr="00754CF9" w:rsidRDefault="00754CF9" w:rsidP="00754CF9">
            <w:pPr>
              <w:spacing w:before="120"/>
            </w:pPr>
            <w:r w:rsidRPr="00754CF9">
              <w:t>The Royal College of Pathologists of Australasia (RCPA) applied for public funding via the Medicare Benefits Schedule (MBS) for genetic testing for certain inherited heart rhythm problems.</w:t>
            </w:r>
          </w:p>
          <w:p w14:paraId="7258888E" w14:textId="77777777" w:rsidR="00754CF9" w:rsidRPr="00754CF9" w:rsidRDefault="00754CF9" w:rsidP="00754CF9">
            <w:pPr>
              <w:spacing w:before="240"/>
            </w:pPr>
            <w:r w:rsidRPr="00754CF9">
              <w:lastRenderedPageBreak/>
              <w:t>These problems include long QT syndrome, Brugada syndrome and catecholaminergic polymorphic ventricular tachycardia. In people with these problems, their heart can suddenly stop beating or they can die suddenly.</w:t>
            </w:r>
          </w:p>
          <w:p w14:paraId="497BB4BC" w14:textId="77777777" w:rsidR="00754CF9" w:rsidRPr="00754CF9" w:rsidRDefault="00754CF9" w:rsidP="00754CF9">
            <w:r w:rsidRPr="00754CF9">
              <w:t>This application involves testing a group of 20 genes that are known to be involved in inherited heart problems. The test is for people who could be at risk of having one of these heart conditions, perhaps because a family member develops heart symptoms. If the test shows a genetic variant related to one of these conditions, then their close family members may also be recommended to get tested, even if they don’t have symptoms. This is called cascade testing. Cascade testing allows people to make more informed health and family planning decisions.</w:t>
            </w:r>
          </w:p>
          <w:p w14:paraId="29D16199" w14:textId="77777777" w:rsidR="00754CF9" w:rsidRPr="00754CF9" w:rsidRDefault="00754CF9" w:rsidP="00754CF9">
            <w:pPr>
              <w:spacing w:before="240"/>
            </w:pPr>
            <w:r w:rsidRPr="00754CF9">
              <w:t>The main advantage of genetic testing is to find genetic variants in family members so that they can be monitored, or start treatment earlier. Earlier treatment can save their life. Family members who do not have the genetic variant do not need to be monitored or treated. This testing is also cost-effective for the health system.</w:t>
            </w:r>
          </w:p>
          <w:p w14:paraId="6099E121" w14:textId="77777777" w:rsidR="00754CF9" w:rsidRPr="00754CF9" w:rsidRDefault="00754CF9" w:rsidP="00754CF9">
            <w:pPr>
              <w:spacing w:before="240"/>
            </w:pPr>
            <w:r w:rsidRPr="00754CF9">
              <w:t>People with some gene variants who are planning on having children will be advised to consider testing for their reproductive partner too. The need for this testing depends on the type of gene and how it is inherited.</w:t>
            </w:r>
          </w:p>
          <w:p w14:paraId="0A5E91D3" w14:textId="77777777" w:rsidR="00754CF9" w:rsidRPr="00754CF9" w:rsidRDefault="00754CF9" w:rsidP="00754CF9">
            <w:pPr>
              <w:spacing w:before="240"/>
            </w:pPr>
            <w:r w:rsidRPr="00754CF9">
              <w:t>New genes are often being discovered, and may be added in the future to the group of genes tested. Pathology laboratories can sequence the patient’s whole exome (all of a person’s genetic makeup), and reanalyse the same data later as new genes are identified.</w:t>
            </w:r>
          </w:p>
          <w:p w14:paraId="690CEF2B" w14:textId="77777777" w:rsidR="00754CF9" w:rsidRPr="00754CF9" w:rsidRDefault="00754CF9" w:rsidP="00754CF9">
            <w:pPr>
              <w:spacing w:before="240"/>
              <w:rPr>
                <w:b/>
              </w:rPr>
            </w:pPr>
            <w:r w:rsidRPr="00754CF9">
              <w:rPr>
                <w:b/>
              </w:rPr>
              <w:t>MSAC’s advice to the Commonwealth Minister for Health</w:t>
            </w:r>
          </w:p>
          <w:p w14:paraId="6A86E6BF" w14:textId="30402235" w:rsidR="00754CF9" w:rsidRPr="00754CF9" w:rsidRDefault="00754CF9" w:rsidP="00754CF9">
            <w:pPr>
              <w:spacing w:before="120" w:after="120"/>
            </w:pPr>
            <w:r w:rsidRPr="00754CF9">
              <w:t>The Medical Services Advisory Committee (MSAC) recommended that genetic testing for 20 genes involved in inherited heart conditions be listed on the MBS. MBS items should address initial testing, cascade testing, reproductive partner testing and data reanalysis as new genes are identified. MSAC considered that this type of genetic testing is accurate, results in benefits for the consumer and is cost-effective.</w:t>
            </w:r>
          </w:p>
        </w:tc>
      </w:tr>
    </w:tbl>
    <w:p w14:paraId="5A7FD0EA" w14:textId="77777777" w:rsidR="00550354" w:rsidRPr="00F715D1" w:rsidRDefault="00550354" w:rsidP="00F715D1">
      <w:pPr>
        <w:pStyle w:val="Heading1"/>
      </w:pPr>
      <w:r w:rsidRPr="00F715D1">
        <w:lastRenderedPageBreak/>
        <w:t xml:space="preserve">Summary of consideration and rationale for MSAC’s advice </w:t>
      </w:r>
    </w:p>
    <w:p w14:paraId="33DCA143" w14:textId="3A96832A" w:rsidR="00290F17" w:rsidRDefault="00290F17" w:rsidP="00290F17">
      <w:r>
        <w:t xml:space="preserve">MSAC noted that </w:t>
      </w:r>
      <w:r w:rsidR="0033133F">
        <w:t>a</w:t>
      </w:r>
      <w:r>
        <w:t xml:space="preserve">pplication 1598 </w:t>
      </w:r>
      <w:r w:rsidR="0033133F">
        <w:t>i</w:t>
      </w:r>
      <w:r>
        <w:t xml:space="preserve">s for MBS listing of </w:t>
      </w:r>
      <w:r w:rsidR="0033133F">
        <w:t xml:space="preserve">genetic </w:t>
      </w:r>
      <w:r>
        <w:t xml:space="preserve">testing </w:t>
      </w:r>
      <w:r w:rsidR="0033133F">
        <w:t xml:space="preserve">for variants in a panel of </w:t>
      </w:r>
      <w:r>
        <w:t>20 genes implicated in inherited cardiac arrhythmias or channelopathies.</w:t>
      </w:r>
    </w:p>
    <w:p w14:paraId="123174F0" w14:textId="5CDFC464" w:rsidR="00290F17" w:rsidRDefault="00290F17" w:rsidP="00754CF9">
      <w:pPr>
        <w:spacing w:before="240"/>
      </w:pPr>
      <w:r>
        <w:t xml:space="preserve">MSAC noted the clinical claim is that testing clinically affected individuals helps to estimate their predisposition for further disease and to identify the pathogenic variant for cascade testing. Where appropriate, cascade testing would then be offered to asymptomatic family members to detect their future risk of developing the disease. </w:t>
      </w:r>
    </w:p>
    <w:p w14:paraId="0E204F12" w14:textId="5628BEE4" w:rsidR="00290F17" w:rsidRDefault="00290F17" w:rsidP="00754CF9">
      <w:pPr>
        <w:spacing w:before="240"/>
      </w:pPr>
      <w:r>
        <w:t xml:space="preserve">MSAC noted that genetic testing for inherited cardiac arrhythmias and channelopathies is already standard practice in genetic/cardiac genetic clinics, and not having an MBS item for such testing may result in </w:t>
      </w:r>
      <w:r w:rsidR="00115B94">
        <w:t xml:space="preserve">issues of equity of </w:t>
      </w:r>
      <w:r>
        <w:t>access for some people. MSAC also noted that such testing is recommended in clinical guidelines.</w:t>
      </w:r>
    </w:p>
    <w:p w14:paraId="08860ED4" w14:textId="1F83206D" w:rsidR="00290F17" w:rsidRDefault="00290F17" w:rsidP="00754CF9">
      <w:pPr>
        <w:spacing w:before="240"/>
      </w:pPr>
      <w:r>
        <w:t xml:space="preserve">MSAC supported the creation of an MBS item for genetic testing in the reproductive partners of probands, </w:t>
      </w:r>
      <w:r w:rsidR="00C31F5D">
        <w:t xml:space="preserve">restricted to </w:t>
      </w:r>
      <w:r>
        <w:t xml:space="preserve">syndromes that have autosomal recessive inheritance patterns. </w:t>
      </w:r>
      <w:r>
        <w:lastRenderedPageBreak/>
        <w:t xml:space="preserve">MSAC noted that this type of genetic testing could inform reproductive decision-making, as testing for arrhythmia genes is clinically indicated for </w:t>
      </w:r>
      <w:r w:rsidR="00C31F5D">
        <w:t xml:space="preserve">those </w:t>
      </w:r>
      <w:r>
        <w:t xml:space="preserve">genes with autosomal recessive inheritance and that have the potential to result in severe disease in children. MSAC noted the </w:t>
      </w:r>
      <w:r w:rsidR="00D0237E">
        <w:t xml:space="preserve">applicant’s </w:t>
      </w:r>
      <w:r>
        <w:t xml:space="preserve">support in the pre-MSAC response for an additional item for embryo or fetus testing. </w:t>
      </w:r>
      <w:r w:rsidR="0061459D" w:rsidRPr="0061459D">
        <w:t>MSAC considered that testing of reproductive partners should be single gene sequencing for the gene in which their partner has a variant, and should not be the full panel test, which is intended only for affected individuals</w:t>
      </w:r>
      <w:r w:rsidR="00CE1FA9" w:rsidRPr="00CE1FA9">
        <w:t>.</w:t>
      </w:r>
    </w:p>
    <w:p w14:paraId="3029E3E3" w14:textId="61C52633" w:rsidR="00290F17" w:rsidRDefault="00290F17" w:rsidP="00754CF9">
      <w:pPr>
        <w:pStyle w:val="NormalBeforeBullet"/>
        <w:spacing w:before="240"/>
      </w:pPr>
      <w:r>
        <w:t xml:space="preserve">MSAC considered it could be beneficial to </w:t>
      </w:r>
      <w:r w:rsidR="00D0237E">
        <w:t xml:space="preserve">create </w:t>
      </w:r>
      <w:r>
        <w:t>a new item to reanalyse stored data, to look for changes in newly recognised genes associated with the phenotype</w:t>
      </w:r>
      <w:r w:rsidR="00DF1163">
        <w:t xml:space="preserve"> that were not tested for initially</w:t>
      </w:r>
      <w:r>
        <w:t>. However</w:t>
      </w:r>
      <w:r w:rsidR="008B4B6A">
        <w:t>,</w:t>
      </w:r>
      <w:r>
        <w:t xml:space="preserve"> MSAC noted that this will only be possible if virtual panel testing has been performed on an exome background. MSAC encouraged this approach – as it is more cost-effective in the long term – by suggesting restricting item claiming to once per lifetime and adding the following explanatory note:</w:t>
      </w:r>
    </w:p>
    <w:p w14:paraId="52183D1A" w14:textId="77777777" w:rsidR="00290F17" w:rsidRDefault="00290F17" w:rsidP="00290F17">
      <w:pPr>
        <w:pStyle w:val="Quote"/>
      </w:pPr>
      <w:r>
        <w:t>The rapidly expanding field of genomic medicine has resulted in recognition of an increasing number of genetic causes of cardiac diseases. Genomic testing methods that permit reanalysis of existing data for variants in newly described clinically relevant genes are recommended/encouraged.</w:t>
      </w:r>
    </w:p>
    <w:p w14:paraId="4A44826E" w14:textId="3048224E" w:rsidR="00290F17" w:rsidRDefault="00290F17" w:rsidP="00290F17">
      <w:r>
        <w:t xml:space="preserve">MSAC noted that if amplicon-based testing (which only sequences the genes of current interest) is performed, </w:t>
      </w:r>
      <w:r w:rsidR="00D0237E">
        <w:t xml:space="preserve">then </w:t>
      </w:r>
      <w:r>
        <w:t xml:space="preserve">other genes will not be able to be </w:t>
      </w:r>
      <w:r w:rsidR="00D0237E">
        <w:t xml:space="preserve">analysed </w:t>
      </w:r>
      <w:r w:rsidR="001154C5">
        <w:t xml:space="preserve">at a </w:t>
      </w:r>
      <w:r>
        <w:t>later</w:t>
      </w:r>
      <w:r w:rsidR="001154C5">
        <w:t xml:space="preserve"> time-point </w:t>
      </w:r>
      <w:r>
        <w:t xml:space="preserve">MSAC also noted that </w:t>
      </w:r>
      <w:r w:rsidR="00D0237E">
        <w:t xml:space="preserve">utilisation of </w:t>
      </w:r>
      <w:r>
        <w:t>this reanalysis item would have to be reviewed</w:t>
      </w:r>
      <w:r w:rsidR="00232C1C">
        <w:t xml:space="preserve"> over time</w:t>
      </w:r>
      <w:r>
        <w:t>, as genetic reanalysis is usually only recommended for childhood syndromes.</w:t>
      </w:r>
    </w:p>
    <w:p w14:paraId="34549931" w14:textId="6C7212FB" w:rsidR="00290F17" w:rsidRDefault="00290F17" w:rsidP="00754CF9">
      <w:pPr>
        <w:spacing w:before="240"/>
      </w:pPr>
      <w:r>
        <w:t xml:space="preserve">MSAC noted the likelihood for leakage, and recommended that the item descriptors need to include additional information that emphasises that testing should only be recommended for people who have clinical evidence </w:t>
      </w:r>
      <w:r w:rsidR="00115B94">
        <w:t xml:space="preserve">that is suggestive </w:t>
      </w:r>
      <w:r>
        <w:t xml:space="preserve">of inherited cardiac arrhythmias or channelopathies, or if a multidisciplinary team has reviewed the case and recommended genetic testing. </w:t>
      </w:r>
    </w:p>
    <w:p w14:paraId="23DA4AFA" w14:textId="013355F6" w:rsidR="00D0237E" w:rsidRDefault="00290F17" w:rsidP="00754CF9">
      <w:pPr>
        <w:spacing w:before="240"/>
      </w:pPr>
      <w:r>
        <w:t xml:space="preserve">MSAC noted that genetic testing has non-inferior safety and non-inferior effectiveness in </w:t>
      </w:r>
      <w:r w:rsidR="00D0237E">
        <w:t>affected individuals</w:t>
      </w:r>
      <w:r>
        <w:t xml:space="preserve">, but non-inferior safety and superior effectiveness in </w:t>
      </w:r>
      <w:r w:rsidR="00115B94">
        <w:t xml:space="preserve">cascade testing of </w:t>
      </w:r>
      <w:r>
        <w:t>family members.</w:t>
      </w:r>
    </w:p>
    <w:p w14:paraId="743A49C7" w14:textId="571F58B5" w:rsidR="00290F17" w:rsidRDefault="00290F17" w:rsidP="00754CF9">
      <w:pPr>
        <w:spacing w:before="240"/>
      </w:pPr>
      <w:r>
        <w:t xml:space="preserve">MSAC noted the clinical validity of the genetic testing, and that individuals with definite LQTS (defined clinically) were 10 times more likely to have at least one variant in the </w:t>
      </w:r>
      <w:r>
        <w:rPr>
          <w:rStyle w:val="Emphasis"/>
        </w:rPr>
        <w:t>KCNQ1</w:t>
      </w:r>
      <w:r>
        <w:t xml:space="preserve">, </w:t>
      </w:r>
      <w:r>
        <w:rPr>
          <w:rStyle w:val="Emphasis"/>
        </w:rPr>
        <w:t>KCNH2</w:t>
      </w:r>
      <w:r>
        <w:t xml:space="preserve"> </w:t>
      </w:r>
      <w:r w:rsidR="00D0237E">
        <w:t xml:space="preserve">or </w:t>
      </w:r>
      <w:r>
        <w:rPr>
          <w:rStyle w:val="Emphasis"/>
        </w:rPr>
        <w:t>SCN5A</w:t>
      </w:r>
      <w:r>
        <w:t xml:space="preserve"> genes than healthy controls</w:t>
      </w:r>
      <w:r w:rsidR="00D0237E">
        <w:rPr>
          <w:rStyle w:val="FootnoteReference"/>
        </w:rPr>
        <w:footnoteReference w:id="2"/>
      </w:r>
      <w:r>
        <w:t>. MSAC noted that no studies were informative about the accuracy of genetic testing against a clinical reference standard. However, MSAC considered that genotype may not correlate with disease status due to incomplete penetrance.</w:t>
      </w:r>
    </w:p>
    <w:p w14:paraId="141E04EC" w14:textId="00680F7D" w:rsidR="00290F17" w:rsidRDefault="00290F17" w:rsidP="00754CF9">
      <w:pPr>
        <w:spacing w:before="240"/>
      </w:pPr>
      <w:r>
        <w:t xml:space="preserve">MSAC noted that genetic testing helped to reclassify patients: 4.4% (k = 5, 10/229) of </w:t>
      </w:r>
      <w:r w:rsidR="00D0237E">
        <w:t xml:space="preserve">patients with </w:t>
      </w:r>
      <w:r>
        <w:t xml:space="preserve">“LQTS” were reclassified as CPVT; and 7.1% (k = 3, 4/56) of </w:t>
      </w:r>
      <w:r w:rsidR="00D0237E">
        <w:t xml:space="preserve">patients with </w:t>
      </w:r>
      <w:r>
        <w:t>“CPVT” were reclassified as</w:t>
      </w:r>
      <w:r w:rsidR="001743FA">
        <w:t xml:space="preserve"> having</w:t>
      </w:r>
      <w:r>
        <w:t xml:space="preserve"> LQT5 or LQT7 after genetic testing. MSAC acknowledged that </w:t>
      </w:r>
      <w:r w:rsidR="001743FA">
        <w:t xml:space="preserve">for some of the genes </w:t>
      </w:r>
      <w:r>
        <w:t xml:space="preserve">identifying the pathogenic variant in the </w:t>
      </w:r>
      <w:r w:rsidR="00D0237E">
        <w:t xml:space="preserve">affected individual </w:t>
      </w:r>
      <w:r>
        <w:t>can assist clinicians with prognoses.</w:t>
      </w:r>
    </w:p>
    <w:p w14:paraId="116A99B4" w14:textId="39B4595F" w:rsidR="00290F17" w:rsidRDefault="00290F17" w:rsidP="00754CF9">
      <w:pPr>
        <w:spacing w:before="240"/>
      </w:pPr>
      <w:r>
        <w:t xml:space="preserve">MSAC noted the main clinical </w:t>
      </w:r>
      <w:r w:rsidR="001743FA">
        <w:t>utility</w:t>
      </w:r>
      <w:r>
        <w:t xml:space="preserve"> comes from the cascade testing, as identification of genotype-positive family members allows early and targeted treatment, and identification of </w:t>
      </w:r>
      <w:r>
        <w:lastRenderedPageBreak/>
        <w:t>genotype-negative family members provides reassurance and enables avoidance of lifelong clinical surveillance and unnecessary prophylaxis.</w:t>
      </w:r>
    </w:p>
    <w:p w14:paraId="624DF8C0" w14:textId="31E785DB" w:rsidR="00290F17" w:rsidRDefault="00290F17" w:rsidP="00754CF9">
      <w:pPr>
        <w:spacing w:before="240"/>
      </w:pPr>
      <w:r>
        <w:t xml:space="preserve">MSAC considered the testing to likely be cost-effective – albeit with uncertain incremental cost-effectiveness ratios (ICERs) – provided that the initial diagnostic testing is restricted to </w:t>
      </w:r>
      <w:r w:rsidR="00D0237E">
        <w:t xml:space="preserve">affected individuals </w:t>
      </w:r>
      <w:r>
        <w:t>with definite</w:t>
      </w:r>
      <w:r w:rsidR="00D0237E">
        <w:t xml:space="preserve"> or </w:t>
      </w:r>
      <w:r>
        <w:t xml:space="preserve">probable inherited cardiac arrhythmia syndromes and other assumptions. However, MSAC considered the 40-year time horizon used in the economic model to be unrealistic, and considered 20 years to be more appropriate. However, MSAC did not consider this discrepancy to </w:t>
      </w:r>
      <w:r w:rsidR="00C31F5D">
        <w:t xml:space="preserve">materially </w:t>
      </w:r>
      <w:r>
        <w:t>affect the cost-effectiveness.</w:t>
      </w:r>
    </w:p>
    <w:p w14:paraId="644CCAC5" w14:textId="182171A3" w:rsidR="00290F17" w:rsidRDefault="00290F17" w:rsidP="00754CF9">
      <w:pPr>
        <w:pStyle w:val="NormalBeforeBullet"/>
        <w:spacing w:before="240"/>
      </w:pPr>
      <w:r>
        <w:t>Although there is a risk of leakage, MSAC acknowledged that the listing would have small overall financial impact, and that reviewing the item</w:t>
      </w:r>
      <w:r w:rsidR="00D0237E">
        <w:t>s</w:t>
      </w:r>
      <w:r>
        <w:t xml:space="preserve"> in </w:t>
      </w:r>
      <w:r w:rsidR="00D0237E">
        <w:t>two</w:t>
      </w:r>
      <w:r>
        <w:t xml:space="preserve"> years would help to identify item usage and thus leakage. MSAC recommended the following be considered at the 2-year review:</w:t>
      </w:r>
    </w:p>
    <w:p w14:paraId="710BCC6B" w14:textId="04254086" w:rsidR="00290F17" w:rsidRDefault="00290F17" w:rsidP="00290F17">
      <w:pPr>
        <w:pStyle w:val="Bullet"/>
        <w:numPr>
          <w:ilvl w:val="0"/>
          <w:numId w:val="29"/>
        </w:numPr>
        <w:ind w:left="720"/>
      </w:pPr>
      <w:r>
        <w:t xml:space="preserve">What is the </w:t>
      </w:r>
      <w:r w:rsidR="00DF1163">
        <w:t>diagnostic yield</w:t>
      </w:r>
      <w:r>
        <w:t xml:space="preserve"> for the diagnostic test</w:t>
      </w:r>
      <w:r w:rsidR="004C5E14">
        <w:t xml:space="preserve"> in affected individuals</w:t>
      </w:r>
      <w:r w:rsidR="00252617">
        <w:t xml:space="preserve"> offered and proceeding with testing</w:t>
      </w:r>
      <w:r>
        <w:t>? (The economic model assumed it to be 26%; MSAC considered that it should be at least 20%)</w:t>
      </w:r>
    </w:p>
    <w:p w14:paraId="6CAE1171" w14:textId="0E30F836" w:rsidR="00290F17" w:rsidRDefault="00290F17" w:rsidP="00290F17">
      <w:pPr>
        <w:pStyle w:val="Bullet"/>
        <w:numPr>
          <w:ilvl w:val="0"/>
          <w:numId w:val="29"/>
        </w:numPr>
        <w:ind w:left="720"/>
      </w:pPr>
      <w:r>
        <w:t xml:space="preserve">How many relatives access </w:t>
      </w:r>
      <w:r w:rsidR="001743FA">
        <w:t xml:space="preserve">cascade </w:t>
      </w:r>
      <w:r>
        <w:t>testing if the genetic variant</w:t>
      </w:r>
      <w:r w:rsidR="001743FA">
        <w:t xml:space="preserve"> in their family</w:t>
      </w:r>
      <w:r>
        <w:t xml:space="preserve"> is identified? (MSAC acknowledged there might not be enough data for this within 2 years.)</w:t>
      </w:r>
    </w:p>
    <w:p w14:paraId="6CDFFD88" w14:textId="2E323207" w:rsidR="00290F17" w:rsidRDefault="00290F17" w:rsidP="00290F17">
      <w:pPr>
        <w:pStyle w:val="Bullet"/>
        <w:numPr>
          <w:ilvl w:val="0"/>
          <w:numId w:val="29"/>
        </w:numPr>
        <w:ind w:left="720"/>
      </w:pPr>
      <w:r>
        <w:t xml:space="preserve">What is the diagnostic yield in the standard setting versus an adjudicated model? (This would require </w:t>
      </w:r>
      <w:r w:rsidR="004C5E14">
        <w:t xml:space="preserve">analysis of </w:t>
      </w:r>
      <w:r>
        <w:t>laboratory reports.)</w:t>
      </w:r>
    </w:p>
    <w:p w14:paraId="680E3062" w14:textId="2155BC9F" w:rsidR="00290F17" w:rsidRDefault="00290F17" w:rsidP="00290F17">
      <w:pPr>
        <w:pStyle w:val="BulletLast"/>
        <w:numPr>
          <w:ilvl w:val="0"/>
          <w:numId w:val="29"/>
        </w:numPr>
        <w:ind w:left="720"/>
      </w:pPr>
      <w:r>
        <w:t>What is the change in clinical practice after a positive or negative result? (MSAC considered this important</w:t>
      </w:r>
      <w:r w:rsidR="004C5E14">
        <w:t xml:space="preserve"> as a negative test may not always lead to a decision to release an unaffected relative from monitoring, and</w:t>
      </w:r>
      <w:r>
        <w:t xml:space="preserve"> to address the uncertain ICERs.)</w:t>
      </w:r>
    </w:p>
    <w:p w14:paraId="08446780" w14:textId="51A368FC" w:rsidR="00290F17" w:rsidRDefault="00290F17" w:rsidP="00290F17">
      <w:r>
        <w:t xml:space="preserve">MSAC </w:t>
      </w:r>
      <w:r w:rsidR="006012C2">
        <w:t>suggested</w:t>
      </w:r>
      <w:r>
        <w:t xml:space="preserve"> the Medical Research Future Fund (MRFF) </w:t>
      </w:r>
      <w:r w:rsidR="006012C2">
        <w:t>may be a possible funding source</w:t>
      </w:r>
      <w:r>
        <w:t xml:space="preserve"> to review the implementation strategy for this genetic testing and for the data collection, and recommended that the Department investigate this as an option. If the MRFF investigated this aspect of the review, it would be responsible for establishing a diagnostic yield methodology.</w:t>
      </w:r>
    </w:p>
    <w:p w14:paraId="08E9D91D" w14:textId="495B88DE" w:rsidR="0033133F" w:rsidRDefault="00290F17" w:rsidP="00754CF9">
      <w:pPr>
        <w:spacing w:before="240"/>
      </w:pPr>
      <w:r>
        <w:t xml:space="preserve">Although MSAC recommended this genetic testing for MBS listing, it acknowledged that out-of-session work with the Department is required regarding the </w:t>
      </w:r>
      <w:r w:rsidR="004B392A">
        <w:t xml:space="preserve">MBS item </w:t>
      </w:r>
      <w:r>
        <w:t>descriptor</w:t>
      </w:r>
      <w:r w:rsidR="004B392A">
        <w:t>s</w:t>
      </w:r>
      <w:r>
        <w:t>, the need for genetic counselling</w:t>
      </w:r>
      <w:r w:rsidR="004B392A">
        <w:t>,</w:t>
      </w:r>
      <w:r>
        <w:t xml:space="preserve"> and the possible involvement of the </w:t>
      </w:r>
      <w:r w:rsidR="00BA2341">
        <w:t>MRFF</w:t>
      </w:r>
      <w:r>
        <w:t>.</w:t>
      </w:r>
    </w:p>
    <w:p w14:paraId="3E44D038" w14:textId="3A3C4C5C" w:rsidR="0033133F" w:rsidRDefault="009F5CC9" w:rsidP="00754CF9">
      <w:pPr>
        <w:spacing w:before="240"/>
      </w:pPr>
      <w:r>
        <w:t xml:space="preserve">Proposed </w:t>
      </w:r>
      <w:r w:rsidR="00EA08DC">
        <w:t>d</w:t>
      </w:r>
      <w:r w:rsidR="00780BBF">
        <w:t>escriptors for t</w:t>
      </w:r>
      <w:r w:rsidR="0033133F">
        <w:t xml:space="preserve">he MBS items supported by MSAC </w:t>
      </w:r>
      <w:r w:rsidR="00780BBF">
        <w:t>for affected individual testing (</w:t>
      </w:r>
      <w:r w:rsidR="002C6DB1">
        <w:fldChar w:fldCharType="begin"/>
      </w:r>
      <w:r w:rsidR="002C6DB1">
        <w:instrText xml:space="preserve"> REF _Ref46132829 </w:instrText>
      </w:r>
      <w:r w:rsidR="002C6DB1">
        <w:fldChar w:fldCharType="separate"/>
      </w:r>
      <w:r w:rsidR="00866607" w:rsidRPr="00A94364">
        <w:t>Table 1</w:t>
      </w:r>
      <w:r w:rsidR="002C6DB1">
        <w:fldChar w:fldCharType="end"/>
      </w:r>
      <w:r w:rsidR="00780BBF">
        <w:t>) and cascade testing (</w:t>
      </w:r>
      <w:r w:rsidR="002C6DB1">
        <w:fldChar w:fldCharType="begin"/>
      </w:r>
      <w:r w:rsidR="002C6DB1">
        <w:instrText xml:space="preserve"> REF _Ref23410243 </w:instrText>
      </w:r>
      <w:r w:rsidR="002C6DB1">
        <w:fldChar w:fldCharType="separate"/>
      </w:r>
      <w:r w:rsidR="00866607" w:rsidRPr="00A94364">
        <w:t>Table 2</w:t>
      </w:r>
      <w:r w:rsidR="002C6DB1">
        <w:fldChar w:fldCharType="end"/>
      </w:r>
      <w:r w:rsidR="00780BBF">
        <w:t>) are provided in subsequent sections of this document.</w:t>
      </w:r>
      <w:r w:rsidR="0024671F" w:rsidRPr="0024671F">
        <w:t xml:space="preserve"> MSAC supported the modification of the MBS descriptors for both item numbers.</w:t>
      </w:r>
      <w:r w:rsidR="00520DC0">
        <w:t xml:space="preserve"> Item descriptors for reproductive partner testing</w:t>
      </w:r>
      <w:r w:rsidR="00A33430">
        <w:t xml:space="preserve"> for genes with autosomal recessive inheritance</w:t>
      </w:r>
      <w:r w:rsidR="00CF2F45">
        <w:t>,</w:t>
      </w:r>
      <w:r w:rsidR="00520DC0">
        <w:t xml:space="preserve"> and </w:t>
      </w:r>
      <w:r w:rsidR="00CF2F45">
        <w:t xml:space="preserve">for </w:t>
      </w:r>
      <w:r w:rsidR="00520DC0">
        <w:t>reanalysis of stored exome data</w:t>
      </w:r>
      <w:r w:rsidR="00CF2F45">
        <w:t>,</w:t>
      </w:r>
      <w:r w:rsidR="00520DC0">
        <w:t xml:space="preserve"> are to be developed during implementation.</w:t>
      </w:r>
    </w:p>
    <w:p w14:paraId="70F4BA66" w14:textId="77777777" w:rsidR="00BC1364" w:rsidRPr="00F715D1" w:rsidRDefault="00BC1364" w:rsidP="00F715D1">
      <w:pPr>
        <w:pStyle w:val="Heading1"/>
      </w:pPr>
      <w:r w:rsidRPr="00F715D1">
        <w:t>Background</w:t>
      </w:r>
    </w:p>
    <w:p w14:paraId="779FD4E3" w14:textId="77777777" w:rsidR="00FD04F7" w:rsidRDefault="00FD04F7" w:rsidP="00FD04F7">
      <w:r>
        <w:t xml:space="preserve">In November 2010, the Pathology Services Table Committee (PSTC) lodged </w:t>
      </w:r>
      <w:r w:rsidRPr="00962C88">
        <w:t xml:space="preserve">MSAC </w:t>
      </w:r>
      <w:hyperlink r:id="rId10" w:history="1">
        <w:r>
          <w:rPr>
            <w:rStyle w:val="Hyperlink"/>
          </w:rPr>
          <w:t>a</w:t>
        </w:r>
        <w:r w:rsidRPr="00EF7B0D">
          <w:rPr>
            <w:rStyle w:val="Hyperlink"/>
          </w:rPr>
          <w:t>pplication 1151</w:t>
        </w:r>
      </w:hyperlink>
      <w:r w:rsidRPr="00962C88">
        <w:t xml:space="preserve">, </w:t>
      </w:r>
      <w:r>
        <w:t>requesting public funding for testing of six genes associated with long-QT syndrome</w:t>
      </w:r>
      <w:r w:rsidRPr="00EF7B0D">
        <w:t xml:space="preserve"> </w:t>
      </w:r>
      <w:r>
        <w:t xml:space="preserve">(LQTS; genes </w:t>
      </w:r>
      <w:r w:rsidRPr="00EF7B0D">
        <w:rPr>
          <w:i/>
        </w:rPr>
        <w:t>KCNE1, KCNE2, KCNH2, KCNJ2, KCNQ1</w:t>
      </w:r>
      <w:r w:rsidRPr="00EF7B0D">
        <w:t xml:space="preserve"> and </w:t>
      </w:r>
      <w:r w:rsidRPr="00EF7B0D">
        <w:rPr>
          <w:i/>
        </w:rPr>
        <w:t>SCN5A</w:t>
      </w:r>
      <w:r>
        <w:t xml:space="preserve">) in symptomatic patients and asymptomatic first- and second-degree relatives. This application </w:t>
      </w:r>
      <w:r w:rsidRPr="00962C88">
        <w:t xml:space="preserve">was considered </w:t>
      </w:r>
      <w:r w:rsidRPr="00962C88">
        <w:lastRenderedPageBreak/>
        <w:t>by PASC in February and April 2011, and</w:t>
      </w:r>
      <w:r>
        <w:t xml:space="preserve"> then by ESC in February 2012.</w:t>
      </w:r>
      <w:r w:rsidRPr="002069E8">
        <w:t xml:space="preserve"> </w:t>
      </w:r>
      <w:r>
        <w:t>ESC advised that there were</w:t>
      </w:r>
      <w:r w:rsidRPr="002069E8">
        <w:t xml:space="preserve"> several uncertainties, particularly pertaining to the proposed item descriptor and fee for symptomatic patients</w:t>
      </w:r>
      <w:r>
        <w:t xml:space="preserve">. </w:t>
      </w:r>
      <w:r w:rsidRPr="00AC42CF">
        <w:t>As the PSTC disbanded, the RCPA agreed in March 2013 to become the applicant</w:t>
      </w:r>
      <w:r>
        <w:t xml:space="preserve">. The RCPA </w:t>
      </w:r>
      <w:r w:rsidRPr="00AC42CF">
        <w:t xml:space="preserve">advised on 11 February 2014 that they would like to place application </w:t>
      </w:r>
      <w:r>
        <w:t xml:space="preserve">1151 </w:t>
      </w:r>
      <w:r w:rsidRPr="00AC42CF">
        <w:t>on hold</w:t>
      </w:r>
      <w:r>
        <w:t>,</w:t>
      </w:r>
      <w:r w:rsidRPr="00AC42CF">
        <w:t xml:space="preserve"> as new technologies are now available</w:t>
      </w:r>
      <w:r>
        <w:t>.</w:t>
      </w:r>
    </w:p>
    <w:p w14:paraId="2337264F" w14:textId="1D446C99" w:rsidR="00FD04F7" w:rsidRDefault="00FD04F7" w:rsidP="00FD04F7">
      <w:r w:rsidRPr="00962C88">
        <w:t xml:space="preserve">Application 1598 </w:t>
      </w:r>
      <w:r>
        <w:t>builds</w:t>
      </w:r>
      <w:r w:rsidRPr="00962C88">
        <w:t xml:space="preserve"> significantly </w:t>
      </w:r>
      <w:r>
        <w:t xml:space="preserve">on application 1511, </w:t>
      </w:r>
      <w:r w:rsidRPr="00962C88">
        <w:t>as it includes additional genes</w:t>
      </w:r>
      <w:r>
        <w:t>,</w:t>
      </w:r>
      <w:r w:rsidRPr="00962C88">
        <w:t xml:space="preserve"> and </w:t>
      </w:r>
      <w:r>
        <w:t>wa</w:t>
      </w:r>
      <w:r w:rsidRPr="00962C88">
        <w:t>s s</w:t>
      </w:r>
      <w:r>
        <w:t xml:space="preserve">ubmitted </w:t>
      </w:r>
      <w:r w:rsidRPr="00DE507C">
        <w:t>in</w:t>
      </w:r>
      <w:r>
        <w:t xml:space="preserve"> CUC format, which is designed for use in MSAC applications</w:t>
      </w:r>
      <w:r w:rsidRPr="00DE507C">
        <w:t xml:space="preserve"> related to genetic testing for heritable mutations</w:t>
      </w:r>
      <w:r>
        <w:t>. The CUC format has therefore also been used for application 1598’s DCAR.</w:t>
      </w:r>
    </w:p>
    <w:p w14:paraId="50D43100" w14:textId="0A30778C" w:rsidR="00FD04F7" w:rsidRDefault="00FD04F7" w:rsidP="00754CF9">
      <w:pPr>
        <w:spacing w:before="240"/>
      </w:pPr>
      <w:r>
        <w:t xml:space="preserve">Related is MSAC </w:t>
      </w:r>
      <w:hyperlink r:id="rId11" w:history="1">
        <w:r w:rsidRPr="006164F3">
          <w:rPr>
            <w:rStyle w:val="Hyperlink"/>
          </w:rPr>
          <w:t>application 1599</w:t>
        </w:r>
      </w:hyperlink>
      <w:r>
        <w:t>, for g</w:t>
      </w:r>
      <w:r w:rsidRPr="006164F3">
        <w:t>en</w:t>
      </w:r>
      <w:r>
        <w:t>et</w:t>
      </w:r>
      <w:r w:rsidRPr="006164F3">
        <w:t>ic testing for the diagnosis of heritable cardiomyopathies</w:t>
      </w:r>
      <w:r>
        <w:t xml:space="preserve">. Application 1599 is a CUC format application </w:t>
      </w:r>
      <w:r w:rsidR="00125E3E">
        <w:t>proposed to include</w:t>
      </w:r>
      <w:r>
        <w:t xml:space="preserve"> 24</w:t>
      </w:r>
      <w:r w:rsidR="008B4B6A">
        <w:t> </w:t>
      </w:r>
      <w:r>
        <w:t>genes, of which one (</w:t>
      </w:r>
      <w:r>
        <w:rPr>
          <w:i/>
        </w:rPr>
        <w:t>SCN5A</w:t>
      </w:r>
      <w:r>
        <w:t xml:space="preserve">) overlaps with the genes proposed </w:t>
      </w:r>
      <w:r w:rsidR="00125E3E">
        <w:t>in this application</w:t>
      </w:r>
      <w:r>
        <w:t>.</w:t>
      </w:r>
    </w:p>
    <w:p w14:paraId="7768A1BE" w14:textId="77777777" w:rsidR="00FD04F7" w:rsidRDefault="00FD04F7" w:rsidP="00754CF9">
      <w:pPr>
        <w:spacing w:before="240"/>
      </w:pPr>
      <w:r>
        <w:t>Note the name of this application was changed after consideration by PASC from “Genetic testing for diagnosis of inheritable cardiac rhythm disorders” to “</w:t>
      </w:r>
      <w:r w:rsidRPr="00846D97">
        <w:t>Clinical utility card for genetic testing for diagnosis of inheritable cardiac rhythm disorders</w:t>
      </w:r>
      <w:r>
        <w:t>”, to reflect the decision to use a CUC approach for assessment.</w:t>
      </w:r>
    </w:p>
    <w:p w14:paraId="0411E093" w14:textId="77777777" w:rsidR="00BC1364" w:rsidRPr="00F715D1" w:rsidRDefault="00BC1364" w:rsidP="00F715D1">
      <w:pPr>
        <w:pStyle w:val="Heading1"/>
      </w:pPr>
      <w:r w:rsidRPr="00F715D1">
        <w:t>Prerequisites to implementation of any funding advice</w:t>
      </w:r>
    </w:p>
    <w:p w14:paraId="2485E7C1" w14:textId="2D7CF226" w:rsidR="00FD04F7" w:rsidRDefault="00FD04F7" w:rsidP="00FD04F7">
      <w:r>
        <w:t xml:space="preserve">The DCAR stated that </w:t>
      </w:r>
      <w:r w:rsidRPr="000C6BB2">
        <w:t>this test is already conducted in National Association of Testing Authorities (NATA) accredited Australian laboratories</w:t>
      </w:r>
      <w:r>
        <w:t>,</w:t>
      </w:r>
      <w:r w:rsidRPr="000C6BB2">
        <w:t xml:space="preserve"> and there is an exis</w:t>
      </w:r>
      <w:r>
        <w:t>ting quality assurance program</w:t>
      </w:r>
      <w:r w:rsidRPr="000C6BB2">
        <w:t>.</w:t>
      </w:r>
      <w:r>
        <w:t xml:space="preserve"> This was supported by the statement on application 1598 from the National Pathology Accreditation Advisory Council (NPAAC). The NPAAC further commented that the number of tests would not be expected to be high.</w:t>
      </w:r>
    </w:p>
    <w:p w14:paraId="4018A3EA" w14:textId="512EE13C" w:rsidR="00FD04F7" w:rsidRPr="00582D7E" w:rsidRDefault="00FD04F7" w:rsidP="00754CF9">
      <w:pPr>
        <w:spacing w:before="240"/>
      </w:pPr>
      <w:r>
        <w:t xml:space="preserve">The NPAAC also noted that the item descriptor includes a risk cut-off of 10%, though if this was derived from early restrictions around access to </w:t>
      </w:r>
      <w:r>
        <w:rPr>
          <w:i/>
        </w:rPr>
        <w:t>BRCA</w:t>
      </w:r>
      <w:r>
        <w:t xml:space="preserve"> testing, then </w:t>
      </w:r>
      <w:r w:rsidR="008A6692">
        <w:t>it should</w:t>
      </w:r>
      <w:r>
        <w:t xml:space="preserve"> not be directly transferred to other genetic test</w:t>
      </w:r>
      <w:r w:rsidR="008A6692">
        <w:t>s</w:t>
      </w:r>
      <w:r>
        <w:t>.</w:t>
      </w:r>
      <w:r w:rsidR="00433EF8">
        <w:t xml:space="preserve"> ESC noted that the 10% risk threshold is a standard feature of the CUC</w:t>
      </w:r>
      <w:r w:rsidR="004B6172">
        <w:t>.</w:t>
      </w:r>
    </w:p>
    <w:p w14:paraId="0C5528D2" w14:textId="77777777" w:rsidR="00BC1364" w:rsidRPr="00F715D1" w:rsidRDefault="00BC1364" w:rsidP="00F715D1">
      <w:pPr>
        <w:pStyle w:val="Heading1"/>
      </w:pPr>
      <w:r w:rsidRPr="00F715D1">
        <w:t>Proposal for public funding</w:t>
      </w:r>
    </w:p>
    <w:p w14:paraId="6C24CD15" w14:textId="23312F2C" w:rsidR="00FD04F7" w:rsidRDefault="00FD04F7" w:rsidP="00754CF9">
      <w:pPr>
        <w:spacing w:after="240"/>
      </w:pPr>
      <w:r>
        <w:t xml:space="preserve">The DCAR proposed a </w:t>
      </w:r>
      <w:r w:rsidRPr="000F73CF">
        <w:t>new MBS</w:t>
      </w:r>
      <w:r>
        <w:t xml:space="preserve"> item</w:t>
      </w:r>
      <w:r w:rsidRPr="000F73CF">
        <w:t xml:space="preserve"> descriptor</w:t>
      </w:r>
      <w:r>
        <w:t>, XXXXX,</w:t>
      </w:r>
      <w:r w:rsidRPr="000F73CF">
        <w:t xml:space="preserve"> for testing germline variants in patients with clinical suspicion of inheritable cardiac arrhythmia syndrome </w:t>
      </w:r>
      <w:r>
        <w:t>(</w:t>
      </w:r>
      <w:r w:rsidR="002C6DB1">
        <w:fldChar w:fldCharType="begin"/>
      </w:r>
      <w:r w:rsidR="002C6DB1">
        <w:instrText xml:space="preserve"> REF _Ref46132829  \* MERGEFORMAT </w:instrText>
      </w:r>
      <w:r w:rsidR="002C6DB1">
        <w:fldChar w:fldCharType="separate"/>
      </w:r>
      <w:r w:rsidRPr="00A94364">
        <w:rPr>
          <w:bCs/>
        </w:rPr>
        <w:t>Table 1</w:t>
      </w:r>
      <w:r w:rsidR="002C6DB1">
        <w:rPr>
          <w:bCs/>
        </w:rPr>
        <w:fldChar w:fldCharType="end"/>
      </w:r>
      <w:r>
        <w:t>)</w:t>
      </w:r>
      <w:r w:rsidRPr="000F73CF">
        <w:t>. First and second-degree relatives of patients identified with a familial arrhythmia variant are proposed to have cascade testing under proposed item YYYYY (</w:t>
      </w:r>
      <w:r w:rsidR="002C6DB1">
        <w:fldChar w:fldCharType="begin"/>
      </w:r>
      <w:r w:rsidR="002C6DB1">
        <w:instrText xml:space="preserve"> REF _Ref23410243  \* MERGEFORMAT </w:instrText>
      </w:r>
      <w:r w:rsidR="002C6DB1">
        <w:fldChar w:fldCharType="separate"/>
      </w:r>
      <w:r w:rsidRPr="00A94364">
        <w:rPr>
          <w:bCs/>
        </w:rPr>
        <w:t>Table 2</w:t>
      </w:r>
      <w:r w:rsidR="002C6DB1">
        <w:rPr>
          <w:bCs/>
        </w:rPr>
        <w:fldChar w:fldCharType="end"/>
      </w:r>
      <w:r w:rsidRPr="000F73CF">
        <w:t>).</w:t>
      </w:r>
    </w:p>
    <w:p w14:paraId="5ADC8FB2" w14:textId="04F37D73" w:rsidR="00FD04F7" w:rsidRPr="00A94364" w:rsidRDefault="00FD04F7" w:rsidP="00FD04F7">
      <w:pPr>
        <w:pStyle w:val="Caption"/>
      </w:pPr>
      <w:bookmarkStart w:id="1" w:name="_Ref46132829"/>
      <w:r w:rsidRPr="00A94364">
        <w:t xml:space="preserve">Table </w:t>
      </w:r>
      <w:r w:rsidR="002C6DB1">
        <w:fldChar w:fldCharType="begin"/>
      </w:r>
      <w:r w:rsidR="002C6DB1">
        <w:instrText xml:space="preserve"> SEQ Table \* ARABIC </w:instrText>
      </w:r>
      <w:r w:rsidR="002C6DB1">
        <w:fldChar w:fldCharType="separate"/>
      </w:r>
      <w:r w:rsidR="00EA08DC">
        <w:rPr>
          <w:noProof/>
        </w:rPr>
        <w:t>1</w:t>
      </w:r>
      <w:r w:rsidR="002C6DB1">
        <w:rPr>
          <w:noProof/>
        </w:rPr>
        <w:fldChar w:fldCharType="end"/>
      </w:r>
      <w:bookmarkEnd w:id="1"/>
      <w:r>
        <w:t xml:space="preserve">: </w:t>
      </w:r>
      <w:r w:rsidRPr="00A94364">
        <w:t>Proposed item descriptor for diagnostic testing</w:t>
      </w:r>
    </w:p>
    <w:tbl>
      <w:tblPr>
        <w:tblStyle w:val="TableGrid"/>
        <w:tblW w:w="0" w:type="auto"/>
        <w:tblLook w:val="04A0" w:firstRow="1" w:lastRow="0" w:firstColumn="1" w:lastColumn="0" w:noHBand="0" w:noVBand="1"/>
        <w:tblCaption w:val="Proposed item descriptor for diagnostic testing"/>
        <w:tblDescription w:val="Proposed item descriptor for diagnostic testing"/>
      </w:tblPr>
      <w:tblGrid>
        <w:gridCol w:w="9016"/>
      </w:tblGrid>
      <w:tr w:rsidR="00FD04F7" w:rsidRPr="00A94364" w14:paraId="34AED512" w14:textId="77777777" w:rsidTr="00FD04F7">
        <w:trPr>
          <w:cantSplit/>
          <w:tblHeader/>
        </w:trPr>
        <w:tc>
          <w:tcPr>
            <w:tcW w:w="9016" w:type="dxa"/>
          </w:tcPr>
          <w:p w14:paraId="5A817D40" w14:textId="77777777" w:rsidR="00FD04F7" w:rsidRPr="00A94364" w:rsidRDefault="00FD04F7" w:rsidP="00754CF9">
            <w:pPr>
              <w:pStyle w:val="Tabletext"/>
              <w:jc w:val="right"/>
            </w:pPr>
            <w:r w:rsidRPr="00A94364">
              <w:t>Category 6–Pathology services</w:t>
            </w:r>
          </w:p>
        </w:tc>
      </w:tr>
      <w:tr w:rsidR="00FD04F7" w:rsidRPr="00A94364" w14:paraId="1D9647DC" w14:textId="77777777" w:rsidTr="00FD04F7">
        <w:trPr>
          <w:cantSplit/>
          <w:tblHeader/>
        </w:trPr>
        <w:tc>
          <w:tcPr>
            <w:tcW w:w="9016" w:type="dxa"/>
          </w:tcPr>
          <w:p w14:paraId="3230DEB1" w14:textId="77777777" w:rsidR="00FD04F7" w:rsidRPr="00A94364" w:rsidRDefault="00FD04F7" w:rsidP="00FD04F7">
            <w:pPr>
              <w:pStyle w:val="Tabletext"/>
              <w:rPr>
                <w:lang w:val="en-US"/>
              </w:rPr>
            </w:pPr>
            <w:r w:rsidRPr="00A94364">
              <w:rPr>
                <w:lang w:val="en-US"/>
              </w:rPr>
              <w:t>MBS item XXXXX</w:t>
            </w:r>
          </w:p>
          <w:p w14:paraId="6FF57876" w14:textId="5FF2ADDD" w:rsidR="00FD04F7" w:rsidRPr="00B16B0E" w:rsidRDefault="00FD04F7" w:rsidP="00B16B0E">
            <w:pPr>
              <w:pStyle w:val="Tabletext"/>
              <w:spacing w:after="120"/>
            </w:pPr>
            <w:r w:rsidRPr="00754CF9">
              <w:rPr>
                <w:iCs/>
                <w:strike/>
                <w:color w:val="0070C0"/>
              </w:rPr>
              <w:t>Characterisation</w:t>
            </w:r>
            <w:r w:rsidRPr="00754CF9">
              <w:rPr>
                <w:iCs/>
                <w:color w:val="0070C0"/>
              </w:rPr>
              <w:t xml:space="preserve"> </w:t>
            </w:r>
            <w:r w:rsidR="00FF0EAA" w:rsidRPr="00754CF9">
              <w:rPr>
                <w:iCs/>
                <w:color w:val="0070C0"/>
              </w:rPr>
              <w:t xml:space="preserve">Detection </w:t>
            </w:r>
            <w:r w:rsidRPr="00A94364">
              <w:rPr>
                <w:iCs/>
              </w:rPr>
              <w:t>of germline gene variants</w:t>
            </w:r>
            <w:r w:rsidRPr="00754CF9">
              <w:rPr>
                <w:i/>
                <w:strike/>
                <w:color w:val="0070C0"/>
              </w:rPr>
              <w:t xml:space="preserve">, </w:t>
            </w:r>
            <w:r w:rsidRPr="00754CF9">
              <w:rPr>
                <w:strike/>
                <w:color w:val="0070C0"/>
              </w:rPr>
              <w:t>requested by a specialist or consultant physician,</w:t>
            </w:r>
            <w:r w:rsidRPr="00A94364">
              <w:t xml:space="preserve"> including copy number variation in</w:t>
            </w:r>
            <w:r w:rsidRPr="00A94364">
              <w:rPr>
                <w:iCs/>
              </w:rPr>
              <w:t xml:space="preserve"> at least</w:t>
            </w:r>
            <w:r w:rsidR="00FF0EAA">
              <w:rPr>
                <w:iCs/>
              </w:rPr>
              <w:t xml:space="preserve"> </w:t>
            </w:r>
            <w:r w:rsidR="00FF0EAA" w:rsidRPr="00754CF9">
              <w:rPr>
                <w:iCs/>
                <w:color w:val="0070C0"/>
              </w:rPr>
              <w:t>the following genes</w:t>
            </w:r>
            <w:r w:rsidRPr="00754CF9">
              <w:rPr>
                <w:iCs/>
                <w:color w:val="0070C0"/>
              </w:rPr>
              <w:t xml:space="preserve"> </w:t>
            </w:r>
            <w:r w:rsidRPr="00A94364">
              <w:rPr>
                <w:i/>
                <w:iCs/>
              </w:rPr>
              <w:t>KCNQ1, KCNH2, SCN5A, KCNE1, KCNE2, KCNJ2, CACNA1C, RYR2</w:t>
            </w:r>
            <w:r w:rsidR="00FF0EAA" w:rsidRPr="00754CF9">
              <w:rPr>
                <w:i/>
                <w:iCs/>
                <w:color w:val="0070C0"/>
              </w:rPr>
              <w:t>,</w:t>
            </w:r>
            <w:r w:rsidRPr="00754CF9">
              <w:rPr>
                <w:i/>
                <w:iCs/>
                <w:color w:val="0070C0"/>
              </w:rPr>
              <w:t xml:space="preserve"> </w:t>
            </w:r>
            <w:r w:rsidRPr="00754CF9">
              <w:rPr>
                <w:iCs/>
                <w:strike/>
                <w:color w:val="0070C0"/>
              </w:rPr>
              <w:t>and</w:t>
            </w:r>
            <w:r w:rsidRPr="00754CF9">
              <w:rPr>
                <w:i/>
                <w:iCs/>
                <w:color w:val="0070C0"/>
              </w:rPr>
              <w:t xml:space="preserve"> </w:t>
            </w:r>
            <w:r w:rsidRPr="00A94364">
              <w:rPr>
                <w:i/>
                <w:iCs/>
              </w:rPr>
              <w:t>CASQ2</w:t>
            </w:r>
            <w:r w:rsidR="00FF0EAA" w:rsidRPr="00754CF9">
              <w:rPr>
                <w:i/>
                <w:iCs/>
                <w:color w:val="0070C0"/>
              </w:rPr>
              <w:t>,</w:t>
            </w:r>
            <w:r w:rsidRPr="00754CF9">
              <w:rPr>
                <w:i/>
                <w:iCs/>
                <w:color w:val="0070C0"/>
              </w:rPr>
              <w:t xml:space="preserve"> </w:t>
            </w:r>
            <w:r w:rsidRPr="00754CF9">
              <w:rPr>
                <w:iCs/>
                <w:strike/>
                <w:color w:val="0070C0"/>
              </w:rPr>
              <w:t>genes and one or more of the following genes</w:t>
            </w:r>
            <w:r w:rsidRPr="00754CF9">
              <w:rPr>
                <w:iCs/>
                <w:color w:val="0070C0"/>
              </w:rPr>
              <w:t xml:space="preserve"> </w:t>
            </w:r>
            <w:r w:rsidRPr="00A94364">
              <w:rPr>
                <w:i/>
                <w:iCs/>
              </w:rPr>
              <w:t xml:space="preserve">CAV3, SCN4B, AKAP9, SNTA1, KCNJ5, ALG10, CALM1, CALM2, ANK2, TECRL </w:t>
            </w:r>
            <w:r w:rsidRPr="00754CF9">
              <w:rPr>
                <w:strike/>
                <w:color w:val="0070C0"/>
              </w:rPr>
              <w:t>or</w:t>
            </w:r>
            <w:r w:rsidR="00FF0EAA" w:rsidRPr="00754CF9">
              <w:rPr>
                <w:color w:val="0070C0"/>
              </w:rPr>
              <w:t xml:space="preserve"> and</w:t>
            </w:r>
            <w:r w:rsidRPr="00754CF9">
              <w:rPr>
                <w:color w:val="0070C0"/>
              </w:rPr>
              <w:t xml:space="preserve"> </w:t>
            </w:r>
            <w:r w:rsidRPr="00A94364">
              <w:rPr>
                <w:i/>
                <w:iCs/>
              </w:rPr>
              <w:t xml:space="preserve">TRDN </w:t>
            </w:r>
            <w:r w:rsidRPr="00A94364">
              <w:t xml:space="preserve">in a patient for whom clinical and/or family history criteria suggestive of inherited cardiac arrhythmias or channelopathies place the patient at </w:t>
            </w:r>
            <w:r w:rsidR="008F439F">
              <w:t xml:space="preserve">&gt;10% </w:t>
            </w:r>
            <w:r w:rsidRPr="00A94364">
              <w:t>risk of having a pathogenic variant identified in o</w:t>
            </w:r>
            <w:r w:rsidR="00B16B0E">
              <w:t>ne of the genes specified above</w:t>
            </w:r>
            <w:r w:rsidR="00FF0EAA" w:rsidRPr="00754CF9">
              <w:rPr>
                <w:color w:val="0070C0"/>
              </w:rPr>
              <w:t>. Requested by a specialist or consultant physician.</w:t>
            </w:r>
          </w:p>
          <w:p w14:paraId="371B3EC1" w14:textId="77777777" w:rsidR="00FD04F7" w:rsidRPr="00A94364" w:rsidRDefault="00FD04F7" w:rsidP="00B16B0E">
            <w:pPr>
              <w:pStyle w:val="Tabletext"/>
              <w:spacing w:before="240" w:after="240"/>
              <w:rPr>
                <w:lang w:val="en-US"/>
              </w:rPr>
            </w:pPr>
            <w:r w:rsidRPr="00A94364">
              <w:rPr>
                <w:lang w:val="en-US"/>
              </w:rPr>
              <w:t>Maximum of one service per lifetime</w:t>
            </w:r>
          </w:p>
          <w:p w14:paraId="4D9DBA24" w14:textId="1748AA6C" w:rsidR="00FD04F7" w:rsidRPr="00A94364" w:rsidRDefault="00FD04F7" w:rsidP="00B16B0E">
            <w:pPr>
              <w:pStyle w:val="Tabletext"/>
              <w:spacing w:before="120" w:after="120"/>
            </w:pPr>
            <w:r w:rsidRPr="00A94364">
              <w:rPr>
                <w:u w:val="dotted"/>
              </w:rPr>
              <w:t>MBS Fee: $</w:t>
            </w:r>
            <w:r w:rsidRPr="00A94364">
              <w:t>1,200 85% $1,020 75% $900</w:t>
            </w:r>
          </w:p>
          <w:p w14:paraId="52B4306F" w14:textId="1BBAD749" w:rsidR="00FD04F7" w:rsidRPr="00A94364" w:rsidRDefault="00FD04F7" w:rsidP="00B16B0E">
            <w:pPr>
              <w:pStyle w:val="Tabletext"/>
              <w:spacing w:before="240"/>
            </w:pPr>
            <w:r w:rsidRPr="00A94364">
              <w:t>Explanatory note:</w:t>
            </w:r>
          </w:p>
          <w:p w14:paraId="35FD005B" w14:textId="77777777" w:rsidR="00FD04F7" w:rsidRDefault="00FD04F7" w:rsidP="00FD04F7">
            <w:pPr>
              <w:pStyle w:val="Tabletext"/>
            </w:pPr>
            <w:r w:rsidRPr="00A94364">
              <w:t>PN.0.27 Patients who are found to have any form of affected allele should be referred for post-test genetic counselling as there may be implications for other family members. Appropriate genetic counselling should be provided to the patient either by the specialist treating practitioner, a genetic counselling service or a clinical geneticist on referral.</w:t>
            </w:r>
          </w:p>
          <w:p w14:paraId="65B2F60D" w14:textId="70FFE645" w:rsidR="00FF0EAA" w:rsidRPr="00A94364" w:rsidRDefault="00FF0EAA" w:rsidP="00FD04F7">
            <w:pPr>
              <w:pStyle w:val="Tabletext"/>
              <w:rPr>
                <w:u w:val="dotted"/>
              </w:rPr>
            </w:pPr>
            <w:r w:rsidRPr="00FF0EAA">
              <w:rPr>
                <w:u w:val="dotted"/>
              </w:rPr>
              <w:t xml:space="preserve">The rapidly expanding field of genomic medicine has resulted in recognition of an increasing number of genetic causes of cardiac diseases. </w:t>
            </w:r>
            <w:r w:rsidR="00073C3E">
              <w:rPr>
                <w:u w:val="dotted"/>
              </w:rPr>
              <w:t>Use of g</w:t>
            </w:r>
            <w:r w:rsidRPr="00FF0EAA">
              <w:rPr>
                <w:u w:val="dotted"/>
              </w:rPr>
              <w:t>enomic testing methods that permit reanalysis of existing data for variants in newly described clinically relevant genes are recommended/encouraged.</w:t>
            </w:r>
          </w:p>
        </w:tc>
      </w:tr>
    </w:tbl>
    <w:p w14:paraId="6D24032F" w14:textId="7822BB6D" w:rsidR="00FD04F7" w:rsidRPr="00A94364" w:rsidRDefault="00FD04F7" w:rsidP="00754CF9">
      <w:pPr>
        <w:pStyle w:val="Tablecaption"/>
      </w:pPr>
      <w:r>
        <w:t>Source: DCAR Table 1</w:t>
      </w:r>
      <w:r w:rsidR="004B1B2D">
        <w:t>, with ESC’s changes (blue text)</w:t>
      </w:r>
    </w:p>
    <w:p w14:paraId="199B0FB2" w14:textId="55798834" w:rsidR="00FD04F7" w:rsidRPr="00A94364" w:rsidRDefault="00FD04F7" w:rsidP="00754CF9">
      <w:pPr>
        <w:pStyle w:val="Caption"/>
        <w:spacing w:before="240"/>
      </w:pPr>
      <w:bookmarkStart w:id="2" w:name="_Ref23410243"/>
      <w:r w:rsidRPr="00A94364">
        <w:t xml:space="preserve">Table </w:t>
      </w:r>
      <w:r w:rsidR="002C6DB1">
        <w:fldChar w:fldCharType="begin"/>
      </w:r>
      <w:r w:rsidR="002C6DB1">
        <w:instrText xml:space="preserve"> SEQ Table \* ARAB</w:instrText>
      </w:r>
      <w:r w:rsidR="002C6DB1">
        <w:instrText xml:space="preserve">IC </w:instrText>
      </w:r>
      <w:r w:rsidR="002C6DB1">
        <w:fldChar w:fldCharType="separate"/>
      </w:r>
      <w:r w:rsidR="00EA08DC">
        <w:rPr>
          <w:noProof/>
        </w:rPr>
        <w:t>2</w:t>
      </w:r>
      <w:r w:rsidR="002C6DB1">
        <w:rPr>
          <w:noProof/>
        </w:rPr>
        <w:fldChar w:fldCharType="end"/>
      </w:r>
      <w:bookmarkEnd w:id="2"/>
      <w:r>
        <w:t xml:space="preserve">: </w:t>
      </w:r>
      <w:r w:rsidRPr="00A94364">
        <w:t>Proposed item descriptor for predictive testing of family members</w:t>
      </w:r>
    </w:p>
    <w:tbl>
      <w:tblPr>
        <w:tblStyle w:val="TableGrid"/>
        <w:tblW w:w="0" w:type="auto"/>
        <w:tblLook w:val="04A0" w:firstRow="1" w:lastRow="0" w:firstColumn="1" w:lastColumn="0" w:noHBand="0" w:noVBand="1"/>
        <w:tblCaption w:val="Proposed item descriptor for predictive testing of family members"/>
        <w:tblDescription w:val="Proposed item descriptor for predictive testing of family members"/>
      </w:tblPr>
      <w:tblGrid>
        <w:gridCol w:w="9016"/>
      </w:tblGrid>
      <w:tr w:rsidR="00FD04F7" w:rsidRPr="00A94364" w14:paraId="1AB62C9C" w14:textId="77777777" w:rsidTr="00FD04F7">
        <w:trPr>
          <w:cantSplit/>
          <w:tblHeader/>
        </w:trPr>
        <w:tc>
          <w:tcPr>
            <w:tcW w:w="9016" w:type="dxa"/>
          </w:tcPr>
          <w:p w14:paraId="6CB5EF9C" w14:textId="77777777" w:rsidR="00FD04F7" w:rsidRPr="00A94364" w:rsidRDefault="00FD04F7" w:rsidP="00754CF9">
            <w:pPr>
              <w:pStyle w:val="Tabletextboldleft"/>
              <w:jc w:val="right"/>
              <w:rPr>
                <w:b w:val="0"/>
              </w:rPr>
            </w:pPr>
            <w:r w:rsidRPr="00A94364">
              <w:rPr>
                <w:b w:val="0"/>
              </w:rPr>
              <w:t>Category 6–Pathology services</w:t>
            </w:r>
          </w:p>
        </w:tc>
      </w:tr>
      <w:tr w:rsidR="00FD04F7" w:rsidRPr="00A94364" w14:paraId="7A32ABC1" w14:textId="77777777" w:rsidTr="00FD04F7">
        <w:trPr>
          <w:cantSplit/>
          <w:tblHeader/>
        </w:trPr>
        <w:tc>
          <w:tcPr>
            <w:tcW w:w="9016" w:type="dxa"/>
          </w:tcPr>
          <w:p w14:paraId="59DA16BD" w14:textId="77777777" w:rsidR="00FD04F7" w:rsidRPr="00A94364" w:rsidRDefault="00FD04F7" w:rsidP="00FD04F7">
            <w:pPr>
              <w:pStyle w:val="Tabletextboldleft"/>
              <w:rPr>
                <w:b w:val="0"/>
                <w:lang w:val="en-US"/>
              </w:rPr>
            </w:pPr>
            <w:r w:rsidRPr="00A94364">
              <w:rPr>
                <w:b w:val="0"/>
                <w:lang w:val="en-US"/>
              </w:rPr>
              <w:t>MBS item YYYYY</w:t>
            </w:r>
          </w:p>
          <w:p w14:paraId="36548171" w14:textId="0CFDC009" w:rsidR="00FF0EAA" w:rsidRPr="00754CF9" w:rsidRDefault="00FD04F7" w:rsidP="00FD04F7">
            <w:pPr>
              <w:pStyle w:val="Tabletextboldleft"/>
              <w:rPr>
                <w:b w:val="0"/>
                <w:color w:val="0070C0"/>
              </w:rPr>
            </w:pPr>
            <w:r w:rsidRPr="00A94364">
              <w:rPr>
                <w:b w:val="0"/>
              </w:rPr>
              <w:t xml:space="preserve">Detection of </w:t>
            </w:r>
            <w:r w:rsidRPr="00754CF9">
              <w:rPr>
                <w:b w:val="0"/>
                <w:strike/>
                <w:color w:val="0070C0"/>
              </w:rPr>
              <w:t>familial</w:t>
            </w:r>
            <w:r w:rsidRPr="00754CF9">
              <w:rPr>
                <w:b w:val="0"/>
                <w:color w:val="0070C0"/>
              </w:rPr>
              <w:t xml:space="preserve"> </w:t>
            </w:r>
            <w:r w:rsidR="00FF0EAA" w:rsidRPr="00754CF9">
              <w:rPr>
                <w:b w:val="0"/>
                <w:color w:val="0070C0"/>
              </w:rPr>
              <w:t xml:space="preserve">germline </w:t>
            </w:r>
            <w:r w:rsidRPr="00A94364">
              <w:rPr>
                <w:b w:val="0"/>
              </w:rPr>
              <w:t xml:space="preserve">variant(s), in a first or second-degree biological relative of a </w:t>
            </w:r>
            <w:r w:rsidRPr="00754CF9">
              <w:rPr>
                <w:b w:val="0"/>
                <w:strike/>
                <w:color w:val="0070C0"/>
              </w:rPr>
              <w:t>patient</w:t>
            </w:r>
            <w:r w:rsidRPr="00754CF9">
              <w:rPr>
                <w:b w:val="0"/>
                <w:color w:val="0070C0"/>
              </w:rPr>
              <w:t xml:space="preserve"> </w:t>
            </w:r>
            <w:r w:rsidR="00FF0EAA" w:rsidRPr="00754CF9">
              <w:rPr>
                <w:b w:val="0"/>
                <w:color w:val="0070C0"/>
              </w:rPr>
              <w:t xml:space="preserve">person </w:t>
            </w:r>
            <w:r w:rsidRPr="00A94364">
              <w:rPr>
                <w:b w:val="0"/>
              </w:rPr>
              <w:t>with one or more documented pathogenic germline variants associated with a cardiac arrhythmia or channelopathy</w:t>
            </w:r>
            <w:r w:rsidR="00FF0EAA">
              <w:rPr>
                <w:b w:val="0"/>
              </w:rPr>
              <w:t xml:space="preserve"> </w:t>
            </w:r>
            <w:r w:rsidR="00FF0EAA" w:rsidRPr="00754CF9">
              <w:rPr>
                <w:b w:val="0"/>
                <w:color w:val="0070C0"/>
              </w:rPr>
              <w:t>identified from the genes listed in item XXXXX, where the patient has not previously received a service number item XXXXX. Requested by a specialist or consultant physician.</w:t>
            </w:r>
          </w:p>
          <w:p w14:paraId="1285AF17" w14:textId="612396E1" w:rsidR="00FD04F7" w:rsidRPr="00754CF9" w:rsidRDefault="00FF0EAA" w:rsidP="00754CF9">
            <w:pPr>
              <w:pStyle w:val="Tabletextboldleft"/>
              <w:spacing w:before="240" w:after="240"/>
              <w:rPr>
                <w:b w:val="0"/>
                <w:iCs/>
              </w:rPr>
            </w:pPr>
            <w:r w:rsidRPr="00754CF9">
              <w:rPr>
                <w:b w:val="0"/>
                <w:color w:val="0070C0"/>
              </w:rPr>
              <w:t>Applicable once per variant per lifetime</w:t>
            </w:r>
            <w:r w:rsidR="00FD04F7" w:rsidRPr="00754CF9">
              <w:rPr>
                <w:b w:val="0"/>
                <w:color w:val="0070C0"/>
              </w:rPr>
              <w:t>.</w:t>
            </w:r>
          </w:p>
          <w:p w14:paraId="26E4D032" w14:textId="575BD481" w:rsidR="00FD04F7" w:rsidRPr="00A94364" w:rsidRDefault="00FD04F7" w:rsidP="00FD04F7">
            <w:pPr>
              <w:pStyle w:val="Tabletextboldleft"/>
              <w:rPr>
                <w:b w:val="0"/>
              </w:rPr>
            </w:pPr>
            <w:r w:rsidRPr="00A94364">
              <w:rPr>
                <w:b w:val="0"/>
                <w:u w:val="dotted"/>
              </w:rPr>
              <w:t>MBS Fee: $</w:t>
            </w:r>
            <w:r w:rsidRPr="00A94364">
              <w:rPr>
                <w:b w:val="0"/>
              </w:rPr>
              <w:t>400 85% $340 75% $300</w:t>
            </w:r>
          </w:p>
          <w:p w14:paraId="3313CFF4" w14:textId="77777777" w:rsidR="00FD04F7" w:rsidRPr="00A94364" w:rsidRDefault="00FD04F7" w:rsidP="00754CF9">
            <w:pPr>
              <w:pStyle w:val="Tabletextboldleft"/>
              <w:spacing w:before="240"/>
              <w:rPr>
                <w:b w:val="0"/>
              </w:rPr>
            </w:pPr>
            <w:r w:rsidRPr="00A94364">
              <w:rPr>
                <w:b w:val="0"/>
              </w:rPr>
              <w:t>Explanatory note:</w:t>
            </w:r>
          </w:p>
          <w:p w14:paraId="1A1D898D" w14:textId="77777777" w:rsidR="00FD04F7" w:rsidRPr="00A94364" w:rsidRDefault="00FD04F7" w:rsidP="00FD04F7">
            <w:pPr>
              <w:pStyle w:val="Tabletextboldleft"/>
              <w:rPr>
                <w:b w:val="0"/>
                <w:u w:val="dotted"/>
              </w:rPr>
            </w:pPr>
            <w:r w:rsidRPr="00A94364">
              <w:rPr>
                <w:b w:val="0"/>
              </w:rPr>
              <w:t>PN.0.23 Prior to ordering these tests (YYYYY) the ordering practitioner should ensure the patient (or appro</w:t>
            </w:r>
            <w:r>
              <w:rPr>
                <w:b w:val="0"/>
              </w:rPr>
              <w:t>pri</w:t>
            </w:r>
            <w:r w:rsidRPr="00A94364">
              <w:rPr>
                <w:b w:val="0"/>
              </w:rPr>
              <w:t>ate proxy) has given informed consent. Testing should only be performed after genetic counselling. Appropriate genetic counselling should be provided to the patient either by the specialist treating practitioner, a genetic counselling service or a clinical geneticist on referral. Further counselling may be necessary upon receipt of the test results.</w:t>
            </w:r>
          </w:p>
        </w:tc>
      </w:tr>
    </w:tbl>
    <w:p w14:paraId="1EDF1125" w14:textId="30BD9468" w:rsidR="00FD04F7" w:rsidRDefault="00FD04F7" w:rsidP="00754CF9">
      <w:pPr>
        <w:pStyle w:val="Tablecaption"/>
      </w:pPr>
      <w:r>
        <w:t>Source: DCAR Table 2</w:t>
      </w:r>
      <w:r w:rsidR="00FF0EAA">
        <w:t>, with ESC’s changes (blue text)</w:t>
      </w:r>
    </w:p>
    <w:p w14:paraId="430BF8A7" w14:textId="40050EE2" w:rsidR="00FD04F7" w:rsidRDefault="00FD04F7" w:rsidP="00754CF9">
      <w:pPr>
        <w:spacing w:before="240"/>
      </w:pPr>
      <w:r>
        <w:t>The applicant proposed cascade testing for asymptomatic family members in their application, though the HTA group also included symptomatic family members in the DCAR’s cascade testing analysis, noting that the Cardiac Society of Australia and New Zealand (CSANZ) guidelines recommend testing of symptomatic relatives to confirm the genotype and exclude the possibility of a phenocopy.</w:t>
      </w:r>
    </w:p>
    <w:p w14:paraId="3D4F0073" w14:textId="2FFED461" w:rsidR="00FD04F7" w:rsidRDefault="00FD04F7" w:rsidP="00754CF9">
      <w:pPr>
        <w:spacing w:before="240"/>
        <w:sectPr w:rsidR="00FD04F7" w:rsidSect="00FD04F7">
          <w:footerReference w:type="default" r:id="rId12"/>
          <w:pgSz w:w="11906" w:h="16838"/>
          <w:pgMar w:top="1440" w:right="1440" w:bottom="1134" w:left="1440" w:header="708" w:footer="708" w:gutter="0"/>
          <w:cols w:space="708"/>
          <w:docGrid w:linePitch="360"/>
        </w:sectPr>
      </w:pPr>
      <w:r>
        <w:t>The genes proposed for genetic testing are included below, with exemplar genes shown in bold font (</w:t>
      </w:r>
      <w:r w:rsidR="002C6DB1">
        <w:fldChar w:fldCharType="begin"/>
      </w:r>
      <w:r w:rsidR="002C6DB1">
        <w:instrText xml:space="preserve"> REF _Ref23757779  \* MERGEFORMAT </w:instrText>
      </w:r>
      <w:r w:rsidR="002C6DB1">
        <w:fldChar w:fldCharType="separate"/>
      </w:r>
      <w:r w:rsidRPr="00484705">
        <w:rPr>
          <w:bCs/>
        </w:rPr>
        <w:t>Table</w:t>
      </w:r>
      <w:r w:rsidRPr="00484705">
        <w:rPr>
          <w:b/>
          <w:bCs/>
        </w:rPr>
        <w:t xml:space="preserve"> </w:t>
      </w:r>
      <w:r>
        <w:rPr>
          <w:noProof/>
        </w:rPr>
        <w:t>3</w:t>
      </w:r>
      <w:r w:rsidR="002C6DB1">
        <w:rPr>
          <w:noProof/>
        </w:rPr>
        <w:fldChar w:fldCharType="end"/>
      </w:r>
      <w:r>
        <w:t>). The DCAR state</w:t>
      </w:r>
      <w:r w:rsidR="00B16B0E">
        <w:t>d</w:t>
      </w:r>
      <w:r>
        <w:t xml:space="preserve"> that, b</w:t>
      </w:r>
      <w:r w:rsidRPr="00484705">
        <w:t xml:space="preserve">ased on articles identified during the systematic review, those with sufficient information on which to potentially make a decision are </w:t>
      </w:r>
      <w:r w:rsidRPr="00484705">
        <w:rPr>
          <w:i/>
        </w:rPr>
        <w:t>KCNQ1</w:t>
      </w:r>
      <w:r w:rsidRPr="00484705">
        <w:t xml:space="preserve">, </w:t>
      </w:r>
      <w:r w:rsidRPr="00484705">
        <w:rPr>
          <w:i/>
        </w:rPr>
        <w:t>KCNH2</w:t>
      </w:r>
      <w:r w:rsidRPr="00484705">
        <w:t xml:space="preserve">, </w:t>
      </w:r>
      <w:r w:rsidRPr="00484705">
        <w:rPr>
          <w:i/>
        </w:rPr>
        <w:t>SCN5A</w:t>
      </w:r>
      <w:r w:rsidRPr="00484705">
        <w:t xml:space="preserve"> and </w:t>
      </w:r>
      <w:r w:rsidRPr="00484705">
        <w:rPr>
          <w:i/>
        </w:rPr>
        <w:t>RYR2</w:t>
      </w:r>
      <w:r w:rsidRPr="00484705">
        <w:t>.</w:t>
      </w:r>
    </w:p>
    <w:p w14:paraId="1AD11731" w14:textId="1B3F43C3" w:rsidR="00FD04F7" w:rsidRPr="00484705" w:rsidRDefault="00FD04F7" w:rsidP="00FD04F7">
      <w:pPr>
        <w:pStyle w:val="Caption"/>
      </w:pPr>
      <w:bookmarkStart w:id="3" w:name="_Ref23757779"/>
      <w:r w:rsidRPr="00484705">
        <w:t xml:space="preserve">Table </w:t>
      </w:r>
      <w:r w:rsidR="002C6DB1">
        <w:fldChar w:fldCharType="begin"/>
      </w:r>
      <w:r w:rsidR="002C6DB1">
        <w:instrText xml:space="preserve"> SEQ Table \* ARABIC </w:instrText>
      </w:r>
      <w:r w:rsidR="002C6DB1">
        <w:fldChar w:fldCharType="separate"/>
      </w:r>
      <w:r>
        <w:rPr>
          <w:noProof/>
        </w:rPr>
        <w:t>3</w:t>
      </w:r>
      <w:r w:rsidR="002C6DB1">
        <w:rPr>
          <w:noProof/>
        </w:rPr>
        <w:fldChar w:fldCharType="end"/>
      </w:r>
      <w:bookmarkEnd w:id="3"/>
      <w:r>
        <w:t xml:space="preserve">: </w:t>
      </w:r>
      <w:r w:rsidRPr="00484705">
        <w:t>Genes commonly associated with cardiac channelopathies and suggested for variant analysis in the proposed listing</w:t>
      </w:r>
    </w:p>
    <w:tbl>
      <w:tblPr>
        <w:tblStyle w:val="TableGrid"/>
        <w:tblW w:w="5000" w:type="pct"/>
        <w:tblLook w:val="04A0" w:firstRow="1" w:lastRow="0" w:firstColumn="1" w:lastColumn="0" w:noHBand="0" w:noVBand="1"/>
        <w:tblCaption w:val="Genes commonly associated with cardiac channelopathies and suggested for variant analysis in the proposed listing"/>
        <w:tblDescription w:val="Genes commonly associated with cardiac channelopathies and suggested for variant analysis in the proposed listing"/>
      </w:tblPr>
      <w:tblGrid>
        <w:gridCol w:w="1588"/>
        <w:gridCol w:w="1377"/>
        <w:gridCol w:w="1377"/>
        <w:gridCol w:w="282"/>
        <w:gridCol w:w="3267"/>
        <w:gridCol w:w="1756"/>
        <w:gridCol w:w="1579"/>
        <w:gridCol w:w="1517"/>
        <w:gridCol w:w="1511"/>
      </w:tblGrid>
      <w:tr w:rsidR="00FD04F7" w:rsidRPr="00B16B0E" w14:paraId="5B14DF21" w14:textId="77777777" w:rsidTr="00FD04F7">
        <w:trPr>
          <w:cantSplit/>
          <w:tblHeader/>
        </w:trPr>
        <w:tc>
          <w:tcPr>
            <w:tcW w:w="557" w:type="pct"/>
            <w:tcBorders>
              <w:bottom w:val="single" w:sz="4" w:space="0" w:color="auto"/>
            </w:tcBorders>
          </w:tcPr>
          <w:p w14:paraId="62737D5A" w14:textId="77777777" w:rsidR="00FD04F7" w:rsidRPr="00B16B0E" w:rsidRDefault="00FD04F7" w:rsidP="00B16B0E">
            <w:pPr>
              <w:rPr>
                <w:rFonts w:ascii="Arial Narrow" w:hAnsi="Arial Narrow"/>
                <w:b/>
                <w:sz w:val="17"/>
                <w:szCs w:val="17"/>
                <w:vertAlign w:val="superscript"/>
              </w:rPr>
            </w:pPr>
            <w:r w:rsidRPr="00B16B0E">
              <w:rPr>
                <w:rFonts w:ascii="Arial Narrow" w:hAnsi="Arial Narrow"/>
                <w:b/>
                <w:sz w:val="17"/>
                <w:szCs w:val="17"/>
              </w:rPr>
              <w:t>Gene</w:t>
            </w:r>
            <w:r w:rsidRPr="00B16B0E">
              <w:rPr>
                <w:rFonts w:ascii="Arial Narrow" w:hAnsi="Arial Narrow"/>
                <w:b/>
                <w:sz w:val="17"/>
                <w:szCs w:val="17"/>
                <w:vertAlign w:val="superscript"/>
              </w:rPr>
              <w:t>#</w:t>
            </w:r>
          </w:p>
        </w:tc>
        <w:tc>
          <w:tcPr>
            <w:tcW w:w="483" w:type="pct"/>
            <w:tcBorders>
              <w:bottom w:val="single" w:sz="4" w:space="0" w:color="auto"/>
            </w:tcBorders>
          </w:tcPr>
          <w:p w14:paraId="039CDBA3" w14:textId="77777777" w:rsidR="00FD04F7" w:rsidRPr="00B16B0E" w:rsidRDefault="00FD04F7" w:rsidP="00B16B0E">
            <w:pPr>
              <w:rPr>
                <w:rFonts w:ascii="Arial Narrow" w:hAnsi="Arial Narrow"/>
                <w:b/>
                <w:sz w:val="17"/>
                <w:szCs w:val="17"/>
              </w:rPr>
            </w:pPr>
            <w:r w:rsidRPr="00B16B0E">
              <w:rPr>
                <w:rFonts w:ascii="Arial Narrow" w:hAnsi="Arial Narrow"/>
                <w:b/>
                <w:sz w:val="17"/>
                <w:szCs w:val="17"/>
              </w:rPr>
              <w:t>OMIM# of the genes</w:t>
            </w:r>
          </w:p>
        </w:tc>
        <w:tc>
          <w:tcPr>
            <w:tcW w:w="483" w:type="pct"/>
            <w:tcBorders>
              <w:bottom w:val="single" w:sz="4" w:space="0" w:color="auto"/>
            </w:tcBorders>
          </w:tcPr>
          <w:p w14:paraId="33A2ABF2" w14:textId="77777777" w:rsidR="00FD04F7" w:rsidRPr="00B16B0E" w:rsidRDefault="00FD04F7" w:rsidP="00B16B0E">
            <w:pPr>
              <w:rPr>
                <w:rFonts w:ascii="Arial Narrow" w:hAnsi="Arial Narrow"/>
                <w:b/>
                <w:sz w:val="17"/>
                <w:szCs w:val="17"/>
              </w:rPr>
            </w:pPr>
            <w:r w:rsidRPr="00B16B0E">
              <w:rPr>
                <w:rFonts w:ascii="Arial Narrow" w:hAnsi="Arial Narrow"/>
                <w:b/>
                <w:sz w:val="17"/>
                <w:szCs w:val="17"/>
              </w:rPr>
              <w:t>Inheritance</w:t>
            </w:r>
          </w:p>
        </w:tc>
        <w:tc>
          <w:tcPr>
            <w:tcW w:w="1245" w:type="pct"/>
            <w:gridSpan w:val="2"/>
            <w:tcBorders>
              <w:bottom w:val="single" w:sz="4" w:space="0" w:color="auto"/>
            </w:tcBorders>
          </w:tcPr>
          <w:p w14:paraId="02AB3171" w14:textId="77777777" w:rsidR="00FD04F7" w:rsidRPr="00B16B0E" w:rsidRDefault="00FD04F7" w:rsidP="00B16B0E">
            <w:pPr>
              <w:rPr>
                <w:rFonts w:ascii="Arial Narrow" w:hAnsi="Arial Narrow"/>
                <w:b/>
                <w:sz w:val="17"/>
                <w:szCs w:val="17"/>
              </w:rPr>
            </w:pPr>
            <w:r w:rsidRPr="00B16B0E">
              <w:rPr>
                <w:rFonts w:ascii="Arial Narrow" w:hAnsi="Arial Narrow"/>
                <w:b/>
                <w:sz w:val="17"/>
                <w:szCs w:val="17"/>
              </w:rPr>
              <w:t>Protein</w:t>
            </w:r>
          </w:p>
        </w:tc>
        <w:tc>
          <w:tcPr>
            <w:tcW w:w="616" w:type="pct"/>
            <w:tcBorders>
              <w:bottom w:val="single" w:sz="4" w:space="0" w:color="auto"/>
            </w:tcBorders>
          </w:tcPr>
          <w:p w14:paraId="7C947D4F" w14:textId="77777777" w:rsidR="00FD04F7" w:rsidRPr="00B16B0E" w:rsidRDefault="00FD04F7" w:rsidP="00B16B0E">
            <w:pPr>
              <w:rPr>
                <w:rFonts w:ascii="Arial Narrow" w:hAnsi="Arial Narrow"/>
                <w:b/>
                <w:sz w:val="17"/>
                <w:szCs w:val="17"/>
              </w:rPr>
            </w:pPr>
            <w:r w:rsidRPr="00B16B0E">
              <w:rPr>
                <w:rFonts w:ascii="Arial Narrow" w:hAnsi="Arial Narrow"/>
                <w:b/>
                <w:sz w:val="17"/>
                <w:szCs w:val="17"/>
              </w:rPr>
              <w:t>Functional effect</w:t>
            </w:r>
          </w:p>
        </w:tc>
        <w:tc>
          <w:tcPr>
            <w:tcW w:w="554" w:type="pct"/>
            <w:tcBorders>
              <w:bottom w:val="single" w:sz="4" w:space="0" w:color="auto"/>
            </w:tcBorders>
          </w:tcPr>
          <w:p w14:paraId="679847EB" w14:textId="77777777" w:rsidR="00FD04F7" w:rsidRPr="00B16B0E" w:rsidRDefault="00FD04F7" w:rsidP="00B16B0E">
            <w:pPr>
              <w:rPr>
                <w:rFonts w:ascii="Arial Narrow" w:hAnsi="Arial Narrow"/>
                <w:b/>
                <w:sz w:val="17"/>
                <w:szCs w:val="17"/>
              </w:rPr>
            </w:pPr>
            <w:r w:rsidRPr="00B16B0E">
              <w:rPr>
                <w:rFonts w:ascii="Arial Narrow" w:hAnsi="Arial Narrow"/>
                <w:b/>
                <w:sz w:val="17"/>
                <w:szCs w:val="17"/>
              </w:rPr>
              <w:t>Phenotype</w:t>
            </w:r>
          </w:p>
        </w:tc>
        <w:tc>
          <w:tcPr>
            <w:tcW w:w="532" w:type="pct"/>
            <w:tcBorders>
              <w:bottom w:val="single" w:sz="4" w:space="0" w:color="auto"/>
            </w:tcBorders>
          </w:tcPr>
          <w:p w14:paraId="580BFBD4" w14:textId="77777777" w:rsidR="00FD04F7" w:rsidRPr="00B16B0E" w:rsidRDefault="00FD04F7" w:rsidP="00B16B0E">
            <w:pPr>
              <w:rPr>
                <w:rFonts w:ascii="Arial Narrow" w:hAnsi="Arial Narrow"/>
                <w:b/>
                <w:sz w:val="17"/>
                <w:szCs w:val="17"/>
              </w:rPr>
            </w:pPr>
            <w:r w:rsidRPr="00B16B0E">
              <w:rPr>
                <w:rFonts w:ascii="Arial Narrow" w:hAnsi="Arial Narrow"/>
                <w:b/>
                <w:sz w:val="17"/>
                <w:szCs w:val="17"/>
              </w:rPr>
              <w:t>OMIM# of the disease</w:t>
            </w:r>
          </w:p>
        </w:tc>
        <w:tc>
          <w:tcPr>
            <w:tcW w:w="530" w:type="pct"/>
            <w:tcBorders>
              <w:bottom w:val="single" w:sz="4" w:space="0" w:color="auto"/>
            </w:tcBorders>
          </w:tcPr>
          <w:p w14:paraId="5EC8DEB6" w14:textId="77777777" w:rsidR="00FD04F7" w:rsidRPr="00B16B0E" w:rsidRDefault="00FD04F7" w:rsidP="00B16B0E">
            <w:pPr>
              <w:rPr>
                <w:rFonts w:ascii="Arial Narrow" w:hAnsi="Arial Narrow"/>
                <w:b/>
                <w:sz w:val="17"/>
                <w:szCs w:val="17"/>
                <w:vertAlign w:val="superscript"/>
              </w:rPr>
            </w:pPr>
            <w:r w:rsidRPr="00B16B0E">
              <w:rPr>
                <w:rFonts w:ascii="Arial Narrow" w:hAnsi="Arial Narrow"/>
                <w:b/>
                <w:sz w:val="17"/>
                <w:szCs w:val="17"/>
              </w:rPr>
              <w:t>Frequency in disease</w:t>
            </w:r>
            <w:r w:rsidRPr="00B16B0E">
              <w:rPr>
                <w:rFonts w:ascii="Arial Narrow" w:hAnsi="Arial Narrow"/>
                <w:b/>
                <w:sz w:val="17"/>
                <w:szCs w:val="17"/>
                <w:vertAlign w:val="superscript"/>
              </w:rPr>
              <w:t>c</w:t>
            </w:r>
          </w:p>
        </w:tc>
      </w:tr>
      <w:tr w:rsidR="00FD04F7" w:rsidRPr="00B16B0E" w14:paraId="343C9794" w14:textId="77777777" w:rsidTr="00FD04F7">
        <w:trPr>
          <w:cantSplit/>
        </w:trPr>
        <w:tc>
          <w:tcPr>
            <w:tcW w:w="1523" w:type="pct"/>
            <w:gridSpan w:val="3"/>
            <w:tcBorders>
              <w:bottom w:val="single" w:sz="4" w:space="0" w:color="auto"/>
              <w:right w:val="nil"/>
            </w:tcBorders>
          </w:tcPr>
          <w:p w14:paraId="4AC0EE39" w14:textId="77777777" w:rsidR="00FD04F7" w:rsidRPr="00B16B0E" w:rsidRDefault="00FD04F7" w:rsidP="00B16B0E">
            <w:pPr>
              <w:pStyle w:val="TableHeading"/>
              <w:rPr>
                <w:sz w:val="17"/>
                <w:szCs w:val="17"/>
              </w:rPr>
            </w:pPr>
            <w:r w:rsidRPr="00B16B0E">
              <w:rPr>
                <w:sz w:val="17"/>
                <w:szCs w:val="17"/>
              </w:rPr>
              <w:t>Long QT syndrome</w:t>
            </w:r>
          </w:p>
        </w:tc>
        <w:tc>
          <w:tcPr>
            <w:tcW w:w="99" w:type="pct"/>
            <w:tcBorders>
              <w:left w:val="nil"/>
              <w:right w:val="nil"/>
            </w:tcBorders>
          </w:tcPr>
          <w:p w14:paraId="667FD67F" w14:textId="77777777" w:rsidR="00FD04F7" w:rsidRPr="00B16B0E" w:rsidRDefault="00FD04F7" w:rsidP="00B16B0E">
            <w:pPr>
              <w:rPr>
                <w:rFonts w:ascii="Arial Narrow" w:hAnsi="Arial Narrow"/>
                <w:b/>
                <w:sz w:val="17"/>
                <w:szCs w:val="17"/>
              </w:rPr>
            </w:pPr>
          </w:p>
        </w:tc>
        <w:tc>
          <w:tcPr>
            <w:tcW w:w="1146" w:type="pct"/>
            <w:tcBorders>
              <w:left w:val="nil"/>
              <w:bottom w:val="single" w:sz="4" w:space="0" w:color="auto"/>
              <w:right w:val="nil"/>
            </w:tcBorders>
          </w:tcPr>
          <w:p w14:paraId="5154C584" w14:textId="77777777" w:rsidR="00FD04F7" w:rsidRPr="00B16B0E" w:rsidRDefault="00FD04F7" w:rsidP="00B16B0E">
            <w:pPr>
              <w:rPr>
                <w:rFonts w:ascii="Arial Narrow" w:hAnsi="Arial Narrow"/>
                <w:b/>
                <w:sz w:val="17"/>
                <w:szCs w:val="17"/>
              </w:rPr>
            </w:pPr>
          </w:p>
        </w:tc>
        <w:tc>
          <w:tcPr>
            <w:tcW w:w="616" w:type="pct"/>
            <w:tcBorders>
              <w:left w:val="nil"/>
              <w:bottom w:val="single" w:sz="4" w:space="0" w:color="auto"/>
              <w:right w:val="nil"/>
            </w:tcBorders>
          </w:tcPr>
          <w:p w14:paraId="3C2A2AB3" w14:textId="77777777" w:rsidR="00FD04F7" w:rsidRPr="00B16B0E" w:rsidRDefault="00FD04F7" w:rsidP="00B16B0E">
            <w:pPr>
              <w:rPr>
                <w:rFonts w:ascii="Arial Narrow" w:hAnsi="Arial Narrow"/>
                <w:b/>
                <w:sz w:val="17"/>
                <w:szCs w:val="17"/>
              </w:rPr>
            </w:pPr>
          </w:p>
        </w:tc>
        <w:tc>
          <w:tcPr>
            <w:tcW w:w="554" w:type="pct"/>
            <w:tcBorders>
              <w:left w:val="nil"/>
              <w:right w:val="nil"/>
            </w:tcBorders>
          </w:tcPr>
          <w:p w14:paraId="38B4F563" w14:textId="77777777" w:rsidR="00FD04F7" w:rsidRPr="00B16B0E" w:rsidRDefault="00FD04F7" w:rsidP="00B16B0E">
            <w:pPr>
              <w:rPr>
                <w:rFonts w:ascii="Arial Narrow" w:hAnsi="Arial Narrow"/>
                <w:b/>
                <w:sz w:val="17"/>
                <w:szCs w:val="17"/>
              </w:rPr>
            </w:pPr>
          </w:p>
        </w:tc>
        <w:tc>
          <w:tcPr>
            <w:tcW w:w="532" w:type="pct"/>
            <w:tcBorders>
              <w:left w:val="nil"/>
              <w:right w:val="nil"/>
            </w:tcBorders>
          </w:tcPr>
          <w:p w14:paraId="1136A112" w14:textId="77777777" w:rsidR="00FD04F7" w:rsidRPr="00B16B0E" w:rsidRDefault="00FD04F7" w:rsidP="00B16B0E">
            <w:pPr>
              <w:rPr>
                <w:rFonts w:ascii="Arial Narrow" w:hAnsi="Arial Narrow"/>
                <w:b/>
                <w:sz w:val="17"/>
                <w:szCs w:val="17"/>
              </w:rPr>
            </w:pPr>
          </w:p>
        </w:tc>
        <w:tc>
          <w:tcPr>
            <w:tcW w:w="530" w:type="pct"/>
            <w:tcBorders>
              <w:left w:val="nil"/>
            </w:tcBorders>
          </w:tcPr>
          <w:p w14:paraId="77CDFBAA" w14:textId="77777777" w:rsidR="00FD04F7" w:rsidRPr="00B16B0E" w:rsidRDefault="00FD04F7" w:rsidP="00B16B0E">
            <w:pPr>
              <w:rPr>
                <w:rFonts w:ascii="Arial Narrow" w:hAnsi="Arial Narrow"/>
                <w:b/>
                <w:sz w:val="17"/>
                <w:szCs w:val="17"/>
              </w:rPr>
            </w:pPr>
          </w:p>
        </w:tc>
      </w:tr>
      <w:tr w:rsidR="00FD04F7" w:rsidRPr="00B16B0E" w14:paraId="6AD95013" w14:textId="77777777" w:rsidTr="00FD04F7">
        <w:trPr>
          <w:cantSplit/>
        </w:trPr>
        <w:tc>
          <w:tcPr>
            <w:tcW w:w="557" w:type="pct"/>
            <w:tcBorders>
              <w:bottom w:val="nil"/>
            </w:tcBorders>
          </w:tcPr>
          <w:p w14:paraId="138FD51F" w14:textId="77777777" w:rsidR="00FD04F7" w:rsidRPr="00B16B0E" w:rsidRDefault="00FD04F7" w:rsidP="00B16B0E">
            <w:pPr>
              <w:rPr>
                <w:rFonts w:ascii="Arial Narrow" w:hAnsi="Arial Narrow"/>
                <w:b/>
                <w:i/>
                <w:sz w:val="17"/>
                <w:szCs w:val="17"/>
              </w:rPr>
            </w:pPr>
            <w:r w:rsidRPr="00B16B0E">
              <w:rPr>
                <w:rFonts w:ascii="Arial Narrow" w:hAnsi="Arial Narrow"/>
                <w:b/>
                <w:i/>
                <w:sz w:val="17"/>
                <w:szCs w:val="17"/>
              </w:rPr>
              <w:t>KCNQ1</w:t>
            </w:r>
          </w:p>
        </w:tc>
        <w:tc>
          <w:tcPr>
            <w:tcW w:w="483" w:type="pct"/>
          </w:tcPr>
          <w:p w14:paraId="0FEFBD43"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607542</w:t>
            </w:r>
          </w:p>
        </w:tc>
        <w:tc>
          <w:tcPr>
            <w:tcW w:w="483" w:type="pct"/>
          </w:tcPr>
          <w:p w14:paraId="7B3C7340"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AD</w:t>
            </w:r>
          </w:p>
        </w:tc>
        <w:tc>
          <w:tcPr>
            <w:tcW w:w="1245" w:type="pct"/>
            <w:gridSpan w:val="2"/>
            <w:tcBorders>
              <w:bottom w:val="nil"/>
            </w:tcBorders>
          </w:tcPr>
          <w:p w14:paraId="591E5C21"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K</w:t>
            </w:r>
            <w:r w:rsidRPr="00B16B0E">
              <w:rPr>
                <w:rFonts w:ascii="Arial Narrow" w:hAnsi="Arial Narrow"/>
                <w:sz w:val="17"/>
                <w:szCs w:val="17"/>
                <w:vertAlign w:val="subscript"/>
              </w:rPr>
              <w:t>v</w:t>
            </w:r>
            <w:r w:rsidRPr="00B16B0E">
              <w:rPr>
                <w:rFonts w:ascii="Arial Narrow" w:hAnsi="Arial Narrow"/>
                <w:sz w:val="17"/>
                <w:szCs w:val="17"/>
              </w:rPr>
              <w:t>7.1</w:t>
            </w:r>
          </w:p>
        </w:tc>
        <w:tc>
          <w:tcPr>
            <w:tcW w:w="616" w:type="pct"/>
            <w:tcBorders>
              <w:bottom w:val="nil"/>
            </w:tcBorders>
          </w:tcPr>
          <w:p w14:paraId="7CC13DD1"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Loss of function</w:t>
            </w:r>
          </w:p>
        </w:tc>
        <w:tc>
          <w:tcPr>
            <w:tcW w:w="554" w:type="pct"/>
          </w:tcPr>
          <w:p w14:paraId="1C6D8758"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LQT1</w:t>
            </w:r>
          </w:p>
        </w:tc>
        <w:tc>
          <w:tcPr>
            <w:tcW w:w="532" w:type="pct"/>
          </w:tcPr>
          <w:p w14:paraId="30EDFDBB"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192500</w:t>
            </w:r>
          </w:p>
        </w:tc>
        <w:tc>
          <w:tcPr>
            <w:tcW w:w="530" w:type="pct"/>
          </w:tcPr>
          <w:p w14:paraId="352BC2B4"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38%</w:t>
            </w:r>
          </w:p>
        </w:tc>
      </w:tr>
      <w:tr w:rsidR="00FD04F7" w:rsidRPr="00B16B0E" w14:paraId="137D6C8E" w14:textId="77777777" w:rsidTr="00FD04F7">
        <w:trPr>
          <w:cantSplit/>
        </w:trPr>
        <w:tc>
          <w:tcPr>
            <w:tcW w:w="557" w:type="pct"/>
            <w:tcBorders>
              <w:top w:val="single" w:sz="4" w:space="0" w:color="auto"/>
            </w:tcBorders>
          </w:tcPr>
          <w:p w14:paraId="2DE1DD31" w14:textId="77777777" w:rsidR="00FD04F7" w:rsidRPr="00B16B0E" w:rsidRDefault="00FD04F7" w:rsidP="00B16B0E">
            <w:pPr>
              <w:rPr>
                <w:rFonts w:ascii="Arial Narrow" w:hAnsi="Arial Narrow"/>
                <w:b/>
                <w:i/>
                <w:sz w:val="17"/>
                <w:szCs w:val="17"/>
              </w:rPr>
            </w:pPr>
            <w:r w:rsidRPr="00B16B0E">
              <w:rPr>
                <w:rFonts w:ascii="Arial Narrow" w:hAnsi="Arial Narrow"/>
                <w:b/>
                <w:i/>
                <w:sz w:val="17"/>
                <w:szCs w:val="17"/>
              </w:rPr>
              <w:t>KCNH2</w:t>
            </w:r>
          </w:p>
        </w:tc>
        <w:tc>
          <w:tcPr>
            <w:tcW w:w="483" w:type="pct"/>
          </w:tcPr>
          <w:p w14:paraId="4CEF770B"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152427</w:t>
            </w:r>
          </w:p>
        </w:tc>
        <w:tc>
          <w:tcPr>
            <w:tcW w:w="483" w:type="pct"/>
          </w:tcPr>
          <w:p w14:paraId="19B6BD76"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AD</w:t>
            </w:r>
          </w:p>
        </w:tc>
        <w:tc>
          <w:tcPr>
            <w:tcW w:w="1245" w:type="pct"/>
            <w:gridSpan w:val="2"/>
            <w:tcBorders>
              <w:top w:val="single" w:sz="4" w:space="0" w:color="auto"/>
            </w:tcBorders>
          </w:tcPr>
          <w:p w14:paraId="128F10E4"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K</w:t>
            </w:r>
            <w:r w:rsidRPr="00B16B0E">
              <w:rPr>
                <w:rFonts w:ascii="Arial Narrow" w:hAnsi="Arial Narrow"/>
                <w:sz w:val="17"/>
                <w:szCs w:val="17"/>
                <w:vertAlign w:val="subscript"/>
              </w:rPr>
              <w:t>v</w:t>
            </w:r>
            <w:r w:rsidRPr="00B16B0E">
              <w:rPr>
                <w:rFonts w:ascii="Arial Narrow" w:hAnsi="Arial Narrow"/>
                <w:sz w:val="17"/>
                <w:szCs w:val="17"/>
              </w:rPr>
              <w:t>11.1 or hERG</w:t>
            </w:r>
          </w:p>
        </w:tc>
        <w:tc>
          <w:tcPr>
            <w:tcW w:w="616" w:type="pct"/>
            <w:tcBorders>
              <w:top w:val="single" w:sz="4" w:space="0" w:color="auto"/>
            </w:tcBorders>
          </w:tcPr>
          <w:p w14:paraId="1587B713"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Loss of function</w:t>
            </w:r>
          </w:p>
        </w:tc>
        <w:tc>
          <w:tcPr>
            <w:tcW w:w="554" w:type="pct"/>
          </w:tcPr>
          <w:p w14:paraId="128708E1"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LQT2</w:t>
            </w:r>
          </w:p>
        </w:tc>
        <w:tc>
          <w:tcPr>
            <w:tcW w:w="532" w:type="pct"/>
          </w:tcPr>
          <w:p w14:paraId="616C6352"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613688</w:t>
            </w:r>
          </w:p>
        </w:tc>
        <w:tc>
          <w:tcPr>
            <w:tcW w:w="530" w:type="pct"/>
          </w:tcPr>
          <w:p w14:paraId="162B3ADA"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42%</w:t>
            </w:r>
          </w:p>
        </w:tc>
      </w:tr>
      <w:tr w:rsidR="00FD04F7" w:rsidRPr="00B16B0E" w14:paraId="6C76A4C9" w14:textId="77777777" w:rsidTr="00FD04F7">
        <w:trPr>
          <w:cantSplit/>
        </w:trPr>
        <w:tc>
          <w:tcPr>
            <w:tcW w:w="557" w:type="pct"/>
          </w:tcPr>
          <w:p w14:paraId="4DBA2F45" w14:textId="77777777" w:rsidR="00FD04F7" w:rsidRPr="00B16B0E" w:rsidRDefault="00FD04F7" w:rsidP="00B16B0E">
            <w:pPr>
              <w:rPr>
                <w:rFonts w:ascii="Arial Narrow" w:hAnsi="Arial Narrow"/>
                <w:b/>
                <w:i/>
                <w:sz w:val="17"/>
                <w:szCs w:val="17"/>
              </w:rPr>
            </w:pPr>
            <w:r w:rsidRPr="00B16B0E">
              <w:rPr>
                <w:rFonts w:ascii="Arial Narrow" w:hAnsi="Arial Narrow"/>
                <w:b/>
                <w:i/>
                <w:sz w:val="17"/>
                <w:szCs w:val="17"/>
              </w:rPr>
              <w:t>SCN5A</w:t>
            </w:r>
          </w:p>
        </w:tc>
        <w:tc>
          <w:tcPr>
            <w:tcW w:w="483" w:type="pct"/>
          </w:tcPr>
          <w:p w14:paraId="7AB43FEE"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600163</w:t>
            </w:r>
          </w:p>
        </w:tc>
        <w:tc>
          <w:tcPr>
            <w:tcW w:w="483" w:type="pct"/>
          </w:tcPr>
          <w:p w14:paraId="700593CE"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AD</w:t>
            </w:r>
          </w:p>
        </w:tc>
        <w:tc>
          <w:tcPr>
            <w:tcW w:w="1245" w:type="pct"/>
            <w:gridSpan w:val="2"/>
          </w:tcPr>
          <w:p w14:paraId="210439E7"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Na</w:t>
            </w:r>
            <w:r w:rsidRPr="00B16B0E">
              <w:rPr>
                <w:rFonts w:ascii="Arial Narrow" w:hAnsi="Arial Narrow"/>
                <w:sz w:val="17"/>
                <w:szCs w:val="17"/>
                <w:vertAlign w:val="subscript"/>
              </w:rPr>
              <w:t>v</w:t>
            </w:r>
            <w:r w:rsidRPr="00B16B0E">
              <w:rPr>
                <w:rFonts w:ascii="Arial Narrow" w:hAnsi="Arial Narrow"/>
                <w:sz w:val="17"/>
                <w:szCs w:val="17"/>
              </w:rPr>
              <w:t xml:space="preserve"> α5 subunit</w:t>
            </w:r>
          </w:p>
        </w:tc>
        <w:tc>
          <w:tcPr>
            <w:tcW w:w="616" w:type="pct"/>
          </w:tcPr>
          <w:p w14:paraId="3A2E1455"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Gain of function</w:t>
            </w:r>
          </w:p>
        </w:tc>
        <w:tc>
          <w:tcPr>
            <w:tcW w:w="554" w:type="pct"/>
          </w:tcPr>
          <w:p w14:paraId="14CECA50"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LQT3</w:t>
            </w:r>
          </w:p>
        </w:tc>
        <w:tc>
          <w:tcPr>
            <w:tcW w:w="532" w:type="pct"/>
          </w:tcPr>
          <w:p w14:paraId="5C3412D6"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603830</w:t>
            </w:r>
          </w:p>
        </w:tc>
        <w:tc>
          <w:tcPr>
            <w:tcW w:w="530" w:type="pct"/>
          </w:tcPr>
          <w:p w14:paraId="54C38949"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12%</w:t>
            </w:r>
          </w:p>
        </w:tc>
      </w:tr>
      <w:tr w:rsidR="00FD04F7" w:rsidRPr="00B16B0E" w14:paraId="041705A1" w14:textId="77777777" w:rsidTr="00FD04F7">
        <w:trPr>
          <w:cantSplit/>
        </w:trPr>
        <w:tc>
          <w:tcPr>
            <w:tcW w:w="557" w:type="pct"/>
            <w:tcBorders>
              <w:bottom w:val="single" w:sz="4" w:space="0" w:color="auto"/>
            </w:tcBorders>
          </w:tcPr>
          <w:p w14:paraId="1E9CA91C" w14:textId="77777777" w:rsidR="00FD04F7" w:rsidRPr="00B16B0E" w:rsidRDefault="00FD04F7" w:rsidP="00B16B0E">
            <w:pPr>
              <w:rPr>
                <w:rFonts w:ascii="Arial Narrow" w:hAnsi="Arial Narrow"/>
                <w:i/>
                <w:sz w:val="17"/>
                <w:szCs w:val="17"/>
              </w:rPr>
            </w:pPr>
            <w:r w:rsidRPr="00B16B0E">
              <w:rPr>
                <w:rFonts w:ascii="Arial Narrow" w:hAnsi="Arial Narrow"/>
                <w:i/>
                <w:sz w:val="17"/>
                <w:szCs w:val="17"/>
              </w:rPr>
              <w:t>ANK2</w:t>
            </w:r>
          </w:p>
        </w:tc>
        <w:tc>
          <w:tcPr>
            <w:tcW w:w="483" w:type="pct"/>
          </w:tcPr>
          <w:p w14:paraId="7B1054D6"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106410</w:t>
            </w:r>
          </w:p>
        </w:tc>
        <w:tc>
          <w:tcPr>
            <w:tcW w:w="483" w:type="pct"/>
          </w:tcPr>
          <w:p w14:paraId="3C938264"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AD</w:t>
            </w:r>
          </w:p>
        </w:tc>
        <w:tc>
          <w:tcPr>
            <w:tcW w:w="1245" w:type="pct"/>
            <w:gridSpan w:val="2"/>
            <w:tcBorders>
              <w:bottom w:val="single" w:sz="4" w:space="0" w:color="auto"/>
            </w:tcBorders>
          </w:tcPr>
          <w:p w14:paraId="01FDF87E"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Ankyrin B</w:t>
            </w:r>
          </w:p>
        </w:tc>
        <w:tc>
          <w:tcPr>
            <w:tcW w:w="616" w:type="pct"/>
            <w:tcBorders>
              <w:bottom w:val="single" w:sz="4" w:space="0" w:color="auto"/>
            </w:tcBorders>
          </w:tcPr>
          <w:p w14:paraId="0732BC2A"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Loss of function</w:t>
            </w:r>
          </w:p>
        </w:tc>
        <w:tc>
          <w:tcPr>
            <w:tcW w:w="554" w:type="pct"/>
          </w:tcPr>
          <w:p w14:paraId="40694830"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LQT4</w:t>
            </w:r>
          </w:p>
        </w:tc>
        <w:tc>
          <w:tcPr>
            <w:tcW w:w="532" w:type="pct"/>
          </w:tcPr>
          <w:p w14:paraId="22033B5D"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600919</w:t>
            </w:r>
          </w:p>
        </w:tc>
        <w:tc>
          <w:tcPr>
            <w:tcW w:w="530" w:type="pct"/>
          </w:tcPr>
          <w:p w14:paraId="7109127C"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1%</w:t>
            </w:r>
          </w:p>
        </w:tc>
      </w:tr>
      <w:tr w:rsidR="00FD04F7" w:rsidRPr="00B16B0E" w14:paraId="6158F84D" w14:textId="77777777" w:rsidTr="00FD04F7">
        <w:trPr>
          <w:cantSplit/>
        </w:trPr>
        <w:tc>
          <w:tcPr>
            <w:tcW w:w="557" w:type="pct"/>
            <w:tcBorders>
              <w:bottom w:val="nil"/>
            </w:tcBorders>
          </w:tcPr>
          <w:p w14:paraId="023F983B" w14:textId="77777777" w:rsidR="00FD04F7" w:rsidRPr="00B16B0E" w:rsidRDefault="00FD04F7" w:rsidP="00B16B0E">
            <w:pPr>
              <w:rPr>
                <w:rFonts w:ascii="Arial Narrow" w:hAnsi="Arial Narrow"/>
                <w:b/>
                <w:i/>
                <w:sz w:val="17"/>
                <w:szCs w:val="17"/>
              </w:rPr>
            </w:pPr>
            <w:r w:rsidRPr="00B16B0E">
              <w:rPr>
                <w:rFonts w:ascii="Arial Narrow" w:hAnsi="Arial Narrow"/>
                <w:b/>
                <w:i/>
                <w:sz w:val="17"/>
                <w:szCs w:val="17"/>
              </w:rPr>
              <w:t>KCNE1</w:t>
            </w:r>
          </w:p>
        </w:tc>
        <w:tc>
          <w:tcPr>
            <w:tcW w:w="483" w:type="pct"/>
          </w:tcPr>
          <w:p w14:paraId="5CBFBF63"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176261</w:t>
            </w:r>
          </w:p>
        </w:tc>
        <w:tc>
          <w:tcPr>
            <w:tcW w:w="483" w:type="pct"/>
          </w:tcPr>
          <w:p w14:paraId="431E1C66"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AD</w:t>
            </w:r>
          </w:p>
        </w:tc>
        <w:tc>
          <w:tcPr>
            <w:tcW w:w="1245" w:type="pct"/>
            <w:gridSpan w:val="2"/>
            <w:tcBorders>
              <w:bottom w:val="nil"/>
            </w:tcBorders>
          </w:tcPr>
          <w:p w14:paraId="753440F4"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MinK</w:t>
            </w:r>
          </w:p>
        </w:tc>
        <w:tc>
          <w:tcPr>
            <w:tcW w:w="616" w:type="pct"/>
            <w:tcBorders>
              <w:bottom w:val="nil"/>
            </w:tcBorders>
          </w:tcPr>
          <w:p w14:paraId="70ACD0EA"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Loss of function</w:t>
            </w:r>
          </w:p>
        </w:tc>
        <w:tc>
          <w:tcPr>
            <w:tcW w:w="554" w:type="pct"/>
          </w:tcPr>
          <w:p w14:paraId="30D7A003"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LQT5</w:t>
            </w:r>
          </w:p>
        </w:tc>
        <w:tc>
          <w:tcPr>
            <w:tcW w:w="532" w:type="pct"/>
          </w:tcPr>
          <w:p w14:paraId="5B22686F"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613695</w:t>
            </w:r>
          </w:p>
        </w:tc>
        <w:tc>
          <w:tcPr>
            <w:tcW w:w="530" w:type="pct"/>
          </w:tcPr>
          <w:p w14:paraId="520D3FE4"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5%</w:t>
            </w:r>
          </w:p>
        </w:tc>
      </w:tr>
      <w:tr w:rsidR="00FD04F7" w:rsidRPr="00B16B0E" w14:paraId="4E8FB69A" w14:textId="77777777" w:rsidTr="00FD04F7">
        <w:trPr>
          <w:cantSplit/>
        </w:trPr>
        <w:tc>
          <w:tcPr>
            <w:tcW w:w="557" w:type="pct"/>
            <w:tcBorders>
              <w:top w:val="single" w:sz="4" w:space="0" w:color="auto"/>
            </w:tcBorders>
          </w:tcPr>
          <w:p w14:paraId="2D3A8016" w14:textId="77777777" w:rsidR="00FD04F7" w:rsidRPr="00B16B0E" w:rsidRDefault="00FD04F7" w:rsidP="00B16B0E">
            <w:pPr>
              <w:rPr>
                <w:rFonts w:ascii="Arial Narrow" w:hAnsi="Arial Narrow"/>
                <w:b/>
                <w:i/>
                <w:sz w:val="17"/>
                <w:szCs w:val="17"/>
              </w:rPr>
            </w:pPr>
            <w:r w:rsidRPr="00B16B0E">
              <w:rPr>
                <w:rFonts w:ascii="Arial Narrow" w:hAnsi="Arial Narrow"/>
                <w:b/>
                <w:i/>
                <w:sz w:val="17"/>
                <w:szCs w:val="17"/>
              </w:rPr>
              <w:t>KCNE2</w:t>
            </w:r>
          </w:p>
        </w:tc>
        <w:tc>
          <w:tcPr>
            <w:tcW w:w="483" w:type="pct"/>
          </w:tcPr>
          <w:p w14:paraId="385084DD"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603796</w:t>
            </w:r>
          </w:p>
        </w:tc>
        <w:tc>
          <w:tcPr>
            <w:tcW w:w="483" w:type="pct"/>
          </w:tcPr>
          <w:p w14:paraId="0405E6F5"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AD</w:t>
            </w:r>
          </w:p>
        </w:tc>
        <w:tc>
          <w:tcPr>
            <w:tcW w:w="1245" w:type="pct"/>
            <w:gridSpan w:val="2"/>
            <w:tcBorders>
              <w:top w:val="single" w:sz="4" w:space="0" w:color="auto"/>
            </w:tcBorders>
          </w:tcPr>
          <w:p w14:paraId="717A0238"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MiRP1</w:t>
            </w:r>
          </w:p>
        </w:tc>
        <w:tc>
          <w:tcPr>
            <w:tcW w:w="616" w:type="pct"/>
            <w:tcBorders>
              <w:top w:val="single" w:sz="4" w:space="0" w:color="auto"/>
            </w:tcBorders>
          </w:tcPr>
          <w:p w14:paraId="70B4078A"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Loss of function</w:t>
            </w:r>
          </w:p>
        </w:tc>
        <w:tc>
          <w:tcPr>
            <w:tcW w:w="554" w:type="pct"/>
          </w:tcPr>
          <w:p w14:paraId="45923A3C"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LQT6</w:t>
            </w:r>
          </w:p>
        </w:tc>
        <w:tc>
          <w:tcPr>
            <w:tcW w:w="532" w:type="pct"/>
          </w:tcPr>
          <w:p w14:paraId="15D0E871"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613693</w:t>
            </w:r>
          </w:p>
        </w:tc>
        <w:tc>
          <w:tcPr>
            <w:tcW w:w="530" w:type="pct"/>
          </w:tcPr>
          <w:p w14:paraId="0A71E5F6"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1%</w:t>
            </w:r>
          </w:p>
        </w:tc>
      </w:tr>
      <w:tr w:rsidR="00FD04F7" w:rsidRPr="00B16B0E" w14:paraId="2BFB2BFD" w14:textId="77777777" w:rsidTr="00FD04F7">
        <w:trPr>
          <w:cantSplit/>
        </w:trPr>
        <w:tc>
          <w:tcPr>
            <w:tcW w:w="557" w:type="pct"/>
          </w:tcPr>
          <w:p w14:paraId="7A5D2089" w14:textId="77777777" w:rsidR="00FD04F7" w:rsidRPr="00B16B0E" w:rsidRDefault="00FD04F7" w:rsidP="00B16B0E">
            <w:pPr>
              <w:rPr>
                <w:rFonts w:ascii="Arial Narrow" w:hAnsi="Arial Narrow"/>
                <w:b/>
                <w:i/>
                <w:sz w:val="17"/>
                <w:szCs w:val="17"/>
              </w:rPr>
            </w:pPr>
            <w:r w:rsidRPr="00B16B0E">
              <w:rPr>
                <w:rFonts w:ascii="Arial Narrow" w:hAnsi="Arial Narrow"/>
                <w:b/>
                <w:i/>
                <w:sz w:val="17"/>
                <w:szCs w:val="17"/>
              </w:rPr>
              <w:t>KCNJ2</w:t>
            </w:r>
          </w:p>
        </w:tc>
        <w:tc>
          <w:tcPr>
            <w:tcW w:w="483" w:type="pct"/>
          </w:tcPr>
          <w:p w14:paraId="61B62BDE"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600681</w:t>
            </w:r>
          </w:p>
        </w:tc>
        <w:tc>
          <w:tcPr>
            <w:tcW w:w="483" w:type="pct"/>
          </w:tcPr>
          <w:p w14:paraId="24BDC67B"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AD</w:t>
            </w:r>
          </w:p>
        </w:tc>
        <w:tc>
          <w:tcPr>
            <w:tcW w:w="1245" w:type="pct"/>
            <w:gridSpan w:val="2"/>
          </w:tcPr>
          <w:p w14:paraId="1F742691"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Kir2.1</w:t>
            </w:r>
          </w:p>
        </w:tc>
        <w:tc>
          <w:tcPr>
            <w:tcW w:w="616" w:type="pct"/>
          </w:tcPr>
          <w:p w14:paraId="45F83FE6"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Loss of function</w:t>
            </w:r>
          </w:p>
        </w:tc>
        <w:tc>
          <w:tcPr>
            <w:tcW w:w="554" w:type="pct"/>
          </w:tcPr>
          <w:p w14:paraId="5FB82F5F" w14:textId="77777777" w:rsidR="00FD04F7" w:rsidRPr="00B16B0E" w:rsidRDefault="00FD04F7" w:rsidP="00B16B0E">
            <w:pPr>
              <w:rPr>
                <w:rFonts w:ascii="Arial Narrow" w:hAnsi="Arial Narrow"/>
                <w:sz w:val="17"/>
                <w:szCs w:val="17"/>
                <w:vertAlign w:val="superscript"/>
              </w:rPr>
            </w:pPr>
            <w:r w:rsidRPr="00B16B0E">
              <w:rPr>
                <w:rFonts w:ascii="Arial Narrow" w:hAnsi="Arial Narrow"/>
                <w:sz w:val="17"/>
                <w:szCs w:val="17"/>
              </w:rPr>
              <w:t>LQT7 (ATS1)</w:t>
            </w:r>
            <w:r w:rsidRPr="00B16B0E">
              <w:rPr>
                <w:rFonts w:ascii="Arial Narrow" w:hAnsi="Arial Narrow"/>
                <w:sz w:val="17"/>
                <w:szCs w:val="17"/>
                <w:vertAlign w:val="superscript"/>
              </w:rPr>
              <w:t>a</w:t>
            </w:r>
          </w:p>
        </w:tc>
        <w:tc>
          <w:tcPr>
            <w:tcW w:w="532" w:type="pct"/>
          </w:tcPr>
          <w:p w14:paraId="37FE4107"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170390</w:t>
            </w:r>
          </w:p>
        </w:tc>
        <w:tc>
          <w:tcPr>
            <w:tcW w:w="530" w:type="pct"/>
          </w:tcPr>
          <w:p w14:paraId="30118A80"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&lt;0.1%</w:t>
            </w:r>
          </w:p>
        </w:tc>
      </w:tr>
      <w:tr w:rsidR="00FD04F7" w:rsidRPr="00B16B0E" w14:paraId="4FCBFB5B" w14:textId="77777777" w:rsidTr="00FD04F7">
        <w:trPr>
          <w:cantSplit/>
        </w:trPr>
        <w:tc>
          <w:tcPr>
            <w:tcW w:w="557" w:type="pct"/>
          </w:tcPr>
          <w:p w14:paraId="5DD35A6E" w14:textId="77777777" w:rsidR="00FD04F7" w:rsidRPr="00B16B0E" w:rsidRDefault="00FD04F7" w:rsidP="00B16B0E">
            <w:pPr>
              <w:rPr>
                <w:rFonts w:ascii="Arial Narrow" w:hAnsi="Arial Narrow"/>
                <w:b/>
                <w:i/>
                <w:sz w:val="17"/>
                <w:szCs w:val="17"/>
              </w:rPr>
            </w:pPr>
            <w:r w:rsidRPr="00B16B0E">
              <w:rPr>
                <w:rFonts w:ascii="Arial Narrow" w:hAnsi="Arial Narrow"/>
                <w:b/>
                <w:i/>
                <w:sz w:val="17"/>
                <w:szCs w:val="17"/>
              </w:rPr>
              <w:t>CACNA1C</w:t>
            </w:r>
          </w:p>
        </w:tc>
        <w:tc>
          <w:tcPr>
            <w:tcW w:w="483" w:type="pct"/>
          </w:tcPr>
          <w:p w14:paraId="10411FC8"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114205</w:t>
            </w:r>
          </w:p>
        </w:tc>
        <w:tc>
          <w:tcPr>
            <w:tcW w:w="483" w:type="pct"/>
          </w:tcPr>
          <w:p w14:paraId="2D6CEBC3"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AD</w:t>
            </w:r>
          </w:p>
        </w:tc>
        <w:tc>
          <w:tcPr>
            <w:tcW w:w="1245" w:type="pct"/>
            <w:gridSpan w:val="2"/>
          </w:tcPr>
          <w:p w14:paraId="469D62D8"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Ca</w:t>
            </w:r>
            <w:r w:rsidRPr="00B16B0E">
              <w:rPr>
                <w:rFonts w:ascii="Arial Narrow" w:hAnsi="Arial Narrow"/>
                <w:sz w:val="17"/>
                <w:szCs w:val="17"/>
                <w:vertAlign w:val="subscript"/>
              </w:rPr>
              <w:t>v</w:t>
            </w:r>
            <w:r w:rsidRPr="00B16B0E">
              <w:rPr>
                <w:rFonts w:ascii="Arial Narrow" w:hAnsi="Arial Narrow"/>
                <w:sz w:val="17"/>
                <w:szCs w:val="17"/>
              </w:rPr>
              <w:t>1.2</w:t>
            </w:r>
          </w:p>
        </w:tc>
        <w:tc>
          <w:tcPr>
            <w:tcW w:w="616" w:type="pct"/>
          </w:tcPr>
          <w:p w14:paraId="1EE5CB7E"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Gain of function</w:t>
            </w:r>
          </w:p>
        </w:tc>
        <w:tc>
          <w:tcPr>
            <w:tcW w:w="554" w:type="pct"/>
          </w:tcPr>
          <w:p w14:paraId="70BC5E23" w14:textId="77777777" w:rsidR="00FD04F7" w:rsidRPr="00B16B0E" w:rsidRDefault="00FD04F7" w:rsidP="00B16B0E">
            <w:pPr>
              <w:rPr>
                <w:rFonts w:ascii="Arial Narrow" w:hAnsi="Arial Narrow"/>
                <w:sz w:val="17"/>
                <w:szCs w:val="17"/>
                <w:vertAlign w:val="superscript"/>
              </w:rPr>
            </w:pPr>
            <w:r w:rsidRPr="00B16B0E">
              <w:rPr>
                <w:rFonts w:ascii="Arial Narrow" w:hAnsi="Arial Narrow"/>
                <w:sz w:val="17"/>
                <w:szCs w:val="17"/>
              </w:rPr>
              <w:t>LQT8 (TS1)</w:t>
            </w:r>
            <w:r w:rsidRPr="00B16B0E">
              <w:rPr>
                <w:rFonts w:ascii="Arial Narrow" w:hAnsi="Arial Narrow"/>
                <w:sz w:val="17"/>
                <w:szCs w:val="17"/>
                <w:vertAlign w:val="superscript"/>
              </w:rPr>
              <w:t>b</w:t>
            </w:r>
          </w:p>
        </w:tc>
        <w:tc>
          <w:tcPr>
            <w:tcW w:w="532" w:type="pct"/>
          </w:tcPr>
          <w:p w14:paraId="05745BDB"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601005</w:t>
            </w:r>
          </w:p>
        </w:tc>
        <w:tc>
          <w:tcPr>
            <w:tcW w:w="530" w:type="pct"/>
          </w:tcPr>
          <w:p w14:paraId="5BF48CD7"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&lt;0.1%</w:t>
            </w:r>
          </w:p>
        </w:tc>
      </w:tr>
      <w:tr w:rsidR="00FD04F7" w:rsidRPr="00B16B0E" w14:paraId="6AD0DBAD" w14:textId="77777777" w:rsidTr="00FD04F7">
        <w:trPr>
          <w:cantSplit/>
        </w:trPr>
        <w:tc>
          <w:tcPr>
            <w:tcW w:w="557" w:type="pct"/>
          </w:tcPr>
          <w:p w14:paraId="5F76B76F" w14:textId="77777777" w:rsidR="00FD04F7" w:rsidRPr="00B16B0E" w:rsidRDefault="00FD04F7" w:rsidP="00B16B0E">
            <w:pPr>
              <w:rPr>
                <w:rFonts w:ascii="Arial Narrow" w:hAnsi="Arial Narrow"/>
                <w:i/>
                <w:sz w:val="17"/>
                <w:szCs w:val="17"/>
              </w:rPr>
            </w:pPr>
            <w:r w:rsidRPr="00B16B0E">
              <w:rPr>
                <w:rFonts w:ascii="Arial Narrow" w:hAnsi="Arial Narrow"/>
                <w:i/>
                <w:sz w:val="17"/>
                <w:szCs w:val="17"/>
              </w:rPr>
              <w:t>CAV3</w:t>
            </w:r>
          </w:p>
        </w:tc>
        <w:tc>
          <w:tcPr>
            <w:tcW w:w="483" w:type="pct"/>
          </w:tcPr>
          <w:p w14:paraId="6868144F"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601253</w:t>
            </w:r>
          </w:p>
        </w:tc>
        <w:tc>
          <w:tcPr>
            <w:tcW w:w="483" w:type="pct"/>
          </w:tcPr>
          <w:p w14:paraId="7BE0059E"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AD</w:t>
            </w:r>
          </w:p>
        </w:tc>
        <w:tc>
          <w:tcPr>
            <w:tcW w:w="1245" w:type="pct"/>
            <w:gridSpan w:val="2"/>
          </w:tcPr>
          <w:p w14:paraId="5C448651"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Caveolin 3</w:t>
            </w:r>
          </w:p>
        </w:tc>
        <w:tc>
          <w:tcPr>
            <w:tcW w:w="616" w:type="pct"/>
          </w:tcPr>
          <w:p w14:paraId="4BE1BE72"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Gain of function</w:t>
            </w:r>
          </w:p>
        </w:tc>
        <w:tc>
          <w:tcPr>
            <w:tcW w:w="554" w:type="pct"/>
          </w:tcPr>
          <w:p w14:paraId="2E540045"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LQT9</w:t>
            </w:r>
          </w:p>
        </w:tc>
        <w:tc>
          <w:tcPr>
            <w:tcW w:w="532" w:type="pct"/>
          </w:tcPr>
          <w:p w14:paraId="679B1D46"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611818</w:t>
            </w:r>
          </w:p>
        </w:tc>
        <w:tc>
          <w:tcPr>
            <w:tcW w:w="530" w:type="pct"/>
          </w:tcPr>
          <w:p w14:paraId="44BEE7D6"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&lt;0.1%</w:t>
            </w:r>
          </w:p>
        </w:tc>
      </w:tr>
      <w:tr w:rsidR="00FD04F7" w:rsidRPr="00B16B0E" w14:paraId="47283D9B" w14:textId="77777777" w:rsidTr="00FD04F7">
        <w:trPr>
          <w:cantSplit/>
        </w:trPr>
        <w:tc>
          <w:tcPr>
            <w:tcW w:w="557" w:type="pct"/>
          </w:tcPr>
          <w:p w14:paraId="69885B01" w14:textId="77777777" w:rsidR="00FD04F7" w:rsidRPr="00B16B0E" w:rsidRDefault="00FD04F7" w:rsidP="00B16B0E">
            <w:pPr>
              <w:rPr>
                <w:rFonts w:ascii="Arial Narrow" w:hAnsi="Arial Narrow"/>
                <w:i/>
                <w:sz w:val="17"/>
                <w:szCs w:val="17"/>
              </w:rPr>
            </w:pPr>
            <w:r w:rsidRPr="00B16B0E">
              <w:rPr>
                <w:rFonts w:ascii="Arial Narrow" w:hAnsi="Arial Narrow"/>
                <w:i/>
                <w:sz w:val="17"/>
                <w:szCs w:val="17"/>
              </w:rPr>
              <w:t>SCN4B</w:t>
            </w:r>
          </w:p>
        </w:tc>
        <w:tc>
          <w:tcPr>
            <w:tcW w:w="483" w:type="pct"/>
          </w:tcPr>
          <w:p w14:paraId="2F182994"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608256</w:t>
            </w:r>
          </w:p>
        </w:tc>
        <w:tc>
          <w:tcPr>
            <w:tcW w:w="483" w:type="pct"/>
          </w:tcPr>
          <w:p w14:paraId="4CFFE20A"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AD</w:t>
            </w:r>
          </w:p>
        </w:tc>
        <w:tc>
          <w:tcPr>
            <w:tcW w:w="1245" w:type="pct"/>
            <w:gridSpan w:val="2"/>
          </w:tcPr>
          <w:p w14:paraId="0F8F7A38"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Na</w:t>
            </w:r>
            <w:r w:rsidRPr="00B16B0E">
              <w:rPr>
                <w:rFonts w:ascii="Arial Narrow" w:hAnsi="Arial Narrow"/>
                <w:sz w:val="17"/>
                <w:szCs w:val="17"/>
                <w:vertAlign w:val="subscript"/>
              </w:rPr>
              <w:t>v</w:t>
            </w:r>
            <w:r w:rsidRPr="00B16B0E">
              <w:rPr>
                <w:rFonts w:ascii="Arial Narrow" w:hAnsi="Arial Narrow"/>
                <w:sz w:val="17"/>
                <w:szCs w:val="17"/>
              </w:rPr>
              <w:t xml:space="preserve"> β4 subunit</w:t>
            </w:r>
          </w:p>
        </w:tc>
        <w:tc>
          <w:tcPr>
            <w:tcW w:w="616" w:type="pct"/>
          </w:tcPr>
          <w:p w14:paraId="0E506EFE"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Gain of function</w:t>
            </w:r>
          </w:p>
        </w:tc>
        <w:tc>
          <w:tcPr>
            <w:tcW w:w="554" w:type="pct"/>
          </w:tcPr>
          <w:p w14:paraId="3EBEC60A"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LQT10</w:t>
            </w:r>
          </w:p>
        </w:tc>
        <w:tc>
          <w:tcPr>
            <w:tcW w:w="532" w:type="pct"/>
          </w:tcPr>
          <w:p w14:paraId="37C03737"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611819</w:t>
            </w:r>
          </w:p>
        </w:tc>
        <w:tc>
          <w:tcPr>
            <w:tcW w:w="530" w:type="pct"/>
          </w:tcPr>
          <w:p w14:paraId="6412FAB1"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&lt;0.1%</w:t>
            </w:r>
          </w:p>
        </w:tc>
      </w:tr>
      <w:tr w:rsidR="00FD04F7" w:rsidRPr="00B16B0E" w14:paraId="7596E54C" w14:textId="77777777" w:rsidTr="00FD04F7">
        <w:trPr>
          <w:cantSplit/>
        </w:trPr>
        <w:tc>
          <w:tcPr>
            <w:tcW w:w="557" w:type="pct"/>
          </w:tcPr>
          <w:p w14:paraId="6DD02CF6" w14:textId="77777777" w:rsidR="00FD04F7" w:rsidRPr="00B16B0E" w:rsidRDefault="00FD04F7" w:rsidP="00B16B0E">
            <w:pPr>
              <w:rPr>
                <w:rFonts w:ascii="Arial Narrow" w:hAnsi="Arial Narrow"/>
                <w:i/>
                <w:sz w:val="17"/>
                <w:szCs w:val="17"/>
              </w:rPr>
            </w:pPr>
            <w:r w:rsidRPr="00B16B0E">
              <w:rPr>
                <w:rFonts w:ascii="Arial Narrow" w:hAnsi="Arial Narrow"/>
                <w:i/>
                <w:sz w:val="17"/>
                <w:szCs w:val="17"/>
              </w:rPr>
              <w:t>AKAP9</w:t>
            </w:r>
          </w:p>
        </w:tc>
        <w:tc>
          <w:tcPr>
            <w:tcW w:w="483" w:type="pct"/>
          </w:tcPr>
          <w:p w14:paraId="6659C869"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604001</w:t>
            </w:r>
          </w:p>
        </w:tc>
        <w:tc>
          <w:tcPr>
            <w:tcW w:w="483" w:type="pct"/>
          </w:tcPr>
          <w:p w14:paraId="1D6A457B"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AD</w:t>
            </w:r>
          </w:p>
        </w:tc>
        <w:tc>
          <w:tcPr>
            <w:tcW w:w="1245" w:type="pct"/>
            <w:gridSpan w:val="2"/>
          </w:tcPr>
          <w:p w14:paraId="10F8314A"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A-kinase anchor protein 9</w:t>
            </w:r>
          </w:p>
        </w:tc>
        <w:tc>
          <w:tcPr>
            <w:tcW w:w="616" w:type="pct"/>
          </w:tcPr>
          <w:p w14:paraId="1C87A0CD"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Loss of function</w:t>
            </w:r>
          </w:p>
        </w:tc>
        <w:tc>
          <w:tcPr>
            <w:tcW w:w="554" w:type="pct"/>
          </w:tcPr>
          <w:p w14:paraId="1A30A5CD"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LQT11</w:t>
            </w:r>
          </w:p>
        </w:tc>
        <w:tc>
          <w:tcPr>
            <w:tcW w:w="532" w:type="pct"/>
          </w:tcPr>
          <w:p w14:paraId="57556E55"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611820</w:t>
            </w:r>
          </w:p>
        </w:tc>
        <w:tc>
          <w:tcPr>
            <w:tcW w:w="530" w:type="pct"/>
          </w:tcPr>
          <w:p w14:paraId="037689F3"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&lt;0.1%</w:t>
            </w:r>
          </w:p>
        </w:tc>
      </w:tr>
      <w:tr w:rsidR="00FD04F7" w:rsidRPr="00B16B0E" w14:paraId="3AA9CD14" w14:textId="77777777" w:rsidTr="00FD04F7">
        <w:trPr>
          <w:cantSplit/>
        </w:trPr>
        <w:tc>
          <w:tcPr>
            <w:tcW w:w="557" w:type="pct"/>
          </w:tcPr>
          <w:p w14:paraId="38E79364" w14:textId="77777777" w:rsidR="00FD04F7" w:rsidRPr="00B16B0E" w:rsidRDefault="00FD04F7" w:rsidP="00B16B0E">
            <w:pPr>
              <w:rPr>
                <w:rFonts w:ascii="Arial Narrow" w:hAnsi="Arial Narrow"/>
                <w:i/>
                <w:sz w:val="17"/>
                <w:szCs w:val="17"/>
              </w:rPr>
            </w:pPr>
            <w:r w:rsidRPr="00B16B0E">
              <w:rPr>
                <w:rFonts w:ascii="Arial Narrow" w:hAnsi="Arial Narrow"/>
                <w:i/>
                <w:sz w:val="17"/>
                <w:szCs w:val="17"/>
              </w:rPr>
              <w:t>SNTA1</w:t>
            </w:r>
          </w:p>
        </w:tc>
        <w:tc>
          <w:tcPr>
            <w:tcW w:w="483" w:type="pct"/>
          </w:tcPr>
          <w:p w14:paraId="270E23B2"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601017</w:t>
            </w:r>
          </w:p>
        </w:tc>
        <w:tc>
          <w:tcPr>
            <w:tcW w:w="483" w:type="pct"/>
          </w:tcPr>
          <w:p w14:paraId="647C1843"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AD</w:t>
            </w:r>
          </w:p>
        </w:tc>
        <w:tc>
          <w:tcPr>
            <w:tcW w:w="1245" w:type="pct"/>
            <w:gridSpan w:val="2"/>
          </w:tcPr>
          <w:p w14:paraId="07BBAFD0"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Syntrophin α1</w:t>
            </w:r>
          </w:p>
        </w:tc>
        <w:tc>
          <w:tcPr>
            <w:tcW w:w="616" w:type="pct"/>
          </w:tcPr>
          <w:p w14:paraId="46548080"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Gain of function</w:t>
            </w:r>
          </w:p>
        </w:tc>
        <w:tc>
          <w:tcPr>
            <w:tcW w:w="554" w:type="pct"/>
          </w:tcPr>
          <w:p w14:paraId="32D28259"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LQT12</w:t>
            </w:r>
          </w:p>
        </w:tc>
        <w:tc>
          <w:tcPr>
            <w:tcW w:w="532" w:type="pct"/>
          </w:tcPr>
          <w:p w14:paraId="50DF4D9F"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612955</w:t>
            </w:r>
          </w:p>
        </w:tc>
        <w:tc>
          <w:tcPr>
            <w:tcW w:w="530" w:type="pct"/>
          </w:tcPr>
          <w:p w14:paraId="21B1BCEE"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&lt;0.1%</w:t>
            </w:r>
          </w:p>
        </w:tc>
      </w:tr>
      <w:tr w:rsidR="00FD04F7" w:rsidRPr="00B16B0E" w14:paraId="72DA69D4" w14:textId="77777777" w:rsidTr="00FD04F7">
        <w:trPr>
          <w:cantSplit/>
        </w:trPr>
        <w:tc>
          <w:tcPr>
            <w:tcW w:w="557" w:type="pct"/>
          </w:tcPr>
          <w:p w14:paraId="1F2D5135" w14:textId="77777777" w:rsidR="00FD04F7" w:rsidRPr="00B16B0E" w:rsidRDefault="00FD04F7" w:rsidP="00B16B0E">
            <w:pPr>
              <w:rPr>
                <w:rFonts w:ascii="Arial Narrow" w:hAnsi="Arial Narrow"/>
                <w:i/>
                <w:sz w:val="17"/>
                <w:szCs w:val="17"/>
              </w:rPr>
            </w:pPr>
            <w:r w:rsidRPr="00B16B0E">
              <w:rPr>
                <w:rFonts w:ascii="Arial Narrow" w:hAnsi="Arial Narrow"/>
                <w:i/>
                <w:sz w:val="17"/>
                <w:szCs w:val="17"/>
              </w:rPr>
              <w:t>KCNJ5</w:t>
            </w:r>
          </w:p>
        </w:tc>
        <w:tc>
          <w:tcPr>
            <w:tcW w:w="483" w:type="pct"/>
          </w:tcPr>
          <w:p w14:paraId="28912909"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600734</w:t>
            </w:r>
          </w:p>
        </w:tc>
        <w:tc>
          <w:tcPr>
            <w:tcW w:w="483" w:type="pct"/>
          </w:tcPr>
          <w:p w14:paraId="63DFFC62"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AD</w:t>
            </w:r>
          </w:p>
        </w:tc>
        <w:tc>
          <w:tcPr>
            <w:tcW w:w="1245" w:type="pct"/>
            <w:gridSpan w:val="2"/>
          </w:tcPr>
          <w:p w14:paraId="22E22BB2"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Kir 3.4 subunit of I</w:t>
            </w:r>
            <w:r w:rsidRPr="00B16B0E">
              <w:rPr>
                <w:rFonts w:ascii="Arial Narrow" w:hAnsi="Arial Narrow"/>
                <w:sz w:val="17"/>
                <w:szCs w:val="17"/>
                <w:vertAlign w:val="subscript"/>
              </w:rPr>
              <w:t>KAch</w:t>
            </w:r>
            <w:r w:rsidRPr="00B16B0E">
              <w:rPr>
                <w:rFonts w:ascii="Arial Narrow" w:hAnsi="Arial Narrow"/>
                <w:sz w:val="17"/>
                <w:szCs w:val="17"/>
              </w:rPr>
              <w:t xml:space="preserve"> channel</w:t>
            </w:r>
          </w:p>
        </w:tc>
        <w:tc>
          <w:tcPr>
            <w:tcW w:w="616" w:type="pct"/>
          </w:tcPr>
          <w:p w14:paraId="59B31B50"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Loss of function</w:t>
            </w:r>
          </w:p>
        </w:tc>
        <w:tc>
          <w:tcPr>
            <w:tcW w:w="554" w:type="pct"/>
          </w:tcPr>
          <w:p w14:paraId="472BA920"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LQT13</w:t>
            </w:r>
          </w:p>
        </w:tc>
        <w:tc>
          <w:tcPr>
            <w:tcW w:w="532" w:type="pct"/>
          </w:tcPr>
          <w:p w14:paraId="7103FB07"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613485</w:t>
            </w:r>
          </w:p>
        </w:tc>
        <w:tc>
          <w:tcPr>
            <w:tcW w:w="530" w:type="pct"/>
          </w:tcPr>
          <w:p w14:paraId="40C2238B"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&lt;0.1%</w:t>
            </w:r>
          </w:p>
        </w:tc>
      </w:tr>
      <w:tr w:rsidR="00FD04F7" w:rsidRPr="00B16B0E" w14:paraId="6DC22609" w14:textId="77777777" w:rsidTr="00FD04F7">
        <w:trPr>
          <w:cantSplit/>
        </w:trPr>
        <w:tc>
          <w:tcPr>
            <w:tcW w:w="557" w:type="pct"/>
          </w:tcPr>
          <w:p w14:paraId="401ADE28" w14:textId="77777777" w:rsidR="00FD04F7" w:rsidRPr="00B16B0E" w:rsidRDefault="00FD04F7" w:rsidP="00B16B0E">
            <w:pPr>
              <w:rPr>
                <w:rFonts w:ascii="Arial Narrow" w:hAnsi="Arial Narrow"/>
                <w:i/>
                <w:sz w:val="17"/>
                <w:szCs w:val="17"/>
              </w:rPr>
            </w:pPr>
            <w:r w:rsidRPr="00B16B0E">
              <w:rPr>
                <w:rFonts w:ascii="Arial Narrow" w:hAnsi="Arial Narrow"/>
                <w:i/>
                <w:sz w:val="17"/>
                <w:szCs w:val="17"/>
              </w:rPr>
              <w:t>CALM1</w:t>
            </w:r>
          </w:p>
        </w:tc>
        <w:tc>
          <w:tcPr>
            <w:tcW w:w="483" w:type="pct"/>
          </w:tcPr>
          <w:p w14:paraId="61C96CFC"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114180</w:t>
            </w:r>
          </w:p>
        </w:tc>
        <w:tc>
          <w:tcPr>
            <w:tcW w:w="483" w:type="pct"/>
          </w:tcPr>
          <w:p w14:paraId="0766F231"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AD</w:t>
            </w:r>
          </w:p>
        </w:tc>
        <w:tc>
          <w:tcPr>
            <w:tcW w:w="1245" w:type="pct"/>
            <w:gridSpan w:val="2"/>
          </w:tcPr>
          <w:p w14:paraId="1365F1D5"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Calmodulin 1</w:t>
            </w:r>
          </w:p>
        </w:tc>
        <w:tc>
          <w:tcPr>
            <w:tcW w:w="616" w:type="pct"/>
          </w:tcPr>
          <w:p w14:paraId="48FB3C6A"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Loss of function</w:t>
            </w:r>
          </w:p>
        </w:tc>
        <w:tc>
          <w:tcPr>
            <w:tcW w:w="554" w:type="pct"/>
          </w:tcPr>
          <w:p w14:paraId="694985A6"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LQT14</w:t>
            </w:r>
          </w:p>
        </w:tc>
        <w:tc>
          <w:tcPr>
            <w:tcW w:w="532" w:type="pct"/>
          </w:tcPr>
          <w:p w14:paraId="449914A9"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616247</w:t>
            </w:r>
          </w:p>
        </w:tc>
        <w:tc>
          <w:tcPr>
            <w:tcW w:w="530" w:type="pct"/>
          </w:tcPr>
          <w:p w14:paraId="3FBA6BB0"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&lt;0.1%</w:t>
            </w:r>
          </w:p>
        </w:tc>
      </w:tr>
      <w:tr w:rsidR="00FD04F7" w:rsidRPr="00B16B0E" w14:paraId="151B3307" w14:textId="77777777" w:rsidTr="00FD04F7">
        <w:trPr>
          <w:cantSplit/>
        </w:trPr>
        <w:tc>
          <w:tcPr>
            <w:tcW w:w="557" w:type="pct"/>
          </w:tcPr>
          <w:p w14:paraId="4C3A2513" w14:textId="77777777" w:rsidR="00FD04F7" w:rsidRPr="00B16B0E" w:rsidRDefault="00FD04F7" w:rsidP="00B16B0E">
            <w:pPr>
              <w:rPr>
                <w:rFonts w:ascii="Arial Narrow" w:hAnsi="Arial Narrow"/>
                <w:i/>
                <w:sz w:val="17"/>
                <w:szCs w:val="17"/>
              </w:rPr>
            </w:pPr>
            <w:r w:rsidRPr="00B16B0E">
              <w:rPr>
                <w:rFonts w:ascii="Arial Narrow" w:hAnsi="Arial Narrow"/>
                <w:i/>
                <w:sz w:val="17"/>
                <w:szCs w:val="17"/>
              </w:rPr>
              <w:t>CALM2</w:t>
            </w:r>
          </w:p>
        </w:tc>
        <w:tc>
          <w:tcPr>
            <w:tcW w:w="483" w:type="pct"/>
          </w:tcPr>
          <w:p w14:paraId="6DAD22D7"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114182</w:t>
            </w:r>
          </w:p>
        </w:tc>
        <w:tc>
          <w:tcPr>
            <w:tcW w:w="483" w:type="pct"/>
          </w:tcPr>
          <w:p w14:paraId="261E8340"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AD</w:t>
            </w:r>
          </w:p>
        </w:tc>
        <w:tc>
          <w:tcPr>
            <w:tcW w:w="1245" w:type="pct"/>
            <w:gridSpan w:val="2"/>
          </w:tcPr>
          <w:p w14:paraId="7B9DEC83"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Calmodulin 2</w:t>
            </w:r>
          </w:p>
        </w:tc>
        <w:tc>
          <w:tcPr>
            <w:tcW w:w="616" w:type="pct"/>
          </w:tcPr>
          <w:p w14:paraId="74875B9E"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Loss of function</w:t>
            </w:r>
          </w:p>
        </w:tc>
        <w:tc>
          <w:tcPr>
            <w:tcW w:w="554" w:type="pct"/>
          </w:tcPr>
          <w:p w14:paraId="07D2AA52"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LQT15</w:t>
            </w:r>
          </w:p>
        </w:tc>
        <w:tc>
          <w:tcPr>
            <w:tcW w:w="532" w:type="pct"/>
          </w:tcPr>
          <w:p w14:paraId="37DCD140"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616249</w:t>
            </w:r>
          </w:p>
        </w:tc>
        <w:tc>
          <w:tcPr>
            <w:tcW w:w="530" w:type="pct"/>
          </w:tcPr>
          <w:p w14:paraId="2D544657"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&lt;0.1%</w:t>
            </w:r>
          </w:p>
        </w:tc>
      </w:tr>
      <w:tr w:rsidR="00FD04F7" w:rsidRPr="00B16B0E" w14:paraId="2DCAB9C6" w14:textId="77777777" w:rsidTr="00FD04F7">
        <w:trPr>
          <w:cantSplit/>
        </w:trPr>
        <w:tc>
          <w:tcPr>
            <w:tcW w:w="5000" w:type="pct"/>
            <w:gridSpan w:val="9"/>
          </w:tcPr>
          <w:p w14:paraId="4F814897" w14:textId="77777777" w:rsidR="00FD04F7" w:rsidRPr="00B16B0E" w:rsidRDefault="00FD04F7" w:rsidP="00B16B0E">
            <w:pPr>
              <w:pStyle w:val="TableHeading"/>
              <w:rPr>
                <w:sz w:val="17"/>
                <w:szCs w:val="17"/>
              </w:rPr>
            </w:pPr>
            <w:r w:rsidRPr="00B16B0E">
              <w:rPr>
                <w:sz w:val="17"/>
                <w:szCs w:val="17"/>
              </w:rPr>
              <w:t>JLNS</w:t>
            </w:r>
          </w:p>
        </w:tc>
      </w:tr>
      <w:tr w:rsidR="00FD04F7" w:rsidRPr="00B16B0E" w14:paraId="076F232C" w14:textId="77777777" w:rsidTr="00FD04F7">
        <w:trPr>
          <w:cantSplit/>
        </w:trPr>
        <w:tc>
          <w:tcPr>
            <w:tcW w:w="557" w:type="pct"/>
          </w:tcPr>
          <w:p w14:paraId="5545B081" w14:textId="77777777" w:rsidR="00FD04F7" w:rsidRPr="00B16B0E" w:rsidRDefault="00FD04F7" w:rsidP="00B16B0E">
            <w:pPr>
              <w:rPr>
                <w:rFonts w:ascii="Arial Narrow" w:hAnsi="Arial Narrow"/>
                <w:i/>
                <w:sz w:val="17"/>
                <w:szCs w:val="17"/>
              </w:rPr>
            </w:pPr>
            <w:r w:rsidRPr="00B16B0E">
              <w:rPr>
                <w:rFonts w:ascii="Arial Narrow" w:hAnsi="Arial Narrow"/>
                <w:b/>
                <w:i/>
                <w:sz w:val="17"/>
                <w:szCs w:val="17"/>
              </w:rPr>
              <w:t>KCNQ1</w:t>
            </w:r>
          </w:p>
        </w:tc>
        <w:tc>
          <w:tcPr>
            <w:tcW w:w="483" w:type="pct"/>
          </w:tcPr>
          <w:p w14:paraId="6D911AF4"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607542</w:t>
            </w:r>
          </w:p>
        </w:tc>
        <w:tc>
          <w:tcPr>
            <w:tcW w:w="483" w:type="pct"/>
          </w:tcPr>
          <w:p w14:paraId="72C3F787"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AR</w:t>
            </w:r>
          </w:p>
        </w:tc>
        <w:tc>
          <w:tcPr>
            <w:tcW w:w="1245" w:type="pct"/>
            <w:gridSpan w:val="2"/>
          </w:tcPr>
          <w:p w14:paraId="62FBDDAB"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K</w:t>
            </w:r>
            <w:r w:rsidRPr="00B16B0E">
              <w:rPr>
                <w:rFonts w:ascii="Arial Narrow" w:hAnsi="Arial Narrow"/>
                <w:sz w:val="17"/>
                <w:szCs w:val="17"/>
                <w:vertAlign w:val="subscript"/>
              </w:rPr>
              <w:t>v</w:t>
            </w:r>
            <w:r w:rsidRPr="00B16B0E">
              <w:rPr>
                <w:rFonts w:ascii="Arial Narrow" w:hAnsi="Arial Narrow"/>
                <w:sz w:val="17"/>
                <w:szCs w:val="17"/>
              </w:rPr>
              <w:t>7.1</w:t>
            </w:r>
          </w:p>
        </w:tc>
        <w:tc>
          <w:tcPr>
            <w:tcW w:w="616" w:type="pct"/>
          </w:tcPr>
          <w:p w14:paraId="7373CB0D"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Loss of function</w:t>
            </w:r>
          </w:p>
        </w:tc>
        <w:tc>
          <w:tcPr>
            <w:tcW w:w="554" w:type="pct"/>
          </w:tcPr>
          <w:p w14:paraId="3C419B13"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JLN1</w:t>
            </w:r>
          </w:p>
        </w:tc>
        <w:tc>
          <w:tcPr>
            <w:tcW w:w="532" w:type="pct"/>
          </w:tcPr>
          <w:p w14:paraId="3BE6EA5D"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220400</w:t>
            </w:r>
          </w:p>
        </w:tc>
        <w:tc>
          <w:tcPr>
            <w:tcW w:w="530" w:type="pct"/>
          </w:tcPr>
          <w:p w14:paraId="24B9D00C"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90%</w:t>
            </w:r>
          </w:p>
        </w:tc>
      </w:tr>
      <w:tr w:rsidR="00FD04F7" w:rsidRPr="00B16B0E" w14:paraId="18FBF291" w14:textId="77777777" w:rsidTr="00FD04F7">
        <w:trPr>
          <w:cantSplit/>
        </w:trPr>
        <w:tc>
          <w:tcPr>
            <w:tcW w:w="557" w:type="pct"/>
          </w:tcPr>
          <w:p w14:paraId="4DA4F50C" w14:textId="77777777" w:rsidR="00FD04F7" w:rsidRPr="00B16B0E" w:rsidRDefault="00FD04F7" w:rsidP="00B16B0E">
            <w:pPr>
              <w:rPr>
                <w:rFonts w:ascii="Arial Narrow" w:hAnsi="Arial Narrow"/>
                <w:i/>
                <w:sz w:val="17"/>
                <w:szCs w:val="17"/>
              </w:rPr>
            </w:pPr>
            <w:r w:rsidRPr="00B16B0E">
              <w:rPr>
                <w:rFonts w:ascii="Arial Narrow" w:hAnsi="Arial Narrow"/>
                <w:b/>
                <w:i/>
                <w:sz w:val="17"/>
                <w:szCs w:val="17"/>
              </w:rPr>
              <w:t>KCNE1</w:t>
            </w:r>
          </w:p>
        </w:tc>
        <w:tc>
          <w:tcPr>
            <w:tcW w:w="483" w:type="pct"/>
          </w:tcPr>
          <w:p w14:paraId="4C59B1B0"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176261</w:t>
            </w:r>
          </w:p>
        </w:tc>
        <w:tc>
          <w:tcPr>
            <w:tcW w:w="483" w:type="pct"/>
          </w:tcPr>
          <w:p w14:paraId="28028F18"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AR</w:t>
            </w:r>
          </w:p>
        </w:tc>
        <w:tc>
          <w:tcPr>
            <w:tcW w:w="1245" w:type="pct"/>
            <w:gridSpan w:val="2"/>
          </w:tcPr>
          <w:p w14:paraId="0538639D"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MinK</w:t>
            </w:r>
          </w:p>
        </w:tc>
        <w:tc>
          <w:tcPr>
            <w:tcW w:w="616" w:type="pct"/>
          </w:tcPr>
          <w:p w14:paraId="5F5233FB"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Loss of function</w:t>
            </w:r>
          </w:p>
        </w:tc>
        <w:tc>
          <w:tcPr>
            <w:tcW w:w="554" w:type="pct"/>
          </w:tcPr>
          <w:p w14:paraId="6FA11BFE"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JLN2</w:t>
            </w:r>
          </w:p>
        </w:tc>
        <w:tc>
          <w:tcPr>
            <w:tcW w:w="532" w:type="pct"/>
          </w:tcPr>
          <w:p w14:paraId="12BBCA20"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612347</w:t>
            </w:r>
          </w:p>
        </w:tc>
        <w:tc>
          <w:tcPr>
            <w:tcW w:w="530" w:type="pct"/>
          </w:tcPr>
          <w:p w14:paraId="4945E200"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&lt;10%</w:t>
            </w:r>
          </w:p>
        </w:tc>
      </w:tr>
      <w:tr w:rsidR="00FD04F7" w:rsidRPr="00B16B0E" w14:paraId="74DB00CD" w14:textId="77777777" w:rsidTr="00FD04F7">
        <w:trPr>
          <w:cantSplit/>
        </w:trPr>
        <w:tc>
          <w:tcPr>
            <w:tcW w:w="1523" w:type="pct"/>
            <w:gridSpan w:val="3"/>
            <w:tcBorders>
              <w:right w:val="nil"/>
            </w:tcBorders>
          </w:tcPr>
          <w:p w14:paraId="149572FB" w14:textId="77777777" w:rsidR="00FD04F7" w:rsidRPr="00B16B0E" w:rsidRDefault="00FD04F7" w:rsidP="00B16B0E">
            <w:pPr>
              <w:pStyle w:val="TableHeading"/>
              <w:rPr>
                <w:sz w:val="17"/>
                <w:szCs w:val="17"/>
              </w:rPr>
            </w:pPr>
            <w:r w:rsidRPr="00B16B0E">
              <w:rPr>
                <w:sz w:val="17"/>
                <w:szCs w:val="17"/>
              </w:rPr>
              <w:t>Brugada syndrome</w:t>
            </w:r>
          </w:p>
        </w:tc>
        <w:tc>
          <w:tcPr>
            <w:tcW w:w="99" w:type="pct"/>
            <w:tcBorders>
              <w:left w:val="nil"/>
              <w:right w:val="nil"/>
            </w:tcBorders>
          </w:tcPr>
          <w:p w14:paraId="4468B38B" w14:textId="77777777" w:rsidR="00FD04F7" w:rsidRPr="00B16B0E" w:rsidRDefault="00FD04F7" w:rsidP="00B16B0E">
            <w:pPr>
              <w:rPr>
                <w:rFonts w:ascii="Arial Narrow" w:hAnsi="Arial Narrow"/>
                <w:b/>
                <w:sz w:val="17"/>
                <w:szCs w:val="17"/>
              </w:rPr>
            </w:pPr>
          </w:p>
        </w:tc>
        <w:tc>
          <w:tcPr>
            <w:tcW w:w="1146" w:type="pct"/>
            <w:tcBorders>
              <w:left w:val="nil"/>
              <w:right w:val="nil"/>
            </w:tcBorders>
          </w:tcPr>
          <w:p w14:paraId="7FBCA359" w14:textId="77777777" w:rsidR="00FD04F7" w:rsidRPr="00B16B0E" w:rsidRDefault="00FD04F7" w:rsidP="00B16B0E">
            <w:pPr>
              <w:rPr>
                <w:rFonts w:ascii="Arial Narrow" w:hAnsi="Arial Narrow"/>
                <w:b/>
                <w:sz w:val="17"/>
                <w:szCs w:val="17"/>
              </w:rPr>
            </w:pPr>
          </w:p>
        </w:tc>
        <w:tc>
          <w:tcPr>
            <w:tcW w:w="616" w:type="pct"/>
            <w:tcBorders>
              <w:left w:val="nil"/>
              <w:right w:val="nil"/>
            </w:tcBorders>
          </w:tcPr>
          <w:p w14:paraId="02D394F5" w14:textId="77777777" w:rsidR="00FD04F7" w:rsidRPr="00B16B0E" w:rsidRDefault="00FD04F7" w:rsidP="00B16B0E">
            <w:pPr>
              <w:rPr>
                <w:rFonts w:ascii="Arial Narrow" w:hAnsi="Arial Narrow"/>
                <w:b/>
                <w:sz w:val="17"/>
                <w:szCs w:val="17"/>
              </w:rPr>
            </w:pPr>
          </w:p>
        </w:tc>
        <w:tc>
          <w:tcPr>
            <w:tcW w:w="554" w:type="pct"/>
            <w:tcBorders>
              <w:left w:val="nil"/>
              <w:right w:val="nil"/>
            </w:tcBorders>
          </w:tcPr>
          <w:p w14:paraId="0A0625CB" w14:textId="77777777" w:rsidR="00FD04F7" w:rsidRPr="00B16B0E" w:rsidRDefault="00FD04F7" w:rsidP="00B16B0E">
            <w:pPr>
              <w:rPr>
                <w:rFonts w:ascii="Arial Narrow" w:hAnsi="Arial Narrow"/>
                <w:b/>
                <w:sz w:val="17"/>
                <w:szCs w:val="17"/>
              </w:rPr>
            </w:pPr>
          </w:p>
        </w:tc>
        <w:tc>
          <w:tcPr>
            <w:tcW w:w="532" w:type="pct"/>
            <w:tcBorders>
              <w:left w:val="nil"/>
              <w:right w:val="nil"/>
            </w:tcBorders>
          </w:tcPr>
          <w:p w14:paraId="28E4855C" w14:textId="77777777" w:rsidR="00FD04F7" w:rsidRPr="00B16B0E" w:rsidRDefault="00FD04F7" w:rsidP="00B16B0E">
            <w:pPr>
              <w:rPr>
                <w:rFonts w:ascii="Arial Narrow" w:hAnsi="Arial Narrow"/>
                <w:b/>
                <w:sz w:val="17"/>
                <w:szCs w:val="17"/>
              </w:rPr>
            </w:pPr>
          </w:p>
        </w:tc>
        <w:tc>
          <w:tcPr>
            <w:tcW w:w="530" w:type="pct"/>
            <w:tcBorders>
              <w:left w:val="nil"/>
            </w:tcBorders>
          </w:tcPr>
          <w:p w14:paraId="61DCF61F" w14:textId="77777777" w:rsidR="00FD04F7" w:rsidRPr="00B16B0E" w:rsidRDefault="00FD04F7" w:rsidP="00B16B0E">
            <w:pPr>
              <w:rPr>
                <w:rFonts w:ascii="Arial Narrow" w:hAnsi="Arial Narrow"/>
                <w:b/>
                <w:sz w:val="17"/>
                <w:szCs w:val="17"/>
              </w:rPr>
            </w:pPr>
          </w:p>
        </w:tc>
      </w:tr>
      <w:tr w:rsidR="00FD04F7" w:rsidRPr="00B16B0E" w14:paraId="40571FBF" w14:textId="77777777" w:rsidTr="00FD04F7">
        <w:trPr>
          <w:cantSplit/>
        </w:trPr>
        <w:tc>
          <w:tcPr>
            <w:tcW w:w="557" w:type="pct"/>
            <w:tcBorders>
              <w:bottom w:val="single" w:sz="4" w:space="0" w:color="auto"/>
            </w:tcBorders>
          </w:tcPr>
          <w:p w14:paraId="10BAB276" w14:textId="77777777" w:rsidR="00FD04F7" w:rsidRPr="00B16B0E" w:rsidRDefault="00FD04F7" w:rsidP="00B16B0E">
            <w:pPr>
              <w:rPr>
                <w:rFonts w:ascii="Arial Narrow" w:hAnsi="Arial Narrow"/>
                <w:b/>
                <w:i/>
                <w:sz w:val="17"/>
                <w:szCs w:val="17"/>
              </w:rPr>
            </w:pPr>
            <w:r w:rsidRPr="00B16B0E">
              <w:rPr>
                <w:rFonts w:ascii="Arial Narrow" w:hAnsi="Arial Narrow"/>
                <w:b/>
                <w:i/>
                <w:sz w:val="17"/>
                <w:szCs w:val="17"/>
              </w:rPr>
              <w:t>SCN5A</w:t>
            </w:r>
          </w:p>
        </w:tc>
        <w:tc>
          <w:tcPr>
            <w:tcW w:w="483" w:type="pct"/>
            <w:tcBorders>
              <w:bottom w:val="single" w:sz="4" w:space="0" w:color="auto"/>
            </w:tcBorders>
          </w:tcPr>
          <w:p w14:paraId="655D0140"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600163</w:t>
            </w:r>
          </w:p>
        </w:tc>
        <w:tc>
          <w:tcPr>
            <w:tcW w:w="483" w:type="pct"/>
            <w:tcBorders>
              <w:bottom w:val="single" w:sz="4" w:space="0" w:color="auto"/>
            </w:tcBorders>
          </w:tcPr>
          <w:p w14:paraId="3C05F0C8"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AD</w:t>
            </w:r>
          </w:p>
        </w:tc>
        <w:tc>
          <w:tcPr>
            <w:tcW w:w="1245" w:type="pct"/>
            <w:gridSpan w:val="2"/>
            <w:tcBorders>
              <w:bottom w:val="single" w:sz="4" w:space="0" w:color="auto"/>
            </w:tcBorders>
          </w:tcPr>
          <w:p w14:paraId="4AF2FE26"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Na</w:t>
            </w:r>
            <w:r w:rsidRPr="00B16B0E">
              <w:rPr>
                <w:rFonts w:ascii="Arial Narrow" w:hAnsi="Arial Narrow"/>
                <w:sz w:val="17"/>
                <w:szCs w:val="17"/>
                <w:vertAlign w:val="subscript"/>
              </w:rPr>
              <w:t>v</w:t>
            </w:r>
            <w:r w:rsidRPr="00B16B0E">
              <w:rPr>
                <w:rFonts w:ascii="Arial Narrow" w:hAnsi="Arial Narrow"/>
                <w:sz w:val="17"/>
                <w:szCs w:val="17"/>
              </w:rPr>
              <w:t xml:space="preserve"> α5 subunit</w:t>
            </w:r>
          </w:p>
        </w:tc>
        <w:tc>
          <w:tcPr>
            <w:tcW w:w="616" w:type="pct"/>
            <w:tcBorders>
              <w:bottom w:val="single" w:sz="4" w:space="0" w:color="auto"/>
            </w:tcBorders>
          </w:tcPr>
          <w:p w14:paraId="670CDB4F"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Loss of function</w:t>
            </w:r>
          </w:p>
        </w:tc>
        <w:tc>
          <w:tcPr>
            <w:tcW w:w="554" w:type="pct"/>
            <w:tcBorders>
              <w:bottom w:val="single" w:sz="4" w:space="0" w:color="auto"/>
            </w:tcBorders>
          </w:tcPr>
          <w:p w14:paraId="734647ED"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BrS1</w:t>
            </w:r>
          </w:p>
        </w:tc>
        <w:tc>
          <w:tcPr>
            <w:tcW w:w="532" w:type="pct"/>
            <w:tcBorders>
              <w:bottom w:val="single" w:sz="4" w:space="0" w:color="auto"/>
            </w:tcBorders>
          </w:tcPr>
          <w:p w14:paraId="6A425451"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601144</w:t>
            </w:r>
          </w:p>
        </w:tc>
        <w:tc>
          <w:tcPr>
            <w:tcW w:w="530" w:type="pct"/>
            <w:tcBorders>
              <w:bottom w:val="single" w:sz="4" w:space="0" w:color="auto"/>
            </w:tcBorders>
          </w:tcPr>
          <w:p w14:paraId="0DA9A622"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20–30%</w:t>
            </w:r>
          </w:p>
        </w:tc>
      </w:tr>
      <w:tr w:rsidR="00FD04F7" w:rsidRPr="00B16B0E" w14:paraId="0FEBEAC1" w14:textId="77777777" w:rsidTr="00FD04F7">
        <w:trPr>
          <w:cantSplit/>
        </w:trPr>
        <w:tc>
          <w:tcPr>
            <w:tcW w:w="557" w:type="pct"/>
            <w:tcBorders>
              <w:bottom w:val="single" w:sz="4" w:space="0" w:color="auto"/>
            </w:tcBorders>
          </w:tcPr>
          <w:p w14:paraId="6969C178" w14:textId="77777777" w:rsidR="00FD04F7" w:rsidRPr="00B16B0E" w:rsidRDefault="00FD04F7" w:rsidP="00B16B0E">
            <w:pPr>
              <w:rPr>
                <w:rFonts w:ascii="Arial Narrow" w:hAnsi="Arial Narrow"/>
                <w:i/>
                <w:sz w:val="17"/>
                <w:szCs w:val="17"/>
              </w:rPr>
            </w:pPr>
            <w:r w:rsidRPr="00B16B0E">
              <w:rPr>
                <w:rFonts w:ascii="Arial Narrow" w:hAnsi="Arial Narrow"/>
                <w:i/>
                <w:sz w:val="17"/>
                <w:szCs w:val="17"/>
              </w:rPr>
              <w:t>CACNA1C</w:t>
            </w:r>
          </w:p>
        </w:tc>
        <w:tc>
          <w:tcPr>
            <w:tcW w:w="483" w:type="pct"/>
            <w:tcBorders>
              <w:bottom w:val="single" w:sz="4" w:space="0" w:color="auto"/>
            </w:tcBorders>
          </w:tcPr>
          <w:p w14:paraId="193005B1"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114205</w:t>
            </w:r>
          </w:p>
        </w:tc>
        <w:tc>
          <w:tcPr>
            <w:tcW w:w="483" w:type="pct"/>
            <w:tcBorders>
              <w:bottom w:val="single" w:sz="4" w:space="0" w:color="auto"/>
            </w:tcBorders>
          </w:tcPr>
          <w:p w14:paraId="62571CC2"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AD</w:t>
            </w:r>
          </w:p>
        </w:tc>
        <w:tc>
          <w:tcPr>
            <w:tcW w:w="1245" w:type="pct"/>
            <w:gridSpan w:val="2"/>
            <w:tcBorders>
              <w:bottom w:val="single" w:sz="4" w:space="0" w:color="auto"/>
            </w:tcBorders>
          </w:tcPr>
          <w:p w14:paraId="42F726ED"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Ca</w:t>
            </w:r>
            <w:r w:rsidRPr="00B16B0E">
              <w:rPr>
                <w:rFonts w:ascii="Arial Narrow" w:hAnsi="Arial Narrow"/>
                <w:sz w:val="17"/>
                <w:szCs w:val="17"/>
                <w:vertAlign w:val="subscript"/>
              </w:rPr>
              <w:t>v</w:t>
            </w:r>
            <w:r w:rsidRPr="00B16B0E">
              <w:rPr>
                <w:rFonts w:ascii="Arial Narrow" w:hAnsi="Arial Narrow"/>
                <w:sz w:val="17"/>
                <w:szCs w:val="17"/>
              </w:rPr>
              <w:t>1.2</w:t>
            </w:r>
          </w:p>
        </w:tc>
        <w:tc>
          <w:tcPr>
            <w:tcW w:w="616" w:type="pct"/>
            <w:tcBorders>
              <w:bottom w:val="single" w:sz="4" w:space="0" w:color="auto"/>
            </w:tcBorders>
          </w:tcPr>
          <w:p w14:paraId="1E9D33E2"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Gain of function</w:t>
            </w:r>
          </w:p>
        </w:tc>
        <w:tc>
          <w:tcPr>
            <w:tcW w:w="554" w:type="pct"/>
            <w:tcBorders>
              <w:bottom w:val="single" w:sz="4" w:space="0" w:color="auto"/>
            </w:tcBorders>
          </w:tcPr>
          <w:p w14:paraId="0FDC1A27"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BrS3</w:t>
            </w:r>
          </w:p>
        </w:tc>
        <w:tc>
          <w:tcPr>
            <w:tcW w:w="532" w:type="pct"/>
            <w:tcBorders>
              <w:bottom w:val="single" w:sz="4" w:space="0" w:color="auto"/>
            </w:tcBorders>
          </w:tcPr>
          <w:p w14:paraId="09E414BA"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611875</w:t>
            </w:r>
          </w:p>
        </w:tc>
        <w:tc>
          <w:tcPr>
            <w:tcW w:w="530" w:type="pct"/>
            <w:tcBorders>
              <w:bottom w:val="single" w:sz="4" w:space="0" w:color="auto"/>
            </w:tcBorders>
          </w:tcPr>
          <w:p w14:paraId="0DFBCCC9"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&lt;1%</w:t>
            </w:r>
          </w:p>
        </w:tc>
      </w:tr>
      <w:tr w:rsidR="00FD04F7" w:rsidRPr="00B16B0E" w14:paraId="7D91FAEC" w14:textId="77777777" w:rsidTr="00FD04F7">
        <w:trPr>
          <w:cantSplit/>
        </w:trPr>
        <w:tc>
          <w:tcPr>
            <w:tcW w:w="1" w:type="pct"/>
            <w:gridSpan w:val="5"/>
            <w:tcBorders>
              <w:right w:val="nil"/>
            </w:tcBorders>
          </w:tcPr>
          <w:p w14:paraId="68999646" w14:textId="77777777" w:rsidR="00FD04F7" w:rsidRPr="00B16B0E" w:rsidRDefault="00FD04F7" w:rsidP="00B16B0E">
            <w:pPr>
              <w:pStyle w:val="TableHeading"/>
              <w:rPr>
                <w:sz w:val="17"/>
                <w:szCs w:val="17"/>
              </w:rPr>
            </w:pPr>
            <w:r w:rsidRPr="00B16B0E">
              <w:rPr>
                <w:sz w:val="17"/>
                <w:szCs w:val="17"/>
              </w:rPr>
              <w:t>CPVT</w:t>
            </w:r>
          </w:p>
        </w:tc>
        <w:tc>
          <w:tcPr>
            <w:tcW w:w="616" w:type="pct"/>
            <w:tcBorders>
              <w:left w:val="nil"/>
              <w:right w:val="nil"/>
            </w:tcBorders>
          </w:tcPr>
          <w:p w14:paraId="6726E30E" w14:textId="77777777" w:rsidR="00FD04F7" w:rsidRPr="00B16B0E" w:rsidRDefault="00FD04F7" w:rsidP="00B16B0E">
            <w:pPr>
              <w:rPr>
                <w:rFonts w:ascii="Arial Narrow" w:hAnsi="Arial Narrow"/>
                <w:sz w:val="17"/>
                <w:szCs w:val="17"/>
              </w:rPr>
            </w:pPr>
          </w:p>
        </w:tc>
        <w:tc>
          <w:tcPr>
            <w:tcW w:w="554" w:type="pct"/>
            <w:tcBorders>
              <w:left w:val="nil"/>
              <w:right w:val="nil"/>
            </w:tcBorders>
          </w:tcPr>
          <w:p w14:paraId="59E171F1" w14:textId="77777777" w:rsidR="00FD04F7" w:rsidRPr="00B16B0E" w:rsidRDefault="00FD04F7" w:rsidP="00B16B0E">
            <w:pPr>
              <w:rPr>
                <w:rFonts w:ascii="Arial Narrow" w:hAnsi="Arial Narrow"/>
                <w:sz w:val="17"/>
                <w:szCs w:val="17"/>
              </w:rPr>
            </w:pPr>
          </w:p>
        </w:tc>
        <w:tc>
          <w:tcPr>
            <w:tcW w:w="532" w:type="pct"/>
            <w:tcBorders>
              <w:left w:val="nil"/>
              <w:right w:val="nil"/>
            </w:tcBorders>
          </w:tcPr>
          <w:p w14:paraId="38DD0CEF" w14:textId="77777777" w:rsidR="00FD04F7" w:rsidRPr="00B16B0E" w:rsidRDefault="00FD04F7" w:rsidP="00B16B0E">
            <w:pPr>
              <w:rPr>
                <w:rFonts w:ascii="Arial Narrow" w:hAnsi="Arial Narrow"/>
                <w:sz w:val="17"/>
                <w:szCs w:val="17"/>
              </w:rPr>
            </w:pPr>
          </w:p>
        </w:tc>
        <w:tc>
          <w:tcPr>
            <w:tcW w:w="530" w:type="pct"/>
            <w:tcBorders>
              <w:left w:val="nil"/>
            </w:tcBorders>
          </w:tcPr>
          <w:p w14:paraId="1345F343" w14:textId="77777777" w:rsidR="00FD04F7" w:rsidRPr="00B16B0E" w:rsidRDefault="00FD04F7" w:rsidP="00B16B0E">
            <w:pPr>
              <w:rPr>
                <w:rFonts w:ascii="Arial Narrow" w:hAnsi="Arial Narrow"/>
                <w:sz w:val="17"/>
                <w:szCs w:val="17"/>
              </w:rPr>
            </w:pPr>
          </w:p>
        </w:tc>
      </w:tr>
      <w:tr w:rsidR="00FD04F7" w:rsidRPr="00B16B0E" w14:paraId="2EB8D964" w14:textId="77777777" w:rsidTr="00FD04F7">
        <w:trPr>
          <w:cantSplit/>
        </w:trPr>
        <w:tc>
          <w:tcPr>
            <w:tcW w:w="557" w:type="pct"/>
          </w:tcPr>
          <w:p w14:paraId="645428AB" w14:textId="77777777" w:rsidR="00FD04F7" w:rsidRPr="00B16B0E" w:rsidRDefault="00FD04F7" w:rsidP="00B16B0E">
            <w:pPr>
              <w:rPr>
                <w:rFonts w:ascii="Arial Narrow" w:hAnsi="Arial Narrow"/>
                <w:b/>
                <w:i/>
                <w:sz w:val="17"/>
                <w:szCs w:val="17"/>
              </w:rPr>
            </w:pPr>
            <w:r w:rsidRPr="00B16B0E">
              <w:rPr>
                <w:rFonts w:ascii="Arial Narrow" w:hAnsi="Arial Narrow"/>
                <w:b/>
                <w:i/>
                <w:sz w:val="17"/>
                <w:szCs w:val="17"/>
              </w:rPr>
              <w:t>RYR2</w:t>
            </w:r>
          </w:p>
        </w:tc>
        <w:tc>
          <w:tcPr>
            <w:tcW w:w="483" w:type="pct"/>
          </w:tcPr>
          <w:p w14:paraId="0BA9088F"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180902</w:t>
            </w:r>
          </w:p>
        </w:tc>
        <w:tc>
          <w:tcPr>
            <w:tcW w:w="483" w:type="pct"/>
          </w:tcPr>
          <w:p w14:paraId="6EBA00A8"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AD</w:t>
            </w:r>
          </w:p>
        </w:tc>
        <w:tc>
          <w:tcPr>
            <w:tcW w:w="1245" w:type="pct"/>
            <w:gridSpan w:val="2"/>
          </w:tcPr>
          <w:p w14:paraId="70B81B66"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Ryanodin receptor 2</w:t>
            </w:r>
          </w:p>
        </w:tc>
        <w:tc>
          <w:tcPr>
            <w:tcW w:w="616" w:type="pct"/>
          </w:tcPr>
          <w:p w14:paraId="62000752"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Loss of function</w:t>
            </w:r>
          </w:p>
        </w:tc>
        <w:tc>
          <w:tcPr>
            <w:tcW w:w="554" w:type="pct"/>
          </w:tcPr>
          <w:p w14:paraId="3625CAF4"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CPVT1</w:t>
            </w:r>
          </w:p>
        </w:tc>
        <w:tc>
          <w:tcPr>
            <w:tcW w:w="532" w:type="pct"/>
          </w:tcPr>
          <w:p w14:paraId="62E7B746"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604772</w:t>
            </w:r>
          </w:p>
        </w:tc>
        <w:tc>
          <w:tcPr>
            <w:tcW w:w="530" w:type="pct"/>
          </w:tcPr>
          <w:p w14:paraId="6E6EE0F4"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55–70%</w:t>
            </w:r>
          </w:p>
        </w:tc>
      </w:tr>
      <w:tr w:rsidR="00FD04F7" w:rsidRPr="00B16B0E" w14:paraId="3D23714F" w14:textId="77777777" w:rsidTr="00FD04F7">
        <w:trPr>
          <w:cantSplit/>
        </w:trPr>
        <w:tc>
          <w:tcPr>
            <w:tcW w:w="557" w:type="pct"/>
          </w:tcPr>
          <w:p w14:paraId="0478A8C6" w14:textId="77777777" w:rsidR="00FD04F7" w:rsidRPr="00B16B0E" w:rsidRDefault="00FD04F7" w:rsidP="00B16B0E">
            <w:pPr>
              <w:rPr>
                <w:rFonts w:ascii="Arial Narrow" w:hAnsi="Arial Narrow"/>
                <w:b/>
                <w:i/>
                <w:sz w:val="17"/>
                <w:szCs w:val="17"/>
              </w:rPr>
            </w:pPr>
            <w:r w:rsidRPr="00B16B0E">
              <w:rPr>
                <w:rFonts w:ascii="Arial Narrow" w:hAnsi="Arial Narrow"/>
                <w:b/>
                <w:i/>
                <w:sz w:val="17"/>
                <w:szCs w:val="17"/>
              </w:rPr>
              <w:t>CASQ2</w:t>
            </w:r>
          </w:p>
        </w:tc>
        <w:tc>
          <w:tcPr>
            <w:tcW w:w="483" w:type="pct"/>
          </w:tcPr>
          <w:p w14:paraId="23EF666F"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114251</w:t>
            </w:r>
          </w:p>
        </w:tc>
        <w:tc>
          <w:tcPr>
            <w:tcW w:w="483" w:type="pct"/>
          </w:tcPr>
          <w:p w14:paraId="32397423"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AR</w:t>
            </w:r>
          </w:p>
        </w:tc>
        <w:tc>
          <w:tcPr>
            <w:tcW w:w="1245" w:type="pct"/>
            <w:gridSpan w:val="2"/>
          </w:tcPr>
          <w:p w14:paraId="612924F3"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Calsequestrin 2</w:t>
            </w:r>
          </w:p>
        </w:tc>
        <w:tc>
          <w:tcPr>
            <w:tcW w:w="616" w:type="pct"/>
          </w:tcPr>
          <w:p w14:paraId="027B6E00"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Loss of function</w:t>
            </w:r>
          </w:p>
        </w:tc>
        <w:tc>
          <w:tcPr>
            <w:tcW w:w="554" w:type="pct"/>
          </w:tcPr>
          <w:p w14:paraId="5437A2CE"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CPVT2</w:t>
            </w:r>
          </w:p>
        </w:tc>
        <w:tc>
          <w:tcPr>
            <w:tcW w:w="532" w:type="pct"/>
          </w:tcPr>
          <w:p w14:paraId="756DAA80"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611938</w:t>
            </w:r>
          </w:p>
        </w:tc>
        <w:tc>
          <w:tcPr>
            <w:tcW w:w="530" w:type="pct"/>
          </w:tcPr>
          <w:p w14:paraId="0B32F667"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2–5%</w:t>
            </w:r>
          </w:p>
        </w:tc>
      </w:tr>
      <w:tr w:rsidR="00FD04F7" w:rsidRPr="00B16B0E" w14:paraId="21DF03DA" w14:textId="77777777" w:rsidTr="00FD04F7">
        <w:trPr>
          <w:cantSplit/>
        </w:trPr>
        <w:tc>
          <w:tcPr>
            <w:tcW w:w="557" w:type="pct"/>
          </w:tcPr>
          <w:p w14:paraId="13BEBDC4" w14:textId="77777777" w:rsidR="00FD04F7" w:rsidRPr="00B16B0E" w:rsidRDefault="00FD04F7" w:rsidP="00B16B0E">
            <w:pPr>
              <w:rPr>
                <w:rFonts w:ascii="Arial Narrow" w:hAnsi="Arial Narrow"/>
                <w:i/>
                <w:sz w:val="17"/>
                <w:szCs w:val="17"/>
              </w:rPr>
            </w:pPr>
            <w:r w:rsidRPr="00B16B0E">
              <w:rPr>
                <w:rFonts w:ascii="Arial Narrow" w:hAnsi="Arial Narrow"/>
                <w:i/>
                <w:sz w:val="17"/>
                <w:szCs w:val="17"/>
              </w:rPr>
              <w:t>ANK2</w:t>
            </w:r>
          </w:p>
        </w:tc>
        <w:tc>
          <w:tcPr>
            <w:tcW w:w="483" w:type="pct"/>
          </w:tcPr>
          <w:p w14:paraId="1782C86B"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106140</w:t>
            </w:r>
          </w:p>
        </w:tc>
        <w:tc>
          <w:tcPr>
            <w:tcW w:w="483" w:type="pct"/>
          </w:tcPr>
          <w:p w14:paraId="0F4F7DE7"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AD</w:t>
            </w:r>
          </w:p>
        </w:tc>
        <w:tc>
          <w:tcPr>
            <w:tcW w:w="1245" w:type="pct"/>
            <w:gridSpan w:val="2"/>
          </w:tcPr>
          <w:p w14:paraId="779DAFE7"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Ankyrin B</w:t>
            </w:r>
          </w:p>
        </w:tc>
        <w:tc>
          <w:tcPr>
            <w:tcW w:w="616" w:type="pct"/>
          </w:tcPr>
          <w:p w14:paraId="77721877"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Loss of function</w:t>
            </w:r>
          </w:p>
        </w:tc>
        <w:tc>
          <w:tcPr>
            <w:tcW w:w="554" w:type="pct"/>
          </w:tcPr>
          <w:p w14:paraId="6F218EA1"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LQT4</w:t>
            </w:r>
          </w:p>
        </w:tc>
        <w:tc>
          <w:tcPr>
            <w:tcW w:w="532" w:type="pct"/>
          </w:tcPr>
          <w:p w14:paraId="7569AB00"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600919</w:t>
            </w:r>
          </w:p>
        </w:tc>
        <w:tc>
          <w:tcPr>
            <w:tcW w:w="530" w:type="pct"/>
          </w:tcPr>
          <w:p w14:paraId="71D20A38" w14:textId="77777777" w:rsidR="00FD04F7" w:rsidRPr="00B16B0E" w:rsidRDefault="00FD04F7" w:rsidP="00B16B0E">
            <w:pPr>
              <w:rPr>
                <w:rFonts w:ascii="Arial Narrow" w:hAnsi="Arial Narrow"/>
                <w:sz w:val="17"/>
                <w:szCs w:val="17"/>
              </w:rPr>
            </w:pPr>
          </w:p>
        </w:tc>
      </w:tr>
      <w:tr w:rsidR="00FD04F7" w:rsidRPr="00B16B0E" w14:paraId="0E5FCBB9" w14:textId="77777777" w:rsidTr="00FD04F7">
        <w:trPr>
          <w:cantSplit/>
        </w:trPr>
        <w:tc>
          <w:tcPr>
            <w:tcW w:w="557" w:type="pct"/>
          </w:tcPr>
          <w:p w14:paraId="03A37F44" w14:textId="77777777" w:rsidR="00FD04F7" w:rsidRPr="00B16B0E" w:rsidRDefault="00FD04F7" w:rsidP="00B16B0E">
            <w:pPr>
              <w:rPr>
                <w:rFonts w:ascii="Arial Narrow" w:hAnsi="Arial Narrow"/>
                <w:i/>
                <w:sz w:val="17"/>
                <w:szCs w:val="17"/>
              </w:rPr>
            </w:pPr>
            <w:r w:rsidRPr="00B16B0E">
              <w:rPr>
                <w:rFonts w:ascii="Arial Narrow" w:hAnsi="Arial Narrow"/>
                <w:i/>
                <w:sz w:val="17"/>
                <w:szCs w:val="17"/>
              </w:rPr>
              <w:t>CALM1</w:t>
            </w:r>
          </w:p>
        </w:tc>
        <w:tc>
          <w:tcPr>
            <w:tcW w:w="483" w:type="pct"/>
          </w:tcPr>
          <w:p w14:paraId="3256089B"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114180</w:t>
            </w:r>
          </w:p>
        </w:tc>
        <w:tc>
          <w:tcPr>
            <w:tcW w:w="483" w:type="pct"/>
          </w:tcPr>
          <w:p w14:paraId="2994DEED"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AD</w:t>
            </w:r>
          </w:p>
        </w:tc>
        <w:tc>
          <w:tcPr>
            <w:tcW w:w="1245" w:type="pct"/>
            <w:gridSpan w:val="2"/>
          </w:tcPr>
          <w:p w14:paraId="4F3901EA"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Calmodulin 1</w:t>
            </w:r>
          </w:p>
        </w:tc>
        <w:tc>
          <w:tcPr>
            <w:tcW w:w="616" w:type="pct"/>
          </w:tcPr>
          <w:p w14:paraId="590B435A"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Loss of function</w:t>
            </w:r>
          </w:p>
        </w:tc>
        <w:tc>
          <w:tcPr>
            <w:tcW w:w="554" w:type="pct"/>
          </w:tcPr>
          <w:p w14:paraId="2023A944"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CPVT4</w:t>
            </w:r>
          </w:p>
        </w:tc>
        <w:tc>
          <w:tcPr>
            <w:tcW w:w="532" w:type="pct"/>
          </w:tcPr>
          <w:p w14:paraId="132159D1"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614916</w:t>
            </w:r>
          </w:p>
        </w:tc>
        <w:tc>
          <w:tcPr>
            <w:tcW w:w="530" w:type="pct"/>
          </w:tcPr>
          <w:p w14:paraId="017F5EAD" w14:textId="77777777" w:rsidR="00FD04F7" w:rsidRPr="00B16B0E" w:rsidRDefault="00FD04F7" w:rsidP="00B16B0E">
            <w:pPr>
              <w:rPr>
                <w:rFonts w:ascii="Arial Narrow" w:hAnsi="Arial Narrow"/>
                <w:sz w:val="17"/>
                <w:szCs w:val="17"/>
              </w:rPr>
            </w:pPr>
          </w:p>
        </w:tc>
      </w:tr>
      <w:tr w:rsidR="00FD04F7" w:rsidRPr="00B16B0E" w14:paraId="39A5B079" w14:textId="77777777" w:rsidTr="00FD04F7">
        <w:trPr>
          <w:cantSplit/>
        </w:trPr>
        <w:tc>
          <w:tcPr>
            <w:tcW w:w="557" w:type="pct"/>
          </w:tcPr>
          <w:p w14:paraId="0C172684" w14:textId="77777777" w:rsidR="00FD04F7" w:rsidRPr="00B16B0E" w:rsidRDefault="00FD04F7" w:rsidP="00B16B0E">
            <w:pPr>
              <w:rPr>
                <w:rFonts w:ascii="Arial Narrow" w:hAnsi="Arial Narrow"/>
                <w:i/>
                <w:sz w:val="17"/>
                <w:szCs w:val="17"/>
              </w:rPr>
            </w:pPr>
            <w:r w:rsidRPr="00B16B0E">
              <w:rPr>
                <w:rFonts w:ascii="Arial Narrow" w:hAnsi="Arial Narrow"/>
                <w:i/>
                <w:sz w:val="17"/>
                <w:szCs w:val="17"/>
              </w:rPr>
              <w:t>CALM2</w:t>
            </w:r>
          </w:p>
        </w:tc>
        <w:tc>
          <w:tcPr>
            <w:tcW w:w="483" w:type="pct"/>
          </w:tcPr>
          <w:p w14:paraId="6F2D5EAB"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114182</w:t>
            </w:r>
          </w:p>
        </w:tc>
        <w:tc>
          <w:tcPr>
            <w:tcW w:w="483" w:type="pct"/>
          </w:tcPr>
          <w:p w14:paraId="3A95BDF8"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AD</w:t>
            </w:r>
          </w:p>
        </w:tc>
        <w:tc>
          <w:tcPr>
            <w:tcW w:w="1245" w:type="pct"/>
            <w:gridSpan w:val="2"/>
          </w:tcPr>
          <w:p w14:paraId="1DA5AE49"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Calmodulin 2</w:t>
            </w:r>
          </w:p>
        </w:tc>
        <w:tc>
          <w:tcPr>
            <w:tcW w:w="616" w:type="pct"/>
          </w:tcPr>
          <w:p w14:paraId="781BDC2A"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Loss of function</w:t>
            </w:r>
          </w:p>
        </w:tc>
        <w:tc>
          <w:tcPr>
            <w:tcW w:w="554" w:type="pct"/>
          </w:tcPr>
          <w:p w14:paraId="5FDA398E"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LQT15</w:t>
            </w:r>
          </w:p>
        </w:tc>
        <w:tc>
          <w:tcPr>
            <w:tcW w:w="532" w:type="pct"/>
          </w:tcPr>
          <w:p w14:paraId="51DEF7FE"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616249</w:t>
            </w:r>
          </w:p>
        </w:tc>
        <w:tc>
          <w:tcPr>
            <w:tcW w:w="530" w:type="pct"/>
          </w:tcPr>
          <w:p w14:paraId="71DCAB54" w14:textId="77777777" w:rsidR="00FD04F7" w:rsidRPr="00B16B0E" w:rsidRDefault="00FD04F7" w:rsidP="00B16B0E">
            <w:pPr>
              <w:rPr>
                <w:rFonts w:ascii="Arial Narrow" w:hAnsi="Arial Narrow"/>
                <w:sz w:val="17"/>
                <w:szCs w:val="17"/>
              </w:rPr>
            </w:pPr>
          </w:p>
        </w:tc>
      </w:tr>
      <w:tr w:rsidR="00FD04F7" w:rsidRPr="00B16B0E" w14:paraId="5B7E8EF2" w14:textId="77777777" w:rsidTr="00FD04F7">
        <w:trPr>
          <w:cantSplit/>
        </w:trPr>
        <w:tc>
          <w:tcPr>
            <w:tcW w:w="557" w:type="pct"/>
          </w:tcPr>
          <w:p w14:paraId="246FEEA5" w14:textId="77777777" w:rsidR="00FD04F7" w:rsidRPr="00B16B0E" w:rsidRDefault="00FD04F7" w:rsidP="00B16B0E">
            <w:pPr>
              <w:rPr>
                <w:rFonts w:ascii="Arial Narrow" w:hAnsi="Arial Narrow"/>
                <w:i/>
                <w:sz w:val="17"/>
                <w:szCs w:val="17"/>
              </w:rPr>
            </w:pPr>
            <w:r w:rsidRPr="00B16B0E">
              <w:rPr>
                <w:rFonts w:ascii="Arial Narrow" w:hAnsi="Arial Narrow"/>
                <w:i/>
                <w:sz w:val="17"/>
                <w:szCs w:val="17"/>
              </w:rPr>
              <w:t>KCNJ2</w:t>
            </w:r>
          </w:p>
        </w:tc>
        <w:tc>
          <w:tcPr>
            <w:tcW w:w="483" w:type="pct"/>
          </w:tcPr>
          <w:p w14:paraId="7522FDDD"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600681</w:t>
            </w:r>
          </w:p>
        </w:tc>
        <w:tc>
          <w:tcPr>
            <w:tcW w:w="483" w:type="pct"/>
          </w:tcPr>
          <w:p w14:paraId="5A7203E4"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AD</w:t>
            </w:r>
          </w:p>
        </w:tc>
        <w:tc>
          <w:tcPr>
            <w:tcW w:w="1245" w:type="pct"/>
            <w:gridSpan w:val="2"/>
          </w:tcPr>
          <w:p w14:paraId="630C1E5D"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Kir2.1</w:t>
            </w:r>
          </w:p>
        </w:tc>
        <w:tc>
          <w:tcPr>
            <w:tcW w:w="616" w:type="pct"/>
          </w:tcPr>
          <w:p w14:paraId="62F5BC23"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Loss of function</w:t>
            </w:r>
          </w:p>
        </w:tc>
        <w:tc>
          <w:tcPr>
            <w:tcW w:w="554" w:type="pct"/>
          </w:tcPr>
          <w:p w14:paraId="083F6934"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LQT7 (ATS1)</w:t>
            </w:r>
          </w:p>
        </w:tc>
        <w:tc>
          <w:tcPr>
            <w:tcW w:w="532" w:type="pct"/>
          </w:tcPr>
          <w:p w14:paraId="03B3A53E"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170390</w:t>
            </w:r>
          </w:p>
        </w:tc>
        <w:tc>
          <w:tcPr>
            <w:tcW w:w="530" w:type="pct"/>
          </w:tcPr>
          <w:p w14:paraId="1DD6FB97" w14:textId="77777777" w:rsidR="00FD04F7" w:rsidRPr="00B16B0E" w:rsidRDefault="00FD04F7" w:rsidP="00B16B0E">
            <w:pPr>
              <w:rPr>
                <w:rFonts w:ascii="Arial Narrow" w:hAnsi="Arial Narrow"/>
                <w:sz w:val="17"/>
                <w:szCs w:val="17"/>
              </w:rPr>
            </w:pPr>
          </w:p>
        </w:tc>
      </w:tr>
      <w:tr w:rsidR="00FD04F7" w:rsidRPr="00B16B0E" w14:paraId="08C0FDC7" w14:textId="77777777" w:rsidTr="00FD04F7">
        <w:trPr>
          <w:cantSplit/>
        </w:trPr>
        <w:tc>
          <w:tcPr>
            <w:tcW w:w="557" w:type="pct"/>
          </w:tcPr>
          <w:p w14:paraId="213EB182" w14:textId="77777777" w:rsidR="00FD04F7" w:rsidRPr="00B16B0E" w:rsidRDefault="00FD04F7" w:rsidP="00B16B0E">
            <w:pPr>
              <w:rPr>
                <w:rFonts w:ascii="Arial Narrow" w:hAnsi="Arial Narrow"/>
                <w:i/>
                <w:sz w:val="17"/>
                <w:szCs w:val="17"/>
              </w:rPr>
            </w:pPr>
            <w:r w:rsidRPr="00B16B0E">
              <w:rPr>
                <w:rFonts w:ascii="Arial Narrow" w:hAnsi="Arial Narrow"/>
                <w:i/>
                <w:sz w:val="17"/>
                <w:szCs w:val="17"/>
              </w:rPr>
              <w:t>TECRL</w:t>
            </w:r>
          </w:p>
        </w:tc>
        <w:tc>
          <w:tcPr>
            <w:tcW w:w="483" w:type="pct"/>
          </w:tcPr>
          <w:p w14:paraId="7D2C88A9"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617242</w:t>
            </w:r>
          </w:p>
        </w:tc>
        <w:tc>
          <w:tcPr>
            <w:tcW w:w="483" w:type="pct"/>
          </w:tcPr>
          <w:p w14:paraId="3083C3B1"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AR</w:t>
            </w:r>
          </w:p>
        </w:tc>
        <w:tc>
          <w:tcPr>
            <w:tcW w:w="1245" w:type="pct"/>
            <w:gridSpan w:val="2"/>
          </w:tcPr>
          <w:p w14:paraId="49F7205C"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Trans-2,3-enoyl-CoA reductase-like</w:t>
            </w:r>
          </w:p>
        </w:tc>
        <w:tc>
          <w:tcPr>
            <w:tcW w:w="616" w:type="pct"/>
          </w:tcPr>
          <w:p w14:paraId="28A15911" w14:textId="77777777" w:rsidR="00FD04F7" w:rsidRPr="00B16B0E" w:rsidRDefault="00FD04F7" w:rsidP="00B16B0E">
            <w:pPr>
              <w:rPr>
                <w:rFonts w:ascii="Arial Narrow" w:hAnsi="Arial Narrow"/>
                <w:sz w:val="17"/>
                <w:szCs w:val="17"/>
              </w:rPr>
            </w:pPr>
          </w:p>
        </w:tc>
        <w:tc>
          <w:tcPr>
            <w:tcW w:w="554" w:type="pct"/>
          </w:tcPr>
          <w:p w14:paraId="50E2AD61"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CPVT3</w:t>
            </w:r>
          </w:p>
        </w:tc>
        <w:tc>
          <w:tcPr>
            <w:tcW w:w="532" w:type="pct"/>
          </w:tcPr>
          <w:p w14:paraId="232231AA"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614021</w:t>
            </w:r>
          </w:p>
        </w:tc>
        <w:tc>
          <w:tcPr>
            <w:tcW w:w="530" w:type="pct"/>
          </w:tcPr>
          <w:p w14:paraId="71D80EE9" w14:textId="77777777" w:rsidR="00FD04F7" w:rsidRPr="00B16B0E" w:rsidRDefault="00FD04F7" w:rsidP="00B16B0E">
            <w:pPr>
              <w:rPr>
                <w:rFonts w:ascii="Arial Narrow" w:hAnsi="Arial Narrow"/>
                <w:sz w:val="17"/>
                <w:szCs w:val="17"/>
              </w:rPr>
            </w:pPr>
          </w:p>
        </w:tc>
      </w:tr>
      <w:tr w:rsidR="00FD04F7" w:rsidRPr="00B16B0E" w14:paraId="7FE0D1C8" w14:textId="77777777" w:rsidTr="00FD04F7">
        <w:trPr>
          <w:cantSplit/>
        </w:trPr>
        <w:tc>
          <w:tcPr>
            <w:tcW w:w="557" w:type="pct"/>
            <w:tcBorders>
              <w:bottom w:val="single" w:sz="4" w:space="0" w:color="auto"/>
            </w:tcBorders>
          </w:tcPr>
          <w:p w14:paraId="6ED47BF4" w14:textId="77777777" w:rsidR="00FD04F7" w:rsidRPr="00B16B0E" w:rsidRDefault="00FD04F7" w:rsidP="00B16B0E">
            <w:pPr>
              <w:rPr>
                <w:rFonts w:ascii="Arial Narrow" w:hAnsi="Arial Narrow"/>
                <w:i/>
                <w:sz w:val="17"/>
                <w:szCs w:val="17"/>
              </w:rPr>
            </w:pPr>
            <w:r w:rsidRPr="00B16B0E">
              <w:rPr>
                <w:rFonts w:ascii="Arial Narrow" w:hAnsi="Arial Narrow"/>
                <w:i/>
                <w:sz w:val="17"/>
                <w:szCs w:val="17"/>
              </w:rPr>
              <w:t>TRDN</w:t>
            </w:r>
          </w:p>
        </w:tc>
        <w:tc>
          <w:tcPr>
            <w:tcW w:w="483" w:type="pct"/>
            <w:tcBorders>
              <w:bottom w:val="single" w:sz="4" w:space="0" w:color="auto"/>
            </w:tcBorders>
          </w:tcPr>
          <w:p w14:paraId="68A4367A"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603283</w:t>
            </w:r>
          </w:p>
        </w:tc>
        <w:tc>
          <w:tcPr>
            <w:tcW w:w="483" w:type="pct"/>
            <w:tcBorders>
              <w:bottom w:val="single" w:sz="4" w:space="0" w:color="auto"/>
            </w:tcBorders>
          </w:tcPr>
          <w:p w14:paraId="7ECAC374"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AR</w:t>
            </w:r>
          </w:p>
        </w:tc>
        <w:tc>
          <w:tcPr>
            <w:tcW w:w="1245" w:type="pct"/>
            <w:gridSpan w:val="2"/>
            <w:tcBorders>
              <w:bottom w:val="single" w:sz="4" w:space="0" w:color="auto"/>
            </w:tcBorders>
          </w:tcPr>
          <w:p w14:paraId="43B930E0"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Triadin</w:t>
            </w:r>
          </w:p>
        </w:tc>
        <w:tc>
          <w:tcPr>
            <w:tcW w:w="616" w:type="pct"/>
            <w:tcBorders>
              <w:bottom w:val="single" w:sz="4" w:space="0" w:color="auto"/>
            </w:tcBorders>
          </w:tcPr>
          <w:p w14:paraId="3294E568"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Loss of function</w:t>
            </w:r>
          </w:p>
        </w:tc>
        <w:tc>
          <w:tcPr>
            <w:tcW w:w="554" w:type="pct"/>
            <w:tcBorders>
              <w:bottom w:val="single" w:sz="4" w:space="0" w:color="auto"/>
            </w:tcBorders>
          </w:tcPr>
          <w:p w14:paraId="15318D11"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CPVT5</w:t>
            </w:r>
          </w:p>
        </w:tc>
        <w:tc>
          <w:tcPr>
            <w:tcW w:w="532" w:type="pct"/>
            <w:tcBorders>
              <w:bottom w:val="single" w:sz="4" w:space="0" w:color="auto"/>
            </w:tcBorders>
          </w:tcPr>
          <w:p w14:paraId="28FD8730" w14:textId="77777777" w:rsidR="00FD04F7" w:rsidRPr="00B16B0E" w:rsidRDefault="00FD04F7" w:rsidP="00B16B0E">
            <w:pPr>
              <w:rPr>
                <w:rFonts w:ascii="Arial Narrow" w:hAnsi="Arial Narrow"/>
                <w:sz w:val="17"/>
                <w:szCs w:val="17"/>
              </w:rPr>
            </w:pPr>
            <w:r w:rsidRPr="00B16B0E">
              <w:rPr>
                <w:rFonts w:ascii="Arial Narrow" w:hAnsi="Arial Narrow"/>
                <w:sz w:val="17"/>
                <w:szCs w:val="17"/>
              </w:rPr>
              <w:t>615441</w:t>
            </w:r>
          </w:p>
        </w:tc>
        <w:tc>
          <w:tcPr>
            <w:tcW w:w="530" w:type="pct"/>
            <w:tcBorders>
              <w:bottom w:val="single" w:sz="4" w:space="0" w:color="auto"/>
            </w:tcBorders>
          </w:tcPr>
          <w:p w14:paraId="21381741" w14:textId="77777777" w:rsidR="00FD04F7" w:rsidRPr="00B16B0E" w:rsidRDefault="00FD04F7" w:rsidP="00B16B0E">
            <w:pPr>
              <w:rPr>
                <w:rFonts w:ascii="Arial Narrow" w:hAnsi="Arial Narrow"/>
                <w:sz w:val="17"/>
                <w:szCs w:val="17"/>
              </w:rPr>
            </w:pPr>
          </w:p>
        </w:tc>
      </w:tr>
    </w:tbl>
    <w:p w14:paraId="6EDCD632" w14:textId="77777777" w:rsidR="00FD04F7" w:rsidRPr="00B16B0E" w:rsidRDefault="00FD04F7" w:rsidP="00FD04F7">
      <w:pPr>
        <w:pStyle w:val="Tablenotes1"/>
        <w:rPr>
          <w:sz w:val="14"/>
          <w:szCs w:val="14"/>
        </w:rPr>
      </w:pPr>
      <w:r w:rsidRPr="00B16B0E">
        <w:rPr>
          <w:sz w:val="14"/>
          <w:szCs w:val="14"/>
          <w:vertAlign w:val="superscript"/>
        </w:rPr>
        <w:t>#</w:t>
      </w:r>
      <w:r w:rsidRPr="00B16B0E">
        <w:rPr>
          <w:sz w:val="14"/>
          <w:szCs w:val="14"/>
        </w:rPr>
        <w:t xml:space="preserve"> Exemplar genes are shown in bold font.</w:t>
      </w:r>
    </w:p>
    <w:p w14:paraId="291235C6" w14:textId="77777777" w:rsidR="00FD04F7" w:rsidRPr="00B16B0E" w:rsidRDefault="00FD04F7" w:rsidP="00FD04F7">
      <w:pPr>
        <w:pStyle w:val="Tablenotes1"/>
        <w:rPr>
          <w:sz w:val="14"/>
          <w:szCs w:val="14"/>
        </w:rPr>
      </w:pPr>
      <w:r w:rsidRPr="00B16B0E">
        <w:rPr>
          <w:sz w:val="14"/>
          <w:szCs w:val="14"/>
          <w:vertAlign w:val="superscript"/>
        </w:rPr>
        <w:t>a</w:t>
      </w:r>
      <w:r w:rsidRPr="00B16B0E">
        <w:rPr>
          <w:sz w:val="14"/>
          <w:szCs w:val="14"/>
        </w:rPr>
        <w:t xml:space="preserve"> Anderson-Tawil syndrome type 1 (ATS1) is a rare neurological disorder characterised by periodic paralysis, skeletal developmental abnormalities and QT prolongation</w:t>
      </w:r>
    </w:p>
    <w:p w14:paraId="3AA5BF47" w14:textId="77777777" w:rsidR="00FD04F7" w:rsidRPr="00B16B0E" w:rsidRDefault="00FD04F7" w:rsidP="00FD04F7">
      <w:pPr>
        <w:pStyle w:val="Tablenotes1"/>
        <w:rPr>
          <w:sz w:val="14"/>
          <w:szCs w:val="14"/>
        </w:rPr>
      </w:pPr>
      <w:r w:rsidRPr="00B16B0E">
        <w:rPr>
          <w:sz w:val="14"/>
          <w:szCs w:val="14"/>
          <w:vertAlign w:val="superscript"/>
        </w:rPr>
        <w:t>b</w:t>
      </w:r>
      <w:r w:rsidRPr="00B16B0E">
        <w:rPr>
          <w:sz w:val="14"/>
          <w:szCs w:val="14"/>
        </w:rPr>
        <w:t xml:space="preserve"> Timothy syndrome type 1 (TS1) is a rare condition characterised by syndactyly, facial dysmorphism, autism and severe LQTS</w:t>
      </w:r>
    </w:p>
    <w:p w14:paraId="03A7D22D" w14:textId="77777777" w:rsidR="00FD04F7" w:rsidRPr="00B16B0E" w:rsidRDefault="00FD04F7" w:rsidP="00FD04F7">
      <w:pPr>
        <w:pStyle w:val="Tablenotes1"/>
        <w:rPr>
          <w:sz w:val="14"/>
          <w:szCs w:val="14"/>
        </w:rPr>
      </w:pPr>
      <w:r w:rsidRPr="00B16B0E">
        <w:rPr>
          <w:sz w:val="14"/>
          <w:szCs w:val="14"/>
          <w:vertAlign w:val="superscript"/>
        </w:rPr>
        <w:t xml:space="preserve">C </w:t>
      </w:r>
      <w:r w:rsidRPr="00B16B0E">
        <w:rPr>
          <w:sz w:val="14"/>
          <w:szCs w:val="14"/>
        </w:rPr>
        <w:t>These frequencies are different to those discussed in section 2.1, as the denominator is those with disease, rather than those with pathogenic variants. Data sources</w:t>
      </w:r>
      <w:r w:rsidRPr="00B16B0E">
        <w:rPr>
          <w:rStyle w:val="FootnoteReference"/>
          <w:sz w:val="14"/>
          <w:szCs w:val="14"/>
        </w:rPr>
        <w:footnoteReference w:id="3"/>
      </w:r>
      <w:r w:rsidRPr="00B16B0E">
        <w:rPr>
          <w:sz w:val="14"/>
          <w:szCs w:val="14"/>
          <w:vertAlign w:val="superscript"/>
        </w:rPr>
        <w:t>,</w:t>
      </w:r>
      <w:r w:rsidRPr="00B16B0E">
        <w:rPr>
          <w:rStyle w:val="FootnoteReference"/>
          <w:sz w:val="14"/>
          <w:szCs w:val="14"/>
        </w:rPr>
        <w:footnoteReference w:id="4"/>
      </w:r>
    </w:p>
    <w:p w14:paraId="5836B17B" w14:textId="77777777" w:rsidR="00FD04F7" w:rsidRPr="00B16B0E" w:rsidRDefault="00FD04F7" w:rsidP="00FD04F7">
      <w:pPr>
        <w:pStyle w:val="Tablenotes1"/>
        <w:rPr>
          <w:sz w:val="14"/>
          <w:szCs w:val="14"/>
        </w:rPr>
      </w:pPr>
      <w:r w:rsidRPr="00B16B0E">
        <w:rPr>
          <w:sz w:val="14"/>
          <w:szCs w:val="14"/>
        </w:rPr>
        <w:t>AD = autosomal dominant; AR = autosomal recessive; ATS = Andersen-Tawil syndrome; BrS = Brugada syndrome; CPVT = Catecholaminergic polymorphic ventricular tachycardia; JLNS = Jervell and Lange-Nielsen syndrome; LQT = long QT syndrome; TS = Timothy syndrome</w:t>
      </w:r>
    </w:p>
    <w:p w14:paraId="4543B12C" w14:textId="77777777" w:rsidR="00FD04F7" w:rsidRPr="00B16B0E" w:rsidRDefault="00FD04F7" w:rsidP="00FD04F7">
      <w:pPr>
        <w:pStyle w:val="Tablenotes1"/>
        <w:rPr>
          <w:sz w:val="14"/>
          <w:szCs w:val="14"/>
        </w:rPr>
      </w:pPr>
      <w:r w:rsidRPr="00B16B0E">
        <w:rPr>
          <w:sz w:val="14"/>
          <w:szCs w:val="14"/>
        </w:rPr>
        <w:t xml:space="preserve">NB: Variant ALG10B in the </w:t>
      </w:r>
      <w:r w:rsidRPr="00B16B0E">
        <w:rPr>
          <w:i/>
          <w:sz w:val="14"/>
          <w:szCs w:val="14"/>
        </w:rPr>
        <w:t>KCR1</w:t>
      </w:r>
      <w:r w:rsidRPr="00B16B0E">
        <w:rPr>
          <w:sz w:val="14"/>
          <w:szCs w:val="14"/>
        </w:rPr>
        <w:t xml:space="preserve"> gene is associated with reduced susceptibility for long QT syndrome 2. As this variant is not considered pathogenic, it is not included in the table.</w:t>
      </w:r>
    </w:p>
    <w:p w14:paraId="14CB5CE1" w14:textId="77777777" w:rsidR="00754CF9" w:rsidRDefault="00FD04F7" w:rsidP="00FD04F7">
      <w:pPr>
        <w:pStyle w:val="Tablenotes1"/>
        <w:rPr>
          <w:sz w:val="14"/>
          <w:szCs w:val="14"/>
        </w:rPr>
        <w:sectPr w:rsidR="00754CF9" w:rsidSect="00B16B0E">
          <w:footerReference w:type="default" r:id="rId13"/>
          <w:pgSz w:w="16838" w:h="11906" w:orient="landscape"/>
          <w:pgMar w:top="568" w:right="1440" w:bottom="1134" w:left="1134" w:header="708" w:footer="708" w:gutter="0"/>
          <w:cols w:space="708"/>
          <w:docGrid w:linePitch="360"/>
        </w:sectPr>
      </w:pPr>
      <w:r w:rsidRPr="00B16B0E">
        <w:rPr>
          <w:sz w:val="14"/>
          <w:szCs w:val="14"/>
        </w:rPr>
        <w:t>Source: DCAR, Table 3.</w:t>
      </w:r>
    </w:p>
    <w:p w14:paraId="43C1720A" w14:textId="23E653A2" w:rsidR="00FD04F7" w:rsidRDefault="00FD04F7" w:rsidP="00FD04F7">
      <w:r>
        <w:t xml:space="preserve">In the pre-ESC response, the applicant stated that </w:t>
      </w:r>
      <w:r w:rsidRPr="00F16DEF">
        <w:t xml:space="preserve">based on clinical evidence, especially for individuals suspected </w:t>
      </w:r>
      <w:r>
        <w:t>to have</w:t>
      </w:r>
      <w:r w:rsidRPr="00F16DEF">
        <w:t xml:space="preserve"> LQTS with early childhood cardiac arrest, extreme QT prolongation, and a negative family history, the College’s expert cardiac arrhythmia panel recommend the addition of </w:t>
      </w:r>
      <w:r w:rsidRPr="00F16DEF">
        <w:rPr>
          <w:i/>
        </w:rPr>
        <w:t>CALM3</w:t>
      </w:r>
      <w:r w:rsidRPr="00F16DEF">
        <w:t xml:space="preserve"> to </w:t>
      </w:r>
      <w:r>
        <w:t xml:space="preserve">the </w:t>
      </w:r>
      <w:r w:rsidRPr="00F16DEF">
        <w:t>non-exemplar gene list</w:t>
      </w:r>
      <w:r>
        <w:t xml:space="preserve"> above (non-bold genes, </w:t>
      </w:r>
      <w:r w:rsidR="002C6DB1">
        <w:fldChar w:fldCharType="begin"/>
      </w:r>
      <w:r w:rsidR="002C6DB1">
        <w:instrText xml:space="preserve"> REF _Ref23757779 </w:instrText>
      </w:r>
      <w:r w:rsidR="002C6DB1">
        <w:fldChar w:fldCharType="separate"/>
      </w:r>
      <w:r w:rsidRPr="00484705">
        <w:t xml:space="preserve">Table </w:t>
      </w:r>
      <w:r>
        <w:rPr>
          <w:noProof/>
        </w:rPr>
        <w:t>3</w:t>
      </w:r>
      <w:r w:rsidR="002C6DB1">
        <w:rPr>
          <w:noProof/>
        </w:rPr>
        <w:fldChar w:fldCharType="end"/>
      </w:r>
      <w:r>
        <w:t>)</w:t>
      </w:r>
      <w:r w:rsidRPr="00F16DEF">
        <w:t>.</w:t>
      </w:r>
    </w:p>
    <w:p w14:paraId="4D4E0573" w14:textId="77777777" w:rsidR="008E097E" w:rsidRDefault="00FD04F7" w:rsidP="00754CF9">
      <w:pPr>
        <w:spacing w:before="240"/>
      </w:pPr>
      <w:r>
        <w:t>In the rejoinder, the HTA group responded that t</w:t>
      </w:r>
      <w:r w:rsidRPr="00F16DEF">
        <w:t xml:space="preserve">he proposed MBS item for </w:t>
      </w:r>
      <w:r>
        <w:t>affected individuals</w:t>
      </w:r>
      <w:r w:rsidRPr="00F16DEF">
        <w:t xml:space="preserve"> does not limit the number of genes to be tested, so </w:t>
      </w:r>
      <w:r w:rsidRPr="00F16DEF">
        <w:rPr>
          <w:i/>
        </w:rPr>
        <w:t>CALM3</w:t>
      </w:r>
      <w:r w:rsidRPr="00F16DEF">
        <w:t xml:space="preserve"> may also be tested. </w:t>
      </w:r>
      <w:r>
        <w:t>The HTA group noted that v</w:t>
      </w:r>
      <w:r w:rsidRPr="00F16DEF">
        <w:t xml:space="preserve">ariants in the </w:t>
      </w:r>
      <w:r w:rsidRPr="00F16DEF">
        <w:rPr>
          <w:i/>
        </w:rPr>
        <w:t>CALM1</w:t>
      </w:r>
      <w:r w:rsidRPr="00F16DEF">
        <w:t xml:space="preserve">, </w:t>
      </w:r>
      <w:r w:rsidRPr="00F16DEF">
        <w:rPr>
          <w:i/>
        </w:rPr>
        <w:t>CALM2</w:t>
      </w:r>
      <w:r w:rsidRPr="00F16DEF">
        <w:t xml:space="preserve"> and </w:t>
      </w:r>
      <w:r w:rsidRPr="00F16DEF">
        <w:rPr>
          <w:i/>
        </w:rPr>
        <w:t>CALM3</w:t>
      </w:r>
      <w:r w:rsidRPr="00F16DEF">
        <w:t xml:space="preserve"> genes are extremely rare but also very severe, with the median age of events being 4 years old</w:t>
      </w:r>
      <w:r>
        <w:rPr>
          <w:rStyle w:val="FootnoteReference"/>
        </w:rPr>
        <w:footnoteReference w:id="5"/>
      </w:r>
      <w:r w:rsidRPr="00F16DEF">
        <w:t>.</w:t>
      </w:r>
    </w:p>
    <w:p w14:paraId="7ACA7692" w14:textId="77777777" w:rsidR="008E097E" w:rsidRPr="00F715D1" w:rsidRDefault="008E097E" w:rsidP="008E097E">
      <w:pPr>
        <w:pStyle w:val="Heading1"/>
      </w:pPr>
      <w:r w:rsidRPr="00F715D1">
        <w:t xml:space="preserve">Summary of </w:t>
      </w:r>
      <w:r>
        <w:t>public c</w:t>
      </w:r>
      <w:r w:rsidRPr="00F715D1">
        <w:t>onsultation</w:t>
      </w:r>
      <w:r>
        <w:t xml:space="preserve"> f</w:t>
      </w:r>
      <w:r w:rsidRPr="00F715D1">
        <w:t>eedback</w:t>
      </w:r>
      <w:r>
        <w:t>/c</w:t>
      </w:r>
      <w:r w:rsidRPr="00F715D1">
        <w:t>onsumer Issues</w:t>
      </w:r>
    </w:p>
    <w:p w14:paraId="6A5AC23F" w14:textId="77777777" w:rsidR="008E097E" w:rsidRDefault="008E097E" w:rsidP="008E097E">
      <w:r w:rsidRPr="005C37F3">
        <w:t>No consumer feedback/consumer comments were received for this application</w:t>
      </w:r>
      <w:r>
        <w:t>.</w:t>
      </w:r>
    </w:p>
    <w:p w14:paraId="36DAEA57" w14:textId="77777777" w:rsidR="008E097E" w:rsidRDefault="008E097E" w:rsidP="008E097E">
      <w:pPr>
        <w:spacing w:before="240"/>
      </w:pPr>
      <w:r>
        <w:t>Feedback was received from two specialist organisations during targeted consultation, with both indicating strong support for application 1598. One organisation also provided unpublished data and results.</w:t>
      </w:r>
    </w:p>
    <w:p w14:paraId="075CE453" w14:textId="77777777" w:rsidR="008E097E" w:rsidRDefault="008E097E" w:rsidP="008E097E">
      <w:pPr>
        <w:spacing w:before="240"/>
      </w:pPr>
      <w:r>
        <w:t>One organisation commented that w</w:t>
      </w:r>
      <w:r w:rsidRPr="00702231">
        <w:t xml:space="preserve">hile </w:t>
      </w:r>
      <w:r>
        <w:t>they</w:t>
      </w:r>
      <w:r w:rsidRPr="00702231">
        <w:t xml:space="preserve"> endorse technology</w:t>
      </w:r>
      <w:r>
        <w:t>-</w:t>
      </w:r>
      <w:r w:rsidRPr="00702231">
        <w:t xml:space="preserve">agnostic approaches to providing genomic testing, </w:t>
      </w:r>
      <w:r>
        <w:t xml:space="preserve">in this case </w:t>
      </w:r>
      <w:r w:rsidRPr="00702231">
        <w:t>consideration shoul</w:t>
      </w:r>
      <w:r>
        <w:t>d be given to a static panel versus</w:t>
      </w:r>
      <w:r w:rsidRPr="00702231">
        <w:t xml:space="preserve"> whole genome/exome </w:t>
      </w:r>
      <w:r>
        <w:t xml:space="preserve">sequencing </w:t>
      </w:r>
      <w:r w:rsidRPr="00702231">
        <w:t>approach.</w:t>
      </w:r>
      <w:r>
        <w:t xml:space="preserve"> Both organisations recommended that the MBS item descriptors be less technology-specific where possible, to future-proof against improvements in test technology.</w:t>
      </w:r>
    </w:p>
    <w:p w14:paraId="11AFFA07" w14:textId="77777777" w:rsidR="008E097E" w:rsidRDefault="008E097E" w:rsidP="008E097E">
      <w:pPr>
        <w:spacing w:before="240"/>
      </w:pPr>
      <w:r>
        <w:t xml:space="preserve">Consultation feedback noted that </w:t>
      </w:r>
      <w:r w:rsidRPr="005C37F3">
        <w:t>currently, in some circumstances and locations, genetic counsellors are initiating the referral for cardiac genetic testing</w:t>
      </w:r>
      <w:r>
        <w:t>. The outcome of this application may have implications for this current pathway.</w:t>
      </w:r>
    </w:p>
    <w:p w14:paraId="02260D16" w14:textId="5FD04D6C" w:rsidR="008E097E" w:rsidRDefault="008E097E" w:rsidP="008E097E">
      <w:pPr>
        <w:spacing w:before="240"/>
      </w:pPr>
      <w:r>
        <w:t>One organisation also commented that where a procedure results in DNA sequence data, item numbers for the reanalysis of stored genomic sequence data would also be useful.</w:t>
      </w:r>
    </w:p>
    <w:p w14:paraId="66E72DD5" w14:textId="221B089C" w:rsidR="00BC1364" w:rsidRDefault="00BC1364" w:rsidP="00F715D1">
      <w:pPr>
        <w:pStyle w:val="Heading1"/>
      </w:pPr>
      <w:r w:rsidRPr="00F715D1">
        <w:t>Proposed intervention’s place in clinical management</w:t>
      </w:r>
    </w:p>
    <w:p w14:paraId="4DD631C6" w14:textId="77777777" w:rsidR="00FD04F7" w:rsidRDefault="00FD04F7" w:rsidP="00FD04F7">
      <w:pPr>
        <w:sectPr w:rsidR="00FD04F7" w:rsidSect="00FD04F7">
          <w:pgSz w:w="11906" w:h="16838"/>
          <w:pgMar w:top="1440" w:right="1440" w:bottom="1134" w:left="1440" w:header="708" w:footer="708" w:gutter="0"/>
          <w:cols w:space="708"/>
          <w:docGrid w:linePitch="360"/>
        </w:sectPr>
      </w:pPr>
      <w:r>
        <w:t>The DCAR provided the following clinical algorithms, encompassing both current (without genetic testing, blue lines) and proposed (with genetic testing, black lines) clinical management for affected individuals (</w:t>
      </w:r>
      <w:r w:rsidR="002C6DB1">
        <w:fldChar w:fldCharType="begin"/>
      </w:r>
      <w:r w:rsidR="002C6DB1">
        <w:instrText xml:space="preserve"> REF _Ref4</w:instrText>
      </w:r>
      <w:r w:rsidR="002C6DB1">
        <w:instrText xml:space="preserve">8557272 </w:instrText>
      </w:r>
      <w:r w:rsidR="002C6DB1">
        <w:fldChar w:fldCharType="separate"/>
      </w:r>
      <w:r>
        <w:t xml:space="preserve">Figure </w:t>
      </w:r>
      <w:r>
        <w:rPr>
          <w:noProof/>
        </w:rPr>
        <w:t>1</w:t>
      </w:r>
      <w:r w:rsidR="002C6DB1">
        <w:rPr>
          <w:noProof/>
        </w:rPr>
        <w:fldChar w:fldCharType="end"/>
      </w:r>
      <w:r>
        <w:t>) and familial cascade testing (</w:t>
      </w:r>
      <w:r w:rsidR="002C6DB1">
        <w:fldChar w:fldCharType="begin"/>
      </w:r>
      <w:r w:rsidR="002C6DB1">
        <w:instrText xml:space="preserve"> REF _Ref23416976 </w:instrText>
      </w:r>
      <w:r w:rsidR="002C6DB1">
        <w:fldChar w:fldCharType="separate"/>
      </w:r>
      <w:r>
        <w:t xml:space="preserve">Figure </w:t>
      </w:r>
      <w:r>
        <w:rPr>
          <w:noProof/>
        </w:rPr>
        <w:t>2</w:t>
      </w:r>
      <w:r w:rsidR="002C6DB1">
        <w:rPr>
          <w:noProof/>
        </w:rPr>
        <w:fldChar w:fldCharType="end"/>
      </w:r>
      <w:r>
        <w:t>).</w:t>
      </w:r>
    </w:p>
    <w:p w14:paraId="2D405A43" w14:textId="77777777" w:rsidR="00FD04F7" w:rsidRDefault="00FD04F7" w:rsidP="00FD04F7">
      <w:pPr>
        <w:jc w:val="center"/>
      </w:pPr>
      <w:r>
        <w:rPr>
          <w:noProof/>
        </w:rPr>
        <w:drawing>
          <wp:inline distT="0" distB="0" distL="0" distR="0" wp14:anchorId="3BE646F7" wp14:editId="0C3D370B">
            <wp:extent cx="7367107" cy="5134708"/>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91565" cy="5151754"/>
                    </a:xfrm>
                    <a:prstGeom prst="rect">
                      <a:avLst/>
                    </a:prstGeom>
                    <a:noFill/>
                  </pic:spPr>
                </pic:pic>
              </a:graphicData>
            </a:graphic>
          </wp:inline>
        </w:drawing>
      </w:r>
    </w:p>
    <w:p w14:paraId="18D3944F" w14:textId="77777777" w:rsidR="00FD04F7" w:rsidRDefault="00FD04F7" w:rsidP="00FD04F7">
      <w:pPr>
        <w:pStyle w:val="Caption"/>
        <w:spacing w:after="0"/>
      </w:pPr>
      <w:bookmarkStart w:id="4" w:name="_Ref48557272"/>
      <w:r>
        <w:t xml:space="preserve">Figure </w:t>
      </w:r>
      <w:r w:rsidR="002C6DB1">
        <w:fldChar w:fldCharType="begin"/>
      </w:r>
      <w:r w:rsidR="002C6DB1">
        <w:instrText xml:space="preserve"> SEQ Figure \* ARABIC </w:instrText>
      </w:r>
      <w:r w:rsidR="002C6DB1">
        <w:fldChar w:fldCharType="separate"/>
      </w:r>
      <w:r>
        <w:rPr>
          <w:noProof/>
        </w:rPr>
        <w:t>1</w:t>
      </w:r>
      <w:r w:rsidR="002C6DB1">
        <w:rPr>
          <w:noProof/>
        </w:rPr>
        <w:fldChar w:fldCharType="end"/>
      </w:r>
      <w:bookmarkEnd w:id="4"/>
      <w:r>
        <w:rPr>
          <w:noProof/>
        </w:rPr>
        <w:t xml:space="preserve">: </w:t>
      </w:r>
      <w:r>
        <w:t>Current and proposed clinical algorithm for testing of affected individuals</w:t>
      </w:r>
    </w:p>
    <w:p w14:paraId="07ED579F" w14:textId="77777777" w:rsidR="00FD04F7" w:rsidRDefault="00FD04F7" w:rsidP="00FD04F7">
      <w:pPr>
        <w:pStyle w:val="Tablenotes1"/>
      </w:pPr>
      <w:r>
        <w:t xml:space="preserve">BrS = Brugada syndrome; CPVT = </w:t>
      </w:r>
      <w:r w:rsidRPr="00BE18B0">
        <w:t>Catecholaminergic polymorphic ventricular tachycardia</w:t>
      </w:r>
      <w:r>
        <w:t xml:space="preserve">; JLNS = </w:t>
      </w:r>
      <w:r w:rsidRPr="004743E9">
        <w:t>Jervell and Lange-Nielsen syndrome</w:t>
      </w:r>
      <w:r>
        <w:t>; LQTS = long QT syndrome</w:t>
      </w:r>
    </w:p>
    <w:p w14:paraId="374715BA" w14:textId="77777777" w:rsidR="00FD04F7" w:rsidRDefault="00FD04F7" w:rsidP="00FD04F7">
      <w:pPr>
        <w:pStyle w:val="Tablenotes1"/>
      </w:pPr>
      <w:r>
        <w:t>*</w:t>
      </w:r>
      <w:r w:rsidRPr="0005319E">
        <w:t>The diagnostic, prognostic</w:t>
      </w:r>
      <w:r>
        <w:t xml:space="preserve"> and</w:t>
      </w:r>
      <w:r w:rsidRPr="0005319E">
        <w:t xml:space="preserve"> therapeutic contribution of a</w:t>
      </w:r>
      <w:r>
        <w:t xml:space="preserve"> genetic test result is disease-</w:t>
      </w:r>
      <w:r w:rsidRPr="0005319E">
        <w:t>dependent.</w:t>
      </w:r>
    </w:p>
    <w:p w14:paraId="3D19456E" w14:textId="77777777" w:rsidR="00FD04F7" w:rsidRDefault="00FD04F7" w:rsidP="00FD04F7">
      <w:pPr>
        <w:pStyle w:val="Tablenotes1"/>
        <w:rPr>
          <w:sz w:val="20"/>
        </w:rPr>
      </w:pPr>
      <w:r>
        <w:t>Source: DCAR, Figure 1</w:t>
      </w:r>
      <w:r>
        <w:br w:type="page"/>
      </w:r>
    </w:p>
    <w:p w14:paraId="0D896408" w14:textId="77777777" w:rsidR="00FD04F7" w:rsidRDefault="00FD04F7" w:rsidP="00FD04F7">
      <w:pPr>
        <w:jc w:val="center"/>
      </w:pPr>
      <w:r>
        <w:rPr>
          <w:noProof/>
        </w:rPr>
        <w:drawing>
          <wp:inline distT="0" distB="0" distL="0" distR="0" wp14:anchorId="23755526" wp14:editId="67505676">
            <wp:extent cx="8539340" cy="48998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t="1" b="1717"/>
                    <a:stretch/>
                  </pic:blipFill>
                  <pic:spPr bwMode="auto">
                    <a:xfrm>
                      <a:off x="0" y="0"/>
                      <a:ext cx="8539340" cy="4899804"/>
                    </a:xfrm>
                    <a:prstGeom prst="rect">
                      <a:avLst/>
                    </a:prstGeom>
                    <a:noFill/>
                    <a:ln>
                      <a:noFill/>
                    </a:ln>
                    <a:extLst>
                      <a:ext uri="{53640926-AAD7-44D8-BBD7-CCE9431645EC}">
                        <a14:shadowObscured xmlns:a14="http://schemas.microsoft.com/office/drawing/2010/main"/>
                      </a:ext>
                    </a:extLst>
                  </pic:spPr>
                </pic:pic>
              </a:graphicData>
            </a:graphic>
          </wp:inline>
        </w:drawing>
      </w:r>
    </w:p>
    <w:p w14:paraId="6ACF3CED" w14:textId="77777777" w:rsidR="00FD04F7" w:rsidRDefault="00FD04F7" w:rsidP="00FD04F7">
      <w:pPr>
        <w:pStyle w:val="Caption"/>
      </w:pPr>
      <w:bookmarkStart w:id="5" w:name="_Ref23416976"/>
      <w:r>
        <w:t xml:space="preserve">Figure </w:t>
      </w:r>
      <w:r w:rsidR="002C6DB1">
        <w:fldChar w:fldCharType="begin"/>
      </w:r>
      <w:r w:rsidR="002C6DB1">
        <w:instrText xml:space="preserve"> SEQ Figure \* ARABIC </w:instrText>
      </w:r>
      <w:r w:rsidR="002C6DB1">
        <w:fldChar w:fldCharType="separate"/>
      </w:r>
      <w:r>
        <w:rPr>
          <w:noProof/>
        </w:rPr>
        <w:t>2</w:t>
      </w:r>
      <w:r w:rsidR="002C6DB1">
        <w:rPr>
          <w:noProof/>
        </w:rPr>
        <w:fldChar w:fldCharType="end"/>
      </w:r>
      <w:bookmarkEnd w:id="5"/>
      <w:r>
        <w:t>: Current and proposed clinical algorithm for proposed familial cascade testing</w:t>
      </w:r>
    </w:p>
    <w:p w14:paraId="2B614EE1" w14:textId="77777777" w:rsidR="00FD04F7" w:rsidRPr="00707A93" w:rsidRDefault="00FD04F7" w:rsidP="00FD04F7">
      <w:pPr>
        <w:pStyle w:val="Tablenotes1"/>
      </w:pPr>
      <w:r w:rsidRPr="00707A93">
        <w:t xml:space="preserve"># This includes </w:t>
      </w:r>
      <w:r>
        <w:t>affected individuals</w:t>
      </w:r>
      <w:r w:rsidRPr="00707A93">
        <w:t xml:space="preserve"> who have undergone genetic testing but were not identified with any pathogenic or likely pathogenic variants as well as those who have not undergone any genetic testing.</w:t>
      </w:r>
    </w:p>
    <w:p w14:paraId="4F1BCE1A" w14:textId="77777777" w:rsidR="00FD04F7" w:rsidRPr="00707A93" w:rsidRDefault="00FD04F7" w:rsidP="00FD04F7">
      <w:pPr>
        <w:pStyle w:val="Tablenotes1"/>
      </w:pPr>
      <w:r w:rsidRPr="00707A93">
        <w:t>BrS = Brugada syndrome; CPVT = Catecholaminergic polymorphic ventricular tachycardia; JLNS = Jervell and Lange-Nielsen syndrome; LQTS = long QT syndrome</w:t>
      </w:r>
    </w:p>
    <w:p w14:paraId="78BE9668" w14:textId="77777777" w:rsidR="00FD04F7" w:rsidRPr="00707A93" w:rsidRDefault="00FD04F7" w:rsidP="00FD04F7">
      <w:pPr>
        <w:pStyle w:val="Tablenotes1"/>
      </w:pPr>
      <w:r w:rsidRPr="00707A93">
        <w:t>Source: DCAR, Figure 2</w:t>
      </w:r>
    </w:p>
    <w:p w14:paraId="429D0140" w14:textId="77777777" w:rsidR="00FD04F7" w:rsidRPr="00707A93" w:rsidRDefault="00FD04F7" w:rsidP="00FD04F7">
      <w:pPr>
        <w:pStyle w:val="Tablenotes1"/>
        <w:sectPr w:rsidR="00FD04F7" w:rsidRPr="00707A93" w:rsidSect="00FD04F7">
          <w:pgSz w:w="16838" w:h="11906" w:orient="landscape"/>
          <w:pgMar w:top="1440" w:right="1440" w:bottom="1440" w:left="1134" w:header="708" w:footer="708" w:gutter="0"/>
          <w:cols w:space="708"/>
          <w:docGrid w:linePitch="360"/>
        </w:sectPr>
      </w:pPr>
    </w:p>
    <w:p w14:paraId="1C45DCA1" w14:textId="77777777" w:rsidR="00FD04F7" w:rsidRDefault="00FD04F7" w:rsidP="00FD04F7">
      <w:pPr>
        <w:pStyle w:val="Heading2"/>
      </w:pPr>
      <w:r>
        <w:t>Description of Proposed Intervention</w:t>
      </w:r>
    </w:p>
    <w:p w14:paraId="594F96B8" w14:textId="2A3430BB" w:rsidR="00FD04F7" w:rsidRDefault="00FD04F7" w:rsidP="00FD04F7">
      <w:r>
        <w:t xml:space="preserve">Genetic testing of inherited cardiac arrhythmia disorders, for the following twenty genes: </w:t>
      </w:r>
      <w:r w:rsidRPr="00A012A6">
        <w:rPr>
          <w:i/>
        </w:rPr>
        <w:t>KCNQ1, KCNH2, SCN5A, KCNE1, KCNE2, KCNJ2, CACNA1C, RYR2, CASQ2, CAV3, SCN4B, AKAP9, SNTA1, KCNJ5, ALG10, CALM1, CALM2, ANK2, TECRL</w:t>
      </w:r>
      <w:r>
        <w:t xml:space="preserve">, and </w:t>
      </w:r>
      <w:r w:rsidRPr="00A012A6">
        <w:rPr>
          <w:i/>
        </w:rPr>
        <w:t>TRDN</w:t>
      </w:r>
      <w:r>
        <w:t>.</w:t>
      </w:r>
    </w:p>
    <w:p w14:paraId="4780060F" w14:textId="04486B2C" w:rsidR="00FD04F7" w:rsidRDefault="00FD04F7" w:rsidP="00754CF9">
      <w:pPr>
        <w:spacing w:before="240"/>
      </w:pPr>
      <w:r>
        <w:t>Testing is proposed to be conducted for clinically affected individuals, to make a genetic diagnosis</w:t>
      </w:r>
      <w:r w:rsidR="00E0619A">
        <w:t xml:space="preserve"> or confirm a phenotypic diagnosis,</w:t>
      </w:r>
      <w:r>
        <w:t xml:space="preserve"> and thus estimate their</w:t>
      </w:r>
      <w:r w:rsidR="004C5E14">
        <w:t xml:space="preserve"> disease severity and</w:t>
      </w:r>
      <w:r w:rsidR="00E0619A">
        <w:t>/or</w:t>
      </w:r>
      <w:r w:rsidR="004C5E14">
        <w:t xml:space="preserve"> need for specific therapy</w:t>
      </w:r>
      <w:r>
        <w:t>. Whe</w:t>
      </w:r>
      <w:r w:rsidR="00A90B61">
        <w:t>n a variant is identified in an affected individual</w:t>
      </w:r>
      <w:r>
        <w:t xml:space="preserve">, cascade testing is also offered to </w:t>
      </w:r>
      <w:r w:rsidR="00A90B61">
        <w:t xml:space="preserve">relevant </w:t>
      </w:r>
      <w:r>
        <w:t>family members</w:t>
      </w:r>
      <w:r w:rsidR="00A90B61">
        <w:t xml:space="preserve"> to determine if they have inherited the variant.</w:t>
      </w:r>
      <w:r>
        <w:t xml:space="preserve"> </w:t>
      </w:r>
      <w:r w:rsidR="00A90B61">
        <w:t>F</w:t>
      </w:r>
      <w:r>
        <w:t xml:space="preserve">or any </w:t>
      </w:r>
      <w:r w:rsidR="00A90B61">
        <w:t xml:space="preserve">relatives of the proband </w:t>
      </w:r>
      <w:r>
        <w:t xml:space="preserve">who test positive to </w:t>
      </w:r>
      <w:r w:rsidR="00A90B61">
        <w:t xml:space="preserve">the </w:t>
      </w:r>
      <w:r>
        <w:t xml:space="preserve">familial variant an estimate </w:t>
      </w:r>
      <w:r w:rsidR="00A90B61">
        <w:t xml:space="preserve">of their </w:t>
      </w:r>
      <w:r>
        <w:t xml:space="preserve">predisposition to future risk of developing the clinical disease </w:t>
      </w:r>
      <w:r w:rsidR="00A90B61">
        <w:t xml:space="preserve">can be made </w:t>
      </w:r>
      <w:r>
        <w:t xml:space="preserve">(and, less commonly, future risk </w:t>
      </w:r>
      <w:r w:rsidR="00A90B61">
        <w:t xml:space="preserve">prediction </w:t>
      </w:r>
      <w:r>
        <w:t>if the disease has already been diagnosed</w:t>
      </w:r>
      <w:r w:rsidR="00A90B61">
        <w:t xml:space="preserve"> phenotypically in a family member but they have not undergone genetic testing</w:t>
      </w:r>
      <w:r>
        <w:t>).</w:t>
      </w:r>
    </w:p>
    <w:p w14:paraId="51C37675" w14:textId="0EAE2F5C" w:rsidR="00FD04F7" w:rsidRDefault="00FD04F7" w:rsidP="00754CF9">
      <w:pPr>
        <w:spacing w:before="240"/>
      </w:pPr>
      <w:r>
        <w:t>Genetic testing is proposed to be used in addition to curr</w:t>
      </w:r>
      <w:r w:rsidR="00CB7F85">
        <w:t>ent standard clinical practice.</w:t>
      </w:r>
    </w:p>
    <w:p w14:paraId="52A43960" w14:textId="77777777" w:rsidR="00FD04F7" w:rsidRDefault="00FD04F7" w:rsidP="00FD04F7">
      <w:pPr>
        <w:pStyle w:val="Heading2"/>
      </w:pPr>
      <w:r>
        <w:t>Description of Medical Condition(s)</w:t>
      </w:r>
    </w:p>
    <w:p w14:paraId="0139EDAC" w14:textId="000C6AC7" w:rsidR="00FD04F7" w:rsidRDefault="00FD04F7" w:rsidP="00FD04F7">
      <w:r w:rsidRPr="001B46A3">
        <w:t>Inherited cardiac arrhythmia syndromes (ICA</w:t>
      </w:r>
      <w:r>
        <w:t>s) or channelopathies</w:t>
      </w:r>
      <w:r w:rsidRPr="001B46A3">
        <w:t xml:space="preserve"> occur when ion channel function is affected by variants in the set of genes encoding proteins or subunits of cardiac ion channels involved in the control of ventricular repolarisation</w:t>
      </w:r>
      <w:r>
        <w:rPr>
          <w:rStyle w:val="FootnoteReference"/>
        </w:rPr>
        <w:footnoteReference w:id="6"/>
      </w:r>
      <w:r w:rsidRPr="001B46A3">
        <w:t xml:space="preserve">. </w:t>
      </w:r>
      <w:r>
        <w:t>ICAs include long QT syndrome (</w:t>
      </w:r>
      <w:r w:rsidRPr="001B46A3">
        <w:t>LQTS</w:t>
      </w:r>
      <w:r>
        <w:t>)</w:t>
      </w:r>
      <w:r w:rsidRPr="001B46A3">
        <w:t xml:space="preserve">, </w:t>
      </w:r>
      <w:r w:rsidRPr="00007A29">
        <w:t>Jervell and</w:t>
      </w:r>
      <w:r>
        <w:t xml:space="preserve"> Lange-Nielsen syndrome (JLNS), </w:t>
      </w:r>
      <w:r w:rsidRPr="001B46A3">
        <w:t xml:space="preserve">Brugada syndrome (BrS), </w:t>
      </w:r>
      <w:r>
        <w:t xml:space="preserve">and </w:t>
      </w:r>
      <w:r w:rsidRPr="001B46A3">
        <w:t>catecholaminergic polymorphic ventricular tachycardia (CPVT)</w:t>
      </w:r>
      <w:r>
        <w:t>.</w:t>
      </w:r>
      <w:r w:rsidRPr="001B46A3">
        <w:t xml:space="preserve"> The majority of </w:t>
      </w:r>
      <w:r>
        <w:t xml:space="preserve">ICA-associated </w:t>
      </w:r>
      <w:r w:rsidRPr="001B46A3">
        <w:t>variants are autosomal dominant with variable expressivity</w:t>
      </w:r>
      <w:r>
        <w:rPr>
          <w:rStyle w:val="FootnoteReference"/>
        </w:rPr>
        <w:footnoteReference w:id="7"/>
      </w:r>
      <w:r w:rsidRPr="001B46A3">
        <w:t>.</w:t>
      </w:r>
      <w:r>
        <w:t xml:space="preserve"> More than half of ICA patients are asymptomatic at the time of initial diagnosis and are diagnosed either by family history</w:t>
      </w:r>
      <w:r w:rsidR="00A5575E">
        <w:t>, incidentally,</w:t>
      </w:r>
      <w:r>
        <w:t xml:space="preserve"> or by virtue of having survived an episode of syncope or severe ventricular arrhythmia</w:t>
      </w:r>
      <w:r>
        <w:rPr>
          <w:rStyle w:val="FootnoteReference"/>
        </w:rPr>
        <w:footnoteReference w:id="8"/>
      </w:r>
      <w:r>
        <w:t xml:space="preserve">. Untreated individuals have </w:t>
      </w:r>
      <w:r w:rsidR="00A5575E">
        <w:t xml:space="preserve">an increased </w:t>
      </w:r>
      <w:r>
        <w:t>risk of syncope and sudden cardiac death</w:t>
      </w:r>
      <w:r>
        <w:rPr>
          <w:rStyle w:val="FootnoteReference"/>
        </w:rPr>
        <w:footnoteReference w:id="9"/>
      </w:r>
      <w:r>
        <w:t>.</w:t>
      </w:r>
    </w:p>
    <w:p w14:paraId="3B761A77" w14:textId="2D8D2520" w:rsidR="00FD04F7" w:rsidRDefault="00FD04F7" w:rsidP="00754CF9">
      <w:pPr>
        <w:spacing w:before="240"/>
      </w:pPr>
      <w:r>
        <w:t>Management of patients suspected of having an inherited arrhythmia include avoiding disease-specific triggers, lifestyle modifications, annual clinical review, medication and, in those considered to be at highest risk, implantation of an implantable cardioverter defibrillator</w:t>
      </w:r>
      <w:r>
        <w:rPr>
          <w:rStyle w:val="FootnoteReference"/>
        </w:rPr>
        <w:footnoteReference w:id="10"/>
      </w:r>
      <w:r w:rsidRPr="001E2E49">
        <w:rPr>
          <w:vertAlign w:val="superscript"/>
        </w:rPr>
        <w:t>,</w:t>
      </w:r>
      <w:r>
        <w:rPr>
          <w:rStyle w:val="FootnoteReference"/>
        </w:rPr>
        <w:footnoteReference w:id="11"/>
      </w:r>
      <w:r>
        <w:t>.</w:t>
      </w:r>
      <w:r w:rsidR="005868DB">
        <w:t xml:space="preserve"> Genes associated with ICAs are constantly being updated as new discoveries are made</w:t>
      </w:r>
      <w:r w:rsidR="005868DB">
        <w:rPr>
          <w:rStyle w:val="FootnoteReference"/>
        </w:rPr>
        <w:footnoteReference w:id="12"/>
      </w:r>
      <w:r w:rsidR="005868DB">
        <w:t>.</w:t>
      </w:r>
    </w:p>
    <w:p w14:paraId="470F1449" w14:textId="350EDB3E" w:rsidR="00FD04F7" w:rsidRDefault="00FD04F7" w:rsidP="00754CF9">
      <w:pPr>
        <w:spacing w:before="240"/>
      </w:pPr>
      <w:r>
        <w:t>LQTS is characterised by QT prolongation and T-wave abnormalities on the electrocardiogram (ECG) that are associated with tachyarrhythmias, typically torsades de pointes, which are usually self-terminating, causing syncope. Cardiac events usually occur during exercise, loud noise, during sleep or emotional stress, and often without warning. The disease prevalence is estimated to be 1 in 2,500</w:t>
      </w:r>
      <w:r>
        <w:rPr>
          <w:rStyle w:val="FootnoteReference"/>
        </w:rPr>
        <w:footnoteReference w:id="13"/>
      </w:r>
      <w:r>
        <w:t>. Variants in 15 genes have been associated with LQTS, most of which are autosomal dominant</w:t>
      </w:r>
      <w:r w:rsidR="005868DB">
        <w:t xml:space="preserve">. </w:t>
      </w:r>
      <w:r>
        <w:t xml:space="preserve">Among patients with LQTS in whom a pathogenic variant is identifiable, variants are most commonly found in the </w:t>
      </w:r>
      <w:r w:rsidRPr="007B299D">
        <w:rPr>
          <w:i/>
        </w:rPr>
        <w:t>KCNQ1</w:t>
      </w:r>
      <w:r>
        <w:t xml:space="preserve"> gene (55%, LQTS type 1), </w:t>
      </w:r>
      <w:r w:rsidRPr="007B299D">
        <w:rPr>
          <w:i/>
        </w:rPr>
        <w:t>KCNH2</w:t>
      </w:r>
      <w:r>
        <w:t xml:space="preserve"> gene (35%, LQTS type 2) and </w:t>
      </w:r>
      <w:r w:rsidRPr="007B299D">
        <w:rPr>
          <w:i/>
        </w:rPr>
        <w:t>SCN5A</w:t>
      </w:r>
      <w:r>
        <w:t xml:space="preserve"> gene (9%, LQTS type 3)</w:t>
      </w:r>
      <w:r>
        <w:rPr>
          <w:rStyle w:val="FootnoteReference"/>
        </w:rPr>
        <w:footnoteReference w:id="14"/>
      </w:r>
      <w:r>
        <w:t>. The 11 additional minor LQTS genes together comprise &lt; 5% of LQTS cases. Genetic testing is recommended (Class 1 indication) for affected individuals clinically diagnosed with LQTS</w:t>
      </w:r>
      <w:r>
        <w:rPr>
          <w:rStyle w:val="FootnoteReference"/>
        </w:rPr>
        <w:footnoteReference w:id="15"/>
      </w:r>
      <w:r>
        <w:t xml:space="preserve">. </w:t>
      </w:r>
      <w:r w:rsidRPr="007D07F0">
        <w:t>Approximately 5% of LQTS families carry two or more pathogenic variants either in the same gene (compound heterozygotes) or in different genes (digenic heterozygosity)</w:t>
      </w:r>
      <w:r>
        <w:rPr>
          <w:rStyle w:val="FootnoteReference"/>
        </w:rPr>
        <w:footnoteReference w:id="16"/>
      </w:r>
      <w:r>
        <w:t>.</w:t>
      </w:r>
      <w:r w:rsidRPr="007D07F0">
        <w:t xml:space="preserve"> The carriers of multiple variants in a single gene are 3.2 times more likely to have life-threatening cardiac event compared with probands with a single variant, and carriers of multiple variants across different genes have 1.7 times the risk of having a cardiac event than those with a single variant</w:t>
      </w:r>
      <w:r>
        <w:rPr>
          <w:rStyle w:val="FootnoteReference"/>
        </w:rPr>
        <w:footnoteReference w:id="17"/>
      </w:r>
      <w:r>
        <w:t>.</w:t>
      </w:r>
    </w:p>
    <w:p w14:paraId="53B1ACF4" w14:textId="641C80AA" w:rsidR="00FD04F7" w:rsidRDefault="00FD04F7" w:rsidP="00754CF9">
      <w:pPr>
        <w:spacing w:before="240"/>
      </w:pPr>
      <w:r w:rsidRPr="007B299D">
        <w:t xml:space="preserve">The presence of biallelic (homozygous or compound heterozygous) variants in either the </w:t>
      </w:r>
      <w:r w:rsidRPr="007B299D">
        <w:rPr>
          <w:i/>
        </w:rPr>
        <w:t>KCNQ1</w:t>
      </w:r>
      <w:r w:rsidRPr="007B299D">
        <w:t xml:space="preserve"> or </w:t>
      </w:r>
      <w:r w:rsidRPr="007B299D">
        <w:rPr>
          <w:i/>
        </w:rPr>
        <w:t>KCNE1</w:t>
      </w:r>
      <w:r w:rsidRPr="007B299D">
        <w:t xml:space="preserve"> gene results in a severe autosomal recessive form of LQTS,</w:t>
      </w:r>
      <w:r>
        <w:t xml:space="preserve"> called</w:t>
      </w:r>
      <w:r w:rsidRPr="007B299D">
        <w:t xml:space="preserve"> JLNS, with associated bilateral sensorineural deafness, long </w:t>
      </w:r>
      <w:r>
        <w:t>corrected QT (QTc) intervals</w:t>
      </w:r>
      <w:r w:rsidRPr="007B299D">
        <w:t xml:space="preserve"> (usually &gt;500 ms), low gastric acid secretion and/or iron deficiency anaemia</w:t>
      </w:r>
      <w:r>
        <w:rPr>
          <w:rStyle w:val="FootnoteReference"/>
        </w:rPr>
        <w:footnoteReference w:id="18"/>
      </w:r>
      <w:r w:rsidRPr="007B299D">
        <w:t xml:space="preserve">. About 90% of cases of JLNS are caused by variants in the </w:t>
      </w:r>
      <w:r w:rsidRPr="007D07F0">
        <w:rPr>
          <w:i/>
        </w:rPr>
        <w:t>KCNQ1</w:t>
      </w:r>
      <w:r w:rsidRPr="007B299D">
        <w:t xml:space="preserve"> gene; </w:t>
      </w:r>
      <w:r w:rsidRPr="007D07F0">
        <w:rPr>
          <w:i/>
        </w:rPr>
        <w:t>KCNE1</w:t>
      </w:r>
      <w:r w:rsidRPr="007B299D">
        <w:t xml:space="preserve"> variants are responsible for the remaining cases.</w:t>
      </w:r>
    </w:p>
    <w:p w14:paraId="0B7569E4" w14:textId="03EB4EDE" w:rsidR="00FD04F7" w:rsidRDefault="00FD04F7" w:rsidP="00754CF9">
      <w:pPr>
        <w:spacing w:before="240"/>
      </w:pPr>
      <w:r w:rsidRPr="00CD02A2">
        <w:t>BrS presents in adulthood, with a mean age of sudden death of 40 years</w:t>
      </w:r>
      <w:r>
        <w:rPr>
          <w:rStyle w:val="FootnoteReference"/>
        </w:rPr>
        <w:footnoteReference w:id="19"/>
      </w:r>
      <w:r w:rsidRPr="00CD02A2">
        <w:t>. The incidence of BrS is variable, being higher in South-East Asians and is generally quoted as 1 in 2000 (ranges from 1:1000 to 1:10 000)</w:t>
      </w:r>
      <w:r>
        <w:rPr>
          <w:rStyle w:val="FootnoteReference"/>
        </w:rPr>
        <w:footnoteReference w:id="20"/>
      </w:r>
      <w:r w:rsidRPr="000F73CF">
        <w:rPr>
          <w:vertAlign w:val="superscript"/>
        </w:rPr>
        <w:t>,</w:t>
      </w:r>
      <w:r>
        <w:rPr>
          <w:rStyle w:val="FootnoteReference"/>
        </w:rPr>
        <w:footnoteReference w:id="21"/>
      </w:r>
      <w:r w:rsidRPr="00CD02A2">
        <w:t>.</w:t>
      </w:r>
      <w:r>
        <w:t xml:space="preserve"> </w:t>
      </w:r>
      <w:r w:rsidRPr="00CD02A2">
        <w:t xml:space="preserve">BrS is inherited in an autosomal dominant pattern. Variants in at least 12 genes have been reported for BrS with </w:t>
      </w:r>
      <w:r w:rsidRPr="000F73CF">
        <w:rPr>
          <w:i/>
        </w:rPr>
        <w:t>SCN5A</w:t>
      </w:r>
      <w:r w:rsidRPr="00CD02A2">
        <w:t xml:space="preserve"> identified as the most commonly mutated gene, having variants in 30% of affected individuals</w:t>
      </w:r>
      <w:r>
        <w:rPr>
          <w:rStyle w:val="FootnoteReference"/>
        </w:rPr>
        <w:footnoteReference w:id="22"/>
      </w:r>
      <w:r w:rsidRPr="00CD02A2">
        <w:t xml:space="preserve">. Variants in the calcium channel genes </w:t>
      </w:r>
      <w:r w:rsidRPr="000F73CF">
        <w:rPr>
          <w:i/>
        </w:rPr>
        <w:t>CACNA1C</w:t>
      </w:r>
      <w:r w:rsidRPr="00CD02A2">
        <w:t xml:space="preserve"> and </w:t>
      </w:r>
      <w:r w:rsidRPr="000F73CF">
        <w:rPr>
          <w:i/>
        </w:rPr>
        <w:t>CACNB2b</w:t>
      </w:r>
      <w:r w:rsidRPr="00CD02A2">
        <w:t xml:space="preserve"> also contribute to </w:t>
      </w:r>
      <w:r w:rsidR="00A5575E">
        <w:t xml:space="preserve">approximately </w:t>
      </w:r>
      <w:r w:rsidRPr="00CD02A2">
        <w:t>10 to 11.5% of BrS cases</w:t>
      </w:r>
      <w:r>
        <w:rPr>
          <w:rStyle w:val="FootnoteReference"/>
        </w:rPr>
        <w:footnoteReference w:id="23"/>
      </w:r>
      <w:r>
        <w:rPr>
          <w:vertAlign w:val="superscript"/>
        </w:rPr>
        <w:t>,</w:t>
      </w:r>
      <w:r>
        <w:rPr>
          <w:rStyle w:val="FootnoteReference"/>
        </w:rPr>
        <w:footnoteReference w:id="24"/>
      </w:r>
      <w:r>
        <w:t>.</w:t>
      </w:r>
      <w:r w:rsidRPr="00CD02A2">
        <w:t xml:space="preserve"> Variants in other genes account for less than two per cent of these cases</w:t>
      </w:r>
      <w:r>
        <w:rPr>
          <w:rStyle w:val="FootnoteReference"/>
        </w:rPr>
        <w:footnoteReference w:id="25"/>
      </w:r>
      <w:r w:rsidRPr="00CD02A2">
        <w:t xml:space="preserve">. Genetic testing for BrS is a Class 2A indication in the </w:t>
      </w:r>
      <w:r>
        <w:t>affected individual</w:t>
      </w:r>
      <w:r w:rsidRPr="00CD02A2">
        <w:t xml:space="preserve"> (i.e., not recommended in the absence of a diagnostic ECG but may be useful otherwise) but a Class 1 indication (recommended) in family members of a</w:t>
      </w:r>
      <w:r>
        <w:t>n affected individual</w:t>
      </w:r>
      <w:r w:rsidRPr="00CD02A2">
        <w:t xml:space="preserve"> identified </w:t>
      </w:r>
      <w:r>
        <w:t>to have a</w:t>
      </w:r>
      <w:r w:rsidRPr="00CD02A2">
        <w:t xml:space="preserve"> pathogenic variant</w:t>
      </w:r>
      <w:r>
        <w:rPr>
          <w:rStyle w:val="FootnoteReference"/>
        </w:rPr>
        <w:footnoteReference w:id="26"/>
      </w:r>
      <w:r w:rsidRPr="00CD02A2">
        <w:t>.</w:t>
      </w:r>
    </w:p>
    <w:p w14:paraId="326BF79E" w14:textId="0611D289" w:rsidR="00FD04F7" w:rsidRDefault="00FD04F7" w:rsidP="00754CF9">
      <w:pPr>
        <w:spacing w:before="240"/>
      </w:pPr>
      <w:r>
        <w:t xml:space="preserve">CPVT is a highly lethal inherited arrhythmia, characterised by polymorphic ventricular tachycardia induced by adrenergic stress. CPVTs often present with exercise or emotion induced syncope with a mean age of onset between 6 and 10 years. The true prevalence of CPVT is unknown with estimates of approximately 1:10,000, however, this may be an underestimate. Genetic variants are identified in approximately 55–70% of patients with </w:t>
      </w:r>
      <w:r w:rsidR="00EA0D61">
        <w:t xml:space="preserve">a </w:t>
      </w:r>
      <w:r>
        <w:t>clinical diagnosis</w:t>
      </w:r>
      <w:r>
        <w:rPr>
          <w:rStyle w:val="FootnoteReference"/>
        </w:rPr>
        <w:footnoteReference w:id="27"/>
      </w:r>
      <w:r>
        <w:t>. CPVT is caused most commonly by autosomal dominant variants in the cardiac ryanodine receptor gene (</w:t>
      </w:r>
      <w:r w:rsidRPr="000F73CF">
        <w:rPr>
          <w:i/>
        </w:rPr>
        <w:t>RYR2</w:t>
      </w:r>
      <w:r>
        <w:t>), 50–55%, or less frequently by autosomal recessive variants in the cardiac calsequestrin gene (</w:t>
      </w:r>
      <w:r w:rsidRPr="000F73CF">
        <w:rPr>
          <w:i/>
        </w:rPr>
        <w:t>CASQ2</w:t>
      </w:r>
      <w:r>
        <w:t xml:space="preserve">), 2–5%. Variants in other genes, </w:t>
      </w:r>
      <w:r w:rsidRPr="000F73CF">
        <w:rPr>
          <w:i/>
        </w:rPr>
        <w:t>CALM1</w:t>
      </w:r>
      <w:r>
        <w:t xml:space="preserve">, </w:t>
      </w:r>
      <w:r w:rsidRPr="000F73CF">
        <w:rPr>
          <w:i/>
        </w:rPr>
        <w:t>TECRL</w:t>
      </w:r>
      <w:r>
        <w:t xml:space="preserve">, </w:t>
      </w:r>
      <w:r w:rsidRPr="000F73CF">
        <w:rPr>
          <w:i/>
        </w:rPr>
        <w:t>TRDN</w:t>
      </w:r>
      <w:r>
        <w:t xml:space="preserve">, </w:t>
      </w:r>
      <w:r w:rsidRPr="000F73CF">
        <w:rPr>
          <w:i/>
        </w:rPr>
        <w:t>ANK2</w:t>
      </w:r>
      <w:r>
        <w:t xml:space="preserve"> and </w:t>
      </w:r>
      <w:r w:rsidRPr="000F73CF">
        <w:rPr>
          <w:i/>
        </w:rPr>
        <w:t>KCNJ2</w:t>
      </w:r>
      <w:r>
        <w:t>, have also shown to cause CPVT</w:t>
      </w:r>
      <w:r>
        <w:rPr>
          <w:rStyle w:val="FootnoteReference"/>
        </w:rPr>
        <w:footnoteReference w:id="28"/>
      </w:r>
      <w:r>
        <w:t>. Genetic testing is recommended (Class 1 indication) for affected individuals clinically diagnosed with CPVT, especially to help predictive testing in the family members</w:t>
      </w:r>
      <w:r>
        <w:rPr>
          <w:rStyle w:val="FootnoteReference"/>
        </w:rPr>
        <w:footnoteReference w:id="29"/>
      </w:r>
      <w:r>
        <w:t>.</w:t>
      </w:r>
    </w:p>
    <w:p w14:paraId="73072D2E" w14:textId="77777777" w:rsidR="00BC1364" w:rsidRPr="00F715D1" w:rsidRDefault="00BC1364" w:rsidP="00F715D1">
      <w:pPr>
        <w:pStyle w:val="Heading1"/>
      </w:pPr>
      <w:r w:rsidRPr="00F715D1">
        <w:t xml:space="preserve">Comparator </w:t>
      </w:r>
    </w:p>
    <w:p w14:paraId="755D342B" w14:textId="77777777" w:rsidR="00FD04F7" w:rsidRDefault="00FD04F7" w:rsidP="00FD04F7">
      <w:r>
        <w:t>The DCAR stated that the comparator is the u</w:t>
      </w:r>
      <w:r w:rsidRPr="008E48C8">
        <w:t>sual standard of care without genetic testing</w:t>
      </w:r>
      <w:r>
        <w:t>.</w:t>
      </w:r>
    </w:p>
    <w:p w14:paraId="13A75C92" w14:textId="77777777" w:rsidR="00BC1364" w:rsidRPr="00F715D1" w:rsidRDefault="00BC1364" w:rsidP="00F715D1">
      <w:pPr>
        <w:pStyle w:val="Heading1"/>
      </w:pPr>
      <w:r w:rsidRPr="00F715D1">
        <w:t>Comparative safety</w:t>
      </w:r>
    </w:p>
    <w:p w14:paraId="3AC4D093" w14:textId="5D60A906" w:rsidR="00FD04F7" w:rsidRDefault="00FD04F7" w:rsidP="00FD04F7">
      <w:r>
        <w:t xml:space="preserve">The DCAR proposed that genetic testing has non-inferior safety both in affected individuals (proposed item XXXXX), and in family members (proposed item YYYYY). The DCAR </w:t>
      </w:r>
      <w:r w:rsidRPr="00DD65B8">
        <w:t xml:space="preserve">identified </w:t>
      </w:r>
      <w:r>
        <w:t>no studies</w:t>
      </w:r>
      <w:r w:rsidRPr="00DD65B8">
        <w:t xml:space="preserve"> assess</w:t>
      </w:r>
      <w:r>
        <w:t>ing</w:t>
      </w:r>
      <w:r w:rsidRPr="00DD65B8">
        <w:t xml:space="preserve"> the safety of cascade screening for </w:t>
      </w:r>
      <w:r>
        <w:t>ICAs (DCAR, section 6.4)</w:t>
      </w:r>
      <w:r w:rsidRPr="00DD65B8">
        <w:t>.</w:t>
      </w:r>
    </w:p>
    <w:p w14:paraId="43314C5F" w14:textId="6EE4C8C0" w:rsidR="00FD04F7" w:rsidRDefault="00FD04F7" w:rsidP="00754CF9">
      <w:pPr>
        <w:spacing w:before="240"/>
      </w:pPr>
      <w:r>
        <w:t xml:space="preserve">The DCAR stated that </w:t>
      </w:r>
      <w:r w:rsidRPr="005C21FF">
        <w:t xml:space="preserve">a clinical diagnosis </w:t>
      </w:r>
      <w:r w:rsidR="00C52FB5">
        <w:t>of</w:t>
      </w:r>
      <w:r w:rsidR="00C52FB5" w:rsidRPr="005C21FF">
        <w:t xml:space="preserve"> </w:t>
      </w:r>
      <w:r w:rsidRPr="005C21FF">
        <w:t xml:space="preserve">a cardiac arrhythmia </w:t>
      </w:r>
      <w:r w:rsidR="00C52FB5">
        <w:t xml:space="preserve">may adversely </w:t>
      </w:r>
      <w:r>
        <w:t>affect</w:t>
      </w:r>
      <w:r w:rsidRPr="005C21FF">
        <w:t xml:space="preserve"> mental health status</w:t>
      </w:r>
      <w:r>
        <w:rPr>
          <w:rStyle w:val="FootnoteReference"/>
        </w:rPr>
        <w:footnoteReference w:id="30"/>
      </w:r>
      <w:r w:rsidRPr="005C21FF">
        <w:t xml:space="preserve">. Family members </w:t>
      </w:r>
      <w:r>
        <w:t>who</w:t>
      </w:r>
      <w:r w:rsidRPr="005C21FF">
        <w:t xml:space="preserve"> are carriers </w:t>
      </w:r>
      <w:r w:rsidR="00C52FB5">
        <w:t xml:space="preserve">for LQTS </w:t>
      </w:r>
      <w:r w:rsidRPr="005C21FF">
        <w:t xml:space="preserve">suffer fewer depressive symptoms than the </w:t>
      </w:r>
      <w:r>
        <w:t>affected individual</w:t>
      </w:r>
      <w:r w:rsidRPr="005C21FF">
        <w:t xml:space="preserve"> or family members with LQTS who are both genotype and phenotype positive</w:t>
      </w:r>
      <w:r>
        <w:rPr>
          <w:rStyle w:val="FootnoteReference"/>
        </w:rPr>
        <w:footnoteReference w:id="31"/>
      </w:r>
      <w:r w:rsidRPr="005C21FF">
        <w:t>. Younger adults with CPVT, including those with an</w:t>
      </w:r>
      <w:r>
        <w:t xml:space="preserve"> implantable cardioverter-d</w:t>
      </w:r>
      <w:r w:rsidRPr="0002179F">
        <w:t>efibrillator</w:t>
      </w:r>
      <w:r>
        <w:t xml:space="preserve"> (ICD)</w:t>
      </w:r>
      <w:r w:rsidRPr="005C21FF">
        <w:t>, are at significant risk of poor psychosocial outcomes, including anxiety and post</w:t>
      </w:r>
      <w:r>
        <w:t>-</w:t>
      </w:r>
      <w:r w:rsidRPr="005C21FF">
        <w:t>traumatic stress symptoms. Additionally, patients with a genetic diagnosis experience more difficulties in adjusting</w:t>
      </w:r>
      <w:r>
        <w:t>, and p</w:t>
      </w:r>
      <w:r w:rsidRPr="005C21FF">
        <w:t>arents of a child with CPVT generally considered that their child’s quality of life was significantly worse than their peers</w:t>
      </w:r>
      <w:r>
        <w:rPr>
          <w:rStyle w:val="FootnoteReference"/>
        </w:rPr>
        <w:footnoteReference w:id="32"/>
      </w:r>
      <w:r w:rsidRPr="005C21FF">
        <w:t>. Overall, children adapt to their gene</w:t>
      </w:r>
      <w:r w:rsidR="00C52FB5">
        <w:t>tic</w:t>
      </w:r>
      <w:r w:rsidRPr="005C21FF">
        <w:t xml:space="preserve"> status and its implications</w:t>
      </w:r>
      <w:r>
        <w:rPr>
          <w:rStyle w:val="FootnoteReference"/>
        </w:rPr>
        <w:footnoteReference w:id="33"/>
      </w:r>
      <w:r w:rsidRPr="005C21FF">
        <w:t>.</w:t>
      </w:r>
    </w:p>
    <w:p w14:paraId="554BBA4B" w14:textId="77777777" w:rsidR="00FD04F7" w:rsidRDefault="00FD04F7" w:rsidP="00754CF9">
      <w:pPr>
        <w:spacing w:before="240"/>
      </w:pPr>
      <w:r>
        <w:t>The DCAR’s examination of</w:t>
      </w:r>
      <w:r w:rsidRPr="0002179F">
        <w:t xml:space="preserve"> ethical issues related to genetic testing for </w:t>
      </w:r>
      <w:r>
        <w:t>ICAs</w:t>
      </w:r>
      <w:r w:rsidRPr="0002179F">
        <w:t xml:space="preserve"> </w:t>
      </w:r>
      <w:r>
        <w:t>uncovered</w:t>
      </w:r>
      <w:r w:rsidRPr="0002179F">
        <w:t xml:space="preserve"> </w:t>
      </w:r>
      <w:r>
        <w:t xml:space="preserve">potential </w:t>
      </w:r>
      <w:r w:rsidRPr="0002179F">
        <w:t xml:space="preserve">issues regarding equity of access to testing, patient motivations to test or not to test, reproductive decision making, and issues of personal autonomy. Cascade testing also raises issues related to who ought to share the information with relatives (the </w:t>
      </w:r>
      <w:r>
        <w:t>affected individual</w:t>
      </w:r>
      <w:r w:rsidRPr="0002179F">
        <w:t xml:space="preserve"> or the doctor), how and why they ought to share it, what barriers and facilitators there are to sharing information, and under what circumstances it may be ethically justified to breach confidentiality </w:t>
      </w:r>
      <w:r>
        <w:t>of</w:t>
      </w:r>
      <w:r w:rsidRPr="0002179F">
        <w:t xml:space="preserve"> the </w:t>
      </w:r>
      <w:r>
        <w:t>affected individual</w:t>
      </w:r>
      <w:r w:rsidRPr="0002179F">
        <w:t>.</w:t>
      </w:r>
    </w:p>
    <w:p w14:paraId="5536AAA8" w14:textId="77777777" w:rsidR="00BC1364" w:rsidRPr="00F715D1" w:rsidRDefault="00BC1364" w:rsidP="00F715D1">
      <w:pPr>
        <w:pStyle w:val="Heading1"/>
      </w:pPr>
      <w:r w:rsidRPr="00F715D1">
        <w:t>Comparative effectiveness</w:t>
      </w:r>
    </w:p>
    <w:p w14:paraId="2D3DDFF3" w14:textId="77777777" w:rsidR="00FD04F7" w:rsidRDefault="00FD04F7" w:rsidP="00FD04F7">
      <w:pPr>
        <w:pStyle w:val="Heading2"/>
      </w:pPr>
      <w:r>
        <w:t>Clinical claim</w:t>
      </w:r>
    </w:p>
    <w:p w14:paraId="39C53CDA" w14:textId="77777777" w:rsidR="00FD04F7" w:rsidRDefault="00FD04F7" w:rsidP="00FD04F7">
      <w:r>
        <w:t>The DCAR stated that</w:t>
      </w:r>
      <w:r w:rsidRPr="00897610">
        <w:t xml:space="preserve"> compared to clinical screening (cardiology and family history) alone, genetic testing for ICA</w:t>
      </w:r>
      <w:r>
        <w:t>s</w:t>
      </w:r>
      <w:r w:rsidRPr="00897610">
        <w:t xml:space="preserve"> and associated interventions has non-inferior safety and non-inferior-effectiveness in </w:t>
      </w:r>
      <w:r>
        <w:t>affected individuals,</w:t>
      </w:r>
      <w:r w:rsidRPr="00897610">
        <w:t xml:space="preserve"> and superior effectiveness and non-inferior safety in family members.</w:t>
      </w:r>
    </w:p>
    <w:p w14:paraId="5EBC4D49" w14:textId="77777777" w:rsidR="00FD04F7" w:rsidRDefault="00FD04F7" w:rsidP="00FD04F7">
      <w:pPr>
        <w:pStyle w:val="Heading2"/>
      </w:pPr>
      <w:r>
        <w:t>Analytical validity</w:t>
      </w:r>
    </w:p>
    <w:p w14:paraId="587A2368" w14:textId="44175C81" w:rsidR="00FD04F7" w:rsidRDefault="00FD04F7" w:rsidP="00FD04F7">
      <w:r>
        <w:t>The DCAR stated that the reference standards for detection of variants are Sanger sequencing and validated NGS. Two small studies were available comparing the accuracy of three different NGS panels against Sanger sequencing, or a combination of denaturing high performance liquid chromatography plus Sanger sequencing to confirm variants in patients with LQTS (k=2; n=47)</w:t>
      </w:r>
      <w:r>
        <w:rPr>
          <w:rStyle w:val="FootnoteReference"/>
        </w:rPr>
        <w:footnoteReference w:id="34"/>
      </w:r>
      <w:r w:rsidRPr="00842CD3">
        <w:rPr>
          <w:vertAlign w:val="superscript"/>
        </w:rPr>
        <w:t>,</w:t>
      </w:r>
      <w:r>
        <w:rPr>
          <w:rStyle w:val="FootnoteReference"/>
        </w:rPr>
        <w:footnoteReference w:id="35"/>
      </w:r>
      <w:r>
        <w:t>. The NGS panels were highly accurate, with sensitivity ranging from 97.1% to 100%, and specificity in one study of 100%. A total of nine false positive calls from 107 coding variants were reported in the other study.</w:t>
      </w:r>
    </w:p>
    <w:p w14:paraId="60AD2EB6" w14:textId="77777777" w:rsidR="00FD04F7" w:rsidRDefault="00FD04F7" w:rsidP="00754CF9">
      <w:pPr>
        <w:spacing w:before="240"/>
      </w:pPr>
      <w:r>
        <w:t>For cascade testing, the DCAR stated that testing</w:t>
      </w:r>
      <w:r w:rsidRPr="005D4812">
        <w:t xml:space="preserve"> of family members would use a method of genetic testing suited to identifying the one or two familial pathogenic variants identified in the proband. As such, the analytical validity of the method chosen would be 100%.</w:t>
      </w:r>
    </w:p>
    <w:p w14:paraId="6EE5E577" w14:textId="77777777" w:rsidR="00FD04F7" w:rsidRDefault="00FD04F7" w:rsidP="00FD04F7">
      <w:pPr>
        <w:pStyle w:val="Heading2"/>
      </w:pPr>
      <w:r>
        <w:t>Clinical validity</w:t>
      </w:r>
    </w:p>
    <w:p w14:paraId="04A0EEE9" w14:textId="77777777" w:rsidR="00FD04F7" w:rsidRDefault="00FD04F7" w:rsidP="00FD04F7">
      <w:pPr>
        <w:pStyle w:val="Heading3"/>
      </w:pPr>
      <w:r>
        <w:t>Incremental diagnostic information</w:t>
      </w:r>
    </w:p>
    <w:p w14:paraId="0F788B3B" w14:textId="43CFEB1D" w:rsidR="00FD04F7" w:rsidRDefault="00FD04F7" w:rsidP="00FD04F7">
      <w:r>
        <w:t>The DCAR stated that f</w:t>
      </w:r>
      <w:r w:rsidRPr="00650D8E">
        <w:t xml:space="preserve">or </w:t>
      </w:r>
      <w:r>
        <w:t>affected individuals</w:t>
      </w:r>
      <w:r w:rsidRPr="00650D8E">
        <w:t xml:space="preserve"> </w:t>
      </w:r>
      <w:r>
        <w:t>with</w:t>
      </w:r>
      <w:r w:rsidRPr="00650D8E">
        <w:t xml:space="preserve"> a</w:t>
      </w:r>
      <w:r>
        <w:t xml:space="preserve"> </w:t>
      </w:r>
      <w:r w:rsidRPr="00650D8E">
        <w:t xml:space="preserve">cardiac rhythm disorder, clinical validity </w:t>
      </w:r>
      <w:r>
        <w:t>includes</w:t>
      </w:r>
      <w:r w:rsidRPr="00650D8E">
        <w:t xml:space="preserve"> how well </w:t>
      </w:r>
      <w:r>
        <w:t>the test</w:t>
      </w:r>
      <w:r w:rsidRPr="00650D8E">
        <w:t xml:space="preserve"> classifies patients into the particular subtype of disorder (diagnosis), how this information can be used to predict their health outcomes (prognosis)</w:t>
      </w:r>
      <w:r>
        <w:t xml:space="preserve">, and </w:t>
      </w:r>
      <w:r w:rsidRPr="00650D8E">
        <w:t>how well the test can predict response to treatment (predictive of benefit or harms).</w:t>
      </w:r>
      <w:r>
        <w:t xml:space="preserve"> The reference standards used by the DCAR for these are outlined below (</w:t>
      </w:r>
      <w:r>
        <w:fldChar w:fldCharType="begin"/>
      </w:r>
      <w:r>
        <w:instrText xml:space="preserve"> REF _Ref46131640 \h </w:instrText>
      </w:r>
      <w:r>
        <w:fldChar w:fldCharType="separate"/>
      </w:r>
      <w:r w:rsidRPr="00263E07">
        <w:t xml:space="preserve">Table </w:t>
      </w:r>
      <w:r>
        <w:rPr>
          <w:noProof/>
        </w:rPr>
        <w:t>4</w:t>
      </w:r>
      <w:r>
        <w:fldChar w:fldCharType="end"/>
      </w:r>
      <w:r>
        <w:t>).</w:t>
      </w:r>
    </w:p>
    <w:p w14:paraId="1E821DFE" w14:textId="627DCBD4" w:rsidR="00FD04F7" w:rsidRPr="00183E4D" w:rsidRDefault="00FD04F7" w:rsidP="00754CF9">
      <w:pPr>
        <w:pStyle w:val="Caption"/>
        <w:spacing w:before="240"/>
        <w:rPr>
          <w:snapToGrid w:val="0"/>
        </w:rPr>
      </w:pPr>
      <w:bookmarkStart w:id="6" w:name="_Ref46131640"/>
      <w:r w:rsidRPr="00263E07">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6"/>
      <w:r>
        <w:t>:</w:t>
      </w:r>
      <w:r w:rsidRPr="00263E07">
        <w:rPr>
          <w:snapToGrid w:val="0"/>
        </w:rPr>
        <w:t xml:space="preserve"> </w:t>
      </w:r>
      <w:r>
        <w:rPr>
          <w:snapToGrid w:val="0"/>
        </w:rPr>
        <w:t>Reference standards for different forms of clinical validity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4508"/>
        <w:gridCol w:w="4508"/>
      </w:tblGrid>
      <w:tr w:rsidR="00FD04F7" w:rsidRPr="00183E4D" w14:paraId="11646B7F" w14:textId="77777777" w:rsidTr="00FD04F7">
        <w:trPr>
          <w:tblHeader/>
        </w:trPr>
        <w:tc>
          <w:tcPr>
            <w:tcW w:w="2500" w:type="pct"/>
            <w:shd w:val="clear" w:color="auto" w:fill="auto"/>
            <w:vAlign w:val="center"/>
          </w:tcPr>
          <w:p w14:paraId="00C55EA9" w14:textId="77777777" w:rsidR="00FD04F7" w:rsidRPr="00183E4D" w:rsidRDefault="00FD04F7" w:rsidP="00FD04F7">
            <w:pPr>
              <w:pStyle w:val="TableHeading"/>
            </w:pPr>
            <w:r>
              <w:t>Type of clinical validity information</w:t>
            </w:r>
          </w:p>
        </w:tc>
        <w:tc>
          <w:tcPr>
            <w:tcW w:w="2500" w:type="pct"/>
            <w:shd w:val="clear" w:color="auto" w:fill="auto"/>
            <w:vAlign w:val="center"/>
          </w:tcPr>
          <w:p w14:paraId="2ECD3484" w14:textId="77777777" w:rsidR="00FD04F7" w:rsidRPr="00183E4D" w:rsidRDefault="00FD04F7" w:rsidP="00FD04F7">
            <w:pPr>
              <w:pStyle w:val="TableHeading"/>
            </w:pPr>
            <w:r>
              <w:t>Reference standard</w:t>
            </w:r>
          </w:p>
        </w:tc>
      </w:tr>
      <w:tr w:rsidR="00FD04F7" w:rsidRPr="00183E4D" w14:paraId="0FD3931A" w14:textId="77777777" w:rsidTr="00FD04F7">
        <w:trPr>
          <w:trHeight w:val="520"/>
        </w:trPr>
        <w:tc>
          <w:tcPr>
            <w:tcW w:w="2500" w:type="pct"/>
            <w:shd w:val="clear" w:color="auto" w:fill="auto"/>
            <w:vAlign w:val="center"/>
          </w:tcPr>
          <w:p w14:paraId="547CA750" w14:textId="77777777" w:rsidR="00FD04F7" w:rsidRPr="00034E35" w:rsidRDefault="00FD04F7" w:rsidP="00FD04F7">
            <w:pPr>
              <w:spacing w:before="40" w:after="40"/>
              <w:rPr>
                <w:rFonts w:ascii="Arial Narrow" w:hAnsi="Arial Narrow"/>
                <w:sz w:val="20"/>
              </w:rPr>
            </w:pPr>
            <w:r>
              <w:rPr>
                <w:rFonts w:ascii="Arial Narrow" w:hAnsi="Arial Narrow"/>
                <w:sz w:val="20"/>
              </w:rPr>
              <w:t>Diagnostic (cross-sectional accuracy)</w:t>
            </w:r>
          </w:p>
        </w:tc>
        <w:tc>
          <w:tcPr>
            <w:tcW w:w="2500" w:type="pct"/>
            <w:shd w:val="clear" w:color="auto" w:fill="auto"/>
            <w:vAlign w:val="center"/>
          </w:tcPr>
          <w:p w14:paraId="4D2B84C9" w14:textId="77777777" w:rsidR="00FD04F7" w:rsidRDefault="00FD04F7" w:rsidP="00FD04F7">
            <w:pPr>
              <w:pStyle w:val="TableText0"/>
            </w:pPr>
            <w:r w:rsidRPr="00BB47A1">
              <w:t>Clinical diagnosis</w:t>
            </w:r>
            <w:r>
              <w:t xml:space="preserve"> (for accuracy of genetic testing) OR</w:t>
            </w:r>
          </w:p>
          <w:p w14:paraId="1991F793" w14:textId="77777777" w:rsidR="00FD04F7" w:rsidRPr="00BB47A1" w:rsidRDefault="00FD04F7" w:rsidP="00FD04F7">
            <w:pPr>
              <w:pStyle w:val="TableText0"/>
            </w:pPr>
            <w:r>
              <w:t>Genetic variant status (for accuracy of clinical diagnosis)</w:t>
            </w:r>
            <w:r w:rsidRPr="00BB47A1" w:rsidDel="00C56C53">
              <w:t xml:space="preserve"> </w:t>
            </w:r>
          </w:p>
        </w:tc>
      </w:tr>
      <w:tr w:rsidR="00FD04F7" w:rsidRPr="00183E4D" w14:paraId="141B8014" w14:textId="77777777" w:rsidTr="00FD04F7">
        <w:trPr>
          <w:trHeight w:val="345"/>
        </w:trPr>
        <w:tc>
          <w:tcPr>
            <w:tcW w:w="2500" w:type="pct"/>
            <w:shd w:val="clear" w:color="auto" w:fill="auto"/>
            <w:vAlign w:val="center"/>
          </w:tcPr>
          <w:p w14:paraId="42BF17F9" w14:textId="77777777" w:rsidR="00FD04F7" w:rsidRDefault="00FD04F7" w:rsidP="00FD04F7">
            <w:pPr>
              <w:spacing w:before="40" w:after="40"/>
              <w:rPr>
                <w:rFonts w:ascii="Arial Narrow" w:hAnsi="Arial Narrow"/>
                <w:sz w:val="20"/>
              </w:rPr>
            </w:pPr>
            <w:r>
              <w:rPr>
                <w:rFonts w:ascii="Arial Narrow" w:hAnsi="Arial Narrow"/>
                <w:sz w:val="20"/>
              </w:rPr>
              <w:t>Prognostic (longitudinal accuracy)</w:t>
            </w:r>
          </w:p>
        </w:tc>
        <w:tc>
          <w:tcPr>
            <w:tcW w:w="2500" w:type="pct"/>
            <w:shd w:val="clear" w:color="auto" w:fill="auto"/>
            <w:vAlign w:val="center"/>
          </w:tcPr>
          <w:p w14:paraId="380788E5" w14:textId="77777777" w:rsidR="00FD04F7" w:rsidRPr="00BB47A1" w:rsidRDefault="00FD04F7" w:rsidP="00FD04F7">
            <w:pPr>
              <w:pStyle w:val="TableText0"/>
            </w:pPr>
            <w:r>
              <w:t xml:space="preserve">Cardiac events over follow-up (adjusting for treatment) </w:t>
            </w:r>
            <w:r w:rsidDel="00F42DF7">
              <w:t xml:space="preserve">Clinical outcomes subsequent to diagnosis </w:t>
            </w:r>
          </w:p>
        </w:tc>
      </w:tr>
      <w:tr w:rsidR="00FD04F7" w:rsidRPr="00183E4D" w14:paraId="12C21776" w14:textId="77777777" w:rsidTr="00FD04F7">
        <w:tc>
          <w:tcPr>
            <w:tcW w:w="2500" w:type="pct"/>
            <w:shd w:val="clear" w:color="auto" w:fill="auto"/>
            <w:vAlign w:val="center"/>
          </w:tcPr>
          <w:p w14:paraId="7E0D2C4B" w14:textId="77777777" w:rsidR="00FD04F7" w:rsidRPr="00BF624A" w:rsidRDefault="00FD04F7" w:rsidP="00FD04F7">
            <w:pPr>
              <w:spacing w:before="40" w:after="40"/>
              <w:rPr>
                <w:rFonts w:ascii="Arial Narrow" w:hAnsi="Arial Narrow"/>
                <w:sz w:val="20"/>
              </w:rPr>
            </w:pPr>
            <w:r w:rsidRPr="00BB47A1">
              <w:rPr>
                <w:rFonts w:ascii="Arial Narrow" w:hAnsi="Arial Narrow"/>
                <w:sz w:val="20"/>
              </w:rPr>
              <w:t xml:space="preserve">Predictive </w:t>
            </w:r>
            <w:r>
              <w:rPr>
                <w:rFonts w:ascii="Arial Narrow" w:hAnsi="Arial Narrow"/>
                <w:sz w:val="20"/>
              </w:rPr>
              <w:t>(longitudinal accuracy)</w:t>
            </w:r>
            <w:r>
              <w:rPr>
                <w:rFonts w:ascii="Arial Narrow" w:hAnsi="Arial Narrow"/>
                <w:sz w:val="20"/>
                <w:vertAlign w:val="superscript"/>
              </w:rPr>
              <w:t>a</w:t>
            </w:r>
          </w:p>
        </w:tc>
        <w:tc>
          <w:tcPr>
            <w:tcW w:w="2500" w:type="pct"/>
            <w:shd w:val="clear" w:color="auto" w:fill="auto"/>
            <w:vAlign w:val="center"/>
          </w:tcPr>
          <w:p w14:paraId="5A693FD1" w14:textId="77777777" w:rsidR="00FD04F7" w:rsidRPr="00BB47A1" w:rsidRDefault="00FD04F7" w:rsidP="00FD04F7">
            <w:pPr>
              <w:pStyle w:val="TableText0"/>
            </w:pPr>
            <w:r>
              <w:t>Cardiac events over follow-up, considering differential r</w:t>
            </w:r>
            <w:r w:rsidRPr="00BB47A1">
              <w:t>esponse to treatment</w:t>
            </w:r>
            <w:r>
              <w:t xml:space="preserve"> (benefits or harms)</w:t>
            </w:r>
          </w:p>
        </w:tc>
      </w:tr>
    </w:tbl>
    <w:p w14:paraId="3B0AB7E0" w14:textId="77777777" w:rsidR="00FD04F7" w:rsidRDefault="00FD04F7" w:rsidP="00FD04F7">
      <w:pPr>
        <w:pStyle w:val="Tablenotes1"/>
      </w:pPr>
      <w:r>
        <w:rPr>
          <w:b/>
          <w:vertAlign w:val="superscript"/>
        </w:rPr>
        <w:t>a</w:t>
      </w:r>
      <w:r>
        <w:rPr>
          <w:b/>
        </w:rPr>
        <w:t xml:space="preserve"> </w:t>
      </w:r>
      <w:r w:rsidRPr="00F313A7">
        <w:t>Studies reporting on differential response to treatment are incorporated into section 5.3 on clinical utility</w:t>
      </w:r>
    </w:p>
    <w:p w14:paraId="253CD415" w14:textId="77777777" w:rsidR="00FD04F7" w:rsidRPr="00BF624A" w:rsidRDefault="00FD04F7" w:rsidP="00FD04F7">
      <w:pPr>
        <w:pStyle w:val="Tablenotes1"/>
        <w:rPr>
          <w:b/>
        </w:rPr>
      </w:pPr>
      <w:r>
        <w:t>Source: DCAR, Table 9</w:t>
      </w:r>
    </w:p>
    <w:p w14:paraId="2014CF85" w14:textId="149FD438" w:rsidR="00FD04F7" w:rsidRDefault="00FD04F7" w:rsidP="00FD04F7">
      <w:r>
        <w:t>The DCAR stated that</w:t>
      </w:r>
      <w:r w:rsidRPr="001D17B2">
        <w:t xml:space="preserve"> genetic testing is proposed to be used in addition to clinical diagnosis, and the resulting diagnosis is considered likely to co</w:t>
      </w:r>
      <w:r w:rsidR="00C52FB5">
        <w:t>ncur with the phenotypic diagnosis</w:t>
      </w:r>
      <w:r w:rsidRPr="001D17B2">
        <w:t>. As such, no studies were informative about the accuracy of genetic testing against a clinical reference standard. However, studies were available regarding the accuracy of clinical diagnosis compare</w:t>
      </w:r>
      <w:r>
        <w:t>d to pathogenic-variant status.</w:t>
      </w:r>
    </w:p>
    <w:p w14:paraId="4E00CB4D" w14:textId="0E2E2EEF" w:rsidR="00FD04F7" w:rsidRDefault="00FD04F7" w:rsidP="00754CF9">
      <w:pPr>
        <w:spacing w:before="240"/>
      </w:pPr>
      <w:r>
        <w:t xml:space="preserve">For LQTS, the DCAR stated that </w:t>
      </w:r>
      <w:r w:rsidRPr="009D4F13">
        <w:t xml:space="preserve">the gold-standard method of clinical diagnosis is through use of the Schwartz criteria, </w:t>
      </w:r>
      <w:r>
        <w:t>which provide</w:t>
      </w:r>
      <w:r w:rsidRPr="009D4F13">
        <w:t xml:space="preserve"> a probability of having LQTS based on the combination of clinical history, family history and ECG findings.</w:t>
      </w:r>
      <w:r>
        <w:t xml:space="preserve"> Of the four studies identified as assessing how well the Schwartz criteria predicted pathogenic status, Hayashi </w:t>
      </w:r>
      <w:r>
        <w:rPr>
          <w:i/>
        </w:rPr>
        <w:t>et al.</w:t>
      </w:r>
      <w:r>
        <w:rPr>
          <w:rStyle w:val="FootnoteReference"/>
        </w:rPr>
        <w:footnoteReference w:id="36"/>
      </w:r>
      <w:r>
        <w:t xml:space="preserve"> provided the most comprehensive evidence, as summarised below (</w:t>
      </w:r>
      <w:r>
        <w:fldChar w:fldCharType="begin"/>
      </w:r>
      <w:r>
        <w:instrText xml:space="preserve"> REF _Ref51331026 \h </w:instrText>
      </w:r>
      <w:r>
        <w:fldChar w:fldCharType="separate"/>
      </w:r>
      <w:r>
        <w:t xml:space="preserve">Table </w:t>
      </w:r>
      <w:r>
        <w:rPr>
          <w:noProof/>
        </w:rPr>
        <w:t>5</w:t>
      </w:r>
      <w:r>
        <w:fldChar w:fldCharType="end"/>
      </w:r>
      <w:r>
        <w:t>).</w:t>
      </w:r>
    </w:p>
    <w:p w14:paraId="0F843A91" w14:textId="4FB55084" w:rsidR="00FD04F7" w:rsidRDefault="00FD04F7" w:rsidP="00754CF9">
      <w:pPr>
        <w:pStyle w:val="Caption"/>
        <w:spacing w:before="240"/>
      </w:pPr>
      <w:bookmarkStart w:id="7" w:name="_Ref51331026"/>
      <w:r>
        <w:t xml:space="preserve">Table </w:t>
      </w:r>
      <w:r w:rsidR="002C6DB1">
        <w:fldChar w:fldCharType="begin"/>
      </w:r>
      <w:r w:rsidR="002C6DB1">
        <w:instrText xml:space="preserve"> SEQ Table \* ARABIC </w:instrText>
      </w:r>
      <w:r w:rsidR="002C6DB1">
        <w:fldChar w:fldCharType="separate"/>
      </w:r>
      <w:r>
        <w:rPr>
          <w:noProof/>
        </w:rPr>
        <w:t>5</w:t>
      </w:r>
      <w:r w:rsidR="002C6DB1">
        <w:rPr>
          <w:noProof/>
        </w:rPr>
        <w:fldChar w:fldCharType="end"/>
      </w:r>
      <w:bookmarkEnd w:id="7"/>
      <w:r>
        <w:t>: Accuracy of Schwartz criteria for predicting LQTS pathogenic variant status</w:t>
      </w:r>
    </w:p>
    <w:tbl>
      <w:tblPr>
        <w:tblStyle w:val="TableGrid"/>
        <w:tblW w:w="5000" w:type="pct"/>
        <w:tblLook w:val="04A0" w:firstRow="1" w:lastRow="0" w:firstColumn="1" w:lastColumn="0" w:noHBand="0" w:noVBand="1"/>
      </w:tblPr>
      <w:tblGrid>
        <w:gridCol w:w="855"/>
        <w:gridCol w:w="1415"/>
        <w:gridCol w:w="2043"/>
        <w:gridCol w:w="1047"/>
        <w:gridCol w:w="1037"/>
        <w:gridCol w:w="1037"/>
        <w:gridCol w:w="791"/>
        <w:gridCol w:w="791"/>
      </w:tblGrid>
      <w:tr w:rsidR="00FD04F7" w14:paraId="0BB75726" w14:textId="77777777" w:rsidTr="00FD04F7">
        <w:trPr>
          <w:tblHeader/>
        </w:trPr>
        <w:tc>
          <w:tcPr>
            <w:tcW w:w="474" w:type="pct"/>
          </w:tcPr>
          <w:p w14:paraId="5EC78E3D" w14:textId="77777777" w:rsidR="00FD04F7" w:rsidRDefault="00FD04F7" w:rsidP="00FD04F7">
            <w:pPr>
              <w:pStyle w:val="TableHeading"/>
            </w:pPr>
            <w:r>
              <w:t>Study</w:t>
            </w:r>
          </w:p>
        </w:tc>
        <w:tc>
          <w:tcPr>
            <w:tcW w:w="831" w:type="pct"/>
          </w:tcPr>
          <w:p w14:paraId="28A89187" w14:textId="77777777" w:rsidR="00FD04F7" w:rsidRDefault="00FD04F7" w:rsidP="00FD04F7">
            <w:pPr>
              <w:pStyle w:val="TableHeading"/>
            </w:pPr>
            <w:r>
              <w:t>Population</w:t>
            </w:r>
          </w:p>
        </w:tc>
        <w:tc>
          <w:tcPr>
            <w:tcW w:w="1133" w:type="pct"/>
          </w:tcPr>
          <w:p w14:paraId="65E3B9F0" w14:textId="77777777" w:rsidR="00FD04F7" w:rsidRDefault="00FD04F7" w:rsidP="00FD04F7">
            <w:pPr>
              <w:pStyle w:val="TableHeading"/>
            </w:pPr>
            <w:r>
              <w:t>Reference standard</w:t>
            </w:r>
          </w:p>
        </w:tc>
        <w:tc>
          <w:tcPr>
            <w:tcW w:w="626" w:type="pct"/>
          </w:tcPr>
          <w:p w14:paraId="6C611A7B" w14:textId="77777777" w:rsidR="00FD04F7" w:rsidRDefault="00FD04F7" w:rsidP="00FD04F7">
            <w:pPr>
              <w:pStyle w:val="TableHeading"/>
            </w:pPr>
            <w:r>
              <w:t xml:space="preserve">Clinical </w:t>
            </w:r>
          </w:p>
        </w:tc>
        <w:tc>
          <w:tcPr>
            <w:tcW w:w="484" w:type="pct"/>
          </w:tcPr>
          <w:p w14:paraId="6441C8E8" w14:textId="77777777" w:rsidR="00FD04F7" w:rsidRDefault="00FD04F7" w:rsidP="00FD04F7">
            <w:pPr>
              <w:pStyle w:val="TableHeading"/>
            </w:pPr>
            <w:r>
              <w:t>Sensitivity</w:t>
            </w:r>
          </w:p>
        </w:tc>
        <w:tc>
          <w:tcPr>
            <w:tcW w:w="575" w:type="pct"/>
          </w:tcPr>
          <w:p w14:paraId="4AC55F98" w14:textId="77777777" w:rsidR="00FD04F7" w:rsidRDefault="00FD04F7" w:rsidP="00FD04F7">
            <w:pPr>
              <w:pStyle w:val="TableHeading"/>
            </w:pPr>
            <w:r>
              <w:t>Specificity</w:t>
            </w:r>
          </w:p>
        </w:tc>
        <w:tc>
          <w:tcPr>
            <w:tcW w:w="439" w:type="pct"/>
          </w:tcPr>
          <w:p w14:paraId="10F138F7" w14:textId="77777777" w:rsidR="00FD04F7" w:rsidRDefault="00FD04F7" w:rsidP="00FD04F7">
            <w:pPr>
              <w:pStyle w:val="TableHeading"/>
            </w:pPr>
            <w:r>
              <w:t>PPV</w:t>
            </w:r>
          </w:p>
        </w:tc>
        <w:tc>
          <w:tcPr>
            <w:tcW w:w="439" w:type="pct"/>
          </w:tcPr>
          <w:p w14:paraId="1123210B" w14:textId="77777777" w:rsidR="00FD04F7" w:rsidRDefault="00FD04F7" w:rsidP="00FD04F7">
            <w:pPr>
              <w:pStyle w:val="TableHeading"/>
            </w:pPr>
            <w:r>
              <w:t>NPV</w:t>
            </w:r>
          </w:p>
        </w:tc>
      </w:tr>
      <w:tr w:rsidR="00FD04F7" w14:paraId="07AB75E9" w14:textId="77777777" w:rsidTr="00FD04F7">
        <w:trPr>
          <w:trHeight w:val="1335"/>
        </w:trPr>
        <w:tc>
          <w:tcPr>
            <w:tcW w:w="474" w:type="pct"/>
          </w:tcPr>
          <w:p w14:paraId="13971078" w14:textId="77777777" w:rsidR="00FD04F7" w:rsidRPr="00406E3D" w:rsidRDefault="00FD04F7" w:rsidP="00FD04F7">
            <w:pPr>
              <w:pStyle w:val="TableText0"/>
            </w:pPr>
            <w:r>
              <w:t>Hayashi, K et al. 2016</w:t>
            </w:r>
          </w:p>
        </w:tc>
        <w:tc>
          <w:tcPr>
            <w:tcW w:w="831" w:type="pct"/>
          </w:tcPr>
          <w:p w14:paraId="255F7FE5" w14:textId="77777777" w:rsidR="00FD04F7" w:rsidRDefault="00FD04F7" w:rsidP="00FD04F7">
            <w:pPr>
              <w:pStyle w:val="TableText0"/>
            </w:pPr>
            <w:r>
              <w:t xml:space="preserve">132 patients with prolonged QTc intervals and/or abnormal clinical history and familial findings during cardiac screening </w:t>
            </w:r>
          </w:p>
        </w:tc>
        <w:tc>
          <w:tcPr>
            <w:tcW w:w="1133" w:type="pct"/>
          </w:tcPr>
          <w:p w14:paraId="5BBA45C9" w14:textId="77777777" w:rsidR="00FD04F7" w:rsidRDefault="00FD04F7" w:rsidP="00FD04F7">
            <w:pPr>
              <w:pStyle w:val="TableText0"/>
            </w:pPr>
            <w:r>
              <w:t>LQTS pathogenic variant carrier status determined by HRM or dHPLC followed by Sanger sequencing</w:t>
            </w:r>
          </w:p>
        </w:tc>
        <w:tc>
          <w:tcPr>
            <w:tcW w:w="626" w:type="pct"/>
          </w:tcPr>
          <w:p w14:paraId="141428CF" w14:textId="77777777" w:rsidR="00FD04F7" w:rsidRDefault="00FD04F7" w:rsidP="00FD04F7">
            <w:pPr>
              <w:pStyle w:val="TableText0"/>
            </w:pPr>
            <w:r>
              <w:t>High probability of LQTS based on Schwartz score 2011 ≥3.5 points</w:t>
            </w:r>
          </w:p>
        </w:tc>
        <w:tc>
          <w:tcPr>
            <w:tcW w:w="484" w:type="pct"/>
          </w:tcPr>
          <w:p w14:paraId="646E392E" w14:textId="77777777" w:rsidR="00FD04F7" w:rsidRDefault="00FD04F7" w:rsidP="00FD04F7">
            <w:pPr>
              <w:pStyle w:val="TableText0"/>
            </w:pPr>
            <w:r>
              <w:t>46/52 (88.5%)</w:t>
            </w:r>
          </w:p>
        </w:tc>
        <w:tc>
          <w:tcPr>
            <w:tcW w:w="575" w:type="pct"/>
          </w:tcPr>
          <w:p w14:paraId="73948B73" w14:textId="77777777" w:rsidR="00FD04F7" w:rsidRDefault="00FD04F7" w:rsidP="00FD04F7">
            <w:pPr>
              <w:pStyle w:val="TableText0"/>
            </w:pPr>
            <w:r>
              <w:t xml:space="preserve">64/80 (80.0%) </w:t>
            </w:r>
          </w:p>
        </w:tc>
        <w:tc>
          <w:tcPr>
            <w:tcW w:w="439" w:type="pct"/>
          </w:tcPr>
          <w:p w14:paraId="24B6B0A4" w14:textId="77777777" w:rsidR="00FD04F7" w:rsidRDefault="00FD04F7" w:rsidP="00FD04F7">
            <w:pPr>
              <w:pStyle w:val="TableText0"/>
            </w:pPr>
            <w:r>
              <w:t>46/62 (74.2%)</w:t>
            </w:r>
          </w:p>
        </w:tc>
        <w:tc>
          <w:tcPr>
            <w:tcW w:w="439" w:type="pct"/>
          </w:tcPr>
          <w:p w14:paraId="0FA352C8" w14:textId="77777777" w:rsidR="00FD04F7" w:rsidRDefault="00FD04F7" w:rsidP="00FD04F7">
            <w:pPr>
              <w:pStyle w:val="TableText0"/>
            </w:pPr>
            <w:r>
              <w:t>64/70 (91.4%)</w:t>
            </w:r>
          </w:p>
        </w:tc>
      </w:tr>
    </w:tbl>
    <w:p w14:paraId="57D72869" w14:textId="77777777" w:rsidR="00FD04F7" w:rsidRDefault="00FD04F7" w:rsidP="00FD04F7">
      <w:pPr>
        <w:pStyle w:val="Tablenotes1"/>
      </w:pPr>
      <w:r>
        <w:t>dHPLC = denaturing high performance liquid chromatography; HRM = high resolution melt; QTc = corrected QT</w:t>
      </w:r>
    </w:p>
    <w:p w14:paraId="743629E5" w14:textId="77777777" w:rsidR="00FD04F7" w:rsidRDefault="00FD04F7" w:rsidP="00FD04F7">
      <w:pPr>
        <w:pStyle w:val="Tablenotes1"/>
      </w:pPr>
      <w:r>
        <w:t>Source: DCAR, Table 10</w:t>
      </w:r>
    </w:p>
    <w:p w14:paraId="5134E86C" w14:textId="2FBAE511" w:rsidR="00FD04F7" w:rsidRDefault="00FD04F7" w:rsidP="00FD04F7">
      <w:r>
        <w:t>The DCAR identified two studies reporting on the accuracy of ECG in determining LQTS subtype (</w:t>
      </w:r>
      <w:r w:rsidR="002C6DB1">
        <w:fldChar w:fldCharType="begin"/>
      </w:r>
      <w:r w:rsidR="002C6DB1">
        <w:instrText xml:space="preserve"> REF _Ref51596781 </w:instrText>
      </w:r>
      <w:r w:rsidR="002C6DB1">
        <w:fldChar w:fldCharType="separate"/>
      </w:r>
      <w:r>
        <w:t xml:space="preserve">Table </w:t>
      </w:r>
      <w:r>
        <w:rPr>
          <w:noProof/>
        </w:rPr>
        <w:t>6</w:t>
      </w:r>
      <w:r w:rsidR="002C6DB1">
        <w:rPr>
          <w:noProof/>
        </w:rPr>
        <w:fldChar w:fldCharType="end"/>
      </w:r>
      <w:r>
        <w:t>).</w:t>
      </w:r>
    </w:p>
    <w:p w14:paraId="75C561A1" w14:textId="52F05A6C" w:rsidR="00FD04F7" w:rsidRDefault="00FD04F7" w:rsidP="00754CF9">
      <w:pPr>
        <w:pStyle w:val="Caption"/>
        <w:spacing w:before="240"/>
      </w:pPr>
      <w:bookmarkStart w:id="8" w:name="_Ref51596781"/>
      <w:r>
        <w:t xml:space="preserve">Table </w:t>
      </w:r>
      <w:r w:rsidR="002C6DB1">
        <w:fldChar w:fldCharType="begin"/>
      </w:r>
      <w:r w:rsidR="002C6DB1">
        <w:instrText xml:space="preserve"> SEQ Table \* ARABIC </w:instrText>
      </w:r>
      <w:r w:rsidR="002C6DB1">
        <w:fldChar w:fldCharType="separate"/>
      </w:r>
      <w:r>
        <w:rPr>
          <w:noProof/>
        </w:rPr>
        <w:t>6</w:t>
      </w:r>
      <w:r w:rsidR="002C6DB1">
        <w:rPr>
          <w:noProof/>
        </w:rPr>
        <w:fldChar w:fldCharType="end"/>
      </w:r>
      <w:bookmarkEnd w:id="8"/>
      <w:r>
        <w:t>: Accuracy of ECG data for predicting genotype of LQTS</w:t>
      </w:r>
    </w:p>
    <w:tbl>
      <w:tblPr>
        <w:tblStyle w:val="TableGrid"/>
        <w:tblW w:w="0" w:type="auto"/>
        <w:tblLayout w:type="fixed"/>
        <w:tblLook w:val="04A0" w:firstRow="1" w:lastRow="0" w:firstColumn="1" w:lastColumn="0" w:noHBand="0" w:noVBand="1"/>
      </w:tblPr>
      <w:tblGrid>
        <w:gridCol w:w="1010"/>
        <w:gridCol w:w="1271"/>
        <w:gridCol w:w="1825"/>
        <w:gridCol w:w="1939"/>
        <w:gridCol w:w="1037"/>
        <w:gridCol w:w="1038"/>
        <w:gridCol w:w="896"/>
      </w:tblGrid>
      <w:tr w:rsidR="00FD04F7" w:rsidRPr="00CB7F85" w14:paraId="7B6CEAD8" w14:textId="77777777" w:rsidTr="00FD04F7">
        <w:trPr>
          <w:tblHeader/>
        </w:trPr>
        <w:tc>
          <w:tcPr>
            <w:tcW w:w="1010" w:type="dxa"/>
          </w:tcPr>
          <w:p w14:paraId="303F5AFF" w14:textId="77777777" w:rsidR="00FD04F7" w:rsidRPr="00CB7F85" w:rsidRDefault="00FD04F7" w:rsidP="00CB7F85">
            <w:pPr>
              <w:pStyle w:val="TableHeading"/>
              <w:spacing w:before="0" w:after="0"/>
              <w:rPr>
                <w:sz w:val="18"/>
                <w:szCs w:val="18"/>
              </w:rPr>
            </w:pPr>
            <w:r w:rsidRPr="00CB7F85">
              <w:rPr>
                <w:sz w:val="18"/>
                <w:szCs w:val="18"/>
              </w:rPr>
              <w:t>Study</w:t>
            </w:r>
          </w:p>
        </w:tc>
        <w:tc>
          <w:tcPr>
            <w:tcW w:w="1271" w:type="dxa"/>
          </w:tcPr>
          <w:p w14:paraId="0992A5B5" w14:textId="77777777" w:rsidR="00FD04F7" w:rsidRPr="00CB7F85" w:rsidRDefault="00FD04F7" w:rsidP="00CB7F85">
            <w:pPr>
              <w:pStyle w:val="TableHeading"/>
              <w:spacing w:before="0" w:after="0"/>
              <w:rPr>
                <w:sz w:val="18"/>
                <w:szCs w:val="18"/>
              </w:rPr>
            </w:pPr>
            <w:r w:rsidRPr="00CB7F85">
              <w:rPr>
                <w:sz w:val="18"/>
                <w:szCs w:val="18"/>
              </w:rPr>
              <w:t>Population</w:t>
            </w:r>
          </w:p>
        </w:tc>
        <w:tc>
          <w:tcPr>
            <w:tcW w:w="1825" w:type="dxa"/>
          </w:tcPr>
          <w:p w14:paraId="59EBC5A7" w14:textId="77777777" w:rsidR="00FD04F7" w:rsidRPr="00CB7F85" w:rsidRDefault="00FD04F7" w:rsidP="00CB7F85">
            <w:pPr>
              <w:pStyle w:val="TableHeading"/>
              <w:spacing w:before="0" w:after="0"/>
              <w:rPr>
                <w:sz w:val="18"/>
                <w:szCs w:val="18"/>
              </w:rPr>
            </w:pPr>
            <w:r w:rsidRPr="00CB7F85">
              <w:rPr>
                <w:sz w:val="18"/>
                <w:szCs w:val="18"/>
              </w:rPr>
              <w:t>Reference standard</w:t>
            </w:r>
          </w:p>
        </w:tc>
        <w:tc>
          <w:tcPr>
            <w:tcW w:w="1939" w:type="dxa"/>
          </w:tcPr>
          <w:p w14:paraId="450A7AA6" w14:textId="77777777" w:rsidR="00FD04F7" w:rsidRPr="00CB7F85" w:rsidRDefault="00FD04F7" w:rsidP="00CB7F85">
            <w:pPr>
              <w:pStyle w:val="TableHeading"/>
              <w:spacing w:before="0" w:after="0"/>
              <w:rPr>
                <w:sz w:val="18"/>
                <w:szCs w:val="18"/>
              </w:rPr>
            </w:pPr>
            <w:r w:rsidRPr="00CB7F85">
              <w:rPr>
                <w:sz w:val="18"/>
                <w:szCs w:val="18"/>
              </w:rPr>
              <w:t xml:space="preserve">Clinical </w:t>
            </w:r>
          </w:p>
        </w:tc>
        <w:tc>
          <w:tcPr>
            <w:tcW w:w="1037" w:type="dxa"/>
          </w:tcPr>
          <w:p w14:paraId="3E100A1F" w14:textId="77777777" w:rsidR="00FD04F7" w:rsidRPr="00CB7F85" w:rsidRDefault="00FD04F7" w:rsidP="00CB7F85">
            <w:pPr>
              <w:pStyle w:val="TableHeading"/>
              <w:spacing w:before="0" w:after="0"/>
              <w:rPr>
                <w:sz w:val="18"/>
                <w:szCs w:val="18"/>
              </w:rPr>
            </w:pPr>
            <w:r w:rsidRPr="00CB7F85">
              <w:rPr>
                <w:sz w:val="18"/>
                <w:szCs w:val="18"/>
              </w:rPr>
              <w:t>Sensitivity</w:t>
            </w:r>
          </w:p>
        </w:tc>
        <w:tc>
          <w:tcPr>
            <w:tcW w:w="1038" w:type="dxa"/>
          </w:tcPr>
          <w:p w14:paraId="08611C9C" w14:textId="77777777" w:rsidR="00FD04F7" w:rsidRPr="00CB7F85" w:rsidRDefault="00FD04F7" w:rsidP="00CB7F85">
            <w:pPr>
              <w:pStyle w:val="TableHeading"/>
              <w:spacing w:before="0" w:after="0"/>
              <w:rPr>
                <w:sz w:val="18"/>
                <w:szCs w:val="18"/>
              </w:rPr>
            </w:pPr>
            <w:r w:rsidRPr="00CB7F85">
              <w:rPr>
                <w:sz w:val="18"/>
                <w:szCs w:val="18"/>
              </w:rPr>
              <w:t>Specificity</w:t>
            </w:r>
          </w:p>
        </w:tc>
        <w:tc>
          <w:tcPr>
            <w:tcW w:w="896" w:type="dxa"/>
          </w:tcPr>
          <w:p w14:paraId="10933BE1" w14:textId="77777777" w:rsidR="00FD04F7" w:rsidRPr="00CB7F85" w:rsidRDefault="00FD04F7" w:rsidP="00CB7F85">
            <w:pPr>
              <w:pStyle w:val="TableHeading"/>
              <w:spacing w:before="0" w:after="0"/>
              <w:rPr>
                <w:sz w:val="18"/>
                <w:szCs w:val="18"/>
              </w:rPr>
            </w:pPr>
            <w:r w:rsidRPr="00CB7F85">
              <w:rPr>
                <w:sz w:val="18"/>
                <w:szCs w:val="18"/>
              </w:rPr>
              <w:t>PPV</w:t>
            </w:r>
          </w:p>
        </w:tc>
      </w:tr>
      <w:tr w:rsidR="00FD04F7" w:rsidRPr="00CB7F85" w14:paraId="0C4CB023" w14:textId="77777777" w:rsidTr="00FD04F7">
        <w:trPr>
          <w:trHeight w:val="444"/>
        </w:trPr>
        <w:tc>
          <w:tcPr>
            <w:tcW w:w="1010" w:type="dxa"/>
          </w:tcPr>
          <w:p w14:paraId="1C7A64F2" w14:textId="77777777" w:rsidR="00FD04F7" w:rsidRPr="00CB7F85" w:rsidRDefault="00FD04F7" w:rsidP="00CB7F85">
            <w:pPr>
              <w:pStyle w:val="TableText0"/>
              <w:rPr>
                <w:sz w:val="18"/>
                <w:szCs w:val="18"/>
                <w:highlight w:val="cyan"/>
              </w:rPr>
            </w:pPr>
            <w:r w:rsidRPr="00CB7F85">
              <w:rPr>
                <w:sz w:val="18"/>
                <w:szCs w:val="18"/>
              </w:rPr>
              <w:t xml:space="preserve">Funasako </w:t>
            </w:r>
            <w:r w:rsidRPr="00CB7F85">
              <w:rPr>
                <w:i/>
                <w:sz w:val="18"/>
                <w:szCs w:val="18"/>
              </w:rPr>
              <w:t>et al</w:t>
            </w:r>
            <w:r w:rsidRPr="00CB7F85">
              <w:rPr>
                <w:sz w:val="18"/>
                <w:szCs w:val="18"/>
              </w:rPr>
              <w:t xml:space="preserve">., 2016 </w:t>
            </w:r>
            <w:r w:rsidRPr="00CB7F85">
              <w:rPr>
                <w:rStyle w:val="FootnoteReference"/>
                <w:sz w:val="18"/>
                <w:szCs w:val="18"/>
              </w:rPr>
              <w:footnoteReference w:id="37"/>
            </w:r>
          </w:p>
        </w:tc>
        <w:tc>
          <w:tcPr>
            <w:tcW w:w="1271" w:type="dxa"/>
          </w:tcPr>
          <w:p w14:paraId="1E7F50C9" w14:textId="77777777" w:rsidR="00FD04F7" w:rsidRPr="00CB7F85" w:rsidRDefault="00FD04F7" w:rsidP="00CB7F85">
            <w:pPr>
              <w:pStyle w:val="TableText0"/>
              <w:rPr>
                <w:sz w:val="18"/>
                <w:szCs w:val="18"/>
              </w:rPr>
            </w:pPr>
            <w:r w:rsidRPr="00CB7F85">
              <w:rPr>
                <w:sz w:val="18"/>
                <w:szCs w:val="18"/>
              </w:rPr>
              <w:t xml:space="preserve">Genotype-positive patients with LQTS </w:t>
            </w:r>
          </w:p>
        </w:tc>
        <w:tc>
          <w:tcPr>
            <w:tcW w:w="1825" w:type="dxa"/>
          </w:tcPr>
          <w:p w14:paraId="154B03B1" w14:textId="77777777" w:rsidR="00FD04F7" w:rsidRPr="00CB7F85" w:rsidRDefault="00FD04F7" w:rsidP="00CB7F85">
            <w:pPr>
              <w:pStyle w:val="TableText0"/>
              <w:rPr>
                <w:sz w:val="18"/>
                <w:szCs w:val="18"/>
              </w:rPr>
            </w:pPr>
            <w:r w:rsidRPr="00CB7F85">
              <w:rPr>
                <w:sz w:val="18"/>
                <w:szCs w:val="18"/>
              </w:rPr>
              <w:t xml:space="preserve">Genetic testing using DNA analyser, screened for </w:t>
            </w:r>
            <w:r w:rsidRPr="00CB7F85">
              <w:rPr>
                <w:i/>
                <w:sz w:val="18"/>
                <w:szCs w:val="18"/>
              </w:rPr>
              <w:t>KCNQ1, KCNH2, SCN5A</w:t>
            </w:r>
            <w:r w:rsidRPr="00CB7F85">
              <w:rPr>
                <w:sz w:val="18"/>
                <w:szCs w:val="18"/>
              </w:rPr>
              <w:t xml:space="preserve"> using direct sequencing</w:t>
            </w:r>
          </w:p>
        </w:tc>
        <w:tc>
          <w:tcPr>
            <w:tcW w:w="1939" w:type="dxa"/>
          </w:tcPr>
          <w:p w14:paraId="79D95A84" w14:textId="77777777" w:rsidR="00FD04F7" w:rsidRPr="00CB7F85" w:rsidRDefault="00FD04F7" w:rsidP="00CB7F85">
            <w:pPr>
              <w:pStyle w:val="TableText0"/>
              <w:rPr>
                <w:sz w:val="18"/>
                <w:szCs w:val="18"/>
              </w:rPr>
            </w:pPr>
            <w:r w:rsidRPr="00CB7F85">
              <w:rPr>
                <w:sz w:val="18"/>
                <w:szCs w:val="18"/>
              </w:rPr>
              <w:t>12-lead ECG parameters and mexiletine test for distinguishing between LQT3 and LQT1/2 with optimal cut-off for change in QTc at 69 ms</w:t>
            </w:r>
          </w:p>
        </w:tc>
        <w:tc>
          <w:tcPr>
            <w:tcW w:w="1037" w:type="dxa"/>
          </w:tcPr>
          <w:p w14:paraId="22726328" w14:textId="77777777" w:rsidR="00FD04F7" w:rsidRPr="00CB7F85" w:rsidRDefault="00FD04F7" w:rsidP="00CB7F85">
            <w:pPr>
              <w:pStyle w:val="TableText0"/>
              <w:rPr>
                <w:sz w:val="18"/>
                <w:szCs w:val="18"/>
              </w:rPr>
            </w:pPr>
            <w:r w:rsidRPr="00CB7F85">
              <w:rPr>
                <w:sz w:val="18"/>
                <w:szCs w:val="18"/>
              </w:rPr>
              <w:t>86.7%</w:t>
            </w:r>
          </w:p>
        </w:tc>
        <w:tc>
          <w:tcPr>
            <w:tcW w:w="1038" w:type="dxa"/>
          </w:tcPr>
          <w:p w14:paraId="1952A9E9" w14:textId="77777777" w:rsidR="00FD04F7" w:rsidRPr="00CB7F85" w:rsidRDefault="00FD04F7" w:rsidP="00CB7F85">
            <w:pPr>
              <w:pStyle w:val="TableText0"/>
              <w:rPr>
                <w:sz w:val="18"/>
                <w:szCs w:val="18"/>
              </w:rPr>
            </w:pPr>
            <w:r w:rsidRPr="00CB7F85">
              <w:rPr>
                <w:sz w:val="18"/>
                <w:szCs w:val="18"/>
              </w:rPr>
              <w:t>81.3%</w:t>
            </w:r>
          </w:p>
        </w:tc>
        <w:tc>
          <w:tcPr>
            <w:tcW w:w="896" w:type="dxa"/>
          </w:tcPr>
          <w:p w14:paraId="134D01D9" w14:textId="77777777" w:rsidR="00FD04F7" w:rsidRPr="00CB7F85" w:rsidRDefault="00FD04F7" w:rsidP="00CB7F85">
            <w:pPr>
              <w:pStyle w:val="TableText0"/>
              <w:rPr>
                <w:sz w:val="18"/>
                <w:szCs w:val="18"/>
              </w:rPr>
            </w:pPr>
            <w:r w:rsidRPr="00CB7F85">
              <w:rPr>
                <w:sz w:val="18"/>
                <w:szCs w:val="18"/>
              </w:rPr>
              <w:t>81.3%</w:t>
            </w:r>
          </w:p>
        </w:tc>
      </w:tr>
      <w:tr w:rsidR="00FD04F7" w:rsidRPr="00CB7F85" w14:paraId="5D2D81BA" w14:textId="77777777" w:rsidTr="00FD04F7">
        <w:trPr>
          <w:trHeight w:val="444"/>
        </w:trPr>
        <w:tc>
          <w:tcPr>
            <w:tcW w:w="1010" w:type="dxa"/>
          </w:tcPr>
          <w:p w14:paraId="750DDB12" w14:textId="77777777" w:rsidR="00FD04F7" w:rsidRPr="00CB7F85" w:rsidRDefault="00FD04F7" w:rsidP="00CB7F85">
            <w:pPr>
              <w:pStyle w:val="TableText0"/>
              <w:rPr>
                <w:sz w:val="18"/>
                <w:szCs w:val="18"/>
                <w:highlight w:val="cyan"/>
              </w:rPr>
            </w:pPr>
            <w:r w:rsidRPr="00CB7F85">
              <w:rPr>
                <w:sz w:val="18"/>
                <w:szCs w:val="18"/>
              </w:rPr>
              <w:fldChar w:fldCharType="begin">
                <w:fldData xml:space="preserve">PEVuZE5vdGU+PENpdGU+PEF1dGhvcj5HYW88L0F1dGhvcj48WWVhcj4yMDE2PC9ZZWFyPjxSZWNO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</w:fldData>
              </w:fldChar>
            </w:r>
            <w:r w:rsidRPr="00CB7F85">
              <w:rPr>
                <w:sz w:val="18"/>
                <w:szCs w:val="18"/>
              </w:rPr>
              <w:instrText xml:space="preserve"> ADDIN EN.CITE </w:instrText>
            </w:r>
            <w:r w:rsidRPr="00CB7F85">
              <w:rPr>
                <w:sz w:val="18"/>
                <w:szCs w:val="18"/>
              </w:rPr>
              <w:fldChar w:fldCharType="begin">
                <w:fldData xml:space="preserve">PEVuZE5vdGU+PENpdGU+PEF1dGhvcj5HYW88L0F1dGhvcj48WWVhcj4yMDE2PC9ZZWFyPjxSZWNO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</w:fldData>
              </w:fldChar>
            </w:r>
            <w:r w:rsidRPr="00CB7F85">
              <w:rPr>
                <w:sz w:val="18"/>
                <w:szCs w:val="18"/>
              </w:rPr>
              <w:instrText xml:space="preserve"> ADDIN EN.CITE.DATA </w:instrText>
            </w:r>
            <w:r w:rsidRPr="00CB7F85">
              <w:rPr>
                <w:sz w:val="18"/>
                <w:szCs w:val="18"/>
              </w:rPr>
            </w:r>
            <w:r w:rsidRPr="00CB7F85">
              <w:rPr>
                <w:sz w:val="18"/>
                <w:szCs w:val="18"/>
              </w:rPr>
              <w:fldChar w:fldCharType="end"/>
            </w:r>
            <w:r w:rsidRPr="00CB7F85">
              <w:rPr>
                <w:sz w:val="18"/>
                <w:szCs w:val="18"/>
              </w:rPr>
            </w:r>
            <w:r w:rsidRPr="00CB7F85">
              <w:rPr>
                <w:sz w:val="18"/>
                <w:szCs w:val="18"/>
              </w:rPr>
              <w:fldChar w:fldCharType="separate"/>
            </w:r>
            <w:r w:rsidRPr="00CB7F85">
              <w:rPr>
                <w:noProof/>
                <w:sz w:val="18"/>
                <w:szCs w:val="18"/>
              </w:rPr>
              <w:t xml:space="preserve">Gao </w:t>
            </w:r>
            <w:r w:rsidRPr="00CB7F85">
              <w:rPr>
                <w:i/>
                <w:noProof/>
                <w:sz w:val="18"/>
                <w:szCs w:val="18"/>
              </w:rPr>
              <w:t>et al</w:t>
            </w:r>
            <w:r w:rsidRPr="00CB7F85">
              <w:rPr>
                <w:noProof/>
                <w:sz w:val="18"/>
                <w:szCs w:val="18"/>
              </w:rPr>
              <w:t>., 2016</w:t>
            </w:r>
            <w:r w:rsidRPr="00CB7F85">
              <w:rPr>
                <w:sz w:val="18"/>
                <w:szCs w:val="18"/>
              </w:rPr>
              <w:fldChar w:fldCharType="end"/>
            </w:r>
            <w:r w:rsidRPr="00CB7F85">
              <w:rPr>
                <w:sz w:val="18"/>
                <w:szCs w:val="18"/>
              </w:rPr>
              <w:t xml:space="preserve"> </w:t>
            </w:r>
            <w:r w:rsidRPr="00CB7F85">
              <w:rPr>
                <w:rStyle w:val="FootnoteReference"/>
                <w:sz w:val="18"/>
                <w:szCs w:val="18"/>
              </w:rPr>
              <w:footnoteReference w:id="38"/>
            </w:r>
          </w:p>
        </w:tc>
        <w:tc>
          <w:tcPr>
            <w:tcW w:w="1271" w:type="dxa"/>
          </w:tcPr>
          <w:p w14:paraId="2F9A2FC3" w14:textId="77777777" w:rsidR="00FD04F7" w:rsidRPr="00CB7F85" w:rsidRDefault="00FD04F7" w:rsidP="00CB7F85">
            <w:pPr>
              <w:pStyle w:val="TableText0"/>
              <w:rPr>
                <w:sz w:val="18"/>
                <w:szCs w:val="18"/>
              </w:rPr>
            </w:pPr>
            <w:r w:rsidRPr="00CB7F85">
              <w:rPr>
                <w:sz w:val="18"/>
                <w:szCs w:val="18"/>
              </w:rPr>
              <w:t>200 individuals classified by ECG data as having LQT1, LQT2 or LQT3 (i.e. only test positives)</w:t>
            </w:r>
          </w:p>
        </w:tc>
        <w:tc>
          <w:tcPr>
            <w:tcW w:w="1825" w:type="dxa"/>
          </w:tcPr>
          <w:p w14:paraId="492706CF" w14:textId="77777777" w:rsidR="00FD04F7" w:rsidRPr="00CB7F85" w:rsidRDefault="00FD04F7" w:rsidP="00CB7F85">
            <w:pPr>
              <w:pStyle w:val="TableText0"/>
              <w:rPr>
                <w:sz w:val="18"/>
                <w:szCs w:val="18"/>
              </w:rPr>
            </w:pPr>
            <w:r w:rsidRPr="00CB7F85">
              <w:rPr>
                <w:sz w:val="18"/>
                <w:szCs w:val="18"/>
              </w:rPr>
              <w:t xml:space="preserve">Direct sequencing of </w:t>
            </w:r>
            <w:r w:rsidRPr="00CB7F85">
              <w:rPr>
                <w:i/>
                <w:sz w:val="18"/>
                <w:szCs w:val="18"/>
              </w:rPr>
              <w:t>KCNQ1, KCNH2</w:t>
            </w:r>
            <w:r w:rsidRPr="00CB7F85">
              <w:rPr>
                <w:sz w:val="18"/>
                <w:szCs w:val="18"/>
              </w:rPr>
              <w:t xml:space="preserve"> and </w:t>
            </w:r>
            <w:r w:rsidRPr="00CB7F85">
              <w:rPr>
                <w:i/>
                <w:sz w:val="18"/>
                <w:szCs w:val="18"/>
              </w:rPr>
              <w:t>SCN5A</w:t>
            </w:r>
          </w:p>
        </w:tc>
        <w:tc>
          <w:tcPr>
            <w:tcW w:w="1939" w:type="dxa"/>
          </w:tcPr>
          <w:p w14:paraId="793D0B29" w14:textId="77777777" w:rsidR="00FD04F7" w:rsidRPr="00CB7F85" w:rsidRDefault="00FD04F7" w:rsidP="00CB7F85">
            <w:pPr>
              <w:pStyle w:val="TableText0"/>
              <w:rPr>
                <w:sz w:val="18"/>
                <w:szCs w:val="18"/>
              </w:rPr>
            </w:pPr>
            <w:r w:rsidRPr="00CB7F85">
              <w:rPr>
                <w:sz w:val="18"/>
                <w:szCs w:val="18"/>
              </w:rPr>
              <w:t>Two investigators with 15 years experience in reading LQTS ECGs (n&gt;300) performed prediction together, under consultation with an expert in LQT3 ECGs</w:t>
            </w:r>
          </w:p>
        </w:tc>
        <w:tc>
          <w:tcPr>
            <w:tcW w:w="1037" w:type="dxa"/>
          </w:tcPr>
          <w:p w14:paraId="35E22D8A" w14:textId="77777777" w:rsidR="00FD04F7" w:rsidRPr="00CB7F85" w:rsidRDefault="00FD04F7" w:rsidP="00CB7F85">
            <w:pPr>
              <w:pStyle w:val="TableText0"/>
              <w:rPr>
                <w:sz w:val="18"/>
                <w:szCs w:val="18"/>
              </w:rPr>
            </w:pPr>
            <w:r w:rsidRPr="00CB7F85">
              <w:rPr>
                <w:sz w:val="18"/>
                <w:szCs w:val="18"/>
              </w:rPr>
              <w:t>-</w:t>
            </w:r>
          </w:p>
        </w:tc>
        <w:tc>
          <w:tcPr>
            <w:tcW w:w="1038" w:type="dxa"/>
          </w:tcPr>
          <w:p w14:paraId="40F9D489" w14:textId="77777777" w:rsidR="00FD04F7" w:rsidRPr="00CB7F85" w:rsidRDefault="00FD04F7" w:rsidP="00CB7F85">
            <w:pPr>
              <w:pStyle w:val="TableText0"/>
              <w:rPr>
                <w:sz w:val="18"/>
                <w:szCs w:val="18"/>
              </w:rPr>
            </w:pPr>
            <w:r w:rsidRPr="00CB7F85">
              <w:rPr>
                <w:sz w:val="18"/>
                <w:szCs w:val="18"/>
              </w:rPr>
              <w:t>-</w:t>
            </w:r>
          </w:p>
        </w:tc>
        <w:tc>
          <w:tcPr>
            <w:tcW w:w="896" w:type="dxa"/>
          </w:tcPr>
          <w:p w14:paraId="4B5B5799" w14:textId="77777777" w:rsidR="00FD04F7" w:rsidRPr="00CB7F85" w:rsidRDefault="00FD04F7" w:rsidP="00CB7F85">
            <w:pPr>
              <w:pStyle w:val="TableText0"/>
              <w:rPr>
                <w:sz w:val="18"/>
                <w:szCs w:val="18"/>
              </w:rPr>
            </w:pPr>
            <w:r w:rsidRPr="00CB7F85">
              <w:rPr>
                <w:sz w:val="18"/>
                <w:szCs w:val="18"/>
              </w:rPr>
              <w:t>LQT1: 67/85 (79%)</w:t>
            </w:r>
          </w:p>
          <w:p w14:paraId="0A3C5B88" w14:textId="77777777" w:rsidR="00FD04F7" w:rsidRPr="00CB7F85" w:rsidRDefault="00FD04F7" w:rsidP="00CB7F85">
            <w:pPr>
              <w:pStyle w:val="TableText0"/>
              <w:rPr>
                <w:sz w:val="18"/>
                <w:szCs w:val="18"/>
              </w:rPr>
            </w:pPr>
            <w:r w:rsidRPr="00CB7F85">
              <w:rPr>
                <w:sz w:val="18"/>
                <w:szCs w:val="18"/>
              </w:rPr>
              <w:t>LQT2 86/110 (78%)</w:t>
            </w:r>
          </w:p>
          <w:p w14:paraId="489026CE" w14:textId="77777777" w:rsidR="00FD04F7" w:rsidRPr="00CB7F85" w:rsidRDefault="00FD04F7" w:rsidP="00CB7F85">
            <w:pPr>
              <w:pStyle w:val="TableText0"/>
              <w:rPr>
                <w:sz w:val="18"/>
                <w:szCs w:val="18"/>
              </w:rPr>
            </w:pPr>
            <w:r w:rsidRPr="00CB7F85">
              <w:rPr>
                <w:sz w:val="18"/>
                <w:szCs w:val="18"/>
              </w:rPr>
              <w:t>LQT3 4/5 (80%)</w:t>
            </w:r>
          </w:p>
        </w:tc>
      </w:tr>
    </w:tbl>
    <w:p w14:paraId="35D6B50E" w14:textId="77777777" w:rsidR="00FD04F7" w:rsidRDefault="00FD04F7" w:rsidP="00FD04F7">
      <w:pPr>
        <w:pStyle w:val="Tablenotes1"/>
      </w:pPr>
      <w:r>
        <w:t>PPV = positive predictive value; QTc = corrected QT</w:t>
      </w:r>
    </w:p>
    <w:p w14:paraId="08ECB6ED" w14:textId="77777777" w:rsidR="00FD04F7" w:rsidRDefault="00FD04F7" w:rsidP="00FD04F7">
      <w:pPr>
        <w:pStyle w:val="Tablenotes1"/>
      </w:pPr>
      <w:r>
        <w:t>Source: DCAR, Table 11</w:t>
      </w:r>
    </w:p>
    <w:p w14:paraId="32575695" w14:textId="25F5602E" w:rsidR="00FD04F7" w:rsidRDefault="00FD04F7" w:rsidP="00FD04F7">
      <w:r>
        <w:t xml:space="preserve">The DCAR noted that while </w:t>
      </w:r>
      <w:r w:rsidRPr="005D4812">
        <w:t xml:space="preserve">cascade screening is highly accurate at determining who does and does not carry </w:t>
      </w:r>
      <w:r>
        <w:t xml:space="preserve">LQTS-associated </w:t>
      </w:r>
      <w:r w:rsidRPr="005D4812">
        <w:t>pathogenic variants (i.e. reference standard i</w:t>
      </w:r>
      <w:r>
        <w:t xml:space="preserve">s the intervention of interest), genotype will not necessarily correlate with disease status due to incomplete penetrance for variants in at least the </w:t>
      </w:r>
      <w:r w:rsidRPr="005D4812">
        <w:rPr>
          <w:i/>
        </w:rPr>
        <w:t>KCNQ1, KCNH2</w:t>
      </w:r>
      <w:r w:rsidRPr="005D4812">
        <w:t xml:space="preserve"> </w:t>
      </w:r>
      <w:r>
        <w:t>and</w:t>
      </w:r>
      <w:r w:rsidRPr="005D4812">
        <w:t xml:space="preserve"> </w:t>
      </w:r>
      <w:r w:rsidRPr="005D4812">
        <w:rPr>
          <w:i/>
        </w:rPr>
        <w:t>SCN5A</w:t>
      </w:r>
      <w:r>
        <w:t xml:space="preserve"> genes</w:t>
      </w:r>
      <w:r>
        <w:rPr>
          <w:rStyle w:val="FootnoteReference"/>
        </w:rPr>
        <w:footnoteReference w:id="39"/>
      </w:r>
      <w:r>
        <w:t xml:space="preserve">. </w:t>
      </w:r>
      <w:r w:rsidRPr="002316E4">
        <w:t xml:space="preserve">Cascade screening has high specificity but it has very variable </w:t>
      </w:r>
      <w:r w:rsidR="00C52FB5" w:rsidRPr="002316E4">
        <w:t>and often low sensitivity</w:t>
      </w:r>
      <w:r w:rsidR="00C52FB5">
        <w:t xml:space="preserve"> </w:t>
      </w:r>
      <w:r w:rsidRPr="002316E4">
        <w:t xml:space="preserve">(19% to 100%), </w:t>
      </w:r>
      <w:r>
        <w:t>at determining who is at ris</w:t>
      </w:r>
      <w:r w:rsidRPr="00E135F1">
        <w:t>k</w:t>
      </w:r>
      <w:r w:rsidRPr="00E135F1">
        <w:rPr>
          <w:rStyle w:val="FootnoteReference"/>
        </w:rPr>
        <w:footnoteReference w:id="40"/>
      </w:r>
      <w:r w:rsidRPr="00E135F1">
        <w:rPr>
          <w:vertAlign w:val="superscript"/>
        </w:rPr>
        <w:t>,</w:t>
      </w:r>
      <w:r w:rsidRPr="00E135F1">
        <w:rPr>
          <w:rStyle w:val="FootnoteReference"/>
        </w:rPr>
        <w:footnoteReference w:id="41"/>
      </w:r>
      <w:r w:rsidRPr="00E135F1">
        <w:rPr>
          <w:vertAlign w:val="superscript"/>
        </w:rPr>
        <w:t>,</w:t>
      </w:r>
      <w:r w:rsidRPr="00E135F1">
        <w:rPr>
          <w:rStyle w:val="FootnoteReference"/>
        </w:rPr>
        <w:footnoteReference w:id="42"/>
      </w:r>
      <w:r w:rsidRPr="00E135F1">
        <w:rPr>
          <w:vertAlign w:val="superscript"/>
        </w:rPr>
        <w:t>,</w:t>
      </w:r>
      <w:r w:rsidRPr="00E135F1">
        <w:rPr>
          <w:rStyle w:val="FootnoteReference"/>
        </w:rPr>
        <w:footnoteReference w:id="43"/>
      </w:r>
      <w:r w:rsidRPr="00E135F1">
        <w:t>.</w:t>
      </w:r>
    </w:p>
    <w:p w14:paraId="5B3C14D1" w14:textId="4D3C61D2" w:rsidR="00FD04F7" w:rsidRDefault="00FD04F7" w:rsidP="00754CF9">
      <w:pPr>
        <w:spacing w:before="240"/>
      </w:pPr>
      <w:r>
        <w:t>For Brugada syndrome, the DCAR noted that d</w:t>
      </w:r>
      <w:r w:rsidRPr="00097B15">
        <w:t>iagnosing patients presents more difficulties both with, and without, genetic testing than for LQTS.</w:t>
      </w:r>
      <w:r>
        <w:t xml:space="preserve"> ECG visual interpretation alone results</w:t>
      </w:r>
      <w:r w:rsidRPr="00097B15">
        <w:t xml:space="preserve"> in classification no better than chance (overall accuracy 53±33%)</w:t>
      </w:r>
      <w:r>
        <w:rPr>
          <w:rStyle w:val="FootnoteReference"/>
        </w:rPr>
        <w:footnoteReference w:id="44"/>
      </w:r>
      <w:r w:rsidRPr="00097B15">
        <w:t xml:space="preserve">. </w:t>
      </w:r>
      <w:r>
        <w:t>A</w:t>
      </w:r>
      <w:r w:rsidRPr="00097B15">
        <w:t xml:space="preserve"> new methodology of measuring the β-angle (angle between the upslope of the S-wave and the downslope of the r-wave) and length of the base of a triangle (between the upslope and the downslope of the r-wave at</w:t>
      </w:r>
      <w:r>
        <w:t xml:space="preserve"> 0.5 mV from the high take-off)</w:t>
      </w:r>
      <w:r w:rsidRPr="00097B15">
        <w:t xml:space="preserve"> </w:t>
      </w:r>
      <w:r>
        <w:t>provides</w:t>
      </w:r>
      <w:r w:rsidRPr="00097B15">
        <w:t xml:space="preserve"> sensitivity of ECG criteria of only 60 to 80%, and specificity of 40 to 78%</w:t>
      </w:r>
      <w:r>
        <w:rPr>
          <w:rStyle w:val="FootnoteReference"/>
        </w:rPr>
        <w:footnoteReference w:id="45"/>
      </w:r>
      <w:r w:rsidRPr="00097B15">
        <w:t>. The poor accuracy of diagnostic methods</w:t>
      </w:r>
      <w:r>
        <w:t xml:space="preserve"> for BrS</w:t>
      </w:r>
      <w:r w:rsidRPr="00097B15">
        <w:t xml:space="preserve"> in</w:t>
      </w:r>
      <w:r>
        <w:t xml:space="preserve"> the absence of genetic testing</w:t>
      </w:r>
      <w:r w:rsidRPr="00097B15">
        <w:t xml:space="preserve"> means that genetic testing is likely to increase the sensitivity of diagnosis, although the lower diagnostic yield means that only a small proportion of patients are likely to benefit.</w:t>
      </w:r>
    </w:p>
    <w:p w14:paraId="71CC80C5" w14:textId="054850AE" w:rsidR="00FD04F7" w:rsidRDefault="00FD04F7" w:rsidP="00754CF9">
      <w:pPr>
        <w:spacing w:before="240"/>
      </w:pPr>
      <w:r>
        <w:t xml:space="preserve">For cascade testing of patients with BrS, the DCAR noted that </w:t>
      </w:r>
      <w:r w:rsidRPr="002316E4">
        <w:t xml:space="preserve">the ajmaline challenge test was 80% sensitive and 94% specific at predicting pathogenic variant status. </w:t>
      </w:r>
      <w:r>
        <w:t xml:space="preserve">There were two case reports of </w:t>
      </w:r>
      <w:r w:rsidRPr="002316E4">
        <w:t>false negative results from c</w:t>
      </w:r>
      <w:r>
        <w:t>ascade testing</w:t>
      </w:r>
      <w:r>
        <w:rPr>
          <w:rStyle w:val="FootnoteReference"/>
        </w:rPr>
        <w:footnoteReference w:id="46"/>
      </w:r>
      <w:r w:rsidRPr="002316E4">
        <w:t>.</w:t>
      </w:r>
      <w:r>
        <w:t xml:space="preserve"> T</w:t>
      </w:r>
      <w:r w:rsidRPr="002316E4">
        <w:t xml:space="preserve">he penetrance of </w:t>
      </w:r>
      <w:r>
        <w:t>BrS</w:t>
      </w:r>
      <w:r w:rsidRPr="002316E4">
        <w:t xml:space="preserve"> in family members who carried pathogenic variants was 28.6% to 78.6%</w:t>
      </w:r>
      <w:r>
        <w:rPr>
          <w:rStyle w:val="FootnoteReference"/>
        </w:rPr>
        <w:footnoteReference w:id="47"/>
      </w:r>
      <w:r>
        <w:rPr>
          <w:rStyle w:val="FootnoteReference"/>
        </w:rPr>
        <w:t>,</w:t>
      </w:r>
      <w:r w:rsidRPr="00E135F1">
        <w:rPr>
          <w:rStyle w:val="FootnoteReference"/>
        </w:rPr>
        <w:footnoteReference w:id="48"/>
      </w:r>
      <w:r w:rsidRPr="002316E4">
        <w:t xml:space="preserve">. In those who had normal ECGs at screening but carried </w:t>
      </w:r>
      <w:r w:rsidRPr="002316E4">
        <w:rPr>
          <w:i/>
        </w:rPr>
        <w:t>SCN5A</w:t>
      </w:r>
      <w:r w:rsidRPr="002316E4">
        <w:t xml:space="preserve"> variants, 27% develop the ECG phenotype over a mean of 5.9 years</w:t>
      </w:r>
      <w:r>
        <w:rPr>
          <w:rStyle w:val="FootnoteReference"/>
        </w:rPr>
        <w:footnoteReference w:id="49"/>
      </w:r>
      <w:r w:rsidRPr="002316E4">
        <w:t>.</w:t>
      </w:r>
    </w:p>
    <w:p w14:paraId="1A070F5F" w14:textId="290B3FE6" w:rsidR="00FD04F7" w:rsidRDefault="00FD04F7" w:rsidP="00754CF9">
      <w:pPr>
        <w:spacing w:before="240"/>
      </w:pPr>
      <w:r>
        <w:t xml:space="preserve">For cascade testing of patients with CPVT, the DCAR stated that </w:t>
      </w:r>
      <w:r w:rsidRPr="002316E4">
        <w:t>exercise stress testing in asymptomatic relatives was reasonably specific (91% to 97%),</w:t>
      </w:r>
      <w:r>
        <w:t xml:space="preserve"> but not very sensitive (22-</w:t>
      </w:r>
      <w:r w:rsidRPr="002316E4">
        <w:t>63%)</w:t>
      </w:r>
      <w:r>
        <w:rPr>
          <w:rStyle w:val="FootnoteReference"/>
        </w:rPr>
        <w:footnoteReference w:id="50"/>
      </w:r>
      <w:r w:rsidRPr="002316E4">
        <w:t xml:space="preserve">. </w:t>
      </w:r>
      <w:r>
        <w:t xml:space="preserve">Penetrance at the </w:t>
      </w:r>
      <w:r w:rsidRPr="002316E4">
        <w:t xml:space="preserve">time of cascade screening </w:t>
      </w:r>
      <w:r>
        <w:t>is</w:t>
      </w:r>
      <w:r w:rsidRPr="002316E4">
        <w:t xml:space="preserve"> </w:t>
      </w:r>
      <w:r>
        <w:t xml:space="preserve">reported at </w:t>
      </w:r>
      <w:r w:rsidRPr="002316E4">
        <w:t>57</w:t>
      </w:r>
      <w:r>
        <w:t>-</w:t>
      </w:r>
      <w:r w:rsidRPr="002316E4">
        <w:t>80%</w:t>
      </w:r>
      <w:r>
        <w:rPr>
          <w:rStyle w:val="FootnoteReference"/>
        </w:rPr>
        <w:footnoteReference w:id="51"/>
      </w:r>
      <w:r>
        <w:rPr>
          <w:vertAlign w:val="superscript"/>
        </w:rPr>
        <w:t>,</w:t>
      </w:r>
      <w:r>
        <w:rPr>
          <w:rStyle w:val="FootnoteReference"/>
        </w:rPr>
        <w:footnoteReference w:id="52"/>
      </w:r>
      <w:r>
        <w:rPr>
          <w:vertAlign w:val="superscript"/>
        </w:rPr>
        <w:t>,</w:t>
      </w:r>
      <w:r>
        <w:rPr>
          <w:rStyle w:val="FootnoteReference"/>
        </w:rPr>
        <w:footnoteReference w:id="53"/>
      </w:r>
      <w:r w:rsidRPr="002316E4">
        <w:t>. Half of those family members who were genotype positive, but did not show signs of CPVT at the point of cascade screening, developed the CPVT phenotype over a median of only 1.6 years</w:t>
      </w:r>
      <w:r>
        <w:rPr>
          <w:rStyle w:val="FootnoteReference"/>
        </w:rPr>
        <w:footnoteReference w:id="54"/>
      </w:r>
      <w:r w:rsidRPr="002316E4">
        <w:t>.</w:t>
      </w:r>
    </w:p>
    <w:p w14:paraId="1BE57A71" w14:textId="77777777" w:rsidR="00FD04F7" w:rsidRPr="00FD04F7" w:rsidRDefault="00FD04F7" w:rsidP="00754CF9">
      <w:pPr>
        <w:pStyle w:val="Heading3"/>
        <w:spacing w:before="240"/>
      </w:pPr>
      <w:r w:rsidRPr="00FD04F7">
        <w:t>Incremental prognostic information</w:t>
      </w:r>
    </w:p>
    <w:p w14:paraId="36DE864C" w14:textId="0B93B2C9" w:rsidR="00FD04F7" w:rsidRDefault="00FD04F7" w:rsidP="00FD04F7">
      <w:r>
        <w:t>The DCAR also examined incremental prognostic information gained with the addition of genetic testing, though noted this was not one of the clinical claims made by the applicant.</w:t>
      </w:r>
    </w:p>
    <w:p w14:paraId="62353CBE" w14:textId="363F476F" w:rsidR="00FD04F7" w:rsidRDefault="00FD04F7" w:rsidP="00754CF9">
      <w:pPr>
        <w:spacing w:before="240"/>
      </w:pPr>
      <w:r>
        <w:t xml:space="preserve">For patients with LQTS, the DCAR stated </w:t>
      </w:r>
      <w:r w:rsidRPr="00D966FC">
        <w:t xml:space="preserve">that patients with </w:t>
      </w:r>
      <w:r w:rsidRPr="00D966FC">
        <w:rPr>
          <w:i/>
        </w:rPr>
        <w:t>KCNH2</w:t>
      </w:r>
      <w:r w:rsidRPr="00D966FC">
        <w:t xml:space="preserve"> variants ha</w:t>
      </w:r>
      <w:r>
        <w:t>ve</w:t>
      </w:r>
      <w:r w:rsidRPr="00D966FC">
        <w:t xml:space="preserve"> a significantly higher hazard of further cardiac events and seizures than patients with </w:t>
      </w:r>
      <w:r w:rsidRPr="00D966FC">
        <w:rPr>
          <w:i/>
        </w:rPr>
        <w:t>KCNQ1</w:t>
      </w:r>
      <w:r w:rsidRPr="00D966FC">
        <w:t xml:space="preserve"> variants (k=4)</w:t>
      </w:r>
      <w:r>
        <w:rPr>
          <w:rStyle w:val="FootnoteReference"/>
        </w:rPr>
        <w:footnoteReference w:id="55"/>
      </w:r>
      <w:r>
        <w:rPr>
          <w:vertAlign w:val="superscript"/>
        </w:rPr>
        <w:t>,</w:t>
      </w:r>
      <w:r>
        <w:rPr>
          <w:rStyle w:val="FootnoteReference"/>
        </w:rPr>
        <w:footnoteReference w:id="56"/>
      </w:r>
      <w:r>
        <w:rPr>
          <w:vertAlign w:val="superscript"/>
        </w:rPr>
        <w:t>,</w:t>
      </w:r>
      <w:r>
        <w:rPr>
          <w:rStyle w:val="FootnoteReference"/>
        </w:rPr>
        <w:footnoteReference w:id="57"/>
      </w:r>
      <w:r>
        <w:rPr>
          <w:vertAlign w:val="superscript"/>
        </w:rPr>
        <w:t>,</w:t>
      </w:r>
      <w:r>
        <w:rPr>
          <w:rStyle w:val="FootnoteReference"/>
        </w:rPr>
        <w:footnoteReference w:id="58"/>
      </w:r>
      <w:r w:rsidRPr="00D966FC">
        <w:t xml:space="preserve">. The exception was a subgroup of patients aged under 14 years, where those with </w:t>
      </w:r>
      <w:r w:rsidRPr="00D966FC">
        <w:rPr>
          <w:i/>
        </w:rPr>
        <w:t>KCNQ1</w:t>
      </w:r>
      <w:r w:rsidRPr="00D966FC">
        <w:t xml:space="preserve"> variants had a higher risk of having a cardiac event than those with </w:t>
      </w:r>
      <w:r w:rsidRPr="00D966FC">
        <w:rPr>
          <w:i/>
        </w:rPr>
        <w:t>KCNH2</w:t>
      </w:r>
      <w:r w:rsidRPr="00D966FC">
        <w:t xml:space="preserve"> variants</w:t>
      </w:r>
      <w:r>
        <w:rPr>
          <w:rStyle w:val="FootnoteReference"/>
        </w:rPr>
        <w:footnoteReference w:id="59"/>
      </w:r>
      <w:r w:rsidRPr="00D966FC">
        <w:t xml:space="preserve">. Patients with </w:t>
      </w:r>
      <w:r w:rsidRPr="00D966FC">
        <w:rPr>
          <w:i/>
        </w:rPr>
        <w:t>KCNH2</w:t>
      </w:r>
      <w:r w:rsidRPr="00D966FC">
        <w:t xml:space="preserve"> variants also had a higher risk of cardiac events and seizures than patients with </w:t>
      </w:r>
      <w:r w:rsidRPr="00D966FC">
        <w:rPr>
          <w:i/>
        </w:rPr>
        <w:t>SCN5A</w:t>
      </w:r>
      <w:r w:rsidRPr="00D966FC">
        <w:t xml:space="preserve"> variants</w:t>
      </w:r>
      <w:r>
        <w:rPr>
          <w:rStyle w:val="FootnoteReference"/>
        </w:rPr>
        <w:footnoteReference w:id="60"/>
      </w:r>
      <w:r>
        <w:rPr>
          <w:vertAlign w:val="superscript"/>
        </w:rPr>
        <w:t>,</w:t>
      </w:r>
      <w:r>
        <w:rPr>
          <w:rStyle w:val="FootnoteReference"/>
        </w:rPr>
        <w:footnoteReference w:id="61"/>
      </w:r>
      <w:r w:rsidRPr="00D966FC">
        <w:t>. Those with multiple pathogenic variants were significantly more likely to experience cardiac events than those with single variants, particularly if the two variants were within the same gene</w:t>
      </w:r>
      <w:r>
        <w:rPr>
          <w:rStyle w:val="FootnoteReference"/>
        </w:rPr>
        <w:footnoteReference w:id="62"/>
      </w:r>
      <w:r w:rsidRPr="00D966FC">
        <w:t>.</w:t>
      </w:r>
    </w:p>
    <w:p w14:paraId="4B77334C" w14:textId="5CE6F8C0" w:rsidR="00FD04F7" w:rsidRDefault="00FD04F7" w:rsidP="00754CF9">
      <w:pPr>
        <w:spacing w:before="240"/>
      </w:pPr>
      <w:r>
        <w:t xml:space="preserve">The DCAR stated that for LQTS cascade testing, knowledge of having the familial pathogenic variant clearly provides prognostic information for family </w:t>
      </w:r>
      <w:r w:rsidRPr="00CB3CB5">
        <w:t xml:space="preserve">members. </w:t>
      </w:r>
      <w:r>
        <w:t>F</w:t>
      </w:r>
      <w:r w:rsidRPr="00CB3CB5">
        <w:t>amily members with normal QTc interval (i.e. who</w:t>
      </w:r>
      <w:r>
        <w:t xml:space="preserve"> would not have been detected through clinical assessment alone) but were genotype-positive had 10.3 times the hazard of having a life-threatening cardiac event than family members who were genotype-negative</w:t>
      </w:r>
      <w:r>
        <w:rPr>
          <w:rStyle w:val="FootnoteReference"/>
        </w:rPr>
        <w:footnoteReference w:id="63"/>
      </w:r>
      <w:r>
        <w:t>.</w:t>
      </w:r>
    </w:p>
    <w:p w14:paraId="5B5D7442" w14:textId="6B14AC8F" w:rsidR="00FD04F7" w:rsidRDefault="00FD04F7" w:rsidP="00FD04F7">
      <w:r>
        <w:t xml:space="preserve">The DCAR stated that </w:t>
      </w:r>
      <w:r w:rsidRPr="00D966FC">
        <w:t>in patients with Brugada syndrome</w:t>
      </w:r>
      <w:r>
        <w:t>,</w:t>
      </w:r>
      <w:r w:rsidRPr="00D966FC">
        <w:t xml:space="preserve"> having a pathogenic variant in the </w:t>
      </w:r>
      <w:r w:rsidRPr="00D966FC">
        <w:rPr>
          <w:i/>
        </w:rPr>
        <w:t>SCN5A</w:t>
      </w:r>
      <w:r w:rsidRPr="00D966FC">
        <w:t xml:space="preserve"> gene was associated with a significantly higher risk of arrhythmic events than </w:t>
      </w:r>
      <w:r>
        <w:t>BrS</w:t>
      </w:r>
      <w:r w:rsidRPr="00D966FC">
        <w:t xml:space="preserve"> patients without an identified pathogenic variant</w:t>
      </w:r>
      <w:r>
        <w:rPr>
          <w:rStyle w:val="FootnoteReference"/>
        </w:rPr>
        <w:footnoteReference w:id="64"/>
      </w:r>
      <w:r w:rsidRPr="00D966FC">
        <w:t>.</w:t>
      </w:r>
    </w:p>
    <w:p w14:paraId="2B41E304" w14:textId="77777777" w:rsidR="00FD04F7" w:rsidRDefault="00FD04F7" w:rsidP="00754CF9">
      <w:pPr>
        <w:spacing w:before="240"/>
      </w:pPr>
      <w:r w:rsidRPr="00D966FC">
        <w:t xml:space="preserve">No studies were identified </w:t>
      </w:r>
      <w:r>
        <w:t>that</w:t>
      </w:r>
      <w:r w:rsidRPr="00D966FC">
        <w:t xml:space="preserve"> reported on the prognostic value of genetic testing in patients with CPVT.</w:t>
      </w:r>
    </w:p>
    <w:p w14:paraId="19AEDE88" w14:textId="77777777" w:rsidR="00FD04F7" w:rsidRDefault="00FD04F7" w:rsidP="00FD04F7">
      <w:pPr>
        <w:pStyle w:val="Heading2"/>
      </w:pPr>
      <w:r>
        <w:t>Clinical utility</w:t>
      </w:r>
    </w:p>
    <w:p w14:paraId="46E9EFED" w14:textId="18BD10F1" w:rsidR="00FD04F7" w:rsidRDefault="00FD04F7" w:rsidP="00FD04F7">
      <w:r>
        <w:t>For each of the ICAs, the DCAR examined published evidence for a change in diagnosis of the affected individual as a result of genetic testing.</w:t>
      </w:r>
    </w:p>
    <w:p w14:paraId="5EA1ADFF" w14:textId="27134A31" w:rsidR="00FD04F7" w:rsidRDefault="00FD04F7" w:rsidP="00754CF9">
      <w:pPr>
        <w:spacing w:before="240"/>
      </w:pPr>
      <w:r>
        <w:t xml:space="preserve">The DCAR identified three studies reporting </w:t>
      </w:r>
      <w:r w:rsidRPr="00097B15">
        <w:t>the rate of change in diagnosis after using genetic testing in patients with clinically diagnosed LQTS</w:t>
      </w:r>
      <w:r>
        <w:t xml:space="preserve">. </w:t>
      </w:r>
      <w:r w:rsidRPr="00097B15">
        <w:t xml:space="preserve">In those thought to have LQTS, </w:t>
      </w:r>
      <w:r>
        <w:t>the addition</w:t>
      </w:r>
      <w:r w:rsidRPr="00097B15">
        <w:t xml:space="preserve"> of genetic testing resulted in a change in diagnosis in 6.2% of cases (10/162) to CPVT</w:t>
      </w:r>
      <w:r>
        <w:rPr>
          <w:rStyle w:val="FootnoteReference"/>
        </w:rPr>
        <w:footnoteReference w:id="65"/>
      </w:r>
      <w:r>
        <w:rPr>
          <w:vertAlign w:val="superscript"/>
        </w:rPr>
        <w:t>,</w:t>
      </w:r>
      <w:r>
        <w:rPr>
          <w:rStyle w:val="FootnoteReference"/>
        </w:rPr>
        <w:footnoteReference w:id="66"/>
      </w:r>
      <w:r>
        <w:rPr>
          <w:vertAlign w:val="superscript"/>
        </w:rPr>
        <w:t>,</w:t>
      </w:r>
      <w:r>
        <w:rPr>
          <w:rStyle w:val="FootnoteReference"/>
        </w:rPr>
        <w:footnoteReference w:id="67"/>
      </w:r>
      <w:r w:rsidRPr="00097B15">
        <w:t>.</w:t>
      </w:r>
    </w:p>
    <w:p w14:paraId="4D820152" w14:textId="762327E5" w:rsidR="00FD04F7" w:rsidRDefault="00FD04F7" w:rsidP="00754CF9">
      <w:pPr>
        <w:spacing w:before="240"/>
      </w:pPr>
      <w:r>
        <w:t>The DCAR identified no evidence reporting o</w:t>
      </w:r>
      <w:r w:rsidRPr="008A21B6">
        <w:t xml:space="preserve">n the proportion of patients with phenotypic </w:t>
      </w:r>
      <w:r>
        <w:t>BrS</w:t>
      </w:r>
      <w:r w:rsidRPr="008A21B6">
        <w:t xml:space="preserve"> who had a change in diagnosis subsequent to genetic testing. One study reported on the impact of a large cardiac panel (75 or 115 genes) in patients who were re-analysed after no variants were found on phenotype-guided Sanger sequencing</w:t>
      </w:r>
      <w:r>
        <w:rPr>
          <w:rStyle w:val="FootnoteReference"/>
        </w:rPr>
        <w:footnoteReference w:id="68"/>
      </w:r>
      <w:r w:rsidRPr="008A21B6">
        <w:t xml:space="preserve">. Of the seven patients with a presumed diagnosis of </w:t>
      </w:r>
      <w:r>
        <w:t>BrS</w:t>
      </w:r>
      <w:r w:rsidRPr="008A21B6">
        <w:t>, none of them were identified as having rare variants, or had a change in diagnosis.</w:t>
      </w:r>
    </w:p>
    <w:p w14:paraId="1B187957" w14:textId="2DD085FD" w:rsidR="00CB7F85" w:rsidRDefault="00FD04F7" w:rsidP="00754CF9">
      <w:pPr>
        <w:spacing w:before="240"/>
      </w:pPr>
      <w:r>
        <w:t>The DCAR stated that n</w:t>
      </w:r>
      <w:r w:rsidRPr="008A21B6">
        <w:t xml:space="preserve">o studies were available on the accuracy of either genetic testing or clinical diagnosis for CPVT. However, three studies were available that suggested genetic testing in patients classified as having CPVT may result </w:t>
      </w:r>
      <w:r>
        <w:t>in a change in diagnosis in 0-</w:t>
      </w:r>
      <w:r w:rsidRPr="008A21B6">
        <w:t>36.3% of cases</w:t>
      </w:r>
      <w:r>
        <w:rPr>
          <w:rStyle w:val="FootnoteReference"/>
        </w:rPr>
        <w:footnoteReference w:id="69"/>
      </w:r>
      <w:r>
        <w:rPr>
          <w:vertAlign w:val="superscript"/>
        </w:rPr>
        <w:t>,</w:t>
      </w:r>
      <w:r>
        <w:rPr>
          <w:rStyle w:val="FootnoteReference"/>
        </w:rPr>
        <w:footnoteReference w:id="70"/>
      </w:r>
      <w:r>
        <w:rPr>
          <w:vertAlign w:val="superscript"/>
        </w:rPr>
        <w:t>,</w:t>
      </w:r>
      <w:r>
        <w:rPr>
          <w:rStyle w:val="FootnoteReference"/>
        </w:rPr>
        <w:footnoteReference w:id="71"/>
      </w:r>
      <w:r w:rsidRPr="008A21B6">
        <w:t>. After genetic testing, patients were reclassified as having Andersen-Tawil syndrome (LQT7) or LQT5</w:t>
      </w:r>
      <w:r>
        <w:rPr>
          <w:rStyle w:val="FootnoteReference"/>
        </w:rPr>
        <w:footnoteReference w:id="72"/>
      </w:r>
      <w:r w:rsidRPr="008A21B6">
        <w:t>.</w:t>
      </w:r>
      <w:r w:rsidR="00CB7F85">
        <w:br w:type="page"/>
      </w:r>
    </w:p>
    <w:p w14:paraId="124FDCA9" w14:textId="6B3B8B76" w:rsidR="00FD04F7" w:rsidRPr="00707A93" w:rsidRDefault="00FD04F7" w:rsidP="00FD04F7">
      <w:r>
        <w:t>For cascade testing, the DCAR stated that the</w:t>
      </w:r>
      <w:r w:rsidRPr="00707A93">
        <w:t xml:space="preserve"> identification of genetic variants in family members would lead to:</w:t>
      </w:r>
    </w:p>
    <w:p w14:paraId="1CD0FEA3" w14:textId="77777777" w:rsidR="00FD04F7" w:rsidRPr="00707A93" w:rsidRDefault="00FD04F7" w:rsidP="00FD04F7">
      <w:pPr>
        <w:numPr>
          <w:ilvl w:val="0"/>
          <w:numId w:val="26"/>
        </w:numPr>
      </w:pPr>
      <w:r w:rsidRPr="00707A93">
        <w:t>enabling cascade testing of</w:t>
      </w:r>
      <w:r>
        <w:t xml:space="preserve"> further</w:t>
      </w:r>
      <w:r w:rsidRPr="00707A93">
        <w:t xml:space="preserve"> family members</w:t>
      </w:r>
    </w:p>
    <w:p w14:paraId="18C57262" w14:textId="5E329E75" w:rsidR="00FD04F7" w:rsidRPr="00707A93" w:rsidRDefault="00FD04F7" w:rsidP="00FD04F7">
      <w:pPr>
        <w:numPr>
          <w:ilvl w:val="0"/>
          <w:numId w:val="26"/>
        </w:numPr>
      </w:pPr>
      <w:r w:rsidRPr="00707A93">
        <w:t>early detection of inheritable cardiac arrhythmia in relatives (</w:t>
      </w:r>
      <w:r w:rsidR="00FE4EEC">
        <w:t xml:space="preserve">to direct </w:t>
      </w:r>
      <w:r w:rsidRPr="00707A93">
        <w:t>early commencement of lifestyle changes and</w:t>
      </w:r>
      <w:r w:rsidR="00FE4EEC">
        <w:t>/or</w:t>
      </w:r>
      <w:r w:rsidRPr="00707A93">
        <w:t xml:space="preserve"> drug/device therapy)</w:t>
      </w:r>
    </w:p>
    <w:p w14:paraId="69C1D1CC" w14:textId="77777777" w:rsidR="00FD04F7" w:rsidRPr="00707A93" w:rsidRDefault="00FD04F7" w:rsidP="00FD04F7">
      <w:pPr>
        <w:numPr>
          <w:ilvl w:val="0"/>
          <w:numId w:val="26"/>
        </w:numPr>
      </w:pPr>
      <w:r w:rsidRPr="00707A93">
        <w:t>reassuring family members who have not inherited the condition</w:t>
      </w:r>
    </w:p>
    <w:p w14:paraId="4B9A61CA" w14:textId="5F8B951C" w:rsidR="00FD04F7" w:rsidRPr="00707A93" w:rsidRDefault="00FD04F7" w:rsidP="00FD04F7">
      <w:pPr>
        <w:numPr>
          <w:ilvl w:val="0"/>
          <w:numId w:val="26"/>
        </w:numPr>
      </w:pPr>
      <w:r>
        <w:t>reducing</w:t>
      </w:r>
      <w:r w:rsidR="00FE4EEC">
        <w:t>, or obviating,</w:t>
      </w:r>
      <w:r>
        <w:t xml:space="preserve"> the</w:t>
      </w:r>
      <w:r w:rsidRPr="00707A93">
        <w:t xml:space="preserve"> requirement for genotype-negative family members to have lifelong surveillance</w:t>
      </w:r>
    </w:p>
    <w:p w14:paraId="7CA664AF" w14:textId="77777777" w:rsidR="00FD04F7" w:rsidRDefault="00FD04F7" w:rsidP="00FD04F7">
      <w:pPr>
        <w:pStyle w:val="Heading2"/>
        <w:rPr>
          <w:lang w:eastAsia="en-US"/>
        </w:rPr>
      </w:pPr>
      <w:r>
        <w:rPr>
          <w:lang w:eastAsia="en-US"/>
        </w:rPr>
        <w:t>Translation issues</w:t>
      </w:r>
    </w:p>
    <w:p w14:paraId="1F24C85A" w14:textId="299FD778" w:rsidR="00FD04F7" w:rsidRDefault="00FD04F7" w:rsidP="00FD04F7">
      <w:r>
        <w:t>Australian Genomics data on diagnostic yield for LQTS, BrS and CPVT (</w:t>
      </w:r>
      <w:r w:rsidR="00295A93">
        <w:t xml:space="preserve">Austin </w:t>
      </w:r>
      <w:r w:rsidR="00295A93">
        <w:rPr>
          <w:i/>
        </w:rPr>
        <w:t>et al.</w:t>
      </w:r>
      <w:r w:rsidR="00295A93">
        <w:t xml:space="preserve">, 2021; </w:t>
      </w:r>
      <w:r w:rsidR="002C6DB1">
        <w:fldChar w:fldCharType="begin"/>
      </w:r>
      <w:r w:rsidR="002C6DB1">
        <w:instrText xml:space="preserve"> REF _Ref49502644 </w:instrText>
      </w:r>
      <w:r w:rsidR="002C6DB1">
        <w:fldChar w:fldCharType="separate"/>
      </w:r>
      <w:r>
        <w:t xml:space="preserve">Table </w:t>
      </w:r>
      <w:r>
        <w:rPr>
          <w:noProof/>
        </w:rPr>
        <w:t>7</w:t>
      </w:r>
      <w:r w:rsidR="002C6DB1">
        <w:rPr>
          <w:noProof/>
        </w:rPr>
        <w:fldChar w:fldCharType="end"/>
      </w:r>
      <w:r>
        <w:t>) w</w:t>
      </w:r>
      <w:r w:rsidR="00BA2341">
        <w:t>ere</w:t>
      </w:r>
      <w:r>
        <w:t xml:space="preserve"> used in the DCAR’s economic and financial analyses.</w:t>
      </w:r>
    </w:p>
    <w:p w14:paraId="6126D77F" w14:textId="513447C5" w:rsidR="00FD04F7" w:rsidRDefault="00FD04F7" w:rsidP="00754CF9">
      <w:pPr>
        <w:pStyle w:val="Caption"/>
        <w:spacing w:before="240"/>
      </w:pPr>
      <w:bookmarkStart w:id="9" w:name="_Ref49502644"/>
      <w:bookmarkStart w:id="10" w:name="_Toc49800745"/>
      <w:r>
        <w:t xml:space="preserve">Table </w:t>
      </w:r>
      <w:r w:rsidR="002C6DB1">
        <w:fldChar w:fldCharType="begin"/>
      </w:r>
      <w:r w:rsidR="002C6DB1">
        <w:instrText xml:space="preserve"> SEQ Table \* ARABIC </w:instrText>
      </w:r>
      <w:r w:rsidR="002C6DB1">
        <w:fldChar w:fldCharType="separate"/>
      </w:r>
      <w:r w:rsidR="001D38B7">
        <w:rPr>
          <w:noProof/>
        </w:rPr>
        <w:t>7</w:t>
      </w:r>
      <w:r w:rsidR="002C6DB1">
        <w:rPr>
          <w:noProof/>
        </w:rPr>
        <w:fldChar w:fldCharType="end"/>
      </w:r>
      <w:bookmarkEnd w:id="9"/>
      <w:r>
        <w:rPr>
          <w:noProof/>
        </w:rPr>
        <w:t xml:space="preserve">: </w:t>
      </w:r>
      <w:r>
        <w:t xml:space="preserve">Diagnostic yields </w:t>
      </w:r>
      <w:r w:rsidRPr="00014846">
        <w:t>for patients clinically diagnosed with the different arrhythmias</w:t>
      </w:r>
      <w:bookmarkEnd w:id="10"/>
    </w:p>
    <w:tbl>
      <w:tblPr>
        <w:tblStyle w:val="TableGrid2"/>
        <w:tblW w:w="4999" w:type="pct"/>
        <w:tblLook w:val="04A0" w:firstRow="1" w:lastRow="0" w:firstColumn="1" w:lastColumn="0" w:noHBand="0" w:noVBand="1"/>
        <w:tblCaption w:val="Diagnostic yields for patients clinically diagnosed with the different arrhythmias"/>
        <w:tblDescription w:val="Diagnostic yields for patients clinically diagnosed with the different arrhythmias"/>
      </w:tblPr>
      <w:tblGrid>
        <w:gridCol w:w="3006"/>
        <w:gridCol w:w="3004"/>
        <w:gridCol w:w="3004"/>
      </w:tblGrid>
      <w:tr w:rsidR="00FD04F7" w:rsidRPr="007E0AA1" w14:paraId="43632327" w14:textId="77777777" w:rsidTr="00754CF9">
        <w:trPr>
          <w:cnfStyle w:val="100000000000" w:firstRow="1" w:lastRow="0" w:firstColumn="0" w:lastColumn="0" w:oddVBand="0" w:evenVBand="0" w:oddHBand="0" w:evenHBand="0" w:firstRowFirstColumn="0" w:firstRowLastColumn="0" w:lastRowFirstColumn="0" w:lastRowLastColumn="0"/>
          <w:trHeight w:val="300"/>
          <w:tblHeader/>
        </w:trPr>
        <w:tc>
          <w:tcPr>
            <w:tcW w:w="1667" w:type="pct"/>
            <w:noWrap/>
            <w:hideMark/>
          </w:tcPr>
          <w:p w14:paraId="2A2602D2" w14:textId="77777777" w:rsidR="00FD04F7" w:rsidRPr="007E0AA1" w:rsidRDefault="00FD04F7" w:rsidP="00FD04F7">
            <w:pPr>
              <w:pStyle w:val="TableHeading"/>
            </w:pPr>
            <w:r w:rsidRPr="007E0AA1">
              <w:t>Inheritable arrhythmia disorder</w:t>
            </w:r>
          </w:p>
        </w:tc>
        <w:tc>
          <w:tcPr>
            <w:tcW w:w="1666" w:type="pct"/>
            <w:noWrap/>
            <w:hideMark/>
          </w:tcPr>
          <w:p w14:paraId="0F470A68" w14:textId="77777777" w:rsidR="00FD04F7" w:rsidRPr="007E0AA1" w:rsidRDefault="00FD04F7" w:rsidP="00FD04F7">
            <w:pPr>
              <w:pStyle w:val="TableHeading"/>
            </w:pPr>
            <w:r>
              <w:t>Systematic review of literature</w:t>
            </w:r>
          </w:p>
          <w:p w14:paraId="336702A3" w14:textId="77777777" w:rsidR="00FD04F7" w:rsidRPr="007E0AA1" w:rsidRDefault="00FD04F7" w:rsidP="00FD04F7">
            <w:pPr>
              <w:pStyle w:val="TableHeading"/>
            </w:pPr>
            <w:r w:rsidRPr="007E0AA1">
              <w:t>mean (range), %</w:t>
            </w:r>
          </w:p>
        </w:tc>
        <w:tc>
          <w:tcPr>
            <w:tcW w:w="1666" w:type="pct"/>
            <w:shd w:val="clear" w:color="auto" w:fill="auto"/>
          </w:tcPr>
          <w:p w14:paraId="63620B94" w14:textId="017E67E2" w:rsidR="00FD04F7" w:rsidRPr="007E0AA1" w:rsidRDefault="00FD04F7" w:rsidP="00754CF9">
            <w:pPr>
              <w:pStyle w:val="TableHeading"/>
              <w:ind w:left="0" w:hanging="23"/>
            </w:pPr>
            <w:r w:rsidRPr="007E0AA1">
              <w:t>Clinical Audit data</w:t>
            </w:r>
            <w:r w:rsidR="00295A93">
              <w:t xml:space="preserve"> – Austin </w:t>
            </w:r>
            <w:r w:rsidR="00295A93">
              <w:rPr>
                <w:i/>
              </w:rPr>
              <w:t>et al.</w:t>
            </w:r>
            <w:r w:rsidR="00295A93">
              <w:t>, 2021</w:t>
            </w:r>
            <w:r w:rsidR="00295A93">
              <w:rPr>
                <w:rStyle w:val="FootnoteReference"/>
              </w:rPr>
              <w:footnoteReference w:id="73"/>
            </w:r>
          </w:p>
        </w:tc>
      </w:tr>
      <w:tr w:rsidR="00FD04F7" w:rsidRPr="00B23DBF" w14:paraId="021597E8" w14:textId="77777777" w:rsidTr="00754CF9">
        <w:trPr>
          <w:trHeight w:val="300"/>
        </w:trPr>
        <w:tc>
          <w:tcPr>
            <w:tcW w:w="1667" w:type="pct"/>
            <w:noWrap/>
            <w:hideMark/>
          </w:tcPr>
          <w:p w14:paraId="4D4868B5" w14:textId="77777777" w:rsidR="00FD04F7" w:rsidRPr="00B23DBF" w:rsidRDefault="00FD04F7" w:rsidP="00FD04F7">
            <w:pPr>
              <w:pStyle w:val="TableText0"/>
            </w:pPr>
            <w:r w:rsidRPr="00B23DBF">
              <w:t>LQTS</w:t>
            </w:r>
          </w:p>
        </w:tc>
        <w:tc>
          <w:tcPr>
            <w:tcW w:w="1666" w:type="pct"/>
            <w:noWrap/>
            <w:hideMark/>
          </w:tcPr>
          <w:p w14:paraId="6DE5C3EA" w14:textId="77777777" w:rsidR="00FD04F7" w:rsidRPr="00B23DBF" w:rsidRDefault="00FD04F7" w:rsidP="00FD04F7">
            <w:pPr>
              <w:pStyle w:val="TableText0"/>
            </w:pPr>
            <w:r>
              <w:t>46 (18–90)</w:t>
            </w:r>
          </w:p>
        </w:tc>
        <w:tc>
          <w:tcPr>
            <w:tcW w:w="1666" w:type="pct"/>
            <w:shd w:val="clear" w:color="auto" w:fill="auto"/>
          </w:tcPr>
          <w:p w14:paraId="2299D1E2" w14:textId="77777777" w:rsidR="00FD04F7" w:rsidRPr="00754CF9" w:rsidRDefault="00FD04F7" w:rsidP="00FD04F7">
            <w:pPr>
              <w:pStyle w:val="TableText0"/>
            </w:pPr>
            <w:r w:rsidRPr="00754CF9">
              <w:t>33.7%</w:t>
            </w:r>
          </w:p>
        </w:tc>
      </w:tr>
      <w:tr w:rsidR="00FD04F7" w:rsidRPr="00B23DBF" w14:paraId="3A1D048B" w14:textId="77777777" w:rsidTr="00754CF9">
        <w:trPr>
          <w:trHeight w:val="300"/>
        </w:trPr>
        <w:tc>
          <w:tcPr>
            <w:tcW w:w="1667" w:type="pct"/>
            <w:noWrap/>
            <w:hideMark/>
          </w:tcPr>
          <w:p w14:paraId="117159BA" w14:textId="77777777" w:rsidR="00FD04F7" w:rsidRPr="00B23DBF" w:rsidRDefault="00FD04F7" w:rsidP="00FD04F7">
            <w:pPr>
              <w:pStyle w:val="TableText0"/>
            </w:pPr>
            <w:r w:rsidRPr="00B23DBF">
              <w:t>BrS</w:t>
            </w:r>
          </w:p>
        </w:tc>
        <w:tc>
          <w:tcPr>
            <w:tcW w:w="1666" w:type="pct"/>
            <w:noWrap/>
            <w:hideMark/>
          </w:tcPr>
          <w:p w14:paraId="448C0220" w14:textId="77777777" w:rsidR="00FD04F7" w:rsidRPr="00B23DBF" w:rsidRDefault="00FD04F7" w:rsidP="00FD04F7">
            <w:pPr>
              <w:pStyle w:val="TableText0"/>
            </w:pPr>
            <w:r>
              <w:t>22 (9.5–45))</w:t>
            </w:r>
          </w:p>
        </w:tc>
        <w:tc>
          <w:tcPr>
            <w:tcW w:w="1666" w:type="pct"/>
            <w:shd w:val="clear" w:color="auto" w:fill="auto"/>
          </w:tcPr>
          <w:p w14:paraId="4A3A5007" w14:textId="77777777" w:rsidR="00FD04F7" w:rsidRPr="00754CF9" w:rsidRDefault="00FD04F7" w:rsidP="00FD04F7">
            <w:pPr>
              <w:pStyle w:val="TableText0"/>
            </w:pPr>
            <w:r w:rsidRPr="00754CF9">
              <w:t>12.8%</w:t>
            </w:r>
          </w:p>
        </w:tc>
      </w:tr>
      <w:tr w:rsidR="00FD04F7" w:rsidRPr="00B23DBF" w14:paraId="4B19E385" w14:textId="77777777" w:rsidTr="00754CF9">
        <w:trPr>
          <w:trHeight w:val="300"/>
        </w:trPr>
        <w:tc>
          <w:tcPr>
            <w:tcW w:w="1667" w:type="pct"/>
            <w:noWrap/>
            <w:hideMark/>
          </w:tcPr>
          <w:p w14:paraId="064426D6" w14:textId="77777777" w:rsidR="00FD04F7" w:rsidRPr="00B23DBF" w:rsidRDefault="00FD04F7" w:rsidP="00FD04F7">
            <w:pPr>
              <w:pStyle w:val="TableText0"/>
            </w:pPr>
            <w:r w:rsidRPr="00B23DBF">
              <w:t>CPVT</w:t>
            </w:r>
          </w:p>
        </w:tc>
        <w:tc>
          <w:tcPr>
            <w:tcW w:w="1666" w:type="pct"/>
            <w:noWrap/>
            <w:hideMark/>
          </w:tcPr>
          <w:p w14:paraId="7F928727" w14:textId="77777777" w:rsidR="00FD04F7" w:rsidRPr="00B23DBF" w:rsidRDefault="00FD04F7" w:rsidP="00FD04F7">
            <w:pPr>
              <w:pStyle w:val="TableText0"/>
            </w:pPr>
            <w:r>
              <w:t>42 (13–77)</w:t>
            </w:r>
          </w:p>
        </w:tc>
        <w:tc>
          <w:tcPr>
            <w:tcW w:w="1666" w:type="pct"/>
            <w:shd w:val="clear" w:color="auto" w:fill="auto"/>
          </w:tcPr>
          <w:p w14:paraId="3357D1D7" w14:textId="77777777" w:rsidR="00FD04F7" w:rsidRPr="00754CF9" w:rsidRDefault="00FD04F7" w:rsidP="00FD04F7">
            <w:pPr>
              <w:pStyle w:val="TableText0"/>
            </w:pPr>
            <w:r w:rsidRPr="00754CF9">
              <w:t>20.0%</w:t>
            </w:r>
          </w:p>
        </w:tc>
      </w:tr>
      <w:tr w:rsidR="00FD04F7" w:rsidRPr="005E4FA2" w14:paraId="736CE737" w14:textId="77777777" w:rsidTr="00754CF9">
        <w:trPr>
          <w:trHeight w:val="300"/>
        </w:trPr>
        <w:tc>
          <w:tcPr>
            <w:tcW w:w="1667" w:type="pct"/>
            <w:noWrap/>
            <w:hideMark/>
          </w:tcPr>
          <w:p w14:paraId="3B3A4AEB" w14:textId="77777777" w:rsidR="00FD04F7" w:rsidRPr="005E4FA2" w:rsidRDefault="00FD04F7" w:rsidP="00FD04F7">
            <w:pPr>
              <w:pStyle w:val="TableText0"/>
            </w:pPr>
            <w:r w:rsidRPr="005E4FA2">
              <w:t>Combined</w:t>
            </w:r>
          </w:p>
        </w:tc>
        <w:tc>
          <w:tcPr>
            <w:tcW w:w="1666" w:type="pct"/>
            <w:noWrap/>
            <w:hideMark/>
          </w:tcPr>
          <w:p w14:paraId="4658FEE6" w14:textId="77777777" w:rsidR="00FD04F7" w:rsidRPr="005E4FA2" w:rsidRDefault="00FD04F7" w:rsidP="00FD04F7">
            <w:pPr>
              <w:pStyle w:val="TableText0"/>
            </w:pPr>
            <w:r w:rsidRPr="005E4FA2">
              <w:t>-</w:t>
            </w:r>
          </w:p>
        </w:tc>
        <w:tc>
          <w:tcPr>
            <w:tcW w:w="1666" w:type="pct"/>
            <w:shd w:val="clear" w:color="auto" w:fill="auto"/>
          </w:tcPr>
          <w:p w14:paraId="5F379C1D" w14:textId="77777777" w:rsidR="00FD04F7" w:rsidRPr="00754CF9" w:rsidRDefault="00FD04F7" w:rsidP="00FD04F7">
            <w:pPr>
              <w:pStyle w:val="TableText0"/>
            </w:pPr>
            <w:r w:rsidRPr="00754CF9">
              <w:t>26.3%</w:t>
            </w:r>
          </w:p>
        </w:tc>
      </w:tr>
    </w:tbl>
    <w:p w14:paraId="33EF0B4A" w14:textId="77777777" w:rsidR="00FD04F7" w:rsidRDefault="00FD04F7" w:rsidP="00FD04F7">
      <w:pPr>
        <w:pStyle w:val="Tablenotes1"/>
      </w:pPr>
      <w:r>
        <w:t>BrS = Brugada syndrome; CPVT = c</w:t>
      </w:r>
      <w:r w:rsidRPr="00C95C05">
        <w:t>atecholaminergic polymorphic ventricular tachycardia</w:t>
      </w:r>
      <w:r>
        <w:t>; LQTS = long QT syndrome</w:t>
      </w:r>
    </w:p>
    <w:p w14:paraId="73558B66" w14:textId="77777777" w:rsidR="00FD04F7" w:rsidRDefault="00FD04F7" w:rsidP="00FD04F7">
      <w:pPr>
        <w:pStyle w:val="Tablenotes1"/>
      </w:pPr>
      <w:r>
        <w:t>Source: DCAR CUC technical document, Table 93 (as updated in HTA group’s rejoinder to applicant’s pre-ESC response).</w:t>
      </w:r>
    </w:p>
    <w:p w14:paraId="10DCEAA9" w14:textId="20D503F8" w:rsidR="00FD04F7" w:rsidRDefault="00FD04F7" w:rsidP="00FD04F7">
      <w:r>
        <w:t>In the pre-ESC response, the applicant commented that the figures from the systematic review provide</w:t>
      </w:r>
      <w:r w:rsidRPr="00234C82">
        <w:t xml:space="preserve"> a combined diagnostic yield for cardiac arrhythmias of 36.7</w:t>
      </w:r>
      <w:r>
        <w:t>%</w:t>
      </w:r>
      <w:r w:rsidRPr="00234C82">
        <w:t xml:space="preserve">, compared to the relatively low combined rate </w:t>
      </w:r>
      <w:r>
        <w:t xml:space="preserve">from clinical audit data, which was </w:t>
      </w:r>
      <w:r w:rsidRPr="00234C82">
        <w:t>used in the economic analysis</w:t>
      </w:r>
      <w:r>
        <w:t xml:space="preserve">. The applicant also asserted that </w:t>
      </w:r>
      <w:r w:rsidRPr="00234C82">
        <w:t xml:space="preserve">the </w:t>
      </w:r>
      <w:r>
        <w:t xml:space="preserve">DCAR did not consider the </w:t>
      </w:r>
      <w:r w:rsidRPr="00234C82">
        <w:t xml:space="preserve">relative frequencies of the three conditions </w:t>
      </w:r>
      <w:r>
        <w:t>when calculating the combined diagnostic yield</w:t>
      </w:r>
      <w:r w:rsidRPr="00234C82">
        <w:t>, with LQTS being the most prevalent inherited arrhythmia syndrome (65%), followed by CPVT (27%) and BrS (8%).</w:t>
      </w:r>
      <w:r>
        <w:t xml:space="preserve"> </w:t>
      </w:r>
      <w:r w:rsidRPr="00234C82">
        <w:t>Further data analysis by the Genomics Cardiovascular Genetic Disorders Flagship</w:t>
      </w:r>
      <w:r w:rsidR="00C9541A">
        <w:rPr>
          <w:rStyle w:val="FootnoteReference"/>
        </w:rPr>
        <w:footnoteReference w:id="74"/>
      </w:r>
      <w:r w:rsidRPr="00234C82">
        <w:t xml:space="preserve"> indicates a 49</w:t>
      </w:r>
      <w:r>
        <w:t>%</w:t>
      </w:r>
      <w:r w:rsidRPr="00234C82">
        <w:t xml:space="preserve"> diagnostic rate for LQTS, and a 41</w:t>
      </w:r>
      <w:r>
        <w:t>%</w:t>
      </w:r>
      <w:r w:rsidRPr="00234C82">
        <w:t xml:space="preserve"> overall diagnostic rate for all </w:t>
      </w:r>
      <w:r>
        <w:t>ICAs</w:t>
      </w:r>
      <w:r w:rsidRPr="00234C82">
        <w:t xml:space="preserve"> (i.e. LQTS, CPVT and BrS) patients. As indicated by the sensitivity analysis in the CUC, a higher diagnostic yield in </w:t>
      </w:r>
      <w:r>
        <w:t>affected individuals</w:t>
      </w:r>
      <w:r w:rsidRPr="00234C82">
        <w:t xml:space="preserve"> will result in a higher uptake of </w:t>
      </w:r>
      <w:r w:rsidR="001154C5">
        <w:t xml:space="preserve">cascade </w:t>
      </w:r>
      <w:r w:rsidRPr="00234C82">
        <w:t>genetic testing in f</w:t>
      </w:r>
      <w:r>
        <w:t>amily members</w:t>
      </w:r>
      <w:r w:rsidRPr="00234C82">
        <w:t xml:space="preserve"> which</w:t>
      </w:r>
      <w:r>
        <w:t>, all else being equal,</w:t>
      </w:r>
      <w:r w:rsidRPr="00234C82">
        <w:t xml:space="preserve"> will result in more cost-savings to the health system.</w:t>
      </w:r>
      <w:r>
        <w:t xml:space="preserve"> In the rejoinder, the HTA group responded that the </w:t>
      </w:r>
      <w:r w:rsidRPr="00897610">
        <w:t xml:space="preserve">Australian Cardiac Genomic Flagship </w:t>
      </w:r>
      <w:r>
        <w:t>a</w:t>
      </w:r>
      <w:r w:rsidRPr="00897610">
        <w:t xml:space="preserve">udit </w:t>
      </w:r>
      <w:r>
        <w:t>data figures reflected current clinical practice and were within the published range – which in any case varies widely, perhaps due to ethnicity differences between countries. The HTA group also clarified that estimating a combined diagnostic yield using relative proportions of published prevalence may be less appropriate due to the possibility of misdiagnosis or overlapping syndromes.</w:t>
      </w:r>
    </w:p>
    <w:p w14:paraId="536073B4" w14:textId="7DBCB7A1" w:rsidR="00CB7F85" w:rsidRPr="00CB7F85" w:rsidRDefault="00FD04F7" w:rsidP="00754CF9">
      <w:pPr>
        <w:spacing w:before="240"/>
      </w:pPr>
      <w:r>
        <w:t>The DCAR examined potential t</w:t>
      </w:r>
      <w:r w:rsidRPr="00897610">
        <w:t>ranslation issues regarding the applicability and/or extrapolation of the evidenc</w:t>
      </w:r>
      <w:r>
        <w:t>e to the proposed setting (</w:t>
      </w:r>
      <w:r w:rsidRPr="00897610">
        <w:fldChar w:fldCharType="begin"/>
      </w:r>
      <w:r w:rsidRPr="00897610">
        <w:instrText xml:space="preserve"> REF _Ref421019304 \h  \* MERGEFORMAT </w:instrText>
      </w:r>
      <w:r w:rsidRPr="00897610">
        <w:fldChar w:fldCharType="separate"/>
      </w:r>
      <w:r w:rsidRPr="00897610">
        <w:t xml:space="preserve">Table </w:t>
      </w:r>
      <w:r>
        <w:t>8</w:t>
      </w:r>
      <w:r w:rsidRPr="00897610">
        <w:fldChar w:fldCharType="end"/>
      </w:r>
      <w:r>
        <w:t>)</w:t>
      </w:r>
      <w:r w:rsidRPr="00897610">
        <w:t>.</w:t>
      </w:r>
      <w:bookmarkStart w:id="11" w:name="_Ref421019304"/>
      <w:bookmarkStart w:id="12" w:name="_Toc399251137"/>
      <w:bookmarkStart w:id="13" w:name="_Toc432677299"/>
      <w:bookmarkStart w:id="14" w:name="_Toc534367860"/>
      <w:bookmarkStart w:id="15" w:name="_Toc43724486"/>
      <w:r w:rsidR="00CB7F85">
        <w:br w:type="page"/>
      </w:r>
    </w:p>
    <w:p w14:paraId="1BE389E3" w14:textId="7FF66978" w:rsidR="00FD04F7" w:rsidRPr="00897610" w:rsidRDefault="00FD04F7" w:rsidP="00FD04F7">
      <w:pPr>
        <w:pStyle w:val="Caption"/>
      </w:pPr>
      <w:r w:rsidRPr="00897610">
        <w:t xml:space="preserve">Table </w:t>
      </w:r>
      <w:r w:rsidR="002C6DB1">
        <w:fldChar w:fldCharType="begin"/>
      </w:r>
      <w:r w:rsidR="002C6DB1">
        <w:instrText xml:space="preserve"> SEQ Table \* ARABIC </w:instrText>
      </w:r>
      <w:r w:rsidR="002C6DB1">
        <w:fldChar w:fldCharType="separate"/>
      </w:r>
      <w:r>
        <w:rPr>
          <w:noProof/>
        </w:rPr>
        <w:t>8</w:t>
      </w:r>
      <w:r w:rsidR="002C6DB1">
        <w:rPr>
          <w:noProof/>
        </w:rPr>
        <w:fldChar w:fldCharType="end"/>
      </w:r>
      <w:bookmarkEnd w:id="11"/>
      <w:r>
        <w:t xml:space="preserve">: </w:t>
      </w:r>
      <w:r w:rsidRPr="00897610">
        <w:t>Summary of results of pre-modelling studies and their uses in the economic evaluation</w:t>
      </w:r>
      <w:bookmarkEnd w:id="12"/>
      <w:bookmarkEnd w:id="13"/>
      <w:bookmarkEnd w:id="14"/>
      <w:bookmarkEnd w:id="15"/>
    </w:p>
    <w:tbl>
      <w:tblPr>
        <w:tblStyle w:val="TableGrid"/>
        <w:tblW w:w="0" w:type="auto"/>
        <w:tblLook w:val="04A0" w:firstRow="1" w:lastRow="0" w:firstColumn="1" w:lastColumn="0" w:noHBand="0" w:noVBand="1"/>
        <w:tblCaption w:val="Summary of results of pre-modelling studies and their uses in the economic evaluation"/>
        <w:tblDescription w:val="Summary of results of pre-modelling studies and their uses in the economic evaluation"/>
      </w:tblPr>
      <w:tblGrid>
        <w:gridCol w:w="2401"/>
        <w:gridCol w:w="3609"/>
        <w:gridCol w:w="3006"/>
      </w:tblGrid>
      <w:tr w:rsidR="00FD04F7" w:rsidRPr="00897610" w14:paraId="69A96610" w14:textId="77777777" w:rsidTr="00FD04F7">
        <w:trPr>
          <w:tblHeader/>
        </w:trPr>
        <w:tc>
          <w:tcPr>
            <w:tcW w:w="2401" w:type="dxa"/>
            <w:tcBorders>
              <w:bottom w:val="single" w:sz="4" w:space="0" w:color="auto"/>
            </w:tcBorders>
          </w:tcPr>
          <w:p w14:paraId="032D86D6" w14:textId="77777777" w:rsidR="00FD04F7" w:rsidRPr="00897610" w:rsidRDefault="00FD04F7" w:rsidP="00FD04F7">
            <w:pPr>
              <w:pStyle w:val="Tabletextboldleft"/>
            </w:pPr>
            <w:r w:rsidRPr="00897610">
              <w:t>Translation issue</w:t>
            </w:r>
          </w:p>
        </w:tc>
        <w:tc>
          <w:tcPr>
            <w:tcW w:w="3609" w:type="dxa"/>
            <w:tcBorders>
              <w:bottom w:val="single" w:sz="4" w:space="0" w:color="auto"/>
            </w:tcBorders>
          </w:tcPr>
          <w:p w14:paraId="049A6A28" w14:textId="77777777" w:rsidR="00FD04F7" w:rsidRPr="00897610" w:rsidRDefault="00FD04F7" w:rsidP="00FD04F7">
            <w:pPr>
              <w:pStyle w:val="Tabletextboldleft"/>
            </w:pPr>
            <w:r w:rsidRPr="00897610">
              <w:t>Results used in Section 10</w:t>
            </w:r>
          </w:p>
        </w:tc>
        <w:tc>
          <w:tcPr>
            <w:tcW w:w="3006" w:type="dxa"/>
            <w:tcBorders>
              <w:bottom w:val="single" w:sz="4" w:space="0" w:color="auto"/>
            </w:tcBorders>
          </w:tcPr>
          <w:p w14:paraId="32E72CAB" w14:textId="77777777" w:rsidR="00FD04F7" w:rsidRPr="00897610" w:rsidRDefault="00FD04F7" w:rsidP="00FD04F7">
            <w:pPr>
              <w:pStyle w:val="Tabletextboldleft"/>
            </w:pPr>
            <w:r w:rsidRPr="00897610">
              <w:t>Results used in Subsection 10.6</w:t>
            </w:r>
          </w:p>
        </w:tc>
      </w:tr>
      <w:tr w:rsidR="00FD04F7" w:rsidRPr="00897610" w14:paraId="0569E05C" w14:textId="77777777" w:rsidTr="00FD04F7">
        <w:tc>
          <w:tcPr>
            <w:tcW w:w="2401" w:type="dxa"/>
            <w:tcBorders>
              <w:right w:val="nil"/>
            </w:tcBorders>
          </w:tcPr>
          <w:p w14:paraId="22BD6F7C" w14:textId="77777777" w:rsidR="00FD04F7" w:rsidRPr="00897610" w:rsidRDefault="00FD04F7" w:rsidP="00FD04F7">
            <w:pPr>
              <w:pStyle w:val="Tabletext"/>
            </w:pPr>
            <w:r w:rsidRPr="00897610">
              <w:t>Applicability</w:t>
            </w:r>
          </w:p>
        </w:tc>
        <w:tc>
          <w:tcPr>
            <w:tcW w:w="3609" w:type="dxa"/>
            <w:tcBorders>
              <w:left w:val="nil"/>
              <w:right w:val="nil"/>
            </w:tcBorders>
          </w:tcPr>
          <w:p w14:paraId="586AA6FC" w14:textId="77777777" w:rsidR="00FD04F7" w:rsidRPr="00897610" w:rsidRDefault="00FD04F7" w:rsidP="00FD04F7">
            <w:pPr>
              <w:pStyle w:val="Tabletext"/>
            </w:pPr>
          </w:p>
        </w:tc>
        <w:tc>
          <w:tcPr>
            <w:tcW w:w="3006" w:type="dxa"/>
            <w:tcBorders>
              <w:left w:val="nil"/>
            </w:tcBorders>
          </w:tcPr>
          <w:p w14:paraId="0E950191" w14:textId="77777777" w:rsidR="00FD04F7" w:rsidRPr="00897610" w:rsidRDefault="00FD04F7" w:rsidP="00FD04F7">
            <w:pPr>
              <w:pStyle w:val="Tabletext"/>
            </w:pPr>
          </w:p>
        </w:tc>
      </w:tr>
      <w:tr w:rsidR="00FD04F7" w:rsidRPr="00897610" w14:paraId="109DF00B" w14:textId="77777777" w:rsidTr="00FD04F7">
        <w:tc>
          <w:tcPr>
            <w:tcW w:w="2401" w:type="dxa"/>
            <w:tcBorders>
              <w:bottom w:val="single" w:sz="4" w:space="0" w:color="auto"/>
            </w:tcBorders>
          </w:tcPr>
          <w:p w14:paraId="49D0E43E" w14:textId="77777777" w:rsidR="00FD04F7" w:rsidRPr="00897610" w:rsidRDefault="00FD04F7" w:rsidP="00FD04F7">
            <w:pPr>
              <w:pStyle w:val="Tabletext"/>
            </w:pPr>
            <w:r w:rsidRPr="00897610">
              <w:t xml:space="preserve">Diagnostic yield in </w:t>
            </w:r>
            <w:r>
              <w:t>affected individuals</w:t>
            </w:r>
          </w:p>
        </w:tc>
        <w:tc>
          <w:tcPr>
            <w:tcW w:w="3609" w:type="dxa"/>
            <w:tcBorders>
              <w:bottom w:val="single" w:sz="4" w:space="0" w:color="auto"/>
            </w:tcBorders>
          </w:tcPr>
          <w:p w14:paraId="6DD0E88D" w14:textId="77777777" w:rsidR="00FD04F7" w:rsidRPr="00897610" w:rsidRDefault="00FD04F7" w:rsidP="00FD04F7">
            <w:pPr>
              <w:pStyle w:val="Tabletext"/>
            </w:pPr>
            <w:r w:rsidRPr="00897610">
              <w:t xml:space="preserve">The diagnostic yield of genetic tests in </w:t>
            </w:r>
            <w:r>
              <w:t>affected individuals</w:t>
            </w:r>
            <w:r w:rsidRPr="00897610">
              <w:t xml:space="preserve"> varied from 10–90% according to potential causative family history. </w:t>
            </w:r>
            <w:r>
              <w:t>D</w:t>
            </w:r>
            <w:r w:rsidRPr="00897610">
              <w:t>ata on diagnostic yield reported in the Australian National clinical audit report is identified and used in the base case.</w:t>
            </w:r>
          </w:p>
        </w:tc>
        <w:tc>
          <w:tcPr>
            <w:tcW w:w="3006" w:type="dxa"/>
            <w:tcBorders>
              <w:bottom w:val="single" w:sz="4" w:space="0" w:color="auto"/>
            </w:tcBorders>
          </w:tcPr>
          <w:p w14:paraId="027654C0" w14:textId="77777777" w:rsidR="00FD04F7" w:rsidRPr="00897610" w:rsidRDefault="00FD04F7" w:rsidP="00FD04F7">
            <w:pPr>
              <w:pStyle w:val="Tabletext"/>
            </w:pPr>
            <w:r w:rsidRPr="00897610">
              <w:t xml:space="preserve">Sensitivity analyses are conducted assuming lower and higher values of diagnostic yield (10–90%) in </w:t>
            </w:r>
            <w:r>
              <w:t>affected individuals</w:t>
            </w:r>
            <w:r w:rsidRPr="00897610">
              <w:t>.</w:t>
            </w:r>
          </w:p>
        </w:tc>
      </w:tr>
      <w:tr w:rsidR="00FD04F7" w:rsidRPr="00897610" w14:paraId="264F4C8B" w14:textId="77777777" w:rsidTr="00FD04F7">
        <w:tc>
          <w:tcPr>
            <w:tcW w:w="2401" w:type="dxa"/>
            <w:tcBorders>
              <w:bottom w:val="single" w:sz="4" w:space="0" w:color="auto"/>
            </w:tcBorders>
          </w:tcPr>
          <w:p w14:paraId="160E8282" w14:textId="77777777" w:rsidR="00FD04F7" w:rsidRPr="00897610" w:rsidRDefault="00FD04F7" w:rsidP="00FD04F7">
            <w:pPr>
              <w:pStyle w:val="Tabletext"/>
            </w:pPr>
            <w:r w:rsidRPr="00897610">
              <w:t>Adherence to surveillance</w:t>
            </w:r>
          </w:p>
        </w:tc>
        <w:tc>
          <w:tcPr>
            <w:tcW w:w="3609" w:type="dxa"/>
            <w:tcBorders>
              <w:bottom w:val="single" w:sz="4" w:space="0" w:color="auto"/>
            </w:tcBorders>
          </w:tcPr>
          <w:p w14:paraId="45B17BA9" w14:textId="77777777" w:rsidR="00FD04F7" w:rsidRPr="00897610" w:rsidRDefault="00FD04F7" w:rsidP="00FD04F7">
            <w:pPr>
              <w:pStyle w:val="Tabletext"/>
            </w:pPr>
            <w:r w:rsidRPr="00897610">
              <w:t>The clinical algorithm recommends family members adhere to recommended surveillance and prophylactic treatments where indicated, and no evidence was identified to suggest that this does not occur. Therefore the approach used in the economic model is to assume that clinical algorithms are followed and recommended surveillance and/or prophylactic management is conducted as required.</w:t>
            </w:r>
          </w:p>
        </w:tc>
        <w:tc>
          <w:tcPr>
            <w:tcW w:w="3006" w:type="dxa"/>
            <w:tcBorders>
              <w:bottom w:val="single" w:sz="4" w:space="0" w:color="auto"/>
            </w:tcBorders>
          </w:tcPr>
          <w:p w14:paraId="44E1D258" w14:textId="77777777" w:rsidR="00FD04F7" w:rsidRPr="00897610" w:rsidRDefault="00FD04F7" w:rsidP="00FD04F7">
            <w:pPr>
              <w:pStyle w:val="Tabletext"/>
            </w:pPr>
            <w:r w:rsidRPr="00897610">
              <w:t>Sensitivity analyses are conducted where 50% of the family members who do not receive testing do not adhere to surveillance recommendations.</w:t>
            </w:r>
          </w:p>
        </w:tc>
      </w:tr>
      <w:tr w:rsidR="00FD04F7" w:rsidRPr="00897610" w14:paraId="183E68E7" w14:textId="77777777" w:rsidTr="00FD04F7">
        <w:tc>
          <w:tcPr>
            <w:tcW w:w="2401" w:type="dxa"/>
            <w:tcBorders>
              <w:right w:val="nil"/>
            </w:tcBorders>
          </w:tcPr>
          <w:p w14:paraId="4B382A6A" w14:textId="77777777" w:rsidR="00FD04F7" w:rsidRPr="00897610" w:rsidRDefault="00FD04F7" w:rsidP="00FD04F7">
            <w:pPr>
              <w:pStyle w:val="Tabletext"/>
            </w:pPr>
            <w:r w:rsidRPr="00897610">
              <w:t>Transformation</w:t>
            </w:r>
          </w:p>
        </w:tc>
        <w:tc>
          <w:tcPr>
            <w:tcW w:w="3609" w:type="dxa"/>
            <w:tcBorders>
              <w:left w:val="nil"/>
              <w:right w:val="nil"/>
            </w:tcBorders>
          </w:tcPr>
          <w:p w14:paraId="44C00E02" w14:textId="77777777" w:rsidR="00FD04F7" w:rsidRPr="00897610" w:rsidRDefault="00FD04F7" w:rsidP="00FD04F7">
            <w:pPr>
              <w:pStyle w:val="Tabletext"/>
            </w:pPr>
          </w:p>
        </w:tc>
        <w:tc>
          <w:tcPr>
            <w:tcW w:w="3006" w:type="dxa"/>
            <w:tcBorders>
              <w:left w:val="nil"/>
            </w:tcBorders>
          </w:tcPr>
          <w:p w14:paraId="16E632FA" w14:textId="77777777" w:rsidR="00FD04F7" w:rsidRPr="00897610" w:rsidRDefault="00FD04F7" w:rsidP="00FD04F7">
            <w:pPr>
              <w:pStyle w:val="Tabletext"/>
            </w:pPr>
          </w:p>
        </w:tc>
      </w:tr>
      <w:tr w:rsidR="00FD04F7" w:rsidRPr="00897610" w14:paraId="6D690F37" w14:textId="77777777" w:rsidTr="00FD04F7">
        <w:tc>
          <w:tcPr>
            <w:tcW w:w="2401" w:type="dxa"/>
          </w:tcPr>
          <w:p w14:paraId="2D4B35B8" w14:textId="77777777" w:rsidR="00FD04F7" w:rsidRPr="00897610" w:rsidRDefault="00FD04F7" w:rsidP="00FD04F7">
            <w:pPr>
              <w:pStyle w:val="Tabletext"/>
            </w:pPr>
            <w:r w:rsidRPr="00897610">
              <w:t>The impact of the clinical findings on patient-relevant health outcomes and quality of life.</w:t>
            </w:r>
          </w:p>
        </w:tc>
        <w:tc>
          <w:tcPr>
            <w:tcW w:w="3609" w:type="dxa"/>
          </w:tcPr>
          <w:p w14:paraId="3958987B" w14:textId="77777777" w:rsidR="00FD04F7" w:rsidRPr="00897610" w:rsidRDefault="00FD04F7" w:rsidP="00FD04F7">
            <w:pPr>
              <w:pStyle w:val="Tabletext"/>
            </w:pPr>
            <w:r w:rsidRPr="00897610">
              <w:t>There was no clinical evidence identified that enabled incremental final health outcomes to be quantified. The limited evidence available that directly compared psychological health related to genetic testing suggests that predictive genetic testing for inherited rhythm disorders does not inflict psychological harm and in fact can invoke significant benefits by providing reassurance or alleviating uncertainty. Therefore, neither health benefits nor disutility associated with genetic testing are modelled in the economic analysis.</w:t>
            </w:r>
          </w:p>
        </w:tc>
        <w:tc>
          <w:tcPr>
            <w:tcW w:w="3006" w:type="dxa"/>
          </w:tcPr>
          <w:p w14:paraId="16DE68D9" w14:textId="77777777" w:rsidR="00FD04F7" w:rsidRPr="00897610" w:rsidRDefault="00FD04F7" w:rsidP="00FD04F7">
            <w:pPr>
              <w:pStyle w:val="Tabletext"/>
            </w:pPr>
            <w:r w:rsidRPr="00897610">
              <w:t>Not tested</w:t>
            </w:r>
          </w:p>
        </w:tc>
      </w:tr>
    </w:tbl>
    <w:p w14:paraId="7279AEA2" w14:textId="77777777" w:rsidR="00FD04F7" w:rsidRDefault="00FD04F7" w:rsidP="00FD04F7">
      <w:pPr>
        <w:pStyle w:val="Tablenotes1"/>
      </w:pPr>
      <w:r>
        <w:t>Source: DCAR, Table 12</w:t>
      </w:r>
    </w:p>
    <w:p w14:paraId="412D6E38" w14:textId="77777777" w:rsidR="00BC1364" w:rsidRPr="00F715D1" w:rsidRDefault="00BC1364" w:rsidP="00F715D1">
      <w:pPr>
        <w:pStyle w:val="Heading1"/>
      </w:pPr>
      <w:r w:rsidRPr="00F715D1">
        <w:t>Economic evaluation</w:t>
      </w:r>
    </w:p>
    <w:p w14:paraId="60DE0C62" w14:textId="73FFC8F6" w:rsidR="003B0883" w:rsidRDefault="003B0883" w:rsidP="003B0883">
      <w:r>
        <w:t xml:space="preserve">The DCAR presented a cost-effectiveness evaluation of genetic testing for affected individuals, and for cascade </w:t>
      </w:r>
      <w:r w:rsidRPr="009E5C15">
        <w:t>testing a cost comparison analysis primarily with secondary cost-effectiveness analysis</w:t>
      </w:r>
      <w:r>
        <w:t xml:space="preserve"> (</w:t>
      </w:r>
      <w:r w:rsidR="002C6DB1">
        <w:fldChar w:fldCharType="begin"/>
      </w:r>
      <w:r w:rsidR="002C6DB1">
        <w:instrText xml:space="preserve"> REF _Ref302114748  \* MERGEFORMAT </w:instrText>
      </w:r>
      <w:r w:rsidR="002C6DB1">
        <w:fldChar w:fldCharType="separate"/>
      </w:r>
      <w:r w:rsidRPr="00561093">
        <w:rPr>
          <w:bCs/>
        </w:rPr>
        <w:t>Table</w:t>
      </w:r>
      <w:r w:rsidRPr="00561093">
        <w:rPr>
          <w:b/>
          <w:bCs/>
        </w:rPr>
        <w:t xml:space="preserve"> </w:t>
      </w:r>
      <w:r>
        <w:rPr>
          <w:noProof/>
        </w:rPr>
        <w:t>9</w:t>
      </w:r>
      <w:r w:rsidR="002C6DB1">
        <w:rPr>
          <w:noProof/>
        </w:rPr>
        <w:fldChar w:fldCharType="end"/>
      </w:r>
      <w:r>
        <w:t>).</w:t>
      </w:r>
    </w:p>
    <w:p w14:paraId="418DFE9E" w14:textId="431F135C" w:rsidR="003B0883" w:rsidRPr="00842CD3" w:rsidRDefault="003B0883" w:rsidP="00754CF9">
      <w:pPr>
        <w:pStyle w:val="Caption"/>
        <w:spacing w:before="240"/>
      </w:pPr>
      <w:bookmarkStart w:id="16" w:name="_Ref302114748"/>
      <w:r w:rsidRPr="00842CD3">
        <w:t xml:space="preserve">Table </w:t>
      </w:r>
      <w:r w:rsidR="002C6DB1">
        <w:fldChar w:fldCharType="begin"/>
      </w:r>
      <w:r w:rsidR="002C6DB1">
        <w:instrText xml:space="preserve"> SEQ Table \* ARABIC </w:instrText>
      </w:r>
      <w:r w:rsidR="002C6DB1">
        <w:fldChar w:fldCharType="separate"/>
      </w:r>
      <w:r>
        <w:rPr>
          <w:noProof/>
        </w:rPr>
        <w:t>9</w:t>
      </w:r>
      <w:r w:rsidR="002C6DB1">
        <w:rPr>
          <w:noProof/>
        </w:rPr>
        <w:fldChar w:fldCharType="end"/>
      </w:r>
      <w:bookmarkEnd w:id="16"/>
      <w:r>
        <w:t xml:space="preserve">: </w:t>
      </w:r>
      <w:r w:rsidRPr="00842CD3">
        <w:t>Population and type of economic analysis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opulation and type of economic analysis"/>
        <w:tblDescription w:val="Population and type of economic analysis"/>
      </w:tblPr>
      <w:tblGrid>
        <w:gridCol w:w="1241"/>
        <w:gridCol w:w="1663"/>
        <w:gridCol w:w="1769"/>
        <w:gridCol w:w="1559"/>
        <w:gridCol w:w="1418"/>
        <w:gridCol w:w="1559"/>
      </w:tblGrid>
      <w:tr w:rsidR="003B0883" w:rsidRPr="00842CD3" w14:paraId="61188C13" w14:textId="77777777" w:rsidTr="003B0883">
        <w:tc>
          <w:tcPr>
            <w:tcW w:w="1241" w:type="dxa"/>
          </w:tcPr>
          <w:p w14:paraId="7F6DC644" w14:textId="77777777" w:rsidR="003B0883" w:rsidRPr="00842CD3" w:rsidRDefault="003B0883" w:rsidP="003B0883">
            <w:pPr>
              <w:pStyle w:val="Tabletextboldleft"/>
            </w:pPr>
            <w:r w:rsidRPr="00842CD3">
              <w:t>Genetic test purpose</w:t>
            </w:r>
          </w:p>
        </w:tc>
        <w:tc>
          <w:tcPr>
            <w:tcW w:w="1663" w:type="dxa"/>
          </w:tcPr>
          <w:p w14:paraId="315C1ADC" w14:textId="77777777" w:rsidR="003B0883" w:rsidRPr="00842CD3" w:rsidRDefault="003B0883" w:rsidP="003B0883">
            <w:pPr>
              <w:pStyle w:val="Tabletextboldleft"/>
            </w:pPr>
            <w:r w:rsidRPr="00842CD3">
              <w:t xml:space="preserve">Population </w:t>
            </w:r>
          </w:p>
        </w:tc>
        <w:tc>
          <w:tcPr>
            <w:tcW w:w="1769" w:type="dxa"/>
          </w:tcPr>
          <w:p w14:paraId="357F4303" w14:textId="77777777" w:rsidR="003B0883" w:rsidRPr="00842CD3" w:rsidRDefault="003B0883" w:rsidP="003B0883">
            <w:pPr>
              <w:pStyle w:val="Tabletextboldleft"/>
            </w:pPr>
            <w:r w:rsidRPr="00842CD3">
              <w:t>Intervention</w:t>
            </w:r>
          </w:p>
        </w:tc>
        <w:tc>
          <w:tcPr>
            <w:tcW w:w="1559" w:type="dxa"/>
          </w:tcPr>
          <w:p w14:paraId="6E3AA2CD" w14:textId="77777777" w:rsidR="003B0883" w:rsidRPr="00842CD3" w:rsidRDefault="003B0883" w:rsidP="003B0883">
            <w:pPr>
              <w:pStyle w:val="Tabletextboldleft"/>
            </w:pPr>
            <w:r w:rsidRPr="00842CD3">
              <w:t>Comparator</w:t>
            </w:r>
          </w:p>
        </w:tc>
        <w:tc>
          <w:tcPr>
            <w:tcW w:w="1418" w:type="dxa"/>
          </w:tcPr>
          <w:p w14:paraId="5A849512" w14:textId="77777777" w:rsidR="003B0883" w:rsidRPr="00842CD3" w:rsidRDefault="003B0883" w:rsidP="003B0883">
            <w:pPr>
              <w:pStyle w:val="Tabletextboldleft"/>
            </w:pPr>
            <w:r w:rsidRPr="00842CD3">
              <w:t xml:space="preserve">Type of analysis </w:t>
            </w:r>
          </w:p>
        </w:tc>
        <w:tc>
          <w:tcPr>
            <w:tcW w:w="1559" w:type="dxa"/>
          </w:tcPr>
          <w:p w14:paraId="2B57C475" w14:textId="77777777" w:rsidR="003B0883" w:rsidRPr="00842CD3" w:rsidRDefault="003B0883" w:rsidP="003B0883">
            <w:pPr>
              <w:pStyle w:val="Tabletextboldleft"/>
            </w:pPr>
            <w:r w:rsidRPr="00842CD3">
              <w:t>Outcome measure</w:t>
            </w:r>
          </w:p>
        </w:tc>
      </w:tr>
      <w:tr w:rsidR="003B0883" w:rsidRPr="00842CD3" w14:paraId="7FF90007" w14:textId="77777777" w:rsidTr="003B0883">
        <w:trPr>
          <w:trHeight w:val="196"/>
        </w:trPr>
        <w:tc>
          <w:tcPr>
            <w:tcW w:w="1241" w:type="dxa"/>
          </w:tcPr>
          <w:p w14:paraId="05C2B15D" w14:textId="77777777" w:rsidR="003B0883" w:rsidRPr="00842CD3" w:rsidRDefault="003B0883" w:rsidP="003B0883">
            <w:pPr>
              <w:pStyle w:val="TableText0"/>
            </w:pPr>
            <w:r w:rsidRPr="00842CD3">
              <w:t>Diagnosis</w:t>
            </w:r>
          </w:p>
        </w:tc>
        <w:tc>
          <w:tcPr>
            <w:tcW w:w="1663" w:type="dxa"/>
          </w:tcPr>
          <w:p w14:paraId="191AE4F3" w14:textId="77777777" w:rsidR="003B0883" w:rsidRPr="00842CD3" w:rsidRDefault="003B0883" w:rsidP="003B0883">
            <w:pPr>
              <w:pStyle w:val="TableText0"/>
            </w:pPr>
            <w:r w:rsidRPr="008F1DAC">
              <w:t>Patients with cardiac arrhythmias clinically assessed as likely to have been inherited (affected individuals)</w:t>
            </w:r>
          </w:p>
        </w:tc>
        <w:tc>
          <w:tcPr>
            <w:tcW w:w="1769" w:type="dxa"/>
          </w:tcPr>
          <w:p w14:paraId="37CDFF8A" w14:textId="77777777" w:rsidR="003B0883" w:rsidRPr="00842CD3" w:rsidRDefault="003B0883" w:rsidP="003B0883">
            <w:pPr>
              <w:pStyle w:val="TableText0"/>
            </w:pPr>
            <w:r w:rsidRPr="00842CD3">
              <w:t>Gene panel testing for inheritable cardiac arrhythmias</w:t>
            </w:r>
          </w:p>
        </w:tc>
        <w:tc>
          <w:tcPr>
            <w:tcW w:w="1559" w:type="dxa"/>
          </w:tcPr>
          <w:p w14:paraId="74D132FC" w14:textId="77777777" w:rsidR="003B0883" w:rsidRPr="00842CD3" w:rsidRDefault="003B0883" w:rsidP="003B0883">
            <w:pPr>
              <w:pStyle w:val="TableText0"/>
            </w:pPr>
            <w:r w:rsidRPr="00842CD3">
              <w:t>No genetic test</w:t>
            </w:r>
          </w:p>
        </w:tc>
        <w:tc>
          <w:tcPr>
            <w:tcW w:w="1418" w:type="dxa"/>
          </w:tcPr>
          <w:p w14:paraId="189DF64B" w14:textId="77777777" w:rsidR="003B0883" w:rsidRPr="00842CD3" w:rsidRDefault="003B0883" w:rsidP="003B0883">
            <w:pPr>
              <w:pStyle w:val="TableText0"/>
            </w:pPr>
            <w:r w:rsidRPr="00842CD3">
              <w:t>Cost-effectiveness</w:t>
            </w:r>
          </w:p>
        </w:tc>
        <w:tc>
          <w:tcPr>
            <w:tcW w:w="1559" w:type="dxa"/>
            <w:shd w:val="clear" w:color="auto" w:fill="auto"/>
          </w:tcPr>
          <w:p w14:paraId="7EFE61C0" w14:textId="77777777" w:rsidR="003B0883" w:rsidRPr="00842CD3" w:rsidRDefault="003B0883" w:rsidP="003B0883">
            <w:pPr>
              <w:pStyle w:val="TableText0"/>
            </w:pPr>
            <w:r w:rsidRPr="00842CD3">
              <w:t>Incremental cost per positive genotyping</w:t>
            </w:r>
          </w:p>
        </w:tc>
      </w:tr>
      <w:tr w:rsidR="003B0883" w:rsidRPr="00842CD3" w14:paraId="5BE53DEA" w14:textId="77777777" w:rsidTr="003B0883">
        <w:tc>
          <w:tcPr>
            <w:tcW w:w="1241" w:type="dxa"/>
          </w:tcPr>
          <w:p w14:paraId="0E83015C" w14:textId="77777777" w:rsidR="003B0883" w:rsidRPr="00842CD3" w:rsidRDefault="003B0883" w:rsidP="003B0883">
            <w:pPr>
              <w:pStyle w:val="TableText0"/>
            </w:pPr>
            <w:r w:rsidRPr="00842CD3">
              <w:t>Diagnosis and cascade family testing</w:t>
            </w:r>
          </w:p>
        </w:tc>
        <w:tc>
          <w:tcPr>
            <w:tcW w:w="1663" w:type="dxa"/>
          </w:tcPr>
          <w:p w14:paraId="52D7E0CA" w14:textId="77777777" w:rsidR="003B0883" w:rsidRPr="00842CD3" w:rsidRDefault="003B0883" w:rsidP="003B0883">
            <w:pPr>
              <w:pStyle w:val="TableText0"/>
            </w:pPr>
            <w:r>
              <w:t>Affected individuals</w:t>
            </w:r>
            <w:r w:rsidRPr="00842CD3">
              <w:t xml:space="preserve"> and at-risk family members of the proband </w:t>
            </w:r>
          </w:p>
        </w:tc>
        <w:tc>
          <w:tcPr>
            <w:tcW w:w="1769" w:type="dxa"/>
          </w:tcPr>
          <w:p w14:paraId="3ED79254" w14:textId="77777777" w:rsidR="003B0883" w:rsidRPr="00842CD3" w:rsidRDefault="003B0883" w:rsidP="003B0883">
            <w:pPr>
              <w:pStyle w:val="TableText0"/>
            </w:pPr>
            <w:r w:rsidRPr="00842CD3">
              <w:t xml:space="preserve">Genetic testing in </w:t>
            </w:r>
            <w:r>
              <w:t>affected individuals</w:t>
            </w:r>
            <w:r w:rsidRPr="00842CD3">
              <w:t xml:space="preserve"> and known familial variant testing in family members + clinical assessment </w:t>
            </w:r>
          </w:p>
        </w:tc>
        <w:tc>
          <w:tcPr>
            <w:tcW w:w="1559" w:type="dxa"/>
          </w:tcPr>
          <w:p w14:paraId="6F157E66" w14:textId="77777777" w:rsidR="003B0883" w:rsidRPr="00842CD3" w:rsidRDefault="003B0883" w:rsidP="003B0883">
            <w:pPr>
              <w:pStyle w:val="TableText0"/>
            </w:pPr>
            <w:r w:rsidRPr="00842CD3">
              <w:t>Clinical assessment</w:t>
            </w:r>
          </w:p>
        </w:tc>
        <w:tc>
          <w:tcPr>
            <w:tcW w:w="1418" w:type="dxa"/>
          </w:tcPr>
          <w:p w14:paraId="269EFFC0" w14:textId="77777777" w:rsidR="003B0883" w:rsidRPr="00842CD3" w:rsidRDefault="003B0883" w:rsidP="003B0883">
            <w:pPr>
              <w:pStyle w:val="TableText0"/>
            </w:pPr>
            <w:r w:rsidRPr="00842CD3">
              <w:t xml:space="preserve">Cost-effectiveness analysis and cost-comparison analysis </w:t>
            </w:r>
          </w:p>
        </w:tc>
        <w:tc>
          <w:tcPr>
            <w:tcW w:w="1559" w:type="dxa"/>
          </w:tcPr>
          <w:p w14:paraId="3CC6236B" w14:textId="77777777" w:rsidR="003B0883" w:rsidRPr="00842CD3" w:rsidRDefault="003B0883" w:rsidP="003B0883">
            <w:pPr>
              <w:pStyle w:val="TableText0"/>
            </w:pPr>
            <w:r w:rsidRPr="00842CD3">
              <w:t>Incremental cost per positive genotyping and</w:t>
            </w:r>
          </w:p>
          <w:p w14:paraId="1849A254" w14:textId="77777777" w:rsidR="003B0883" w:rsidRPr="00842CD3" w:rsidRDefault="003B0883" w:rsidP="003B0883">
            <w:pPr>
              <w:pStyle w:val="TableText0"/>
            </w:pPr>
            <w:r w:rsidRPr="00842CD3">
              <w:t xml:space="preserve">cost per </w:t>
            </w:r>
            <w:r>
              <w:t>affected individual</w:t>
            </w:r>
          </w:p>
        </w:tc>
      </w:tr>
    </w:tbl>
    <w:p w14:paraId="04852C34" w14:textId="77777777" w:rsidR="003B0883" w:rsidRDefault="003B0883" w:rsidP="003B0883">
      <w:pPr>
        <w:pStyle w:val="Tablenotes1"/>
      </w:pPr>
      <w:r>
        <w:t xml:space="preserve">Source: DCAR, Table 13. The definition of the population of affected individuals has been updated in line with terminology as specified in the </w:t>
      </w:r>
      <w:hyperlink r:id="rId16" w:history="1">
        <w:r w:rsidRPr="00B426E6">
          <w:rPr>
            <w:rStyle w:val="Hyperlink"/>
          </w:rPr>
          <w:t>CUC pro forma</w:t>
        </w:r>
      </w:hyperlink>
      <w:r>
        <w:t>.</w:t>
      </w:r>
    </w:p>
    <w:p w14:paraId="2D43C5B8" w14:textId="65B93322" w:rsidR="003B0883" w:rsidRDefault="003B0883" w:rsidP="003B0883">
      <w:r w:rsidRPr="00260FF2">
        <w:t>Cost-effectiveness and cost-comparison analyses were presented comparing genetic testing with no genetic testing</w:t>
      </w:r>
      <w:r>
        <w:t xml:space="preserve">, as summarised below </w:t>
      </w:r>
      <w:r w:rsidRPr="00260FF2">
        <w:t>(</w:t>
      </w:r>
      <w:r w:rsidRPr="00260FF2">
        <w:fldChar w:fldCharType="begin"/>
      </w:r>
      <w:r w:rsidRPr="00260FF2">
        <w:instrText xml:space="preserve"> REF _Ref49801730 </w:instrText>
      </w:r>
      <w:r>
        <w:instrText xml:space="preserve"> \* MERGEFORMAT </w:instrText>
      </w:r>
      <w:r w:rsidRPr="00260FF2">
        <w:fldChar w:fldCharType="separate"/>
      </w:r>
      <w:r w:rsidRPr="008B0D0C">
        <w:t xml:space="preserve">Table </w:t>
      </w:r>
      <w:r>
        <w:rPr>
          <w:noProof/>
        </w:rPr>
        <w:t>10</w:t>
      </w:r>
      <w:r w:rsidRPr="00260FF2">
        <w:fldChar w:fldCharType="end"/>
      </w:r>
      <w:r w:rsidRPr="00260FF2">
        <w:t>).</w:t>
      </w:r>
    </w:p>
    <w:p w14:paraId="1C04F8BD" w14:textId="44BB323B" w:rsidR="003B0883" w:rsidRDefault="003B0883" w:rsidP="00754CF9">
      <w:pPr>
        <w:pStyle w:val="Caption"/>
        <w:tabs>
          <w:tab w:val="left" w:pos="1134"/>
        </w:tabs>
        <w:spacing w:before="240"/>
        <w:ind w:left="1134" w:hanging="1134"/>
      </w:pPr>
      <w:bookmarkStart w:id="17" w:name="_Ref49801730"/>
      <w:r w:rsidRPr="008B0D0C">
        <w:t xml:space="preserve">Table </w:t>
      </w:r>
      <w:r>
        <w:rPr>
          <w:noProof/>
        </w:rPr>
        <w:fldChar w:fldCharType="begin"/>
      </w:r>
      <w:r>
        <w:rPr>
          <w:noProof/>
        </w:rPr>
        <w:instrText xml:space="preserve"> SEQ Table \* ARABIC </w:instrText>
      </w:r>
      <w:r>
        <w:rPr>
          <w:noProof/>
        </w:rPr>
        <w:fldChar w:fldCharType="separate"/>
      </w:r>
      <w:r w:rsidR="00B711E9">
        <w:rPr>
          <w:noProof/>
        </w:rPr>
        <w:t>10</w:t>
      </w:r>
      <w:r>
        <w:rPr>
          <w:noProof/>
        </w:rPr>
        <w:fldChar w:fldCharType="end"/>
      </w:r>
      <w:bookmarkEnd w:id="17"/>
      <w:r>
        <w:t xml:space="preserve">: </w:t>
      </w:r>
      <w:r w:rsidRPr="008B0D0C">
        <w:t>Summary of the economic evaluation</w:t>
      </w:r>
      <w:r w:rsidRPr="00183E4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mmary of the economic evaluation"/>
        <w:tblDescription w:val="This table describes the key constructs of the economic evaluation that is provided in the assessment report."/>
      </w:tblPr>
      <w:tblGrid>
        <w:gridCol w:w="2972"/>
        <w:gridCol w:w="6044"/>
      </w:tblGrid>
      <w:tr w:rsidR="003B0883" w:rsidRPr="00183E4D" w14:paraId="3A073AA3" w14:textId="77777777" w:rsidTr="003B0883">
        <w:trPr>
          <w:trHeight w:val="20"/>
          <w:tblHeader/>
        </w:trPr>
        <w:tc>
          <w:tcPr>
            <w:tcW w:w="1648" w:type="pct"/>
            <w:tcBorders>
              <w:top w:val="single" w:sz="4" w:space="0" w:color="auto"/>
              <w:left w:val="single" w:sz="4" w:space="0" w:color="auto"/>
              <w:bottom w:val="single" w:sz="4" w:space="0" w:color="auto"/>
              <w:right w:val="single" w:sz="4" w:space="0" w:color="auto"/>
            </w:tcBorders>
          </w:tcPr>
          <w:p w14:paraId="05C73CC9" w14:textId="77777777" w:rsidR="003B0883" w:rsidRPr="00183E4D" w:rsidRDefault="003B0883" w:rsidP="003B0883">
            <w:pPr>
              <w:pStyle w:val="TableHeading"/>
            </w:pPr>
            <w:r w:rsidRPr="00285F70">
              <w:t>Perspective</w:t>
            </w:r>
          </w:p>
        </w:tc>
        <w:tc>
          <w:tcPr>
            <w:tcW w:w="3352" w:type="pct"/>
            <w:tcBorders>
              <w:top w:val="single" w:sz="4" w:space="0" w:color="auto"/>
              <w:left w:val="single" w:sz="4" w:space="0" w:color="auto"/>
              <w:bottom w:val="single" w:sz="4" w:space="0" w:color="auto"/>
              <w:right w:val="single" w:sz="4" w:space="0" w:color="auto"/>
            </w:tcBorders>
          </w:tcPr>
          <w:p w14:paraId="4773A17E" w14:textId="77777777" w:rsidR="003B0883" w:rsidRPr="00183E4D" w:rsidRDefault="003B0883" w:rsidP="003B0883">
            <w:pPr>
              <w:pStyle w:val="TableText0"/>
            </w:pPr>
            <w:r w:rsidRPr="000E6945">
              <w:t>Australian health care system</w:t>
            </w:r>
          </w:p>
        </w:tc>
      </w:tr>
      <w:tr w:rsidR="003B0883" w:rsidRPr="00183E4D" w14:paraId="7AFF7423" w14:textId="77777777" w:rsidTr="003B0883">
        <w:trPr>
          <w:trHeight w:val="20"/>
        </w:trPr>
        <w:tc>
          <w:tcPr>
            <w:tcW w:w="1648" w:type="pct"/>
            <w:tcBorders>
              <w:top w:val="single" w:sz="4" w:space="0" w:color="auto"/>
              <w:left w:val="single" w:sz="4" w:space="0" w:color="auto"/>
              <w:bottom w:val="single" w:sz="4" w:space="0" w:color="auto"/>
              <w:right w:val="single" w:sz="4" w:space="0" w:color="auto"/>
            </w:tcBorders>
          </w:tcPr>
          <w:p w14:paraId="42614D37" w14:textId="77777777" w:rsidR="003B0883" w:rsidRPr="00183E4D" w:rsidRDefault="003B0883" w:rsidP="003B0883">
            <w:pPr>
              <w:pStyle w:val="TableHeading"/>
            </w:pPr>
            <w:r w:rsidRPr="00285F70">
              <w:t>Population</w:t>
            </w:r>
          </w:p>
        </w:tc>
        <w:tc>
          <w:tcPr>
            <w:tcW w:w="3352" w:type="pct"/>
            <w:tcBorders>
              <w:top w:val="single" w:sz="4" w:space="0" w:color="auto"/>
              <w:left w:val="single" w:sz="4" w:space="0" w:color="auto"/>
              <w:bottom w:val="single" w:sz="4" w:space="0" w:color="auto"/>
              <w:right w:val="single" w:sz="4" w:space="0" w:color="auto"/>
            </w:tcBorders>
          </w:tcPr>
          <w:p w14:paraId="29DC1431" w14:textId="77777777" w:rsidR="003B0883" w:rsidRPr="00183E4D" w:rsidRDefault="003B0883" w:rsidP="003B0883">
            <w:pPr>
              <w:pStyle w:val="TableText0"/>
            </w:pPr>
            <w:r>
              <w:t>People with clinical diagnosis of inheritable cardiac rhythm disorders, and their first- and second-degree relatives.</w:t>
            </w:r>
          </w:p>
        </w:tc>
      </w:tr>
      <w:tr w:rsidR="003B0883" w:rsidRPr="00183E4D" w14:paraId="354E237E" w14:textId="77777777" w:rsidTr="003B0883">
        <w:trPr>
          <w:trHeight w:val="20"/>
        </w:trPr>
        <w:tc>
          <w:tcPr>
            <w:tcW w:w="1648" w:type="pct"/>
            <w:tcBorders>
              <w:top w:val="single" w:sz="4" w:space="0" w:color="auto"/>
              <w:left w:val="single" w:sz="4" w:space="0" w:color="auto"/>
              <w:bottom w:val="single" w:sz="4" w:space="0" w:color="auto"/>
              <w:right w:val="single" w:sz="4" w:space="0" w:color="auto"/>
            </w:tcBorders>
          </w:tcPr>
          <w:p w14:paraId="351768D6" w14:textId="77777777" w:rsidR="003B0883" w:rsidRPr="00285F70" w:rsidRDefault="003B0883" w:rsidP="003B0883">
            <w:pPr>
              <w:pStyle w:val="TableHeading"/>
            </w:pPr>
            <w:r>
              <w:t>Prior testing</w:t>
            </w:r>
          </w:p>
        </w:tc>
        <w:tc>
          <w:tcPr>
            <w:tcW w:w="3352" w:type="pct"/>
            <w:tcBorders>
              <w:top w:val="single" w:sz="4" w:space="0" w:color="auto"/>
              <w:left w:val="single" w:sz="4" w:space="0" w:color="auto"/>
              <w:bottom w:val="single" w:sz="4" w:space="0" w:color="auto"/>
              <w:right w:val="single" w:sz="4" w:space="0" w:color="auto"/>
            </w:tcBorders>
          </w:tcPr>
          <w:p w14:paraId="5E1DB8F9" w14:textId="77777777" w:rsidR="003B0883" w:rsidRDefault="003B0883" w:rsidP="003B0883">
            <w:pPr>
              <w:pStyle w:val="TableText0"/>
            </w:pPr>
            <w:r>
              <w:t>Clinical diagnosis</w:t>
            </w:r>
            <w:r w:rsidRPr="003D1121">
              <w:t xml:space="preserve"> incorporating a combination of clinical assessment of symptoms, family history, and investigations such as ECGs, with or without exercise stress tests or sodium channel blockers such as flecainide</w:t>
            </w:r>
            <w:r>
              <w:t>.</w:t>
            </w:r>
          </w:p>
        </w:tc>
      </w:tr>
      <w:tr w:rsidR="003B0883" w:rsidRPr="00183E4D" w14:paraId="7C3170E8" w14:textId="77777777" w:rsidTr="003B0883">
        <w:trPr>
          <w:trHeight w:val="20"/>
        </w:trPr>
        <w:tc>
          <w:tcPr>
            <w:tcW w:w="1648" w:type="pct"/>
            <w:tcBorders>
              <w:top w:val="single" w:sz="4" w:space="0" w:color="auto"/>
              <w:left w:val="single" w:sz="4" w:space="0" w:color="auto"/>
              <w:bottom w:val="single" w:sz="4" w:space="0" w:color="auto"/>
              <w:right w:val="single" w:sz="4" w:space="0" w:color="auto"/>
            </w:tcBorders>
          </w:tcPr>
          <w:p w14:paraId="11B455FE" w14:textId="77777777" w:rsidR="003B0883" w:rsidRPr="00183E4D" w:rsidRDefault="003B0883" w:rsidP="003B0883">
            <w:pPr>
              <w:pStyle w:val="TableHeading"/>
            </w:pPr>
            <w:r w:rsidRPr="00285F70">
              <w:t>Comparator</w:t>
            </w:r>
          </w:p>
        </w:tc>
        <w:tc>
          <w:tcPr>
            <w:tcW w:w="3352" w:type="pct"/>
            <w:tcBorders>
              <w:top w:val="single" w:sz="4" w:space="0" w:color="auto"/>
              <w:left w:val="single" w:sz="4" w:space="0" w:color="auto"/>
              <w:bottom w:val="single" w:sz="4" w:space="0" w:color="auto"/>
              <w:right w:val="single" w:sz="4" w:space="0" w:color="auto"/>
            </w:tcBorders>
          </w:tcPr>
          <w:p w14:paraId="4E53B41C" w14:textId="77777777" w:rsidR="003B0883" w:rsidRPr="00183E4D" w:rsidRDefault="003B0883" w:rsidP="003B0883">
            <w:pPr>
              <w:pStyle w:val="TableText0"/>
            </w:pPr>
            <w:r w:rsidRPr="005B29C9">
              <w:t>Usual standard of care, without genetic testing</w:t>
            </w:r>
          </w:p>
        </w:tc>
      </w:tr>
      <w:tr w:rsidR="003B0883" w:rsidRPr="00183E4D" w14:paraId="00B945D6" w14:textId="77777777" w:rsidTr="003B0883">
        <w:trPr>
          <w:trHeight w:val="20"/>
        </w:trPr>
        <w:tc>
          <w:tcPr>
            <w:tcW w:w="1648" w:type="pct"/>
            <w:tcBorders>
              <w:top w:val="single" w:sz="4" w:space="0" w:color="auto"/>
              <w:left w:val="single" w:sz="4" w:space="0" w:color="auto"/>
              <w:bottom w:val="single" w:sz="4" w:space="0" w:color="auto"/>
              <w:right w:val="single" w:sz="4" w:space="0" w:color="auto"/>
            </w:tcBorders>
          </w:tcPr>
          <w:p w14:paraId="0FC57337" w14:textId="77777777" w:rsidR="003B0883" w:rsidRPr="00183E4D" w:rsidRDefault="003B0883" w:rsidP="003B0883">
            <w:pPr>
              <w:pStyle w:val="TableHeading"/>
            </w:pPr>
            <w:r w:rsidRPr="00285F70">
              <w:t>Type of economic evaluation</w:t>
            </w:r>
          </w:p>
        </w:tc>
        <w:tc>
          <w:tcPr>
            <w:tcW w:w="3352" w:type="pct"/>
            <w:tcBorders>
              <w:top w:val="single" w:sz="4" w:space="0" w:color="auto"/>
              <w:left w:val="single" w:sz="4" w:space="0" w:color="auto"/>
              <w:bottom w:val="single" w:sz="4" w:space="0" w:color="auto"/>
              <w:right w:val="single" w:sz="4" w:space="0" w:color="auto"/>
            </w:tcBorders>
          </w:tcPr>
          <w:p w14:paraId="24E1AD12" w14:textId="77777777" w:rsidR="003B0883" w:rsidRPr="004610A4" w:rsidRDefault="003B0883" w:rsidP="003B0883">
            <w:pPr>
              <w:pStyle w:val="TableText0"/>
              <w:rPr>
                <w:highlight w:val="yellow"/>
              </w:rPr>
            </w:pPr>
            <w:r w:rsidRPr="008D02F2">
              <w:t>Cost-effectiveness analysis and cost-comparison analysis</w:t>
            </w:r>
          </w:p>
        </w:tc>
      </w:tr>
      <w:tr w:rsidR="003B0883" w:rsidRPr="00183E4D" w14:paraId="5F732498" w14:textId="77777777" w:rsidTr="003B0883">
        <w:trPr>
          <w:trHeight w:val="20"/>
        </w:trPr>
        <w:tc>
          <w:tcPr>
            <w:tcW w:w="1648" w:type="pct"/>
            <w:tcBorders>
              <w:top w:val="single" w:sz="4" w:space="0" w:color="auto"/>
              <w:left w:val="single" w:sz="4" w:space="0" w:color="auto"/>
              <w:bottom w:val="single" w:sz="4" w:space="0" w:color="auto"/>
              <w:right w:val="single" w:sz="4" w:space="0" w:color="auto"/>
            </w:tcBorders>
          </w:tcPr>
          <w:p w14:paraId="5EB8E25B" w14:textId="77777777" w:rsidR="003B0883" w:rsidRPr="00183E4D" w:rsidRDefault="003B0883" w:rsidP="003B0883">
            <w:pPr>
              <w:pStyle w:val="TableHeading"/>
            </w:pPr>
            <w:r w:rsidRPr="00285F70">
              <w:t>Outcomes</w:t>
            </w:r>
          </w:p>
        </w:tc>
        <w:tc>
          <w:tcPr>
            <w:tcW w:w="3352" w:type="pct"/>
            <w:tcBorders>
              <w:top w:val="single" w:sz="4" w:space="0" w:color="auto"/>
              <w:left w:val="single" w:sz="4" w:space="0" w:color="auto"/>
              <w:bottom w:val="single" w:sz="4" w:space="0" w:color="auto"/>
              <w:right w:val="single" w:sz="4" w:space="0" w:color="auto"/>
            </w:tcBorders>
          </w:tcPr>
          <w:p w14:paraId="75D09F10" w14:textId="77777777" w:rsidR="003B0883" w:rsidRPr="00183E4D" w:rsidRDefault="003B0883" w:rsidP="003B0883">
            <w:pPr>
              <w:pStyle w:val="TableText0"/>
            </w:pPr>
            <w:r>
              <w:t>Cost per positive genotyping and costs/cost-savings associated with surveillance</w:t>
            </w:r>
          </w:p>
        </w:tc>
      </w:tr>
      <w:tr w:rsidR="003B0883" w:rsidRPr="00183E4D" w14:paraId="672DACB7" w14:textId="77777777" w:rsidTr="003B0883">
        <w:trPr>
          <w:trHeight w:val="20"/>
        </w:trPr>
        <w:tc>
          <w:tcPr>
            <w:tcW w:w="1648" w:type="pct"/>
            <w:tcBorders>
              <w:top w:val="single" w:sz="4" w:space="0" w:color="auto"/>
              <w:left w:val="single" w:sz="4" w:space="0" w:color="auto"/>
              <w:bottom w:val="single" w:sz="4" w:space="0" w:color="auto"/>
              <w:right w:val="single" w:sz="4" w:space="0" w:color="auto"/>
            </w:tcBorders>
          </w:tcPr>
          <w:p w14:paraId="5F4FB7C1" w14:textId="77777777" w:rsidR="003B0883" w:rsidRPr="00183E4D" w:rsidRDefault="003B0883" w:rsidP="003B0883">
            <w:pPr>
              <w:pStyle w:val="TableHeading"/>
            </w:pPr>
            <w:r w:rsidRPr="00285F70">
              <w:t>Sources of evidence</w:t>
            </w:r>
          </w:p>
        </w:tc>
        <w:tc>
          <w:tcPr>
            <w:tcW w:w="3352" w:type="pct"/>
            <w:tcBorders>
              <w:top w:val="single" w:sz="4" w:space="0" w:color="auto"/>
              <w:left w:val="single" w:sz="4" w:space="0" w:color="auto"/>
              <w:bottom w:val="single" w:sz="4" w:space="0" w:color="auto"/>
              <w:right w:val="single" w:sz="4" w:space="0" w:color="auto"/>
            </w:tcBorders>
          </w:tcPr>
          <w:p w14:paraId="10494D78" w14:textId="77777777" w:rsidR="003B0883" w:rsidRPr="00183E4D" w:rsidRDefault="003B0883" w:rsidP="003B0883">
            <w:pPr>
              <w:pStyle w:val="TableText0"/>
            </w:pPr>
            <w:r w:rsidRPr="00F16EC1">
              <w:t>Systematic review of the literature</w:t>
            </w:r>
            <w:r>
              <w:t>, additional sources</w:t>
            </w:r>
          </w:p>
        </w:tc>
      </w:tr>
      <w:tr w:rsidR="003B0883" w:rsidRPr="00183E4D" w14:paraId="30B10086" w14:textId="77777777" w:rsidTr="003B0883">
        <w:trPr>
          <w:trHeight w:val="20"/>
        </w:trPr>
        <w:tc>
          <w:tcPr>
            <w:tcW w:w="1648" w:type="pct"/>
            <w:tcBorders>
              <w:top w:val="single" w:sz="4" w:space="0" w:color="auto"/>
              <w:left w:val="single" w:sz="4" w:space="0" w:color="auto"/>
              <w:bottom w:val="single" w:sz="4" w:space="0" w:color="auto"/>
              <w:right w:val="single" w:sz="4" w:space="0" w:color="auto"/>
            </w:tcBorders>
          </w:tcPr>
          <w:p w14:paraId="5E47C431" w14:textId="77777777" w:rsidR="003B0883" w:rsidRPr="00183E4D" w:rsidRDefault="003B0883" w:rsidP="003B0883">
            <w:pPr>
              <w:pStyle w:val="TableHeading"/>
            </w:pPr>
            <w:r w:rsidRPr="00285F70">
              <w:t>Methods used to generate results</w:t>
            </w:r>
          </w:p>
        </w:tc>
        <w:tc>
          <w:tcPr>
            <w:tcW w:w="3352" w:type="pct"/>
            <w:tcBorders>
              <w:top w:val="single" w:sz="4" w:space="0" w:color="auto"/>
              <w:left w:val="single" w:sz="4" w:space="0" w:color="auto"/>
              <w:bottom w:val="single" w:sz="4" w:space="0" w:color="auto"/>
              <w:right w:val="single" w:sz="4" w:space="0" w:color="auto"/>
            </w:tcBorders>
          </w:tcPr>
          <w:p w14:paraId="023E723B" w14:textId="77777777" w:rsidR="003B0883" w:rsidRPr="00183E4D" w:rsidRDefault="003B0883" w:rsidP="003B0883">
            <w:pPr>
              <w:pStyle w:val="TableText0"/>
            </w:pPr>
            <w:r>
              <w:t>Decision tree and Markov cohort analysis</w:t>
            </w:r>
          </w:p>
        </w:tc>
      </w:tr>
      <w:tr w:rsidR="003B0883" w:rsidRPr="00183E4D" w14:paraId="3EC9628C" w14:textId="77777777" w:rsidTr="003B0883">
        <w:trPr>
          <w:trHeight w:val="20"/>
        </w:trPr>
        <w:tc>
          <w:tcPr>
            <w:tcW w:w="1648" w:type="pct"/>
            <w:tcBorders>
              <w:top w:val="single" w:sz="4" w:space="0" w:color="auto"/>
              <w:left w:val="single" w:sz="4" w:space="0" w:color="auto"/>
              <w:bottom w:val="single" w:sz="4" w:space="0" w:color="auto"/>
              <w:right w:val="single" w:sz="4" w:space="0" w:color="auto"/>
            </w:tcBorders>
          </w:tcPr>
          <w:p w14:paraId="116DEC47" w14:textId="77777777" w:rsidR="003B0883" w:rsidRPr="00183E4D" w:rsidRDefault="003B0883" w:rsidP="003B0883">
            <w:pPr>
              <w:pStyle w:val="TableHeading"/>
            </w:pPr>
            <w:r w:rsidRPr="00285F70">
              <w:t>Cohorts modelled</w:t>
            </w:r>
          </w:p>
        </w:tc>
        <w:tc>
          <w:tcPr>
            <w:tcW w:w="3352" w:type="pct"/>
            <w:tcBorders>
              <w:top w:val="single" w:sz="4" w:space="0" w:color="auto"/>
              <w:left w:val="single" w:sz="4" w:space="0" w:color="auto"/>
              <w:bottom w:val="single" w:sz="4" w:space="0" w:color="auto"/>
              <w:right w:val="single" w:sz="4" w:space="0" w:color="auto"/>
            </w:tcBorders>
          </w:tcPr>
          <w:p w14:paraId="410E10DF" w14:textId="77777777" w:rsidR="003B0883" w:rsidRDefault="003B0883" w:rsidP="003B0883">
            <w:pPr>
              <w:pStyle w:val="TableText0"/>
            </w:pPr>
            <w:r>
              <w:t>Affected individuals</w:t>
            </w:r>
          </w:p>
          <w:p w14:paraId="53AA13E0" w14:textId="77777777" w:rsidR="003B0883" w:rsidRPr="00183E4D" w:rsidRDefault="003B0883" w:rsidP="003B0883">
            <w:pPr>
              <w:pStyle w:val="TableText0"/>
            </w:pPr>
            <w:r>
              <w:t>Family members</w:t>
            </w:r>
          </w:p>
        </w:tc>
      </w:tr>
      <w:tr w:rsidR="003B0883" w:rsidRPr="00183E4D" w14:paraId="7EA81AE0" w14:textId="77777777" w:rsidTr="003B0883">
        <w:trPr>
          <w:trHeight w:val="20"/>
        </w:trPr>
        <w:tc>
          <w:tcPr>
            <w:tcW w:w="1648" w:type="pct"/>
            <w:tcBorders>
              <w:top w:val="single" w:sz="4" w:space="0" w:color="auto"/>
              <w:left w:val="single" w:sz="4" w:space="0" w:color="auto"/>
              <w:bottom w:val="single" w:sz="4" w:space="0" w:color="auto"/>
              <w:right w:val="single" w:sz="4" w:space="0" w:color="auto"/>
            </w:tcBorders>
          </w:tcPr>
          <w:p w14:paraId="4ED67D75" w14:textId="77777777" w:rsidR="003B0883" w:rsidRPr="00183E4D" w:rsidRDefault="003B0883" w:rsidP="003B0883">
            <w:pPr>
              <w:pStyle w:val="TableHeading"/>
            </w:pPr>
            <w:r w:rsidRPr="00285F70">
              <w:t>Time horizon</w:t>
            </w:r>
          </w:p>
        </w:tc>
        <w:tc>
          <w:tcPr>
            <w:tcW w:w="3352" w:type="pct"/>
            <w:tcBorders>
              <w:top w:val="single" w:sz="4" w:space="0" w:color="auto"/>
              <w:left w:val="single" w:sz="4" w:space="0" w:color="auto"/>
              <w:bottom w:val="single" w:sz="4" w:space="0" w:color="auto"/>
              <w:right w:val="single" w:sz="4" w:space="0" w:color="auto"/>
            </w:tcBorders>
          </w:tcPr>
          <w:p w14:paraId="1597E13A" w14:textId="77777777" w:rsidR="003B0883" w:rsidRPr="008D02F2" w:rsidRDefault="003B0883" w:rsidP="003B0883">
            <w:pPr>
              <w:pStyle w:val="TableText0"/>
            </w:pPr>
            <w:r>
              <w:t xml:space="preserve">Immediate to test result (affected individuals), </w:t>
            </w:r>
            <w:r w:rsidRPr="008D02F2">
              <w:t>40 years</w:t>
            </w:r>
            <w:r>
              <w:t xml:space="preserve"> (for cascade testing)</w:t>
            </w:r>
          </w:p>
        </w:tc>
      </w:tr>
      <w:tr w:rsidR="003B0883" w:rsidRPr="00183E4D" w14:paraId="64F2900B" w14:textId="77777777" w:rsidTr="003B0883">
        <w:trPr>
          <w:trHeight w:val="20"/>
        </w:trPr>
        <w:tc>
          <w:tcPr>
            <w:tcW w:w="1648" w:type="pct"/>
            <w:tcBorders>
              <w:top w:val="single" w:sz="4" w:space="0" w:color="auto"/>
              <w:left w:val="single" w:sz="4" w:space="0" w:color="auto"/>
              <w:bottom w:val="single" w:sz="4" w:space="0" w:color="auto"/>
              <w:right w:val="single" w:sz="4" w:space="0" w:color="auto"/>
            </w:tcBorders>
          </w:tcPr>
          <w:p w14:paraId="121BF50B" w14:textId="77777777" w:rsidR="003B0883" w:rsidRPr="00183E4D" w:rsidRDefault="003B0883" w:rsidP="003B0883">
            <w:pPr>
              <w:pStyle w:val="TableHeading"/>
            </w:pPr>
            <w:r w:rsidRPr="00285F70">
              <w:t>Health states</w:t>
            </w:r>
          </w:p>
        </w:tc>
        <w:tc>
          <w:tcPr>
            <w:tcW w:w="3352" w:type="pct"/>
            <w:tcBorders>
              <w:top w:val="single" w:sz="4" w:space="0" w:color="auto"/>
              <w:left w:val="single" w:sz="4" w:space="0" w:color="auto"/>
              <w:bottom w:val="single" w:sz="4" w:space="0" w:color="auto"/>
              <w:right w:val="single" w:sz="4" w:space="0" w:color="auto"/>
            </w:tcBorders>
          </w:tcPr>
          <w:p w14:paraId="55946F9A" w14:textId="77777777" w:rsidR="003B0883" w:rsidRDefault="003B0883" w:rsidP="003B0883">
            <w:pPr>
              <w:pStyle w:val="TableText0"/>
            </w:pPr>
            <w:r>
              <w:t>In the decision tree: genotype status unrevealed, genotype positive (identified) and genotype negative (identified).</w:t>
            </w:r>
          </w:p>
          <w:p w14:paraId="3A8A4129" w14:textId="77777777" w:rsidR="003B0883" w:rsidRPr="008D02F2" w:rsidRDefault="003B0883" w:rsidP="003B0883">
            <w:pPr>
              <w:pStyle w:val="TableText0"/>
            </w:pPr>
            <w:r>
              <w:t>In the Markov model: s</w:t>
            </w:r>
            <w:r w:rsidRPr="008D02F2">
              <w:t>urveillance, no surveillance and dead</w:t>
            </w:r>
            <w:r>
              <w:t>.</w:t>
            </w:r>
          </w:p>
        </w:tc>
      </w:tr>
      <w:tr w:rsidR="003B0883" w:rsidRPr="00183E4D" w14:paraId="020846A5" w14:textId="77777777" w:rsidTr="003B0883">
        <w:trPr>
          <w:trHeight w:val="20"/>
        </w:trPr>
        <w:tc>
          <w:tcPr>
            <w:tcW w:w="1648" w:type="pct"/>
            <w:tcBorders>
              <w:top w:val="single" w:sz="4" w:space="0" w:color="auto"/>
              <w:left w:val="single" w:sz="4" w:space="0" w:color="auto"/>
              <w:bottom w:val="single" w:sz="4" w:space="0" w:color="auto"/>
              <w:right w:val="single" w:sz="4" w:space="0" w:color="auto"/>
            </w:tcBorders>
          </w:tcPr>
          <w:p w14:paraId="488CE125" w14:textId="77777777" w:rsidR="003B0883" w:rsidRPr="00183E4D" w:rsidRDefault="003B0883" w:rsidP="003B0883">
            <w:pPr>
              <w:pStyle w:val="TableHeading"/>
            </w:pPr>
            <w:r w:rsidRPr="00285F70">
              <w:t>Cycle length</w:t>
            </w:r>
          </w:p>
        </w:tc>
        <w:tc>
          <w:tcPr>
            <w:tcW w:w="3352" w:type="pct"/>
            <w:tcBorders>
              <w:top w:val="single" w:sz="4" w:space="0" w:color="auto"/>
              <w:left w:val="single" w:sz="4" w:space="0" w:color="auto"/>
              <w:bottom w:val="single" w:sz="4" w:space="0" w:color="auto"/>
              <w:right w:val="single" w:sz="4" w:space="0" w:color="auto"/>
            </w:tcBorders>
          </w:tcPr>
          <w:p w14:paraId="5FA6188A" w14:textId="77777777" w:rsidR="003B0883" w:rsidRPr="008D02F2" w:rsidRDefault="003B0883" w:rsidP="003B0883">
            <w:pPr>
              <w:pStyle w:val="TableText0"/>
            </w:pPr>
            <w:r w:rsidRPr="008D02F2">
              <w:t>One year</w:t>
            </w:r>
            <w:r>
              <w:t xml:space="preserve"> (for cascade testing)</w:t>
            </w:r>
          </w:p>
        </w:tc>
      </w:tr>
      <w:tr w:rsidR="003B0883" w:rsidRPr="00183E4D" w14:paraId="5E13FC83" w14:textId="77777777" w:rsidTr="003B0883">
        <w:trPr>
          <w:trHeight w:val="20"/>
        </w:trPr>
        <w:tc>
          <w:tcPr>
            <w:tcW w:w="1648" w:type="pct"/>
            <w:tcBorders>
              <w:top w:val="single" w:sz="4" w:space="0" w:color="auto"/>
              <w:left w:val="single" w:sz="4" w:space="0" w:color="auto"/>
              <w:bottom w:val="single" w:sz="4" w:space="0" w:color="auto"/>
              <w:right w:val="single" w:sz="4" w:space="0" w:color="auto"/>
            </w:tcBorders>
          </w:tcPr>
          <w:p w14:paraId="128AD99F" w14:textId="77777777" w:rsidR="003B0883" w:rsidRPr="00285F70" w:rsidRDefault="003B0883" w:rsidP="003B0883">
            <w:pPr>
              <w:pStyle w:val="TableHeading"/>
            </w:pPr>
            <w:r>
              <w:t>Discounting</w:t>
            </w:r>
          </w:p>
        </w:tc>
        <w:tc>
          <w:tcPr>
            <w:tcW w:w="3352" w:type="pct"/>
            <w:tcBorders>
              <w:top w:val="single" w:sz="4" w:space="0" w:color="auto"/>
              <w:left w:val="single" w:sz="4" w:space="0" w:color="auto"/>
              <w:bottom w:val="single" w:sz="4" w:space="0" w:color="auto"/>
              <w:right w:val="single" w:sz="4" w:space="0" w:color="auto"/>
            </w:tcBorders>
          </w:tcPr>
          <w:p w14:paraId="73CB6CA5" w14:textId="77777777" w:rsidR="003B0883" w:rsidRPr="008D02F2" w:rsidRDefault="003B0883" w:rsidP="003B0883">
            <w:pPr>
              <w:pStyle w:val="TableText0"/>
            </w:pPr>
            <w:r>
              <w:t>5%</w:t>
            </w:r>
          </w:p>
        </w:tc>
      </w:tr>
      <w:tr w:rsidR="003B0883" w:rsidRPr="00183E4D" w14:paraId="79B3938E" w14:textId="77777777" w:rsidTr="003B0883">
        <w:trPr>
          <w:trHeight w:val="20"/>
        </w:trPr>
        <w:tc>
          <w:tcPr>
            <w:tcW w:w="1648" w:type="pct"/>
            <w:tcBorders>
              <w:top w:val="single" w:sz="4" w:space="0" w:color="auto"/>
              <w:left w:val="single" w:sz="4" w:space="0" w:color="auto"/>
              <w:bottom w:val="single" w:sz="4" w:space="0" w:color="auto"/>
              <w:right w:val="single" w:sz="4" w:space="0" w:color="auto"/>
            </w:tcBorders>
          </w:tcPr>
          <w:p w14:paraId="3FCB101F" w14:textId="77777777" w:rsidR="003B0883" w:rsidRPr="00183E4D" w:rsidRDefault="003B0883" w:rsidP="003B0883">
            <w:pPr>
              <w:pStyle w:val="TableHeading"/>
            </w:pPr>
            <w:r w:rsidRPr="00285F70">
              <w:t>Transition probabilities</w:t>
            </w:r>
          </w:p>
        </w:tc>
        <w:tc>
          <w:tcPr>
            <w:tcW w:w="3352" w:type="pct"/>
            <w:tcBorders>
              <w:top w:val="single" w:sz="4" w:space="0" w:color="auto"/>
              <w:left w:val="single" w:sz="4" w:space="0" w:color="auto"/>
              <w:bottom w:val="single" w:sz="4" w:space="0" w:color="auto"/>
              <w:right w:val="single" w:sz="4" w:space="0" w:color="auto"/>
            </w:tcBorders>
          </w:tcPr>
          <w:p w14:paraId="6C3649A1" w14:textId="77777777" w:rsidR="003B0883" w:rsidRPr="008D02F2" w:rsidRDefault="003B0883" w:rsidP="003B0883">
            <w:pPr>
              <w:pStyle w:val="TableText0"/>
            </w:pPr>
            <w:r w:rsidRPr="008D02F2">
              <w:t>Based on Australian life tables and literature search</w:t>
            </w:r>
          </w:p>
        </w:tc>
      </w:tr>
      <w:tr w:rsidR="003B0883" w:rsidRPr="00183E4D" w14:paraId="3D2A38D3" w14:textId="77777777" w:rsidTr="003B0883">
        <w:trPr>
          <w:trHeight w:val="20"/>
        </w:trPr>
        <w:tc>
          <w:tcPr>
            <w:tcW w:w="1648" w:type="pct"/>
            <w:tcBorders>
              <w:top w:val="single" w:sz="4" w:space="0" w:color="auto"/>
              <w:left w:val="single" w:sz="4" w:space="0" w:color="auto"/>
              <w:bottom w:val="single" w:sz="4" w:space="0" w:color="auto"/>
              <w:right w:val="single" w:sz="4" w:space="0" w:color="auto"/>
            </w:tcBorders>
          </w:tcPr>
          <w:p w14:paraId="7930A857" w14:textId="77777777" w:rsidR="003B0883" w:rsidRPr="00437FDA" w:rsidRDefault="003B0883" w:rsidP="003B0883">
            <w:pPr>
              <w:pStyle w:val="TableHeading"/>
            </w:pPr>
            <w:r w:rsidRPr="00285F70">
              <w:t>Software packages used</w:t>
            </w:r>
          </w:p>
        </w:tc>
        <w:tc>
          <w:tcPr>
            <w:tcW w:w="3352" w:type="pct"/>
            <w:tcBorders>
              <w:top w:val="single" w:sz="4" w:space="0" w:color="auto"/>
              <w:left w:val="single" w:sz="4" w:space="0" w:color="auto"/>
              <w:bottom w:val="single" w:sz="4" w:space="0" w:color="auto"/>
              <w:right w:val="single" w:sz="4" w:space="0" w:color="auto"/>
            </w:tcBorders>
          </w:tcPr>
          <w:p w14:paraId="5AB71840" w14:textId="77777777" w:rsidR="003B0883" w:rsidRPr="008D02F2" w:rsidRDefault="003B0883" w:rsidP="003B0883">
            <w:pPr>
              <w:pStyle w:val="TableText0"/>
            </w:pPr>
            <w:r w:rsidRPr="008D02F2">
              <w:t>TreeAge Pro</w:t>
            </w:r>
            <w:r>
              <w:t xml:space="preserve"> 2020</w:t>
            </w:r>
          </w:p>
        </w:tc>
      </w:tr>
    </w:tbl>
    <w:p w14:paraId="17D2CDDF" w14:textId="77777777" w:rsidR="003B0883" w:rsidRDefault="003B0883" w:rsidP="003B0883">
      <w:pPr>
        <w:pStyle w:val="Tablenotes1"/>
      </w:pPr>
      <w:r>
        <w:t>Source: DCAR, Table 14</w:t>
      </w:r>
    </w:p>
    <w:p w14:paraId="0D30A7FA" w14:textId="77777777" w:rsidR="003B0883" w:rsidRPr="001730EC" w:rsidRDefault="003B0883" w:rsidP="003B0883">
      <w:pPr>
        <w:tabs>
          <w:tab w:val="left" w:pos="720"/>
        </w:tabs>
      </w:pPr>
      <w:r w:rsidRPr="001730EC">
        <w:t>Key assumptions included:</w:t>
      </w:r>
    </w:p>
    <w:p w14:paraId="1EA8CBA2" w14:textId="77777777" w:rsidR="003B0883" w:rsidRPr="001730EC" w:rsidRDefault="003B0883" w:rsidP="003B0883">
      <w:pPr>
        <w:pStyle w:val="ListParagraph"/>
        <w:numPr>
          <w:ilvl w:val="0"/>
          <w:numId w:val="27"/>
        </w:numPr>
        <w:tabs>
          <w:tab w:val="left" w:pos="720"/>
        </w:tabs>
      </w:pPr>
      <w:r>
        <w:t>Affected individuals</w:t>
      </w:r>
      <w:r w:rsidRPr="001730EC">
        <w:t xml:space="preserve"> are treated irrespective of variant status. There is no difference in measurable health outcomes between the two comparative pathways, therefore the only differ</w:t>
      </w:r>
      <w:r>
        <w:t>ence is in the cost per person.</w:t>
      </w:r>
    </w:p>
    <w:p w14:paraId="4C98C6F7" w14:textId="77777777" w:rsidR="003B0883" w:rsidRPr="001730EC" w:rsidRDefault="003B0883" w:rsidP="003B0883">
      <w:pPr>
        <w:pStyle w:val="ListParagraph"/>
        <w:numPr>
          <w:ilvl w:val="0"/>
          <w:numId w:val="27"/>
        </w:numPr>
        <w:tabs>
          <w:tab w:val="left" w:pos="720"/>
        </w:tabs>
      </w:pPr>
      <w:r w:rsidRPr="001730EC">
        <w:t xml:space="preserve">Testing has been assumed to be 100% accurate (for known variants) in both </w:t>
      </w:r>
      <w:r>
        <w:t>affected individuals</w:t>
      </w:r>
      <w:r w:rsidRPr="001730EC">
        <w:t xml:space="preserve"> and relatives, based on the results of the clinical assessment which showed that tests currently used are sensitive and specific in the populations that they were tested in, and detect almost all </w:t>
      </w:r>
      <w:r>
        <w:t>genetic variants</w:t>
      </w:r>
      <w:r w:rsidRPr="001730EC">
        <w:t xml:space="preserve"> they are designed to detect.</w:t>
      </w:r>
    </w:p>
    <w:p w14:paraId="0A4C5BEE" w14:textId="0F7C94BF" w:rsidR="003B0883" w:rsidRDefault="003B0883" w:rsidP="003B0883">
      <w:pPr>
        <w:pStyle w:val="ListParagraph"/>
        <w:numPr>
          <w:ilvl w:val="0"/>
          <w:numId w:val="27"/>
        </w:numPr>
        <w:tabs>
          <w:tab w:val="left" w:pos="720"/>
        </w:tabs>
      </w:pPr>
      <w:r w:rsidRPr="001730EC">
        <w:t>Compliance with the recommended periodical surveillance post-screening is assumed to be 100% in all family members, as per the clinical algorithm. (This is tested in sensitivity analysis)</w:t>
      </w:r>
      <w:r w:rsidR="00754CF9">
        <w:t>.</w:t>
      </w:r>
    </w:p>
    <w:p w14:paraId="2E6F7F25" w14:textId="77777777" w:rsidR="003B0883" w:rsidRDefault="003B0883" w:rsidP="00754CF9">
      <w:pPr>
        <w:spacing w:before="240"/>
        <w:rPr>
          <w:noProof/>
        </w:rPr>
        <w:sectPr w:rsidR="003B0883" w:rsidSect="003B0883">
          <w:pgSz w:w="11906" w:h="16838"/>
          <w:pgMar w:top="1440" w:right="1440" w:bottom="1134" w:left="1440" w:header="708" w:footer="708" w:gutter="0"/>
          <w:cols w:space="708"/>
          <w:docGrid w:linePitch="360"/>
        </w:sectPr>
      </w:pPr>
      <w:r>
        <w:rPr>
          <w:noProof/>
        </w:rPr>
        <w:t xml:space="preserve">The DCAR summarised the </w:t>
      </w:r>
      <w:r w:rsidRPr="00744217">
        <w:rPr>
          <w:noProof/>
        </w:rPr>
        <w:t>benefits and outcomes for each modelled subgroup (</w:t>
      </w:r>
      <w:r>
        <w:rPr>
          <w:noProof/>
        </w:rPr>
        <w:t xml:space="preserve">affected individual subgroups in </w:t>
      </w:r>
      <w:r>
        <w:rPr>
          <w:noProof/>
        </w:rPr>
        <w:fldChar w:fldCharType="begin"/>
      </w:r>
      <w:r>
        <w:rPr>
          <w:noProof/>
        </w:rPr>
        <w:instrText xml:space="preserve"> REF _Ref48837281 \h  \* MERGEFORMAT </w:instrText>
      </w:r>
      <w:r>
        <w:rPr>
          <w:noProof/>
        </w:rPr>
      </w:r>
      <w:r>
        <w:rPr>
          <w:noProof/>
        </w:rPr>
        <w:fldChar w:fldCharType="separate"/>
      </w:r>
      <w:r w:rsidRPr="00DA0270">
        <w:t xml:space="preserve">Table </w:t>
      </w:r>
      <w:r>
        <w:rPr>
          <w:noProof/>
        </w:rPr>
        <w:t>11</w:t>
      </w:r>
      <w:r>
        <w:rPr>
          <w:noProof/>
        </w:rPr>
        <w:fldChar w:fldCharType="end"/>
      </w:r>
      <w:r>
        <w:rPr>
          <w:noProof/>
        </w:rPr>
        <w:t xml:space="preserve">, and family member subgroups in </w:t>
      </w:r>
      <w:r>
        <w:rPr>
          <w:noProof/>
        </w:rPr>
        <w:fldChar w:fldCharType="begin"/>
      </w:r>
      <w:r>
        <w:rPr>
          <w:noProof/>
        </w:rPr>
        <w:instrText xml:space="preserve"> REF _Ref48837294 \h  \* MERGEFORMAT </w:instrText>
      </w:r>
      <w:r>
        <w:rPr>
          <w:noProof/>
        </w:rPr>
      </w:r>
      <w:r>
        <w:rPr>
          <w:noProof/>
        </w:rPr>
        <w:fldChar w:fldCharType="separate"/>
      </w:r>
      <w:r w:rsidRPr="00DA0270">
        <w:t xml:space="preserve">Table </w:t>
      </w:r>
      <w:r>
        <w:rPr>
          <w:noProof/>
        </w:rPr>
        <w:t>12</w:t>
      </w:r>
      <w:r>
        <w:rPr>
          <w:noProof/>
        </w:rPr>
        <w:fldChar w:fldCharType="end"/>
      </w:r>
      <w:r w:rsidRPr="00744217">
        <w:rPr>
          <w:noProof/>
        </w:rPr>
        <w:t>) based on the clinical evidence</w:t>
      </w:r>
      <w:r>
        <w:rPr>
          <w:noProof/>
        </w:rPr>
        <w:t xml:space="preserve"> and the reasons for including or excluding the related costs and health outcomes.</w:t>
      </w:r>
    </w:p>
    <w:p w14:paraId="066D8570" w14:textId="571338CB" w:rsidR="003B0883" w:rsidRPr="00DA0270" w:rsidRDefault="003B0883" w:rsidP="003B0883">
      <w:pPr>
        <w:pStyle w:val="Caption"/>
        <w:rPr>
          <w:noProof/>
        </w:rPr>
      </w:pPr>
      <w:bookmarkStart w:id="18" w:name="_Ref48837281"/>
      <w:r w:rsidRPr="00DA0270">
        <w:rPr>
          <w:noProof/>
        </w:rPr>
        <w:t xml:space="preserve">Table </w:t>
      </w:r>
      <w:r w:rsidRPr="00DA0270">
        <w:rPr>
          <w:noProof/>
        </w:rPr>
        <w:fldChar w:fldCharType="begin"/>
      </w:r>
      <w:r w:rsidRPr="00DA0270">
        <w:rPr>
          <w:noProof/>
        </w:rPr>
        <w:instrText xml:space="preserve"> SEQ Table \* ARABIC </w:instrText>
      </w:r>
      <w:r w:rsidRPr="00DA0270">
        <w:rPr>
          <w:noProof/>
        </w:rPr>
        <w:fldChar w:fldCharType="separate"/>
      </w:r>
      <w:r>
        <w:rPr>
          <w:noProof/>
        </w:rPr>
        <w:t>11</w:t>
      </w:r>
      <w:r w:rsidRPr="00DA0270">
        <w:rPr>
          <w:noProof/>
        </w:rPr>
        <w:fldChar w:fldCharType="end"/>
      </w:r>
      <w:bookmarkEnd w:id="18"/>
      <w:r>
        <w:rPr>
          <w:noProof/>
        </w:rPr>
        <w:t xml:space="preserve">: </w:t>
      </w:r>
      <w:r w:rsidRPr="00DA0270">
        <w:rPr>
          <w:noProof/>
        </w:rPr>
        <w:t>Summary of the consequences for each modelled subgroup (</w:t>
      </w:r>
      <w:r>
        <w:rPr>
          <w:noProof/>
        </w:rPr>
        <w:t>affected individuals</w:t>
      </w:r>
      <w:r w:rsidRPr="00DA0270">
        <w:rPr>
          <w:noProof/>
        </w:rPr>
        <w:t>) based on the clinical evidence</w:t>
      </w:r>
    </w:p>
    <w:tbl>
      <w:tblPr>
        <w:tblStyle w:val="TableGrid"/>
        <w:tblW w:w="5000" w:type="pct"/>
        <w:tblLook w:val="04A0" w:firstRow="1" w:lastRow="0" w:firstColumn="1" w:lastColumn="0" w:noHBand="0" w:noVBand="1"/>
        <w:tblCaption w:val="Summary of the consequences for each modelled subgroup (index cases) based on the clinical evidence"/>
        <w:tblDescription w:val="Summary of the consequences for each modelled subgroup (index cases) based on the clinical evidence"/>
      </w:tblPr>
      <w:tblGrid>
        <w:gridCol w:w="1785"/>
        <w:gridCol w:w="1793"/>
        <w:gridCol w:w="2936"/>
        <w:gridCol w:w="3621"/>
        <w:gridCol w:w="4119"/>
      </w:tblGrid>
      <w:tr w:rsidR="003B0883" w:rsidRPr="00DA0270" w14:paraId="10202531" w14:textId="77777777" w:rsidTr="003B0883">
        <w:trPr>
          <w:tblHeader/>
        </w:trPr>
        <w:tc>
          <w:tcPr>
            <w:tcW w:w="626" w:type="pct"/>
          </w:tcPr>
          <w:p w14:paraId="32A4C8BE" w14:textId="77777777" w:rsidR="003B0883" w:rsidRPr="00DA0270" w:rsidRDefault="003B0883" w:rsidP="003B0883">
            <w:pPr>
              <w:pStyle w:val="Tabletextboldleft"/>
              <w:rPr>
                <w:noProof/>
              </w:rPr>
            </w:pPr>
            <w:r w:rsidRPr="00DA0270">
              <w:rPr>
                <w:noProof/>
              </w:rPr>
              <w:t>Population subgroup</w:t>
            </w:r>
          </w:p>
        </w:tc>
        <w:tc>
          <w:tcPr>
            <w:tcW w:w="629" w:type="pct"/>
          </w:tcPr>
          <w:p w14:paraId="76B5FD8F" w14:textId="77777777" w:rsidR="003B0883" w:rsidRPr="00DA0270" w:rsidRDefault="003B0883" w:rsidP="003B0883">
            <w:pPr>
              <w:pStyle w:val="Tabletextboldleft"/>
              <w:rPr>
                <w:noProof/>
              </w:rPr>
            </w:pPr>
            <w:r w:rsidRPr="00DA0270">
              <w:rPr>
                <w:noProof/>
              </w:rPr>
              <w:t>Test Outcome</w:t>
            </w:r>
          </w:p>
        </w:tc>
        <w:tc>
          <w:tcPr>
            <w:tcW w:w="1030" w:type="pct"/>
          </w:tcPr>
          <w:p w14:paraId="3ECD3D4D" w14:textId="77777777" w:rsidR="003B0883" w:rsidRPr="00DA0270" w:rsidRDefault="003B0883" w:rsidP="003B0883">
            <w:pPr>
              <w:pStyle w:val="Tabletextboldleft"/>
              <w:rPr>
                <w:noProof/>
              </w:rPr>
            </w:pPr>
            <w:r w:rsidRPr="00DA0270">
              <w:rPr>
                <w:noProof/>
              </w:rPr>
              <w:t>Disease management</w:t>
            </w:r>
          </w:p>
        </w:tc>
        <w:tc>
          <w:tcPr>
            <w:tcW w:w="1270" w:type="pct"/>
          </w:tcPr>
          <w:p w14:paraId="62B5919B" w14:textId="77777777" w:rsidR="003B0883" w:rsidRPr="00DA0270" w:rsidRDefault="003B0883" w:rsidP="003B0883">
            <w:pPr>
              <w:pStyle w:val="Tabletextboldleft"/>
              <w:rPr>
                <w:noProof/>
              </w:rPr>
            </w:pPr>
            <w:r w:rsidRPr="00DA0270">
              <w:rPr>
                <w:noProof/>
              </w:rPr>
              <w:t>Clinical consequences</w:t>
            </w:r>
          </w:p>
        </w:tc>
        <w:tc>
          <w:tcPr>
            <w:tcW w:w="1445" w:type="pct"/>
          </w:tcPr>
          <w:p w14:paraId="6A9FD0F5" w14:textId="77777777" w:rsidR="003B0883" w:rsidRPr="00DA0270" w:rsidRDefault="003B0883" w:rsidP="003B0883">
            <w:pPr>
              <w:pStyle w:val="Tabletextboldleft"/>
              <w:rPr>
                <w:noProof/>
              </w:rPr>
            </w:pPr>
            <w:r w:rsidRPr="00DA0270">
              <w:rPr>
                <w:noProof/>
              </w:rPr>
              <w:t>Modelled costs/outcomes</w:t>
            </w:r>
          </w:p>
        </w:tc>
      </w:tr>
      <w:tr w:rsidR="003B0883" w:rsidRPr="00DA0270" w14:paraId="4C463C6D" w14:textId="77777777" w:rsidTr="003B0883">
        <w:tc>
          <w:tcPr>
            <w:tcW w:w="626" w:type="pct"/>
          </w:tcPr>
          <w:p w14:paraId="3C3F88A4" w14:textId="77777777" w:rsidR="003B0883" w:rsidRPr="00DA0270" w:rsidRDefault="003B0883" w:rsidP="003B0883">
            <w:pPr>
              <w:pStyle w:val="Tabletext"/>
              <w:rPr>
                <w:noProof/>
              </w:rPr>
            </w:pPr>
            <w:r>
              <w:rPr>
                <w:noProof/>
              </w:rPr>
              <w:t>Affected individual</w:t>
            </w:r>
          </w:p>
          <w:p w14:paraId="6C69CC20" w14:textId="77777777" w:rsidR="003B0883" w:rsidRPr="00DA0270" w:rsidRDefault="003B0883" w:rsidP="003B0883">
            <w:pPr>
              <w:pStyle w:val="Tabletext"/>
              <w:rPr>
                <w:noProof/>
              </w:rPr>
            </w:pPr>
            <w:r w:rsidRPr="00DA0270">
              <w:rPr>
                <w:noProof/>
              </w:rPr>
              <w:t>(genotype positive)</w:t>
            </w:r>
          </w:p>
        </w:tc>
        <w:tc>
          <w:tcPr>
            <w:tcW w:w="629" w:type="pct"/>
          </w:tcPr>
          <w:p w14:paraId="31C8CB95" w14:textId="77777777" w:rsidR="003B0883" w:rsidRPr="00DA0270" w:rsidRDefault="003B0883" w:rsidP="003B0883">
            <w:pPr>
              <w:pStyle w:val="Tabletext"/>
              <w:rPr>
                <w:noProof/>
              </w:rPr>
            </w:pPr>
            <w:r w:rsidRPr="00DA0270">
              <w:rPr>
                <w:noProof/>
              </w:rPr>
              <w:t>Knowledge of genotype</w:t>
            </w:r>
          </w:p>
        </w:tc>
        <w:tc>
          <w:tcPr>
            <w:tcW w:w="1030" w:type="pct"/>
          </w:tcPr>
          <w:p w14:paraId="7F36D297" w14:textId="77777777" w:rsidR="003B0883" w:rsidRPr="00DA0270" w:rsidRDefault="003B0883" w:rsidP="003B0883">
            <w:pPr>
              <w:pStyle w:val="Tabletext"/>
              <w:rPr>
                <w:noProof/>
              </w:rPr>
            </w:pPr>
            <w:r w:rsidRPr="00DA0270">
              <w:rPr>
                <w:noProof/>
              </w:rPr>
              <w:t xml:space="preserve">Patient management based on genotype </w:t>
            </w:r>
          </w:p>
          <w:p w14:paraId="7539E549" w14:textId="77777777" w:rsidR="003B0883" w:rsidRPr="00DA0270" w:rsidRDefault="003B0883" w:rsidP="003B0883">
            <w:pPr>
              <w:pStyle w:val="Tabletext"/>
              <w:rPr>
                <w:noProof/>
              </w:rPr>
            </w:pPr>
            <w:r w:rsidRPr="00DA0270">
              <w:rPr>
                <w:noProof/>
              </w:rPr>
              <w:t>Allow cascade genetic testing in addition to clinical screening in family members</w:t>
            </w:r>
          </w:p>
        </w:tc>
        <w:tc>
          <w:tcPr>
            <w:tcW w:w="1270" w:type="pct"/>
          </w:tcPr>
          <w:p w14:paraId="491E1A3B" w14:textId="77777777" w:rsidR="003B0883" w:rsidRPr="00DA0270" w:rsidRDefault="003B0883" w:rsidP="003B0883">
            <w:pPr>
              <w:pStyle w:val="Tabletext"/>
              <w:rPr>
                <w:noProof/>
              </w:rPr>
            </w:pPr>
            <w:r w:rsidRPr="00DA0270">
              <w:rPr>
                <w:noProof/>
              </w:rPr>
              <w:t>Avoiding genotype specific triggers</w:t>
            </w:r>
          </w:p>
          <w:p w14:paraId="22E114E3" w14:textId="77777777" w:rsidR="003B0883" w:rsidRPr="00DA0270" w:rsidRDefault="003B0883" w:rsidP="003B0883">
            <w:pPr>
              <w:pStyle w:val="Tabletext"/>
              <w:rPr>
                <w:noProof/>
              </w:rPr>
            </w:pPr>
            <w:r w:rsidRPr="00DA0270">
              <w:rPr>
                <w:noProof/>
              </w:rPr>
              <w:t>Treatment adjustments based on disease reclassification (for those with LQTS, 6.2% change to CPVT and for those clinically diagnosed with CPVT, 7.5% get changed to LQTS)</w:t>
            </w:r>
          </w:p>
          <w:p w14:paraId="2FEB1EEF" w14:textId="77777777" w:rsidR="003B0883" w:rsidRPr="00DA0270" w:rsidRDefault="003B0883" w:rsidP="003B0883">
            <w:pPr>
              <w:pStyle w:val="Tabletext"/>
              <w:rPr>
                <w:noProof/>
              </w:rPr>
            </w:pPr>
            <w:r w:rsidRPr="00DA0270">
              <w:rPr>
                <w:noProof/>
              </w:rPr>
              <w:t>Lack of evidence to suggest improvement in health outcomes related to disease reclassification</w:t>
            </w:r>
          </w:p>
          <w:p w14:paraId="6A0E81D3" w14:textId="77777777" w:rsidR="003B0883" w:rsidRPr="00DA0270" w:rsidRDefault="003B0883" w:rsidP="003B0883">
            <w:pPr>
              <w:pStyle w:val="Tabletext"/>
              <w:rPr>
                <w:noProof/>
              </w:rPr>
            </w:pPr>
            <w:r w:rsidRPr="00DA0270">
              <w:rPr>
                <w:noProof/>
              </w:rPr>
              <w:t xml:space="preserve">Greater participation of family members for clinical assessment if </w:t>
            </w:r>
            <w:r>
              <w:rPr>
                <w:noProof/>
              </w:rPr>
              <w:t>affected individual</w:t>
            </w:r>
            <w:r w:rsidRPr="00DA0270">
              <w:rPr>
                <w:noProof/>
              </w:rPr>
              <w:t xml:space="preserve"> has a positive result for a pathogenic gene variant rather than a negative result (83% vs 54%)</w:t>
            </w:r>
          </w:p>
        </w:tc>
        <w:tc>
          <w:tcPr>
            <w:tcW w:w="1445" w:type="pct"/>
          </w:tcPr>
          <w:p w14:paraId="49977509" w14:textId="77777777" w:rsidR="003B0883" w:rsidRPr="00DA0270" w:rsidRDefault="003B0883" w:rsidP="003B0883">
            <w:pPr>
              <w:pStyle w:val="Tabletext"/>
              <w:rPr>
                <w:noProof/>
              </w:rPr>
            </w:pPr>
            <w:r w:rsidRPr="00DA0270">
              <w:rPr>
                <w:noProof/>
              </w:rPr>
              <w:t>Only the costs associated with genetic test considered in the model.</w:t>
            </w:r>
          </w:p>
          <w:p w14:paraId="5271BE00" w14:textId="77777777" w:rsidR="003B0883" w:rsidRPr="00DA0270" w:rsidRDefault="003B0883" w:rsidP="003B0883">
            <w:pPr>
              <w:pStyle w:val="Tabletext"/>
              <w:rPr>
                <w:noProof/>
              </w:rPr>
            </w:pPr>
            <w:r w:rsidRPr="00DA0270">
              <w:rPr>
                <w:noProof/>
              </w:rPr>
              <w:t>Health outcomes and costs associated with patient management are assumed to be similar across both strategies; therefore these are not modelled.</w:t>
            </w:r>
          </w:p>
          <w:p w14:paraId="7092D6C5" w14:textId="77777777" w:rsidR="003B0883" w:rsidRPr="00DA0270" w:rsidRDefault="003B0883" w:rsidP="003B0883">
            <w:pPr>
              <w:pStyle w:val="Tabletext"/>
              <w:rPr>
                <w:noProof/>
              </w:rPr>
            </w:pPr>
            <w:r w:rsidRPr="00DA0270">
              <w:rPr>
                <w:noProof/>
              </w:rPr>
              <w:t>Cascade genetic testing in addition to clinical screening in family members is modelled.</w:t>
            </w:r>
          </w:p>
        </w:tc>
      </w:tr>
      <w:tr w:rsidR="003B0883" w:rsidRPr="00DA0270" w14:paraId="24AE7CE6" w14:textId="77777777" w:rsidTr="003B0883">
        <w:tc>
          <w:tcPr>
            <w:tcW w:w="626" w:type="pct"/>
            <w:tcBorders>
              <w:bottom w:val="single" w:sz="4" w:space="0" w:color="auto"/>
            </w:tcBorders>
          </w:tcPr>
          <w:p w14:paraId="3D88FAFD" w14:textId="77777777" w:rsidR="003B0883" w:rsidRPr="00DA0270" w:rsidRDefault="003B0883" w:rsidP="003B0883">
            <w:pPr>
              <w:pStyle w:val="Tabletext"/>
              <w:rPr>
                <w:noProof/>
              </w:rPr>
            </w:pPr>
            <w:r>
              <w:rPr>
                <w:noProof/>
              </w:rPr>
              <w:t>Affected individual</w:t>
            </w:r>
          </w:p>
          <w:p w14:paraId="4B118A23" w14:textId="77777777" w:rsidR="003B0883" w:rsidRPr="00DA0270" w:rsidRDefault="003B0883" w:rsidP="003B0883">
            <w:pPr>
              <w:pStyle w:val="Tabletext"/>
              <w:rPr>
                <w:noProof/>
              </w:rPr>
            </w:pPr>
            <w:r w:rsidRPr="00DA0270">
              <w:rPr>
                <w:noProof/>
              </w:rPr>
              <w:t>(genotype negative)</w:t>
            </w:r>
          </w:p>
        </w:tc>
        <w:tc>
          <w:tcPr>
            <w:tcW w:w="629" w:type="pct"/>
            <w:tcBorders>
              <w:bottom w:val="single" w:sz="4" w:space="0" w:color="auto"/>
            </w:tcBorders>
          </w:tcPr>
          <w:p w14:paraId="7AED2C77" w14:textId="77777777" w:rsidR="003B0883" w:rsidRPr="00DA0270" w:rsidRDefault="003B0883" w:rsidP="003B0883">
            <w:pPr>
              <w:pStyle w:val="Tabletext"/>
              <w:rPr>
                <w:noProof/>
              </w:rPr>
            </w:pPr>
            <w:r w:rsidRPr="00DA0270">
              <w:rPr>
                <w:noProof/>
              </w:rPr>
              <w:t>Genetic test inconclusive</w:t>
            </w:r>
          </w:p>
        </w:tc>
        <w:tc>
          <w:tcPr>
            <w:tcW w:w="1030" w:type="pct"/>
            <w:tcBorders>
              <w:bottom w:val="single" w:sz="4" w:space="0" w:color="auto"/>
            </w:tcBorders>
          </w:tcPr>
          <w:p w14:paraId="77CFC391" w14:textId="77777777" w:rsidR="003B0883" w:rsidRPr="00DA0270" w:rsidRDefault="003B0883" w:rsidP="003B0883">
            <w:pPr>
              <w:pStyle w:val="Tabletext"/>
              <w:rPr>
                <w:noProof/>
              </w:rPr>
            </w:pPr>
            <w:r w:rsidRPr="00DA0270">
              <w:rPr>
                <w:noProof/>
              </w:rPr>
              <w:t>Patient management continues based on phenotypic presentation</w:t>
            </w:r>
          </w:p>
          <w:p w14:paraId="788E9911" w14:textId="77777777" w:rsidR="003B0883" w:rsidRPr="00DA0270" w:rsidRDefault="003B0883" w:rsidP="003B0883">
            <w:pPr>
              <w:pStyle w:val="Tabletext"/>
              <w:rPr>
                <w:noProof/>
              </w:rPr>
            </w:pPr>
            <w:r w:rsidRPr="00DA0270">
              <w:rPr>
                <w:noProof/>
              </w:rPr>
              <w:t>Cascade clinical screening in family members</w:t>
            </w:r>
          </w:p>
        </w:tc>
        <w:tc>
          <w:tcPr>
            <w:tcW w:w="1270" w:type="pct"/>
            <w:tcBorders>
              <w:bottom w:val="single" w:sz="4" w:space="0" w:color="auto"/>
            </w:tcBorders>
          </w:tcPr>
          <w:p w14:paraId="11932A13" w14:textId="77777777" w:rsidR="003B0883" w:rsidRPr="00DA0270" w:rsidRDefault="003B0883" w:rsidP="003B0883">
            <w:pPr>
              <w:pStyle w:val="Tabletext"/>
              <w:rPr>
                <w:noProof/>
              </w:rPr>
            </w:pPr>
            <w:r w:rsidRPr="00DA0270">
              <w:rPr>
                <w:noProof/>
              </w:rPr>
              <w:t>No change in health outcomes</w:t>
            </w:r>
          </w:p>
          <w:p w14:paraId="55C1C8FB" w14:textId="77777777" w:rsidR="003B0883" w:rsidRPr="00DA0270" w:rsidRDefault="003B0883" w:rsidP="003B0883">
            <w:pPr>
              <w:pStyle w:val="Tabletext"/>
              <w:rPr>
                <w:noProof/>
              </w:rPr>
            </w:pPr>
            <w:r w:rsidRPr="00DA0270">
              <w:rPr>
                <w:noProof/>
              </w:rPr>
              <w:t>Family members go through clinical assessment</w:t>
            </w:r>
          </w:p>
        </w:tc>
        <w:tc>
          <w:tcPr>
            <w:tcW w:w="1445" w:type="pct"/>
            <w:tcBorders>
              <w:bottom w:val="single" w:sz="4" w:space="0" w:color="auto"/>
            </w:tcBorders>
          </w:tcPr>
          <w:p w14:paraId="06483A3A" w14:textId="77777777" w:rsidR="003B0883" w:rsidRPr="00DA0270" w:rsidRDefault="003B0883" w:rsidP="003B0883">
            <w:pPr>
              <w:pStyle w:val="Tabletext"/>
              <w:rPr>
                <w:noProof/>
              </w:rPr>
            </w:pPr>
            <w:r w:rsidRPr="00DA0270">
              <w:rPr>
                <w:noProof/>
              </w:rPr>
              <w:t xml:space="preserve">Only the costs associated with the genetic test considered in the model. </w:t>
            </w:r>
          </w:p>
          <w:p w14:paraId="1BEE6BE9" w14:textId="77777777" w:rsidR="003B0883" w:rsidRPr="00DA0270" w:rsidRDefault="003B0883" w:rsidP="003B0883">
            <w:pPr>
              <w:pStyle w:val="Tabletext"/>
              <w:rPr>
                <w:noProof/>
              </w:rPr>
            </w:pPr>
            <w:r w:rsidRPr="00DA0270">
              <w:rPr>
                <w:noProof/>
              </w:rPr>
              <w:t>Health outcomes and costs associated with patient management are assumed to be similar across both strategies; therefore not modelled</w:t>
            </w:r>
          </w:p>
        </w:tc>
      </w:tr>
      <w:tr w:rsidR="003B0883" w:rsidRPr="00DA0270" w14:paraId="3109EB87" w14:textId="77777777" w:rsidTr="003B0883">
        <w:tc>
          <w:tcPr>
            <w:tcW w:w="626" w:type="pct"/>
          </w:tcPr>
          <w:p w14:paraId="54FA4052" w14:textId="77777777" w:rsidR="003B0883" w:rsidRPr="00DA0270" w:rsidRDefault="003B0883" w:rsidP="003B0883">
            <w:pPr>
              <w:pStyle w:val="Tabletext"/>
              <w:rPr>
                <w:noProof/>
              </w:rPr>
            </w:pPr>
            <w:r>
              <w:rPr>
                <w:noProof/>
              </w:rPr>
              <w:t>Affected individual</w:t>
            </w:r>
            <w:r w:rsidRPr="00DA0270">
              <w:rPr>
                <w:noProof/>
              </w:rPr>
              <w:t>, no genetic testing</w:t>
            </w:r>
          </w:p>
        </w:tc>
        <w:tc>
          <w:tcPr>
            <w:tcW w:w="629" w:type="pct"/>
          </w:tcPr>
          <w:p w14:paraId="1F826F8B" w14:textId="77777777" w:rsidR="003B0883" w:rsidRPr="00DA0270" w:rsidRDefault="003B0883" w:rsidP="003B0883">
            <w:pPr>
              <w:pStyle w:val="Tabletext"/>
              <w:rPr>
                <w:noProof/>
              </w:rPr>
            </w:pPr>
            <w:r w:rsidRPr="00DA0270">
              <w:rPr>
                <w:noProof/>
              </w:rPr>
              <w:t>Clinical diagnosis based on clinical assessment alone</w:t>
            </w:r>
          </w:p>
        </w:tc>
        <w:tc>
          <w:tcPr>
            <w:tcW w:w="1030" w:type="pct"/>
          </w:tcPr>
          <w:p w14:paraId="69FDF498" w14:textId="77777777" w:rsidR="003B0883" w:rsidRPr="00DA0270" w:rsidRDefault="003B0883" w:rsidP="003B0883">
            <w:pPr>
              <w:pStyle w:val="Tabletext"/>
              <w:rPr>
                <w:noProof/>
              </w:rPr>
            </w:pPr>
            <w:r w:rsidRPr="00DA0270">
              <w:rPr>
                <w:noProof/>
              </w:rPr>
              <w:t xml:space="preserve">Patient management continues based on phenotypic presentation </w:t>
            </w:r>
          </w:p>
          <w:p w14:paraId="4E9D67E6" w14:textId="77777777" w:rsidR="003B0883" w:rsidRPr="00DA0270" w:rsidRDefault="003B0883" w:rsidP="003B0883">
            <w:pPr>
              <w:pStyle w:val="Tabletext"/>
              <w:rPr>
                <w:noProof/>
              </w:rPr>
            </w:pPr>
            <w:r w:rsidRPr="00DA0270">
              <w:rPr>
                <w:noProof/>
              </w:rPr>
              <w:t>Cascade clinical screening in family members</w:t>
            </w:r>
          </w:p>
        </w:tc>
        <w:tc>
          <w:tcPr>
            <w:tcW w:w="1270" w:type="pct"/>
          </w:tcPr>
          <w:p w14:paraId="07A7C5FD" w14:textId="77777777" w:rsidR="003B0883" w:rsidRPr="00DA0270" w:rsidRDefault="003B0883" w:rsidP="003B0883">
            <w:pPr>
              <w:pStyle w:val="Tabletext"/>
              <w:rPr>
                <w:noProof/>
              </w:rPr>
            </w:pPr>
            <w:r w:rsidRPr="00DA0270">
              <w:rPr>
                <w:noProof/>
              </w:rPr>
              <w:t>No change in health outcomes</w:t>
            </w:r>
          </w:p>
          <w:p w14:paraId="4A632FCF" w14:textId="77777777" w:rsidR="003B0883" w:rsidRPr="00DA0270" w:rsidRDefault="003B0883" w:rsidP="003B0883">
            <w:pPr>
              <w:pStyle w:val="Tabletext"/>
              <w:rPr>
                <w:noProof/>
              </w:rPr>
            </w:pPr>
            <w:r w:rsidRPr="00DA0270">
              <w:rPr>
                <w:noProof/>
              </w:rPr>
              <w:t>Family members go through clinical assessment</w:t>
            </w:r>
          </w:p>
        </w:tc>
        <w:tc>
          <w:tcPr>
            <w:tcW w:w="1445" w:type="pct"/>
          </w:tcPr>
          <w:p w14:paraId="5A2DFB2E" w14:textId="77777777" w:rsidR="003B0883" w:rsidRPr="00DA0270" w:rsidRDefault="003B0883" w:rsidP="003B0883">
            <w:pPr>
              <w:pStyle w:val="Tabletext"/>
              <w:rPr>
                <w:noProof/>
              </w:rPr>
            </w:pPr>
            <w:r w:rsidRPr="00DA0270">
              <w:rPr>
                <w:noProof/>
              </w:rPr>
              <w:t xml:space="preserve">No costs associated with the </w:t>
            </w:r>
            <w:r>
              <w:rPr>
                <w:noProof/>
              </w:rPr>
              <w:t>affected individual</w:t>
            </w:r>
          </w:p>
        </w:tc>
      </w:tr>
    </w:tbl>
    <w:p w14:paraId="4DE48612" w14:textId="6E4CC5B3" w:rsidR="00CB7F85" w:rsidRPr="00CB7F85" w:rsidRDefault="003B0883" w:rsidP="00CB7F85">
      <w:pPr>
        <w:pStyle w:val="Tablenotes1"/>
        <w:rPr>
          <w:noProof/>
        </w:rPr>
      </w:pPr>
      <w:r>
        <w:rPr>
          <w:noProof/>
        </w:rPr>
        <w:t>Source: DCA</w:t>
      </w:r>
      <w:bookmarkStart w:id="19" w:name="_Ref48837294"/>
      <w:r w:rsidR="00CB7F85">
        <w:rPr>
          <w:noProof/>
        </w:rPr>
        <w:t>R, Table 16</w:t>
      </w:r>
      <w:r w:rsidR="00CB7F85">
        <w:rPr>
          <w:noProof/>
        </w:rPr>
        <w:br w:type="page"/>
      </w:r>
    </w:p>
    <w:p w14:paraId="06C6FE89" w14:textId="3191AD33" w:rsidR="003B0883" w:rsidRPr="00DA0270" w:rsidRDefault="003B0883" w:rsidP="003B0883">
      <w:pPr>
        <w:pStyle w:val="Caption"/>
        <w:rPr>
          <w:noProof/>
        </w:rPr>
      </w:pPr>
      <w:r w:rsidRPr="00DA0270">
        <w:rPr>
          <w:noProof/>
        </w:rPr>
        <w:t xml:space="preserve">Table </w:t>
      </w:r>
      <w:r w:rsidRPr="00DA0270">
        <w:rPr>
          <w:noProof/>
        </w:rPr>
        <w:fldChar w:fldCharType="begin"/>
      </w:r>
      <w:r w:rsidRPr="00DA0270">
        <w:rPr>
          <w:noProof/>
        </w:rPr>
        <w:instrText xml:space="preserve"> SEQ Table \* ARABIC </w:instrText>
      </w:r>
      <w:r w:rsidRPr="00DA0270">
        <w:rPr>
          <w:noProof/>
        </w:rPr>
        <w:fldChar w:fldCharType="separate"/>
      </w:r>
      <w:r>
        <w:rPr>
          <w:noProof/>
        </w:rPr>
        <w:t>12</w:t>
      </w:r>
      <w:r w:rsidRPr="00DA0270">
        <w:rPr>
          <w:noProof/>
        </w:rPr>
        <w:fldChar w:fldCharType="end"/>
      </w:r>
      <w:bookmarkEnd w:id="19"/>
      <w:r>
        <w:rPr>
          <w:noProof/>
        </w:rPr>
        <w:t xml:space="preserve">: </w:t>
      </w:r>
      <w:r w:rsidRPr="00DA0270">
        <w:rPr>
          <w:noProof/>
        </w:rPr>
        <w:t>Summary of the benefits and outcomes for each modelled subgroup (family members) based on the clinical evidence</w:t>
      </w:r>
    </w:p>
    <w:tbl>
      <w:tblPr>
        <w:tblStyle w:val="TableGrid"/>
        <w:tblW w:w="5000" w:type="pct"/>
        <w:tblLook w:val="04A0" w:firstRow="1" w:lastRow="0" w:firstColumn="1" w:lastColumn="0" w:noHBand="0" w:noVBand="1"/>
        <w:tblCaption w:val="Summary of the benefits and outcomes for each modelled subgroups (family members) based on the clinical evidence"/>
        <w:tblDescription w:val="Summary of the benefits and outcomes for each modelled subgroups (family members) based on the clinical evidence"/>
      </w:tblPr>
      <w:tblGrid>
        <w:gridCol w:w="1786"/>
        <w:gridCol w:w="1794"/>
        <w:gridCol w:w="3079"/>
        <w:gridCol w:w="3621"/>
        <w:gridCol w:w="3974"/>
      </w:tblGrid>
      <w:tr w:rsidR="003B0883" w:rsidRPr="00DA0270" w14:paraId="3CF0E58F" w14:textId="77777777" w:rsidTr="003B0883">
        <w:trPr>
          <w:tblHeader/>
        </w:trPr>
        <w:tc>
          <w:tcPr>
            <w:tcW w:w="626" w:type="pct"/>
          </w:tcPr>
          <w:p w14:paraId="1B1F91E2" w14:textId="77777777" w:rsidR="003B0883" w:rsidRPr="00DA0270" w:rsidRDefault="003B0883" w:rsidP="003B0883">
            <w:pPr>
              <w:pStyle w:val="Tabletextboldleft"/>
              <w:rPr>
                <w:noProof/>
              </w:rPr>
            </w:pPr>
            <w:r w:rsidRPr="00DA0270">
              <w:rPr>
                <w:noProof/>
              </w:rPr>
              <w:t>Population subgroup</w:t>
            </w:r>
          </w:p>
        </w:tc>
        <w:tc>
          <w:tcPr>
            <w:tcW w:w="629" w:type="pct"/>
          </w:tcPr>
          <w:p w14:paraId="252C42DA" w14:textId="77777777" w:rsidR="003B0883" w:rsidRPr="00DA0270" w:rsidRDefault="003B0883" w:rsidP="003B0883">
            <w:pPr>
              <w:pStyle w:val="Tabletextboldleft"/>
              <w:rPr>
                <w:noProof/>
              </w:rPr>
            </w:pPr>
            <w:r w:rsidRPr="00DA0270">
              <w:rPr>
                <w:noProof/>
              </w:rPr>
              <w:t>Test Outcome</w:t>
            </w:r>
          </w:p>
        </w:tc>
        <w:tc>
          <w:tcPr>
            <w:tcW w:w="1080" w:type="pct"/>
          </w:tcPr>
          <w:p w14:paraId="2E0D5E11" w14:textId="77777777" w:rsidR="003B0883" w:rsidRPr="00DA0270" w:rsidRDefault="003B0883" w:rsidP="003B0883">
            <w:pPr>
              <w:pStyle w:val="Tabletextboldleft"/>
              <w:rPr>
                <w:noProof/>
              </w:rPr>
            </w:pPr>
            <w:r w:rsidRPr="00DA0270">
              <w:rPr>
                <w:noProof/>
              </w:rPr>
              <w:t>Disease management</w:t>
            </w:r>
          </w:p>
        </w:tc>
        <w:tc>
          <w:tcPr>
            <w:tcW w:w="1270" w:type="pct"/>
          </w:tcPr>
          <w:p w14:paraId="51DE86D8" w14:textId="77777777" w:rsidR="003B0883" w:rsidRPr="00DA0270" w:rsidRDefault="003B0883" w:rsidP="003B0883">
            <w:pPr>
              <w:pStyle w:val="Tabletextboldleft"/>
              <w:rPr>
                <w:noProof/>
              </w:rPr>
            </w:pPr>
            <w:r w:rsidRPr="00DA0270">
              <w:rPr>
                <w:noProof/>
              </w:rPr>
              <w:t>Clinical consequences</w:t>
            </w:r>
          </w:p>
        </w:tc>
        <w:tc>
          <w:tcPr>
            <w:tcW w:w="1394" w:type="pct"/>
          </w:tcPr>
          <w:p w14:paraId="60E7F00C" w14:textId="77777777" w:rsidR="003B0883" w:rsidRPr="00DA0270" w:rsidRDefault="003B0883" w:rsidP="003B0883">
            <w:pPr>
              <w:pStyle w:val="Tabletextboldleft"/>
              <w:rPr>
                <w:noProof/>
              </w:rPr>
            </w:pPr>
            <w:r w:rsidRPr="00DA0270">
              <w:rPr>
                <w:noProof/>
              </w:rPr>
              <w:t>Modelled costs/outcomes</w:t>
            </w:r>
          </w:p>
        </w:tc>
      </w:tr>
      <w:tr w:rsidR="003B0883" w:rsidRPr="00DA0270" w14:paraId="17F619B7" w14:textId="77777777" w:rsidTr="003B0883">
        <w:tc>
          <w:tcPr>
            <w:tcW w:w="626" w:type="pct"/>
          </w:tcPr>
          <w:p w14:paraId="00A379B1" w14:textId="77777777" w:rsidR="003B0883" w:rsidRPr="00DA0270" w:rsidRDefault="003B0883" w:rsidP="003B0883">
            <w:pPr>
              <w:pStyle w:val="Tabletext"/>
              <w:rPr>
                <w:noProof/>
              </w:rPr>
            </w:pPr>
            <w:r w:rsidRPr="00DA0270">
              <w:rPr>
                <w:noProof/>
              </w:rPr>
              <w:t>Family member, genotype positive</w:t>
            </w:r>
          </w:p>
        </w:tc>
        <w:tc>
          <w:tcPr>
            <w:tcW w:w="629" w:type="pct"/>
          </w:tcPr>
          <w:p w14:paraId="1A802D81" w14:textId="77777777" w:rsidR="003B0883" w:rsidRPr="00DA0270" w:rsidRDefault="003B0883" w:rsidP="003B0883">
            <w:pPr>
              <w:pStyle w:val="Tabletext"/>
              <w:rPr>
                <w:noProof/>
              </w:rPr>
            </w:pPr>
            <w:r w:rsidRPr="00DA0270">
              <w:rPr>
                <w:noProof/>
              </w:rPr>
              <w:t>Familial variant identified</w:t>
            </w:r>
          </w:p>
          <w:p w14:paraId="425E7C2A" w14:textId="77777777" w:rsidR="003B0883" w:rsidRPr="00DA0270" w:rsidRDefault="003B0883" w:rsidP="003B0883">
            <w:pPr>
              <w:pStyle w:val="Tabletext"/>
              <w:rPr>
                <w:noProof/>
              </w:rPr>
            </w:pPr>
          </w:p>
        </w:tc>
        <w:tc>
          <w:tcPr>
            <w:tcW w:w="1080" w:type="pct"/>
          </w:tcPr>
          <w:p w14:paraId="3DCE357B" w14:textId="77777777" w:rsidR="003B0883" w:rsidRPr="00DA0270" w:rsidRDefault="003B0883" w:rsidP="003B0883">
            <w:pPr>
              <w:pStyle w:val="Tabletext"/>
              <w:rPr>
                <w:noProof/>
              </w:rPr>
            </w:pPr>
            <w:r w:rsidRPr="00DA0270">
              <w:rPr>
                <w:noProof/>
              </w:rPr>
              <w:t>Patient management based on genotype and phenotype</w:t>
            </w:r>
          </w:p>
          <w:p w14:paraId="2AE68627" w14:textId="77777777" w:rsidR="003B0883" w:rsidRPr="00DA0270" w:rsidRDefault="003B0883" w:rsidP="003B0883">
            <w:pPr>
              <w:pStyle w:val="Tabletext"/>
              <w:rPr>
                <w:noProof/>
              </w:rPr>
            </w:pPr>
            <w:r w:rsidRPr="00DA0270">
              <w:rPr>
                <w:noProof/>
              </w:rPr>
              <w:t>Genotype specific triggers can be avoided</w:t>
            </w:r>
          </w:p>
          <w:p w14:paraId="68B5512B" w14:textId="77777777" w:rsidR="003B0883" w:rsidRPr="00DA0270" w:rsidRDefault="003B0883" w:rsidP="003B0883">
            <w:pPr>
              <w:pStyle w:val="Tabletext"/>
              <w:rPr>
                <w:noProof/>
              </w:rPr>
            </w:pPr>
            <w:r w:rsidRPr="00DA0270">
              <w:rPr>
                <w:noProof/>
              </w:rPr>
              <w:t>Allow cascade genetic testing in addition to clinical screening in subsequent family members</w:t>
            </w:r>
          </w:p>
        </w:tc>
        <w:tc>
          <w:tcPr>
            <w:tcW w:w="1270" w:type="pct"/>
          </w:tcPr>
          <w:p w14:paraId="0EF7D802" w14:textId="77777777" w:rsidR="003B0883" w:rsidRPr="00DA0270" w:rsidRDefault="003B0883" w:rsidP="003B0883">
            <w:pPr>
              <w:pStyle w:val="Tabletext"/>
              <w:rPr>
                <w:noProof/>
              </w:rPr>
            </w:pPr>
            <w:r w:rsidRPr="00DA0270">
              <w:rPr>
                <w:noProof/>
                <w:lang w:val="en-GB"/>
              </w:rPr>
              <w:t>Symptomatic family members have little incremental benefit from genetic testing as management is based on their phenotype</w:t>
            </w:r>
          </w:p>
          <w:p w14:paraId="55268218" w14:textId="77777777" w:rsidR="003B0883" w:rsidRPr="00DA0270" w:rsidRDefault="003B0883" w:rsidP="003B0883">
            <w:pPr>
              <w:pStyle w:val="Tabletext"/>
              <w:rPr>
                <w:noProof/>
              </w:rPr>
            </w:pPr>
            <w:r w:rsidRPr="00DA0270">
              <w:rPr>
                <w:noProof/>
              </w:rPr>
              <w:t>Treatment decisions in asymptomatic family members (around 25%) may be guided by the presence of genotype</w:t>
            </w:r>
          </w:p>
          <w:p w14:paraId="4159A37E" w14:textId="77777777" w:rsidR="003B0883" w:rsidRPr="00DA0270" w:rsidRDefault="003B0883" w:rsidP="003B0883">
            <w:pPr>
              <w:pStyle w:val="Tabletext"/>
              <w:rPr>
                <w:noProof/>
              </w:rPr>
            </w:pPr>
            <w:r w:rsidRPr="00DA0270">
              <w:rPr>
                <w:noProof/>
              </w:rPr>
              <w:t xml:space="preserve">Cardiac events avoided due to periodic surveillance and prophylactic treatment such as initiation of beta-blockers </w:t>
            </w:r>
          </w:p>
          <w:p w14:paraId="26E1EB45" w14:textId="77777777" w:rsidR="003B0883" w:rsidRPr="00DA0270" w:rsidRDefault="003B0883" w:rsidP="003B0883">
            <w:pPr>
              <w:pStyle w:val="Tabletext"/>
              <w:rPr>
                <w:noProof/>
              </w:rPr>
            </w:pPr>
            <w:r w:rsidRPr="00DA0270">
              <w:rPr>
                <w:noProof/>
              </w:rPr>
              <w:t>Subsequent family members tested for known variant(s)</w:t>
            </w:r>
          </w:p>
        </w:tc>
        <w:tc>
          <w:tcPr>
            <w:tcW w:w="1394" w:type="pct"/>
          </w:tcPr>
          <w:p w14:paraId="440B8F62" w14:textId="77777777" w:rsidR="003B0883" w:rsidRPr="00DA0270" w:rsidRDefault="003B0883" w:rsidP="003B0883">
            <w:pPr>
              <w:pStyle w:val="Tabletext"/>
              <w:rPr>
                <w:noProof/>
              </w:rPr>
            </w:pPr>
            <w:r w:rsidRPr="00DA0270">
              <w:rPr>
                <w:noProof/>
              </w:rPr>
              <w:t>Compliance with the recommendations are unknown. These are assumed to be 100% in all family members</w:t>
            </w:r>
          </w:p>
          <w:p w14:paraId="0A8869DD" w14:textId="77777777" w:rsidR="003B0883" w:rsidRPr="00DA0270" w:rsidRDefault="003B0883" w:rsidP="003B0883">
            <w:pPr>
              <w:pStyle w:val="Tabletext"/>
              <w:rPr>
                <w:noProof/>
              </w:rPr>
            </w:pPr>
            <w:r w:rsidRPr="00DA0270">
              <w:rPr>
                <w:noProof/>
              </w:rPr>
              <w:t>Health outcomes (such as cardiac event rates) associated with uptake of cascade testing/screening, compliance to periodic surveillance and treatment adherence are not modelled due to lack of evidence.</w:t>
            </w:r>
          </w:p>
          <w:p w14:paraId="2E51ECCC" w14:textId="77777777" w:rsidR="003B0883" w:rsidRPr="00DA0270" w:rsidRDefault="003B0883" w:rsidP="003B0883">
            <w:pPr>
              <w:pStyle w:val="Tabletext"/>
              <w:rPr>
                <w:noProof/>
              </w:rPr>
            </w:pPr>
            <w:r w:rsidRPr="00DA0270">
              <w:rPr>
                <w:noProof/>
              </w:rPr>
              <w:t>Costs associated with genetic testing, clinical screening and periodical surveillance are modelled.</w:t>
            </w:r>
          </w:p>
        </w:tc>
      </w:tr>
      <w:tr w:rsidR="003B0883" w:rsidRPr="00DA0270" w14:paraId="3B38335F" w14:textId="77777777" w:rsidTr="003B0883">
        <w:tc>
          <w:tcPr>
            <w:tcW w:w="626" w:type="pct"/>
          </w:tcPr>
          <w:p w14:paraId="57453F85" w14:textId="77777777" w:rsidR="003B0883" w:rsidRPr="00DA0270" w:rsidRDefault="003B0883" w:rsidP="003B0883">
            <w:pPr>
              <w:pStyle w:val="Tabletext"/>
              <w:rPr>
                <w:noProof/>
              </w:rPr>
            </w:pPr>
            <w:r w:rsidRPr="00DA0270">
              <w:rPr>
                <w:noProof/>
              </w:rPr>
              <w:t>Family member, genotype negative</w:t>
            </w:r>
          </w:p>
        </w:tc>
        <w:tc>
          <w:tcPr>
            <w:tcW w:w="629" w:type="pct"/>
          </w:tcPr>
          <w:p w14:paraId="16A2BA72" w14:textId="77777777" w:rsidR="003B0883" w:rsidRPr="00DA0270" w:rsidRDefault="003B0883" w:rsidP="003B0883">
            <w:pPr>
              <w:pStyle w:val="Tabletext"/>
              <w:rPr>
                <w:noProof/>
              </w:rPr>
            </w:pPr>
            <w:r w:rsidRPr="00DA0270">
              <w:rPr>
                <w:noProof/>
              </w:rPr>
              <w:t>Absence of familial variant</w:t>
            </w:r>
          </w:p>
        </w:tc>
        <w:tc>
          <w:tcPr>
            <w:tcW w:w="1080" w:type="pct"/>
          </w:tcPr>
          <w:p w14:paraId="7BD754D1" w14:textId="77777777" w:rsidR="003B0883" w:rsidRPr="00DA0270" w:rsidRDefault="003B0883" w:rsidP="003B0883">
            <w:pPr>
              <w:pStyle w:val="Tabletext"/>
              <w:rPr>
                <w:noProof/>
              </w:rPr>
            </w:pPr>
            <w:r w:rsidRPr="00DA0270">
              <w:rPr>
                <w:noProof/>
              </w:rPr>
              <w:t>No need of periodical clinical surveillance and prophylactic treatment</w:t>
            </w:r>
          </w:p>
          <w:p w14:paraId="0EDDD8FB" w14:textId="77777777" w:rsidR="003B0883" w:rsidRPr="00DA0270" w:rsidRDefault="003B0883" w:rsidP="003B0883">
            <w:pPr>
              <w:pStyle w:val="Tabletext"/>
              <w:rPr>
                <w:noProof/>
              </w:rPr>
            </w:pPr>
            <w:r w:rsidRPr="00DA0270">
              <w:rPr>
                <w:noProof/>
              </w:rPr>
              <w:t>No need of cascade clinical screening in offspring</w:t>
            </w:r>
          </w:p>
        </w:tc>
        <w:tc>
          <w:tcPr>
            <w:tcW w:w="1270" w:type="pct"/>
          </w:tcPr>
          <w:p w14:paraId="6FD9BCD1" w14:textId="77777777" w:rsidR="003B0883" w:rsidRPr="00DA0270" w:rsidRDefault="003B0883" w:rsidP="003B0883">
            <w:pPr>
              <w:pStyle w:val="Tabletext"/>
              <w:rPr>
                <w:noProof/>
              </w:rPr>
            </w:pPr>
            <w:r w:rsidRPr="00DA0270">
              <w:rPr>
                <w:noProof/>
              </w:rPr>
              <w:t>Risk of cardiac events is similar to the general population</w:t>
            </w:r>
          </w:p>
          <w:p w14:paraId="0F2DA181" w14:textId="77777777" w:rsidR="003B0883" w:rsidRPr="00DA0270" w:rsidRDefault="003B0883" w:rsidP="003B0883">
            <w:pPr>
              <w:pStyle w:val="Tabletext"/>
              <w:rPr>
                <w:noProof/>
              </w:rPr>
            </w:pPr>
            <w:r w:rsidRPr="00DA0270">
              <w:rPr>
                <w:noProof/>
              </w:rPr>
              <w:t>No need of periodic surveillance and prophylactic treatment</w:t>
            </w:r>
          </w:p>
        </w:tc>
        <w:tc>
          <w:tcPr>
            <w:tcW w:w="1394" w:type="pct"/>
          </w:tcPr>
          <w:p w14:paraId="649983D7" w14:textId="77777777" w:rsidR="003B0883" w:rsidRPr="00DA0270" w:rsidRDefault="003B0883" w:rsidP="003B0883">
            <w:pPr>
              <w:pStyle w:val="Tabletext"/>
              <w:rPr>
                <w:noProof/>
              </w:rPr>
            </w:pPr>
            <w:r w:rsidRPr="00DA0270">
              <w:rPr>
                <w:noProof/>
              </w:rPr>
              <w:t>Costs associated with unnecessary lifelong periodical surveillance are avoided</w:t>
            </w:r>
          </w:p>
          <w:p w14:paraId="7063AEDC" w14:textId="77777777" w:rsidR="003B0883" w:rsidRPr="00DA0270" w:rsidRDefault="003B0883" w:rsidP="003B0883">
            <w:pPr>
              <w:pStyle w:val="Tabletext"/>
              <w:rPr>
                <w:noProof/>
              </w:rPr>
            </w:pPr>
            <w:r w:rsidRPr="00DA0270">
              <w:rPr>
                <w:noProof/>
              </w:rPr>
              <w:t>Only costs associated with genetic testing and clinical screening are modelled</w:t>
            </w:r>
          </w:p>
        </w:tc>
      </w:tr>
      <w:tr w:rsidR="003B0883" w:rsidRPr="00DA0270" w14:paraId="6A1D7040" w14:textId="77777777" w:rsidTr="003B0883">
        <w:tc>
          <w:tcPr>
            <w:tcW w:w="626" w:type="pct"/>
          </w:tcPr>
          <w:p w14:paraId="76178A51" w14:textId="77777777" w:rsidR="003B0883" w:rsidRPr="00DA0270" w:rsidRDefault="003B0883" w:rsidP="003B0883">
            <w:pPr>
              <w:pStyle w:val="Tabletext"/>
              <w:rPr>
                <w:noProof/>
              </w:rPr>
            </w:pPr>
            <w:r w:rsidRPr="00DA0270">
              <w:rPr>
                <w:noProof/>
              </w:rPr>
              <w:t>Variant status unknown in family member</w:t>
            </w:r>
          </w:p>
        </w:tc>
        <w:tc>
          <w:tcPr>
            <w:tcW w:w="629" w:type="pct"/>
          </w:tcPr>
          <w:p w14:paraId="00223838" w14:textId="77777777" w:rsidR="003B0883" w:rsidRPr="00DA0270" w:rsidRDefault="003B0883" w:rsidP="003B0883">
            <w:pPr>
              <w:pStyle w:val="Tabletext"/>
              <w:rPr>
                <w:noProof/>
              </w:rPr>
            </w:pPr>
            <w:r w:rsidRPr="00DA0270">
              <w:rPr>
                <w:noProof/>
              </w:rPr>
              <w:t>Familial variant status unknown</w:t>
            </w:r>
          </w:p>
        </w:tc>
        <w:tc>
          <w:tcPr>
            <w:tcW w:w="1080" w:type="pct"/>
          </w:tcPr>
          <w:p w14:paraId="3BD37A4F" w14:textId="77777777" w:rsidR="003B0883" w:rsidRPr="00DA0270" w:rsidRDefault="003B0883" w:rsidP="003B0883">
            <w:pPr>
              <w:pStyle w:val="Tabletext"/>
              <w:rPr>
                <w:noProof/>
              </w:rPr>
            </w:pPr>
            <w:r w:rsidRPr="00DA0270">
              <w:rPr>
                <w:noProof/>
              </w:rPr>
              <w:t>Lifelong periodical clinical surveillance</w:t>
            </w:r>
          </w:p>
        </w:tc>
        <w:tc>
          <w:tcPr>
            <w:tcW w:w="1270" w:type="pct"/>
          </w:tcPr>
          <w:p w14:paraId="3B080ADB" w14:textId="77777777" w:rsidR="003B0883" w:rsidRPr="00DA0270" w:rsidRDefault="003B0883" w:rsidP="003B0883">
            <w:pPr>
              <w:pStyle w:val="Tabletext"/>
              <w:rPr>
                <w:noProof/>
              </w:rPr>
            </w:pPr>
            <w:r w:rsidRPr="00DA0270">
              <w:rPr>
                <w:noProof/>
              </w:rPr>
              <w:t>Lifelong periodical clinical surveillance in all family members and prophylactic treatment based on clinical assessment</w:t>
            </w:r>
          </w:p>
        </w:tc>
        <w:tc>
          <w:tcPr>
            <w:tcW w:w="1394" w:type="pct"/>
          </w:tcPr>
          <w:p w14:paraId="3E9559D6" w14:textId="77777777" w:rsidR="003B0883" w:rsidRPr="00DA0270" w:rsidRDefault="003B0883" w:rsidP="003B0883">
            <w:pPr>
              <w:pStyle w:val="Tabletext"/>
              <w:rPr>
                <w:noProof/>
              </w:rPr>
            </w:pPr>
            <w:r w:rsidRPr="00DA0270">
              <w:rPr>
                <w:noProof/>
              </w:rPr>
              <w:t>Costs associated with clinical screening are included for all</w:t>
            </w:r>
          </w:p>
          <w:p w14:paraId="02A43E43" w14:textId="77777777" w:rsidR="003B0883" w:rsidRPr="00DA0270" w:rsidRDefault="003B0883" w:rsidP="003B0883">
            <w:pPr>
              <w:pStyle w:val="Tabletext"/>
              <w:rPr>
                <w:noProof/>
              </w:rPr>
            </w:pPr>
            <w:r w:rsidRPr="00DA0270">
              <w:rPr>
                <w:noProof/>
              </w:rPr>
              <w:t xml:space="preserve">Costs associated with periodical clinical surveillance are modelled for family members of </w:t>
            </w:r>
            <w:r>
              <w:rPr>
                <w:noProof/>
              </w:rPr>
              <w:t>affected individuals</w:t>
            </w:r>
            <w:r w:rsidRPr="00DA0270">
              <w:rPr>
                <w:noProof/>
              </w:rPr>
              <w:t xml:space="preserve"> who would have had a positive test result if the test was available</w:t>
            </w:r>
          </w:p>
          <w:p w14:paraId="71F549CF" w14:textId="77777777" w:rsidR="003B0883" w:rsidRPr="00DA0270" w:rsidRDefault="003B0883" w:rsidP="003B0883">
            <w:pPr>
              <w:pStyle w:val="Tabletext"/>
              <w:rPr>
                <w:noProof/>
              </w:rPr>
            </w:pPr>
            <w:r w:rsidRPr="00DA0270">
              <w:rPr>
                <w:noProof/>
              </w:rPr>
              <w:t xml:space="preserve">Family members of the </w:t>
            </w:r>
            <w:r>
              <w:rPr>
                <w:noProof/>
              </w:rPr>
              <w:t>affected individuals</w:t>
            </w:r>
            <w:r w:rsidRPr="00DA0270">
              <w:rPr>
                <w:noProof/>
              </w:rPr>
              <w:t xml:space="preserve"> who would have had an inconclusive genetic test results are assumed to have health outcomes and patient management similar to the family members of the </w:t>
            </w:r>
            <w:r>
              <w:rPr>
                <w:noProof/>
              </w:rPr>
              <w:t>affected individuals</w:t>
            </w:r>
            <w:r w:rsidRPr="00DA0270">
              <w:rPr>
                <w:noProof/>
              </w:rPr>
              <w:t xml:space="preserve"> without genetic testing. Therefore, only costs associated with initial clinical assessment are included in the model for this subgroup.</w:t>
            </w:r>
          </w:p>
        </w:tc>
      </w:tr>
    </w:tbl>
    <w:p w14:paraId="1174772C" w14:textId="4D972C9A" w:rsidR="003B0883" w:rsidRDefault="00CB7F85" w:rsidP="00CB7F85">
      <w:pPr>
        <w:pStyle w:val="Tablenotes1"/>
        <w:rPr>
          <w:noProof/>
        </w:rPr>
      </w:pPr>
      <w:r>
        <w:rPr>
          <w:noProof/>
        </w:rPr>
        <w:t>Source: DCAR, Table 17</w:t>
      </w:r>
    </w:p>
    <w:p w14:paraId="4B74A1AA" w14:textId="7A9118DC" w:rsidR="003B0883" w:rsidRDefault="003B0883" w:rsidP="003B0883">
      <w:pPr>
        <w:tabs>
          <w:tab w:val="left" w:pos="720"/>
        </w:tabs>
        <w:sectPr w:rsidR="003B0883" w:rsidSect="003B0883">
          <w:pgSz w:w="16838" w:h="11906" w:orient="landscape"/>
          <w:pgMar w:top="1440" w:right="1440" w:bottom="1440" w:left="1134" w:header="708" w:footer="708" w:gutter="0"/>
          <w:cols w:space="708"/>
          <w:docGrid w:linePitch="360"/>
        </w:sectPr>
      </w:pPr>
    </w:p>
    <w:p w14:paraId="1F2AC244" w14:textId="5A828B52" w:rsidR="003B0883" w:rsidRDefault="003B0883" w:rsidP="003B0883">
      <w:pPr>
        <w:tabs>
          <w:tab w:val="left" w:pos="720"/>
        </w:tabs>
      </w:pPr>
      <w:r>
        <w:t xml:space="preserve">The inputs used in the DCAR’s economic evaluation are provided in </w:t>
      </w:r>
      <w:r w:rsidR="002C6DB1">
        <w:fldChar w:fldCharType="begin"/>
      </w:r>
      <w:r w:rsidR="002C6DB1">
        <w:instrText xml:space="preserve"> REF _Ref49244241  \* MERGEFORMAT </w:instrText>
      </w:r>
      <w:r w:rsidR="002C6DB1">
        <w:fldChar w:fldCharType="separate"/>
      </w:r>
      <w:r w:rsidRPr="00561093">
        <w:rPr>
          <w:bCs/>
        </w:rPr>
        <w:t>Table</w:t>
      </w:r>
      <w:r w:rsidRPr="00561093">
        <w:rPr>
          <w:b/>
          <w:bCs/>
        </w:rPr>
        <w:t xml:space="preserve"> </w:t>
      </w:r>
      <w:r>
        <w:rPr>
          <w:noProof/>
        </w:rPr>
        <w:t>13</w:t>
      </w:r>
      <w:r w:rsidR="002C6DB1">
        <w:rPr>
          <w:noProof/>
        </w:rPr>
        <w:fldChar w:fldCharType="end"/>
      </w:r>
      <w:r w:rsidR="008E097E">
        <w:t>.</w:t>
      </w:r>
    </w:p>
    <w:p w14:paraId="466B7C13" w14:textId="616E8FB7" w:rsidR="003B0883" w:rsidRPr="00E877C9" w:rsidRDefault="003B0883" w:rsidP="008E097E">
      <w:pPr>
        <w:pStyle w:val="Caption"/>
        <w:spacing w:before="240"/>
      </w:pPr>
      <w:bookmarkStart w:id="20" w:name="_Ref49244241"/>
      <w:r w:rsidRPr="00E877C9">
        <w:t xml:space="preserve">Table </w:t>
      </w:r>
      <w:r w:rsidR="002C6DB1">
        <w:fldChar w:fldCharType="begin"/>
      </w:r>
      <w:r w:rsidR="002C6DB1">
        <w:instrText xml:space="preserve"> SEQ Table \* ARABIC </w:instrText>
      </w:r>
      <w:r w:rsidR="002C6DB1">
        <w:fldChar w:fldCharType="separate"/>
      </w:r>
      <w:r>
        <w:rPr>
          <w:noProof/>
        </w:rPr>
        <w:t>13</w:t>
      </w:r>
      <w:r w:rsidR="002C6DB1">
        <w:rPr>
          <w:noProof/>
        </w:rPr>
        <w:fldChar w:fldCharType="end"/>
      </w:r>
      <w:bookmarkEnd w:id="20"/>
      <w:r>
        <w:t xml:space="preserve">: </w:t>
      </w:r>
      <w:r w:rsidRPr="00E877C9">
        <w:t xml:space="preserve">Summary of the inputs used in the economic evaluation </w:t>
      </w:r>
    </w:p>
    <w:tbl>
      <w:tblPr>
        <w:tblStyle w:val="TableGrid"/>
        <w:tblW w:w="0" w:type="auto"/>
        <w:tblLook w:val="04A0" w:firstRow="1" w:lastRow="0" w:firstColumn="1" w:lastColumn="0" w:noHBand="0" w:noVBand="1"/>
        <w:tblCaption w:val="Summary of the inputs used in the economic evaluation "/>
        <w:tblDescription w:val="Summary of the inputs used in the economic evaluation "/>
      </w:tblPr>
      <w:tblGrid>
        <w:gridCol w:w="1555"/>
        <w:gridCol w:w="2054"/>
        <w:gridCol w:w="5407"/>
      </w:tblGrid>
      <w:tr w:rsidR="003B0883" w:rsidRPr="00E877C9" w14:paraId="5250608E" w14:textId="77777777" w:rsidTr="003B0883">
        <w:tc>
          <w:tcPr>
            <w:tcW w:w="1555" w:type="dxa"/>
          </w:tcPr>
          <w:p w14:paraId="2483C8C9" w14:textId="77777777" w:rsidR="003B0883" w:rsidRPr="00E877C9" w:rsidRDefault="003B0883" w:rsidP="003B0883">
            <w:pPr>
              <w:pStyle w:val="Tabletextboldleft"/>
            </w:pPr>
            <w:r w:rsidRPr="00E877C9">
              <w:t>Parameter</w:t>
            </w:r>
          </w:p>
        </w:tc>
        <w:tc>
          <w:tcPr>
            <w:tcW w:w="2054" w:type="dxa"/>
          </w:tcPr>
          <w:p w14:paraId="6EBA7F5D" w14:textId="77777777" w:rsidR="003B0883" w:rsidRPr="00E877C9" w:rsidRDefault="003B0883" w:rsidP="003B0883">
            <w:pPr>
              <w:pStyle w:val="Tabletextboldleft"/>
            </w:pPr>
            <w:r w:rsidRPr="00E877C9">
              <w:t>Value</w:t>
            </w:r>
          </w:p>
        </w:tc>
        <w:tc>
          <w:tcPr>
            <w:tcW w:w="5407" w:type="dxa"/>
          </w:tcPr>
          <w:p w14:paraId="03B50368" w14:textId="77777777" w:rsidR="003B0883" w:rsidRPr="00E877C9" w:rsidRDefault="003B0883" w:rsidP="003B0883">
            <w:pPr>
              <w:pStyle w:val="Tabletextboldleft"/>
            </w:pPr>
            <w:r w:rsidRPr="00E877C9">
              <w:t>Source</w:t>
            </w:r>
          </w:p>
        </w:tc>
      </w:tr>
      <w:tr w:rsidR="003B0883" w:rsidRPr="00E877C9" w14:paraId="1E73AFEE" w14:textId="77777777" w:rsidTr="003B0883">
        <w:tc>
          <w:tcPr>
            <w:tcW w:w="1555" w:type="dxa"/>
          </w:tcPr>
          <w:p w14:paraId="70951521" w14:textId="77777777" w:rsidR="003B0883" w:rsidRPr="00E877C9" w:rsidRDefault="003B0883" w:rsidP="003B0883">
            <w:pPr>
              <w:pStyle w:val="TableText0"/>
            </w:pPr>
            <w:r w:rsidRPr="00E877C9">
              <w:t xml:space="preserve">Diagnostic yield in </w:t>
            </w:r>
            <w:r>
              <w:t>affected individuals</w:t>
            </w:r>
          </w:p>
        </w:tc>
        <w:tc>
          <w:tcPr>
            <w:tcW w:w="2054" w:type="dxa"/>
          </w:tcPr>
          <w:p w14:paraId="22588242" w14:textId="77777777" w:rsidR="003B0883" w:rsidRPr="00E877C9" w:rsidRDefault="003B0883" w:rsidP="003B0883">
            <w:pPr>
              <w:pStyle w:val="TableText0"/>
            </w:pPr>
            <w:r w:rsidRPr="00754CF9">
              <w:t>26.3</w:t>
            </w:r>
            <w:r w:rsidRPr="00C9541A">
              <w:t>%</w:t>
            </w:r>
          </w:p>
        </w:tc>
        <w:tc>
          <w:tcPr>
            <w:tcW w:w="5407" w:type="dxa"/>
          </w:tcPr>
          <w:p w14:paraId="3889EDC7" w14:textId="236886C8" w:rsidR="003B0883" w:rsidRPr="00E877C9" w:rsidRDefault="003B0883" w:rsidP="003B0883">
            <w:pPr>
              <w:pStyle w:val="TableText0"/>
            </w:pPr>
            <w:r w:rsidRPr="00E877C9">
              <w:t xml:space="preserve">The yield in </w:t>
            </w:r>
            <w:r>
              <w:t>affected individuals</w:t>
            </w:r>
            <w:r w:rsidRPr="00E877C9">
              <w:t xml:space="preserve"> in National clinical audit report is used (Australian Cardiac Genomic Flagship </w:t>
            </w:r>
            <w:r>
              <w:t>audit data</w:t>
            </w:r>
            <w:r w:rsidR="00C9541A">
              <w:rPr>
                <w:rStyle w:val="FootnoteReference"/>
              </w:rPr>
              <w:footnoteReference w:id="75"/>
            </w:r>
            <w:r>
              <w:t>). Sensitivity analyse</w:t>
            </w:r>
            <w:r w:rsidRPr="00E877C9">
              <w:t>s were conducted using the yield reported in literature (10–90%)</w:t>
            </w:r>
          </w:p>
        </w:tc>
      </w:tr>
      <w:tr w:rsidR="003B0883" w:rsidRPr="00E877C9" w14:paraId="229AD808" w14:textId="77777777" w:rsidTr="003B0883">
        <w:tc>
          <w:tcPr>
            <w:tcW w:w="1555" w:type="dxa"/>
          </w:tcPr>
          <w:p w14:paraId="5730FF9F" w14:textId="77777777" w:rsidR="003B0883" w:rsidRPr="00E877C9" w:rsidRDefault="003B0883" w:rsidP="003B0883">
            <w:pPr>
              <w:pStyle w:val="TableText0"/>
            </w:pPr>
            <w:r w:rsidRPr="00E877C9">
              <w:t xml:space="preserve">Disease reclassification </w:t>
            </w:r>
          </w:p>
        </w:tc>
        <w:tc>
          <w:tcPr>
            <w:tcW w:w="2054" w:type="dxa"/>
          </w:tcPr>
          <w:p w14:paraId="0DCB5F84" w14:textId="77777777" w:rsidR="003B0883" w:rsidRPr="00E877C9" w:rsidRDefault="003B0883" w:rsidP="003B0883">
            <w:pPr>
              <w:pStyle w:val="TableText0"/>
            </w:pPr>
            <w:r w:rsidRPr="00E877C9">
              <w:t>6.5%</w:t>
            </w:r>
          </w:p>
        </w:tc>
        <w:tc>
          <w:tcPr>
            <w:tcW w:w="5407" w:type="dxa"/>
          </w:tcPr>
          <w:p w14:paraId="4E1BFBE1" w14:textId="77777777" w:rsidR="003B0883" w:rsidRPr="00E877C9" w:rsidRDefault="003B0883" w:rsidP="003B0883">
            <w:pPr>
              <w:pStyle w:val="TableText0"/>
            </w:pPr>
            <w:r w:rsidRPr="00C70803">
              <w:t>Clinical assessment identified that positive genetic results in affected individuals result in reclassification of approximately 6–7% of the affected individuals with clinical diagnosis of ICAs.</w:t>
            </w:r>
          </w:p>
        </w:tc>
      </w:tr>
      <w:tr w:rsidR="003B0883" w:rsidRPr="00E877C9" w14:paraId="09ACBBBD" w14:textId="77777777" w:rsidTr="003B0883">
        <w:tc>
          <w:tcPr>
            <w:tcW w:w="1555" w:type="dxa"/>
          </w:tcPr>
          <w:p w14:paraId="295E76F6" w14:textId="77777777" w:rsidR="003B0883" w:rsidRPr="00E877C9" w:rsidRDefault="003B0883" w:rsidP="003B0883">
            <w:pPr>
              <w:pStyle w:val="TableText0"/>
            </w:pPr>
            <w:r w:rsidRPr="00E877C9">
              <w:t xml:space="preserve">Uptake of cascade testing per </w:t>
            </w:r>
            <w:r>
              <w:t>index case</w:t>
            </w:r>
          </w:p>
        </w:tc>
        <w:tc>
          <w:tcPr>
            <w:tcW w:w="2054" w:type="dxa"/>
          </w:tcPr>
          <w:p w14:paraId="28067CDB" w14:textId="77777777" w:rsidR="003B0883" w:rsidRPr="00E877C9" w:rsidRDefault="003B0883" w:rsidP="003B0883">
            <w:pPr>
              <w:pStyle w:val="TableText0"/>
            </w:pPr>
            <w:r w:rsidRPr="00E877C9">
              <w:t>FDR: 3</w:t>
            </w:r>
          </w:p>
          <w:p w14:paraId="1BF0ADF6" w14:textId="77777777" w:rsidR="003B0883" w:rsidRPr="00E877C9" w:rsidRDefault="003B0883" w:rsidP="003B0883">
            <w:pPr>
              <w:pStyle w:val="TableText0"/>
            </w:pPr>
            <w:r w:rsidRPr="00E877C9">
              <w:t>SDR: 0</w:t>
            </w:r>
          </w:p>
        </w:tc>
        <w:tc>
          <w:tcPr>
            <w:tcW w:w="5407" w:type="dxa"/>
          </w:tcPr>
          <w:p w14:paraId="7B4E6605" w14:textId="77777777" w:rsidR="003B0883" w:rsidRPr="00E877C9" w:rsidRDefault="003B0883" w:rsidP="003B0883">
            <w:pPr>
              <w:pStyle w:val="TableText0"/>
            </w:pPr>
            <w:r w:rsidRPr="00C70803">
              <w:t xml:space="preserve">Total number of relatives tested per </w:t>
            </w:r>
            <w:r>
              <w:t>index case</w:t>
            </w:r>
            <w:r w:rsidRPr="00C70803">
              <w:t xml:space="preserve"> was based on Burns </w:t>
            </w:r>
            <w:r w:rsidRPr="00B426E6">
              <w:rPr>
                <w:i/>
              </w:rPr>
              <w:t>et al</w:t>
            </w:r>
            <w:r w:rsidRPr="00C70803">
              <w:t>.</w:t>
            </w:r>
            <w:r>
              <w:rPr>
                <w:rStyle w:val="FootnoteReference"/>
              </w:rPr>
              <w:footnoteReference w:id="76"/>
            </w:r>
            <w:r w:rsidRPr="00C70803">
              <w:t xml:space="preserve">. The base case analysis assumes only FDR (assuming that SDRs are only eligible for testing, if a variant has been found in the FDR). Scenario analysis is presented with both FDR and SDR (assuming SDR are eligible without testing in FDR). Sensitivity analysis varied number of family members tested per </w:t>
            </w:r>
            <w:r>
              <w:t>index case</w:t>
            </w:r>
            <w:r w:rsidRPr="00C70803">
              <w:t xml:space="preserve"> (1–6 first-degree family members, and 0–4 second-degree family members).</w:t>
            </w:r>
          </w:p>
        </w:tc>
      </w:tr>
      <w:tr w:rsidR="003B0883" w:rsidRPr="00E877C9" w14:paraId="0B316DD6" w14:textId="77777777" w:rsidTr="003B0883">
        <w:tc>
          <w:tcPr>
            <w:tcW w:w="1555" w:type="dxa"/>
          </w:tcPr>
          <w:p w14:paraId="42AB071E" w14:textId="77777777" w:rsidR="003B0883" w:rsidRPr="00E877C9" w:rsidRDefault="003B0883" w:rsidP="003B0883">
            <w:pPr>
              <w:pStyle w:val="TableText0"/>
            </w:pPr>
            <w:r w:rsidRPr="00E877C9">
              <w:t>Yield in cascade genetic screening</w:t>
            </w:r>
          </w:p>
        </w:tc>
        <w:tc>
          <w:tcPr>
            <w:tcW w:w="2054" w:type="dxa"/>
          </w:tcPr>
          <w:p w14:paraId="363CF259" w14:textId="77777777" w:rsidR="003B0883" w:rsidRPr="00E877C9" w:rsidRDefault="003B0883" w:rsidP="003B0883">
            <w:pPr>
              <w:pStyle w:val="TableText0"/>
            </w:pPr>
            <w:r w:rsidRPr="00E877C9">
              <w:t>FDR: 50%</w:t>
            </w:r>
          </w:p>
          <w:p w14:paraId="5B2A221D" w14:textId="77777777" w:rsidR="003B0883" w:rsidRPr="00E877C9" w:rsidRDefault="003B0883" w:rsidP="003B0883">
            <w:pPr>
              <w:pStyle w:val="TableText0"/>
            </w:pPr>
            <w:r w:rsidRPr="00E877C9">
              <w:t>3FDR+1SDR: 43.8%</w:t>
            </w:r>
          </w:p>
        </w:tc>
        <w:tc>
          <w:tcPr>
            <w:tcW w:w="5407" w:type="dxa"/>
          </w:tcPr>
          <w:p w14:paraId="7A6B8DF2" w14:textId="77777777" w:rsidR="003B0883" w:rsidRPr="00E877C9" w:rsidRDefault="003B0883" w:rsidP="003B0883">
            <w:pPr>
              <w:pStyle w:val="TableText0"/>
            </w:pPr>
            <w:r w:rsidRPr="00C70803">
              <w:t xml:space="preserve">Assuming Mendelian inheritance patterns, weighted by the relationship to </w:t>
            </w:r>
            <w:r>
              <w:t>index cases</w:t>
            </w:r>
            <w:r w:rsidRPr="00C70803">
              <w:t xml:space="preserve"> of those who undertook cascade screening. A sensitivity analysis is presented assuming the yield reported in CIDRNZ (53%)</w:t>
            </w:r>
            <w:r>
              <w:rPr>
                <w:rStyle w:val="FootnoteReference"/>
              </w:rPr>
              <w:footnoteReference w:id="77"/>
            </w:r>
            <w:r>
              <w:t>.</w:t>
            </w:r>
          </w:p>
        </w:tc>
      </w:tr>
      <w:tr w:rsidR="003B0883" w:rsidRPr="00E877C9" w14:paraId="6AF34E1E" w14:textId="77777777" w:rsidTr="003B0883">
        <w:tc>
          <w:tcPr>
            <w:tcW w:w="1555" w:type="dxa"/>
          </w:tcPr>
          <w:p w14:paraId="024F5408" w14:textId="77777777" w:rsidR="003B0883" w:rsidRPr="00E877C9" w:rsidRDefault="003B0883" w:rsidP="003B0883">
            <w:pPr>
              <w:pStyle w:val="TableText0"/>
            </w:pPr>
            <w:r w:rsidRPr="00E877C9">
              <w:t>Mean cohort age of the family members</w:t>
            </w:r>
          </w:p>
        </w:tc>
        <w:tc>
          <w:tcPr>
            <w:tcW w:w="2054" w:type="dxa"/>
          </w:tcPr>
          <w:p w14:paraId="38576D9B" w14:textId="77777777" w:rsidR="003B0883" w:rsidRPr="00E877C9" w:rsidRDefault="003B0883" w:rsidP="003B0883">
            <w:pPr>
              <w:pStyle w:val="TableText0"/>
            </w:pPr>
            <w:r w:rsidRPr="00E877C9">
              <w:t>25 years</w:t>
            </w:r>
          </w:p>
        </w:tc>
        <w:tc>
          <w:tcPr>
            <w:tcW w:w="5407" w:type="dxa"/>
          </w:tcPr>
          <w:p w14:paraId="0D149DB8" w14:textId="77777777" w:rsidR="003B0883" w:rsidRPr="00E877C9" w:rsidRDefault="003B0883" w:rsidP="003B0883">
            <w:pPr>
              <w:pStyle w:val="TableText0"/>
            </w:pPr>
            <w:r w:rsidRPr="00C70803">
              <w:t xml:space="preserve">The mean age of the family members participating in cascade </w:t>
            </w:r>
            <w:r>
              <w:t>testing</w:t>
            </w:r>
            <w:r w:rsidRPr="00C70803">
              <w:t xml:space="preserve"> is assumed to be 25 years as reported</w:t>
            </w:r>
            <w:r>
              <w:rPr>
                <w:rStyle w:val="FootnoteReference"/>
              </w:rPr>
              <w:footnoteReference w:id="78"/>
            </w:r>
            <w:r w:rsidRPr="00C70803">
              <w:t>. Sensitivity analysis presents the results with mean cohort age of 8 years for the family members.</w:t>
            </w:r>
          </w:p>
        </w:tc>
      </w:tr>
      <w:tr w:rsidR="003B0883" w:rsidRPr="00E877C9" w14:paraId="0BA16C86" w14:textId="77777777" w:rsidTr="003B0883">
        <w:tc>
          <w:tcPr>
            <w:tcW w:w="1555" w:type="dxa"/>
          </w:tcPr>
          <w:p w14:paraId="1308D088" w14:textId="77777777" w:rsidR="003B0883" w:rsidRPr="00E877C9" w:rsidRDefault="003B0883" w:rsidP="003B0883">
            <w:pPr>
              <w:pStyle w:val="TableText0"/>
            </w:pPr>
            <w:r w:rsidRPr="00E877C9">
              <w:t>Surveillance interval</w:t>
            </w:r>
          </w:p>
        </w:tc>
        <w:tc>
          <w:tcPr>
            <w:tcW w:w="2054" w:type="dxa"/>
          </w:tcPr>
          <w:p w14:paraId="5434C028" w14:textId="77777777" w:rsidR="003B0883" w:rsidRPr="00E877C9" w:rsidRDefault="003B0883" w:rsidP="003B0883">
            <w:pPr>
              <w:pStyle w:val="TableText0"/>
            </w:pPr>
            <w:r w:rsidRPr="00E877C9">
              <w:t>Biennial</w:t>
            </w:r>
          </w:p>
        </w:tc>
        <w:tc>
          <w:tcPr>
            <w:tcW w:w="5407" w:type="dxa"/>
          </w:tcPr>
          <w:p w14:paraId="06BC94B4" w14:textId="77777777" w:rsidR="003B0883" w:rsidRPr="00E877C9" w:rsidRDefault="003B0883" w:rsidP="003B0883">
            <w:pPr>
              <w:pStyle w:val="TableText0"/>
            </w:pPr>
            <w:r w:rsidRPr="00C70803">
              <w:t>The PICO suggested annual lifelong surveillance for family members who are genotype positive or in family members where the familial variant is unknown. As a conservative approach, the base-case analysis assumes clinical screening for monitoring occurs every two years as some of the MBS items in the surveillance are limited to one claim per two years. Surveillance interval varying from 1–5 years is assessed in the sensitivity analysis.</w:t>
            </w:r>
          </w:p>
        </w:tc>
      </w:tr>
      <w:tr w:rsidR="003B0883" w:rsidRPr="00E877C9" w14:paraId="6DD9FA89" w14:textId="77777777" w:rsidTr="003B0883">
        <w:tc>
          <w:tcPr>
            <w:tcW w:w="1555" w:type="dxa"/>
          </w:tcPr>
          <w:p w14:paraId="4ACD0DD2" w14:textId="77777777" w:rsidR="003B0883" w:rsidRPr="00E877C9" w:rsidRDefault="003B0883" w:rsidP="003B0883">
            <w:pPr>
              <w:pStyle w:val="TableText0"/>
            </w:pPr>
            <w:r w:rsidRPr="00E877C9">
              <w:t>Mortality</w:t>
            </w:r>
          </w:p>
        </w:tc>
        <w:tc>
          <w:tcPr>
            <w:tcW w:w="2054" w:type="dxa"/>
          </w:tcPr>
          <w:p w14:paraId="37981385" w14:textId="77777777" w:rsidR="003B0883" w:rsidRPr="00E877C9" w:rsidRDefault="003B0883" w:rsidP="003B0883">
            <w:pPr>
              <w:pStyle w:val="TableText0"/>
            </w:pPr>
            <w:r w:rsidRPr="00E877C9">
              <w:t>Age-specific</w:t>
            </w:r>
          </w:p>
        </w:tc>
        <w:tc>
          <w:tcPr>
            <w:tcW w:w="5407" w:type="dxa"/>
          </w:tcPr>
          <w:p w14:paraId="6031B42D" w14:textId="77777777" w:rsidR="003B0883" w:rsidRPr="00E877C9" w:rsidRDefault="003B0883" w:rsidP="003B0883">
            <w:pPr>
              <w:pStyle w:val="TableText0"/>
            </w:pPr>
            <w:r w:rsidRPr="00C70803">
              <w:t xml:space="preserve">In the base-case analysis age-specific mortality rate observed in the general population is applied to all modelled </w:t>
            </w:r>
            <w:r w:rsidRPr="00EF51FF">
              <w:t>subgroups (Australian Bureau of Statistics [ABS] 2019).</w:t>
            </w:r>
          </w:p>
        </w:tc>
      </w:tr>
      <w:tr w:rsidR="003B0883" w:rsidRPr="00E877C9" w14:paraId="0533ED81" w14:textId="77777777" w:rsidTr="003B0883">
        <w:tc>
          <w:tcPr>
            <w:tcW w:w="1555" w:type="dxa"/>
          </w:tcPr>
          <w:p w14:paraId="5E6D51F4" w14:textId="77777777" w:rsidR="003B0883" w:rsidRPr="00E877C9" w:rsidRDefault="003B0883" w:rsidP="003B0883">
            <w:pPr>
              <w:pStyle w:val="TableText0"/>
            </w:pPr>
            <w:r>
              <w:t>Genetic counselling uptake rate</w:t>
            </w:r>
          </w:p>
        </w:tc>
        <w:tc>
          <w:tcPr>
            <w:tcW w:w="2054" w:type="dxa"/>
          </w:tcPr>
          <w:p w14:paraId="22EDE4F8" w14:textId="77777777" w:rsidR="003B0883" w:rsidRPr="00E877C9" w:rsidRDefault="003B0883" w:rsidP="003B0883">
            <w:pPr>
              <w:pStyle w:val="TableText0"/>
            </w:pPr>
            <w:r>
              <w:t>Affected individuals</w:t>
            </w:r>
            <w:r w:rsidRPr="00E877C9">
              <w:t xml:space="preserve">: </w:t>
            </w:r>
            <w:r w:rsidRPr="00754CF9">
              <w:t>26.3</w:t>
            </w:r>
            <w:r w:rsidRPr="00C9541A">
              <w:t>%.</w:t>
            </w:r>
            <w:r>
              <w:t xml:space="preserve"> Relatives: pre-test 100%, post-test 50%</w:t>
            </w:r>
          </w:p>
        </w:tc>
        <w:tc>
          <w:tcPr>
            <w:tcW w:w="5407" w:type="dxa"/>
          </w:tcPr>
          <w:p w14:paraId="1B75C414" w14:textId="77777777" w:rsidR="003B0883" w:rsidRDefault="003B0883" w:rsidP="003B0883">
            <w:pPr>
              <w:pStyle w:val="TableText0"/>
            </w:pPr>
            <w:r>
              <w:t>Affected individuals: those who test positive (i.e. index cases).</w:t>
            </w:r>
          </w:p>
          <w:p w14:paraId="0FEFFFC5" w14:textId="77777777" w:rsidR="003B0883" w:rsidRPr="00C70803" w:rsidRDefault="003B0883" w:rsidP="003B0883">
            <w:pPr>
              <w:pStyle w:val="TableText0"/>
            </w:pPr>
            <w:r>
              <w:t>Family members: pre-test for all undergoing testing, post-test for those who test positive (DCAR technical document, p 161).</w:t>
            </w:r>
          </w:p>
        </w:tc>
      </w:tr>
      <w:tr w:rsidR="003B0883" w:rsidRPr="00E877C9" w14:paraId="764BD108" w14:textId="77777777" w:rsidTr="003B0883">
        <w:tc>
          <w:tcPr>
            <w:tcW w:w="9016" w:type="dxa"/>
            <w:gridSpan w:val="3"/>
          </w:tcPr>
          <w:p w14:paraId="342B2589" w14:textId="77777777" w:rsidR="003B0883" w:rsidRPr="00E877C9" w:rsidRDefault="003B0883" w:rsidP="003B0883">
            <w:pPr>
              <w:pStyle w:val="TableText0"/>
            </w:pPr>
            <w:r w:rsidRPr="00E877C9">
              <w:t>Costs</w:t>
            </w:r>
          </w:p>
        </w:tc>
      </w:tr>
      <w:tr w:rsidR="003B0883" w:rsidRPr="00E877C9" w14:paraId="65295298" w14:textId="77777777" w:rsidTr="003B0883">
        <w:tc>
          <w:tcPr>
            <w:tcW w:w="1555" w:type="dxa"/>
          </w:tcPr>
          <w:p w14:paraId="559F1F0F" w14:textId="77777777" w:rsidR="003B0883" w:rsidRPr="00E877C9" w:rsidRDefault="003B0883" w:rsidP="003B0883">
            <w:pPr>
              <w:pStyle w:val="TableText0"/>
            </w:pPr>
            <w:r w:rsidRPr="00E877C9">
              <w:t>Proposed genetic testing</w:t>
            </w:r>
          </w:p>
        </w:tc>
        <w:tc>
          <w:tcPr>
            <w:tcW w:w="2054" w:type="dxa"/>
          </w:tcPr>
          <w:p w14:paraId="547765BA" w14:textId="77777777" w:rsidR="003B0883" w:rsidRPr="00E877C9" w:rsidRDefault="003B0883" w:rsidP="003B0883">
            <w:pPr>
              <w:pStyle w:val="TableText0"/>
            </w:pPr>
            <w:r>
              <w:t>Affected individuals</w:t>
            </w:r>
            <w:r w:rsidRPr="00E877C9">
              <w:t>: $1,200</w:t>
            </w:r>
          </w:p>
          <w:p w14:paraId="03868443" w14:textId="77777777" w:rsidR="003B0883" w:rsidRPr="00E877C9" w:rsidRDefault="003B0883" w:rsidP="003B0883">
            <w:pPr>
              <w:pStyle w:val="TableText0"/>
            </w:pPr>
            <w:r w:rsidRPr="00E877C9">
              <w:t>Relatives: $400</w:t>
            </w:r>
          </w:p>
        </w:tc>
        <w:tc>
          <w:tcPr>
            <w:tcW w:w="5407" w:type="dxa"/>
          </w:tcPr>
          <w:p w14:paraId="5A8CC333" w14:textId="77777777" w:rsidR="003B0883" w:rsidRPr="00E877C9" w:rsidRDefault="003B0883" w:rsidP="003B0883">
            <w:pPr>
              <w:pStyle w:val="TableText0"/>
            </w:pPr>
            <w:r w:rsidRPr="00C70803">
              <w:t xml:space="preserve">Proposed fees. </w:t>
            </w:r>
          </w:p>
        </w:tc>
      </w:tr>
      <w:tr w:rsidR="003B0883" w:rsidRPr="00E877C9" w14:paraId="4C6D597D" w14:textId="77777777" w:rsidTr="003B0883">
        <w:tc>
          <w:tcPr>
            <w:tcW w:w="1555" w:type="dxa"/>
          </w:tcPr>
          <w:p w14:paraId="7D526D9A" w14:textId="77777777" w:rsidR="003B0883" w:rsidRPr="00E877C9" w:rsidRDefault="003B0883" w:rsidP="003B0883">
            <w:pPr>
              <w:pStyle w:val="TableText0"/>
            </w:pPr>
            <w:r w:rsidRPr="00E877C9">
              <w:t>Genetic counselling</w:t>
            </w:r>
          </w:p>
        </w:tc>
        <w:tc>
          <w:tcPr>
            <w:tcW w:w="2054" w:type="dxa"/>
          </w:tcPr>
          <w:p w14:paraId="5E43ABB9" w14:textId="77777777" w:rsidR="003B0883" w:rsidRPr="00E877C9" w:rsidRDefault="003B0883" w:rsidP="003B0883">
            <w:pPr>
              <w:pStyle w:val="TableText0"/>
            </w:pPr>
            <w:r w:rsidRPr="00E877C9">
              <w:t>Initial: $157.95</w:t>
            </w:r>
          </w:p>
          <w:p w14:paraId="651FBEEF" w14:textId="77777777" w:rsidR="003B0883" w:rsidRPr="00E877C9" w:rsidRDefault="003B0883" w:rsidP="003B0883">
            <w:pPr>
              <w:pStyle w:val="TableText0"/>
            </w:pPr>
            <w:r w:rsidRPr="00E877C9">
              <w:t>Subsequent: $79.05</w:t>
            </w:r>
          </w:p>
        </w:tc>
        <w:tc>
          <w:tcPr>
            <w:tcW w:w="5407" w:type="dxa"/>
          </w:tcPr>
          <w:p w14:paraId="0DECB1CA" w14:textId="77777777" w:rsidR="003B0883" w:rsidRPr="00E877C9" w:rsidRDefault="003B0883" w:rsidP="003B0883">
            <w:pPr>
              <w:pStyle w:val="TableText0"/>
            </w:pPr>
            <w:r w:rsidRPr="00C70803">
              <w:t xml:space="preserve">Based on MBS items 110 and 116. </w:t>
            </w:r>
          </w:p>
        </w:tc>
      </w:tr>
      <w:tr w:rsidR="003B0883" w:rsidRPr="00E877C9" w14:paraId="0EC245FD" w14:textId="77777777" w:rsidTr="003B0883">
        <w:tc>
          <w:tcPr>
            <w:tcW w:w="1555" w:type="dxa"/>
          </w:tcPr>
          <w:p w14:paraId="1A0EF8B7" w14:textId="77777777" w:rsidR="003B0883" w:rsidRPr="00E877C9" w:rsidRDefault="003B0883" w:rsidP="003B0883">
            <w:pPr>
              <w:pStyle w:val="TableText0"/>
            </w:pPr>
            <w:r w:rsidRPr="00E877C9">
              <w:t>Clinical screening or surveillance</w:t>
            </w:r>
          </w:p>
        </w:tc>
        <w:tc>
          <w:tcPr>
            <w:tcW w:w="2054" w:type="dxa"/>
          </w:tcPr>
          <w:p w14:paraId="4B6831F6" w14:textId="77777777" w:rsidR="003B0883" w:rsidRPr="00E877C9" w:rsidRDefault="003B0883" w:rsidP="003B0883">
            <w:pPr>
              <w:pStyle w:val="TableText0"/>
            </w:pPr>
            <w:r w:rsidRPr="00E877C9">
              <w:t>$354.26</w:t>
            </w:r>
          </w:p>
        </w:tc>
        <w:tc>
          <w:tcPr>
            <w:tcW w:w="5407" w:type="dxa"/>
          </w:tcPr>
          <w:p w14:paraId="77518E05" w14:textId="77777777" w:rsidR="003B0883" w:rsidRPr="00E877C9" w:rsidRDefault="003B0883" w:rsidP="003B0883">
            <w:pPr>
              <w:pStyle w:val="TableText0"/>
            </w:pPr>
            <w:r w:rsidRPr="00C70803">
              <w:t>Calculated using fee and estimated use of resources (one unit each of MBS items 23, 110, 116 and 11704; and 11.75% and 16.53% units of MBS items 11716 and 11729 respectively).</w:t>
            </w:r>
            <w:r w:rsidRPr="001B4543">
              <w:rPr>
                <w:vertAlign w:val="superscript"/>
              </w:rPr>
              <w:t>a</w:t>
            </w:r>
          </w:p>
        </w:tc>
      </w:tr>
    </w:tbl>
    <w:p w14:paraId="4E03AB3D" w14:textId="77777777" w:rsidR="003B0883" w:rsidRPr="00E877C9" w:rsidRDefault="003B0883" w:rsidP="003B0883">
      <w:pPr>
        <w:pStyle w:val="Tablenotes1"/>
      </w:pPr>
      <w:r w:rsidRPr="00E877C9">
        <w:rPr>
          <w:vertAlign w:val="superscript"/>
        </w:rPr>
        <w:t xml:space="preserve">a </w:t>
      </w:r>
      <w:r w:rsidRPr="00E877C9">
        <w:t>Use of MBS items 11709 and 11712 relative to MBS 11700 (11.75% and 16.53% respectively), estimated using Medicare statistics data for years 2017–20 (all of these MBS items have been redefined in the MBS August 2020 schedule as 11704, 11716 and 11729).</w:t>
      </w:r>
    </w:p>
    <w:p w14:paraId="7DCD2311" w14:textId="77777777" w:rsidR="003B0883" w:rsidRDefault="003B0883" w:rsidP="003B0883">
      <w:pPr>
        <w:pStyle w:val="Tablenotes1"/>
      </w:pPr>
      <w:r w:rsidRPr="00E877C9">
        <w:t>CIDRNZ = Cardiac Inherited Diseases Registry New Zealand; FDR = first-degree relative; MBS = Medicare Benefits Schedule; SDR = second-degree relatives</w:t>
      </w:r>
    </w:p>
    <w:p w14:paraId="41C73032" w14:textId="77777777" w:rsidR="003B0883" w:rsidRPr="00E877C9" w:rsidRDefault="003B0883" w:rsidP="003B0883">
      <w:pPr>
        <w:pStyle w:val="Tablenotes1"/>
      </w:pPr>
      <w:r>
        <w:t xml:space="preserve">Source: DCAR, Table 18 (as updated in HTA group’s rejoinder to applicant’s pre-ESC response), including genetic counselling uptake rates used in modelling (DCAR, Table 26) </w:t>
      </w:r>
    </w:p>
    <w:p w14:paraId="7BFF0CE4" w14:textId="0417AE44" w:rsidR="003B0883" w:rsidRDefault="003B0883" w:rsidP="003B0883">
      <w:pPr>
        <w:tabs>
          <w:tab w:val="left" w:pos="720"/>
        </w:tabs>
      </w:pPr>
      <w:r w:rsidRPr="001730EC">
        <w:t xml:space="preserve">The overall costs and outcomes, and incremental costs and outcomes as calculated for the intervention and comparator in the model, using the base case assumptions, are shown in </w:t>
      </w:r>
      <w:r>
        <w:rPr>
          <w:highlight w:val="yellow"/>
        </w:rPr>
        <w:fldChar w:fldCharType="begin"/>
      </w:r>
      <w:r>
        <w:rPr>
          <w:highlight w:val="yellow"/>
        </w:rPr>
        <w:instrText xml:space="preserve"> REF _Ref49112964 </w:instrText>
      </w:r>
      <w:r>
        <w:rPr>
          <w:highlight w:val="yellow"/>
        </w:rPr>
        <w:fldChar w:fldCharType="separate"/>
      </w:r>
      <w:r w:rsidRPr="00D53A6F">
        <w:t xml:space="preserve">Table </w:t>
      </w:r>
      <w:r>
        <w:rPr>
          <w:noProof/>
        </w:rPr>
        <w:t>14</w:t>
      </w:r>
      <w:r>
        <w:rPr>
          <w:highlight w:val="yellow"/>
        </w:rPr>
        <w:fldChar w:fldCharType="end"/>
      </w:r>
      <w:r w:rsidR="008E097E">
        <w:t>.</w:t>
      </w:r>
    </w:p>
    <w:p w14:paraId="029E8A7B" w14:textId="0D465895" w:rsidR="003B0883" w:rsidRDefault="003B0883" w:rsidP="008E097E">
      <w:pPr>
        <w:pStyle w:val="Caption"/>
        <w:spacing w:before="240"/>
      </w:pPr>
      <w:bookmarkStart w:id="21" w:name="_Ref49112964"/>
      <w:r w:rsidRPr="00D53A6F">
        <w:t xml:space="preserve">Table </w:t>
      </w:r>
      <w:r w:rsidR="002C6DB1">
        <w:fldChar w:fldCharType="begin"/>
      </w:r>
      <w:r w:rsidR="002C6DB1">
        <w:instrText xml:space="preserve"> SEQ Table \* ARABIC </w:instrText>
      </w:r>
      <w:r w:rsidR="002C6DB1">
        <w:fldChar w:fldCharType="separate"/>
      </w:r>
      <w:r>
        <w:rPr>
          <w:noProof/>
        </w:rPr>
        <w:t>14</w:t>
      </w:r>
      <w:r w:rsidR="002C6DB1">
        <w:rPr>
          <w:noProof/>
        </w:rPr>
        <w:fldChar w:fldCharType="end"/>
      </w:r>
      <w:bookmarkEnd w:id="21"/>
      <w:r>
        <w:rPr>
          <w:noProof/>
        </w:rPr>
        <w:t xml:space="preserve">: </w:t>
      </w:r>
      <w:r w:rsidRPr="00D53A6F">
        <w:t>Incremental cost-effectiveness and cost-savings of genetic testing across various cohorts</w:t>
      </w:r>
    </w:p>
    <w:tbl>
      <w:tblPr>
        <w:tblStyle w:val="TableGrid"/>
        <w:tblW w:w="5000" w:type="pct"/>
        <w:tblLook w:val="04A0" w:firstRow="1" w:lastRow="0" w:firstColumn="1" w:lastColumn="0" w:noHBand="0" w:noVBand="1"/>
        <w:tblCaption w:val=" Incremental cost-effectiveness and cost-savings of genetic testing across various cohorts"/>
        <w:tblDescription w:val="Incremental cost-effectiveness and cost-savings of genetic testing across various cohorts"/>
      </w:tblPr>
      <w:tblGrid>
        <w:gridCol w:w="2546"/>
        <w:gridCol w:w="1417"/>
        <w:gridCol w:w="1562"/>
        <w:gridCol w:w="1132"/>
        <w:gridCol w:w="2359"/>
      </w:tblGrid>
      <w:tr w:rsidR="003B0883" w:rsidRPr="001730EC" w14:paraId="1CD49029" w14:textId="77777777" w:rsidTr="003B0883">
        <w:trPr>
          <w:tblHeader/>
        </w:trPr>
        <w:tc>
          <w:tcPr>
            <w:tcW w:w="1412" w:type="pct"/>
            <w:tcBorders>
              <w:bottom w:val="single" w:sz="4" w:space="0" w:color="auto"/>
            </w:tcBorders>
          </w:tcPr>
          <w:p w14:paraId="173349B5" w14:textId="77777777" w:rsidR="003B0883" w:rsidRPr="001730EC" w:rsidRDefault="003B0883" w:rsidP="003B0883">
            <w:pPr>
              <w:pStyle w:val="Tabletextboldleft"/>
            </w:pPr>
          </w:p>
        </w:tc>
        <w:tc>
          <w:tcPr>
            <w:tcW w:w="786" w:type="pct"/>
            <w:tcBorders>
              <w:bottom w:val="single" w:sz="4" w:space="0" w:color="auto"/>
            </w:tcBorders>
          </w:tcPr>
          <w:p w14:paraId="259F6100" w14:textId="77777777" w:rsidR="003B0883" w:rsidRPr="001730EC" w:rsidRDefault="003B0883" w:rsidP="003B0883">
            <w:pPr>
              <w:pStyle w:val="Tabletextboldleft"/>
            </w:pPr>
            <w:r w:rsidRPr="001730EC">
              <w:t>Genetic test available</w:t>
            </w:r>
          </w:p>
        </w:tc>
        <w:tc>
          <w:tcPr>
            <w:tcW w:w="866" w:type="pct"/>
            <w:tcBorders>
              <w:bottom w:val="single" w:sz="4" w:space="0" w:color="auto"/>
            </w:tcBorders>
          </w:tcPr>
          <w:p w14:paraId="6E5908FA" w14:textId="77777777" w:rsidR="003B0883" w:rsidRPr="001730EC" w:rsidRDefault="003B0883" w:rsidP="003B0883">
            <w:pPr>
              <w:pStyle w:val="Tabletextboldleft"/>
            </w:pPr>
            <w:r w:rsidRPr="001730EC">
              <w:t>Genetic test not available</w:t>
            </w:r>
          </w:p>
        </w:tc>
        <w:tc>
          <w:tcPr>
            <w:tcW w:w="628" w:type="pct"/>
            <w:tcBorders>
              <w:bottom w:val="single" w:sz="4" w:space="0" w:color="auto"/>
            </w:tcBorders>
          </w:tcPr>
          <w:p w14:paraId="68BA3FB3" w14:textId="77777777" w:rsidR="003B0883" w:rsidRPr="001730EC" w:rsidRDefault="003B0883" w:rsidP="003B0883">
            <w:pPr>
              <w:pStyle w:val="Tabletextboldleft"/>
            </w:pPr>
            <w:r w:rsidRPr="001730EC">
              <w:t>Increment</w:t>
            </w:r>
          </w:p>
        </w:tc>
        <w:tc>
          <w:tcPr>
            <w:tcW w:w="1308" w:type="pct"/>
            <w:tcBorders>
              <w:bottom w:val="single" w:sz="4" w:space="0" w:color="auto"/>
            </w:tcBorders>
          </w:tcPr>
          <w:p w14:paraId="4C2AB0FC" w14:textId="77777777" w:rsidR="003B0883" w:rsidRPr="001730EC" w:rsidRDefault="003B0883" w:rsidP="003B0883">
            <w:pPr>
              <w:pStyle w:val="Tabletextboldleft"/>
            </w:pPr>
            <w:r w:rsidRPr="001730EC">
              <w:t>ICER</w:t>
            </w:r>
          </w:p>
        </w:tc>
      </w:tr>
      <w:tr w:rsidR="003B0883" w:rsidRPr="001730EC" w14:paraId="51E40CA1" w14:textId="77777777" w:rsidTr="003B0883">
        <w:tc>
          <w:tcPr>
            <w:tcW w:w="1412" w:type="pct"/>
            <w:tcBorders>
              <w:right w:val="nil"/>
            </w:tcBorders>
          </w:tcPr>
          <w:p w14:paraId="21AB3BDB" w14:textId="77777777" w:rsidR="003B0883" w:rsidRPr="001730EC" w:rsidRDefault="003B0883" w:rsidP="003B0883">
            <w:pPr>
              <w:pStyle w:val="Tabletextcentred"/>
              <w:jc w:val="left"/>
            </w:pPr>
            <w:r>
              <w:t>Affected individuals</w:t>
            </w:r>
            <w:r w:rsidRPr="001730EC">
              <w:t xml:space="preserve"> only</w:t>
            </w:r>
          </w:p>
        </w:tc>
        <w:tc>
          <w:tcPr>
            <w:tcW w:w="786" w:type="pct"/>
            <w:tcBorders>
              <w:left w:val="nil"/>
              <w:right w:val="nil"/>
            </w:tcBorders>
          </w:tcPr>
          <w:p w14:paraId="4123F48F" w14:textId="77777777" w:rsidR="003B0883" w:rsidRPr="001730EC" w:rsidRDefault="003B0883" w:rsidP="003B0883">
            <w:pPr>
              <w:pStyle w:val="Tabletextcentred"/>
              <w:jc w:val="left"/>
            </w:pPr>
          </w:p>
        </w:tc>
        <w:tc>
          <w:tcPr>
            <w:tcW w:w="866" w:type="pct"/>
            <w:tcBorders>
              <w:left w:val="nil"/>
              <w:right w:val="nil"/>
            </w:tcBorders>
          </w:tcPr>
          <w:p w14:paraId="1B69EE0A" w14:textId="77777777" w:rsidR="003B0883" w:rsidRPr="001730EC" w:rsidRDefault="003B0883" w:rsidP="003B0883">
            <w:pPr>
              <w:pStyle w:val="Tabletextcentred"/>
              <w:jc w:val="left"/>
            </w:pPr>
          </w:p>
        </w:tc>
        <w:tc>
          <w:tcPr>
            <w:tcW w:w="628" w:type="pct"/>
            <w:tcBorders>
              <w:left w:val="nil"/>
              <w:right w:val="nil"/>
            </w:tcBorders>
          </w:tcPr>
          <w:p w14:paraId="49DDB22D" w14:textId="77777777" w:rsidR="003B0883" w:rsidRPr="001730EC" w:rsidRDefault="003B0883" w:rsidP="003B0883">
            <w:pPr>
              <w:pStyle w:val="Tabletextcentred"/>
              <w:jc w:val="left"/>
            </w:pPr>
          </w:p>
        </w:tc>
        <w:tc>
          <w:tcPr>
            <w:tcW w:w="1308" w:type="pct"/>
            <w:tcBorders>
              <w:left w:val="nil"/>
              <w:right w:val="nil"/>
            </w:tcBorders>
          </w:tcPr>
          <w:p w14:paraId="59093932" w14:textId="77777777" w:rsidR="003B0883" w:rsidRPr="001730EC" w:rsidRDefault="003B0883" w:rsidP="003B0883">
            <w:pPr>
              <w:pStyle w:val="Tabletextcentred"/>
              <w:jc w:val="left"/>
            </w:pPr>
          </w:p>
        </w:tc>
      </w:tr>
      <w:tr w:rsidR="003B0883" w:rsidRPr="001730EC" w14:paraId="1BC65C93" w14:textId="77777777" w:rsidTr="003B0883">
        <w:tc>
          <w:tcPr>
            <w:tcW w:w="1412" w:type="pct"/>
            <w:tcBorders>
              <w:bottom w:val="single" w:sz="4" w:space="0" w:color="auto"/>
            </w:tcBorders>
          </w:tcPr>
          <w:p w14:paraId="34C551AF" w14:textId="77777777" w:rsidR="003B0883" w:rsidRPr="001730EC" w:rsidRDefault="003B0883" w:rsidP="003B0883">
            <w:pPr>
              <w:pStyle w:val="Tabletextcentred"/>
              <w:jc w:val="left"/>
            </w:pPr>
            <w:r w:rsidRPr="001730EC">
              <w:t>Costs</w:t>
            </w:r>
          </w:p>
        </w:tc>
        <w:tc>
          <w:tcPr>
            <w:tcW w:w="786" w:type="pct"/>
            <w:tcBorders>
              <w:bottom w:val="single" w:sz="4" w:space="0" w:color="auto"/>
            </w:tcBorders>
          </w:tcPr>
          <w:p w14:paraId="10DB6E35" w14:textId="77777777" w:rsidR="003B0883" w:rsidRPr="001730EC" w:rsidRDefault="003B0883" w:rsidP="003B0883">
            <w:pPr>
              <w:pStyle w:val="Tabletextcentred"/>
              <w:jc w:val="left"/>
            </w:pPr>
            <w:r w:rsidRPr="001730EC">
              <w:t>$1,242</w:t>
            </w:r>
          </w:p>
        </w:tc>
        <w:tc>
          <w:tcPr>
            <w:tcW w:w="866" w:type="pct"/>
            <w:tcBorders>
              <w:bottom w:val="single" w:sz="4" w:space="0" w:color="auto"/>
            </w:tcBorders>
          </w:tcPr>
          <w:p w14:paraId="4D1FB39B" w14:textId="77777777" w:rsidR="003B0883" w:rsidRPr="001730EC" w:rsidRDefault="003B0883" w:rsidP="003B0883">
            <w:pPr>
              <w:pStyle w:val="Tabletextcentred"/>
              <w:jc w:val="left"/>
            </w:pPr>
            <w:r w:rsidRPr="001730EC">
              <w:t>$0</w:t>
            </w:r>
          </w:p>
        </w:tc>
        <w:tc>
          <w:tcPr>
            <w:tcW w:w="628" w:type="pct"/>
            <w:tcBorders>
              <w:bottom w:val="single" w:sz="4" w:space="0" w:color="auto"/>
            </w:tcBorders>
          </w:tcPr>
          <w:p w14:paraId="543A1EAB" w14:textId="77777777" w:rsidR="003B0883" w:rsidRPr="001730EC" w:rsidRDefault="003B0883" w:rsidP="003B0883">
            <w:pPr>
              <w:pStyle w:val="Tabletextcentred"/>
              <w:jc w:val="left"/>
            </w:pPr>
            <w:r w:rsidRPr="001730EC">
              <w:t>$1,242</w:t>
            </w:r>
          </w:p>
        </w:tc>
        <w:tc>
          <w:tcPr>
            <w:tcW w:w="1308" w:type="pct"/>
            <w:tcBorders>
              <w:bottom w:val="single" w:sz="4" w:space="0" w:color="auto"/>
            </w:tcBorders>
          </w:tcPr>
          <w:p w14:paraId="54B76C66" w14:textId="77777777" w:rsidR="003B0883" w:rsidRPr="001730EC" w:rsidRDefault="003B0883" w:rsidP="003B0883">
            <w:pPr>
              <w:pStyle w:val="Tabletextcentred"/>
              <w:jc w:val="left"/>
            </w:pPr>
          </w:p>
        </w:tc>
      </w:tr>
      <w:tr w:rsidR="003B0883" w:rsidRPr="001730EC" w14:paraId="70C217D1" w14:textId="77777777" w:rsidTr="003B0883">
        <w:tc>
          <w:tcPr>
            <w:tcW w:w="1412" w:type="pct"/>
            <w:tcBorders>
              <w:bottom w:val="single" w:sz="4" w:space="0" w:color="auto"/>
            </w:tcBorders>
          </w:tcPr>
          <w:p w14:paraId="23DA2CE0" w14:textId="77777777" w:rsidR="003B0883" w:rsidRPr="001730EC" w:rsidRDefault="003B0883" w:rsidP="003B0883">
            <w:pPr>
              <w:pStyle w:val="Tabletextcentred"/>
              <w:jc w:val="left"/>
              <w:rPr>
                <w:vertAlign w:val="superscript"/>
              </w:rPr>
            </w:pPr>
            <w:r w:rsidRPr="001730EC">
              <w:t>Variants identified</w:t>
            </w:r>
            <w:r w:rsidRPr="001730EC">
              <w:rPr>
                <w:vertAlign w:val="superscript"/>
              </w:rPr>
              <w:t xml:space="preserve"> a</w:t>
            </w:r>
          </w:p>
        </w:tc>
        <w:tc>
          <w:tcPr>
            <w:tcW w:w="786" w:type="pct"/>
            <w:tcBorders>
              <w:bottom w:val="single" w:sz="4" w:space="0" w:color="auto"/>
            </w:tcBorders>
          </w:tcPr>
          <w:p w14:paraId="03F84D11" w14:textId="77777777" w:rsidR="003B0883" w:rsidRPr="00C9541A" w:rsidRDefault="003B0883" w:rsidP="003B0883">
            <w:pPr>
              <w:pStyle w:val="Tabletextcentred"/>
              <w:jc w:val="left"/>
            </w:pPr>
            <w:r w:rsidRPr="00754CF9">
              <w:t>0.263</w:t>
            </w:r>
          </w:p>
        </w:tc>
        <w:tc>
          <w:tcPr>
            <w:tcW w:w="866" w:type="pct"/>
            <w:tcBorders>
              <w:bottom w:val="single" w:sz="4" w:space="0" w:color="auto"/>
            </w:tcBorders>
          </w:tcPr>
          <w:p w14:paraId="67B147C9" w14:textId="77777777" w:rsidR="003B0883" w:rsidRPr="00C9541A" w:rsidRDefault="003B0883" w:rsidP="003B0883">
            <w:pPr>
              <w:pStyle w:val="Tabletextcentred"/>
              <w:jc w:val="left"/>
            </w:pPr>
            <w:r w:rsidRPr="00C9541A">
              <w:t>0.00</w:t>
            </w:r>
          </w:p>
        </w:tc>
        <w:tc>
          <w:tcPr>
            <w:tcW w:w="628" w:type="pct"/>
            <w:tcBorders>
              <w:bottom w:val="single" w:sz="4" w:space="0" w:color="auto"/>
            </w:tcBorders>
          </w:tcPr>
          <w:p w14:paraId="171BD638" w14:textId="77777777" w:rsidR="003B0883" w:rsidRPr="00C9541A" w:rsidRDefault="003B0883" w:rsidP="003B0883">
            <w:pPr>
              <w:pStyle w:val="Tabletextcentred"/>
              <w:jc w:val="left"/>
            </w:pPr>
            <w:r w:rsidRPr="00754CF9">
              <w:t>0.263</w:t>
            </w:r>
          </w:p>
        </w:tc>
        <w:tc>
          <w:tcPr>
            <w:tcW w:w="1308" w:type="pct"/>
            <w:tcBorders>
              <w:bottom w:val="single" w:sz="4" w:space="0" w:color="auto"/>
            </w:tcBorders>
          </w:tcPr>
          <w:p w14:paraId="21F5E0E9" w14:textId="77777777" w:rsidR="003B0883" w:rsidRPr="00C9541A" w:rsidRDefault="003B0883" w:rsidP="003B0883">
            <w:pPr>
              <w:pStyle w:val="Tabletextcentred"/>
              <w:jc w:val="left"/>
            </w:pPr>
            <w:r w:rsidRPr="00C9541A">
              <w:t>$</w:t>
            </w:r>
            <w:r w:rsidRPr="00754CF9">
              <w:t>4,721</w:t>
            </w:r>
            <w:r w:rsidRPr="00C9541A">
              <w:t xml:space="preserve"> / positive genotyping</w:t>
            </w:r>
          </w:p>
        </w:tc>
      </w:tr>
      <w:tr w:rsidR="003B0883" w:rsidRPr="001730EC" w14:paraId="76CA357D" w14:textId="77777777" w:rsidTr="003B0883">
        <w:tc>
          <w:tcPr>
            <w:tcW w:w="1412" w:type="pct"/>
            <w:tcBorders>
              <w:bottom w:val="single" w:sz="4" w:space="0" w:color="auto"/>
            </w:tcBorders>
          </w:tcPr>
          <w:p w14:paraId="6118B093" w14:textId="77777777" w:rsidR="003B0883" w:rsidRPr="001730EC" w:rsidRDefault="003B0883" w:rsidP="003B0883">
            <w:pPr>
              <w:pStyle w:val="Tabletextcentred"/>
              <w:jc w:val="left"/>
            </w:pPr>
            <w:r w:rsidRPr="001730EC">
              <w:t>Misdiagnosis averted</w:t>
            </w:r>
          </w:p>
        </w:tc>
        <w:tc>
          <w:tcPr>
            <w:tcW w:w="786" w:type="pct"/>
            <w:tcBorders>
              <w:bottom w:val="single" w:sz="4" w:space="0" w:color="auto"/>
            </w:tcBorders>
          </w:tcPr>
          <w:p w14:paraId="0B3AD6CA" w14:textId="77777777" w:rsidR="003B0883" w:rsidRPr="001730EC" w:rsidRDefault="003B0883" w:rsidP="003B0883">
            <w:pPr>
              <w:pStyle w:val="Tabletextcentred"/>
              <w:jc w:val="left"/>
            </w:pPr>
            <w:r w:rsidRPr="001730EC">
              <w:t>0.065</w:t>
            </w:r>
          </w:p>
        </w:tc>
        <w:tc>
          <w:tcPr>
            <w:tcW w:w="866" w:type="pct"/>
            <w:tcBorders>
              <w:bottom w:val="single" w:sz="4" w:space="0" w:color="auto"/>
            </w:tcBorders>
          </w:tcPr>
          <w:p w14:paraId="6B4EBF9F" w14:textId="77777777" w:rsidR="003B0883" w:rsidRPr="001730EC" w:rsidRDefault="003B0883" w:rsidP="003B0883">
            <w:pPr>
              <w:pStyle w:val="Tabletextcentred"/>
              <w:jc w:val="left"/>
            </w:pPr>
            <w:r w:rsidRPr="001730EC">
              <w:t>0.00</w:t>
            </w:r>
          </w:p>
        </w:tc>
        <w:tc>
          <w:tcPr>
            <w:tcW w:w="628" w:type="pct"/>
            <w:tcBorders>
              <w:bottom w:val="single" w:sz="4" w:space="0" w:color="auto"/>
            </w:tcBorders>
          </w:tcPr>
          <w:p w14:paraId="471A3876" w14:textId="77777777" w:rsidR="003B0883" w:rsidRPr="001730EC" w:rsidRDefault="003B0883" w:rsidP="003B0883">
            <w:pPr>
              <w:pStyle w:val="Tabletextcentred"/>
              <w:jc w:val="left"/>
            </w:pPr>
            <w:r w:rsidRPr="001730EC">
              <w:t>0.065</w:t>
            </w:r>
          </w:p>
        </w:tc>
        <w:tc>
          <w:tcPr>
            <w:tcW w:w="1308" w:type="pct"/>
            <w:tcBorders>
              <w:bottom w:val="single" w:sz="4" w:space="0" w:color="auto"/>
            </w:tcBorders>
          </w:tcPr>
          <w:p w14:paraId="53F4F0E4" w14:textId="77777777" w:rsidR="003B0883" w:rsidRPr="001730EC" w:rsidRDefault="003B0883" w:rsidP="003B0883">
            <w:pPr>
              <w:pStyle w:val="Tabletextcentred"/>
              <w:jc w:val="left"/>
            </w:pPr>
            <w:r w:rsidRPr="001730EC">
              <w:t xml:space="preserve">$19,101 / misdiagnosed </w:t>
            </w:r>
            <w:r>
              <w:t>affected individual</w:t>
            </w:r>
            <w:r w:rsidRPr="001730EC">
              <w:t xml:space="preserve"> identified</w:t>
            </w:r>
          </w:p>
        </w:tc>
      </w:tr>
      <w:tr w:rsidR="003B0883" w:rsidRPr="001730EC" w14:paraId="01B93604" w14:textId="77777777" w:rsidTr="003B0883">
        <w:tc>
          <w:tcPr>
            <w:tcW w:w="1412" w:type="pct"/>
            <w:tcBorders>
              <w:top w:val="single" w:sz="4" w:space="0" w:color="auto"/>
              <w:bottom w:val="single" w:sz="4" w:space="0" w:color="auto"/>
              <w:right w:val="nil"/>
            </w:tcBorders>
          </w:tcPr>
          <w:p w14:paraId="4672F45F" w14:textId="77777777" w:rsidR="003B0883" w:rsidRPr="001730EC" w:rsidRDefault="003B0883" w:rsidP="003B0883">
            <w:pPr>
              <w:pStyle w:val="Tabletextcentred"/>
              <w:jc w:val="left"/>
            </w:pPr>
            <w:r>
              <w:t>Affected individuals</w:t>
            </w:r>
            <w:r w:rsidRPr="001730EC">
              <w:t xml:space="preserve"> +FDR</w:t>
            </w:r>
          </w:p>
        </w:tc>
        <w:tc>
          <w:tcPr>
            <w:tcW w:w="786" w:type="pct"/>
            <w:tcBorders>
              <w:top w:val="single" w:sz="4" w:space="0" w:color="auto"/>
              <w:left w:val="nil"/>
              <w:bottom w:val="single" w:sz="4" w:space="0" w:color="auto"/>
              <w:right w:val="nil"/>
            </w:tcBorders>
          </w:tcPr>
          <w:p w14:paraId="4315B302" w14:textId="77777777" w:rsidR="003B0883" w:rsidRPr="001730EC" w:rsidRDefault="003B0883" w:rsidP="003B0883">
            <w:pPr>
              <w:pStyle w:val="Tabletextcentred"/>
              <w:jc w:val="left"/>
            </w:pPr>
          </w:p>
        </w:tc>
        <w:tc>
          <w:tcPr>
            <w:tcW w:w="866" w:type="pct"/>
            <w:tcBorders>
              <w:top w:val="single" w:sz="4" w:space="0" w:color="auto"/>
              <w:left w:val="nil"/>
              <w:bottom w:val="single" w:sz="4" w:space="0" w:color="auto"/>
              <w:right w:val="nil"/>
            </w:tcBorders>
          </w:tcPr>
          <w:p w14:paraId="32812D0B" w14:textId="77777777" w:rsidR="003B0883" w:rsidRPr="001730EC" w:rsidRDefault="003B0883" w:rsidP="003B0883">
            <w:pPr>
              <w:pStyle w:val="Tabletextcentred"/>
              <w:jc w:val="left"/>
            </w:pPr>
          </w:p>
        </w:tc>
        <w:tc>
          <w:tcPr>
            <w:tcW w:w="628" w:type="pct"/>
            <w:tcBorders>
              <w:top w:val="single" w:sz="4" w:space="0" w:color="auto"/>
              <w:left w:val="nil"/>
              <w:bottom w:val="single" w:sz="4" w:space="0" w:color="auto"/>
            </w:tcBorders>
          </w:tcPr>
          <w:p w14:paraId="20A9C641" w14:textId="77777777" w:rsidR="003B0883" w:rsidRPr="001730EC" w:rsidRDefault="003B0883" w:rsidP="003B0883">
            <w:pPr>
              <w:pStyle w:val="Tabletextcentred"/>
              <w:jc w:val="left"/>
              <w:rPr>
                <w:u w:val="single"/>
              </w:rPr>
            </w:pPr>
          </w:p>
        </w:tc>
        <w:tc>
          <w:tcPr>
            <w:tcW w:w="1308" w:type="pct"/>
            <w:tcBorders>
              <w:top w:val="single" w:sz="4" w:space="0" w:color="auto"/>
              <w:left w:val="nil"/>
              <w:bottom w:val="single" w:sz="4" w:space="0" w:color="auto"/>
            </w:tcBorders>
          </w:tcPr>
          <w:p w14:paraId="2C277B7D" w14:textId="77777777" w:rsidR="003B0883" w:rsidRPr="001730EC" w:rsidRDefault="003B0883" w:rsidP="003B0883">
            <w:pPr>
              <w:pStyle w:val="Tabletextcentred"/>
              <w:jc w:val="left"/>
            </w:pPr>
          </w:p>
        </w:tc>
      </w:tr>
      <w:tr w:rsidR="003B0883" w:rsidRPr="001730EC" w14:paraId="6EBC4365" w14:textId="77777777" w:rsidTr="003B0883">
        <w:tc>
          <w:tcPr>
            <w:tcW w:w="1412" w:type="pct"/>
            <w:tcBorders>
              <w:top w:val="single" w:sz="4" w:space="0" w:color="auto"/>
              <w:bottom w:val="nil"/>
              <w:right w:val="single" w:sz="4" w:space="0" w:color="auto"/>
            </w:tcBorders>
          </w:tcPr>
          <w:p w14:paraId="3959F57F" w14:textId="77777777" w:rsidR="003B0883" w:rsidRPr="001730EC" w:rsidRDefault="003B0883" w:rsidP="003B0883">
            <w:pPr>
              <w:pStyle w:val="Tabletextcentred"/>
              <w:jc w:val="left"/>
              <w:rPr>
                <w:vertAlign w:val="superscript"/>
              </w:rPr>
            </w:pPr>
            <w:r w:rsidRPr="001730EC">
              <w:t>Short-term costs</w:t>
            </w:r>
            <w:r w:rsidRPr="001730EC">
              <w:rPr>
                <w:vertAlign w:val="superscript"/>
              </w:rPr>
              <w:t xml:space="preserve"> b</w:t>
            </w:r>
          </w:p>
        </w:tc>
        <w:tc>
          <w:tcPr>
            <w:tcW w:w="786" w:type="pct"/>
            <w:tcBorders>
              <w:top w:val="single" w:sz="4" w:space="0" w:color="auto"/>
              <w:left w:val="single" w:sz="4" w:space="0" w:color="auto"/>
              <w:bottom w:val="nil"/>
              <w:right w:val="single" w:sz="4" w:space="0" w:color="auto"/>
            </w:tcBorders>
          </w:tcPr>
          <w:p w14:paraId="4B2BCBE6" w14:textId="77777777" w:rsidR="003B0883" w:rsidRPr="001730EC" w:rsidRDefault="003B0883" w:rsidP="003B0883">
            <w:pPr>
              <w:pStyle w:val="Tabletextcentred"/>
              <w:jc w:val="left"/>
            </w:pPr>
            <w:r w:rsidRPr="001730EC">
              <w:t>$2,682</w:t>
            </w:r>
          </w:p>
        </w:tc>
        <w:tc>
          <w:tcPr>
            <w:tcW w:w="866" w:type="pct"/>
            <w:tcBorders>
              <w:top w:val="single" w:sz="4" w:space="0" w:color="auto"/>
              <w:left w:val="single" w:sz="4" w:space="0" w:color="auto"/>
              <w:bottom w:val="nil"/>
              <w:right w:val="single" w:sz="4" w:space="0" w:color="auto"/>
            </w:tcBorders>
          </w:tcPr>
          <w:p w14:paraId="6A3A2153" w14:textId="77777777" w:rsidR="003B0883" w:rsidRPr="001730EC" w:rsidRDefault="003B0883" w:rsidP="003B0883">
            <w:pPr>
              <w:pStyle w:val="Tabletextcentred"/>
              <w:jc w:val="left"/>
            </w:pPr>
            <w:r w:rsidRPr="001730EC">
              <w:t>$1,063</w:t>
            </w:r>
          </w:p>
        </w:tc>
        <w:tc>
          <w:tcPr>
            <w:tcW w:w="628" w:type="pct"/>
            <w:tcBorders>
              <w:top w:val="single" w:sz="4" w:space="0" w:color="auto"/>
              <w:left w:val="single" w:sz="4" w:space="0" w:color="auto"/>
              <w:bottom w:val="nil"/>
              <w:right w:val="single" w:sz="4" w:space="0" w:color="auto"/>
            </w:tcBorders>
          </w:tcPr>
          <w:p w14:paraId="531D6722" w14:textId="77777777" w:rsidR="003B0883" w:rsidRPr="001730EC" w:rsidRDefault="003B0883" w:rsidP="003B0883">
            <w:pPr>
              <w:pStyle w:val="Tabletextcentred"/>
              <w:jc w:val="left"/>
            </w:pPr>
            <w:r w:rsidRPr="001730EC">
              <w:t>$1,619</w:t>
            </w:r>
          </w:p>
        </w:tc>
        <w:tc>
          <w:tcPr>
            <w:tcW w:w="1308" w:type="pct"/>
            <w:tcBorders>
              <w:top w:val="single" w:sz="4" w:space="0" w:color="auto"/>
              <w:left w:val="single" w:sz="4" w:space="0" w:color="auto"/>
              <w:bottom w:val="nil"/>
            </w:tcBorders>
          </w:tcPr>
          <w:p w14:paraId="2A0A7877" w14:textId="77777777" w:rsidR="003B0883" w:rsidRPr="001730EC" w:rsidRDefault="003B0883" w:rsidP="003B0883">
            <w:pPr>
              <w:pStyle w:val="Tabletextcentred"/>
              <w:jc w:val="left"/>
            </w:pPr>
          </w:p>
        </w:tc>
      </w:tr>
      <w:tr w:rsidR="003B0883" w:rsidRPr="001730EC" w14:paraId="31F6A8CE" w14:textId="77777777" w:rsidTr="003B0883">
        <w:tc>
          <w:tcPr>
            <w:tcW w:w="1412" w:type="pct"/>
            <w:tcBorders>
              <w:top w:val="nil"/>
              <w:bottom w:val="nil"/>
              <w:right w:val="single" w:sz="4" w:space="0" w:color="auto"/>
            </w:tcBorders>
          </w:tcPr>
          <w:p w14:paraId="4772758C" w14:textId="77777777" w:rsidR="003B0883" w:rsidRPr="001730EC" w:rsidRDefault="003B0883" w:rsidP="003B0883">
            <w:pPr>
              <w:pStyle w:val="Tabletextcentred"/>
              <w:jc w:val="left"/>
            </w:pPr>
            <w:r w:rsidRPr="001730EC">
              <w:t xml:space="preserve">     </w:t>
            </w:r>
            <w:r>
              <w:t>Affected individuals</w:t>
            </w:r>
            <w:r w:rsidRPr="001730EC">
              <w:t xml:space="preserve"> cost</w:t>
            </w:r>
          </w:p>
        </w:tc>
        <w:tc>
          <w:tcPr>
            <w:tcW w:w="786" w:type="pct"/>
            <w:tcBorders>
              <w:top w:val="nil"/>
              <w:left w:val="single" w:sz="4" w:space="0" w:color="auto"/>
              <w:bottom w:val="nil"/>
              <w:right w:val="single" w:sz="4" w:space="0" w:color="auto"/>
            </w:tcBorders>
          </w:tcPr>
          <w:p w14:paraId="0D145F71" w14:textId="77777777" w:rsidR="003B0883" w:rsidRPr="001730EC" w:rsidRDefault="003B0883" w:rsidP="003B0883">
            <w:pPr>
              <w:pStyle w:val="Tabletextcentred"/>
              <w:jc w:val="left"/>
            </w:pPr>
            <w:r w:rsidRPr="001730EC">
              <w:t>$1,242</w:t>
            </w:r>
          </w:p>
        </w:tc>
        <w:tc>
          <w:tcPr>
            <w:tcW w:w="866" w:type="pct"/>
            <w:tcBorders>
              <w:top w:val="nil"/>
              <w:left w:val="single" w:sz="4" w:space="0" w:color="auto"/>
              <w:bottom w:val="nil"/>
              <w:right w:val="single" w:sz="4" w:space="0" w:color="auto"/>
            </w:tcBorders>
          </w:tcPr>
          <w:p w14:paraId="619E34E3" w14:textId="77777777" w:rsidR="003B0883" w:rsidRPr="001730EC" w:rsidRDefault="003B0883" w:rsidP="003B0883">
            <w:pPr>
              <w:pStyle w:val="Tabletextcentred"/>
              <w:jc w:val="left"/>
            </w:pPr>
            <w:r w:rsidRPr="001730EC">
              <w:t>$0</w:t>
            </w:r>
          </w:p>
        </w:tc>
        <w:tc>
          <w:tcPr>
            <w:tcW w:w="628" w:type="pct"/>
            <w:tcBorders>
              <w:top w:val="nil"/>
              <w:left w:val="single" w:sz="4" w:space="0" w:color="auto"/>
              <w:bottom w:val="nil"/>
              <w:right w:val="single" w:sz="4" w:space="0" w:color="auto"/>
            </w:tcBorders>
          </w:tcPr>
          <w:p w14:paraId="0D5FC335" w14:textId="77777777" w:rsidR="003B0883" w:rsidRPr="001730EC" w:rsidRDefault="003B0883" w:rsidP="003B0883">
            <w:pPr>
              <w:pStyle w:val="Tabletextcentred"/>
              <w:jc w:val="left"/>
            </w:pPr>
            <w:r w:rsidRPr="001730EC">
              <w:t>$1,242</w:t>
            </w:r>
          </w:p>
        </w:tc>
        <w:tc>
          <w:tcPr>
            <w:tcW w:w="1308" w:type="pct"/>
            <w:tcBorders>
              <w:top w:val="nil"/>
              <w:left w:val="single" w:sz="4" w:space="0" w:color="auto"/>
              <w:bottom w:val="nil"/>
            </w:tcBorders>
          </w:tcPr>
          <w:p w14:paraId="2DD07A75" w14:textId="77777777" w:rsidR="003B0883" w:rsidRPr="001730EC" w:rsidRDefault="003B0883" w:rsidP="003B0883">
            <w:pPr>
              <w:pStyle w:val="Tabletextcentred"/>
              <w:jc w:val="left"/>
            </w:pPr>
          </w:p>
        </w:tc>
      </w:tr>
      <w:tr w:rsidR="003B0883" w:rsidRPr="001730EC" w14:paraId="46AE8D0E" w14:textId="77777777" w:rsidTr="003B0883">
        <w:tc>
          <w:tcPr>
            <w:tcW w:w="1412" w:type="pct"/>
            <w:tcBorders>
              <w:top w:val="nil"/>
              <w:bottom w:val="single" w:sz="4" w:space="0" w:color="auto"/>
              <w:right w:val="single" w:sz="4" w:space="0" w:color="auto"/>
            </w:tcBorders>
          </w:tcPr>
          <w:p w14:paraId="5EB6B98E" w14:textId="77777777" w:rsidR="003B0883" w:rsidRPr="001730EC" w:rsidRDefault="003B0883" w:rsidP="003B0883">
            <w:pPr>
              <w:pStyle w:val="Tabletextcentred"/>
              <w:jc w:val="left"/>
            </w:pPr>
            <w:r w:rsidRPr="001730EC">
              <w:t xml:space="preserve">     FDR</w:t>
            </w:r>
          </w:p>
        </w:tc>
        <w:tc>
          <w:tcPr>
            <w:tcW w:w="786" w:type="pct"/>
            <w:tcBorders>
              <w:top w:val="nil"/>
              <w:left w:val="single" w:sz="4" w:space="0" w:color="auto"/>
              <w:bottom w:val="single" w:sz="4" w:space="0" w:color="auto"/>
              <w:right w:val="single" w:sz="4" w:space="0" w:color="auto"/>
            </w:tcBorders>
          </w:tcPr>
          <w:p w14:paraId="22F96ACF" w14:textId="77777777" w:rsidR="003B0883" w:rsidRPr="001730EC" w:rsidRDefault="003B0883" w:rsidP="003B0883">
            <w:pPr>
              <w:pStyle w:val="Tabletextcentred"/>
              <w:jc w:val="left"/>
            </w:pPr>
            <w:r w:rsidRPr="001730EC">
              <w:t>$1,441</w:t>
            </w:r>
          </w:p>
        </w:tc>
        <w:tc>
          <w:tcPr>
            <w:tcW w:w="866" w:type="pct"/>
            <w:tcBorders>
              <w:top w:val="nil"/>
              <w:left w:val="single" w:sz="4" w:space="0" w:color="auto"/>
              <w:bottom w:val="single" w:sz="4" w:space="0" w:color="auto"/>
              <w:right w:val="single" w:sz="4" w:space="0" w:color="auto"/>
            </w:tcBorders>
          </w:tcPr>
          <w:p w14:paraId="55834218" w14:textId="77777777" w:rsidR="003B0883" w:rsidRPr="001730EC" w:rsidRDefault="003B0883" w:rsidP="003B0883">
            <w:pPr>
              <w:pStyle w:val="Tabletextcentred"/>
              <w:jc w:val="left"/>
            </w:pPr>
            <w:r w:rsidRPr="001730EC">
              <w:t>$1,063</w:t>
            </w:r>
          </w:p>
        </w:tc>
        <w:tc>
          <w:tcPr>
            <w:tcW w:w="628" w:type="pct"/>
            <w:tcBorders>
              <w:top w:val="nil"/>
              <w:left w:val="single" w:sz="4" w:space="0" w:color="auto"/>
              <w:bottom w:val="single" w:sz="4" w:space="0" w:color="auto"/>
              <w:right w:val="single" w:sz="4" w:space="0" w:color="auto"/>
            </w:tcBorders>
          </w:tcPr>
          <w:p w14:paraId="278B63B8" w14:textId="77777777" w:rsidR="003B0883" w:rsidRPr="001730EC" w:rsidRDefault="003B0883" w:rsidP="003B0883">
            <w:pPr>
              <w:pStyle w:val="Tabletextcentred"/>
              <w:jc w:val="left"/>
            </w:pPr>
            <w:r w:rsidRPr="001730EC">
              <w:t>$378</w:t>
            </w:r>
          </w:p>
        </w:tc>
        <w:tc>
          <w:tcPr>
            <w:tcW w:w="1308" w:type="pct"/>
            <w:tcBorders>
              <w:top w:val="nil"/>
              <w:left w:val="single" w:sz="4" w:space="0" w:color="auto"/>
              <w:bottom w:val="single" w:sz="4" w:space="0" w:color="auto"/>
            </w:tcBorders>
          </w:tcPr>
          <w:p w14:paraId="297D4AE2" w14:textId="77777777" w:rsidR="003B0883" w:rsidRPr="001730EC" w:rsidRDefault="003B0883" w:rsidP="003B0883">
            <w:pPr>
              <w:pStyle w:val="Tabletextcentred"/>
              <w:jc w:val="left"/>
            </w:pPr>
          </w:p>
        </w:tc>
      </w:tr>
      <w:tr w:rsidR="003B0883" w:rsidRPr="001730EC" w14:paraId="4437C65D" w14:textId="77777777" w:rsidTr="003B0883">
        <w:tc>
          <w:tcPr>
            <w:tcW w:w="1412" w:type="pct"/>
            <w:tcBorders>
              <w:top w:val="single" w:sz="4" w:space="0" w:color="auto"/>
              <w:bottom w:val="single" w:sz="4" w:space="0" w:color="auto"/>
            </w:tcBorders>
          </w:tcPr>
          <w:p w14:paraId="31661A78" w14:textId="77777777" w:rsidR="003B0883" w:rsidRPr="001730EC" w:rsidRDefault="003B0883" w:rsidP="003B0883">
            <w:pPr>
              <w:pStyle w:val="Tabletextcentred"/>
              <w:jc w:val="left"/>
            </w:pPr>
            <w:r w:rsidRPr="001730EC">
              <w:t>Ongoing Surve</w:t>
            </w:r>
            <w:r>
              <w:t>i</w:t>
            </w:r>
            <w:r w:rsidRPr="001730EC">
              <w:t xml:space="preserve">llance </w:t>
            </w:r>
            <w:r w:rsidRPr="001730EC">
              <w:rPr>
                <w:vertAlign w:val="superscript"/>
              </w:rPr>
              <w:t>c</w:t>
            </w:r>
          </w:p>
        </w:tc>
        <w:tc>
          <w:tcPr>
            <w:tcW w:w="786" w:type="pct"/>
            <w:tcBorders>
              <w:top w:val="single" w:sz="4" w:space="0" w:color="auto"/>
              <w:bottom w:val="single" w:sz="4" w:space="0" w:color="auto"/>
            </w:tcBorders>
          </w:tcPr>
          <w:p w14:paraId="351232E7" w14:textId="77777777" w:rsidR="003B0883" w:rsidRPr="001730EC" w:rsidRDefault="003B0883" w:rsidP="003B0883">
            <w:pPr>
              <w:pStyle w:val="Tabletextcentred"/>
              <w:jc w:val="left"/>
            </w:pPr>
            <w:r w:rsidRPr="001730EC">
              <w:t>$1,066</w:t>
            </w:r>
          </w:p>
        </w:tc>
        <w:tc>
          <w:tcPr>
            <w:tcW w:w="866" w:type="pct"/>
            <w:tcBorders>
              <w:top w:val="single" w:sz="4" w:space="0" w:color="auto"/>
              <w:bottom w:val="single" w:sz="4" w:space="0" w:color="auto"/>
            </w:tcBorders>
          </w:tcPr>
          <w:p w14:paraId="1637A26F" w14:textId="77777777" w:rsidR="003B0883" w:rsidRPr="001730EC" w:rsidRDefault="003B0883" w:rsidP="003B0883">
            <w:pPr>
              <w:pStyle w:val="Tabletextcentred"/>
              <w:jc w:val="left"/>
            </w:pPr>
            <w:r w:rsidRPr="001730EC">
              <w:t>$2,726</w:t>
            </w:r>
          </w:p>
        </w:tc>
        <w:tc>
          <w:tcPr>
            <w:tcW w:w="628" w:type="pct"/>
            <w:tcBorders>
              <w:top w:val="single" w:sz="4" w:space="0" w:color="auto"/>
              <w:bottom w:val="single" w:sz="4" w:space="0" w:color="auto"/>
            </w:tcBorders>
          </w:tcPr>
          <w:p w14:paraId="6F5F3FFB" w14:textId="77777777" w:rsidR="003B0883" w:rsidRPr="001730EC" w:rsidRDefault="003B0883" w:rsidP="003B0883">
            <w:pPr>
              <w:pStyle w:val="Tabletextcentred"/>
              <w:jc w:val="left"/>
            </w:pPr>
            <w:r w:rsidRPr="001730EC">
              <w:t>–$1,661</w:t>
            </w:r>
          </w:p>
        </w:tc>
        <w:tc>
          <w:tcPr>
            <w:tcW w:w="1308" w:type="pct"/>
            <w:tcBorders>
              <w:top w:val="single" w:sz="4" w:space="0" w:color="auto"/>
              <w:bottom w:val="single" w:sz="4" w:space="0" w:color="auto"/>
            </w:tcBorders>
          </w:tcPr>
          <w:p w14:paraId="34268136" w14:textId="77777777" w:rsidR="003B0883" w:rsidRPr="001730EC" w:rsidRDefault="003B0883" w:rsidP="003B0883">
            <w:pPr>
              <w:pStyle w:val="Tabletextcentred"/>
              <w:jc w:val="left"/>
            </w:pPr>
          </w:p>
        </w:tc>
      </w:tr>
      <w:tr w:rsidR="003B0883" w:rsidRPr="001730EC" w14:paraId="3F0D3124" w14:textId="77777777" w:rsidTr="003B0883">
        <w:tc>
          <w:tcPr>
            <w:tcW w:w="1412" w:type="pct"/>
            <w:tcBorders>
              <w:top w:val="single" w:sz="4" w:space="0" w:color="auto"/>
              <w:bottom w:val="single" w:sz="4" w:space="0" w:color="auto"/>
            </w:tcBorders>
          </w:tcPr>
          <w:p w14:paraId="2AC1BE25" w14:textId="77777777" w:rsidR="003B0883" w:rsidRPr="001730EC" w:rsidRDefault="003B0883" w:rsidP="003B0883">
            <w:pPr>
              <w:pStyle w:val="Tabletextcentred"/>
              <w:jc w:val="left"/>
              <w:rPr>
                <w:vertAlign w:val="superscript"/>
              </w:rPr>
            </w:pPr>
            <w:r w:rsidRPr="001730EC">
              <w:t>Total costs (testing + ongoing surveillance) over modelled time horizon</w:t>
            </w:r>
            <w:r w:rsidRPr="001730EC">
              <w:rPr>
                <w:vertAlign w:val="superscript"/>
              </w:rPr>
              <w:t xml:space="preserve"> c</w:t>
            </w:r>
          </w:p>
        </w:tc>
        <w:tc>
          <w:tcPr>
            <w:tcW w:w="786" w:type="pct"/>
            <w:tcBorders>
              <w:top w:val="single" w:sz="4" w:space="0" w:color="auto"/>
              <w:bottom w:val="single" w:sz="4" w:space="0" w:color="auto"/>
            </w:tcBorders>
          </w:tcPr>
          <w:p w14:paraId="65A85B8B" w14:textId="77777777" w:rsidR="003B0883" w:rsidRPr="001730EC" w:rsidRDefault="003B0883" w:rsidP="003B0883">
            <w:pPr>
              <w:pStyle w:val="Tabletextcentred"/>
              <w:jc w:val="left"/>
            </w:pPr>
            <w:r w:rsidRPr="001730EC">
              <w:t>$3,748</w:t>
            </w:r>
          </w:p>
        </w:tc>
        <w:tc>
          <w:tcPr>
            <w:tcW w:w="866" w:type="pct"/>
            <w:tcBorders>
              <w:top w:val="single" w:sz="4" w:space="0" w:color="auto"/>
              <w:bottom w:val="single" w:sz="4" w:space="0" w:color="auto"/>
            </w:tcBorders>
          </w:tcPr>
          <w:p w14:paraId="06CCD5FE" w14:textId="77777777" w:rsidR="003B0883" w:rsidRPr="001730EC" w:rsidRDefault="003B0883" w:rsidP="003B0883">
            <w:pPr>
              <w:pStyle w:val="Tabletextcentred"/>
              <w:jc w:val="left"/>
            </w:pPr>
            <w:r w:rsidRPr="001730EC">
              <w:t>$3,789</w:t>
            </w:r>
          </w:p>
        </w:tc>
        <w:tc>
          <w:tcPr>
            <w:tcW w:w="628" w:type="pct"/>
            <w:tcBorders>
              <w:top w:val="single" w:sz="4" w:space="0" w:color="auto"/>
              <w:bottom w:val="single" w:sz="4" w:space="0" w:color="auto"/>
            </w:tcBorders>
          </w:tcPr>
          <w:p w14:paraId="7B3A135D" w14:textId="77777777" w:rsidR="003B0883" w:rsidRPr="001730EC" w:rsidRDefault="003B0883" w:rsidP="003B0883">
            <w:pPr>
              <w:pStyle w:val="Tabletextcentred"/>
              <w:jc w:val="left"/>
            </w:pPr>
            <w:r w:rsidRPr="001730EC">
              <w:t>–$41</w:t>
            </w:r>
          </w:p>
        </w:tc>
        <w:tc>
          <w:tcPr>
            <w:tcW w:w="1308" w:type="pct"/>
            <w:tcBorders>
              <w:top w:val="single" w:sz="4" w:space="0" w:color="auto"/>
              <w:bottom w:val="single" w:sz="4" w:space="0" w:color="auto"/>
            </w:tcBorders>
          </w:tcPr>
          <w:p w14:paraId="7E05C96C" w14:textId="77777777" w:rsidR="003B0883" w:rsidRPr="001730EC" w:rsidRDefault="003B0883" w:rsidP="003B0883">
            <w:pPr>
              <w:pStyle w:val="Tabletextcentred"/>
              <w:jc w:val="left"/>
            </w:pPr>
            <w:r w:rsidRPr="001730EC">
              <w:t>–$41 (cost-savings)</w:t>
            </w:r>
          </w:p>
        </w:tc>
      </w:tr>
      <w:tr w:rsidR="003B0883" w:rsidRPr="001730EC" w14:paraId="229C6D97" w14:textId="77777777" w:rsidTr="003B0883">
        <w:tc>
          <w:tcPr>
            <w:tcW w:w="1412" w:type="pct"/>
            <w:tcBorders>
              <w:top w:val="single" w:sz="4" w:space="0" w:color="auto"/>
              <w:bottom w:val="single" w:sz="4" w:space="0" w:color="auto"/>
            </w:tcBorders>
          </w:tcPr>
          <w:p w14:paraId="7823041F" w14:textId="77777777" w:rsidR="003B0883" w:rsidRPr="001730EC" w:rsidRDefault="003B0883" w:rsidP="003B0883">
            <w:pPr>
              <w:pStyle w:val="Tabletextcentred"/>
              <w:jc w:val="left"/>
            </w:pPr>
            <w:r w:rsidRPr="001730EC">
              <w:t xml:space="preserve">Variants identified </w:t>
            </w:r>
            <w:r w:rsidRPr="001730EC">
              <w:rPr>
                <w:vertAlign w:val="superscript"/>
              </w:rPr>
              <w:t>a</w:t>
            </w:r>
          </w:p>
        </w:tc>
        <w:tc>
          <w:tcPr>
            <w:tcW w:w="786" w:type="pct"/>
            <w:tcBorders>
              <w:top w:val="single" w:sz="4" w:space="0" w:color="auto"/>
              <w:bottom w:val="single" w:sz="4" w:space="0" w:color="auto"/>
            </w:tcBorders>
          </w:tcPr>
          <w:p w14:paraId="7262157D" w14:textId="77777777" w:rsidR="003B0883" w:rsidRPr="001730EC" w:rsidRDefault="003B0883" w:rsidP="003B0883">
            <w:pPr>
              <w:pStyle w:val="Tabletextcentred"/>
              <w:jc w:val="left"/>
            </w:pPr>
            <w:r w:rsidRPr="001730EC">
              <w:t>0.656</w:t>
            </w:r>
          </w:p>
        </w:tc>
        <w:tc>
          <w:tcPr>
            <w:tcW w:w="866" w:type="pct"/>
            <w:tcBorders>
              <w:top w:val="single" w:sz="4" w:space="0" w:color="auto"/>
              <w:bottom w:val="single" w:sz="4" w:space="0" w:color="auto"/>
            </w:tcBorders>
          </w:tcPr>
          <w:p w14:paraId="37DF62E8" w14:textId="77777777" w:rsidR="003B0883" w:rsidRPr="001730EC" w:rsidRDefault="003B0883" w:rsidP="003B0883">
            <w:pPr>
              <w:pStyle w:val="Tabletextcentred"/>
              <w:jc w:val="left"/>
            </w:pPr>
            <w:r w:rsidRPr="001730EC">
              <w:t>0.000</w:t>
            </w:r>
          </w:p>
        </w:tc>
        <w:tc>
          <w:tcPr>
            <w:tcW w:w="628" w:type="pct"/>
            <w:tcBorders>
              <w:top w:val="single" w:sz="4" w:space="0" w:color="auto"/>
              <w:bottom w:val="single" w:sz="4" w:space="0" w:color="auto"/>
            </w:tcBorders>
          </w:tcPr>
          <w:p w14:paraId="0FE239EC" w14:textId="77777777" w:rsidR="003B0883" w:rsidRPr="001730EC" w:rsidRDefault="003B0883" w:rsidP="003B0883">
            <w:pPr>
              <w:pStyle w:val="Tabletextcentred"/>
              <w:jc w:val="left"/>
            </w:pPr>
            <w:r w:rsidRPr="001730EC">
              <w:t>0.656</w:t>
            </w:r>
          </w:p>
        </w:tc>
        <w:tc>
          <w:tcPr>
            <w:tcW w:w="1308" w:type="pct"/>
            <w:tcBorders>
              <w:top w:val="single" w:sz="4" w:space="0" w:color="auto"/>
              <w:bottom w:val="single" w:sz="4" w:space="0" w:color="auto"/>
            </w:tcBorders>
          </w:tcPr>
          <w:p w14:paraId="74D4CBD4" w14:textId="77777777" w:rsidR="003B0883" w:rsidRPr="001730EC" w:rsidRDefault="003B0883" w:rsidP="003B0883">
            <w:pPr>
              <w:pStyle w:val="Tabletextcentred"/>
              <w:jc w:val="left"/>
              <w:rPr>
                <w:vertAlign w:val="superscript"/>
              </w:rPr>
            </w:pPr>
            <w:r w:rsidRPr="001730EC">
              <w:t>Testing strategy is dominant</w:t>
            </w:r>
            <w:r w:rsidRPr="001730EC">
              <w:rPr>
                <w:vertAlign w:val="superscript"/>
              </w:rPr>
              <w:t>d</w:t>
            </w:r>
          </w:p>
        </w:tc>
      </w:tr>
      <w:tr w:rsidR="003B0883" w:rsidRPr="001730EC" w14:paraId="1F92C5CB" w14:textId="77777777" w:rsidTr="003B0883">
        <w:tc>
          <w:tcPr>
            <w:tcW w:w="1412" w:type="pct"/>
            <w:tcBorders>
              <w:bottom w:val="single" w:sz="4" w:space="0" w:color="auto"/>
              <w:right w:val="nil"/>
            </w:tcBorders>
          </w:tcPr>
          <w:p w14:paraId="66251125" w14:textId="77777777" w:rsidR="003B0883" w:rsidRPr="001730EC" w:rsidRDefault="003B0883" w:rsidP="003B0883">
            <w:pPr>
              <w:pStyle w:val="Tabletextcentred"/>
              <w:jc w:val="left"/>
            </w:pPr>
            <w:r>
              <w:t>Affected individuals</w:t>
            </w:r>
            <w:r w:rsidRPr="001730EC">
              <w:t xml:space="preserve"> +FDR + SDR</w:t>
            </w:r>
          </w:p>
        </w:tc>
        <w:tc>
          <w:tcPr>
            <w:tcW w:w="786" w:type="pct"/>
            <w:tcBorders>
              <w:left w:val="nil"/>
              <w:bottom w:val="single" w:sz="4" w:space="0" w:color="auto"/>
              <w:right w:val="nil"/>
            </w:tcBorders>
          </w:tcPr>
          <w:p w14:paraId="370FA9BC" w14:textId="77777777" w:rsidR="003B0883" w:rsidRPr="001730EC" w:rsidRDefault="003B0883" w:rsidP="003B0883">
            <w:pPr>
              <w:pStyle w:val="Tabletextcentred"/>
              <w:jc w:val="left"/>
            </w:pPr>
          </w:p>
        </w:tc>
        <w:tc>
          <w:tcPr>
            <w:tcW w:w="866" w:type="pct"/>
            <w:tcBorders>
              <w:left w:val="nil"/>
              <w:bottom w:val="single" w:sz="4" w:space="0" w:color="auto"/>
              <w:right w:val="nil"/>
            </w:tcBorders>
          </w:tcPr>
          <w:p w14:paraId="6EEF5D59" w14:textId="77777777" w:rsidR="003B0883" w:rsidRPr="001730EC" w:rsidRDefault="003B0883" w:rsidP="003B0883">
            <w:pPr>
              <w:pStyle w:val="Tabletextcentred"/>
              <w:jc w:val="left"/>
            </w:pPr>
          </w:p>
        </w:tc>
        <w:tc>
          <w:tcPr>
            <w:tcW w:w="628" w:type="pct"/>
            <w:tcBorders>
              <w:left w:val="nil"/>
              <w:bottom w:val="single" w:sz="4" w:space="0" w:color="auto"/>
              <w:right w:val="nil"/>
            </w:tcBorders>
          </w:tcPr>
          <w:p w14:paraId="6FDD072E" w14:textId="77777777" w:rsidR="003B0883" w:rsidRPr="001730EC" w:rsidRDefault="003B0883" w:rsidP="003B0883">
            <w:pPr>
              <w:pStyle w:val="Tabletextcentred"/>
              <w:jc w:val="left"/>
            </w:pPr>
          </w:p>
        </w:tc>
        <w:tc>
          <w:tcPr>
            <w:tcW w:w="1308" w:type="pct"/>
            <w:tcBorders>
              <w:left w:val="nil"/>
              <w:bottom w:val="single" w:sz="4" w:space="0" w:color="auto"/>
            </w:tcBorders>
          </w:tcPr>
          <w:p w14:paraId="0D6966A0" w14:textId="77777777" w:rsidR="003B0883" w:rsidRPr="001730EC" w:rsidRDefault="003B0883" w:rsidP="003B0883">
            <w:pPr>
              <w:pStyle w:val="Tabletextcentred"/>
              <w:jc w:val="left"/>
            </w:pPr>
          </w:p>
        </w:tc>
      </w:tr>
      <w:tr w:rsidR="003B0883" w:rsidRPr="001730EC" w14:paraId="0B9C8F4B" w14:textId="77777777" w:rsidTr="003B0883">
        <w:tc>
          <w:tcPr>
            <w:tcW w:w="1412" w:type="pct"/>
            <w:tcBorders>
              <w:bottom w:val="nil"/>
            </w:tcBorders>
          </w:tcPr>
          <w:p w14:paraId="5CBAC307" w14:textId="77777777" w:rsidR="003B0883" w:rsidRPr="001730EC" w:rsidRDefault="003B0883" w:rsidP="003B0883">
            <w:pPr>
              <w:pStyle w:val="Tabletextcentred"/>
              <w:jc w:val="left"/>
              <w:rPr>
                <w:vertAlign w:val="superscript"/>
              </w:rPr>
            </w:pPr>
            <w:r w:rsidRPr="001730EC">
              <w:t>Short-term costs</w:t>
            </w:r>
            <w:r w:rsidRPr="001730EC">
              <w:rPr>
                <w:vertAlign w:val="superscript"/>
              </w:rPr>
              <w:t xml:space="preserve"> b</w:t>
            </w:r>
          </w:p>
        </w:tc>
        <w:tc>
          <w:tcPr>
            <w:tcW w:w="786" w:type="pct"/>
            <w:tcBorders>
              <w:bottom w:val="nil"/>
            </w:tcBorders>
          </w:tcPr>
          <w:p w14:paraId="03D8CBEC" w14:textId="77777777" w:rsidR="003B0883" w:rsidRPr="001730EC" w:rsidRDefault="003B0883" w:rsidP="003B0883">
            <w:pPr>
              <w:pStyle w:val="Tabletextcentred"/>
              <w:jc w:val="left"/>
            </w:pPr>
            <w:r w:rsidRPr="001730EC">
              <w:t>$3,152</w:t>
            </w:r>
          </w:p>
        </w:tc>
        <w:tc>
          <w:tcPr>
            <w:tcW w:w="866" w:type="pct"/>
            <w:tcBorders>
              <w:bottom w:val="nil"/>
            </w:tcBorders>
          </w:tcPr>
          <w:p w14:paraId="2F13D12F" w14:textId="77777777" w:rsidR="003B0883" w:rsidRPr="001730EC" w:rsidRDefault="003B0883" w:rsidP="003B0883">
            <w:pPr>
              <w:pStyle w:val="Tabletextcentred"/>
              <w:jc w:val="left"/>
            </w:pPr>
            <w:r w:rsidRPr="001730EC">
              <w:t>$1,417</w:t>
            </w:r>
          </w:p>
        </w:tc>
        <w:tc>
          <w:tcPr>
            <w:tcW w:w="628" w:type="pct"/>
            <w:tcBorders>
              <w:bottom w:val="nil"/>
            </w:tcBorders>
          </w:tcPr>
          <w:p w14:paraId="264CD79C" w14:textId="77777777" w:rsidR="003B0883" w:rsidRPr="001730EC" w:rsidRDefault="003B0883" w:rsidP="003B0883">
            <w:pPr>
              <w:pStyle w:val="Tabletextcentred"/>
              <w:jc w:val="left"/>
            </w:pPr>
            <w:r w:rsidRPr="001730EC">
              <w:t>$1,735</w:t>
            </w:r>
          </w:p>
        </w:tc>
        <w:tc>
          <w:tcPr>
            <w:tcW w:w="1308" w:type="pct"/>
            <w:tcBorders>
              <w:bottom w:val="nil"/>
            </w:tcBorders>
          </w:tcPr>
          <w:p w14:paraId="6CF845D9" w14:textId="77777777" w:rsidR="003B0883" w:rsidRPr="001730EC" w:rsidRDefault="003B0883" w:rsidP="003B0883">
            <w:pPr>
              <w:pStyle w:val="Tabletextcentred"/>
              <w:jc w:val="left"/>
            </w:pPr>
          </w:p>
        </w:tc>
      </w:tr>
      <w:tr w:rsidR="003B0883" w:rsidRPr="001730EC" w14:paraId="29CCB422" w14:textId="77777777" w:rsidTr="003B0883">
        <w:tc>
          <w:tcPr>
            <w:tcW w:w="1412" w:type="pct"/>
            <w:tcBorders>
              <w:top w:val="nil"/>
              <w:bottom w:val="nil"/>
            </w:tcBorders>
          </w:tcPr>
          <w:p w14:paraId="1031F4A9" w14:textId="77777777" w:rsidR="003B0883" w:rsidRPr="001730EC" w:rsidRDefault="003B0883" w:rsidP="003B0883">
            <w:pPr>
              <w:pStyle w:val="Tabletextcentred"/>
              <w:jc w:val="left"/>
            </w:pPr>
            <w:r w:rsidRPr="001730EC">
              <w:t xml:space="preserve">     </w:t>
            </w:r>
            <w:r>
              <w:t>Affected individuals</w:t>
            </w:r>
            <w:r w:rsidRPr="001730EC">
              <w:t xml:space="preserve"> cost</w:t>
            </w:r>
          </w:p>
        </w:tc>
        <w:tc>
          <w:tcPr>
            <w:tcW w:w="786" w:type="pct"/>
            <w:tcBorders>
              <w:top w:val="nil"/>
              <w:bottom w:val="nil"/>
            </w:tcBorders>
          </w:tcPr>
          <w:p w14:paraId="6783A4A6" w14:textId="77777777" w:rsidR="003B0883" w:rsidRPr="001730EC" w:rsidRDefault="003B0883" w:rsidP="003B0883">
            <w:pPr>
              <w:pStyle w:val="Tabletextcentred"/>
              <w:jc w:val="left"/>
            </w:pPr>
            <w:r w:rsidRPr="001730EC">
              <w:t>$1,242</w:t>
            </w:r>
          </w:p>
        </w:tc>
        <w:tc>
          <w:tcPr>
            <w:tcW w:w="866" w:type="pct"/>
            <w:tcBorders>
              <w:top w:val="nil"/>
              <w:bottom w:val="nil"/>
            </w:tcBorders>
          </w:tcPr>
          <w:p w14:paraId="4050696B" w14:textId="77777777" w:rsidR="003B0883" w:rsidRPr="001730EC" w:rsidRDefault="003B0883" w:rsidP="003B0883">
            <w:pPr>
              <w:pStyle w:val="Tabletextcentred"/>
              <w:jc w:val="left"/>
            </w:pPr>
            <w:r w:rsidRPr="001730EC">
              <w:t>$0</w:t>
            </w:r>
          </w:p>
        </w:tc>
        <w:tc>
          <w:tcPr>
            <w:tcW w:w="628" w:type="pct"/>
            <w:tcBorders>
              <w:top w:val="nil"/>
              <w:bottom w:val="nil"/>
            </w:tcBorders>
          </w:tcPr>
          <w:p w14:paraId="67E90409" w14:textId="77777777" w:rsidR="003B0883" w:rsidRPr="001730EC" w:rsidRDefault="003B0883" w:rsidP="003B0883">
            <w:pPr>
              <w:pStyle w:val="Tabletextcentred"/>
              <w:jc w:val="left"/>
            </w:pPr>
            <w:r w:rsidRPr="001730EC">
              <w:t>$1,242</w:t>
            </w:r>
          </w:p>
        </w:tc>
        <w:tc>
          <w:tcPr>
            <w:tcW w:w="1308" w:type="pct"/>
            <w:tcBorders>
              <w:top w:val="nil"/>
              <w:bottom w:val="nil"/>
            </w:tcBorders>
          </w:tcPr>
          <w:p w14:paraId="714CC920" w14:textId="77777777" w:rsidR="003B0883" w:rsidRPr="001730EC" w:rsidRDefault="003B0883" w:rsidP="003B0883">
            <w:pPr>
              <w:pStyle w:val="Tabletextcentred"/>
              <w:jc w:val="left"/>
            </w:pPr>
          </w:p>
        </w:tc>
      </w:tr>
      <w:tr w:rsidR="003B0883" w:rsidRPr="001730EC" w14:paraId="749831CA" w14:textId="77777777" w:rsidTr="003B0883">
        <w:tc>
          <w:tcPr>
            <w:tcW w:w="1412" w:type="pct"/>
            <w:tcBorders>
              <w:top w:val="nil"/>
              <w:bottom w:val="single" w:sz="4" w:space="0" w:color="auto"/>
            </w:tcBorders>
          </w:tcPr>
          <w:p w14:paraId="2D273839" w14:textId="77777777" w:rsidR="003B0883" w:rsidRPr="001730EC" w:rsidRDefault="003B0883" w:rsidP="003B0883">
            <w:pPr>
              <w:pStyle w:val="Tabletextcentred"/>
              <w:jc w:val="left"/>
            </w:pPr>
            <w:r w:rsidRPr="001730EC">
              <w:t xml:space="preserve">     FDR + SDR</w:t>
            </w:r>
          </w:p>
        </w:tc>
        <w:tc>
          <w:tcPr>
            <w:tcW w:w="786" w:type="pct"/>
            <w:tcBorders>
              <w:top w:val="nil"/>
              <w:bottom w:val="single" w:sz="4" w:space="0" w:color="auto"/>
            </w:tcBorders>
          </w:tcPr>
          <w:p w14:paraId="54A49B34" w14:textId="77777777" w:rsidR="003B0883" w:rsidRPr="001730EC" w:rsidRDefault="003B0883" w:rsidP="003B0883">
            <w:pPr>
              <w:pStyle w:val="Tabletextcentred"/>
              <w:jc w:val="left"/>
            </w:pPr>
            <w:r w:rsidRPr="001730EC">
              <w:t>$1,911</w:t>
            </w:r>
          </w:p>
        </w:tc>
        <w:tc>
          <w:tcPr>
            <w:tcW w:w="866" w:type="pct"/>
            <w:tcBorders>
              <w:top w:val="nil"/>
              <w:bottom w:val="single" w:sz="4" w:space="0" w:color="auto"/>
            </w:tcBorders>
          </w:tcPr>
          <w:p w14:paraId="49E2F215" w14:textId="77777777" w:rsidR="003B0883" w:rsidRPr="001730EC" w:rsidRDefault="003B0883" w:rsidP="003B0883">
            <w:pPr>
              <w:pStyle w:val="Tabletextcentred"/>
              <w:jc w:val="left"/>
            </w:pPr>
            <w:r w:rsidRPr="001730EC">
              <w:t>$1,417</w:t>
            </w:r>
          </w:p>
        </w:tc>
        <w:tc>
          <w:tcPr>
            <w:tcW w:w="628" w:type="pct"/>
            <w:tcBorders>
              <w:top w:val="nil"/>
              <w:bottom w:val="single" w:sz="4" w:space="0" w:color="auto"/>
            </w:tcBorders>
          </w:tcPr>
          <w:p w14:paraId="226DE174" w14:textId="77777777" w:rsidR="003B0883" w:rsidRPr="001730EC" w:rsidRDefault="003B0883" w:rsidP="003B0883">
            <w:pPr>
              <w:pStyle w:val="Tabletextcentred"/>
              <w:jc w:val="left"/>
            </w:pPr>
            <w:r w:rsidRPr="001730EC">
              <w:t>$493</w:t>
            </w:r>
          </w:p>
        </w:tc>
        <w:tc>
          <w:tcPr>
            <w:tcW w:w="1308" w:type="pct"/>
            <w:tcBorders>
              <w:top w:val="nil"/>
              <w:bottom w:val="single" w:sz="4" w:space="0" w:color="auto"/>
            </w:tcBorders>
          </w:tcPr>
          <w:p w14:paraId="6C6EE01A" w14:textId="77777777" w:rsidR="003B0883" w:rsidRPr="001730EC" w:rsidRDefault="003B0883" w:rsidP="003B0883">
            <w:pPr>
              <w:pStyle w:val="Tabletextcentred"/>
              <w:jc w:val="left"/>
            </w:pPr>
          </w:p>
        </w:tc>
      </w:tr>
      <w:tr w:rsidR="003B0883" w:rsidRPr="001730EC" w14:paraId="6D7929B4" w14:textId="77777777" w:rsidTr="003B0883">
        <w:tc>
          <w:tcPr>
            <w:tcW w:w="1412" w:type="pct"/>
            <w:tcBorders>
              <w:top w:val="single" w:sz="4" w:space="0" w:color="auto"/>
            </w:tcBorders>
          </w:tcPr>
          <w:p w14:paraId="0DBB0567" w14:textId="77777777" w:rsidR="003B0883" w:rsidRPr="001730EC" w:rsidRDefault="003B0883" w:rsidP="003B0883">
            <w:pPr>
              <w:pStyle w:val="Tabletextcentred"/>
              <w:jc w:val="left"/>
            </w:pPr>
            <w:r w:rsidRPr="001730EC">
              <w:t>Ongoing Surve</w:t>
            </w:r>
            <w:r>
              <w:t>i</w:t>
            </w:r>
            <w:r w:rsidRPr="001730EC">
              <w:t xml:space="preserve">llance </w:t>
            </w:r>
            <w:r w:rsidRPr="001730EC">
              <w:rPr>
                <w:vertAlign w:val="superscript"/>
              </w:rPr>
              <w:t>c</w:t>
            </w:r>
          </w:p>
        </w:tc>
        <w:tc>
          <w:tcPr>
            <w:tcW w:w="786" w:type="pct"/>
            <w:tcBorders>
              <w:top w:val="single" w:sz="4" w:space="0" w:color="auto"/>
            </w:tcBorders>
          </w:tcPr>
          <w:p w14:paraId="5ACAED00" w14:textId="77777777" w:rsidR="003B0883" w:rsidRPr="001730EC" w:rsidRDefault="003B0883" w:rsidP="003B0883">
            <w:pPr>
              <w:pStyle w:val="Tabletextcentred"/>
              <w:jc w:val="left"/>
            </w:pPr>
            <w:r w:rsidRPr="001730EC">
              <w:t>$1,217</w:t>
            </w:r>
          </w:p>
        </w:tc>
        <w:tc>
          <w:tcPr>
            <w:tcW w:w="866" w:type="pct"/>
            <w:tcBorders>
              <w:top w:val="single" w:sz="4" w:space="0" w:color="auto"/>
            </w:tcBorders>
          </w:tcPr>
          <w:p w14:paraId="35F2F5C3" w14:textId="77777777" w:rsidR="003B0883" w:rsidRPr="001730EC" w:rsidRDefault="003B0883" w:rsidP="003B0883">
            <w:pPr>
              <w:pStyle w:val="Tabletextcentred"/>
              <w:jc w:val="left"/>
            </w:pPr>
            <w:r w:rsidRPr="001730EC">
              <w:t>$3,635</w:t>
            </w:r>
          </w:p>
        </w:tc>
        <w:tc>
          <w:tcPr>
            <w:tcW w:w="628" w:type="pct"/>
            <w:tcBorders>
              <w:top w:val="single" w:sz="4" w:space="0" w:color="auto"/>
            </w:tcBorders>
          </w:tcPr>
          <w:p w14:paraId="44CB0EBC" w14:textId="77777777" w:rsidR="003B0883" w:rsidRPr="001730EC" w:rsidRDefault="003B0883" w:rsidP="003B0883">
            <w:pPr>
              <w:pStyle w:val="Tabletextcentred"/>
              <w:jc w:val="left"/>
            </w:pPr>
            <w:r w:rsidRPr="001730EC">
              <w:t>–$2,418</w:t>
            </w:r>
          </w:p>
        </w:tc>
        <w:tc>
          <w:tcPr>
            <w:tcW w:w="1308" w:type="pct"/>
            <w:tcBorders>
              <w:top w:val="single" w:sz="4" w:space="0" w:color="auto"/>
            </w:tcBorders>
          </w:tcPr>
          <w:p w14:paraId="3D01146B" w14:textId="77777777" w:rsidR="003B0883" w:rsidRPr="001730EC" w:rsidRDefault="003B0883" w:rsidP="003B0883">
            <w:pPr>
              <w:pStyle w:val="Tabletextcentred"/>
              <w:jc w:val="left"/>
            </w:pPr>
          </w:p>
        </w:tc>
      </w:tr>
      <w:tr w:rsidR="003B0883" w:rsidRPr="001730EC" w14:paraId="392964F0" w14:textId="77777777" w:rsidTr="003B0883">
        <w:tc>
          <w:tcPr>
            <w:tcW w:w="1412" w:type="pct"/>
          </w:tcPr>
          <w:p w14:paraId="5C41E09D" w14:textId="77777777" w:rsidR="003B0883" w:rsidRPr="001730EC" w:rsidRDefault="003B0883" w:rsidP="003B0883">
            <w:pPr>
              <w:pStyle w:val="Tabletextcentred"/>
              <w:jc w:val="left"/>
            </w:pPr>
            <w:r w:rsidRPr="001730EC">
              <w:t>Total costs (testing + ongoing surveillance) over modelled time horizon</w:t>
            </w:r>
            <w:r w:rsidRPr="001730EC">
              <w:rPr>
                <w:vertAlign w:val="superscript"/>
              </w:rPr>
              <w:t xml:space="preserve"> c</w:t>
            </w:r>
          </w:p>
        </w:tc>
        <w:tc>
          <w:tcPr>
            <w:tcW w:w="786" w:type="pct"/>
          </w:tcPr>
          <w:p w14:paraId="6652DB8C" w14:textId="77777777" w:rsidR="003B0883" w:rsidRPr="001730EC" w:rsidRDefault="003B0883" w:rsidP="003B0883">
            <w:pPr>
              <w:pStyle w:val="Tabletextcentred"/>
              <w:jc w:val="left"/>
            </w:pPr>
            <w:r w:rsidRPr="001730EC">
              <w:t>$4,370</w:t>
            </w:r>
          </w:p>
        </w:tc>
        <w:tc>
          <w:tcPr>
            <w:tcW w:w="866" w:type="pct"/>
          </w:tcPr>
          <w:p w14:paraId="13BD7503" w14:textId="77777777" w:rsidR="003B0883" w:rsidRPr="001730EC" w:rsidRDefault="003B0883" w:rsidP="003B0883">
            <w:pPr>
              <w:pStyle w:val="Tabletextcentred"/>
              <w:jc w:val="left"/>
            </w:pPr>
            <w:r w:rsidRPr="001730EC">
              <w:t>$5,052</w:t>
            </w:r>
          </w:p>
        </w:tc>
        <w:tc>
          <w:tcPr>
            <w:tcW w:w="628" w:type="pct"/>
          </w:tcPr>
          <w:p w14:paraId="663E9DD3" w14:textId="77777777" w:rsidR="003B0883" w:rsidRPr="001730EC" w:rsidRDefault="003B0883" w:rsidP="003B0883">
            <w:pPr>
              <w:pStyle w:val="Tabletextcentred"/>
              <w:jc w:val="left"/>
            </w:pPr>
            <w:r w:rsidRPr="001730EC">
              <w:t>–$683</w:t>
            </w:r>
          </w:p>
        </w:tc>
        <w:tc>
          <w:tcPr>
            <w:tcW w:w="1308" w:type="pct"/>
          </w:tcPr>
          <w:p w14:paraId="0B39882A" w14:textId="77777777" w:rsidR="003B0883" w:rsidRPr="001730EC" w:rsidRDefault="003B0883" w:rsidP="003B0883">
            <w:pPr>
              <w:pStyle w:val="Tabletextcentred"/>
              <w:jc w:val="left"/>
            </w:pPr>
            <w:r w:rsidRPr="001730EC">
              <w:t>–$683 (cost-savings)</w:t>
            </w:r>
          </w:p>
        </w:tc>
      </w:tr>
      <w:tr w:rsidR="003B0883" w:rsidRPr="001730EC" w14:paraId="0A13ACC6" w14:textId="77777777" w:rsidTr="003B0883">
        <w:tc>
          <w:tcPr>
            <w:tcW w:w="1412" w:type="pct"/>
          </w:tcPr>
          <w:p w14:paraId="04120F14" w14:textId="77777777" w:rsidR="003B0883" w:rsidRPr="001730EC" w:rsidRDefault="003B0883" w:rsidP="003B0883">
            <w:pPr>
              <w:pStyle w:val="Tabletextcentred"/>
              <w:jc w:val="left"/>
            </w:pPr>
            <w:r w:rsidRPr="001730EC">
              <w:t xml:space="preserve">Variants identified </w:t>
            </w:r>
            <w:r w:rsidRPr="001730EC">
              <w:rPr>
                <w:vertAlign w:val="superscript"/>
              </w:rPr>
              <w:t>a</w:t>
            </w:r>
            <w:r w:rsidRPr="001730EC">
              <w:t xml:space="preserve"> </w:t>
            </w:r>
          </w:p>
        </w:tc>
        <w:tc>
          <w:tcPr>
            <w:tcW w:w="786" w:type="pct"/>
          </w:tcPr>
          <w:p w14:paraId="43D9151B" w14:textId="77777777" w:rsidR="003B0883" w:rsidRPr="001730EC" w:rsidRDefault="003B0883" w:rsidP="003B0883">
            <w:pPr>
              <w:pStyle w:val="Tabletextcentred"/>
              <w:jc w:val="left"/>
            </w:pPr>
            <w:r w:rsidRPr="001730EC">
              <w:t>0.723</w:t>
            </w:r>
          </w:p>
        </w:tc>
        <w:tc>
          <w:tcPr>
            <w:tcW w:w="866" w:type="pct"/>
          </w:tcPr>
          <w:p w14:paraId="7A0B9867" w14:textId="77777777" w:rsidR="003B0883" w:rsidRPr="001730EC" w:rsidRDefault="003B0883" w:rsidP="003B0883">
            <w:pPr>
              <w:pStyle w:val="Tabletextcentred"/>
              <w:jc w:val="left"/>
            </w:pPr>
            <w:r w:rsidRPr="001730EC">
              <w:t>0.000</w:t>
            </w:r>
          </w:p>
        </w:tc>
        <w:tc>
          <w:tcPr>
            <w:tcW w:w="628" w:type="pct"/>
          </w:tcPr>
          <w:p w14:paraId="29E2A154" w14:textId="77777777" w:rsidR="003B0883" w:rsidRPr="001730EC" w:rsidRDefault="003B0883" w:rsidP="003B0883">
            <w:pPr>
              <w:pStyle w:val="Tabletextcentred"/>
              <w:jc w:val="left"/>
            </w:pPr>
            <w:r w:rsidRPr="001730EC">
              <w:t>0.723</w:t>
            </w:r>
          </w:p>
        </w:tc>
        <w:tc>
          <w:tcPr>
            <w:tcW w:w="1308" w:type="pct"/>
          </w:tcPr>
          <w:p w14:paraId="7653DB5E" w14:textId="77777777" w:rsidR="003B0883" w:rsidRPr="001730EC" w:rsidRDefault="003B0883" w:rsidP="003B0883">
            <w:pPr>
              <w:pStyle w:val="Tabletextcentred"/>
              <w:jc w:val="left"/>
              <w:rPr>
                <w:vertAlign w:val="superscript"/>
              </w:rPr>
            </w:pPr>
            <w:r w:rsidRPr="001730EC">
              <w:t>Testing strategy is dominant</w:t>
            </w:r>
            <w:r w:rsidRPr="001730EC">
              <w:rPr>
                <w:vertAlign w:val="superscript"/>
              </w:rPr>
              <w:t>d</w:t>
            </w:r>
          </w:p>
        </w:tc>
      </w:tr>
    </w:tbl>
    <w:p w14:paraId="2FD7D2B7" w14:textId="77777777" w:rsidR="003B0883" w:rsidRDefault="003B0883" w:rsidP="003B0883">
      <w:pPr>
        <w:pStyle w:val="Tablenotes1"/>
      </w:pPr>
      <w:r>
        <w:rPr>
          <w:vertAlign w:val="superscript"/>
        </w:rPr>
        <w:t xml:space="preserve">a </w:t>
      </w:r>
      <w:r>
        <w:t>Pathogenic or likely pathogenic</w:t>
      </w:r>
    </w:p>
    <w:p w14:paraId="05BB8575" w14:textId="77777777" w:rsidR="003B0883" w:rsidRDefault="003B0883" w:rsidP="003B0883">
      <w:pPr>
        <w:pStyle w:val="Tablenotes1"/>
      </w:pPr>
      <w:r w:rsidRPr="007F0F45">
        <w:rPr>
          <w:vertAlign w:val="superscript"/>
        </w:rPr>
        <w:t>b</w:t>
      </w:r>
      <w:r>
        <w:t xml:space="preserve"> Short-term costs include immediate costs associated with testing, counselling and clinical screening (in family members only) in affected individuals and family members.</w:t>
      </w:r>
    </w:p>
    <w:p w14:paraId="05FB9E38" w14:textId="77777777" w:rsidR="003B0883" w:rsidRDefault="003B0883" w:rsidP="003B0883">
      <w:pPr>
        <w:pStyle w:val="Tablenotes1"/>
      </w:pPr>
      <w:r>
        <w:rPr>
          <w:noProof/>
          <w:vertAlign w:val="superscript"/>
        </w:rPr>
        <w:t>c</w:t>
      </w:r>
      <w:r>
        <w:t xml:space="preserve"> Discounted at 5% per annum</w:t>
      </w:r>
    </w:p>
    <w:p w14:paraId="20F16D1D" w14:textId="77777777" w:rsidR="003B0883" w:rsidRDefault="003B0883" w:rsidP="003B0883">
      <w:pPr>
        <w:pStyle w:val="Tablenotes1"/>
      </w:pPr>
      <w:r>
        <w:rPr>
          <w:vertAlign w:val="superscript"/>
        </w:rPr>
        <w:t xml:space="preserve">d </w:t>
      </w:r>
      <w:r>
        <w:t>Testing strategy is dominant as it results in cost-savings due to unnecessary surveillance avoided in genotype negative family members and informs about variant status for both affected individuals and family members tested.</w:t>
      </w:r>
    </w:p>
    <w:p w14:paraId="68F3AFCC" w14:textId="77777777" w:rsidR="003B0883" w:rsidRDefault="003B0883" w:rsidP="003B0883">
      <w:pPr>
        <w:pStyle w:val="Tablenotes1"/>
      </w:pPr>
      <w:r>
        <w:t>FDR = first-degree relatives; SDR = second-degree relatives</w:t>
      </w:r>
    </w:p>
    <w:p w14:paraId="67AC2323" w14:textId="77777777" w:rsidR="003B0883" w:rsidRDefault="003B0883" w:rsidP="003B0883">
      <w:pPr>
        <w:pStyle w:val="Tablenotes1"/>
      </w:pPr>
      <w:r>
        <w:t>Source: DCAR, Table 19 (as updated in HTA group’s rejoinder to applicant’s pre-ESC response).</w:t>
      </w:r>
    </w:p>
    <w:p w14:paraId="672A08BC" w14:textId="56270DE5" w:rsidR="00CB7F85" w:rsidRPr="00CB7F85" w:rsidRDefault="003B0883">
      <w:r w:rsidRPr="00D33EFC">
        <w:t xml:space="preserve">The DCAR’s sensitivity analyses indicated that the economic model was </w:t>
      </w:r>
      <w:r>
        <w:t xml:space="preserve">very highly </w:t>
      </w:r>
      <w:r w:rsidRPr="00D33EFC">
        <w:t>sensitive</w:t>
      </w:r>
      <w:r>
        <w:t xml:space="preserve"> or highly sensitive</w:t>
      </w:r>
      <w:r w:rsidRPr="00D33EFC">
        <w:t xml:space="preserve"> to all factors examined (</w:t>
      </w:r>
      <w:r w:rsidR="002C6DB1">
        <w:fldChar w:fldCharType="begin"/>
      </w:r>
      <w:r w:rsidR="002C6DB1">
        <w:instrText xml:space="preserve"> REF _Ref533176373  \* MERGEFORMAT </w:instrText>
      </w:r>
      <w:r w:rsidR="002C6DB1">
        <w:fldChar w:fldCharType="separate"/>
      </w:r>
      <w:r w:rsidRPr="00561093">
        <w:rPr>
          <w:bCs/>
        </w:rPr>
        <w:t>Table</w:t>
      </w:r>
      <w:r w:rsidRPr="00561093">
        <w:rPr>
          <w:b/>
          <w:bCs/>
        </w:rPr>
        <w:t xml:space="preserve"> </w:t>
      </w:r>
      <w:r>
        <w:rPr>
          <w:noProof/>
        </w:rPr>
        <w:t>15</w:t>
      </w:r>
      <w:r w:rsidR="002C6DB1">
        <w:rPr>
          <w:noProof/>
        </w:rPr>
        <w:fldChar w:fldCharType="end"/>
      </w:r>
      <w:r w:rsidRPr="00D33EFC">
        <w:t>).</w:t>
      </w:r>
      <w:r w:rsidRPr="001813B9">
        <w:t xml:space="preserve"> </w:t>
      </w:r>
      <w:bookmarkStart w:id="22" w:name="_Ref533176373"/>
      <w:bookmarkStart w:id="23" w:name="_Toc533180006"/>
      <w:r w:rsidR="00CB7F85">
        <w:br w:type="page"/>
      </w:r>
    </w:p>
    <w:p w14:paraId="7AFB6047" w14:textId="35352AA1" w:rsidR="003B0883" w:rsidRPr="00D33EFC" w:rsidRDefault="003B0883" w:rsidP="003B0883">
      <w:pPr>
        <w:pStyle w:val="Caption"/>
      </w:pPr>
      <w:r w:rsidRPr="00D33EFC">
        <w:t xml:space="preserve">Table </w:t>
      </w:r>
      <w:r w:rsidR="002C6DB1">
        <w:fldChar w:fldCharType="begin"/>
      </w:r>
      <w:r w:rsidR="002C6DB1">
        <w:instrText xml:space="preserve"> SEQ Table \* ARABIC </w:instrText>
      </w:r>
      <w:r w:rsidR="002C6DB1">
        <w:fldChar w:fldCharType="separate"/>
      </w:r>
      <w:r>
        <w:rPr>
          <w:noProof/>
        </w:rPr>
        <w:t>15</w:t>
      </w:r>
      <w:r w:rsidR="002C6DB1">
        <w:rPr>
          <w:noProof/>
        </w:rPr>
        <w:fldChar w:fldCharType="end"/>
      </w:r>
      <w:bookmarkEnd w:id="22"/>
      <w:r>
        <w:t xml:space="preserve">: </w:t>
      </w:r>
      <w:r w:rsidRPr="00D33EFC">
        <w:t>Univariate sensitivity analyses</w:t>
      </w:r>
      <w:bookmarkEnd w:id="23"/>
    </w:p>
    <w:tbl>
      <w:tblPr>
        <w:tblStyle w:val="TableGrid"/>
        <w:tblW w:w="0" w:type="auto"/>
        <w:tblLook w:val="04A0" w:firstRow="1" w:lastRow="0" w:firstColumn="1" w:lastColumn="0" w:noHBand="0" w:noVBand="1"/>
        <w:tblCaption w:val="Univariate sensitivity analyses"/>
        <w:tblDescription w:val="Univariate sensitivity analyses"/>
      </w:tblPr>
      <w:tblGrid>
        <w:gridCol w:w="2122"/>
        <w:gridCol w:w="1842"/>
        <w:gridCol w:w="2127"/>
        <w:gridCol w:w="2925"/>
      </w:tblGrid>
      <w:tr w:rsidR="003B0883" w:rsidRPr="00D33EFC" w14:paraId="671F91B0" w14:textId="77777777" w:rsidTr="003B0883">
        <w:trPr>
          <w:trHeight w:val="300"/>
          <w:tblHeader/>
        </w:trPr>
        <w:tc>
          <w:tcPr>
            <w:tcW w:w="2122" w:type="dxa"/>
            <w:noWrap/>
            <w:hideMark/>
          </w:tcPr>
          <w:p w14:paraId="18A98F50" w14:textId="77777777" w:rsidR="003B0883" w:rsidRPr="00D33EFC" w:rsidRDefault="003B0883" w:rsidP="003B0883">
            <w:pPr>
              <w:pStyle w:val="Tabletextboldleft"/>
            </w:pPr>
            <w:r w:rsidRPr="00D33EFC">
              <w:t>Description</w:t>
            </w:r>
          </w:p>
        </w:tc>
        <w:tc>
          <w:tcPr>
            <w:tcW w:w="1842" w:type="dxa"/>
          </w:tcPr>
          <w:p w14:paraId="3BEBABEE" w14:textId="77777777" w:rsidR="003B0883" w:rsidRPr="00D33EFC" w:rsidRDefault="003B0883" w:rsidP="003B0883">
            <w:pPr>
              <w:pStyle w:val="Tabletextboldleft"/>
              <w:rPr>
                <w:bCs/>
              </w:rPr>
            </w:pPr>
            <w:r w:rsidRPr="00D33EFC">
              <w:rPr>
                <w:bCs/>
              </w:rPr>
              <w:t>Method/value</w:t>
            </w:r>
          </w:p>
        </w:tc>
        <w:tc>
          <w:tcPr>
            <w:tcW w:w="2127" w:type="dxa"/>
            <w:hideMark/>
          </w:tcPr>
          <w:p w14:paraId="5B2FA852" w14:textId="77777777" w:rsidR="003B0883" w:rsidRPr="00D33EFC" w:rsidRDefault="003B0883" w:rsidP="003B0883">
            <w:pPr>
              <w:pStyle w:val="Tabletextboldleft"/>
              <w:rPr>
                <w:bCs/>
              </w:rPr>
            </w:pPr>
            <w:r w:rsidRPr="00D33EFC">
              <w:rPr>
                <w:bCs/>
              </w:rPr>
              <w:t xml:space="preserve">Increment in average cost per </w:t>
            </w:r>
            <w:r>
              <w:rPr>
                <w:bCs/>
              </w:rPr>
              <w:t>affected individual</w:t>
            </w:r>
            <w:r w:rsidRPr="00D33EFC">
              <w:rPr>
                <w:bCs/>
              </w:rPr>
              <w:t xml:space="preserve"> and family members (lower value, higher value)</w:t>
            </w:r>
          </w:p>
          <w:p w14:paraId="4E5929FB" w14:textId="77777777" w:rsidR="003B0883" w:rsidRPr="00D33EFC" w:rsidRDefault="003B0883" w:rsidP="003B0883">
            <w:pPr>
              <w:pStyle w:val="Tabletextboldleft"/>
              <w:rPr>
                <w:bCs/>
              </w:rPr>
            </w:pPr>
            <w:r w:rsidRPr="00D33EFC">
              <w:rPr>
                <w:bCs/>
              </w:rPr>
              <w:t>(base-case: –$41)</w:t>
            </w:r>
          </w:p>
        </w:tc>
        <w:tc>
          <w:tcPr>
            <w:tcW w:w="2925" w:type="dxa"/>
            <w:hideMark/>
          </w:tcPr>
          <w:p w14:paraId="4DAC5401" w14:textId="77777777" w:rsidR="003B0883" w:rsidRPr="00D33EFC" w:rsidRDefault="003B0883" w:rsidP="003B0883">
            <w:pPr>
              <w:pStyle w:val="Tabletextboldleft"/>
              <w:rPr>
                <w:bCs/>
              </w:rPr>
            </w:pPr>
            <w:r w:rsidRPr="00D33EFC">
              <w:rPr>
                <w:bCs/>
              </w:rPr>
              <w:t>Impact</w:t>
            </w:r>
          </w:p>
        </w:tc>
      </w:tr>
      <w:tr w:rsidR="003B0883" w:rsidRPr="00D33EFC" w14:paraId="71DE944D" w14:textId="77777777" w:rsidTr="003B0883">
        <w:trPr>
          <w:trHeight w:val="300"/>
        </w:trPr>
        <w:tc>
          <w:tcPr>
            <w:tcW w:w="2122" w:type="dxa"/>
            <w:noWrap/>
          </w:tcPr>
          <w:p w14:paraId="4124F949" w14:textId="77777777" w:rsidR="003B0883" w:rsidRPr="00D33EFC" w:rsidRDefault="003B0883" w:rsidP="003B0883">
            <w:pPr>
              <w:pStyle w:val="TableText0"/>
            </w:pPr>
            <w:r w:rsidRPr="00D33EFC">
              <w:t xml:space="preserve">Diagnostic yield in </w:t>
            </w:r>
            <w:r>
              <w:t>affected individuals</w:t>
            </w:r>
            <w:r w:rsidRPr="00D33EFC">
              <w:t xml:space="preserve"> (base case: </w:t>
            </w:r>
            <w:r w:rsidRPr="00754CF9">
              <w:t>26.3</w:t>
            </w:r>
            <w:r w:rsidRPr="00C9541A">
              <w:t>%)</w:t>
            </w:r>
          </w:p>
        </w:tc>
        <w:tc>
          <w:tcPr>
            <w:tcW w:w="1842" w:type="dxa"/>
          </w:tcPr>
          <w:p w14:paraId="427C3206" w14:textId="77777777" w:rsidR="003B0883" w:rsidRPr="00D33EFC" w:rsidRDefault="003B0883" w:rsidP="003B0883">
            <w:pPr>
              <w:pStyle w:val="TableText0"/>
            </w:pPr>
            <w:r w:rsidRPr="00D33EFC">
              <w:t>Values changed over range: 10% to 90%</w:t>
            </w:r>
          </w:p>
        </w:tc>
        <w:tc>
          <w:tcPr>
            <w:tcW w:w="2127" w:type="dxa"/>
            <w:noWrap/>
          </w:tcPr>
          <w:p w14:paraId="3197D51D" w14:textId="77777777" w:rsidR="003B0883" w:rsidRPr="00D33EFC" w:rsidRDefault="003B0883" w:rsidP="003B0883">
            <w:pPr>
              <w:pStyle w:val="TableText0"/>
            </w:pPr>
            <w:r w:rsidRPr="00D33EFC">
              <w:t>$728, –$3,048</w:t>
            </w:r>
          </w:p>
        </w:tc>
        <w:tc>
          <w:tcPr>
            <w:tcW w:w="2925" w:type="dxa"/>
            <w:noWrap/>
          </w:tcPr>
          <w:p w14:paraId="28D79792" w14:textId="77777777" w:rsidR="003B0883" w:rsidRPr="00D33EFC" w:rsidRDefault="003B0883" w:rsidP="003B0883">
            <w:pPr>
              <w:pStyle w:val="TableText0"/>
            </w:pPr>
            <w:r w:rsidRPr="00D33EFC">
              <w:t xml:space="preserve">Very high impact; higher diagnostic yield in </w:t>
            </w:r>
            <w:r>
              <w:t>affected individuals</w:t>
            </w:r>
            <w:r w:rsidRPr="00D33EFC">
              <w:t xml:space="preserve"> results in higher uptake of genetic testing in family members and therefore more cost-savings</w:t>
            </w:r>
          </w:p>
        </w:tc>
      </w:tr>
      <w:tr w:rsidR="003B0883" w:rsidRPr="00D33EFC" w14:paraId="54C73DC5" w14:textId="77777777" w:rsidTr="003B0883">
        <w:trPr>
          <w:trHeight w:val="300"/>
        </w:trPr>
        <w:tc>
          <w:tcPr>
            <w:tcW w:w="2122" w:type="dxa"/>
            <w:noWrap/>
            <w:hideMark/>
          </w:tcPr>
          <w:p w14:paraId="02EC4D21" w14:textId="77777777" w:rsidR="003B0883" w:rsidRPr="00D33EFC" w:rsidRDefault="003B0883" w:rsidP="003B0883">
            <w:pPr>
              <w:pStyle w:val="TableText0"/>
            </w:pPr>
            <w:r w:rsidRPr="00D33EFC">
              <w:t>Number of FDR screened per index case (base case: 3)</w:t>
            </w:r>
          </w:p>
        </w:tc>
        <w:tc>
          <w:tcPr>
            <w:tcW w:w="1842" w:type="dxa"/>
          </w:tcPr>
          <w:p w14:paraId="3E57A7E8" w14:textId="77777777" w:rsidR="003B0883" w:rsidRPr="00D33EFC" w:rsidRDefault="003B0883" w:rsidP="003B0883">
            <w:pPr>
              <w:pStyle w:val="TableText0"/>
            </w:pPr>
            <w:r w:rsidRPr="00D33EFC">
              <w:t>Values changed over range: 1 to 6</w:t>
            </w:r>
          </w:p>
        </w:tc>
        <w:tc>
          <w:tcPr>
            <w:tcW w:w="2127" w:type="dxa"/>
            <w:noWrap/>
          </w:tcPr>
          <w:p w14:paraId="43D13C9C" w14:textId="77777777" w:rsidR="003B0883" w:rsidRPr="00D33EFC" w:rsidRDefault="003B0883" w:rsidP="003B0883">
            <w:pPr>
              <w:pStyle w:val="TableText0"/>
            </w:pPr>
            <w:r w:rsidRPr="00D33EFC">
              <w:t>$814, –$1,324</w:t>
            </w:r>
          </w:p>
        </w:tc>
        <w:tc>
          <w:tcPr>
            <w:tcW w:w="2925" w:type="dxa"/>
            <w:noWrap/>
          </w:tcPr>
          <w:p w14:paraId="4D0F0889" w14:textId="77777777" w:rsidR="003B0883" w:rsidRPr="00D33EFC" w:rsidRDefault="003B0883" w:rsidP="003B0883">
            <w:pPr>
              <w:pStyle w:val="TableText0"/>
            </w:pPr>
            <w:r w:rsidRPr="00D33EFC">
              <w:t>Very high impact; increased uptake of genetic testing in family members increases the cost saving associated with testing.</w:t>
            </w:r>
          </w:p>
        </w:tc>
      </w:tr>
      <w:tr w:rsidR="003B0883" w:rsidRPr="00D33EFC" w14:paraId="171DA8F9" w14:textId="77777777" w:rsidTr="003B0883">
        <w:trPr>
          <w:trHeight w:val="300"/>
        </w:trPr>
        <w:tc>
          <w:tcPr>
            <w:tcW w:w="2122" w:type="dxa"/>
            <w:noWrap/>
          </w:tcPr>
          <w:p w14:paraId="7A998BC6" w14:textId="77777777" w:rsidR="003B0883" w:rsidRPr="00D33EFC" w:rsidRDefault="003B0883" w:rsidP="003B0883">
            <w:pPr>
              <w:pStyle w:val="TableText0"/>
            </w:pPr>
            <w:r w:rsidRPr="00D33EFC">
              <w:t>Number of SDR screened per index case (base case: 0)</w:t>
            </w:r>
          </w:p>
        </w:tc>
        <w:tc>
          <w:tcPr>
            <w:tcW w:w="1842" w:type="dxa"/>
          </w:tcPr>
          <w:p w14:paraId="6F9429A1" w14:textId="77777777" w:rsidR="003B0883" w:rsidRPr="00D33EFC" w:rsidRDefault="003B0883" w:rsidP="003B0883">
            <w:pPr>
              <w:pStyle w:val="TableText0"/>
            </w:pPr>
            <w:r w:rsidRPr="00D33EFC">
              <w:t>Values changed over range: 0 to 4</w:t>
            </w:r>
          </w:p>
        </w:tc>
        <w:tc>
          <w:tcPr>
            <w:tcW w:w="2127" w:type="dxa"/>
            <w:noWrap/>
          </w:tcPr>
          <w:p w14:paraId="220E0BB0" w14:textId="77777777" w:rsidR="003B0883" w:rsidRPr="00D33EFC" w:rsidRDefault="003B0883" w:rsidP="003B0883">
            <w:pPr>
              <w:pStyle w:val="TableText0"/>
            </w:pPr>
            <w:r w:rsidRPr="00D33EFC">
              <w:t>–$41, –$2,607</w:t>
            </w:r>
          </w:p>
        </w:tc>
        <w:tc>
          <w:tcPr>
            <w:tcW w:w="2925" w:type="dxa"/>
            <w:noWrap/>
          </w:tcPr>
          <w:p w14:paraId="0FE31EB4" w14:textId="77777777" w:rsidR="003B0883" w:rsidRPr="00D33EFC" w:rsidRDefault="003B0883" w:rsidP="003B0883">
            <w:pPr>
              <w:pStyle w:val="TableText0"/>
            </w:pPr>
            <w:r w:rsidRPr="00D33EFC">
              <w:t>Very high impact; increased uptake of genetic testing in family members increases the cost saving associated with testing.</w:t>
            </w:r>
          </w:p>
        </w:tc>
      </w:tr>
      <w:tr w:rsidR="003B0883" w:rsidRPr="00D33EFC" w14:paraId="1A530DEE" w14:textId="77777777" w:rsidTr="003B0883">
        <w:trPr>
          <w:trHeight w:val="300"/>
        </w:trPr>
        <w:tc>
          <w:tcPr>
            <w:tcW w:w="2122" w:type="dxa"/>
            <w:noWrap/>
          </w:tcPr>
          <w:p w14:paraId="67E81A2B" w14:textId="77777777" w:rsidR="003B0883" w:rsidRPr="00D33EFC" w:rsidRDefault="003B0883" w:rsidP="003B0883">
            <w:pPr>
              <w:pStyle w:val="TableText0"/>
            </w:pPr>
            <w:r w:rsidRPr="00D33EFC">
              <w:t>Recommended surveillance interval (base case: 2 years)</w:t>
            </w:r>
          </w:p>
        </w:tc>
        <w:tc>
          <w:tcPr>
            <w:tcW w:w="1842" w:type="dxa"/>
          </w:tcPr>
          <w:p w14:paraId="4E40C8EC" w14:textId="77777777" w:rsidR="003B0883" w:rsidRPr="00D33EFC" w:rsidRDefault="003B0883" w:rsidP="003B0883">
            <w:pPr>
              <w:pStyle w:val="TableText0"/>
            </w:pPr>
            <w:r w:rsidRPr="00D33EFC">
              <w:t>Values changed over range from 1 year to 5 years</w:t>
            </w:r>
          </w:p>
        </w:tc>
        <w:tc>
          <w:tcPr>
            <w:tcW w:w="2127" w:type="dxa"/>
            <w:noWrap/>
          </w:tcPr>
          <w:p w14:paraId="2668F5C1" w14:textId="77777777" w:rsidR="003B0883" w:rsidRPr="00D33EFC" w:rsidRDefault="003B0883" w:rsidP="003B0883">
            <w:pPr>
              <w:pStyle w:val="TableText0"/>
            </w:pPr>
            <w:r w:rsidRPr="00D33EFC">
              <w:t>–$1,253, $684</w:t>
            </w:r>
          </w:p>
        </w:tc>
        <w:tc>
          <w:tcPr>
            <w:tcW w:w="2925" w:type="dxa"/>
            <w:noWrap/>
          </w:tcPr>
          <w:p w14:paraId="23A8B5CC" w14:textId="77777777" w:rsidR="003B0883" w:rsidRPr="00D33EFC" w:rsidRDefault="003B0883" w:rsidP="003B0883">
            <w:pPr>
              <w:pStyle w:val="TableText0"/>
            </w:pPr>
            <w:r w:rsidRPr="00D33EFC">
              <w:t>High impact; the cost-saving associated with genetic testing increases if the surveillance interval is shorter</w:t>
            </w:r>
          </w:p>
        </w:tc>
      </w:tr>
      <w:tr w:rsidR="003B0883" w:rsidRPr="00D33EFC" w14:paraId="6A6F3CBE" w14:textId="77777777" w:rsidTr="003B0883">
        <w:trPr>
          <w:trHeight w:val="300"/>
        </w:trPr>
        <w:tc>
          <w:tcPr>
            <w:tcW w:w="2122" w:type="dxa"/>
            <w:noWrap/>
            <w:hideMark/>
          </w:tcPr>
          <w:p w14:paraId="7F4A2D7D" w14:textId="77777777" w:rsidR="003B0883" w:rsidRPr="00D33EFC" w:rsidRDefault="003B0883" w:rsidP="003B0883">
            <w:pPr>
              <w:pStyle w:val="TableText0"/>
            </w:pPr>
            <w:r w:rsidRPr="00D33EFC">
              <w:t>Cost of surveillance (base case: $354)</w:t>
            </w:r>
          </w:p>
        </w:tc>
        <w:tc>
          <w:tcPr>
            <w:tcW w:w="1842" w:type="dxa"/>
          </w:tcPr>
          <w:p w14:paraId="5BBFFFEE" w14:textId="77777777" w:rsidR="003B0883" w:rsidRPr="00D33EFC" w:rsidRDefault="003B0883" w:rsidP="003B0883">
            <w:pPr>
              <w:pStyle w:val="TableText0"/>
            </w:pPr>
            <w:r w:rsidRPr="00D33EFC">
              <w:t>Values changed o</w:t>
            </w:r>
            <w:r>
              <w:t>v</w:t>
            </w:r>
            <w:r w:rsidRPr="00D33EFC">
              <w:t>er range from $177 to $709.</w:t>
            </w:r>
          </w:p>
        </w:tc>
        <w:tc>
          <w:tcPr>
            <w:tcW w:w="2127" w:type="dxa"/>
            <w:noWrap/>
            <w:hideMark/>
          </w:tcPr>
          <w:p w14:paraId="6FCA4079" w14:textId="77777777" w:rsidR="003B0883" w:rsidRPr="00D33EFC" w:rsidRDefault="003B0883" w:rsidP="003B0883">
            <w:pPr>
              <w:pStyle w:val="TableText0"/>
            </w:pPr>
            <w:r w:rsidRPr="00D33EFC">
              <w:t>$601, –$1,326</w:t>
            </w:r>
          </w:p>
        </w:tc>
        <w:tc>
          <w:tcPr>
            <w:tcW w:w="2925" w:type="dxa"/>
            <w:noWrap/>
            <w:hideMark/>
          </w:tcPr>
          <w:p w14:paraId="3D185B31" w14:textId="77777777" w:rsidR="003B0883" w:rsidRPr="00D33EFC" w:rsidRDefault="003B0883" w:rsidP="003B0883">
            <w:pPr>
              <w:pStyle w:val="TableText0"/>
            </w:pPr>
            <w:r w:rsidRPr="00D33EFC">
              <w:t>High impact; the cost-saving associated with genetic testing are increased if the cost of surveillance is higher.</w:t>
            </w:r>
          </w:p>
        </w:tc>
      </w:tr>
      <w:tr w:rsidR="003B0883" w:rsidRPr="00D33EFC" w14:paraId="7885A5B2" w14:textId="77777777" w:rsidTr="003B0883">
        <w:trPr>
          <w:trHeight w:val="300"/>
        </w:trPr>
        <w:tc>
          <w:tcPr>
            <w:tcW w:w="2122" w:type="dxa"/>
            <w:noWrap/>
          </w:tcPr>
          <w:p w14:paraId="487A2BFA" w14:textId="77777777" w:rsidR="003B0883" w:rsidRPr="00D33EFC" w:rsidRDefault="003B0883" w:rsidP="003B0883">
            <w:pPr>
              <w:pStyle w:val="TableText0"/>
            </w:pPr>
            <w:r w:rsidRPr="00D33EFC">
              <w:t xml:space="preserve">Uptake of surveillance in no testing arm (base case: 100%) </w:t>
            </w:r>
            <w:r w:rsidRPr="00D33EFC">
              <w:rPr>
                <w:vertAlign w:val="superscript"/>
              </w:rPr>
              <w:t>a</w:t>
            </w:r>
          </w:p>
        </w:tc>
        <w:tc>
          <w:tcPr>
            <w:tcW w:w="1842" w:type="dxa"/>
          </w:tcPr>
          <w:p w14:paraId="11F5DF54" w14:textId="77777777" w:rsidR="003B0883" w:rsidRPr="00D33EFC" w:rsidRDefault="003B0883" w:rsidP="003B0883">
            <w:pPr>
              <w:pStyle w:val="TableText0"/>
            </w:pPr>
            <w:r w:rsidRPr="00D33EFC">
              <w:t>Value changed to 50%</w:t>
            </w:r>
          </w:p>
        </w:tc>
        <w:tc>
          <w:tcPr>
            <w:tcW w:w="2127" w:type="dxa"/>
            <w:noWrap/>
          </w:tcPr>
          <w:p w14:paraId="20855443" w14:textId="77777777" w:rsidR="003B0883" w:rsidRPr="00D33EFC" w:rsidRDefault="003B0883" w:rsidP="003B0883">
            <w:pPr>
              <w:pStyle w:val="TableText0"/>
            </w:pPr>
            <w:r w:rsidRPr="00D33EFC">
              <w:t>$1,242</w:t>
            </w:r>
          </w:p>
        </w:tc>
        <w:tc>
          <w:tcPr>
            <w:tcW w:w="2925" w:type="dxa"/>
            <w:noWrap/>
          </w:tcPr>
          <w:p w14:paraId="35FE5167" w14:textId="77777777" w:rsidR="003B0883" w:rsidRPr="00D33EFC" w:rsidRDefault="003B0883" w:rsidP="003B0883">
            <w:pPr>
              <w:pStyle w:val="TableText0"/>
            </w:pPr>
            <w:r w:rsidRPr="00D33EFC">
              <w:t>High impact; the cost-savings are not observed if uptake of surveillance is lower in the non-testing arm. However, this is likely an underestimate, as health benefits associated with surveillance are not quantified in the model.</w:t>
            </w:r>
          </w:p>
        </w:tc>
      </w:tr>
    </w:tbl>
    <w:p w14:paraId="3A32903B" w14:textId="77777777" w:rsidR="003B0883" w:rsidRPr="00D33EFC" w:rsidRDefault="003B0883" w:rsidP="003B0883">
      <w:pPr>
        <w:pStyle w:val="Tablenotes1"/>
      </w:pPr>
      <w:r w:rsidRPr="00D33EFC">
        <w:t>FDR = first-degree relatives; SDR = Second-degree relatives</w:t>
      </w:r>
    </w:p>
    <w:p w14:paraId="40D3F6EF" w14:textId="77777777" w:rsidR="003B0883" w:rsidRDefault="003B0883" w:rsidP="003B0883">
      <w:pPr>
        <w:pStyle w:val="Tablenotes1"/>
      </w:pPr>
      <w:r>
        <w:t>Source: DCAR, Table 20 (as updated in HTA group’s rejoinder to applicant’s pre-ESC response).</w:t>
      </w:r>
    </w:p>
    <w:p w14:paraId="1EB4FDF3" w14:textId="77777777" w:rsidR="00BC1364" w:rsidRPr="00F715D1" w:rsidRDefault="00BC1364" w:rsidP="00F715D1">
      <w:pPr>
        <w:pStyle w:val="Heading1"/>
      </w:pPr>
      <w:r w:rsidRPr="00F715D1">
        <w:t>Financial/budgetary impacts</w:t>
      </w:r>
    </w:p>
    <w:p w14:paraId="48DEB5FC" w14:textId="781BC74A" w:rsidR="003B0883" w:rsidRDefault="003B0883" w:rsidP="003B0883">
      <w:r>
        <w:t>The DCAR noted that g</w:t>
      </w:r>
      <w:r w:rsidRPr="00CA05A5">
        <w:t xml:space="preserve">enetic testing for </w:t>
      </w:r>
      <w:r>
        <w:t>ICAs is currently provided by the S</w:t>
      </w:r>
      <w:r w:rsidRPr="00CA05A5">
        <w:t>tates/</w:t>
      </w:r>
      <w:r>
        <w:t>T</w:t>
      </w:r>
      <w:r w:rsidRPr="00CA05A5">
        <w:t xml:space="preserve">erritories through public hospitals, or, is privately funded by the populations eligible for MBS funding. Should listing on the MBS be recommended, it is expected that the cost </w:t>
      </w:r>
      <w:r>
        <w:t>of testing will shift from the S</w:t>
      </w:r>
      <w:r w:rsidRPr="00CA05A5">
        <w:t>tates/</w:t>
      </w:r>
      <w:r>
        <w:t>T</w:t>
      </w:r>
      <w:r w:rsidRPr="00CA05A5">
        <w:t xml:space="preserve">erritories or </w:t>
      </w:r>
      <w:r>
        <w:t>the public,</w:t>
      </w:r>
      <w:r w:rsidRPr="00CA05A5">
        <w:t xml:space="preserve"> to the MBS (with no cost-offsets to the MBS anticipated).</w:t>
      </w:r>
    </w:p>
    <w:p w14:paraId="2F0479B9" w14:textId="0E16440B" w:rsidR="003B0883" w:rsidRDefault="003B0883" w:rsidP="008E097E">
      <w:pPr>
        <w:spacing w:before="240" w:after="240"/>
      </w:pPr>
      <w:r>
        <w:t xml:space="preserve">The DCAR therefore reported changes in the use of other medical services associated with this application as the sum of additional genetic counselling services for affected individuals, and pre- and post-test genetic counselling for family members receiving cascade tests (counselling uptake rates as in </w:t>
      </w:r>
      <w:r w:rsidR="002C6DB1">
        <w:fldChar w:fldCharType="begin"/>
      </w:r>
      <w:r w:rsidR="002C6DB1">
        <w:instrText xml:space="preserve"> REF _Ref49244241 </w:instrText>
      </w:r>
      <w:r w:rsidR="002C6DB1">
        <w:fldChar w:fldCharType="separate"/>
      </w:r>
      <w:r w:rsidRPr="00E877C9">
        <w:t xml:space="preserve">Table </w:t>
      </w:r>
      <w:r>
        <w:rPr>
          <w:noProof/>
        </w:rPr>
        <w:t>13</w:t>
      </w:r>
      <w:r w:rsidR="002C6DB1">
        <w:rPr>
          <w:noProof/>
        </w:rPr>
        <w:fldChar w:fldCharType="end"/>
      </w:r>
      <w:r>
        <w:t>). In the pre-ESC response, the applicant comments that a</w:t>
      </w:r>
      <w:r w:rsidRPr="00234C82">
        <w:t>s recommended by the 2015 ESC guidelines, genetic testing may also deliver additional benefits by the avoidance of other cardiac investigations in patients suspected of a ventricular arrhythmia, such as echocardiograms (MBS item number 55126, fee $234) or cardiac MRI (not currently funded by the MBS)</w:t>
      </w:r>
      <w:r>
        <w:t>. In the rejoinder, the HTA group responded that t</w:t>
      </w:r>
      <w:r w:rsidRPr="00484705">
        <w:t>here is a lack of real-world data on resource use associated with the clinical assessment and/or surveillance in Australian clinical practice</w:t>
      </w:r>
      <w:r w:rsidR="008E097E">
        <w:t>.</w:t>
      </w:r>
    </w:p>
    <w:p w14:paraId="7A45AAC2" w14:textId="05F40A40" w:rsidR="003B0883" w:rsidRDefault="003B0883" w:rsidP="003B0883">
      <w:r w:rsidRPr="0037272A">
        <w:t>The DCAR estimate</w:t>
      </w:r>
      <w:r>
        <w:t>d</w:t>
      </w:r>
      <w:r w:rsidRPr="0037272A">
        <w:t xml:space="preserve"> the </w:t>
      </w:r>
      <w:r>
        <w:t xml:space="preserve">total </w:t>
      </w:r>
      <w:r w:rsidRPr="0037272A">
        <w:t>financial implications to the MBS of introducing genetic testing for ICAs (</w:t>
      </w:r>
      <w:r w:rsidR="002C6DB1">
        <w:fldChar w:fldCharType="begin"/>
      </w:r>
      <w:r w:rsidR="002C6DB1">
        <w:instrText xml:space="preserve"> REF _Ref49193960  \* MERGEFORMAT </w:instrText>
      </w:r>
      <w:r w:rsidR="002C6DB1">
        <w:fldChar w:fldCharType="separate"/>
      </w:r>
      <w:r w:rsidRPr="00561093">
        <w:rPr>
          <w:bCs/>
        </w:rPr>
        <w:t>Table</w:t>
      </w:r>
      <w:r w:rsidRPr="00561093">
        <w:rPr>
          <w:b/>
          <w:bCs/>
        </w:rPr>
        <w:t xml:space="preserve"> </w:t>
      </w:r>
      <w:r>
        <w:rPr>
          <w:noProof/>
        </w:rPr>
        <w:t>16</w:t>
      </w:r>
      <w:r w:rsidR="002C6DB1">
        <w:rPr>
          <w:noProof/>
        </w:rPr>
        <w:fldChar w:fldCharType="end"/>
      </w:r>
      <w:r w:rsidRPr="0037272A">
        <w:t>).</w:t>
      </w:r>
      <w:r>
        <w:t xml:space="preserve"> The DCAR note</w:t>
      </w:r>
      <w:r w:rsidR="00D83666">
        <w:t>d</w:t>
      </w:r>
      <w:r>
        <w:t xml:space="preserve"> that t</w:t>
      </w:r>
      <w:r w:rsidRPr="008525DE">
        <w:t xml:space="preserve">he net costs to the MBS associated with the proposed listing would be expected to be associated with a commensurate reduction in </w:t>
      </w:r>
      <w:r>
        <w:t>public</w:t>
      </w:r>
      <w:r w:rsidRPr="008525DE">
        <w:t xml:space="preserve"> </w:t>
      </w:r>
      <w:r>
        <w:t>h</w:t>
      </w:r>
      <w:r w:rsidRPr="008525DE">
        <w:t>ospital expenditure.</w:t>
      </w:r>
    </w:p>
    <w:p w14:paraId="5DB4C159" w14:textId="47A70ED2" w:rsidR="003B0883" w:rsidRPr="008F7C7B" w:rsidRDefault="003B0883" w:rsidP="008E097E">
      <w:pPr>
        <w:pStyle w:val="Caption"/>
        <w:spacing w:before="240"/>
        <w:jc w:val="left"/>
      </w:pPr>
      <w:bookmarkStart w:id="24" w:name="_Ref49193960"/>
      <w:r w:rsidRPr="008F7C7B">
        <w:t xml:space="preserve">Table </w:t>
      </w:r>
      <w:r w:rsidR="002C6DB1">
        <w:fldChar w:fldCharType="begin"/>
      </w:r>
      <w:r w:rsidR="002C6DB1">
        <w:instrText xml:space="preserve"> SEQ Table</w:instrText>
      </w:r>
      <w:r w:rsidR="002C6DB1">
        <w:instrText xml:space="preserve"> \* ARABIC </w:instrText>
      </w:r>
      <w:r w:rsidR="002C6DB1">
        <w:fldChar w:fldCharType="separate"/>
      </w:r>
      <w:r>
        <w:rPr>
          <w:noProof/>
        </w:rPr>
        <w:t>16</w:t>
      </w:r>
      <w:r w:rsidR="002C6DB1">
        <w:rPr>
          <w:noProof/>
        </w:rPr>
        <w:fldChar w:fldCharType="end"/>
      </w:r>
      <w:bookmarkEnd w:id="24"/>
      <w:r>
        <w:t xml:space="preserve">: </w:t>
      </w:r>
      <w:r w:rsidRPr="008F7C7B">
        <w:t xml:space="preserve">Total cost to MBS (proposed tests and co-administered services) for </w:t>
      </w:r>
      <w:r>
        <w:t>affected individuals</w:t>
      </w:r>
      <w:r w:rsidRPr="008F7C7B">
        <w:t xml:space="preserve"> and </w:t>
      </w:r>
      <w:r>
        <w:t>FDR</w:t>
      </w:r>
      <w:r w:rsidRPr="008F7C7B">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tal cost to MBS (proposed tests and co-administered services) for index cases and first-degree relatives"/>
        <w:tblDescription w:val="Total cost to MBS (proposed tests and co-administered services) for index cases and first-degree relatives"/>
      </w:tblPr>
      <w:tblGrid>
        <w:gridCol w:w="563"/>
        <w:gridCol w:w="3403"/>
        <w:gridCol w:w="902"/>
        <w:gridCol w:w="1037"/>
        <w:gridCol w:w="1037"/>
        <w:gridCol w:w="1037"/>
        <w:gridCol w:w="1037"/>
      </w:tblGrid>
      <w:tr w:rsidR="003B0883" w:rsidRPr="008F7C7B" w14:paraId="2504753C" w14:textId="77777777" w:rsidTr="008E097E">
        <w:trPr>
          <w:trHeight w:val="315"/>
        </w:trPr>
        <w:tc>
          <w:tcPr>
            <w:tcW w:w="312" w:type="pct"/>
            <w:shd w:val="clear" w:color="auto" w:fill="auto"/>
            <w:vAlign w:val="center"/>
            <w:hideMark/>
          </w:tcPr>
          <w:p w14:paraId="7A6A4A52" w14:textId="77777777" w:rsidR="003B0883" w:rsidRPr="008F7C7B" w:rsidRDefault="003B0883" w:rsidP="003B0883">
            <w:pPr>
              <w:pStyle w:val="Tabletextboldleft"/>
            </w:pPr>
            <w:r w:rsidRPr="008F7C7B">
              <w:t>Row</w:t>
            </w:r>
          </w:p>
        </w:tc>
        <w:tc>
          <w:tcPr>
            <w:tcW w:w="1887" w:type="pct"/>
            <w:shd w:val="clear" w:color="auto" w:fill="auto"/>
            <w:vAlign w:val="center"/>
            <w:hideMark/>
          </w:tcPr>
          <w:p w14:paraId="5AB22792" w14:textId="77777777" w:rsidR="003B0883" w:rsidRPr="008F7C7B" w:rsidRDefault="003B0883" w:rsidP="003B0883">
            <w:pPr>
              <w:pStyle w:val="Tabletextboldleft"/>
            </w:pPr>
            <w:r w:rsidRPr="008F7C7B">
              <w:t>Description</w:t>
            </w:r>
          </w:p>
        </w:tc>
        <w:tc>
          <w:tcPr>
            <w:tcW w:w="500" w:type="pct"/>
            <w:shd w:val="clear" w:color="auto" w:fill="auto"/>
            <w:noWrap/>
            <w:vAlign w:val="center"/>
            <w:hideMark/>
          </w:tcPr>
          <w:p w14:paraId="7FA4E892" w14:textId="77777777" w:rsidR="003B0883" w:rsidRPr="008F7C7B" w:rsidRDefault="003B0883" w:rsidP="003B0883">
            <w:pPr>
              <w:pStyle w:val="Tabletextboldleft"/>
            </w:pPr>
            <w:r w:rsidRPr="008F7C7B">
              <w:t>2021–22</w:t>
            </w:r>
          </w:p>
        </w:tc>
        <w:tc>
          <w:tcPr>
            <w:tcW w:w="575" w:type="pct"/>
            <w:shd w:val="clear" w:color="auto" w:fill="auto"/>
            <w:noWrap/>
            <w:vAlign w:val="center"/>
            <w:hideMark/>
          </w:tcPr>
          <w:p w14:paraId="747B35C0" w14:textId="77777777" w:rsidR="003B0883" w:rsidRPr="008F7C7B" w:rsidRDefault="003B0883" w:rsidP="003B0883">
            <w:pPr>
              <w:pStyle w:val="Tabletextboldleft"/>
            </w:pPr>
            <w:r w:rsidRPr="008F7C7B">
              <w:t>2022–23</w:t>
            </w:r>
          </w:p>
        </w:tc>
        <w:tc>
          <w:tcPr>
            <w:tcW w:w="575" w:type="pct"/>
            <w:shd w:val="clear" w:color="auto" w:fill="auto"/>
            <w:noWrap/>
            <w:vAlign w:val="center"/>
            <w:hideMark/>
          </w:tcPr>
          <w:p w14:paraId="35CA0BC0" w14:textId="77777777" w:rsidR="003B0883" w:rsidRPr="008F7C7B" w:rsidRDefault="003B0883" w:rsidP="003B0883">
            <w:pPr>
              <w:pStyle w:val="Tabletextboldleft"/>
            </w:pPr>
            <w:r w:rsidRPr="008F7C7B">
              <w:t>2023–24</w:t>
            </w:r>
          </w:p>
        </w:tc>
        <w:tc>
          <w:tcPr>
            <w:tcW w:w="575" w:type="pct"/>
            <w:shd w:val="clear" w:color="auto" w:fill="auto"/>
            <w:noWrap/>
            <w:vAlign w:val="center"/>
            <w:hideMark/>
          </w:tcPr>
          <w:p w14:paraId="2331881D" w14:textId="77777777" w:rsidR="003B0883" w:rsidRPr="008F7C7B" w:rsidRDefault="003B0883" w:rsidP="003B0883">
            <w:pPr>
              <w:pStyle w:val="Tabletextboldleft"/>
            </w:pPr>
            <w:r w:rsidRPr="008F7C7B">
              <w:t>2024–25</w:t>
            </w:r>
          </w:p>
        </w:tc>
        <w:tc>
          <w:tcPr>
            <w:tcW w:w="575" w:type="pct"/>
            <w:shd w:val="clear" w:color="auto" w:fill="auto"/>
            <w:noWrap/>
            <w:vAlign w:val="center"/>
            <w:hideMark/>
          </w:tcPr>
          <w:p w14:paraId="3E3F7F53" w14:textId="77777777" w:rsidR="003B0883" w:rsidRPr="008F7C7B" w:rsidRDefault="003B0883" w:rsidP="003B0883">
            <w:pPr>
              <w:pStyle w:val="Tabletextboldleft"/>
            </w:pPr>
            <w:r w:rsidRPr="008F7C7B">
              <w:t>2025–26</w:t>
            </w:r>
          </w:p>
        </w:tc>
      </w:tr>
      <w:tr w:rsidR="003B0883" w:rsidRPr="003A30FA" w14:paraId="10025DEE" w14:textId="77777777" w:rsidTr="008E097E">
        <w:trPr>
          <w:trHeight w:val="315"/>
        </w:trPr>
        <w:tc>
          <w:tcPr>
            <w:tcW w:w="312" w:type="pct"/>
            <w:shd w:val="clear" w:color="auto" w:fill="auto"/>
            <w:vAlign w:val="center"/>
            <w:hideMark/>
          </w:tcPr>
          <w:p w14:paraId="37124FB8" w14:textId="77777777" w:rsidR="003B0883" w:rsidRPr="003A30FA" w:rsidRDefault="003B0883" w:rsidP="003B0883">
            <w:pPr>
              <w:pStyle w:val="Tabletextboldleft"/>
              <w:rPr>
                <w:b w:val="0"/>
                <w:i/>
              </w:rPr>
            </w:pPr>
            <w:r w:rsidRPr="003A30FA">
              <w:rPr>
                <w:b w:val="0"/>
                <w:i/>
              </w:rPr>
              <w:t> </w:t>
            </w:r>
          </w:p>
        </w:tc>
        <w:tc>
          <w:tcPr>
            <w:tcW w:w="1887" w:type="pct"/>
            <w:shd w:val="clear" w:color="auto" w:fill="auto"/>
            <w:vAlign w:val="center"/>
            <w:hideMark/>
          </w:tcPr>
          <w:p w14:paraId="54892647" w14:textId="77777777" w:rsidR="003B0883" w:rsidRPr="003A30FA" w:rsidRDefault="003B0883" w:rsidP="003B0883">
            <w:pPr>
              <w:pStyle w:val="Tabletextboldleft"/>
              <w:rPr>
                <w:b w:val="0"/>
                <w:i/>
              </w:rPr>
            </w:pPr>
            <w:r w:rsidRPr="003A30FA">
              <w:rPr>
                <w:b w:val="0"/>
                <w:i/>
              </w:rPr>
              <w:t>Affected individuals</w:t>
            </w:r>
          </w:p>
        </w:tc>
        <w:tc>
          <w:tcPr>
            <w:tcW w:w="500" w:type="pct"/>
            <w:shd w:val="clear" w:color="auto" w:fill="auto"/>
            <w:noWrap/>
            <w:vAlign w:val="center"/>
            <w:hideMark/>
          </w:tcPr>
          <w:p w14:paraId="2C8E42DE" w14:textId="77777777" w:rsidR="003B0883" w:rsidRPr="003A30FA" w:rsidRDefault="003B0883" w:rsidP="003B0883">
            <w:pPr>
              <w:pStyle w:val="Tabletextboldleft"/>
              <w:rPr>
                <w:b w:val="0"/>
                <w:i/>
              </w:rPr>
            </w:pPr>
            <w:r w:rsidRPr="003A30FA">
              <w:rPr>
                <w:b w:val="0"/>
                <w:i/>
              </w:rPr>
              <w:t> </w:t>
            </w:r>
          </w:p>
        </w:tc>
        <w:tc>
          <w:tcPr>
            <w:tcW w:w="575" w:type="pct"/>
            <w:shd w:val="clear" w:color="auto" w:fill="auto"/>
            <w:noWrap/>
            <w:vAlign w:val="center"/>
            <w:hideMark/>
          </w:tcPr>
          <w:p w14:paraId="68A806A7" w14:textId="77777777" w:rsidR="003B0883" w:rsidRPr="003A30FA" w:rsidRDefault="003B0883" w:rsidP="003B0883">
            <w:pPr>
              <w:pStyle w:val="Tabletextboldleft"/>
              <w:rPr>
                <w:b w:val="0"/>
                <w:i/>
              </w:rPr>
            </w:pPr>
            <w:r w:rsidRPr="003A30FA">
              <w:rPr>
                <w:b w:val="0"/>
                <w:i/>
              </w:rPr>
              <w:t> </w:t>
            </w:r>
          </w:p>
        </w:tc>
        <w:tc>
          <w:tcPr>
            <w:tcW w:w="575" w:type="pct"/>
            <w:shd w:val="clear" w:color="auto" w:fill="auto"/>
            <w:noWrap/>
            <w:vAlign w:val="center"/>
            <w:hideMark/>
          </w:tcPr>
          <w:p w14:paraId="111423DD" w14:textId="77777777" w:rsidR="003B0883" w:rsidRPr="003A30FA" w:rsidRDefault="003B0883" w:rsidP="003B0883">
            <w:pPr>
              <w:pStyle w:val="Tabletextboldleft"/>
              <w:rPr>
                <w:b w:val="0"/>
                <w:i/>
              </w:rPr>
            </w:pPr>
            <w:r w:rsidRPr="003A30FA">
              <w:rPr>
                <w:b w:val="0"/>
                <w:i/>
              </w:rPr>
              <w:t> </w:t>
            </w:r>
          </w:p>
        </w:tc>
        <w:tc>
          <w:tcPr>
            <w:tcW w:w="575" w:type="pct"/>
            <w:shd w:val="clear" w:color="auto" w:fill="auto"/>
            <w:noWrap/>
            <w:vAlign w:val="center"/>
            <w:hideMark/>
          </w:tcPr>
          <w:p w14:paraId="4CB09E0A" w14:textId="77777777" w:rsidR="003B0883" w:rsidRPr="003A30FA" w:rsidRDefault="003B0883" w:rsidP="003B0883">
            <w:pPr>
              <w:pStyle w:val="Tabletextboldleft"/>
              <w:rPr>
                <w:b w:val="0"/>
                <w:i/>
              </w:rPr>
            </w:pPr>
            <w:r w:rsidRPr="003A30FA">
              <w:rPr>
                <w:b w:val="0"/>
                <w:i/>
              </w:rPr>
              <w:t> </w:t>
            </w:r>
          </w:p>
        </w:tc>
        <w:tc>
          <w:tcPr>
            <w:tcW w:w="575" w:type="pct"/>
            <w:shd w:val="clear" w:color="auto" w:fill="auto"/>
            <w:noWrap/>
            <w:vAlign w:val="center"/>
            <w:hideMark/>
          </w:tcPr>
          <w:p w14:paraId="2EABCDC9" w14:textId="77777777" w:rsidR="003B0883" w:rsidRPr="003A30FA" w:rsidRDefault="003B0883" w:rsidP="003B0883">
            <w:pPr>
              <w:pStyle w:val="Tabletextboldleft"/>
              <w:rPr>
                <w:b w:val="0"/>
                <w:i/>
              </w:rPr>
            </w:pPr>
            <w:r w:rsidRPr="003A30FA">
              <w:rPr>
                <w:b w:val="0"/>
                <w:i/>
              </w:rPr>
              <w:t> </w:t>
            </w:r>
          </w:p>
        </w:tc>
      </w:tr>
      <w:tr w:rsidR="003B0883" w:rsidRPr="003A30FA" w14:paraId="789B4506" w14:textId="77777777" w:rsidTr="008E097E">
        <w:trPr>
          <w:trHeight w:val="315"/>
        </w:trPr>
        <w:tc>
          <w:tcPr>
            <w:tcW w:w="312" w:type="pct"/>
            <w:shd w:val="clear" w:color="auto" w:fill="auto"/>
            <w:vAlign w:val="center"/>
            <w:hideMark/>
          </w:tcPr>
          <w:p w14:paraId="45DA38FF" w14:textId="77777777" w:rsidR="003B0883" w:rsidRPr="003A30FA" w:rsidRDefault="003B0883" w:rsidP="003B0883">
            <w:pPr>
              <w:pStyle w:val="Tabletextboldleft"/>
              <w:rPr>
                <w:b w:val="0"/>
              </w:rPr>
            </w:pPr>
            <w:r w:rsidRPr="003A30FA">
              <w:rPr>
                <w:b w:val="0"/>
              </w:rPr>
              <w:t>B</w:t>
            </w:r>
          </w:p>
        </w:tc>
        <w:tc>
          <w:tcPr>
            <w:tcW w:w="1887" w:type="pct"/>
            <w:shd w:val="clear" w:color="auto" w:fill="auto"/>
            <w:vAlign w:val="center"/>
            <w:hideMark/>
          </w:tcPr>
          <w:p w14:paraId="5FC957B1" w14:textId="77777777" w:rsidR="003B0883" w:rsidRPr="003A30FA" w:rsidRDefault="003B0883" w:rsidP="003B0883">
            <w:pPr>
              <w:pStyle w:val="Tabletextboldleft"/>
              <w:rPr>
                <w:b w:val="0"/>
              </w:rPr>
            </w:pPr>
            <w:r w:rsidRPr="003A30FA">
              <w:rPr>
                <w:b w:val="0"/>
              </w:rPr>
              <w:t>Number of diagnostic tests</w:t>
            </w:r>
          </w:p>
        </w:tc>
        <w:tc>
          <w:tcPr>
            <w:tcW w:w="500" w:type="pct"/>
            <w:shd w:val="clear" w:color="auto" w:fill="auto"/>
            <w:noWrap/>
            <w:vAlign w:val="center"/>
            <w:hideMark/>
          </w:tcPr>
          <w:p w14:paraId="4A35FEF6" w14:textId="77777777" w:rsidR="003B0883" w:rsidRPr="003A30FA" w:rsidRDefault="003B0883" w:rsidP="003B0883">
            <w:pPr>
              <w:pStyle w:val="Tabletextboldleft"/>
              <w:rPr>
                <w:b w:val="0"/>
              </w:rPr>
            </w:pPr>
            <w:r w:rsidRPr="003A30FA">
              <w:rPr>
                <w:b w:val="0"/>
              </w:rPr>
              <w:t>437</w:t>
            </w:r>
          </w:p>
        </w:tc>
        <w:tc>
          <w:tcPr>
            <w:tcW w:w="575" w:type="pct"/>
            <w:shd w:val="clear" w:color="auto" w:fill="auto"/>
            <w:noWrap/>
            <w:vAlign w:val="center"/>
            <w:hideMark/>
          </w:tcPr>
          <w:p w14:paraId="1482FF28" w14:textId="77777777" w:rsidR="003B0883" w:rsidRPr="003A30FA" w:rsidRDefault="003B0883" w:rsidP="003B0883">
            <w:pPr>
              <w:pStyle w:val="Tabletextboldleft"/>
              <w:rPr>
                <w:b w:val="0"/>
              </w:rPr>
            </w:pPr>
            <w:r w:rsidRPr="003A30FA">
              <w:rPr>
                <w:b w:val="0"/>
              </w:rPr>
              <w:t>671</w:t>
            </w:r>
          </w:p>
        </w:tc>
        <w:tc>
          <w:tcPr>
            <w:tcW w:w="575" w:type="pct"/>
            <w:shd w:val="clear" w:color="auto" w:fill="auto"/>
            <w:noWrap/>
            <w:vAlign w:val="center"/>
            <w:hideMark/>
          </w:tcPr>
          <w:p w14:paraId="00836891" w14:textId="77777777" w:rsidR="003B0883" w:rsidRPr="003A30FA" w:rsidRDefault="003B0883" w:rsidP="003B0883">
            <w:pPr>
              <w:pStyle w:val="Tabletextboldleft"/>
              <w:rPr>
                <w:b w:val="0"/>
              </w:rPr>
            </w:pPr>
            <w:r w:rsidRPr="003A30FA">
              <w:rPr>
                <w:b w:val="0"/>
              </w:rPr>
              <w:t>758</w:t>
            </w:r>
          </w:p>
        </w:tc>
        <w:tc>
          <w:tcPr>
            <w:tcW w:w="575" w:type="pct"/>
            <w:shd w:val="clear" w:color="auto" w:fill="auto"/>
            <w:noWrap/>
            <w:vAlign w:val="center"/>
            <w:hideMark/>
          </w:tcPr>
          <w:p w14:paraId="4C4F3DA5" w14:textId="77777777" w:rsidR="003B0883" w:rsidRPr="003A30FA" w:rsidRDefault="003B0883" w:rsidP="003B0883">
            <w:pPr>
              <w:pStyle w:val="Tabletextboldleft"/>
              <w:rPr>
                <w:b w:val="0"/>
              </w:rPr>
            </w:pPr>
            <w:r w:rsidRPr="003A30FA">
              <w:rPr>
                <w:b w:val="0"/>
              </w:rPr>
              <w:t>857</w:t>
            </w:r>
          </w:p>
        </w:tc>
        <w:tc>
          <w:tcPr>
            <w:tcW w:w="575" w:type="pct"/>
            <w:shd w:val="clear" w:color="auto" w:fill="auto"/>
            <w:noWrap/>
            <w:vAlign w:val="center"/>
            <w:hideMark/>
          </w:tcPr>
          <w:p w14:paraId="16FCBAE9" w14:textId="77777777" w:rsidR="003B0883" w:rsidRPr="003A30FA" w:rsidRDefault="003B0883" w:rsidP="003B0883">
            <w:pPr>
              <w:pStyle w:val="Tabletextboldleft"/>
              <w:rPr>
                <w:b w:val="0"/>
              </w:rPr>
            </w:pPr>
            <w:r w:rsidRPr="003A30FA">
              <w:rPr>
                <w:b w:val="0"/>
              </w:rPr>
              <w:t>968</w:t>
            </w:r>
          </w:p>
        </w:tc>
      </w:tr>
      <w:tr w:rsidR="003B0883" w:rsidRPr="003A30FA" w14:paraId="04BEA4A8" w14:textId="77777777" w:rsidTr="008E097E">
        <w:trPr>
          <w:trHeight w:val="315"/>
        </w:trPr>
        <w:tc>
          <w:tcPr>
            <w:tcW w:w="312" w:type="pct"/>
            <w:shd w:val="clear" w:color="auto" w:fill="auto"/>
            <w:vAlign w:val="center"/>
          </w:tcPr>
          <w:p w14:paraId="77B3E2D9" w14:textId="77777777" w:rsidR="003B0883" w:rsidRPr="003A30FA" w:rsidRDefault="003B0883" w:rsidP="003B0883">
            <w:pPr>
              <w:pStyle w:val="Tabletextboldleft"/>
              <w:rPr>
                <w:b w:val="0"/>
              </w:rPr>
            </w:pPr>
            <w:r w:rsidRPr="003A30FA">
              <w:rPr>
                <w:b w:val="0"/>
              </w:rPr>
              <w:t>C</w:t>
            </w:r>
          </w:p>
        </w:tc>
        <w:tc>
          <w:tcPr>
            <w:tcW w:w="1887" w:type="pct"/>
            <w:shd w:val="clear" w:color="auto" w:fill="auto"/>
            <w:vAlign w:val="center"/>
          </w:tcPr>
          <w:p w14:paraId="4B129FC9" w14:textId="77777777" w:rsidR="003B0883" w:rsidRPr="00C9541A" w:rsidRDefault="003B0883" w:rsidP="003B0883">
            <w:pPr>
              <w:pStyle w:val="Tabletextboldleft"/>
              <w:rPr>
                <w:b w:val="0"/>
              </w:rPr>
            </w:pPr>
            <w:r w:rsidRPr="00C9541A">
              <w:rPr>
                <w:b w:val="0"/>
              </w:rPr>
              <w:t xml:space="preserve">Number of affected individuals testing positive, i.e. probands (= B × </w:t>
            </w:r>
            <w:r w:rsidRPr="00754CF9">
              <w:rPr>
                <w:b w:val="0"/>
              </w:rPr>
              <w:t>26.3</w:t>
            </w:r>
            <w:r w:rsidRPr="00C9541A">
              <w:rPr>
                <w:b w:val="0"/>
              </w:rPr>
              <w:t>%)</w:t>
            </w:r>
          </w:p>
        </w:tc>
        <w:tc>
          <w:tcPr>
            <w:tcW w:w="500" w:type="pct"/>
            <w:shd w:val="clear" w:color="auto" w:fill="auto"/>
            <w:noWrap/>
            <w:vAlign w:val="center"/>
          </w:tcPr>
          <w:p w14:paraId="2488ACBA" w14:textId="77777777" w:rsidR="003B0883" w:rsidRPr="00754CF9" w:rsidRDefault="003B0883" w:rsidP="003B0883">
            <w:pPr>
              <w:pStyle w:val="Tabletextboldleft"/>
              <w:rPr>
                <w:b w:val="0"/>
              </w:rPr>
            </w:pPr>
            <w:r w:rsidRPr="00754CF9">
              <w:rPr>
                <w:b w:val="0"/>
              </w:rPr>
              <w:t>115</w:t>
            </w:r>
          </w:p>
        </w:tc>
        <w:tc>
          <w:tcPr>
            <w:tcW w:w="575" w:type="pct"/>
            <w:shd w:val="clear" w:color="auto" w:fill="auto"/>
            <w:noWrap/>
            <w:vAlign w:val="center"/>
          </w:tcPr>
          <w:p w14:paraId="2A5712B8" w14:textId="77777777" w:rsidR="003B0883" w:rsidRPr="00754CF9" w:rsidRDefault="003B0883" w:rsidP="003B0883">
            <w:pPr>
              <w:pStyle w:val="Tabletextboldleft"/>
              <w:rPr>
                <w:b w:val="0"/>
              </w:rPr>
            </w:pPr>
            <w:r w:rsidRPr="00754CF9">
              <w:rPr>
                <w:b w:val="0"/>
              </w:rPr>
              <w:t>177</w:t>
            </w:r>
          </w:p>
        </w:tc>
        <w:tc>
          <w:tcPr>
            <w:tcW w:w="575" w:type="pct"/>
            <w:shd w:val="clear" w:color="auto" w:fill="auto"/>
            <w:noWrap/>
            <w:vAlign w:val="center"/>
          </w:tcPr>
          <w:p w14:paraId="6975EAB1" w14:textId="77777777" w:rsidR="003B0883" w:rsidRPr="00754CF9" w:rsidRDefault="003B0883" w:rsidP="003B0883">
            <w:pPr>
              <w:pStyle w:val="Tabletextboldleft"/>
              <w:rPr>
                <w:b w:val="0"/>
              </w:rPr>
            </w:pPr>
            <w:r w:rsidRPr="00754CF9">
              <w:rPr>
                <w:b w:val="0"/>
              </w:rPr>
              <w:t>199</w:t>
            </w:r>
          </w:p>
        </w:tc>
        <w:tc>
          <w:tcPr>
            <w:tcW w:w="575" w:type="pct"/>
            <w:shd w:val="clear" w:color="auto" w:fill="auto"/>
            <w:noWrap/>
            <w:vAlign w:val="center"/>
          </w:tcPr>
          <w:p w14:paraId="6BB97DF0" w14:textId="77777777" w:rsidR="003B0883" w:rsidRPr="00754CF9" w:rsidRDefault="003B0883" w:rsidP="003B0883">
            <w:pPr>
              <w:pStyle w:val="Tabletextboldleft"/>
              <w:rPr>
                <w:b w:val="0"/>
              </w:rPr>
            </w:pPr>
            <w:r w:rsidRPr="00754CF9">
              <w:rPr>
                <w:b w:val="0"/>
              </w:rPr>
              <w:t>225</w:t>
            </w:r>
          </w:p>
        </w:tc>
        <w:tc>
          <w:tcPr>
            <w:tcW w:w="575" w:type="pct"/>
            <w:shd w:val="clear" w:color="auto" w:fill="auto"/>
            <w:noWrap/>
            <w:vAlign w:val="center"/>
          </w:tcPr>
          <w:p w14:paraId="462140C5" w14:textId="77777777" w:rsidR="003B0883" w:rsidRPr="00754CF9" w:rsidRDefault="003B0883" w:rsidP="003B0883">
            <w:pPr>
              <w:pStyle w:val="Tabletextboldleft"/>
              <w:rPr>
                <w:b w:val="0"/>
              </w:rPr>
            </w:pPr>
            <w:r w:rsidRPr="00754CF9">
              <w:rPr>
                <w:b w:val="0"/>
              </w:rPr>
              <w:t>255</w:t>
            </w:r>
          </w:p>
        </w:tc>
      </w:tr>
      <w:tr w:rsidR="003B0883" w:rsidRPr="003A30FA" w14:paraId="6CFB9AAD" w14:textId="77777777" w:rsidTr="008E097E">
        <w:trPr>
          <w:trHeight w:val="315"/>
        </w:trPr>
        <w:tc>
          <w:tcPr>
            <w:tcW w:w="312" w:type="pct"/>
            <w:shd w:val="clear" w:color="auto" w:fill="auto"/>
            <w:vAlign w:val="center"/>
            <w:hideMark/>
          </w:tcPr>
          <w:p w14:paraId="20BF6167" w14:textId="77777777" w:rsidR="003B0883" w:rsidRPr="003A30FA" w:rsidRDefault="003B0883" w:rsidP="003B0883">
            <w:pPr>
              <w:pStyle w:val="Tabletextboldleft"/>
              <w:rPr>
                <w:b w:val="0"/>
              </w:rPr>
            </w:pPr>
            <w:r w:rsidRPr="003A30FA">
              <w:rPr>
                <w:b w:val="0"/>
              </w:rPr>
              <w:t>G</w:t>
            </w:r>
          </w:p>
        </w:tc>
        <w:tc>
          <w:tcPr>
            <w:tcW w:w="1887" w:type="pct"/>
            <w:shd w:val="clear" w:color="auto" w:fill="auto"/>
            <w:vAlign w:val="center"/>
            <w:hideMark/>
          </w:tcPr>
          <w:p w14:paraId="690871E0" w14:textId="77777777" w:rsidR="003B0883" w:rsidRPr="00C9541A" w:rsidRDefault="003B0883" w:rsidP="003B0883">
            <w:pPr>
              <w:pStyle w:val="Tabletextboldleft"/>
              <w:rPr>
                <w:b w:val="0"/>
              </w:rPr>
            </w:pPr>
            <w:r w:rsidRPr="00C9541A">
              <w:rPr>
                <w:b w:val="0"/>
              </w:rPr>
              <w:t>Cost to MBS ( = B × $1,115.30)</w:t>
            </w:r>
          </w:p>
        </w:tc>
        <w:tc>
          <w:tcPr>
            <w:tcW w:w="500" w:type="pct"/>
            <w:shd w:val="clear" w:color="auto" w:fill="auto"/>
            <w:noWrap/>
            <w:vAlign w:val="center"/>
            <w:hideMark/>
          </w:tcPr>
          <w:p w14:paraId="040586D4" w14:textId="77777777" w:rsidR="003B0883" w:rsidRPr="00C9541A" w:rsidRDefault="003B0883" w:rsidP="003B0883">
            <w:pPr>
              <w:pStyle w:val="Tabletextboldleft"/>
              <w:rPr>
                <w:b w:val="0"/>
              </w:rPr>
            </w:pPr>
            <w:r w:rsidRPr="00C9541A">
              <w:rPr>
                <w:b w:val="0"/>
              </w:rPr>
              <w:t>$445,970</w:t>
            </w:r>
          </w:p>
        </w:tc>
        <w:tc>
          <w:tcPr>
            <w:tcW w:w="575" w:type="pct"/>
            <w:shd w:val="clear" w:color="auto" w:fill="auto"/>
            <w:noWrap/>
            <w:vAlign w:val="center"/>
            <w:hideMark/>
          </w:tcPr>
          <w:p w14:paraId="63122E6F" w14:textId="77777777" w:rsidR="003B0883" w:rsidRPr="00C9541A" w:rsidRDefault="003B0883" w:rsidP="003B0883">
            <w:pPr>
              <w:pStyle w:val="Tabletextboldleft"/>
              <w:rPr>
                <w:b w:val="0"/>
              </w:rPr>
            </w:pPr>
            <w:r w:rsidRPr="00C9541A">
              <w:rPr>
                <w:b w:val="0"/>
              </w:rPr>
              <w:t>$684,563</w:t>
            </w:r>
          </w:p>
        </w:tc>
        <w:tc>
          <w:tcPr>
            <w:tcW w:w="575" w:type="pct"/>
            <w:shd w:val="clear" w:color="auto" w:fill="auto"/>
            <w:noWrap/>
            <w:vAlign w:val="center"/>
            <w:hideMark/>
          </w:tcPr>
          <w:p w14:paraId="4B8C33BD" w14:textId="77777777" w:rsidR="003B0883" w:rsidRPr="00C9541A" w:rsidRDefault="003B0883" w:rsidP="003B0883">
            <w:pPr>
              <w:pStyle w:val="Tabletextboldleft"/>
              <w:rPr>
                <w:b w:val="0"/>
              </w:rPr>
            </w:pPr>
            <w:r w:rsidRPr="00C9541A">
              <w:rPr>
                <w:b w:val="0"/>
              </w:rPr>
              <w:t>$773,557</w:t>
            </w:r>
          </w:p>
        </w:tc>
        <w:tc>
          <w:tcPr>
            <w:tcW w:w="575" w:type="pct"/>
            <w:shd w:val="clear" w:color="auto" w:fill="auto"/>
            <w:noWrap/>
            <w:vAlign w:val="center"/>
            <w:hideMark/>
          </w:tcPr>
          <w:p w14:paraId="5CA9A436" w14:textId="77777777" w:rsidR="003B0883" w:rsidRPr="00C9541A" w:rsidRDefault="003B0883" w:rsidP="003B0883">
            <w:pPr>
              <w:pStyle w:val="Tabletextboldleft"/>
              <w:rPr>
                <w:b w:val="0"/>
              </w:rPr>
            </w:pPr>
            <w:r w:rsidRPr="00C9541A">
              <w:rPr>
                <w:b w:val="0"/>
              </w:rPr>
              <w:t>$874,119</w:t>
            </w:r>
          </w:p>
        </w:tc>
        <w:tc>
          <w:tcPr>
            <w:tcW w:w="575" w:type="pct"/>
            <w:shd w:val="clear" w:color="auto" w:fill="auto"/>
            <w:noWrap/>
            <w:vAlign w:val="center"/>
            <w:hideMark/>
          </w:tcPr>
          <w:p w14:paraId="730DA18D" w14:textId="77777777" w:rsidR="003B0883" w:rsidRPr="00295A93" w:rsidRDefault="003B0883" w:rsidP="003B0883">
            <w:pPr>
              <w:pStyle w:val="Tabletextboldleft"/>
              <w:rPr>
                <w:b w:val="0"/>
              </w:rPr>
            </w:pPr>
            <w:r w:rsidRPr="00295A93">
              <w:rPr>
                <w:b w:val="0"/>
              </w:rPr>
              <w:t>$987,754</w:t>
            </w:r>
          </w:p>
        </w:tc>
      </w:tr>
      <w:tr w:rsidR="003B0883" w:rsidRPr="003A30FA" w14:paraId="10D9EA2A" w14:textId="77777777" w:rsidTr="008E097E">
        <w:trPr>
          <w:trHeight w:val="315"/>
        </w:trPr>
        <w:tc>
          <w:tcPr>
            <w:tcW w:w="312" w:type="pct"/>
            <w:shd w:val="clear" w:color="auto" w:fill="auto"/>
            <w:vAlign w:val="center"/>
            <w:hideMark/>
          </w:tcPr>
          <w:p w14:paraId="0B69D3D0" w14:textId="77777777" w:rsidR="003B0883" w:rsidRPr="003A30FA" w:rsidRDefault="003B0883" w:rsidP="003B0883">
            <w:pPr>
              <w:pStyle w:val="Tabletextboldleft"/>
              <w:rPr>
                <w:b w:val="0"/>
                <w:i/>
              </w:rPr>
            </w:pPr>
            <w:r w:rsidRPr="003A30FA">
              <w:rPr>
                <w:b w:val="0"/>
                <w:i/>
              </w:rPr>
              <w:t> </w:t>
            </w:r>
          </w:p>
        </w:tc>
        <w:tc>
          <w:tcPr>
            <w:tcW w:w="1887" w:type="pct"/>
            <w:shd w:val="clear" w:color="auto" w:fill="auto"/>
            <w:vAlign w:val="center"/>
            <w:hideMark/>
          </w:tcPr>
          <w:p w14:paraId="75EF9ADE" w14:textId="77777777" w:rsidR="003B0883" w:rsidRPr="00C9541A" w:rsidRDefault="003B0883" w:rsidP="003B0883">
            <w:pPr>
              <w:pStyle w:val="Tabletextboldleft"/>
              <w:rPr>
                <w:b w:val="0"/>
                <w:i/>
              </w:rPr>
            </w:pPr>
            <w:r w:rsidRPr="00C9541A">
              <w:rPr>
                <w:b w:val="0"/>
                <w:i/>
              </w:rPr>
              <w:t>Cascade testing</w:t>
            </w:r>
          </w:p>
        </w:tc>
        <w:tc>
          <w:tcPr>
            <w:tcW w:w="500" w:type="pct"/>
            <w:shd w:val="clear" w:color="auto" w:fill="auto"/>
            <w:noWrap/>
            <w:vAlign w:val="center"/>
            <w:hideMark/>
          </w:tcPr>
          <w:p w14:paraId="04151B5B" w14:textId="77777777" w:rsidR="003B0883" w:rsidRPr="00C9541A" w:rsidRDefault="003B0883" w:rsidP="003B0883">
            <w:pPr>
              <w:pStyle w:val="Tabletextboldleft"/>
              <w:rPr>
                <w:b w:val="0"/>
                <w:i/>
              </w:rPr>
            </w:pPr>
            <w:r w:rsidRPr="00C9541A">
              <w:rPr>
                <w:b w:val="0"/>
                <w:i/>
              </w:rPr>
              <w:t> </w:t>
            </w:r>
          </w:p>
        </w:tc>
        <w:tc>
          <w:tcPr>
            <w:tcW w:w="575" w:type="pct"/>
            <w:shd w:val="clear" w:color="auto" w:fill="auto"/>
            <w:noWrap/>
            <w:vAlign w:val="center"/>
            <w:hideMark/>
          </w:tcPr>
          <w:p w14:paraId="38C72A55" w14:textId="77777777" w:rsidR="003B0883" w:rsidRPr="00C9541A" w:rsidRDefault="003B0883" w:rsidP="003B0883">
            <w:pPr>
              <w:pStyle w:val="Tabletextboldleft"/>
              <w:rPr>
                <w:b w:val="0"/>
                <w:i/>
              </w:rPr>
            </w:pPr>
            <w:r w:rsidRPr="00C9541A">
              <w:rPr>
                <w:b w:val="0"/>
                <w:i/>
              </w:rPr>
              <w:t> </w:t>
            </w:r>
          </w:p>
        </w:tc>
        <w:tc>
          <w:tcPr>
            <w:tcW w:w="575" w:type="pct"/>
            <w:shd w:val="clear" w:color="auto" w:fill="auto"/>
            <w:noWrap/>
            <w:vAlign w:val="center"/>
            <w:hideMark/>
          </w:tcPr>
          <w:p w14:paraId="4BAFC22A" w14:textId="77777777" w:rsidR="003B0883" w:rsidRPr="00C9541A" w:rsidRDefault="003B0883" w:rsidP="003B0883">
            <w:pPr>
              <w:pStyle w:val="Tabletextboldleft"/>
              <w:rPr>
                <w:b w:val="0"/>
                <w:i/>
              </w:rPr>
            </w:pPr>
            <w:r w:rsidRPr="00C9541A">
              <w:rPr>
                <w:b w:val="0"/>
                <w:i/>
              </w:rPr>
              <w:t> </w:t>
            </w:r>
          </w:p>
        </w:tc>
        <w:tc>
          <w:tcPr>
            <w:tcW w:w="575" w:type="pct"/>
            <w:shd w:val="clear" w:color="auto" w:fill="auto"/>
            <w:noWrap/>
            <w:vAlign w:val="center"/>
            <w:hideMark/>
          </w:tcPr>
          <w:p w14:paraId="30B8A372" w14:textId="77777777" w:rsidR="003B0883" w:rsidRPr="00C9541A" w:rsidRDefault="003B0883" w:rsidP="003B0883">
            <w:pPr>
              <w:pStyle w:val="Tabletextboldleft"/>
              <w:rPr>
                <w:b w:val="0"/>
                <w:i/>
              </w:rPr>
            </w:pPr>
            <w:r w:rsidRPr="00C9541A">
              <w:rPr>
                <w:b w:val="0"/>
                <w:i/>
              </w:rPr>
              <w:t> </w:t>
            </w:r>
          </w:p>
        </w:tc>
        <w:tc>
          <w:tcPr>
            <w:tcW w:w="575" w:type="pct"/>
            <w:shd w:val="clear" w:color="auto" w:fill="auto"/>
            <w:noWrap/>
            <w:vAlign w:val="center"/>
            <w:hideMark/>
          </w:tcPr>
          <w:p w14:paraId="36630C41" w14:textId="77777777" w:rsidR="003B0883" w:rsidRPr="00295A93" w:rsidRDefault="003B0883" w:rsidP="003B0883">
            <w:pPr>
              <w:pStyle w:val="Tabletextboldleft"/>
              <w:rPr>
                <w:b w:val="0"/>
                <w:i/>
              </w:rPr>
            </w:pPr>
            <w:r w:rsidRPr="00295A93">
              <w:rPr>
                <w:b w:val="0"/>
                <w:i/>
              </w:rPr>
              <w:t> </w:t>
            </w:r>
          </w:p>
        </w:tc>
      </w:tr>
      <w:tr w:rsidR="003B0883" w:rsidRPr="003A30FA" w14:paraId="5227C1A6" w14:textId="77777777" w:rsidTr="008E097E">
        <w:trPr>
          <w:trHeight w:val="315"/>
        </w:trPr>
        <w:tc>
          <w:tcPr>
            <w:tcW w:w="312" w:type="pct"/>
            <w:shd w:val="clear" w:color="auto" w:fill="auto"/>
            <w:vAlign w:val="center"/>
            <w:hideMark/>
          </w:tcPr>
          <w:p w14:paraId="12F90ADA" w14:textId="77777777" w:rsidR="003B0883" w:rsidRPr="003A30FA" w:rsidRDefault="003B0883" w:rsidP="003B0883">
            <w:pPr>
              <w:pStyle w:val="Tabletextboldleft"/>
              <w:rPr>
                <w:b w:val="0"/>
              </w:rPr>
            </w:pPr>
            <w:r w:rsidRPr="003A30FA">
              <w:rPr>
                <w:b w:val="0"/>
              </w:rPr>
              <w:t>F</w:t>
            </w:r>
          </w:p>
        </w:tc>
        <w:tc>
          <w:tcPr>
            <w:tcW w:w="1887" w:type="pct"/>
            <w:shd w:val="clear" w:color="auto" w:fill="auto"/>
            <w:vAlign w:val="center"/>
            <w:hideMark/>
          </w:tcPr>
          <w:p w14:paraId="77220C82" w14:textId="77777777" w:rsidR="003B0883" w:rsidRPr="00C9541A" w:rsidRDefault="003B0883" w:rsidP="003B0883">
            <w:pPr>
              <w:pStyle w:val="Tabletextboldleft"/>
              <w:rPr>
                <w:b w:val="0"/>
              </w:rPr>
            </w:pPr>
            <w:r w:rsidRPr="00C9541A">
              <w:rPr>
                <w:b w:val="0"/>
              </w:rPr>
              <w:t>Number of predictive tests, for 3 FDRs per proband (= C x 3)</w:t>
            </w:r>
          </w:p>
        </w:tc>
        <w:tc>
          <w:tcPr>
            <w:tcW w:w="500" w:type="pct"/>
            <w:shd w:val="clear" w:color="auto" w:fill="auto"/>
            <w:noWrap/>
            <w:vAlign w:val="center"/>
            <w:hideMark/>
          </w:tcPr>
          <w:p w14:paraId="7046C3B8" w14:textId="77777777" w:rsidR="003B0883" w:rsidRPr="00754CF9" w:rsidRDefault="003B0883" w:rsidP="003B0883">
            <w:pPr>
              <w:pStyle w:val="Tabletextboldleft"/>
              <w:rPr>
                <w:b w:val="0"/>
              </w:rPr>
            </w:pPr>
            <w:r w:rsidRPr="00754CF9">
              <w:rPr>
                <w:b w:val="0"/>
              </w:rPr>
              <w:t>345</w:t>
            </w:r>
          </w:p>
        </w:tc>
        <w:tc>
          <w:tcPr>
            <w:tcW w:w="575" w:type="pct"/>
            <w:shd w:val="clear" w:color="auto" w:fill="auto"/>
            <w:noWrap/>
            <w:vAlign w:val="center"/>
            <w:hideMark/>
          </w:tcPr>
          <w:p w14:paraId="65CF6AA5" w14:textId="77777777" w:rsidR="003B0883" w:rsidRPr="00754CF9" w:rsidRDefault="003B0883" w:rsidP="003B0883">
            <w:pPr>
              <w:pStyle w:val="Tabletextboldleft"/>
              <w:rPr>
                <w:b w:val="0"/>
              </w:rPr>
            </w:pPr>
            <w:r w:rsidRPr="00754CF9">
              <w:rPr>
                <w:b w:val="0"/>
              </w:rPr>
              <w:t>530</w:t>
            </w:r>
          </w:p>
        </w:tc>
        <w:tc>
          <w:tcPr>
            <w:tcW w:w="575" w:type="pct"/>
            <w:shd w:val="clear" w:color="auto" w:fill="auto"/>
            <w:noWrap/>
            <w:vAlign w:val="center"/>
            <w:hideMark/>
          </w:tcPr>
          <w:p w14:paraId="613B1F12" w14:textId="77777777" w:rsidR="003B0883" w:rsidRPr="00754CF9" w:rsidRDefault="003B0883" w:rsidP="003B0883">
            <w:pPr>
              <w:pStyle w:val="Tabletextboldleft"/>
              <w:rPr>
                <w:b w:val="0"/>
              </w:rPr>
            </w:pPr>
            <w:r w:rsidRPr="00754CF9">
              <w:rPr>
                <w:b w:val="0"/>
              </w:rPr>
              <w:t>598</w:t>
            </w:r>
          </w:p>
        </w:tc>
        <w:tc>
          <w:tcPr>
            <w:tcW w:w="575" w:type="pct"/>
            <w:shd w:val="clear" w:color="auto" w:fill="auto"/>
            <w:noWrap/>
            <w:vAlign w:val="center"/>
            <w:hideMark/>
          </w:tcPr>
          <w:p w14:paraId="3423DB4B" w14:textId="77777777" w:rsidR="003B0883" w:rsidRPr="00754CF9" w:rsidRDefault="003B0883" w:rsidP="003B0883">
            <w:pPr>
              <w:pStyle w:val="Tabletextboldleft"/>
              <w:rPr>
                <w:b w:val="0"/>
              </w:rPr>
            </w:pPr>
            <w:r w:rsidRPr="00754CF9">
              <w:rPr>
                <w:b w:val="0"/>
              </w:rPr>
              <w:t>676</w:t>
            </w:r>
          </w:p>
        </w:tc>
        <w:tc>
          <w:tcPr>
            <w:tcW w:w="575" w:type="pct"/>
            <w:shd w:val="clear" w:color="auto" w:fill="auto"/>
            <w:noWrap/>
            <w:vAlign w:val="center"/>
            <w:hideMark/>
          </w:tcPr>
          <w:p w14:paraId="5EA09959" w14:textId="77777777" w:rsidR="003B0883" w:rsidRPr="00754CF9" w:rsidRDefault="003B0883" w:rsidP="003B0883">
            <w:pPr>
              <w:pStyle w:val="Tabletextboldleft"/>
              <w:rPr>
                <w:b w:val="0"/>
              </w:rPr>
            </w:pPr>
            <w:r w:rsidRPr="00754CF9">
              <w:rPr>
                <w:b w:val="0"/>
              </w:rPr>
              <w:t>764</w:t>
            </w:r>
          </w:p>
        </w:tc>
      </w:tr>
      <w:tr w:rsidR="003B0883" w:rsidRPr="003A30FA" w14:paraId="1895DC2C" w14:textId="77777777" w:rsidTr="008E097E">
        <w:trPr>
          <w:trHeight w:val="315"/>
        </w:trPr>
        <w:tc>
          <w:tcPr>
            <w:tcW w:w="312" w:type="pct"/>
            <w:shd w:val="clear" w:color="auto" w:fill="auto"/>
            <w:vAlign w:val="center"/>
            <w:hideMark/>
          </w:tcPr>
          <w:p w14:paraId="5A3CE0BC" w14:textId="77777777" w:rsidR="003B0883" w:rsidRPr="003A30FA" w:rsidRDefault="003B0883" w:rsidP="003B0883">
            <w:pPr>
              <w:pStyle w:val="Tabletextboldleft"/>
              <w:rPr>
                <w:b w:val="0"/>
              </w:rPr>
            </w:pPr>
            <w:r w:rsidRPr="003A30FA">
              <w:rPr>
                <w:b w:val="0"/>
              </w:rPr>
              <w:t>H</w:t>
            </w:r>
          </w:p>
        </w:tc>
        <w:tc>
          <w:tcPr>
            <w:tcW w:w="1887" w:type="pct"/>
            <w:shd w:val="clear" w:color="auto" w:fill="auto"/>
            <w:vAlign w:val="center"/>
            <w:hideMark/>
          </w:tcPr>
          <w:p w14:paraId="6C86678F" w14:textId="77777777" w:rsidR="003B0883" w:rsidRPr="00C9541A" w:rsidRDefault="003B0883" w:rsidP="003B0883">
            <w:pPr>
              <w:pStyle w:val="Tabletextboldleft"/>
              <w:rPr>
                <w:b w:val="0"/>
              </w:rPr>
            </w:pPr>
            <w:r w:rsidRPr="00C9541A">
              <w:rPr>
                <w:b w:val="0"/>
              </w:rPr>
              <w:t>Cost to MBS ( = F × $340)</w:t>
            </w:r>
          </w:p>
        </w:tc>
        <w:tc>
          <w:tcPr>
            <w:tcW w:w="500" w:type="pct"/>
            <w:shd w:val="clear" w:color="auto" w:fill="auto"/>
            <w:noWrap/>
            <w:vAlign w:val="center"/>
            <w:hideMark/>
          </w:tcPr>
          <w:p w14:paraId="7B3FBBED" w14:textId="77777777" w:rsidR="003B0883" w:rsidRPr="00754CF9" w:rsidRDefault="003B0883" w:rsidP="003B0883">
            <w:pPr>
              <w:pStyle w:val="Tabletextboldleft"/>
              <w:rPr>
                <w:b w:val="0"/>
              </w:rPr>
            </w:pPr>
            <w:r w:rsidRPr="00754CF9">
              <w:rPr>
                <w:b w:val="0"/>
              </w:rPr>
              <w:t>$117,290</w:t>
            </w:r>
          </w:p>
        </w:tc>
        <w:tc>
          <w:tcPr>
            <w:tcW w:w="575" w:type="pct"/>
            <w:shd w:val="clear" w:color="auto" w:fill="auto"/>
            <w:noWrap/>
            <w:vAlign w:val="center"/>
            <w:hideMark/>
          </w:tcPr>
          <w:p w14:paraId="5719715A" w14:textId="77777777" w:rsidR="003B0883" w:rsidRPr="00754CF9" w:rsidRDefault="003B0883" w:rsidP="003B0883">
            <w:pPr>
              <w:pStyle w:val="Tabletextboldleft"/>
              <w:rPr>
                <w:b w:val="0"/>
              </w:rPr>
            </w:pPr>
            <w:r w:rsidRPr="00754CF9">
              <w:rPr>
                <w:b w:val="0"/>
              </w:rPr>
              <w:t>$180,040</w:t>
            </w:r>
          </w:p>
        </w:tc>
        <w:tc>
          <w:tcPr>
            <w:tcW w:w="575" w:type="pct"/>
            <w:shd w:val="clear" w:color="auto" w:fill="auto"/>
            <w:noWrap/>
            <w:vAlign w:val="center"/>
            <w:hideMark/>
          </w:tcPr>
          <w:p w14:paraId="061E6616" w14:textId="77777777" w:rsidR="003B0883" w:rsidRPr="00754CF9" w:rsidRDefault="003B0883" w:rsidP="003B0883">
            <w:pPr>
              <w:pStyle w:val="Tabletextboldleft"/>
              <w:rPr>
                <w:b w:val="0"/>
              </w:rPr>
            </w:pPr>
            <w:r w:rsidRPr="00754CF9">
              <w:rPr>
                <w:b w:val="0"/>
              </w:rPr>
              <w:t>$203,445</w:t>
            </w:r>
          </w:p>
        </w:tc>
        <w:tc>
          <w:tcPr>
            <w:tcW w:w="575" w:type="pct"/>
            <w:shd w:val="clear" w:color="auto" w:fill="auto"/>
            <w:noWrap/>
            <w:vAlign w:val="center"/>
            <w:hideMark/>
          </w:tcPr>
          <w:p w14:paraId="573F0C0B" w14:textId="77777777" w:rsidR="003B0883" w:rsidRPr="00754CF9" w:rsidRDefault="003B0883" w:rsidP="003B0883">
            <w:pPr>
              <w:pStyle w:val="Tabletextboldleft"/>
              <w:rPr>
                <w:b w:val="0"/>
              </w:rPr>
            </w:pPr>
            <w:r w:rsidRPr="00754CF9">
              <w:rPr>
                <w:b w:val="0"/>
              </w:rPr>
              <w:t>$229,893</w:t>
            </w:r>
          </w:p>
        </w:tc>
        <w:tc>
          <w:tcPr>
            <w:tcW w:w="575" w:type="pct"/>
            <w:shd w:val="clear" w:color="auto" w:fill="auto"/>
            <w:noWrap/>
            <w:vAlign w:val="center"/>
            <w:hideMark/>
          </w:tcPr>
          <w:p w14:paraId="28BDE8B9" w14:textId="77777777" w:rsidR="003B0883" w:rsidRPr="00754CF9" w:rsidRDefault="003B0883" w:rsidP="003B0883">
            <w:pPr>
              <w:pStyle w:val="Tabletextboldleft"/>
              <w:rPr>
                <w:b w:val="0"/>
              </w:rPr>
            </w:pPr>
            <w:r w:rsidRPr="00754CF9">
              <w:rPr>
                <w:b w:val="0"/>
              </w:rPr>
              <w:t>$259,779</w:t>
            </w:r>
          </w:p>
        </w:tc>
      </w:tr>
      <w:tr w:rsidR="003B0883" w:rsidRPr="003A30FA" w14:paraId="5DB91DF0" w14:textId="77777777" w:rsidTr="008E097E">
        <w:trPr>
          <w:trHeight w:val="315"/>
        </w:trPr>
        <w:tc>
          <w:tcPr>
            <w:tcW w:w="312" w:type="pct"/>
            <w:shd w:val="clear" w:color="auto" w:fill="auto"/>
            <w:vAlign w:val="center"/>
            <w:hideMark/>
          </w:tcPr>
          <w:p w14:paraId="482C4B17" w14:textId="77777777" w:rsidR="003B0883" w:rsidRPr="003A30FA" w:rsidRDefault="003B0883" w:rsidP="003B0883">
            <w:pPr>
              <w:pStyle w:val="Tabletextboldleft"/>
            </w:pPr>
            <w:r w:rsidRPr="003A30FA">
              <w:t>I</w:t>
            </w:r>
          </w:p>
        </w:tc>
        <w:tc>
          <w:tcPr>
            <w:tcW w:w="1887" w:type="pct"/>
            <w:shd w:val="clear" w:color="auto" w:fill="auto"/>
            <w:vAlign w:val="center"/>
            <w:hideMark/>
          </w:tcPr>
          <w:p w14:paraId="664999A7" w14:textId="77777777" w:rsidR="003B0883" w:rsidRPr="00C9541A" w:rsidRDefault="003B0883" w:rsidP="003B0883">
            <w:pPr>
              <w:pStyle w:val="Tabletextboldleft"/>
            </w:pPr>
            <w:r w:rsidRPr="00C9541A">
              <w:t>Cost to MBS of the proposed tests (affected individuals and FDRs) (= G + H)</w:t>
            </w:r>
          </w:p>
        </w:tc>
        <w:tc>
          <w:tcPr>
            <w:tcW w:w="500" w:type="pct"/>
            <w:shd w:val="clear" w:color="auto" w:fill="auto"/>
            <w:noWrap/>
            <w:vAlign w:val="center"/>
            <w:hideMark/>
          </w:tcPr>
          <w:p w14:paraId="309895E1" w14:textId="77777777" w:rsidR="003B0883" w:rsidRPr="00754CF9" w:rsidRDefault="003B0883" w:rsidP="003B0883">
            <w:pPr>
              <w:pStyle w:val="Tabletextboldleft"/>
            </w:pPr>
            <w:r w:rsidRPr="00754CF9">
              <w:t>$563,260</w:t>
            </w:r>
          </w:p>
        </w:tc>
        <w:tc>
          <w:tcPr>
            <w:tcW w:w="575" w:type="pct"/>
            <w:shd w:val="clear" w:color="auto" w:fill="auto"/>
            <w:noWrap/>
            <w:vAlign w:val="center"/>
            <w:hideMark/>
          </w:tcPr>
          <w:p w14:paraId="68BA9607" w14:textId="77777777" w:rsidR="003B0883" w:rsidRPr="00754CF9" w:rsidRDefault="003B0883" w:rsidP="003B0883">
            <w:pPr>
              <w:pStyle w:val="Tabletextboldleft"/>
            </w:pPr>
            <w:r w:rsidRPr="00754CF9">
              <w:t>$864,604</w:t>
            </w:r>
          </w:p>
        </w:tc>
        <w:tc>
          <w:tcPr>
            <w:tcW w:w="575" w:type="pct"/>
            <w:shd w:val="clear" w:color="auto" w:fill="auto"/>
            <w:noWrap/>
            <w:vAlign w:val="center"/>
            <w:hideMark/>
          </w:tcPr>
          <w:p w14:paraId="591A7AB6" w14:textId="77777777" w:rsidR="003B0883" w:rsidRPr="00754CF9" w:rsidRDefault="003B0883" w:rsidP="003B0883">
            <w:pPr>
              <w:pStyle w:val="Tabletextboldleft"/>
            </w:pPr>
            <w:r w:rsidRPr="00754CF9">
              <w:t>$977,002</w:t>
            </w:r>
          </w:p>
        </w:tc>
        <w:tc>
          <w:tcPr>
            <w:tcW w:w="575" w:type="pct"/>
            <w:shd w:val="clear" w:color="auto" w:fill="auto"/>
            <w:noWrap/>
            <w:vAlign w:val="center"/>
            <w:hideMark/>
          </w:tcPr>
          <w:p w14:paraId="67E26EBB" w14:textId="77777777" w:rsidR="003B0883" w:rsidRPr="00754CF9" w:rsidRDefault="003B0883" w:rsidP="003B0883">
            <w:pPr>
              <w:pStyle w:val="Tabletextboldleft"/>
            </w:pPr>
            <w:r w:rsidRPr="00754CF9">
              <w:t>$1,104,012</w:t>
            </w:r>
          </w:p>
        </w:tc>
        <w:tc>
          <w:tcPr>
            <w:tcW w:w="575" w:type="pct"/>
            <w:shd w:val="clear" w:color="auto" w:fill="auto"/>
            <w:noWrap/>
            <w:vAlign w:val="center"/>
            <w:hideMark/>
          </w:tcPr>
          <w:p w14:paraId="74BEFB3C" w14:textId="77777777" w:rsidR="003B0883" w:rsidRPr="00754CF9" w:rsidRDefault="003B0883" w:rsidP="003B0883">
            <w:pPr>
              <w:pStyle w:val="Tabletextboldleft"/>
            </w:pPr>
            <w:r w:rsidRPr="00754CF9">
              <w:t>$1,247,534</w:t>
            </w:r>
          </w:p>
        </w:tc>
      </w:tr>
      <w:tr w:rsidR="003B0883" w:rsidRPr="008F7C7B" w14:paraId="37A6FDE8" w14:textId="77777777" w:rsidTr="008E097E">
        <w:trPr>
          <w:trHeight w:val="315"/>
        </w:trPr>
        <w:tc>
          <w:tcPr>
            <w:tcW w:w="312" w:type="pct"/>
            <w:shd w:val="clear" w:color="auto" w:fill="auto"/>
            <w:vAlign w:val="center"/>
          </w:tcPr>
          <w:p w14:paraId="21BE64D2" w14:textId="77777777" w:rsidR="003B0883" w:rsidRPr="008F7C7B" w:rsidRDefault="003B0883" w:rsidP="003B0883">
            <w:pPr>
              <w:pStyle w:val="Tabletextboldleft"/>
            </w:pPr>
          </w:p>
        </w:tc>
        <w:tc>
          <w:tcPr>
            <w:tcW w:w="1887" w:type="pct"/>
            <w:shd w:val="clear" w:color="auto" w:fill="auto"/>
            <w:vAlign w:val="center"/>
          </w:tcPr>
          <w:p w14:paraId="202E7D98" w14:textId="77777777" w:rsidR="003B0883" w:rsidRPr="00C9541A" w:rsidRDefault="003B0883" w:rsidP="003B0883">
            <w:pPr>
              <w:pStyle w:val="Tabletextboldleft"/>
            </w:pPr>
          </w:p>
        </w:tc>
        <w:tc>
          <w:tcPr>
            <w:tcW w:w="500" w:type="pct"/>
            <w:shd w:val="clear" w:color="auto" w:fill="auto"/>
            <w:noWrap/>
            <w:vAlign w:val="center"/>
          </w:tcPr>
          <w:p w14:paraId="3294F7A0" w14:textId="77777777" w:rsidR="003B0883" w:rsidRPr="00C9541A" w:rsidRDefault="003B0883" w:rsidP="003B0883">
            <w:pPr>
              <w:pStyle w:val="Tabletextboldleft"/>
            </w:pPr>
          </w:p>
        </w:tc>
        <w:tc>
          <w:tcPr>
            <w:tcW w:w="575" w:type="pct"/>
            <w:shd w:val="clear" w:color="auto" w:fill="auto"/>
            <w:noWrap/>
            <w:vAlign w:val="center"/>
          </w:tcPr>
          <w:p w14:paraId="17EC92F0" w14:textId="77777777" w:rsidR="003B0883" w:rsidRPr="00C9541A" w:rsidRDefault="003B0883" w:rsidP="003B0883">
            <w:pPr>
              <w:pStyle w:val="Tabletextboldleft"/>
            </w:pPr>
          </w:p>
        </w:tc>
        <w:tc>
          <w:tcPr>
            <w:tcW w:w="575" w:type="pct"/>
            <w:shd w:val="clear" w:color="auto" w:fill="auto"/>
            <w:noWrap/>
            <w:vAlign w:val="center"/>
          </w:tcPr>
          <w:p w14:paraId="69CDC48C" w14:textId="77777777" w:rsidR="003B0883" w:rsidRPr="00C9541A" w:rsidRDefault="003B0883" w:rsidP="003B0883">
            <w:pPr>
              <w:pStyle w:val="Tabletextboldleft"/>
            </w:pPr>
          </w:p>
        </w:tc>
        <w:tc>
          <w:tcPr>
            <w:tcW w:w="575" w:type="pct"/>
            <w:shd w:val="clear" w:color="auto" w:fill="auto"/>
            <w:noWrap/>
            <w:vAlign w:val="center"/>
          </w:tcPr>
          <w:p w14:paraId="15FA1404" w14:textId="77777777" w:rsidR="003B0883" w:rsidRPr="00C9541A" w:rsidRDefault="003B0883" w:rsidP="003B0883">
            <w:pPr>
              <w:pStyle w:val="Tabletextboldleft"/>
            </w:pPr>
          </w:p>
        </w:tc>
        <w:tc>
          <w:tcPr>
            <w:tcW w:w="575" w:type="pct"/>
            <w:shd w:val="clear" w:color="auto" w:fill="auto"/>
            <w:noWrap/>
            <w:vAlign w:val="center"/>
          </w:tcPr>
          <w:p w14:paraId="35DE992C" w14:textId="77777777" w:rsidR="003B0883" w:rsidRPr="00295A93" w:rsidRDefault="003B0883" w:rsidP="003B0883">
            <w:pPr>
              <w:pStyle w:val="Tabletextboldleft"/>
            </w:pPr>
          </w:p>
        </w:tc>
      </w:tr>
      <w:tr w:rsidR="003B0883" w:rsidRPr="003A30FA" w14:paraId="7504452E" w14:textId="77777777" w:rsidTr="008E097E">
        <w:trPr>
          <w:trHeight w:val="315"/>
        </w:trPr>
        <w:tc>
          <w:tcPr>
            <w:tcW w:w="312" w:type="pct"/>
            <w:shd w:val="clear" w:color="auto" w:fill="auto"/>
            <w:vAlign w:val="center"/>
          </w:tcPr>
          <w:p w14:paraId="1C678DB7" w14:textId="77777777" w:rsidR="003B0883" w:rsidRPr="003A30FA" w:rsidRDefault="003B0883" w:rsidP="003B0883">
            <w:pPr>
              <w:pStyle w:val="Tabletextboldleft"/>
              <w:rPr>
                <w:b w:val="0"/>
              </w:rPr>
            </w:pPr>
            <w:r w:rsidRPr="003A30FA">
              <w:rPr>
                <w:b w:val="0"/>
              </w:rPr>
              <w:t>M</w:t>
            </w:r>
          </w:p>
        </w:tc>
        <w:tc>
          <w:tcPr>
            <w:tcW w:w="1887" w:type="pct"/>
            <w:shd w:val="clear" w:color="auto" w:fill="auto"/>
            <w:vAlign w:val="center"/>
          </w:tcPr>
          <w:p w14:paraId="4BB4768D" w14:textId="77777777" w:rsidR="003B0883" w:rsidRPr="00C9541A" w:rsidRDefault="003B0883" w:rsidP="003B0883">
            <w:pPr>
              <w:pStyle w:val="Tabletextboldleft"/>
              <w:rPr>
                <w:b w:val="0"/>
              </w:rPr>
            </w:pPr>
            <w:r w:rsidRPr="00C9541A">
              <w:rPr>
                <w:b w:val="0"/>
              </w:rPr>
              <w:t>Number of genetic counselling services in probands (= C × 1)</w:t>
            </w:r>
          </w:p>
        </w:tc>
        <w:tc>
          <w:tcPr>
            <w:tcW w:w="500" w:type="pct"/>
            <w:shd w:val="clear" w:color="auto" w:fill="auto"/>
            <w:noWrap/>
            <w:vAlign w:val="center"/>
          </w:tcPr>
          <w:p w14:paraId="6534ED97" w14:textId="77777777" w:rsidR="003B0883" w:rsidRPr="00754CF9" w:rsidRDefault="003B0883" w:rsidP="003B0883">
            <w:pPr>
              <w:pStyle w:val="Tabletextboldleft"/>
              <w:rPr>
                <w:b w:val="0"/>
              </w:rPr>
            </w:pPr>
            <w:r w:rsidRPr="00754CF9">
              <w:rPr>
                <w:b w:val="0"/>
              </w:rPr>
              <w:t>115</w:t>
            </w:r>
          </w:p>
        </w:tc>
        <w:tc>
          <w:tcPr>
            <w:tcW w:w="575" w:type="pct"/>
            <w:shd w:val="clear" w:color="auto" w:fill="auto"/>
            <w:noWrap/>
            <w:vAlign w:val="center"/>
          </w:tcPr>
          <w:p w14:paraId="3A8BA90D" w14:textId="77777777" w:rsidR="003B0883" w:rsidRPr="00754CF9" w:rsidRDefault="003B0883" w:rsidP="003B0883">
            <w:pPr>
              <w:pStyle w:val="Tabletextboldleft"/>
              <w:rPr>
                <w:b w:val="0"/>
              </w:rPr>
            </w:pPr>
            <w:r w:rsidRPr="00754CF9">
              <w:rPr>
                <w:b w:val="0"/>
              </w:rPr>
              <w:t>177</w:t>
            </w:r>
          </w:p>
        </w:tc>
        <w:tc>
          <w:tcPr>
            <w:tcW w:w="575" w:type="pct"/>
            <w:shd w:val="clear" w:color="auto" w:fill="auto"/>
            <w:noWrap/>
            <w:vAlign w:val="center"/>
          </w:tcPr>
          <w:p w14:paraId="1AE1207B" w14:textId="77777777" w:rsidR="003B0883" w:rsidRPr="00754CF9" w:rsidRDefault="003B0883" w:rsidP="003B0883">
            <w:pPr>
              <w:pStyle w:val="Tabletextboldleft"/>
              <w:rPr>
                <w:b w:val="0"/>
              </w:rPr>
            </w:pPr>
            <w:r w:rsidRPr="00754CF9">
              <w:rPr>
                <w:b w:val="0"/>
              </w:rPr>
              <w:t>199</w:t>
            </w:r>
          </w:p>
        </w:tc>
        <w:tc>
          <w:tcPr>
            <w:tcW w:w="575" w:type="pct"/>
            <w:shd w:val="clear" w:color="auto" w:fill="auto"/>
            <w:noWrap/>
            <w:vAlign w:val="center"/>
          </w:tcPr>
          <w:p w14:paraId="49A7D078" w14:textId="77777777" w:rsidR="003B0883" w:rsidRPr="00754CF9" w:rsidRDefault="003B0883" w:rsidP="003B0883">
            <w:pPr>
              <w:pStyle w:val="Tabletextboldleft"/>
              <w:rPr>
                <w:b w:val="0"/>
              </w:rPr>
            </w:pPr>
            <w:r w:rsidRPr="00754CF9">
              <w:rPr>
                <w:b w:val="0"/>
              </w:rPr>
              <w:t>225</w:t>
            </w:r>
          </w:p>
        </w:tc>
        <w:tc>
          <w:tcPr>
            <w:tcW w:w="575" w:type="pct"/>
            <w:shd w:val="clear" w:color="auto" w:fill="auto"/>
            <w:noWrap/>
            <w:vAlign w:val="center"/>
          </w:tcPr>
          <w:p w14:paraId="45F577DD" w14:textId="77777777" w:rsidR="003B0883" w:rsidRPr="00754CF9" w:rsidRDefault="003B0883" w:rsidP="003B0883">
            <w:pPr>
              <w:pStyle w:val="Tabletextboldleft"/>
              <w:rPr>
                <w:b w:val="0"/>
              </w:rPr>
            </w:pPr>
            <w:r w:rsidRPr="00754CF9">
              <w:rPr>
                <w:b w:val="0"/>
              </w:rPr>
              <w:t>255</w:t>
            </w:r>
          </w:p>
        </w:tc>
      </w:tr>
      <w:tr w:rsidR="003B0883" w:rsidRPr="003A30FA" w14:paraId="217B0122" w14:textId="77777777" w:rsidTr="008E097E">
        <w:trPr>
          <w:trHeight w:val="315"/>
        </w:trPr>
        <w:tc>
          <w:tcPr>
            <w:tcW w:w="312" w:type="pct"/>
            <w:shd w:val="clear" w:color="auto" w:fill="auto"/>
            <w:vAlign w:val="center"/>
          </w:tcPr>
          <w:p w14:paraId="3FDEE521" w14:textId="77777777" w:rsidR="003B0883" w:rsidRPr="003A30FA" w:rsidRDefault="003B0883" w:rsidP="003B0883">
            <w:pPr>
              <w:pStyle w:val="Tabletextboldleft"/>
              <w:rPr>
                <w:b w:val="0"/>
              </w:rPr>
            </w:pPr>
            <w:r w:rsidRPr="003A30FA">
              <w:rPr>
                <w:b w:val="0"/>
              </w:rPr>
              <w:t>N</w:t>
            </w:r>
          </w:p>
        </w:tc>
        <w:tc>
          <w:tcPr>
            <w:tcW w:w="1887" w:type="pct"/>
            <w:shd w:val="clear" w:color="auto" w:fill="auto"/>
            <w:vAlign w:val="center"/>
          </w:tcPr>
          <w:p w14:paraId="650900B9" w14:textId="77777777" w:rsidR="003B0883" w:rsidRPr="00C9541A" w:rsidRDefault="003B0883" w:rsidP="003B0883">
            <w:pPr>
              <w:pStyle w:val="Tabletextboldleft"/>
              <w:rPr>
                <w:b w:val="0"/>
              </w:rPr>
            </w:pPr>
            <w:r w:rsidRPr="00C9541A">
              <w:rPr>
                <w:b w:val="0"/>
              </w:rPr>
              <w:t>Cost to MBS ( = M × $134.30)</w:t>
            </w:r>
          </w:p>
        </w:tc>
        <w:tc>
          <w:tcPr>
            <w:tcW w:w="500" w:type="pct"/>
            <w:shd w:val="clear" w:color="auto" w:fill="auto"/>
            <w:noWrap/>
            <w:vAlign w:val="center"/>
          </w:tcPr>
          <w:p w14:paraId="256D9BF7" w14:textId="77777777" w:rsidR="003B0883" w:rsidRPr="00754CF9" w:rsidRDefault="003B0883" w:rsidP="003B0883">
            <w:pPr>
              <w:pStyle w:val="Tabletextboldleft"/>
              <w:rPr>
                <w:b w:val="0"/>
              </w:rPr>
            </w:pPr>
            <w:r w:rsidRPr="00754CF9">
              <w:rPr>
                <w:b w:val="0"/>
              </w:rPr>
              <w:t>$15,443</w:t>
            </w:r>
          </w:p>
        </w:tc>
        <w:tc>
          <w:tcPr>
            <w:tcW w:w="575" w:type="pct"/>
            <w:shd w:val="clear" w:color="auto" w:fill="auto"/>
            <w:noWrap/>
            <w:vAlign w:val="center"/>
          </w:tcPr>
          <w:p w14:paraId="790515A3" w14:textId="77777777" w:rsidR="003B0883" w:rsidRPr="00754CF9" w:rsidRDefault="003B0883" w:rsidP="003B0883">
            <w:pPr>
              <w:pStyle w:val="Tabletextboldleft"/>
              <w:rPr>
                <w:b w:val="0"/>
              </w:rPr>
            </w:pPr>
            <w:r w:rsidRPr="00754CF9">
              <w:rPr>
                <w:b w:val="0"/>
              </w:rPr>
              <w:t>$23,705</w:t>
            </w:r>
          </w:p>
        </w:tc>
        <w:tc>
          <w:tcPr>
            <w:tcW w:w="575" w:type="pct"/>
            <w:shd w:val="clear" w:color="auto" w:fill="auto"/>
            <w:noWrap/>
            <w:vAlign w:val="center"/>
          </w:tcPr>
          <w:p w14:paraId="531C1649" w14:textId="77777777" w:rsidR="003B0883" w:rsidRPr="00754CF9" w:rsidRDefault="003B0883" w:rsidP="003B0883">
            <w:pPr>
              <w:pStyle w:val="Tabletextboldleft"/>
              <w:rPr>
                <w:b w:val="0"/>
              </w:rPr>
            </w:pPr>
            <w:r w:rsidRPr="00754CF9">
              <w:rPr>
                <w:b w:val="0"/>
              </w:rPr>
              <w:t>$26,787</w:t>
            </w:r>
          </w:p>
        </w:tc>
        <w:tc>
          <w:tcPr>
            <w:tcW w:w="575" w:type="pct"/>
            <w:shd w:val="clear" w:color="auto" w:fill="auto"/>
            <w:noWrap/>
            <w:vAlign w:val="center"/>
          </w:tcPr>
          <w:p w14:paraId="778FC2F6" w14:textId="77777777" w:rsidR="003B0883" w:rsidRPr="00754CF9" w:rsidRDefault="003B0883" w:rsidP="003B0883">
            <w:pPr>
              <w:pStyle w:val="Tabletextboldleft"/>
              <w:rPr>
                <w:b w:val="0"/>
              </w:rPr>
            </w:pPr>
            <w:r w:rsidRPr="00754CF9">
              <w:rPr>
                <w:b w:val="0"/>
              </w:rPr>
              <w:t>$30,269</w:t>
            </w:r>
          </w:p>
        </w:tc>
        <w:tc>
          <w:tcPr>
            <w:tcW w:w="575" w:type="pct"/>
            <w:shd w:val="clear" w:color="auto" w:fill="auto"/>
            <w:noWrap/>
            <w:vAlign w:val="center"/>
          </w:tcPr>
          <w:p w14:paraId="61374C67" w14:textId="77777777" w:rsidR="003B0883" w:rsidRPr="00754CF9" w:rsidRDefault="003B0883" w:rsidP="003B0883">
            <w:pPr>
              <w:pStyle w:val="Tabletextboldleft"/>
              <w:rPr>
                <w:b w:val="0"/>
              </w:rPr>
            </w:pPr>
            <w:r w:rsidRPr="00754CF9">
              <w:rPr>
                <w:b w:val="0"/>
              </w:rPr>
              <w:t>$34,204</w:t>
            </w:r>
          </w:p>
        </w:tc>
      </w:tr>
      <w:tr w:rsidR="003B0883" w:rsidRPr="003A30FA" w14:paraId="4A270805" w14:textId="77777777" w:rsidTr="008E097E">
        <w:trPr>
          <w:trHeight w:val="315"/>
        </w:trPr>
        <w:tc>
          <w:tcPr>
            <w:tcW w:w="312" w:type="pct"/>
            <w:shd w:val="clear" w:color="auto" w:fill="auto"/>
            <w:vAlign w:val="center"/>
          </w:tcPr>
          <w:p w14:paraId="06E7368B" w14:textId="77777777" w:rsidR="003B0883" w:rsidRPr="003A30FA" w:rsidRDefault="003B0883" w:rsidP="003B0883">
            <w:pPr>
              <w:pStyle w:val="Tabletextboldleft"/>
              <w:rPr>
                <w:b w:val="0"/>
              </w:rPr>
            </w:pPr>
            <w:r w:rsidRPr="003A30FA">
              <w:rPr>
                <w:b w:val="0"/>
              </w:rPr>
              <w:t>O</w:t>
            </w:r>
          </w:p>
        </w:tc>
        <w:tc>
          <w:tcPr>
            <w:tcW w:w="1887" w:type="pct"/>
            <w:shd w:val="clear" w:color="auto" w:fill="auto"/>
            <w:vAlign w:val="center"/>
          </w:tcPr>
          <w:p w14:paraId="6F242705" w14:textId="77777777" w:rsidR="003B0883" w:rsidRPr="00C9541A" w:rsidRDefault="003B0883" w:rsidP="003B0883">
            <w:pPr>
              <w:pStyle w:val="Tabletextboldleft"/>
              <w:rPr>
                <w:b w:val="0"/>
              </w:rPr>
            </w:pPr>
            <w:r w:rsidRPr="00C9541A">
              <w:rPr>
                <w:b w:val="0"/>
              </w:rPr>
              <w:t>Number of pre-test genetic counselling services in FDRs (= F × 1)</w:t>
            </w:r>
          </w:p>
        </w:tc>
        <w:tc>
          <w:tcPr>
            <w:tcW w:w="500" w:type="pct"/>
            <w:shd w:val="clear" w:color="auto" w:fill="auto"/>
            <w:noWrap/>
            <w:vAlign w:val="center"/>
          </w:tcPr>
          <w:p w14:paraId="58F9D151" w14:textId="77777777" w:rsidR="003B0883" w:rsidRPr="00754CF9" w:rsidRDefault="003B0883" w:rsidP="003B0883">
            <w:pPr>
              <w:pStyle w:val="Tabletextboldleft"/>
              <w:rPr>
                <w:b w:val="0"/>
              </w:rPr>
            </w:pPr>
            <w:r w:rsidRPr="00754CF9">
              <w:rPr>
                <w:b w:val="0"/>
              </w:rPr>
              <w:t>345</w:t>
            </w:r>
          </w:p>
        </w:tc>
        <w:tc>
          <w:tcPr>
            <w:tcW w:w="575" w:type="pct"/>
            <w:shd w:val="clear" w:color="auto" w:fill="auto"/>
            <w:noWrap/>
            <w:vAlign w:val="center"/>
          </w:tcPr>
          <w:p w14:paraId="02DFFCDA" w14:textId="77777777" w:rsidR="003B0883" w:rsidRPr="00754CF9" w:rsidRDefault="003B0883" w:rsidP="003B0883">
            <w:pPr>
              <w:pStyle w:val="Tabletextboldleft"/>
              <w:rPr>
                <w:b w:val="0"/>
              </w:rPr>
            </w:pPr>
            <w:r w:rsidRPr="00754CF9">
              <w:rPr>
                <w:b w:val="0"/>
              </w:rPr>
              <w:t>530</w:t>
            </w:r>
          </w:p>
        </w:tc>
        <w:tc>
          <w:tcPr>
            <w:tcW w:w="575" w:type="pct"/>
            <w:shd w:val="clear" w:color="auto" w:fill="auto"/>
            <w:noWrap/>
            <w:vAlign w:val="center"/>
          </w:tcPr>
          <w:p w14:paraId="65F3E44D" w14:textId="77777777" w:rsidR="003B0883" w:rsidRPr="00754CF9" w:rsidRDefault="003B0883" w:rsidP="003B0883">
            <w:pPr>
              <w:pStyle w:val="Tabletextboldleft"/>
              <w:rPr>
                <w:b w:val="0"/>
              </w:rPr>
            </w:pPr>
            <w:r w:rsidRPr="00754CF9">
              <w:rPr>
                <w:b w:val="0"/>
              </w:rPr>
              <w:t>598</w:t>
            </w:r>
          </w:p>
        </w:tc>
        <w:tc>
          <w:tcPr>
            <w:tcW w:w="575" w:type="pct"/>
            <w:shd w:val="clear" w:color="auto" w:fill="auto"/>
            <w:noWrap/>
            <w:vAlign w:val="center"/>
          </w:tcPr>
          <w:p w14:paraId="588A4526" w14:textId="77777777" w:rsidR="003B0883" w:rsidRPr="00754CF9" w:rsidRDefault="003B0883" w:rsidP="003B0883">
            <w:pPr>
              <w:pStyle w:val="Tabletextboldleft"/>
              <w:rPr>
                <w:b w:val="0"/>
              </w:rPr>
            </w:pPr>
            <w:r w:rsidRPr="00754CF9">
              <w:rPr>
                <w:b w:val="0"/>
              </w:rPr>
              <w:t>676</w:t>
            </w:r>
          </w:p>
        </w:tc>
        <w:tc>
          <w:tcPr>
            <w:tcW w:w="575" w:type="pct"/>
            <w:shd w:val="clear" w:color="auto" w:fill="auto"/>
            <w:noWrap/>
            <w:vAlign w:val="center"/>
          </w:tcPr>
          <w:p w14:paraId="4B8BB838" w14:textId="77777777" w:rsidR="003B0883" w:rsidRPr="00754CF9" w:rsidRDefault="003B0883" w:rsidP="003B0883">
            <w:pPr>
              <w:pStyle w:val="Tabletextboldleft"/>
              <w:rPr>
                <w:b w:val="0"/>
              </w:rPr>
            </w:pPr>
            <w:r w:rsidRPr="00754CF9">
              <w:rPr>
                <w:b w:val="0"/>
              </w:rPr>
              <w:t>764</w:t>
            </w:r>
          </w:p>
        </w:tc>
      </w:tr>
      <w:tr w:rsidR="003B0883" w:rsidRPr="003A30FA" w14:paraId="7CB98F8F" w14:textId="77777777" w:rsidTr="008E097E">
        <w:trPr>
          <w:trHeight w:val="315"/>
        </w:trPr>
        <w:tc>
          <w:tcPr>
            <w:tcW w:w="312" w:type="pct"/>
            <w:shd w:val="clear" w:color="auto" w:fill="auto"/>
            <w:vAlign w:val="center"/>
          </w:tcPr>
          <w:p w14:paraId="566B9330" w14:textId="77777777" w:rsidR="003B0883" w:rsidRPr="003A30FA" w:rsidRDefault="003B0883" w:rsidP="003B0883">
            <w:pPr>
              <w:pStyle w:val="Tabletextboldleft"/>
              <w:rPr>
                <w:b w:val="0"/>
              </w:rPr>
            </w:pPr>
            <w:r w:rsidRPr="003A30FA">
              <w:rPr>
                <w:b w:val="0"/>
              </w:rPr>
              <w:t>P</w:t>
            </w:r>
          </w:p>
        </w:tc>
        <w:tc>
          <w:tcPr>
            <w:tcW w:w="1887" w:type="pct"/>
            <w:shd w:val="clear" w:color="auto" w:fill="auto"/>
            <w:vAlign w:val="center"/>
          </w:tcPr>
          <w:p w14:paraId="77FA7D70" w14:textId="77777777" w:rsidR="003B0883" w:rsidRPr="00C9541A" w:rsidRDefault="003B0883" w:rsidP="003B0883">
            <w:pPr>
              <w:pStyle w:val="Tabletextboldleft"/>
              <w:rPr>
                <w:b w:val="0"/>
              </w:rPr>
            </w:pPr>
            <w:r w:rsidRPr="00C9541A">
              <w:rPr>
                <w:b w:val="0"/>
              </w:rPr>
              <w:t>Cost to MBS ( = O × $134.30)</w:t>
            </w:r>
          </w:p>
        </w:tc>
        <w:tc>
          <w:tcPr>
            <w:tcW w:w="500" w:type="pct"/>
            <w:shd w:val="clear" w:color="auto" w:fill="auto"/>
            <w:noWrap/>
            <w:vAlign w:val="center"/>
          </w:tcPr>
          <w:p w14:paraId="5FAB2C32" w14:textId="77777777" w:rsidR="003B0883" w:rsidRPr="00754CF9" w:rsidRDefault="003B0883" w:rsidP="003B0883">
            <w:pPr>
              <w:pStyle w:val="Tabletextboldleft"/>
              <w:rPr>
                <w:b w:val="0"/>
              </w:rPr>
            </w:pPr>
            <w:r w:rsidRPr="00754CF9">
              <w:rPr>
                <w:b w:val="0"/>
              </w:rPr>
              <w:t>$46,330</w:t>
            </w:r>
          </w:p>
        </w:tc>
        <w:tc>
          <w:tcPr>
            <w:tcW w:w="575" w:type="pct"/>
            <w:shd w:val="clear" w:color="auto" w:fill="auto"/>
            <w:noWrap/>
            <w:vAlign w:val="center"/>
          </w:tcPr>
          <w:p w14:paraId="44CB5367" w14:textId="77777777" w:rsidR="003B0883" w:rsidRPr="00754CF9" w:rsidRDefault="003B0883" w:rsidP="003B0883">
            <w:pPr>
              <w:pStyle w:val="Tabletextboldleft"/>
              <w:rPr>
                <w:b w:val="0"/>
              </w:rPr>
            </w:pPr>
            <w:r w:rsidRPr="00754CF9">
              <w:rPr>
                <w:b w:val="0"/>
              </w:rPr>
              <w:t>$71,116</w:t>
            </w:r>
          </w:p>
        </w:tc>
        <w:tc>
          <w:tcPr>
            <w:tcW w:w="575" w:type="pct"/>
            <w:shd w:val="clear" w:color="auto" w:fill="auto"/>
            <w:noWrap/>
            <w:vAlign w:val="center"/>
          </w:tcPr>
          <w:p w14:paraId="474B7D12" w14:textId="77777777" w:rsidR="003B0883" w:rsidRPr="00754CF9" w:rsidRDefault="003B0883" w:rsidP="003B0883">
            <w:pPr>
              <w:pStyle w:val="Tabletextboldleft"/>
              <w:rPr>
                <w:b w:val="0"/>
              </w:rPr>
            </w:pPr>
            <w:r w:rsidRPr="00754CF9">
              <w:rPr>
                <w:b w:val="0"/>
              </w:rPr>
              <w:t>$80,361</w:t>
            </w:r>
          </w:p>
        </w:tc>
        <w:tc>
          <w:tcPr>
            <w:tcW w:w="575" w:type="pct"/>
            <w:shd w:val="clear" w:color="auto" w:fill="auto"/>
            <w:noWrap/>
            <w:vAlign w:val="center"/>
          </w:tcPr>
          <w:p w14:paraId="3609EF89" w14:textId="77777777" w:rsidR="003B0883" w:rsidRPr="00754CF9" w:rsidRDefault="003B0883" w:rsidP="003B0883">
            <w:pPr>
              <w:pStyle w:val="Tabletextboldleft"/>
              <w:rPr>
                <w:b w:val="0"/>
              </w:rPr>
            </w:pPr>
            <w:r w:rsidRPr="00754CF9">
              <w:rPr>
                <w:b w:val="0"/>
              </w:rPr>
              <w:t>$90,808</w:t>
            </w:r>
          </w:p>
        </w:tc>
        <w:tc>
          <w:tcPr>
            <w:tcW w:w="575" w:type="pct"/>
            <w:shd w:val="clear" w:color="auto" w:fill="auto"/>
            <w:noWrap/>
            <w:vAlign w:val="center"/>
          </w:tcPr>
          <w:p w14:paraId="36372600" w14:textId="77777777" w:rsidR="003B0883" w:rsidRPr="00754CF9" w:rsidRDefault="003B0883" w:rsidP="003B0883">
            <w:pPr>
              <w:pStyle w:val="Tabletextboldleft"/>
              <w:rPr>
                <w:b w:val="0"/>
              </w:rPr>
            </w:pPr>
            <w:r w:rsidRPr="00754CF9">
              <w:rPr>
                <w:b w:val="0"/>
              </w:rPr>
              <w:t>$102,613</w:t>
            </w:r>
          </w:p>
        </w:tc>
      </w:tr>
      <w:tr w:rsidR="003B0883" w:rsidRPr="003A30FA" w14:paraId="5026A75C" w14:textId="77777777" w:rsidTr="008E097E">
        <w:trPr>
          <w:trHeight w:val="315"/>
        </w:trPr>
        <w:tc>
          <w:tcPr>
            <w:tcW w:w="312" w:type="pct"/>
            <w:shd w:val="clear" w:color="auto" w:fill="auto"/>
            <w:vAlign w:val="center"/>
          </w:tcPr>
          <w:p w14:paraId="75C55EAD" w14:textId="77777777" w:rsidR="003B0883" w:rsidRPr="003A30FA" w:rsidRDefault="003B0883" w:rsidP="003B0883">
            <w:pPr>
              <w:pStyle w:val="Tabletextboldleft"/>
              <w:rPr>
                <w:b w:val="0"/>
              </w:rPr>
            </w:pPr>
            <w:r w:rsidRPr="003A30FA">
              <w:rPr>
                <w:b w:val="0"/>
              </w:rPr>
              <w:t>Q</w:t>
            </w:r>
          </w:p>
        </w:tc>
        <w:tc>
          <w:tcPr>
            <w:tcW w:w="1887" w:type="pct"/>
            <w:shd w:val="clear" w:color="auto" w:fill="auto"/>
            <w:vAlign w:val="center"/>
          </w:tcPr>
          <w:p w14:paraId="2FCE0B42" w14:textId="77777777" w:rsidR="003B0883" w:rsidRPr="00C9541A" w:rsidRDefault="003B0883" w:rsidP="003B0883">
            <w:pPr>
              <w:pStyle w:val="Tabletextboldleft"/>
              <w:rPr>
                <w:b w:val="0"/>
              </w:rPr>
            </w:pPr>
            <w:r w:rsidRPr="00C9541A">
              <w:rPr>
                <w:b w:val="0"/>
              </w:rPr>
              <w:t>Number of post-test genetic counselling services in FDRs (= O × 50%)</w:t>
            </w:r>
          </w:p>
        </w:tc>
        <w:tc>
          <w:tcPr>
            <w:tcW w:w="500" w:type="pct"/>
            <w:shd w:val="clear" w:color="auto" w:fill="auto"/>
            <w:noWrap/>
            <w:vAlign w:val="center"/>
          </w:tcPr>
          <w:p w14:paraId="0E92B8EC" w14:textId="77777777" w:rsidR="003B0883" w:rsidRPr="00754CF9" w:rsidRDefault="003B0883" w:rsidP="003B0883">
            <w:pPr>
              <w:pStyle w:val="Tabletextboldleft"/>
              <w:rPr>
                <w:b w:val="0"/>
              </w:rPr>
            </w:pPr>
            <w:r w:rsidRPr="00754CF9">
              <w:rPr>
                <w:b w:val="0"/>
              </w:rPr>
              <w:t>172</w:t>
            </w:r>
          </w:p>
        </w:tc>
        <w:tc>
          <w:tcPr>
            <w:tcW w:w="575" w:type="pct"/>
            <w:shd w:val="clear" w:color="auto" w:fill="auto"/>
            <w:noWrap/>
            <w:vAlign w:val="center"/>
          </w:tcPr>
          <w:p w14:paraId="2DCCF653" w14:textId="77777777" w:rsidR="003B0883" w:rsidRPr="00754CF9" w:rsidRDefault="003B0883" w:rsidP="003B0883">
            <w:pPr>
              <w:pStyle w:val="Tabletextboldleft"/>
              <w:rPr>
                <w:b w:val="0"/>
              </w:rPr>
            </w:pPr>
            <w:r w:rsidRPr="00754CF9">
              <w:rPr>
                <w:b w:val="0"/>
              </w:rPr>
              <w:t>265</w:t>
            </w:r>
          </w:p>
        </w:tc>
        <w:tc>
          <w:tcPr>
            <w:tcW w:w="575" w:type="pct"/>
            <w:shd w:val="clear" w:color="auto" w:fill="auto"/>
            <w:noWrap/>
            <w:vAlign w:val="center"/>
          </w:tcPr>
          <w:p w14:paraId="2B1297A9" w14:textId="77777777" w:rsidR="003B0883" w:rsidRPr="00754CF9" w:rsidRDefault="003B0883" w:rsidP="003B0883">
            <w:pPr>
              <w:pStyle w:val="Tabletextboldleft"/>
              <w:rPr>
                <w:b w:val="0"/>
              </w:rPr>
            </w:pPr>
            <w:r w:rsidRPr="00754CF9">
              <w:rPr>
                <w:b w:val="0"/>
              </w:rPr>
              <w:t>299</w:t>
            </w:r>
          </w:p>
        </w:tc>
        <w:tc>
          <w:tcPr>
            <w:tcW w:w="575" w:type="pct"/>
            <w:shd w:val="clear" w:color="auto" w:fill="auto"/>
            <w:noWrap/>
            <w:vAlign w:val="center"/>
          </w:tcPr>
          <w:p w14:paraId="0350E924" w14:textId="77777777" w:rsidR="003B0883" w:rsidRPr="00754CF9" w:rsidRDefault="003B0883" w:rsidP="003B0883">
            <w:pPr>
              <w:pStyle w:val="Tabletextboldleft"/>
              <w:rPr>
                <w:b w:val="0"/>
              </w:rPr>
            </w:pPr>
            <w:r w:rsidRPr="00754CF9">
              <w:rPr>
                <w:b w:val="0"/>
              </w:rPr>
              <w:t>338</w:t>
            </w:r>
          </w:p>
        </w:tc>
        <w:tc>
          <w:tcPr>
            <w:tcW w:w="575" w:type="pct"/>
            <w:shd w:val="clear" w:color="auto" w:fill="auto"/>
            <w:noWrap/>
            <w:vAlign w:val="center"/>
          </w:tcPr>
          <w:p w14:paraId="520CCD23" w14:textId="77777777" w:rsidR="003B0883" w:rsidRPr="00754CF9" w:rsidRDefault="003B0883" w:rsidP="003B0883">
            <w:pPr>
              <w:pStyle w:val="Tabletextboldleft"/>
              <w:rPr>
                <w:b w:val="0"/>
              </w:rPr>
            </w:pPr>
            <w:r w:rsidRPr="00754CF9">
              <w:rPr>
                <w:b w:val="0"/>
              </w:rPr>
              <w:t>382</w:t>
            </w:r>
          </w:p>
        </w:tc>
      </w:tr>
      <w:tr w:rsidR="003B0883" w:rsidRPr="003A30FA" w14:paraId="31E6CF91" w14:textId="77777777" w:rsidTr="008E097E">
        <w:trPr>
          <w:trHeight w:val="315"/>
        </w:trPr>
        <w:tc>
          <w:tcPr>
            <w:tcW w:w="312" w:type="pct"/>
            <w:shd w:val="clear" w:color="auto" w:fill="auto"/>
            <w:vAlign w:val="center"/>
          </w:tcPr>
          <w:p w14:paraId="75EF57A0" w14:textId="77777777" w:rsidR="003B0883" w:rsidRPr="003A30FA" w:rsidRDefault="003B0883" w:rsidP="003B0883">
            <w:pPr>
              <w:pStyle w:val="Tabletextboldleft"/>
              <w:rPr>
                <w:b w:val="0"/>
              </w:rPr>
            </w:pPr>
            <w:r w:rsidRPr="003A30FA">
              <w:rPr>
                <w:b w:val="0"/>
              </w:rPr>
              <w:t>R</w:t>
            </w:r>
          </w:p>
        </w:tc>
        <w:tc>
          <w:tcPr>
            <w:tcW w:w="1887" w:type="pct"/>
            <w:shd w:val="clear" w:color="auto" w:fill="auto"/>
            <w:vAlign w:val="center"/>
          </w:tcPr>
          <w:p w14:paraId="7A0181D8" w14:textId="77777777" w:rsidR="003B0883" w:rsidRPr="00C9541A" w:rsidRDefault="003B0883" w:rsidP="003B0883">
            <w:pPr>
              <w:pStyle w:val="Tabletextboldleft"/>
              <w:rPr>
                <w:b w:val="0"/>
              </w:rPr>
            </w:pPr>
            <w:r w:rsidRPr="00C9541A">
              <w:rPr>
                <w:b w:val="0"/>
              </w:rPr>
              <w:t>Cost to MBS ( = Q × $67.20)</w:t>
            </w:r>
          </w:p>
        </w:tc>
        <w:tc>
          <w:tcPr>
            <w:tcW w:w="500" w:type="pct"/>
            <w:shd w:val="clear" w:color="auto" w:fill="auto"/>
            <w:noWrap/>
            <w:vAlign w:val="center"/>
          </w:tcPr>
          <w:p w14:paraId="26DF2AE4" w14:textId="77777777" w:rsidR="003B0883" w:rsidRPr="00754CF9" w:rsidRDefault="003B0883" w:rsidP="003B0883">
            <w:pPr>
              <w:pStyle w:val="Tabletextboldleft"/>
              <w:rPr>
                <w:b w:val="0"/>
              </w:rPr>
            </w:pPr>
            <w:r w:rsidRPr="00754CF9">
              <w:rPr>
                <w:b w:val="0"/>
              </w:rPr>
              <w:t>$11,591</w:t>
            </w:r>
          </w:p>
        </w:tc>
        <w:tc>
          <w:tcPr>
            <w:tcW w:w="575" w:type="pct"/>
            <w:shd w:val="clear" w:color="auto" w:fill="auto"/>
            <w:noWrap/>
            <w:vAlign w:val="center"/>
          </w:tcPr>
          <w:p w14:paraId="5A7D2433" w14:textId="77777777" w:rsidR="003B0883" w:rsidRPr="00754CF9" w:rsidRDefault="003B0883" w:rsidP="003B0883">
            <w:pPr>
              <w:pStyle w:val="Tabletextboldleft"/>
              <w:rPr>
                <w:b w:val="0"/>
              </w:rPr>
            </w:pPr>
            <w:r w:rsidRPr="00754CF9">
              <w:rPr>
                <w:b w:val="0"/>
              </w:rPr>
              <w:t>$17,792</w:t>
            </w:r>
          </w:p>
        </w:tc>
        <w:tc>
          <w:tcPr>
            <w:tcW w:w="575" w:type="pct"/>
            <w:shd w:val="clear" w:color="auto" w:fill="auto"/>
            <w:noWrap/>
            <w:vAlign w:val="center"/>
          </w:tcPr>
          <w:p w14:paraId="0DE29B49" w14:textId="77777777" w:rsidR="003B0883" w:rsidRPr="00754CF9" w:rsidRDefault="003B0883" w:rsidP="003B0883">
            <w:pPr>
              <w:pStyle w:val="Tabletextboldleft"/>
              <w:rPr>
                <w:b w:val="0"/>
              </w:rPr>
            </w:pPr>
            <w:r w:rsidRPr="00754CF9">
              <w:rPr>
                <w:b w:val="0"/>
              </w:rPr>
              <w:t>$20,105</w:t>
            </w:r>
          </w:p>
        </w:tc>
        <w:tc>
          <w:tcPr>
            <w:tcW w:w="575" w:type="pct"/>
            <w:shd w:val="clear" w:color="auto" w:fill="auto"/>
            <w:noWrap/>
            <w:vAlign w:val="center"/>
          </w:tcPr>
          <w:p w14:paraId="496C026E" w14:textId="77777777" w:rsidR="003B0883" w:rsidRPr="00754CF9" w:rsidRDefault="003B0883" w:rsidP="003B0883">
            <w:pPr>
              <w:pStyle w:val="Tabletextboldleft"/>
              <w:rPr>
                <w:b w:val="0"/>
              </w:rPr>
            </w:pPr>
            <w:r w:rsidRPr="00754CF9">
              <w:rPr>
                <w:b w:val="0"/>
              </w:rPr>
              <w:t>$22,719</w:t>
            </w:r>
          </w:p>
        </w:tc>
        <w:tc>
          <w:tcPr>
            <w:tcW w:w="575" w:type="pct"/>
            <w:shd w:val="clear" w:color="auto" w:fill="auto"/>
            <w:noWrap/>
            <w:vAlign w:val="center"/>
          </w:tcPr>
          <w:p w14:paraId="4FA617AB" w14:textId="77777777" w:rsidR="003B0883" w:rsidRPr="00754CF9" w:rsidRDefault="003B0883" w:rsidP="003B0883">
            <w:pPr>
              <w:pStyle w:val="Tabletextboldleft"/>
              <w:rPr>
                <w:b w:val="0"/>
              </w:rPr>
            </w:pPr>
            <w:r w:rsidRPr="00754CF9">
              <w:rPr>
                <w:b w:val="0"/>
              </w:rPr>
              <w:t>$25,672</w:t>
            </w:r>
          </w:p>
        </w:tc>
      </w:tr>
      <w:tr w:rsidR="003B0883" w:rsidRPr="003A30FA" w14:paraId="55B1E499" w14:textId="77777777" w:rsidTr="008E097E">
        <w:trPr>
          <w:trHeight w:val="315"/>
        </w:trPr>
        <w:tc>
          <w:tcPr>
            <w:tcW w:w="312" w:type="pct"/>
            <w:shd w:val="clear" w:color="auto" w:fill="auto"/>
            <w:vAlign w:val="center"/>
          </w:tcPr>
          <w:p w14:paraId="7EB5BC59" w14:textId="77777777" w:rsidR="003B0883" w:rsidRPr="003A30FA" w:rsidRDefault="003B0883" w:rsidP="003B0883">
            <w:pPr>
              <w:pStyle w:val="Tabletextboldleft"/>
            </w:pPr>
            <w:r w:rsidRPr="003A30FA">
              <w:t>S</w:t>
            </w:r>
          </w:p>
        </w:tc>
        <w:tc>
          <w:tcPr>
            <w:tcW w:w="1887" w:type="pct"/>
            <w:shd w:val="clear" w:color="auto" w:fill="auto"/>
            <w:vAlign w:val="center"/>
          </w:tcPr>
          <w:p w14:paraId="1D0797E6" w14:textId="77777777" w:rsidR="003B0883" w:rsidRPr="00C9541A" w:rsidRDefault="003B0883" w:rsidP="003B0883">
            <w:pPr>
              <w:pStyle w:val="Tabletextboldleft"/>
            </w:pPr>
            <w:r w:rsidRPr="00C9541A">
              <w:t>Cost to MBS of co-administered services (= N + P + R)</w:t>
            </w:r>
          </w:p>
        </w:tc>
        <w:tc>
          <w:tcPr>
            <w:tcW w:w="500" w:type="pct"/>
            <w:shd w:val="clear" w:color="auto" w:fill="auto"/>
            <w:noWrap/>
            <w:vAlign w:val="center"/>
          </w:tcPr>
          <w:p w14:paraId="475B05E1" w14:textId="77777777" w:rsidR="003B0883" w:rsidRPr="00754CF9" w:rsidRDefault="003B0883" w:rsidP="003B0883">
            <w:pPr>
              <w:pStyle w:val="Tabletextboldleft"/>
            </w:pPr>
            <w:r w:rsidRPr="00754CF9">
              <w:t>$73,364</w:t>
            </w:r>
          </w:p>
        </w:tc>
        <w:tc>
          <w:tcPr>
            <w:tcW w:w="575" w:type="pct"/>
            <w:shd w:val="clear" w:color="auto" w:fill="auto"/>
            <w:noWrap/>
            <w:vAlign w:val="center"/>
          </w:tcPr>
          <w:p w14:paraId="09FD72D7" w14:textId="77777777" w:rsidR="003B0883" w:rsidRPr="00754CF9" w:rsidRDefault="003B0883" w:rsidP="003B0883">
            <w:pPr>
              <w:pStyle w:val="Tabletextboldleft"/>
            </w:pPr>
            <w:r w:rsidRPr="00754CF9">
              <w:t>$112,613</w:t>
            </w:r>
          </w:p>
        </w:tc>
        <w:tc>
          <w:tcPr>
            <w:tcW w:w="575" w:type="pct"/>
            <w:shd w:val="clear" w:color="auto" w:fill="auto"/>
            <w:noWrap/>
            <w:vAlign w:val="center"/>
          </w:tcPr>
          <w:p w14:paraId="5B2B5D5F" w14:textId="77777777" w:rsidR="003B0883" w:rsidRPr="00754CF9" w:rsidRDefault="003B0883" w:rsidP="003B0883">
            <w:pPr>
              <w:pStyle w:val="Tabletextboldleft"/>
            </w:pPr>
            <w:r w:rsidRPr="00754CF9">
              <w:t>$127,253</w:t>
            </w:r>
          </w:p>
        </w:tc>
        <w:tc>
          <w:tcPr>
            <w:tcW w:w="575" w:type="pct"/>
            <w:shd w:val="clear" w:color="auto" w:fill="auto"/>
            <w:noWrap/>
            <w:vAlign w:val="center"/>
          </w:tcPr>
          <w:p w14:paraId="29A9F95A" w14:textId="77777777" w:rsidR="003B0883" w:rsidRPr="00754CF9" w:rsidRDefault="003B0883" w:rsidP="003B0883">
            <w:pPr>
              <w:pStyle w:val="Tabletextboldleft"/>
            </w:pPr>
            <w:r w:rsidRPr="00754CF9">
              <w:t>$143,796</w:t>
            </w:r>
          </w:p>
        </w:tc>
        <w:tc>
          <w:tcPr>
            <w:tcW w:w="575" w:type="pct"/>
            <w:shd w:val="clear" w:color="auto" w:fill="auto"/>
            <w:noWrap/>
            <w:vAlign w:val="center"/>
          </w:tcPr>
          <w:p w14:paraId="78CFC47D" w14:textId="77777777" w:rsidR="003B0883" w:rsidRPr="00754CF9" w:rsidRDefault="003B0883" w:rsidP="003B0883">
            <w:pPr>
              <w:pStyle w:val="Tabletextboldleft"/>
            </w:pPr>
            <w:r w:rsidRPr="00754CF9">
              <w:t>$162,489</w:t>
            </w:r>
          </w:p>
        </w:tc>
      </w:tr>
      <w:tr w:rsidR="003B0883" w:rsidRPr="008F7C7B" w14:paraId="4444391C" w14:textId="77777777" w:rsidTr="008E097E">
        <w:trPr>
          <w:trHeight w:val="270"/>
        </w:trPr>
        <w:tc>
          <w:tcPr>
            <w:tcW w:w="312" w:type="pct"/>
            <w:shd w:val="clear" w:color="auto" w:fill="auto"/>
            <w:vAlign w:val="center"/>
          </w:tcPr>
          <w:p w14:paraId="249B9EB8" w14:textId="77777777" w:rsidR="003B0883" w:rsidRPr="008F7C7B" w:rsidRDefault="003B0883" w:rsidP="003B0883">
            <w:pPr>
              <w:pStyle w:val="TableText0"/>
            </w:pPr>
          </w:p>
        </w:tc>
        <w:tc>
          <w:tcPr>
            <w:tcW w:w="1887" w:type="pct"/>
            <w:shd w:val="clear" w:color="auto" w:fill="auto"/>
            <w:vAlign w:val="center"/>
          </w:tcPr>
          <w:p w14:paraId="0124CA38" w14:textId="77777777" w:rsidR="003B0883" w:rsidRPr="00C9541A" w:rsidRDefault="003B0883" w:rsidP="003B0883">
            <w:pPr>
              <w:pStyle w:val="TableText0"/>
            </w:pPr>
          </w:p>
        </w:tc>
        <w:tc>
          <w:tcPr>
            <w:tcW w:w="500" w:type="pct"/>
            <w:shd w:val="clear" w:color="auto" w:fill="auto"/>
            <w:vAlign w:val="center"/>
          </w:tcPr>
          <w:p w14:paraId="7B6E83DB" w14:textId="77777777" w:rsidR="003B0883" w:rsidRPr="00C9541A" w:rsidRDefault="003B0883" w:rsidP="003B0883">
            <w:pPr>
              <w:pStyle w:val="TableText0"/>
            </w:pPr>
          </w:p>
        </w:tc>
        <w:tc>
          <w:tcPr>
            <w:tcW w:w="575" w:type="pct"/>
            <w:shd w:val="clear" w:color="auto" w:fill="auto"/>
            <w:vAlign w:val="center"/>
          </w:tcPr>
          <w:p w14:paraId="59C56DA2" w14:textId="77777777" w:rsidR="003B0883" w:rsidRPr="00C9541A" w:rsidRDefault="003B0883" w:rsidP="003B0883">
            <w:pPr>
              <w:pStyle w:val="TableText0"/>
            </w:pPr>
          </w:p>
        </w:tc>
        <w:tc>
          <w:tcPr>
            <w:tcW w:w="575" w:type="pct"/>
            <w:shd w:val="clear" w:color="auto" w:fill="auto"/>
            <w:vAlign w:val="center"/>
          </w:tcPr>
          <w:p w14:paraId="060BB5A6" w14:textId="77777777" w:rsidR="003B0883" w:rsidRPr="00C9541A" w:rsidRDefault="003B0883" w:rsidP="003B0883">
            <w:pPr>
              <w:pStyle w:val="TableText0"/>
            </w:pPr>
          </w:p>
        </w:tc>
        <w:tc>
          <w:tcPr>
            <w:tcW w:w="575" w:type="pct"/>
            <w:shd w:val="clear" w:color="auto" w:fill="auto"/>
            <w:vAlign w:val="center"/>
          </w:tcPr>
          <w:p w14:paraId="0A4453F6" w14:textId="77777777" w:rsidR="003B0883" w:rsidRPr="00C9541A" w:rsidRDefault="003B0883" w:rsidP="003B0883">
            <w:pPr>
              <w:pStyle w:val="TableText0"/>
            </w:pPr>
          </w:p>
        </w:tc>
        <w:tc>
          <w:tcPr>
            <w:tcW w:w="575" w:type="pct"/>
            <w:shd w:val="clear" w:color="auto" w:fill="auto"/>
            <w:vAlign w:val="center"/>
          </w:tcPr>
          <w:p w14:paraId="7A55AFBF" w14:textId="77777777" w:rsidR="003B0883" w:rsidRPr="00295A93" w:rsidRDefault="003B0883" w:rsidP="003B0883">
            <w:pPr>
              <w:pStyle w:val="TableText0"/>
            </w:pPr>
          </w:p>
        </w:tc>
      </w:tr>
      <w:tr w:rsidR="003B0883" w:rsidRPr="008F7C7B" w14:paraId="2B6F4704" w14:textId="77777777" w:rsidTr="008E097E">
        <w:trPr>
          <w:trHeight w:val="270"/>
        </w:trPr>
        <w:tc>
          <w:tcPr>
            <w:tcW w:w="312" w:type="pct"/>
            <w:shd w:val="clear" w:color="auto" w:fill="auto"/>
            <w:vAlign w:val="center"/>
            <w:hideMark/>
          </w:tcPr>
          <w:p w14:paraId="084FB16E" w14:textId="77777777" w:rsidR="003B0883" w:rsidRPr="008F7C7B" w:rsidRDefault="003B0883" w:rsidP="003B0883">
            <w:pPr>
              <w:pStyle w:val="Tabletextboldleft"/>
            </w:pPr>
            <w:r w:rsidRPr="008F7C7B">
              <w:t>X</w:t>
            </w:r>
          </w:p>
        </w:tc>
        <w:tc>
          <w:tcPr>
            <w:tcW w:w="1887" w:type="pct"/>
            <w:shd w:val="clear" w:color="auto" w:fill="auto"/>
            <w:vAlign w:val="center"/>
            <w:hideMark/>
          </w:tcPr>
          <w:p w14:paraId="74567CA9" w14:textId="77777777" w:rsidR="003B0883" w:rsidRPr="00C9541A" w:rsidRDefault="003B0883" w:rsidP="003B0883">
            <w:pPr>
              <w:pStyle w:val="Tabletextboldleft"/>
            </w:pPr>
            <w:r w:rsidRPr="00C9541A">
              <w:t>Total costs to MBS (= I + S)</w:t>
            </w:r>
          </w:p>
        </w:tc>
        <w:tc>
          <w:tcPr>
            <w:tcW w:w="500" w:type="pct"/>
            <w:shd w:val="clear" w:color="auto" w:fill="auto"/>
            <w:vAlign w:val="center"/>
            <w:hideMark/>
          </w:tcPr>
          <w:p w14:paraId="34F945F9" w14:textId="77777777" w:rsidR="003B0883" w:rsidRPr="00754CF9" w:rsidRDefault="003B0883" w:rsidP="003B0883">
            <w:pPr>
              <w:pStyle w:val="Tabletextboldleft"/>
            </w:pPr>
            <w:r w:rsidRPr="00754CF9">
              <w:t>$636,623</w:t>
            </w:r>
          </w:p>
        </w:tc>
        <w:tc>
          <w:tcPr>
            <w:tcW w:w="575" w:type="pct"/>
            <w:shd w:val="clear" w:color="auto" w:fill="auto"/>
            <w:vAlign w:val="center"/>
            <w:hideMark/>
          </w:tcPr>
          <w:p w14:paraId="59FE2E8F" w14:textId="77777777" w:rsidR="003B0883" w:rsidRPr="00754CF9" w:rsidRDefault="003B0883" w:rsidP="003B0883">
            <w:pPr>
              <w:pStyle w:val="Tabletextboldleft"/>
            </w:pPr>
            <w:r w:rsidRPr="00754CF9">
              <w:t>$977,217</w:t>
            </w:r>
          </w:p>
        </w:tc>
        <w:tc>
          <w:tcPr>
            <w:tcW w:w="575" w:type="pct"/>
            <w:shd w:val="clear" w:color="auto" w:fill="auto"/>
            <w:vAlign w:val="center"/>
            <w:hideMark/>
          </w:tcPr>
          <w:p w14:paraId="074CFA45" w14:textId="77777777" w:rsidR="003B0883" w:rsidRPr="00754CF9" w:rsidRDefault="003B0883" w:rsidP="003B0883">
            <w:pPr>
              <w:pStyle w:val="Tabletextboldleft"/>
            </w:pPr>
            <w:r w:rsidRPr="00754CF9">
              <w:t>$1,104,255</w:t>
            </w:r>
          </w:p>
        </w:tc>
        <w:tc>
          <w:tcPr>
            <w:tcW w:w="575" w:type="pct"/>
            <w:shd w:val="clear" w:color="auto" w:fill="auto"/>
            <w:vAlign w:val="center"/>
            <w:hideMark/>
          </w:tcPr>
          <w:p w14:paraId="2F29E622" w14:textId="77777777" w:rsidR="003B0883" w:rsidRPr="00754CF9" w:rsidRDefault="003B0883" w:rsidP="003B0883">
            <w:pPr>
              <w:pStyle w:val="Tabletextboldleft"/>
            </w:pPr>
            <w:r w:rsidRPr="00754CF9">
              <w:t>$1,247,808</w:t>
            </w:r>
          </w:p>
        </w:tc>
        <w:tc>
          <w:tcPr>
            <w:tcW w:w="575" w:type="pct"/>
            <w:shd w:val="clear" w:color="auto" w:fill="auto"/>
            <w:vAlign w:val="center"/>
            <w:hideMark/>
          </w:tcPr>
          <w:p w14:paraId="756E819C" w14:textId="77777777" w:rsidR="003B0883" w:rsidRPr="00754CF9" w:rsidRDefault="003B0883" w:rsidP="003B0883">
            <w:pPr>
              <w:pStyle w:val="Tabletextboldleft"/>
            </w:pPr>
            <w:r w:rsidRPr="00754CF9">
              <w:t>$1,410,023</w:t>
            </w:r>
          </w:p>
        </w:tc>
      </w:tr>
    </w:tbl>
    <w:p w14:paraId="67043C58" w14:textId="77777777" w:rsidR="003B0883" w:rsidRDefault="003B0883" w:rsidP="003B0883">
      <w:pPr>
        <w:pStyle w:val="Tablenotes1"/>
      </w:pPr>
      <w:r>
        <w:t xml:space="preserve">FDR = first-degree relative; </w:t>
      </w:r>
      <w:r w:rsidRPr="008F7C7B">
        <w:t>MBS = Medicare Benefits Schedule</w:t>
      </w:r>
    </w:p>
    <w:p w14:paraId="288BD848" w14:textId="77777777" w:rsidR="003B0883" w:rsidRPr="008F7C7B" w:rsidRDefault="003B0883" w:rsidP="003B0883">
      <w:pPr>
        <w:pStyle w:val="Tablenotes1"/>
      </w:pPr>
      <w:r>
        <w:t>Source: DCAR, Tables 24, 26, and 28 (as updated in HTA group’s rejoinder to applicant’s pre-ESC response).</w:t>
      </w:r>
    </w:p>
    <w:p w14:paraId="2FFDE5CB" w14:textId="53D51483" w:rsidR="003B0883" w:rsidRPr="008F7C7B" w:rsidRDefault="003B0883" w:rsidP="003B0883">
      <w:r>
        <w:t xml:space="preserve">The DCAR summarised </w:t>
      </w:r>
      <w:r w:rsidRPr="008F7C7B">
        <w:t xml:space="preserve">the estimated costs associated with the proposed testing for </w:t>
      </w:r>
      <w:r>
        <w:t>affected individuals</w:t>
      </w:r>
      <w:r w:rsidRPr="008F7C7B">
        <w:t xml:space="preserve"> and fir</w:t>
      </w:r>
      <w:r>
        <w:t>st- and second-degree relatives,</w:t>
      </w:r>
      <w:r w:rsidRPr="008525DE">
        <w:t xml:space="preserve"> </w:t>
      </w:r>
      <w:r w:rsidRPr="008F7C7B">
        <w:t>to</w:t>
      </w:r>
      <w:r>
        <w:t xml:space="preserve"> the</w:t>
      </w:r>
      <w:r w:rsidRPr="008F7C7B">
        <w:t xml:space="preserve"> MBS</w:t>
      </w:r>
      <w:r>
        <w:t xml:space="preserve"> (</w:t>
      </w:r>
      <w:r w:rsidRPr="008F7C7B">
        <w:fldChar w:fldCharType="begin"/>
      </w:r>
      <w:r w:rsidRPr="008F7C7B">
        <w:instrText xml:space="preserve"> REF _Ref49189521 \h  \* MERGEFORMAT </w:instrText>
      </w:r>
      <w:r w:rsidRPr="008F7C7B">
        <w:fldChar w:fldCharType="separate"/>
      </w:r>
      <w:r w:rsidRPr="008F7C7B">
        <w:t xml:space="preserve">Table </w:t>
      </w:r>
      <w:r>
        <w:t>17</w:t>
      </w:r>
      <w:r w:rsidRPr="008F7C7B">
        <w:fldChar w:fldCharType="end"/>
      </w:r>
      <w:r>
        <w:t>) and to the public via co-payments (</w:t>
      </w:r>
      <w:r w:rsidRPr="008F7C7B">
        <w:fldChar w:fldCharType="begin"/>
      </w:r>
      <w:r w:rsidRPr="008F7C7B">
        <w:instrText xml:space="preserve"> REF _Ref49190474 \h  \* MERGEFORMAT </w:instrText>
      </w:r>
      <w:r w:rsidRPr="008F7C7B">
        <w:fldChar w:fldCharType="separate"/>
      </w:r>
      <w:r w:rsidRPr="008F7C7B">
        <w:t xml:space="preserve">Table </w:t>
      </w:r>
      <w:r>
        <w:t>18</w:t>
      </w:r>
      <w:r w:rsidRPr="008F7C7B">
        <w:fldChar w:fldCharType="end"/>
      </w:r>
      <w:r w:rsidR="008E097E">
        <w:t>).</w:t>
      </w:r>
    </w:p>
    <w:p w14:paraId="3A657756" w14:textId="497E809B" w:rsidR="003B0883" w:rsidRPr="008F7C7B" w:rsidRDefault="003B0883" w:rsidP="008E097E">
      <w:pPr>
        <w:pStyle w:val="Caption"/>
        <w:spacing w:before="240"/>
      </w:pPr>
      <w:bookmarkStart w:id="25" w:name="_Ref49189521"/>
      <w:r w:rsidRPr="008F7C7B">
        <w:t xml:space="preserve">Table </w:t>
      </w:r>
      <w:r w:rsidR="002C6DB1">
        <w:fldChar w:fldCharType="begin"/>
      </w:r>
      <w:r w:rsidR="002C6DB1">
        <w:instrText xml:space="preserve"> SEQ Table \* AR</w:instrText>
      </w:r>
      <w:r w:rsidR="002C6DB1">
        <w:instrText xml:space="preserve">ABIC </w:instrText>
      </w:r>
      <w:r w:rsidR="002C6DB1">
        <w:fldChar w:fldCharType="separate"/>
      </w:r>
      <w:r>
        <w:rPr>
          <w:noProof/>
        </w:rPr>
        <w:t>17</w:t>
      </w:r>
      <w:r w:rsidR="002C6DB1">
        <w:rPr>
          <w:noProof/>
        </w:rPr>
        <w:fldChar w:fldCharType="end"/>
      </w:r>
      <w:bookmarkEnd w:id="25"/>
      <w:r>
        <w:t xml:space="preserve">: </w:t>
      </w:r>
      <w:r w:rsidRPr="008F7C7B">
        <w:t>Estimated cost to MBS (proposed tests and co-administered services)</w:t>
      </w:r>
      <w:r>
        <w:t xml:space="preserve"> for affected individuals</w:t>
      </w:r>
      <w:r w:rsidRPr="008F7C7B">
        <w:t>, FDR</w:t>
      </w:r>
      <w:r>
        <w:t>s</w:t>
      </w:r>
      <w:r w:rsidRPr="008F7C7B">
        <w:t xml:space="preserve"> and SDR</w:t>
      </w:r>
      <w:r>
        <w:t>s</w:t>
      </w:r>
    </w:p>
    <w:tbl>
      <w:tblPr>
        <w:tblW w:w="5000" w:type="pct"/>
        <w:tblLook w:val="04A0" w:firstRow="1" w:lastRow="0" w:firstColumn="1" w:lastColumn="0" w:noHBand="0" w:noVBand="1"/>
        <w:tblCaption w:val="Estimated use and cost to MBS of genetic testing in index cases, FDR and SDR"/>
        <w:tblDescription w:val="Estimated use and cost to MBS of genetic testing in index cases, FDR and SDR"/>
      </w:tblPr>
      <w:tblGrid>
        <w:gridCol w:w="563"/>
        <w:gridCol w:w="3403"/>
        <w:gridCol w:w="902"/>
        <w:gridCol w:w="1037"/>
        <w:gridCol w:w="1037"/>
        <w:gridCol w:w="1037"/>
        <w:gridCol w:w="1037"/>
      </w:tblGrid>
      <w:tr w:rsidR="003B0883" w:rsidRPr="008F7C7B" w14:paraId="1BB2C29D" w14:textId="77777777" w:rsidTr="003B0883">
        <w:trPr>
          <w:trHeight w:val="300"/>
          <w:tblHeader/>
        </w:trPr>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FE8DE" w14:textId="77777777" w:rsidR="003B0883" w:rsidRPr="008F7C7B" w:rsidRDefault="003B0883" w:rsidP="003B0883">
            <w:pPr>
              <w:pStyle w:val="Tabletextboldleft"/>
            </w:pPr>
            <w:r w:rsidRPr="008F7C7B">
              <w:t>Row</w:t>
            </w:r>
          </w:p>
        </w:tc>
        <w:tc>
          <w:tcPr>
            <w:tcW w:w="1888" w:type="pct"/>
            <w:tcBorders>
              <w:top w:val="single" w:sz="4" w:space="0" w:color="auto"/>
              <w:left w:val="nil"/>
              <w:bottom w:val="single" w:sz="4" w:space="0" w:color="auto"/>
              <w:right w:val="single" w:sz="4" w:space="0" w:color="auto"/>
            </w:tcBorders>
            <w:shd w:val="clear" w:color="auto" w:fill="auto"/>
            <w:vAlign w:val="bottom"/>
            <w:hideMark/>
          </w:tcPr>
          <w:p w14:paraId="4EB5898E" w14:textId="77777777" w:rsidR="003B0883" w:rsidRPr="008F7C7B" w:rsidRDefault="003B0883" w:rsidP="003B0883">
            <w:pPr>
              <w:pStyle w:val="Tabletextboldleft"/>
            </w:pPr>
            <w:r w:rsidRPr="008F7C7B">
              <w:t>Description</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14:paraId="256ADE8F" w14:textId="77777777" w:rsidR="003B0883" w:rsidRPr="008F7C7B" w:rsidRDefault="003B0883" w:rsidP="003B0883">
            <w:pPr>
              <w:pStyle w:val="Tabletextboldleft"/>
            </w:pPr>
            <w:r w:rsidRPr="008F7C7B">
              <w:t>2021–22</w:t>
            </w:r>
          </w:p>
        </w:tc>
        <w:tc>
          <w:tcPr>
            <w:tcW w:w="575" w:type="pct"/>
            <w:tcBorders>
              <w:top w:val="single" w:sz="4" w:space="0" w:color="auto"/>
              <w:left w:val="nil"/>
              <w:bottom w:val="single" w:sz="4" w:space="0" w:color="auto"/>
              <w:right w:val="single" w:sz="4" w:space="0" w:color="auto"/>
            </w:tcBorders>
            <w:shd w:val="clear" w:color="auto" w:fill="auto"/>
            <w:noWrap/>
            <w:vAlign w:val="bottom"/>
            <w:hideMark/>
          </w:tcPr>
          <w:p w14:paraId="0FE8E2DA" w14:textId="77777777" w:rsidR="003B0883" w:rsidRPr="008F7C7B" w:rsidRDefault="003B0883" w:rsidP="003B0883">
            <w:pPr>
              <w:pStyle w:val="Tabletextboldleft"/>
            </w:pPr>
            <w:r w:rsidRPr="008F7C7B">
              <w:t>2022–23</w:t>
            </w:r>
          </w:p>
        </w:tc>
        <w:tc>
          <w:tcPr>
            <w:tcW w:w="575" w:type="pct"/>
            <w:tcBorders>
              <w:top w:val="single" w:sz="4" w:space="0" w:color="auto"/>
              <w:left w:val="nil"/>
              <w:bottom w:val="single" w:sz="4" w:space="0" w:color="auto"/>
              <w:right w:val="single" w:sz="4" w:space="0" w:color="auto"/>
            </w:tcBorders>
            <w:shd w:val="clear" w:color="auto" w:fill="auto"/>
            <w:noWrap/>
            <w:vAlign w:val="bottom"/>
            <w:hideMark/>
          </w:tcPr>
          <w:p w14:paraId="745382EF" w14:textId="77777777" w:rsidR="003B0883" w:rsidRPr="008F7C7B" w:rsidRDefault="003B0883" w:rsidP="003B0883">
            <w:pPr>
              <w:pStyle w:val="Tabletextboldleft"/>
            </w:pPr>
            <w:r w:rsidRPr="008F7C7B">
              <w:t>2023–24</w:t>
            </w:r>
          </w:p>
        </w:tc>
        <w:tc>
          <w:tcPr>
            <w:tcW w:w="575" w:type="pct"/>
            <w:tcBorders>
              <w:top w:val="single" w:sz="4" w:space="0" w:color="auto"/>
              <w:left w:val="nil"/>
              <w:bottom w:val="single" w:sz="4" w:space="0" w:color="auto"/>
              <w:right w:val="single" w:sz="4" w:space="0" w:color="auto"/>
            </w:tcBorders>
            <w:shd w:val="clear" w:color="auto" w:fill="auto"/>
            <w:noWrap/>
            <w:vAlign w:val="bottom"/>
            <w:hideMark/>
          </w:tcPr>
          <w:p w14:paraId="42D2FE70" w14:textId="77777777" w:rsidR="003B0883" w:rsidRPr="008F7C7B" w:rsidRDefault="003B0883" w:rsidP="003B0883">
            <w:pPr>
              <w:pStyle w:val="Tabletextboldleft"/>
            </w:pPr>
            <w:r w:rsidRPr="008F7C7B">
              <w:t>2024–25</w:t>
            </w:r>
          </w:p>
        </w:tc>
        <w:tc>
          <w:tcPr>
            <w:tcW w:w="575" w:type="pct"/>
            <w:tcBorders>
              <w:top w:val="single" w:sz="4" w:space="0" w:color="auto"/>
              <w:left w:val="nil"/>
              <w:bottom w:val="single" w:sz="4" w:space="0" w:color="auto"/>
              <w:right w:val="single" w:sz="4" w:space="0" w:color="auto"/>
            </w:tcBorders>
            <w:shd w:val="clear" w:color="auto" w:fill="auto"/>
            <w:noWrap/>
            <w:vAlign w:val="bottom"/>
            <w:hideMark/>
          </w:tcPr>
          <w:p w14:paraId="3377F304" w14:textId="77777777" w:rsidR="003B0883" w:rsidRPr="008F7C7B" w:rsidRDefault="003B0883" w:rsidP="003B0883">
            <w:pPr>
              <w:pStyle w:val="Tabletextboldleft"/>
            </w:pPr>
            <w:r w:rsidRPr="008F7C7B">
              <w:t>2025–26</w:t>
            </w:r>
          </w:p>
        </w:tc>
      </w:tr>
      <w:tr w:rsidR="003B0883" w:rsidRPr="00BA2341" w14:paraId="3311AE0D" w14:textId="77777777" w:rsidTr="003B0883">
        <w:trPr>
          <w:trHeight w:val="255"/>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33E0B290" w14:textId="77777777" w:rsidR="003B0883" w:rsidRPr="000078FF" w:rsidRDefault="003B0883" w:rsidP="003B0883">
            <w:pPr>
              <w:pStyle w:val="Tabletextboldleft"/>
              <w:rPr>
                <w:b w:val="0"/>
              </w:rPr>
            </w:pPr>
            <w:r w:rsidRPr="000078FF">
              <w:rPr>
                <w:b w:val="0"/>
              </w:rPr>
              <w:t>I</w:t>
            </w:r>
          </w:p>
        </w:tc>
        <w:tc>
          <w:tcPr>
            <w:tcW w:w="1888" w:type="pct"/>
            <w:tcBorders>
              <w:top w:val="nil"/>
              <w:left w:val="nil"/>
              <w:bottom w:val="single" w:sz="4" w:space="0" w:color="auto"/>
              <w:right w:val="single" w:sz="4" w:space="0" w:color="auto"/>
            </w:tcBorders>
            <w:shd w:val="clear" w:color="auto" w:fill="auto"/>
            <w:vAlign w:val="bottom"/>
            <w:hideMark/>
          </w:tcPr>
          <w:p w14:paraId="4E2F1AA0" w14:textId="77777777" w:rsidR="003B0883" w:rsidRPr="000078FF" w:rsidRDefault="003B0883" w:rsidP="003B0883">
            <w:pPr>
              <w:pStyle w:val="Tabletextboldleft"/>
              <w:rPr>
                <w:b w:val="0"/>
              </w:rPr>
            </w:pPr>
            <w:r>
              <w:rPr>
                <w:b w:val="0"/>
              </w:rPr>
              <w:t>C</w:t>
            </w:r>
            <w:r w:rsidRPr="000078FF">
              <w:rPr>
                <w:b w:val="0"/>
              </w:rPr>
              <w:t xml:space="preserve">ost to MBS of genetic testing in </w:t>
            </w:r>
            <w:r w:rsidRPr="000078FF">
              <w:rPr>
                <w:b w:val="0"/>
                <w:bCs/>
              </w:rPr>
              <w:t xml:space="preserve">affected individuals, </w:t>
            </w:r>
            <w:r w:rsidRPr="000078FF">
              <w:rPr>
                <w:b w:val="0"/>
              </w:rPr>
              <w:t>FDR</w:t>
            </w:r>
            <w:r>
              <w:rPr>
                <w:b w:val="0"/>
              </w:rPr>
              <w:t>s</w:t>
            </w:r>
            <w:r w:rsidRPr="000078FF">
              <w:rPr>
                <w:b w:val="0"/>
              </w:rPr>
              <w:t xml:space="preserve"> and SDR</w:t>
            </w:r>
            <w:r>
              <w:rPr>
                <w:b w:val="0"/>
              </w:rPr>
              <w:t>s</w:t>
            </w:r>
            <w:r w:rsidRPr="000078FF">
              <w:rPr>
                <w:b w:val="0"/>
              </w:rPr>
              <w:t xml:space="preserve"> (= G + H)</w:t>
            </w:r>
          </w:p>
        </w:tc>
        <w:tc>
          <w:tcPr>
            <w:tcW w:w="500" w:type="pct"/>
            <w:tcBorders>
              <w:top w:val="nil"/>
              <w:left w:val="nil"/>
              <w:bottom w:val="single" w:sz="4" w:space="0" w:color="auto"/>
              <w:right w:val="single" w:sz="4" w:space="0" w:color="auto"/>
            </w:tcBorders>
            <w:shd w:val="clear" w:color="auto" w:fill="auto"/>
            <w:vAlign w:val="center"/>
            <w:hideMark/>
          </w:tcPr>
          <w:p w14:paraId="001D3D94" w14:textId="77777777" w:rsidR="003B0883" w:rsidRPr="00754CF9" w:rsidRDefault="003B0883" w:rsidP="003B0883">
            <w:pPr>
              <w:pStyle w:val="Tabletextboldleft"/>
              <w:rPr>
                <w:b w:val="0"/>
              </w:rPr>
            </w:pPr>
            <w:r w:rsidRPr="00754CF9">
              <w:rPr>
                <w:b w:val="0"/>
                <w:bCs/>
              </w:rPr>
              <w:t>$602,356</w:t>
            </w:r>
          </w:p>
        </w:tc>
        <w:tc>
          <w:tcPr>
            <w:tcW w:w="575" w:type="pct"/>
            <w:tcBorders>
              <w:top w:val="nil"/>
              <w:left w:val="nil"/>
              <w:bottom w:val="single" w:sz="4" w:space="0" w:color="auto"/>
              <w:right w:val="single" w:sz="4" w:space="0" w:color="auto"/>
            </w:tcBorders>
            <w:shd w:val="clear" w:color="auto" w:fill="auto"/>
            <w:vAlign w:val="center"/>
            <w:hideMark/>
          </w:tcPr>
          <w:p w14:paraId="7CCFF4E2" w14:textId="77777777" w:rsidR="003B0883" w:rsidRPr="00754CF9" w:rsidRDefault="003B0883" w:rsidP="003B0883">
            <w:pPr>
              <w:pStyle w:val="Tabletextboldleft"/>
              <w:rPr>
                <w:b w:val="0"/>
              </w:rPr>
            </w:pPr>
            <w:r w:rsidRPr="00754CF9">
              <w:rPr>
                <w:b w:val="0"/>
                <w:bCs/>
              </w:rPr>
              <w:t>$924,617</w:t>
            </w:r>
          </w:p>
        </w:tc>
        <w:tc>
          <w:tcPr>
            <w:tcW w:w="575" w:type="pct"/>
            <w:tcBorders>
              <w:top w:val="nil"/>
              <w:left w:val="nil"/>
              <w:bottom w:val="single" w:sz="4" w:space="0" w:color="auto"/>
              <w:right w:val="single" w:sz="4" w:space="0" w:color="auto"/>
            </w:tcBorders>
            <w:shd w:val="clear" w:color="auto" w:fill="auto"/>
            <w:vAlign w:val="center"/>
            <w:hideMark/>
          </w:tcPr>
          <w:p w14:paraId="50F2830E" w14:textId="77777777" w:rsidR="003B0883" w:rsidRPr="00754CF9" w:rsidRDefault="003B0883" w:rsidP="003B0883">
            <w:pPr>
              <w:pStyle w:val="Tabletextboldleft"/>
              <w:rPr>
                <w:b w:val="0"/>
              </w:rPr>
            </w:pPr>
            <w:r w:rsidRPr="00754CF9">
              <w:rPr>
                <w:b w:val="0"/>
                <w:bCs/>
              </w:rPr>
              <w:t>$1,044,817</w:t>
            </w:r>
          </w:p>
        </w:tc>
        <w:tc>
          <w:tcPr>
            <w:tcW w:w="575" w:type="pct"/>
            <w:tcBorders>
              <w:top w:val="nil"/>
              <w:left w:val="nil"/>
              <w:bottom w:val="single" w:sz="4" w:space="0" w:color="auto"/>
              <w:right w:val="single" w:sz="4" w:space="0" w:color="auto"/>
            </w:tcBorders>
            <w:shd w:val="clear" w:color="auto" w:fill="auto"/>
            <w:vAlign w:val="center"/>
            <w:hideMark/>
          </w:tcPr>
          <w:p w14:paraId="029A892E" w14:textId="77777777" w:rsidR="003B0883" w:rsidRPr="00754CF9" w:rsidRDefault="003B0883" w:rsidP="003B0883">
            <w:pPr>
              <w:pStyle w:val="Tabletextboldleft"/>
              <w:rPr>
                <w:b w:val="0"/>
              </w:rPr>
            </w:pPr>
            <w:r w:rsidRPr="00754CF9">
              <w:rPr>
                <w:b w:val="0"/>
                <w:bCs/>
              </w:rPr>
              <w:t>$1,180,643</w:t>
            </w:r>
          </w:p>
        </w:tc>
        <w:tc>
          <w:tcPr>
            <w:tcW w:w="575" w:type="pct"/>
            <w:tcBorders>
              <w:top w:val="nil"/>
              <w:left w:val="nil"/>
              <w:bottom w:val="single" w:sz="4" w:space="0" w:color="auto"/>
              <w:right w:val="single" w:sz="4" w:space="0" w:color="auto"/>
            </w:tcBorders>
            <w:shd w:val="clear" w:color="auto" w:fill="auto"/>
            <w:vAlign w:val="center"/>
            <w:hideMark/>
          </w:tcPr>
          <w:p w14:paraId="7D8D5C0F" w14:textId="77777777" w:rsidR="003B0883" w:rsidRPr="00754CF9" w:rsidRDefault="003B0883" w:rsidP="003B0883">
            <w:pPr>
              <w:pStyle w:val="Tabletextboldleft"/>
              <w:rPr>
                <w:b w:val="0"/>
              </w:rPr>
            </w:pPr>
            <w:r w:rsidRPr="00754CF9">
              <w:rPr>
                <w:b w:val="0"/>
                <w:bCs/>
              </w:rPr>
              <w:t>$1,334,127</w:t>
            </w:r>
          </w:p>
        </w:tc>
      </w:tr>
      <w:tr w:rsidR="003B0883" w:rsidRPr="00BA2341" w14:paraId="6A74B973" w14:textId="77777777" w:rsidTr="003B0883">
        <w:trPr>
          <w:trHeight w:val="255"/>
        </w:trPr>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484F0A34" w14:textId="77777777" w:rsidR="003B0883" w:rsidRPr="00C96663" w:rsidRDefault="003B0883" w:rsidP="003B0883">
            <w:pPr>
              <w:pStyle w:val="Tabletextboldleft"/>
              <w:rPr>
                <w:b w:val="0"/>
              </w:rPr>
            </w:pPr>
            <w:r w:rsidRPr="00C96663">
              <w:rPr>
                <w:b w:val="0"/>
              </w:rPr>
              <w:t>S</w:t>
            </w:r>
          </w:p>
        </w:tc>
        <w:tc>
          <w:tcPr>
            <w:tcW w:w="1888" w:type="pct"/>
            <w:tcBorders>
              <w:top w:val="single" w:sz="4" w:space="0" w:color="auto"/>
              <w:left w:val="nil"/>
              <w:bottom w:val="single" w:sz="4" w:space="0" w:color="auto"/>
              <w:right w:val="single" w:sz="4" w:space="0" w:color="auto"/>
            </w:tcBorders>
            <w:shd w:val="clear" w:color="auto" w:fill="auto"/>
            <w:vAlign w:val="bottom"/>
          </w:tcPr>
          <w:p w14:paraId="1B4752CC" w14:textId="77777777" w:rsidR="003B0883" w:rsidRPr="00C96663" w:rsidRDefault="003B0883" w:rsidP="003B0883">
            <w:pPr>
              <w:pStyle w:val="Tabletextboldleft"/>
              <w:rPr>
                <w:b w:val="0"/>
              </w:rPr>
            </w:pPr>
            <w:r>
              <w:rPr>
                <w:b w:val="0"/>
              </w:rPr>
              <w:t>C</w:t>
            </w:r>
            <w:r w:rsidRPr="00C96663">
              <w:rPr>
                <w:b w:val="0"/>
              </w:rPr>
              <w:t>ost to MBS of co-administered services</w:t>
            </w:r>
            <w:r>
              <w:rPr>
                <w:b w:val="0"/>
              </w:rPr>
              <w:t xml:space="preserve"> in affected individuals, FDRs </w:t>
            </w:r>
            <w:r w:rsidRPr="000078FF">
              <w:rPr>
                <w:b w:val="0"/>
                <w:i/>
              </w:rPr>
              <w:t>and SDR</w:t>
            </w:r>
            <w:r>
              <w:rPr>
                <w:b w:val="0"/>
                <w:i/>
              </w:rPr>
              <w:t>s</w:t>
            </w:r>
            <w:r w:rsidRPr="00C96663">
              <w:rPr>
                <w:b w:val="0"/>
              </w:rPr>
              <w:t xml:space="preserve"> (= N + P + R)</w:t>
            </w:r>
          </w:p>
        </w:tc>
        <w:tc>
          <w:tcPr>
            <w:tcW w:w="500" w:type="pct"/>
            <w:tcBorders>
              <w:top w:val="single" w:sz="4" w:space="0" w:color="auto"/>
              <w:left w:val="nil"/>
              <w:bottom w:val="single" w:sz="4" w:space="0" w:color="auto"/>
              <w:right w:val="single" w:sz="4" w:space="0" w:color="auto"/>
            </w:tcBorders>
            <w:shd w:val="clear" w:color="auto" w:fill="auto"/>
            <w:vAlign w:val="center"/>
          </w:tcPr>
          <w:p w14:paraId="1A4010C9" w14:textId="77777777" w:rsidR="003B0883" w:rsidRPr="00754CF9" w:rsidRDefault="003B0883" w:rsidP="003B0883">
            <w:pPr>
              <w:pStyle w:val="Tabletextboldleft"/>
              <w:rPr>
                <w:b w:val="0"/>
                <w:bCs/>
                <w:i/>
              </w:rPr>
            </w:pPr>
            <w:r w:rsidRPr="00754CF9">
              <w:rPr>
                <w:b w:val="0"/>
                <w:bCs/>
                <w:i/>
              </w:rPr>
              <w:t>$92,677</w:t>
            </w:r>
          </w:p>
        </w:tc>
        <w:tc>
          <w:tcPr>
            <w:tcW w:w="575" w:type="pct"/>
            <w:tcBorders>
              <w:top w:val="single" w:sz="4" w:space="0" w:color="auto"/>
              <w:left w:val="nil"/>
              <w:bottom w:val="single" w:sz="4" w:space="0" w:color="auto"/>
              <w:right w:val="single" w:sz="4" w:space="0" w:color="auto"/>
            </w:tcBorders>
            <w:shd w:val="clear" w:color="auto" w:fill="auto"/>
            <w:vAlign w:val="center"/>
          </w:tcPr>
          <w:p w14:paraId="26D0BD19" w14:textId="77777777" w:rsidR="003B0883" w:rsidRPr="00754CF9" w:rsidRDefault="003B0883" w:rsidP="003B0883">
            <w:pPr>
              <w:pStyle w:val="Tabletextboldleft"/>
              <w:rPr>
                <w:b w:val="0"/>
                <w:bCs/>
                <w:i/>
              </w:rPr>
            </w:pPr>
            <w:r w:rsidRPr="00754CF9">
              <w:rPr>
                <w:b w:val="0"/>
                <w:bCs/>
                <w:i/>
              </w:rPr>
              <w:t>$142,444</w:t>
            </w:r>
          </w:p>
        </w:tc>
        <w:tc>
          <w:tcPr>
            <w:tcW w:w="575" w:type="pct"/>
            <w:tcBorders>
              <w:top w:val="single" w:sz="4" w:space="0" w:color="auto"/>
              <w:left w:val="nil"/>
              <w:bottom w:val="single" w:sz="4" w:space="0" w:color="auto"/>
              <w:right w:val="single" w:sz="4" w:space="0" w:color="auto"/>
            </w:tcBorders>
            <w:shd w:val="clear" w:color="auto" w:fill="auto"/>
            <w:vAlign w:val="center"/>
          </w:tcPr>
          <w:p w14:paraId="30F325E6" w14:textId="77777777" w:rsidR="003B0883" w:rsidRPr="00754CF9" w:rsidRDefault="003B0883" w:rsidP="003B0883">
            <w:pPr>
              <w:pStyle w:val="Tabletextboldleft"/>
              <w:rPr>
                <w:b w:val="0"/>
                <w:bCs/>
                <w:i/>
              </w:rPr>
            </w:pPr>
            <w:r w:rsidRPr="00754CF9">
              <w:rPr>
                <w:b w:val="0"/>
                <w:bCs/>
                <w:i/>
              </w:rPr>
              <w:t>$160,637</w:t>
            </w:r>
          </w:p>
        </w:tc>
        <w:tc>
          <w:tcPr>
            <w:tcW w:w="575" w:type="pct"/>
            <w:tcBorders>
              <w:top w:val="single" w:sz="4" w:space="0" w:color="auto"/>
              <w:left w:val="nil"/>
              <w:bottom w:val="single" w:sz="4" w:space="0" w:color="auto"/>
              <w:right w:val="single" w:sz="4" w:space="0" w:color="auto"/>
            </w:tcBorders>
            <w:shd w:val="clear" w:color="auto" w:fill="auto"/>
            <w:vAlign w:val="center"/>
          </w:tcPr>
          <w:p w14:paraId="7B01BCC5" w14:textId="77777777" w:rsidR="003B0883" w:rsidRPr="00754CF9" w:rsidRDefault="003B0883" w:rsidP="003B0883">
            <w:pPr>
              <w:pStyle w:val="Tabletextboldleft"/>
              <w:rPr>
                <w:b w:val="0"/>
                <w:bCs/>
                <w:i/>
              </w:rPr>
            </w:pPr>
            <w:r w:rsidRPr="00754CF9">
              <w:rPr>
                <w:b w:val="0"/>
                <w:bCs/>
                <w:i/>
              </w:rPr>
              <w:t>$181,581</w:t>
            </w:r>
          </w:p>
        </w:tc>
        <w:tc>
          <w:tcPr>
            <w:tcW w:w="575" w:type="pct"/>
            <w:tcBorders>
              <w:top w:val="single" w:sz="4" w:space="0" w:color="auto"/>
              <w:left w:val="nil"/>
              <w:bottom w:val="single" w:sz="4" w:space="0" w:color="auto"/>
              <w:right w:val="single" w:sz="4" w:space="0" w:color="auto"/>
            </w:tcBorders>
            <w:shd w:val="clear" w:color="auto" w:fill="auto"/>
            <w:vAlign w:val="center"/>
          </w:tcPr>
          <w:p w14:paraId="0CB3D811" w14:textId="77777777" w:rsidR="003B0883" w:rsidRPr="00754CF9" w:rsidRDefault="003B0883" w:rsidP="003B0883">
            <w:pPr>
              <w:pStyle w:val="Tabletextboldleft"/>
              <w:rPr>
                <w:b w:val="0"/>
                <w:bCs/>
                <w:i/>
              </w:rPr>
            </w:pPr>
            <w:r w:rsidRPr="00754CF9">
              <w:rPr>
                <w:b w:val="0"/>
                <w:bCs/>
                <w:i/>
              </w:rPr>
              <w:t>$205,328</w:t>
            </w:r>
          </w:p>
        </w:tc>
      </w:tr>
      <w:tr w:rsidR="003B0883" w:rsidRPr="00BA2341" w14:paraId="372BB79A" w14:textId="77777777" w:rsidTr="003B0883">
        <w:trPr>
          <w:trHeight w:val="255"/>
        </w:trPr>
        <w:tc>
          <w:tcPr>
            <w:tcW w:w="312" w:type="pct"/>
            <w:tcBorders>
              <w:top w:val="nil"/>
              <w:left w:val="single" w:sz="4" w:space="0" w:color="auto"/>
              <w:bottom w:val="single" w:sz="4" w:space="0" w:color="auto"/>
              <w:right w:val="single" w:sz="4" w:space="0" w:color="auto"/>
            </w:tcBorders>
            <w:shd w:val="clear" w:color="auto" w:fill="auto"/>
            <w:vAlign w:val="center"/>
          </w:tcPr>
          <w:p w14:paraId="1AFB503D" w14:textId="77777777" w:rsidR="003B0883" w:rsidRPr="004D5DD9" w:rsidRDefault="003B0883" w:rsidP="003B0883">
            <w:pPr>
              <w:pStyle w:val="Tabletextboldleft"/>
            </w:pPr>
            <w:r w:rsidRPr="004D5DD9">
              <w:t>X</w:t>
            </w:r>
          </w:p>
        </w:tc>
        <w:tc>
          <w:tcPr>
            <w:tcW w:w="1888" w:type="pct"/>
            <w:tcBorders>
              <w:top w:val="nil"/>
              <w:left w:val="nil"/>
              <w:bottom w:val="single" w:sz="4" w:space="0" w:color="auto"/>
              <w:right w:val="single" w:sz="4" w:space="0" w:color="auto"/>
            </w:tcBorders>
            <w:shd w:val="clear" w:color="auto" w:fill="auto"/>
            <w:vAlign w:val="bottom"/>
          </w:tcPr>
          <w:p w14:paraId="3641F75F" w14:textId="77777777" w:rsidR="003B0883" w:rsidRPr="004D5DD9" w:rsidRDefault="003B0883" w:rsidP="003B0883">
            <w:pPr>
              <w:pStyle w:val="Tabletextboldleft"/>
            </w:pPr>
            <w:r w:rsidRPr="004D5DD9">
              <w:t>Total cost to MBS (= I + S)</w:t>
            </w:r>
          </w:p>
        </w:tc>
        <w:tc>
          <w:tcPr>
            <w:tcW w:w="500" w:type="pct"/>
            <w:tcBorders>
              <w:top w:val="nil"/>
              <w:left w:val="nil"/>
              <w:bottom w:val="single" w:sz="4" w:space="0" w:color="auto"/>
              <w:right w:val="single" w:sz="4" w:space="0" w:color="auto"/>
            </w:tcBorders>
            <w:shd w:val="clear" w:color="auto" w:fill="auto"/>
            <w:vAlign w:val="center"/>
          </w:tcPr>
          <w:p w14:paraId="1BBBCEBB" w14:textId="77777777" w:rsidR="003B0883" w:rsidRPr="00754CF9" w:rsidRDefault="003B0883" w:rsidP="003B0883">
            <w:pPr>
              <w:pStyle w:val="Tabletextboldleft"/>
              <w:rPr>
                <w:b w:val="0"/>
                <w:bCs/>
                <w:i/>
              </w:rPr>
            </w:pPr>
            <w:r w:rsidRPr="00754CF9">
              <w:rPr>
                <w:i/>
              </w:rPr>
              <w:t>$695,033</w:t>
            </w:r>
          </w:p>
        </w:tc>
        <w:tc>
          <w:tcPr>
            <w:tcW w:w="575" w:type="pct"/>
            <w:tcBorders>
              <w:top w:val="nil"/>
              <w:left w:val="nil"/>
              <w:bottom w:val="single" w:sz="4" w:space="0" w:color="auto"/>
              <w:right w:val="single" w:sz="4" w:space="0" w:color="auto"/>
            </w:tcBorders>
            <w:shd w:val="clear" w:color="auto" w:fill="auto"/>
            <w:vAlign w:val="center"/>
          </w:tcPr>
          <w:p w14:paraId="0EF69FE6" w14:textId="77777777" w:rsidR="003B0883" w:rsidRPr="00754CF9" w:rsidRDefault="003B0883" w:rsidP="003B0883">
            <w:pPr>
              <w:pStyle w:val="Tabletextboldleft"/>
              <w:rPr>
                <w:b w:val="0"/>
                <w:bCs/>
                <w:i/>
              </w:rPr>
            </w:pPr>
            <w:r w:rsidRPr="00754CF9">
              <w:rPr>
                <w:i/>
              </w:rPr>
              <w:t>$1,067,061</w:t>
            </w:r>
          </w:p>
        </w:tc>
        <w:tc>
          <w:tcPr>
            <w:tcW w:w="575" w:type="pct"/>
            <w:tcBorders>
              <w:top w:val="nil"/>
              <w:left w:val="nil"/>
              <w:bottom w:val="single" w:sz="4" w:space="0" w:color="auto"/>
              <w:right w:val="single" w:sz="4" w:space="0" w:color="auto"/>
            </w:tcBorders>
            <w:shd w:val="clear" w:color="auto" w:fill="auto"/>
            <w:vAlign w:val="center"/>
          </w:tcPr>
          <w:p w14:paraId="2660E45E" w14:textId="77777777" w:rsidR="003B0883" w:rsidRPr="00754CF9" w:rsidRDefault="003B0883" w:rsidP="003B0883">
            <w:pPr>
              <w:pStyle w:val="Tabletextboldleft"/>
              <w:rPr>
                <w:b w:val="0"/>
                <w:bCs/>
                <w:i/>
              </w:rPr>
            </w:pPr>
            <w:r w:rsidRPr="00754CF9">
              <w:rPr>
                <w:i/>
              </w:rPr>
              <w:t>$1,205,454</w:t>
            </w:r>
          </w:p>
        </w:tc>
        <w:tc>
          <w:tcPr>
            <w:tcW w:w="575" w:type="pct"/>
            <w:tcBorders>
              <w:top w:val="nil"/>
              <w:left w:val="nil"/>
              <w:bottom w:val="single" w:sz="4" w:space="0" w:color="auto"/>
              <w:right w:val="single" w:sz="4" w:space="0" w:color="auto"/>
            </w:tcBorders>
            <w:shd w:val="clear" w:color="auto" w:fill="auto"/>
            <w:vAlign w:val="center"/>
          </w:tcPr>
          <w:p w14:paraId="6E25AB42" w14:textId="77777777" w:rsidR="003B0883" w:rsidRPr="00754CF9" w:rsidRDefault="003B0883" w:rsidP="003B0883">
            <w:pPr>
              <w:pStyle w:val="Tabletextboldleft"/>
              <w:rPr>
                <w:b w:val="0"/>
                <w:bCs/>
                <w:i/>
              </w:rPr>
            </w:pPr>
            <w:r w:rsidRPr="00754CF9">
              <w:rPr>
                <w:i/>
              </w:rPr>
              <w:t>$1,362,224</w:t>
            </w:r>
          </w:p>
        </w:tc>
        <w:tc>
          <w:tcPr>
            <w:tcW w:w="575" w:type="pct"/>
            <w:tcBorders>
              <w:top w:val="nil"/>
              <w:left w:val="nil"/>
              <w:bottom w:val="single" w:sz="4" w:space="0" w:color="auto"/>
              <w:right w:val="single" w:sz="4" w:space="0" w:color="auto"/>
            </w:tcBorders>
            <w:shd w:val="clear" w:color="auto" w:fill="auto"/>
            <w:vAlign w:val="center"/>
          </w:tcPr>
          <w:p w14:paraId="3627FD43" w14:textId="77777777" w:rsidR="003B0883" w:rsidRPr="00754CF9" w:rsidRDefault="003B0883" w:rsidP="003B0883">
            <w:pPr>
              <w:pStyle w:val="Tabletextboldleft"/>
              <w:rPr>
                <w:b w:val="0"/>
                <w:bCs/>
                <w:i/>
              </w:rPr>
            </w:pPr>
            <w:r w:rsidRPr="00754CF9">
              <w:rPr>
                <w:i/>
              </w:rPr>
              <w:t>$1,539,455</w:t>
            </w:r>
          </w:p>
        </w:tc>
      </w:tr>
    </w:tbl>
    <w:p w14:paraId="232F54A1" w14:textId="77777777" w:rsidR="003B0883" w:rsidRPr="008F7C7B" w:rsidRDefault="003B0883" w:rsidP="003B0883">
      <w:pPr>
        <w:pStyle w:val="Tablenotes1"/>
      </w:pPr>
      <w:r w:rsidRPr="008F7C7B">
        <w:t>Note: Rows may not add up due to rounding-off errors.</w:t>
      </w:r>
    </w:p>
    <w:p w14:paraId="69CE7B7A" w14:textId="77777777" w:rsidR="003B0883" w:rsidRPr="008F7C7B" w:rsidRDefault="003B0883" w:rsidP="003B0883">
      <w:pPr>
        <w:pStyle w:val="Tablenotes1"/>
      </w:pPr>
      <w:r w:rsidRPr="008F7C7B">
        <w:t>FDR = first-degree relative; MBS = Medicare Benefits Schedule</w:t>
      </w:r>
      <w:r>
        <w:t>;</w:t>
      </w:r>
      <w:r w:rsidRPr="008F7C7B">
        <w:t xml:space="preserve"> SDR = second-degree relatives</w:t>
      </w:r>
      <w:r>
        <w:t xml:space="preserve">; </w:t>
      </w:r>
    </w:p>
    <w:p w14:paraId="3163F31A" w14:textId="77777777" w:rsidR="003B0883" w:rsidRPr="008F7C7B" w:rsidRDefault="003B0883" w:rsidP="003B0883">
      <w:pPr>
        <w:pStyle w:val="Tablenotes1"/>
      </w:pPr>
      <w:r>
        <w:t xml:space="preserve">Source: DCAR, Tables 26 and 29 (as updated in HTA group’s rejoinder to applicant’s pre-ESC response). In order to include co-administered services in this scenario for consistency with the base case presented in </w:t>
      </w:r>
      <w:r w:rsidR="002C6DB1">
        <w:fldChar w:fldCharType="begin"/>
      </w:r>
      <w:r w:rsidR="002C6DB1">
        <w:instrText xml:space="preserve"> REF _Ref49193960 </w:instrText>
      </w:r>
      <w:r w:rsidR="002C6DB1">
        <w:fldChar w:fldCharType="separate"/>
      </w:r>
      <w:r w:rsidRPr="008F7C7B">
        <w:t xml:space="preserve">Table </w:t>
      </w:r>
      <w:r>
        <w:rPr>
          <w:noProof/>
        </w:rPr>
        <w:t>16</w:t>
      </w:r>
      <w:r w:rsidR="002C6DB1">
        <w:rPr>
          <w:noProof/>
        </w:rPr>
        <w:fldChar w:fldCharType="end"/>
      </w:r>
      <w:r>
        <w:t>, the Department has updated the calculation of co-administered services (S) in this table to also include SDRs (italics). Calculations used 1 SDR per proband, as per DCAR Table 29.</w:t>
      </w:r>
    </w:p>
    <w:p w14:paraId="627208FB" w14:textId="21C9A978" w:rsidR="003B0883" w:rsidRPr="008F7C7B" w:rsidRDefault="003B0883" w:rsidP="003B0883">
      <w:pPr>
        <w:pStyle w:val="Caption"/>
      </w:pPr>
      <w:bookmarkStart w:id="26" w:name="_Ref49190474"/>
      <w:r w:rsidRPr="008F7C7B">
        <w:t xml:space="preserve">Table </w:t>
      </w:r>
      <w:r w:rsidR="002C6DB1">
        <w:fldChar w:fldCharType="begin"/>
      </w:r>
      <w:r w:rsidR="002C6DB1">
        <w:instrText xml:space="preserve"> SEQ Table \* ARABIC </w:instrText>
      </w:r>
      <w:r w:rsidR="002C6DB1">
        <w:fldChar w:fldCharType="separate"/>
      </w:r>
      <w:r>
        <w:rPr>
          <w:noProof/>
        </w:rPr>
        <w:t>18</w:t>
      </w:r>
      <w:r w:rsidR="002C6DB1">
        <w:rPr>
          <w:noProof/>
        </w:rPr>
        <w:fldChar w:fldCharType="end"/>
      </w:r>
      <w:bookmarkEnd w:id="26"/>
      <w:r>
        <w:t xml:space="preserve">: </w:t>
      </w:r>
      <w:r w:rsidRPr="008F7C7B">
        <w:t>Estimated co-payments (proposed tests and co-administered services)</w:t>
      </w:r>
      <w:r>
        <w:t xml:space="preserve"> for</w:t>
      </w:r>
      <w:r w:rsidRPr="008F7C7B">
        <w:t xml:space="preserve"> </w:t>
      </w:r>
      <w:r>
        <w:t>affected individuals</w:t>
      </w:r>
      <w:r w:rsidRPr="008F7C7B">
        <w:t>, FDR</w:t>
      </w:r>
      <w:r>
        <w:t>s</w:t>
      </w:r>
      <w:r w:rsidRPr="008F7C7B">
        <w:t xml:space="preserve"> and SDR</w:t>
      </w:r>
      <w: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Estimated co-payments of genetic testing in index cases, FDR and SDR"/>
        <w:tblDescription w:val="Estimated co-payments of genetic testing in index cases, FDR and SDR"/>
      </w:tblPr>
      <w:tblGrid>
        <w:gridCol w:w="704"/>
        <w:gridCol w:w="3295"/>
        <w:gridCol w:w="1003"/>
        <w:gridCol w:w="1003"/>
        <w:gridCol w:w="1004"/>
        <w:gridCol w:w="1003"/>
        <w:gridCol w:w="1004"/>
      </w:tblGrid>
      <w:tr w:rsidR="003B0883" w:rsidRPr="008F7C7B" w14:paraId="007FA10F" w14:textId="77777777" w:rsidTr="008E097E">
        <w:trPr>
          <w:trHeight w:val="315"/>
          <w:tblHeader/>
        </w:trPr>
        <w:tc>
          <w:tcPr>
            <w:tcW w:w="390" w:type="pct"/>
            <w:shd w:val="clear" w:color="auto" w:fill="auto"/>
            <w:vAlign w:val="center"/>
            <w:hideMark/>
          </w:tcPr>
          <w:p w14:paraId="4BCF6B89" w14:textId="77777777" w:rsidR="003B0883" w:rsidRPr="008F7C7B" w:rsidRDefault="003B0883" w:rsidP="003B0883">
            <w:pPr>
              <w:pStyle w:val="Tabletextboldleft"/>
            </w:pPr>
            <w:r w:rsidRPr="008F7C7B">
              <w:t>Row</w:t>
            </w:r>
          </w:p>
        </w:tc>
        <w:tc>
          <w:tcPr>
            <w:tcW w:w="1827" w:type="pct"/>
            <w:shd w:val="clear" w:color="auto" w:fill="auto"/>
            <w:vAlign w:val="center"/>
            <w:hideMark/>
          </w:tcPr>
          <w:p w14:paraId="6F5D4540" w14:textId="77777777" w:rsidR="003B0883" w:rsidRPr="008F7C7B" w:rsidRDefault="003B0883" w:rsidP="003B0883">
            <w:pPr>
              <w:pStyle w:val="Tabletextboldleft"/>
            </w:pPr>
            <w:r w:rsidRPr="008F7C7B">
              <w:t>Description</w:t>
            </w:r>
          </w:p>
        </w:tc>
        <w:tc>
          <w:tcPr>
            <w:tcW w:w="556" w:type="pct"/>
            <w:shd w:val="clear" w:color="auto" w:fill="auto"/>
            <w:noWrap/>
            <w:vAlign w:val="bottom"/>
            <w:hideMark/>
          </w:tcPr>
          <w:p w14:paraId="6836AA53" w14:textId="77777777" w:rsidR="003B0883" w:rsidRPr="008F7C7B" w:rsidRDefault="003B0883" w:rsidP="003B0883">
            <w:pPr>
              <w:pStyle w:val="Tabletextboldleft"/>
            </w:pPr>
            <w:r w:rsidRPr="008F7C7B">
              <w:t>2021–22</w:t>
            </w:r>
          </w:p>
        </w:tc>
        <w:tc>
          <w:tcPr>
            <w:tcW w:w="556" w:type="pct"/>
            <w:shd w:val="clear" w:color="auto" w:fill="auto"/>
            <w:noWrap/>
            <w:vAlign w:val="bottom"/>
            <w:hideMark/>
          </w:tcPr>
          <w:p w14:paraId="14311895" w14:textId="77777777" w:rsidR="003B0883" w:rsidRPr="008F7C7B" w:rsidRDefault="003B0883" w:rsidP="003B0883">
            <w:pPr>
              <w:pStyle w:val="Tabletextboldleft"/>
            </w:pPr>
            <w:r w:rsidRPr="008F7C7B">
              <w:t>2022–23</w:t>
            </w:r>
          </w:p>
        </w:tc>
        <w:tc>
          <w:tcPr>
            <w:tcW w:w="557" w:type="pct"/>
            <w:shd w:val="clear" w:color="auto" w:fill="auto"/>
            <w:noWrap/>
            <w:vAlign w:val="bottom"/>
            <w:hideMark/>
          </w:tcPr>
          <w:p w14:paraId="3A88CB38" w14:textId="77777777" w:rsidR="003B0883" w:rsidRPr="008F7C7B" w:rsidRDefault="003B0883" w:rsidP="003B0883">
            <w:pPr>
              <w:pStyle w:val="Tabletextboldleft"/>
            </w:pPr>
            <w:r w:rsidRPr="008F7C7B">
              <w:t>2023–24</w:t>
            </w:r>
          </w:p>
        </w:tc>
        <w:tc>
          <w:tcPr>
            <w:tcW w:w="556" w:type="pct"/>
            <w:shd w:val="clear" w:color="auto" w:fill="auto"/>
            <w:noWrap/>
            <w:vAlign w:val="bottom"/>
            <w:hideMark/>
          </w:tcPr>
          <w:p w14:paraId="2CE8FAF0" w14:textId="77777777" w:rsidR="003B0883" w:rsidRPr="008F7C7B" w:rsidRDefault="003B0883" w:rsidP="003B0883">
            <w:pPr>
              <w:pStyle w:val="Tabletextboldleft"/>
            </w:pPr>
            <w:r w:rsidRPr="008F7C7B">
              <w:t>2024–25</w:t>
            </w:r>
          </w:p>
        </w:tc>
        <w:tc>
          <w:tcPr>
            <w:tcW w:w="557" w:type="pct"/>
            <w:shd w:val="clear" w:color="auto" w:fill="auto"/>
            <w:noWrap/>
            <w:vAlign w:val="bottom"/>
            <w:hideMark/>
          </w:tcPr>
          <w:p w14:paraId="00EF89A1" w14:textId="77777777" w:rsidR="003B0883" w:rsidRPr="008F7C7B" w:rsidRDefault="003B0883" w:rsidP="003B0883">
            <w:pPr>
              <w:pStyle w:val="Tabletextboldleft"/>
            </w:pPr>
            <w:r w:rsidRPr="008F7C7B">
              <w:t>2025–26</w:t>
            </w:r>
          </w:p>
        </w:tc>
      </w:tr>
      <w:tr w:rsidR="003B0883" w:rsidRPr="000D6DE7" w14:paraId="63F22E8E" w14:textId="77777777" w:rsidTr="008E097E">
        <w:trPr>
          <w:trHeight w:val="255"/>
        </w:trPr>
        <w:tc>
          <w:tcPr>
            <w:tcW w:w="390" w:type="pct"/>
            <w:shd w:val="clear" w:color="auto" w:fill="auto"/>
            <w:vAlign w:val="center"/>
            <w:hideMark/>
          </w:tcPr>
          <w:p w14:paraId="3B527F70" w14:textId="77777777" w:rsidR="003B0883" w:rsidRPr="000D6DE7" w:rsidRDefault="003B0883" w:rsidP="003B0883">
            <w:pPr>
              <w:pStyle w:val="Tabletextboldleft"/>
              <w:rPr>
                <w:b w:val="0"/>
              </w:rPr>
            </w:pPr>
            <w:r w:rsidRPr="000D6DE7">
              <w:rPr>
                <w:b w:val="0"/>
              </w:rPr>
              <w:t>L</w:t>
            </w:r>
          </w:p>
        </w:tc>
        <w:tc>
          <w:tcPr>
            <w:tcW w:w="1827" w:type="pct"/>
            <w:shd w:val="clear" w:color="auto" w:fill="auto"/>
            <w:vAlign w:val="center"/>
            <w:hideMark/>
          </w:tcPr>
          <w:p w14:paraId="66EFB97F" w14:textId="77777777" w:rsidR="003B0883" w:rsidRPr="000D6DE7" w:rsidRDefault="003B0883" w:rsidP="003B0883">
            <w:pPr>
              <w:pStyle w:val="Tabletextboldleft"/>
              <w:rPr>
                <w:b w:val="0"/>
              </w:rPr>
            </w:pPr>
            <w:r w:rsidRPr="000D6DE7">
              <w:rPr>
                <w:b w:val="0"/>
              </w:rPr>
              <w:t>Co-payments for genetic testing in affected individuals, FDRs and SDRs (= J + K)</w:t>
            </w:r>
          </w:p>
        </w:tc>
        <w:tc>
          <w:tcPr>
            <w:tcW w:w="556" w:type="pct"/>
            <w:shd w:val="clear" w:color="auto" w:fill="auto"/>
            <w:vAlign w:val="center"/>
            <w:hideMark/>
          </w:tcPr>
          <w:p w14:paraId="15AC2B82" w14:textId="77777777" w:rsidR="003B0883" w:rsidRPr="000D6DE7" w:rsidRDefault="003B0883" w:rsidP="003B0883">
            <w:pPr>
              <w:pStyle w:val="Tabletextboldleft"/>
              <w:rPr>
                <w:b w:val="0"/>
              </w:rPr>
            </w:pPr>
            <w:r w:rsidRPr="000D6DE7">
              <w:rPr>
                <w:b w:val="0"/>
              </w:rPr>
              <w:t>$64,631</w:t>
            </w:r>
          </w:p>
        </w:tc>
        <w:tc>
          <w:tcPr>
            <w:tcW w:w="556" w:type="pct"/>
            <w:shd w:val="clear" w:color="auto" w:fill="auto"/>
            <w:vAlign w:val="center"/>
            <w:hideMark/>
          </w:tcPr>
          <w:p w14:paraId="090DE30F" w14:textId="77777777" w:rsidR="003B0883" w:rsidRPr="000D6DE7" w:rsidRDefault="003B0883" w:rsidP="003B0883">
            <w:pPr>
              <w:pStyle w:val="Tabletextboldleft"/>
              <w:rPr>
                <w:b w:val="0"/>
              </w:rPr>
            </w:pPr>
            <w:r w:rsidRPr="000D6DE7">
              <w:rPr>
                <w:b w:val="0"/>
              </w:rPr>
              <w:t>$99,208</w:t>
            </w:r>
          </w:p>
        </w:tc>
        <w:tc>
          <w:tcPr>
            <w:tcW w:w="557" w:type="pct"/>
            <w:shd w:val="clear" w:color="auto" w:fill="auto"/>
            <w:vAlign w:val="center"/>
            <w:hideMark/>
          </w:tcPr>
          <w:p w14:paraId="74CC7F34" w14:textId="77777777" w:rsidR="003B0883" w:rsidRPr="000D6DE7" w:rsidRDefault="003B0883" w:rsidP="003B0883">
            <w:pPr>
              <w:pStyle w:val="Tabletextboldleft"/>
              <w:rPr>
                <w:b w:val="0"/>
              </w:rPr>
            </w:pPr>
            <w:r w:rsidRPr="000D6DE7">
              <w:rPr>
                <w:b w:val="0"/>
              </w:rPr>
              <w:t>$112,105</w:t>
            </w:r>
          </w:p>
        </w:tc>
        <w:tc>
          <w:tcPr>
            <w:tcW w:w="556" w:type="pct"/>
            <w:shd w:val="clear" w:color="auto" w:fill="auto"/>
            <w:vAlign w:val="center"/>
            <w:hideMark/>
          </w:tcPr>
          <w:p w14:paraId="6438D60A" w14:textId="77777777" w:rsidR="003B0883" w:rsidRPr="000D6DE7" w:rsidRDefault="003B0883" w:rsidP="003B0883">
            <w:pPr>
              <w:pStyle w:val="Tabletextboldleft"/>
              <w:rPr>
                <w:b w:val="0"/>
              </w:rPr>
            </w:pPr>
            <w:r w:rsidRPr="000D6DE7">
              <w:rPr>
                <w:b w:val="0"/>
              </w:rPr>
              <w:t>$126,679</w:t>
            </w:r>
          </w:p>
        </w:tc>
        <w:tc>
          <w:tcPr>
            <w:tcW w:w="557" w:type="pct"/>
            <w:shd w:val="clear" w:color="auto" w:fill="auto"/>
            <w:vAlign w:val="center"/>
            <w:hideMark/>
          </w:tcPr>
          <w:p w14:paraId="73782A0D" w14:textId="77777777" w:rsidR="003B0883" w:rsidRPr="000D6DE7" w:rsidRDefault="003B0883" w:rsidP="003B0883">
            <w:pPr>
              <w:pStyle w:val="Tabletextboldleft"/>
              <w:rPr>
                <w:b w:val="0"/>
              </w:rPr>
            </w:pPr>
            <w:r w:rsidRPr="000D6DE7">
              <w:rPr>
                <w:b w:val="0"/>
              </w:rPr>
              <w:t>$143,147</w:t>
            </w:r>
          </w:p>
        </w:tc>
      </w:tr>
      <w:tr w:rsidR="003B0883" w:rsidRPr="000D6DE7" w14:paraId="7D25EECF" w14:textId="77777777" w:rsidTr="008E097E">
        <w:trPr>
          <w:trHeight w:val="255"/>
        </w:trPr>
        <w:tc>
          <w:tcPr>
            <w:tcW w:w="390" w:type="pct"/>
            <w:shd w:val="clear" w:color="auto" w:fill="auto"/>
            <w:vAlign w:val="center"/>
          </w:tcPr>
          <w:p w14:paraId="5CF0E4E9" w14:textId="77777777" w:rsidR="003B0883" w:rsidRPr="000D6DE7" w:rsidRDefault="003B0883" w:rsidP="003B0883">
            <w:pPr>
              <w:pStyle w:val="Tabletextboldleft"/>
              <w:rPr>
                <w:b w:val="0"/>
              </w:rPr>
            </w:pPr>
            <w:r w:rsidRPr="000D6DE7">
              <w:rPr>
                <w:b w:val="0"/>
              </w:rPr>
              <w:t>W</w:t>
            </w:r>
          </w:p>
        </w:tc>
        <w:tc>
          <w:tcPr>
            <w:tcW w:w="1827" w:type="pct"/>
            <w:shd w:val="clear" w:color="auto" w:fill="auto"/>
            <w:vAlign w:val="center"/>
          </w:tcPr>
          <w:p w14:paraId="208AAAFE" w14:textId="77777777" w:rsidR="003B0883" w:rsidRPr="000D6DE7" w:rsidRDefault="003B0883" w:rsidP="003B0883">
            <w:pPr>
              <w:pStyle w:val="Tabletextboldleft"/>
              <w:rPr>
                <w:b w:val="0"/>
              </w:rPr>
            </w:pPr>
            <w:r w:rsidRPr="000D6DE7">
              <w:rPr>
                <w:b w:val="0"/>
              </w:rPr>
              <w:t xml:space="preserve">Co-payments for other co-administered services in affected individuals, FDRs </w:t>
            </w:r>
            <w:r w:rsidRPr="000D6DE7">
              <w:rPr>
                <w:b w:val="0"/>
                <w:i/>
              </w:rPr>
              <w:t>and SDRs</w:t>
            </w:r>
            <w:r w:rsidRPr="000D6DE7">
              <w:rPr>
                <w:b w:val="0"/>
              </w:rPr>
              <w:t xml:space="preserve"> (= M + U + V)</w:t>
            </w:r>
          </w:p>
        </w:tc>
        <w:tc>
          <w:tcPr>
            <w:tcW w:w="556" w:type="pct"/>
            <w:shd w:val="clear" w:color="auto" w:fill="auto"/>
            <w:vAlign w:val="center"/>
          </w:tcPr>
          <w:p w14:paraId="02CE9EC7" w14:textId="77777777" w:rsidR="003B0883" w:rsidRPr="000D6DE7" w:rsidRDefault="003B0883" w:rsidP="003B0883">
            <w:pPr>
              <w:pStyle w:val="Tabletextboldleft"/>
              <w:rPr>
                <w:b w:val="0"/>
                <w:i/>
              </w:rPr>
            </w:pPr>
            <w:r w:rsidRPr="000D6DE7">
              <w:rPr>
                <w:b w:val="0"/>
                <w:i/>
              </w:rPr>
              <w:t>$16,325</w:t>
            </w:r>
          </w:p>
        </w:tc>
        <w:tc>
          <w:tcPr>
            <w:tcW w:w="556" w:type="pct"/>
            <w:shd w:val="clear" w:color="auto" w:fill="auto"/>
            <w:vAlign w:val="center"/>
          </w:tcPr>
          <w:p w14:paraId="4BADFD3A" w14:textId="77777777" w:rsidR="003B0883" w:rsidRPr="000D6DE7" w:rsidRDefault="003B0883" w:rsidP="003B0883">
            <w:pPr>
              <w:pStyle w:val="Tabletextboldleft"/>
              <w:rPr>
                <w:b w:val="0"/>
                <w:i/>
              </w:rPr>
            </w:pPr>
            <w:r w:rsidRPr="000D6DE7">
              <w:rPr>
                <w:b w:val="0"/>
                <w:i/>
              </w:rPr>
              <w:t>$25,089</w:t>
            </w:r>
          </w:p>
        </w:tc>
        <w:tc>
          <w:tcPr>
            <w:tcW w:w="557" w:type="pct"/>
            <w:shd w:val="clear" w:color="auto" w:fill="auto"/>
            <w:vAlign w:val="center"/>
          </w:tcPr>
          <w:p w14:paraId="6CD8781B" w14:textId="77777777" w:rsidR="003B0883" w:rsidRPr="000D6DE7" w:rsidRDefault="003B0883" w:rsidP="003B0883">
            <w:pPr>
              <w:pStyle w:val="Tabletextboldleft"/>
              <w:rPr>
                <w:b w:val="0"/>
                <w:i/>
              </w:rPr>
            </w:pPr>
            <w:r w:rsidRPr="000D6DE7">
              <w:rPr>
                <w:b w:val="0"/>
                <w:i/>
              </w:rPr>
              <w:t>$28,294</w:t>
            </w:r>
          </w:p>
        </w:tc>
        <w:tc>
          <w:tcPr>
            <w:tcW w:w="556" w:type="pct"/>
            <w:shd w:val="clear" w:color="auto" w:fill="auto"/>
            <w:vAlign w:val="center"/>
          </w:tcPr>
          <w:p w14:paraId="47849314" w14:textId="77777777" w:rsidR="003B0883" w:rsidRPr="000D6DE7" w:rsidRDefault="003B0883" w:rsidP="003B0883">
            <w:pPr>
              <w:pStyle w:val="Tabletextboldleft"/>
              <w:rPr>
                <w:b w:val="0"/>
                <w:i/>
              </w:rPr>
            </w:pPr>
            <w:r w:rsidRPr="000D6DE7">
              <w:rPr>
                <w:b w:val="0"/>
                <w:i/>
              </w:rPr>
              <w:t>$31,983</w:t>
            </w:r>
          </w:p>
        </w:tc>
        <w:tc>
          <w:tcPr>
            <w:tcW w:w="557" w:type="pct"/>
            <w:shd w:val="clear" w:color="auto" w:fill="auto"/>
            <w:vAlign w:val="center"/>
          </w:tcPr>
          <w:p w14:paraId="440B3610" w14:textId="77777777" w:rsidR="003B0883" w:rsidRPr="000D6DE7" w:rsidRDefault="003B0883" w:rsidP="003B0883">
            <w:pPr>
              <w:pStyle w:val="Tabletextboldleft"/>
              <w:rPr>
                <w:b w:val="0"/>
                <w:i/>
              </w:rPr>
            </w:pPr>
            <w:r w:rsidRPr="000D6DE7">
              <w:rPr>
                <w:b w:val="0"/>
                <w:i/>
              </w:rPr>
              <w:t>$36,166</w:t>
            </w:r>
          </w:p>
        </w:tc>
      </w:tr>
      <w:tr w:rsidR="003B0883" w:rsidRPr="008F7C7B" w14:paraId="241D6250" w14:textId="77777777" w:rsidTr="008E097E">
        <w:trPr>
          <w:trHeight w:val="255"/>
        </w:trPr>
        <w:tc>
          <w:tcPr>
            <w:tcW w:w="390" w:type="pct"/>
            <w:shd w:val="clear" w:color="auto" w:fill="auto"/>
            <w:vAlign w:val="center"/>
          </w:tcPr>
          <w:p w14:paraId="334763BA" w14:textId="77777777" w:rsidR="003B0883" w:rsidRPr="008F7C7B" w:rsidRDefault="003B0883" w:rsidP="003B0883">
            <w:pPr>
              <w:pStyle w:val="Tabletextboldleft"/>
            </w:pPr>
          </w:p>
        </w:tc>
        <w:tc>
          <w:tcPr>
            <w:tcW w:w="1827" w:type="pct"/>
            <w:shd w:val="clear" w:color="auto" w:fill="auto"/>
            <w:vAlign w:val="center"/>
          </w:tcPr>
          <w:p w14:paraId="54C99908" w14:textId="77777777" w:rsidR="003B0883" w:rsidRPr="008F7C7B" w:rsidRDefault="003B0883" w:rsidP="003B0883">
            <w:pPr>
              <w:pStyle w:val="Tabletextboldleft"/>
            </w:pPr>
            <w:r>
              <w:t>Total co-payments (= L + W)</w:t>
            </w:r>
          </w:p>
        </w:tc>
        <w:tc>
          <w:tcPr>
            <w:tcW w:w="556" w:type="pct"/>
            <w:shd w:val="clear" w:color="auto" w:fill="auto"/>
          </w:tcPr>
          <w:p w14:paraId="5500A62A" w14:textId="77777777" w:rsidR="003B0883" w:rsidRPr="00366C11" w:rsidRDefault="003B0883" w:rsidP="003B0883">
            <w:pPr>
              <w:pStyle w:val="Tabletextboldleft"/>
              <w:rPr>
                <w:i/>
              </w:rPr>
            </w:pPr>
            <w:r w:rsidRPr="00366C11">
              <w:rPr>
                <w:i/>
              </w:rPr>
              <w:t>$80,956</w:t>
            </w:r>
          </w:p>
        </w:tc>
        <w:tc>
          <w:tcPr>
            <w:tcW w:w="556" w:type="pct"/>
            <w:shd w:val="clear" w:color="auto" w:fill="auto"/>
          </w:tcPr>
          <w:p w14:paraId="14F3866E" w14:textId="77777777" w:rsidR="003B0883" w:rsidRPr="00366C11" w:rsidRDefault="003B0883" w:rsidP="003B0883">
            <w:pPr>
              <w:pStyle w:val="Tabletextboldleft"/>
              <w:rPr>
                <w:i/>
              </w:rPr>
            </w:pPr>
            <w:r w:rsidRPr="00366C11">
              <w:rPr>
                <w:i/>
              </w:rPr>
              <w:t>$124,297</w:t>
            </w:r>
          </w:p>
        </w:tc>
        <w:tc>
          <w:tcPr>
            <w:tcW w:w="557" w:type="pct"/>
            <w:shd w:val="clear" w:color="auto" w:fill="auto"/>
          </w:tcPr>
          <w:p w14:paraId="5D78F663" w14:textId="77777777" w:rsidR="003B0883" w:rsidRPr="00366C11" w:rsidRDefault="003B0883" w:rsidP="003B0883">
            <w:pPr>
              <w:pStyle w:val="Tabletextboldleft"/>
              <w:rPr>
                <w:i/>
              </w:rPr>
            </w:pPr>
            <w:r w:rsidRPr="00366C11">
              <w:rPr>
                <w:i/>
              </w:rPr>
              <w:t>$140,399</w:t>
            </w:r>
          </w:p>
        </w:tc>
        <w:tc>
          <w:tcPr>
            <w:tcW w:w="556" w:type="pct"/>
            <w:shd w:val="clear" w:color="auto" w:fill="auto"/>
          </w:tcPr>
          <w:p w14:paraId="0491184C" w14:textId="77777777" w:rsidR="003B0883" w:rsidRPr="00366C11" w:rsidRDefault="003B0883" w:rsidP="003B0883">
            <w:pPr>
              <w:pStyle w:val="Tabletextboldleft"/>
              <w:rPr>
                <w:i/>
              </w:rPr>
            </w:pPr>
            <w:r w:rsidRPr="00366C11">
              <w:rPr>
                <w:i/>
              </w:rPr>
              <w:t>$158,662</w:t>
            </w:r>
          </w:p>
        </w:tc>
        <w:tc>
          <w:tcPr>
            <w:tcW w:w="557" w:type="pct"/>
            <w:shd w:val="clear" w:color="auto" w:fill="auto"/>
          </w:tcPr>
          <w:p w14:paraId="4D5DD767" w14:textId="77777777" w:rsidR="003B0883" w:rsidRPr="00366C11" w:rsidRDefault="003B0883" w:rsidP="003B0883">
            <w:pPr>
              <w:pStyle w:val="Tabletextboldleft"/>
              <w:rPr>
                <w:i/>
              </w:rPr>
            </w:pPr>
            <w:r w:rsidRPr="00366C11">
              <w:rPr>
                <w:i/>
              </w:rPr>
              <w:t>$179,313</w:t>
            </w:r>
          </w:p>
        </w:tc>
      </w:tr>
    </w:tbl>
    <w:p w14:paraId="16514D04" w14:textId="77777777" w:rsidR="003B0883" w:rsidRPr="008F7C7B" w:rsidRDefault="003B0883" w:rsidP="003B0883">
      <w:pPr>
        <w:pStyle w:val="Tablenotes1"/>
      </w:pPr>
      <w:r w:rsidRPr="008F7C7B">
        <w:t>Note: Rows may not add up due to rounding-off errors.</w:t>
      </w:r>
    </w:p>
    <w:p w14:paraId="48043D89" w14:textId="77777777" w:rsidR="003B0883" w:rsidRPr="008F7C7B" w:rsidRDefault="003B0883" w:rsidP="003B0883">
      <w:pPr>
        <w:pStyle w:val="Tablenotes1"/>
      </w:pPr>
      <w:r w:rsidRPr="008F7C7B">
        <w:t xml:space="preserve">FDR = </w:t>
      </w:r>
      <w:r>
        <w:t>first-degree relative;</w:t>
      </w:r>
      <w:r w:rsidRPr="008F7C7B">
        <w:t xml:space="preserve"> SDR = second-degree relatives</w:t>
      </w:r>
      <w:r>
        <w:t xml:space="preserve">; </w:t>
      </w:r>
    </w:p>
    <w:p w14:paraId="65B99B9E" w14:textId="77777777" w:rsidR="003B0883" w:rsidRPr="008F7C7B" w:rsidRDefault="003B0883" w:rsidP="003B0883">
      <w:pPr>
        <w:pStyle w:val="Tablenotes1"/>
      </w:pPr>
      <w:r>
        <w:t xml:space="preserve">Source: DCAR, Tables 27 and 30 (as updated in HTA group’s rejoinder to applicant’s pre-ESC response). In order to include co-administered services in this scenario for consistency with the base case presented in </w:t>
      </w:r>
      <w:r w:rsidR="002C6DB1">
        <w:fldChar w:fldCharType="begin"/>
      </w:r>
      <w:r w:rsidR="002C6DB1">
        <w:instrText xml:space="preserve"> REF _Ref49193960 </w:instrText>
      </w:r>
      <w:r w:rsidR="002C6DB1">
        <w:fldChar w:fldCharType="separate"/>
      </w:r>
      <w:r w:rsidRPr="008F7C7B">
        <w:t xml:space="preserve">Table </w:t>
      </w:r>
      <w:r>
        <w:rPr>
          <w:noProof/>
        </w:rPr>
        <w:t>16</w:t>
      </w:r>
      <w:r w:rsidR="002C6DB1">
        <w:rPr>
          <w:noProof/>
        </w:rPr>
        <w:fldChar w:fldCharType="end"/>
      </w:r>
      <w:r>
        <w:t>, the Department has updated the calculation of co-administered services (W) in this table to also include SDRs (italics). Calculations used 1 SDR per proband, as per DCAR Table 29.</w:t>
      </w:r>
    </w:p>
    <w:p w14:paraId="6EAB7289" w14:textId="5EEDC254" w:rsidR="003B0883" w:rsidRDefault="003B0883" w:rsidP="003B0883">
      <w:r>
        <w:t>The DCAR’s sensitivity analyses of the forward estimates found that t</w:t>
      </w:r>
      <w:r w:rsidRPr="008525DE">
        <w:t xml:space="preserve">he </w:t>
      </w:r>
      <w:r>
        <w:t>cost to the MBS is</w:t>
      </w:r>
      <w:r w:rsidRPr="008525DE">
        <w:t xml:space="preserve"> primarily sensitive to higher increases in the number of family members tested per </w:t>
      </w:r>
      <w:r>
        <w:t>proband</w:t>
      </w:r>
      <w:r w:rsidRPr="008525DE">
        <w:t xml:space="preserve">, higher growth rate of genetic testing and higher diagnostic yield in </w:t>
      </w:r>
      <w:r>
        <w:t>affected individuals (</w:t>
      </w:r>
      <w:r w:rsidR="002C6DB1">
        <w:fldChar w:fldCharType="begin"/>
      </w:r>
      <w:r w:rsidR="002C6DB1">
        <w:instrText xml:space="preserve"> REF _Ref51680368  \* MERGEFORMAT </w:instrText>
      </w:r>
      <w:r w:rsidR="002C6DB1">
        <w:fldChar w:fldCharType="separate"/>
      </w:r>
      <w:r w:rsidRPr="00561093">
        <w:rPr>
          <w:bCs/>
        </w:rPr>
        <w:t>Table</w:t>
      </w:r>
      <w:r w:rsidRPr="00561093">
        <w:rPr>
          <w:b/>
          <w:bCs/>
        </w:rPr>
        <w:t xml:space="preserve"> </w:t>
      </w:r>
      <w:r>
        <w:rPr>
          <w:noProof/>
        </w:rPr>
        <w:t>19</w:t>
      </w:r>
      <w:r w:rsidR="002C6DB1">
        <w:rPr>
          <w:noProof/>
        </w:rPr>
        <w:fldChar w:fldCharType="end"/>
      </w:r>
      <w:r>
        <w:t>)</w:t>
      </w:r>
      <w:r w:rsidRPr="008525DE">
        <w:t>.</w:t>
      </w:r>
    </w:p>
    <w:p w14:paraId="4255EEAD" w14:textId="32667EA4" w:rsidR="003B0883" w:rsidRPr="00520B9F" w:rsidRDefault="003B0883" w:rsidP="008E097E">
      <w:pPr>
        <w:pStyle w:val="Caption"/>
        <w:spacing w:before="240"/>
        <w:jc w:val="left"/>
        <w:rPr>
          <w:b w:val="0"/>
        </w:rPr>
      </w:pPr>
      <w:bookmarkStart w:id="27" w:name="_Ref51680368"/>
      <w:r w:rsidRPr="008525DE">
        <w:t xml:space="preserve">Table </w:t>
      </w:r>
      <w:r w:rsidR="002C6DB1">
        <w:fldChar w:fldCharType="begin"/>
      </w:r>
      <w:r w:rsidR="002C6DB1">
        <w:instrText xml:space="preserve"> SEQ Table \* ARABIC </w:instrText>
      </w:r>
      <w:r w:rsidR="002C6DB1">
        <w:fldChar w:fldCharType="separate"/>
      </w:r>
      <w:r>
        <w:rPr>
          <w:noProof/>
        </w:rPr>
        <w:t>19</w:t>
      </w:r>
      <w:r w:rsidR="002C6DB1">
        <w:rPr>
          <w:noProof/>
        </w:rPr>
        <w:fldChar w:fldCharType="end"/>
      </w:r>
      <w:bookmarkEnd w:id="27"/>
      <w:r>
        <w:t>: Sensitivity analyse</w:t>
      </w:r>
      <w:r w:rsidRPr="008525DE">
        <w:t xml:space="preserve">s </w:t>
      </w:r>
      <w:r w:rsidRPr="00520B9F">
        <w:rPr>
          <w:b w:val="0"/>
        </w:rPr>
        <w:t xml:space="preserve">(results presented as net costs to MBS for proposed tests and co-administered services) </w:t>
      </w:r>
    </w:p>
    <w:tbl>
      <w:tblPr>
        <w:tblStyle w:val="TableGrid"/>
        <w:tblW w:w="0" w:type="auto"/>
        <w:tblLayout w:type="fixed"/>
        <w:tblLook w:val="04A0" w:firstRow="1" w:lastRow="0" w:firstColumn="1" w:lastColumn="0" w:noHBand="0" w:noVBand="1"/>
        <w:tblCaption w:val="Sensitivity analysis (results presented as net costs to MBS for proposed tests and co-administered services) "/>
        <w:tblDescription w:val="Sensitivity analysis (results presented as net costs to MBS for proposed tests and co-administered services) "/>
      </w:tblPr>
      <w:tblGrid>
        <w:gridCol w:w="3823"/>
        <w:gridCol w:w="1038"/>
        <w:gridCol w:w="1039"/>
        <w:gridCol w:w="1038"/>
        <w:gridCol w:w="1039"/>
        <w:gridCol w:w="1039"/>
      </w:tblGrid>
      <w:tr w:rsidR="003B0883" w:rsidRPr="008525DE" w14:paraId="40491E95" w14:textId="77777777" w:rsidTr="003B0883">
        <w:trPr>
          <w:trHeight w:val="73"/>
        </w:trPr>
        <w:tc>
          <w:tcPr>
            <w:tcW w:w="3823" w:type="dxa"/>
            <w:noWrap/>
          </w:tcPr>
          <w:p w14:paraId="75B234E4" w14:textId="77777777" w:rsidR="003B0883" w:rsidRPr="008525DE" w:rsidRDefault="003B0883" w:rsidP="003B0883">
            <w:pPr>
              <w:pStyle w:val="Tabletextboldleft"/>
            </w:pPr>
          </w:p>
        </w:tc>
        <w:tc>
          <w:tcPr>
            <w:tcW w:w="5193" w:type="dxa"/>
            <w:gridSpan w:val="5"/>
            <w:noWrap/>
          </w:tcPr>
          <w:p w14:paraId="50A40B0F" w14:textId="77777777" w:rsidR="003B0883" w:rsidRPr="008525DE" w:rsidRDefault="003B0883" w:rsidP="003B0883">
            <w:pPr>
              <w:pStyle w:val="Tabletextboldleft"/>
              <w:jc w:val="center"/>
            </w:pPr>
            <w:r w:rsidRPr="008525DE">
              <w:t>Net costs to MBS</w:t>
            </w:r>
            <w:r>
              <w:t>, by year</w:t>
            </w:r>
          </w:p>
        </w:tc>
      </w:tr>
      <w:tr w:rsidR="003B0883" w:rsidRPr="008525DE" w14:paraId="4E92BF04" w14:textId="77777777" w:rsidTr="003B0883">
        <w:trPr>
          <w:trHeight w:val="255"/>
        </w:trPr>
        <w:tc>
          <w:tcPr>
            <w:tcW w:w="3823" w:type="dxa"/>
            <w:noWrap/>
            <w:hideMark/>
          </w:tcPr>
          <w:p w14:paraId="502715B1" w14:textId="77777777" w:rsidR="003B0883" w:rsidRPr="008525DE" w:rsidRDefault="003B0883" w:rsidP="003B0883">
            <w:pPr>
              <w:pStyle w:val="Tabletextboldleft"/>
            </w:pPr>
          </w:p>
        </w:tc>
        <w:tc>
          <w:tcPr>
            <w:tcW w:w="1038" w:type="dxa"/>
            <w:noWrap/>
            <w:hideMark/>
          </w:tcPr>
          <w:p w14:paraId="0677FFCC" w14:textId="77777777" w:rsidR="003B0883" w:rsidRPr="008525DE" w:rsidRDefault="003B0883" w:rsidP="003B0883">
            <w:pPr>
              <w:pStyle w:val="Tabletextboldleft"/>
            </w:pPr>
            <w:r w:rsidRPr="008525DE">
              <w:t>2021–22</w:t>
            </w:r>
          </w:p>
        </w:tc>
        <w:tc>
          <w:tcPr>
            <w:tcW w:w="1039" w:type="dxa"/>
            <w:noWrap/>
            <w:hideMark/>
          </w:tcPr>
          <w:p w14:paraId="449CD614" w14:textId="77777777" w:rsidR="003B0883" w:rsidRPr="008525DE" w:rsidRDefault="003B0883" w:rsidP="003B0883">
            <w:pPr>
              <w:pStyle w:val="Tabletextboldleft"/>
            </w:pPr>
            <w:r w:rsidRPr="008525DE">
              <w:t xml:space="preserve">2022–23 </w:t>
            </w:r>
          </w:p>
        </w:tc>
        <w:tc>
          <w:tcPr>
            <w:tcW w:w="1038" w:type="dxa"/>
            <w:noWrap/>
            <w:hideMark/>
          </w:tcPr>
          <w:p w14:paraId="4FCD941B" w14:textId="77777777" w:rsidR="003B0883" w:rsidRPr="008525DE" w:rsidRDefault="003B0883" w:rsidP="003B0883">
            <w:pPr>
              <w:pStyle w:val="Tabletextboldleft"/>
            </w:pPr>
            <w:r w:rsidRPr="008525DE">
              <w:t>2023–24</w:t>
            </w:r>
          </w:p>
        </w:tc>
        <w:tc>
          <w:tcPr>
            <w:tcW w:w="1039" w:type="dxa"/>
            <w:noWrap/>
            <w:hideMark/>
          </w:tcPr>
          <w:p w14:paraId="1CB7BDA8" w14:textId="77777777" w:rsidR="003B0883" w:rsidRPr="008525DE" w:rsidRDefault="003B0883" w:rsidP="003B0883">
            <w:pPr>
              <w:pStyle w:val="Tabletextboldleft"/>
            </w:pPr>
            <w:r w:rsidRPr="008525DE">
              <w:t>2024–25</w:t>
            </w:r>
          </w:p>
        </w:tc>
        <w:tc>
          <w:tcPr>
            <w:tcW w:w="1039" w:type="dxa"/>
            <w:noWrap/>
            <w:hideMark/>
          </w:tcPr>
          <w:p w14:paraId="4FF39472" w14:textId="77777777" w:rsidR="003B0883" w:rsidRPr="008525DE" w:rsidRDefault="003B0883" w:rsidP="003B0883">
            <w:pPr>
              <w:pStyle w:val="Tabletextboldleft"/>
            </w:pPr>
            <w:r w:rsidRPr="008525DE">
              <w:t>2025–26</w:t>
            </w:r>
          </w:p>
        </w:tc>
      </w:tr>
      <w:tr w:rsidR="003B0883" w:rsidRPr="008525DE" w14:paraId="33FABC6C" w14:textId="77777777" w:rsidTr="003B0883">
        <w:trPr>
          <w:trHeight w:val="255"/>
        </w:trPr>
        <w:tc>
          <w:tcPr>
            <w:tcW w:w="3823" w:type="dxa"/>
            <w:noWrap/>
          </w:tcPr>
          <w:p w14:paraId="6EB6E1FA" w14:textId="77777777" w:rsidR="003B0883" w:rsidRPr="008525DE" w:rsidRDefault="003B0883" w:rsidP="003B0883">
            <w:pPr>
              <w:pStyle w:val="Tabletextboldleft"/>
            </w:pPr>
            <w:r w:rsidRPr="008525DE">
              <w:t>Base-case</w:t>
            </w:r>
          </w:p>
        </w:tc>
        <w:tc>
          <w:tcPr>
            <w:tcW w:w="1038" w:type="dxa"/>
            <w:noWrap/>
          </w:tcPr>
          <w:p w14:paraId="790838BD" w14:textId="77777777" w:rsidR="003B0883" w:rsidRPr="00754CF9" w:rsidRDefault="003B0883" w:rsidP="003B0883">
            <w:pPr>
              <w:pStyle w:val="Tabletextboldleft"/>
            </w:pPr>
            <w:r w:rsidRPr="00754CF9">
              <w:t>$636,623</w:t>
            </w:r>
          </w:p>
        </w:tc>
        <w:tc>
          <w:tcPr>
            <w:tcW w:w="1039" w:type="dxa"/>
            <w:noWrap/>
          </w:tcPr>
          <w:p w14:paraId="4B75B3DA" w14:textId="77777777" w:rsidR="003B0883" w:rsidRPr="00754CF9" w:rsidRDefault="003B0883" w:rsidP="003B0883">
            <w:pPr>
              <w:pStyle w:val="Tabletextboldleft"/>
            </w:pPr>
            <w:r w:rsidRPr="00754CF9">
              <w:t>$977,217</w:t>
            </w:r>
          </w:p>
        </w:tc>
        <w:tc>
          <w:tcPr>
            <w:tcW w:w="1038" w:type="dxa"/>
            <w:noWrap/>
          </w:tcPr>
          <w:p w14:paraId="7D81A282" w14:textId="77777777" w:rsidR="003B0883" w:rsidRPr="00754CF9" w:rsidRDefault="003B0883" w:rsidP="003B0883">
            <w:pPr>
              <w:pStyle w:val="Tabletextboldleft"/>
            </w:pPr>
            <w:r w:rsidRPr="00754CF9">
              <w:t>$1,104,255</w:t>
            </w:r>
          </w:p>
        </w:tc>
        <w:tc>
          <w:tcPr>
            <w:tcW w:w="1039" w:type="dxa"/>
            <w:noWrap/>
          </w:tcPr>
          <w:p w14:paraId="71446024" w14:textId="77777777" w:rsidR="003B0883" w:rsidRPr="00754CF9" w:rsidRDefault="003B0883" w:rsidP="003B0883">
            <w:pPr>
              <w:pStyle w:val="Tabletextboldleft"/>
            </w:pPr>
            <w:r w:rsidRPr="00754CF9">
              <w:t>$1,247,808</w:t>
            </w:r>
          </w:p>
        </w:tc>
        <w:tc>
          <w:tcPr>
            <w:tcW w:w="1039" w:type="dxa"/>
            <w:noWrap/>
          </w:tcPr>
          <w:p w14:paraId="67293C49" w14:textId="77777777" w:rsidR="003B0883" w:rsidRPr="00754CF9" w:rsidRDefault="003B0883" w:rsidP="003B0883">
            <w:pPr>
              <w:pStyle w:val="Tabletextboldleft"/>
            </w:pPr>
            <w:r w:rsidRPr="00754CF9">
              <w:t>$1,410,023</w:t>
            </w:r>
          </w:p>
        </w:tc>
      </w:tr>
      <w:tr w:rsidR="003B0883" w:rsidRPr="008525DE" w14:paraId="4F000BE3" w14:textId="77777777" w:rsidTr="003B0883">
        <w:trPr>
          <w:trHeight w:val="255"/>
        </w:trPr>
        <w:tc>
          <w:tcPr>
            <w:tcW w:w="3823" w:type="dxa"/>
            <w:noWrap/>
          </w:tcPr>
          <w:p w14:paraId="351B5766" w14:textId="77777777" w:rsidR="003B0883" w:rsidRPr="00A03529" w:rsidRDefault="003B0883" w:rsidP="003B0883">
            <w:pPr>
              <w:pStyle w:val="TableText0"/>
            </w:pPr>
            <w:r w:rsidRPr="00A03529">
              <w:t xml:space="preserve">Diagnostic yield in </w:t>
            </w:r>
            <w:r>
              <w:t>affected individuals</w:t>
            </w:r>
            <w:r w:rsidRPr="00A03529">
              <w:t xml:space="preserve"> – 10%</w:t>
            </w:r>
          </w:p>
        </w:tc>
        <w:tc>
          <w:tcPr>
            <w:tcW w:w="1038" w:type="dxa"/>
            <w:noWrap/>
          </w:tcPr>
          <w:p w14:paraId="74F4A790" w14:textId="77777777" w:rsidR="003B0883" w:rsidRPr="00754CF9" w:rsidRDefault="003B0883" w:rsidP="003B0883">
            <w:pPr>
              <w:pStyle w:val="TableText0"/>
            </w:pPr>
            <w:r w:rsidRPr="00754CF9">
              <w:t>$518,462</w:t>
            </w:r>
          </w:p>
        </w:tc>
        <w:tc>
          <w:tcPr>
            <w:tcW w:w="1039" w:type="dxa"/>
            <w:noWrap/>
          </w:tcPr>
          <w:p w14:paraId="68CD3266" w14:textId="77777777" w:rsidR="003B0883" w:rsidRPr="00754CF9" w:rsidRDefault="003B0883" w:rsidP="003B0883">
            <w:pPr>
              <w:pStyle w:val="TableText0"/>
            </w:pPr>
            <w:r w:rsidRPr="00754CF9">
              <w:t>$795,838</w:t>
            </w:r>
          </w:p>
        </w:tc>
        <w:tc>
          <w:tcPr>
            <w:tcW w:w="1038" w:type="dxa"/>
            <w:noWrap/>
          </w:tcPr>
          <w:p w14:paraId="23137342" w14:textId="77777777" w:rsidR="003B0883" w:rsidRPr="00754CF9" w:rsidRDefault="003B0883" w:rsidP="003B0883">
            <w:pPr>
              <w:pStyle w:val="TableText0"/>
            </w:pPr>
            <w:r w:rsidRPr="00754CF9">
              <w:t>$899,297</w:t>
            </w:r>
          </w:p>
        </w:tc>
        <w:tc>
          <w:tcPr>
            <w:tcW w:w="1039" w:type="dxa"/>
            <w:noWrap/>
          </w:tcPr>
          <w:p w14:paraId="3C397CA6" w14:textId="77777777" w:rsidR="003B0883" w:rsidRPr="00754CF9" w:rsidRDefault="003B0883" w:rsidP="003B0883">
            <w:pPr>
              <w:pStyle w:val="TableText0"/>
            </w:pPr>
            <w:r w:rsidRPr="00754CF9">
              <w:t>$1,016,206</w:t>
            </w:r>
          </w:p>
        </w:tc>
        <w:tc>
          <w:tcPr>
            <w:tcW w:w="1039" w:type="dxa"/>
            <w:noWrap/>
          </w:tcPr>
          <w:p w14:paraId="046FC5B3" w14:textId="77777777" w:rsidR="003B0883" w:rsidRPr="00754CF9" w:rsidRDefault="003B0883" w:rsidP="003B0883">
            <w:pPr>
              <w:pStyle w:val="TableText0"/>
            </w:pPr>
            <w:r w:rsidRPr="00754CF9">
              <w:t>$1,148,313</w:t>
            </w:r>
          </w:p>
        </w:tc>
      </w:tr>
      <w:tr w:rsidR="003B0883" w:rsidRPr="008525DE" w14:paraId="533816DA" w14:textId="77777777" w:rsidTr="003B0883">
        <w:trPr>
          <w:trHeight w:val="255"/>
        </w:trPr>
        <w:tc>
          <w:tcPr>
            <w:tcW w:w="3823" w:type="dxa"/>
            <w:noWrap/>
          </w:tcPr>
          <w:p w14:paraId="4FD4F594" w14:textId="77777777" w:rsidR="003B0883" w:rsidRPr="00A03529" w:rsidRDefault="003B0883" w:rsidP="003B0883">
            <w:pPr>
              <w:pStyle w:val="TableText0"/>
            </w:pPr>
            <w:r w:rsidRPr="00A03529">
              <w:t xml:space="preserve">Diagnostic yield in </w:t>
            </w:r>
            <w:r>
              <w:t>affected individuals</w:t>
            </w:r>
            <w:r w:rsidRPr="00A03529">
              <w:t xml:space="preserve"> – 50%</w:t>
            </w:r>
          </w:p>
        </w:tc>
        <w:tc>
          <w:tcPr>
            <w:tcW w:w="1038" w:type="dxa"/>
            <w:noWrap/>
          </w:tcPr>
          <w:p w14:paraId="37DE211B" w14:textId="77777777" w:rsidR="003B0883" w:rsidRPr="00754CF9" w:rsidRDefault="003B0883" w:rsidP="003B0883">
            <w:pPr>
              <w:pStyle w:val="TableText0"/>
            </w:pPr>
            <w:r w:rsidRPr="00754CF9">
              <w:t>$808,429</w:t>
            </w:r>
          </w:p>
        </w:tc>
        <w:tc>
          <w:tcPr>
            <w:tcW w:w="1039" w:type="dxa"/>
            <w:noWrap/>
          </w:tcPr>
          <w:p w14:paraId="5FA8E9B0" w14:textId="77777777" w:rsidR="003B0883" w:rsidRPr="00754CF9" w:rsidRDefault="003B0883" w:rsidP="003B0883">
            <w:pPr>
              <w:pStyle w:val="TableText0"/>
            </w:pPr>
            <w:r w:rsidRPr="00754CF9">
              <w:t>$1,240,939</w:t>
            </w:r>
          </w:p>
        </w:tc>
        <w:tc>
          <w:tcPr>
            <w:tcW w:w="1038" w:type="dxa"/>
            <w:noWrap/>
          </w:tcPr>
          <w:p w14:paraId="6E19FFD1" w14:textId="77777777" w:rsidR="003B0883" w:rsidRPr="00754CF9" w:rsidRDefault="003B0883" w:rsidP="003B0883">
            <w:pPr>
              <w:pStyle w:val="TableText0"/>
            </w:pPr>
            <w:r w:rsidRPr="00754CF9">
              <w:t>$1,402,261</w:t>
            </w:r>
          </w:p>
        </w:tc>
        <w:tc>
          <w:tcPr>
            <w:tcW w:w="1039" w:type="dxa"/>
            <w:noWrap/>
          </w:tcPr>
          <w:p w14:paraId="7677F0EE" w14:textId="77777777" w:rsidR="003B0883" w:rsidRPr="00754CF9" w:rsidRDefault="003B0883" w:rsidP="003B0883">
            <w:pPr>
              <w:pStyle w:val="TableText0"/>
            </w:pPr>
            <w:r w:rsidRPr="00754CF9">
              <w:t>$1,584,555</w:t>
            </w:r>
          </w:p>
        </w:tc>
        <w:tc>
          <w:tcPr>
            <w:tcW w:w="1039" w:type="dxa"/>
            <w:noWrap/>
          </w:tcPr>
          <w:p w14:paraId="7262CBF9" w14:textId="77777777" w:rsidR="003B0883" w:rsidRPr="00754CF9" w:rsidRDefault="003B0883" w:rsidP="003B0883">
            <w:pPr>
              <w:pStyle w:val="TableText0"/>
            </w:pPr>
            <w:r w:rsidRPr="00754CF9">
              <w:t>$1,790,547</w:t>
            </w:r>
          </w:p>
        </w:tc>
      </w:tr>
      <w:tr w:rsidR="003B0883" w:rsidRPr="008525DE" w14:paraId="00D4360C" w14:textId="77777777" w:rsidTr="003B0883">
        <w:trPr>
          <w:trHeight w:val="255"/>
        </w:trPr>
        <w:tc>
          <w:tcPr>
            <w:tcW w:w="3823" w:type="dxa"/>
            <w:noWrap/>
          </w:tcPr>
          <w:p w14:paraId="29D18BBA" w14:textId="77777777" w:rsidR="003B0883" w:rsidRPr="00A03529" w:rsidRDefault="003B0883" w:rsidP="003B0883">
            <w:pPr>
              <w:pStyle w:val="TableText0"/>
            </w:pPr>
            <w:r w:rsidRPr="00A03529">
              <w:t xml:space="preserve">Diagnostic yield in </w:t>
            </w:r>
            <w:r>
              <w:t>affected individuals</w:t>
            </w:r>
            <w:r w:rsidRPr="00A03529">
              <w:t xml:space="preserve"> – 90%</w:t>
            </w:r>
          </w:p>
        </w:tc>
        <w:tc>
          <w:tcPr>
            <w:tcW w:w="1038" w:type="dxa"/>
            <w:noWrap/>
          </w:tcPr>
          <w:p w14:paraId="66EA32F0" w14:textId="77777777" w:rsidR="003B0883" w:rsidRPr="00754CF9" w:rsidRDefault="003B0883" w:rsidP="003B0883">
            <w:pPr>
              <w:pStyle w:val="TableText0"/>
            </w:pPr>
            <w:r w:rsidRPr="00754CF9">
              <w:t>$1,098,397</w:t>
            </w:r>
          </w:p>
        </w:tc>
        <w:tc>
          <w:tcPr>
            <w:tcW w:w="1039" w:type="dxa"/>
            <w:noWrap/>
          </w:tcPr>
          <w:p w14:paraId="41B10F42" w14:textId="77777777" w:rsidR="003B0883" w:rsidRPr="00754CF9" w:rsidRDefault="003B0883" w:rsidP="003B0883">
            <w:pPr>
              <w:pStyle w:val="TableText0"/>
            </w:pPr>
            <w:r w:rsidRPr="00754CF9">
              <w:t>$1,686,039</w:t>
            </w:r>
          </w:p>
        </w:tc>
        <w:tc>
          <w:tcPr>
            <w:tcW w:w="1038" w:type="dxa"/>
            <w:noWrap/>
          </w:tcPr>
          <w:p w14:paraId="40A32A4C" w14:textId="77777777" w:rsidR="003B0883" w:rsidRPr="00754CF9" w:rsidRDefault="003B0883" w:rsidP="003B0883">
            <w:pPr>
              <w:pStyle w:val="TableText0"/>
            </w:pPr>
            <w:r w:rsidRPr="00754CF9">
              <w:t>$1,905,224</w:t>
            </w:r>
          </w:p>
        </w:tc>
        <w:tc>
          <w:tcPr>
            <w:tcW w:w="1039" w:type="dxa"/>
            <w:noWrap/>
          </w:tcPr>
          <w:p w14:paraId="4E9A7ED9" w14:textId="77777777" w:rsidR="003B0883" w:rsidRPr="00754CF9" w:rsidRDefault="003B0883" w:rsidP="003B0883">
            <w:pPr>
              <w:pStyle w:val="TableText0"/>
            </w:pPr>
            <w:r w:rsidRPr="00754CF9">
              <w:t>$2,152,904</w:t>
            </w:r>
          </w:p>
        </w:tc>
        <w:tc>
          <w:tcPr>
            <w:tcW w:w="1039" w:type="dxa"/>
            <w:noWrap/>
          </w:tcPr>
          <w:p w14:paraId="1801317D" w14:textId="77777777" w:rsidR="003B0883" w:rsidRPr="00754CF9" w:rsidRDefault="003B0883" w:rsidP="003B0883">
            <w:pPr>
              <w:pStyle w:val="TableText0"/>
            </w:pPr>
            <w:r w:rsidRPr="00754CF9">
              <w:t>$2,432,781</w:t>
            </w:r>
          </w:p>
        </w:tc>
      </w:tr>
      <w:tr w:rsidR="003B0883" w:rsidRPr="008525DE" w14:paraId="4DAE2B7B" w14:textId="77777777" w:rsidTr="003B0883">
        <w:trPr>
          <w:trHeight w:val="255"/>
        </w:trPr>
        <w:tc>
          <w:tcPr>
            <w:tcW w:w="3823" w:type="dxa"/>
            <w:noWrap/>
          </w:tcPr>
          <w:p w14:paraId="682A0F39" w14:textId="77777777" w:rsidR="003B0883" w:rsidRPr="00A03529" w:rsidRDefault="003B0883" w:rsidP="003B0883">
            <w:pPr>
              <w:pStyle w:val="TableText0"/>
            </w:pPr>
            <w:r w:rsidRPr="00A03529">
              <w:t>Genetic testing growth rate (before listing) – 5%</w:t>
            </w:r>
          </w:p>
        </w:tc>
        <w:tc>
          <w:tcPr>
            <w:tcW w:w="1038" w:type="dxa"/>
            <w:noWrap/>
          </w:tcPr>
          <w:p w14:paraId="3096E5A3" w14:textId="77777777" w:rsidR="003B0883" w:rsidRPr="008525DE" w:rsidRDefault="003B0883" w:rsidP="003B0883">
            <w:pPr>
              <w:pStyle w:val="TableText0"/>
            </w:pPr>
            <w:r w:rsidRPr="008525DE">
              <w:t>$474,598</w:t>
            </w:r>
          </w:p>
        </w:tc>
        <w:tc>
          <w:tcPr>
            <w:tcW w:w="1039" w:type="dxa"/>
            <w:noWrap/>
          </w:tcPr>
          <w:p w14:paraId="27F45AAF" w14:textId="77777777" w:rsidR="003B0883" w:rsidRPr="008525DE" w:rsidRDefault="003B0883" w:rsidP="003B0883">
            <w:pPr>
              <w:pStyle w:val="TableText0"/>
            </w:pPr>
            <w:r w:rsidRPr="008525DE">
              <w:t>$728,508</w:t>
            </w:r>
          </w:p>
        </w:tc>
        <w:tc>
          <w:tcPr>
            <w:tcW w:w="1038" w:type="dxa"/>
            <w:noWrap/>
          </w:tcPr>
          <w:p w14:paraId="6447B574" w14:textId="77777777" w:rsidR="003B0883" w:rsidRPr="008525DE" w:rsidRDefault="003B0883" w:rsidP="003B0883">
            <w:pPr>
              <w:pStyle w:val="TableText0"/>
            </w:pPr>
            <w:r w:rsidRPr="008525DE">
              <w:t>$764,934</w:t>
            </w:r>
          </w:p>
        </w:tc>
        <w:tc>
          <w:tcPr>
            <w:tcW w:w="1039" w:type="dxa"/>
            <w:noWrap/>
          </w:tcPr>
          <w:p w14:paraId="2E0900BA" w14:textId="77777777" w:rsidR="003B0883" w:rsidRPr="008525DE" w:rsidRDefault="003B0883" w:rsidP="003B0883">
            <w:pPr>
              <w:pStyle w:val="TableText0"/>
            </w:pPr>
            <w:r w:rsidRPr="008525DE">
              <w:t>$803,180</w:t>
            </w:r>
          </w:p>
        </w:tc>
        <w:tc>
          <w:tcPr>
            <w:tcW w:w="1039" w:type="dxa"/>
            <w:noWrap/>
          </w:tcPr>
          <w:p w14:paraId="2A6DB464" w14:textId="77777777" w:rsidR="003B0883" w:rsidRPr="008525DE" w:rsidRDefault="003B0883" w:rsidP="003B0883">
            <w:pPr>
              <w:pStyle w:val="TableText0"/>
            </w:pPr>
            <w:r w:rsidRPr="008525DE">
              <w:t>$843,339</w:t>
            </w:r>
          </w:p>
        </w:tc>
      </w:tr>
      <w:tr w:rsidR="003B0883" w:rsidRPr="008525DE" w14:paraId="7DB392BE" w14:textId="77777777" w:rsidTr="003B0883">
        <w:trPr>
          <w:trHeight w:val="255"/>
        </w:trPr>
        <w:tc>
          <w:tcPr>
            <w:tcW w:w="3823" w:type="dxa"/>
            <w:noWrap/>
          </w:tcPr>
          <w:p w14:paraId="2DC6EEA4" w14:textId="77777777" w:rsidR="003B0883" w:rsidRPr="00A03529" w:rsidRDefault="003B0883" w:rsidP="003B0883">
            <w:pPr>
              <w:pStyle w:val="TableText0"/>
            </w:pPr>
            <w:r w:rsidRPr="00A03529">
              <w:t>Genetic testing growth rate (before listing) – 10%</w:t>
            </w:r>
          </w:p>
        </w:tc>
        <w:tc>
          <w:tcPr>
            <w:tcW w:w="1038" w:type="dxa"/>
            <w:noWrap/>
          </w:tcPr>
          <w:p w14:paraId="43BDE511" w14:textId="77777777" w:rsidR="003B0883" w:rsidRPr="008525DE" w:rsidRDefault="003B0883" w:rsidP="003B0883">
            <w:pPr>
              <w:pStyle w:val="TableText0"/>
            </w:pPr>
            <w:r w:rsidRPr="008525DE">
              <w:t>$571,662</w:t>
            </w:r>
          </w:p>
        </w:tc>
        <w:tc>
          <w:tcPr>
            <w:tcW w:w="1039" w:type="dxa"/>
            <w:noWrap/>
          </w:tcPr>
          <w:p w14:paraId="67098EB2" w14:textId="77777777" w:rsidR="003B0883" w:rsidRPr="008525DE" w:rsidRDefault="003B0883" w:rsidP="003B0883">
            <w:pPr>
              <w:pStyle w:val="TableText0"/>
            </w:pPr>
            <w:r w:rsidRPr="008525DE">
              <w:t>$877,502</w:t>
            </w:r>
          </w:p>
        </w:tc>
        <w:tc>
          <w:tcPr>
            <w:tcW w:w="1038" w:type="dxa"/>
            <w:noWrap/>
          </w:tcPr>
          <w:p w14:paraId="74B4347A" w14:textId="77777777" w:rsidR="003B0883" w:rsidRPr="008525DE" w:rsidRDefault="003B0883" w:rsidP="003B0883">
            <w:pPr>
              <w:pStyle w:val="TableText0"/>
            </w:pPr>
            <w:r w:rsidRPr="008525DE">
              <w:t>$965,252</w:t>
            </w:r>
          </w:p>
        </w:tc>
        <w:tc>
          <w:tcPr>
            <w:tcW w:w="1039" w:type="dxa"/>
            <w:noWrap/>
          </w:tcPr>
          <w:p w14:paraId="404E2927" w14:textId="77777777" w:rsidR="003B0883" w:rsidRPr="008525DE" w:rsidRDefault="003B0883" w:rsidP="003B0883">
            <w:pPr>
              <w:pStyle w:val="TableText0"/>
            </w:pPr>
            <w:r w:rsidRPr="008525DE">
              <w:t>$1,061,777</w:t>
            </w:r>
          </w:p>
        </w:tc>
        <w:tc>
          <w:tcPr>
            <w:tcW w:w="1039" w:type="dxa"/>
            <w:noWrap/>
          </w:tcPr>
          <w:p w14:paraId="118D8853" w14:textId="77777777" w:rsidR="003B0883" w:rsidRPr="008525DE" w:rsidRDefault="003B0883" w:rsidP="003B0883">
            <w:pPr>
              <w:pStyle w:val="TableText0"/>
            </w:pPr>
            <w:r w:rsidRPr="008525DE">
              <w:t>$1,167,955</w:t>
            </w:r>
          </w:p>
        </w:tc>
      </w:tr>
      <w:tr w:rsidR="003B0883" w:rsidRPr="008525DE" w14:paraId="55199695" w14:textId="77777777" w:rsidTr="003B0883">
        <w:trPr>
          <w:trHeight w:val="255"/>
        </w:trPr>
        <w:tc>
          <w:tcPr>
            <w:tcW w:w="3823" w:type="dxa"/>
            <w:noWrap/>
          </w:tcPr>
          <w:p w14:paraId="6D1184DF" w14:textId="77777777" w:rsidR="003B0883" w:rsidRPr="00A03529" w:rsidRDefault="003B0883" w:rsidP="003B0883">
            <w:pPr>
              <w:pStyle w:val="TableText0"/>
            </w:pPr>
            <w:r w:rsidRPr="00A03529">
              <w:t>Genetic testing growth rate (before listing) – 20%</w:t>
            </w:r>
          </w:p>
        </w:tc>
        <w:tc>
          <w:tcPr>
            <w:tcW w:w="1038" w:type="dxa"/>
            <w:noWrap/>
          </w:tcPr>
          <w:p w14:paraId="542356F9" w14:textId="77777777" w:rsidR="003B0883" w:rsidRPr="008525DE" w:rsidRDefault="003B0883" w:rsidP="003B0883">
            <w:pPr>
              <w:pStyle w:val="TableText0"/>
            </w:pPr>
            <w:r w:rsidRPr="008525DE">
              <w:t>$809,643</w:t>
            </w:r>
          </w:p>
        </w:tc>
        <w:tc>
          <w:tcPr>
            <w:tcW w:w="1039" w:type="dxa"/>
            <w:noWrap/>
          </w:tcPr>
          <w:p w14:paraId="6ACC60F3" w14:textId="77777777" w:rsidR="003B0883" w:rsidRPr="008525DE" w:rsidRDefault="003B0883" w:rsidP="003B0883">
            <w:pPr>
              <w:pStyle w:val="TableText0"/>
            </w:pPr>
            <w:r w:rsidRPr="008525DE">
              <w:t>$1,242,803</w:t>
            </w:r>
          </w:p>
        </w:tc>
        <w:tc>
          <w:tcPr>
            <w:tcW w:w="1038" w:type="dxa"/>
            <w:noWrap/>
          </w:tcPr>
          <w:p w14:paraId="3DB049F5" w14:textId="77777777" w:rsidR="003B0883" w:rsidRPr="008525DE" w:rsidRDefault="003B0883" w:rsidP="003B0883">
            <w:pPr>
              <w:pStyle w:val="TableText0"/>
            </w:pPr>
            <w:r w:rsidRPr="008525DE">
              <w:t>$1,491,363</w:t>
            </w:r>
          </w:p>
        </w:tc>
        <w:tc>
          <w:tcPr>
            <w:tcW w:w="1039" w:type="dxa"/>
            <w:noWrap/>
          </w:tcPr>
          <w:p w14:paraId="2F120343" w14:textId="77777777" w:rsidR="003B0883" w:rsidRPr="008525DE" w:rsidRDefault="003B0883" w:rsidP="003B0883">
            <w:pPr>
              <w:pStyle w:val="TableText0"/>
            </w:pPr>
            <w:r w:rsidRPr="008525DE">
              <w:t>$1,789,636</w:t>
            </w:r>
          </w:p>
        </w:tc>
        <w:tc>
          <w:tcPr>
            <w:tcW w:w="1039" w:type="dxa"/>
            <w:noWrap/>
          </w:tcPr>
          <w:p w14:paraId="6113F136" w14:textId="77777777" w:rsidR="003B0883" w:rsidRPr="008525DE" w:rsidRDefault="003B0883" w:rsidP="003B0883">
            <w:pPr>
              <w:pStyle w:val="TableText0"/>
            </w:pPr>
            <w:r w:rsidRPr="008525DE">
              <w:t>$2,147,563</w:t>
            </w:r>
          </w:p>
        </w:tc>
      </w:tr>
      <w:tr w:rsidR="003B0883" w:rsidRPr="008525DE" w14:paraId="1445293F" w14:textId="77777777" w:rsidTr="003B0883">
        <w:trPr>
          <w:trHeight w:val="255"/>
        </w:trPr>
        <w:tc>
          <w:tcPr>
            <w:tcW w:w="3823" w:type="dxa"/>
            <w:noWrap/>
          </w:tcPr>
          <w:p w14:paraId="51B2B688" w14:textId="77777777" w:rsidR="003B0883" w:rsidRPr="00A03529" w:rsidRDefault="003B0883" w:rsidP="003B0883">
            <w:pPr>
              <w:pStyle w:val="TableText0"/>
            </w:pPr>
            <w:r w:rsidRPr="00A03529">
              <w:t>Constant growth rate for genetic testing – 15%</w:t>
            </w:r>
          </w:p>
        </w:tc>
        <w:tc>
          <w:tcPr>
            <w:tcW w:w="1038" w:type="dxa"/>
            <w:noWrap/>
          </w:tcPr>
          <w:p w14:paraId="50116888" w14:textId="77777777" w:rsidR="003B0883" w:rsidRPr="008525DE" w:rsidRDefault="003B0883" w:rsidP="003B0883">
            <w:pPr>
              <w:pStyle w:val="TableText0"/>
            </w:pPr>
            <w:r w:rsidRPr="008525DE">
              <w:t>$511,623</w:t>
            </w:r>
          </w:p>
        </w:tc>
        <w:tc>
          <w:tcPr>
            <w:tcW w:w="1039" w:type="dxa"/>
            <w:noWrap/>
          </w:tcPr>
          <w:p w14:paraId="46E3FD2D" w14:textId="77777777" w:rsidR="003B0883" w:rsidRPr="008525DE" w:rsidRDefault="003B0883" w:rsidP="003B0883">
            <w:pPr>
              <w:pStyle w:val="TableText0"/>
            </w:pPr>
            <w:r w:rsidRPr="008525DE">
              <w:t>$588,366</w:t>
            </w:r>
          </w:p>
        </w:tc>
        <w:tc>
          <w:tcPr>
            <w:tcW w:w="1038" w:type="dxa"/>
            <w:noWrap/>
          </w:tcPr>
          <w:p w14:paraId="33748409" w14:textId="77777777" w:rsidR="003B0883" w:rsidRPr="008525DE" w:rsidRDefault="003B0883" w:rsidP="003B0883">
            <w:pPr>
              <w:pStyle w:val="TableText0"/>
            </w:pPr>
            <w:r w:rsidRPr="008525DE">
              <w:t>$676,621</w:t>
            </w:r>
          </w:p>
        </w:tc>
        <w:tc>
          <w:tcPr>
            <w:tcW w:w="1039" w:type="dxa"/>
            <w:noWrap/>
          </w:tcPr>
          <w:p w14:paraId="17FA1B33" w14:textId="77777777" w:rsidR="003B0883" w:rsidRPr="008525DE" w:rsidRDefault="003B0883" w:rsidP="003B0883">
            <w:pPr>
              <w:pStyle w:val="TableText0"/>
            </w:pPr>
            <w:r w:rsidRPr="008525DE">
              <w:t>$778,114</w:t>
            </w:r>
          </w:p>
        </w:tc>
        <w:tc>
          <w:tcPr>
            <w:tcW w:w="1039" w:type="dxa"/>
            <w:noWrap/>
          </w:tcPr>
          <w:p w14:paraId="70F22367" w14:textId="77777777" w:rsidR="003B0883" w:rsidRPr="008525DE" w:rsidRDefault="003B0883" w:rsidP="003B0883">
            <w:pPr>
              <w:pStyle w:val="TableText0"/>
            </w:pPr>
            <w:r w:rsidRPr="008525DE">
              <w:t>$894,831</w:t>
            </w:r>
          </w:p>
        </w:tc>
      </w:tr>
      <w:tr w:rsidR="003B0883" w:rsidRPr="008525DE" w14:paraId="5A586E03" w14:textId="77777777" w:rsidTr="003B0883">
        <w:trPr>
          <w:trHeight w:val="255"/>
        </w:trPr>
        <w:tc>
          <w:tcPr>
            <w:tcW w:w="3823" w:type="dxa"/>
            <w:noWrap/>
          </w:tcPr>
          <w:p w14:paraId="3C4C0F0F" w14:textId="77777777" w:rsidR="003B0883" w:rsidRPr="00A03529" w:rsidRDefault="003B0883" w:rsidP="003B0883">
            <w:pPr>
              <w:pStyle w:val="TableText0"/>
            </w:pPr>
            <w:r w:rsidRPr="00A03529">
              <w:t>Relatives tested per proband – 1</w:t>
            </w:r>
          </w:p>
        </w:tc>
        <w:tc>
          <w:tcPr>
            <w:tcW w:w="1038" w:type="dxa"/>
            <w:noWrap/>
          </w:tcPr>
          <w:p w14:paraId="4CEA7CA1" w14:textId="77777777" w:rsidR="003B0883" w:rsidRPr="008525DE" w:rsidRDefault="003B0883" w:rsidP="003B0883">
            <w:pPr>
              <w:pStyle w:val="TableText0"/>
            </w:pPr>
            <w:r w:rsidRPr="008525DE">
              <w:t>$519,816</w:t>
            </w:r>
          </w:p>
        </w:tc>
        <w:tc>
          <w:tcPr>
            <w:tcW w:w="1039" w:type="dxa"/>
            <w:noWrap/>
          </w:tcPr>
          <w:p w14:paraId="5ABBFF95" w14:textId="77777777" w:rsidR="003B0883" w:rsidRPr="008525DE" w:rsidRDefault="003B0883" w:rsidP="003B0883">
            <w:pPr>
              <w:pStyle w:val="TableText0"/>
            </w:pPr>
            <w:r w:rsidRPr="008525DE">
              <w:t>$797,918</w:t>
            </w:r>
          </w:p>
        </w:tc>
        <w:tc>
          <w:tcPr>
            <w:tcW w:w="1038" w:type="dxa"/>
            <w:noWrap/>
          </w:tcPr>
          <w:p w14:paraId="7948E1D3" w14:textId="77777777" w:rsidR="003B0883" w:rsidRPr="008525DE" w:rsidRDefault="003B0883" w:rsidP="003B0883">
            <w:pPr>
              <w:pStyle w:val="TableText0"/>
            </w:pPr>
            <w:r w:rsidRPr="008525DE">
              <w:t>$901,647</w:t>
            </w:r>
          </w:p>
        </w:tc>
        <w:tc>
          <w:tcPr>
            <w:tcW w:w="1039" w:type="dxa"/>
            <w:noWrap/>
          </w:tcPr>
          <w:p w14:paraId="7C0C4EAA" w14:textId="77777777" w:rsidR="003B0883" w:rsidRPr="008525DE" w:rsidRDefault="003B0883" w:rsidP="003B0883">
            <w:pPr>
              <w:pStyle w:val="TableText0"/>
            </w:pPr>
            <w:r w:rsidRPr="008525DE">
              <w:t>$1,018,862</w:t>
            </w:r>
          </w:p>
        </w:tc>
        <w:tc>
          <w:tcPr>
            <w:tcW w:w="1039" w:type="dxa"/>
            <w:noWrap/>
          </w:tcPr>
          <w:p w14:paraId="7F32C910" w14:textId="77777777" w:rsidR="003B0883" w:rsidRPr="008525DE" w:rsidRDefault="003B0883" w:rsidP="003B0883">
            <w:pPr>
              <w:pStyle w:val="TableText0"/>
            </w:pPr>
            <w:r w:rsidRPr="008525DE">
              <w:t>$1,151,314</w:t>
            </w:r>
          </w:p>
        </w:tc>
      </w:tr>
      <w:tr w:rsidR="003B0883" w:rsidRPr="008525DE" w14:paraId="67BEF5CF" w14:textId="77777777" w:rsidTr="003B0883">
        <w:trPr>
          <w:trHeight w:val="255"/>
        </w:trPr>
        <w:tc>
          <w:tcPr>
            <w:tcW w:w="3823" w:type="dxa"/>
            <w:noWrap/>
          </w:tcPr>
          <w:p w14:paraId="0D814508" w14:textId="77777777" w:rsidR="003B0883" w:rsidRPr="00A03529" w:rsidRDefault="003B0883" w:rsidP="003B0883">
            <w:pPr>
              <w:pStyle w:val="TableText0"/>
            </w:pPr>
            <w:r w:rsidRPr="00A03529">
              <w:t>Relatives tested per proband – 5</w:t>
            </w:r>
          </w:p>
        </w:tc>
        <w:tc>
          <w:tcPr>
            <w:tcW w:w="1038" w:type="dxa"/>
            <w:noWrap/>
          </w:tcPr>
          <w:p w14:paraId="3341F283" w14:textId="77777777" w:rsidR="003B0883" w:rsidRPr="008525DE" w:rsidRDefault="003B0883" w:rsidP="003B0883">
            <w:pPr>
              <w:pStyle w:val="TableText0"/>
            </w:pPr>
            <w:r w:rsidRPr="008525DE">
              <w:t>$753,430</w:t>
            </w:r>
          </w:p>
        </w:tc>
        <w:tc>
          <w:tcPr>
            <w:tcW w:w="1039" w:type="dxa"/>
            <w:noWrap/>
          </w:tcPr>
          <w:p w14:paraId="040164AF" w14:textId="77777777" w:rsidR="003B0883" w:rsidRPr="008525DE" w:rsidRDefault="003B0883" w:rsidP="003B0883">
            <w:pPr>
              <w:pStyle w:val="TableText0"/>
            </w:pPr>
            <w:r w:rsidRPr="008525DE">
              <w:t>$1,156,516</w:t>
            </w:r>
          </w:p>
        </w:tc>
        <w:tc>
          <w:tcPr>
            <w:tcW w:w="1038" w:type="dxa"/>
            <w:noWrap/>
          </w:tcPr>
          <w:p w14:paraId="44803FED" w14:textId="77777777" w:rsidR="003B0883" w:rsidRPr="008525DE" w:rsidRDefault="003B0883" w:rsidP="003B0883">
            <w:pPr>
              <w:pStyle w:val="TableText0"/>
            </w:pPr>
            <w:r w:rsidRPr="008525DE">
              <w:t>$1,306,863</w:t>
            </w:r>
          </w:p>
        </w:tc>
        <w:tc>
          <w:tcPr>
            <w:tcW w:w="1039" w:type="dxa"/>
            <w:noWrap/>
          </w:tcPr>
          <w:p w14:paraId="07214357" w14:textId="77777777" w:rsidR="003B0883" w:rsidRPr="008525DE" w:rsidRDefault="003B0883" w:rsidP="003B0883">
            <w:pPr>
              <w:pStyle w:val="TableText0"/>
            </w:pPr>
            <w:r w:rsidRPr="008525DE">
              <w:t>$1,476,755</w:t>
            </w:r>
          </w:p>
        </w:tc>
        <w:tc>
          <w:tcPr>
            <w:tcW w:w="1039" w:type="dxa"/>
            <w:noWrap/>
          </w:tcPr>
          <w:p w14:paraId="222104B9" w14:textId="77777777" w:rsidR="003B0883" w:rsidRPr="008525DE" w:rsidRDefault="003B0883" w:rsidP="003B0883">
            <w:pPr>
              <w:pStyle w:val="TableText0"/>
            </w:pPr>
            <w:r w:rsidRPr="008525DE">
              <w:t>$1,668,733</w:t>
            </w:r>
          </w:p>
        </w:tc>
      </w:tr>
      <w:tr w:rsidR="003B0883" w:rsidRPr="008525DE" w14:paraId="55259186" w14:textId="77777777" w:rsidTr="003B0883">
        <w:trPr>
          <w:trHeight w:val="255"/>
        </w:trPr>
        <w:tc>
          <w:tcPr>
            <w:tcW w:w="3823" w:type="dxa"/>
            <w:noWrap/>
          </w:tcPr>
          <w:p w14:paraId="23E906C7" w14:textId="77777777" w:rsidR="003B0883" w:rsidRPr="00A03529" w:rsidRDefault="003B0883" w:rsidP="003B0883">
            <w:pPr>
              <w:pStyle w:val="TableText0"/>
            </w:pPr>
            <w:r w:rsidRPr="00A03529">
              <w:t>Relatives tested per proband – 10</w:t>
            </w:r>
          </w:p>
        </w:tc>
        <w:tc>
          <w:tcPr>
            <w:tcW w:w="1038" w:type="dxa"/>
            <w:noWrap/>
          </w:tcPr>
          <w:p w14:paraId="3DB5CE72" w14:textId="77777777" w:rsidR="003B0883" w:rsidRPr="008525DE" w:rsidRDefault="003B0883" w:rsidP="003B0883">
            <w:pPr>
              <w:pStyle w:val="TableText0"/>
            </w:pPr>
            <w:r w:rsidRPr="008525DE">
              <w:t>$1,045,448</w:t>
            </w:r>
          </w:p>
        </w:tc>
        <w:tc>
          <w:tcPr>
            <w:tcW w:w="1039" w:type="dxa"/>
            <w:noWrap/>
          </w:tcPr>
          <w:p w14:paraId="02BDB034" w14:textId="77777777" w:rsidR="003B0883" w:rsidRPr="008525DE" w:rsidRDefault="003B0883" w:rsidP="003B0883">
            <w:pPr>
              <w:pStyle w:val="TableText0"/>
            </w:pPr>
            <w:r w:rsidRPr="008525DE">
              <w:t>$1,604,763</w:t>
            </w:r>
          </w:p>
        </w:tc>
        <w:tc>
          <w:tcPr>
            <w:tcW w:w="1038" w:type="dxa"/>
            <w:noWrap/>
          </w:tcPr>
          <w:p w14:paraId="421D64A0" w14:textId="77777777" w:rsidR="003B0883" w:rsidRPr="008525DE" w:rsidRDefault="003B0883" w:rsidP="003B0883">
            <w:pPr>
              <w:pStyle w:val="TableText0"/>
            </w:pPr>
            <w:r w:rsidRPr="008525DE">
              <w:t>$1,813,382</w:t>
            </w:r>
          </w:p>
        </w:tc>
        <w:tc>
          <w:tcPr>
            <w:tcW w:w="1039" w:type="dxa"/>
            <w:noWrap/>
          </w:tcPr>
          <w:p w14:paraId="7CAA2EA2" w14:textId="77777777" w:rsidR="003B0883" w:rsidRPr="008525DE" w:rsidRDefault="003B0883" w:rsidP="003B0883">
            <w:pPr>
              <w:pStyle w:val="TableText0"/>
            </w:pPr>
            <w:r w:rsidRPr="008525DE">
              <w:t>$2,049,122</w:t>
            </w:r>
          </w:p>
        </w:tc>
        <w:tc>
          <w:tcPr>
            <w:tcW w:w="1039" w:type="dxa"/>
            <w:noWrap/>
          </w:tcPr>
          <w:p w14:paraId="27CBEBE6" w14:textId="77777777" w:rsidR="003B0883" w:rsidRPr="008525DE" w:rsidRDefault="003B0883" w:rsidP="003B0883">
            <w:pPr>
              <w:pStyle w:val="TableText0"/>
            </w:pPr>
            <w:r w:rsidRPr="008525DE">
              <w:t>$2,315,507</w:t>
            </w:r>
          </w:p>
        </w:tc>
      </w:tr>
      <w:tr w:rsidR="003B0883" w:rsidRPr="008525DE" w14:paraId="09BC8460" w14:textId="77777777" w:rsidTr="003B0883">
        <w:trPr>
          <w:trHeight w:val="255"/>
        </w:trPr>
        <w:tc>
          <w:tcPr>
            <w:tcW w:w="3823" w:type="dxa"/>
            <w:noWrap/>
          </w:tcPr>
          <w:p w14:paraId="1D4C99A6" w14:textId="77777777" w:rsidR="003B0883" w:rsidRPr="00A03529" w:rsidRDefault="003B0883" w:rsidP="003B0883">
            <w:pPr>
              <w:pStyle w:val="TableText0"/>
            </w:pPr>
            <w:r w:rsidRPr="00A03529">
              <w:t>Higher genetic counselling costs –  Fee for MBS items 132 and 133</w:t>
            </w:r>
          </w:p>
        </w:tc>
        <w:tc>
          <w:tcPr>
            <w:tcW w:w="1038" w:type="dxa"/>
            <w:noWrap/>
          </w:tcPr>
          <w:p w14:paraId="1EAF3239" w14:textId="77777777" w:rsidR="003B0883" w:rsidRPr="008525DE" w:rsidRDefault="003B0883" w:rsidP="003B0883">
            <w:pPr>
              <w:pStyle w:val="TableText0"/>
            </w:pPr>
            <w:r w:rsidRPr="008525DE">
              <w:t>$691,566</w:t>
            </w:r>
          </w:p>
        </w:tc>
        <w:tc>
          <w:tcPr>
            <w:tcW w:w="1039" w:type="dxa"/>
            <w:noWrap/>
          </w:tcPr>
          <w:p w14:paraId="42268209" w14:textId="77777777" w:rsidR="003B0883" w:rsidRPr="008525DE" w:rsidRDefault="003B0883" w:rsidP="003B0883">
            <w:pPr>
              <w:pStyle w:val="TableText0"/>
            </w:pPr>
            <w:r w:rsidRPr="008525DE">
              <w:t>$1,061,553</w:t>
            </w:r>
          </w:p>
        </w:tc>
        <w:tc>
          <w:tcPr>
            <w:tcW w:w="1038" w:type="dxa"/>
            <w:noWrap/>
          </w:tcPr>
          <w:p w14:paraId="5A575821" w14:textId="77777777" w:rsidR="003B0883" w:rsidRPr="008525DE" w:rsidRDefault="003B0883" w:rsidP="003B0883">
            <w:pPr>
              <w:pStyle w:val="TableText0"/>
            </w:pPr>
            <w:r w:rsidRPr="008525DE">
              <w:t>$1,199,555</w:t>
            </w:r>
          </w:p>
        </w:tc>
        <w:tc>
          <w:tcPr>
            <w:tcW w:w="1039" w:type="dxa"/>
            <w:noWrap/>
          </w:tcPr>
          <w:p w14:paraId="63DCC10E" w14:textId="77777777" w:rsidR="003B0883" w:rsidRPr="008525DE" w:rsidRDefault="003B0883" w:rsidP="003B0883">
            <w:pPr>
              <w:pStyle w:val="TableText0"/>
            </w:pPr>
            <w:r w:rsidRPr="008525DE">
              <w:t>$1,355,498</w:t>
            </w:r>
          </w:p>
        </w:tc>
        <w:tc>
          <w:tcPr>
            <w:tcW w:w="1039" w:type="dxa"/>
            <w:noWrap/>
          </w:tcPr>
          <w:p w14:paraId="26E71279" w14:textId="77777777" w:rsidR="003B0883" w:rsidRPr="008525DE" w:rsidRDefault="003B0883" w:rsidP="003B0883">
            <w:pPr>
              <w:pStyle w:val="TableText0"/>
            </w:pPr>
            <w:r w:rsidRPr="008525DE">
              <w:t>$1,531,712</w:t>
            </w:r>
          </w:p>
        </w:tc>
      </w:tr>
      <w:tr w:rsidR="003B0883" w:rsidRPr="008525DE" w14:paraId="5387459A" w14:textId="77777777" w:rsidTr="003B0883">
        <w:trPr>
          <w:trHeight w:val="255"/>
        </w:trPr>
        <w:tc>
          <w:tcPr>
            <w:tcW w:w="3823" w:type="dxa"/>
            <w:noWrap/>
          </w:tcPr>
          <w:p w14:paraId="202F173E" w14:textId="77777777" w:rsidR="003B0883" w:rsidRPr="00A03529" w:rsidRDefault="003B0883" w:rsidP="003B0883">
            <w:pPr>
              <w:pStyle w:val="TableText0"/>
            </w:pPr>
            <w:r w:rsidRPr="00A03529">
              <w:t>MBS rebate – 75%</w:t>
            </w:r>
          </w:p>
        </w:tc>
        <w:tc>
          <w:tcPr>
            <w:tcW w:w="1038" w:type="dxa"/>
            <w:noWrap/>
          </w:tcPr>
          <w:p w14:paraId="499B5A1F" w14:textId="77777777" w:rsidR="003B0883" w:rsidRPr="008525DE" w:rsidRDefault="003B0883" w:rsidP="003B0883">
            <w:pPr>
              <w:pStyle w:val="TableText0"/>
            </w:pPr>
            <w:r w:rsidRPr="008525DE">
              <w:t>$627,993</w:t>
            </w:r>
          </w:p>
        </w:tc>
        <w:tc>
          <w:tcPr>
            <w:tcW w:w="1039" w:type="dxa"/>
            <w:noWrap/>
          </w:tcPr>
          <w:p w14:paraId="67DD44BB" w14:textId="77777777" w:rsidR="003B0883" w:rsidRPr="008525DE" w:rsidRDefault="003B0883" w:rsidP="003B0883">
            <w:pPr>
              <w:pStyle w:val="TableText0"/>
            </w:pPr>
            <w:r w:rsidRPr="008525DE">
              <w:t>$963,970</w:t>
            </w:r>
          </w:p>
        </w:tc>
        <w:tc>
          <w:tcPr>
            <w:tcW w:w="1038" w:type="dxa"/>
            <w:noWrap/>
          </w:tcPr>
          <w:p w14:paraId="2EA2A23C" w14:textId="77777777" w:rsidR="003B0883" w:rsidRPr="008525DE" w:rsidRDefault="003B0883" w:rsidP="003B0883">
            <w:pPr>
              <w:pStyle w:val="TableText0"/>
            </w:pPr>
            <w:r w:rsidRPr="008525DE">
              <w:t>$1,089,286</w:t>
            </w:r>
          </w:p>
        </w:tc>
        <w:tc>
          <w:tcPr>
            <w:tcW w:w="1039" w:type="dxa"/>
            <w:noWrap/>
          </w:tcPr>
          <w:p w14:paraId="3036ABA5" w14:textId="77777777" w:rsidR="003B0883" w:rsidRPr="008525DE" w:rsidRDefault="003B0883" w:rsidP="003B0883">
            <w:pPr>
              <w:pStyle w:val="TableText0"/>
            </w:pPr>
            <w:r w:rsidRPr="008525DE">
              <w:t>$1,230,893</w:t>
            </w:r>
          </w:p>
        </w:tc>
        <w:tc>
          <w:tcPr>
            <w:tcW w:w="1039" w:type="dxa"/>
            <w:noWrap/>
          </w:tcPr>
          <w:p w14:paraId="3C63963C" w14:textId="77777777" w:rsidR="003B0883" w:rsidRPr="008525DE" w:rsidRDefault="003B0883" w:rsidP="003B0883">
            <w:pPr>
              <w:pStyle w:val="TableText0"/>
            </w:pPr>
            <w:r w:rsidRPr="008525DE">
              <w:t>$1,390,909</w:t>
            </w:r>
          </w:p>
        </w:tc>
      </w:tr>
    </w:tbl>
    <w:p w14:paraId="0785FB91" w14:textId="77777777" w:rsidR="003B0883" w:rsidRDefault="003B0883" w:rsidP="003B0883">
      <w:pPr>
        <w:pStyle w:val="Tablenotes1"/>
      </w:pPr>
      <w:r w:rsidRPr="008525DE">
        <w:t>MBS = Medicare Benefits Schedule</w:t>
      </w:r>
    </w:p>
    <w:p w14:paraId="2A473465" w14:textId="3D29F0F7" w:rsidR="001D38B7" w:rsidRPr="008525DE" w:rsidRDefault="003B0883" w:rsidP="001D38B7">
      <w:pPr>
        <w:pStyle w:val="Tablenotes1"/>
      </w:pPr>
      <w:r>
        <w:t>Source: DCAR, Table 31 (as updated in HTA group’s rejoinder to applicant’s pre-ESC response).</w:t>
      </w:r>
      <w:r w:rsidR="00D83666">
        <w:br w:type="page"/>
      </w:r>
    </w:p>
    <w:p w14:paraId="08B1C4D0" w14:textId="77777777" w:rsidR="006A0D97" w:rsidRPr="00F715D1" w:rsidRDefault="006A0D97" w:rsidP="00F715D1">
      <w:pPr>
        <w:pStyle w:val="Heading1"/>
      </w:pPr>
      <w:r w:rsidRPr="00F715D1">
        <w:t>Key issues from ESC for MSAC</w:t>
      </w:r>
    </w:p>
    <w:tbl>
      <w:tblPr>
        <w:tblStyle w:val="TableGrid"/>
        <w:tblW w:w="0" w:type="auto"/>
        <w:tblLook w:val="04A0" w:firstRow="1" w:lastRow="0" w:firstColumn="1" w:lastColumn="0" w:noHBand="0" w:noVBand="1"/>
      </w:tblPr>
      <w:tblGrid>
        <w:gridCol w:w="2518"/>
        <w:gridCol w:w="6498"/>
      </w:tblGrid>
      <w:tr w:rsidR="001D38B7" w:rsidRPr="00FB4AFA" w14:paraId="24DCF33C" w14:textId="77777777" w:rsidTr="008A6692">
        <w:tc>
          <w:tcPr>
            <w:tcW w:w="2518" w:type="dxa"/>
          </w:tcPr>
          <w:p w14:paraId="26D802EE" w14:textId="77777777" w:rsidR="001D38B7" w:rsidRPr="00FB4AFA" w:rsidRDefault="001D38B7" w:rsidP="008A6692">
            <w:pPr>
              <w:pStyle w:val="TableHeading"/>
              <w:keepNext w:val="0"/>
              <w:rPr>
                <w:rFonts w:ascii="Times New Roman" w:hAnsi="Times New Roman" w:cs="Times New Roman"/>
                <w:sz w:val="22"/>
                <w:szCs w:val="22"/>
              </w:rPr>
            </w:pPr>
            <w:r w:rsidRPr="00FB4AFA">
              <w:rPr>
                <w:rFonts w:ascii="Times New Roman" w:hAnsi="Times New Roman" w:cs="Times New Roman"/>
                <w:sz w:val="22"/>
                <w:szCs w:val="22"/>
              </w:rPr>
              <w:t>ESC key issue</w:t>
            </w:r>
          </w:p>
        </w:tc>
        <w:tc>
          <w:tcPr>
            <w:tcW w:w="6498" w:type="dxa"/>
          </w:tcPr>
          <w:p w14:paraId="47F5341C" w14:textId="77777777" w:rsidR="001D38B7" w:rsidRPr="00FB4AFA" w:rsidRDefault="001D38B7" w:rsidP="008A6692">
            <w:pPr>
              <w:pStyle w:val="TableHeading"/>
              <w:keepNext w:val="0"/>
              <w:rPr>
                <w:rFonts w:ascii="Times New Roman" w:hAnsi="Times New Roman" w:cs="Times New Roman"/>
                <w:sz w:val="22"/>
                <w:szCs w:val="22"/>
              </w:rPr>
            </w:pPr>
            <w:r w:rsidRPr="00FB4AFA">
              <w:rPr>
                <w:rFonts w:ascii="Times New Roman" w:hAnsi="Times New Roman" w:cs="Times New Roman"/>
                <w:sz w:val="22"/>
                <w:szCs w:val="22"/>
              </w:rPr>
              <w:t>ESC advice to MSAC</w:t>
            </w:r>
          </w:p>
        </w:tc>
      </w:tr>
      <w:tr w:rsidR="001D38B7" w:rsidRPr="00FB4AFA" w14:paraId="2E4ABC61" w14:textId="77777777" w:rsidTr="008A6692">
        <w:tc>
          <w:tcPr>
            <w:tcW w:w="2518" w:type="dxa"/>
          </w:tcPr>
          <w:p w14:paraId="4B6C0F33" w14:textId="77777777" w:rsidR="001D38B7" w:rsidRPr="00FB4AFA" w:rsidRDefault="001D38B7" w:rsidP="008A6692">
            <w:pPr>
              <w:pStyle w:val="TableText1"/>
              <w:keepNext w:val="0"/>
              <w:rPr>
                <w:sz w:val="22"/>
                <w:szCs w:val="22"/>
              </w:rPr>
            </w:pPr>
            <w:r w:rsidRPr="00FB4AFA">
              <w:rPr>
                <w:sz w:val="22"/>
                <w:szCs w:val="22"/>
              </w:rPr>
              <w:t>Additional MBS items</w:t>
            </w:r>
          </w:p>
        </w:tc>
        <w:tc>
          <w:tcPr>
            <w:tcW w:w="6498" w:type="dxa"/>
          </w:tcPr>
          <w:p w14:paraId="0B8FFF88" w14:textId="77777777" w:rsidR="001D38B7" w:rsidRPr="00FB4AFA" w:rsidRDefault="001D38B7" w:rsidP="008A6692">
            <w:pPr>
              <w:pStyle w:val="TableText1"/>
              <w:keepNext w:val="0"/>
              <w:rPr>
                <w:sz w:val="22"/>
                <w:szCs w:val="22"/>
              </w:rPr>
            </w:pPr>
            <w:r w:rsidRPr="00FB4AFA">
              <w:rPr>
                <w:sz w:val="22"/>
                <w:szCs w:val="22"/>
              </w:rPr>
              <w:t>Consider further items to cover testing in reproductive partners, and in embryos/fetuses, and additional genes rather than a full alternative panel.</w:t>
            </w:r>
          </w:p>
        </w:tc>
      </w:tr>
      <w:tr w:rsidR="001D38B7" w:rsidRPr="00FB4AFA" w14:paraId="2642D659" w14:textId="77777777" w:rsidTr="008A6692">
        <w:tc>
          <w:tcPr>
            <w:tcW w:w="2518" w:type="dxa"/>
          </w:tcPr>
          <w:p w14:paraId="0429A305" w14:textId="77777777" w:rsidR="001D38B7" w:rsidRPr="00FB4AFA" w:rsidRDefault="001D38B7" w:rsidP="008A6692">
            <w:pPr>
              <w:pStyle w:val="TableText1"/>
              <w:keepNext w:val="0"/>
              <w:rPr>
                <w:sz w:val="22"/>
                <w:szCs w:val="22"/>
              </w:rPr>
            </w:pPr>
            <w:r w:rsidRPr="00FB4AFA">
              <w:rPr>
                <w:sz w:val="22"/>
                <w:szCs w:val="22"/>
              </w:rPr>
              <w:t>Uncertain clinical utility and therapeutic effectiveness</w:t>
            </w:r>
          </w:p>
        </w:tc>
        <w:tc>
          <w:tcPr>
            <w:tcW w:w="6498" w:type="dxa"/>
          </w:tcPr>
          <w:p w14:paraId="4C5F98C2" w14:textId="77777777" w:rsidR="001D38B7" w:rsidRPr="00FB4AFA" w:rsidRDefault="001D38B7" w:rsidP="008A6692">
            <w:pPr>
              <w:pStyle w:val="TableText1"/>
              <w:keepNext w:val="0"/>
              <w:rPr>
                <w:sz w:val="22"/>
                <w:szCs w:val="22"/>
              </w:rPr>
            </w:pPr>
            <w:r w:rsidRPr="00FB4AFA">
              <w:rPr>
                <w:sz w:val="22"/>
                <w:szCs w:val="22"/>
              </w:rPr>
              <w:t>Consider monitoring data on adherence to recommended management (including advice to cease lifelong surveillance), particularly for family members (key potential benefits of genetic testing).</w:t>
            </w:r>
          </w:p>
          <w:p w14:paraId="0A742F2F" w14:textId="77777777" w:rsidR="001D38B7" w:rsidRPr="00FB4AFA" w:rsidRDefault="001D38B7" w:rsidP="008A6692">
            <w:pPr>
              <w:pStyle w:val="TableText1"/>
              <w:keepNext w:val="0"/>
              <w:rPr>
                <w:sz w:val="22"/>
                <w:szCs w:val="22"/>
              </w:rPr>
            </w:pPr>
            <w:r w:rsidRPr="00FB4AFA">
              <w:rPr>
                <w:sz w:val="22"/>
                <w:szCs w:val="22"/>
              </w:rPr>
              <w:t>Recommend accessing registry data to help address this.</w:t>
            </w:r>
          </w:p>
        </w:tc>
      </w:tr>
      <w:tr w:rsidR="001D38B7" w:rsidRPr="00FB4AFA" w14:paraId="1DC8A472" w14:textId="77777777" w:rsidTr="008A6692">
        <w:tc>
          <w:tcPr>
            <w:tcW w:w="2518" w:type="dxa"/>
          </w:tcPr>
          <w:p w14:paraId="6D25D79D" w14:textId="77777777" w:rsidR="001D38B7" w:rsidRPr="00FB4AFA" w:rsidRDefault="001D38B7" w:rsidP="008A6692">
            <w:pPr>
              <w:pStyle w:val="TableText1"/>
              <w:keepNext w:val="0"/>
              <w:rPr>
                <w:sz w:val="22"/>
                <w:szCs w:val="22"/>
              </w:rPr>
            </w:pPr>
            <w:r w:rsidRPr="00FB4AFA">
              <w:rPr>
                <w:sz w:val="22"/>
                <w:szCs w:val="22"/>
              </w:rPr>
              <w:t>Limitations of the modelled evaluation</w:t>
            </w:r>
          </w:p>
        </w:tc>
        <w:tc>
          <w:tcPr>
            <w:tcW w:w="6498" w:type="dxa"/>
          </w:tcPr>
          <w:p w14:paraId="5FCDA695" w14:textId="77777777" w:rsidR="001D38B7" w:rsidRPr="00FB4AFA" w:rsidRDefault="001D38B7" w:rsidP="008A6692">
            <w:pPr>
              <w:pStyle w:val="TableText1"/>
              <w:keepNext w:val="0"/>
              <w:rPr>
                <w:sz w:val="22"/>
                <w:szCs w:val="22"/>
              </w:rPr>
            </w:pPr>
            <w:r w:rsidRPr="00FB4AFA">
              <w:rPr>
                <w:sz w:val="22"/>
                <w:szCs w:val="22"/>
              </w:rPr>
              <w:t>A number of benefits are suggested but not demonstrated and/or quantified. Substantial model improvements</w:t>
            </w:r>
            <w:r>
              <w:rPr>
                <w:sz w:val="22"/>
                <w:szCs w:val="22"/>
              </w:rPr>
              <w:t xml:space="preserve"> are</w:t>
            </w:r>
            <w:r w:rsidRPr="00FB4AFA">
              <w:rPr>
                <w:sz w:val="22"/>
                <w:szCs w:val="22"/>
              </w:rPr>
              <w:t xml:space="preserve"> unlikely.</w:t>
            </w:r>
          </w:p>
          <w:p w14:paraId="6F7C8867" w14:textId="77777777" w:rsidR="001D38B7" w:rsidRPr="00FB4AFA" w:rsidRDefault="001D38B7" w:rsidP="008A6692">
            <w:pPr>
              <w:pStyle w:val="TableText1"/>
              <w:keepNext w:val="0"/>
              <w:rPr>
                <w:sz w:val="22"/>
                <w:szCs w:val="22"/>
              </w:rPr>
            </w:pPr>
            <w:r w:rsidRPr="00FB4AFA">
              <w:rPr>
                <w:sz w:val="22"/>
                <w:szCs w:val="22"/>
              </w:rPr>
              <w:t>Consider what value to place on the benefits that are not modelled, such as personal or perceived utility, behaviour change, and the potential of treatment adjustments or prevention to affect health outcomes.</w:t>
            </w:r>
          </w:p>
          <w:p w14:paraId="1789D54D" w14:textId="77777777" w:rsidR="001D38B7" w:rsidRPr="00FB4AFA" w:rsidRDefault="001D38B7" w:rsidP="008A6692">
            <w:pPr>
              <w:pStyle w:val="TableText1"/>
              <w:keepNext w:val="0"/>
              <w:rPr>
                <w:sz w:val="22"/>
                <w:szCs w:val="22"/>
              </w:rPr>
            </w:pPr>
            <w:r w:rsidRPr="00FB4AFA">
              <w:rPr>
                <w:sz w:val="22"/>
                <w:szCs w:val="22"/>
              </w:rPr>
              <w:t>Consider if the limited approach to modelling is useful, and the plausibility and value of these potential consequences.</w:t>
            </w:r>
          </w:p>
        </w:tc>
      </w:tr>
      <w:tr w:rsidR="001D38B7" w:rsidRPr="00FB4AFA" w14:paraId="0B013D1C" w14:textId="77777777" w:rsidTr="008A6692">
        <w:tc>
          <w:tcPr>
            <w:tcW w:w="2518" w:type="dxa"/>
          </w:tcPr>
          <w:p w14:paraId="3559691B" w14:textId="77777777" w:rsidR="001D38B7" w:rsidRPr="00FB4AFA" w:rsidRDefault="001D38B7" w:rsidP="008A6692">
            <w:pPr>
              <w:pStyle w:val="TableText1"/>
              <w:keepNext w:val="0"/>
              <w:rPr>
                <w:sz w:val="22"/>
                <w:szCs w:val="22"/>
              </w:rPr>
            </w:pPr>
            <w:r w:rsidRPr="00FB4AFA">
              <w:rPr>
                <w:sz w:val="22"/>
                <w:szCs w:val="22"/>
              </w:rPr>
              <w:t>Key drivers of model results</w:t>
            </w:r>
          </w:p>
        </w:tc>
        <w:tc>
          <w:tcPr>
            <w:tcW w:w="6498" w:type="dxa"/>
          </w:tcPr>
          <w:p w14:paraId="4221F36C" w14:textId="77777777" w:rsidR="001D38B7" w:rsidRPr="00FB4AFA" w:rsidRDefault="001D38B7" w:rsidP="008A6692">
            <w:pPr>
              <w:pStyle w:val="TableText1"/>
              <w:keepNext w:val="0"/>
              <w:rPr>
                <w:sz w:val="22"/>
                <w:szCs w:val="22"/>
              </w:rPr>
            </w:pPr>
            <w:r w:rsidRPr="00FB4AFA">
              <w:rPr>
                <w:sz w:val="22"/>
                <w:szCs w:val="22"/>
              </w:rPr>
              <w:t xml:space="preserve">Diagnostic yield, number of relatives screened and surveillance (frequency, cost and uptake). Dominance is highly uncertain and appears optimistic. </w:t>
            </w:r>
          </w:p>
          <w:p w14:paraId="2B843C12" w14:textId="77777777" w:rsidR="001D38B7" w:rsidRPr="00FB4AFA" w:rsidRDefault="001D38B7" w:rsidP="008A6692">
            <w:pPr>
              <w:pStyle w:val="TableText1"/>
              <w:keepNext w:val="0"/>
              <w:rPr>
                <w:sz w:val="22"/>
                <w:szCs w:val="22"/>
              </w:rPr>
            </w:pPr>
            <w:r w:rsidRPr="00FB4AFA">
              <w:rPr>
                <w:sz w:val="22"/>
                <w:szCs w:val="22"/>
              </w:rPr>
              <w:t>Consider what base case inputs are conservative and realistic. Further explore uncertainty in multivariate analysis.</w:t>
            </w:r>
          </w:p>
        </w:tc>
      </w:tr>
      <w:tr w:rsidR="001D38B7" w:rsidRPr="00FB4AFA" w14:paraId="4DB0B3B0" w14:textId="77777777" w:rsidTr="008A6692">
        <w:tc>
          <w:tcPr>
            <w:tcW w:w="2518" w:type="dxa"/>
          </w:tcPr>
          <w:p w14:paraId="499201FC" w14:textId="77777777" w:rsidR="001D38B7" w:rsidRPr="00FB4AFA" w:rsidRDefault="001D38B7" w:rsidP="008A6692">
            <w:pPr>
              <w:pStyle w:val="TableText1"/>
              <w:keepNext w:val="0"/>
              <w:rPr>
                <w:sz w:val="22"/>
                <w:szCs w:val="22"/>
              </w:rPr>
            </w:pPr>
            <w:r w:rsidRPr="00FB4AFA">
              <w:rPr>
                <w:sz w:val="22"/>
                <w:szCs w:val="22"/>
              </w:rPr>
              <w:t>Rationale for listing (economic)</w:t>
            </w:r>
          </w:p>
        </w:tc>
        <w:tc>
          <w:tcPr>
            <w:tcW w:w="6498" w:type="dxa"/>
          </w:tcPr>
          <w:p w14:paraId="0162FDD6" w14:textId="77777777" w:rsidR="001D38B7" w:rsidRPr="00FB4AFA" w:rsidRDefault="001D38B7" w:rsidP="008A6692">
            <w:pPr>
              <w:pStyle w:val="TableText1"/>
              <w:keepNext w:val="0"/>
              <w:rPr>
                <w:sz w:val="22"/>
                <w:szCs w:val="22"/>
              </w:rPr>
            </w:pPr>
            <w:r w:rsidRPr="00FB4AFA">
              <w:rPr>
                <w:sz w:val="22"/>
                <w:szCs w:val="22"/>
              </w:rPr>
              <w:t>There is considerable risk of adding more cost to the system hoping for unlikely cost-savings and without any demonstrated health gains.</w:t>
            </w:r>
          </w:p>
        </w:tc>
      </w:tr>
      <w:tr w:rsidR="001D38B7" w:rsidRPr="00FB4AFA" w14:paraId="0D5F0DB6" w14:textId="77777777" w:rsidTr="008A6692">
        <w:tc>
          <w:tcPr>
            <w:tcW w:w="2518" w:type="dxa"/>
          </w:tcPr>
          <w:p w14:paraId="0EEA4294" w14:textId="77777777" w:rsidR="001D38B7" w:rsidRPr="00FB4AFA" w:rsidRDefault="001D38B7" w:rsidP="008A6692">
            <w:pPr>
              <w:pStyle w:val="TableText1"/>
              <w:keepNext w:val="0"/>
              <w:rPr>
                <w:sz w:val="22"/>
                <w:szCs w:val="22"/>
              </w:rPr>
            </w:pPr>
            <w:r w:rsidRPr="00FB4AFA">
              <w:rPr>
                <w:sz w:val="22"/>
                <w:szCs w:val="22"/>
              </w:rPr>
              <w:t>Budget impacts reflect testing only</w:t>
            </w:r>
          </w:p>
        </w:tc>
        <w:tc>
          <w:tcPr>
            <w:tcW w:w="6498" w:type="dxa"/>
          </w:tcPr>
          <w:p w14:paraId="4C08EC53" w14:textId="77777777" w:rsidR="001D38B7" w:rsidRPr="00FB4AFA" w:rsidRDefault="001D38B7" w:rsidP="008A6692">
            <w:pPr>
              <w:pStyle w:val="TableText1"/>
              <w:keepNext w:val="0"/>
              <w:rPr>
                <w:sz w:val="22"/>
                <w:szCs w:val="22"/>
              </w:rPr>
            </w:pPr>
            <w:r w:rsidRPr="00FB4AFA">
              <w:rPr>
                <w:sz w:val="22"/>
                <w:szCs w:val="22"/>
              </w:rPr>
              <w:t>Moderate uncertainty of results that are presented. Only “short-term” costs are included. The long-term impacts of services associated with changed prevention and surveillance are uncertain.</w:t>
            </w:r>
          </w:p>
        </w:tc>
      </w:tr>
      <w:tr w:rsidR="001D38B7" w:rsidRPr="00FB4AFA" w14:paraId="01C50E73" w14:textId="77777777" w:rsidTr="008A6692">
        <w:tc>
          <w:tcPr>
            <w:tcW w:w="2518" w:type="dxa"/>
          </w:tcPr>
          <w:p w14:paraId="129DC5A1" w14:textId="77777777" w:rsidR="001D38B7" w:rsidRPr="00FB4AFA" w:rsidRDefault="001D38B7" w:rsidP="008A6692">
            <w:pPr>
              <w:pStyle w:val="TableText1"/>
              <w:keepNext w:val="0"/>
              <w:rPr>
                <w:sz w:val="22"/>
                <w:szCs w:val="22"/>
              </w:rPr>
            </w:pPr>
            <w:r w:rsidRPr="00FB4AFA">
              <w:rPr>
                <w:sz w:val="22"/>
                <w:szCs w:val="22"/>
              </w:rPr>
              <w:t>Policy</w:t>
            </w:r>
          </w:p>
        </w:tc>
        <w:tc>
          <w:tcPr>
            <w:tcW w:w="6498" w:type="dxa"/>
          </w:tcPr>
          <w:p w14:paraId="49B3620B" w14:textId="77777777" w:rsidR="001D38B7" w:rsidRPr="00FB4AFA" w:rsidRDefault="001D38B7" w:rsidP="008A6692">
            <w:pPr>
              <w:pStyle w:val="TableText1"/>
              <w:keepNext w:val="0"/>
              <w:rPr>
                <w:sz w:val="22"/>
                <w:szCs w:val="22"/>
              </w:rPr>
            </w:pPr>
            <w:r w:rsidRPr="00FB4AFA">
              <w:rPr>
                <w:sz w:val="22"/>
                <w:szCs w:val="22"/>
              </w:rPr>
              <w:t>Ensure descriptor is technology-agnostic, reanalysis of stored genomic sequence data, and information sharing to avoid duplication of testing.</w:t>
            </w:r>
          </w:p>
        </w:tc>
      </w:tr>
      <w:tr w:rsidR="001D38B7" w:rsidRPr="00FB4AFA" w14:paraId="394864F7" w14:textId="77777777" w:rsidTr="008A6692">
        <w:tc>
          <w:tcPr>
            <w:tcW w:w="2518" w:type="dxa"/>
          </w:tcPr>
          <w:p w14:paraId="7FC80C11" w14:textId="77777777" w:rsidR="001D38B7" w:rsidRPr="00581FBC" w:rsidRDefault="001D38B7" w:rsidP="008A6692">
            <w:pPr>
              <w:pStyle w:val="TableText1"/>
              <w:keepNext w:val="0"/>
              <w:rPr>
                <w:sz w:val="22"/>
                <w:szCs w:val="22"/>
              </w:rPr>
            </w:pPr>
            <w:r w:rsidRPr="00581FBC">
              <w:rPr>
                <w:sz w:val="22"/>
                <w:szCs w:val="22"/>
              </w:rPr>
              <w:t>Related Applications</w:t>
            </w:r>
          </w:p>
        </w:tc>
        <w:tc>
          <w:tcPr>
            <w:tcW w:w="6498" w:type="dxa"/>
          </w:tcPr>
          <w:p w14:paraId="3883F485" w14:textId="77777777" w:rsidR="001D38B7" w:rsidRPr="00581FBC" w:rsidRDefault="001D38B7" w:rsidP="008A6692">
            <w:pPr>
              <w:pStyle w:val="TableText1"/>
              <w:keepNext w:val="0"/>
              <w:rPr>
                <w:sz w:val="22"/>
                <w:szCs w:val="22"/>
              </w:rPr>
            </w:pPr>
            <w:r w:rsidRPr="00581FBC">
              <w:rPr>
                <w:sz w:val="22"/>
                <w:szCs w:val="22"/>
              </w:rPr>
              <w:t>To note related application</w:t>
            </w:r>
            <w:r>
              <w:rPr>
                <w:sz w:val="22"/>
                <w:szCs w:val="22"/>
              </w:rPr>
              <w:t xml:space="preserve"> </w:t>
            </w:r>
            <w:r w:rsidRPr="00581FBC">
              <w:rPr>
                <w:sz w:val="22"/>
                <w:szCs w:val="22"/>
              </w:rPr>
              <w:t>1599, genetic panel testing for diagnosis of cardiomyopathies</w:t>
            </w:r>
            <w:r>
              <w:rPr>
                <w:sz w:val="22"/>
                <w:szCs w:val="22"/>
              </w:rPr>
              <w:t>,</w:t>
            </w:r>
            <w:r w:rsidRPr="00581FBC">
              <w:rPr>
                <w:sz w:val="22"/>
                <w:szCs w:val="22"/>
              </w:rPr>
              <w:t xml:space="preserve"> is scheduled for the February 2021 ESC meeting </w:t>
            </w:r>
          </w:p>
        </w:tc>
      </w:tr>
    </w:tbl>
    <w:p w14:paraId="66FB4AC6" w14:textId="77777777" w:rsidR="006A0D97" w:rsidRDefault="00F56D7F" w:rsidP="00D83666">
      <w:pPr>
        <w:pStyle w:val="Heading2"/>
        <w:spacing w:after="120"/>
      </w:pPr>
      <w:r w:rsidRPr="00F56D7F">
        <w:t>ESC discussion</w:t>
      </w:r>
    </w:p>
    <w:p w14:paraId="517084EA" w14:textId="77777777" w:rsidR="001D38B7" w:rsidRPr="00194E8D" w:rsidRDefault="001D38B7" w:rsidP="001D38B7">
      <w:r>
        <w:rPr>
          <w:lang w:val="en-US"/>
        </w:rPr>
        <w:t xml:space="preserve">ESC noted that this </w:t>
      </w:r>
      <w:r w:rsidRPr="00194E8D">
        <w:t xml:space="preserve">clinical utility card </w:t>
      </w:r>
      <w:r>
        <w:t xml:space="preserve">(CUC) </w:t>
      </w:r>
      <w:r>
        <w:rPr>
          <w:lang w:val="en-US"/>
        </w:rPr>
        <w:t xml:space="preserve">application from the </w:t>
      </w:r>
      <w:r w:rsidRPr="00194E8D">
        <w:rPr>
          <w:lang w:val="en-US"/>
        </w:rPr>
        <w:t>Royal College of Pathologists of Australasia (RCPA</w:t>
      </w:r>
      <w:r>
        <w:rPr>
          <w:lang w:val="en-US"/>
        </w:rPr>
        <w:t>)</w:t>
      </w:r>
      <w:r w:rsidRPr="00194E8D">
        <w:rPr>
          <w:lang w:val="en-US"/>
        </w:rPr>
        <w:t xml:space="preserve"> </w:t>
      </w:r>
      <w:r>
        <w:rPr>
          <w:lang w:val="en-US"/>
        </w:rPr>
        <w:t>is for testing</w:t>
      </w:r>
      <w:r w:rsidRPr="00194E8D">
        <w:rPr>
          <w:lang w:val="en-US"/>
        </w:rPr>
        <w:t xml:space="preserve"> </w:t>
      </w:r>
      <w:r>
        <w:rPr>
          <w:lang w:val="en-US"/>
        </w:rPr>
        <w:t xml:space="preserve">for </w:t>
      </w:r>
      <w:r w:rsidRPr="00194E8D">
        <w:rPr>
          <w:lang w:val="en-US"/>
        </w:rPr>
        <w:t xml:space="preserve">inherited cardiac arrhythmia disorders, for the following </w:t>
      </w:r>
      <w:r>
        <w:rPr>
          <w:lang w:val="en-US"/>
        </w:rPr>
        <w:t xml:space="preserve">20 </w:t>
      </w:r>
      <w:r w:rsidRPr="00194E8D">
        <w:rPr>
          <w:lang w:val="en-US"/>
        </w:rPr>
        <w:t xml:space="preserve">genes: </w:t>
      </w:r>
      <w:r w:rsidRPr="00194E8D">
        <w:rPr>
          <w:i/>
          <w:iCs/>
          <w:lang w:val="en-US"/>
        </w:rPr>
        <w:t>KCNQ1</w:t>
      </w:r>
      <w:r w:rsidRPr="00194E8D">
        <w:rPr>
          <w:lang w:val="en-US"/>
        </w:rPr>
        <w:t xml:space="preserve">, </w:t>
      </w:r>
      <w:r w:rsidRPr="00194E8D">
        <w:rPr>
          <w:i/>
          <w:iCs/>
          <w:lang w:val="en-US"/>
        </w:rPr>
        <w:t>KCNH2</w:t>
      </w:r>
      <w:r w:rsidRPr="00194E8D">
        <w:rPr>
          <w:lang w:val="en-US"/>
        </w:rPr>
        <w:t xml:space="preserve">, </w:t>
      </w:r>
      <w:r w:rsidRPr="00194E8D">
        <w:rPr>
          <w:i/>
          <w:iCs/>
          <w:lang w:val="en-US"/>
        </w:rPr>
        <w:t>SCN5A</w:t>
      </w:r>
      <w:r w:rsidRPr="00194E8D">
        <w:rPr>
          <w:lang w:val="en-US"/>
        </w:rPr>
        <w:t xml:space="preserve">, </w:t>
      </w:r>
      <w:r w:rsidRPr="00194E8D">
        <w:rPr>
          <w:i/>
          <w:iCs/>
          <w:lang w:val="en-US"/>
        </w:rPr>
        <w:t>KCNE1</w:t>
      </w:r>
      <w:r w:rsidRPr="00194E8D">
        <w:rPr>
          <w:lang w:val="en-US"/>
        </w:rPr>
        <w:t xml:space="preserve">, </w:t>
      </w:r>
      <w:r w:rsidRPr="00194E8D">
        <w:rPr>
          <w:i/>
          <w:iCs/>
          <w:lang w:val="en-US"/>
        </w:rPr>
        <w:t>KCNE2</w:t>
      </w:r>
      <w:r w:rsidRPr="00194E8D">
        <w:rPr>
          <w:lang w:val="en-US"/>
        </w:rPr>
        <w:t xml:space="preserve">, </w:t>
      </w:r>
      <w:r w:rsidRPr="00194E8D">
        <w:rPr>
          <w:i/>
          <w:iCs/>
          <w:lang w:val="en-US"/>
        </w:rPr>
        <w:t>KCNJ2</w:t>
      </w:r>
      <w:r w:rsidRPr="00194E8D">
        <w:rPr>
          <w:lang w:val="en-US"/>
        </w:rPr>
        <w:t xml:space="preserve">, </w:t>
      </w:r>
      <w:r w:rsidRPr="00194E8D">
        <w:rPr>
          <w:i/>
          <w:iCs/>
          <w:lang w:val="en-US"/>
        </w:rPr>
        <w:t>CACNA1C</w:t>
      </w:r>
      <w:r w:rsidRPr="00194E8D">
        <w:rPr>
          <w:lang w:val="en-US"/>
        </w:rPr>
        <w:t xml:space="preserve">, </w:t>
      </w:r>
      <w:r w:rsidRPr="00194E8D">
        <w:rPr>
          <w:i/>
          <w:iCs/>
          <w:lang w:val="en-US"/>
        </w:rPr>
        <w:t>RYR2</w:t>
      </w:r>
      <w:r w:rsidRPr="00194E8D">
        <w:rPr>
          <w:lang w:val="en-US"/>
        </w:rPr>
        <w:t xml:space="preserve">, </w:t>
      </w:r>
      <w:r w:rsidRPr="00194E8D">
        <w:rPr>
          <w:i/>
          <w:iCs/>
          <w:lang w:val="en-US"/>
        </w:rPr>
        <w:t>CASQ2</w:t>
      </w:r>
      <w:r w:rsidRPr="00194E8D">
        <w:rPr>
          <w:lang w:val="en-US"/>
        </w:rPr>
        <w:t xml:space="preserve">, </w:t>
      </w:r>
      <w:r w:rsidRPr="00194E8D">
        <w:rPr>
          <w:i/>
          <w:iCs/>
          <w:lang w:val="en-US"/>
        </w:rPr>
        <w:t>CAV3</w:t>
      </w:r>
      <w:r w:rsidRPr="00194E8D">
        <w:rPr>
          <w:lang w:val="en-US"/>
        </w:rPr>
        <w:t xml:space="preserve">, </w:t>
      </w:r>
      <w:r w:rsidRPr="00194E8D">
        <w:rPr>
          <w:i/>
          <w:iCs/>
          <w:lang w:val="en-US"/>
        </w:rPr>
        <w:t>SCN4B</w:t>
      </w:r>
      <w:r w:rsidRPr="00194E8D">
        <w:rPr>
          <w:lang w:val="en-US"/>
        </w:rPr>
        <w:t xml:space="preserve">, </w:t>
      </w:r>
      <w:r w:rsidRPr="00194E8D">
        <w:rPr>
          <w:i/>
          <w:iCs/>
          <w:lang w:val="en-US"/>
        </w:rPr>
        <w:t>AKAP9</w:t>
      </w:r>
      <w:r w:rsidRPr="00194E8D">
        <w:rPr>
          <w:lang w:val="en-US"/>
        </w:rPr>
        <w:t xml:space="preserve">, </w:t>
      </w:r>
      <w:r w:rsidRPr="00194E8D">
        <w:rPr>
          <w:i/>
          <w:iCs/>
          <w:lang w:val="en-US"/>
        </w:rPr>
        <w:t>SNTA1</w:t>
      </w:r>
      <w:r w:rsidRPr="00194E8D">
        <w:rPr>
          <w:lang w:val="en-US"/>
        </w:rPr>
        <w:t xml:space="preserve">, </w:t>
      </w:r>
      <w:r w:rsidRPr="00194E8D">
        <w:rPr>
          <w:i/>
          <w:iCs/>
          <w:lang w:val="en-US"/>
        </w:rPr>
        <w:t>KCNJ5</w:t>
      </w:r>
      <w:r w:rsidRPr="00194E8D">
        <w:rPr>
          <w:lang w:val="en-US"/>
        </w:rPr>
        <w:t xml:space="preserve">, </w:t>
      </w:r>
      <w:r w:rsidRPr="00194E8D">
        <w:rPr>
          <w:i/>
          <w:iCs/>
          <w:lang w:val="en-US"/>
        </w:rPr>
        <w:t>ALG10</w:t>
      </w:r>
      <w:r w:rsidRPr="00194E8D">
        <w:rPr>
          <w:lang w:val="en-US"/>
        </w:rPr>
        <w:t xml:space="preserve">, </w:t>
      </w:r>
      <w:r w:rsidRPr="00194E8D">
        <w:rPr>
          <w:i/>
          <w:iCs/>
          <w:lang w:val="en-US"/>
        </w:rPr>
        <w:t>CALM1</w:t>
      </w:r>
      <w:r w:rsidRPr="00194E8D">
        <w:rPr>
          <w:lang w:val="en-US"/>
        </w:rPr>
        <w:t xml:space="preserve">, </w:t>
      </w:r>
      <w:r w:rsidRPr="00194E8D">
        <w:rPr>
          <w:i/>
          <w:iCs/>
          <w:lang w:val="en-US"/>
        </w:rPr>
        <w:t>CALM2</w:t>
      </w:r>
      <w:r w:rsidRPr="00194E8D">
        <w:rPr>
          <w:lang w:val="en-US"/>
        </w:rPr>
        <w:t xml:space="preserve">, </w:t>
      </w:r>
      <w:r w:rsidRPr="00194E8D">
        <w:rPr>
          <w:i/>
          <w:iCs/>
          <w:lang w:val="en-US"/>
        </w:rPr>
        <w:t>ANK2</w:t>
      </w:r>
      <w:r w:rsidRPr="00194E8D">
        <w:rPr>
          <w:lang w:val="en-US"/>
        </w:rPr>
        <w:t xml:space="preserve">, </w:t>
      </w:r>
      <w:r w:rsidRPr="00194E8D">
        <w:rPr>
          <w:i/>
          <w:iCs/>
          <w:lang w:val="en-US"/>
        </w:rPr>
        <w:t>TECRL</w:t>
      </w:r>
      <w:r w:rsidRPr="00194E8D">
        <w:rPr>
          <w:lang w:val="en-US"/>
        </w:rPr>
        <w:t xml:space="preserve"> and </w:t>
      </w:r>
      <w:r w:rsidRPr="00194E8D">
        <w:rPr>
          <w:i/>
          <w:iCs/>
          <w:lang w:val="en-US"/>
        </w:rPr>
        <w:t>TRDN</w:t>
      </w:r>
      <w:r w:rsidRPr="00194E8D">
        <w:t xml:space="preserve">. </w:t>
      </w:r>
    </w:p>
    <w:p w14:paraId="64A7EFEE" w14:textId="77777777" w:rsidR="001D38B7" w:rsidRPr="00194E8D" w:rsidRDefault="001D38B7" w:rsidP="001D38B7">
      <w:pPr>
        <w:spacing w:before="240"/>
      </w:pPr>
      <w:r>
        <w:t xml:space="preserve">ESC noted that this application </w:t>
      </w:r>
      <w:r w:rsidRPr="00194E8D">
        <w:rPr>
          <w:lang w:val="en-US"/>
        </w:rPr>
        <w:t xml:space="preserve">builds on </w:t>
      </w:r>
      <w:r>
        <w:rPr>
          <w:lang w:val="en-US"/>
        </w:rPr>
        <w:t xml:space="preserve">application </w:t>
      </w:r>
      <w:r w:rsidRPr="00194E8D">
        <w:rPr>
          <w:lang w:val="en-US"/>
        </w:rPr>
        <w:t>1152 lodged in 2010 by the Pathology Services Table Committee</w:t>
      </w:r>
      <w:r>
        <w:rPr>
          <w:lang w:val="en-US"/>
        </w:rPr>
        <w:t xml:space="preserve"> (PSTC), which was for </w:t>
      </w:r>
      <w:r w:rsidRPr="00194E8D">
        <w:rPr>
          <w:lang w:val="en-US"/>
        </w:rPr>
        <w:t xml:space="preserve">testing of six genes associated with </w:t>
      </w:r>
      <w:r>
        <w:rPr>
          <w:lang w:val="en-US"/>
        </w:rPr>
        <w:t>long QT syndrome (</w:t>
      </w:r>
      <w:r w:rsidRPr="00194E8D">
        <w:rPr>
          <w:lang w:val="en-US"/>
        </w:rPr>
        <w:t>LQTS</w:t>
      </w:r>
      <w:r>
        <w:rPr>
          <w:lang w:val="en-US"/>
        </w:rPr>
        <w:t>)</w:t>
      </w:r>
      <w:r w:rsidRPr="00194E8D">
        <w:rPr>
          <w:lang w:val="en-US"/>
        </w:rPr>
        <w:t xml:space="preserve">. </w:t>
      </w:r>
      <w:r>
        <w:rPr>
          <w:lang w:val="en-US"/>
        </w:rPr>
        <w:t xml:space="preserve">In 2011, </w:t>
      </w:r>
      <w:r w:rsidRPr="00194E8D">
        <w:rPr>
          <w:lang w:val="en-US"/>
        </w:rPr>
        <w:t xml:space="preserve">ESC advised </w:t>
      </w:r>
      <w:r>
        <w:rPr>
          <w:lang w:val="en-US"/>
        </w:rPr>
        <w:t xml:space="preserve">that the application contained several </w:t>
      </w:r>
      <w:r w:rsidRPr="00194E8D">
        <w:rPr>
          <w:lang w:val="en-US"/>
        </w:rPr>
        <w:t xml:space="preserve">uncertainties, particularly </w:t>
      </w:r>
      <w:r>
        <w:rPr>
          <w:lang w:val="en-US"/>
        </w:rPr>
        <w:t>relating to</w:t>
      </w:r>
      <w:r w:rsidRPr="00194E8D">
        <w:rPr>
          <w:lang w:val="en-US"/>
        </w:rPr>
        <w:t xml:space="preserve"> the proposed item descriptor and fee for symptomatic patients. </w:t>
      </w:r>
      <w:r>
        <w:rPr>
          <w:lang w:val="en-US"/>
        </w:rPr>
        <w:t xml:space="preserve">The </w:t>
      </w:r>
      <w:r w:rsidRPr="00194E8D">
        <w:rPr>
          <w:lang w:val="en-US"/>
        </w:rPr>
        <w:t xml:space="preserve">PSTC disbanded and </w:t>
      </w:r>
      <w:r>
        <w:rPr>
          <w:lang w:val="en-US"/>
        </w:rPr>
        <w:t xml:space="preserve">the </w:t>
      </w:r>
      <w:r w:rsidRPr="00194E8D">
        <w:rPr>
          <w:lang w:val="en-US"/>
        </w:rPr>
        <w:t xml:space="preserve">RCPA took over as applicant in 2013, advising in 2014 </w:t>
      </w:r>
      <w:r>
        <w:rPr>
          <w:lang w:val="en-US"/>
        </w:rPr>
        <w:t>that it</w:t>
      </w:r>
      <w:r w:rsidRPr="00194E8D">
        <w:rPr>
          <w:lang w:val="en-US"/>
        </w:rPr>
        <w:t xml:space="preserve"> wished to place </w:t>
      </w:r>
      <w:r>
        <w:rPr>
          <w:lang w:val="en-US"/>
        </w:rPr>
        <w:t>application</w:t>
      </w:r>
      <w:r w:rsidRPr="00194E8D">
        <w:rPr>
          <w:lang w:val="en-US"/>
        </w:rPr>
        <w:t xml:space="preserve"> 1152 on hold, as new technologies were now available.</w:t>
      </w:r>
    </w:p>
    <w:p w14:paraId="19AC5F05" w14:textId="77777777" w:rsidR="001D38B7" w:rsidRDefault="001D38B7" w:rsidP="001D38B7">
      <w:pPr>
        <w:spacing w:before="240"/>
      </w:pPr>
      <w:r>
        <w:t>ESC noted that a</w:t>
      </w:r>
      <w:r w:rsidRPr="00194E8D">
        <w:t xml:space="preserve"> related application</w:t>
      </w:r>
      <w:r>
        <w:t xml:space="preserve"> –</w:t>
      </w:r>
      <w:r w:rsidRPr="00194E8D">
        <w:t xml:space="preserve"> 1599, genetic panel testing for diagnosis of cardiomyopathies</w:t>
      </w:r>
      <w:r>
        <w:t xml:space="preserve"> –</w:t>
      </w:r>
      <w:r w:rsidRPr="00194E8D">
        <w:t xml:space="preserve"> </w:t>
      </w:r>
      <w:r>
        <w:t xml:space="preserve">is </w:t>
      </w:r>
      <w:r w:rsidRPr="00194E8D">
        <w:t xml:space="preserve">scheduled for </w:t>
      </w:r>
      <w:r>
        <w:t>the February</w:t>
      </w:r>
      <w:r w:rsidRPr="00194E8D">
        <w:t xml:space="preserve"> 2021 ESC meeting.</w:t>
      </w:r>
      <w:r>
        <w:t xml:space="preserve"> </w:t>
      </w:r>
    </w:p>
    <w:p w14:paraId="04C60954" w14:textId="77777777" w:rsidR="001D38B7" w:rsidRDefault="001D38B7" w:rsidP="001D38B7">
      <w:pPr>
        <w:spacing w:before="240"/>
      </w:pPr>
      <w:r>
        <w:t>ESC noted the lack of consumer feedback for this application.</w:t>
      </w:r>
    </w:p>
    <w:p w14:paraId="3C608C12" w14:textId="77777777" w:rsidR="001D38B7" w:rsidRDefault="001D38B7" w:rsidP="001D38B7">
      <w:pPr>
        <w:spacing w:before="240"/>
      </w:pPr>
      <w:r>
        <w:t>ESC noted the two proposed populations:</w:t>
      </w:r>
    </w:p>
    <w:p w14:paraId="5EEA5CFD" w14:textId="77777777" w:rsidR="001D38B7" w:rsidRDefault="001D38B7" w:rsidP="001D38B7">
      <w:pPr>
        <w:pStyle w:val="Bullet"/>
      </w:pPr>
      <w:r>
        <w:t>p</w:t>
      </w:r>
      <w:r w:rsidRPr="000E52D9">
        <w:t xml:space="preserve">opulation </w:t>
      </w:r>
      <w:r>
        <w:t>1 –</w:t>
      </w:r>
      <w:r w:rsidRPr="000E52D9">
        <w:t xml:space="preserve"> clinically affected individuals, to make a genetic diagnosis and estimate risk of further disease</w:t>
      </w:r>
    </w:p>
    <w:p w14:paraId="5FFE3691" w14:textId="77777777" w:rsidR="001D38B7" w:rsidRDefault="001D38B7" w:rsidP="001D38B7">
      <w:pPr>
        <w:pStyle w:val="BulletLast"/>
      </w:pPr>
      <w:r>
        <w:t xml:space="preserve">population 2 – </w:t>
      </w:r>
      <w:r w:rsidRPr="000E52D9">
        <w:t xml:space="preserve">cascade testing of family members of an individual who has a </w:t>
      </w:r>
      <w:r>
        <w:t>pathogenic variant</w:t>
      </w:r>
      <w:r w:rsidRPr="000E52D9">
        <w:t xml:space="preserve">, to </w:t>
      </w:r>
      <w:r>
        <w:t>(i) confirm or refute the inheritance of the familial variant,</w:t>
      </w:r>
      <w:r w:rsidRPr="000E52D9">
        <w:t xml:space="preserve"> and </w:t>
      </w:r>
      <w:r>
        <w:t xml:space="preserve">(ii) </w:t>
      </w:r>
      <w:r w:rsidRPr="000E52D9">
        <w:t xml:space="preserve">estimate </w:t>
      </w:r>
      <w:r>
        <w:t xml:space="preserve">the </w:t>
      </w:r>
      <w:r w:rsidRPr="000E52D9">
        <w:t xml:space="preserve">risk of </w:t>
      </w:r>
      <w:r>
        <w:t xml:space="preserve">the </w:t>
      </w:r>
      <w:r w:rsidRPr="000E52D9">
        <w:t>disease</w:t>
      </w:r>
      <w:r>
        <w:t xml:space="preserve"> in those inheriting the variant according to the penetrance of the inherited variant.</w:t>
      </w:r>
    </w:p>
    <w:p w14:paraId="36803EA7" w14:textId="77777777" w:rsidR="001D38B7" w:rsidRDefault="001D38B7" w:rsidP="001D38B7">
      <w:r>
        <w:t>ESC agreed with the Department’s request to include “</w:t>
      </w:r>
      <w:r w:rsidRPr="00381FCB">
        <w:t>requested by a specialist or consultant physician</w:t>
      </w:r>
      <w:r>
        <w:t>”, to</w:t>
      </w:r>
      <w:r w:rsidRPr="00381FCB">
        <w:t xml:space="preserve"> ensure consistency among all proposed items and align with the associated practice note (PN.0.23) requiring appropriate genetic counselling</w:t>
      </w:r>
      <w:r>
        <w:t xml:space="preserve">. ESC also agreed with the Department’s request to </w:t>
      </w:r>
      <w:r w:rsidRPr="0048652A">
        <w:t>includ</w:t>
      </w:r>
      <w:r>
        <w:t>e</w:t>
      </w:r>
      <w:r w:rsidRPr="0048652A">
        <w:t xml:space="preserve"> a practice note on both proposed items to ensure that the testing methodology used is appropriately sensitive to detect the clinically relevant variants in the Australian population. This is consistent with the practice notes for the existing MBS items 73345–73350.</w:t>
      </w:r>
      <w:r w:rsidRPr="000E52D9">
        <w:t xml:space="preserve"> </w:t>
      </w:r>
    </w:p>
    <w:p w14:paraId="70F06EAC" w14:textId="77777777" w:rsidR="001D38B7" w:rsidRDefault="001D38B7" w:rsidP="001D38B7">
      <w:pPr>
        <w:spacing w:before="240"/>
      </w:pPr>
      <w:r>
        <w:t xml:space="preserve">ESC considered the current </w:t>
      </w:r>
      <w:r w:rsidRPr="0048652A">
        <w:t xml:space="preserve">restriction to first- and second-degree biological relatives </w:t>
      </w:r>
      <w:r>
        <w:t xml:space="preserve">to be </w:t>
      </w:r>
      <w:r w:rsidRPr="0048652A">
        <w:t>appropriate</w:t>
      </w:r>
      <w:r>
        <w:t>.</w:t>
      </w:r>
      <w:r w:rsidRPr="000E52D9">
        <w:t> </w:t>
      </w:r>
    </w:p>
    <w:p w14:paraId="52D2ACCD" w14:textId="77777777" w:rsidR="001D38B7" w:rsidRPr="00F245AB" w:rsidRDefault="001D38B7" w:rsidP="001D38B7">
      <w:pPr>
        <w:spacing w:before="240"/>
      </w:pPr>
      <w:r w:rsidRPr="000E3FB0">
        <w:t xml:space="preserve">ESC queried whether </w:t>
      </w:r>
      <w:r>
        <w:t xml:space="preserve">cascade testing </w:t>
      </w:r>
      <w:r w:rsidRPr="000E3FB0">
        <w:t xml:space="preserve">should include </w:t>
      </w:r>
      <w:r>
        <w:t xml:space="preserve">reproductive </w:t>
      </w:r>
      <w:r w:rsidRPr="000E3FB0">
        <w:t>partner testing if a recessive pathogenic</w:t>
      </w:r>
      <w:r>
        <w:t xml:space="preserve"> variant was identified in an affected patient. ESC noted that the inheritance pattern of most of the variants was dominant, but agreed that, for recessive inheritance patterns, partner testing would be appropriate.</w:t>
      </w:r>
    </w:p>
    <w:p w14:paraId="773C1919" w14:textId="77777777" w:rsidR="001D38B7" w:rsidRDefault="001D38B7" w:rsidP="001D38B7">
      <w:pPr>
        <w:spacing w:before="240"/>
      </w:pPr>
      <w:r>
        <w:t>ESC noted that some evidence on comparative safety in terms of psychological outcomes was provided by a</w:t>
      </w:r>
      <w:r w:rsidRPr="0048652A">
        <w:t xml:space="preserve"> study in a large LQTS</w:t>
      </w:r>
      <w:r>
        <w:t>-</w:t>
      </w:r>
      <w:r w:rsidRPr="0048652A">
        <w:t>genotyped patient cohort</w:t>
      </w:r>
      <w:r>
        <w:t xml:space="preserve">. This study found </w:t>
      </w:r>
      <w:r w:rsidRPr="0048652A">
        <w:t xml:space="preserve">that depressive symptoms </w:t>
      </w:r>
      <w:r>
        <w:t>we</w:t>
      </w:r>
      <w:r w:rsidRPr="0048652A">
        <w:t>re associated with arrhythmic events in patients with LQTS</w:t>
      </w:r>
      <w:r>
        <w:t>,</w:t>
      </w:r>
      <w:r w:rsidRPr="0048652A">
        <w:t xml:space="preserve"> rather than having a confirmed pathogenic gene variant. Depressive symptoms did not differ between asymptomatic LQTS variant carriers and their non-carrier relatives</w:t>
      </w:r>
      <w:r>
        <w:t>. In addition, ESC noted that n</w:t>
      </w:r>
      <w:r w:rsidRPr="0048652A">
        <w:t xml:space="preserve">o studies were identified that assessed the safety </w:t>
      </w:r>
      <w:r>
        <w:t xml:space="preserve">(e.g. adverse psychological outcomes) </w:t>
      </w:r>
      <w:r w:rsidRPr="0048652A">
        <w:t>of cascade screening for cardiac arrhythmias.</w:t>
      </w:r>
    </w:p>
    <w:p w14:paraId="579BD21C" w14:textId="77777777" w:rsidR="001D38B7" w:rsidRDefault="001D38B7" w:rsidP="001D38B7">
      <w:pPr>
        <w:spacing w:before="240"/>
      </w:pPr>
      <w:r w:rsidRPr="00447E95">
        <w:t xml:space="preserve">ESC noted that testing </w:t>
      </w:r>
      <w:r>
        <w:t xml:space="preserve">of </w:t>
      </w:r>
      <w:r w:rsidRPr="00447E95">
        <w:t>the affected patient leads to a clinical claim of non-inferiority</w:t>
      </w:r>
      <w:r>
        <w:t xml:space="preserve"> compared with no genetic testing. ESC noted that therapeutic effectiveness of genetic testing for</w:t>
      </w:r>
      <w:r w:rsidRPr="00C77660">
        <w:rPr>
          <w:lang w:val="en-US"/>
        </w:rPr>
        <w:t xml:space="preserve"> </w:t>
      </w:r>
      <w:r w:rsidRPr="00194E8D">
        <w:rPr>
          <w:lang w:val="en-US"/>
        </w:rPr>
        <w:t>inherited cardiac arrhythmia disorders</w:t>
      </w:r>
      <w:r>
        <w:t xml:space="preserve"> is uncertain. T</w:t>
      </w:r>
      <w:r w:rsidRPr="00F82035">
        <w:t xml:space="preserve">here </w:t>
      </w:r>
      <w:r>
        <w:t>i</w:t>
      </w:r>
      <w:r w:rsidRPr="00F82035">
        <w:t>s evidence for potential clinical utility arising from a change in a diagnosis from LQTS to catecholaminergic polymorphic ventricular tachycardia (CPVT) and vice versa, and clarification of LQTS subtype with more certainty. There was also potential to decrease both underdiagnosis and overdiagnosis</w:t>
      </w:r>
      <w:r>
        <w:t xml:space="preserve"> of LQTS</w:t>
      </w:r>
      <w:r w:rsidRPr="00F82035">
        <w:t>.</w:t>
      </w:r>
      <w:r>
        <w:t xml:space="preserve"> </w:t>
      </w:r>
      <w:r w:rsidRPr="00F82035">
        <w:t>Knowledge of which particular type of cardiac disorder or subtype of LQTS</w:t>
      </w:r>
      <w:r>
        <w:t xml:space="preserve"> </w:t>
      </w:r>
      <w:r w:rsidRPr="00F82035">
        <w:rPr>
          <w:lang w:val="en-US"/>
        </w:rPr>
        <w:t>may influence the lifestyle modifications recommended for those patients, and treatment options considered. But</w:t>
      </w:r>
      <w:r>
        <w:rPr>
          <w:lang w:val="en-US"/>
        </w:rPr>
        <w:t xml:space="preserve"> it is</w:t>
      </w:r>
      <w:r w:rsidRPr="00F82035">
        <w:rPr>
          <w:lang w:val="en-US"/>
        </w:rPr>
        <w:t xml:space="preserve"> unclear how often treatment based on clinical assessment </w:t>
      </w:r>
      <w:r>
        <w:rPr>
          <w:lang w:val="en-US"/>
        </w:rPr>
        <w:t>plus</w:t>
      </w:r>
      <w:r w:rsidRPr="00F82035">
        <w:rPr>
          <w:lang w:val="en-US"/>
        </w:rPr>
        <w:t xml:space="preserve"> genotype information differs to that based on clinical assessment alone</w:t>
      </w:r>
      <w:r w:rsidRPr="0048652A">
        <w:t>.</w:t>
      </w:r>
      <w:r>
        <w:t xml:space="preserve"> In addition, ESC noted that there is n</w:t>
      </w:r>
      <w:r w:rsidRPr="003273E0">
        <w:t xml:space="preserve">o evidence on whether management of </w:t>
      </w:r>
      <w:r>
        <w:t>affected individual</w:t>
      </w:r>
      <w:r w:rsidRPr="003273E0">
        <w:t xml:space="preserve"> Brugada syndrome </w:t>
      </w:r>
      <w:r>
        <w:t xml:space="preserve">(BrS) </w:t>
      </w:r>
      <w:r w:rsidRPr="003273E0">
        <w:t xml:space="preserve">or CPVT cases are changed by </w:t>
      </w:r>
      <w:r>
        <w:t xml:space="preserve">identifying the </w:t>
      </w:r>
      <w:r w:rsidRPr="003273E0">
        <w:t>genotype.</w:t>
      </w:r>
    </w:p>
    <w:p w14:paraId="0FD86A18" w14:textId="7A6820B4" w:rsidR="001D38B7" w:rsidRDefault="001D38B7" w:rsidP="001D38B7">
      <w:pPr>
        <w:spacing w:before="240"/>
      </w:pPr>
      <w:r>
        <w:t>ESC noted the claim of superiority for cascade testing, in which relatives of the proband who test positive can begin early management and/or prophylactic beta-blockers, and relatives of the proband who do not inherit the pathologic variant can be spared ongoing cardiac surveillance and therapy. ESC noted that the penetrance of the pathogenic genetic variants for LQTS, BrS and CPVT is uncertain and variable. ESC noted that symptomatic family members will likely have little incremental benefit from undergoing genetic testing, whereas asymptomatic people who carry pathogenic variants</w:t>
      </w:r>
      <w:r w:rsidRPr="003273E0">
        <w:t xml:space="preserve"> may benefit from </w:t>
      </w:r>
      <w:r>
        <w:t xml:space="preserve">commencing </w:t>
      </w:r>
      <w:r w:rsidRPr="003273E0">
        <w:t>prophylactic treatment to reduce their risk of having cardiac events.</w:t>
      </w:r>
      <w:r>
        <w:t xml:space="preserve"> For LQTS, t</w:t>
      </w:r>
      <w:r w:rsidRPr="003273E0">
        <w:t xml:space="preserve">reatment with beta-blocker therapy is associated with a 25% reduction in aborted cardiac arrest and has similar effects in those with prolonged QTc </w:t>
      </w:r>
      <w:r>
        <w:t xml:space="preserve">(corrected QT) intervals </w:t>
      </w:r>
      <w:r w:rsidRPr="003273E0">
        <w:t>and those without prolonged QTc</w:t>
      </w:r>
      <w:r>
        <w:t xml:space="preserve"> intervals</w:t>
      </w:r>
      <w:r w:rsidRPr="003273E0">
        <w:t>.</w:t>
      </w:r>
      <w:r>
        <w:t xml:space="preserve"> For CPVT, the </w:t>
      </w:r>
      <w:r w:rsidRPr="003273E0">
        <w:t xml:space="preserve">effectiveness of prophylactic treatment </w:t>
      </w:r>
      <w:r>
        <w:t xml:space="preserve">is </w:t>
      </w:r>
      <w:r w:rsidRPr="003273E0">
        <w:t>unclear.</w:t>
      </w:r>
    </w:p>
    <w:p w14:paraId="7C6AE019" w14:textId="77777777" w:rsidR="001D38B7" w:rsidRDefault="001D38B7" w:rsidP="001D38B7">
      <w:pPr>
        <w:spacing w:before="240"/>
      </w:pPr>
      <w:r>
        <w:t>ESC noted that the pre-ESC response regarding benefits of genetic testing (including avoided cardiac magnetic resonance imaging scans and echocardiograms) assumed this would be primarily in the family members who are found to not inherit the familial variant; however, ESC agreed with the rejoinder in that although this hypothesis appears reasonable, there is no real world evidence currently available to support these claims.</w:t>
      </w:r>
    </w:p>
    <w:p w14:paraId="2B2426EE" w14:textId="77777777" w:rsidR="001D38B7" w:rsidRDefault="001D38B7" w:rsidP="001D38B7">
      <w:pPr>
        <w:spacing w:before="240"/>
      </w:pPr>
      <w:r>
        <w:t xml:space="preserve">Consumer issues noted by ESC were that if testing remains unfunded, </w:t>
      </w:r>
      <w:r w:rsidRPr="00905404">
        <w:t xml:space="preserve">people </w:t>
      </w:r>
      <w:r>
        <w:t>un</w:t>
      </w:r>
      <w:r w:rsidRPr="00905404">
        <w:t xml:space="preserve">able to afford testing </w:t>
      </w:r>
      <w:r>
        <w:t>would</w:t>
      </w:r>
      <w:r w:rsidRPr="00905404">
        <w:t xml:space="preserve"> not </w:t>
      </w:r>
      <w:r>
        <w:t>receive</w:t>
      </w:r>
      <w:r w:rsidRPr="00905404">
        <w:t xml:space="preserve"> a potentially life-saving diagnosis</w:t>
      </w:r>
      <w:r>
        <w:t xml:space="preserve"> – an ethical discussion alongside the economic evaluation would allow further examination of this issue. Genetic testing may facilitate probands to join communities of shared interest. Referral for genetic testing should be relatively easy in order to prevent delay in appropriate diagnosis and treatment. Patients</w:t>
      </w:r>
      <w:r w:rsidRPr="00905404">
        <w:t xml:space="preserve"> with one of the variants </w:t>
      </w:r>
      <w:r>
        <w:t xml:space="preserve">detectable by NGS but </w:t>
      </w:r>
      <w:r w:rsidRPr="00905404">
        <w:t xml:space="preserve">not </w:t>
      </w:r>
      <w:r>
        <w:t>Sanger sequencing may be disadvantaged. As with other heritable conditions, those unable to know their family history (e.g. donor-conceived) would not be fully able to participate in cascade testing.</w:t>
      </w:r>
      <w:r w:rsidRPr="00054395">
        <w:t xml:space="preserve"> </w:t>
      </w:r>
      <w:r>
        <w:t>Ethnic differences should be considered when using panels of genetic tests, including populations currently under-represented in genomic databases.</w:t>
      </w:r>
    </w:p>
    <w:p w14:paraId="24F63814" w14:textId="77777777" w:rsidR="001D38B7" w:rsidRDefault="001D38B7" w:rsidP="001D38B7">
      <w:pPr>
        <w:spacing w:before="240"/>
      </w:pPr>
      <w:r>
        <w:t xml:space="preserve">ESC queried whether Centres of Excellence (CoEs) could be asked to contribute data to help determine how genetic analysis changes patient management. Patients with such cardiac conditions are currently referred to CoEs for genetic testing (including cascade testing of family members) and data are centralised. These data may provide information regarding patient management with and without genetic testing. </w:t>
      </w:r>
    </w:p>
    <w:p w14:paraId="14D212E9" w14:textId="77777777" w:rsidR="001D38B7" w:rsidRDefault="001D38B7" w:rsidP="001D38B7">
      <w:pPr>
        <w:spacing w:before="240"/>
      </w:pPr>
      <w:r>
        <w:t>ESC noted the approach in the economic evaluation was a cost-effectiveness analysis (</w:t>
      </w:r>
      <w:r w:rsidRPr="0092750E">
        <w:t>CEA</w:t>
      </w:r>
      <w:r>
        <w:t>)</w:t>
      </w:r>
      <w:r w:rsidRPr="0092750E">
        <w:t xml:space="preserve"> of genetic testing in affected patients</w:t>
      </w:r>
      <w:r>
        <w:t>, and a c</w:t>
      </w:r>
      <w:r w:rsidRPr="0092750E">
        <w:t>ost-comparison and secondary CEA for cascade testing</w:t>
      </w:r>
      <w:r>
        <w:t>. ESC noted that a number of anecdotal benefits were presented but not modelled. ESC considered that the 40-year time horizon used in the modelling was unlikely to be justified, and queried the starting age. ESC considered if the 40-year time horizon would account for the potential to develop another cardiac-related condition, the management of which would make dedicated surveillance no longer required.</w:t>
      </w:r>
    </w:p>
    <w:p w14:paraId="5A2C3E99" w14:textId="77777777" w:rsidR="001D38B7" w:rsidRDefault="001D38B7" w:rsidP="001D38B7">
      <w:pPr>
        <w:spacing w:before="240"/>
      </w:pPr>
      <w:r>
        <w:t>ESC noted that there was no information presented about treatment or management adherence. The economic model was based on clinical guidelines and adherence was assumed to be 100% for all relatives, which ESC considered to be overly optimistic.</w:t>
      </w:r>
    </w:p>
    <w:p w14:paraId="6E6A5822" w14:textId="77777777" w:rsidR="001D38B7" w:rsidRDefault="001D38B7" w:rsidP="001D38B7">
      <w:pPr>
        <w:spacing w:before="240"/>
      </w:pPr>
      <w:r>
        <w:t>ESC noted that the incremental cost-effectiveness ratios (ICERs) of $</w:t>
      </w:r>
      <w:r w:rsidRPr="00754CF9">
        <w:t>4,721</w:t>
      </w:r>
      <w:r w:rsidRPr="00C9541A">
        <w:t xml:space="preserve"> per positive</w:t>
      </w:r>
      <w:r>
        <w:t xml:space="preserve"> genotyping and $19,101 per misdiagnosis identified, which was considered to be high given limited usefulness of this information in </w:t>
      </w:r>
      <w:r w:rsidRPr="002F12CA">
        <w:t>affected patients, but</w:t>
      </w:r>
      <w:r>
        <w:t xml:space="preserve"> acknowledged that this did not account for the key benefit of enabling cascade testing. The stepped analysis suggested that testing was dominant for the index case plus first-degree relative testing, and for index case plus first- and second-degree relative testing, with higher cost-savings when the testing was expanded to include second-degree relatives. However, ESC considered these outcomes to be highly uncertain, and noted that dominance represented circumstances that favoured the proposed intervention, including 100% testing uptake among relatives and the avoided costs of surveillance that assumed maintenance of perfect adherence over a long period of 40 years.</w:t>
      </w:r>
    </w:p>
    <w:p w14:paraId="00C4076B" w14:textId="77777777" w:rsidR="001D38B7" w:rsidRDefault="001D38B7" w:rsidP="001D38B7">
      <w:pPr>
        <w:spacing w:before="240"/>
      </w:pPr>
      <w:r>
        <w:t xml:space="preserve">ESC noted the pre-ESC response, which queried whether the assessment group used an appropriate diagnostic yield and whether using data from the </w:t>
      </w:r>
      <w:r w:rsidRPr="002F12CA">
        <w:t xml:space="preserve">Australian Cardiac Genomic Flagship Audit </w:t>
      </w:r>
      <w:r>
        <w:t>was</w:t>
      </w:r>
      <w:r w:rsidRPr="002F12CA">
        <w:t xml:space="preserve"> appropriate</w:t>
      </w:r>
      <w:r>
        <w:t>. ESC agreed with the rejoinder, which stated that the economic evaluation included a range of estimates, and the values used reflect current Australian clinical practice and the literature. ESC also agreed with the presented sensitivity analyses.</w:t>
      </w:r>
    </w:p>
    <w:p w14:paraId="7B5D391B" w14:textId="77777777" w:rsidR="001D38B7" w:rsidRPr="001D38B7" w:rsidRDefault="001D38B7" w:rsidP="001D38B7">
      <w:pPr>
        <w:spacing w:before="240"/>
      </w:pPr>
      <w:r>
        <w:t xml:space="preserve">ESC noted that the financial impacts accounted for short-term (i.e. testing and counselling) costs only and did not reflect the changing cost of surveillance captured in the economic model. Financial impacts were driven by uptake and diagnostic yield, and varied considerably depending on these two factors. ESC noted that while the minimum 10% diagnostic yield threshold is the same as that used in </w:t>
      </w:r>
      <w:r>
        <w:rPr>
          <w:i/>
        </w:rPr>
        <w:t>BRCA</w:t>
      </w:r>
      <w:r>
        <w:t xml:space="preserve"> analyses, this is a standard feature of the CUC and the 10% threshold was determined independently of </w:t>
      </w:r>
      <w:r>
        <w:rPr>
          <w:i/>
        </w:rPr>
        <w:t>BRCA</w:t>
      </w:r>
      <w:r>
        <w:t xml:space="preserve"> analyses.</w:t>
      </w:r>
    </w:p>
    <w:p w14:paraId="4264CB94" w14:textId="77777777" w:rsidR="00D90A38" w:rsidRPr="00F715D1" w:rsidRDefault="00BC1364" w:rsidP="00F715D1">
      <w:pPr>
        <w:pStyle w:val="Heading1"/>
      </w:pPr>
      <w:r w:rsidRPr="00F715D1">
        <w:t>Other significant factors</w:t>
      </w:r>
    </w:p>
    <w:p w14:paraId="2FE2BB11" w14:textId="77777777" w:rsidR="00BC1364" w:rsidRPr="005A4362" w:rsidRDefault="00BC1364" w:rsidP="001D38B7">
      <w:r w:rsidRPr="005A4362">
        <w:t>Nil</w:t>
      </w:r>
      <w:r w:rsidR="001D38B7">
        <w:t>.</w:t>
      </w:r>
    </w:p>
    <w:p w14:paraId="282F4DE6" w14:textId="303D40C2" w:rsidR="00BC1364" w:rsidRDefault="00C06B0B" w:rsidP="00F715D1">
      <w:pPr>
        <w:pStyle w:val="Heading1"/>
      </w:pPr>
      <w:r>
        <w:t>Applicant</w:t>
      </w:r>
      <w:r w:rsidR="00BC1364" w:rsidRPr="00F715D1">
        <w:t xml:space="preserve"> comments on MSAC’s </w:t>
      </w:r>
      <w:r w:rsidR="00DA56AA" w:rsidRPr="00F715D1">
        <w:t>Public Summary Document</w:t>
      </w:r>
    </w:p>
    <w:p w14:paraId="38EA196F" w14:textId="1CDBF759" w:rsidR="008E097E" w:rsidRPr="008E097E" w:rsidRDefault="008E097E" w:rsidP="008E097E">
      <w:r>
        <w:t>The</w:t>
      </w:r>
      <w:r w:rsidRPr="00754CF9">
        <w:t xml:space="preserve"> Royal College of Pathologists of Australasia (the College) would like to take this opportunity to thank the Department and the MSAC for their assistance in moving this application forward to a successful outcome, which will provide certainty of knowing for patients with an inheritable cardiac disorder and, importantly, their family members.</w:t>
      </w:r>
    </w:p>
    <w:p w14:paraId="6A9CF566" w14:textId="78282D9D" w:rsidR="00BC1364" w:rsidRPr="00F715D1" w:rsidRDefault="00271F18" w:rsidP="00F715D1">
      <w:pPr>
        <w:pStyle w:val="Heading1"/>
      </w:pPr>
      <w:r w:rsidRPr="00F715D1">
        <w:t>Further information on MSAC</w:t>
      </w:r>
    </w:p>
    <w:p w14:paraId="227F416B"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7"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8"/>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2676CC" w16cid:durableId="238DEF4D"/>
  <w16cid:commentId w16cid:paraId="0859088D" w16cid:durableId="238DEF4E"/>
  <w16cid:commentId w16cid:paraId="3CE4E983" w16cid:durableId="238DEF4F"/>
  <w16cid:commentId w16cid:paraId="305AD493" w16cid:durableId="238DEF50"/>
  <w16cid:commentId w16cid:paraId="3C69EA8A" w16cid:durableId="238DEF51"/>
  <w16cid:commentId w16cid:paraId="4F609EFA" w16cid:durableId="238DEF52"/>
  <w16cid:commentId w16cid:paraId="3BF1B890" w16cid:durableId="238DEF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4339B" w14:textId="77777777" w:rsidR="00754CF9" w:rsidRDefault="00754CF9" w:rsidP="00065623">
      <w:r>
        <w:separator/>
      </w:r>
    </w:p>
  </w:endnote>
  <w:endnote w:type="continuationSeparator" w:id="0">
    <w:p w14:paraId="1DFD9537" w14:textId="77777777" w:rsidR="00754CF9" w:rsidRDefault="00754CF9" w:rsidP="00065623">
      <w:r>
        <w:continuationSeparator/>
      </w:r>
    </w:p>
  </w:endnote>
  <w:endnote w:type="continuationNotice" w:id="1">
    <w:p w14:paraId="7BB4C302" w14:textId="77777777" w:rsidR="00754CF9" w:rsidRDefault="00754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773568"/>
      <w:docPartObj>
        <w:docPartGallery w:val="Page Numbers (Bottom of Page)"/>
        <w:docPartUnique/>
      </w:docPartObj>
    </w:sdtPr>
    <w:sdtEndPr>
      <w:rPr>
        <w:noProof/>
      </w:rPr>
    </w:sdtEndPr>
    <w:sdtContent>
      <w:p w14:paraId="51D9BF82" w14:textId="2B40D028" w:rsidR="00754CF9" w:rsidRDefault="00754CF9">
        <w:pPr>
          <w:pStyle w:val="Footer"/>
          <w:jc w:val="right"/>
        </w:pPr>
        <w:r>
          <w:fldChar w:fldCharType="begin"/>
        </w:r>
        <w:r>
          <w:instrText xml:space="preserve"> PAGE   \* MERGEFORMAT </w:instrText>
        </w:r>
        <w:r>
          <w:fldChar w:fldCharType="separate"/>
        </w:r>
        <w:r w:rsidR="002C6DB1">
          <w:rPr>
            <w:noProof/>
          </w:rPr>
          <w:t>1</w:t>
        </w:r>
        <w:r>
          <w:rPr>
            <w:noProof/>
          </w:rPr>
          <w:fldChar w:fldCharType="end"/>
        </w:r>
      </w:p>
    </w:sdtContent>
  </w:sdt>
  <w:p w14:paraId="2994B538" w14:textId="77777777" w:rsidR="00754CF9" w:rsidRDefault="00754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430064"/>
      <w:docPartObj>
        <w:docPartGallery w:val="Page Numbers (Bottom of Page)"/>
        <w:docPartUnique/>
      </w:docPartObj>
    </w:sdtPr>
    <w:sdtEndPr>
      <w:rPr>
        <w:noProof/>
      </w:rPr>
    </w:sdtEndPr>
    <w:sdtContent>
      <w:p w14:paraId="12B8E761" w14:textId="2563B8DF" w:rsidR="00754CF9" w:rsidRDefault="00754CF9" w:rsidP="00FD04F7">
        <w:pPr>
          <w:pStyle w:val="Footer"/>
          <w:tabs>
            <w:tab w:val="left" w:pos="6946"/>
          </w:tabs>
        </w:pPr>
        <w:r>
          <w:t xml:space="preserve">MSAC 1598 Genetic testing for cardiac rhythm disorders </w:t>
        </w:r>
        <w:r>
          <w:tab/>
          <w:t xml:space="preserve">8-9 October 2020 </w:t>
        </w:r>
        <w:r>
          <w:tab/>
        </w:r>
        <w:r>
          <w:fldChar w:fldCharType="begin"/>
        </w:r>
        <w:r>
          <w:instrText xml:space="preserve"> PAGE   \* MERGEFORMAT </w:instrText>
        </w:r>
        <w:r>
          <w:fldChar w:fldCharType="separate"/>
        </w:r>
        <w:r w:rsidR="002C6DB1">
          <w:rPr>
            <w:noProof/>
          </w:rPr>
          <w:t>23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0F8D738F" w14:textId="13EDACBB" w:rsidR="00754CF9" w:rsidRDefault="00754CF9">
        <w:pPr>
          <w:pStyle w:val="Footer"/>
          <w:jc w:val="right"/>
        </w:pPr>
        <w:r>
          <w:fldChar w:fldCharType="begin"/>
        </w:r>
        <w:r>
          <w:instrText xml:space="preserve"> PAGE   \* MERGEFORMAT </w:instrText>
        </w:r>
        <w:r>
          <w:fldChar w:fldCharType="separate"/>
        </w:r>
        <w:r w:rsidR="002C6DB1">
          <w:rPr>
            <w:noProof/>
          </w:rPr>
          <w:t>32</w:t>
        </w:r>
        <w:r>
          <w:rPr>
            <w:noProof/>
          </w:rPr>
          <w:fldChar w:fldCharType="end"/>
        </w:r>
      </w:p>
    </w:sdtContent>
  </w:sdt>
  <w:p w14:paraId="4096EA4C" w14:textId="77777777" w:rsidR="00754CF9" w:rsidRDefault="00754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CDC41" w14:textId="77777777" w:rsidR="00754CF9" w:rsidRDefault="00754CF9" w:rsidP="00065623">
      <w:r>
        <w:separator/>
      </w:r>
    </w:p>
  </w:footnote>
  <w:footnote w:type="continuationSeparator" w:id="0">
    <w:p w14:paraId="477505F4" w14:textId="77777777" w:rsidR="00754CF9" w:rsidRDefault="00754CF9" w:rsidP="00065623">
      <w:r>
        <w:continuationSeparator/>
      </w:r>
    </w:p>
  </w:footnote>
  <w:footnote w:type="continuationNotice" w:id="1">
    <w:p w14:paraId="0E85B6A8" w14:textId="77777777" w:rsidR="00754CF9" w:rsidRDefault="00754CF9"/>
  </w:footnote>
  <w:footnote w:id="2">
    <w:p w14:paraId="7EFFC2F2" w14:textId="77777777" w:rsidR="00754CF9" w:rsidRDefault="00754CF9">
      <w:pPr>
        <w:pStyle w:val="FootnoteText"/>
      </w:pPr>
      <w:r>
        <w:rPr>
          <w:rStyle w:val="FootnoteReference"/>
        </w:rPr>
        <w:footnoteRef/>
      </w:r>
      <w:r>
        <w:t xml:space="preserve"> </w:t>
      </w:r>
      <w:r w:rsidRPr="00D0237E">
        <w:t xml:space="preserve">Kapa, S, </w:t>
      </w:r>
      <w:r>
        <w:t>et al.,</w:t>
      </w:r>
      <w:r w:rsidRPr="00D0237E">
        <w:t xml:space="preserve"> 2009, 'Genetic testing for long-</w:t>
      </w:r>
      <w:r>
        <w:t>QT</w:t>
      </w:r>
      <w:r w:rsidRPr="00D0237E">
        <w:t xml:space="preserve"> syndrome: Distinguishing pathogenic mutations from benign variants', Circulation, vol. 120, no. 18, 2009, pp. 1752-1760.</w:t>
      </w:r>
    </w:p>
  </w:footnote>
  <w:footnote w:id="3">
    <w:p w14:paraId="34E6B2A7" w14:textId="77777777" w:rsidR="00754CF9" w:rsidRDefault="00754CF9" w:rsidP="00FD04F7">
      <w:pPr>
        <w:pStyle w:val="FootnoteText"/>
      </w:pPr>
      <w:r>
        <w:rPr>
          <w:rStyle w:val="FootnoteReference"/>
        </w:rPr>
        <w:footnoteRef/>
      </w:r>
      <w:r>
        <w:t xml:space="preserve"> </w:t>
      </w:r>
      <w:r w:rsidRPr="00A67CC3">
        <w:t>Waddell-Smith, KE &amp; Skinner, JR 2016, 'Update on the Diagnosis and Management of Familial Long QT Syndrome', Heart Lung Circ, vol. 25, no. 8, Aug, pp. 769-776.</w:t>
      </w:r>
    </w:p>
  </w:footnote>
  <w:footnote w:id="4">
    <w:p w14:paraId="11608A83" w14:textId="77777777" w:rsidR="00754CF9" w:rsidRDefault="00754CF9" w:rsidP="00FD04F7">
      <w:pPr>
        <w:pStyle w:val="FootnoteText"/>
      </w:pPr>
      <w:r>
        <w:rPr>
          <w:rStyle w:val="FootnoteReference"/>
        </w:rPr>
        <w:footnoteRef/>
      </w:r>
      <w:r>
        <w:t xml:space="preserve"> </w:t>
      </w:r>
      <w:r w:rsidRPr="001E2E49">
        <w:t xml:space="preserve">Ackerman, MJ, </w:t>
      </w:r>
      <w:r>
        <w:t>et al.</w:t>
      </w:r>
      <w:r w:rsidRPr="001E2E49">
        <w:t xml:space="preserve"> 2011, 'HRS/EHRA expert consensus statement on the state of genetic testing for the channelopathies and cardiomyopathies', Heart Rhythm, vol. 8, no. 8, Aug, pp. 1308-1339.</w:t>
      </w:r>
    </w:p>
  </w:footnote>
  <w:footnote w:id="5">
    <w:p w14:paraId="3FAE6EE6" w14:textId="77777777" w:rsidR="00754CF9" w:rsidRDefault="00754CF9" w:rsidP="00FD04F7">
      <w:pPr>
        <w:pStyle w:val="FootnoteText"/>
      </w:pPr>
      <w:r>
        <w:rPr>
          <w:rStyle w:val="FootnoteReference"/>
        </w:rPr>
        <w:footnoteRef/>
      </w:r>
      <w:r>
        <w:t xml:space="preserve"> </w:t>
      </w:r>
      <w:r w:rsidRPr="00F16DEF">
        <w:t>Crotti L, et al.</w:t>
      </w:r>
      <w:r>
        <w:t xml:space="preserve"> 2019,</w:t>
      </w:r>
      <w:r w:rsidRPr="00F16DEF">
        <w:t xml:space="preserve"> </w:t>
      </w:r>
      <w:r>
        <w:t>‘</w:t>
      </w:r>
      <w:r w:rsidRPr="00F16DEF">
        <w:t>Calmodulin mutations and life-threatening cardiac arrhythmias: insights from the International Calmodulinopathy Registry</w:t>
      </w:r>
      <w:r>
        <w:t xml:space="preserve">’, Eur Heart J, vol </w:t>
      </w:r>
      <w:r w:rsidRPr="00F16DEF">
        <w:t>40</w:t>
      </w:r>
      <w:r>
        <w:t xml:space="preserve">, no. </w:t>
      </w:r>
      <w:r w:rsidRPr="00F16DEF">
        <w:t>35</w:t>
      </w:r>
      <w:r>
        <w:t>, pp. 2964-2975.</w:t>
      </w:r>
    </w:p>
  </w:footnote>
  <w:footnote w:id="6">
    <w:p w14:paraId="21E146F2" w14:textId="77777777" w:rsidR="00754CF9" w:rsidRDefault="00754CF9" w:rsidP="00FD04F7">
      <w:pPr>
        <w:pStyle w:val="FootnoteText"/>
      </w:pPr>
      <w:r>
        <w:rPr>
          <w:rStyle w:val="FootnoteReference"/>
        </w:rPr>
        <w:footnoteRef/>
      </w:r>
      <w:r>
        <w:t xml:space="preserve"> </w:t>
      </w:r>
      <w:r w:rsidRPr="001B46A3">
        <w:t>Kline, J &amp; Costantini, O 2019, 'Inherited Cardiac Arrhythmias and Channelopathies', Med Clin North Am, vol. 103, no. 5, Sep, pp. 809-820.</w:t>
      </w:r>
    </w:p>
  </w:footnote>
  <w:footnote w:id="7">
    <w:p w14:paraId="5A6B8023" w14:textId="77777777" w:rsidR="00754CF9" w:rsidRDefault="00754CF9" w:rsidP="00FD04F7">
      <w:pPr>
        <w:pStyle w:val="FootnoteText"/>
      </w:pPr>
      <w:r>
        <w:rPr>
          <w:rStyle w:val="FootnoteReference"/>
        </w:rPr>
        <w:footnoteRef/>
      </w:r>
      <w:r>
        <w:t xml:space="preserve"> Mizusawa, Y et al. </w:t>
      </w:r>
      <w:r w:rsidRPr="001B46A3">
        <w:t>2016, 'Prognostic significance of fever-induced Brugada syndrome', review of 1598, Heart Rhythm, vol. 13, no. 7, 2016, pp. 1515-1520.</w:t>
      </w:r>
    </w:p>
  </w:footnote>
  <w:footnote w:id="8">
    <w:p w14:paraId="691FB0D4" w14:textId="77777777" w:rsidR="00754CF9" w:rsidRDefault="00754CF9" w:rsidP="00FD04F7">
      <w:pPr>
        <w:pStyle w:val="FootnoteText"/>
      </w:pPr>
      <w:r>
        <w:rPr>
          <w:rStyle w:val="FootnoteReference"/>
        </w:rPr>
        <w:footnoteRef/>
      </w:r>
      <w:r>
        <w:t xml:space="preserve"> </w:t>
      </w:r>
      <w:r w:rsidRPr="001E2E49">
        <w:t xml:space="preserve">Hocini, M, </w:t>
      </w:r>
      <w:r>
        <w:t>et al.</w:t>
      </w:r>
      <w:r w:rsidRPr="001E2E49">
        <w:t xml:space="preserve"> 2014, 'Diagnosis and management of patients with inherited arrhythmia syndromes in Europe: results of the European Heart Rhythm Association Survey', EP Europace, vol. 16, no. 4, pp. 600-603.</w:t>
      </w:r>
    </w:p>
  </w:footnote>
  <w:footnote w:id="9">
    <w:p w14:paraId="7FCFA75A" w14:textId="77777777" w:rsidR="00754CF9" w:rsidRDefault="00754CF9" w:rsidP="00FD04F7">
      <w:pPr>
        <w:pStyle w:val="FootnoteText"/>
      </w:pPr>
      <w:r>
        <w:rPr>
          <w:rStyle w:val="FootnoteReference"/>
        </w:rPr>
        <w:footnoteRef/>
      </w:r>
      <w:r>
        <w:t xml:space="preserve"> Schwartz, PJ, et al. 2013, 'Impact of genetics on the clinical management of channelopathies', J Am Coll Cardiol, vol. 62, no. 3, Jul 16, pp. 169-180.</w:t>
      </w:r>
    </w:p>
  </w:footnote>
  <w:footnote w:id="10">
    <w:p w14:paraId="5C542EF1" w14:textId="77777777" w:rsidR="00754CF9" w:rsidRDefault="00754CF9" w:rsidP="00FD04F7">
      <w:pPr>
        <w:pStyle w:val="FootnoteText"/>
      </w:pPr>
      <w:r>
        <w:rPr>
          <w:rStyle w:val="FootnoteReference"/>
        </w:rPr>
        <w:footnoteRef/>
      </w:r>
      <w:r>
        <w:t xml:space="preserve"> </w:t>
      </w:r>
      <w:r w:rsidRPr="001E2E49">
        <w:t xml:space="preserve">Ackerman, MJ, </w:t>
      </w:r>
      <w:r>
        <w:t>et al.</w:t>
      </w:r>
      <w:r w:rsidRPr="001E2E49">
        <w:t xml:space="preserve"> 2011, 'HRS/EHRA expert consensus statement on the state of genetic testing for the channelopathies and cardiomyopathies', Heart Rhythm, vol. 8, no. 8, Aug, pp. 1308-1339.</w:t>
      </w:r>
    </w:p>
  </w:footnote>
  <w:footnote w:id="11">
    <w:p w14:paraId="2499A826" w14:textId="77777777" w:rsidR="00754CF9" w:rsidRDefault="00754CF9" w:rsidP="00FD04F7">
      <w:pPr>
        <w:pStyle w:val="FootnoteText"/>
      </w:pPr>
      <w:r>
        <w:rPr>
          <w:rStyle w:val="FootnoteReference"/>
        </w:rPr>
        <w:footnoteRef/>
      </w:r>
      <w:r>
        <w:t xml:space="preserve"> </w:t>
      </w:r>
      <w:r w:rsidRPr="001E2E49">
        <w:t xml:space="preserve">Hocini, M, </w:t>
      </w:r>
      <w:r>
        <w:t>et al.</w:t>
      </w:r>
      <w:r w:rsidRPr="001E2E49">
        <w:t xml:space="preserve"> 2014, 'Diagnosis and management of patients with inherited arrhythmia syndromes in Europe: results of the European Heart Rhythm Association Survey', EP Europace, vol. 16, no. 4, pp. 600-603.</w:t>
      </w:r>
    </w:p>
  </w:footnote>
  <w:footnote w:id="12">
    <w:p w14:paraId="35D4700E" w14:textId="77777777" w:rsidR="00754CF9" w:rsidRDefault="00754CF9">
      <w:pPr>
        <w:pStyle w:val="FootnoteText"/>
      </w:pPr>
      <w:r>
        <w:rPr>
          <w:rStyle w:val="FootnoteReference"/>
        </w:rPr>
        <w:footnoteRef/>
      </w:r>
      <w:r>
        <w:t xml:space="preserve"> Australian Genomics PanelApp </w:t>
      </w:r>
      <w:hyperlink r:id="rId1" w:history="1">
        <w:r w:rsidRPr="005868DB">
          <w:rPr>
            <w:rStyle w:val="Hyperlink"/>
          </w:rPr>
          <w:t xml:space="preserve">Arrhythmia </w:t>
        </w:r>
        <w:r>
          <w:rPr>
            <w:rStyle w:val="Hyperlink"/>
          </w:rPr>
          <w:t>s</w:t>
        </w:r>
        <w:r w:rsidRPr="005868DB">
          <w:rPr>
            <w:rStyle w:val="Hyperlink"/>
          </w:rPr>
          <w:t>uper</w:t>
        </w:r>
        <w:r>
          <w:rPr>
            <w:rStyle w:val="Hyperlink"/>
          </w:rPr>
          <w:t xml:space="preserve"> </w:t>
        </w:r>
        <w:r w:rsidRPr="005868DB">
          <w:rPr>
            <w:rStyle w:val="Hyperlink"/>
          </w:rPr>
          <w:t>panel</w:t>
        </w:r>
      </w:hyperlink>
    </w:p>
  </w:footnote>
  <w:footnote w:id="13">
    <w:p w14:paraId="31DB900B" w14:textId="77777777" w:rsidR="00754CF9" w:rsidRDefault="00754CF9" w:rsidP="00FD04F7">
      <w:pPr>
        <w:pStyle w:val="FootnoteText"/>
      </w:pPr>
      <w:r>
        <w:rPr>
          <w:rStyle w:val="FootnoteReference"/>
        </w:rPr>
        <w:footnoteRef/>
      </w:r>
      <w:r>
        <w:t xml:space="preserve"> </w:t>
      </w:r>
      <w:r w:rsidRPr="00A67CC3">
        <w:t>Waddell-Smith, KE &amp; Skinner, JR 2016, 'Update on the Diagnosis and Management of Familial Long QT Syndrome', Heart Lung Circ, vol. 25, no. 8, Aug, pp. 769-776.</w:t>
      </w:r>
    </w:p>
  </w:footnote>
  <w:footnote w:id="14">
    <w:p w14:paraId="4F31D05C" w14:textId="77777777" w:rsidR="00754CF9" w:rsidRDefault="00754CF9" w:rsidP="00FD04F7">
      <w:pPr>
        <w:pStyle w:val="FootnoteText"/>
      </w:pPr>
      <w:r>
        <w:rPr>
          <w:rStyle w:val="FootnoteReference"/>
        </w:rPr>
        <w:footnoteRef/>
      </w:r>
      <w:r>
        <w:t xml:space="preserve"> Earle, N et al. 2013, ‘Community detection of long QT syndrome with a clinical registry: an alternative to ECG screening programs?’, Heart Rhythm, 10: 233-238.</w:t>
      </w:r>
    </w:p>
  </w:footnote>
  <w:footnote w:id="15">
    <w:p w14:paraId="45133582" w14:textId="77777777" w:rsidR="00754CF9" w:rsidRDefault="00754CF9" w:rsidP="00FD04F7">
      <w:pPr>
        <w:pStyle w:val="FootnoteText"/>
      </w:pPr>
      <w:r>
        <w:rPr>
          <w:rStyle w:val="FootnoteReference"/>
        </w:rPr>
        <w:footnoteRef/>
      </w:r>
      <w:r>
        <w:t xml:space="preserve"> </w:t>
      </w:r>
      <w:r w:rsidRPr="00CD02A2">
        <w:t>Ackerman, MJ 2005, 'Cardiac causes of sudden unexpected death in children and their relationship to seizures and syncope: genetic testing for cardiac electropathies', Semin Pediatr Neurol, vol. 12, no. 1, Mar, pp. 52-58.</w:t>
      </w:r>
    </w:p>
  </w:footnote>
  <w:footnote w:id="16">
    <w:p w14:paraId="0CF89F23" w14:textId="77777777" w:rsidR="00754CF9" w:rsidRDefault="00754CF9" w:rsidP="00FD04F7">
      <w:pPr>
        <w:pStyle w:val="FootnoteText"/>
      </w:pPr>
      <w:r>
        <w:rPr>
          <w:rStyle w:val="FootnoteReference"/>
        </w:rPr>
        <w:footnoteRef/>
      </w:r>
      <w:r>
        <w:t xml:space="preserve"> </w:t>
      </w:r>
      <w:r w:rsidRPr="00A67CC3">
        <w:t>Waddell-Smith, KE &amp; Skinner, JR 2016, 'Update on the Diagnosis and Management of Familial Long QT Syndrome', Heart Lung Circ, vol. 25, no. 8, Aug, pp. 769-776.</w:t>
      </w:r>
    </w:p>
  </w:footnote>
  <w:footnote w:id="17">
    <w:p w14:paraId="38FDAC33" w14:textId="77777777" w:rsidR="00754CF9" w:rsidRDefault="00754CF9" w:rsidP="00FD04F7">
      <w:pPr>
        <w:pStyle w:val="FootnoteText"/>
      </w:pPr>
      <w:r>
        <w:rPr>
          <w:rStyle w:val="FootnoteReference"/>
        </w:rPr>
        <w:footnoteRef/>
      </w:r>
      <w:r>
        <w:t xml:space="preserve"> </w:t>
      </w:r>
      <w:r w:rsidRPr="000F73CF">
        <w:t xml:space="preserve">Mullally, J, </w:t>
      </w:r>
      <w:r>
        <w:t>et al.</w:t>
      </w:r>
      <w:r w:rsidRPr="000F73CF">
        <w:t xml:space="preserve"> 2013, 'Risk of life-threatening cardiac events among patients with long QT syndrome and multiple mutations', review of 1598, Heart Rhythm, vol. 10, no. 3, 2013, pp. 378-382.</w:t>
      </w:r>
    </w:p>
  </w:footnote>
  <w:footnote w:id="18">
    <w:p w14:paraId="76C3F9FD" w14:textId="77777777" w:rsidR="00754CF9" w:rsidRDefault="00754CF9" w:rsidP="00FD04F7">
      <w:pPr>
        <w:pStyle w:val="FootnoteText"/>
      </w:pPr>
      <w:r>
        <w:rPr>
          <w:rStyle w:val="FootnoteReference"/>
        </w:rPr>
        <w:footnoteRef/>
      </w:r>
      <w:r>
        <w:t xml:space="preserve"> </w:t>
      </w:r>
      <w:r w:rsidRPr="00A67CC3">
        <w:t>Waddell-Smith, KE &amp; Skinner, JR 2016, 'Update on the Diagnosis and Management of Familial Long QT Syndrome', Heart Lung Circ, vol. 25, no. 8, Aug, pp. 769-776.</w:t>
      </w:r>
    </w:p>
  </w:footnote>
  <w:footnote w:id="19">
    <w:p w14:paraId="575A5A77" w14:textId="77777777" w:rsidR="00754CF9" w:rsidRDefault="00754CF9" w:rsidP="00FD04F7">
      <w:pPr>
        <w:pStyle w:val="FootnoteText"/>
      </w:pPr>
      <w:r>
        <w:rPr>
          <w:rStyle w:val="FootnoteReference"/>
        </w:rPr>
        <w:footnoteRef/>
      </w:r>
      <w:r>
        <w:t xml:space="preserve"> </w:t>
      </w:r>
      <w:r w:rsidRPr="000F73CF">
        <w:t xml:space="preserve">Brugada, R, </w:t>
      </w:r>
      <w:r>
        <w:t>et al. 2016, ‘Brugada Syndrome’.</w:t>
      </w:r>
      <w:r w:rsidRPr="000F73CF">
        <w:t xml:space="preserve"> University of Washington, Seattle, viewed 22nd May 2018, &lt;</w:t>
      </w:r>
      <w:hyperlink r:id="rId2" w:history="1">
        <w:r w:rsidRPr="000F73CF">
          <w:rPr>
            <w:rStyle w:val="Hyperlink"/>
          </w:rPr>
          <w:t>https://www.ncbi.nlm.nih.gov/books/NBK1517/</w:t>
        </w:r>
      </w:hyperlink>
      <w:r w:rsidRPr="000F73CF">
        <w:t>&gt;.</w:t>
      </w:r>
    </w:p>
  </w:footnote>
  <w:footnote w:id="20">
    <w:p w14:paraId="404D754D" w14:textId="77777777" w:rsidR="00754CF9" w:rsidRDefault="00754CF9" w:rsidP="00FD04F7">
      <w:pPr>
        <w:pStyle w:val="FootnoteText"/>
      </w:pPr>
      <w:r>
        <w:rPr>
          <w:rStyle w:val="FootnoteReference"/>
        </w:rPr>
        <w:footnoteRef/>
      </w:r>
      <w:r>
        <w:t xml:space="preserve"> </w:t>
      </w:r>
      <w:r w:rsidRPr="000F73CF">
        <w:t>Szepesváry, DE &amp; Kaski, DJP 2016, 'Genetic testing for inheritable cardiac channelopathies', British Journal of Hospital Medicine, vol. 77, no. 5, pp. 294-302.</w:t>
      </w:r>
    </w:p>
  </w:footnote>
  <w:footnote w:id="21">
    <w:p w14:paraId="7699DE4A" w14:textId="77777777" w:rsidR="00754CF9" w:rsidRDefault="00754CF9" w:rsidP="00FD04F7">
      <w:pPr>
        <w:pStyle w:val="FootnoteText"/>
      </w:pPr>
      <w:r>
        <w:rPr>
          <w:rStyle w:val="FootnoteReference"/>
        </w:rPr>
        <w:footnoteRef/>
      </w:r>
      <w:r>
        <w:t xml:space="preserve"> </w:t>
      </w:r>
      <w:r w:rsidRPr="000F73CF">
        <w:t>Vohra, J &amp; Rajagopalan, S 2015, Position Statement on the Diagnosis and Management of Brugada Syndrome, The Cardiac Society of Austral</w:t>
      </w:r>
      <w:r>
        <w:t xml:space="preserve">ia and New Zealand, </w:t>
      </w:r>
      <w:r w:rsidRPr="000F73CF">
        <w:t>&lt;http://www.csanz.edu.au/resources/&gt;.</w:t>
      </w:r>
    </w:p>
  </w:footnote>
  <w:footnote w:id="22">
    <w:p w14:paraId="07F1BC7D" w14:textId="77777777" w:rsidR="00754CF9" w:rsidRDefault="00754CF9" w:rsidP="00FD04F7">
      <w:pPr>
        <w:pStyle w:val="FootnoteText"/>
      </w:pPr>
      <w:r>
        <w:rPr>
          <w:rStyle w:val="FootnoteReference"/>
        </w:rPr>
        <w:footnoteRef/>
      </w:r>
      <w:r>
        <w:t xml:space="preserve"> </w:t>
      </w:r>
      <w:r w:rsidRPr="000F73CF">
        <w:t>U.S. National Library of Medicine 2019, Brugada syndrome, U.S. Department of Health &amp; Human Services, viewed 6 November 2019, &lt;</w:t>
      </w:r>
      <w:hyperlink r:id="rId3" w:history="1">
        <w:r w:rsidRPr="000F73CF">
          <w:rPr>
            <w:rStyle w:val="Hyperlink"/>
          </w:rPr>
          <w:t>https://ghr.nlm.nih.gov/condition/brugada-syndrome#genes</w:t>
        </w:r>
      </w:hyperlink>
      <w:r w:rsidRPr="000F73CF">
        <w:t>&gt;.</w:t>
      </w:r>
    </w:p>
  </w:footnote>
  <w:footnote w:id="23">
    <w:p w14:paraId="5FD8C7C6" w14:textId="2D813503" w:rsidR="00754CF9" w:rsidRPr="000251C4" w:rsidRDefault="00754CF9" w:rsidP="00FD04F7">
      <w:pPr>
        <w:pStyle w:val="FootnoteText"/>
      </w:pPr>
      <w:r>
        <w:rPr>
          <w:rStyle w:val="FootnoteReference"/>
        </w:rPr>
        <w:footnoteRef/>
      </w:r>
      <w:r>
        <w:t xml:space="preserve"> </w:t>
      </w:r>
      <w:r w:rsidRPr="000F73CF">
        <w:t xml:space="preserve">Fukuyama, M, </w:t>
      </w:r>
      <w:r>
        <w:t>et al.</w:t>
      </w:r>
      <w:r w:rsidRPr="000F73CF">
        <w:t xml:space="preserve"> 20</w:t>
      </w:r>
      <w:r>
        <w:t>16</w:t>
      </w:r>
      <w:r w:rsidRPr="000F73CF">
        <w:t xml:space="preserve">, </w:t>
      </w:r>
      <w:r>
        <w:t xml:space="preserve"> ‘</w:t>
      </w:r>
      <w:r w:rsidRPr="000251C4">
        <w:t xml:space="preserve">Novel </w:t>
      </w:r>
      <w:r w:rsidRPr="000251C4">
        <w:rPr>
          <w:i/>
        </w:rPr>
        <w:t>SCN10A</w:t>
      </w:r>
      <w:r w:rsidRPr="000251C4">
        <w:t xml:space="preserve"> variants associated with Brugada syndrome</w:t>
      </w:r>
      <w:r>
        <w:t>’, EP Europace, vol. 18, no 6, pp 905-911.</w:t>
      </w:r>
    </w:p>
  </w:footnote>
  <w:footnote w:id="24">
    <w:p w14:paraId="1A74D1E5" w14:textId="0D4A18F0" w:rsidR="00754CF9" w:rsidRDefault="00754CF9" w:rsidP="00FD04F7">
      <w:pPr>
        <w:pStyle w:val="FootnoteText"/>
      </w:pPr>
      <w:r>
        <w:rPr>
          <w:rStyle w:val="FootnoteReference"/>
        </w:rPr>
        <w:footnoteRef/>
      </w:r>
      <w:r>
        <w:t xml:space="preserve"> Mizusawa, Y &amp; Wilde, AAM, </w:t>
      </w:r>
      <w:r w:rsidRPr="001B46A3">
        <w:t>201</w:t>
      </w:r>
      <w:r>
        <w:t>2</w:t>
      </w:r>
      <w:r w:rsidRPr="001B46A3">
        <w:t xml:space="preserve">, 'Brugada syndrome', </w:t>
      </w:r>
      <w:r>
        <w:t xml:space="preserve"> Circulation: Arrhythmia and Electrophysiology, vol. 5, no. 3, pp 606-616.</w:t>
      </w:r>
    </w:p>
  </w:footnote>
  <w:footnote w:id="25">
    <w:p w14:paraId="0EA5054D" w14:textId="77777777" w:rsidR="00754CF9" w:rsidRDefault="00754CF9" w:rsidP="00FD04F7">
      <w:pPr>
        <w:pStyle w:val="FootnoteText"/>
      </w:pPr>
      <w:r>
        <w:rPr>
          <w:rStyle w:val="FootnoteReference"/>
        </w:rPr>
        <w:footnoteRef/>
      </w:r>
      <w:r>
        <w:t xml:space="preserve"> </w:t>
      </w:r>
      <w:r w:rsidRPr="000F73CF">
        <w:t>U.S. National Library of Medicine 2019, Brugada syndrome, U.S. Department of Health &amp; Human Services, viewed 6 November 2019, &lt;</w:t>
      </w:r>
      <w:hyperlink r:id="rId4" w:history="1">
        <w:r w:rsidRPr="000F73CF">
          <w:rPr>
            <w:rStyle w:val="Hyperlink"/>
          </w:rPr>
          <w:t>https://ghr.nlm.nih.gov/condition/brugada-syndrome#genes</w:t>
        </w:r>
      </w:hyperlink>
      <w:r w:rsidRPr="000F73CF">
        <w:t>&gt;.</w:t>
      </w:r>
    </w:p>
  </w:footnote>
  <w:footnote w:id="26">
    <w:p w14:paraId="6BC91CE8" w14:textId="77777777" w:rsidR="00754CF9" w:rsidRDefault="00754CF9" w:rsidP="00FD04F7">
      <w:pPr>
        <w:pStyle w:val="FootnoteText"/>
      </w:pPr>
      <w:r>
        <w:rPr>
          <w:rStyle w:val="FootnoteReference"/>
        </w:rPr>
        <w:footnoteRef/>
      </w:r>
      <w:r>
        <w:t xml:space="preserve"> </w:t>
      </w:r>
      <w:r w:rsidRPr="000F73CF">
        <w:t xml:space="preserve">Priori, SG, </w:t>
      </w:r>
      <w:r>
        <w:t>et al.</w:t>
      </w:r>
      <w:r w:rsidRPr="000F73CF">
        <w:t xml:space="preserve"> 2013, 'HRS/EHRA/APHRS expert consensus statement on the diagnosis and management of patients with inherite</w:t>
      </w:r>
      <w:r>
        <w:t>d primary arrhythmia syndromes</w:t>
      </w:r>
      <w:r w:rsidRPr="000F73CF">
        <w:t>', Heart Rhythm, vol. 10, no. 12, Dec, pp. 1932-1963.</w:t>
      </w:r>
    </w:p>
  </w:footnote>
  <w:footnote w:id="27">
    <w:p w14:paraId="1D66EA7E" w14:textId="77777777" w:rsidR="00754CF9" w:rsidRDefault="00754CF9" w:rsidP="00FD04F7">
      <w:pPr>
        <w:pStyle w:val="FootnoteText"/>
      </w:pPr>
      <w:r>
        <w:rPr>
          <w:rStyle w:val="FootnoteReference"/>
        </w:rPr>
        <w:footnoteRef/>
      </w:r>
      <w:r>
        <w:t xml:space="preserve"> </w:t>
      </w:r>
      <w:r w:rsidRPr="000F73CF">
        <w:t>Pflaumer, A &amp; Davis, AM 2019, 'An Update on the Diagnosis and Management of Catecholaminergic Polymorphic Ventricular Tachycardia', Heart Lung Circ, vol. 28, no. 3, Mar, pp. 366-369.</w:t>
      </w:r>
    </w:p>
  </w:footnote>
  <w:footnote w:id="28">
    <w:p w14:paraId="103EA125" w14:textId="77777777" w:rsidR="00754CF9" w:rsidRDefault="00754CF9" w:rsidP="00FD04F7">
      <w:pPr>
        <w:pStyle w:val="FootnoteText"/>
      </w:pPr>
      <w:r>
        <w:rPr>
          <w:rStyle w:val="FootnoteReference"/>
        </w:rPr>
        <w:footnoteRef/>
      </w:r>
      <w:r>
        <w:t xml:space="preserve"> </w:t>
      </w:r>
      <w:r w:rsidRPr="000F73CF">
        <w:t>Pflaumer, A &amp; Davis, AM 2019, 'An Update on the Diagnosis and Management of Catecholaminergic Polymorphic Ventricular Tachycardia', Heart Lung Circ, vol. 28, no. 3, Mar, pp. 366-369.</w:t>
      </w:r>
    </w:p>
  </w:footnote>
  <w:footnote w:id="29">
    <w:p w14:paraId="4DB8B2DA" w14:textId="77777777" w:rsidR="00754CF9" w:rsidRDefault="00754CF9" w:rsidP="00FD04F7">
      <w:pPr>
        <w:pStyle w:val="FootnoteText"/>
      </w:pPr>
      <w:r>
        <w:rPr>
          <w:rStyle w:val="FootnoteReference"/>
        </w:rPr>
        <w:footnoteRef/>
      </w:r>
      <w:r>
        <w:t xml:space="preserve"> </w:t>
      </w:r>
      <w:r w:rsidRPr="000F73CF">
        <w:t xml:space="preserve">Priori, SG, </w:t>
      </w:r>
      <w:r>
        <w:t>et al.</w:t>
      </w:r>
      <w:r w:rsidRPr="000F73CF">
        <w:t xml:space="preserve"> 2013, 'HRS/EHRA/APHRS expert consensus statement on the diagnosis and management of patients with inherite</w:t>
      </w:r>
      <w:r>
        <w:t>d primary arrhythmia syndromes</w:t>
      </w:r>
      <w:r w:rsidRPr="000F73CF">
        <w:t>', Heart Rhythm, vol. 10, no. 12, Dec, pp. 1932-1963.</w:t>
      </w:r>
    </w:p>
  </w:footnote>
  <w:footnote w:id="30">
    <w:p w14:paraId="41B227B1" w14:textId="77777777" w:rsidR="00754CF9" w:rsidRDefault="00754CF9" w:rsidP="00FD04F7">
      <w:pPr>
        <w:pStyle w:val="FootnoteText"/>
      </w:pPr>
      <w:r>
        <w:rPr>
          <w:rStyle w:val="FootnoteReference"/>
        </w:rPr>
        <w:footnoteRef/>
      </w:r>
      <w:r>
        <w:t xml:space="preserve"> </w:t>
      </w:r>
      <w:r w:rsidRPr="00AC0E7B">
        <w:t xml:space="preserve">Ingles, J, </w:t>
      </w:r>
      <w:r>
        <w:t>et al.</w:t>
      </w:r>
      <w:r w:rsidRPr="00AC0E7B">
        <w:t xml:space="preserve"> 2013, 'Health status of cardiac genetic disease patients and their at-risk relatives', Int J Cardiol, vol. 165, no. 3, 2013, pp. 448-453.</w:t>
      </w:r>
    </w:p>
  </w:footnote>
  <w:footnote w:id="31">
    <w:p w14:paraId="6AA98A9D" w14:textId="77777777" w:rsidR="00754CF9" w:rsidRDefault="00754CF9" w:rsidP="00FD04F7">
      <w:pPr>
        <w:pStyle w:val="FootnoteText"/>
      </w:pPr>
      <w:r>
        <w:rPr>
          <w:rStyle w:val="FootnoteReference"/>
        </w:rPr>
        <w:footnoteRef/>
      </w:r>
      <w:r>
        <w:t xml:space="preserve"> </w:t>
      </w:r>
      <w:r w:rsidRPr="00AC0E7B">
        <w:t xml:space="preserve">Hintsa, T, </w:t>
      </w:r>
      <w:r>
        <w:t>et al.</w:t>
      </w:r>
      <w:r w:rsidRPr="00AC0E7B">
        <w:t xml:space="preserve"> 2009, 'Depressive symptoms in the congenital long QT syndrome', Ann Med, vol. 41, no. 7, 2009, pp. 516-521.</w:t>
      </w:r>
    </w:p>
  </w:footnote>
  <w:footnote w:id="32">
    <w:p w14:paraId="053796A9" w14:textId="77777777" w:rsidR="00754CF9" w:rsidRDefault="00754CF9" w:rsidP="00FD04F7">
      <w:pPr>
        <w:pStyle w:val="FootnoteText"/>
      </w:pPr>
      <w:r>
        <w:rPr>
          <w:rStyle w:val="FootnoteReference"/>
        </w:rPr>
        <w:footnoteRef/>
      </w:r>
      <w:r>
        <w:t xml:space="preserve"> </w:t>
      </w:r>
      <w:r w:rsidRPr="00AC0E7B">
        <w:t xml:space="preserve">Richardson, E, </w:t>
      </w:r>
      <w:r>
        <w:t>et al.</w:t>
      </w:r>
      <w:r w:rsidRPr="00AC0E7B">
        <w:t xml:space="preserve"> 2018, 'Psychosocial Implications of Living with Catecholaminergic Polymorphic Ventricular Tachycardia in Adulthood', review of 1598, J Genet Couns, vol. 27, no. 3, 2018, pp. 549-557.</w:t>
      </w:r>
    </w:p>
  </w:footnote>
  <w:footnote w:id="33">
    <w:p w14:paraId="409B7AE8" w14:textId="77777777" w:rsidR="00754CF9" w:rsidRDefault="00754CF9" w:rsidP="00FD04F7">
      <w:pPr>
        <w:pStyle w:val="FootnoteText"/>
      </w:pPr>
      <w:r>
        <w:rPr>
          <w:rStyle w:val="FootnoteReference"/>
        </w:rPr>
        <w:footnoteRef/>
      </w:r>
      <w:r>
        <w:t xml:space="preserve"> </w:t>
      </w:r>
      <w:r w:rsidRPr="00AC0E7B">
        <w:t xml:space="preserve">Meulenkamp, TM, </w:t>
      </w:r>
      <w:r>
        <w:t>et al.</w:t>
      </w:r>
      <w:r w:rsidRPr="00AC0E7B">
        <w:t xml:space="preserve"> 2008, 'Predictive genetic testing for cardiovascular diseases: Impact on carrier children', review of 1598, American Journal of Medical Genetics, Part A, vol. 146, no. 24, 2008, pp. 3136-3146.</w:t>
      </w:r>
    </w:p>
  </w:footnote>
  <w:footnote w:id="34">
    <w:p w14:paraId="27C6E1E3" w14:textId="77777777" w:rsidR="00754CF9" w:rsidRDefault="00754CF9" w:rsidP="00FD04F7">
      <w:pPr>
        <w:pStyle w:val="FootnoteText"/>
      </w:pPr>
      <w:r>
        <w:rPr>
          <w:rStyle w:val="FootnoteReference"/>
        </w:rPr>
        <w:footnoteRef/>
      </w:r>
      <w:r>
        <w:t xml:space="preserve"> </w:t>
      </w:r>
      <w:r w:rsidRPr="00842CD3">
        <w:t xml:space="preserve">Chae, H, </w:t>
      </w:r>
      <w:r>
        <w:t>et al.</w:t>
      </w:r>
      <w:r w:rsidRPr="00842CD3">
        <w:t xml:space="preserve"> 2017, 'Considerations when using next-generation sequencing for genetic diagnosis of long-QT syndrome in the clinical testing laboratory', Clin Chim Acta, vol. 464, 2017, pp. 128-135.</w:t>
      </w:r>
    </w:p>
  </w:footnote>
  <w:footnote w:id="35">
    <w:p w14:paraId="13D47F82" w14:textId="77777777" w:rsidR="00754CF9" w:rsidRDefault="00754CF9" w:rsidP="00FD04F7">
      <w:pPr>
        <w:pStyle w:val="FootnoteText"/>
      </w:pPr>
      <w:r>
        <w:rPr>
          <w:rStyle w:val="FootnoteReference"/>
        </w:rPr>
        <w:footnoteRef/>
      </w:r>
      <w:r>
        <w:t xml:space="preserve"> </w:t>
      </w:r>
      <w:r w:rsidRPr="00842CD3">
        <w:t xml:space="preserve">Li, X, </w:t>
      </w:r>
      <w:r>
        <w:t xml:space="preserve">et al. </w:t>
      </w:r>
      <w:r w:rsidRPr="00842CD3">
        <w:t>2013, 'Towards clinical molecular diagnosis of inherited cardiac conditions: a comparison of bench-top genome DNA sequencers', PLoS ONE, vol. 8, no. 7, p. e67744.</w:t>
      </w:r>
    </w:p>
  </w:footnote>
  <w:footnote w:id="36">
    <w:p w14:paraId="5A2C60FD" w14:textId="77777777" w:rsidR="00754CF9" w:rsidRDefault="00754CF9" w:rsidP="00FD04F7">
      <w:pPr>
        <w:pStyle w:val="FootnoteText"/>
      </w:pPr>
      <w:r>
        <w:rPr>
          <w:rStyle w:val="FootnoteReference"/>
        </w:rPr>
        <w:footnoteRef/>
      </w:r>
      <w:r>
        <w:t xml:space="preserve"> </w:t>
      </w:r>
      <w:r w:rsidRPr="00842CD3">
        <w:t xml:space="preserve">Hayashi, K, </w:t>
      </w:r>
      <w:r>
        <w:t>et al.</w:t>
      </w:r>
      <w:r w:rsidRPr="00842CD3">
        <w:t xml:space="preserve"> 2016, 'Impact of Updated Diagnostic Criteria for Long QT Syndrome on Clinical Detection of Diseased Patients: Results From a Study of Patients Carrying Gene Mutations', JACC Clin Electrophysiol, vol. 2, no. 3, 2016, pp. 279-287.</w:t>
      </w:r>
    </w:p>
  </w:footnote>
  <w:footnote w:id="37">
    <w:p w14:paraId="73919DAD" w14:textId="77777777" w:rsidR="00754CF9" w:rsidRDefault="00754CF9" w:rsidP="00FD04F7">
      <w:pPr>
        <w:pStyle w:val="FootnoteText"/>
      </w:pPr>
      <w:r>
        <w:rPr>
          <w:rStyle w:val="FootnoteReference"/>
        </w:rPr>
        <w:footnoteRef/>
      </w:r>
      <w:r>
        <w:t xml:space="preserve"> </w:t>
      </w:r>
      <w:r w:rsidRPr="00AC0E7B">
        <w:t xml:space="preserve">Funasako, M, </w:t>
      </w:r>
      <w:r>
        <w:t>et al.</w:t>
      </w:r>
      <w:r w:rsidRPr="00AC0E7B">
        <w:t xml:space="preserve"> 2016, 'Pronounced shortening of QT interval with mexiletine infusion test in patients with type 3 congenital long QT syndrome', Circulation Journal, vol. 80, no. 2, 2016, pp. 340-345.</w:t>
      </w:r>
    </w:p>
  </w:footnote>
  <w:footnote w:id="38">
    <w:p w14:paraId="345AF8E6" w14:textId="77777777" w:rsidR="00754CF9" w:rsidRDefault="00754CF9" w:rsidP="00FD04F7">
      <w:pPr>
        <w:pStyle w:val="FootnoteText"/>
      </w:pPr>
      <w:r>
        <w:rPr>
          <w:rStyle w:val="FootnoteReference"/>
        </w:rPr>
        <w:footnoteRef/>
      </w:r>
      <w:r>
        <w:t xml:space="preserve"> </w:t>
      </w:r>
      <w:r w:rsidRPr="00AC0E7B">
        <w:t xml:space="preserve">Gao, Y, </w:t>
      </w:r>
      <w:r>
        <w:t>et al.</w:t>
      </w:r>
      <w:r w:rsidRPr="00AC0E7B">
        <w:t xml:space="preserve"> 2016, 'Common Genotypes of Long QT Syndrome in China and the Role of ECG Prediction', Cardiology, vol. 133, no. 2, 2016, pp. 73-78.</w:t>
      </w:r>
    </w:p>
  </w:footnote>
  <w:footnote w:id="39">
    <w:p w14:paraId="210B5D8F" w14:textId="77777777" w:rsidR="00754CF9" w:rsidRDefault="00754CF9" w:rsidP="00FD04F7">
      <w:pPr>
        <w:pStyle w:val="FootnoteText"/>
      </w:pPr>
      <w:r>
        <w:rPr>
          <w:rStyle w:val="FootnoteReference"/>
        </w:rPr>
        <w:footnoteRef/>
      </w:r>
      <w:r>
        <w:t xml:space="preserve"> </w:t>
      </w:r>
      <w:r w:rsidRPr="00AC0E7B">
        <w:t xml:space="preserve">Mazzanti, A, </w:t>
      </w:r>
      <w:r>
        <w:t xml:space="preserve">et al. </w:t>
      </w:r>
      <w:r w:rsidRPr="00AC0E7B">
        <w:t>2018, 'Interplay Between Genetic Substrate, QTc Duration, and Arrhythmia Risk in Patients With Long QT Syndrome', review of 1598, J Am Coll Cardiol, vol. 71, no. 15, 2018, pp. 1663-1671.</w:t>
      </w:r>
    </w:p>
  </w:footnote>
  <w:footnote w:id="40">
    <w:p w14:paraId="4C10EDCC" w14:textId="77777777" w:rsidR="00754CF9" w:rsidRDefault="00754CF9" w:rsidP="00FD04F7">
      <w:pPr>
        <w:pStyle w:val="FootnoteText"/>
      </w:pPr>
      <w:r>
        <w:rPr>
          <w:rStyle w:val="FootnoteReference"/>
        </w:rPr>
        <w:footnoteRef/>
      </w:r>
      <w:r>
        <w:t xml:space="preserve"> </w:t>
      </w:r>
      <w:r w:rsidRPr="00E135F1">
        <w:t xml:space="preserve">Benhorin, J, </w:t>
      </w:r>
      <w:r>
        <w:t>et al.</w:t>
      </w:r>
      <w:r w:rsidRPr="00E135F1">
        <w:t xml:space="preserve"> 2002, 'Variable expression of long QT syndrome among gene carriers from families with five different HERG mutations', Ann Noninvasive Electrocardiol, vol. 7, no. 1, 2002, pp. 40-46.</w:t>
      </w:r>
    </w:p>
  </w:footnote>
  <w:footnote w:id="41">
    <w:p w14:paraId="407F8373" w14:textId="77777777" w:rsidR="00754CF9" w:rsidRDefault="00754CF9" w:rsidP="00FD04F7">
      <w:pPr>
        <w:pStyle w:val="FootnoteText"/>
      </w:pPr>
      <w:r>
        <w:rPr>
          <w:rStyle w:val="FootnoteReference"/>
        </w:rPr>
        <w:footnoteRef/>
      </w:r>
      <w:r>
        <w:t xml:space="preserve"> </w:t>
      </w:r>
      <w:r w:rsidRPr="00C06CDB">
        <w:t xml:space="preserve">Jeyaraj, D, </w:t>
      </w:r>
      <w:r>
        <w:t xml:space="preserve">et al. </w:t>
      </w:r>
      <w:r w:rsidRPr="00C06CDB">
        <w:t>2008, 'I(Kr) channel blockade to unmask occult congenital long QT syndrome', Heart Rhythm, vol. 5, no. 1, 2008, pp. 2-7.</w:t>
      </w:r>
    </w:p>
  </w:footnote>
  <w:footnote w:id="42">
    <w:p w14:paraId="76E2B288" w14:textId="77777777" w:rsidR="00754CF9" w:rsidRDefault="00754CF9" w:rsidP="00FD04F7">
      <w:pPr>
        <w:pStyle w:val="FootnoteText"/>
      </w:pPr>
      <w:r>
        <w:rPr>
          <w:rStyle w:val="FootnoteReference"/>
        </w:rPr>
        <w:footnoteRef/>
      </w:r>
      <w:r>
        <w:t xml:space="preserve"> </w:t>
      </w:r>
      <w:r w:rsidRPr="00C06CDB">
        <w:t xml:space="preserve">Jiménez-Jáimez, J, </w:t>
      </w:r>
      <w:r>
        <w:t>et al.</w:t>
      </w:r>
      <w:r w:rsidRPr="00C06CDB">
        <w:t xml:space="preserve"> 2013, 'Low clinical penetrance in causal mutation carriers for cardiac channelopathies', Rev Esp Cardiol (Engl Ed), vol. 66, no. 4, 2013, pp. 275-281.</w:t>
      </w:r>
    </w:p>
  </w:footnote>
  <w:footnote w:id="43">
    <w:p w14:paraId="71E810DA" w14:textId="77777777" w:rsidR="00754CF9" w:rsidRDefault="00754CF9" w:rsidP="00FD04F7">
      <w:pPr>
        <w:pStyle w:val="FootnoteText"/>
      </w:pPr>
      <w:r>
        <w:rPr>
          <w:rStyle w:val="FootnoteReference"/>
        </w:rPr>
        <w:footnoteRef/>
      </w:r>
      <w:r>
        <w:t xml:space="preserve"> </w:t>
      </w:r>
      <w:r w:rsidRPr="00E135F1">
        <w:t xml:space="preserve">Vink, AS, </w:t>
      </w:r>
      <w:r>
        <w:t>et al.</w:t>
      </w:r>
      <w:r w:rsidRPr="00E135F1">
        <w:t xml:space="preserve"> 2018, 'Determination and Interpretation of the QT Interval', review of 1598, Circulation, vol. 138, no. 21, 2018, pp. 2345-2358.</w:t>
      </w:r>
    </w:p>
  </w:footnote>
  <w:footnote w:id="44">
    <w:p w14:paraId="6EDB685D" w14:textId="77777777" w:rsidR="00754CF9" w:rsidRDefault="00754CF9" w:rsidP="00FD04F7">
      <w:pPr>
        <w:pStyle w:val="FootnoteText"/>
      </w:pPr>
      <w:r>
        <w:rPr>
          <w:rStyle w:val="FootnoteReference"/>
        </w:rPr>
        <w:footnoteRef/>
      </w:r>
      <w:r>
        <w:t xml:space="preserve"> </w:t>
      </w:r>
      <w:r w:rsidRPr="00E135F1">
        <w:t xml:space="preserve">Gottschalk, BH, </w:t>
      </w:r>
      <w:r>
        <w:t>et al.</w:t>
      </w:r>
      <w:r w:rsidRPr="00E135F1">
        <w:t xml:space="preserve"> 2016, 'Expert cardiologists cannot distinguish between Brugada phenocopy and Brugada syndrome electrocardiogram patterns', Europace, vol. 18, no. 7, 2016, pp. 1095-1100.</w:t>
      </w:r>
    </w:p>
  </w:footnote>
  <w:footnote w:id="45">
    <w:p w14:paraId="723FAAA6" w14:textId="77777777" w:rsidR="00754CF9" w:rsidRDefault="00754CF9" w:rsidP="00FD04F7">
      <w:pPr>
        <w:pStyle w:val="FootnoteText"/>
      </w:pPr>
      <w:r>
        <w:rPr>
          <w:rStyle w:val="FootnoteReference"/>
        </w:rPr>
        <w:footnoteRef/>
      </w:r>
      <w:r>
        <w:t xml:space="preserve"> </w:t>
      </w:r>
      <w:r w:rsidRPr="00E135F1">
        <w:t xml:space="preserve">Gottschalk, BH, </w:t>
      </w:r>
      <w:r>
        <w:t>et al.</w:t>
      </w:r>
      <w:r w:rsidRPr="00E135F1">
        <w:t xml:space="preserve"> 2016, 'New methodologies for measuring Brugada ECG patterns cannot differentiate the ECG pattern of Brugada syndrome from Brugada phenocopy', J </w:t>
      </w:r>
      <w:r>
        <w:t>Electrocardiol, vol. 49, no. 2</w:t>
      </w:r>
      <w:r w:rsidRPr="00E135F1">
        <w:t>, pp. 187-191.</w:t>
      </w:r>
    </w:p>
  </w:footnote>
  <w:footnote w:id="46">
    <w:p w14:paraId="0F828DAE" w14:textId="77777777" w:rsidR="00754CF9" w:rsidRDefault="00754CF9" w:rsidP="00FD04F7">
      <w:pPr>
        <w:pStyle w:val="FootnoteText"/>
      </w:pPr>
      <w:r>
        <w:rPr>
          <w:rStyle w:val="FootnoteReference"/>
        </w:rPr>
        <w:footnoteRef/>
      </w:r>
      <w:r>
        <w:t xml:space="preserve"> </w:t>
      </w:r>
      <w:r w:rsidRPr="00E135F1">
        <w:t xml:space="preserve">Hong, K, </w:t>
      </w:r>
      <w:r>
        <w:t>et al.</w:t>
      </w:r>
      <w:r w:rsidRPr="00E135F1">
        <w:t xml:space="preserve"> 2004, 'Value of electrocardiographic parameters and ajmaline test in the diagnosis of Brugada syndrome caused by </w:t>
      </w:r>
      <w:r w:rsidRPr="00E135F1">
        <w:rPr>
          <w:i/>
        </w:rPr>
        <w:t>SCN5A</w:t>
      </w:r>
      <w:r w:rsidRPr="00E135F1">
        <w:t xml:space="preserve"> mutations', Circulation, vol. 110, no. 19, 2004, pp. 3023-3027.</w:t>
      </w:r>
    </w:p>
  </w:footnote>
  <w:footnote w:id="47">
    <w:p w14:paraId="1E820AEE" w14:textId="77777777" w:rsidR="00754CF9" w:rsidRDefault="00754CF9" w:rsidP="00FD04F7">
      <w:pPr>
        <w:pStyle w:val="FootnoteText"/>
      </w:pPr>
      <w:r>
        <w:rPr>
          <w:rStyle w:val="FootnoteReference"/>
        </w:rPr>
        <w:footnoteRef/>
      </w:r>
      <w:r>
        <w:t xml:space="preserve"> </w:t>
      </w:r>
      <w:r w:rsidRPr="00E135F1">
        <w:t xml:space="preserve">Hong, K, </w:t>
      </w:r>
      <w:r>
        <w:t>et al.</w:t>
      </w:r>
      <w:r w:rsidRPr="00E135F1">
        <w:t xml:space="preserve"> 2004, 'Value of electrocardiographic parameters and ajmaline test in the diagnosis of Brugada syndrome caused by </w:t>
      </w:r>
      <w:r w:rsidRPr="00E135F1">
        <w:rPr>
          <w:i/>
        </w:rPr>
        <w:t>SCN5A</w:t>
      </w:r>
      <w:r w:rsidRPr="00E135F1">
        <w:t xml:space="preserve"> mutations', Circulation, vol. 110, no. 19, 2004, pp. 3023-3027.</w:t>
      </w:r>
    </w:p>
  </w:footnote>
  <w:footnote w:id="48">
    <w:p w14:paraId="7DEA0135" w14:textId="77777777" w:rsidR="00754CF9" w:rsidRDefault="00754CF9" w:rsidP="00FD04F7">
      <w:pPr>
        <w:pStyle w:val="FootnoteText"/>
      </w:pPr>
      <w:r>
        <w:rPr>
          <w:rStyle w:val="FootnoteReference"/>
        </w:rPr>
        <w:footnoteRef/>
      </w:r>
      <w:r>
        <w:t xml:space="preserve"> </w:t>
      </w:r>
      <w:r w:rsidRPr="00C06CDB">
        <w:t xml:space="preserve">Jiménez-Jáimez, J, </w:t>
      </w:r>
      <w:r>
        <w:t>et al.</w:t>
      </w:r>
      <w:r w:rsidRPr="00C06CDB">
        <w:t xml:space="preserve"> 2013, 'Low clinical penetrance in causal mutation carriers for cardiac channelopathies', Rev Esp Cardiol (Engl Ed), vol. 66, no. 4, 2013, pp. 275-281.</w:t>
      </w:r>
    </w:p>
  </w:footnote>
  <w:footnote w:id="49">
    <w:p w14:paraId="153D49AA" w14:textId="77777777" w:rsidR="00754CF9" w:rsidRDefault="00754CF9" w:rsidP="00FD04F7">
      <w:pPr>
        <w:pStyle w:val="FootnoteText"/>
      </w:pPr>
      <w:r>
        <w:rPr>
          <w:rStyle w:val="FootnoteReference"/>
        </w:rPr>
        <w:footnoteRef/>
      </w:r>
      <w:r>
        <w:t xml:space="preserve"> </w:t>
      </w:r>
      <w:r w:rsidRPr="00E135F1">
        <w:t xml:space="preserve">Baruteau, AE, </w:t>
      </w:r>
      <w:r>
        <w:t xml:space="preserve">et al. </w:t>
      </w:r>
      <w:r w:rsidRPr="00E135F1">
        <w:t xml:space="preserve">2018, </w:t>
      </w:r>
      <w:r w:rsidRPr="00E135F1">
        <w:rPr>
          <w:i/>
        </w:rPr>
        <w:t>'SCN5A</w:t>
      </w:r>
      <w:r w:rsidRPr="00E135F1">
        <w:t xml:space="preserve"> mutations in 442 neonates and children: genotype-phenotype correlation and identification of higher-risk subgroups', Eur Heart J, vol. 39, no. 31, 2018, pp. 2879-2887.</w:t>
      </w:r>
    </w:p>
  </w:footnote>
  <w:footnote w:id="50">
    <w:p w14:paraId="6B3FB886" w14:textId="77777777" w:rsidR="00754CF9" w:rsidRDefault="00754CF9" w:rsidP="00FD04F7">
      <w:pPr>
        <w:pStyle w:val="FootnoteText"/>
      </w:pPr>
      <w:r>
        <w:rPr>
          <w:rStyle w:val="FootnoteReference"/>
        </w:rPr>
        <w:footnoteRef/>
      </w:r>
      <w:r>
        <w:t xml:space="preserve"> </w:t>
      </w:r>
      <w:r w:rsidRPr="00E135F1">
        <w:t xml:space="preserve">Hayashi, M, </w:t>
      </w:r>
      <w:r>
        <w:t>et al.</w:t>
      </w:r>
      <w:r w:rsidRPr="00E135F1">
        <w:t xml:space="preserve"> 2012, 'The role of stress test for predicting genetic mutations and future cardiac events in asymptomatic relatives of </w:t>
      </w:r>
      <w:r>
        <w:t>CPVT</w:t>
      </w:r>
      <w:r w:rsidRPr="00E135F1">
        <w:t xml:space="preserve"> probands', Europace, vol. 14, no. 9, 2012, pp. 1344-1351.</w:t>
      </w:r>
    </w:p>
  </w:footnote>
  <w:footnote w:id="51">
    <w:p w14:paraId="0696EE9C" w14:textId="77777777" w:rsidR="00754CF9" w:rsidRDefault="00754CF9" w:rsidP="00FD04F7">
      <w:pPr>
        <w:pStyle w:val="FootnoteText"/>
      </w:pPr>
      <w:r>
        <w:rPr>
          <w:rStyle w:val="FootnoteReference"/>
        </w:rPr>
        <w:footnoteRef/>
      </w:r>
      <w:r>
        <w:t xml:space="preserve"> </w:t>
      </w:r>
      <w:r w:rsidRPr="00E135F1">
        <w:t xml:space="preserve">Broendberg, AK, </w:t>
      </w:r>
      <w:r>
        <w:t>et al.</w:t>
      </w:r>
      <w:r w:rsidRPr="00E135F1">
        <w:t xml:space="preserve"> 2017, 'Nationwide experience of catecholaminergic polymorphic ventricular tachycardia caused by RyR2 mutations', Heart, vol. 103, no. 12, 2017, pp. 901-909.</w:t>
      </w:r>
    </w:p>
  </w:footnote>
  <w:footnote w:id="52">
    <w:p w14:paraId="674C88F2" w14:textId="77777777" w:rsidR="00754CF9" w:rsidRDefault="00754CF9" w:rsidP="00FD04F7">
      <w:pPr>
        <w:pStyle w:val="FootnoteText"/>
      </w:pPr>
      <w:r>
        <w:rPr>
          <w:rStyle w:val="FootnoteReference"/>
        </w:rPr>
        <w:footnoteRef/>
      </w:r>
      <w:r>
        <w:t xml:space="preserve"> </w:t>
      </w:r>
      <w:r w:rsidRPr="00E135F1">
        <w:t xml:space="preserve">Postma, AV, </w:t>
      </w:r>
      <w:r>
        <w:t>et al.</w:t>
      </w:r>
      <w:r w:rsidRPr="00E135F1">
        <w:t xml:space="preserve"> 2005, 'Catecholaminergic polymorphic ventricular tachycardia: </w:t>
      </w:r>
      <w:r w:rsidRPr="00E135F1">
        <w:rPr>
          <w:i/>
        </w:rPr>
        <w:t>RYR2</w:t>
      </w:r>
      <w:r w:rsidRPr="00E135F1">
        <w:t xml:space="preserve"> mutations, bradycardia, and follow up of the patients', review of 1598, J Med Genet, vol. 42, no. 11, 2005, pp. 863-870.</w:t>
      </w:r>
    </w:p>
  </w:footnote>
  <w:footnote w:id="53">
    <w:p w14:paraId="7E2EA78B" w14:textId="77777777" w:rsidR="00754CF9" w:rsidRDefault="00754CF9" w:rsidP="00FD04F7">
      <w:pPr>
        <w:pStyle w:val="FootnoteText"/>
      </w:pPr>
      <w:r>
        <w:rPr>
          <w:rStyle w:val="FootnoteReference"/>
        </w:rPr>
        <w:footnoteRef/>
      </w:r>
      <w:r>
        <w:t xml:space="preserve"> </w:t>
      </w:r>
      <w:r w:rsidRPr="00E135F1">
        <w:t xml:space="preserve">van der Werf, C, </w:t>
      </w:r>
      <w:r>
        <w:t>et al.</w:t>
      </w:r>
      <w:r w:rsidRPr="00E135F1">
        <w:t xml:space="preserve"> 2012, 'Familial evaluation in catecholaminergic polymorphic ventricular tachycardia: disease penetrance and expression in cardiac ryanodine receptor mutation-carrying relatives', review of 1598, Circ Arrhythm Electrophysiol, vol. 5, no. 4, 2012, pp. 748-756.</w:t>
      </w:r>
    </w:p>
  </w:footnote>
  <w:footnote w:id="54">
    <w:p w14:paraId="5EDE7475" w14:textId="77777777" w:rsidR="00754CF9" w:rsidRDefault="00754CF9" w:rsidP="00FD04F7">
      <w:pPr>
        <w:pStyle w:val="FootnoteText"/>
      </w:pPr>
      <w:r>
        <w:rPr>
          <w:rStyle w:val="FootnoteReference"/>
        </w:rPr>
        <w:footnoteRef/>
      </w:r>
      <w:r>
        <w:t xml:space="preserve"> </w:t>
      </w:r>
      <w:r w:rsidRPr="00E135F1">
        <w:t xml:space="preserve">van der Werf, C, </w:t>
      </w:r>
      <w:r>
        <w:t>et al.</w:t>
      </w:r>
      <w:r w:rsidRPr="00E135F1">
        <w:t xml:space="preserve"> 2012, 'Familial evaluation in catecholaminergic polymorphic ventricular tachycardia: disease penetrance and expression in cardiac ryanodine receptor mutation-carrying relatives', review of 1598, Circ Arrhythm Electrophysiol, vol. 5, no. 4, 2012, pp. 748-756.</w:t>
      </w:r>
    </w:p>
  </w:footnote>
  <w:footnote w:id="55">
    <w:p w14:paraId="17269B2D" w14:textId="77777777" w:rsidR="00754CF9" w:rsidRDefault="00754CF9" w:rsidP="00FD04F7">
      <w:pPr>
        <w:pStyle w:val="FootnoteText"/>
      </w:pPr>
      <w:r>
        <w:rPr>
          <w:rStyle w:val="FootnoteReference"/>
        </w:rPr>
        <w:footnoteRef/>
      </w:r>
      <w:r>
        <w:t xml:space="preserve"> </w:t>
      </w:r>
      <w:r w:rsidRPr="00CB3CB5">
        <w:t xml:space="preserve">Goldenberg, I, </w:t>
      </w:r>
      <w:r>
        <w:t>et al.</w:t>
      </w:r>
      <w:r w:rsidRPr="00CB3CB5">
        <w:t xml:space="preserve"> 2010, 'Beta-blocker efficacy in high-risk patients with the congenital long-QT syndrome types 1 and 2: implications for patient management', J Cardiovasc Electrophysiol, vol. 21, no. 8, pp. 893-901.</w:t>
      </w:r>
    </w:p>
  </w:footnote>
  <w:footnote w:id="56">
    <w:p w14:paraId="3F1BCBB0" w14:textId="77777777" w:rsidR="00754CF9" w:rsidRDefault="00754CF9" w:rsidP="00FD04F7">
      <w:pPr>
        <w:pStyle w:val="FootnoteText"/>
      </w:pPr>
      <w:r>
        <w:rPr>
          <w:rStyle w:val="FootnoteReference"/>
        </w:rPr>
        <w:footnoteRef/>
      </w:r>
      <w:r>
        <w:t xml:space="preserve"> </w:t>
      </w:r>
      <w:r w:rsidRPr="00CB3CB5">
        <w:t xml:space="preserve">Auerbach, DS, </w:t>
      </w:r>
      <w:r>
        <w:t>et al.</w:t>
      </w:r>
      <w:r w:rsidRPr="00CB3CB5">
        <w:t xml:space="preserve"> 2016, 'Genetic biomarkers for the risk of seizures in long QT syndrome', Neurology, vol. 87, no. 16, 2016, pp. 1660-1668.</w:t>
      </w:r>
    </w:p>
  </w:footnote>
  <w:footnote w:id="57">
    <w:p w14:paraId="2861FD93" w14:textId="77777777" w:rsidR="00754CF9" w:rsidRDefault="00754CF9" w:rsidP="00FD04F7">
      <w:pPr>
        <w:pStyle w:val="FootnoteText"/>
      </w:pPr>
      <w:r>
        <w:rPr>
          <w:rStyle w:val="FootnoteReference"/>
        </w:rPr>
        <w:footnoteRef/>
      </w:r>
      <w:r>
        <w:t xml:space="preserve"> </w:t>
      </w:r>
      <w:r w:rsidRPr="00CB3CB5">
        <w:t xml:space="preserve">Koponen, M, </w:t>
      </w:r>
      <w:r>
        <w:t>et al.</w:t>
      </w:r>
      <w:r w:rsidRPr="00CB3CB5">
        <w:t xml:space="preserve"> 2018, 'Clinical and molecular genetic risk determinants in adult long QT syndrome type 1 and 2 patients : Koponen et al. Follow-up of adult LQTS patients', BMC Med Genet, vol. 19, no. 1, 2018, p. 56.</w:t>
      </w:r>
    </w:p>
  </w:footnote>
  <w:footnote w:id="58">
    <w:p w14:paraId="5249B3B0" w14:textId="77777777" w:rsidR="00754CF9" w:rsidRDefault="00754CF9" w:rsidP="00FD04F7">
      <w:pPr>
        <w:pStyle w:val="FootnoteText"/>
      </w:pPr>
      <w:r>
        <w:rPr>
          <w:rStyle w:val="FootnoteReference"/>
        </w:rPr>
        <w:footnoteRef/>
      </w:r>
      <w:r>
        <w:t xml:space="preserve"> </w:t>
      </w:r>
      <w:r w:rsidRPr="00CB3CB5">
        <w:t xml:space="preserve">Sauer, AJ, </w:t>
      </w:r>
      <w:r>
        <w:t>et al.</w:t>
      </w:r>
      <w:r w:rsidRPr="00CB3CB5">
        <w:t xml:space="preserve"> 2007, 'Long QT syndrome in adults', review of 1598, J Am Coll Cardiol, vol. 49, no. 3, 2007, pp. 329-337.</w:t>
      </w:r>
    </w:p>
  </w:footnote>
  <w:footnote w:id="59">
    <w:p w14:paraId="707F451F" w14:textId="77777777" w:rsidR="00754CF9" w:rsidRDefault="00754CF9" w:rsidP="00FD04F7">
      <w:pPr>
        <w:pStyle w:val="FootnoteText"/>
      </w:pPr>
      <w:r>
        <w:rPr>
          <w:rStyle w:val="FootnoteReference"/>
        </w:rPr>
        <w:footnoteRef/>
      </w:r>
      <w:r>
        <w:t xml:space="preserve"> </w:t>
      </w:r>
      <w:r w:rsidRPr="00CB3CB5">
        <w:t xml:space="preserve">Goldenberg, I, </w:t>
      </w:r>
      <w:r>
        <w:t>et al.</w:t>
      </w:r>
      <w:r w:rsidRPr="00CB3CB5">
        <w:t xml:space="preserve"> 2010, 'Beta-blocker efficacy in high-risk patients with the congenital long-QT syndrome types 1 and 2: implications for patient management', J Cardiovasc Electrophysiol, vol. 21, no. 8, pp. 893-901.</w:t>
      </w:r>
    </w:p>
  </w:footnote>
  <w:footnote w:id="60">
    <w:p w14:paraId="5D8B9C76" w14:textId="77777777" w:rsidR="00754CF9" w:rsidRDefault="00754CF9" w:rsidP="00FD04F7">
      <w:pPr>
        <w:pStyle w:val="FootnoteText"/>
      </w:pPr>
      <w:r>
        <w:rPr>
          <w:rStyle w:val="FootnoteReference"/>
        </w:rPr>
        <w:footnoteRef/>
      </w:r>
      <w:r>
        <w:t xml:space="preserve"> </w:t>
      </w:r>
      <w:r w:rsidRPr="00CB3CB5">
        <w:t xml:space="preserve">Auerbach, DS, </w:t>
      </w:r>
      <w:r>
        <w:t>et al.</w:t>
      </w:r>
      <w:r w:rsidRPr="00CB3CB5">
        <w:t xml:space="preserve"> 2016, 'Genetic biomarkers for the risk of seizures in long QT syndrome', Neurology, vol. 87, no. 16, 2016, pp. 1660-1668.</w:t>
      </w:r>
    </w:p>
  </w:footnote>
  <w:footnote w:id="61">
    <w:p w14:paraId="4FFE51C7" w14:textId="77777777" w:rsidR="00754CF9" w:rsidRDefault="00754CF9" w:rsidP="00FD04F7">
      <w:pPr>
        <w:pStyle w:val="FootnoteText"/>
      </w:pPr>
      <w:r>
        <w:rPr>
          <w:rStyle w:val="FootnoteReference"/>
        </w:rPr>
        <w:footnoteRef/>
      </w:r>
      <w:r>
        <w:t xml:space="preserve"> </w:t>
      </w:r>
      <w:r w:rsidRPr="00CB3CB5">
        <w:t xml:space="preserve">Sauer, AJ, </w:t>
      </w:r>
      <w:r>
        <w:t>et al.</w:t>
      </w:r>
      <w:r w:rsidRPr="00CB3CB5">
        <w:t xml:space="preserve"> 2007, 'Long QT syndrome in adults', review of 1598, J Am Coll Cardiol, vol. 49, no. 3, 2007, pp. 329-337.</w:t>
      </w:r>
    </w:p>
  </w:footnote>
  <w:footnote w:id="62">
    <w:p w14:paraId="6A94233F" w14:textId="77777777" w:rsidR="00754CF9" w:rsidRDefault="00754CF9" w:rsidP="00FD04F7">
      <w:pPr>
        <w:pStyle w:val="FootnoteText"/>
      </w:pPr>
      <w:r>
        <w:rPr>
          <w:rStyle w:val="FootnoteReference"/>
        </w:rPr>
        <w:footnoteRef/>
      </w:r>
      <w:r>
        <w:t xml:space="preserve"> </w:t>
      </w:r>
      <w:r w:rsidRPr="00CB3CB5">
        <w:t xml:space="preserve">Mullally, J, </w:t>
      </w:r>
      <w:r>
        <w:t>et al.</w:t>
      </w:r>
      <w:r w:rsidRPr="00CB3CB5">
        <w:t xml:space="preserve"> 2013, 'Risk of life-threatening cardiac events among patients with long QT syndrome and multiple mutations', review of 1598, Heart Rhythm, vol. 10, no. 3, 2013, pp. 378-382.</w:t>
      </w:r>
    </w:p>
  </w:footnote>
  <w:footnote w:id="63">
    <w:p w14:paraId="50190D90" w14:textId="77777777" w:rsidR="00754CF9" w:rsidRDefault="00754CF9" w:rsidP="00FD04F7">
      <w:pPr>
        <w:pStyle w:val="FootnoteText"/>
      </w:pPr>
      <w:r>
        <w:rPr>
          <w:rStyle w:val="FootnoteReference"/>
        </w:rPr>
        <w:footnoteRef/>
      </w:r>
      <w:r>
        <w:t xml:space="preserve"> </w:t>
      </w:r>
      <w:r w:rsidRPr="00CB3CB5">
        <w:t xml:space="preserve">Goldenberg, I, </w:t>
      </w:r>
      <w:r>
        <w:t>et al.</w:t>
      </w:r>
      <w:r w:rsidRPr="00CB3CB5">
        <w:t xml:space="preserve"> 2011, 'Risk for life-threatening cardiac events in patients with genotype-confirmed long-QT syndrome and normal-range corrected QT intervals', J Am Coll Cardiol, vol. 57, no. 1, 2011, pp. 51-59.</w:t>
      </w:r>
    </w:p>
  </w:footnote>
  <w:footnote w:id="64">
    <w:p w14:paraId="6C2A39CE" w14:textId="77777777" w:rsidR="00754CF9" w:rsidRDefault="00754CF9" w:rsidP="00FD04F7">
      <w:pPr>
        <w:pStyle w:val="FootnoteText"/>
      </w:pPr>
      <w:r>
        <w:rPr>
          <w:rStyle w:val="FootnoteReference"/>
        </w:rPr>
        <w:footnoteRef/>
      </w:r>
      <w:r>
        <w:t xml:space="preserve"> </w:t>
      </w:r>
      <w:r w:rsidRPr="00CB3CB5">
        <w:t xml:space="preserve">Chen, C, </w:t>
      </w:r>
      <w:r>
        <w:t>et al.</w:t>
      </w:r>
      <w:r w:rsidRPr="00CB3CB5">
        <w:t xml:space="preserve"> 2020, 'Brugada syndrome with </w:t>
      </w:r>
      <w:r w:rsidRPr="00CB3CB5">
        <w:rPr>
          <w:i/>
        </w:rPr>
        <w:t>SCN5A</w:t>
      </w:r>
      <w:r w:rsidRPr="00CB3CB5">
        <w:t xml:space="preserve"> mutations exhibits more pronounced electrophysiological defects and more severe prognosis: A meta-analysis', Clin Genet, vol. 97, no. 1, 2020, pp. 198-208.</w:t>
      </w:r>
    </w:p>
  </w:footnote>
  <w:footnote w:id="65">
    <w:p w14:paraId="2AF894A4" w14:textId="77777777" w:rsidR="00754CF9" w:rsidRDefault="00754CF9" w:rsidP="00FD04F7">
      <w:pPr>
        <w:pStyle w:val="FootnoteText"/>
      </w:pPr>
      <w:r>
        <w:rPr>
          <w:rStyle w:val="FootnoteReference"/>
        </w:rPr>
        <w:footnoteRef/>
      </w:r>
      <w:r>
        <w:t xml:space="preserve"> </w:t>
      </w:r>
      <w:r w:rsidRPr="00CB3CB5">
        <w:t xml:space="preserve">Burgos, M, </w:t>
      </w:r>
      <w:r>
        <w:t>et al.</w:t>
      </w:r>
      <w:r w:rsidRPr="00CB3CB5">
        <w:t xml:space="preserve"> 2016, 'Semiconductor Whole Exome Sequencing for the Identification of Genetic Variants in Colombian Patients Clinically Diagnosed with Long QT Syndrome', Mol Diagn Ther, vol. 20, no. 4, 2016, pp. 353-362.</w:t>
      </w:r>
    </w:p>
  </w:footnote>
  <w:footnote w:id="66">
    <w:p w14:paraId="1D6B1459" w14:textId="77777777" w:rsidR="00754CF9" w:rsidRDefault="00754CF9" w:rsidP="00FD04F7">
      <w:pPr>
        <w:pStyle w:val="FootnoteText"/>
      </w:pPr>
      <w:r>
        <w:rPr>
          <w:rStyle w:val="FootnoteReference"/>
        </w:rPr>
        <w:footnoteRef/>
      </w:r>
      <w:r>
        <w:t xml:space="preserve"> </w:t>
      </w:r>
      <w:r w:rsidRPr="00CB3CB5">
        <w:t xml:space="preserve">Fukuyama, M, </w:t>
      </w:r>
      <w:r>
        <w:t>et al.</w:t>
      </w:r>
      <w:r w:rsidRPr="00CB3CB5">
        <w:t xml:space="preserve"> 2020, 'High Prevalence of Late-Appearing T-Wave in Patients With Long QT Syndrome Type 8', Circ J, vol. 84, no. 4, 2020, pp. 559-568.</w:t>
      </w:r>
    </w:p>
  </w:footnote>
  <w:footnote w:id="67">
    <w:p w14:paraId="2FF859B9" w14:textId="77777777" w:rsidR="00754CF9" w:rsidRDefault="00754CF9" w:rsidP="00FD04F7">
      <w:pPr>
        <w:pStyle w:val="FootnoteText"/>
      </w:pPr>
      <w:r>
        <w:rPr>
          <w:rStyle w:val="FootnoteReference"/>
        </w:rPr>
        <w:footnoteRef/>
      </w:r>
      <w:r>
        <w:t xml:space="preserve"> </w:t>
      </w:r>
      <w:r w:rsidRPr="00CB3CB5">
        <w:t xml:space="preserve">Ozawa, J, </w:t>
      </w:r>
      <w:r>
        <w:t>et al.</w:t>
      </w:r>
      <w:r w:rsidRPr="00CB3CB5">
        <w:t xml:space="preserve"> 2018, 'Differential Diagnosis Between </w:t>
      </w:r>
      <w:r>
        <w:t xml:space="preserve">CPVT </w:t>
      </w:r>
      <w:r w:rsidRPr="00CB3CB5">
        <w:t>and Long QT Syndrome Type 1</w:t>
      </w:r>
      <w:r>
        <w:t xml:space="preserve"> </w:t>
      </w:r>
      <w:r w:rsidRPr="00CB3CB5">
        <w:t>- Modified Schwartz Score', review of 1598, Circ J, vol. 82, no. 9, 2018, pp. 2269-2276.</w:t>
      </w:r>
    </w:p>
  </w:footnote>
  <w:footnote w:id="68">
    <w:p w14:paraId="6596DB4E" w14:textId="77777777" w:rsidR="00754CF9" w:rsidRDefault="00754CF9" w:rsidP="00FD04F7">
      <w:pPr>
        <w:pStyle w:val="FootnoteText"/>
      </w:pPr>
      <w:r>
        <w:rPr>
          <w:rStyle w:val="FootnoteReference"/>
        </w:rPr>
        <w:footnoteRef/>
      </w:r>
      <w:r>
        <w:t xml:space="preserve"> </w:t>
      </w:r>
      <w:r w:rsidRPr="0041549B">
        <w:t xml:space="preserve">Broendberg, AK, </w:t>
      </w:r>
      <w:r>
        <w:t>et al.</w:t>
      </w:r>
      <w:r w:rsidRPr="0041549B">
        <w:t xml:space="preserve"> 2018, 'Targeted next generation sequencing in a young population with suspected inherited malignant cardiac arrhythmias', European Journal of Human Genetics, vol. 26, no. 3, pp. 303-313.</w:t>
      </w:r>
    </w:p>
  </w:footnote>
  <w:footnote w:id="69">
    <w:p w14:paraId="67683C04" w14:textId="77777777" w:rsidR="00754CF9" w:rsidRDefault="00754CF9" w:rsidP="00FD04F7">
      <w:pPr>
        <w:pStyle w:val="FootnoteText"/>
      </w:pPr>
      <w:r>
        <w:rPr>
          <w:rStyle w:val="FootnoteReference"/>
        </w:rPr>
        <w:footnoteRef/>
      </w:r>
      <w:r>
        <w:t xml:space="preserve"> </w:t>
      </w:r>
      <w:r w:rsidRPr="00CB3CB5">
        <w:t xml:space="preserve">Tester, DJ, </w:t>
      </w:r>
      <w:r>
        <w:t>et al.</w:t>
      </w:r>
      <w:r w:rsidRPr="00CB3CB5">
        <w:t xml:space="preserve"> 2006, 'Genotypic heterogeneity and phenotypic mimicry among unrelated patients referred for catecholaminergic polymorphic ventricular tachycardia genetic testing', review of 1598, Heart Rhythm, vol. 3, no. 7, 2006, pp. 800-805.</w:t>
      </w:r>
    </w:p>
  </w:footnote>
  <w:footnote w:id="70">
    <w:p w14:paraId="24D348E3" w14:textId="77777777" w:rsidR="00754CF9" w:rsidRDefault="00754CF9" w:rsidP="00FD04F7">
      <w:pPr>
        <w:pStyle w:val="FootnoteText"/>
      </w:pPr>
      <w:r>
        <w:rPr>
          <w:rStyle w:val="FootnoteReference"/>
        </w:rPr>
        <w:footnoteRef/>
      </w:r>
      <w:r>
        <w:t xml:space="preserve"> </w:t>
      </w:r>
      <w:r w:rsidRPr="00CB3CB5">
        <w:t xml:space="preserve">Burns, C, </w:t>
      </w:r>
      <w:r>
        <w:t>et al.</w:t>
      </w:r>
      <w:r w:rsidRPr="00CB3CB5">
        <w:t xml:space="preserve"> 2016, 'Clinical and genetic features of Australian families with long QT syndrome: A registry-based study', J Arrhythm, vol. 32, no. 6, 2016, pp. 456-461.</w:t>
      </w:r>
    </w:p>
  </w:footnote>
  <w:footnote w:id="71">
    <w:p w14:paraId="589FE15D" w14:textId="77777777" w:rsidR="00754CF9" w:rsidRDefault="00754CF9" w:rsidP="00FD04F7">
      <w:pPr>
        <w:pStyle w:val="FootnoteText"/>
      </w:pPr>
      <w:r>
        <w:rPr>
          <w:rStyle w:val="FootnoteReference"/>
        </w:rPr>
        <w:footnoteRef/>
      </w:r>
      <w:r>
        <w:t xml:space="preserve"> </w:t>
      </w:r>
      <w:r w:rsidRPr="00CB3CB5">
        <w:t xml:space="preserve">Ozawa, J, </w:t>
      </w:r>
      <w:r>
        <w:t>et al.</w:t>
      </w:r>
      <w:r w:rsidRPr="00CB3CB5">
        <w:t xml:space="preserve"> 2018, 'Differential Diagnosis Between </w:t>
      </w:r>
      <w:r>
        <w:t xml:space="preserve">CPVT </w:t>
      </w:r>
      <w:r w:rsidRPr="00CB3CB5">
        <w:t>and Long QT Syndrome Type 1</w:t>
      </w:r>
      <w:r>
        <w:t xml:space="preserve"> </w:t>
      </w:r>
      <w:r w:rsidRPr="00CB3CB5">
        <w:t>- Modified Schwartz Score', review of 1598, Circ J, vol. 82, no. 9, 2018, pp. 2269-2276.</w:t>
      </w:r>
    </w:p>
  </w:footnote>
  <w:footnote w:id="72">
    <w:p w14:paraId="08958FC5" w14:textId="77777777" w:rsidR="00754CF9" w:rsidRDefault="00754CF9" w:rsidP="00FD04F7">
      <w:pPr>
        <w:pStyle w:val="FootnoteText"/>
      </w:pPr>
      <w:r>
        <w:rPr>
          <w:rStyle w:val="FootnoteReference"/>
        </w:rPr>
        <w:footnoteRef/>
      </w:r>
      <w:r>
        <w:t xml:space="preserve"> </w:t>
      </w:r>
      <w:r w:rsidRPr="00CB3CB5">
        <w:t xml:space="preserve">Tester, DJ, </w:t>
      </w:r>
      <w:r>
        <w:t>et al.</w:t>
      </w:r>
      <w:r w:rsidRPr="00CB3CB5">
        <w:t xml:space="preserve"> 2006, 'Genotypic heterogeneity and phenotypic mimicry among unrelated patients referred for catecholaminergic polymorphic ventricular tachycardia genetic testing', review of 1598, Heart Rhythm, vol. 3, no. 7, 2006, pp. 800-805.</w:t>
      </w:r>
    </w:p>
  </w:footnote>
  <w:footnote w:id="73">
    <w:p w14:paraId="02FEE90E" w14:textId="4DDCEB11" w:rsidR="00754CF9" w:rsidRDefault="00754CF9">
      <w:pPr>
        <w:pStyle w:val="FootnoteText"/>
      </w:pPr>
      <w:r>
        <w:rPr>
          <w:rStyle w:val="FootnoteReference"/>
        </w:rPr>
        <w:footnoteRef/>
      </w:r>
      <w:r>
        <w:t xml:space="preserve"> Austin, R, et al. 2021 ‘</w:t>
      </w:r>
      <w:r w:rsidRPr="00C9541A">
        <w:t>Investigation of current models of care for genetic heart disease in Australia: A national clinical audit</w:t>
      </w:r>
      <w:r>
        <w:t xml:space="preserve">’, Int J Cardiol, </w:t>
      </w:r>
      <w:hyperlink r:id="rId5" w:history="1">
        <w:r w:rsidRPr="00295A93">
          <w:rPr>
            <w:rStyle w:val="Hyperlink"/>
          </w:rPr>
          <w:t>in press</w:t>
        </w:r>
      </w:hyperlink>
      <w:r>
        <w:t>.</w:t>
      </w:r>
    </w:p>
  </w:footnote>
  <w:footnote w:id="74">
    <w:p w14:paraId="3AD3640E" w14:textId="130D79B3" w:rsidR="00754CF9" w:rsidRDefault="00754CF9">
      <w:pPr>
        <w:pStyle w:val="FootnoteText"/>
      </w:pPr>
      <w:r>
        <w:rPr>
          <w:rStyle w:val="FootnoteReference"/>
        </w:rPr>
        <w:footnoteRef/>
      </w:r>
      <w:r>
        <w:t xml:space="preserve"> Austin, R, et al. 2021 ‘</w:t>
      </w:r>
      <w:r w:rsidRPr="00C9541A">
        <w:t>Investigation of current models of care for genetic heart disease in Australia: A national clinical audit</w:t>
      </w:r>
      <w:r>
        <w:t xml:space="preserve">’, Int J Cardiol, </w:t>
      </w:r>
      <w:hyperlink r:id="rId6" w:history="1">
        <w:r w:rsidRPr="00295A93">
          <w:rPr>
            <w:rStyle w:val="Hyperlink"/>
          </w:rPr>
          <w:t>in press</w:t>
        </w:r>
      </w:hyperlink>
      <w:r>
        <w:t>.</w:t>
      </w:r>
    </w:p>
  </w:footnote>
  <w:footnote w:id="75">
    <w:p w14:paraId="7C075FF9" w14:textId="3E654F63" w:rsidR="00754CF9" w:rsidRDefault="00754CF9">
      <w:pPr>
        <w:pStyle w:val="FootnoteText"/>
      </w:pPr>
      <w:r>
        <w:rPr>
          <w:rStyle w:val="FootnoteReference"/>
        </w:rPr>
        <w:footnoteRef/>
      </w:r>
      <w:r>
        <w:t xml:space="preserve"> Austin, R, et al. 2021 ‘</w:t>
      </w:r>
      <w:r w:rsidRPr="00C9541A">
        <w:t>Investigation of current models of care for genetic heart disease in Australia: A national clinical audit</w:t>
      </w:r>
      <w:r>
        <w:t xml:space="preserve">’, Int J Cardiol, </w:t>
      </w:r>
      <w:hyperlink r:id="rId7" w:history="1">
        <w:r w:rsidRPr="00295A93">
          <w:rPr>
            <w:rStyle w:val="Hyperlink"/>
          </w:rPr>
          <w:t>in press</w:t>
        </w:r>
      </w:hyperlink>
      <w:r>
        <w:t>.</w:t>
      </w:r>
    </w:p>
  </w:footnote>
  <w:footnote w:id="76">
    <w:p w14:paraId="6CB92A04" w14:textId="77777777" w:rsidR="00754CF9" w:rsidRDefault="00754CF9" w:rsidP="003B0883">
      <w:pPr>
        <w:pStyle w:val="FootnoteText"/>
      </w:pPr>
      <w:r>
        <w:rPr>
          <w:rStyle w:val="FootnoteReference"/>
        </w:rPr>
        <w:footnoteRef/>
      </w:r>
      <w:r>
        <w:t xml:space="preserve"> </w:t>
      </w:r>
      <w:r w:rsidRPr="00EF51FF">
        <w:t xml:space="preserve">Burns, C, </w:t>
      </w:r>
      <w:r>
        <w:t>et al.</w:t>
      </w:r>
      <w:r w:rsidRPr="00EF51FF">
        <w:t xml:space="preserve"> 2016, 'Factors influencing uptake of familial long QT syndrome genetic testing', Am J Med Genet A, vol. 170, no. 2, 2016, pp. 418-425.</w:t>
      </w:r>
    </w:p>
  </w:footnote>
  <w:footnote w:id="77">
    <w:p w14:paraId="168DD72A" w14:textId="77777777" w:rsidR="00754CF9" w:rsidRDefault="00754CF9" w:rsidP="003B0883">
      <w:pPr>
        <w:pStyle w:val="FootnoteText"/>
      </w:pPr>
      <w:r>
        <w:rPr>
          <w:rStyle w:val="FootnoteReference"/>
        </w:rPr>
        <w:footnoteRef/>
      </w:r>
      <w:r>
        <w:t xml:space="preserve"> Earle, N et al. 2013, ‘Community detection of long QT syndrome with a clinical registry: an alternative to ECG screening programs?’, Heart Rhythm, 10: 233-238.</w:t>
      </w:r>
    </w:p>
  </w:footnote>
  <w:footnote w:id="78">
    <w:p w14:paraId="5A841589" w14:textId="77777777" w:rsidR="00754CF9" w:rsidRDefault="00754CF9" w:rsidP="003B0883">
      <w:pPr>
        <w:pStyle w:val="FootnoteText"/>
      </w:pPr>
      <w:r>
        <w:rPr>
          <w:rStyle w:val="FootnoteReference"/>
        </w:rPr>
        <w:footnoteRef/>
      </w:r>
      <w:r>
        <w:t xml:space="preserve"> </w:t>
      </w:r>
      <w:r w:rsidRPr="00EF51FF">
        <w:t xml:space="preserve">Burns, C, </w:t>
      </w:r>
      <w:r>
        <w:t>et al.</w:t>
      </w:r>
      <w:r w:rsidRPr="00EF51FF">
        <w:t xml:space="preserve"> 2016, 'Factors influencing uptake of familial long QT syndrome genetic testing', Am J Med Genet A, vol. 170, no. 2, 2016, pp. 418-425.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64423"/>
    <w:multiLevelType w:val="hybridMultilevel"/>
    <w:tmpl w:val="5886868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6C02886"/>
    <w:multiLevelType w:val="hybridMultilevel"/>
    <w:tmpl w:val="921CD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335CF7"/>
    <w:multiLevelType w:val="hybridMultilevel"/>
    <w:tmpl w:val="ADD45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
  </w:num>
  <w:num w:numId="4">
    <w:abstractNumId w:val="16"/>
  </w:num>
  <w:num w:numId="5">
    <w:abstractNumId w:val="10"/>
  </w:num>
  <w:num w:numId="6">
    <w:abstractNumId w:val="15"/>
  </w:num>
  <w:num w:numId="7">
    <w:abstractNumId w:val="19"/>
  </w:num>
  <w:num w:numId="8">
    <w:abstractNumId w:val="11"/>
  </w:num>
  <w:num w:numId="9">
    <w:abstractNumId w:val="28"/>
  </w:num>
  <w:num w:numId="10">
    <w:abstractNumId w:val="0"/>
  </w:num>
  <w:num w:numId="11">
    <w:abstractNumId w:val="18"/>
  </w:num>
  <w:num w:numId="12">
    <w:abstractNumId w:val="20"/>
  </w:num>
  <w:num w:numId="13">
    <w:abstractNumId w:val="4"/>
  </w:num>
  <w:num w:numId="14">
    <w:abstractNumId w:val="26"/>
  </w:num>
  <w:num w:numId="15">
    <w:abstractNumId w:val="17"/>
  </w:num>
  <w:num w:numId="16">
    <w:abstractNumId w:val="21"/>
  </w:num>
  <w:num w:numId="17">
    <w:abstractNumId w:val="12"/>
  </w:num>
  <w:num w:numId="18">
    <w:abstractNumId w:val="13"/>
  </w:num>
  <w:num w:numId="19">
    <w:abstractNumId w:val="24"/>
  </w:num>
  <w:num w:numId="20">
    <w:abstractNumId w:val="23"/>
  </w:num>
  <w:num w:numId="21">
    <w:abstractNumId w:val="3"/>
  </w:num>
  <w:num w:numId="22">
    <w:abstractNumId w:val="9"/>
  </w:num>
  <w:num w:numId="23">
    <w:abstractNumId w:val="2"/>
  </w:num>
  <w:num w:numId="24">
    <w:abstractNumId w:val="8"/>
  </w:num>
  <w:num w:numId="25">
    <w:abstractNumId w:val="5"/>
  </w:num>
  <w:num w:numId="26">
    <w:abstractNumId w:val="22"/>
  </w:num>
  <w:num w:numId="27">
    <w:abstractNumId w:val="25"/>
  </w:num>
  <w:num w:numId="28">
    <w:abstractNumId w:val="27"/>
  </w:num>
  <w:num w:numId="29">
    <w:abstractNumId w:val="2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1311B"/>
    <w:rsid w:val="000251C4"/>
    <w:rsid w:val="000317F2"/>
    <w:rsid w:val="0004128E"/>
    <w:rsid w:val="00047606"/>
    <w:rsid w:val="00065623"/>
    <w:rsid w:val="00073C3E"/>
    <w:rsid w:val="000756B9"/>
    <w:rsid w:val="00096B67"/>
    <w:rsid w:val="00096DAF"/>
    <w:rsid w:val="000C2F47"/>
    <w:rsid w:val="000D03B9"/>
    <w:rsid w:val="000D2B9A"/>
    <w:rsid w:val="000D6C00"/>
    <w:rsid w:val="000E4E04"/>
    <w:rsid w:val="000F14B4"/>
    <w:rsid w:val="000F75DF"/>
    <w:rsid w:val="001012B0"/>
    <w:rsid w:val="001023DC"/>
    <w:rsid w:val="00114CEF"/>
    <w:rsid w:val="001154C5"/>
    <w:rsid w:val="00115B94"/>
    <w:rsid w:val="00125E3E"/>
    <w:rsid w:val="001328FA"/>
    <w:rsid w:val="00142F78"/>
    <w:rsid w:val="001453D3"/>
    <w:rsid w:val="00147AAF"/>
    <w:rsid w:val="001552C0"/>
    <w:rsid w:val="001640B1"/>
    <w:rsid w:val="001743FA"/>
    <w:rsid w:val="001842B7"/>
    <w:rsid w:val="0018435E"/>
    <w:rsid w:val="00194A71"/>
    <w:rsid w:val="001A6CEB"/>
    <w:rsid w:val="001D38B7"/>
    <w:rsid w:val="001E3F42"/>
    <w:rsid w:val="002041A1"/>
    <w:rsid w:val="002054F0"/>
    <w:rsid w:val="00206A08"/>
    <w:rsid w:val="0022169D"/>
    <w:rsid w:val="00222DAE"/>
    <w:rsid w:val="00230D6B"/>
    <w:rsid w:val="00232068"/>
    <w:rsid w:val="00232C1C"/>
    <w:rsid w:val="002330F2"/>
    <w:rsid w:val="00243D9E"/>
    <w:rsid w:val="0024671F"/>
    <w:rsid w:val="00252617"/>
    <w:rsid w:val="00253B66"/>
    <w:rsid w:val="00255E54"/>
    <w:rsid w:val="00261DF1"/>
    <w:rsid w:val="00271F18"/>
    <w:rsid w:val="0028237B"/>
    <w:rsid w:val="00282779"/>
    <w:rsid w:val="0028334D"/>
    <w:rsid w:val="00290F17"/>
    <w:rsid w:val="00295A93"/>
    <w:rsid w:val="002B7FFA"/>
    <w:rsid w:val="002C109E"/>
    <w:rsid w:val="002C22CB"/>
    <w:rsid w:val="002C2BCF"/>
    <w:rsid w:val="002C6DB1"/>
    <w:rsid w:val="002F1620"/>
    <w:rsid w:val="002F279D"/>
    <w:rsid w:val="002F3DCC"/>
    <w:rsid w:val="002F43B8"/>
    <w:rsid w:val="00323BEB"/>
    <w:rsid w:val="00325D23"/>
    <w:rsid w:val="0033133F"/>
    <w:rsid w:val="00336856"/>
    <w:rsid w:val="0034554D"/>
    <w:rsid w:val="00352224"/>
    <w:rsid w:val="003671E6"/>
    <w:rsid w:val="003724D2"/>
    <w:rsid w:val="00384272"/>
    <w:rsid w:val="00386D67"/>
    <w:rsid w:val="003945B8"/>
    <w:rsid w:val="003B0883"/>
    <w:rsid w:val="003B42C4"/>
    <w:rsid w:val="003B57A8"/>
    <w:rsid w:val="003C0589"/>
    <w:rsid w:val="003D7F29"/>
    <w:rsid w:val="003E408D"/>
    <w:rsid w:val="003E70F4"/>
    <w:rsid w:val="003F4174"/>
    <w:rsid w:val="00405A6B"/>
    <w:rsid w:val="00407B1F"/>
    <w:rsid w:val="0041184F"/>
    <w:rsid w:val="00414C57"/>
    <w:rsid w:val="00415111"/>
    <w:rsid w:val="0041758C"/>
    <w:rsid w:val="00422E51"/>
    <w:rsid w:val="00424791"/>
    <w:rsid w:val="00433EF8"/>
    <w:rsid w:val="004539DE"/>
    <w:rsid w:val="004807DB"/>
    <w:rsid w:val="004971A7"/>
    <w:rsid w:val="004A2CF1"/>
    <w:rsid w:val="004A7E0B"/>
    <w:rsid w:val="004B1B2D"/>
    <w:rsid w:val="004B392A"/>
    <w:rsid w:val="004B6172"/>
    <w:rsid w:val="004C3035"/>
    <w:rsid w:val="004C307F"/>
    <w:rsid w:val="004C5E14"/>
    <w:rsid w:val="004D499E"/>
    <w:rsid w:val="004E4BA8"/>
    <w:rsid w:val="004F0DED"/>
    <w:rsid w:val="004F340F"/>
    <w:rsid w:val="004F7B7C"/>
    <w:rsid w:val="00520DC0"/>
    <w:rsid w:val="005217FC"/>
    <w:rsid w:val="0052243D"/>
    <w:rsid w:val="00532435"/>
    <w:rsid w:val="00550354"/>
    <w:rsid w:val="00571236"/>
    <w:rsid w:val="005841CD"/>
    <w:rsid w:val="005868DB"/>
    <w:rsid w:val="005953A1"/>
    <w:rsid w:val="005A2D17"/>
    <w:rsid w:val="005A4362"/>
    <w:rsid w:val="005B5434"/>
    <w:rsid w:val="005D0332"/>
    <w:rsid w:val="005D0D8C"/>
    <w:rsid w:val="006012C2"/>
    <w:rsid w:val="00607B22"/>
    <w:rsid w:val="0061459D"/>
    <w:rsid w:val="00640A46"/>
    <w:rsid w:val="00657221"/>
    <w:rsid w:val="006776AE"/>
    <w:rsid w:val="006A0D97"/>
    <w:rsid w:val="006B1F86"/>
    <w:rsid w:val="006C0A91"/>
    <w:rsid w:val="007054BB"/>
    <w:rsid w:val="00707064"/>
    <w:rsid w:val="00712B1D"/>
    <w:rsid w:val="007169DF"/>
    <w:rsid w:val="00724C12"/>
    <w:rsid w:val="00730683"/>
    <w:rsid w:val="00747FFA"/>
    <w:rsid w:val="0075261F"/>
    <w:rsid w:val="0075468E"/>
    <w:rsid w:val="00754CF9"/>
    <w:rsid w:val="00757328"/>
    <w:rsid w:val="007665D8"/>
    <w:rsid w:val="00766CA7"/>
    <w:rsid w:val="00766E36"/>
    <w:rsid w:val="007765F4"/>
    <w:rsid w:val="00776633"/>
    <w:rsid w:val="00780BBF"/>
    <w:rsid w:val="00784D53"/>
    <w:rsid w:val="0079277F"/>
    <w:rsid w:val="00797797"/>
    <w:rsid w:val="007A63C9"/>
    <w:rsid w:val="007B32D1"/>
    <w:rsid w:val="007B7095"/>
    <w:rsid w:val="007D24E1"/>
    <w:rsid w:val="007D6288"/>
    <w:rsid w:val="007D63F2"/>
    <w:rsid w:val="007E2791"/>
    <w:rsid w:val="007F4CE9"/>
    <w:rsid w:val="007F4E20"/>
    <w:rsid w:val="00805482"/>
    <w:rsid w:val="00822C7E"/>
    <w:rsid w:val="0083086B"/>
    <w:rsid w:val="00847060"/>
    <w:rsid w:val="00847A36"/>
    <w:rsid w:val="00856A33"/>
    <w:rsid w:val="00866607"/>
    <w:rsid w:val="0087527B"/>
    <w:rsid w:val="00892620"/>
    <w:rsid w:val="008A6692"/>
    <w:rsid w:val="008B4B6A"/>
    <w:rsid w:val="008C778E"/>
    <w:rsid w:val="008C7D37"/>
    <w:rsid w:val="008D5885"/>
    <w:rsid w:val="008E097E"/>
    <w:rsid w:val="008F439F"/>
    <w:rsid w:val="00923FA2"/>
    <w:rsid w:val="0094657C"/>
    <w:rsid w:val="009555CD"/>
    <w:rsid w:val="0096060D"/>
    <w:rsid w:val="00974A50"/>
    <w:rsid w:val="00974CAA"/>
    <w:rsid w:val="0097585A"/>
    <w:rsid w:val="009924B0"/>
    <w:rsid w:val="009942C9"/>
    <w:rsid w:val="009B169C"/>
    <w:rsid w:val="009B35C4"/>
    <w:rsid w:val="009C596F"/>
    <w:rsid w:val="009C630A"/>
    <w:rsid w:val="009C6EF7"/>
    <w:rsid w:val="009E0D98"/>
    <w:rsid w:val="009F5CC9"/>
    <w:rsid w:val="00A05EB0"/>
    <w:rsid w:val="00A068A1"/>
    <w:rsid w:val="00A1207D"/>
    <w:rsid w:val="00A12FD8"/>
    <w:rsid w:val="00A33430"/>
    <w:rsid w:val="00A346FC"/>
    <w:rsid w:val="00A46D77"/>
    <w:rsid w:val="00A5575E"/>
    <w:rsid w:val="00A6376C"/>
    <w:rsid w:val="00A846F2"/>
    <w:rsid w:val="00A84F93"/>
    <w:rsid w:val="00A90B61"/>
    <w:rsid w:val="00AB1AC5"/>
    <w:rsid w:val="00AB3BFC"/>
    <w:rsid w:val="00AC0825"/>
    <w:rsid w:val="00AC4F2E"/>
    <w:rsid w:val="00AD0C37"/>
    <w:rsid w:val="00AD385F"/>
    <w:rsid w:val="00AE6E2A"/>
    <w:rsid w:val="00AF4529"/>
    <w:rsid w:val="00B03EAB"/>
    <w:rsid w:val="00B16B0E"/>
    <w:rsid w:val="00B31E9C"/>
    <w:rsid w:val="00B35595"/>
    <w:rsid w:val="00B51C6D"/>
    <w:rsid w:val="00B711E9"/>
    <w:rsid w:val="00B71F7C"/>
    <w:rsid w:val="00B75A2A"/>
    <w:rsid w:val="00B83DD2"/>
    <w:rsid w:val="00B8523A"/>
    <w:rsid w:val="00B86D64"/>
    <w:rsid w:val="00BA2341"/>
    <w:rsid w:val="00BA4AC5"/>
    <w:rsid w:val="00BC1364"/>
    <w:rsid w:val="00BC2667"/>
    <w:rsid w:val="00BC6B4E"/>
    <w:rsid w:val="00BC7DE9"/>
    <w:rsid w:val="00BF479B"/>
    <w:rsid w:val="00BF53AC"/>
    <w:rsid w:val="00C02577"/>
    <w:rsid w:val="00C06B0B"/>
    <w:rsid w:val="00C204FB"/>
    <w:rsid w:val="00C20BEE"/>
    <w:rsid w:val="00C2158D"/>
    <w:rsid w:val="00C31F5D"/>
    <w:rsid w:val="00C52FB5"/>
    <w:rsid w:val="00C67DD2"/>
    <w:rsid w:val="00C725CB"/>
    <w:rsid w:val="00C76F5C"/>
    <w:rsid w:val="00C93A14"/>
    <w:rsid w:val="00C9541A"/>
    <w:rsid w:val="00C96BAD"/>
    <w:rsid w:val="00CA6944"/>
    <w:rsid w:val="00CB0F8E"/>
    <w:rsid w:val="00CB7E7D"/>
    <w:rsid w:val="00CB7F85"/>
    <w:rsid w:val="00CC2911"/>
    <w:rsid w:val="00CC51DC"/>
    <w:rsid w:val="00CE1FA9"/>
    <w:rsid w:val="00CF0C6D"/>
    <w:rsid w:val="00CF2F45"/>
    <w:rsid w:val="00CF4E81"/>
    <w:rsid w:val="00CF7307"/>
    <w:rsid w:val="00CF7C68"/>
    <w:rsid w:val="00D01D37"/>
    <w:rsid w:val="00D0237E"/>
    <w:rsid w:val="00D124FA"/>
    <w:rsid w:val="00D22DCC"/>
    <w:rsid w:val="00D340DE"/>
    <w:rsid w:val="00D55723"/>
    <w:rsid w:val="00D62FAD"/>
    <w:rsid w:val="00D64355"/>
    <w:rsid w:val="00D70450"/>
    <w:rsid w:val="00D75C5F"/>
    <w:rsid w:val="00D83666"/>
    <w:rsid w:val="00D83BFD"/>
    <w:rsid w:val="00D90A38"/>
    <w:rsid w:val="00D95739"/>
    <w:rsid w:val="00DA0515"/>
    <w:rsid w:val="00DA171E"/>
    <w:rsid w:val="00DA56AA"/>
    <w:rsid w:val="00DB5833"/>
    <w:rsid w:val="00DB6AE4"/>
    <w:rsid w:val="00DC6DA4"/>
    <w:rsid w:val="00DD2858"/>
    <w:rsid w:val="00DF1163"/>
    <w:rsid w:val="00DF489D"/>
    <w:rsid w:val="00E03E33"/>
    <w:rsid w:val="00E04E2B"/>
    <w:rsid w:val="00E059E0"/>
    <w:rsid w:val="00E0619A"/>
    <w:rsid w:val="00E3118C"/>
    <w:rsid w:val="00E3642A"/>
    <w:rsid w:val="00E415C4"/>
    <w:rsid w:val="00E50016"/>
    <w:rsid w:val="00E50EAA"/>
    <w:rsid w:val="00E60F1E"/>
    <w:rsid w:val="00E656D6"/>
    <w:rsid w:val="00E977EE"/>
    <w:rsid w:val="00EA08DC"/>
    <w:rsid w:val="00EA0D61"/>
    <w:rsid w:val="00EA27A1"/>
    <w:rsid w:val="00EA2F24"/>
    <w:rsid w:val="00EA5C0E"/>
    <w:rsid w:val="00EA67A2"/>
    <w:rsid w:val="00EA772A"/>
    <w:rsid w:val="00EB630F"/>
    <w:rsid w:val="00EB6B6F"/>
    <w:rsid w:val="00EC4F98"/>
    <w:rsid w:val="00EF68A8"/>
    <w:rsid w:val="00F12F02"/>
    <w:rsid w:val="00F32E0D"/>
    <w:rsid w:val="00F35134"/>
    <w:rsid w:val="00F37B9C"/>
    <w:rsid w:val="00F41812"/>
    <w:rsid w:val="00F53620"/>
    <w:rsid w:val="00F54CB8"/>
    <w:rsid w:val="00F56D7F"/>
    <w:rsid w:val="00F715D1"/>
    <w:rsid w:val="00F72715"/>
    <w:rsid w:val="00F73333"/>
    <w:rsid w:val="00F878CB"/>
    <w:rsid w:val="00F95D8F"/>
    <w:rsid w:val="00FB350A"/>
    <w:rsid w:val="00FB4C5D"/>
    <w:rsid w:val="00FD0063"/>
    <w:rsid w:val="00FD04F7"/>
    <w:rsid w:val="00FE1C3F"/>
    <w:rsid w:val="00FE4EEC"/>
    <w:rsid w:val="00FE731D"/>
    <w:rsid w:val="00FF0E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ED8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FD04F7"/>
    <w:pPr>
      <w:spacing w:before="240"/>
      <w:outlineLvl w:val="1"/>
    </w:pPr>
    <w:rPr>
      <w:b/>
      <w:szCs w:val="24"/>
    </w:rPr>
  </w:style>
  <w:style w:type="paragraph" w:styleId="Heading3">
    <w:name w:val="heading 3"/>
    <w:basedOn w:val="Normal"/>
    <w:next w:val="Normal"/>
    <w:link w:val="Heading3Char"/>
    <w:unhideWhenUsed/>
    <w:qFormat/>
    <w:locked/>
    <w:rsid w:val="00FD04F7"/>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FD04F7"/>
    <w:rPr>
      <w:rFonts w:eastAsia="Times New Roman"/>
      <w:b/>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D04F7"/>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FD04F7"/>
    <w:rPr>
      <w:rFonts w:ascii="Arial Narrow" w:eastAsia="Times New Roman" w:hAnsi="Arial Narrow"/>
      <w:sz w:val="20"/>
      <w:szCs w:val="24"/>
      <w:lang w:eastAsia="en-US"/>
    </w:rPr>
  </w:style>
  <w:style w:type="paragraph" w:customStyle="1" w:styleId="Tabletextboldleft">
    <w:name w:val="Table text bold left"/>
    <w:basedOn w:val="Normal"/>
    <w:link w:val="TabletextboldleftChar"/>
    <w:qFormat/>
    <w:rsid w:val="00FD04F7"/>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FD04F7"/>
    <w:rPr>
      <w:rFonts w:ascii="Arial Narrow" w:eastAsia="Times New Roman" w:hAnsi="Arial Narrow" w:cs="Arial"/>
      <w:b/>
      <w:sz w:val="20"/>
      <w:szCs w:val="20"/>
      <w:lang w:eastAsia="en-US"/>
    </w:rPr>
  </w:style>
  <w:style w:type="paragraph" w:customStyle="1" w:styleId="Tablecaption">
    <w:name w:val="Table caption"/>
    <w:basedOn w:val="Normal"/>
    <w:link w:val="TablecaptionChar"/>
    <w:qFormat/>
    <w:rsid w:val="00FD04F7"/>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FD04F7"/>
    <w:rPr>
      <w:rFonts w:ascii="Arial Narrow" w:eastAsia="Times New Roman" w:hAnsi="Arial Narrow" w:cs="Arial"/>
      <w:sz w:val="20"/>
      <w:szCs w:val="20"/>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FD04F7"/>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FD04F7"/>
    <w:rPr>
      <w:rFonts w:ascii="Arial Narrow" w:eastAsia="Times New Roman" w:hAnsi="Arial Narrow" w:cs="Arial"/>
      <w:b/>
      <w:bCs/>
      <w:iCs/>
      <w:sz w:val="20"/>
      <w:szCs w:val="20"/>
      <w:lang w:eastAsia="en-US"/>
    </w:rPr>
  </w:style>
  <w:style w:type="paragraph" w:customStyle="1" w:styleId="TableHeading">
    <w:name w:val="TableHeading"/>
    <w:basedOn w:val="Normal"/>
    <w:link w:val="TableHeadingChar"/>
    <w:qFormat/>
    <w:rsid w:val="00FD04F7"/>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FD04F7"/>
    <w:rPr>
      <w:rFonts w:ascii="Arial Narrow" w:eastAsia="Times New Roman" w:hAnsi="Arial Narrow" w:cs="Tahoma"/>
      <w:b/>
      <w:noProof/>
      <w:sz w:val="20"/>
      <w:szCs w:val="20"/>
    </w:rPr>
  </w:style>
  <w:style w:type="paragraph" w:customStyle="1" w:styleId="Tablenotes1">
    <w:name w:val="Tablenotes 1"/>
    <w:basedOn w:val="Normal"/>
    <w:link w:val="Tablenotes1Char"/>
    <w:qFormat/>
    <w:rsid w:val="00FD04F7"/>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FD04F7"/>
    <w:rPr>
      <w:rFonts w:ascii="Arial Narrow" w:eastAsia="Times New Roman" w:hAnsi="Arial Narrow" w:cs="Arial"/>
      <w:snapToGrid w:val="0"/>
      <w:sz w:val="18"/>
      <w:szCs w:val="20"/>
      <w:lang w:eastAsia="en-US"/>
    </w:rPr>
  </w:style>
  <w:style w:type="character" w:customStyle="1" w:styleId="Heading3Char">
    <w:name w:val="Heading 3 Char"/>
    <w:basedOn w:val="DefaultParagraphFont"/>
    <w:link w:val="Heading3"/>
    <w:rsid w:val="00FD04F7"/>
    <w:rPr>
      <w:rFonts w:eastAsia="Times New Roman"/>
      <w:sz w:val="24"/>
      <w:szCs w:val="20"/>
      <w:u w:val="single"/>
    </w:rPr>
  </w:style>
  <w:style w:type="table" w:customStyle="1" w:styleId="TableGrid2">
    <w:name w:val="Table Grid2"/>
    <w:basedOn w:val="TableNormal"/>
    <w:next w:val="TableGrid"/>
    <w:rsid w:val="00FD04F7"/>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paragraph" w:customStyle="1" w:styleId="TableText0">
    <w:name w:val="Table Text"/>
    <w:basedOn w:val="Normal"/>
    <w:link w:val="TableTextChar0"/>
    <w:autoRedefine/>
    <w:qFormat/>
    <w:rsid w:val="00FD04F7"/>
    <w:pPr>
      <w:contextualSpacing/>
    </w:pPr>
    <w:rPr>
      <w:rFonts w:ascii="Arial Narrow" w:hAnsi="Arial Narrow" w:cs="Tahoma"/>
      <w:snapToGrid w:val="0"/>
      <w:sz w:val="20"/>
      <w:szCs w:val="22"/>
      <w:lang w:eastAsia="en-US"/>
    </w:rPr>
  </w:style>
  <w:style w:type="character" w:customStyle="1" w:styleId="TableTextChar0">
    <w:name w:val="Table Text Char"/>
    <w:link w:val="TableText0"/>
    <w:rsid w:val="00FD04F7"/>
    <w:rPr>
      <w:rFonts w:ascii="Arial Narrow" w:eastAsia="Times New Roman" w:hAnsi="Arial Narrow" w:cs="Tahoma"/>
      <w:snapToGrid w:val="0"/>
      <w:sz w:val="20"/>
      <w:lang w:eastAsia="en-US"/>
    </w:rPr>
  </w:style>
  <w:style w:type="paragraph" w:customStyle="1" w:styleId="Tabletextcentred">
    <w:name w:val="Table text centred"/>
    <w:basedOn w:val="Tabletext"/>
    <w:link w:val="TabletextcentredChar"/>
    <w:qFormat/>
    <w:rsid w:val="003B0883"/>
    <w:pPr>
      <w:jc w:val="center"/>
    </w:pPr>
  </w:style>
  <w:style w:type="character" w:customStyle="1" w:styleId="TabletextcentredChar">
    <w:name w:val="Table text centred Char"/>
    <w:basedOn w:val="TabletextChar"/>
    <w:link w:val="Tabletextcentred"/>
    <w:rsid w:val="003B0883"/>
    <w:rPr>
      <w:rFonts w:ascii="Arial Narrow" w:eastAsia="Times New Roman" w:hAnsi="Arial Narrow"/>
      <w:sz w:val="20"/>
      <w:szCs w:val="24"/>
      <w:lang w:eastAsia="en-US"/>
    </w:rPr>
  </w:style>
  <w:style w:type="character" w:customStyle="1" w:styleId="ListParagraphChar">
    <w:name w:val="List Paragraph Char"/>
    <w:aliases w:val="Styl moj Char,Akapit z listą1 Char,Akapit z listą11 Char"/>
    <w:link w:val="ListParagraph"/>
    <w:uiPriority w:val="34"/>
    <w:rsid w:val="003B0883"/>
    <w:rPr>
      <w:rFonts w:eastAsia="Times New Roman"/>
      <w:sz w:val="24"/>
      <w:szCs w:val="20"/>
    </w:rPr>
  </w:style>
  <w:style w:type="paragraph" w:customStyle="1" w:styleId="TableText1">
    <w:name w:val="TableText"/>
    <w:basedOn w:val="Normal"/>
    <w:rsid w:val="001D38B7"/>
    <w:pPr>
      <w:keepNext/>
      <w:spacing w:before="60" w:after="60"/>
    </w:pPr>
    <w:rPr>
      <w:color w:val="000000"/>
      <w:sz w:val="21"/>
      <w:szCs w:val="21"/>
    </w:rPr>
  </w:style>
  <w:style w:type="paragraph" w:customStyle="1" w:styleId="BulletBeforeDash">
    <w:name w:val="BulletBeforeDash"/>
    <w:basedOn w:val="Normal"/>
    <w:rsid w:val="001D38B7"/>
    <w:pPr>
      <w:numPr>
        <w:numId w:val="28"/>
      </w:numPr>
      <w:ind w:left="720"/>
    </w:pPr>
    <w:rPr>
      <w:color w:val="000000"/>
    </w:rPr>
  </w:style>
  <w:style w:type="paragraph" w:customStyle="1" w:styleId="Bullet">
    <w:name w:val="Bullet"/>
    <w:basedOn w:val="BulletBeforeDash"/>
    <w:qFormat/>
    <w:rsid w:val="001D38B7"/>
    <w:pPr>
      <w:spacing w:after="120"/>
    </w:pPr>
  </w:style>
  <w:style w:type="paragraph" w:customStyle="1" w:styleId="BulletLast">
    <w:name w:val="BulletLast"/>
    <w:basedOn w:val="Bullet"/>
    <w:qFormat/>
    <w:rsid w:val="001D38B7"/>
    <w:pPr>
      <w:spacing w:after="240"/>
    </w:pPr>
  </w:style>
  <w:style w:type="paragraph" w:customStyle="1" w:styleId="BoxText">
    <w:name w:val="BoxText"/>
    <w:basedOn w:val="Normal"/>
    <w:qFormat/>
    <w:rsid w:val="00766CA7"/>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Name">
    <w:name w:val="BoxName"/>
    <w:basedOn w:val="BoxText"/>
    <w:rsid w:val="00766CA7"/>
    <w:pPr>
      <w:keepNext/>
      <w:spacing w:before="180"/>
      <w:ind w:left="1080" w:hanging="1080"/>
    </w:pPr>
    <w:rPr>
      <w:b/>
      <w:bCs/>
    </w:rPr>
  </w:style>
  <w:style w:type="paragraph" w:customStyle="1" w:styleId="BoxHeading">
    <w:name w:val="BoxHeading"/>
    <w:basedOn w:val="BoxText"/>
    <w:rsid w:val="00766CA7"/>
    <w:pPr>
      <w:keepNext/>
      <w:spacing w:before="120" w:after="60"/>
    </w:pPr>
    <w:rPr>
      <w:b/>
      <w:bCs/>
    </w:rPr>
  </w:style>
  <w:style w:type="paragraph" w:styleId="Quote">
    <w:name w:val="Quote"/>
    <w:basedOn w:val="Normal"/>
    <w:link w:val="QuoteChar"/>
    <w:qFormat/>
    <w:rsid w:val="00290F17"/>
    <w:pPr>
      <w:spacing w:after="240"/>
      <w:ind w:left="720" w:right="720"/>
    </w:pPr>
    <w:rPr>
      <w:color w:val="000000"/>
      <w:sz w:val="20"/>
    </w:rPr>
  </w:style>
  <w:style w:type="character" w:customStyle="1" w:styleId="QuoteChar">
    <w:name w:val="Quote Char"/>
    <w:basedOn w:val="DefaultParagraphFont"/>
    <w:link w:val="Quote"/>
    <w:rsid w:val="00290F17"/>
    <w:rPr>
      <w:rFonts w:eastAsia="Times New Roman"/>
      <w:color w:val="000000"/>
      <w:sz w:val="20"/>
      <w:szCs w:val="20"/>
    </w:rPr>
  </w:style>
  <w:style w:type="paragraph" w:customStyle="1" w:styleId="NormalBeforeBullet">
    <w:name w:val="NormalBeforeBullet"/>
    <w:basedOn w:val="Normal"/>
    <w:qFormat/>
    <w:rsid w:val="00290F17"/>
    <w:pPr>
      <w:keepNext/>
      <w:spacing w:after="120"/>
    </w:pPr>
    <w:rPr>
      <w:color w:val="000000"/>
    </w:rPr>
  </w:style>
  <w:style w:type="character" w:styleId="Emphasis">
    <w:name w:val="Emphasis"/>
    <w:basedOn w:val="DefaultParagraphFont"/>
    <w:uiPriority w:val="20"/>
    <w:qFormat/>
    <w:locked/>
    <w:rsid w:val="00290F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68690">
      <w:bodyDiv w:val="1"/>
      <w:marLeft w:val="0"/>
      <w:marRight w:val="0"/>
      <w:marTop w:val="0"/>
      <w:marBottom w:val="0"/>
      <w:divBdr>
        <w:top w:val="none" w:sz="0" w:space="0" w:color="auto"/>
        <w:left w:val="none" w:sz="0" w:space="0" w:color="auto"/>
        <w:bottom w:val="none" w:sz="0" w:space="0" w:color="auto"/>
        <w:right w:val="none" w:sz="0" w:space="0" w:color="auto"/>
      </w:divBdr>
    </w:div>
    <w:div w:id="959457808">
      <w:bodyDiv w:val="1"/>
      <w:marLeft w:val="0"/>
      <w:marRight w:val="0"/>
      <w:marTop w:val="0"/>
      <w:marBottom w:val="0"/>
      <w:divBdr>
        <w:top w:val="none" w:sz="0" w:space="0" w:color="auto"/>
        <w:left w:val="none" w:sz="0" w:space="0" w:color="auto"/>
        <w:bottom w:val="none" w:sz="0" w:space="0" w:color="auto"/>
        <w:right w:val="none" w:sz="0" w:space="0" w:color="auto"/>
      </w:divBdr>
    </w:div>
    <w:div w:id="1096361748">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sac.gov.au/" TargetMode="External"/><Relationship Id="rId2" Type="http://schemas.openxmlformats.org/officeDocument/2006/relationships/numbering" Target="numbering.xml"/><Relationship Id="rId16" Type="http://schemas.openxmlformats.org/officeDocument/2006/relationships/hyperlink" Target="http://www.msac.gov.au/internet/msac/publishing.nsf/Content/9C7DCF1C2DD56CBECA25801000123C32/$File/CUC-proforma-assessment-genetic-testin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599-public" TargetMode="External"/><Relationship Id="rId5" Type="http://schemas.openxmlformats.org/officeDocument/2006/relationships/webSettings" Target="webSettings.xml"/><Relationship Id="rId15" Type="http://schemas.openxmlformats.org/officeDocument/2006/relationships/image" Target="media/image3.png"/><Relationship Id="rId28" Type="http://schemas.microsoft.com/office/2016/09/relationships/commentsIds" Target="commentsIds.xml"/><Relationship Id="rId10" Type="http://schemas.openxmlformats.org/officeDocument/2006/relationships/hyperlink" Target="http://www.msac.gov.au/internet/msac/publishing.nsf/Content/1151-publi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ghr.nlm.nih.gov/condition/brugada-syndrome%23genes" TargetMode="External"/><Relationship Id="rId7" Type="http://schemas.openxmlformats.org/officeDocument/2006/relationships/hyperlink" Target="https://www.internationaljournalofcardiology.com/article/S0167-5273(21)00261-8/fulltext" TargetMode="External"/><Relationship Id="rId2" Type="http://schemas.openxmlformats.org/officeDocument/2006/relationships/hyperlink" Target="https://www.ncbi.nlm.nih.gov/books/NBK1517/" TargetMode="External"/><Relationship Id="rId1" Type="http://schemas.openxmlformats.org/officeDocument/2006/relationships/hyperlink" Target="https://panelapp.agha.umccr.org/panels/254/" TargetMode="External"/><Relationship Id="rId6" Type="http://schemas.openxmlformats.org/officeDocument/2006/relationships/hyperlink" Target="https://www.internationaljournalofcardiology.com/article/S0167-5273(21)00261-8/fulltext" TargetMode="External"/><Relationship Id="rId5" Type="http://schemas.openxmlformats.org/officeDocument/2006/relationships/hyperlink" Target="https://www.internationaljournalofcardiology.com/article/S0167-5273(21)00261-8/fulltext" TargetMode="External"/><Relationship Id="rId4" Type="http://schemas.openxmlformats.org/officeDocument/2006/relationships/hyperlink" Target="https://ghr.nlm.nih.gov/condition/brugada-syndrome%23ge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34D32-FAB8-4789-A57C-C2854F29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12414</Words>
  <Characters>70640</Characters>
  <Application>Microsoft Office Word</Application>
  <DocSecurity>0</DocSecurity>
  <Lines>2077</Lines>
  <Paragraphs>1277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2021-02-15T00:56:00Z</dcterms:created>
  <dcterms:modified xsi:type="dcterms:W3CDTF">2021-02-15T03:28:00Z</dcterms:modified>
</cp:coreProperties>
</file>