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0C82"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7870CFF" wp14:editId="77870D00">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7870C83" w14:textId="77777777" w:rsidR="00303C94" w:rsidRPr="009D2152" w:rsidRDefault="00303C94" w:rsidP="008777C4">
      <w:pPr>
        <w:pStyle w:val="Heading10"/>
        <w:tabs>
          <w:tab w:val="left" w:pos="5613"/>
        </w:tabs>
        <w:spacing w:after="0"/>
        <w:jc w:val="center"/>
        <w:rPr>
          <w:sz w:val="72"/>
          <w:szCs w:val="72"/>
        </w:rPr>
      </w:pPr>
    </w:p>
    <w:p w14:paraId="1159DBF0" w14:textId="526D00D8" w:rsidR="00CE2F88" w:rsidRDefault="005F4D2F" w:rsidP="00123CB5">
      <w:pPr>
        <w:pStyle w:val="Heading10"/>
        <w:jc w:val="center"/>
      </w:pPr>
      <w:r>
        <w:rPr>
          <w:sz w:val="48"/>
          <w:szCs w:val="48"/>
        </w:rPr>
        <w:t xml:space="preserve">Application </w:t>
      </w:r>
      <w:r w:rsidR="00CE2F88">
        <w:rPr>
          <w:sz w:val="48"/>
          <w:szCs w:val="48"/>
        </w:rPr>
        <w:t>1551</w:t>
      </w:r>
      <w:r w:rsidR="00303C94">
        <w:rPr>
          <w:sz w:val="48"/>
          <w:szCs w:val="48"/>
        </w:rPr>
        <w:t>:</w:t>
      </w:r>
    </w:p>
    <w:p w14:paraId="364ADCA5" w14:textId="6D4E0990" w:rsidR="006101CB" w:rsidRPr="00EB10EB" w:rsidRDefault="001A0B23" w:rsidP="006101CB">
      <w:pPr>
        <w:pStyle w:val="Heading10"/>
        <w:jc w:val="center"/>
        <w:rPr>
          <w:color w:val="548DD4"/>
          <w:sz w:val="40"/>
          <w:szCs w:val="40"/>
          <w:vertAlign w:val="superscript"/>
        </w:rPr>
      </w:pPr>
      <w:r>
        <w:rPr>
          <w:color w:val="548DD4"/>
          <w:sz w:val="40"/>
          <w:szCs w:val="40"/>
        </w:rPr>
        <w:t xml:space="preserve">Aspiration therapy via </w:t>
      </w:r>
      <w:r w:rsidR="006101CB" w:rsidRPr="009D2152">
        <w:rPr>
          <w:color w:val="548DD4"/>
          <w:sz w:val="40"/>
          <w:szCs w:val="40"/>
        </w:rPr>
        <w:t>insertion of a customised percutaneous endoscopic gastrostomy tube into the stomach for weight loss management in obese patients with a BMI ≥ 35</w:t>
      </w:r>
      <w:r w:rsidR="00EB10EB">
        <w:rPr>
          <w:color w:val="548DD4"/>
          <w:sz w:val="40"/>
          <w:szCs w:val="40"/>
        </w:rPr>
        <w:t xml:space="preserve"> kg/m</w:t>
      </w:r>
      <w:r w:rsidR="00EB10EB">
        <w:rPr>
          <w:color w:val="548DD4"/>
          <w:sz w:val="40"/>
          <w:szCs w:val="40"/>
          <w:vertAlign w:val="superscript"/>
        </w:rPr>
        <w:t>2</w:t>
      </w:r>
    </w:p>
    <w:p w14:paraId="65731F8A" w14:textId="77777777" w:rsidR="008777C4" w:rsidRDefault="008777C4" w:rsidP="008777C4">
      <w:pPr>
        <w:pStyle w:val="Heading10"/>
        <w:spacing w:after="0"/>
        <w:jc w:val="center"/>
        <w:rPr>
          <w:sz w:val="72"/>
          <w:szCs w:val="72"/>
        </w:rPr>
      </w:pPr>
    </w:p>
    <w:p w14:paraId="77870C87" w14:textId="2322361A" w:rsidR="00D46C89" w:rsidRDefault="00191354" w:rsidP="003D699E">
      <w:pPr>
        <w:pStyle w:val="Heading10"/>
        <w:jc w:val="center"/>
        <w:rPr>
          <w:sz w:val="72"/>
          <w:szCs w:val="72"/>
        </w:rPr>
      </w:pPr>
      <w:r>
        <w:rPr>
          <w:sz w:val="72"/>
          <w:szCs w:val="72"/>
        </w:rPr>
        <w:t xml:space="preserve">Ratified </w:t>
      </w:r>
      <w:r w:rsidR="00D46C89">
        <w:rPr>
          <w:sz w:val="72"/>
          <w:szCs w:val="72"/>
        </w:rPr>
        <w:t>PICO Confirmation</w:t>
      </w:r>
    </w:p>
    <w:p w14:paraId="3E3D1C12" w14:textId="77777777" w:rsidR="008777C4" w:rsidRPr="00EE7A1F" w:rsidRDefault="008777C4" w:rsidP="00EE7A1F">
      <w:pPr>
        <w:spacing w:before="180"/>
        <w:jc w:val="center"/>
        <w:rPr>
          <w:rFonts w:ascii="Arial" w:hAnsi="Arial" w:cs="Arial"/>
          <w:b/>
          <w:sz w:val="32"/>
          <w:szCs w:val="32"/>
        </w:rPr>
      </w:pPr>
    </w:p>
    <w:p w14:paraId="77870C91" w14:textId="77777777" w:rsidR="007E7E23" w:rsidRDefault="007E7E23">
      <w:pPr>
        <w:rPr>
          <w:sz w:val="20"/>
          <w:szCs w:val="20"/>
        </w:rPr>
      </w:pPr>
      <w:r>
        <w:rPr>
          <w:sz w:val="20"/>
          <w:szCs w:val="20"/>
        </w:rPr>
        <w:br w:type="page"/>
      </w:r>
    </w:p>
    <w:p w14:paraId="77870CB2" w14:textId="77777777" w:rsidR="00F12E59" w:rsidRPr="00F12E59" w:rsidRDefault="0044715D" w:rsidP="00191354">
      <w:r w:rsidRPr="00F12E59">
        <w:rPr>
          <w:color w:val="548DD4"/>
        </w:rPr>
        <w:lastRenderedPageBreak/>
        <w:t>Summary of PICO</w:t>
      </w:r>
      <w:r w:rsidR="00A84A56" w:rsidRPr="00F12E59">
        <w:rPr>
          <w:color w:val="548DD4"/>
        </w:rPr>
        <w:t>/PPICO</w:t>
      </w:r>
      <w:r w:rsidRPr="00F12E59">
        <w:rPr>
          <w:color w:val="548DD4"/>
        </w:rPr>
        <w:t xml:space="preserve"> criteria</w:t>
      </w:r>
      <w:bookmarkEnd w:id="0"/>
      <w:bookmarkEnd w:id="1"/>
      <w:r w:rsidR="00F12E59" w:rsidRPr="00F12E59">
        <w:rPr>
          <w:color w:val="548DD4"/>
        </w:rPr>
        <w:t xml:space="preserve">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ummary of PICO/PPICO criteria"/>
        <w:tblDescription w:val="Summary of PICO/PPICO criteria to define the question(s) to be addressed in an Assessment Report to the Medical Services Advisory Committee (MSAC)"/>
      </w:tblPr>
      <w:tblGrid>
        <w:gridCol w:w="1812"/>
        <w:gridCol w:w="7204"/>
      </w:tblGrid>
      <w:tr w:rsidR="0044715D" w:rsidRPr="00084393" w14:paraId="77870CB6" w14:textId="77777777" w:rsidTr="002B6C98">
        <w:trPr>
          <w:tblHeader/>
        </w:trPr>
        <w:tc>
          <w:tcPr>
            <w:tcW w:w="1005" w:type="pct"/>
            <w:shd w:val="clear" w:color="auto" w:fill="D9D9D9"/>
          </w:tcPr>
          <w:p w14:paraId="77870CB4" w14:textId="77777777" w:rsidR="0044715D" w:rsidRPr="00084393" w:rsidRDefault="00A84A56" w:rsidP="00F12E59">
            <w:pPr>
              <w:spacing w:before="20" w:after="20" w:line="240" w:lineRule="auto"/>
              <w:rPr>
                <w:b/>
              </w:rPr>
            </w:pPr>
            <w:r>
              <w:rPr>
                <w:b/>
              </w:rPr>
              <w:t>Component</w:t>
            </w:r>
          </w:p>
        </w:tc>
        <w:tc>
          <w:tcPr>
            <w:tcW w:w="3995" w:type="pct"/>
            <w:shd w:val="clear" w:color="auto" w:fill="D9D9D9"/>
          </w:tcPr>
          <w:p w14:paraId="77870CB5" w14:textId="77777777" w:rsidR="0044715D" w:rsidRPr="00084393" w:rsidRDefault="0044715D" w:rsidP="00000331">
            <w:pPr>
              <w:spacing w:before="20" w:after="20" w:line="240" w:lineRule="auto"/>
              <w:jc w:val="both"/>
              <w:rPr>
                <w:b/>
              </w:rPr>
            </w:pPr>
            <w:r>
              <w:rPr>
                <w:b/>
              </w:rPr>
              <w:t>Description</w:t>
            </w:r>
          </w:p>
        </w:tc>
      </w:tr>
      <w:tr w:rsidR="0044715D" w:rsidRPr="00084393" w14:paraId="77870CB9" w14:textId="77777777" w:rsidTr="002B6C98">
        <w:tc>
          <w:tcPr>
            <w:tcW w:w="1005" w:type="pct"/>
          </w:tcPr>
          <w:p w14:paraId="77870CB7"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Pr>
          <w:p w14:paraId="77870CB8" w14:textId="1410B87B" w:rsidR="0044715D" w:rsidRPr="00D34AD2" w:rsidRDefault="00D34AD2" w:rsidP="0099070B">
            <w:r>
              <w:t>O</w:t>
            </w:r>
            <w:r w:rsidRPr="00D34AD2">
              <w:t>bese patients with a body mass index (BMI) ≥35 kg/m</w:t>
            </w:r>
            <w:r w:rsidRPr="00623C55">
              <w:rPr>
                <w:vertAlign w:val="superscript"/>
              </w:rPr>
              <w:t>2</w:t>
            </w:r>
            <w:r w:rsidR="000467E9">
              <w:t xml:space="preserve"> and co</w:t>
            </w:r>
            <w:r w:rsidR="00235CA0">
              <w:t>morbi</w:t>
            </w:r>
            <w:r w:rsidR="00024B11">
              <w:t>d</w:t>
            </w:r>
            <w:r w:rsidR="00235CA0">
              <w:t>ities</w:t>
            </w:r>
            <w:r w:rsidRPr="00D34AD2">
              <w:t xml:space="preserve">. Patients would have failed to achieve or maintain adequate weight loss with lifestyle </w:t>
            </w:r>
            <w:r w:rsidR="000F6AC8">
              <w:t>modifications</w:t>
            </w:r>
            <w:r w:rsidRPr="00D34AD2">
              <w:t xml:space="preserve"> </w:t>
            </w:r>
            <w:r w:rsidR="000F6AC8">
              <w:t xml:space="preserve">or </w:t>
            </w:r>
            <w:r w:rsidRPr="00D34AD2">
              <w:t>intensive interventions such as very low-energy diets and/or pharmacotherapy.</w:t>
            </w:r>
            <w:r w:rsidR="00015232">
              <w:t xml:space="preserve"> Patients must undergo psychological support and/or counselling prior to commencing aspiration therapy.</w:t>
            </w:r>
          </w:p>
        </w:tc>
      </w:tr>
      <w:tr w:rsidR="00A84A56" w:rsidRPr="00084393" w14:paraId="77870CC0" w14:textId="77777777" w:rsidTr="002B6C98">
        <w:tc>
          <w:tcPr>
            <w:tcW w:w="1005" w:type="pct"/>
          </w:tcPr>
          <w:p w14:paraId="77870CBE" w14:textId="77777777" w:rsidR="00A84A56" w:rsidRPr="003C19C0" w:rsidRDefault="00A84A56" w:rsidP="003C19C0">
            <w:r w:rsidRPr="003C19C0">
              <w:t>Intervention</w:t>
            </w:r>
          </w:p>
        </w:tc>
        <w:tc>
          <w:tcPr>
            <w:tcW w:w="3995" w:type="pct"/>
          </w:tcPr>
          <w:p w14:paraId="6B0156BD" w14:textId="6F95BD82" w:rsidR="00D34AD2" w:rsidRPr="003C19C0" w:rsidRDefault="00D34AD2" w:rsidP="003C19C0">
            <w:r w:rsidRPr="003C19C0">
              <w:t>Placement</w:t>
            </w:r>
            <w:r w:rsidR="000A081B">
              <w:t>, removal and adjustment</w:t>
            </w:r>
            <w:r w:rsidRPr="003C19C0">
              <w:t xml:space="preserve"> of a percutaneous endoscopic gastronomy tube (A-Tube™) required as part of aspiration therapy for weight loss in obese patients.</w:t>
            </w:r>
          </w:p>
          <w:p w14:paraId="77870CBF" w14:textId="0F5A71D7" w:rsidR="00A84A56" w:rsidRPr="003C19C0" w:rsidRDefault="00D34AD2" w:rsidP="003C19C0">
            <w:r w:rsidRPr="003C19C0">
              <w:t xml:space="preserve">Aspiration therapy is a method for managing </w:t>
            </w:r>
            <w:r w:rsidR="005A1C54">
              <w:t xml:space="preserve">food </w:t>
            </w:r>
            <w:r w:rsidRPr="003C19C0">
              <w:t xml:space="preserve">portion </w:t>
            </w:r>
            <w:r w:rsidR="005A1C54">
              <w:t xml:space="preserve">control </w:t>
            </w:r>
            <w:r w:rsidRPr="003C19C0">
              <w:t>by the removal of ingested food from the stomach</w:t>
            </w:r>
            <w:r w:rsidR="002B6C98">
              <w:t>.</w:t>
            </w:r>
          </w:p>
        </w:tc>
      </w:tr>
      <w:tr w:rsidR="00A84A56" w:rsidRPr="00084393" w14:paraId="77870CC3" w14:textId="77777777" w:rsidTr="002B6C98">
        <w:tc>
          <w:tcPr>
            <w:tcW w:w="1005" w:type="pct"/>
          </w:tcPr>
          <w:p w14:paraId="77870CC1" w14:textId="34C1771C" w:rsidR="00A84A56" w:rsidRPr="00084393" w:rsidRDefault="00A84A56" w:rsidP="00F12E59">
            <w:pPr>
              <w:spacing w:before="20" w:after="20" w:line="240" w:lineRule="auto"/>
              <w:rPr>
                <w:rFonts w:cs="Arial"/>
              </w:rPr>
            </w:pPr>
            <w:r w:rsidRPr="00084393">
              <w:rPr>
                <w:rFonts w:cs="Arial"/>
              </w:rPr>
              <w:t>Comparator</w:t>
            </w:r>
            <w:r w:rsidR="00600FD7">
              <w:rPr>
                <w:rFonts w:cs="Arial"/>
              </w:rPr>
              <w:t>s</w:t>
            </w:r>
          </w:p>
        </w:tc>
        <w:tc>
          <w:tcPr>
            <w:tcW w:w="3995" w:type="pct"/>
          </w:tcPr>
          <w:p w14:paraId="0FA88712" w14:textId="0A320135" w:rsidR="00BC1A94" w:rsidRDefault="00D04F20" w:rsidP="008A64CC">
            <w:r>
              <w:t>PASC</w:t>
            </w:r>
            <w:r w:rsidR="00527E91">
              <w:t xml:space="preserve"> outlined two comparators as being relevant to the primary assessment of </w:t>
            </w:r>
            <w:r w:rsidR="00BC1A94">
              <w:t>aspiration therapy:</w:t>
            </w:r>
          </w:p>
          <w:p w14:paraId="5CFB46DD" w14:textId="5BACBDE6" w:rsidR="00832ECF" w:rsidRDefault="00600FD7" w:rsidP="00BC1A94">
            <w:pPr>
              <w:pStyle w:val="ListParagraph"/>
              <w:numPr>
                <w:ilvl w:val="0"/>
                <w:numId w:val="22"/>
              </w:numPr>
            </w:pPr>
            <w:r>
              <w:t>L</w:t>
            </w:r>
            <w:r w:rsidR="00C11790">
              <w:t>aparoscopic</w:t>
            </w:r>
            <w:r w:rsidR="008A64CC">
              <w:t xml:space="preserve"> a</w:t>
            </w:r>
            <w:r w:rsidR="008A64CC" w:rsidRPr="00A35D34">
              <w:t>djustable gastric band</w:t>
            </w:r>
            <w:r w:rsidR="008A64CC">
              <w:t xml:space="preserve"> (LAGB)</w:t>
            </w:r>
            <w:r w:rsidR="00832ECF">
              <w:t>.</w:t>
            </w:r>
          </w:p>
          <w:p w14:paraId="0CFE17D8" w14:textId="6063C684" w:rsidR="00BC1A94" w:rsidRDefault="009037AA" w:rsidP="00191354">
            <w:pPr>
              <w:pStyle w:val="ListParagraph"/>
              <w:numPr>
                <w:ilvl w:val="0"/>
                <w:numId w:val="22"/>
              </w:numPr>
            </w:pPr>
            <w:r>
              <w:t>Sleeve gastrectomy</w:t>
            </w:r>
          </w:p>
          <w:p w14:paraId="77870CC2" w14:textId="458F5E1B" w:rsidR="00A84A56" w:rsidRPr="003C19C0" w:rsidRDefault="009037AA" w:rsidP="002F2773">
            <w:r>
              <w:t xml:space="preserve">PASC </w:t>
            </w:r>
            <w:r w:rsidR="007A3A80">
              <w:t xml:space="preserve">further </w:t>
            </w:r>
            <w:r>
              <w:t xml:space="preserve">outlined that </w:t>
            </w:r>
            <w:r w:rsidR="00E00266">
              <w:t xml:space="preserve">if </w:t>
            </w:r>
            <w:r w:rsidR="004218D2">
              <w:t>patients with a high BMI (</w:t>
            </w:r>
            <w:r w:rsidR="006835CC">
              <w:t>&gt;55 kg/</w:t>
            </w:r>
            <w:r w:rsidR="006835CC" w:rsidRPr="006835CC">
              <w:t>m</w:t>
            </w:r>
            <w:r w:rsidR="006835CC">
              <w:rPr>
                <w:vertAlign w:val="superscript"/>
              </w:rPr>
              <w:t>2</w:t>
            </w:r>
            <w:r w:rsidR="006835CC">
              <w:t xml:space="preserve">) </w:t>
            </w:r>
            <w:r w:rsidR="002F2773">
              <w:t xml:space="preserve">seek to become </w:t>
            </w:r>
            <w:r w:rsidR="00604D76">
              <w:t xml:space="preserve">eligible for </w:t>
            </w:r>
            <w:r w:rsidR="0066082A">
              <w:t>placement</w:t>
            </w:r>
            <w:r w:rsidR="00473F28">
              <w:t>, removal and adjustment</w:t>
            </w:r>
            <w:r w:rsidR="0066082A">
              <w:t xml:space="preserve"> of a percutaneous endoscopic gastronom</w:t>
            </w:r>
            <w:r w:rsidR="0034291D">
              <w:t>y tube through the MBS</w:t>
            </w:r>
            <w:r w:rsidR="002F2773">
              <w:t xml:space="preserve">, </w:t>
            </w:r>
            <w:r w:rsidR="0034291D">
              <w:t>a separate comparator</w:t>
            </w:r>
            <w:r w:rsidR="002F2773">
              <w:t xml:space="preserve"> will be needed</w:t>
            </w:r>
            <w:r w:rsidR="0034291D">
              <w:t>.</w:t>
            </w:r>
          </w:p>
        </w:tc>
      </w:tr>
      <w:tr w:rsidR="00A84A56" w:rsidRPr="00084393" w14:paraId="77870CCB" w14:textId="77777777" w:rsidTr="002B6C98">
        <w:tc>
          <w:tcPr>
            <w:tcW w:w="1005" w:type="pct"/>
          </w:tcPr>
          <w:p w14:paraId="77870CC4"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Pr>
          <w:p w14:paraId="073C9B01" w14:textId="6B8DD532" w:rsidR="00A84A56" w:rsidRPr="002B6C98" w:rsidRDefault="003C19C0" w:rsidP="002B6C98">
            <w:r w:rsidRPr="002B6C98">
              <w:t>Key patient-relevant outcomes include:</w:t>
            </w:r>
          </w:p>
          <w:p w14:paraId="3B38C285" w14:textId="16198721" w:rsidR="003C19C0" w:rsidRPr="002B6C98" w:rsidRDefault="003C19C0" w:rsidP="002B6C98">
            <w:pPr>
              <w:pStyle w:val="ListParagraph"/>
              <w:numPr>
                <w:ilvl w:val="0"/>
                <w:numId w:val="20"/>
              </w:numPr>
            </w:pPr>
            <w:r w:rsidRPr="002B6C98">
              <w:t>Excess weight loss (%EWL) from use of aspiration therapy at 52-weeks</w:t>
            </w:r>
          </w:p>
          <w:p w14:paraId="457B6BD8" w14:textId="0FEF46BC" w:rsidR="003C19C0" w:rsidRDefault="003C19C0" w:rsidP="002B6C98">
            <w:pPr>
              <w:pStyle w:val="ListParagraph"/>
              <w:numPr>
                <w:ilvl w:val="0"/>
                <w:numId w:val="20"/>
              </w:numPr>
            </w:pPr>
            <w:r w:rsidRPr="002B6C98">
              <w:t>Absolute weight loss from use of aspiration therapy at 52-weeks</w:t>
            </w:r>
          </w:p>
          <w:p w14:paraId="69795A82" w14:textId="39B87EDC" w:rsidR="009747CC" w:rsidRPr="002B6C98" w:rsidRDefault="00C23A56" w:rsidP="002B6C98">
            <w:pPr>
              <w:pStyle w:val="ListParagraph"/>
              <w:numPr>
                <w:ilvl w:val="0"/>
                <w:numId w:val="20"/>
              </w:numPr>
            </w:pPr>
            <w:r>
              <w:t>Weight loss at follow-up of 5 year</w:t>
            </w:r>
            <w:r w:rsidR="00015232">
              <w:t>s</w:t>
            </w:r>
            <w:r w:rsidR="003664B5">
              <w:t xml:space="preserve"> to </w:t>
            </w:r>
            <w:r w:rsidR="006F19D7">
              <w:t>assess durability of benefit of aspiration therapy</w:t>
            </w:r>
          </w:p>
          <w:p w14:paraId="4339462A" w14:textId="39F40166" w:rsidR="003C19C0" w:rsidRPr="002B6C98" w:rsidRDefault="003C19C0" w:rsidP="002B6C98">
            <w:pPr>
              <w:pStyle w:val="ListParagraph"/>
              <w:numPr>
                <w:ilvl w:val="0"/>
                <w:numId w:val="20"/>
              </w:numPr>
            </w:pPr>
            <w:r w:rsidRPr="002B6C98">
              <w:t>Incidence of device-related, procedure-related and therapy-related adverse events from the use of aspiration therapy.</w:t>
            </w:r>
          </w:p>
          <w:p w14:paraId="5F172267" w14:textId="2066318D" w:rsidR="003C19C0" w:rsidRPr="002B6C98" w:rsidRDefault="003C19C0" w:rsidP="002B6C98">
            <w:r w:rsidRPr="002B6C98">
              <w:t xml:space="preserve">Key healthcare system </w:t>
            </w:r>
            <w:r w:rsidR="002B6C98" w:rsidRPr="002B6C98">
              <w:t>outcomes include:</w:t>
            </w:r>
          </w:p>
          <w:p w14:paraId="158FB6F7" w14:textId="3D72BD85" w:rsidR="003C19C0" w:rsidRPr="002B6C98" w:rsidRDefault="003C19C0" w:rsidP="002B6C98">
            <w:pPr>
              <w:pStyle w:val="ListParagraph"/>
              <w:numPr>
                <w:ilvl w:val="0"/>
                <w:numId w:val="21"/>
              </w:numPr>
            </w:pPr>
            <w:r w:rsidRPr="002B6C98">
              <w:t>Proportion of patients who discontinue treatment and have the A-Tube</w:t>
            </w:r>
            <w:r w:rsidR="001E6F7B">
              <w:t>™</w:t>
            </w:r>
            <w:r w:rsidRPr="002B6C98">
              <w:t xml:space="preserve"> removed over time</w:t>
            </w:r>
          </w:p>
          <w:p w14:paraId="456AEAA3" w14:textId="02D4EC1D" w:rsidR="003C19C0" w:rsidRPr="002B6C98" w:rsidRDefault="003C19C0" w:rsidP="001E6F7B">
            <w:pPr>
              <w:pStyle w:val="ListParagraph"/>
              <w:numPr>
                <w:ilvl w:val="0"/>
                <w:numId w:val="21"/>
              </w:numPr>
              <w:ind w:left="0" w:firstLine="360"/>
            </w:pPr>
            <w:r w:rsidRPr="002B6C98">
              <w:t>Proportion of patients requiring A-Tube</w:t>
            </w:r>
            <w:r w:rsidR="001E6F7B">
              <w:t>™</w:t>
            </w:r>
            <w:r w:rsidRPr="002B6C98">
              <w:t xml:space="preserve"> replacement over time</w:t>
            </w:r>
          </w:p>
          <w:p w14:paraId="77870CCA" w14:textId="129B0867" w:rsidR="003C19C0" w:rsidRPr="002B6C98" w:rsidRDefault="002B6C98" w:rsidP="002B6C98">
            <w:r>
              <w:t>Further outcomes applicable to the assessment of the efficacy and safety of aspiration therapy are outlined in the ‘Outcomes’ section.</w:t>
            </w:r>
          </w:p>
        </w:tc>
      </w:tr>
    </w:tbl>
    <w:p w14:paraId="77870CCE" w14:textId="762A0DEE" w:rsidR="007F4E20" w:rsidRPr="00E364F7" w:rsidRDefault="00E364F7">
      <w:pPr>
        <w:rPr>
          <w:rFonts w:eastAsia="MS Gothic"/>
          <w:bCs/>
          <w:color w:val="548DD4"/>
          <w:szCs w:val="26"/>
        </w:rPr>
      </w:pPr>
      <w:r w:rsidRPr="00E364F7">
        <w:rPr>
          <w:rFonts w:eastAsia="MS Gothic"/>
          <w:b/>
          <w:bCs/>
          <w:i/>
          <w:color w:val="548DD4"/>
          <w:szCs w:val="26"/>
          <w:u w:val="single"/>
        </w:rPr>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77870CCF" w14:textId="77777777" w:rsidR="00896845" w:rsidRPr="00E364F7" w:rsidRDefault="00896845">
      <w:pPr>
        <w:rPr>
          <w:b/>
        </w:rPr>
      </w:pPr>
      <w:r w:rsidRPr="00E364F7">
        <w:rPr>
          <w:b/>
        </w:rPr>
        <w:lastRenderedPageBreak/>
        <w:t>Population</w:t>
      </w:r>
    </w:p>
    <w:p w14:paraId="4F8B5ED9" w14:textId="6E2C786B" w:rsidR="00B639DF" w:rsidRDefault="00060CF9" w:rsidP="00F03CEB">
      <w:r>
        <w:t>The applica</w:t>
      </w:r>
      <w:r w:rsidR="007838BE">
        <w:t>n</w:t>
      </w:r>
      <w:r>
        <w:t>t</w:t>
      </w:r>
      <w:r w:rsidR="007838BE">
        <w:t xml:space="preserve"> </w:t>
      </w:r>
      <w:r>
        <w:t xml:space="preserve">is </w:t>
      </w:r>
      <w:r w:rsidR="00EC08C3">
        <w:t xml:space="preserve">seeking an MBS item for the </w:t>
      </w:r>
      <w:r w:rsidR="000F23C0">
        <w:t xml:space="preserve">placement </w:t>
      </w:r>
      <w:r w:rsidR="00DF1FA3">
        <w:t xml:space="preserve">of a percutaneous gastrostomy tube </w:t>
      </w:r>
      <w:r w:rsidR="00D3002D">
        <w:t>(</w:t>
      </w:r>
      <w:r w:rsidR="007C36A4">
        <w:t>A-Tube™</w:t>
      </w:r>
      <w:r w:rsidR="00D3002D">
        <w:t xml:space="preserve">) in obese patients with a </w:t>
      </w:r>
      <w:r w:rsidR="004D3657">
        <w:t xml:space="preserve">body mass index </w:t>
      </w:r>
      <w:r w:rsidR="006A55C1">
        <w:t xml:space="preserve">(BMI) </w:t>
      </w:r>
      <w:r w:rsidR="006A55C1">
        <w:rPr>
          <w:rFonts w:cs="Calibri"/>
        </w:rPr>
        <w:t>≥</w:t>
      </w:r>
      <w:r w:rsidR="006A55C1">
        <w:t>35</w:t>
      </w:r>
      <w:r w:rsidR="007A0CEC">
        <w:t xml:space="preserve"> kg/m</w:t>
      </w:r>
      <w:r w:rsidR="007A0CEC">
        <w:rPr>
          <w:vertAlign w:val="superscript"/>
        </w:rPr>
        <w:t>2</w:t>
      </w:r>
      <w:r w:rsidR="002557FC">
        <w:t xml:space="preserve"> and comorbidities</w:t>
      </w:r>
      <w:r w:rsidR="006A55C1">
        <w:t>.</w:t>
      </w:r>
    </w:p>
    <w:p w14:paraId="778EFEBB" w14:textId="016CE9F6" w:rsidR="00216035" w:rsidRDefault="00D56837" w:rsidP="00B639DF">
      <w:pPr>
        <w:rPr>
          <w:rFonts w:cs="Calibri"/>
        </w:rPr>
      </w:pPr>
      <w:r>
        <w:t>A</w:t>
      </w:r>
      <w:r w:rsidR="00EE2A22">
        <w:t xml:space="preserve"> key determina</w:t>
      </w:r>
      <w:r w:rsidR="00B70CD0">
        <w:t xml:space="preserve">nt of patient eligibility </w:t>
      </w:r>
      <w:r w:rsidR="002336E8">
        <w:t xml:space="preserve">for the placement of the </w:t>
      </w:r>
      <w:r w:rsidR="007C36A4">
        <w:t>A-Tube™</w:t>
      </w:r>
      <w:r w:rsidR="002336E8">
        <w:t xml:space="preserve"> </w:t>
      </w:r>
      <w:r w:rsidR="00764B65">
        <w:t xml:space="preserve">funded through the MBS </w:t>
      </w:r>
      <w:r w:rsidR="002336E8">
        <w:t xml:space="preserve">is having a BMI </w:t>
      </w:r>
      <w:r w:rsidR="002336E8">
        <w:rPr>
          <w:rFonts w:cs="Calibri"/>
        </w:rPr>
        <w:t>≥35</w:t>
      </w:r>
      <w:r w:rsidR="007A0CEC">
        <w:rPr>
          <w:rFonts w:cs="Calibri"/>
        </w:rPr>
        <w:t xml:space="preserve"> </w:t>
      </w:r>
      <w:r w:rsidR="007A0CEC">
        <w:t>kg/m</w:t>
      </w:r>
      <w:r w:rsidR="007A0CEC">
        <w:rPr>
          <w:vertAlign w:val="superscript"/>
        </w:rPr>
        <w:t>2</w:t>
      </w:r>
      <w:r w:rsidR="00764B65">
        <w:rPr>
          <w:rFonts w:cs="Calibri"/>
        </w:rPr>
        <w:t xml:space="preserve">. BMI is a weight-for-height index </w:t>
      </w:r>
      <w:r w:rsidR="00F421FF">
        <w:rPr>
          <w:rFonts w:cs="Calibri"/>
        </w:rPr>
        <w:t xml:space="preserve">used to classify weight in adults. </w:t>
      </w:r>
      <w:r w:rsidR="004069FF">
        <w:rPr>
          <w:rFonts w:cs="Calibri"/>
        </w:rPr>
        <w:t xml:space="preserve">The thresholds </w:t>
      </w:r>
      <w:r w:rsidR="00A41AEF">
        <w:rPr>
          <w:rFonts w:cs="Calibri"/>
        </w:rPr>
        <w:t>defining whether a patient is underweight, health</w:t>
      </w:r>
      <w:r w:rsidR="00913B4F">
        <w:rPr>
          <w:rFonts w:cs="Calibri"/>
        </w:rPr>
        <w:t>y</w:t>
      </w:r>
      <w:r w:rsidR="00A41AEF">
        <w:rPr>
          <w:rFonts w:cs="Calibri"/>
        </w:rPr>
        <w:t xml:space="preserve"> weight, over</w:t>
      </w:r>
      <w:r w:rsidR="00380ED2">
        <w:rPr>
          <w:rFonts w:cs="Calibri"/>
        </w:rPr>
        <w:t xml:space="preserve">weight or obese </w:t>
      </w:r>
      <w:r w:rsidR="00D63DE9">
        <w:rPr>
          <w:rFonts w:cs="Calibri"/>
        </w:rPr>
        <w:t>defined</w:t>
      </w:r>
      <w:r w:rsidR="00914056">
        <w:rPr>
          <w:rFonts w:cs="Calibri"/>
        </w:rPr>
        <w:t xml:space="preserve"> in</w:t>
      </w:r>
      <w:r w:rsidR="00380ED2">
        <w:rPr>
          <w:rFonts w:cs="Calibri"/>
        </w:rPr>
        <w:t xml:space="preserve"> the WHO classifications </w:t>
      </w:r>
      <w:r w:rsidR="00383184">
        <w:rPr>
          <w:rFonts w:cs="Calibri"/>
          <w:noProof/>
        </w:rPr>
        <w:t>(WHO, 2000)</w:t>
      </w:r>
      <w:r w:rsidR="00B560A5">
        <w:rPr>
          <w:rFonts w:cs="Calibri"/>
        </w:rPr>
        <w:t xml:space="preserve"> </w:t>
      </w:r>
      <w:r w:rsidR="00380ED2">
        <w:rPr>
          <w:rFonts w:cs="Calibri"/>
        </w:rPr>
        <w:t xml:space="preserve">are </w:t>
      </w:r>
      <w:r w:rsidR="00D63DE9">
        <w:rPr>
          <w:rFonts w:cs="Calibri"/>
        </w:rPr>
        <w:t xml:space="preserve">presented </w:t>
      </w:r>
      <w:r w:rsidR="00380ED2">
        <w:rPr>
          <w:rFonts w:cs="Calibri"/>
        </w:rPr>
        <w:t xml:space="preserve">in </w:t>
      </w:r>
      <w:r w:rsidR="00B235AA">
        <w:rPr>
          <w:rFonts w:cs="Calibri"/>
        </w:rPr>
        <w:fldChar w:fldCharType="begin"/>
      </w:r>
      <w:r w:rsidR="00B235AA">
        <w:rPr>
          <w:rFonts w:cs="Calibri"/>
        </w:rPr>
        <w:instrText xml:space="preserve"> REF _Ref527623355 \h </w:instrText>
      </w:r>
      <w:r w:rsidR="00B235AA">
        <w:rPr>
          <w:rFonts w:cs="Calibri"/>
        </w:rPr>
      </w:r>
      <w:r w:rsidR="00B235AA">
        <w:rPr>
          <w:rFonts w:cs="Calibri"/>
        </w:rPr>
        <w:fldChar w:fldCharType="separate"/>
      </w:r>
      <w:r w:rsidR="00B235AA">
        <w:t xml:space="preserve">Table </w:t>
      </w:r>
      <w:r w:rsidR="00B235AA">
        <w:rPr>
          <w:noProof/>
        </w:rPr>
        <w:t>1</w:t>
      </w:r>
      <w:r w:rsidR="00B235AA">
        <w:rPr>
          <w:rFonts w:cs="Calibri"/>
        </w:rPr>
        <w:fldChar w:fldCharType="end"/>
      </w:r>
      <w:r w:rsidR="00380ED2">
        <w:rPr>
          <w:rFonts w:cs="Calibri"/>
        </w:rPr>
        <w:t>.</w:t>
      </w:r>
      <w:r w:rsidR="00D63DE9">
        <w:rPr>
          <w:rFonts w:cs="Calibri"/>
        </w:rPr>
        <w:t xml:space="preserve"> Based on the</w:t>
      </w:r>
      <w:r w:rsidR="00570990">
        <w:rPr>
          <w:rFonts w:cs="Calibri"/>
        </w:rPr>
        <w:t xml:space="preserve"> WHO </w:t>
      </w:r>
      <w:r w:rsidR="00D63DE9">
        <w:rPr>
          <w:rFonts w:cs="Calibri"/>
        </w:rPr>
        <w:t xml:space="preserve">thresholds, </w:t>
      </w:r>
      <w:r w:rsidR="00714CA7">
        <w:rPr>
          <w:rFonts w:cs="Calibri"/>
        </w:rPr>
        <w:t xml:space="preserve">the placement of an </w:t>
      </w:r>
      <w:r w:rsidR="007C36A4">
        <w:rPr>
          <w:rFonts w:cs="Calibri"/>
        </w:rPr>
        <w:t>A-Tube™</w:t>
      </w:r>
      <w:r w:rsidR="00714CA7">
        <w:rPr>
          <w:rFonts w:cs="Calibri"/>
        </w:rPr>
        <w:t xml:space="preserve"> funded through the MBS would be </w:t>
      </w:r>
      <w:r w:rsidR="00AB6EA7">
        <w:rPr>
          <w:rFonts w:cs="Calibri"/>
        </w:rPr>
        <w:t xml:space="preserve">limited to patients with obesity </w:t>
      </w:r>
      <w:r w:rsidR="00570990">
        <w:rPr>
          <w:rFonts w:cs="Calibri"/>
        </w:rPr>
        <w:t>class II and III.</w:t>
      </w:r>
    </w:p>
    <w:p w14:paraId="148AB605" w14:textId="7F310EFD" w:rsidR="00380ED2" w:rsidRDefault="002D3BD7" w:rsidP="002D3BD7">
      <w:pPr>
        <w:pStyle w:val="Caption"/>
      </w:pPr>
      <w:bookmarkStart w:id="2" w:name="_Ref527623355"/>
      <w:r>
        <w:t xml:space="preserve">Table </w:t>
      </w:r>
      <w:r>
        <w:fldChar w:fldCharType="begin"/>
      </w:r>
      <w:r>
        <w:instrText xml:space="preserve"> SEQ Table \* ARABIC </w:instrText>
      </w:r>
      <w:r>
        <w:fldChar w:fldCharType="separate"/>
      </w:r>
      <w:r w:rsidR="00B67FC1">
        <w:rPr>
          <w:noProof/>
        </w:rPr>
        <w:t>1</w:t>
      </w:r>
      <w:r>
        <w:fldChar w:fldCharType="end"/>
      </w:r>
      <w:bookmarkEnd w:id="2"/>
      <w:r>
        <w:t>: Body mass index classification in adults</w:t>
      </w:r>
    </w:p>
    <w:tbl>
      <w:tblPr>
        <w:tblStyle w:val="TableGrid"/>
        <w:tblW w:w="5000" w:type="pct"/>
        <w:tblLook w:val="04A0" w:firstRow="1" w:lastRow="0" w:firstColumn="1" w:lastColumn="0" w:noHBand="0" w:noVBand="1"/>
        <w:tblCaption w:val="Table 1"/>
        <w:tblDescription w:val="Body mass index classification in adults"/>
      </w:tblPr>
      <w:tblGrid>
        <w:gridCol w:w="4508"/>
        <w:gridCol w:w="4508"/>
      </w:tblGrid>
      <w:tr w:rsidR="00FA4A9F" w:rsidRPr="00FA4A9F" w14:paraId="09DB13A3" w14:textId="77777777" w:rsidTr="00553D3B">
        <w:trPr>
          <w:trHeight w:val="300"/>
          <w:tblHeader/>
        </w:trPr>
        <w:tc>
          <w:tcPr>
            <w:tcW w:w="2500" w:type="pct"/>
            <w:noWrap/>
            <w:hideMark/>
          </w:tcPr>
          <w:p w14:paraId="1FBD312F" w14:textId="1FF3645F" w:rsidR="00FA4A9F" w:rsidRPr="002D3BD7" w:rsidRDefault="00FA4A9F">
            <w:pPr>
              <w:rPr>
                <w:b/>
              </w:rPr>
            </w:pPr>
            <w:r w:rsidRPr="002D3BD7">
              <w:rPr>
                <w:b/>
              </w:rPr>
              <w:t>BMI (kg/m2)</w:t>
            </w:r>
          </w:p>
        </w:tc>
        <w:tc>
          <w:tcPr>
            <w:tcW w:w="2500" w:type="pct"/>
            <w:noWrap/>
            <w:hideMark/>
          </w:tcPr>
          <w:p w14:paraId="38149D16" w14:textId="4730BD9B" w:rsidR="00FA4A9F" w:rsidRPr="002D3BD7" w:rsidRDefault="00FA4A9F">
            <w:pPr>
              <w:rPr>
                <w:b/>
              </w:rPr>
            </w:pPr>
            <w:r w:rsidRPr="002D3BD7">
              <w:rPr>
                <w:b/>
              </w:rPr>
              <w:t xml:space="preserve">Classification </w:t>
            </w:r>
          </w:p>
        </w:tc>
      </w:tr>
      <w:tr w:rsidR="00FA4A9F" w:rsidRPr="00FA4A9F" w14:paraId="32B8AC2F" w14:textId="77777777" w:rsidTr="00A339A5">
        <w:trPr>
          <w:trHeight w:val="300"/>
        </w:trPr>
        <w:tc>
          <w:tcPr>
            <w:tcW w:w="2500" w:type="pct"/>
            <w:noWrap/>
          </w:tcPr>
          <w:p w14:paraId="2B6F3080" w14:textId="6B931A76" w:rsidR="00FA4A9F" w:rsidRPr="00FA4A9F" w:rsidRDefault="00FA4A9F">
            <w:r w:rsidRPr="00FA4A9F">
              <w:t xml:space="preserve">&lt; 18.5 </w:t>
            </w:r>
          </w:p>
        </w:tc>
        <w:tc>
          <w:tcPr>
            <w:tcW w:w="2500" w:type="pct"/>
            <w:noWrap/>
          </w:tcPr>
          <w:p w14:paraId="63A4575E" w14:textId="1158E546" w:rsidR="00FA4A9F" w:rsidRPr="00FA4A9F" w:rsidRDefault="00A339A5">
            <w:r w:rsidRPr="00FA4A9F">
              <w:t>Underweight</w:t>
            </w:r>
          </w:p>
        </w:tc>
      </w:tr>
      <w:tr w:rsidR="00A339A5" w:rsidRPr="00FA4A9F" w14:paraId="698E40CD" w14:textId="77777777" w:rsidTr="00A339A5">
        <w:trPr>
          <w:trHeight w:val="300"/>
        </w:trPr>
        <w:tc>
          <w:tcPr>
            <w:tcW w:w="2500" w:type="pct"/>
            <w:noWrap/>
          </w:tcPr>
          <w:p w14:paraId="645FFB75" w14:textId="056B0A72" w:rsidR="00A339A5" w:rsidRPr="00FA4A9F" w:rsidRDefault="00A339A5">
            <w:r w:rsidRPr="00FA4A9F">
              <w:t>18.5–24.9</w:t>
            </w:r>
          </w:p>
        </w:tc>
        <w:tc>
          <w:tcPr>
            <w:tcW w:w="2500" w:type="pct"/>
            <w:noWrap/>
          </w:tcPr>
          <w:p w14:paraId="513E995C" w14:textId="33E6CB29" w:rsidR="00A339A5" w:rsidRPr="00FA4A9F" w:rsidRDefault="00A339A5">
            <w:r w:rsidRPr="00FA4A9F">
              <w:t>Healthy weight range</w:t>
            </w:r>
          </w:p>
        </w:tc>
      </w:tr>
      <w:tr w:rsidR="00FA4A9F" w:rsidRPr="00FA4A9F" w14:paraId="2C64D428" w14:textId="77777777" w:rsidTr="00A339A5">
        <w:trPr>
          <w:trHeight w:val="300"/>
        </w:trPr>
        <w:tc>
          <w:tcPr>
            <w:tcW w:w="2500" w:type="pct"/>
            <w:noWrap/>
            <w:hideMark/>
          </w:tcPr>
          <w:p w14:paraId="348D01FF" w14:textId="77777777" w:rsidR="00FA4A9F" w:rsidRPr="00FA4A9F" w:rsidRDefault="00FA4A9F">
            <w:r w:rsidRPr="00FA4A9F">
              <w:t>25.0–29.9</w:t>
            </w:r>
          </w:p>
        </w:tc>
        <w:tc>
          <w:tcPr>
            <w:tcW w:w="2500" w:type="pct"/>
            <w:noWrap/>
            <w:hideMark/>
          </w:tcPr>
          <w:p w14:paraId="20926CCE" w14:textId="77777777" w:rsidR="00FA4A9F" w:rsidRPr="00FA4A9F" w:rsidRDefault="00FA4A9F">
            <w:r w:rsidRPr="00FA4A9F">
              <w:t>Overweight</w:t>
            </w:r>
          </w:p>
        </w:tc>
      </w:tr>
      <w:tr w:rsidR="00FA4A9F" w:rsidRPr="00FA4A9F" w14:paraId="428432FB" w14:textId="77777777" w:rsidTr="00A339A5">
        <w:trPr>
          <w:trHeight w:val="300"/>
        </w:trPr>
        <w:tc>
          <w:tcPr>
            <w:tcW w:w="2500" w:type="pct"/>
            <w:noWrap/>
            <w:hideMark/>
          </w:tcPr>
          <w:p w14:paraId="332BDAA6" w14:textId="77777777" w:rsidR="00FA4A9F" w:rsidRPr="00FA4A9F" w:rsidRDefault="00FA4A9F">
            <w:r w:rsidRPr="00FA4A9F">
              <w:t>30.0–34.9</w:t>
            </w:r>
          </w:p>
        </w:tc>
        <w:tc>
          <w:tcPr>
            <w:tcW w:w="2500" w:type="pct"/>
            <w:noWrap/>
            <w:hideMark/>
          </w:tcPr>
          <w:p w14:paraId="346FDD29" w14:textId="77777777" w:rsidR="00FA4A9F" w:rsidRPr="00FA4A9F" w:rsidRDefault="00FA4A9F">
            <w:r w:rsidRPr="00FA4A9F">
              <w:t>Obesity I</w:t>
            </w:r>
          </w:p>
        </w:tc>
      </w:tr>
      <w:tr w:rsidR="00FA4A9F" w:rsidRPr="00FA4A9F" w14:paraId="592EBA1B" w14:textId="77777777" w:rsidTr="00A339A5">
        <w:trPr>
          <w:trHeight w:val="300"/>
        </w:trPr>
        <w:tc>
          <w:tcPr>
            <w:tcW w:w="2500" w:type="pct"/>
            <w:noWrap/>
            <w:hideMark/>
          </w:tcPr>
          <w:p w14:paraId="64A48CCA" w14:textId="77777777" w:rsidR="00FA4A9F" w:rsidRPr="00FA4A9F" w:rsidRDefault="00FA4A9F">
            <w:r w:rsidRPr="00FA4A9F">
              <w:t>35.0–39.9</w:t>
            </w:r>
          </w:p>
        </w:tc>
        <w:tc>
          <w:tcPr>
            <w:tcW w:w="2500" w:type="pct"/>
            <w:noWrap/>
            <w:hideMark/>
          </w:tcPr>
          <w:p w14:paraId="17BA17C6" w14:textId="77777777" w:rsidR="00FA4A9F" w:rsidRPr="00FA4A9F" w:rsidRDefault="00FA4A9F">
            <w:r w:rsidRPr="00FA4A9F">
              <w:t>Obesity II</w:t>
            </w:r>
          </w:p>
        </w:tc>
      </w:tr>
      <w:tr w:rsidR="00FA4A9F" w:rsidRPr="00FA4A9F" w14:paraId="0C3EDEE6" w14:textId="77777777" w:rsidTr="00A339A5">
        <w:trPr>
          <w:trHeight w:val="300"/>
        </w:trPr>
        <w:tc>
          <w:tcPr>
            <w:tcW w:w="2500" w:type="pct"/>
            <w:noWrap/>
            <w:hideMark/>
          </w:tcPr>
          <w:p w14:paraId="70A679F8" w14:textId="77777777" w:rsidR="00FA4A9F" w:rsidRPr="00FA4A9F" w:rsidRDefault="00FA4A9F">
            <w:r w:rsidRPr="00FA4A9F">
              <w:t>≥ 40.0</w:t>
            </w:r>
          </w:p>
        </w:tc>
        <w:tc>
          <w:tcPr>
            <w:tcW w:w="2500" w:type="pct"/>
            <w:noWrap/>
            <w:hideMark/>
          </w:tcPr>
          <w:p w14:paraId="3DA208F8" w14:textId="77777777" w:rsidR="00FA4A9F" w:rsidRPr="00FA4A9F" w:rsidRDefault="00FA4A9F">
            <w:r w:rsidRPr="00FA4A9F">
              <w:t>Obesity III</w:t>
            </w:r>
          </w:p>
        </w:tc>
      </w:tr>
    </w:tbl>
    <w:p w14:paraId="4C42E805" w14:textId="3FCFD8E9" w:rsidR="002336E8" w:rsidRPr="00913B4F" w:rsidRDefault="002F0870" w:rsidP="00B639DF">
      <w:pPr>
        <w:rPr>
          <w:sz w:val="18"/>
          <w:szCs w:val="18"/>
        </w:rPr>
      </w:pPr>
      <w:r w:rsidRPr="00913B4F">
        <w:rPr>
          <w:sz w:val="18"/>
          <w:szCs w:val="18"/>
        </w:rPr>
        <w:t xml:space="preserve">Source: </w:t>
      </w:r>
      <w:r w:rsidR="006D05EE" w:rsidRPr="00913B4F">
        <w:rPr>
          <w:sz w:val="18"/>
          <w:szCs w:val="18"/>
        </w:rPr>
        <w:t xml:space="preserve">Table 4.1 (p. 52) of </w:t>
      </w:r>
      <w:r w:rsidR="006D05EE" w:rsidRPr="00913B4F">
        <w:rPr>
          <w:noProof/>
          <w:sz w:val="18"/>
          <w:szCs w:val="18"/>
        </w:rPr>
        <w:t>(NHMRC, 2013)</w:t>
      </w:r>
      <w:r w:rsidR="006D05EE" w:rsidRPr="00913B4F">
        <w:rPr>
          <w:sz w:val="18"/>
          <w:szCs w:val="18"/>
        </w:rPr>
        <w:t xml:space="preserve"> from </w:t>
      </w:r>
      <w:r w:rsidR="00A26AF2" w:rsidRPr="00913B4F">
        <w:rPr>
          <w:noProof/>
          <w:sz w:val="18"/>
          <w:szCs w:val="18"/>
        </w:rPr>
        <w:t>(WHO, 2000)</w:t>
      </w:r>
    </w:p>
    <w:p w14:paraId="32D3BAB0" w14:textId="051BEC91" w:rsidR="00570990" w:rsidRDefault="008D7988" w:rsidP="002074E0">
      <w:r w:rsidRPr="00115417">
        <w:t xml:space="preserve">Based on </w:t>
      </w:r>
      <w:r w:rsidR="0010777F" w:rsidRPr="00115417">
        <w:t xml:space="preserve">2014-15 data reporting on the prevalence of </w:t>
      </w:r>
      <w:r w:rsidR="002354F7" w:rsidRPr="00115417">
        <w:t>obesity in Australia</w:t>
      </w:r>
      <w:r w:rsidR="006F6046" w:rsidRPr="00115417">
        <w:t>, 28% of</w:t>
      </w:r>
      <w:r w:rsidR="00F8622D" w:rsidRPr="00115417">
        <w:t xml:space="preserve"> </w:t>
      </w:r>
      <w:r w:rsidR="00115417" w:rsidRPr="00115417">
        <w:t xml:space="preserve">Australian adults </w:t>
      </w:r>
      <w:r w:rsidR="000C1AF5" w:rsidRPr="00115417">
        <w:t xml:space="preserve">were obese (BMI </w:t>
      </w:r>
      <w:r w:rsidR="0031143B" w:rsidRPr="00115417">
        <w:t>≥</w:t>
      </w:r>
      <w:r w:rsidR="000C1AF5" w:rsidRPr="00115417">
        <w:t>30</w:t>
      </w:r>
      <w:r w:rsidR="00913B4F">
        <w:t xml:space="preserve"> kg/m</w:t>
      </w:r>
      <w:r w:rsidR="00913B4F">
        <w:rPr>
          <w:vertAlign w:val="superscript"/>
        </w:rPr>
        <w:t>2</w:t>
      </w:r>
      <w:r w:rsidR="0031143B" w:rsidRPr="00115417">
        <w:t xml:space="preserve">). </w:t>
      </w:r>
      <w:r w:rsidR="007F4BE2" w:rsidRPr="00115417">
        <w:t xml:space="preserve">Further disaggregation of the prevalence of obesity </w:t>
      </w:r>
      <w:r w:rsidR="00C363F6" w:rsidRPr="00115417">
        <w:t xml:space="preserve">reports that: 18% of adults were classified as </w:t>
      </w:r>
      <w:r w:rsidR="00817E24">
        <w:t xml:space="preserve">obesity </w:t>
      </w:r>
      <w:r w:rsidR="00C363F6" w:rsidRPr="00115417">
        <w:t>class I</w:t>
      </w:r>
      <w:r w:rsidR="00726F44">
        <w:t xml:space="preserve">; </w:t>
      </w:r>
      <w:r w:rsidR="00C363F6" w:rsidRPr="00115417">
        <w:t xml:space="preserve">6% as </w:t>
      </w:r>
      <w:r w:rsidR="00726F44">
        <w:t xml:space="preserve">obesity </w:t>
      </w:r>
      <w:r w:rsidR="00C363F6" w:rsidRPr="00115417">
        <w:t>class II</w:t>
      </w:r>
      <w:r w:rsidR="00726F44">
        <w:t xml:space="preserve">; </w:t>
      </w:r>
      <w:r w:rsidR="00C363F6" w:rsidRPr="00115417">
        <w:t xml:space="preserve">and 3% as </w:t>
      </w:r>
      <w:r w:rsidR="002074E0">
        <w:t xml:space="preserve">obesity </w:t>
      </w:r>
      <w:r w:rsidR="00C363F6" w:rsidRPr="00115417">
        <w:t>class III</w:t>
      </w:r>
      <w:r w:rsidR="002074E0">
        <w:t xml:space="preserve"> </w:t>
      </w:r>
      <w:r w:rsidR="004048AF">
        <w:rPr>
          <w:noProof/>
        </w:rPr>
        <w:t>(AIHW, 2017)</w:t>
      </w:r>
      <w:r w:rsidR="004048AF">
        <w:t>.</w:t>
      </w:r>
    </w:p>
    <w:p w14:paraId="2563B5F7" w14:textId="60940529" w:rsidR="00FE7E61" w:rsidRDefault="004E14E7" w:rsidP="002074E0">
      <w:r>
        <w:t>The distr</w:t>
      </w:r>
      <w:r w:rsidR="001A6A43">
        <w:t>ibution of BMI between men and women shows that</w:t>
      </w:r>
      <w:r w:rsidR="00C74012">
        <w:t xml:space="preserve"> despite a higher proportion of Australian men </w:t>
      </w:r>
      <w:r w:rsidR="006D64F1">
        <w:t xml:space="preserve">(71%) </w:t>
      </w:r>
      <w:r w:rsidR="00C74012">
        <w:t xml:space="preserve">being classified as overweight </w:t>
      </w:r>
      <w:r w:rsidR="00843052">
        <w:t xml:space="preserve">or obese </w:t>
      </w:r>
      <w:r w:rsidR="0040561B">
        <w:t>than women (56%), the</w:t>
      </w:r>
      <w:r w:rsidR="00E00F47">
        <w:t xml:space="preserve">re is a modest increase in the </w:t>
      </w:r>
      <w:r w:rsidR="00B53AD9">
        <w:t>p</w:t>
      </w:r>
      <w:r w:rsidR="00E00F47">
        <w:t xml:space="preserve">roportion of women </w:t>
      </w:r>
      <w:r w:rsidR="003F4A3B">
        <w:t xml:space="preserve">with a BMI </w:t>
      </w:r>
      <w:r w:rsidR="003F4A3B">
        <w:rPr>
          <w:rFonts w:cs="Calibri"/>
        </w:rPr>
        <w:t>≥</w:t>
      </w:r>
      <w:r w:rsidR="003F4A3B">
        <w:t>35</w:t>
      </w:r>
      <w:r w:rsidR="000D3B36">
        <w:t xml:space="preserve"> kg/m</w:t>
      </w:r>
      <w:r w:rsidR="000D3B36">
        <w:rPr>
          <w:vertAlign w:val="superscript"/>
        </w:rPr>
        <w:t>2</w:t>
      </w:r>
      <w:r w:rsidR="003F4A3B">
        <w:t xml:space="preserve"> </w:t>
      </w:r>
      <w:r w:rsidR="00D91926">
        <w:t xml:space="preserve">and eligible to have </w:t>
      </w:r>
      <w:r w:rsidR="004D03C6">
        <w:t xml:space="preserve">placement of an </w:t>
      </w:r>
      <w:r w:rsidR="007C36A4">
        <w:t>A-Tube™</w:t>
      </w:r>
      <w:r w:rsidR="004D03C6">
        <w:t xml:space="preserve"> funded through the MBS </w:t>
      </w:r>
      <w:r w:rsidR="009A6445">
        <w:t xml:space="preserve">as requested </w:t>
      </w:r>
      <w:r w:rsidR="00B53AD9">
        <w:t>(</w:t>
      </w:r>
      <w:r w:rsidR="007A3A2C">
        <w:fldChar w:fldCharType="begin"/>
      </w:r>
      <w:r w:rsidR="007A3A2C">
        <w:instrText xml:space="preserve"> REF _Ref527638186 \h </w:instrText>
      </w:r>
      <w:r w:rsidR="007A3A2C">
        <w:fldChar w:fldCharType="separate"/>
      </w:r>
      <w:r w:rsidR="007A3A2C">
        <w:t xml:space="preserve">Figure </w:t>
      </w:r>
      <w:r w:rsidR="007A3A2C">
        <w:rPr>
          <w:noProof/>
        </w:rPr>
        <w:t>1</w:t>
      </w:r>
      <w:r w:rsidR="007A3A2C">
        <w:fldChar w:fldCharType="end"/>
      </w:r>
      <w:r w:rsidR="00B53AD9">
        <w:t>).</w:t>
      </w:r>
    </w:p>
    <w:p w14:paraId="70D41937" w14:textId="22C43F7F" w:rsidR="00B53AD9" w:rsidRDefault="00B53AD9" w:rsidP="00B53AD9">
      <w:pPr>
        <w:pStyle w:val="Caption"/>
      </w:pPr>
      <w:bookmarkStart w:id="3" w:name="_Ref527638186"/>
      <w:r>
        <w:lastRenderedPageBreak/>
        <w:t xml:space="preserve">Figure </w:t>
      </w:r>
      <w:r>
        <w:fldChar w:fldCharType="begin"/>
      </w:r>
      <w:r>
        <w:instrText xml:space="preserve"> SEQ Figure \* ARABIC </w:instrText>
      </w:r>
      <w:r>
        <w:fldChar w:fldCharType="separate"/>
      </w:r>
      <w:r w:rsidR="00820C0C">
        <w:rPr>
          <w:noProof/>
        </w:rPr>
        <w:t>1</w:t>
      </w:r>
      <w:r>
        <w:fldChar w:fldCharType="end"/>
      </w:r>
      <w:bookmarkEnd w:id="3"/>
      <w:r w:rsidR="001A2D0E">
        <w:t>: Distribution of body mass index in Australian adults by sex 2014-15</w:t>
      </w:r>
    </w:p>
    <w:p w14:paraId="6DAE3BCD" w14:textId="4F7B2CD3" w:rsidR="00B53AD9" w:rsidRPr="00115417" w:rsidRDefault="007A3A2C" w:rsidP="002074E0">
      <w:r>
        <w:rPr>
          <w:noProof/>
          <w:lang w:eastAsia="en-AU"/>
        </w:rPr>
        <w:drawing>
          <wp:inline distT="0" distB="0" distL="0" distR="0" wp14:anchorId="141BEB03" wp14:editId="654DFA73">
            <wp:extent cx="5731510" cy="3745230"/>
            <wp:effectExtent l="0" t="0" r="2540" b="7620"/>
            <wp:docPr id="3" name="Picture 3" descr="Distribution of body mass index in Australian adults by sex i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45230"/>
                    </a:xfrm>
                    <a:prstGeom prst="rect">
                      <a:avLst/>
                    </a:prstGeom>
                  </pic:spPr>
                </pic:pic>
              </a:graphicData>
            </a:graphic>
          </wp:inline>
        </w:drawing>
      </w:r>
      <w:r w:rsidR="00F33BBB" w:rsidRPr="000D3B36">
        <w:rPr>
          <w:sz w:val="18"/>
          <w:szCs w:val="18"/>
        </w:rPr>
        <w:t xml:space="preserve">Source: Figure 4.2 (p.16) of </w:t>
      </w:r>
      <w:r w:rsidR="00F33BBB" w:rsidRPr="000D3B36">
        <w:rPr>
          <w:noProof/>
          <w:sz w:val="18"/>
          <w:szCs w:val="18"/>
        </w:rPr>
        <w:t>(AIHW, 2017)</w:t>
      </w:r>
    </w:p>
    <w:p w14:paraId="626E4F02" w14:textId="01784445" w:rsidR="00425F9B" w:rsidRDefault="0037425C" w:rsidP="00425F9B">
      <w:r>
        <w:t>T</w:t>
      </w:r>
      <w:r w:rsidR="00425F9B">
        <w:t>he</w:t>
      </w:r>
      <w:r w:rsidR="00F011CE">
        <w:t xml:space="preserve"> 2014-15 </w:t>
      </w:r>
      <w:r>
        <w:t xml:space="preserve">prevalence </w:t>
      </w:r>
      <w:r w:rsidR="00F011CE">
        <w:t xml:space="preserve">data </w:t>
      </w:r>
      <w:r>
        <w:t xml:space="preserve">for </w:t>
      </w:r>
      <w:r w:rsidR="00F011CE">
        <w:t xml:space="preserve">obesity in Australia </w:t>
      </w:r>
      <w:r>
        <w:t xml:space="preserve">shows that </w:t>
      </w:r>
      <w:r w:rsidR="00425F9B">
        <w:t xml:space="preserve">approximately 9% of the Australian adult population would have a BMI </w:t>
      </w:r>
      <w:r w:rsidR="00425F9B">
        <w:rPr>
          <w:rFonts w:cs="Calibri"/>
        </w:rPr>
        <w:t>≥</w:t>
      </w:r>
      <w:r w:rsidR="00425F9B">
        <w:t xml:space="preserve"> 35</w:t>
      </w:r>
      <w:r w:rsidR="00EB2856" w:rsidRPr="00EB2856">
        <w:t xml:space="preserve"> </w:t>
      </w:r>
      <w:r w:rsidR="00EB2856">
        <w:t>kg/m</w:t>
      </w:r>
      <w:r w:rsidR="00EB2856">
        <w:rPr>
          <w:vertAlign w:val="superscript"/>
        </w:rPr>
        <w:t>2</w:t>
      </w:r>
      <w:r w:rsidR="00425F9B">
        <w:t>.</w:t>
      </w:r>
      <w:r w:rsidR="00175FE4">
        <w:t xml:space="preserve"> Based on </w:t>
      </w:r>
      <w:r w:rsidR="00352186">
        <w:t>a</w:t>
      </w:r>
      <w:r w:rsidR="00175FE4">
        <w:t xml:space="preserve"> </w:t>
      </w:r>
      <w:r w:rsidR="00CD5840">
        <w:t xml:space="preserve">2018 </w:t>
      </w:r>
      <w:r w:rsidR="00175FE4">
        <w:t xml:space="preserve">adult </w:t>
      </w:r>
      <w:r w:rsidR="00CD5840">
        <w:t>population</w:t>
      </w:r>
      <w:r w:rsidR="006F7FA9">
        <w:t xml:space="preserve"> (age </w:t>
      </w:r>
      <w:r w:rsidR="006F7FA9">
        <w:rPr>
          <w:rFonts w:cs="Calibri"/>
        </w:rPr>
        <w:t>≥</w:t>
      </w:r>
      <w:r w:rsidR="006F7FA9">
        <w:t xml:space="preserve"> 18 years) </w:t>
      </w:r>
      <w:r w:rsidR="00CD5840">
        <w:t>of</w:t>
      </w:r>
      <w:r w:rsidR="00850272">
        <w:t xml:space="preserve"> 19,529,153 </w:t>
      </w:r>
      <w:r w:rsidR="00DF68F8">
        <w:rPr>
          <w:noProof/>
        </w:rPr>
        <w:t>(ABS, 2013)</w:t>
      </w:r>
      <w:r w:rsidR="00BA6DB2">
        <w:t xml:space="preserve">, it is estimated that </w:t>
      </w:r>
      <w:r w:rsidR="0055709B">
        <w:t xml:space="preserve">1,757,624 Australian adults would have a BMI </w:t>
      </w:r>
      <w:r w:rsidR="0055709B">
        <w:rPr>
          <w:rFonts w:cs="Calibri"/>
        </w:rPr>
        <w:t>≥</w:t>
      </w:r>
      <w:r w:rsidR="006F7FA9">
        <w:t>35</w:t>
      </w:r>
      <w:r w:rsidR="00EB2856">
        <w:t xml:space="preserve"> kg/m</w:t>
      </w:r>
      <w:r w:rsidR="00EB2856">
        <w:rPr>
          <w:vertAlign w:val="superscript"/>
        </w:rPr>
        <w:t>2</w:t>
      </w:r>
      <w:r w:rsidR="006F7FA9">
        <w:t>.</w:t>
      </w:r>
    </w:p>
    <w:p w14:paraId="77870CD2" w14:textId="38E12ADF" w:rsidR="00E364F7" w:rsidRDefault="002B3338" w:rsidP="002B3338">
      <w:pPr>
        <w:rPr>
          <w:i/>
        </w:rPr>
      </w:pPr>
      <w:r>
        <w:rPr>
          <w:i/>
          <w:u w:val="single"/>
        </w:rPr>
        <w:t>Rationale</w:t>
      </w:r>
      <w:r w:rsidR="004473DF">
        <w:rPr>
          <w:i/>
          <w:u w:val="single"/>
        </w:rPr>
        <w:t xml:space="preserve"> for patient population</w:t>
      </w:r>
    </w:p>
    <w:p w14:paraId="1D1909E3" w14:textId="1B48CFAD" w:rsidR="0023106B" w:rsidRDefault="00817E68" w:rsidP="000607AA">
      <w:r w:rsidRPr="000607AA">
        <w:t xml:space="preserve">Under the </w:t>
      </w:r>
      <w:r w:rsidR="00FC746B" w:rsidRPr="000607AA">
        <w:t xml:space="preserve">proposed MBS item </w:t>
      </w:r>
      <w:r w:rsidR="006A1D49" w:rsidRPr="000607AA">
        <w:t>descriptor</w:t>
      </w:r>
      <w:r w:rsidR="00414405">
        <w:t>,</w:t>
      </w:r>
      <w:r w:rsidR="000452EF">
        <w:t xml:space="preserve"> the placement of the </w:t>
      </w:r>
      <w:r w:rsidR="007C36A4">
        <w:t>A-Tube™</w:t>
      </w:r>
      <w:r w:rsidR="000452EF">
        <w:t xml:space="preserve"> </w:t>
      </w:r>
      <w:r w:rsidR="00446EEC">
        <w:t xml:space="preserve">could </w:t>
      </w:r>
      <w:r w:rsidR="00EE6F44">
        <w:t xml:space="preserve">be </w:t>
      </w:r>
      <w:r w:rsidR="00446EEC">
        <w:t>funded through the MBS regardless of a patient</w:t>
      </w:r>
      <w:r w:rsidR="002557FC">
        <w:t>’</w:t>
      </w:r>
      <w:r w:rsidR="00446EEC">
        <w:t>s age.</w:t>
      </w:r>
      <w:r w:rsidR="00953BD2">
        <w:t xml:space="preserve"> Not restricting access </w:t>
      </w:r>
      <w:r w:rsidR="00E56796">
        <w:t xml:space="preserve">to the procedure based on patient age is consistent with </w:t>
      </w:r>
      <w:r w:rsidR="00504D3F">
        <w:t xml:space="preserve">existing MBS items for weight loss surgery </w:t>
      </w:r>
      <w:r w:rsidR="00BF2060">
        <w:t>(31569</w:t>
      </w:r>
      <w:r w:rsidR="0033026A">
        <w:t xml:space="preserve"> </w:t>
      </w:r>
      <w:r w:rsidR="006E6FCF">
        <w:t>–</w:t>
      </w:r>
      <w:r w:rsidR="0033026A">
        <w:t xml:space="preserve"> 3</w:t>
      </w:r>
      <w:r w:rsidR="006E6FCF">
        <w:t>1581). However, the</w:t>
      </w:r>
      <w:r w:rsidR="00A93C1E">
        <w:t xml:space="preserve"> </w:t>
      </w:r>
      <w:r w:rsidR="0091720E">
        <w:t xml:space="preserve">completed </w:t>
      </w:r>
      <w:r w:rsidR="00A93C1E">
        <w:t xml:space="preserve">clinical studies </w:t>
      </w:r>
      <w:r w:rsidR="0091720E">
        <w:t xml:space="preserve">assessing the efficacy and safety of aspiration therapy have been undertaken in a patient population </w:t>
      </w:r>
      <w:r w:rsidR="00C90EA5">
        <w:t xml:space="preserve">aged </w:t>
      </w:r>
      <w:r w:rsidR="009F39C9">
        <w:t xml:space="preserve">21 years </w:t>
      </w:r>
      <w:r w:rsidR="001D3811">
        <w:t>or</w:t>
      </w:r>
      <w:r w:rsidR="009F39C9">
        <w:t xml:space="preserve"> over. A </w:t>
      </w:r>
      <w:r w:rsidR="00CB654F">
        <w:t>clinical study of aspiration therapy in adolescents</w:t>
      </w:r>
      <w:r w:rsidR="00C90EA5">
        <w:t xml:space="preserve"> (age</w:t>
      </w:r>
      <w:r w:rsidR="00414405">
        <w:t>d</w:t>
      </w:r>
      <w:r w:rsidR="004E0789">
        <w:t xml:space="preserve"> 16 to 21 years) is ongoing</w:t>
      </w:r>
      <w:r w:rsidR="00414405">
        <w:t>,</w:t>
      </w:r>
      <w:r w:rsidR="004E0789">
        <w:t xml:space="preserve"> with an anticipated end date of </w:t>
      </w:r>
      <w:r w:rsidR="008F0714">
        <w:t>March 2019</w:t>
      </w:r>
      <w:r w:rsidR="000F520A">
        <w:rPr>
          <w:rStyle w:val="FootnoteReference"/>
        </w:rPr>
        <w:footnoteReference w:id="2"/>
      </w:r>
      <w:r w:rsidR="008F0714">
        <w:t>.</w:t>
      </w:r>
    </w:p>
    <w:p w14:paraId="160453B8" w14:textId="383D63F8" w:rsidR="008F191B" w:rsidRDefault="004B5025" w:rsidP="000607AA">
      <w:r>
        <w:t xml:space="preserve">The applicant has nominated that aspiration therapy </w:t>
      </w:r>
      <w:r w:rsidR="00414405">
        <w:t xml:space="preserve">(facilitated via </w:t>
      </w:r>
      <w:r>
        <w:t xml:space="preserve">placement of the </w:t>
      </w:r>
      <w:r w:rsidR="007C36A4">
        <w:t>A-Tube™</w:t>
      </w:r>
      <w:r w:rsidR="00414405">
        <w:t>)</w:t>
      </w:r>
      <w:r>
        <w:t xml:space="preserve"> </w:t>
      </w:r>
      <w:r w:rsidR="007C62A2">
        <w:t xml:space="preserve">is for patients </w:t>
      </w:r>
      <w:r w:rsidR="005F2A1A">
        <w:t>“</w:t>
      </w:r>
      <w:r w:rsidR="007C62A2">
        <w:t>over 18 years of age</w:t>
      </w:r>
      <w:r w:rsidR="00414405">
        <w:t>,</w:t>
      </w:r>
      <w:r w:rsidR="007C62A2">
        <w:t xml:space="preserve"> who are obese and</w:t>
      </w:r>
      <w:r w:rsidR="005F2A1A">
        <w:t xml:space="preserve"> have</w:t>
      </w:r>
      <w:r w:rsidR="00414405">
        <w:t xml:space="preserve"> a BMI </w:t>
      </w:r>
      <w:r w:rsidR="005F2A1A">
        <w:t>between 35 and 65</w:t>
      </w:r>
      <w:r w:rsidR="00414405">
        <w:t>, and</w:t>
      </w:r>
      <w:r w:rsidR="005F2A1A">
        <w:t xml:space="preserve"> who have failed to achieve and maintain weight loss with non-surgical weight loss therapy” (</w:t>
      </w:r>
      <w:r w:rsidR="006E738F">
        <w:t>p</w:t>
      </w:r>
      <w:r w:rsidR="005F2A1A">
        <w:t xml:space="preserve">. </w:t>
      </w:r>
      <w:r w:rsidR="006E738F">
        <w:t>12</w:t>
      </w:r>
      <w:r w:rsidR="00843EF4">
        <w:t xml:space="preserve"> of MSAC Application Form</w:t>
      </w:r>
      <w:r w:rsidR="006E738F">
        <w:t>).</w:t>
      </w:r>
      <w:r w:rsidR="0057055A">
        <w:t xml:space="preserve"> </w:t>
      </w:r>
      <w:r w:rsidR="00F359E2">
        <w:t>This context of us</w:t>
      </w:r>
      <w:r w:rsidR="00414405">
        <w:t xml:space="preserve">e is broadly consistent with </w:t>
      </w:r>
      <w:r w:rsidR="008A7582">
        <w:t>key</w:t>
      </w:r>
      <w:r w:rsidR="00BE19E5">
        <w:t xml:space="preserve"> inclusion </w:t>
      </w:r>
      <w:r w:rsidR="008A7582">
        <w:t xml:space="preserve">criteria for patients to </w:t>
      </w:r>
      <w:r w:rsidR="008A7582">
        <w:lastRenderedPageBreak/>
        <w:t xml:space="preserve">enrol in </w:t>
      </w:r>
      <w:r w:rsidR="00CA3284">
        <w:t>a randomised controlled trial of aspiration therapy</w:t>
      </w:r>
      <w:r w:rsidR="00414405">
        <w:t>,</w:t>
      </w:r>
      <w:r w:rsidR="00A04A32">
        <w:t xml:space="preserve"> </w:t>
      </w:r>
      <w:r w:rsidR="009E4988">
        <w:t xml:space="preserve">reported in the supplement to </w:t>
      </w:r>
      <w:r w:rsidR="009E4988">
        <w:rPr>
          <w:noProof/>
        </w:rPr>
        <w:t>(Thompson et al., 2017)</w:t>
      </w:r>
      <w:r w:rsidR="009E4988">
        <w:t xml:space="preserve"> </w:t>
      </w:r>
      <w:r w:rsidR="00A04A32">
        <w:t>of:</w:t>
      </w:r>
    </w:p>
    <w:p w14:paraId="70EE7A3B" w14:textId="24039CF3" w:rsidR="00A04A32" w:rsidRDefault="00A04A32" w:rsidP="00A04A32">
      <w:pPr>
        <w:pStyle w:val="ListParagraph"/>
        <w:numPr>
          <w:ilvl w:val="0"/>
          <w:numId w:val="11"/>
        </w:numPr>
      </w:pPr>
      <w:r>
        <w:t>Measured BMI of 35</w:t>
      </w:r>
      <w:r w:rsidR="00226447">
        <w:t xml:space="preserve"> </w:t>
      </w:r>
      <w:r w:rsidR="001A0D0C">
        <w:t>-</w:t>
      </w:r>
      <w:r w:rsidR="00226447">
        <w:t xml:space="preserve"> 55 kg/m</w:t>
      </w:r>
      <w:r w:rsidR="00226447">
        <w:rPr>
          <w:vertAlign w:val="superscript"/>
        </w:rPr>
        <w:t>2</w:t>
      </w:r>
      <w:r w:rsidR="00226447">
        <w:t xml:space="preserve"> at time of screening</w:t>
      </w:r>
    </w:p>
    <w:p w14:paraId="04FF8AE5" w14:textId="29DECC7B" w:rsidR="00226447" w:rsidRDefault="00226447" w:rsidP="00A04A32">
      <w:pPr>
        <w:pStyle w:val="ListParagraph"/>
        <w:numPr>
          <w:ilvl w:val="0"/>
          <w:numId w:val="11"/>
        </w:numPr>
      </w:pPr>
      <w:r>
        <w:t>21</w:t>
      </w:r>
      <w:r w:rsidR="001A0D0C">
        <w:t xml:space="preserve"> – 65 years of age at time of screening</w:t>
      </w:r>
    </w:p>
    <w:p w14:paraId="635751F0" w14:textId="18B5D3E2" w:rsidR="001A0D0C" w:rsidRDefault="00F2346B" w:rsidP="00A04A32">
      <w:pPr>
        <w:pStyle w:val="ListParagraph"/>
        <w:numPr>
          <w:ilvl w:val="0"/>
          <w:numId w:val="11"/>
        </w:numPr>
      </w:pPr>
      <w:r>
        <w:t xml:space="preserve">Failed attempt </w:t>
      </w:r>
      <w:r w:rsidR="00414405">
        <w:t xml:space="preserve">at weight loss </w:t>
      </w:r>
      <w:r>
        <w:t>for a duration equal to 3-months</w:t>
      </w:r>
      <w:r w:rsidR="00414405">
        <w:t>,</w:t>
      </w:r>
      <w:r>
        <w:t xml:space="preserve"> by alternative approaches (e.g. supervised or unsupervised diets, exercise, beh</w:t>
      </w:r>
      <w:r w:rsidR="00E648F4">
        <w:t>avioural modification programs).</w:t>
      </w:r>
    </w:p>
    <w:p w14:paraId="66B796D5" w14:textId="77777777" w:rsidR="00896FFF" w:rsidRPr="00646496" w:rsidRDefault="00896FFF" w:rsidP="00896FFF">
      <w:r>
        <w:t>Data from a single-arm pilot study of aspiration therapy in super-obese (BMI &gt;55 kg/</w:t>
      </w:r>
      <w:r w:rsidRPr="004A284A">
        <w:t>m</w:t>
      </w:r>
      <w:r w:rsidRPr="006E7AED">
        <w:rPr>
          <w:vertAlign w:val="superscript"/>
        </w:rPr>
        <w:t>2</w:t>
      </w:r>
      <w:r>
        <w:t xml:space="preserve">) </w:t>
      </w:r>
      <w:r w:rsidRPr="004A284A">
        <w:t>adults</w:t>
      </w:r>
      <w:r>
        <w:t xml:space="preserve"> has also been reported (MacHytka et al., 2017).</w:t>
      </w:r>
    </w:p>
    <w:p w14:paraId="01B51E2C" w14:textId="771B78EF" w:rsidR="002357C1" w:rsidRDefault="00FD2A7D" w:rsidP="00646496">
      <w:r>
        <w:t xml:space="preserve">PASC has requested that </w:t>
      </w:r>
      <w:r w:rsidR="00363774">
        <w:t xml:space="preserve">the submission include a definition </w:t>
      </w:r>
      <w:r w:rsidR="008A3AAE">
        <w:t>and overview of</w:t>
      </w:r>
      <w:r w:rsidR="005B3A3E">
        <w:t xml:space="preserve"> </w:t>
      </w:r>
      <w:r w:rsidR="00603EC5">
        <w:t xml:space="preserve">non-surgical weight loss </w:t>
      </w:r>
      <w:r w:rsidR="00447807">
        <w:t xml:space="preserve">methods which may </w:t>
      </w:r>
      <w:r w:rsidR="00D314F0">
        <w:t xml:space="preserve">be </w:t>
      </w:r>
      <w:r w:rsidR="00447807">
        <w:t>attempted prior to being considered for aspiration therapy</w:t>
      </w:r>
      <w:r w:rsidR="009C3DA3">
        <w:t xml:space="preserve">, as well the role of </w:t>
      </w:r>
      <w:r w:rsidR="00D901E0">
        <w:t>psychological</w:t>
      </w:r>
      <w:r w:rsidR="0079291D">
        <w:t xml:space="preserve"> support and counselling </w:t>
      </w:r>
      <w:r w:rsidR="00D314F0">
        <w:t xml:space="preserve">in </w:t>
      </w:r>
      <w:r w:rsidR="0079291D">
        <w:t>the management of patients</w:t>
      </w:r>
      <w:r w:rsidR="00D314F0">
        <w:t>,</w:t>
      </w:r>
      <w:r w:rsidR="0079291D">
        <w:t xml:space="preserve"> </w:t>
      </w:r>
      <w:r w:rsidR="00D901E0">
        <w:t>before aspiration therapy</w:t>
      </w:r>
      <w:r w:rsidR="00447807">
        <w:t>.</w:t>
      </w:r>
    </w:p>
    <w:p w14:paraId="4B179C50" w14:textId="66C3FEE8" w:rsidR="00D12D0D" w:rsidRDefault="00D12D0D" w:rsidP="00D12D0D">
      <w:pPr>
        <w:rPr>
          <w:i/>
          <w:u w:val="single"/>
        </w:rPr>
      </w:pPr>
      <w:r>
        <w:rPr>
          <w:i/>
          <w:u w:val="single"/>
        </w:rPr>
        <w:t xml:space="preserve">Current approach to </w:t>
      </w:r>
      <w:r w:rsidR="004473DF">
        <w:rPr>
          <w:i/>
          <w:u w:val="single"/>
        </w:rPr>
        <w:t>patient management within patient population</w:t>
      </w:r>
    </w:p>
    <w:p w14:paraId="08170192" w14:textId="4240BD93" w:rsidR="004473DF" w:rsidRPr="004473DF" w:rsidRDefault="006C2EA1" w:rsidP="004473DF">
      <w:r>
        <w:t xml:space="preserve">Obesity is a </w:t>
      </w:r>
      <w:r w:rsidR="00694845">
        <w:t>multi-factorial</w:t>
      </w:r>
      <w:r>
        <w:t xml:space="preserve"> </w:t>
      </w:r>
      <w:r w:rsidR="00F43F88">
        <w:t xml:space="preserve">condition </w:t>
      </w:r>
      <w:r w:rsidR="002557FC">
        <w:t xml:space="preserve">requiring the involvement of </w:t>
      </w:r>
      <w:r w:rsidR="00FA20DF">
        <w:t>a va</w:t>
      </w:r>
      <w:r w:rsidR="00A47076">
        <w:t>riety of expert</w:t>
      </w:r>
      <w:r w:rsidR="002557FC">
        <w:t>s</w:t>
      </w:r>
      <w:r w:rsidR="00A47076">
        <w:t xml:space="preserve"> </w:t>
      </w:r>
      <w:r w:rsidR="001A3162">
        <w:t xml:space="preserve">in </w:t>
      </w:r>
      <w:r w:rsidR="005B1348">
        <w:t>a multidisciplinary care team</w:t>
      </w:r>
      <w:r w:rsidR="00C84DBD">
        <w:t xml:space="preserve">. </w:t>
      </w:r>
      <w:r w:rsidR="00E040BB">
        <w:t xml:space="preserve">As outlined in the Australian clinical practice guidelines for </w:t>
      </w:r>
      <w:r w:rsidR="006E3A17">
        <w:t xml:space="preserve">the management of obesity </w:t>
      </w:r>
      <w:r w:rsidR="00CF30FA">
        <w:rPr>
          <w:noProof/>
        </w:rPr>
        <w:t>(NHMRC, 2013)</w:t>
      </w:r>
      <w:r w:rsidR="001A3162">
        <w:rPr>
          <w:noProof/>
        </w:rPr>
        <w:t>,</w:t>
      </w:r>
      <w:r w:rsidR="00CF30FA">
        <w:t xml:space="preserve"> the </w:t>
      </w:r>
      <w:r w:rsidR="0074790B">
        <w:t>usual initial healthcare provider is a GP or practice nurse</w:t>
      </w:r>
      <w:r w:rsidR="00F05607">
        <w:t xml:space="preserve">. </w:t>
      </w:r>
      <w:r w:rsidR="001A3162">
        <w:t>D</w:t>
      </w:r>
      <w:r w:rsidR="00DC6D6F">
        <w:t>ietitians, psyc</w:t>
      </w:r>
      <w:r w:rsidR="00A7044E">
        <w:t>hologists, exercise physiologists and diabetes educators may be involved in supporting patients with obesity</w:t>
      </w:r>
      <w:r w:rsidR="001A3162">
        <w:t xml:space="preserve"> </w:t>
      </w:r>
      <w:r w:rsidR="00660577">
        <w:t>d</w:t>
      </w:r>
      <w:r w:rsidR="001A3162">
        <w:t xml:space="preserve">epending on a </w:t>
      </w:r>
      <w:r w:rsidR="00042A89">
        <w:t>patient’s</w:t>
      </w:r>
      <w:r w:rsidR="001A3162">
        <w:t xml:space="preserve"> clinical characteristics</w:t>
      </w:r>
      <w:r w:rsidR="00B4150B">
        <w:t>.</w:t>
      </w:r>
    </w:p>
    <w:p w14:paraId="6532A06D" w14:textId="0D0E1E4A" w:rsidR="00D12D0D" w:rsidRDefault="00A52F28" w:rsidP="00D12D0D">
      <w:r>
        <w:t>When a patient expresse</w:t>
      </w:r>
      <w:r w:rsidR="00A163D1">
        <w:t>s readiness for behavioural change</w:t>
      </w:r>
      <w:r w:rsidR="005408A2">
        <w:t>, life</w:t>
      </w:r>
      <w:r w:rsidR="00BA13B8">
        <w:t xml:space="preserve">style </w:t>
      </w:r>
      <w:r w:rsidR="00660577">
        <w:t>modifications</w:t>
      </w:r>
      <w:r w:rsidR="004F1718">
        <w:t xml:space="preserve"> incorporating reduced energy intake and increased </w:t>
      </w:r>
      <w:r w:rsidR="008A2296">
        <w:t xml:space="preserve">physical activity </w:t>
      </w:r>
      <w:r w:rsidR="002440BF">
        <w:t xml:space="preserve">are recommended as the </w:t>
      </w:r>
      <w:r w:rsidR="00015640">
        <w:t xml:space="preserve">initial management approach for </w:t>
      </w:r>
      <w:r w:rsidR="00716049">
        <w:t>patients with obesity</w:t>
      </w:r>
      <w:r w:rsidR="000A0BD0">
        <w:t xml:space="preserve"> </w:t>
      </w:r>
      <w:r w:rsidR="000A0BD0">
        <w:rPr>
          <w:noProof/>
        </w:rPr>
        <w:t>(NHMRC, 2013)</w:t>
      </w:r>
      <w:r w:rsidR="00716049">
        <w:t xml:space="preserve">. Lifestyle </w:t>
      </w:r>
      <w:r w:rsidR="00660577">
        <w:t>modifications</w:t>
      </w:r>
      <w:r w:rsidR="00716049">
        <w:t xml:space="preserve"> </w:t>
      </w:r>
      <w:r w:rsidR="00C76180">
        <w:t xml:space="preserve">are suited for delivery in the primary healthcare setting </w:t>
      </w:r>
      <w:r w:rsidR="000F68C7">
        <w:t xml:space="preserve">and may be </w:t>
      </w:r>
      <w:r w:rsidR="003B5F53">
        <w:t xml:space="preserve">augmented by measures designed </w:t>
      </w:r>
      <w:r w:rsidR="00766E0D">
        <w:t>t</w:t>
      </w:r>
      <w:r w:rsidR="003B5F53">
        <w:t>o</w:t>
      </w:r>
      <w:r w:rsidR="00766E0D">
        <w:t xml:space="preserve"> support the</w:t>
      </w:r>
      <w:r w:rsidR="003B5F53">
        <w:t xml:space="preserve"> behavioural change</w:t>
      </w:r>
      <w:r w:rsidR="00766E0D">
        <w:t>s</w:t>
      </w:r>
      <w:r w:rsidR="003B5F53">
        <w:t xml:space="preserve"> </w:t>
      </w:r>
      <w:r w:rsidR="00700851">
        <w:t xml:space="preserve">such as </w:t>
      </w:r>
      <w:r w:rsidR="007A32E2">
        <w:t>goal setting</w:t>
      </w:r>
      <w:r w:rsidR="00FA5D16">
        <w:t xml:space="preserve"> and cognitive restructuring</w:t>
      </w:r>
      <w:r w:rsidR="000A13DB">
        <w:t xml:space="preserve"> techniques</w:t>
      </w:r>
      <w:r w:rsidR="00B2605B">
        <w:t>.</w:t>
      </w:r>
    </w:p>
    <w:p w14:paraId="245671E6" w14:textId="0E77A641" w:rsidR="001634C5" w:rsidRDefault="00B2605B" w:rsidP="00924F5A">
      <w:r>
        <w:t xml:space="preserve">For patients who do not achieve </w:t>
      </w:r>
      <w:r w:rsidR="00B52D58">
        <w:t xml:space="preserve">sustained weight loss through lifestyle </w:t>
      </w:r>
      <w:r w:rsidR="008A2E1B">
        <w:t>modification,</w:t>
      </w:r>
      <w:r w:rsidR="0023180F">
        <w:t xml:space="preserve"> intensive interventions </w:t>
      </w:r>
      <w:r w:rsidR="0093342C">
        <w:t>include</w:t>
      </w:r>
      <w:r w:rsidR="00B54AFE">
        <w:t xml:space="preserve"> v</w:t>
      </w:r>
      <w:r w:rsidR="0093342C">
        <w:t>ery</w:t>
      </w:r>
      <w:r w:rsidR="005B0AC8">
        <w:t xml:space="preserve"> low-energy diets</w:t>
      </w:r>
      <w:r w:rsidR="00B54AFE">
        <w:t>, w</w:t>
      </w:r>
      <w:r w:rsidR="005B0AC8">
        <w:t>eight loss medications</w:t>
      </w:r>
      <w:r w:rsidR="00924F5A">
        <w:t xml:space="preserve"> (pharmaco</w:t>
      </w:r>
      <w:r w:rsidR="009C14E2">
        <w:t>therapy)</w:t>
      </w:r>
      <w:r w:rsidR="00924F5A">
        <w:t xml:space="preserve">, and bariatric surgery. </w:t>
      </w:r>
      <w:r w:rsidR="0078595A">
        <w:t xml:space="preserve">Intensive interventions </w:t>
      </w:r>
      <w:r w:rsidR="00717177">
        <w:t>are considered as an adjunct to lifestyle inter</w:t>
      </w:r>
      <w:r w:rsidR="00534AE3">
        <w:t>v</w:t>
      </w:r>
      <w:r w:rsidR="00717177">
        <w:t>e</w:t>
      </w:r>
      <w:r w:rsidR="00534AE3">
        <w:t>n</w:t>
      </w:r>
      <w:r w:rsidR="00717177">
        <w:t xml:space="preserve">tions </w:t>
      </w:r>
      <w:r w:rsidR="00534AE3">
        <w:t>of reduced energy intake and increased physical activity.</w:t>
      </w:r>
      <w:r w:rsidR="007F4F0E">
        <w:t xml:space="preserve"> The Australian clinical practice guidelines for the management of obesity </w:t>
      </w:r>
      <w:r w:rsidR="00FA3462">
        <w:t xml:space="preserve">outline that intensive interventions are likely to be used </w:t>
      </w:r>
      <w:r w:rsidR="003D5B09">
        <w:t>sequentially</w:t>
      </w:r>
      <w:r w:rsidR="0007405E">
        <w:t>, starting with a very low-energy diet</w:t>
      </w:r>
      <w:r w:rsidR="000A27E6">
        <w:t xml:space="preserve"> to achieve weight loss before using medications to help counter the hormone changes and increased </w:t>
      </w:r>
      <w:r w:rsidR="00AD5316">
        <w:t>hunger that follows weight loss.</w:t>
      </w:r>
    </w:p>
    <w:p w14:paraId="0FBFA8C4" w14:textId="48B582AC" w:rsidR="003F6970" w:rsidRDefault="00366C92" w:rsidP="00AC7083">
      <w:r w:rsidRPr="00AC7083">
        <w:t xml:space="preserve">Very low-energy diets </w:t>
      </w:r>
      <w:r w:rsidR="00201473" w:rsidRPr="00AC7083">
        <w:t xml:space="preserve">involve replacing one or more meals a day with foods or </w:t>
      </w:r>
      <w:r w:rsidR="00855577" w:rsidRPr="00AC7083">
        <w:t>f</w:t>
      </w:r>
      <w:r w:rsidR="00201473" w:rsidRPr="00AC7083">
        <w:t>ormul</w:t>
      </w:r>
      <w:r w:rsidR="00855577" w:rsidRPr="00AC7083">
        <w:t>a</w:t>
      </w:r>
      <w:r w:rsidR="00201473" w:rsidRPr="00AC7083">
        <w:t xml:space="preserve">s </w:t>
      </w:r>
      <w:r w:rsidR="00E26E56" w:rsidRPr="00AC7083">
        <w:t xml:space="preserve">providing a specific number of </w:t>
      </w:r>
      <w:r w:rsidR="00042A89" w:rsidRPr="00AC7083">
        <w:t>kilojoules</w:t>
      </w:r>
      <w:r w:rsidR="00855577" w:rsidRPr="00AC7083">
        <w:t xml:space="preserve"> and are </w:t>
      </w:r>
      <w:r w:rsidR="00477EC6" w:rsidRPr="00AC7083">
        <w:t xml:space="preserve">associated with rapid weight loss and onset of ketosis which may supress hunger. </w:t>
      </w:r>
      <w:r w:rsidR="003F6970" w:rsidRPr="00AC7083">
        <w:t xml:space="preserve">Due to the </w:t>
      </w:r>
      <w:r w:rsidR="00AE2AA0" w:rsidRPr="00AC7083">
        <w:t>potential for r</w:t>
      </w:r>
      <w:r w:rsidR="00211ACF" w:rsidRPr="00AC7083">
        <w:t>a</w:t>
      </w:r>
      <w:r w:rsidR="00AE2AA0" w:rsidRPr="00AC7083">
        <w:t>pid change in nutritional intake, c</w:t>
      </w:r>
      <w:r w:rsidR="003F6970" w:rsidRPr="00AC7083">
        <w:t>areful monitoring of p</w:t>
      </w:r>
      <w:r w:rsidR="00AE2AA0" w:rsidRPr="00AC7083">
        <w:t xml:space="preserve">atients </w:t>
      </w:r>
      <w:r w:rsidR="003F6970" w:rsidRPr="00AC7083">
        <w:t>on very low-energy diets is required</w:t>
      </w:r>
      <w:r w:rsidR="00AE2AA0" w:rsidRPr="00AC7083">
        <w:t xml:space="preserve">, including </w:t>
      </w:r>
      <w:r w:rsidR="00143359" w:rsidRPr="00AC7083">
        <w:t xml:space="preserve">the conduct of </w:t>
      </w:r>
      <w:r w:rsidR="003F6970" w:rsidRPr="00AC7083">
        <w:t>liver function tests, lipid profile measurements</w:t>
      </w:r>
      <w:r w:rsidR="00143359" w:rsidRPr="00AC7083">
        <w:t>,</w:t>
      </w:r>
      <w:r w:rsidR="003F6970" w:rsidRPr="00AC7083">
        <w:t xml:space="preserve"> full</w:t>
      </w:r>
      <w:r w:rsidR="00143359" w:rsidRPr="00AC7083">
        <w:t xml:space="preserve"> </w:t>
      </w:r>
      <w:r w:rsidR="003F6970" w:rsidRPr="00AC7083">
        <w:t>blood count and iron studies, along with levels of electrolytes, creatinine and uric acid</w:t>
      </w:r>
      <w:r w:rsidR="00211ACF" w:rsidRPr="00AC7083">
        <w:t xml:space="preserve"> prior to starting</w:t>
      </w:r>
      <w:r w:rsidR="003F6970" w:rsidRPr="00AC7083">
        <w:t>.</w:t>
      </w:r>
      <w:r w:rsidR="00211ACF" w:rsidRPr="00AC7083">
        <w:t xml:space="preserve"> </w:t>
      </w:r>
      <w:r w:rsidR="003F6970" w:rsidRPr="00AC7083">
        <w:t>Electrolyte</w:t>
      </w:r>
      <w:r w:rsidR="00211ACF" w:rsidRPr="00AC7083">
        <w:t xml:space="preserve"> </w:t>
      </w:r>
      <w:r w:rsidR="003F6970" w:rsidRPr="00AC7083">
        <w:t xml:space="preserve">and creatinine levels </w:t>
      </w:r>
      <w:r w:rsidR="00AC7083" w:rsidRPr="00AC7083">
        <w:t xml:space="preserve">are also recommended to </w:t>
      </w:r>
      <w:r w:rsidR="003F6970" w:rsidRPr="00AC7083">
        <w:t>be checked about 6</w:t>
      </w:r>
      <w:r w:rsidR="00AC7083" w:rsidRPr="00AC7083">
        <w:t xml:space="preserve"> </w:t>
      </w:r>
      <w:r w:rsidR="003F6970" w:rsidRPr="00AC7083">
        <w:t>weeks after starting the diet, or earlier if more</w:t>
      </w:r>
      <w:r w:rsidR="00AC7083" w:rsidRPr="00AC7083">
        <w:t xml:space="preserve"> </w:t>
      </w:r>
      <w:r w:rsidR="003F6970" w:rsidRPr="00AC7083">
        <w:t>careful monitoring is required (e.g. in people who have renal impairment or are using diuretics)</w:t>
      </w:r>
      <w:r w:rsidR="00AC7083" w:rsidRPr="00AC7083">
        <w:t xml:space="preserve"> </w:t>
      </w:r>
      <w:r w:rsidR="00AC7083">
        <w:rPr>
          <w:noProof/>
        </w:rPr>
        <w:t>(NHMRC, 2013)</w:t>
      </w:r>
      <w:r w:rsidR="00AC7083">
        <w:t xml:space="preserve">. </w:t>
      </w:r>
      <w:r w:rsidR="00DC22D5">
        <w:t xml:space="preserve">Due to the monitoring and </w:t>
      </w:r>
      <w:r w:rsidR="00DC22D5">
        <w:lastRenderedPageBreak/>
        <w:t>testing requirements associated with very low-energy diets, th</w:t>
      </w:r>
      <w:r w:rsidR="002556BC">
        <w:t xml:space="preserve">is intervention </w:t>
      </w:r>
      <w:r w:rsidR="00DC22D5">
        <w:t>should be</w:t>
      </w:r>
      <w:r w:rsidR="002556BC">
        <w:t xml:space="preserve"> applied under the supervision of </w:t>
      </w:r>
      <w:r w:rsidR="001466FE">
        <w:t>a</w:t>
      </w:r>
      <w:r w:rsidR="002556BC">
        <w:t xml:space="preserve"> patient</w:t>
      </w:r>
      <w:r w:rsidR="001466FE">
        <w:t>’</w:t>
      </w:r>
      <w:r w:rsidR="002556BC">
        <w:t>s GP.</w:t>
      </w:r>
    </w:p>
    <w:p w14:paraId="11C7D59B" w14:textId="3BA6854C" w:rsidR="000C5A08" w:rsidRDefault="009D2CAD" w:rsidP="00AC7083">
      <w:r>
        <w:t>P</w:t>
      </w:r>
      <w:r w:rsidR="004D5ECE">
        <w:t xml:space="preserve">harmacological treatments for patients with obesity include </w:t>
      </w:r>
      <w:r w:rsidR="00007C60">
        <w:t>orlistat and phentermine</w:t>
      </w:r>
      <w:r w:rsidR="00EE0006">
        <w:t>.</w:t>
      </w:r>
      <w:r w:rsidR="00672634">
        <w:t xml:space="preserve"> </w:t>
      </w:r>
      <w:r w:rsidR="00A16EE4">
        <w:t>Orlistat is available as a pharm</w:t>
      </w:r>
      <w:r w:rsidR="00DA36E0">
        <w:t>acy only medicine without prescr</w:t>
      </w:r>
      <w:r w:rsidR="007506FA">
        <w:t>i</w:t>
      </w:r>
      <w:r w:rsidR="00DA36E0">
        <w:t>pt</w:t>
      </w:r>
      <w:r w:rsidR="007506FA">
        <w:t>io</w:t>
      </w:r>
      <w:r w:rsidR="00DA36E0">
        <w:t>n</w:t>
      </w:r>
      <w:r w:rsidR="005F13FE">
        <w:t xml:space="preserve"> or via prescription through the </w:t>
      </w:r>
      <w:r w:rsidR="00697DC2">
        <w:t>R</w:t>
      </w:r>
      <w:r w:rsidR="005F13FE">
        <w:t>PBS</w:t>
      </w:r>
      <w:r w:rsidR="00F536E4">
        <w:t xml:space="preserve"> (avail</w:t>
      </w:r>
      <w:r w:rsidR="00A540AC">
        <w:t>able to holders of Veterans’ health cards only)</w:t>
      </w:r>
      <w:r w:rsidR="00D00506">
        <w:t>. P</w:t>
      </w:r>
      <w:r w:rsidR="007506FA">
        <w:t>hentermine is a prescription only medicine</w:t>
      </w:r>
      <w:r w:rsidR="00D00506">
        <w:t xml:space="preserve"> and is not listed on the PBS.</w:t>
      </w:r>
      <w:r w:rsidR="00A111D0">
        <w:t xml:space="preserve"> T</w:t>
      </w:r>
      <w:r w:rsidR="00672634">
        <w:t xml:space="preserve">he </w:t>
      </w:r>
      <w:r w:rsidR="00D42225">
        <w:t>indication</w:t>
      </w:r>
      <w:r w:rsidR="00A111D0">
        <w:t>s</w:t>
      </w:r>
      <w:r w:rsidR="00D42225">
        <w:t xml:space="preserve"> </w:t>
      </w:r>
      <w:r w:rsidR="00A16EE4">
        <w:t xml:space="preserve">for </w:t>
      </w:r>
      <w:r w:rsidR="00A111D0">
        <w:t>orlistat and phentermine as</w:t>
      </w:r>
      <w:r w:rsidR="00D42225">
        <w:t xml:space="preserve"> outlined in the TGA Product Information is given in </w:t>
      </w:r>
      <w:r w:rsidR="0023191F">
        <w:fldChar w:fldCharType="begin"/>
      </w:r>
      <w:r w:rsidR="0023191F">
        <w:instrText xml:space="preserve"> REF _Ref527819461 \h </w:instrText>
      </w:r>
      <w:r w:rsidR="0023191F">
        <w:fldChar w:fldCharType="separate"/>
      </w:r>
      <w:r w:rsidR="0023191F">
        <w:t xml:space="preserve">Table </w:t>
      </w:r>
      <w:r w:rsidR="0023191F">
        <w:rPr>
          <w:noProof/>
        </w:rPr>
        <w:t>2</w:t>
      </w:r>
      <w:r w:rsidR="0023191F">
        <w:fldChar w:fldCharType="end"/>
      </w:r>
      <w:r w:rsidR="00D42225">
        <w:t>.</w:t>
      </w:r>
    </w:p>
    <w:p w14:paraId="184DB38B" w14:textId="6192DCEC" w:rsidR="00A111D0" w:rsidRDefault="00A111D0" w:rsidP="00A111D0">
      <w:pPr>
        <w:pStyle w:val="Caption"/>
      </w:pPr>
      <w:bookmarkStart w:id="4" w:name="_Ref527819461"/>
      <w:r>
        <w:t xml:space="preserve">Table </w:t>
      </w:r>
      <w:r>
        <w:fldChar w:fldCharType="begin"/>
      </w:r>
      <w:r>
        <w:instrText xml:space="preserve"> SEQ Table \* ARABIC </w:instrText>
      </w:r>
      <w:r>
        <w:fldChar w:fldCharType="separate"/>
      </w:r>
      <w:r w:rsidR="00B67FC1">
        <w:rPr>
          <w:noProof/>
        </w:rPr>
        <w:t>2</w:t>
      </w:r>
      <w:r>
        <w:fldChar w:fldCharType="end"/>
      </w:r>
      <w:bookmarkEnd w:id="4"/>
      <w:r>
        <w:t xml:space="preserve">: </w:t>
      </w:r>
      <w:r w:rsidR="0023191F">
        <w:t>TGA-approved indications for weight loss medications</w:t>
      </w:r>
    </w:p>
    <w:tbl>
      <w:tblPr>
        <w:tblStyle w:val="TableGrid"/>
        <w:tblW w:w="0" w:type="auto"/>
        <w:tblLook w:val="04A0" w:firstRow="1" w:lastRow="0" w:firstColumn="1" w:lastColumn="0" w:noHBand="0" w:noVBand="1"/>
        <w:tblDescription w:val="TGA-approved indications for weight loss medications"/>
      </w:tblPr>
      <w:tblGrid>
        <w:gridCol w:w="2040"/>
        <w:gridCol w:w="6976"/>
      </w:tblGrid>
      <w:tr w:rsidR="003E256F" w14:paraId="62492B8A" w14:textId="77777777" w:rsidTr="00553D3B">
        <w:trPr>
          <w:tblHeader/>
        </w:trPr>
        <w:tc>
          <w:tcPr>
            <w:tcW w:w="0" w:type="auto"/>
          </w:tcPr>
          <w:p w14:paraId="4C75E6DE" w14:textId="0C2822FF" w:rsidR="003E256F" w:rsidRPr="00560E45" w:rsidRDefault="003E256F" w:rsidP="00AC7083">
            <w:pPr>
              <w:rPr>
                <w:b/>
              </w:rPr>
            </w:pPr>
            <w:r w:rsidRPr="00560E45">
              <w:rPr>
                <w:b/>
              </w:rPr>
              <w:t xml:space="preserve">Treatment (Brands) </w:t>
            </w:r>
          </w:p>
        </w:tc>
        <w:tc>
          <w:tcPr>
            <w:tcW w:w="0" w:type="auto"/>
          </w:tcPr>
          <w:p w14:paraId="6226B926" w14:textId="29E817E7" w:rsidR="003E256F" w:rsidRPr="00560E45" w:rsidRDefault="003E256F" w:rsidP="00AC7083">
            <w:pPr>
              <w:rPr>
                <w:b/>
              </w:rPr>
            </w:pPr>
            <w:r w:rsidRPr="00560E45">
              <w:rPr>
                <w:b/>
              </w:rPr>
              <w:t>Indication</w:t>
            </w:r>
          </w:p>
        </w:tc>
      </w:tr>
      <w:tr w:rsidR="003E256F" w14:paraId="65D446FD" w14:textId="77777777" w:rsidTr="00A111D0">
        <w:tc>
          <w:tcPr>
            <w:tcW w:w="0" w:type="auto"/>
          </w:tcPr>
          <w:p w14:paraId="2C183450" w14:textId="7711E5C2" w:rsidR="003E256F" w:rsidRDefault="003E256F" w:rsidP="00AC7083">
            <w:r>
              <w:t>Phentermine (Duromine, Ionamin, Phentermine Resin)</w:t>
            </w:r>
          </w:p>
        </w:tc>
        <w:tc>
          <w:tcPr>
            <w:tcW w:w="0" w:type="auto"/>
          </w:tcPr>
          <w:p w14:paraId="379BB01D" w14:textId="766BEAD8" w:rsidR="003E256F" w:rsidRDefault="003E256F" w:rsidP="00560E45">
            <w:r w:rsidRPr="00A111D0">
              <w:t>I</w:t>
            </w:r>
            <w:r w:rsidRPr="00785165">
              <w:t>ndicated in the management of obesity as a short-term adjunct in a medically monitored comprehensive regimen of weight reduction based, for example, on exercise, diet (caloric/kilojoule restriction) and behaviour modification in obese patients with a body mass index (BMI) of 30 kg/m</w:t>
            </w:r>
            <w:r w:rsidRPr="00785165">
              <w:rPr>
                <w:vertAlign w:val="superscript"/>
              </w:rPr>
              <w:t>2</w:t>
            </w:r>
            <w:r w:rsidR="0023191F">
              <w:t xml:space="preserve"> </w:t>
            </w:r>
            <w:r w:rsidRPr="00785165">
              <w:t xml:space="preserve">or greater. The treatment with </w:t>
            </w:r>
            <w:r w:rsidRPr="00A111D0">
              <w:t xml:space="preserve">phentermine </w:t>
            </w:r>
            <w:r w:rsidRPr="00785165">
              <w:t>can be initiated in overweight patients with a lower BMI (25 to 29.9 kg/m</w:t>
            </w:r>
            <w:r w:rsidRPr="00785165">
              <w:rPr>
                <w:vertAlign w:val="superscript"/>
              </w:rPr>
              <w:t>2</w:t>
            </w:r>
            <w:r w:rsidRPr="00785165">
              <w:t>), which increases the risk of morbidity from a number of disorders.</w:t>
            </w:r>
            <w:r w:rsidRPr="00A111D0">
              <w:t xml:space="preserve"> Secondary organic </w:t>
            </w:r>
            <w:r w:rsidRPr="00C12687">
              <w:t>causes of obesity should be excluded by diagnosis before prescribing this agent.</w:t>
            </w:r>
          </w:p>
        </w:tc>
      </w:tr>
      <w:tr w:rsidR="003E256F" w14:paraId="143AE2B7" w14:textId="77777777" w:rsidTr="00A111D0">
        <w:tc>
          <w:tcPr>
            <w:tcW w:w="0" w:type="auto"/>
          </w:tcPr>
          <w:p w14:paraId="1BB43CEB" w14:textId="07D671A8" w:rsidR="003E256F" w:rsidRDefault="003E256F" w:rsidP="00AC7083">
            <w:r>
              <w:t>Orlistat (Xenical, Xenistat, Orlistat GPPL, Prolistat, ALLI)</w:t>
            </w:r>
          </w:p>
        </w:tc>
        <w:tc>
          <w:tcPr>
            <w:tcW w:w="0" w:type="auto"/>
          </w:tcPr>
          <w:p w14:paraId="6C91B126" w14:textId="1FB3A79C" w:rsidR="003E256F" w:rsidRDefault="003E256F" w:rsidP="00601F39">
            <w:r w:rsidRPr="00A111D0">
              <w:t>I</w:t>
            </w:r>
            <w:r w:rsidRPr="00601F39">
              <w:t>ndicated for the treatment of obese patients with a body mass index (BMI) ≥ 30, and overweight patients with a BMI ≥ 27</w:t>
            </w:r>
            <w:r w:rsidRPr="00A111D0">
              <w:t xml:space="preserve"> </w:t>
            </w:r>
            <w:r w:rsidRPr="00601F39">
              <w:t>in the presence of other risk factors, in conjunction with a mildly hypocaloric</w:t>
            </w:r>
            <w:r w:rsidRPr="00A111D0">
              <w:t xml:space="preserve"> </w:t>
            </w:r>
            <w:r w:rsidRPr="00601F39">
              <w:t>diet</w:t>
            </w:r>
            <w:r w:rsidRPr="00A111D0">
              <w:t>.</w:t>
            </w:r>
          </w:p>
        </w:tc>
      </w:tr>
    </w:tbl>
    <w:p w14:paraId="6968D51A" w14:textId="75C43290" w:rsidR="00D42225" w:rsidRDefault="00D42225" w:rsidP="00AC7083"/>
    <w:p w14:paraId="7998966D" w14:textId="536293FC" w:rsidR="00924F5A" w:rsidRPr="00C975D3" w:rsidRDefault="006E70D3" w:rsidP="00924F5A">
      <w:r>
        <w:t>Bariatric surgery is not outlined as being</w:t>
      </w:r>
      <w:r w:rsidR="004D3DB0">
        <w:t xml:space="preserve"> an</w:t>
      </w:r>
      <w:r>
        <w:t xml:space="preserve"> </w:t>
      </w:r>
      <w:r w:rsidR="001634C5">
        <w:t>immediate consideration</w:t>
      </w:r>
      <w:r w:rsidR="00C975D3">
        <w:t xml:space="preserve"> unless other interventions have been unsuccessful or are contraindicated</w:t>
      </w:r>
      <w:r w:rsidR="00592F97">
        <w:t>,</w:t>
      </w:r>
      <w:r w:rsidR="00C975D3">
        <w:t xml:space="preserve"> or a patient</w:t>
      </w:r>
      <w:r w:rsidR="00592F97">
        <w:t>’</w:t>
      </w:r>
      <w:r w:rsidR="00C975D3">
        <w:t>s BMI is &gt;50 kg/m</w:t>
      </w:r>
      <w:r w:rsidR="00C975D3">
        <w:rPr>
          <w:vertAlign w:val="superscript"/>
        </w:rPr>
        <w:t>2</w:t>
      </w:r>
      <w:r w:rsidR="00C975D3">
        <w:t>.</w:t>
      </w:r>
      <w:r w:rsidR="001D6F38">
        <w:t xml:space="preserve"> Bar</w:t>
      </w:r>
      <w:r w:rsidR="00A7008A">
        <w:t>iatric surgery is a form of weight</w:t>
      </w:r>
      <w:r w:rsidR="007458A8">
        <w:t xml:space="preserve"> </w:t>
      </w:r>
      <w:r w:rsidR="00A7008A">
        <w:t xml:space="preserve">loss surgery </w:t>
      </w:r>
      <w:r w:rsidR="00C90574">
        <w:t>which aims to reduce the intake of food</w:t>
      </w:r>
      <w:r w:rsidR="00E2653A">
        <w:t xml:space="preserve"> </w:t>
      </w:r>
      <w:r w:rsidR="000423F2">
        <w:t xml:space="preserve">by reducing </w:t>
      </w:r>
      <w:r w:rsidR="00E2653A">
        <w:t xml:space="preserve">gastric capacity and/or reducing uptake </w:t>
      </w:r>
      <w:r w:rsidR="00777C5B">
        <w:t>of energy by reducing exposure to the small bowel absorpt</w:t>
      </w:r>
      <w:r w:rsidR="00CB2483">
        <w:t>ive area. Bar</w:t>
      </w:r>
      <w:r w:rsidR="003B2B88">
        <w:t xml:space="preserve">iatric procedures </w:t>
      </w:r>
      <w:r w:rsidR="007B7F34">
        <w:t xml:space="preserve">described in the Australian clinical practice guidelines for the management of obesity </w:t>
      </w:r>
      <w:r w:rsidR="007B7F34">
        <w:rPr>
          <w:noProof/>
        </w:rPr>
        <w:t>(NHMRC, 2013)</w:t>
      </w:r>
      <w:r w:rsidR="003B2B88">
        <w:t xml:space="preserve"> </w:t>
      </w:r>
      <w:r w:rsidR="00E82DF3">
        <w:t xml:space="preserve">are: </w:t>
      </w:r>
    </w:p>
    <w:p w14:paraId="6BB4C5B9" w14:textId="0231710D" w:rsidR="00E82DF3" w:rsidRPr="007B7F34" w:rsidRDefault="00E82DF3" w:rsidP="007B7F34">
      <w:pPr>
        <w:pStyle w:val="ListParagraph"/>
        <w:numPr>
          <w:ilvl w:val="0"/>
          <w:numId w:val="14"/>
        </w:numPr>
      </w:pPr>
      <w:r w:rsidRPr="007B7F34">
        <w:t>Laparoscopic adjustable gastric banding (LAGB)</w:t>
      </w:r>
      <w:r w:rsidR="00503B0A" w:rsidRPr="007B7F34">
        <w:t>: I</w:t>
      </w:r>
      <w:r w:rsidRPr="007B7F34">
        <w:t>nvolves placing a band around the stomach</w:t>
      </w:r>
      <w:r w:rsidR="00503B0A" w:rsidRPr="007B7F34">
        <w:t xml:space="preserve"> </w:t>
      </w:r>
      <w:r w:rsidRPr="007B7F34">
        <w:t>near its upper end to create a small pouch. This restricts intake of food. The band can be</w:t>
      </w:r>
      <w:r w:rsidR="00503B0A" w:rsidRPr="007B7F34">
        <w:t xml:space="preserve"> </w:t>
      </w:r>
      <w:r w:rsidRPr="007B7F34">
        <w:t>tightened or loosened over time to change the extent of restriction.</w:t>
      </w:r>
    </w:p>
    <w:p w14:paraId="43EF08D3" w14:textId="0BE96E44" w:rsidR="00E82DF3" w:rsidRPr="007B7F34" w:rsidRDefault="00E82DF3" w:rsidP="007B7F34">
      <w:pPr>
        <w:pStyle w:val="ListParagraph"/>
        <w:numPr>
          <w:ilvl w:val="0"/>
          <w:numId w:val="14"/>
        </w:numPr>
      </w:pPr>
      <w:r w:rsidRPr="007B7F34">
        <w:t>Sleeve gastrectomy</w:t>
      </w:r>
      <w:r w:rsidR="00503B0A" w:rsidRPr="007B7F34">
        <w:t>: I</w:t>
      </w:r>
      <w:r w:rsidRPr="007B7F34">
        <w:t>nvolves removing the greater portion of the fundus and body of the</w:t>
      </w:r>
      <w:r w:rsidR="00503B0A" w:rsidRPr="007B7F34">
        <w:t xml:space="preserve"> </w:t>
      </w:r>
      <w:r w:rsidRPr="007B7F34">
        <w:t>stomach, reducing its volume from up to 2.5</w:t>
      </w:r>
      <w:r w:rsidR="00160E3C" w:rsidRPr="007B7F34">
        <w:t xml:space="preserve"> </w:t>
      </w:r>
      <w:r w:rsidRPr="007B7F34">
        <w:t>L to about 200</w:t>
      </w:r>
      <w:r w:rsidR="00160E3C" w:rsidRPr="007B7F34">
        <w:t xml:space="preserve"> </w:t>
      </w:r>
      <w:r w:rsidRPr="007B7F34">
        <w:t>mL. This procedure provides fixed</w:t>
      </w:r>
      <w:r w:rsidR="00160E3C" w:rsidRPr="007B7F34">
        <w:t xml:space="preserve"> </w:t>
      </w:r>
      <w:r w:rsidRPr="007B7F34">
        <w:t>restriction and does not require adjustment like LAGB.</w:t>
      </w:r>
    </w:p>
    <w:p w14:paraId="6E61452D" w14:textId="08ED6454" w:rsidR="00E82DF3" w:rsidRPr="007B7F34" w:rsidRDefault="00E82DF3" w:rsidP="007B7F34">
      <w:pPr>
        <w:pStyle w:val="ListParagraph"/>
        <w:numPr>
          <w:ilvl w:val="0"/>
          <w:numId w:val="14"/>
        </w:numPr>
      </w:pPr>
      <w:r w:rsidRPr="007B7F34">
        <w:t>Roux-en-Y gastric bypass (RYGB)</w:t>
      </w:r>
      <w:r w:rsidR="00160E3C" w:rsidRPr="007B7F34">
        <w:t>: A</w:t>
      </w:r>
      <w:r w:rsidRPr="007B7F34">
        <w:t xml:space="preserve"> combination procedure in which a small stomach pouch</w:t>
      </w:r>
      <w:r w:rsidR="00160E3C" w:rsidRPr="007B7F34">
        <w:t xml:space="preserve"> </w:t>
      </w:r>
      <w:r w:rsidRPr="007B7F34">
        <w:t>is created to restrict food intake and the lower stomach, duodenum and first portion of the</w:t>
      </w:r>
      <w:r w:rsidR="00160E3C" w:rsidRPr="007B7F34">
        <w:t xml:space="preserve"> </w:t>
      </w:r>
      <w:r w:rsidRPr="007B7F34">
        <w:t>jejunum are bypassed to produce modest malabsorption of nutrients and thereby kilojoule</w:t>
      </w:r>
      <w:r w:rsidR="007B7F34" w:rsidRPr="007B7F34">
        <w:t xml:space="preserve"> </w:t>
      </w:r>
      <w:r w:rsidRPr="007B7F34">
        <w:t>intake.</w:t>
      </w:r>
    </w:p>
    <w:p w14:paraId="64F6634F" w14:textId="77777777" w:rsidR="007B7F34" w:rsidRPr="007B7F34" w:rsidRDefault="00E82DF3" w:rsidP="007B7F34">
      <w:pPr>
        <w:pStyle w:val="ListParagraph"/>
        <w:numPr>
          <w:ilvl w:val="0"/>
          <w:numId w:val="14"/>
        </w:numPr>
      </w:pPr>
      <w:r w:rsidRPr="007B7F34">
        <w:t>Biliopancreatic diversion</w:t>
      </w:r>
      <w:r w:rsidR="007B7F34" w:rsidRPr="007B7F34">
        <w:t>: A</w:t>
      </w:r>
      <w:r w:rsidRPr="007B7F34">
        <w:t xml:space="preserve"> combination procedure that involves removing the lower</w:t>
      </w:r>
      <w:r w:rsidR="007B7F34" w:rsidRPr="007B7F34">
        <w:t xml:space="preserve"> </w:t>
      </w:r>
      <w:r w:rsidRPr="007B7F34">
        <w:t>part of the stomach, and bypassing the duodenum and jejunum to produce significant</w:t>
      </w:r>
      <w:r w:rsidR="007B7F34" w:rsidRPr="007B7F34">
        <w:t xml:space="preserve"> </w:t>
      </w:r>
      <w:r w:rsidRPr="007B7F34">
        <w:t xml:space="preserve">malabsorption. </w:t>
      </w:r>
    </w:p>
    <w:p w14:paraId="24D9BB34" w14:textId="34F82391" w:rsidR="00E827F2" w:rsidRDefault="00010539" w:rsidP="007B7F34">
      <w:r>
        <w:lastRenderedPageBreak/>
        <w:t>T</w:t>
      </w:r>
      <w:r w:rsidR="00174EA5">
        <w:t>o achieve and maintain weight loss</w:t>
      </w:r>
      <w:r w:rsidR="00A82465">
        <w:t xml:space="preserve"> patients undergoing b</w:t>
      </w:r>
      <w:r w:rsidR="00E47EFB">
        <w:t xml:space="preserve">ariatric surgery </w:t>
      </w:r>
      <w:r w:rsidR="00E22B36">
        <w:t xml:space="preserve">should </w:t>
      </w:r>
      <w:r w:rsidR="00A82465">
        <w:t xml:space="preserve">also </w:t>
      </w:r>
      <w:r w:rsidR="00E211FF">
        <w:t xml:space="preserve">apply </w:t>
      </w:r>
      <w:r w:rsidR="00174EA5">
        <w:t xml:space="preserve">lifestyle </w:t>
      </w:r>
      <w:r w:rsidR="00E211FF">
        <w:t xml:space="preserve">modifications including </w:t>
      </w:r>
      <w:r w:rsidR="00174EA5">
        <w:t>reduced energy intake and increased physical activity.</w:t>
      </w:r>
      <w:r w:rsidR="005F5596">
        <w:t xml:space="preserve"> Psychological support and counselling may also play an important role in </w:t>
      </w:r>
      <w:r w:rsidR="00896136">
        <w:t xml:space="preserve">the management of patients prior to and following </w:t>
      </w:r>
      <w:r w:rsidR="003D7C3F">
        <w:t xml:space="preserve">bariatric </w:t>
      </w:r>
      <w:r w:rsidR="00896136">
        <w:t>surger</w:t>
      </w:r>
      <w:r w:rsidR="00411AB1">
        <w:t>y</w:t>
      </w:r>
      <w:r w:rsidR="00896136">
        <w:t>.</w:t>
      </w:r>
    </w:p>
    <w:p w14:paraId="3481E46D" w14:textId="4347D0F7" w:rsidR="00E827F2" w:rsidRDefault="005A4BCF" w:rsidP="007B7F34">
      <w:r>
        <w:t xml:space="preserve">Whilst bariatric surgery would be </w:t>
      </w:r>
      <w:r w:rsidR="007F3168">
        <w:t xml:space="preserve">undertaken by a surgeon </w:t>
      </w:r>
      <w:r>
        <w:t xml:space="preserve">as part of an </w:t>
      </w:r>
      <w:r w:rsidR="007F3168">
        <w:t xml:space="preserve">hospital </w:t>
      </w:r>
      <w:r>
        <w:t>inpatient episode</w:t>
      </w:r>
      <w:r w:rsidR="007F3168">
        <w:t xml:space="preserve">, </w:t>
      </w:r>
      <w:r w:rsidR="00563DCB">
        <w:t xml:space="preserve">primary healthcare professions have a role in </w:t>
      </w:r>
      <w:r w:rsidR="004622F3">
        <w:t xml:space="preserve">the </w:t>
      </w:r>
      <w:r w:rsidR="00A450EC">
        <w:t xml:space="preserve">ongoing </w:t>
      </w:r>
      <w:r w:rsidR="004622F3">
        <w:t xml:space="preserve">care of patients through the monitoring and treatment of </w:t>
      </w:r>
      <w:r w:rsidR="00FC75EE">
        <w:t xml:space="preserve">any co-morbidities, </w:t>
      </w:r>
      <w:r w:rsidR="00FA7A3D">
        <w:t xml:space="preserve">assessing nutritional status (including </w:t>
      </w:r>
      <w:r w:rsidR="009C1834">
        <w:t>micronutrient</w:t>
      </w:r>
      <w:r w:rsidR="00A450EC">
        <w:t xml:space="preserve"> and vitamin testing), and continuing to promote the benefits of </w:t>
      </w:r>
      <w:r w:rsidR="009C1834">
        <w:t>reduced energy intake and increased physical activity.</w:t>
      </w:r>
    </w:p>
    <w:p w14:paraId="77870CD7" w14:textId="77777777" w:rsidR="00896845" w:rsidRPr="00E364F7" w:rsidRDefault="00896845">
      <w:pPr>
        <w:rPr>
          <w:b/>
        </w:rPr>
      </w:pPr>
      <w:r w:rsidRPr="00E364F7">
        <w:rPr>
          <w:b/>
        </w:rPr>
        <w:t>Intervention</w:t>
      </w:r>
    </w:p>
    <w:p w14:paraId="7BBAA5E4" w14:textId="3DF434C5" w:rsidR="00C25D1B" w:rsidRDefault="00F559E6" w:rsidP="00C25D1B">
      <w:r>
        <w:t xml:space="preserve">Aspiration therapy </w:t>
      </w:r>
      <w:r w:rsidR="00B50A7A">
        <w:t xml:space="preserve">is a </w:t>
      </w:r>
      <w:r w:rsidR="002D2A80">
        <w:t xml:space="preserve">treatment for obesity </w:t>
      </w:r>
      <w:r w:rsidR="00AA2D23">
        <w:t>provid</w:t>
      </w:r>
      <w:r w:rsidR="00F756C0">
        <w:t xml:space="preserve">ing </w:t>
      </w:r>
      <w:r w:rsidR="002D2A80">
        <w:t>patients</w:t>
      </w:r>
      <w:r w:rsidR="00AA2D23">
        <w:t xml:space="preserve"> with a method for </w:t>
      </w:r>
      <w:r w:rsidR="00F860D8">
        <w:t xml:space="preserve">managing </w:t>
      </w:r>
      <w:r w:rsidR="003D0CC9">
        <w:t xml:space="preserve">food </w:t>
      </w:r>
      <w:r w:rsidR="00F860D8">
        <w:t>portion control at the level of the stomach.</w:t>
      </w:r>
      <w:r w:rsidR="00F756C0">
        <w:t xml:space="preserve"> </w:t>
      </w:r>
      <w:r w:rsidR="009D1933">
        <w:t xml:space="preserve">Portion control </w:t>
      </w:r>
      <w:r w:rsidR="00D832B5">
        <w:t xml:space="preserve">is achieved </w:t>
      </w:r>
      <w:r w:rsidR="002E7DAB">
        <w:t>b</w:t>
      </w:r>
      <w:r w:rsidR="00D832B5">
        <w:t xml:space="preserve">y the removal of ingested </w:t>
      </w:r>
      <w:r w:rsidR="00756D10">
        <w:t xml:space="preserve">food from the stomach thereby preventing its delivery </w:t>
      </w:r>
      <w:r w:rsidR="002731E4">
        <w:t xml:space="preserve">into the small </w:t>
      </w:r>
      <w:r w:rsidR="002E7DAB">
        <w:t>intestine</w:t>
      </w:r>
      <w:r w:rsidR="002731E4">
        <w:t xml:space="preserve"> for absorption.</w:t>
      </w:r>
    </w:p>
    <w:p w14:paraId="2AEE84FD" w14:textId="4A36557C" w:rsidR="00EB3048" w:rsidRDefault="00EB3048" w:rsidP="00C25D1B">
      <w:r>
        <w:t>This application relates to the use of the Aspi</w:t>
      </w:r>
      <w:r w:rsidR="00970634">
        <w:t>r</w:t>
      </w:r>
      <w:r>
        <w:t>eAssist</w:t>
      </w:r>
      <w:r w:rsidR="003964BA">
        <w:t>™ system (</w:t>
      </w:r>
      <w:r w:rsidR="00252BD6">
        <w:t>Aspire Bariatrics)</w:t>
      </w:r>
      <w:r w:rsidR="008676A6">
        <w:t xml:space="preserve"> </w:t>
      </w:r>
      <w:r w:rsidR="00DE106C">
        <w:t>as part of the management of a patient with obesity with asp</w:t>
      </w:r>
      <w:r w:rsidR="008676A6">
        <w:t>i</w:t>
      </w:r>
      <w:r w:rsidR="00DE106C">
        <w:t>ration therapy.</w:t>
      </w:r>
      <w:r w:rsidR="002804BB">
        <w:t xml:space="preserve"> </w:t>
      </w:r>
      <w:r w:rsidR="00157327">
        <w:t>The AspireAss</w:t>
      </w:r>
      <w:r w:rsidR="00F80440">
        <w:t>ist™ system is comprised of two key components</w:t>
      </w:r>
      <w:r w:rsidR="0036479E">
        <w:t xml:space="preserve"> (</w:t>
      </w:r>
      <w:r w:rsidR="0036479E">
        <w:fldChar w:fldCharType="begin"/>
      </w:r>
      <w:r w:rsidR="0036479E">
        <w:instrText xml:space="preserve"> REF _Ref527887681 \h </w:instrText>
      </w:r>
      <w:r w:rsidR="0036479E">
        <w:fldChar w:fldCharType="separate"/>
      </w:r>
      <w:r w:rsidR="0036479E">
        <w:t xml:space="preserve">Figure </w:t>
      </w:r>
      <w:r w:rsidR="0036479E">
        <w:rPr>
          <w:noProof/>
        </w:rPr>
        <w:t>2</w:t>
      </w:r>
      <w:r w:rsidR="0036479E">
        <w:fldChar w:fldCharType="end"/>
      </w:r>
      <w:r w:rsidR="0036479E">
        <w:t>)</w:t>
      </w:r>
      <w:r w:rsidR="00F80440">
        <w:t>:</w:t>
      </w:r>
    </w:p>
    <w:p w14:paraId="75C97F26" w14:textId="3A69DD12" w:rsidR="00F80440" w:rsidRDefault="00457760" w:rsidP="00F80440">
      <w:pPr>
        <w:pStyle w:val="ListParagraph"/>
        <w:numPr>
          <w:ilvl w:val="0"/>
          <w:numId w:val="15"/>
        </w:numPr>
      </w:pPr>
      <w:r>
        <w:t xml:space="preserve">A </w:t>
      </w:r>
      <w:r w:rsidR="005F7928">
        <w:t xml:space="preserve">modified </w:t>
      </w:r>
      <w:r w:rsidR="007A6C8A">
        <w:t xml:space="preserve">percutaneous endoscopic </w:t>
      </w:r>
      <w:r>
        <w:t xml:space="preserve">gastronomy </w:t>
      </w:r>
      <w:r w:rsidR="007A6C8A">
        <w:t xml:space="preserve">(PEG) </w:t>
      </w:r>
      <w:r>
        <w:t>tube</w:t>
      </w:r>
      <w:r w:rsidR="008668AC">
        <w:t xml:space="preserve"> (</w:t>
      </w:r>
      <w:r w:rsidR="007C36A4">
        <w:t>A-Tube</w:t>
      </w:r>
      <w:r w:rsidR="008668AC">
        <w:t>™)</w:t>
      </w:r>
    </w:p>
    <w:p w14:paraId="32023CCD" w14:textId="1BCE1BAF" w:rsidR="00A8449E" w:rsidRDefault="00A8449E" w:rsidP="008668AC">
      <w:pPr>
        <w:pStyle w:val="ListParagraph"/>
        <w:numPr>
          <w:ilvl w:val="1"/>
          <w:numId w:val="15"/>
        </w:numPr>
      </w:pPr>
      <w:r>
        <w:t xml:space="preserve">The </w:t>
      </w:r>
      <w:r w:rsidR="007C36A4">
        <w:t>A-Tube™</w:t>
      </w:r>
      <w:r>
        <w:t xml:space="preserve"> must be placed </w:t>
      </w:r>
      <w:r w:rsidR="00D849B1">
        <w:t xml:space="preserve">in a patient </w:t>
      </w:r>
      <w:r w:rsidR="00915801">
        <w:t>via an endoscopic procedure.</w:t>
      </w:r>
    </w:p>
    <w:p w14:paraId="2071BF00" w14:textId="3E04B187" w:rsidR="008668AC" w:rsidRDefault="00CF6B38" w:rsidP="008668AC">
      <w:pPr>
        <w:pStyle w:val="ListParagraph"/>
        <w:numPr>
          <w:ilvl w:val="1"/>
          <w:numId w:val="15"/>
        </w:numPr>
      </w:pPr>
      <w:r>
        <w:t>O</w:t>
      </w:r>
      <w:r w:rsidR="00AB09C9">
        <w:t xml:space="preserve">ne end of the </w:t>
      </w:r>
      <w:r w:rsidR="007C36A4">
        <w:t>A-Tube™</w:t>
      </w:r>
      <w:r w:rsidR="008668AC">
        <w:t xml:space="preserve"> is</w:t>
      </w:r>
      <w:r w:rsidR="00551D4C">
        <w:t xml:space="preserve"> </w:t>
      </w:r>
      <w:r w:rsidR="00CF35AA">
        <w:t xml:space="preserve">placed </w:t>
      </w:r>
      <w:r w:rsidR="00956DE4">
        <w:t xml:space="preserve">in the </w:t>
      </w:r>
      <w:r w:rsidR="00233263">
        <w:t>patient’s</w:t>
      </w:r>
      <w:r w:rsidR="00956DE4">
        <w:t xml:space="preserve"> stomach </w:t>
      </w:r>
      <w:r w:rsidR="00AB09C9">
        <w:t>allow</w:t>
      </w:r>
      <w:r w:rsidR="00404A00">
        <w:t>ing</w:t>
      </w:r>
      <w:r w:rsidR="00AB09C9">
        <w:t xml:space="preserve"> </w:t>
      </w:r>
      <w:r w:rsidR="00404A00">
        <w:t>aspirat</w:t>
      </w:r>
      <w:r w:rsidR="00915801">
        <w:t xml:space="preserve">ion of </w:t>
      </w:r>
      <w:r w:rsidR="0078063A">
        <w:t>th</w:t>
      </w:r>
      <w:r w:rsidR="00404A00">
        <w:t>e stomach contents</w:t>
      </w:r>
      <w:r w:rsidR="005F39AF">
        <w:t>.</w:t>
      </w:r>
    </w:p>
    <w:p w14:paraId="2663501F" w14:textId="5275173F" w:rsidR="004C514F" w:rsidRDefault="005F39AF" w:rsidP="008668AC">
      <w:pPr>
        <w:pStyle w:val="ListParagraph"/>
        <w:numPr>
          <w:ilvl w:val="1"/>
          <w:numId w:val="15"/>
        </w:numPr>
      </w:pPr>
      <w:r>
        <w:t xml:space="preserve">The other </w:t>
      </w:r>
      <w:r w:rsidR="009C1476">
        <w:t xml:space="preserve">end of the </w:t>
      </w:r>
      <w:r w:rsidR="007C36A4">
        <w:t>A-Tube™</w:t>
      </w:r>
      <w:r w:rsidR="009C1476">
        <w:t xml:space="preserve"> </w:t>
      </w:r>
      <w:r w:rsidR="00E37012">
        <w:t>has a specifically designed adapter (Ski</w:t>
      </w:r>
      <w:r w:rsidR="00F3017E">
        <w:t>n</w:t>
      </w:r>
      <w:r w:rsidR="00E37012">
        <w:t>-Port</w:t>
      </w:r>
      <w:r w:rsidR="003B6DD2">
        <w:t>™</w:t>
      </w:r>
      <w:r w:rsidR="00E37012">
        <w:t>)</w:t>
      </w:r>
      <w:r w:rsidR="0054779A">
        <w:t xml:space="preserve"> containing a valve which is normally closed to prevent leakage</w:t>
      </w:r>
      <w:r w:rsidR="00F3017E">
        <w:t>.</w:t>
      </w:r>
    </w:p>
    <w:p w14:paraId="52539297" w14:textId="1C76D050" w:rsidR="005F39AF" w:rsidRDefault="00C72CD2" w:rsidP="004C514F">
      <w:pPr>
        <w:pStyle w:val="ListParagraph"/>
        <w:numPr>
          <w:ilvl w:val="0"/>
          <w:numId w:val="15"/>
        </w:numPr>
      </w:pPr>
      <w:r>
        <w:t xml:space="preserve">The AspireAssist device </w:t>
      </w:r>
      <w:r w:rsidR="0065317F">
        <w:t xml:space="preserve">used to aspirate </w:t>
      </w:r>
      <w:r w:rsidR="00EA61A0">
        <w:t xml:space="preserve">the contents of the stomach </w:t>
      </w:r>
      <w:r w:rsidR="00810F52">
        <w:t xml:space="preserve">out via </w:t>
      </w:r>
      <w:r w:rsidR="00EE5A8A">
        <w:t>a connector which attaches to the Ski</w:t>
      </w:r>
      <w:r w:rsidR="006C2E01">
        <w:t>n</w:t>
      </w:r>
      <w:r w:rsidR="00EE5A8A">
        <w:t>-Port</w:t>
      </w:r>
      <w:r w:rsidR="00224D58">
        <w:t>.</w:t>
      </w:r>
    </w:p>
    <w:p w14:paraId="152243B0" w14:textId="322C073B" w:rsidR="00D742C2" w:rsidRDefault="00747236" w:rsidP="00D742C2">
      <w:pPr>
        <w:pStyle w:val="ListParagraph"/>
        <w:numPr>
          <w:ilvl w:val="1"/>
          <w:numId w:val="15"/>
        </w:numPr>
      </w:pPr>
      <w:r>
        <w:t>Aspiration</w:t>
      </w:r>
      <w:r w:rsidR="00145BDA">
        <w:t xml:space="preserve"> </w:t>
      </w:r>
      <w:r w:rsidR="007732E8">
        <w:t xml:space="preserve">is </w:t>
      </w:r>
      <w:r w:rsidR="00145BDA">
        <w:t>recommended approximately 20 minutes after each meal.</w:t>
      </w:r>
      <w:r w:rsidR="007732E8">
        <w:t xml:space="preserve"> Aspiration </w:t>
      </w:r>
      <w:r w:rsidR="001A7CED">
        <w:t xml:space="preserve">is </w:t>
      </w:r>
      <w:r w:rsidR="007732E8">
        <w:t>initiat</w:t>
      </w:r>
      <w:r w:rsidR="001A7CED">
        <w:t xml:space="preserve">ed </w:t>
      </w:r>
      <w:r w:rsidR="007732E8">
        <w:t>by attaching the connector to the Skin-Port</w:t>
      </w:r>
      <w:r w:rsidR="004857FD">
        <w:t xml:space="preserve">, opening the closed Skin-Port valve. Stomach contents </w:t>
      </w:r>
      <w:r w:rsidR="00E33A18">
        <w:t xml:space="preserve">flow out of the stomach through the drain tube into the toilet bowl. Remaining food </w:t>
      </w:r>
      <w:r w:rsidR="00CC28EF">
        <w:t xml:space="preserve">may be flushed out through the </w:t>
      </w:r>
      <w:r w:rsidR="007C36A4">
        <w:t>A-Tube™</w:t>
      </w:r>
      <w:r w:rsidR="00CC28EF">
        <w:t xml:space="preserve"> by </w:t>
      </w:r>
      <w:r w:rsidR="004B3202">
        <w:t>flipping a lever on the Companion allowing water to be infused into the stomach from the</w:t>
      </w:r>
      <w:r>
        <w:t xml:space="preserve"> water reservoir and then reversing the flow allowing stomach contents to drain out of the </w:t>
      </w:r>
      <w:r w:rsidR="007C36A4">
        <w:t>A-Tube™</w:t>
      </w:r>
      <w:r>
        <w:t>.</w:t>
      </w:r>
    </w:p>
    <w:p w14:paraId="33A3AC8F" w14:textId="58FDCC13" w:rsidR="008B45CE" w:rsidRDefault="0096640F" w:rsidP="0096640F">
      <w:pPr>
        <w:pStyle w:val="Caption"/>
      </w:pPr>
      <w:bookmarkStart w:id="5" w:name="_Ref527887681"/>
      <w:r>
        <w:lastRenderedPageBreak/>
        <w:t xml:space="preserve">Figure </w:t>
      </w:r>
      <w:r>
        <w:fldChar w:fldCharType="begin"/>
      </w:r>
      <w:r>
        <w:instrText xml:space="preserve"> SEQ Figure \* ARABIC </w:instrText>
      </w:r>
      <w:r>
        <w:fldChar w:fldCharType="separate"/>
      </w:r>
      <w:r w:rsidR="00820C0C">
        <w:rPr>
          <w:noProof/>
        </w:rPr>
        <w:t>2</w:t>
      </w:r>
      <w:r>
        <w:fldChar w:fldCharType="end"/>
      </w:r>
      <w:bookmarkEnd w:id="5"/>
      <w:r>
        <w:t xml:space="preserve">: Components of the AspireAssist </w:t>
      </w:r>
      <w:r w:rsidR="00850C3A">
        <w:t>system used in aspiration therapy</w:t>
      </w:r>
    </w:p>
    <w:p w14:paraId="3DB50221" w14:textId="1B37D551" w:rsidR="00722E47" w:rsidRPr="00850C3A" w:rsidRDefault="00722E47" w:rsidP="00DE460A">
      <w:pPr>
        <w:jc w:val="center"/>
      </w:pPr>
      <w:r>
        <w:rPr>
          <w:noProof/>
          <w:lang w:eastAsia="en-AU"/>
        </w:rPr>
        <w:drawing>
          <wp:inline distT="0" distB="0" distL="0" distR="0" wp14:anchorId="47FF3A00" wp14:editId="580AC520">
            <wp:extent cx="3962400" cy="6276975"/>
            <wp:effectExtent l="0" t="0" r="0" b="9525"/>
            <wp:docPr id="4" name="Picture 4" descr="Components of the AspireAssist system used in aspiratio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62400" cy="6276975"/>
                    </a:xfrm>
                    <a:prstGeom prst="rect">
                      <a:avLst/>
                    </a:prstGeom>
                  </pic:spPr>
                </pic:pic>
              </a:graphicData>
            </a:graphic>
          </wp:inline>
        </w:drawing>
      </w:r>
    </w:p>
    <w:p w14:paraId="20488DC1" w14:textId="496BF3F8" w:rsidR="00EB0FA1" w:rsidRPr="00A9270F" w:rsidRDefault="00EB0FA1" w:rsidP="005C5A14">
      <w:pPr>
        <w:rPr>
          <w:sz w:val="18"/>
          <w:szCs w:val="18"/>
        </w:rPr>
      </w:pPr>
      <w:r w:rsidRPr="00A9270F">
        <w:rPr>
          <w:sz w:val="18"/>
          <w:szCs w:val="18"/>
        </w:rPr>
        <w:t xml:space="preserve">Source: Figure 1 (p. 449) of </w:t>
      </w:r>
      <w:r w:rsidR="004C765E" w:rsidRPr="00A9270F">
        <w:rPr>
          <w:sz w:val="18"/>
          <w:szCs w:val="18"/>
        </w:rPr>
        <w:t>(Thompson et al., 2017)</w:t>
      </w:r>
    </w:p>
    <w:p w14:paraId="02BFAA1E" w14:textId="1CD24D42" w:rsidR="00343B2B" w:rsidRDefault="00A9270F" w:rsidP="005C5A14">
      <w:pPr>
        <w:rPr>
          <w:sz w:val="18"/>
          <w:szCs w:val="18"/>
        </w:rPr>
      </w:pPr>
      <w:r w:rsidRPr="00A9270F">
        <w:rPr>
          <w:sz w:val="18"/>
          <w:szCs w:val="18"/>
        </w:rPr>
        <w:t>a</w:t>
      </w:r>
      <w:r w:rsidR="00850C3A" w:rsidRPr="00A9270F">
        <w:rPr>
          <w:sz w:val="18"/>
          <w:szCs w:val="18"/>
        </w:rPr>
        <w:t>:</w:t>
      </w:r>
      <w:r w:rsidR="00343B2B" w:rsidRPr="00A9270F">
        <w:rPr>
          <w:sz w:val="18"/>
          <w:szCs w:val="18"/>
        </w:rPr>
        <w:t xml:space="preserve"> AspireAssist </w:t>
      </w:r>
      <w:r w:rsidR="007C36A4">
        <w:rPr>
          <w:sz w:val="18"/>
          <w:szCs w:val="18"/>
        </w:rPr>
        <w:t>A-Tube™</w:t>
      </w:r>
      <w:r w:rsidR="00343B2B" w:rsidRPr="00A9270F">
        <w:rPr>
          <w:sz w:val="18"/>
          <w:szCs w:val="18"/>
        </w:rPr>
        <w:t xml:space="preserve"> with Skin-Port</w:t>
      </w:r>
      <w:r w:rsidRPr="00A9270F">
        <w:rPr>
          <w:sz w:val="18"/>
          <w:szCs w:val="18"/>
        </w:rPr>
        <w:t>; b</w:t>
      </w:r>
      <w:r w:rsidR="00343B2B" w:rsidRPr="00A9270F">
        <w:rPr>
          <w:sz w:val="18"/>
          <w:szCs w:val="18"/>
        </w:rPr>
        <w:t xml:space="preserve">: AspireAssist </w:t>
      </w:r>
      <w:r w:rsidR="00EB0FA1" w:rsidRPr="00A9270F">
        <w:rPr>
          <w:sz w:val="18"/>
          <w:szCs w:val="18"/>
        </w:rPr>
        <w:t>device used to aspirate stomach contents</w:t>
      </w:r>
    </w:p>
    <w:p w14:paraId="1E768720" w14:textId="51DA1F31" w:rsidR="00A9270F" w:rsidRDefault="000D0590" w:rsidP="00A9270F">
      <w:r>
        <w:t xml:space="preserve">The applicant has advised that </w:t>
      </w:r>
      <w:r w:rsidR="00281986">
        <w:t>a</w:t>
      </w:r>
      <w:r w:rsidR="00D102D7">
        <w:t xml:space="preserve"> decision to have </w:t>
      </w:r>
      <w:r w:rsidR="0036479E">
        <w:t>the Ap</w:t>
      </w:r>
      <w:r w:rsidR="00F23762">
        <w:t xml:space="preserve">sireAssist system included </w:t>
      </w:r>
      <w:r w:rsidR="006F235A">
        <w:t>o</w:t>
      </w:r>
      <w:r w:rsidR="00566B8B">
        <w:t xml:space="preserve">n the Prostheses List has been put ‘on hold’ </w:t>
      </w:r>
      <w:r w:rsidR="00BB3717">
        <w:t>by the Prostheses List Advisory Committee (PLAC) pendin</w:t>
      </w:r>
      <w:r w:rsidR="0037687E">
        <w:t>g</w:t>
      </w:r>
      <w:r w:rsidR="00BB3717">
        <w:t xml:space="preserve"> the </w:t>
      </w:r>
      <w:r w:rsidR="0037687E">
        <w:t xml:space="preserve">availability of an MBS item associated with the endoscopic placement of the </w:t>
      </w:r>
      <w:r w:rsidR="007C36A4">
        <w:t>A-Tube™</w:t>
      </w:r>
      <w:r w:rsidR="0037687E">
        <w:t>.</w:t>
      </w:r>
      <w:r w:rsidR="00A4348D">
        <w:t xml:space="preserve"> As such, this application </w:t>
      </w:r>
      <w:r w:rsidR="009B7827">
        <w:t xml:space="preserve">relates </w:t>
      </w:r>
      <w:r w:rsidR="002310E6">
        <w:t xml:space="preserve">specifically to </w:t>
      </w:r>
      <w:r w:rsidR="009B7827">
        <w:t xml:space="preserve">the </w:t>
      </w:r>
      <w:r w:rsidR="00E92FAE">
        <w:t xml:space="preserve">creation of </w:t>
      </w:r>
      <w:r w:rsidR="00BE3FBF">
        <w:t>an MBS item for the insertion of a customised percutaneous endoscopic gastr</w:t>
      </w:r>
      <w:r w:rsidR="00DA0422">
        <w:t>ostomy tube into the stomach for weight loss management in obese patients.</w:t>
      </w:r>
    </w:p>
    <w:p w14:paraId="4989F39C" w14:textId="32B2134E" w:rsidR="009D50EC" w:rsidRDefault="0045223C" w:rsidP="00C51403">
      <w:r>
        <w:lastRenderedPageBreak/>
        <w:t xml:space="preserve">The placement of </w:t>
      </w:r>
      <w:r w:rsidR="002A1313">
        <w:t>a percutaneous endoscopic gastrostomy</w:t>
      </w:r>
      <w:r w:rsidR="00EF3C13">
        <w:t xml:space="preserve"> tube</w:t>
      </w:r>
      <w:r w:rsidR="002A1313">
        <w:t xml:space="preserve"> (</w:t>
      </w:r>
      <w:r w:rsidR="007C36A4">
        <w:t>A-Tube™</w:t>
      </w:r>
      <w:r w:rsidR="002A1313">
        <w:t xml:space="preserve">) </w:t>
      </w:r>
      <w:r w:rsidR="00B01E74">
        <w:t>can</w:t>
      </w:r>
      <w:r w:rsidR="00DB6EDF">
        <w:t xml:space="preserve"> be </w:t>
      </w:r>
      <w:r w:rsidR="008B6779">
        <w:t>undertaken by a gastroenterologist or endoscopically-trained surgeon in an endoscopy suite (outpatient procedure).</w:t>
      </w:r>
      <w:r w:rsidR="003E02F6">
        <w:t xml:space="preserve"> </w:t>
      </w:r>
    </w:p>
    <w:p w14:paraId="13154A4F" w14:textId="37245774" w:rsidR="00C51403" w:rsidRDefault="003E02F6" w:rsidP="00C51403">
      <w:r>
        <w:t xml:space="preserve">The process </w:t>
      </w:r>
      <w:r w:rsidR="00627B9D">
        <w:t xml:space="preserve">for placing the </w:t>
      </w:r>
      <w:r w:rsidR="007C36A4">
        <w:t>A-Tube™</w:t>
      </w:r>
      <w:r w:rsidR="004D0AB5">
        <w:t xml:space="preserve"> </w:t>
      </w:r>
      <w:r w:rsidR="00452D7C">
        <w:t xml:space="preserve">for </w:t>
      </w:r>
      <w:r w:rsidR="004D0AB5">
        <w:t xml:space="preserve">patients enrolled in a randomised controlled trial of aspiration </w:t>
      </w:r>
      <w:r w:rsidR="0038014E">
        <w:t>th</w:t>
      </w:r>
      <w:r w:rsidR="00304E30">
        <w:t xml:space="preserve">erapy </w:t>
      </w:r>
      <w:r w:rsidR="00A52BF4">
        <w:t xml:space="preserve">(PATHWAY study) </w:t>
      </w:r>
      <w:r w:rsidR="00140F46">
        <w:t>is outlined below.</w:t>
      </w:r>
    </w:p>
    <w:p w14:paraId="0D851351" w14:textId="59B959E6" w:rsidR="00C51403" w:rsidRPr="0091406C" w:rsidRDefault="00140F46" w:rsidP="0091406C">
      <w:r>
        <w:t>“</w:t>
      </w:r>
      <w:r w:rsidR="00C51403" w:rsidRPr="0091406C">
        <w:t xml:space="preserve">A routine upper endoscopy, which includes examination of the esophagus, stomach and the proximal duodenum, is performed. The tip of the endoscope is then positioned in the gastric body or antrum of the stomach, and the </w:t>
      </w:r>
      <w:r w:rsidR="007C36A4">
        <w:t>A-Tube™</w:t>
      </w:r>
      <w:r w:rsidR="00C51403" w:rsidRPr="0091406C">
        <w:t xml:space="preserve"> exit site is prepped and draped in sterile fashion</w:t>
      </w:r>
      <w:r w:rsidR="001D378D">
        <w:t xml:space="preserve">. </w:t>
      </w:r>
      <w:r w:rsidR="00C51403" w:rsidRPr="0091406C">
        <w:t xml:space="preserve">The site for </w:t>
      </w:r>
      <w:r w:rsidR="007C36A4">
        <w:t>A-Tube™</w:t>
      </w:r>
      <w:r w:rsidR="00C51403" w:rsidRPr="0091406C">
        <w:t xml:space="preserve"> placement should be identified by both transillumination and finger indentation. The skin and subcutaneous tissue at the exit site area is injected with an anesthetic, and a small (&lt;1-cm) horizontal skin incision is made by using a scalpel. The safe tract technique (no air bubbles observed after inserting a needle with syringe containing several ml of saline or anesthetic until the needle is visualized in the gastric lumen) should be used to ensure no intervening loop of bowel is present between the stomach and the anterior abdominal wall. A metal stylet with a plastic sheath is passed through the abdominal wall into the gastric lumen</w:t>
      </w:r>
      <w:r w:rsidR="001D378D">
        <w:t xml:space="preserve">. </w:t>
      </w:r>
      <w:r w:rsidR="00C51403" w:rsidRPr="0091406C">
        <w:t xml:space="preserve">After removing the inner stylet, a wire is passed through the plastic sheath into the stomach lumen. The wire is grasped with a snare, and both the endoscope and wire are removed through the mouth. The </w:t>
      </w:r>
      <w:r w:rsidR="007C36A4">
        <w:t>A-Tube™</w:t>
      </w:r>
      <w:r w:rsidR="00C51403" w:rsidRPr="0091406C">
        <w:t xml:space="preserve"> delivery system is attached to the oral portion of the wire and pulled through the abdominal wall exit site</w:t>
      </w:r>
      <w:r w:rsidR="0091406C" w:rsidRPr="0091406C">
        <w:t xml:space="preserve">. The endoscope is passed into the stomach again to confirm proper placement of the tube and internal bumper. Endoscopic photographic imaging will be performed at the end of the procedure to document proper </w:t>
      </w:r>
      <w:r w:rsidR="007C36A4">
        <w:t>A-Tube™</w:t>
      </w:r>
      <w:r w:rsidR="0091406C" w:rsidRPr="0091406C">
        <w:t xml:space="preserve"> placement.</w:t>
      </w:r>
    </w:p>
    <w:p w14:paraId="63E514AF" w14:textId="33A20A70" w:rsidR="00774A45" w:rsidRDefault="00774A45" w:rsidP="00774A45">
      <w:r w:rsidRPr="00774A45">
        <w:t xml:space="preserve">After endoscopic </w:t>
      </w:r>
      <w:r w:rsidR="007C36A4">
        <w:t>A-Tube™</w:t>
      </w:r>
      <w:r w:rsidRPr="00774A45">
        <w:t xml:space="preserve"> placement is completed, subjects are observed in the recovery area of the endoscopy suite or admitted to the hospital for up to 24 h, at the discretion of the physician performing the procedure.</w:t>
      </w:r>
      <w:r w:rsidR="00140F46">
        <w:t xml:space="preserve">” </w:t>
      </w:r>
      <w:r w:rsidR="0039337B">
        <w:t xml:space="preserve">(pp. </w:t>
      </w:r>
      <w:r w:rsidR="0094520E">
        <w:t>24-25 of PATHWAY study protocol provided as a supplement to</w:t>
      </w:r>
      <w:r w:rsidR="009B7827">
        <w:t xml:space="preserve"> Thompson et al., 2017).</w:t>
      </w:r>
    </w:p>
    <w:p w14:paraId="0338962C" w14:textId="5E8A16E9" w:rsidR="00C51403" w:rsidRDefault="00EF3C13" w:rsidP="004B4689">
      <w:r>
        <w:t>Placement of a percutaneous endoscopic gastrostomy tube (</w:t>
      </w:r>
      <w:r w:rsidR="007C36A4">
        <w:t>A-Tube™</w:t>
      </w:r>
      <w:r>
        <w:t>) takes</w:t>
      </w:r>
      <w:r w:rsidR="00DC2EA2">
        <w:t xml:space="preserve"> approximately 20 minutes and </w:t>
      </w:r>
      <w:r w:rsidR="00487C22">
        <w:t>may</w:t>
      </w:r>
      <w:r w:rsidR="00DC2EA2">
        <w:t xml:space="preserve"> occur</w:t>
      </w:r>
      <w:r>
        <w:t xml:space="preserve"> </w:t>
      </w:r>
      <w:r w:rsidR="004B4689">
        <w:t>under sedation</w:t>
      </w:r>
      <w:r w:rsidR="00E63D5F">
        <w:t xml:space="preserve">. As per the protocol for the placement of the </w:t>
      </w:r>
      <w:r w:rsidR="007C36A4">
        <w:t>A-Tube™</w:t>
      </w:r>
      <w:r w:rsidR="00E63D5F">
        <w:t xml:space="preserve"> in the </w:t>
      </w:r>
      <w:r w:rsidR="009D50EC">
        <w:t>PATHWAY</w:t>
      </w:r>
      <w:r w:rsidR="00E63D5F">
        <w:t xml:space="preserve"> trial</w:t>
      </w:r>
      <w:r w:rsidR="004B4689">
        <w:t xml:space="preserve">, the </w:t>
      </w:r>
      <w:r w:rsidR="00C51403">
        <w:t>choice of specific sedative and decision whether an an</w:t>
      </w:r>
      <w:r w:rsidR="00BC2693">
        <w:t>a</w:t>
      </w:r>
      <w:r w:rsidR="00C51403">
        <w:t xml:space="preserve">esthetist should be present during the procedure is left to the discretion of the endoscopist based on the </w:t>
      </w:r>
      <w:r w:rsidR="009D50EC">
        <w:t>patien</w:t>
      </w:r>
      <w:r w:rsidR="00C51403">
        <w:t xml:space="preserve">t’s risk of </w:t>
      </w:r>
      <w:r w:rsidR="009D50EC">
        <w:t>apnoea</w:t>
      </w:r>
      <w:r w:rsidR="00C51403">
        <w:t xml:space="preserve"> and other complications.</w:t>
      </w:r>
    </w:p>
    <w:p w14:paraId="32EC0BFC" w14:textId="46AE158C" w:rsidR="00A9270F" w:rsidRDefault="00127A23" w:rsidP="00A9270F">
      <w:r>
        <w:t>Upon completion of the placement of the percutaneous endoscopic gastrostomy tube</w:t>
      </w:r>
      <w:r w:rsidR="002E3D2A">
        <w:t xml:space="preserve"> p</w:t>
      </w:r>
      <w:r w:rsidR="00E908AF">
        <w:t xml:space="preserve">atients would </w:t>
      </w:r>
      <w:r>
        <w:t>wait approximately 1</w:t>
      </w:r>
      <w:r w:rsidR="002E3D2A">
        <w:t>4</w:t>
      </w:r>
      <w:r>
        <w:t xml:space="preserve"> days</w:t>
      </w:r>
      <w:r w:rsidR="006122DB">
        <w:t xml:space="preserve"> before having a follow-up visit</w:t>
      </w:r>
      <w:r w:rsidR="00E55BC0">
        <w:t xml:space="preserve"> where</w:t>
      </w:r>
      <w:r w:rsidR="000048E8">
        <w:t>:</w:t>
      </w:r>
      <w:r w:rsidR="00E55BC0">
        <w:t xml:space="preserve"> the Skin-Port is attached</w:t>
      </w:r>
      <w:r w:rsidR="000048E8">
        <w:t>;</w:t>
      </w:r>
      <w:r w:rsidR="00E55BC0">
        <w:t xml:space="preserve"> patients receive training on the use of the </w:t>
      </w:r>
      <w:r w:rsidR="00947F4F">
        <w:t xml:space="preserve">AspireAssist </w:t>
      </w:r>
      <w:r w:rsidR="0023338E">
        <w:t>device;</w:t>
      </w:r>
      <w:r w:rsidR="00947F4F">
        <w:t xml:space="preserve"> </w:t>
      </w:r>
      <w:r w:rsidR="00E55BC0">
        <w:t xml:space="preserve">and </w:t>
      </w:r>
      <w:r w:rsidR="000048E8">
        <w:t xml:space="preserve">patients </w:t>
      </w:r>
      <w:r w:rsidR="00947F4F">
        <w:t>are instructed to commence aspiration of the stomach contents</w:t>
      </w:r>
      <w:r w:rsidR="000048E8">
        <w:t xml:space="preserve"> f</w:t>
      </w:r>
      <w:r w:rsidR="00E91A7C">
        <w:t>ollowing meals</w:t>
      </w:r>
      <w:r w:rsidR="0047587C">
        <w:t>.</w:t>
      </w:r>
      <w:r w:rsidR="00947F4F">
        <w:t xml:space="preserve"> This follow-up visit would take place in the </w:t>
      </w:r>
      <w:r w:rsidR="00EC2876">
        <w:t>treating physician</w:t>
      </w:r>
      <w:r w:rsidR="002557FC">
        <w:t>’</w:t>
      </w:r>
      <w:r w:rsidR="00EC2876">
        <w:t>s consulting rooms.</w:t>
      </w:r>
    </w:p>
    <w:p w14:paraId="47F11A95" w14:textId="605A708F" w:rsidR="0020277E" w:rsidRDefault="00DC21F6" w:rsidP="00A9270F">
      <w:r>
        <w:t>The placement of the percutaneous endoscopic gastrostomy tube (</w:t>
      </w:r>
      <w:r w:rsidR="007C36A4">
        <w:t>A-Tube™</w:t>
      </w:r>
      <w:r>
        <w:t xml:space="preserve">) </w:t>
      </w:r>
      <w:r w:rsidR="00202CCD">
        <w:t xml:space="preserve">is procedurally consistent with the </w:t>
      </w:r>
      <w:r w:rsidR="008B0125">
        <w:t xml:space="preserve">conduct of a percutaneous gastrostomy under MBS items </w:t>
      </w:r>
      <w:r w:rsidR="0063073D">
        <w:t xml:space="preserve">30481 (initial procedure) and 30482 (repeat procedure). However, as MBS items 30481 and 30482 </w:t>
      </w:r>
      <w:r w:rsidR="00300BB3">
        <w:t>exclude the insertion of a device for the purposes of facilitating weight los</w:t>
      </w:r>
      <w:r w:rsidR="0099149C">
        <w:t>s</w:t>
      </w:r>
      <w:r w:rsidR="00300BB3">
        <w:t xml:space="preserve"> the placement of an </w:t>
      </w:r>
      <w:r w:rsidR="007C36A4">
        <w:t>A-Tube™</w:t>
      </w:r>
      <w:r w:rsidR="00300BB3">
        <w:t xml:space="preserve"> </w:t>
      </w:r>
      <w:r w:rsidR="00AC667B">
        <w:lastRenderedPageBreak/>
        <w:t>associated with aspirati</w:t>
      </w:r>
      <w:r w:rsidR="00E43D14">
        <w:t>o</w:t>
      </w:r>
      <w:r w:rsidR="00AC667B">
        <w:t>n therapy is not permitted under existing item numbers</w:t>
      </w:r>
      <w:r w:rsidR="00E43D14">
        <w:t xml:space="preserve">. The descriptor and fee associated with </w:t>
      </w:r>
      <w:r w:rsidR="00A94D12">
        <w:t>MBS item 30481 is outlined in</w:t>
      </w:r>
      <w:r w:rsidR="00482B1C">
        <w:t xml:space="preserve"> </w:t>
      </w:r>
      <w:r w:rsidR="00482B1C">
        <w:fldChar w:fldCharType="begin"/>
      </w:r>
      <w:r w:rsidR="00482B1C">
        <w:instrText xml:space="preserve"> REF _Ref527900746 \h </w:instrText>
      </w:r>
      <w:r w:rsidR="00482B1C">
        <w:fldChar w:fldCharType="separate"/>
      </w:r>
      <w:r w:rsidR="00482B1C">
        <w:t xml:space="preserve">Table </w:t>
      </w:r>
      <w:r w:rsidR="00482B1C">
        <w:rPr>
          <w:noProof/>
        </w:rPr>
        <w:t>3</w:t>
      </w:r>
      <w:r w:rsidR="00482B1C">
        <w:fldChar w:fldCharType="end"/>
      </w:r>
      <w:r w:rsidR="00FE79D1">
        <w:t xml:space="preserve"> for reference</w:t>
      </w:r>
      <w:r w:rsidR="00A94D12">
        <w:t>.</w:t>
      </w:r>
    </w:p>
    <w:p w14:paraId="75BCEDE3" w14:textId="31213888" w:rsidR="00422679" w:rsidRDefault="006C3697" w:rsidP="006C3697">
      <w:pPr>
        <w:pStyle w:val="Caption"/>
      </w:pPr>
      <w:bookmarkStart w:id="6" w:name="_Ref527900746"/>
      <w:bookmarkStart w:id="7" w:name="_Ref527900668"/>
      <w:r>
        <w:t xml:space="preserve">Table </w:t>
      </w:r>
      <w:r>
        <w:fldChar w:fldCharType="begin"/>
      </w:r>
      <w:r>
        <w:instrText xml:space="preserve"> SEQ Table \* ARABIC </w:instrText>
      </w:r>
      <w:r>
        <w:fldChar w:fldCharType="separate"/>
      </w:r>
      <w:r w:rsidR="00B67FC1">
        <w:rPr>
          <w:noProof/>
        </w:rPr>
        <w:t>3</w:t>
      </w:r>
      <w:r>
        <w:fldChar w:fldCharType="end"/>
      </w:r>
      <w:bookmarkEnd w:id="6"/>
      <w:r>
        <w:t xml:space="preserve">: </w:t>
      </w:r>
      <w:r w:rsidR="00AB6326">
        <w:t>MBS item 30481 descriptor for per</w:t>
      </w:r>
      <w:r w:rsidR="00422679">
        <w:t>cutaneous gastrostomy</w:t>
      </w:r>
      <w:bookmarkEnd w:id="7"/>
    </w:p>
    <w:tbl>
      <w:tblPr>
        <w:tblStyle w:val="TableGrid"/>
        <w:tblW w:w="5000" w:type="pct"/>
        <w:tblLook w:val="04A0" w:firstRow="1" w:lastRow="0" w:firstColumn="1" w:lastColumn="0" w:noHBand="0" w:noVBand="1"/>
        <w:tblDescription w:val="MBS item 30481 descriptor for percutaneous gastrostomy"/>
      </w:tblPr>
      <w:tblGrid>
        <w:gridCol w:w="9016"/>
      </w:tblGrid>
      <w:tr w:rsidR="004039A2" w14:paraId="221FCF7C" w14:textId="77777777" w:rsidTr="00553D3B">
        <w:trPr>
          <w:tblHeader/>
        </w:trPr>
        <w:tc>
          <w:tcPr>
            <w:tcW w:w="5000" w:type="pct"/>
          </w:tcPr>
          <w:p w14:paraId="0850E2F7" w14:textId="2617441F" w:rsidR="004039A2" w:rsidRDefault="004039A2" w:rsidP="006C3697">
            <w:pPr>
              <w:pStyle w:val="Caption"/>
              <w:ind w:left="0" w:firstLine="0"/>
            </w:pPr>
            <w:r>
              <w:t>MBS item 30481</w:t>
            </w:r>
          </w:p>
        </w:tc>
      </w:tr>
      <w:tr w:rsidR="004039A2" w14:paraId="7B1184F8" w14:textId="77777777" w:rsidTr="004039A2">
        <w:tc>
          <w:tcPr>
            <w:tcW w:w="5000" w:type="pct"/>
          </w:tcPr>
          <w:p w14:paraId="6F122584" w14:textId="53EA550E" w:rsidR="004039A2" w:rsidRDefault="004039A2" w:rsidP="004039A2">
            <w:r w:rsidRPr="004039A2">
              <w:t>PERCUTANEOUS GASTROSTOMY (initial procedure):</w:t>
            </w:r>
          </w:p>
          <w:p w14:paraId="5FCDEAA0" w14:textId="77777777" w:rsidR="004039A2" w:rsidRPr="004039A2" w:rsidRDefault="004039A2" w:rsidP="004039A2"/>
          <w:p w14:paraId="26362D05" w14:textId="77777777" w:rsidR="004039A2" w:rsidRPr="004039A2" w:rsidRDefault="004039A2" w:rsidP="004039A2">
            <w:r w:rsidRPr="004039A2">
              <w:t>(a) including any associated imaging services; and</w:t>
            </w:r>
          </w:p>
          <w:p w14:paraId="0769DA3C" w14:textId="79AEF595" w:rsidR="004039A2" w:rsidRDefault="004039A2" w:rsidP="004039A2">
            <w:r w:rsidRPr="004039A2">
              <w:t>(b) excluding the insertion of a device for the purpose of facilitating weight loss (Anaes.)</w:t>
            </w:r>
          </w:p>
          <w:p w14:paraId="48103FD4" w14:textId="77777777" w:rsidR="004039A2" w:rsidRPr="004039A2" w:rsidRDefault="004039A2" w:rsidP="004039A2"/>
          <w:p w14:paraId="02E5D2DE" w14:textId="77777777" w:rsidR="004039A2" w:rsidRPr="004039A2" w:rsidRDefault="004039A2" w:rsidP="004039A2">
            <w:r w:rsidRPr="004039A2">
              <w:t xml:space="preserve">(See para TN.8.17 of explanatory notes to this Category) </w:t>
            </w:r>
          </w:p>
          <w:p w14:paraId="557B6D00" w14:textId="4A9D7C96" w:rsidR="004039A2" w:rsidRDefault="004039A2" w:rsidP="004039A2">
            <w:r w:rsidRPr="00E12DB1">
              <w:rPr>
                <w:b/>
              </w:rPr>
              <w:t>Fee:</w:t>
            </w:r>
            <w:r w:rsidRPr="004039A2">
              <w:t xml:space="preserve"> $357.00</w:t>
            </w:r>
            <w:r w:rsidR="00E12DB1">
              <w:t xml:space="preserve">  </w:t>
            </w:r>
            <w:r w:rsidR="00553D3B">
              <w:t xml:space="preserve"> </w:t>
            </w:r>
            <w:r w:rsidRPr="00E12DB1">
              <w:rPr>
                <w:b/>
              </w:rPr>
              <w:t>Benefit:</w:t>
            </w:r>
            <w:r w:rsidRPr="004039A2">
              <w:t xml:space="preserve"> 75% = $267.75  </w:t>
            </w:r>
            <w:r w:rsidR="00553D3B">
              <w:t xml:space="preserve"> </w:t>
            </w:r>
            <w:r w:rsidRPr="004039A2">
              <w:t>85% = $303.45</w:t>
            </w:r>
          </w:p>
        </w:tc>
      </w:tr>
    </w:tbl>
    <w:p w14:paraId="3DAEEE3D" w14:textId="6A7341D1" w:rsidR="00A94D12" w:rsidRDefault="00A94D12" w:rsidP="00D314F0">
      <w:pPr>
        <w:spacing w:after="0"/>
      </w:pPr>
    </w:p>
    <w:p w14:paraId="62B0E3AA" w14:textId="2BF1402F" w:rsidR="00D576D8" w:rsidRDefault="009375C3" w:rsidP="00F05A4E">
      <w:r>
        <w:t>T</w:t>
      </w:r>
      <w:r w:rsidRPr="00C212EC">
        <w:t xml:space="preserve">he </w:t>
      </w:r>
      <w:r>
        <w:t xml:space="preserve">placement of the </w:t>
      </w:r>
      <w:r w:rsidR="00735D9E">
        <w:t xml:space="preserve">A-Tube™ is </w:t>
      </w:r>
      <w:r w:rsidRPr="00C212EC">
        <w:t xml:space="preserve">fully reversible, and patients may require the </w:t>
      </w:r>
      <w:r>
        <w:t>A-Tube™</w:t>
      </w:r>
      <w:r w:rsidRPr="00C212EC">
        <w:t xml:space="preserve"> to be removed in several circumstances</w:t>
      </w:r>
      <w:r w:rsidR="00D314F0">
        <w:t>,</w:t>
      </w:r>
      <w:r w:rsidRPr="00C212EC">
        <w:t xml:space="preserve"> such as: achieving goal weight loss and ceasing aspiration therapy; not achieving goal weight loss and deciding to cease aspiration therapy and pursue alternative treatments (e.g. bariatric surgery); or experiencing an infection/blockage of the </w:t>
      </w:r>
      <w:r>
        <w:t>A-Tube™</w:t>
      </w:r>
      <w:r w:rsidRPr="00C212EC">
        <w:t>.</w:t>
      </w:r>
      <w:r w:rsidR="00620DCC">
        <w:t xml:space="preserve"> The removal of the </w:t>
      </w:r>
      <w:r w:rsidR="009104C9">
        <w:t xml:space="preserve">A-Tube™ would </w:t>
      </w:r>
      <w:r w:rsidR="00033CCA">
        <w:t>be undertaken by a gastroenterologist or endoscopically-trained surgeon in an endoscopy suite (outpatient procedure)</w:t>
      </w:r>
      <w:r w:rsidR="00BE4B78">
        <w:t xml:space="preserve"> under sedation or general anaesthesia</w:t>
      </w:r>
      <w:r w:rsidR="00033CCA">
        <w:t>.</w:t>
      </w:r>
    </w:p>
    <w:p w14:paraId="17B16E8F" w14:textId="513A65ED" w:rsidR="00B35B94" w:rsidRPr="00F05A4E" w:rsidRDefault="007244AA" w:rsidP="00620DCC">
      <w:r>
        <w:t xml:space="preserve">Whilst a patient is </w:t>
      </w:r>
      <w:r w:rsidR="00DE08D5">
        <w:t>being managed with aspiration therapy and achieving weight loss</w:t>
      </w:r>
      <w:r w:rsidR="00D314F0">
        <w:t>,</w:t>
      </w:r>
      <w:r w:rsidR="00DE08D5">
        <w:t xml:space="preserve"> they are likely to require </w:t>
      </w:r>
      <w:r w:rsidR="00620DCC">
        <w:t>intermittent shortening of the A-Tube™</w:t>
      </w:r>
      <w:r w:rsidR="00BE4B78">
        <w:t xml:space="preserve"> to ensure the </w:t>
      </w:r>
      <w:r w:rsidR="0091144D">
        <w:t>Skin-Port™ is sitting flush with the body</w:t>
      </w:r>
      <w:r w:rsidR="004B5F3E">
        <w:t>. Shortening of the A-Tube™</w:t>
      </w:r>
      <w:r w:rsidR="00635DA7">
        <w:t xml:space="preserve"> </w:t>
      </w:r>
      <w:r w:rsidR="004B64CF">
        <w:t>can be undertaken by the managing clinician in their consulting rooms</w:t>
      </w:r>
      <w:r w:rsidR="00D314F0">
        <w:t>,</w:t>
      </w:r>
      <w:r w:rsidR="004B64CF">
        <w:t xml:space="preserve"> as part of </w:t>
      </w:r>
      <w:r w:rsidR="005B101A">
        <w:t xml:space="preserve">routine follow-up and monitoring of patients being managed with aspiration therapy. No sedation or anaesthesia is required for </w:t>
      </w:r>
      <w:r w:rsidR="002409B0">
        <w:t xml:space="preserve">the </w:t>
      </w:r>
      <w:r w:rsidR="00621F18">
        <w:t>shortening of the A-Tube™.</w:t>
      </w:r>
    </w:p>
    <w:p w14:paraId="77870CDF" w14:textId="77777777" w:rsidR="00896845" w:rsidRPr="00E364F7" w:rsidRDefault="00896845">
      <w:pPr>
        <w:rPr>
          <w:b/>
        </w:rPr>
      </w:pPr>
      <w:r w:rsidRPr="00E364F7">
        <w:rPr>
          <w:b/>
        </w:rPr>
        <w:t>Comparator</w:t>
      </w:r>
    </w:p>
    <w:p w14:paraId="578B55B3" w14:textId="1537B071" w:rsidR="00D51B1F" w:rsidRDefault="00C81E78" w:rsidP="004952C4">
      <w:r>
        <w:t xml:space="preserve">The applicant </w:t>
      </w:r>
      <w:r w:rsidR="009643A8">
        <w:t>propose</w:t>
      </w:r>
      <w:r w:rsidR="00C61B9E">
        <w:t>d</w:t>
      </w:r>
      <w:r w:rsidR="009643A8">
        <w:t xml:space="preserve"> that aspiration th</w:t>
      </w:r>
      <w:r w:rsidR="00D314F0">
        <w:t xml:space="preserve">erapy will most likely be used for </w:t>
      </w:r>
      <w:r w:rsidR="009643A8">
        <w:t xml:space="preserve">a </w:t>
      </w:r>
      <w:r w:rsidR="00E335FA">
        <w:t xml:space="preserve">group of patients who </w:t>
      </w:r>
      <w:r w:rsidR="00664EAB">
        <w:t xml:space="preserve">have not achieved </w:t>
      </w:r>
      <w:r w:rsidR="0080722E">
        <w:t>sustained</w:t>
      </w:r>
      <w:r w:rsidR="00664EAB">
        <w:t xml:space="preserve"> </w:t>
      </w:r>
      <w:r w:rsidR="00D314F0">
        <w:t>weight loss,</w:t>
      </w:r>
      <w:r w:rsidR="00F952AE">
        <w:t xml:space="preserve"> after </w:t>
      </w:r>
      <w:r w:rsidR="0080722E">
        <w:t xml:space="preserve">lifestyle interventions, very low-energy diets </w:t>
      </w:r>
      <w:r w:rsidR="001D5937">
        <w:t>and pharmacotherapy</w:t>
      </w:r>
      <w:r w:rsidR="008E5357">
        <w:t>.</w:t>
      </w:r>
      <w:r w:rsidR="00234DA0">
        <w:t xml:space="preserve"> The characteristics of these patients is consistent with </w:t>
      </w:r>
      <w:r w:rsidR="008160AE">
        <w:t xml:space="preserve">characteristics of patients </w:t>
      </w:r>
      <w:r w:rsidR="00E6676D">
        <w:t xml:space="preserve">for </w:t>
      </w:r>
      <w:r w:rsidR="00D314F0">
        <w:t>whom</w:t>
      </w:r>
      <w:r w:rsidR="003970F8">
        <w:t xml:space="preserve"> treatment with bariatric </w:t>
      </w:r>
      <w:r w:rsidR="005C5A14">
        <w:t>surgery</w:t>
      </w:r>
      <w:r w:rsidR="003970F8">
        <w:t xml:space="preserve"> would be </w:t>
      </w:r>
      <w:r w:rsidR="00D314F0">
        <w:t>considered. S</w:t>
      </w:r>
      <w:r w:rsidR="00AC1CD8">
        <w:t xml:space="preserve">everal bariatric </w:t>
      </w:r>
      <w:r w:rsidR="005C5A14">
        <w:t xml:space="preserve">surgical </w:t>
      </w:r>
      <w:r w:rsidR="00AC1CD8">
        <w:t xml:space="preserve">procedures </w:t>
      </w:r>
      <w:r w:rsidR="00D314F0">
        <w:t>are currently listed on the MBS for weight loss. U</w:t>
      </w:r>
      <w:r w:rsidR="00D51B1F">
        <w:t xml:space="preserve">tilisation </w:t>
      </w:r>
      <w:r w:rsidR="00D314F0">
        <w:t xml:space="preserve">statistics on </w:t>
      </w:r>
      <w:r w:rsidR="00D51B1F">
        <w:t xml:space="preserve">bariatric procedures funded through the MBS in the last full calendar year are presented in </w:t>
      </w:r>
      <w:r w:rsidR="00724987">
        <w:fldChar w:fldCharType="begin"/>
      </w:r>
      <w:r w:rsidR="00724987">
        <w:instrText xml:space="preserve"> REF _Ref528403201 \h </w:instrText>
      </w:r>
      <w:r w:rsidR="00724987">
        <w:fldChar w:fldCharType="separate"/>
      </w:r>
      <w:r w:rsidR="00724987">
        <w:t xml:space="preserve">Table </w:t>
      </w:r>
      <w:r w:rsidR="00724987">
        <w:rPr>
          <w:noProof/>
        </w:rPr>
        <w:t>4</w:t>
      </w:r>
      <w:r w:rsidR="00724987">
        <w:fldChar w:fldCharType="end"/>
      </w:r>
      <w:r w:rsidR="00D51B1F">
        <w:t>.</w:t>
      </w:r>
    </w:p>
    <w:p w14:paraId="6199AB91" w14:textId="1D48F43D" w:rsidR="00D51B1F" w:rsidRDefault="00192261" w:rsidP="00192261">
      <w:pPr>
        <w:pStyle w:val="Caption"/>
      </w:pPr>
      <w:bookmarkStart w:id="8" w:name="_Ref528403201"/>
      <w:r>
        <w:t xml:space="preserve">Table </w:t>
      </w:r>
      <w:r>
        <w:fldChar w:fldCharType="begin"/>
      </w:r>
      <w:r>
        <w:instrText xml:space="preserve"> SEQ Table \* ARABIC </w:instrText>
      </w:r>
      <w:r>
        <w:fldChar w:fldCharType="separate"/>
      </w:r>
      <w:r w:rsidR="00B67FC1">
        <w:rPr>
          <w:noProof/>
        </w:rPr>
        <w:t>4</w:t>
      </w:r>
      <w:r>
        <w:fldChar w:fldCharType="end"/>
      </w:r>
      <w:bookmarkEnd w:id="8"/>
      <w:r>
        <w:t xml:space="preserve">: </w:t>
      </w:r>
      <w:r w:rsidR="004C78CD">
        <w:t>Bariatric procedures processed through the MBS: January 2017-December 2017</w:t>
      </w:r>
    </w:p>
    <w:tbl>
      <w:tblPr>
        <w:tblStyle w:val="TableGrid"/>
        <w:tblW w:w="5000" w:type="pct"/>
        <w:tblLook w:val="04A0" w:firstRow="1" w:lastRow="0" w:firstColumn="1" w:lastColumn="0" w:noHBand="0" w:noVBand="1"/>
        <w:tblDescription w:val="Bariatric procedures processed through the MBS from January 2017 to December 2017"/>
      </w:tblPr>
      <w:tblGrid>
        <w:gridCol w:w="1489"/>
        <w:gridCol w:w="4777"/>
        <w:gridCol w:w="1706"/>
        <w:gridCol w:w="1044"/>
      </w:tblGrid>
      <w:tr w:rsidR="00A35D34" w:rsidRPr="00A35D34" w14:paraId="097D6519" w14:textId="77777777" w:rsidTr="00553D3B">
        <w:trPr>
          <w:trHeight w:val="283"/>
          <w:tblHeader/>
        </w:trPr>
        <w:tc>
          <w:tcPr>
            <w:tcW w:w="826" w:type="pct"/>
          </w:tcPr>
          <w:p w14:paraId="0D54047F" w14:textId="44EA2127" w:rsidR="00A35D34" w:rsidRPr="002F11A1" w:rsidRDefault="00A35D34" w:rsidP="00A35D34">
            <w:pPr>
              <w:rPr>
                <w:b/>
              </w:rPr>
            </w:pPr>
            <w:r w:rsidRPr="002F11A1">
              <w:rPr>
                <w:b/>
              </w:rPr>
              <w:t>MBS Item #</w:t>
            </w:r>
          </w:p>
        </w:tc>
        <w:tc>
          <w:tcPr>
            <w:tcW w:w="2648" w:type="pct"/>
          </w:tcPr>
          <w:p w14:paraId="6B3D2AF7" w14:textId="668746DC" w:rsidR="00A35D34" w:rsidRPr="002F11A1" w:rsidRDefault="00A35D34" w:rsidP="00A35D34">
            <w:pPr>
              <w:rPr>
                <w:b/>
              </w:rPr>
            </w:pPr>
            <w:r w:rsidRPr="002F11A1">
              <w:rPr>
                <w:b/>
              </w:rPr>
              <w:t>Procedure</w:t>
            </w:r>
          </w:p>
        </w:tc>
        <w:tc>
          <w:tcPr>
            <w:tcW w:w="946" w:type="pct"/>
          </w:tcPr>
          <w:p w14:paraId="24A633BA" w14:textId="2D670C9B" w:rsidR="00A35D34" w:rsidRPr="002F11A1" w:rsidRDefault="00A35D34" w:rsidP="00A35D34">
            <w:pPr>
              <w:rPr>
                <w:b/>
              </w:rPr>
            </w:pPr>
            <w:r w:rsidRPr="002F11A1">
              <w:rPr>
                <w:b/>
              </w:rPr>
              <w:t>Tot</w:t>
            </w:r>
            <w:r w:rsidR="00452784" w:rsidRPr="002F11A1">
              <w:rPr>
                <w:b/>
              </w:rPr>
              <w:t>al services</w:t>
            </w:r>
          </w:p>
        </w:tc>
        <w:tc>
          <w:tcPr>
            <w:tcW w:w="579" w:type="pct"/>
          </w:tcPr>
          <w:p w14:paraId="171B32ED" w14:textId="3343BFFF" w:rsidR="00A35D34" w:rsidRPr="002F11A1" w:rsidRDefault="00452784" w:rsidP="00A35D34">
            <w:pPr>
              <w:rPr>
                <w:b/>
              </w:rPr>
            </w:pPr>
            <w:r w:rsidRPr="002F11A1">
              <w:rPr>
                <w:b/>
              </w:rPr>
              <w:t>% Total</w:t>
            </w:r>
          </w:p>
        </w:tc>
      </w:tr>
      <w:tr w:rsidR="0057780E" w:rsidRPr="00A35D34" w14:paraId="418CB9A5" w14:textId="77777777" w:rsidTr="00ED7656">
        <w:trPr>
          <w:trHeight w:val="283"/>
        </w:trPr>
        <w:tc>
          <w:tcPr>
            <w:tcW w:w="826" w:type="pct"/>
            <w:hideMark/>
          </w:tcPr>
          <w:p w14:paraId="34D15214" w14:textId="77777777" w:rsidR="0057780E" w:rsidRPr="00A35D34" w:rsidRDefault="0057780E" w:rsidP="00A35D34">
            <w:r w:rsidRPr="00A35D34">
              <w:t>31569</w:t>
            </w:r>
          </w:p>
        </w:tc>
        <w:tc>
          <w:tcPr>
            <w:tcW w:w="2648" w:type="pct"/>
            <w:hideMark/>
          </w:tcPr>
          <w:p w14:paraId="5D46A68D" w14:textId="596418A6" w:rsidR="0057780E" w:rsidRPr="00A35D34" w:rsidRDefault="009200D8" w:rsidP="00A35D34">
            <w:r>
              <w:t>Laparoscopic</w:t>
            </w:r>
            <w:r w:rsidR="00877D8C">
              <w:t xml:space="preserve"> a</w:t>
            </w:r>
            <w:r w:rsidR="0057780E" w:rsidRPr="00A35D34">
              <w:t>djustable gastric band</w:t>
            </w:r>
          </w:p>
        </w:tc>
        <w:tc>
          <w:tcPr>
            <w:tcW w:w="946" w:type="pct"/>
            <w:hideMark/>
          </w:tcPr>
          <w:p w14:paraId="70707EE1" w14:textId="77777777" w:rsidR="0057780E" w:rsidRPr="00A35D34" w:rsidRDefault="0057780E" w:rsidP="00A35D34">
            <w:r w:rsidRPr="00A35D34">
              <w:t>1,348</w:t>
            </w:r>
          </w:p>
        </w:tc>
        <w:tc>
          <w:tcPr>
            <w:tcW w:w="579" w:type="pct"/>
            <w:hideMark/>
          </w:tcPr>
          <w:p w14:paraId="26C07D1E" w14:textId="77777777" w:rsidR="0057780E" w:rsidRPr="00A35D34" w:rsidRDefault="0057780E" w:rsidP="00A35D34">
            <w:r w:rsidRPr="00A35D34">
              <w:t>6%</w:t>
            </w:r>
          </w:p>
        </w:tc>
      </w:tr>
      <w:tr w:rsidR="0057780E" w:rsidRPr="00A35D34" w14:paraId="417EDADD" w14:textId="77777777" w:rsidTr="00ED7656">
        <w:trPr>
          <w:trHeight w:val="283"/>
        </w:trPr>
        <w:tc>
          <w:tcPr>
            <w:tcW w:w="826" w:type="pct"/>
            <w:hideMark/>
          </w:tcPr>
          <w:p w14:paraId="4EBACF4C" w14:textId="77777777" w:rsidR="0057780E" w:rsidRPr="00A35D34" w:rsidRDefault="0057780E" w:rsidP="00A35D34">
            <w:r w:rsidRPr="00A35D34">
              <w:t>31572</w:t>
            </w:r>
          </w:p>
        </w:tc>
        <w:tc>
          <w:tcPr>
            <w:tcW w:w="2648" w:type="pct"/>
            <w:hideMark/>
          </w:tcPr>
          <w:p w14:paraId="6FAF8713" w14:textId="77777777" w:rsidR="0057780E" w:rsidRPr="00A35D34" w:rsidRDefault="0057780E" w:rsidP="00A35D34">
            <w:r w:rsidRPr="00A35D34">
              <w:t>Gastric bypass by Roux-en-Y</w:t>
            </w:r>
          </w:p>
        </w:tc>
        <w:tc>
          <w:tcPr>
            <w:tcW w:w="946" w:type="pct"/>
            <w:hideMark/>
          </w:tcPr>
          <w:p w14:paraId="7508BC66" w14:textId="77777777" w:rsidR="0057780E" w:rsidRPr="00A35D34" w:rsidRDefault="0057780E" w:rsidP="00A35D34">
            <w:r w:rsidRPr="00A35D34">
              <w:t>2,915</w:t>
            </w:r>
          </w:p>
        </w:tc>
        <w:tc>
          <w:tcPr>
            <w:tcW w:w="579" w:type="pct"/>
            <w:hideMark/>
          </w:tcPr>
          <w:p w14:paraId="6B3092DB" w14:textId="77777777" w:rsidR="0057780E" w:rsidRPr="00A35D34" w:rsidRDefault="0057780E" w:rsidP="00A35D34">
            <w:r w:rsidRPr="00A35D34">
              <w:t>13%</w:t>
            </w:r>
          </w:p>
        </w:tc>
      </w:tr>
      <w:tr w:rsidR="0057780E" w:rsidRPr="00A35D34" w14:paraId="7C83DEDF" w14:textId="77777777" w:rsidTr="00ED7656">
        <w:trPr>
          <w:trHeight w:val="283"/>
        </w:trPr>
        <w:tc>
          <w:tcPr>
            <w:tcW w:w="826" w:type="pct"/>
            <w:hideMark/>
          </w:tcPr>
          <w:p w14:paraId="3A9F1B24" w14:textId="77777777" w:rsidR="0057780E" w:rsidRPr="00A35D34" w:rsidRDefault="0057780E" w:rsidP="00A35D34">
            <w:r w:rsidRPr="00A35D34">
              <w:t>31575</w:t>
            </w:r>
          </w:p>
        </w:tc>
        <w:tc>
          <w:tcPr>
            <w:tcW w:w="2648" w:type="pct"/>
            <w:hideMark/>
          </w:tcPr>
          <w:p w14:paraId="04E0F92A" w14:textId="77777777" w:rsidR="0057780E" w:rsidRPr="00A35D34" w:rsidRDefault="0057780E" w:rsidP="00A35D34">
            <w:r w:rsidRPr="00A35D34">
              <w:t>Sleeve gastrectomy</w:t>
            </w:r>
          </w:p>
        </w:tc>
        <w:tc>
          <w:tcPr>
            <w:tcW w:w="946" w:type="pct"/>
            <w:hideMark/>
          </w:tcPr>
          <w:p w14:paraId="76771587" w14:textId="77777777" w:rsidR="0057780E" w:rsidRPr="00A35D34" w:rsidRDefault="0057780E" w:rsidP="00A35D34">
            <w:r w:rsidRPr="00A35D34">
              <w:t>18,493</w:t>
            </w:r>
          </w:p>
        </w:tc>
        <w:tc>
          <w:tcPr>
            <w:tcW w:w="579" w:type="pct"/>
            <w:hideMark/>
          </w:tcPr>
          <w:p w14:paraId="5181D2E1" w14:textId="77777777" w:rsidR="0057780E" w:rsidRPr="00A35D34" w:rsidRDefault="0057780E" w:rsidP="00A35D34">
            <w:r w:rsidRPr="00A35D34">
              <w:t>79%</w:t>
            </w:r>
          </w:p>
        </w:tc>
      </w:tr>
      <w:tr w:rsidR="0057780E" w:rsidRPr="00A35D34" w14:paraId="5C6BC1F5" w14:textId="77777777" w:rsidTr="00ED7656">
        <w:trPr>
          <w:trHeight w:val="283"/>
        </w:trPr>
        <w:tc>
          <w:tcPr>
            <w:tcW w:w="826" w:type="pct"/>
            <w:hideMark/>
          </w:tcPr>
          <w:p w14:paraId="6A0A08BF" w14:textId="77777777" w:rsidR="0057780E" w:rsidRPr="00A35D34" w:rsidRDefault="0057780E" w:rsidP="00A35D34">
            <w:r w:rsidRPr="00A35D34">
              <w:t>31578</w:t>
            </w:r>
          </w:p>
        </w:tc>
        <w:tc>
          <w:tcPr>
            <w:tcW w:w="2648" w:type="pct"/>
            <w:hideMark/>
          </w:tcPr>
          <w:p w14:paraId="1DFE6B6B" w14:textId="77777777" w:rsidR="0057780E" w:rsidRPr="00A35D34" w:rsidRDefault="0057780E" w:rsidP="00A35D34">
            <w:r w:rsidRPr="00A35D34">
              <w:t>Gastroplasty</w:t>
            </w:r>
          </w:p>
        </w:tc>
        <w:tc>
          <w:tcPr>
            <w:tcW w:w="946" w:type="pct"/>
            <w:hideMark/>
          </w:tcPr>
          <w:p w14:paraId="6CD0DEA6" w14:textId="77777777" w:rsidR="0057780E" w:rsidRPr="00A35D34" w:rsidRDefault="0057780E" w:rsidP="00A35D34">
            <w:r w:rsidRPr="00A35D34">
              <w:t>381</w:t>
            </w:r>
          </w:p>
        </w:tc>
        <w:tc>
          <w:tcPr>
            <w:tcW w:w="579" w:type="pct"/>
            <w:hideMark/>
          </w:tcPr>
          <w:p w14:paraId="23FA8277" w14:textId="77777777" w:rsidR="0057780E" w:rsidRPr="00A35D34" w:rsidRDefault="0057780E" w:rsidP="00A35D34">
            <w:r w:rsidRPr="00A35D34">
              <w:t>2%</w:t>
            </w:r>
          </w:p>
        </w:tc>
      </w:tr>
      <w:tr w:rsidR="0057780E" w:rsidRPr="00A35D34" w14:paraId="2D1044C0" w14:textId="77777777" w:rsidTr="00ED7656">
        <w:trPr>
          <w:trHeight w:val="283"/>
        </w:trPr>
        <w:tc>
          <w:tcPr>
            <w:tcW w:w="826" w:type="pct"/>
            <w:hideMark/>
          </w:tcPr>
          <w:p w14:paraId="2CFCACB8" w14:textId="77777777" w:rsidR="0057780E" w:rsidRPr="00A35D34" w:rsidRDefault="0057780E" w:rsidP="00A35D34">
            <w:r w:rsidRPr="00A35D34">
              <w:t>31581</w:t>
            </w:r>
          </w:p>
        </w:tc>
        <w:tc>
          <w:tcPr>
            <w:tcW w:w="2648" w:type="pct"/>
            <w:hideMark/>
          </w:tcPr>
          <w:p w14:paraId="747AEB14" w14:textId="77777777" w:rsidR="0057780E" w:rsidRPr="00A35D34" w:rsidRDefault="0057780E" w:rsidP="00A35D34">
            <w:r w:rsidRPr="00A35D34">
              <w:t>Gastric bypass by biliopancreatic diversion</w:t>
            </w:r>
          </w:p>
        </w:tc>
        <w:tc>
          <w:tcPr>
            <w:tcW w:w="946" w:type="pct"/>
            <w:hideMark/>
          </w:tcPr>
          <w:p w14:paraId="13A7C330" w14:textId="77777777" w:rsidR="0057780E" w:rsidRPr="00A35D34" w:rsidRDefault="0057780E" w:rsidP="00A35D34">
            <w:r w:rsidRPr="00A35D34">
              <w:t>157</w:t>
            </w:r>
          </w:p>
        </w:tc>
        <w:tc>
          <w:tcPr>
            <w:tcW w:w="579" w:type="pct"/>
            <w:hideMark/>
          </w:tcPr>
          <w:p w14:paraId="25F7C368" w14:textId="77777777" w:rsidR="0057780E" w:rsidRPr="00A35D34" w:rsidRDefault="0057780E" w:rsidP="00A35D34">
            <w:r w:rsidRPr="00A35D34">
              <w:t>1%</w:t>
            </w:r>
          </w:p>
        </w:tc>
      </w:tr>
      <w:tr w:rsidR="0057780E" w:rsidRPr="00A35D34" w14:paraId="3814B020" w14:textId="77777777" w:rsidTr="00ED7656">
        <w:trPr>
          <w:trHeight w:val="283"/>
        </w:trPr>
        <w:tc>
          <w:tcPr>
            <w:tcW w:w="826" w:type="pct"/>
            <w:hideMark/>
          </w:tcPr>
          <w:p w14:paraId="642A36AA" w14:textId="77777777" w:rsidR="0057780E" w:rsidRPr="00A35D34" w:rsidRDefault="0057780E" w:rsidP="00A35D34">
            <w:r w:rsidRPr="00A35D34">
              <w:t>Total</w:t>
            </w:r>
          </w:p>
        </w:tc>
        <w:tc>
          <w:tcPr>
            <w:tcW w:w="2648" w:type="pct"/>
            <w:hideMark/>
          </w:tcPr>
          <w:p w14:paraId="42800B72" w14:textId="24B6F95A" w:rsidR="0057780E" w:rsidRPr="00A35D34" w:rsidRDefault="0057780E" w:rsidP="00A35D34">
            <w:r w:rsidRPr="00A35D34">
              <w:t> </w:t>
            </w:r>
            <w:r w:rsidR="00514B5D">
              <w:t>-</w:t>
            </w:r>
          </w:p>
        </w:tc>
        <w:tc>
          <w:tcPr>
            <w:tcW w:w="946" w:type="pct"/>
            <w:hideMark/>
          </w:tcPr>
          <w:p w14:paraId="16969446" w14:textId="77777777" w:rsidR="0057780E" w:rsidRPr="00A35D34" w:rsidRDefault="0057780E" w:rsidP="00A35D34">
            <w:r w:rsidRPr="00A35D34">
              <w:t>23,294</w:t>
            </w:r>
          </w:p>
        </w:tc>
        <w:tc>
          <w:tcPr>
            <w:tcW w:w="579" w:type="pct"/>
            <w:hideMark/>
          </w:tcPr>
          <w:p w14:paraId="29C2FA9A" w14:textId="77777777" w:rsidR="0057780E" w:rsidRPr="00A35D34" w:rsidRDefault="0057780E" w:rsidP="00A35D34">
            <w:r w:rsidRPr="00A35D34">
              <w:t>100%</w:t>
            </w:r>
          </w:p>
        </w:tc>
      </w:tr>
    </w:tbl>
    <w:p w14:paraId="229FC3C1" w14:textId="3D72B6A5" w:rsidR="00766B60" w:rsidRPr="00724987" w:rsidRDefault="004C78CD" w:rsidP="004952C4">
      <w:pPr>
        <w:rPr>
          <w:sz w:val="18"/>
          <w:szCs w:val="18"/>
        </w:rPr>
      </w:pPr>
      <w:r w:rsidRPr="00724987">
        <w:rPr>
          <w:sz w:val="18"/>
          <w:szCs w:val="18"/>
        </w:rPr>
        <w:t xml:space="preserve">Note: </w:t>
      </w:r>
      <w:r w:rsidR="00E302EB" w:rsidRPr="00724987">
        <w:rPr>
          <w:sz w:val="18"/>
          <w:szCs w:val="18"/>
        </w:rPr>
        <w:t xml:space="preserve">These MBS items may be claimed </w:t>
      </w:r>
      <w:r w:rsidR="00257CFC" w:rsidRPr="00724987">
        <w:rPr>
          <w:sz w:val="18"/>
          <w:szCs w:val="18"/>
        </w:rPr>
        <w:t>when undertaking the initial procedure as well as the reversal</w:t>
      </w:r>
      <w:r w:rsidR="00784026" w:rsidRPr="00724987">
        <w:rPr>
          <w:sz w:val="18"/>
          <w:szCs w:val="18"/>
        </w:rPr>
        <w:t>/</w:t>
      </w:r>
      <w:r w:rsidR="00724987" w:rsidRPr="00724987">
        <w:rPr>
          <w:sz w:val="18"/>
          <w:szCs w:val="18"/>
        </w:rPr>
        <w:t>revision</w:t>
      </w:r>
      <w:r w:rsidR="00257CFC" w:rsidRPr="00724987">
        <w:rPr>
          <w:sz w:val="18"/>
          <w:szCs w:val="18"/>
        </w:rPr>
        <w:t xml:space="preserve"> of the procedure </w:t>
      </w:r>
      <w:r w:rsidR="00BF3DE5" w:rsidRPr="00724987">
        <w:rPr>
          <w:sz w:val="18"/>
          <w:szCs w:val="18"/>
        </w:rPr>
        <w:t xml:space="preserve">(when co-claimed with MBS Item </w:t>
      </w:r>
      <w:r w:rsidR="002C3DA0" w:rsidRPr="00724987">
        <w:rPr>
          <w:sz w:val="18"/>
          <w:szCs w:val="18"/>
        </w:rPr>
        <w:t>31584).</w:t>
      </w:r>
    </w:p>
    <w:p w14:paraId="314F4A40" w14:textId="7D46DC52" w:rsidR="00CC27B5" w:rsidRDefault="00432B14" w:rsidP="004952C4">
      <w:r>
        <w:lastRenderedPageBreak/>
        <w:t xml:space="preserve">The utilisation of </w:t>
      </w:r>
      <w:r w:rsidR="00ED7656">
        <w:t xml:space="preserve">MBS items associated with bariatric procedures funded through the MBS in the last full calendar year are presented in </w:t>
      </w:r>
      <w:r w:rsidR="00724987">
        <w:fldChar w:fldCharType="begin"/>
      </w:r>
      <w:r w:rsidR="00724987">
        <w:instrText xml:space="preserve"> REF _Ref528403210 \h </w:instrText>
      </w:r>
      <w:r w:rsidR="00724987">
        <w:fldChar w:fldCharType="separate"/>
      </w:r>
      <w:r w:rsidR="00724987">
        <w:t xml:space="preserve">Table </w:t>
      </w:r>
      <w:r w:rsidR="00724987">
        <w:rPr>
          <w:noProof/>
        </w:rPr>
        <w:t>5</w:t>
      </w:r>
      <w:r w:rsidR="00724987">
        <w:fldChar w:fldCharType="end"/>
      </w:r>
      <w:r w:rsidR="00ED7656">
        <w:t>.</w:t>
      </w:r>
    </w:p>
    <w:p w14:paraId="2047D963" w14:textId="06B60C6D" w:rsidR="00ED7656" w:rsidRDefault="00724987" w:rsidP="00724987">
      <w:pPr>
        <w:pStyle w:val="Caption"/>
      </w:pPr>
      <w:bookmarkStart w:id="9" w:name="_Ref528403210"/>
      <w:r>
        <w:t xml:space="preserve">Table </w:t>
      </w:r>
      <w:r>
        <w:fldChar w:fldCharType="begin"/>
      </w:r>
      <w:r>
        <w:instrText xml:space="preserve"> SEQ Table \* ARABIC </w:instrText>
      </w:r>
      <w:r>
        <w:fldChar w:fldCharType="separate"/>
      </w:r>
      <w:r w:rsidR="00B67FC1">
        <w:rPr>
          <w:noProof/>
        </w:rPr>
        <w:t>5</w:t>
      </w:r>
      <w:r>
        <w:fldChar w:fldCharType="end"/>
      </w:r>
      <w:bookmarkEnd w:id="9"/>
      <w:r>
        <w:t>: Items associated with bariatric procedures processed through the MBS: January 2017-December 2017</w:t>
      </w:r>
    </w:p>
    <w:tbl>
      <w:tblPr>
        <w:tblStyle w:val="TableGrid"/>
        <w:tblW w:w="8940" w:type="dxa"/>
        <w:tblLook w:val="04A0" w:firstRow="1" w:lastRow="0" w:firstColumn="1" w:lastColumn="0" w:noHBand="0" w:noVBand="1"/>
        <w:tblDescription w:val="Items associated with bariatric procedures processed through the MBS from January 2017 to December 2017"/>
      </w:tblPr>
      <w:tblGrid>
        <w:gridCol w:w="1361"/>
        <w:gridCol w:w="6293"/>
        <w:gridCol w:w="1286"/>
      </w:tblGrid>
      <w:tr w:rsidR="004C6C49" w:rsidRPr="00D73A45" w14:paraId="5A23C0A7" w14:textId="77777777" w:rsidTr="00553D3B">
        <w:trPr>
          <w:trHeight w:val="283"/>
          <w:tblHeader/>
        </w:trPr>
        <w:tc>
          <w:tcPr>
            <w:tcW w:w="1361" w:type="dxa"/>
          </w:tcPr>
          <w:p w14:paraId="110224A1" w14:textId="2CA3071E" w:rsidR="004C6C49" w:rsidRPr="002F11A1" w:rsidRDefault="004C6C49" w:rsidP="00D73A45">
            <w:pPr>
              <w:rPr>
                <w:b/>
              </w:rPr>
            </w:pPr>
            <w:r w:rsidRPr="002F11A1">
              <w:rPr>
                <w:b/>
              </w:rPr>
              <w:t>MBS Item #</w:t>
            </w:r>
          </w:p>
        </w:tc>
        <w:tc>
          <w:tcPr>
            <w:tcW w:w="6293" w:type="dxa"/>
          </w:tcPr>
          <w:p w14:paraId="1A43EAD0" w14:textId="53EF96C8" w:rsidR="004C6C49" w:rsidRPr="002F11A1" w:rsidRDefault="004C6C49" w:rsidP="00D73A45">
            <w:pPr>
              <w:rPr>
                <w:b/>
              </w:rPr>
            </w:pPr>
            <w:r w:rsidRPr="002F11A1">
              <w:rPr>
                <w:b/>
              </w:rPr>
              <w:t>Procedure</w:t>
            </w:r>
          </w:p>
        </w:tc>
        <w:tc>
          <w:tcPr>
            <w:tcW w:w="0" w:type="auto"/>
          </w:tcPr>
          <w:p w14:paraId="3A93FB7D" w14:textId="78177827" w:rsidR="004C6C49" w:rsidRPr="002F11A1" w:rsidRDefault="004C6C49" w:rsidP="00D73A45">
            <w:pPr>
              <w:rPr>
                <w:b/>
              </w:rPr>
            </w:pPr>
            <w:r w:rsidRPr="002F11A1">
              <w:rPr>
                <w:b/>
              </w:rPr>
              <w:t>Total Services</w:t>
            </w:r>
          </w:p>
        </w:tc>
      </w:tr>
      <w:tr w:rsidR="00D73A45" w:rsidRPr="00D73A45" w14:paraId="671233B1" w14:textId="77777777" w:rsidTr="009E0147">
        <w:trPr>
          <w:trHeight w:val="283"/>
        </w:trPr>
        <w:tc>
          <w:tcPr>
            <w:tcW w:w="1361" w:type="dxa"/>
            <w:hideMark/>
          </w:tcPr>
          <w:p w14:paraId="7DB2DAA3" w14:textId="77777777" w:rsidR="00D73A45" w:rsidRPr="00D73A45" w:rsidRDefault="00D73A45" w:rsidP="00D73A45">
            <w:r w:rsidRPr="00D73A45">
              <w:t>20791</w:t>
            </w:r>
          </w:p>
        </w:tc>
        <w:tc>
          <w:tcPr>
            <w:tcW w:w="6293" w:type="dxa"/>
            <w:hideMark/>
          </w:tcPr>
          <w:p w14:paraId="517AA662" w14:textId="77777777" w:rsidR="00D73A45" w:rsidRPr="00D73A45" w:rsidRDefault="00D73A45" w:rsidP="00D73A45">
            <w:r w:rsidRPr="00D73A45">
              <w:t>Initiation of anaesthesia for bariatric surgery</w:t>
            </w:r>
          </w:p>
        </w:tc>
        <w:tc>
          <w:tcPr>
            <w:tcW w:w="0" w:type="auto"/>
            <w:hideMark/>
          </w:tcPr>
          <w:p w14:paraId="51C3FEC9" w14:textId="77777777" w:rsidR="00D73A45" w:rsidRPr="00D73A45" w:rsidRDefault="00D73A45" w:rsidP="00D73A45">
            <w:r w:rsidRPr="00D73A45">
              <w:t>24,189</w:t>
            </w:r>
          </w:p>
        </w:tc>
      </w:tr>
      <w:tr w:rsidR="00D73A45" w:rsidRPr="00D73A45" w14:paraId="032518D6" w14:textId="77777777" w:rsidTr="009E0147">
        <w:trPr>
          <w:trHeight w:val="283"/>
        </w:trPr>
        <w:tc>
          <w:tcPr>
            <w:tcW w:w="1361" w:type="dxa"/>
            <w:hideMark/>
          </w:tcPr>
          <w:p w14:paraId="405602DD" w14:textId="77777777" w:rsidR="00D73A45" w:rsidRPr="00D73A45" w:rsidRDefault="00D73A45" w:rsidP="00D73A45">
            <w:r w:rsidRPr="00D73A45">
              <w:t>31584</w:t>
            </w:r>
          </w:p>
        </w:tc>
        <w:tc>
          <w:tcPr>
            <w:tcW w:w="6293" w:type="dxa"/>
            <w:hideMark/>
          </w:tcPr>
          <w:p w14:paraId="3EB8B1E6" w14:textId="2B2ED8D8" w:rsidR="00D73A45" w:rsidRPr="00D73A45" w:rsidRDefault="00D73A45" w:rsidP="00D73A45">
            <w:r w:rsidRPr="00D73A45">
              <w:t xml:space="preserve">Surgical reversal of </w:t>
            </w:r>
            <w:r w:rsidR="009200D8">
              <w:t>laparoscopic</w:t>
            </w:r>
            <w:r w:rsidR="00877D8C">
              <w:t xml:space="preserve"> </w:t>
            </w:r>
            <w:r w:rsidRPr="00D73A45">
              <w:t xml:space="preserve">adjustable </w:t>
            </w:r>
            <w:r w:rsidR="009E0147">
              <w:t>gas</w:t>
            </w:r>
            <w:r w:rsidRPr="00D73A45">
              <w:t>tric band, gastric bypass, gastroplasty or biliopancreatic diversion</w:t>
            </w:r>
          </w:p>
        </w:tc>
        <w:tc>
          <w:tcPr>
            <w:tcW w:w="0" w:type="auto"/>
            <w:hideMark/>
          </w:tcPr>
          <w:p w14:paraId="6BDFC8BE" w14:textId="77777777" w:rsidR="00D73A45" w:rsidRPr="00D73A45" w:rsidRDefault="00D73A45" w:rsidP="00D73A45">
            <w:r w:rsidRPr="00D73A45">
              <w:t>3,842</w:t>
            </w:r>
          </w:p>
        </w:tc>
      </w:tr>
      <w:tr w:rsidR="00D73A45" w:rsidRPr="00D73A45" w14:paraId="3BD19582" w14:textId="77777777" w:rsidTr="009E0147">
        <w:trPr>
          <w:trHeight w:val="283"/>
        </w:trPr>
        <w:tc>
          <w:tcPr>
            <w:tcW w:w="1361" w:type="dxa"/>
            <w:hideMark/>
          </w:tcPr>
          <w:p w14:paraId="41368E4D" w14:textId="77777777" w:rsidR="00D73A45" w:rsidRPr="00D73A45" w:rsidRDefault="00D73A45" w:rsidP="00D73A45">
            <w:r w:rsidRPr="00D73A45">
              <w:t>31587</w:t>
            </w:r>
          </w:p>
        </w:tc>
        <w:tc>
          <w:tcPr>
            <w:tcW w:w="6293" w:type="dxa"/>
            <w:hideMark/>
          </w:tcPr>
          <w:p w14:paraId="64FE0188" w14:textId="77777777" w:rsidR="00D73A45" w:rsidRPr="00D73A45" w:rsidRDefault="00D73A45" w:rsidP="00D73A45">
            <w:r w:rsidRPr="00D73A45">
              <w:t>Adjustment of gastric band</w:t>
            </w:r>
          </w:p>
        </w:tc>
        <w:tc>
          <w:tcPr>
            <w:tcW w:w="0" w:type="auto"/>
            <w:hideMark/>
          </w:tcPr>
          <w:p w14:paraId="7DE45659" w14:textId="77777777" w:rsidR="00D73A45" w:rsidRPr="00D73A45" w:rsidRDefault="00D73A45" w:rsidP="00D73A45">
            <w:r w:rsidRPr="00D73A45">
              <w:t>61,675</w:t>
            </w:r>
          </w:p>
        </w:tc>
      </w:tr>
      <w:tr w:rsidR="00D73A45" w:rsidRPr="00D73A45" w14:paraId="4B591D24" w14:textId="77777777" w:rsidTr="009E0147">
        <w:trPr>
          <w:trHeight w:val="283"/>
        </w:trPr>
        <w:tc>
          <w:tcPr>
            <w:tcW w:w="1361" w:type="dxa"/>
            <w:hideMark/>
          </w:tcPr>
          <w:p w14:paraId="72617BC2" w14:textId="77777777" w:rsidR="00D73A45" w:rsidRPr="00D73A45" w:rsidRDefault="00D73A45" w:rsidP="00D73A45">
            <w:r w:rsidRPr="00D73A45">
              <w:t>31590</w:t>
            </w:r>
          </w:p>
        </w:tc>
        <w:tc>
          <w:tcPr>
            <w:tcW w:w="6293" w:type="dxa"/>
            <w:hideMark/>
          </w:tcPr>
          <w:p w14:paraId="20D5B205" w14:textId="77777777" w:rsidR="00D73A45" w:rsidRPr="00D73A45" w:rsidRDefault="00D73A45" w:rsidP="00D73A45">
            <w:r w:rsidRPr="00D73A45">
              <w:t>Adjustment of gastric band reservoir</w:t>
            </w:r>
          </w:p>
        </w:tc>
        <w:tc>
          <w:tcPr>
            <w:tcW w:w="0" w:type="auto"/>
            <w:hideMark/>
          </w:tcPr>
          <w:p w14:paraId="6076DF15" w14:textId="77777777" w:rsidR="00D73A45" w:rsidRPr="00D73A45" w:rsidRDefault="00D73A45" w:rsidP="00D73A45">
            <w:r w:rsidRPr="00D73A45">
              <w:t>422</w:t>
            </w:r>
          </w:p>
        </w:tc>
      </w:tr>
      <w:tr w:rsidR="00D73A45" w:rsidRPr="00D73A45" w14:paraId="440819EA" w14:textId="77777777" w:rsidTr="009E0147">
        <w:trPr>
          <w:trHeight w:val="283"/>
        </w:trPr>
        <w:tc>
          <w:tcPr>
            <w:tcW w:w="1361" w:type="dxa"/>
            <w:hideMark/>
          </w:tcPr>
          <w:p w14:paraId="34BFD93A" w14:textId="77777777" w:rsidR="00D73A45" w:rsidRPr="00D73A45" w:rsidRDefault="00D73A45" w:rsidP="00D73A45">
            <w:r w:rsidRPr="00D73A45">
              <w:t>Total</w:t>
            </w:r>
          </w:p>
        </w:tc>
        <w:tc>
          <w:tcPr>
            <w:tcW w:w="6293" w:type="dxa"/>
            <w:hideMark/>
          </w:tcPr>
          <w:p w14:paraId="3EFD562B" w14:textId="13C2DAEC" w:rsidR="00D73A45" w:rsidRPr="00D73A45" w:rsidRDefault="00D73A45" w:rsidP="00D73A45">
            <w:r w:rsidRPr="00D73A45">
              <w:t> </w:t>
            </w:r>
            <w:r w:rsidR="00D84159">
              <w:t>-</w:t>
            </w:r>
          </w:p>
        </w:tc>
        <w:tc>
          <w:tcPr>
            <w:tcW w:w="0" w:type="auto"/>
            <w:hideMark/>
          </w:tcPr>
          <w:p w14:paraId="2ABA3175" w14:textId="77777777" w:rsidR="00D73A45" w:rsidRPr="00D73A45" w:rsidRDefault="00D73A45" w:rsidP="00D73A45">
            <w:r w:rsidRPr="00D73A45">
              <w:t>90,128</w:t>
            </w:r>
          </w:p>
        </w:tc>
      </w:tr>
    </w:tbl>
    <w:p w14:paraId="5A4E6A75" w14:textId="5FF093D6" w:rsidR="00ED7656" w:rsidRDefault="00ED7656" w:rsidP="00D314F0">
      <w:pPr>
        <w:spacing w:after="0"/>
      </w:pPr>
    </w:p>
    <w:p w14:paraId="11759955" w14:textId="7D460A0D" w:rsidR="00584496" w:rsidRDefault="009B310B" w:rsidP="004952C4">
      <w:r>
        <w:t xml:space="preserve">The applicant </w:t>
      </w:r>
      <w:r w:rsidR="00B622EE">
        <w:t>outline</w:t>
      </w:r>
      <w:r w:rsidR="00C61B9E">
        <w:t>d</w:t>
      </w:r>
      <w:r w:rsidR="00B622EE">
        <w:t xml:space="preserve"> that aspiration therapy would be used </w:t>
      </w:r>
      <w:r w:rsidR="005D708A">
        <w:t xml:space="preserve">somewhere between </w:t>
      </w:r>
      <w:r w:rsidR="00D314F0">
        <w:t xml:space="preserve">pharmacotherapy and </w:t>
      </w:r>
      <w:r w:rsidR="002E62E2">
        <w:t>use</w:t>
      </w:r>
      <w:r w:rsidR="00904AE1">
        <w:t xml:space="preserve"> of a</w:t>
      </w:r>
      <w:r w:rsidR="002E62E2">
        <w:t xml:space="preserve"> </w:t>
      </w:r>
      <w:r w:rsidR="0030048D">
        <w:t>laparoscopic</w:t>
      </w:r>
      <w:r w:rsidR="002E62E2">
        <w:t xml:space="preserve"> adjustable gastric band</w:t>
      </w:r>
      <w:r w:rsidR="000968AE">
        <w:t xml:space="preserve"> (LAGB)</w:t>
      </w:r>
      <w:r w:rsidR="006F5F70">
        <w:t>.</w:t>
      </w:r>
      <w:r w:rsidR="001F41D7">
        <w:t xml:space="preserve"> The </w:t>
      </w:r>
      <w:r w:rsidR="00794553">
        <w:t xml:space="preserve">reversible nature of </w:t>
      </w:r>
      <w:r w:rsidR="000968AE">
        <w:t xml:space="preserve">aspiration therapy (via removal of the </w:t>
      </w:r>
      <w:r w:rsidR="007C36A4">
        <w:t>A-Tube™</w:t>
      </w:r>
      <w:r w:rsidR="000968AE">
        <w:t>) and LAGB (via removal of the gastric band)</w:t>
      </w:r>
      <w:r w:rsidR="00DA0BA2">
        <w:t xml:space="preserve"> is specified as the rationale for nominating LAGB as the </w:t>
      </w:r>
      <w:r w:rsidR="00952920">
        <w:t>only possible comparator</w:t>
      </w:r>
      <w:r w:rsidR="00B5783D">
        <w:t>.</w:t>
      </w:r>
      <w:r w:rsidR="00584496">
        <w:t xml:space="preserve"> </w:t>
      </w:r>
      <w:r w:rsidR="00B555D5">
        <w:t>If</w:t>
      </w:r>
      <w:r w:rsidR="00440101">
        <w:t xml:space="preserve"> a patient elects to </w:t>
      </w:r>
      <w:r w:rsidR="003E787F">
        <w:t>undergo</w:t>
      </w:r>
      <w:r w:rsidR="00440101">
        <w:t xml:space="preserve"> aspiration therapy</w:t>
      </w:r>
      <w:r w:rsidR="00D314F0">
        <w:t xml:space="preserve">, it is likely </w:t>
      </w:r>
      <w:r w:rsidR="00CC5B9C">
        <w:t xml:space="preserve">this would replace the use of </w:t>
      </w:r>
      <w:r w:rsidR="003E787F">
        <w:t>LAGB</w:t>
      </w:r>
      <w:r w:rsidR="00584496">
        <w:t xml:space="preserve"> (or other bariatric procedures)</w:t>
      </w:r>
      <w:r w:rsidR="000A5E6D">
        <w:t xml:space="preserve"> in most patients.</w:t>
      </w:r>
      <w:r w:rsidR="00B72452">
        <w:t xml:space="preserve"> </w:t>
      </w:r>
      <w:r w:rsidR="002557FC">
        <w:t>At the December 2018 meeting, PASC considered that aspiration therapy would be an add-on to current bariatric proced</w:t>
      </w:r>
      <w:r w:rsidR="00D314F0">
        <w:t>ures, rather than a replacement</w:t>
      </w:r>
      <w:r w:rsidR="002557FC">
        <w:t>, as it is designed as a temporary measure.</w:t>
      </w:r>
    </w:p>
    <w:p w14:paraId="23BF0649" w14:textId="3E966C55" w:rsidR="00414FB1" w:rsidRDefault="00584496" w:rsidP="004952C4">
      <w:r>
        <w:t>T</w:t>
      </w:r>
      <w:r w:rsidR="00A46B18">
        <w:t>he applicant also outline</w:t>
      </w:r>
      <w:r w:rsidR="00E37306">
        <w:t>d</w:t>
      </w:r>
      <w:r w:rsidR="00A46B18">
        <w:t xml:space="preserve"> </w:t>
      </w:r>
      <w:r>
        <w:t xml:space="preserve">a potential role for aspiration therapy in </w:t>
      </w:r>
      <w:r w:rsidR="00F26E3E">
        <w:t xml:space="preserve">a </w:t>
      </w:r>
      <w:r w:rsidR="00A46B18">
        <w:t xml:space="preserve">subgroup of patients </w:t>
      </w:r>
      <w:r w:rsidR="00C924AF">
        <w:t>who</w:t>
      </w:r>
      <w:r>
        <w:t xml:space="preserve"> are morbidly </w:t>
      </w:r>
      <w:r w:rsidR="00C924AF">
        <w:t>obes</w:t>
      </w:r>
      <w:r w:rsidR="00222DEF">
        <w:t>e</w:t>
      </w:r>
      <w:r w:rsidR="002557FC">
        <w:t>,</w:t>
      </w:r>
      <w:r w:rsidR="00C924AF">
        <w:t xml:space="preserve"> </w:t>
      </w:r>
      <w:r>
        <w:t xml:space="preserve">making the </w:t>
      </w:r>
      <w:r w:rsidR="00C924AF">
        <w:t xml:space="preserve">use of a general anaesthetic </w:t>
      </w:r>
      <w:r w:rsidR="00912562">
        <w:t>(which is necessary for bariatric surgery)</w:t>
      </w:r>
      <w:r>
        <w:t xml:space="preserve"> </w:t>
      </w:r>
      <w:r w:rsidR="00F26E3E">
        <w:t xml:space="preserve">too high risk. In these patients, </w:t>
      </w:r>
      <w:r>
        <w:t xml:space="preserve">the placement of the </w:t>
      </w:r>
      <w:r w:rsidR="007C36A4">
        <w:t>A-Tube™</w:t>
      </w:r>
      <w:r>
        <w:t xml:space="preserve"> under sedation and use </w:t>
      </w:r>
      <w:r w:rsidR="00115D01">
        <w:t xml:space="preserve">of </w:t>
      </w:r>
      <w:r w:rsidR="00F26E3E">
        <w:t xml:space="preserve">aspiration therapy </w:t>
      </w:r>
      <w:r w:rsidR="002941A4">
        <w:t xml:space="preserve">would be in the context of </w:t>
      </w:r>
      <w:r>
        <w:t>facilitat</w:t>
      </w:r>
      <w:r w:rsidR="002941A4">
        <w:t xml:space="preserve">ing </w:t>
      </w:r>
      <w:r>
        <w:t>weight loss</w:t>
      </w:r>
      <w:r w:rsidR="00912562">
        <w:t>,</w:t>
      </w:r>
      <w:r>
        <w:t xml:space="preserve"> </w:t>
      </w:r>
      <w:r w:rsidR="003A0CAA">
        <w:t xml:space="preserve">in order to </w:t>
      </w:r>
      <w:r w:rsidR="00912562">
        <w:t xml:space="preserve">then </w:t>
      </w:r>
      <w:r>
        <w:t>becom</w:t>
      </w:r>
      <w:r w:rsidR="003A0CAA">
        <w:t xml:space="preserve">e </w:t>
      </w:r>
      <w:r>
        <w:t xml:space="preserve">suitable for bariatric surgery. In this </w:t>
      </w:r>
      <w:r w:rsidR="005F0CA2">
        <w:t>scenario</w:t>
      </w:r>
      <w:r>
        <w:t>, aspiration therapy would be used in addition to other bariatric procedures.</w:t>
      </w:r>
      <w:r w:rsidR="00B72452">
        <w:t xml:space="preserve"> </w:t>
      </w:r>
      <w:r w:rsidR="00912562">
        <w:t xml:space="preserve">PASC </w:t>
      </w:r>
      <w:r w:rsidR="002557FC">
        <w:t>noted that</w:t>
      </w:r>
      <w:r w:rsidR="00912562">
        <w:t>,</w:t>
      </w:r>
      <w:r w:rsidR="002557FC">
        <w:t xml:space="preserve"> if patients with high BMI are included, a separate comparator w</w:t>
      </w:r>
      <w:r w:rsidR="00912562">
        <w:t xml:space="preserve">ill be </w:t>
      </w:r>
      <w:r w:rsidR="002557FC">
        <w:t>required.</w:t>
      </w:r>
    </w:p>
    <w:p w14:paraId="77870CE3" w14:textId="04EDF491" w:rsidR="00896845" w:rsidRDefault="002B3338" w:rsidP="002B3338">
      <w:pPr>
        <w:rPr>
          <w:i/>
          <w:u w:val="single"/>
        </w:rPr>
      </w:pPr>
      <w:r>
        <w:rPr>
          <w:i/>
          <w:u w:val="single"/>
        </w:rPr>
        <w:t>Rationale</w:t>
      </w:r>
    </w:p>
    <w:p w14:paraId="391BB6EA" w14:textId="610653BD" w:rsidR="00414FB1" w:rsidRDefault="00414FB1" w:rsidP="00414FB1">
      <w:r>
        <w:t xml:space="preserve">Based on the number </w:t>
      </w:r>
      <w:r w:rsidR="00E37306">
        <w:t>o</w:t>
      </w:r>
      <w:r>
        <w:t>f MBS items claimed in 2017</w:t>
      </w:r>
      <w:r w:rsidR="00912562">
        <w:t>,</w:t>
      </w:r>
      <w:r>
        <w:t xml:space="preserve"> the use of LAGB as a bariatric procedure (6% of total services) </w:t>
      </w:r>
      <w:r w:rsidR="00912562">
        <w:t>is substantially lower than</w:t>
      </w:r>
      <w:r>
        <w:t xml:space="preserve"> sleeve gastrectomy (79% of total services). Noting that a key difference between aspiration therapy and sleeve gastrectomy is that aspiration is fully reversible </w:t>
      </w:r>
      <w:r w:rsidR="00912562">
        <w:t>(</w:t>
      </w:r>
      <w:r>
        <w:t xml:space="preserve">and does not involve making significant changes to the </w:t>
      </w:r>
      <w:r w:rsidR="00B92297">
        <w:t>patient’s</w:t>
      </w:r>
      <w:r>
        <w:t xml:space="preserve"> anatomy</w:t>
      </w:r>
      <w:r w:rsidR="00912562">
        <w:t>)</w:t>
      </w:r>
      <w:r>
        <w:t>, it is likely that</w:t>
      </w:r>
      <w:r w:rsidR="00912562">
        <w:t>,</w:t>
      </w:r>
      <w:r>
        <w:t xml:space="preserve"> in broader clinical practice</w:t>
      </w:r>
      <w:r w:rsidR="00912562">
        <w:t>,</w:t>
      </w:r>
      <w:r>
        <w:t xml:space="preserve"> some patients would</w:t>
      </w:r>
      <w:r w:rsidR="00912562">
        <w:t xml:space="preserve"> consider aspiration therapy </w:t>
      </w:r>
      <w:r>
        <w:t>an alternative to sleeve gastrectomy. In this context, sleeve gastrectomy</w:t>
      </w:r>
      <w:r w:rsidR="00912562">
        <w:t xml:space="preserve"> (as a bariatric comparator)</w:t>
      </w:r>
      <w:r>
        <w:t xml:space="preserve"> may represent a</w:t>
      </w:r>
      <w:r w:rsidR="00E37306">
        <w:t>n</w:t>
      </w:r>
      <w:r>
        <w:t xml:space="preserve"> appropriate comparator on the basis of it being the procedure most likely to be replaced with aspiration therapy in Australian clinical practice.</w:t>
      </w:r>
    </w:p>
    <w:p w14:paraId="1EBD90DF" w14:textId="684764A0" w:rsidR="0089475B" w:rsidRDefault="00181C8D" w:rsidP="0089475B">
      <w:r>
        <w:t>At its</w:t>
      </w:r>
      <w:r w:rsidR="0089475B">
        <w:t xml:space="preserve"> December 2018 meeting</w:t>
      </w:r>
      <w:r>
        <w:t>,</w:t>
      </w:r>
      <w:r w:rsidR="0089475B">
        <w:t xml:space="preserve"> PASC accepted the proposed comparator of LAGB. PASC also identified sleeve gastrectomy as an additional appropriate comparator</w:t>
      </w:r>
      <w:r>
        <w:t>,</w:t>
      </w:r>
      <w:r w:rsidR="0089475B">
        <w:t xml:space="preserve"> given this is the most common bariatric procedure in Australia.</w:t>
      </w:r>
    </w:p>
    <w:p w14:paraId="15CE4347" w14:textId="45D2D280" w:rsidR="008A2CF9" w:rsidRDefault="0039378A" w:rsidP="00414FB1">
      <w:r>
        <w:lastRenderedPageBreak/>
        <w:t xml:space="preserve">Separate applications seeking MBS listing of alternate weight loss surgeries </w:t>
      </w:r>
      <w:r w:rsidR="00CE5733">
        <w:t xml:space="preserve">are </w:t>
      </w:r>
      <w:r w:rsidR="007D5A9F">
        <w:t xml:space="preserve">currently </w:t>
      </w:r>
      <w:r w:rsidR="00CE5733">
        <w:t>being</w:t>
      </w:r>
      <w:r w:rsidR="00661438">
        <w:t xml:space="preserve"> considered through the </w:t>
      </w:r>
      <w:r w:rsidR="00CE5733">
        <w:t xml:space="preserve">MSAC </w:t>
      </w:r>
      <w:r w:rsidR="00661438">
        <w:t xml:space="preserve">assessment </w:t>
      </w:r>
      <w:r w:rsidR="00CE5733">
        <w:t>process</w:t>
      </w:r>
      <w:r w:rsidR="007D5A9F">
        <w:t>:</w:t>
      </w:r>
    </w:p>
    <w:p w14:paraId="3CAB6AD1" w14:textId="450337C7" w:rsidR="007D5A9F" w:rsidRDefault="007D5A9F" w:rsidP="007D5A9F">
      <w:pPr>
        <w:pStyle w:val="ListParagraph"/>
        <w:numPr>
          <w:ilvl w:val="0"/>
          <w:numId w:val="16"/>
        </w:numPr>
      </w:pPr>
      <w:r>
        <w:t xml:space="preserve">MSAC Application 1515: Endoscopic placement and removal of an intra-gastric balloon (IGB) for the management of overweight and obesity </w:t>
      </w:r>
      <w:r w:rsidR="00F03D53">
        <w:t>in a high-risk patient</w:t>
      </w:r>
      <w:r w:rsidR="000A49EC">
        <w:t xml:space="preserve"> (considered at </w:t>
      </w:r>
      <w:r w:rsidR="0067319C">
        <w:t>August 20</w:t>
      </w:r>
      <w:r w:rsidR="008D29E1">
        <w:t>18 PASC meeting)</w:t>
      </w:r>
      <w:r w:rsidR="00F03D53">
        <w:t>.</w:t>
      </w:r>
    </w:p>
    <w:p w14:paraId="6763DD41" w14:textId="64499111" w:rsidR="000A49EC" w:rsidRPr="000A49EC" w:rsidRDefault="00F03D53" w:rsidP="00000331">
      <w:pPr>
        <w:pStyle w:val="ListParagraph"/>
        <w:numPr>
          <w:ilvl w:val="0"/>
          <w:numId w:val="16"/>
        </w:numPr>
      </w:pPr>
      <w:r w:rsidRPr="000A49EC">
        <w:t xml:space="preserve">MSAC Application 1555: </w:t>
      </w:r>
      <w:r w:rsidR="000A49EC" w:rsidRPr="000A49EC">
        <w:t>Endoscopic Sleeve Gastroplasty (ESG) for the treatment of patients with Class I and Class II obesity with comorbidities who have failed first-line treatments</w:t>
      </w:r>
      <w:r w:rsidR="008D29E1">
        <w:t xml:space="preserve"> (scheduled for assessment at same PASC meeting as aspiration therapy)</w:t>
      </w:r>
      <w:r w:rsidR="000A49EC" w:rsidRPr="000A49EC">
        <w:t>.</w:t>
      </w:r>
    </w:p>
    <w:p w14:paraId="6F00D9B3" w14:textId="11B0B3C9" w:rsidR="00F07D75" w:rsidRPr="005D0294" w:rsidRDefault="00713034" w:rsidP="00414FB1">
      <w:r>
        <w:t xml:space="preserve">The </w:t>
      </w:r>
      <w:r w:rsidR="0078720A">
        <w:t xml:space="preserve">MSAC application webpage for the placement and removal of an IGB (MSAC Application 1515) </w:t>
      </w:r>
      <w:r w:rsidR="005D0294">
        <w:t xml:space="preserve">states that the application is focussed on patients with a BMI </w:t>
      </w:r>
      <w:r w:rsidR="005D0294">
        <w:rPr>
          <w:rFonts w:cs="Calibri"/>
        </w:rPr>
        <w:t>≥</w:t>
      </w:r>
      <w:r w:rsidR="005D0294">
        <w:t>30 and &lt;35 kg/m</w:t>
      </w:r>
      <w:r w:rsidR="005D0294">
        <w:rPr>
          <w:vertAlign w:val="superscript"/>
        </w:rPr>
        <w:t>2</w:t>
      </w:r>
      <w:r w:rsidR="003D5853">
        <w:t xml:space="preserve"> with </w:t>
      </w:r>
      <w:r w:rsidR="007A5A04">
        <w:t>complications</w:t>
      </w:r>
      <w:r w:rsidR="00325F2F">
        <w:t>, such</w:t>
      </w:r>
      <w:r w:rsidR="003D5853">
        <w:t xml:space="preserve"> as high blood pressure and diabetes.</w:t>
      </w:r>
    </w:p>
    <w:p w14:paraId="0911B112" w14:textId="53C8F6CC" w:rsidR="007A5A04" w:rsidRDefault="003D5853" w:rsidP="00414FB1">
      <w:r>
        <w:t xml:space="preserve">The </w:t>
      </w:r>
      <w:r w:rsidR="001D1918">
        <w:t xml:space="preserve">MSAC application for endoscopic sleeve gastroplasty </w:t>
      </w:r>
      <w:r w:rsidR="00513574">
        <w:t xml:space="preserve">is </w:t>
      </w:r>
      <w:r w:rsidR="007C4A2B">
        <w:t xml:space="preserve">seeking </w:t>
      </w:r>
      <w:r w:rsidR="00D3057A">
        <w:t xml:space="preserve">MBS listing for </w:t>
      </w:r>
      <w:r w:rsidR="00C8345E">
        <w:t xml:space="preserve">patients with a BMI </w:t>
      </w:r>
      <w:r w:rsidR="004B187C">
        <w:t>of 30.0-39.9 mg/kg</w:t>
      </w:r>
      <w:r w:rsidR="004B187C">
        <w:rPr>
          <w:vertAlign w:val="superscript"/>
        </w:rPr>
        <w:t>2</w:t>
      </w:r>
      <w:r w:rsidR="004B187C">
        <w:t xml:space="preserve"> with comorbidities </w:t>
      </w:r>
      <w:r w:rsidR="0082534B">
        <w:t xml:space="preserve">is </w:t>
      </w:r>
      <w:r w:rsidR="00CD78CC">
        <w:t xml:space="preserve">also </w:t>
      </w:r>
      <w:r w:rsidR="0082534B">
        <w:t>under MSAC assessment (</w:t>
      </w:r>
      <w:r w:rsidR="00CD78CC">
        <w:t>MSAC Application 1555)</w:t>
      </w:r>
      <w:r w:rsidR="0097016D">
        <w:t>.</w:t>
      </w:r>
      <w:r w:rsidR="00091C17">
        <w:t xml:space="preserve"> </w:t>
      </w:r>
    </w:p>
    <w:p w14:paraId="73650889" w14:textId="016220C0" w:rsidR="000F232B" w:rsidRDefault="000F232B" w:rsidP="00414FB1">
      <w:r>
        <w:t>The patient population</w:t>
      </w:r>
      <w:r w:rsidR="00316820">
        <w:t>s</w:t>
      </w:r>
      <w:r>
        <w:t xml:space="preserve"> </w:t>
      </w:r>
      <w:r w:rsidR="00847504">
        <w:t>proposed to be eligible for aspiration therapy</w:t>
      </w:r>
      <w:r w:rsidR="00316820">
        <w:t xml:space="preserve">, </w:t>
      </w:r>
      <w:r w:rsidR="00515401">
        <w:t xml:space="preserve">intra-gastric balloon and endoscopic sleeve gastroplasty </w:t>
      </w:r>
      <w:r w:rsidR="0016308B">
        <w:t>are not</w:t>
      </w:r>
      <w:r w:rsidR="00184B94">
        <w:t xml:space="preserve"> entirely</w:t>
      </w:r>
      <w:r w:rsidR="0016308B">
        <w:t xml:space="preserve"> consistent</w:t>
      </w:r>
      <w:r w:rsidR="001C1A2C">
        <w:t>. H</w:t>
      </w:r>
      <w:r w:rsidR="0016308B">
        <w:t>owever</w:t>
      </w:r>
      <w:r w:rsidR="001C1A2C">
        <w:t>,</w:t>
      </w:r>
      <w:r w:rsidR="0016308B">
        <w:t xml:space="preserve"> there is </w:t>
      </w:r>
      <w:r w:rsidR="00B434B4">
        <w:t>a degree of overlap with regards to</w:t>
      </w:r>
      <w:r w:rsidR="00B7676E">
        <w:t xml:space="preserve"> the proposed patient populations </w:t>
      </w:r>
      <w:r w:rsidR="002A42C8">
        <w:t xml:space="preserve">proposed </w:t>
      </w:r>
      <w:r w:rsidR="007351D5">
        <w:t>for each of these treatments</w:t>
      </w:r>
      <w:r w:rsidR="002A42C8">
        <w:t xml:space="preserve"> as well as existing bariatric </w:t>
      </w:r>
      <w:r w:rsidR="006625BF">
        <w:t>procedures</w:t>
      </w:r>
      <w:r w:rsidR="002A42C8">
        <w:t xml:space="preserve"> listed on the MBS</w:t>
      </w:r>
      <w:r w:rsidR="007351D5">
        <w:t xml:space="preserve"> (</w:t>
      </w:r>
      <w:r w:rsidR="002F11A1">
        <w:fldChar w:fldCharType="begin"/>
      </w:r>
      <w:r w:rsidR="002F11A1">
        <w:instrText xml:space="preserve"> REF _Ref528492009 \h </w:instrText>
      </w:r>
      <w:r w:rsidR="002F11A1">
        <w:fldChar w:fldCharType="separate"/>
      </w:r>
      <w:r w:rsidR="002F11A1">
        <w:t xml:space="preserve">Table </w:t>
      </w:r>
      <w:r w:rsidR="002F11A1">
        <w:rPr>
          <w:noProof/>
        </w:rPr>
        <w:t>6</w:t>
      </w:r>
      <w:r w:rsidR="002F11A1">
        <w:fldChar w:fldCharType="end"/>
      </w:r>
      <w:r w:rsidR="007351D5">
        <w:t>)</w:t>
      </w:r>
    </w:p>
    <w:p w14:paraId="6BA97BD4" w14:textId="35338258" w:rsidR="007351D5" w:rsidRDefault="00636914" w:rsidP="00636914">
      <w:pPr>
        <w:pStyle w:val="Caption"/>
      </w:pPr>
      <w:bookmarkStart w:id="10" w:name="_Ref528492009"/>
      <w:r>
        <w:t xml:space="preserve">Table </w:t>
      </w:r>
      <w:r>
        <w:fldChar w:fldCharType="begin"/>
      </w:r>
      <w:r>
        <w:instrText xml:space="preserve"> SEQ Table \* ARABIC </w:instrText>
      </w:r>
      <w:r>
        <w:fldChar w:fldCharType="separate"/>
      </w:r>
      <w:r w:rsidR="00B67FC1">
        <w:rPr>
          <w:noProof/>
        </w:rPr>
        <w:t>6</w:t>
      </w:r>
      <w:r>
        <w:fldChar w:fldCharType="end"/>
      </w:r>
      <w:bookmarkEnd w:id="10"/>
      <w:r>
        <w:t xml:space="preserve">: </w:t>
      </w:r>
      <w:r w:rsidR="00480361">
        <w:t>Patient population characteristics of weight loss surg</w:t>
      </w:r>
      <w:r w:rsidR="00040D3D">
        <w:t xml:space="preserve">eries </w:t>
      </w:r>
      <w:r w:rsidR="00480361">
        <w:t xml:space="preserve">available on the MBS </w:t>
      </w:r>
      <w:r w:rsidR="000C7C2C">
        <w:t>and under MSAC assessment</w:t>
      </w:r>
    </w:p>
    <w:tbl>
      <w:tblPr>
        <w:tblStyle w:val="TableGrid"/>
        <w:tblW w:w="0" w:type="auto"/>
        <w:tblLook w:val="04A0" w:firstRow="1" w:lastRow="0" w:firstColumn="1" w:lastColumn="0" w:noHBand="0" w:noVBand="1"/>
        <w:tblDescription w:val="Patient population characteristics of weight loss surgeries available on the MBS and under MSAC assessment"/>
      </w:tblPr>
      <w:tblGrid>
        <w:gridCol w:w="1803"/>
        <w:gridCol w:w="1803"/>
        <w:gridCol w:w="1803"/>
        <w:gridCol w:w="1803"/>
        <w:gridCol w:w="1804"/>
      </w:tblGrid>
      <w:tr w:rsidR="00B63A29" w14:paraId="773D1B4B" w14:textId="77777777" w:rsidTr="00553D3B">
        <w:trPr>
          <w:tblHeader/>
        </w:trPr>
        <w:tc>
          <w:tcPr>
            <w:tcW w:w="1803" w:type="dxa"/>
          </w:tcPr>
          <w:p w14:paraId="327F8EAD" w14:textId="099B18D3" w:rsidR="00B63A29" w:rsidRDefault="00D84159" w:rsidP="002F11A1">
            <w:pPr>
              <w:keepNext/>
              <w:keepLines/>
            </w:pPr>
            <w:r>
              <w:t>-</w:t>
            </w:r>
          </w:p>
        </w:tc>
        <w:tc>
          <w:tcPr>
            <w:tcW w:w="1803" w:type="dxa"/>
          </w:tcPr>
          <w:p w14:paraId="1FB0E351" w14:textId="21F67F07" w:rsidR="00B63A29" w:rsidRPr="002F11A1" w:rsidRDefault="00A430D8" w:rsidP="002F11A1">
            <w:pPr>
              <w:keepNext/>
              <w:keepLines/>
              <w:rPr>
                <w:b/>
              </w:rPr>
            </w:pPr>
            <w:r w:rsidRPr="002F11A1">
              <w:rPr>
                <w:b/>
              </w:rPr>
              <w:t xml:space="preserve">Bariatric </w:t>
            </w:r>
            <w:r w:rsidR="006625BF">
              <w:rPr>
                <w:b/>
              </w:rPr>
              <w:t>procedures</w:t>
            </w:r>
            <w:r w:rsidRPr="002F11A1">
              <w:rPr>
                <w:b/>
              </w:rPr>
              <w:t xml:space="preserve"> listed on the MBS</w:t>
            </w:r>
          </w:p>
        </w:tc>
        <w:tc>
          <w:tcPr>
            <w:tcW w:w="1803" w:type="dxa"/>
          </w:tcPr>
          <w:p w14:paraId="629156D7" w14:textId="24A15408" w:rsidR="00B63A29" w:rsidRPr="002F11A1" w:rsidRDefault="00E25DAB" w:rsidP="002F11A1">
            <w:pPr>
              <w:keepNext/>
              <w:keepLines/>
              <w:rPr>
                <w:b/>
              </w:rPr>
            </w:pPr>
            <w:r w:rsidRPr="002F11A1">
              <w:rPr>
                <w:b/>
              </w:rPr>
              <w:t>Aspiration therapy</w:t>
            </w:r>
          </w:p>
        </w:tc>
        <w:tc>
          <w:tcPr>
            <w:tcW w:w="1803" w:type="dxa"/>
          </w:tcPr>
          <w:p w14:paraId="7CBD67B2" w14:textId="518802A7" w:rsidR="00B63A29" w:rsidRPr="002F11A1" w:rsidRDefault="007469C3" w:rsidP="002F11A1">
            <w:pPr>
              <w:keepNext/>
              <w:keepLines/>
              <w:rPr>
                <w:b/>
              </w:rPr>
            </w:pPr>
            <w:r w:rsidRPr="002F11A1">
              <w:rPr>
                <w:b/>
              </w:rPr>
              <w:t>Intra-gastric balloon</w:t>
            </w:r>
          </w:p>
        </w:tc>
        <w:tc>
          <w:tcPr>
            <w:tcW w:w="1804" w:type="dxa"/>
          </w:tcPr>
          <w:p w14:paraId="093FFF98" w14:textId="58530A71" w:rsidR="00B63A29" w:rsidRPr="002F11A1" w:rsidRDefault="000C7C2C" w:rsidP="002F11A1">
            <w:pPr>
              <w:keepNext/>
              <w:keepLines/>
              <w:rPr>
                <w:b/>
              </w:rPr>
            </w:pPr>
            <w:r w:rsidRPr="002F11A1">
              <w:rPr>
                <w:b/>
              </w:rPr>
              <w:t>Endoscopic sleeve gastroplasty</w:t>
            </w:r>
          </w:p>
        </w:tc>
      </w:tr>
      <w:tr w:rsidR="00B63A29" w14:paraId="6BD4B7F4" w14:textId="77777777" w:rsidTr="002F11A1">
        <w:tc>
          <w:tcPr>
            <w:tcW w:w="1803" w:type="dxa"/>
          </w:tcPr>
          <w:p w14:paraId="7E4D0B79" w14:textId="7B2EFBE1" w:rsidR="00B63A29" w:rsidRDefault="00E25DAB" w:rsidP="002F11A1">
            <w:pPr>
              <w:keepNext/>
              <w:keepLines/>
            </w:pPr>
            <w:r>
              <w:t>B</w:t>
            </w:r>
            <w:r w:rsidR="00B63A29">
              <w:t>MI criteria</w:t>
            </w:r>
          </w:p>
        </w:tc>
        <w:tc>
          <w:tcPr>
            <w:tcW w:w="1803" w:type="dxa"/>
          </w:tcPr>
          <w:p w14:paraId="330FF25E" w14:textId="31562F51" w:rsidR="00B63A29" w:rsidRPr="002F11A1" w:rsidRDefault="00E25DAB" w:rsidP="002F11A1">
            <w:pPr>
              <w:keepNext/>
              <w:keepLines/>
              <w:rPr>
                <w:vertAlign w:val="superscript"/>
              </w:rPr>
            </w:pPr>
            <w:r>
              <w:t>None</w:t>
            </w:r>
            <w:r w:rsidR="002F11A1">
              <w:rPr>
                <w:vertAlign w:val="superscript"/>
              </w:rPr>
              <w:t>a</w:t>
            </w:r>
          </w:p>
        </w:tc>
        <w:tc>
          <w:tcPr>
            <w:tcW w:w="1803" w:type="dxa"/>
          </w:tcPr>
          <w:p w14:paraId="6CBE0B47" w14:textId="70022A1C" w:rsidR="00B63A29" w:rsidRPr="007469C3" w:rsidRDefault="007469C3" w:rsidP="002F11A1">
            <w:pPr>
              <w:keepNext/>
              <w:keepLines/>
              <w:rPr>
                <w:vertAlign w:val="superscript"/>
              </w:rPr>
            </w:pPr>
            <w:r>
              <w:rPr>
                <w:rFonts w:cs="Calibri"/>
              </w:rPr>
              <w:t>≥</w:t>
            </w:r>
            <w:r>
              <w:t>35 kg/m</w:t>
            </w:r>
            <w:r>
              <w:rPr>
                <w:vertAlign w:val="superscript"/>
              </w:rPr>
              <w:t>2</w:t>
            </w:r>
          </w:p>
        </w:tc>
        <w:tc>
          <w:tcPr>
            <w:tcW w:w="1803" w:type="dxa"/>
          </w:tcPr>
          <w:p w14:paraId="51C39967" w14:textId="6057EE73" w:rsidR="00B63A29" w:rsidRDefault="00A02124" w:rsidP="002F11A1">
            <w:pPr>
              <w:keepNext/>
              <w:keepLines/>
            </w:pPr>
            <w:r>
              <w:rPr>
                <w:rFonts w:cs="Calibri"/>
              </w:rPr>
              <w:t>≥</w:t>
            </w:r>
            <w:r>
              <w:t>30 and &lt;35 kg/m</w:t>
            </w:r>
            <w:r>
              <w:rPr>
                <w:vertAlign w:val="superscript"/>
              </w:rPr>
              <w:t>2</w:t>
            </w:r>
          </w:p>
        </w:tc>
        <w:tc>
          <w:tcPr>
            <w:tcW w:w="1804" w:type="dxa"/>
          </w:tcPr>
          <w:p w14:paraId="57E0F2F0" w14:textId="0BF4A210" w:rsidR="00B63A29" w:rsidRDefault="00A047C0" w:rsidP="002F11A1">
            <w:pPr>
              <w:keepNext/>
              <w:keepLines/>
            </w:pPr>
            <w:r>
              <w:rPr>
                <w:rFonts w:cs="Calibri"/>
              </w:rPr>
              <w:t>≥</w:t>
            </w:r>
            <w:r w:rsidR="00A02124">
              <w:t>30.0</w:t>
            </w:r>
            <w:r>
              <w:t xml:space="preserve"> </w:t>
            </w:r>
            <w:r w:rsidR="00636914">
              <w:t>and &lt;40.0</w:t>
            </w:r>
            <w:r w:rsidR="00A02124">
              <w:t xml:space="preserve"> mg/kg</w:t>
            </w:r>
            <w:r w:rsidR="00A02124">
              <w:rPr>
                <w:vertAlign w:val="superscript"/>
              </w:rPr>
              <w:t>2</w:t>
            </w:r>
          </w:p>
        </w:tc>
      </w:tr>
      <w:tr w:rsidR="00B63A29" w14:paraId="3B53D786" w14:textId="77777777" w:rsidTr="002F11A1">
        <w:tc>
          <w:tcPr>
            <w:tcW w:w="1803" w:type="dxa"/>
          </w:tcPr>
          <w:p w14:paraId="5AA1F284" w14:textId="17E35175" w:rsidR="00B63A29" w:rsidRDefault="00E25DAB" w:rsidP="002F11A1">
            <w:pPr>
              <w:keepNext/>
              <w:keepLines/>
            </w:pPr>
            <w:r>
              <w:t>C</w:t>
            </w:r>
            <w:r w:rsidR="00B63A29">
              <w:t>omorbidity criteria</w:t>
            </w:r>
          </w:p>
        </w:tc>
        <w:tc>
          <w:tcPr>
            <w:tcW w:w="1803" w:type="dxa"/>
          </w:tcPr>
          <w:p w14:paraId="11B9091A" w14:textId="54485D30" w:rsidR="00B63A29" w:rsidRPr="00193D73" w:rsidRDefault="00E25DAB" w:rsidP="002F11A1">
            <w:pPr>
              <w:keepNext/>
              <w:keepLines/>
              <w:rPr>
                <w:vertAlign w:val="superscript"/>
              </w:rPr>
            </w:pPr>
            <w:r>
              <w:t>None</w:t>
            </w:r>
            <w:r w:rsidR="00193D73">
              <w:rPr>
                <w:vertAlign w:val="superscript"/>
              </w:rPr>
              <w:t>a</w:t>
            </w:r>
          </w:p>
        </w:tc>
        <w:tc>
          <w:tcPr>
            <w:tcW w:w="1803" w:type="dxa"/>
          </w:tcPr>
          <w:p w14:paraId="11E19AEE" w14:textId="032C0845" w:rsidR="00B63A29" w:rsidRDefault="002557FC" w:rsidP="002F11A1">
            <w:pPr>
              <w:keepNext/>
              <w:keepLines/>
            </w:pPr>
            <w:r>
              <w:t>Yes</w:t>
            </w:r>
          </w:p>
        </w:tc>
        <w:tc>
          <w:tcPr>
            <w:tcW w:w="1803" w:type="dxa"/>
          </w:tcPr>
          <w:p w14:paraId="1701624C" w14:textId="61BBB44E" w:rsidR="00B63A29" w:rsidRDefault="00A02124" w:rsidP="002F11A1">
            <w:pPr>
              <w:keepNext/>
              <w:keepLines/>
            </w:pPr>
            <w:r>
              <w:t>Yes</w:t>
            </w:r>
          </w:p>
        </w:tc>
        <w:tc>
          <w:tcPr>
            <w:tcW w:w="1804" w:type="dxa"/>
          </w:tcPr>
          <w:p w14:paraId="2B24BC2D" w14:textId="6AE833F9" w:rsidR="00B63A29" w:rsidRDefault="00636914" w:rsidP="002F11A1">
            <w:pPr>
              <w:keepNext/>
              <w:keepLines/>
            </w:pPr>
            <w:r>
              <w:t>Yes</w:t>
            </w:r>
          </w:p>
        </w:tc>
      </w:tr>
    </w:tbl>
    <w:p w14:paraId="0B1E699D" w14:textId="7FEF6AB3" w:rsidR="007351D5" w:rsidRDefault="006625BF" w:rsidP="002E6CA2">
      <w:pPr>
        <w:rPr>
          <w:sz w:val="18"/>
          <w:szCs w:val="18"/>
        </w:rPr>
      </w:pPr>
      <w:r>
        <w:rPr>
          <w:sz w:val="18"/>
          <w:szCs w:val="18"/>
        </w:rPr>
        <w:t>a</w:t>
      </w:r>
      <w:r w:rsidR="002F11A1" w:rsidRPr="002E6CA2">
        <w:rPr>
          <w:sz w:val="18"/>
          <w:szCs w:val="18"/>
        </w:rPr>
        <w:t>: Note on suitability for bar</w:t>
      </w:r>
      <w:r w:rsidR="002E6CA2" w:rsidRPr="002E6CA2">
        <w:rPr>
          <w:sz w:val="18"/>
          <w:szCs w:val="18"/>
        </w:rPr>
        <w:t xml:space="preserve">iatric </w:t>
      </w:r>
      <w:r w:rsidR="00E55EC9" w:rsidRPr="002E6CA2">
        <w:rPr>
          <w:sz w:val="18"/>
          <w:szCs w:val="18"/>
        </w:rPr>
        <w:t>procedures</w:t>
      </w:r>
      <w:r w:rsidR="002E6CA2" w:rsidRPr="002E6CA2">
        <w:rPr>
          <w:sz w:val="18"/>
          <w:szCs w:val="18"/>
        </w:rPr>
        <w:t xml:space="preserve"> listed on the MBS: Items 31569 to 31581 and item 20791 provide for surgical treatment of clinically severe obesity and the accompanying anaesthesia service (or similar).</w:t>
      </w:r>
      <w:r w:rsidR="004D03B9">
        <w:rPr>
          <w:sz w:val="18"/>
          <w:szCs w:val="18"/>
        </w:rPr>
        <w:t xml:space="preserve"> </w:t>
      </w:r>
      <w:r w:rsidR="002E6CA2" w:rsidRPr="002E6CA2">
        <w:rPr>
          <w:sz w:val="18"/>
          <w:szCs w:val="18"/>
        </w:rPr>
        <w:t>The term clinically severe obesity generally refers to a patient with a</w:t>
      </w:r>
      <w:r w:rsidR="004D03B9">
        <w:rPr>
          <w:sz w:val="18"/>
          <w:szCs w:val="18"/>
        </w:rPr>
        <w:t xml:space="preserve"> </w:t>
      </w:r>
      <w:r w:rsidR="002E6CA2" w:rsidRPr="002E6CA2">
        <w:rPr>
          <w:sz w:val="18"/>
          <w:szCs w:val="18"/>
        </w:rPr>
        <w:t>Body Mass Index (BMI) of 40kg/m</w:t>
      </w:r>
      <w:r w:rsidR="002E6CA2" w:rsidRPr="004D03B9">
        <w:rPr>
          <w:sz w:val="18"/>
          <w:szCs w:val="18"/>
          <w:vertAlign w:val="superscript"/>
        </w:rPr>
        <w:t>2</w:t>
      </w:r>
      <w:r w:rsidR="004D03B9">
        <w:rPr>
          <w:sz w:val="18"/>
          <w:szCs w:val="18"/>
        </w:rPr>
        <w:t xml:space="preserve"> </w:t>
      </w:r>
      <w:r w:rsidR="002E6CA2" w:rsidRPr="002E6CA2">
        <w:rPr>
          <w:sz w:val="18"/>
          <w:szCs w:val="18"/>
        </w:rPr>
        <w:t>or more, or a patient with a BMI of 35kg/m</w:t>
      </w:r>
      <w:r w:rsidR="002E6CA2" w:rsidRPr="004D03B9">
        <w:rPr>
          <w:sz w:val="18"/>
          <w:szCs w:val="18"/>
          <w:vertAlign w:val="superscript"/>
        </w:rPr>
        <w:t>2</w:t>
      </w:r>
      <w:r w:rsidR="004D03B9">
        <w:rPr>
          <w:sz w:val="18"/>
          <w:szCs w:val="18"/>
        </w:rPr>
        <w:t xml:space="preserve"> </w:t>
      </w:r>
      <w:r w:rsidR="002E6CA2" w:rsidRPr="002E6CA2">
        <w:rPr>
          <w:sz w:val="18"/>
          <w:szCs w:val="18"/>
        </w:rPr>
        <w:t>or more with other major medical co-morbidities (such as diabetes, cardiovascular disease, cancer).</w:t>
      </w:r>
      <w:r w:rsidR="004D03B9">
        <w:rPr>
          <w:sz w:val="18"/>
          <w:szCs w:val="18"/>
        </w:rPr>
        <w:t xml:space="preserve"> </w:t>
      </w:r>
      <w:r w:rsidR="002E6CA2" w:rsidRPr="002E6CA2">
        <w:rPr>
          <w:sz w:val="18"/>
          <w:szCs w:val="18"/>
        </w:rPr>
        <w:t>The BMI values in different population groups</w:t>
      </w:r>
      <w:r w:rsidR="004D03B9">
        <w:rPr>
          <w:sz w:val="18"/>
          <w:szCs w:val="18"/>
        </w:rPr>
        <w:t xml:space="preserve"> </w:t>
      </w:r>
      <w:r w:rsidR="002E6CA2" w:rsidRPr="002E6CA2">
        <w:rPr>
          <w:sz w:val="18"/>
          <w:szCs w:val="18"/>
        </w:rPr>
        <w:t>may vary due, in part, to different body proportions which affect the percentage of body fat and body fat distribution.</w:t>
      </w:r>
      <w:r w:rsidR="004D03B9">
        <w:rPr>
          <w:sz w:val="18"/>
          <w:szCs w:val="18"/>
        </w:rPr>
        <w:t xml:space="preserve"> </w:t>
      </w:r>
      <w:r w:rsidR="002E6CA2" w:rsidRPr="002E6CA2">
        <w:rPr>
          <w:sz w:val="18"/>
          <w:szCs w:val="18"/>
        </w:rPr>
        <w:t>Consequently, different ethnic groups may experience major health risks at a BMI that is below the 35- 40 kg/m</w:t>
      </w:r>
      <w:r w:rsidR="002E6CA2" w:rsidRPr="00E55EC9">
        <w:rPr>
          <w:sz w:val="18"/>
          <w:szCs w:val="18"/>
          <w:vertAlign w:val="superscript"/>
        </w:rPr>
        <w:t>2</w:t>
      </w:r>
      <w:r w:rsidR="004D03B9">
        <w:rPr>
          <w:sz w:val="18"/>
          <w:szCs w:val="18"/>
        </w:rPr>
        <w:t xml:space="preserve"> </w:t>
      </w:r>
      <w:r w:rsidR="002E6CA2" w:rsidRPr="002E6CA2">
        <w:rPr>
          <w:sz w:val="18"/>
          <w:szCs w:val="18"/>
        </w:rPr>
        <w:t>provided for in the definition.</w:t>
      </w:r>
      <w:r w:rsidR="004D03B9">
        <w:rPr>
          <w:sz w:val="18"/>
          <w:szCs w:val="18"/>
        </w:rPr>
        <w:t xml:space="preserve"> </w:t>
      </w:r>
      <w:r w:rsidR="002E6CA2" w:rsidRPr="002E6CA2">
        <w:rPr>
          <w:sz w:val="18"/>
          <w:szCs w:val="18"/>
        </w:rPr>
        <w:t>The decision to undertake obesity surgery remains a matter for the clinical judgment of the surgeon</w:t>
      </w:r>
      <w:r w:rsidR="00E55EC9">
        <w:rPr>
          <w:sz w:val="18"/>
          <w:szCs w:val="18"/>
        </w:rPr>
        <w:t xml:space="preserve"> (p. 382 of M</w:t>
      </w:r>
      <w:r w:rsidR="0093032E">
        <w:rPr>
          <w:sz w:val="18"/>
          <w:szCs w:val="18"/>
        </w:rPr>
        <w:t>edicare Benefits Schedule Book operating from 1 September 2018).</w:t>
      </w:r>
    </w:p>
    <w:p w14:paraId="1EDD524F" w14:textId="12ADE0E2" w:rsidR="00D63A97" w:rsidRDefault="00D3057A" w:rsidP="002E6CA2">
      <w:r>
        <w:t xml:space="preserve">At its </w:t>
      </w:r>
      <w:r w:rsidR="00D63A97">
        <w:t>December 2018 meeting</w:t>
      </w:r>
      <w:r>
        <w:t>,</w:t>
      </w:r>
      <w:r w:rsidR="00D63A97">
        <w:t xml:space="preserve"> PASC</w:t>
      </w:r>
      <w:r>
        <w:t xml:space="preserve"> recommended that </w:t>
      </w:r>
      <w:r w:rsidR="001F08C2">
        <w:t xml:space="preserve">the </w:t>
      </w:r>
      <w:r>
        <w:t xml:space="preserve">assessment report </w:t>
      </w:r>
      <w:r w:rsidR="006C3F45">
        <w:t xml:space="preserve">should </w:t>
      </w:r>
      <w:r>
        <w:t>identify the co</w:t>
      </w:r>
      <w:r w:rsidR="006C3F45">
        <w:t xml:space="preserve">morbidity criteria </w:t>
      </w:r>
      <w:r>
        <w:t xml:space="preserve">that </w:t>
      </w:r>
      <w:r w:rsidR="006C3F45">
        <w:t xml:space="preserve">should apply </w:t>
      </w:r>
      <w:r w:rsidR="00D31929">
        <w:t>to the patient population eligible for aspiration therapy.</w:t>
      </w:r>
      <w:r w:rsidR="001F08C2">
        <w:t xml:space="preserve"> </w:t>
      </w:r>
    </w:p>
    <w:p w14:paraId="77870CE6" w14:textId="77777777" w:rsidR="00896845" w:rsidRPr="00E364F7" w:rsidRDefault="00896845">
      <w:pPr>
        <w:rPr>
          <w:b/>
        </w:rPr>
      </w:pPr>
      <w:r w:rsidRPr="00E364F7">
        <w:rPr>
          <w:b/>
        </w:rPr>
        <w:t>Outcomes</w:t>
      </w:r>
    </w:p>
    <w:p w14:paraId="77870CE7" w14:textId="77777777" w:rsidR="002A66BD" w:rsidRPr="002A66BD" w:rsidRDefault="002A66BD">
      <w:pPr>
        <w:rPr>
          <w:i/>
          <w:u w:val="single"/>
        </w:rPr>
      </w:pPr>
      <w:r w:rsidRPr="002A66BD">
        <w:rPr>
          <w:i/>
          <w:u w:val="single"/>
        </w:rPr>
        <w:t>Patient relevant</w:t>
      </w:r>
    </w:p>
    <w:p w14:paraId="478FC2EF" w14:textId="7B19AC00" w:rsidR="001A5753" w:rsidRDefault="00351C61" w:rsidP="006E4C99">
      <w:r>
        <w:lastRenderedPageBreak/>
        <w:t>Key patient-relevant outcomes</w:t>
      </w:r>
      <w:r w:rsidR="00BB2D90">
        <w:t xml:space="preserve"> for patients with obesity are </w:t>
      </w:r>
      <w:r w:rsidR="00F31B3C">
        <w:t xml:space="preserve">weight loss and improvements in measures </w:t>
      </w:r>
      <w:r w:rsidR="0025320C">
        <w:t xml:space="preserve">of comorbidities </w:t>
      </w:r>
      <w:r w:rsidR="00E37688">
        <w:t xml:space="preserve">that are </w:t>
      </w:r>
      <w:r w:rsidR="009D6556">
        <w:t>associated</w:t>
      </w:r>
      <w:r w:rsidR="0025320C">
        <w:t xml:space="preserve"> with overweight and obese patients</w:t>
      </w:r>
      <w:r w:rsidR="00E37688">
        <w:t xml:space="preserve"> (</w:t>
      </w:r>
      <w:r w:rsidR="0025320C">
        <w:t>such as blood pressure</w:t>
      </w:r>
      <w:r w:rsidR="001A5753">
        <w:t>, blood lipids and blood sugars</w:t>
      </w:r>
      <w:r w:rsidR="00E37688">
        <w:t>)</w:t>
      </w:r>
      <w:r w:rsidR="001A5753">
        <w:t>.</w:t>
      </w:r>
    </w:p>
    <w:p w14:paraId="2187D908" w14:textId="009100CC" w:rsidR="006E4C99" w:rsidRDefault="00E5629A" w:rsidP="006E4C99">
      <w:r>
        <w:t>Australian clinical practice guidelines for the management of obesity</w:t>
      </w:r>
      <w:r w:rsidR="00153259">
        <w:t xml:space="preserve"> outline that a realistic estimate for weight loss is 5-10% of </w:t>
      </w:r>
      <w:r w:rsidR="00CF444A">
        <w:t xml:space="preserve">the patient’s initial weight, noting that even modest amounts of weight loss </w:t>
      </w:r>
      <w:r w:rsidR="006C7BAB">
        <w:t>can improve health</w:t>
      </w:r>
      <w:r w:rsidR="00E37688">
        <w:t>,</w:t>
      </w:r>
      <w:r w:rsidR="006C7BAB">
        <w:t xml:space="preserve"> and</w:t>
      </w:r>
      <w:r w:rsidR="00E37688">
        <w:t xml:space="preserve"> </w:t>
      </w:r>
      <w:r w:rsidR="006C7BAB">
        <w:t xml:space="preserve">increased </w:t>
      </w:r>
      <w:r w:rsidR="009B38C9">
        <w:t xml:space="preserve">health benefits will be gained from further weight loss </w:t>
      </w:r>
      <w:r w:rsidR="007B5532">
        <w:rPr>
          <w:noProof/>
        </w:rPr>
        <w:t>(NHMRC, 2013)</w:t>
      </w:r>
      <w:r w:rsidR="00AE6233">
        <w:t>.</w:t>
      </w:r>
    </w:p>
    <w:p w14:paraId="1BCDB7F2" w14:textId="25053C35" w:rsidR="00AE6233" w:rsidRDefault="00204C4D" w:rsidP="006E4C99">
      <w:r>
        <w:t xml:space="preserve">Patient-relevant outcomes </w:t>
      </w:r>
      <w:r w:rsidR="00045367">
        <w:t>included in the head-to-head trial of aspiration therapy</w:t>
      </w:r>
      <w:r w:rsidR="000473BD">
        <w:t xml:space="preserve"> </w:t>
      </w:r>
      <w:r w:rsidR="00E37688">
        <w:t>(</w:t>
      </w:r>
      <w:r w:rsidR="000473BD">
        <w:t>plus l</w:t>
      </w:r>
      <w:r w:rsidR="00D954D6">
        <w:t xml:space="preserve">ifestyle </w:t>
      </w:r>
      <w:r w:rsidR="0089510A">
        <w:t>modifications</w:t>
      </w:r>
      <w:r w:rsidR="00E37688">
        <w:t>)</w:t>
      </w:r>
      <w:r w:rsidR="00045367">
        <w:t xml:space="preserve"> versus </w:t>
      </w:r>
      <w:r w:rsidR="00D954D6">
        <w:t xml:space="preserve">lifestyle </w:t>
      </w:r>
      <w:r w:rsidR="0089510A">
        <w:t>modifications</w:t>
      </w:r>
      <w:r w:rsidR="00D954D6">
        <w:t xml:space="preserve"> alone</w:t>
      </w:r>
      <w:r w:rsidR="00E37688">
        <w:t>,</w:t>
      </w:r>
      <w:r w:rsidR="00004354">
        <w:t xml:space="preserve"> </w:t>
      </w:r>
      <w:r w:rsidR="00D835B4">
        <w:t xml:space="preserve">are outlined in </w:t>
      </w:r>
      <w:r w:rsidR="002A42EB">
        <w:fldChar w:fldCharType="begin"/>
      </w:r>
      <w:r w:rsidR="002A42EB">
        <w:instrText xml:space="preserve"> REF _Ref528499692 \h </w:instrText>
      </w:r>
      <w:r w:rsidR="002A42EB">
        <w:fldChar w:fldCharType="separate"/>
      </w:r>
      <w:r w:rsidR="002A42EB">
        <w:t xml:space="preserve">Table </w:t>
      </w:r>
      <w:r w:rsidR="002A42EB">
        <w:rPr>
          <w:noProof/>
        </w:rPr>
        <w:t>7</w:t>
      </w:r>
      <w:r w:rsidR="002A42EB">
        <w:fldChar w:fldCharType="end"/>
      </w:r>
      <w:r w:rsidR="00E5164F">
        <w:t xml:space="preserve">. Each of these outcomes is </w:t>
      </w:r>
      <w:r w:rsidR="00E37688">
        <w:t xml:space="preserve">relevant </w:t>
      </w:r>
      <w:r w:rsidR="00E5164F">
        <w:t xml:space="preserve">to assessing the efficacy of aspiration therapy in achieving </w:t>
      </w:r>
      <w:r w:rsidR="00074473">
        <w:t>the objectives of weight loss surgery.</w:t>
      </w:r>
    </w:p>
    <w:p w14:paraId="08C7D042" w14:textId="0ED90F7B" w:rsidR="00D835B4" w:rsidRDefault="00EE768B" w:rsidP="00EE768B">
      <w:pPr>
        <w:pStyle w:val="Caption"/>
      </w:pPr>
      <w:bookmarkStart w:id="11" w:name="_Ref528499692"/>
      <w:r>
        <w:t xml:space="preserve">Table </w:t>
      </w:r>
      <w:r>
        <w:fldChar w:fldCharType="begin"/>
      </w:r>
      <w:r>
        <w:instrText xml:space="preserve"> SEQ Table \* ARABIC </w:instrText>
      </w:r>
      <w:r>
        <w:fldChar w:fldCharType="separate"/>
      </w:r>
      <w:r w:rsidR="00B67FC1">
        <w:rPr>
          <w:noProof/>
        </w:rPr>
        <w:t>7</w:t>
      </w:r>
      <w:r>
        <w:fldChar w:fldCharType="end"/>
      </w:r>
      <w:bookmarkEnd w:id="11"/>
      <w:r>
        <w:t>: Patient-relevant efficacy and safety outcomes for the assessment of aspiration therapy</w:t>
      </w:r>
    </w:p>
    <w:tbl>
      <w:tblPr>
        <w:tblStyle w:val="TableGrid"/>
        <w:tblW w:w="0" w:type="auto"/>
        <w:tblLook w:val="04A0" w:firstRow="1" w:lastRow="0" w:firstColumn="1" w:lastColumn="0" w:noHBand="0" w:noVBand="1"/>
        <w:tblDescription w:val="Patient-relevant efficacy and safety outcomes for the assessment of aspiration therapy"/>
      </w:tblPr>
      <w:tblGrid>
        <w:gridCol w:w="1719"/>
        <w:gridCol w:w="5086"/>
        <w:gridCol w:w="2211"/>
      </w:tblGrid>
      <w:tr w:rsidR="001E2668" w14:paraId="5D1947EB" w14:textId="1C27B40F" w:rsidTr="00553D3B">
        <w:trPr>
          <w:tblHeader/>
        </w:trPr>
        <w:tc>
          <w:tcPr>
            <w:tcW w:w="0" w:type="auto"/>
          </w:tcPr>
          <w:p w14:paraId="70957012" w14:textId="77777777" w:rsidR="00764685" w:rsidRPr="002A42EB" w:rsidRDefault="00764685" w:rsidP="00EB10EB">
            <w:pPr>
              <w:keepNext/>
              <w:keepLines/>
              <w:rPr>
                <w:b/>
              </w:rPr>
            </w:pPr>
            <w:bookmarkStart w:id="12" w:name="_Hlk528512936"/>
          </w:p>
        </w:tc>
        <w:tc>
          <w:tcPr>
            <w:tcW w:w="0" w:type="auto"/>
          </w:tcPr>
          <w:p w14:paraId="2FF95927" w14:textId="21040142" w:rsidR="00764685" w:rsidRPr="002A42EB" w:rsidRDefault="00764685" w:rsidP="00EB10EB">
            <w:pPr>
              <w:keepNext/>
              <w:keepLines/>
              <w:rPr>
                <w:b/>
              </w:rPr>
            </w:pPr>
            <w:r w:rsidRPr="002A42EB">
              <w:rPr>
                <w:b/>
              </w:rPr>
              <w:t xml:space="preserve">Aspiration therapy </w:t>
            </w:r>
            <w:r w:rsidR="006A7659" w:rsidRPr="002A42EB">
              <w:rPr>
                <w:b/>
              </w:rPr>
              <w:t>and control arms</w:t>
            </w:r>
          </w:p>
        </w:tc>
        <w:tc>
          <w:tcPr>
            <w:tcW w:w="2211" w:type="dxa"/>
          </w:tcPr>
          <w:p w14:paraId="3A336A8F" w14:textId="61BE8D76" w:rsidR="00764685" w:rsidRPr="002A42EB" w:rsidRDefault="006A7659" w:rsidP="00EB10EB">
            <w:pPr>
              <w:keepNext/>
              <w:keepLines/>
              <w:rPr>
                <w:b/>
              </w:rPr>
            </w:pPr>
            <w:r w:rsidRPr="002A42EB">
              <w:rPr>
                <w:b/>
              </w:rPr>
              <w:t>Aspiration therapy arm</w:t>
            </w:r>
            <w:r w:rsidR="002A42EB" w:rsidRPr="002A42EB">
              <w:rPr>
                <w:b/>
              </w:rPr>
              <w:t xml:space="preserve"> only</w:t>
            </w:r>
          </w:p>
        </w:tc>
      </w:tr>
      <w:tr w:rsidR="001E2668" w14:paraId="6E243BEF" w14:textId="36882B5B" w:rsidTr="0071339B">
        <w:tc>
          <w:tcPr>
            <w:tcW w:w="0" w:type="auto"/>
          </w:tcPr>
          <w:p w14:paraId="2DE8E940" w14:textId="61B048A1" w:rsidR="00764685" w:rsidRDefault="00764685" w:rsidP="0043660D">
            <w:pPr>
              <w:keepNext/>
              <w:keepLines/>
              <w:spacing w:after="120"/>
            </w:pPr>
            <w:r>
              <w:t xml:space="preserve">Primary </w:t>
            </w:r>
            <w:r w:rsidR="00D82E62">
              <w:t xml:space="preserve">efficacy </w:t>
            </w:r>
            <w:r>
              <w:t>endpoints</w:t>
            </w:r>
          </w:p>
        </w:tc>
        <w:tc>
          <w:tcPr>
            <w:tcW w:w="0" w:type="auto"/>
          </w:tcPr>
          <w:p w14:paraId="7FD89D6A" w14:textId="77777777" w:rsidR="00764685" w:rsidRDefault="00764685" w:rsidP="0043660D">
            <w:pPr>
              <w:keepNext/>
              <w:keepLines/>
              <w:spacing w:after="120"/>
            </w:pPr>
            <w:r>
              <w:t>Mean percent excess weight loss (%EWL) at 52-weeks.</w:t>
            </w:r>
          </w:p>
          <w:p w14:paraId="5B48FEC9" w14:textId="2BD160B7" w:rsidR="00764685" w:rsidRDefault="00764685" w:rsidP="0043660D">
            <w:pPr>
              <w:keepNext/>
              <w:keepLines/>
              <w:spacing w:after="120"/>
            </w:pPr>
            <w:r>
              <w:t xml:space="preserve">At least 50% of aspiration therapy patients achieve %EWL </w:t>
            </w:r>
            <w:r>
              <w:rPr>
                <w:rFonts w:cs="Calibri"/>
              </w:rPr>
              <w:t>≥</w:t>
            </w:r>
            <w:r>
              <w:t>25% at 52-weeks</w:t>
            </w:r>
          </w:p>
        </w:tc>
        <w:tc>
          <w:tcPr>
            <w:tcW w:w="2211" w:type="dxa"/>
          </w:tcPr>
          <w:p w14:paraId="20F40BDD" w14:textId="121C626C" w:rsidR="00764685" w:rsidRDefault="00C332E8" w:rsidP="0043660D">
            <w:pPr>
              <w:keepNext/>
              <w:keepLines/>
              <w:spacing w:after="120"/>
            </w:pPr>
            <w:r>
              <w:t>-</w:t>
            </w:r>
          </w:p>
        </w:tc>
      </w:tr>
      <w:tr w:rsidR="001E2668" w14:paraId="2DEFBA4B" w14:textId="35846BB4" w:rsidTr="0071339B">
        <w:tc>
          <w:tcPr>
            <w:tcW w:w="0" w:type="auto"/>
          </w:tcPr>
          <w:p w14:paraId="7F1C32FC" w14:textId="015AAF70" w:rsidR="00764685" w:rsidRDefault="00764685" w:rsidP="0043660D">
            <w:pPr>
              <w:keepNext/>
              <w:keepLines/>
              <w:spacing w:after="120"/>
            </w:pPr>
            <w:r>
              <w:t xml:space="preserve">Secondary </w:t>
            </w:r>
            <w:r w:rsidR="006761CB">
              <w:t xml:space="preserve">efficacy </w:t>
            </w:r>
            <w:r>
              <w:t>endpoints</w:t>
            </w:r>
          </w:p>
        </w:tc>
        <w:tc>
          <w:tcPr>
            <w:tcW w:w="0" w:type="auto"/>
          </w:tcPr>
          <w:p w14:paraId="1644C40C" w14:textId="327B49AB" w:rsidR="00764685" w:rsidRDefault="00764685" w:rsidP="0043660D">
            <w:pPr>
              <w:keepNext/>
              <w:keepLines/>
              <w:spacing w:after="120"/>
            </w:pPr>
            <w:r>
              <w:t>Mean percent absolute weight loss</w:t>
            </w:r>
          </w:p>
          <w:p w14:paraId="02BD7B89" w14:textId="77777777" w:rsidR="00764685" w:rsidRDefault="00764685" w:rsidP="0043660D">
            <w:pPr>
              <w:keepNext/>
              <w:keepLines/>
              <w:spacing w:after="120"/>
            </w:pPr>
            <w:r>
              <w:t xml:space="preserve">Proportion of patients who achieve </w:t>
            </w:r>
            <w:r>
              <w:rPr>
                <w:rFonts w:cs="Calibri"/>
              </w:rPr>
              <w:t>≥</w:t>
            </w:r>
            <w:r>
              <w:t>10% absolute weight loss</w:t>
            </w:r>
          </w:p>
          <w:p w14:paraId="1A8C5BE8" w14:textId="501074B2" w:rsidR="00764685" w:rsidRDefault="00764685" w:rsidP="0043660D">
            <w:pPr>
              <w:keepNext/>
              <w:keepLines/>
              <w:spacing w:after="120"/>
            </w:pPr>
            <w:r>
              <w:t>Percent change in serum lipids</w:t>
            </w:r>
          </w:p>
          <w:p w14:paraId="52E72562" w14:textId="67D77280" w:rsidR="00764685" w:rsidRDefault="00764685" w:rsidP="0043660D">
            <w:pPr>
              <w:keepNext/>
              <w:keepLines/>
              <w:spacing w:after="120"/>
            </w:pPr>
            <w:r>
              <w:t>Percent change systolic and diastolic blood pressures</w:t>
            </w:r>
          </w:p>
          <w:p w14:paraId="54DF0715" w14:textId="0D3EE389" w:rsidR="00764685" w:rsidRDefault="00764685" w:rsidP="0043660D">
            <w:pPr>
              <w:keepNext/>
              <w:keepLines/>
              <w:spacing w:after="120"/>
            </w:pPr>
            <w:r>
              <w:t>Percent change in haemoglobin A1C (only in patients with type 2 diabetes at baseline)</w:t>
            </w:r>
          </w:p>
          <w:p w14:paraId="77DCF4CA" w14:textId="61609C87" w:rsidR="00764685" w:rsidRDefault="00764685" w:rsidP="0043660D">
            <w:pPr>
              <w:keepNext/>
              <w:keepLines/>
              <w:spacing w:after="120"/>
            </w:pPr>
            <w:r>
              <w:t xml:space="preserve">Percent change in Impact of Weight on </w:t>
            </w:r>
            <w:r w:rsidR="00040D3D">
              <w:t>Quality</w:t>
            </w:r>
            <w:r>
              <w:t xml:space="preserve"> of Life (IWQOL) questionnaire</w:t>
            </w:r>
          </w:p>
        </w:tc>
        <w:tc>
          <w:tcPr>
            <w:tcW w:w="2211" w:type="dxa"/>
          </w:tcPr>
          <w:p w14:paraId="34249682" w14:textId="65F88480" w:rsidR="00764685" w:rsidRDefault="00C332E8" w:rsidP="0043660D">
            <w:pPr>
              <w:keepNext/>
              <w:keepLines/>
              <w:spacing w:after="120"/>
            </w:pPr>
            <w:r>
              <w:t>-</w:t>
            </w:r>
          </w:p>
        </w:tc>
      </w:tr>
      <w:tr w:rsidR="001E2668" w14:paraId="6A4438FE" w14:textId="6C77E3CD" w:rsidTr="0071339B">
        <w:tc>
          <w:tcPr>
            <w:tcW w:w="0" w:type="auto"/>
          </w:tcPr>
          <w:p w14:paraId="60CA9D3F" w14:textId="5EB0277A" w:rsidR="00764685" w:rsidRDefault="006761CB" w:rsidP="0043660D">
            <w:pPr>
              <w:keepNext/>
              <w:keepLines/>
              <w:spacing w:after="120"/>
            </w:pPr>
            <w:r>
              <w:t>Safety outcomes</w:t>
            </w:r>
          </w:p>
        </w:tc>
        <w:tc>
          <w:tcPr>
            <w:tcW w:w="0" w:type="auto"/>
          </w:tcPr>
          <w:p w14:paraId="6E492428" w14:textId="08A02EE2" w:rsidR="007A7B29" w:rsidRPr="00510590" w:rsidRDefault="007A7B29" w:rsidP="0043660D">
            <w:pPr>
              <w:keepNext/>
              <w:keepLines/>
              <w:spacing w:after="120"/>
            </w:pPr>
            <w:r w:rsidRPr="00510590">
              <w:t xml:space="preserve">Incidence of device-related, procedure-related and therapy- related adverse events </w:t>
            </w:r>
          </w:p>
          <w:p w14:paraId="3357A3FB" w14:textId="6FA4B391" w:rsidR="007A7B29" w:rsidRPr="00510590" w:rsidRDefault="007A7B29" w:rsidP="0043660D">
            <w:pPr>
              <w:keepNext/>
              <w:keepLines/>
              <w:spacing w:after="120"/>
            </w:pPr>
            <w:r w:rsidRPr="00510590">
              <w:t xml:space="preserve">Incidence of device-related or unrelated serious adverse events, including unanticipated adverse device effects </w:t>
            </w:r>
          </w:p>
          <w:p w14:paraId="57FF5719" w14:textId="4C934A3E" w:rsidR="00764685" w:rsidRDefault="007A7B29" w:rsidP="0043660D">
            <w:pPr>
              <w:keepNext/>
              <w:keepLines/>
              <w:spacing w:after="120"/>
            </w:pPr>
            <w:r w:rsidRPr="00510590">
              <w:t xml:space="preserve">Development of adverse eating </w:t>
            </w:r>
            <w:r w:rsidR="00040D3D" w:rsidRPr="00510590">
              <w:t>behaviours</w:t>
            </w:r>
            <w:r w:rsidRPr="00510590">
              <w:t xml:space="preserve"> as measured by </w:t>
            </w:r>
            <w:r w:rsidR="00DC4404" w:rsidRPr="00510590">
              <w:t>eating di</w:t>
            </w:r>
            <w:r w:rsidR="00191631" w:rsidRPr="00510590">
              <w:t xml:space="preserve">sorders examination </w:t>
            </w:r>
            <w:r w:rsidRPr="00510590">
              <w:t>and</w:t>
            </w:r>
            <w:r w:rsidR="00191631" w:rsidRPr="00510590">
              <w:t xml:space="preserve"> </w:t>
            </w:r>
            <w:r w:rsidR="00510590" w:rsidRPr="00510590">
              <w:t>Questionnaire on Eating and Weight Patterns</w:t>
            </w:r>
          </w:p>
        </w:tc>
        <w:tc>
          <w:tcPr>
            <w:tcW w:w="2211" w:type="dxa"/>
          </w:tcPr>
          <w:p w14:paraId="4E6B2735" w14:textId="0A001658" w:rsidR="00764685" w:rsidRDefault="00C332E8" w:rsidP="0043660D">
            <w:pPr>
              <w:keepNext/>
              <w:keepLines/>
              <w:spacing w:after="120"/>
            </w:pPr>
            <w:r>
              <w:t>-</w:t>
            </w:r>
          </w:p>
        </w:tc>
      </w:tr>
      <w:tr w:rsidR="001E2668" w14:paraId="002AC0F7" w14:textId="77777777" w:rsidTr="0071339B">
        <w:tc>
          <w:tcPr>
            <w:tcW w:w="0" w:type="auto"/>
          </w:tcPr>
          <w:p w14:paraId="61846584" w14:textId="4AD8F82E" w:rsidR="006A7659" w:rsidRDefault="006A7659" w:rsidP="0043660D">
            <w:pPr>
              <w:keepNext/>
              <w:keepLines/>
              <w:spacing w:after="120"/>
            </w:pPr>
            <w:r>
              <w:t xml:space="preserve">Procedural </w:t>
            </w:r>
            <w:r w:rsidR="001E2668">
              <w:t>outcomes</w:t>
            </w:r>
          </w:p>
        </w:tc>
        <w:tc>
          <w:tcPr>
            <w:tcW w:w="0" w:type="auto"/>
          </w:tcPr>
          <w:p w14:paraId="2F376BAB" w14:textId="4065DA67" w:rsidR="006A7659" w:rsidRPr="00510590" w:rsidRDefault="00C332E8" w:rsidP="0043660D">
            <w:pPr>
              <w:keepNext/>
              <w:keepLines/>
              <w:spacing w:after="120"/>
            </w:pPr>
            <w:r>
              <w:t>-</w:t>
            </w:r>
          </w:p>
        </w:tc>
        <w:tc>
          <w:tcPr>
            <w:tcW w:w="2211" w:type="dxa"/>
          </w:tcPr>
          <w:p w14:paraId="7C2A5C7A" w14:textId="5F856214" w:rsidR="006A7659" w:rsidRDefault="001E2668" w:rsidP="0043660D">
            <w:pPr>
              <w:keepNext/>
              <w:keepLines/>
              <w:spacing w:after="120"/>
            </w:pPr>
            <w:r>
              <w:t xml:space="preserve">Procedural success defined as successful endoscopic placement of the </w:t>
            </w:r>
            <w:r w:rsidR="007C36A4">
              <w:t>A-Tube™</w:t>
            </w:r>
          </w:p>
        </w:tc>
      </w:tr>
      <w:bookmarkEnd w:id="12"/>
    </w:tbl>
    <w:p w14:paraId="670770FB" w14:textId="6645C91F" w:rsidR="000E16A1" w:rsidRDefault="000E16A1" w:rsidP="006E4C99"/>
    <w:p w14:paraId="06230043" w14:textId="76A9AAF8" w:rsidR="006E4C99" w:rsidRDefault="00177B16" w:rsidP="00A85B54">
      <w:r>
        <w:lastRenderedPageBreak/>
        <w:t>Additional outcome mea</w:t>
      </w:r>
      <w:r w:rsidR="00EC2B0B">
        <w:t xml:space="preserve">sures suitable for the assessment of the long-term efficacy and safety of aspiration therapy </w:t>
      </w:r>
      <w:r w:rsidR="00A85B54">
        <w:t>are:</w:t>
      </w:r>
    </w:p>
    <w:p w14:paraId="23C33B3C" w14:textId="0AC287F4" w:rsidR="005D586A" w:rsidRDefault="005D586A" w:rsidP="005D586A">
      <w:pPr>
        <w:pStyle w:val="ListParagraph"/>
        <w:numPr>
          <w:ilvl w:val="0"/>
          <w:numId w:val="19"/>
        </w:numPr>
      </w:pPr>
      <w:r>
        <w:t>Weight loss at follow-up of 5 year to assess durability of benefit of aspiration therapy</w:t>
      </w:r>
    </w:p>
    <w:p w14:paraId="63E657E2" w14:textId="4A346174" w:rsidR="007A65CF" w:rsidRDefault="007A65CF" w:rsidP="005D586A">
      <w:pPr>
        <w:pStyle w:val="ListParagraph"/>
        <w:numPr>
          <w:ilvl w:val="0"/>
          <w:numId w:val="19"/>
        </w:numPr>
      </w:pPr>
      <w:r>
        <w:t xml:space="preserve">Improvement in </w:t>
      </w:r>
      <w:r w:rsidR="00136ED0">
        <w:t>comorbid</w:t>
      </w:r>
      <w:r w:rsidR="005F57DA">
        <w:t>ities (e.g. reversal of diabetes, non-</w:t>
      </w:r>
      <w:r w:rsidR="00136ED0">
        <w:t>alcoholic</w:t>
      </w:r>
      <w:r w:rsidR="005F57DA">
        <w:t xml:space="preserve"> stea</w:t>
      </w:r>
      <w:r w:rsidR="00FC66B7">
        <w:t>tohepatitis, hypertension, osteoarthritis, and mental health)</w:t>
      </w:r>
    </w:p>
    <w:p w14:paraId="18C2ECED" w14:textId="568B863E" w:rsidR="009C0BE9" w:rsidRDefault="009C0BE9" w:rsidP="009C0BE9">
      <w:pPr>
        <w:pStyle w:val="ListParagraph"/>
        <w:numPr>
          <w:ilvl w:val="0"/>
          <w:numId w:val="19"/>
        </w:numPr>
      </w:pPr>
      <w:r w:rsidRPr="001D2D13">
        <w:t xml:space="preserve">Electrolyte and </w:t>
      </w:r>
      <w:r>
        <w:t xml:space="preserve">other </w:t>
      </w:r>
      <w:r w:rsidRPr="001D2D13">
        <w:t>markers of metabolic disturbance for patients on aspiration therapy</w:t>
      </w:r>
    </w:p>
    <w:p w14:paraId="163A819C" w14:textId="3A8DBFB9" w:rsidR="000954AC" w:rsidRDefault="000954AC" w:rsidP="009C0BE9">
      <w:pPr>
        <w:pStyle w:val="ListParagraph"/>
        <w:numPr>
          <w:ilvl w:val="0"/>
          <w:numId w:val="19"/>
        </w:numPr>
      </w:pPr>
      <w:r w:rsidRPr="000954AC">
        <w:t>Assessment of eating disorder development for patients on aspiration therapy</w:t>
      </w:r>
    </w:p>
    <w:p w14:paraId="240FA745" w14:textId="63207DAD" w:rsidR="00076826" w:rsidRDefault="00076826" w:rsidP="00A85B54">
      <w:pPr>
        <w:pStyle w:val="ListParagraph"/>
        <w:numPr>
          <w:ilvl w:val="0"/>
          <w:numId w:val="19"/>
        </w:numPr>
      </w:pPr>
      <w:r>
        <w:t>Changes in health-related quality of life beyond 52-weeks</w:t>
      </w:r>
      <w:r w:rsidR="00FB4518">
        <w:t xml:space="preserve">, with outcomes measured </w:t>
      </w:r>
      <w:r w:rsidR="00B35B94">
        <w:t xml:space="preserve">using obesity-specific scales and validated tools </w:t>
      </w:r>
      <w:r w:rsidR="00FB4518">
        <w:t xml:space="preserve">to 5 years nominated by PASC </w:t>
      </w:r>
      <w:r w:rsidR="0004202B">
        <w:t>as being indicative of a meaningful change</w:t>
      </w:r>
    </w:p>
    <w:p w14:paraId="3E70F1B4" w14:textId="00288E96" w:rsidR="00A56495" w:rsidRDefault="00A56495" w:rsidP="00A85B54">
      <w:pPr>
        <w:pStyle w:val="ListParagraph"/>
        <w:numPr>
          <w:ilvl w:val="0"/>
          <w:numId w:val="19"/>
        </w:numPr>
      </w:pPr>
      <w:r>
        <w:t>Weight loss reported in patients who discontinue treatment</w:t>
      </w:r>
    </w:p>
    <w:p w14:paraId="66E5E006" w14:textId="076F6C09" w:rsidR="00A56495" w:rsidRDefault="00A56495" w:rsidP="00A85B54">
      <w:pPr>
        <w:pStyle w:val="ListParagraph"/>
        <w:numPr>
          <w:ilvl w:val="0"/>
          <w:numId w:val="19"/>
        </w:numPr>
      </w:pPr>
      <w:r>
        <w:t xml:space="preserve">Proportion of patients experiencing complications associated with the replacement and/or removal of the </w:t>
      </w:r>
      <w:r w:rsidR="007C36A4">
        <w:t>A-Tube™</w:t>
      </w:r>
    </w:p>
    <w:p w14:paraId="77870CEA" w14:textId="4A8EC949" w:rsidR="003E0382"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62CCCB03" w14:textId="731368BE" w:rsidR="00076826" w:rsidRPr="0098015B" w:rsidRDefault="00076826" w:rsidP="0098015B">
      <w:r w:rsidRPr="0098015B">
        <w:t xml:space="preserve">Outcomes relevant to the assessment of the broader </w:t>
      </w:r>
      <w:r w:rsidR="0098015B" w:rsidRPr="0098015B">
        <w:t xml:space="preserve">healthcare system </w:t>
      </w:r>
      <w:r w:rsidRPr="0098015B">
        <w:t xml:space="preserve">consequences of listing the placement of a </w:t>
      </w:r>
      <w:r w:rsidR="00F82555" w:rsidRPr="0098015B">
        <w:t>percutaneous gastrostomy tube (</w:t>
      </w:r>
      <w:r w:rsidR="007C36A4">
        <w:t>A-Tube™</w:t>
      </w:r>
      <w:r w:rsidR="00F82555" w:rsidRPr="0098015B">
        <w:t xml:space="preserve">) </w:t>
      </w:r>
      <w:r w:rsidR="0098015B" w:rsidRPr="0098015B">
        <w:t>and use of aspiration therap</w:t>
      </w:r>
      <w:r w:rsidR="004B03C3">
        <w:t>y</w:t>
      </w:r>
      <w:r w:rsidR="00021AEF">
        <w:t xml:space="preserve"> </w:t>
      </w:r>
      <w:r w:rsidR="0098015B" w:rsidRPr="0098015B">
        <w:t>are:</w:t>
      </w:r>
    </w:p>
    <w:p w14:paraId="1BDDC3B8" w14:textId="0629B3A6" w:rsidR="0098015B" w:rsidRDefault="0098015B" w:rsidP="0098015B">
      <w:pPr>
        <w:pStyle w:val="ListParagraph"/>
        <w:numPr>
          <w:ilvl w:val="0"/>
          <w:numId w:val="19"/>
        </w:numPr>
      </w:pPr>
      <w:r>
        <w:t xml:space="preserve">Proportion of patients who discontinue treatment and have the </w:t>
      </w:r>
      <w:r w:rsidR="007C36A4">
        <w:t>A-Tube™</w:t>
      </w:r>
      <w:r>
        <w:t xml:space="preserve"> removed over time</w:t>
      </w:r>
    </w:p>
    <w:p w14:paraId="0A8420D8" w14:textId="383CFFB1" w:rsidR="0098015B" w:rsidRDefault="0098015B" w:rsidP="0098015B">
      <w:pPr>
        <w:pStyle w:val="ListParagraph"/>
        <w:numPr>
          <w:ilvl w:val="0"/>
          <w:numId w:val="19"/>
        </w:numPr>
      </w:pPr>
      <w:r>
        <w:t xml:space="preserve">Proportion of patients requiring </w:t>
      </w:r>
      <w:r w:rsidR="007C36A4">
        <w:t>A-Tube™</w:t>
      </w:r>
      <w:r>
        <w:t xml:space="preserve"> replacement over time</w:t>
      </w:r>
    </w:p>
    <w:p w14:paraId="09A9E53A" w14:textId="6DD01F29" w:rsidR="00463FED" w:rsidRDefault="0098015B" w:rsidP="0098015B">
      <w:pPr>
        <w:pStyle w:val="ListParagraph"/>
        <w:numPr>
          <w:ilvl w:val="0"/>
          <w:numId w:val="19"/>
        </w:numPr>
      </w:pPr>
      <w:r>
        <w:t>Proportion of patients who discontinue aspiration therapy and receive subsequent bariatric procedures for weight loss</w:t>
      </w:r>
    </w:p>
    <w:p w14:paraId="6448470D" w14:textId="75E45669" w:rsidR="000F0448" w:rsidRDefault="000F0448" w:rsidP="0098015B">
      <w:pPr>
        <w:pStyle w:val="ListParagraph"/>
        <w:numPr>
          <w:ilvl w:val="0"/>
          <w:numId w:val="19"/>
        </w:numPr>
      </w:pPr>
      <w:r>
        <w:t xml:space="preserve">Estimate of cost to government </w:t>
      </w:r>
      <w:r w:rsidR="00C43D17">
        <w:t>for additional services related to the removal/replacement of the A-Tube™ or subsequent bariatric procedures for weight loss</w:t>
      </w:r>
      <w:r w:rsidR="00C43D17" w:rsidDel="00C43D17">
        <w:t xml:space="preserve"> </w:t>
      </w:r>
    </w:p>
    <w:p w14:paraId="5856A3E1" w14:textId="53D3E657" w:rsidR="0098015B" w:rsidRDefault="00463FED" w:rsidP="0098015B">
      <w:pPr>
        <w:pStyle w:val="ListParagraph"/>
        <w:numPr>
          <w:ilvl w:val="0"/>
          <w:numId w:val="19"/>
        </w:numPr>
      </w:pPr>
      <w:r>
        <w:t xml:space="preserve">Estimate of patient out-of-pocket expenses for </w:t>
      </w:r>
      <w:r w:rsidR="00D46E83">
        <w:t xml:space="preserve">additional services related to the </w:t>
      </w:r>
      <w:r w:rsidR="00483C42">
        <w:t>removal/replacement of the A-Tube™</w:t>
      </w:r>
      <w:r w:rsidR="00513DEF">
        <w:t xml:space="preserve"> or </w:t>
      </w:r>
      <w:r w:rsidR="00335C98">
        <w:t>subsequent bariatric procedures for weight loss</w:t>
      </w:r>
    </w:p>
    <w:p w14:paraId="4BE77B67" w14:textId="6041E425" w:rsidR="00B72452" w:rsidRDefault="002557FC" w:rsidP="0098015B">
      <w:pPr>
        <w:pStyle w:val="ListParagraph"/>
        <w:numPr>
          <w:ilvl w:val="0"/>
          <w:numId w:val="19"/>
        </w:numPr>
      </w:pPr>
      <w:r>
        <w:t>Estimate of additional costs to government and/or patients for additional relevant services such as anaesthetist fees, allied health and dietitian intervention, clinical review for malabsorption and electrolyte imbalance, and training for use</w:t>
      </w:r>
    </w:p>
    <w:p w14:paraId="77870CEE" w14:textId="77777777" w:rsidR="00896845" w:rsidRDefault="00896845" w:rsidP="00896845">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5FFD8885" w14:textId="60BA9D29" w:rsidR="00B24626" w:rsidRPr="00B24626" w:rsidRDefault="008B3C4C" w:rsidP="00B24626">
      <w:r>
        <w:t xml:space="preserve">The clinical management </w:t>
      </w:r>
      <w:r w:rsidR="004E43FA">
        <w:t xml:space="preserve">algorithms for overweight and obese patients </w:t>
      </w:r>
      <w:r w:rsidR="00820C0C">
        <w:t xml:space="preserve">based on the bariatric procedures currently listed on the MBS is represented in </w:t>
      </w:r>
      <w:r w:rsidR="00FD5901">
        <w:fldChar w:fldCharType="begin"/>
      </w:r>
      <w:r w:rsidR="00FD5901">
        <w:instrText xml:space="preserve"> REF _Ref528571789 \h </w:instrText>
      </w:r>
      <w:r w:rsidR="00FD5901">
        <w:fldChar w:fldCharType="separate"/>
      </w:r>
      <w:r w:rsidR="00FD5901">
        <w:t xml:space="preserve">Figure </w:t>
      </w:r>
      <w:r w:rsidR="00FD5901">
        <w:rPr>
          <w:noProof/>
        </w:rPr>
        <w:t>3</w:t>
      </w:r>
      <w:r w:rsidR="00FD5901">
        <w:fldChar w:fldCharType="end"/>
      </w:r>
      <w:r w:rsidR="00820C0C">
        <w:t>.</w:t>
      </w:r>
      <w:r w:rsidR="003F7557">
        <w:t xml:space="preserve"> This algorithm is based on that presented in the Public Summary Document for MSAC </w:t>
      </w:r>
      <w:r w:rsidR="00FD5901">
        <w:t>Application</w:t>
      </w:r>
      <w:r w:rsidR="003F7557">
        <w:t xml:space="preserve"> 1180r </w:t>
      </w:r>
      <w:r w:rsidR="00FD5901">
        <w:t>–</w:t>
      </w:r>
      <w:r w:rsidR="003F7557">
        <w:t xml:space="preserve"> </w:t>
      </w:r>
      <w:r w:rsidR="00FD5901">
        <w:t>Review of items for the surgical treatment of obesity considered by MSAC in November 2011.</w:t>
      </w:r>
    </w:p>
    <w:p w14:paraId="24ADEFC8" w14:textId="50B1E6BA" w:rsidR="00820C0C" w:rsidRDefault="00820C0C" w:rsidP="00820C0C">
      <w:pPr>
        <w:pStyle w:val="Caption"/>
      </w:pPr>
      <w:bookmarkStart w:id="13" w:name="_Ref528571789"/>
      <w:r>
        <w:lastRenderedPageBreak/>
        <w:t xml:space="preserve">Figure </w:t>
      </w:r>
      <w:r>
        <w:fldChar w:fldCharType="begin"/>
      </w:r>
      <w:r>
        <w:instrText xml:space="preserve"> SEQ Figure \* ARABIC </w:instrText>
      </w:r>
      <w:r>
        <w:fldChar w:fldCharType="separate"/>
      </w:r>
      <w:r>
        <w:rPr>
          <w:noProof/>
        </w:rPr>
        <w:t>3</w:t>
      </w:r>
      <w:r>
        <w:fldChar w:fldCharType="end"/>
      </w:r>
      <w:bookmarkEnd w:id="13"/>
      <w:r>
        <w:t xml:space="preserve">: </w:t>
      </w:r>
      <w:r w:rsidR="002D1A3A">
        <w:t>Current clinical management algorithm for overweight and obese patients</w:t>
      </w:r>
    </w:p>
    <w:p w14:paraId="582034D2" w14:textId="4E0B5AF9" w:rsidR="00B24626" w:rsidRPr="00B24626" w:rsidRDefault="00B67760" w:rsidP="00A93BF2">
      <w:pPr>
        <w:jc w:val="center"/>
      </w:pPr>
      <w:r>
        <w:rPr>
          <w:noProof/>
          <w:lang w:eastAsia="en-AU"/>
        </w:rPr>
        <w:drawing>
          <wp:inline distT="0" distB="0" distL="0" distR="0" wp14:anchorId="0F4E5F30" wp14:editId="6EE7F802">
            <wp:extent cx="3693337" cy="5400000"/>
            <wp:effectExtent l="0" t="0" r="2540" b="0"/>
            <wp:docPr id="5" name="Picture 5" descr="Current clinical management algorithm for overweight and obes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3337" cy="5400000"/>
                    </a:xfrm>
                    <a:prstGeom prst="rect">
                      <a:avLst/>
                    </a:prstGeom>
                    <a:noFill/>
                  </pic:spPr>
                </pic:pic>
              </a:graphicData>
            </a:graphic>
          </wp:inline>
        </w:drawing>
      </w:r>
    </w:p>
    <w:p w14:paraId="77870CF0" w14:textId="77777777" w:rsidR="00896845" w:rsidRDefault="00896845" w:rsidP="00896845">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77BAF7D5" w14:textId="1B7A45D3" w:rsidR="00815B0A" w:rsidRDefault="00FE04DB" w:rsidP="00815B0A">
      <w:r>
        <w:t xml:space="preserve">The clinical management algorithms for overweight and obese patients with the availability of aspiration therapy </w:t>
      </w:r>
      <w:r w:rsidR="00AB2D59">
        <w:t xml:space="preserve">provided by the applicant in provided in </w:t>
      </w:r>
      <w:r w:rsidR="00A93BF2">
        <w:fldChar w:fldCharType="begin"/>
      </w:r>
      <w:r w:rsidR="00A93BF2">
        <w:instrText xml:space="preserve"> REF _Ref528572229 \h </w:instrText>
      </w:r>
      <w:r w:rsidR="00A93BF2">
        <w:fldChar w:fldCharType="separate"/>
      </w:r>
      <w:r w:rsidR="00A93BF2">
        <w:t xml:space="preserve">Figure </w:t>
      </w:r>
      <w:r w:rsidR="00A93BF2">
        <w:rPr>
          <w:noProof/>
        </w:rPr>
        <w:t>4</w:t>
      </w:r>
      <w:r w:rsidR="00A93BF2">
        <w:fldChar w:fldCharType="end"/>
      </w:r>
      <w:r w:rsidR="00AB2D59">
        <w:t>.</w:t>
      </w:r>
    </w:p>
    <w:p w14:paraId="03D99E3D" w14:textId="456B609A" w:rsidR="006374F7" w:rsidRDefault="006374F7" w:rsidP="00A93BF2">
      <w:pPr>
        <w:pStyle w:val="Caption"/>
      </w:pPr>
      <w:bookmarkStart w:id="14" w:name="_Ref528572229"/>
      <w:r>
        <w:lastRenderedPageBreak/>
        <w:t xml:space="preserve">Figure </w:t>
      </w:r>
      <w:r>
        <w:fldChar w:fldCharType="begin"/>
      </w:r>
      <w:r>
        <w:instrText xml:space="preserve"> SEQ Figure \* ARABIC </w:instrText>
      </w:r>
      <w:r>
        <w:fldChar w:fldCharType="separate"/>
      </w:r>
      <w:r w:rsidR="00A93BF2">
        <w:rPr>
          <w:noProof/>
        </w:rPr>
        <w:t>4</w:t>
      </w:r>
      <w:r>
        <w:fldChar w:fldCharType="end"/>
      </w:r>
      <w:bookmarkEnd w:id="14"/>
      <w:r>
        <w:t xml:space="preserve">: </w:t>
      </w:r>
      <w:r w:rsidR="00553D3B">
        <w:t>Proposed</w:t>
      </w:r>
      <w:r>
        <w:t xml:space="preserve"> clinical management algorithm for overweight and obese patients</w:t>
      </w:r>
    </w:p>
    <w:p w14:paraId="13BBCE4E" w14:textId="6BCCB8FE" w:rsidR="00AB2D59" w:rsidRPr="00815B0A" w:rsidRDefault="006374F7" w:rsidP="00A93BF2">
      <w:pPr>
        <w:jc w:val="center"/>
      </w:pPr>
      <w:r>
        <w:rPr>
          <w:noProof/>
          <w:lang w:eastAsia="en-AU"/>
        </w:rPr>
        <w:drawing>
          <wp:inline distT="0" distB="0" distL="0" distR="0" wp14:anchorId="27E1D479" wp14:editId="30BC6D9A">
            <wp:extent cx="3740914" cy="5400000"/>
            <wp:effectExtent l="0" t="0" r="0" b="0"/>
            <wp:docPr id="6" name="Picture 6" descr="Proposed clinical management algorithm for overweight and obes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0914" cy="5400000"/>
                    </a:xfrm>
                    <a:prstGeom prst="rect">
                      <a:avLst/>
                    </a:prstGeom>
                  </pic:spPr>
                </pic:pic>
              </a:graphicData>
            </a:graphic>
          </wp:inline>
        </w:drawing>
      </w:r>
    </w:p>
    <w:p w14:paraId="0C99C6BB" w14:textId="51356113" w:rsidR="005852CB" w:rsidRPr="005852CB" w:rsidRDefault="005852CB" w:rsidP="005852CB">
      <w:r>
        <w:t xml:space="preserve">Note that for bariatric </w:t>
      </w:r>
      <w:r w:rsidR="00967A66">
        <w:t xml:space="preserve">surgeries </w:t>
      </w:r>
      <w:r w:rsidR="005772C9">
        <w:t>currently funded through the MBS outlined in the algorithm</w:t>
      </w:r>
      <w:r w:rsidR="007573F2">
        <w:t xml:space="preserve">, </w:t>
      </w:r>
      <w:r w:rsidR="00967A66">
        <w:t xml:space="preserve">services </w:t>
      </w:r>
      <w:r w:rsidR="007573F2">
        <w:t>relating to the adjustment (</w:t>
      </w:r>
      <w:r w:rsidR="00431202">
        <w:t>laparoscopic</w:t>
      </w:r>
      <w:r w:rsidR="007573F2">
        <w:t xml:space="preserve"> adjustable gastric band) and </w:t>
      </w:r>
      <w:r w:rsidR="00BA4134">
        <w:t xml:space="preserve">reversal of the procedures is also funded through the MBS. </w:t>
      </w:r>
    </w:p>
    <w:p w14:paraId="77870CF2" w14:textId="77777777"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51281497" w14:textId="036EF9DD" w:rsidR="00D439EE" w:rsidRPr="00785860" w:rsidRDefault="0098015B" w:rsidP="00D439EE">
      <w:r>
        <w:t xml:space="preserve">The applicant has </w:t>
      </w:r>
      <w:r w:rsidR="00A96268">
        <w:t xml:space="preserve">outlined that a clinical claim of superiority of aspiration therapy over lifestyle </w:t>
      </w:r>
      <w:r w:rsidR="00C638F5">
        <w:t>modifications</w:t>
      </w:r>
      <w:r w:rsidR="00A96268">
        <w:t xml:space="preserve"> is anticipated. K</w:t>
      </w:r>
      <w:r>
        <w:t xml:space="preserve">ey patient-relevant health outcomes reported in </w:t>
      </w:r>
      <w:r w:rsidR="00A96268">
        <w:t xml:space="preserve">a head-to-head of aspiration therapy </w:t>
      </w:r>
      <w:r w:rsidR="002A6D35">
        <w:t>(</w:t>
      </w:r>
      <w:r w:rsidR="00A96268">
        <w:t xml:space="preserve">plus lifestyle </w:t>
      </w:r>
      <w:r w:rsidR="0089681B">
        <w:t>modifications</w:t>
      </w:r>
      <w:r w:rsidR="002A6D35">
        <w:t>)</w:t>
      </w:r>
      <w:r w:rsidR="0089681B">
        <w:t xml:space="preserve"> </w:t>
      </w:r>
      <w:r w:rsidR="00A96268">
        <w:t xml:space="preserve">versus lifestyle </w:t>
      </w:r>
      <w:r w:rsidR="0089681B">
        <w:t>modifications</w:t>
      </w:r>
      <w:r w:rsidR="00A96268">
        <w:t xml:space="preserve"> alone </w:t>
      </w:r>
      <w:r w:rsidR="00A96268">
        <w:rPr>
          <w:noProof/>
        </w:rPr>
        <w:t>(Thompson et al., 2017)</w:t>
      </w:r>
      <w:r w:rsidR="002A6D35">
        <w:rPr>
          <w:noProof/>
        </w:rPr>
        <w:t>,</w:t>
      </w:r>
      <w:r w:rsidR="00A96268">
        <w:t xml:space="preserve"> are presented in </w:t>
      </w:r>
      <w:r w:rsidR="00BF6E91">
        <w:fldChar w:fldCharType="begin"/>
      </w:r>
      <w:r w:rsidR="00BF6E91">
        <w:instrText xml:space="preserve"> REF _Ref528509218 \h </w:instrText>
      </w:r>
      <w:r w:rsidR="00BF6E91">
        <w:fldChar w:fldCharType="separate"/>
      </w:r>
      <w:r w:rsidR="00BF6E91">
        <w:t xml:space="preserve">Table </w:t>
      </w:r>
      <w:r w:rsidR="00BF6E91">
        <w:rPr>
          <w:noProof/>
        </w:rPr>
        <w:t>8</w:t>
      </w:r>
      <w:r w:rsidR="00BF6E91">
        <w:fldChar w:fldCharType="end"/>
      </w:r>
      <w:r w:rsidR="00A96268">
        <w:t>.</w:t>
      </w:r>
      <w:r w:rsidR="00373C08">
        <w:t xml:space="preserve"> Given LAGB and sleeve gastrectomy are nominated comparators, these should be included in the economic analys</w:t>
      </w:r>
      <w:r w:rsidR="002A6D35">
        <w:t>is.</w:t>
      </w:r>
      <w:r w:rsidR="00D439EE" w:rsidRPr="00D439EE">
        <w:t xml:space="preserve"> </w:t>
      </w:r>
      <w:r w:rsidR="00D439EE">
        <w:t>PASC noted the lack of trials that directly compare aspiration therapy with any other endoscopic or bariatric techniques, meaning that all comparisons in the submission will be indirect.</w:t>
      </w:r>
    </w:p>
    <w:p w14:paraId="6CCA56B5" w14:textId="7D13235A" w:rsidR="0098015B" w:rsidRDefault="0098015B" w:rsidP="0098015B"/>
    <w:p w14:paraId="0E5D68D4" w14:textId="1C099610" w:rsidR="00BF6E91" w:rsidRDefault="00BF6E91" w:rsidP="00136ED0">
      <w:pPr>
        <w:pStyle w:val="Caption"/>
        <w:keepLines/>
      </w:pPr>
      <w:bookmarkStart w:id="15" w:name="_Ref528509218"/>
      <w:r>
        <w:lastRenderedPageBreak/>
        <w:t xml:space="preserve">Table </w:t>
      </w:r>
      <w:r>
        <w:fldChar w:fldCharType="begin"/>
      </w:r>
      <w:r>
        <w:instrText xml:space="preserve"> SEQ Table \* ARABIC </w:instrText>
      </w:r>
      <w:r>
        <w:fldChar w:fldCharType="separate"/>
      </w:r>
      <w:r w:rsidR="00B67FC1">
        <w:rPr>
          <w:noProof/>
        </w:rPr>
        <w:t>8</w:t>
      </w:r>
      <w:r>
        <w:fldChar w:fldCharType="end"/>
      </w:r>
      <w:bookmarkEnd w:id="15"/>
      <w:r>
        <w:t>: Patient-relevant health outcomes for aspiration therapy plus lifestyle adjustments vs. lifestyle adjustments alone</w:t>
      </w:r>
    </w:p>
    <w:tbl>
      <w:tblPr>
        <w:tblStyle w:val="TableGrid"/>
        <w:tblW w:w="5000" w:type="pct"/>
        <w:tblLook w:val="04A0" w:firstRow="1" w:lastRow="0" w:firstColumn="1" w:lastColumn="0" w:noHBand="0" w:noVBand="1"/>
        <w:tblDescription w:val="Patient-relevant health outcomes for aspiration therapy plus lifestyle adjustments vs. lifestyle adjustments alone"/>
      </w:tblPr>
      <w:tblGrid>
        <w:gridCol w:w="3004"/>
        <w:gridCol w:w="3004"/>
        <w:gridCol w:w="3008"/>
      </w:tblGrid>
      <w:tr w:rsidR="00A96268" w14:paraId="34D92601" w14:textId="77777777" w:rsidTr="00553D3B">
        <w:trPr>
          <w:tblHeader/>
        </w:trPr>
        <w:tc>
          <w:tcPr>
            <w:tcW w:w="1666" w:type="pct"/>
          </w:tcPr>
          <w:p w14:paraId="60BE5B45" w14:textId="2C6612C9" w:rsidR="00A96268" w:rsidRPr="00EB10EB" w:rsidRDefault="00514B5D" w:rsidP="00136ED0">
            <w:pPr>
              <w:keepNext/>
              <w:keepLines/>
              <w:rPr>
                <w:b/>
              </w:rPr>
            </w:pPr>
            <w:r>
              <w:rPr>
                <w:b/>
              </w:rPr>
              <w:t>-</w:t>
            </w:r>
          </w:p>
        </w:tc>
        <w:tc>
          <w:tcPr>
            <w:tcW w:w="1666" w:type="pct"/>
          </w:tcPr>
          <w:p w14:paraId="01C05F74" w14:textId="06F8A649" w:rsidR="00A96268" w:rsidRPr="00EB10EB" w:rsidRDefault="00A96268" w:rsidP="00136ED0">
            <w:pPr>
              <w:keepNext/>
              <w:keepLines/>
              <w:rPr>
                <w:b/>
              </w:rPr>
            </w:pPr>
            <w:r w:rsidRPr="00EB10EB">
              <w:rPr>
                <w:b/>
              </w:rPr>
              <w:t>Aspiration therapy plus lifestyle adjustments</w:t>
            </w:r>
          </w:p>
        </w:tc>
        <w:tc>
          <w:tcPr>
            <w:tcW w:w="1667" w:type="pct"/>
          </w:tcPr>
          <w:p w14:paraId="4C1AA282" w14:textId="04F20BCA" w:rsidR="00A96268" w:rsidRPr="00EB10EB" w:rsidRDefault="00A96268" w:rsidP="00136ED0">
            <w:pPr>
              <w:keepNext/>
              <w:keepLines/>
              <w:rPr>
                <w:b/>
              </w:rPr>
            </w:pPr>
            <w:r w:rsidRPr="00EB10EB">
              <w:rPr>
                <w:b/>
              </w:rPr>
              <w:t>Lifestyle adjustments</w:t>
            </w:r>
          </w:p>
        </w:tc>
      </w:tr>
      <w:tr w:rsidR="00A96268" w14:paraId="2786DCE0" w14:textId="77777777" w:rsidTr="00BF6E91">
        <w:tc>
          <w:tcPr>
            <w:tcW w:w="1666" w:type="pct"/>
          </w:tcPr>
          <w:p w14:paraId="2FA86EE9" w14:textId="3B3B52C5" w:rsidR="00A96268" w:rsidRPr="00EB10EB" w:rsidRDefault="004329C2" w:rsidP="00136ED0">
            <w:pPr>
              <w:keepNext/>
              <w:keepLines/>
            </w:pPr>
            <w:r w:rsidRPr="00EB10EB">
              <w:t>%</w:t>
            </w:r>
            <w:r w:rsidR="00A96268" w:rsidRPr="00EB10EB">
              <w:t xml:space="preserve"> excess weight loss at 52-weeks</w:t>
            </w:r>
            <w:r w:rsidRPr="00EB10EB">
              <w:t>, mean (SD)</w:t>
            </w:r>
            <w:r w:rsidR="00A96268" w:rsidRPr="00EB10EB">
              <w:t>.</w:t>
            </w:r>
          </w:p>
        </w:tc>
        <w:tc>
          <w:tcPr>
            <w:tcW w:w="1666" w:type="pct"/>
          </w:tcPr>
          <w:p w14:paraId="6BB3A9B3" w14:textId="40C7B6AF" w:rsidR="00A96268" w:rsidRPr="00EB10EB" w:rsidRDefault="004329C2" w:rsidP="00136ED0">
            <w:pPr>
              <w:keepNext/>
              <w:keepLines/>
            </w:pPr>
            <w:r w:rsidRPr="00EB10EB">
              <w:t>31.5 (26.7)</w:t>
            </w:r>
          </w:p>
        </w:tc>
        <w:tc>
          <w:tcPr>
            <w:tcW w:w="1667" w:type="pct"/>
          </w:tcPr>
          <w:p w14:paraId="668215B0" w14:textId="7D9B821C" w:rsidR="00A96268" w:rsidRDefault="004329C2" w:rsidP="00136ED0">
            <w:pPr>
              <w:keepNext/>
              <w:keepLines/>
            </w:pPr>
            <w:r>
              <w:t>9.8 (15.5)</w:t>
            </w:r>
          </w:p>
        </w:tc>
      </w:tr>
      <w:tr w:rsidR="004329C2" w14:paraId="4CB1C241" w14:textId="77777777" w:rsidTr="00EB10EB">
        <w:tc>
          <w:tcPr>
            <w:tcW w:w="1666" w:type="pct"/>
          </w:tcPr>
          <w:p w14:paraId="171A5BA0" w14:textId="2CE1B546" w:rsidR="004329C2" w:rsidRPr="00EB10EB" w:rsidRDefault="004329C2" w:rsidP="00136ED0">
            <w:pPr>
              <w:keepNext/>
              <w:keepLines/>
            </w:pPr>
            <w:r w:rsidRPr="00EB10EB">
              <w:t>Difference in %EWL</w:t>
            </w:r>
          </w:p>
        </w:tc>
        <w:tc>
          <w:tcPr>
            <w:tcW w:w="3334" w:type="pct"/>
            <w:gridSpan w:val="2"/>
          </w:tcPr>
          <w:p w14:paraId="6AAB6795" w14:textId="0F98E7A3" w:rsidR="004329C2" w:rsidRPr="00EB10EB" w:rsidRDefault="004329C2" w:rsidP="00136ED0">
            <w:pPr>
              <w:keepNext/>
              <w:keepLines/>
              <w:jc w:val="center"/>
            </w:pPr>
            <w:r w:rsidRPr="00EB10EB">
              <w:t>21.7 (95% CI 15.3, 28.1), P=0.008</w:t>
            </w:r>
          </w:p>
        </w:tc>
      </w:tr>
      <w:tr w:rsidR="00A96268" w14:paraId="7CB1F52D" w14:textId="77777777" w:rsidTr="00BF6E91">
        <w:tc>
          <w:tcPr>
            <w:tcW w:w="1666" w:type="pct"/>
          </w:tcPr>
          <w:p w14:paraId="0993B781" w14:textId="49748CEB" w:rsidR="00A96268" w:rsidRPr="00EB10EB" w:rsidRDefault="00A96268" w:rsidP="00136ED0">
            <w:pPr>
              <w:keepNext/>
              <w:keepLines/>
            </w:pPr>
            <w:r w:rsidRPr="00EB10EB">
              <w:t>% body weight loss at 52-weeks, Mean (SD)</w:t>
            </w:r>
          </w:p>
        </w:tc>
        <w:tc>
          <w:tcPr>
            <w:tcW w:w="1666" w:type="pct"/>
          </w:tcPr>
          <w:p w14:paraId="02F379C1" w14:textId="7628FBFE" w:rsidR="00A96268" w:rsidRPr="00EB10EB" w:rsidRDefault="00A96268" w:rsidP="00136ED0">
            <w:pPr>
              <w:keepNext/>
              <w:keepLines/>
            </w:pPr>
            <w:r w:rsidRPr="00EB10EB">
              <w:t>12.1 (9.6)</w:t>
            </w:r>
          </w:p>
        </w:tc>
        <w:tc>
          <w:tcPr>
            <w:tcW w:w="1667" w:type="pct"/>
          </w:tcPr>
          <w:p w14:paraId="519282D5" w14:textId="179C71C3" w:rsidR="00A96268" w:rsidRDefault="00A96268" w:rsidP="00136ED0">
            <w:pPr>
              <w:keepNext/>
              <w:keepLines/>
            </w:pPr>
            <w:r>
              <w:t>3.5 (6.0)</w:t>
            </w:r>
          </w:p>
        </w:tc>
      </w:tr>
      <w:tr w:rsidR="00A96268" w14:paraId="38EF1043" w14:textId="77777777" w:rsidTr="00BF6E91">
        <w:tc>
          <w:tcPr>
            <w:tcW w:w="1666" w:type="pct"/>
          </w:tcPr>
          <w:p w14:paraId="5217C159" w14:textId="3A341E7F" w:rsidR="00A96268" w:rsidRPr="00EB10EB" w:rsidRDefault="00A96268" w:rsidP="00136ED0">
            <w:pPr>
              <w:keepNext/>
              <w:keepLines/>
            </w:pPr>
            <w:r w:rsidRPr="00EB10EB">
              <w:t xml:space="preserve">Weight loss </w:t>
            </w:r>
            <w:r w:rsidR="004329C2" w:rsidRPr="00EB10EB">
              <w:t xml:space="preserve">(kg) </w:t>
            </w:r>
            <w:r w:rsidRPr="00EB10EB">
              <w:t>at 52-weeks, Mean</w:t>
            </w:r>
            <w:r w:rsidR="004329C2" w:rsidRPr="00EB10EB">
              <w:t xml:space="preserve"> (SD)</w:t>
            </w:r>
          </w:p>
        </w:tc>
        <w:tc>
          <w:tcPr>
            <w:tcW w:w="1666" w:type="pct"/>
          </w:tcPr>
          <w:p w14:paraId="746152DD" w14:textId="7662CDB5" w:rsidR="00A96268" w:rsidRPr="00EB10EB" w:rsidRDefault="00A96268" w:rsidP="00136ED0">
            <w:pPr>
              <w:keepNext/>
              <w:keepLines/>
            </w:pPr>
            <w:r w:rsidRPr="00EB10EB">
              <w:t>14.2 (11.3)</w:t>
            </w:r>
          </w:p>
        </w:tc>
        <w:tc>
          <w:tcPr>
            <w:tcW w:w="1667" w:type="pct"/>
          </w:tcPr>
          <w:p w14:paraId="54B4D8D4" w14:textId="23666AD9" w:rsidR="00A96268" w:rsidRDefault="00A96268" w:rsidP="00136ED0">
            <w:pPr>
              <w:keepNext/>
              <w:keepLines/>
            </w:pPr>
            <w:r>
              <w:t>4.1 (7.2)</w:t>
            </w:r>
          </w:p>
        </w:tc>
      </w:tr>
      <w:tr w:rsidR="00A96268" w14:paraId="574E0C05" w14:textId="77777777" w:rsidTr="00BF6E91">
        <w:tc>
          <w:tcPr>
            <w:tcW w:w="1666" w:type="pct"/>
          </w:tcPr>
          <w:p w14:paraId="464FAC9C" w14:textId="3D3B0289" w:rsidR="00A96268" w:rsidRPr="00EB10EB" w:rsidRDefault="00BF6E91" w:rsidP="00136ED0">
            <w:pPr>
              <w:keepNext/>
              <w:keepLines/>
            </w:pPr>
            <w:r w:rsidRPr="00EB10EB">
              <w:t>Change from baseline</w:t>
            </w:r>
            <w:r w:rsidR="005915AC" w:rsidRPr="00EB10EB">
              <w:t xml:space="preserve"> IWQOL score at 52-weeks</w:t>
            </w:r>
            <w:r w:rsidRPr="00EB10EB">
              <w:t>, Mean (SD)</w:t>
            </w:r>
          </w:p>
        </w:tc>
        <w:tc>
          <w:tcPr>
            <w:tcW w:w="1666" w:type="pct"/>
          </w:tcPr>
          <w:p w14:paraId="799DC771" w14:textId="490AE0B9" w:rsidR="00A96268" w:rsidRPr="00EB10EB" w:rsidRDefault="00BF6E91" w:rsidP="00136ED0">
            <w:pPr>
              <w:keepNext/>
              <w:keepLines/>
            </w:pPr>
            <w:r w:rsidRPr="00EB10EB">
              <w:t>6.2 (13.4)</w:t>
            </w:r>
          </w:p>
        </w:tc>
        <w:tc>
          <w:tcPr>
            <w:tcW w:w="1667" w:type="pct"/>
          </w:tcPr>
          <w:p w14:paraId="34F93409" w14:textId="6A27FBFA" w:rsidR="00A96268" w:rsidRDefault="00BF6E91" w:rsidP="00136ED0">
            <w:pPr>
              <w:keepNext/>
              <w:keepLines/>
            </w:pPr>
            <w:r>
              <w:t>3.3 (10.0)</w:t>
            </w:r>
          </w:p>
        </w:tc>
      </w:tr>
      <w:tr w:rsidR="00BF6E91" w14:paraId="0EE4EDF3" w14:textId="77777777" w:rsidTr="00EB10EB">
        <w:tc>
          <w:tcPr>
            <w:tcW w:w="1666" w:type="pct"/>
          </w:tcPr>
          <w:p w14:paraId="682FF1FB" w14:textId="3B5A82CD" w:rsidR="00BF6E91" w:rsidRPr="00EB10EB" w:rsidRDefault="00BF6E91" w:rsidP="00136ED0">
            <w:pPr>
              <w:keepNext/>
              <w:keepLines/>
            </w:pPr>
            <w:r w:rsidRPr="00EB10EB">
              <w:t>Difference in IWQOL</w:t>
            </w:r>
          </w:p>
        </w:tc>
        <w:tc>
          <w:tcPr>
            <w:tcW w:w="3334" w:type="pct"/>
            <w:gridSpan w:val="2"/>
          </w:tcPr>
          <w:p w14:paraId="00B73124" w14:textId="4705323B" w:rsidR="00BF6E91" w:rsidRPr="00EB10EB" w:rsidRDefault="00BF6E91" w:rsidP="00136ED0">
            <w:pPr>
              <w:keepNext/>
              <w:keepLines/>
              <w:jc w:val="center"/>
            </w:pPr>
            <w:r w:rsidRPr="00EB10EB">
              <w:t>2.9 (12.5), P=0.03</w:t>
            </w:r>
          </w:p>
        </w:tc>
      </w:tr>
    </w:tbl>
    <w:p w14:paraId="07D39681" w14:textId="5B418DFB" w:rsidR="00A96268" w:rsidRDefault="00A96268" w:rsidP="00135092">
      <w:pPr>
        <w:spacing w:after="0"/>
      </w:pPr>
    </w:p>
    <w:p w14:paraId="7CF0BC15" w14:textId="1BA9A519" w:rsidR="00A96268" w:rsidRDefault="00BF6E91" w:rsidP="0098015B">
      <w:r>
        <w:t xml:space="preserve">In consideration of the outcomes </w:t>
      </w:r>
      <w:r w:rsidR="00F976A5">
        <w:t>presented</w:t>
      </w:r>
      <w:r>
        <w:t xml:space="preserve"> in </w:t>
      </w:r>
      <w:r>
        <w:fldChar w:fldCharType="begin"/>
      </w:r>
      <w:r>
        <w:instrText xml:space="preserve"> REF _Ref528509218 \h </w:instrText>
      </w:r>
      <w:r>
        <w:fldChar w:fldCharType="separate"/>
      </w:r>
      <w:r>
        <w:t xml:space="preserve">Table </w:t>
      </w:r>
      <w:r>
        <w:rPr>
          <w:noProof/>
        </w:rPr>
        <w:t>8</w:t>
      </w:r>
      <w:r>
        <w:fldChar w:fldCharType="end"/>
      </w:r>
      <w:r>
        <w:t xml:space="preserve"> showing increased weight loss for patients treated using aspiration therapy</w:t>
      </w:r>
      <w:r w:rsidR="00F976A5">
        <w:t xml:space="preserve">, as well as </w:t>
      </w:r>
      <w:r>
        <w:t xml:space="preserve">the guidance for selecting the appropriate form of economic evaluation </w:t>
      </w:r>
      <w:r w:rsidR="00204437">
        <w:t xml:space="preserve">outlined in the </w:t>
      </w:r>
      <w:r w:rsidR="00204437">
        <w:rPr>
          <w:i/>
        </w:rPr>
        <w:t>Technical Guidelines for preparing assessment reports for the Medical Services Advisory Committee – Medical Service Type: Therapeutic (Version 2.0)</w:t>
      </w:r>
      <w:r w:rsidR="00F976A5">
        <w:t xml:space="preserve">, </w:t>
      </w:r>
      <w:r w:rsidR="00204437" w:rsidRPr="00204437">
        <w:t>a</w:t>
      </w:r>
      <w:r w:rsidR="00204437">
        <w:t xml:space="preserve"> cost-utility analysis (CUA) would be an appropriate form of economic evaluation. A cost-utility analysis would allow the economic evaluation to incorporate differences in efficacy (e.g. weight loss parameters), safety (e.g. complications arising from placement of the percutaneous gastrostomy tube and use of aspiration therapy) and quality-of-life (IWQOL score) reported in the head-to-head trial of aspiration therapy plus lifestyle </w:t>
      </w:r>
      <w:r w:rsidR="003D1336">
        <w:t>modifications</w:t>
      </w:r>
      <w:r w:rsidR="00204437">
        <w:t xml:space="preserve"> versus lifestyle </w:t>
      </w:r>
      <w:r w:rsidR="003D1336">
        <w:t>modifications</w:t>
      </w:r>
      <w:r w:rsidR="00204437">
        <w:t xml:space="preserve"> alone.</w:t>
      </w:r>
    </w:p>
    <w:p w14:paraId="13162464" w14:textId="2035460C" w:rsidR="00B67FC1" w:rsidRDefault="00B67FC1" w:rsidP="00B67FC1">
      <w:pPr>
        <w:pStyle w:val="Caption"/>
      </w:pPr>
      <w:r>
        <w:t xml:space="preserve">Table </w:t>
      </w:r>
      <w:r>
        <w:fldChar w:fldCharType="begin"/>
      </w:r>
      <w:r>
        <w:instrText xml:space="preserve"> SEQ Table \* ARABIC </w:instrText>
      </w:r>
      <w:r>
        <w:fldChar w:fldCharType="separate"/>
      </w:r>
      <w:r>
        <w:rPr>
          <w:noProof/>
        </w:rPr>
        <w:t>9</w:t>
      </w:r>
      <w:r>
        <w:fldChar w:fldCharType="end"/>
      </w:r>
      <w:r>
        <w:t>: Classification of the clinical claims and guide to the suitable type of economic evaluation for MSAC assessment reports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lassification of the clinical claims and guide to the suitable type of economic evaluation for MSAC assessment reports"/>
      </w:tblPr>
      <w:tblGrid>
        <w:gridCol w:w="1899"/>
        <w:gridCol w:w="1781"/>
        <w:gridCol w:w="1781"/>
        <w:gridCol w:w="1781"/>
        <w:gridCol w:w="1779"/>
      </w:tblGrid>
      <w:tr w:rsidR="00204437" w:rsidRPr="004F4632" w14:paraId="4B76641D" w14:textId="77777777" w:rsidTr="00553D3B">
        <w:tc>
          <w:tcPr>
            <w:tcW w:w="1053" w:type="pct"/>
            <w:tcBorders>
              <w:top w:val="nil"/>
              <w:left w:val="nil"/>
            </w:tcBorders>
            <w:shd w:val="clear" w:color="auto" w:fill="auto"/>
          </w:tcPr>
          <w:p w14:paraId="0470F272" w14:textId="10CFDA01" w:rsidR="00204437" w:rsidRPr="004F4632" w:rsidRDefault="00204437" w:rsidP="00B12718">
            <w:pPr>
              <w:pStyle w:val="TableHeading"/>
            </w:pPr>
          </w:p>
        </w:tc>
        <w:tc>
          <w:tcPr>
            <w:tcW w:w="3947" w:type="pct"/>
            <w:gridSpan w:val="4"/>
            <w:shd w:val="clear" w:color="auto" w:fill="auto"/>
          </w:tcPr>
          <w:p w14:paraId="7C11A1BA" w14:textId="77777777" w:rsidR="00204437" w:rsidRPr="004F4632" w:rsidRDefault="00204437" w:rsidP="00B12718">
            <w:pPr>
              <w:pStyle w:val="TableHeading"/>
              <w:jc w:val="center"/>
            </w:pPr>
            <w:r w:rsidRPr="004F4632">
              <w:t>Comparative effectiveness</w:t>
            </w:r>
          </w:p>
        </w:tc>
      </w:tr>
      <w:tr w:rsidR="00204437" w:rsidRPr="004F4632" w14:paraId="16F8C9B4" w14:textId="77777777" w:rsidTr="00204437">
        <w:tc>
          <w:tcPr>
            <w:tcW w:w="1053" w:type="pct"/>
            <w:shd w:val="clear" w:color="auto" w:fill="auto"/>
          </w:tcPr>
          <w:p w14:paraId="17EB9D01" w14:textId="103A17E4" w:rsidR="00204437" w:rsidRPr="004F4632" w:rsidRDefault="00553D3B" w:rsidP="00B12718">
            <w:pPr>
              <w:pStyle w:val="TableHeading"/>
            </w:pPr>
            <w:r w:rsidRPr="004F4632">
              <w:t>Comparative safety</w:t>
            </w:r>
          </w:p>
        </w:tc>
        <w:tc>
          <w:tcPr>
            <w:tcW w:w="987" w:type="pct"/>
            <w:shd w:val="clear" w:color="auto" w:fill="auto"/>
          </w:tcPr>
          <w:p w14:paraId="44F2FB7E" w14:textId="77777777" w:rsidR="00204437" w:rsidRPr="004F4632" w:rsidRDefault="00204437" w:rsidP="00B12718">
            <w:pPr>
              <w:pStyle w:val="TableHeading"/>
              <w:jc w:val="center"/>
            </w:pPr>
            <w:r w:rsidRPr="004F4632">
              <w:t>Inferior</w:t>
            </w:r>
          </w:p>
        </w:tc>
        <w:tc>
          <w:tcPr>
            <w:tcW w:w="987" w:type="pct"/>
            <w:shd w:val="clear" w:color="auto" w:fill="auto"/>
          </w:tcPr>
          <w:p w14:paraId="38A6D93B" w14:textId="77777777" w:rsidR="00204437" w:rsidRPr="004F4632" w:rsidRDefault="00204437" w:rsidP="00B12718">
            <w:pPr>
              <w:pStyle w:val="TableHeading"/>
              <w:jc w:val="center"/>
            </w:pPr>
            <w:r w:rsidRPr="004F4632">
              <w:t>Uncertain</w:t>
            </w:r>
            <w:r w:rsidRPr="004F4632">
              <w:rPr>
                <w:vertAlign w:val="superscript"/>
              </w:rPr>
              <w:t xml:space="preserve"> a</w:t>
            </w:r>
          </w:p>
        </w:tc>
        <w:tc>
          <w:tcPr>
            <w:tcW w:w="987" w:type="pct"/>
            <w:shd w:val="clear" w:color="auto" w:fill="auto"/>
          </w:tcPr>
          <w:p w14:paraId="73E878B5" w14:textId="77777777" w:rsidR="00204437" w:rsidRPr="004F4632" w:rsidRDefault="00204437" w:rsidP="00B12718">
            <w:pPr>
              <w:pStyle w:val="TableHeading"/>
              <w:jc w:val="center"/>
            </w:pPr>
            <w:r w:rsidRPr="004F4632">
              <w:t>Non-</w:t>
            </w:r>
          </w:p>
        </w:tc>
        <w:tc>
          <w:tcPr>
            <w:tcW w:w="986" w:type="pct"/>
            <w:shd w:val="clear" w:color="auto" w:fill="auto"/>
          </w:tcPr>
          <w:p w14:paraId="386BB483" w14:textId="77777777" w:rsidR="00204437" w:rsidRPr="004F4632" w:rsidRDefault="00204437" w:rsidP="00B12718">
            <w:pPr>
              <w:pStyle w:val="TableHeading"/>
              <w:jc w:val="center"/>
            </w:pPr>
            <w:r w:rsidRPr="004F4632">
              <w:t>Superior</w:t>
            </w:r>
          </w:p>
        </w:tc>
      </w:tr>
      <w:tr w:rsidR="00204437" w:rsidRPr="004F4632" w14:paraId="6E4E8D31" w14:textId="77777777" w:rsidTr="00204437">
        <w:tc>
          <w:tcPr>
            <w:tcW w:w="1053" w:type="pct"/>
            <w:shd w:val="clear" w:color="auto" w:fill="auto"/>
          </w:tcPr>
          <w:p w14:paraId="615EB623" w14:textId="77777777" w:rsidR="00204437" w:rsidRPr="004F4632" w:rsidRDefault="00204437" w:rsidP="00B12718">
            <w:pPr>
              <w:pStyle w:val="TableText"/>
              <w:rPr>
                <w:b/>
              </w:rPr>
            </w:pPr>
            <w:r w:rsidRPr="004F4632">
              <w:rPr>
                <w:b/>
              </w:rPr>
              <w:t>Inferior</w:t>
            </w:r>
          </w:p>
        </w:tc>
        <w:tc>
          <w:tcPr>
            <w:tcW w:w="987" w:type="pct"/>
            <w:shd w:val="clear" w:color="auto" w:fill="auto"/>
          </w:tcPr>
          <w:p w14:paraId="097E3BF4" w14:textId="77777777" w:rsidR="00204437" w:rsidRPr="004F4632" w:rsidRDefault="00204437" w:rsidP="00B12718">
            <w:pPr>
              <w:pStyle w:val="TableText"/>
              <w:jc w:val="center"/>
            </w:pPr>
            <w:r w:rsidRPr="004F4632">
              <w:t>Health forgone: need other supportive factors</w:t>
            </w:r>
          </w:p>
        </w:tc>
        <w:tc>
          <w:tcPr>
            <w:tcW w:w="987" w:type="pct"/>
            <w:shd w:val="clear" w:color="auto" w:fill="auto"/>
          </w:tcPr>
          <w:p w14:paraId="4ACEADF2" w14:textId="77777777" w:rsidR="00204437" w:rsidRPr="004F4632" w:rsidRDefault="00204437" w:rsidP="00B12718">
            <w:pPr>
              <w:pStyle w:val="TableText"/>
              <w:jc w:val="center"/>
            </w:pPr>
            <w:r w:rsidRPr="004F4632">
              <w:t>Health foregone possible: need other supportive factors</w:t>
            </w:r>
          </w:p>
        </w:tc>
        <w:tc>
          <w:tcPr>
            <w:tcW w:w="987" w:type="pct"/>
            <w:shd w:val="clear" w:color="auto" w:fill="auto"/>
          </w:tcPr>
          <w:p w14:paraId="75F4007E" w14:textId="77777777" w:rsidR="00204437" w:rsidRPr="004F4632" w:rsidRDefault="00204437" w:rsidP="00B12718">
            <w:pPr>
              <w:pStyle w:val="TableText"/>
              <w:jc w:val="center"/>
            </w:pPr>
            <w:r w:rsidRPr="004F4632">
              <w:t>Health foregone: need other supportive factors</w:t>
            </w:r>
          </w:p>
        </w:tc>
        <w:tc>
          <w:tcPr>
            <w:tcW w:w="986" w:type="pct"/>
            <w:shd w:val="clear" w:color="auto" w:fill="auto"/>
          </w:tcPr>
          <w:p w14:paraId="2CC3CAF9" w14:textId="77777777" w:rsidR="00204437" w:rsidRPr="004F4632" w:rsidRDefault="00204437" w:rsidP="00B12718">
            <w:pPr>
              <w:pStyle w:val="TableText"/>
              <w:jc w:val="center"/>
            </w:pPr>
            <w:r w:rsidRPr="004F4632">
              <w:t>? Likely CUA</w:t>
            </w:r>
          </w:p>
        </w:tc>
      </w:tr>
      <w:tr w:rsidR="00204437" w:rsidRPr="004F4632" w14:paraId="09332C43" w14:textId="77777777" w:rsidTr="00204437">
        <w:tc>
          <w:tcPr>
            <w:tcW w:w="1053" w:type="pct"/>
            <w:shd w:val="clear" w:color="auto" w:fill="auto"/>
          </w:tcPr>
          <w:p w14:paraId="568B8FBA" w14:textId="77777777" w:rsidR="00204437" w:rsidRPr="004F4632" w:rsidRDefault="00204437" w:rsidP="00B12718">
            <w:pPr>
              <w:pStyle w:val="TableText"/>
              <w:rPr>
                <w:b/>
              </w:rPr>
            </w:pPr>
            <w:r w:rsidRPr="004F4632">
              <w:rPr>
                <w:b/>
              </w:rPr>
              <w:t>Uncertain</w:t>
            </w:r>
            <w:r w:rsidRPr="004F4632">
              <w:rPr>
                <w:b/>
                <w:vertAlign w:val="superscript"/>
              </w:rPr>
              <w:t xml:space="preserve"> a</w:t>
            </w:r>
          </w:p>
        </w:tc>
        <w:tc>
          <w:tcPr>
            <w:tcW w:w="987" w:type="pct"/>
            <w:shd w:val="clear" w:color="auto" w:fill="auto"/>
          </w:tcPr>
          <w:p w14:paraId="4315C762" w14:textId="77777777" w:rsidR="00204437" w:rsidRPr="004F4632" w:rsidRDefault="00204437" w:rsidP="00B12718">
            <w:pPr>
              <w:pStyle w:val="TableText"/>
              <w:jc w:val="center"/>
            </w:pPr>
            <w:r w:rsidRPr="004F4632">
              <w:t>Health foregone possible: need other supportive factors</w:t>
            </w:r>
          </w:p>
        </w:tc>
        <w:tc>
          <w:tcPr>
            <w:tcW w:w="987" w:type="pct"/>
            <w:shd w:val="clear" w:color="auto" w:fill="auto"/>
          </w:tcPr>
          <w:p w14:paraId="358EDB43" w14:textId="77777777" w:rsidR="00204437" w:rsidRPr="004F4632" w:rsidRDefault="00204437" w:rsidP="00B12718">
            <w:pPr>
              <w:pStyle w:val="TableText"/>
              <w:jc w:val="center"/>
            </w:pPr>
            <w:r w:rsidRPr="004F4632">
              <w:t>?</w:t>
            </w:r>
          </w:p>
        </w:tc>
        <w:tc>
          <w:tcPr>
            <w:tcW w:w="987" w:type="pct"/>
            <w:shd w:val="clear" w:color="auto" w:fill="auto"/>
          </w:tcPr>
          <w:p w14:paraId="447E58F4" w14:textId="77777777" w:rsidR="00204437" w:rsidRPr="004F4632" w:rsidRDefault="00204437" w:rsidP="00B12718">
            <w:pPr>
              <w:pStyle w:val="TableText"/>
              <w:jc w:val="center"/>
            </w:pPr>
            <w:r w:rsidRPr="004F4632">
              <w:t>?</w:t>
            </w:r>
          </w:p>
        </w:tc>
        <w:tc>
          <w:tcPr>
            <w:tcW w:w="986" w:type="pct"/>
            <w:shd w:val="clear" w:color="auto" w:fill="auto"/>
          </w:tcPr>
          <w:p w14:paraId="3E276AA6" w14:textId="77777777" w:rsidR="00204437" w:rsidRPr="004F4632" w:rsidRDefault="00204437" w:rsidP="00B12718">
            <w:pPr>
              <w:pStyle w:val="TableText"/>
              <w:jc w:val="center"/>
            </w:pPr>
            <w:r w:rsidRPr="004F4632">
              <w:t>? Likely CEA/CUA</w:t>
            </w:r>
          </w:p>
        </w:tc>
      </w:tr>
      <w:tr w:rsidR="00204437" w:rsidRPr="004F4632" w14:paraId="00BBD71E" w14:textId="77777777" w:rsidTr="00204437">
        <w:tc>
          <w:tcPr>
            <w:tcW w:w="1053" w:type="pct"/>
            <w:shd w:val="clear" w:color="auto" w:fill="auto"/>
          </w:tcPr>
          <w:p w14:paraId="0B35C489" w14:textId="77777777" w:rsidR="00204437" w:rsidRPr="004F4632" w:rsidRDefault="00204437" w:rsidP="00B12718">
            <w:pPr>
              <w:pStyle w:val="TableText"/>
              <w:rPr>
                <w:b/>
              </w:rPr>
            </w:pPr>
            <w:r w:rsidRPr="004F4632">
              <w:rPr>
                <w:b/>
              </w:rPr>
              <w:t>Non-</w:t>
            </w:r>
          </w:p>
        </w:tc>
        <w:tc>
          <w:tcPr>
            <w:tcW w:w="987" w:type="pct"/>
            <w:shd w:val="clear" w:color="auto" w:fill="auto"/>
          </w:tcPr>
          <w:p w14:paraId="28C1661B" w14:textId="77777777" w:rsidR="00204437" w:rsidRPr="004F4632" w:rsidRDefault="00204437" w:rsidP="00B12718">
            <w:pPr>
              <w:pStyle w:val="TableText"/>
              <w:jc w:val="center"/>
            </w:pPr>
            <w:r w:rsidRPr="004F4632">
              <w:t>Health forgone: need other supportive factors</w:t>
            </w:r>
          </w:p>
        </w:tc>
        <w:tc>
          <w:tcPr>
            <w:tcW w:w="987" w:type="pct"/>
            <w:shd w:val="clear" w:color="auto" w:fill="auto"/>
          </w:tcPr>
          <w:p w14:paraId="1E76E557" w14:textId="77777777" w:rsidR="00204437" w:rsidRPr="004F4632" w:rsidRDefault="00204437" w:rsidP="00B12718">
            <w:pPr>
              <w:pStyle w:val="TableText"/>
              <w:jc w:val="center"/>
            </w:pPr>
            <w:r w:rsidRPr="004F4632">
              <w:t>?</w:t>
            </w:r>
          </w:p>
        </w:tc>
        <w:tc>
          <w:tcPr>
            <w:tcW w:w="987" w:type="pct"/>
            <w:shd w:val="clear" w:color="auto" w:fill="auto"/>
          </w:tcPr>
          <w:p w14:paraId="5248F1AD" w14:textId="77777777" w:rsidR="00204437" w:rsidRPr="004F4632" w:rsidRDefault="00204437" w:rsidP="00B12718">
            <w:pPr>
              <w:pStyle w:val="TableText"/>
              <w:jc w:val="center"/>
            </w:pPr>
            <w:r w:rsidRPr="004F4632">
              <w:t>CMA</w:t>
            </w:r>
          </w:p>
        </w:tc>
        <w:tc>
          <w:tcPr>
            <w:tcW w:w="986" w:type="pct"/>
            <w:shd w:val="clear" w:color="auto" w:fill="auto"/>
          </w:tcPr>
          <w:p w14:paraId="536C6718" w14:textId="77777777" w:rsidR="00204437" w:rsidRPr="004F4632" w:rsidRDefault="00204437" w:rsidP="00B12718">
            <w:pPr>
              <w:pStyle w:val="TableText"/>
              <w:jc w:val="center"/>
            </w:pPr>
            <w:r w:rsidRPr="004F4632">
              <w:t>CEA/CUA</w:t>
            </w:r>
          </w:p>
        </w:tc>
      </w:tr>
      <w:tr w:rsidR="00204437" w:rsidRPr="004F4632" w14:paraId="111E3D07" w14:textId="77777777" w:rsidTr="00204437">
        <w:tc>
          <w:tcPr>
            <w:tcW w:w="1053" w:type="pct"/>
            <w:shd w:val="clear" w:color="auto" w:fill="auto"/>
          </w:tcPr>
          <w:p w14:paraId="413853BE" w14:textId="77777777" w:rsidR="00204437" w:rsidRPr="004F4632" w:rsidRDefault="00204437" w:rsidP="00B12718">
            <w:pPr>
              <w:pStyle w:val="TableText"/>
              <w:rPr>
                <w:b/>
              </w:rPr>
            </w:pPr>
            <w:r w:rsidRPr="004F4632">
              <w:rPr>
                <w:b/>
              </w:rPr>
              <w:t>Superior</w:t>
            </w:r>
          </w:p>
        </w:tc>
        <w:tc>
          <w:tcPr>
            <w:tcW w:w="987" w:type="pct"/>
            <w:shd w:val="clear" w:color="auto" w:fill="auto"/>
          </w:tcPr>
          <w:p w14:paraId="28F1828F" w14:textId="77777777" w:rsidR="00204437" w:rsidRPr="004F4632" w:rsidRDefault="00204437" w:rsidP="00B12718">
            <w:pPr>
              <w:pStyle w:val="TableText"/>
              <w:jc w:val="center"/>
            </w:pPr>
            <w:r w:rsidRPr="004F4632">
              <w:t>? Likely CUA</w:t>
            </w:r>
          </w:p>
        </w:tc>
        <w:tc>
          <w:tcPr>
            <w:tcW w:w="987" w:type="pct"/>
            <w:shd w:val="clear" w:color="auto" w:fill="auto"/>
          </w:tcPr>
          <w:p w14:paraId="542A616B" w14:textId="77777777" w:rsidR="00204437" w:rsidRPr="004F4632" w:rsidRDefault="00204437" w:rsidP="00B12718">
            <w:pPr>
              <w:pStyle w:val="TableText"/>
              <w:jc w:val="center"/>
            </w:pPr>
            <w:r w:rsidRPr="004F4632">
              <w:t>? Likely CUA</w:t>
            </w:r>
          </w:p>
        </w:tc>
        <w:tc>
          <w:tcPr>
            <w:tcW w:w="987" w:type="pct"/>
            <w:shd w:val="clear" w:color="auto" w:fill="auto"/>
          </w:tcPr>
          <w:p w14:paraId="78E82BEC" w14:textId="77777777" w:rsidR="00204437" w:rsidRPr="004F4632" w:rsidRDefault="00204437" w:rsidP="00B12718">
            <w:pPr>
              <w:pStyle w:val="TableText"/>
              <w:jc w:val="center"/>
            </w:pPr>
            <w:r w:rsidRPr="004F4632">
              <w:t>? Likely CEA/CUA</w:t>
            </w:r>
          </w:p>
        </w:tc>
        <w:tc>
          <w:tcPr>
            <w:tcW w:w="986" w:type="pct"/>
            <w:shd w:val="clear" w:color="auto" w:fill="auto"/>
          </w:tcPr>
          <w:p w14:paraId="7DE9E5B5" w14:textId="77777777" w:rsidR="00204437" w:rsidRPr="004F4632" w:rsidRDefault="00204437" w:rsidP="00B12718">
            <w:pPr>
              <w:pStyle w:val="TableText"/>
              <w:jc w:val="center"/>
            </w:pPr>
            <w:r w:rsidRPr="004F4632">
              <w:t>CEA/CUA</w:t>
            </w:r>
          </w:p>
        </w:tc>
      </w:tr>
    </w:tbl>
    <w:p w14:paraId="5B4B522A" w14:textId="77777777" w:rsidR="00B67FC1" w:rsidRDefault="00B67FC1" w:rsidP="00B67FC1">
      <w:pPr>
        <w:spacing w:after="0" w:line="240" w:lineRule="auto"/>
        <w:rPr>
          <w:sz w:val="18"/>
          <w:szCs w:val="18"/>
        </w:rPr>
      </w:pPr>
      <w:r w:rsidRPr="00B67FC1">
        <w:rPr>
          <w:sz w:val="18"/>
          <w:szCs w:val="18"/>
        </w:rPr>
        <w:t>CEA = cost-effectiveness analysis; CMA = cost-minimisation analysis; CUA = cost-utility analysis</w:t>
      </w:r>
    </w:p>
    <w:p w14:paraId="7CEA555A" w14:textId="4042BCA1" w:rsidR="00B67FC1" w:rsidRPr="00B67FC1" w:rsidRDefault="00B67FC1" w:rsidP="00B67FC1">
      <w:pPr>
        <w:spacing w:after="0" w:line="240" w:lineRule="auto"/>
        <w:rPr>
          <w:sz w:val="18"/>
          <w:szCs w:val="18"/>
        </w:rPr>
      </w:pPr>
      <w:r w:rsidRPr="00B67FC1">
        <w:rPr>
          <w:sz w:val="18"/>
          <w:szCs w:val="18"/>
        </w:rPr>
        <w:t>?</w:t>
      </w:r>
      <w:r>
        <w:rPr>
          <w:sz w:val="18"/>
          <w:szCs w:val="18"/>
        </w:rPr>
        <w:t xml:space="preserve"> </w:t>
      </w:r>
      <w:r w:rsidRPr="00B67FC1">
        <w:rPr>
          <w:sz w:val="18"/>
          <w:szCs w:val="18"/>
        </w:rPr>
        <w:t>=</w:t>
      </w:r>
      <w:r>
        <w:rPr>
          <w:sz w:val="18"/>
          <w:szCs w:val="18"/>
        </w:rPr>
        <w:t xml:space="preserve"> </w:t>
      </w:r>
      <w:r w:rsidRPr="00B67FC1">
        <w:rPr>
          <w:sz w:val="18"/>
          <w:szCs w:val="18"/>
        </w:rPr>
        <w:t>reflects uncertainties and any identified health trade-offs in the economic evaluation, as a minimum in a cost-consequences analysis</w:t>
      </w:r>
    </w:p>
    <w:p w14:paraId="57B98D5C" w14:textId="6677E134" w:rsidR="003D1336" w:rsidRDefault="003D1336">
      <w:r>
        <w:br w:type="page"/>
      </w:r>
    </w:p>
    <w:p w14:paraId="77870CF5" w14:textId="77777777" w:rsidR="00752491" w:rsidRDefault="00752491" w:rsidP="00752491">
      <w:pPr>
        <w:pStyle w:val="Heading2"/>
        <w:spacing w:line="240" w:lineRule="auto"/>
        <w:jc w:val="both"/>
        <w:rPr>
          <w:color w:val="548DD4"/>
        </w:rPr>
      </w:pPr>
      <w:r>
        <w:rPr>
          <w:color w:val="548DD4"/>
        </w:rPr>
        <w:lastRenderedPageBreak/>
        <w:t>Proposed item descriptor</w:t>
      </w:r>
    </w:p>
    <w:p w14:paraId="6D2EB86F" w14:textId="058D41F1" w:rsidR="00AE7075" w:rsidRPr="00AE7075" w:rsidRDefault="00AE7075" w:rsidP="00AE7075">
      <w:r>
        <w:t xml:space="preserve">The </w:t>
      </w:r>
      <w:r w:rsidR="00B47942">
        <w:t xml:space="preserve">MBS item descriptor </w:t>
      </w:r>
      <w:r w:rsidR="00431202">
        <w:t>proposed</w:t>
      </w:r>
      <w:r w:rsidR="00B47942">
        <w:t xml:space="preserve"> by the applicant is outlined below.</w:t>
      </w:r>
    </w:p>
    <w:tbl>
      <w:tblPr>
        <w:tblStyle w:val="TableGrid"/>
        <w:tblW w:w="0" w:type="auto"/>
        <w:tblLook w:val="04A0" w:firstRow="1" w:lastRow="0" w:firstColumn="1" w:lastColumn="0" w:noHBand="0" w:noVBand="1"/>
        <w:tblCaption w:val="Proposed Item Descriptor Table"/>
      </w:tblPr>
      <w:tblGrid>
        <w:gridCol w:w="9016"/>
      </w:tblGrid>
      <w:tr w:rsidR="008C3E5E" w:rsidRPr="002B6C98" w14:paraId="77870CF8" w14:textId="77777777" w:rsidTr="002B6C98">
        <w:trPr>
          <w:cantSplit/>
          <w:tblHeader/>
        </w:trPr>
        <w:tc>
          <w:tcPr>
            <w:tcW w:w="9016" w:type="dxa"/>
          </w:tcPr>
          <w:p w14:paraId="77870CF7" w14:textId="1E1587B4" w:rsidR="008C3E5E" w:rsidRPr="002B6C98" w:rsidRDefault="00B47942" w:rsidP="002B6C98">
            <w:r w:rsidRPr="002B6C98">
              <w:t>T8. SURGICAL OPERATIONS</w:t>
            </w:r>
            <w:r w:rsidR="008C3E5E" w:rsidRPr="002B6C98">
              <w:t xml:space="preserve"> – </w:t>
            </w:r>
            <w:r w:rsidRPr="002B6C98">
              <w:t>1.GENERAL</w:t>
            </w:r>
          </w:p>
        </w:tc>
      </w:tr>
      <w:tr w:rsidR="008C3E5E" w:rsidRPr="00895BCC" w14:paraId="77870CFC" w14:textId="77777777" w:rsidTr="002B6C98">
        <w:trPr>
          <w:cantSplit/>
          <w:tblHeader/>
        </w:trPr>
        <w:tc>
          <w:tcPr>
            <w:tcW w:w="9016" w:type="dxa"/>
          </w:tcPr>
          <w:p w14:paraId="32F6D83D" w14:textId="77777777" w:rsidR="00B47942" w:rsidRPr="00B47942" w:rsidRDefault="00B47942" w:rsidP="00B47942">
            <w:r w:rsidRPr="00B47942">
              <w:t>PERCUTANEOUS GASTROSTOMY (initial procedure):</w:t>
            </w:r>
          </w:p>
          <w:p w14:paraId="42D273FA" w14:textId="77777777" w:rsidR="00B47942" w:rsidRPr="00B47942" w:rsidRDefault="00B47942" w:rsidP="00B47942">
            <w:r w:rsidRPr="00B47942">
              <w:t>(a) including any associated imaging services; and</w:t>
            </w:r>
          </w:p>
          <w:p w14:paraId="1EB8132A" w14:textId="77777777" w:rsidR="00B47942" w:rsidRPr="00B47942" w:rsidRDefault="00B47942" w:rsidP="00B47942">
            <w:r w:rsidRPr="00B47942">
              <w:t xml:space="preserve">(b) including the insertion of a device for </w:t>
            </w:r>
            <w:bookmarkStart w:id="16" w:name="_GoBack"/>
            <w:bookmarkEnd w:id="16"/>
            <w:r w:rsidRPr="00B47942">
              <w:t>the purpose of facilitating weight loss for patients with a BMI ≥ 35.</w:t>
            </w:r>
          </w:p>
          <w:p w14:paraId="16C407D4" w14:textId="5FEC6DA7" w:rsidR="00B47942" w:rsidRPr="00B47942" w:rsidRDefault="00B47942" w:rsidP="00B47942">
            <w:r w:rsidRPr="00B47942">
              <w:t>Multiple Services Rule</w:t>
            </w:r>
          </w:p>
          <w:p w14:paraId="796D141F" w14:textId="672C6E3F" w:rsidR="00B47942" w:rsidRPr="00B47942" w:rsidRDefault="00B47942" w:rsidP="00B47942">
            <w:r w:rsidRPr="00B47942">
              <w:t xml:space="preserve">(Anaes.) </w:t>
            </w:r>
          </w:p>
          <w:p w14:paraId="5A122488" w14:textId="2E8E601F" w:rsidR="00B47942" w:rsidRPr="00B47942" w:rsidRDefault="00B47942" w:rsidP="00B47942">
            <w:r w:rsidRPr="00B47942">
              <w:t>(See para TN.8.17 of explanatory notes to this Category)</w:t>
            </w:r>
          </w:p>
          <w:p w14:paraId="77870CFA" w14:textId="77777777" w:rsidR="008C3E5E" w:rsidRPr="00895BCC" w:rsidRDefault="008C3E5E" w:rsidP="00E364F7">
            <w:pPr>
              <w:rPr>
                <w:u w:val="dotted" w:color="FF0000"/>
              </w:rPr>
            </w:pPr>
          </w:p>
          <w:p w14:paraId="77870CFB" w14:textId="5E8E7250" w:rsidR="008C3E5E" w:rsidRPr="00895BCC" w:rsidRDefault="00B47942" w:rsidP="00B47942">
            <w:pPr>
              <w:rPr>
                <w:u w:val="dotted" w:color="FF0000"/>
              </w:rPr>
            </w:pPr>
            <w:r w:rsidRPr="00B47942">
              <w:rPr>
                <w:b/>
              </w:rPr>
              <w:t>Fee:</w:t>
            </w:r>
            <w:r w:rsidRPr="00B47942">
              <w:t xml:space="preserve"> $357.00</w:t>
            </w:r>
            <w:r>
              <w:t xml:space="preserve">  </w:t>
            </w:r>
            <w:r w:rsidR="00135092">
              <w:t xml:space="preserve"> </w:t>
            </w:r>
            <w:r w:rsidRPr="00B47942">
              <w:rPr>
                <w:b/>
              </w:rPr>
              <w:t>Benefit:</w:t>
            </w:r>
            <w:r w:rsidRPr="00B47942">
              <w:t xml:space="preserve"> 75% = $267.75 </w:t>
            </w:r>
            <w:r w:rsidR="00553D3B">
              <w:t xml:space="preserve"> </w:t>
            </w:r>
            <w:r w:rsidR="00135092">
              <w:t xml:space="preserve"> </w:t>
            </w:r>
            <w:r w:rsidRPr="00B47942">
              <w:t>85% = $303.45</w:t>
            </w:r>
          </w:p>
        </w:tc>
      </w:tr>
    </w:tbl>
    <w:p w14:paraId="77870CFD" w14:textId="23A5DB0B" w:rsidR="008C3E5E" w:rsidRDefault="008C3E5E" w:rsidP="00135092">
      <w:pPr>
        <w:spacing w:after="0"/>
      </w:pPr>
    </w:p>
    <w:p w14:paraId="431A34F2" w14:textId="50BC7CE5" w:rsidR="00C909D4" w:rsidRDefault="00A90385" w:rsidP="00E364F7">
      <w:r>
        <w:t xml:space="preserve">PASC noted that the applicant </w:t>
      </w:r>
      <w:r w:rsidRPr="002D70D7">
        <w:t>only request</w:t>
      </w:r>
      <w:r>
        <w:t>ed</w:t>
      </w:r>
      <w:r w:rsidRPr="002D70D7">
        <w:t xml:space="preserve"> an MBS item associated with the </w:t>
      </w:r>
      <w:r>
        <w:t xml:space="preserve">initial </w:t>
      </w:r>
      <w:r w:rsidRPr="00C212EC">
        <w:t>placement of the percutaneous endoscopic gastrostomy tube (</w:t>
      </w:r>
      <w:r>
        <w:t>A-Tube™</w:t>
      </w:r>
      <w:r w:rsidRPr="00C212EC">
        <w:t xml:space="preserve">) </w:t>
      </w:r>
      <w:r>
        <w:t xml:space="preserve">that is </w:t>
      </w:r>
      <w:r w:rsidRPr="00C212EC">
        <w:t>required for aspiration therapy</w:t>
      </w:r>
      <w:r w:rsidR="00A3449A">
        <w:t>. At the December 2019 meeting</w:t>
      </w:r>
      <w:r w:rsidR="00135092">
        <w:t>,</w:t>
      </w:r>
      <w:r w:rsidR="00A3449A">
        <w:t xml:space="preserve"> PASC </w:t>
      </w:r>
      <w:r w:rsidR="008602BC">
        <w:t xml:space="preserve">noted that </w:t>
      </w:r>
      <w:r w:rsidR="00C909D4">
        <w:t>separate MBS items would be required for:</w:t>
      </w:r>
    </w:p>
    <w:p w14:paraId="3DFBB02B" w14:textId="4B96DEE2" w:rsidR="00B26DE3" w:rsidRDefault="00A1629F" w:rsidP="00C909D4">
      <w:pPr>
        <w:pStyle w:val="ListParagraph"/>
        <w:numPr>
          <w:ilvl w:val="0"/>
          <w:numId w:val="23"/>
        </w:numPr>
      </w:pPr>
      <w:r>
        <w:t xml:space="preserve">Removal of the </w:t>
      </w:r>
      <w:r w:rsidRPr="00C212EC">
        <w:t>percutaneous endoscopic gastrostomy tube (</w:t>
      </w:r>
      <w:r>
        <w:t>A-Tube™</w:t>
      </w:r>
      <w:r w:rsidRPr="00C212EC">
        <w:t>)</w:t>
      </w:r>
      <w:r>
        <w:t xml:space="preserve"> as thi</w:t>
      </w:r>
      <w:r w:rsidR="00B26DE3">
        <w:t>s is temporary intervention</w:t>
      </w:r>
    </w:p>
    <w:p w14:paraId="2CD10240" w14:textId="209EF4D5" w:rsidR="006A3D3B" w:rsidRDefault="00B26DE3" w:rsidP="00C909D4">
      <w:pPr>
        <w:pStyle w:val="ListParagraph"/>
        <w:numPr>
          <w:ilvl w:val="0"/>
          <w:numId w:val="23"/>
        </w:numPr>
      </w:pPr>
      <w:r>
        <w:t xml:space="preserve">Tube replacement </w:t>
      </w:r>
      <w:r w:rsidR="00B0225A">
        <w:t>as tube failure may occur over time</w:t>
      </w:r>
    </w:p>
    <w:p w14:paraId="5E730046" w14:textId="74EB441C" w:rsidR="00B0225A" w:rsidRDefault="00B0225A" w:rsidP="008602BC">
      <w:pPr>
        <w:pStyle w:val="ListParagraph"/>
        <w:numPr>
          <w:ilvl w:val="0"/>
          <w:numId w:val="23"/>
        </w:numPr>
      </w:pPr>
      <w:r>
        <w:t>Tube</w:t>
      </w:r>
      <w:r w:rsidR="0044131C">
        <w:t xml:space="preserve"> shortenings</w:t>
      </w:r>
      <w:r>
        <w:t xml:space="preserve"> </w:t>
      </w:r>
      <w:r w:rsidR="000A2B36">
        <w:t xml:space="preserve">required when patients are losing weight </w:t>
      </w:r>
      <w:r w:rsidR="00A3449A">
        <w:t>whilst on aspiration therapy.</w:t>
      </w:r>
    </w:p>
    <w:p w14:paraId="00A0DF09" w14:textId="1D1D24C5" w:rsidR="00051FED" w:rsidRDefault="00051FED" w:rsidP="00051FED">
      <w:r>
        <w:t xml:space="preserve">Details of the additional MBS items required </w:t>
      </w:r>
      <w:r w:rsidR="00F07C05">
        <w:t>when a patient is being managed with aspiration therapy should be provided in the submission.</w:t>
      </w:r>
    </w:p>
    <w:p w14:paraId="46A45220" w14:textId="571E6D6B" w:rsidR="002B6C98" w:rsidRDefault="002B6C98">
      <w:r>
        <w:br w:type="page"/>
      </w:r>
    </w:p>
    <w:p w14:paraId="45588E24" w14:textId="1896E61E" w:rsidR="00B560A5" w:rsidRPr="002B6C98" w:rsidRDefault="002B6C98" w:rsidP="002B6C98">
      <w:r>
        <w:rPr>
          <w:b/>
        </w:rPr>
        <w:lastRenderedPageBreak/>
        <w:t>References</w:t>
      </w:r>
    </w:p>
    <w:p w14:paraId="190B079F" w14:textId="7269BC7F" w:rsidR="00CF04E6" w:rsidRPr="00CD6B81" w:rsidRDefault="009636E3" w:rsidP="00CD6B81">
      <w:r w:rsidRPr="00CD6B81">
        <w:t>ABS</w:t>
      </w:r>
      <w:r w:rsidR="00CF04E6" w:rsidRPr="00CD6B81">
        <w:t xml:space="preserve"> 2013. 3222.0 - Population Projections, Australia, 2012 (base) to 2101. </w:t>
      </w:r>
      <w:r w:rsidR="00B30DD0" w:rsidRPr="00CD6B81">
        <w:t>Australian Bureau of Statistics.</w:t>
      </w:r>
    </w:p>
    <w:p w14:paraId="6CF8C025" w14:textId="0952ABB0" w:rsidR="00CF04E6" w:rsidRPr="00CD6B81" w:rsidRDefault="00BD2C83" w:rsidP="00CD6B81">
      <w:r w:rsidRPr="00CD6B81">
        <w:t>AIHW</w:t>
      </w:r>
      <w:r w:rsidR="00CF04E6" w:rsidRPr="00CD6B81">
        <w:t xml:space="preserve"> 2017. A picture of overweight and obesity in Australia. </w:t>
      </w:r>
      <w:r w:rsidRPr="00CD6B81">
        <w:t>Australian Institute for Health and Welfare</w:t>
      </w:r>
    </w:p>
    <w:p w14:paraId="6B227F56" w14:textId="77777777" w:rsidR="00CF04E6" w:rsidRPr="00CD6B81" w:rsidRDefault="00CF04E6" w:rsidP="00CD6B81">
      <w:r w:rsidRPr="00CD6B81">
        <w:t>Machytka, E., Buzga, M., Turro, R., et al. 2017. Aspiration therapy in super obese patients-pilot trial, 3-years data endoscopic and percutaneous interventional procedures. Obesity Surgery, Conference, 22nd World Congress of the International Federation for the Surgery of Obesity and Metabolic Disorders, IFSO 2017. United Kingdom. 27 (1 Supplement 1) (pp 487).</w:t>
      </w:r>
    </w:p>
    <w:p w14:paraId="6E103150" w14:textId="522FCE0C" w:rsidR="00CF04E6" w:rsidRPr="00CD6B81" w:rsidRDefault="00CD6B81" w:rsidP="00CD6B81">
      <w:r w:rsidRPr="00CD6B81">
        <w:t>NHMRC</w:t>
      </w:r>
      <w:r w:rsidR="00CF04E6" w:rsidRPr="00CD6B81">
        <w:t xml:space="preserve"> 2013. Clinical practice guidelines for the management of overweight and obesity in adults, adolescents and children in Australia. National Health</w:t>
      </w:r>
      <w:r w:rsidRPr="00CD6B81">
        <w:t xml:space="preserve"> </w:t>
      </w:r>
      <w:r w:rsidR="00CF04E6" w:rsidRPr="00CD6B81">
        <w:t>Medical Research Council, Department of Health</w:t>
      </w:r>
      <w:r w:rsidRPr="00CD6B81">
        <w:t xml:space="preserve"> </w:t>
      </w:r>
      <w:r w:rsidR="00CF04E6" w:rsidRPr="00CD6B81">
        <w:t>Ageing.</w:t>
      </w:r>
    </w:p>
    <w:p w14:paraId="16B51E11" w14:textId="77777777" w:rsidR="00CF04E6" w:rsidRPr="00CD6B81" w:rsidRDefault="00CF04E6" w:rsidP="00CD6B81">
      <w:r w:rsidRPr="00CD6B81">
        <w:t>Thompson, C. C., Abu Dayyeh, B. K., Kushner, R., et al. 2017. Percutaneous Gastrostomy Device for the Treatment of Class II and Class III Obesity: Results of a Randomized Controlled Trial. American Journal of Gastroenterology, 112, 447-457.</w:t>
      </w:r>
    </w:p>
    <w:p w14:paraId="77870CFE" w14:textId="66FB35F7" w:rsidR="007E7E23" w:rsidRPr="00EB10EB" w:rsidRDefault="00CF04E6" w:rsidP="00EB10EB">
      <w:r w:rsidRPr="00CD6B81">
        <w:t>W</w:t>
      </w:r>
      <w:r w:rsidR="00CD6B81" w:rsidRPr="00CD6B81">
        <w:t>HO</w:t>
      </w:r>
      <w:r w:rsidRPr="00CD6B81">
        <w:t xml:space="preserve"> 2000. Obesity: preventing and managing the global epidemic, World Health Organization.</w:t>
      </w:r>
    </w:p>
    <w:sectPr w:rsidR="007E7E23" w:rsidRPr="00EB10EB" w:rsidSect="00514B5D">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8525" w14:textId="77777777" w:rsidR="002557FC" w:rsidRDefault="002557FC" w:rsidP="003D699E">
      <w:pPr>
        <w:spacing w:after="0" w:line="240" w:lineRule="auto"/>
      </w:pPr>
      <w:r>
        <w:separator/>
      </w:r>
    </w:p>
  </w:endnote>
  <w:endnote w:type="continuationSeparator" w:id="0">
    <w:p w14:paraId="61277B86" w14:textId="77777777" w:rsidR="002557FC" w:rsidRDefault="002557FC" w:rsidP="003D699E">
      <w:pPr>
        <w:spacing w:after="0" w:line="240" w:lineRule="auto"/>
      </w:pPr>
      <w:r>
        <w:continuationSeparator/>
      </w:r>
    </w:p>
  </w:endnote>
  <w:endnote w:type="continuationNotice" w:id="1">
    <w:p w14:paraId="0F6FE401" w14:textId="77777777" w:rsidR="002557FC" w:rsidRDefault="0025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557A" w14:textId="77777777" w:rsidR="00553D3B" w:rsidRDefault="0055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61794572"/>
      <w:docPartObj>
        <w:docPartGallery w:val="Page Numbers (Bottom of Page)"/>
        <w:docPartUnique/>
      </w:docPartObj>
    </w:sdtPr>
    <w:sdtEndPr>
      <w:rPr>
        <w:color w:val="808080" w:themeColor="background1" w:themeShade="80"/>
        <w:spacing w:val="60"/>
      </w:rPr>
    </w:sdtEndPr>
    <w:sdtContent>
      <w:p w14:paraId="77870D06" w14:textId="7AF41ADE" w:rsidR="002557FC" w:rsidRDefault="002557F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84159" w:rsidRPr="00D84159">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191354">
          <w:rPr>
            <w:color w:val="808080" w:themeColor="background1" w:themeShade="80"/>
            <w:spacing w:val="60"/>
            <w:sz w:val="18"/>
            <w:szCs w:val="18"/>
          </w:rPr>
          <w:t xml:space="preserve">Ratified </w:t>
        </w:r>
        <w:r>
          <w:rPr>
            <w:color w:val="808080" w:themeColor="background1" w:themeShade="80"/>
            <w:spacing w:val="60"/>
            <w:sz w:val="18"/>
            <w:szCs w:val="18"/>
          </w:rPr>
          <w:t>PICO Confirmatio</w:t>
        </w:r>
        <w:r w:rsidR="00191354">
          <w:rPr>
            <w:color w:val="808080" w:themeColor="background1" w:themeShade="80"/>
            <w:spacing w:val="60"/>
            <w:sz w:val="18"/>
            <w:szCs w:val="18"/>
          </w:rPr>
          <w:t>n – February 2019</w:t>
        </w:r>
      </w:p>
      <w:p w14:paraId="77870D07" w14:textId="4DD4D40F" w:rsidR="002557FC" w:rsidRPr="00CF2DFA" w:rsidRDefault="002557FC"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1551: </w:t>
        </w:r>
        <w:r w:rsidR="001A0B23">
          <w:rPr>
            <w:color w:val="808080" w:themeColor="background1" w:themeShade="80"/>
            <w:spacing w:val="60"/>
            <w:sz w:val="18"/>
            <w:szCs w:val="18"/>
          </w:rPr>
          <w:t xml:space="preserve">Aspiration therapy via </w:t>
        </w:r>
        <w:r>
          <w:rPr>
            <w:color w:val="808080" w:themeColor="background1" w:themeShade="80"/>
            <w:spacing w:val="60"/>
            <w:sz w:val="18"/>
            <w:szCs w:val="18"/>
          </w:rPr>
          <w:t xml:space="preserve">insertion of a customised percutaneous endoscopic gastrostomy tube into the stomach for weight loss management in obese patients with a BMI </w:t>
        </w:r>
        <w:r>
          <w:rPr>
            <w:rFonts w:cs="Calibri"/>
            <w:color w:val="808080" w:themeColor="background1" w:themeShade="80"/>
            <w:spacing w:val="60"/>
            <w:sz w:val="18"/>
            <w:szCs w:val="18"/>
          </w:rPr>
          <w:t>≥</w:t>
        </w:r>
        <w:r>
          <w:rPr>
            <w:color w:val="808080" w:themeColor="background1" w:themeShade="80"/>
            <w:spacing w:val="60"/>
            <w:sz w:val="18"/>
            <w:szCs w:val="18"/>
          </w:rPr>
          <w:t xml:space="preserve"> 35 kg/m</w:t>
        </w:r>
        <w:r>
          <w:rPr>
            <w:rFonts w:cs="Calibri"/>
            <w:color w:val="808080" w:themeColor="background1" w:themeShade="80"/>
            <w:spacing w:val="60"/>
            <w:sz w:val="18"/>
            <w:szCs w:val="18"/>
          </w:rPr>
          <w:t>²</w:t>
        </w:r>
      </w:p>
    </w:sdtContent>
  </w:sdt>
  <w:p w14:paraId="77870D08" w14:textId="77777777" w:rsidR="002557FC" w:rsidRDefault="002557FC" w:rsidP="003D699E">
    <w:pPr>
      <w:pStyle w:val="Footer"/>
    </w:pPr>
  </w:p>
  <w:p w14:paraId="77870D09" w14:textId="77777777" w:rsidR="002557FC" w:rsidRDefault="00255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AF28" w14:textId="77777777" w:rsidR="00553D3B" w:rsidRDefault="0055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C4EE" w14:textId="77777777" w:rsidR="002557FC" w:rsidRDefault="002557FC" w:rsidP="003D699E">
      <w:pPr>
        <w:spacing w:after="0" w:line="240" w:lineRule="auto"/>
      </w:pPr>
      <w:r>
        <w:separator/>
      </w:r>
    </w:p>
  </w:footnote>
  <w:footnote w:type="continuationSeparator" w:id="0">
    <w:p w14:paraId="31106471" w14:textId="77777777" w:rsidR="002557FC" w:rsidRDefault="002557FC" w:rsidP="003D699E">
      <w:pPr>
        <w:spacing w:after="0" w:line="240" w:lineRule="auto"/>
      </w:pPr>
      <w:r>
        <w:continuationSeparator/>
      </w:r>
    </w:p>
  </w:footnote>
  <w:footnote w:type="continuationNotice" w:id="1">
    <w:p w14:paraId="1B1E571E" w14:textId="77777777" w:rsidR="002557FC" w:rsidRDefault="002557FC">
      <w:pPr>
        <w:spacing w:after="0" w:line="240" w:lineRule="auto"/>
      </w:pPr>
    </w:p>
  </w:footnote>
  <w:footnote w:id="2">
    <w:p w14:paraId="18A07089" w14:textId="31603B01" w:rsidR="002557FC" w:rsidRDefault="002557FC">
      <w:pPr>
        <w:pStyle w:val="FootnoteText"/>
      </w:pPr>
      <w:r>
        <w:rPr>
          <w:rStyle w:val="FootnoteReference"/>
        </w:rPr>
        <w:footnoteRef/>
      </w:r>
      <w:r>
        <w:t xml:space="preserve"> </w:t>
      </w:r>
      <w:r w:rsidRPr="000F520A">
        <w:t>http://www.isrctn.com/ISRCTN36495438</w:t>
      </w:r>
    </w:p>
    <w:p w14:paraId="12E9AAC0" w14:textId="77777777" w:rsidR="002557FC" w:rsidRDefault="002557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0D05" w14:textId="6F3E5CE7" w:rsidR="002557FC" w:rsidRDefault="002557FC">
    <w:pPr>
      <w:pStyle w:val="Header"/>
    </w:pPr>
    <w:r>
      <w:rPr>
        <w:noProof/>
        <w:lang w:eastAsia="en-AU"/>
      </w:rPr>
      <mc:AlternateContent>
        <mc:Choice Requires="wps">
          <w:drawing>
            <wp:inline distT="0" distB="0" distL="0" distR="0" wp14:anchorId="1F10FF20" wp14:editId="0F76743A">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56E97E" w14:textId="77777777" w:rsidR="002557FC" w:rsidRDefault="002557FC" w:rsidP="00B15B0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1F10FF20"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14:paraId="2C56E97E" w14:textId="77777777" w:rsidR="002557FC" w:rsidRDefault="002557FC" w:rsidP="00B15B0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7D17" w14:textId="77777777" w:rsidR="00553D3B" w:rsidRDefault="0055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4ECE" w14:textId="77777777" w:rsidR="00553D3B" w:rsidRDefault="0055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64"/>
    <w:multiLevelType w:val="hybridMultilevel"/>
    <w:tmpl w:val="F3000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9713D0"/>
    <w:multiLevelType w:val="hybridMultilevel"/>
    <w:tmpl w:val="8F42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4CD1"/>
    <w:multiLevelType w:val="hybridMultilevel"/>
    <w:tmpl w:val="843C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622F0"/>
    <w:multiLevelType w:val="hybridMultilevel"/>
    <w:tmpl w:val="16DEC6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56B96"/>
    <w:multiLevelType w:val="hybridMultilevel"/>
    <w:tmpl w:val="3F82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0604D"/>
    <w:multiLevelType w:val="hybridMultilevel"/>
    <w:tmpl w:val="8A3A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BD5F27"/>
    <w:multiLevelType w:val="hybridMultilevel"/>
    <w:tmpl w:val="2D0A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F2226"/>
    <w:multiLevelType w:val="hybridMultilevel"/>
    <w:tmpl w:val="A06A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D1BB5"/>
    <w:multiLevelType w:val="hybridMultilevel"/>
    <w:tmpl w:val="63649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D77A0F"/>
    <w:multiLevelType w:val="hybridMultilevel"/>
    <w:tmpl w:val="EAF69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F185F"/>
    <w:multiLevelType w:val="hybridMultilevel"/>
    <w:tmpl w:val="64CE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A2F2149"/>
    <w:multiLevelType w:val="hybridMultilevel"/>
    <w:tmpl w:val="4F0E435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192B31"/>
    <w:multiLevelType w:val="hybridMultilevel"/>
    <w:tmpl w:val="5286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122BA"/>
    <w:multiLevelType w:val="hybridMultilevel"/>
    <w:tmpl w:val="D7C4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16"/>
  </w:num>
  <w:num w:numId="5">
    <w:abstractNumId w:val="19"/>
  </w:num>
  <w:num w:numId="6">
    <w:abstractNumId w:val="11"/>
  </w:num>
  <w:num w:numId="7">
    <w:abstractNumId w:val="3"/>
  </w:num>
  <w:num w:numId="8">
    <w:abstractNumId w:val="2"/>
  </w:num>
  <w:num w:numId="9">
    <w:abstractNumId w:val="12"/>
  </w:num>
  <w:num w:numId="10">
    <w:abstractNumId w:val="10"/>
  </w:num>
  <w:num w:numId="11">
    <w:abstractNumId w:val="0"/>
  </w:num>
  <w:num w:numId="12">
    <w:abstractNumId w:val="17"/>
  </w:num>
  <w:num w:numId="13">
    <w:abstractNumId w:val="14"/>
  </w:num>
  <w:num w:numId="14">
    <w:abstractNumId w:val="21"/>
  </w:num>
  <w:num w:numId="15">
    <w:abstractNumId w:val="20"/>
  </w:num>
  <w:num w:numId="16">
    <w:abstractNumId w:val="5"/>
  </w:num>
  <w:num w:numId="17">
    <w:abstractNumId w:val="18"/>
  </w:num>
  <w:num w:numId="18">
    <w:abstractNumId w:val="4"/>
  </w:num>
  <w:num w:numId="19">
    <w:abstractNumId w:val="9"/>
  </w:num>
  <w:num w:numId="20">
    <w:abstractNumId w:val="8"/>
  </w:num>
  <w:num w:numId="21">
    <w:abstractNumId w:val="22"/>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PBAC Submission TG Edi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trxwppgpd2wde2swb5es9g90ffpzr5dx2p&quot;&gt;HTAccess EndNote Library-Saved&lt;record-ids&gt;&lt;item&gt;4237&lt;/item&gt;&lt;item&gt;4250&lt;/item&gt;&lt;item&gt;4277&lt;/item&gt;&lt;item&gt;4278&lt;/item&gt;&lt;item&gt;4279&lt;/item&gt;&lt;item&gt;4281&lt;/item&gt;&lt;/record-ids&gt;&lt;/item&gt;&lt;/Libraries&gt;"/>
  </w:docVars>
  <w:rsids>
    <w:rsidRoot w:val="0044715D"/>
    <w:rsid w:val="00000331"/>
    <w:rsid w:val="00002118"/>
    <w:rsid w:val="00004354"/>
    <w:rsid w:val="00004548"/>
    <w:rsid w:val="000048E8"/>
    <w:rsid w:val="00007C60"/>
    <w:rsid w:val="00010539"/>
    <w:rsid w:val="00014375"/>
    <w:rsid w:val="00014B05"/>
    <w:rsid w:val="00015232"/>
    <w:rsid w:val="00015640"/>
    <w:rsid w:val="000159AD"/>
    <w:rsid w:val="00021AEF"/>
    <w:rsid w:val="00024B11"/>
    <w:rsid w:val="0003068E"/>
    <w:rsid w:val="00032F32"/>
    <w:rsid w:val="00033CCA"/>
    <w:rsid w:val="00040D3D"/>
    <w:rsid w:val="0004202B"/>
    <w:rsid w:val="000423F2"/>
    <w:rsid w:val="00042A89"/>
    <w:rsid w:val="000452EF"/>
    <w:rsid w:val="00045367"/>
    <w:rsid w:val="000467E9"/>
    <w:rsid w:val="000473BD"/>
    <w:rsid w:val="00051FED"/>
    <w:rsid w:val="000554CD"/>
    <w:rsid w:val="00056C3B"/>
    <w:rsid w:val="00056E78"/>
    <w:rsid w:val="00057693"/>
    <w:rsid w:val="00057F82"/>
    <w:rsid w:val="000607AA"/>
    <w:rsid w:val="00060CF9"/>
    <w:rsid w:val="00063AC8"/>
    <w:rsid w:val="00071325"/>
    <w:rsid w:val="000732FA"/>
    <w:rsid w:val="0007405E"/>
    <w:rsid w:val="00074473"/>
    <w:rsid w:val="00076826"/>
    <w:rsid w:val="000800AC"/>
    <w:rsid w:val="0008666B"/>
    <w:rsid w:val="000904FB"/>
    <w:rsid w:val="00091C17"/>
    <w:rsid w:val="000954AC"/>
    <w:rsid w:val="000968AE"/>
    <w:rsid w:val="000A081B"/>
    <w:rsid w:val="000A0BD0"/>
    <w:rsid w:val="000A0FBA"/>
    <w:rsid w:val="000A1126"/>
    <w:rsid w:val="000A13DB"/>
    <w:rsid w:val="000A27E6"/>
    <w:rsid w:val="000A2B36"/>
    <w:rsid w:val="000A49EC"/>
    <w:rsid w:val="000A5E6D"/>
    <w:rsid w:val="000A6F5D"/>
    <w:rsid w:val="000B519A"/>
    <w:rsid w:val="000C1AF5"/>
    <w:rsid w:val="000C2DBD"/>
    <w:rsid w:val="000C2E01"/>
    <w:rsid w:val="000C5A08"/>
    <w:rsid w:val="000C7C2C"/>
    <w:rsid w:val="000D0590"/>
    <w:rsid w:val="000D3B36"/>
    <w:rsid w:val="000E16A1"/>
    <w:rsid w:val="000E3647"/>
    <w:rsid w:val="000E7B78"/>
    <w:rsid w:val="000E7E5C"/>
    <w:rsid w:val="000F0448"/>
    <w:rsid w:val="000F232B"/>
    <w:rsid w:val="000F23C0"/>
    <w:rsid w:val="000F520A"/>
    <w:rsid w:val="000F54CA"/>
    <w:rsid w:val="000F68C7"/>
    <w:rsid w:val="000F6AC8"/>
    <w:rsid w:val="00101360"/>
    <w:rsid w:val="00101878"/>
    <w:rsid w:val="00106E46"/>
    <w:rsid w:val="0010777F"/>
    <w:rsid w:val="001108BF"/>
    <w:rsid w:val="00111709"/>
    <w:rsid w:val="00115417"/>
    <w:rsid w:val="00115D01"/>
    <w:rsid w:val="00116A24"/>
    <w:rsid w:val="0012376D"/>
    <w:rsid w:val="00123CB5"/>
    <w:rsid w:val="00127A23"/>
    <w:rsid w:val="00135092"/>
    <w:rsid w:val="00136ED0"/>
    <w:rsid w:val="00140F46"/>
    <w:rsid w:val="00141A43"/>
    <w:rsid w:val="00143359"/>
    <w:rsid w:val="001455EC"/>
    <w:rsid w:val="00145BDA"/>
    <w:rsid w:val="001466FE"/>
    <w:rsid w:val="00153259"/>
    <w:rsid w:val="001562F1"/>
    <w:rsid w:val="00157327"/>
    <w:rsid w:val="00160E3C"/>
    <w:rsid w:val="0016308B"/>
    <w:rsid w:val="001634C5"/>
    <w:rsid w:val="00163BA6"/>
    <w:rsid w:val="00172F1D"/>
    <w:rsid w:val="00174506"/>
    <w:rsid w:val="00174EA5"/>
    <w:rsid w:val="00175FE4"/>
    <w:rsid w:val="00177B16"/>
    <w:rsid w:val="00180E52"/>
    <w:rsid w:val="00181C5A"/>
    <w:rsid w:val="00181C8D"/>
    <w:rsid w:val="00183B74"/>
    <w:rsid w:val="00184B94"/>
    <w:rsid w:val="00185A78"/>
    <w:rsid w:val="00191354"/>
    <w:rsid w:val="00191631"/>
    <w:rsid w:val="00191E53"/>
    <w:rsid w:val="00192261"/>
    <w:rsid w:val="00193D73"/>
    <w:rsid w:val="00196A77"/>
    <w:rsid w:val="00197879"/>
    <w:rsid w:val="001A0B23"/>
    <w:rsid w:val="001A0D0C"/>
    <w:rsid w:val="001A2D0E"/>
    <w:rsid w:val="001A3162"/>
    <w:rsid w:val="001A5753"/>
    <w:rsid w:val="001A6214"/>
    <w:rsid w:val="001A6A43"/>
    <w:rsid w:val="001A76D4"/>
    <w:rsid w:val="001A7CED"/>
    <w:rsid w:val="001B402A"/>
    <w:rsid w:val="001C1A2C"/>
    <w:rsid w:val="001C531F"/>
    <w:rsid w:val="001D07B7"/>
    <w:rsid w:val="001D1918"/>
    <w:rsid w:val="001D2D13"/>
    <w:rsid w:val="001D378D"/>
    <w:rsid w:val="001D3811"/>
    <w:rsid w:val="001D5937"/>
    <w:rsid w:val="001D652D"/>
    <w:rsid w:val="001D6F38"/>
    <w:rsid w:val="001E2668"/>
    <w:rsid w:val="001E35EA"/>
    <w:rsid w:val="001E6F7B"/>
    <w:rsid w:val="001F08C2"/>
    <w:rsid w:val="001F2591"/>
    <w:rsid w:val="001F2A5C"/>
    <w:rsid w:val="001F41D7"/>
    <w:rsid w:val="00201473"/>
    <w:rsid w:val="0020277E"/>
    <w:rsid w:val="00202CCD"/>
    <w:rsid w:val="0020303A"/>
    <w:rsid w:val="00203F7F"/>
    <w:rsid w:val="00204437"/>
    <w:rsid w:val="00204C4D"/>
    <w:rsid w:val="002074E0"/>
    <w:rsid w:val="002078E9"/>
    <w:rsid w:val="00211ACF"/>
    <w:rsid w:val="0021276A"/>
    <w:rsid w:val="002143ED"/>
    <w:rsid w:val="00216035"/>
    <w:rsid w:val="00216B75"/>
    <w:rsid w:val="00222BE0"/>
    <w:rsid w:val="00222DEF"/>
    <w:rsid w:val="00224556"/>
    <w:rsid w:val="00224D58"/>
    <w:rsid w:val="00226447"/>
    <w:rsid w:val="0023106B"/>
    <w:rsid w:val="002310E6"/>
    <w:rsid w:val="0023180F"/>
    <w:rsid w:val="0023191F"/>
    <w:rsid w:val="00233263"/>
    <w:rsid w:val="0023338E"/>
    <w:rsid w:val="002336E8"/>
    <w:rsid w:val="00234DA0"/>
    <w:rsid w:val="002354F7"/>
    <w:rsid w:val="002357C1"/>
    <w:rsid w:val="00235CA0"/>
    <w:rsid w:val="002409B0"/>
    <w:rsid w:val="00243325"/>
    <w:rsid w:val="002440BF"/>
    <w:rsid w:val="00247553"/>
    <w:rsid w:val="00252BD6"/>
    <w:rsid w:val="0025320C"/>
    <w:rsid w:val="002534FB"/>
    <w:rsid w:val="00254693"/>
    <w:rsid w:val="002556BC"/>
    <w:rsid w:val="002557FC"/>
    <w:rsid w:val="00257CFC"/>
    <w:rsid w:val="00265E7B"/>
    <w:rsid w:val="00270232"/>
    <w:rsid w:val="002731E4"/>
    <w:rsid w:val="002754D2"/>
    <w:rsid w:val="00276CAC"/>
    <w:rsid w:val="002777DE"/>
    <w:rsid w:val="002804BB"/>
    <w:rsid w:val="00281986"/>
    <w:rsid w:val="00282AE7"/>
    <w:rsid w:val="00282B7B"/>
    <w:rsid w:val="00290EBF"/>
    <w:rsid w:val="00291EA4"/>
    <w:rsid w:val="00292DE9"/>
    <w:rsid w:val="002941A4"/>
    <w:rsid w:val="00295375"/>
    <w:rsid w:val="002A03CE"/>
    <w:rsid w:val="002A1313"/>
    <w:rsid w:val="002A16D7"/>
    <w:rsid w:val="002A42C8"/>
    <w:rsid w:val="002A42EB"/>
    <w:rsid w:val="002A4909"/>
    <w:rsid w:val="002A66BD"/>
    <w:rsid w:val="002A6AEE"/>
    <w:rsid w:val="002A6D35"/>
    <w:rsid w:val="002B226C"/>
    <w:rsid w:val="002B3338"/>
    <w:rsid w:val="002B6C98"/>
    <w:rsid w:val="002C3DA0"/>
    <w:rsid w:val="002D1759"/>
    <w:rsid w:val="002D1A3A"/>
    <w:rsid w:val="002D2A80"/>
    <w:rsid w:val="002D3506"/>
    <w:rsid w:val="002D3BD7"/>
    <w:rsid w:val="002D70D7"/>
    <w:rsid w:val="002E3D2A"/>
    <w:rsid w:val="002E62E2"/>
    <w:rsid w:val="002E6CA2"/>
    <w:rsid w:val="002E7DAB"/>
    <w:rsid w:val="002F0870"/>
    <w:rsid w:val="002F11A1"/>
    <w:rsid w:val="002F12D4"/>
    <w:rsid w:val="002F251C"/>
    <w:rsid w:val="002F2773"/>
    <w:rsid w:val="0030048D"/>
    <w:rsid w:val="00300BB3"/>
    <w:rsid w:val="00303C94"/>
    <w:rsid w:val="00304177"/>
    <w:rsid w:val="00304E30"/>
    <w:rsid w:val="003057B0"/>
    <w:rsid w:val="00310451"/>
    <w:rsid w:val="0031143B"/>
    <w:rsid w:val="00313AD5"/>
    <w:rsid w:val="00316820"/>
    <w:rsid w:val="00325F2F"/>
    <w:rsid w:val="0033026A"/>
    <w:rsid w:val="003302F5"/>
    <w:rsid w:val="0033157D"/>
    <w:rsid w:val="00332DFE"/>
    <w:rsid w:val="00335C98"/>
    <w:rsid w:val="0034291D"/>
    <w:rsid w:val="00343B2B"/>
    <w:rsid w:val="00343E89"/>
    <w:rsid w:val="00346371"/>
    <w:rsid w:val="00351C61"/>
    <w:rsid w:val="00352186"/>
    <w:rsid w:val="003548E8"/>
    <w:rsid w:val="00360C6C"/>
    <w:rsid w:val="00362776"/>
    <w:rsid w:val="00363774"/>
    <w:rsid w:val="0036479E"/>
    <w:rsid w:val="003664B5"/>
    <w:rsid w:val="00366C92"/>
    <w:rsid w:val="00373C08"/>
    <w:rsid w:val="0037425C"/>
    <w:rsid w:val="0037687E"/>
    <w:rsid w:val="0038014E"/>
    <w:rsid w:val="00380ED2"/>
    <w:rsid w:val="00382875"/>
    <w:rsid w:val="00383184"/>
    <w:rsid w:val="003919E3"/>
    <w:rsid w:val="0039337B"/>
    <w:rsid w:val="0039378A"/>
    <w:rsid w:val="003964BA"/>
    <w:rsid w:val="003970F8"/>
    <w:rsid w:val="003A0CAA"/>
    <w:rsid w:val="003A614E"/>
    <w:rsid w:val="003B2B88"/>
    <w:rsid w:val="003B5F53"/>
    <w:rsid w:val="003B6DD2"/>
    <w:rsid w:val="003B6F05"/>
    <w:rsid w:val="003C19C0"/>
    <w:rsid w:val="003C6939"/>
    <w:rsid w:val="003D0CC9"/>
    <w:rsid w:val="003D1336"/>
    <w:rsid w:val="003D5853"/>
    <w:rsid w:val="003D5B09"/>
    <w:rsid w:val="003D699E"/>
    <w:rsid w:val="003D7AF1"/>
    <w:rsid w:val="003D7C3F"/>
    <w:rsid w:val="003E02F6"/>
    <w:rsid w:val="003E0382"/>
    <w:rsid w:val="003E0D82"/>
    <w:rsid w:val="003E256F"/>
    <w:rsid w:val="003E30ED"/>
    <w:rsid w:val="003E787F"/>
    <w:rsid w:val="003F0A5B"/>
    <w:rsid w:val="003F3A86"/>
    <w:rsid w:val="003F3E04"/>
    <w:rsid w:val="003F4A3B"/>
    <w:rsid w:val="003F5BB5"/>
    <w:rsid w:val="003F6970"/>
    <w:rsid w:val="003F7557"/>
    <w:rsid w:val="00400668"/>
    <w:rsid w:val="004039A2"/>
    <w:rsid w:val="004048AF"/>
    <w:rsid w:val="00404A00"/>
    <w:rsid w:val="0040561B"/>
    <w:rsid w:val="004069FF"/>
    <w:rsid w:val="00411511"/>
    <w:rsid w:val="00411AB1"/>
    <w:rsid w:val="0041274B"/>
    <w:rsid w:val="004138E2"/>
    <w:rsid w:val="00414405"/>
    <w:rsid w:val="00414FB1"/>
    <w:rsid w:val="004218D2"/>
    <w:rsid w:val="00422679"/>
    <w:rsid w:val="0042483F"/>
    <w:rsid w:val="00424BE5"/>
    <w:rsid w:val="00425ADC"/>
    <w:rsid w:val="00425F9B"/>
    <w:rsid w:val="00431202"/>
    <w:rsid w:val="004329C2"/>
    <w:rsid w:val="00432B14"/>
    <w:rsid w:val="0043660D"/>
    <w:rsid w:val="00440101"/>
    <w:rsid w:val="00440228"/>
    <w:rsid w:val="0044131C"/>
    <w:rsid w:val="00446EEC"/>
    <w:rsid w:val="0044715D"/>
    <w:rsid w:val="004473DF"/>
    <w:rsid w:val="00447807"/>
    <w:rsid w:val="00451A34"/>
    <w:rsid w:val="0045223C"/>
    <w:rsid w:val="00452784"/>
    <w:rsid w:val="00452D7C"/>
    <w:rsid w:val="004546B5"/>
    <w:rsid w:val="00457760"/>
    <w:rsid w:val="004622F3"/>
    <w:rsid w:val="00463FED"/>
    <w:rsid w:val="00473F28"/>
    <w:rsid w:val="0047587C"/>
    <w:rsid w:val="00477EC6"/>
    <w:rsid w:val="00480361"/>
    <w:rsid w:val="0048225A"/>
    <w:rsid w:val="00482B1C"/>
    <w:rsid w:val="00483C42"/>
    <w:rsid w:val="0048543F"/>
    <w:rsid w:val="004857FD"/>
    <w:rsid w:val="00487C22"/>
    <w:rsid w:val="004952C4"/>
    <w:rsid w:val="004A187C"/>
    <w:rsid w:val="004A284A"/>
    <w:rsid w:val="004B03C3"/>
    <w:rsid w:val="004B187C"/>
    <w:rsid w:val="004B1A33"/>
    <w:rsid w:val="004B3202"/>
    <w:rsid w:val="004B44A3"/>
    <w:rsid w:val="004B4689"/>
    <w:rsid w:val="004B5025"/>
    <w:rsid w:val="004B5F3E"/>
    <w:rsid w:val="004B64CF"/>
    <w:rsid w:val="004C1FA9"/>
    <w:rsid w:val="004C514F"/>
    <w:rsid w:val="004C6C49"/>
    <w:rsid w:val="004C765E"/>
    <w:rsid w:val="004C78CD"/>
    <w:rsid w:val="004D03B9"/>
    <w:rsid w:val="004D03C6"/>
    <w:rsid w:val="004D0AB5"/>
    <w:rsid w:val="004D1D41"/>
    <w:rsid w:val="004D3657"/>
    <w:rsid w:val="004D3DB0"/>
    <w:rsid w:val="004D5ECE"/>
    <w:rsid w:val="004E0789"/>
    <w:rsid w:val="004E14E7"/>
    <w:rsid w:val="004E24F5"/>
    <w:rsid w:val="004E43FA"/>
    <w:rsid w:val="004F1718"/>
    <w:rsid w:val="004F2F93"/>
    <w:rsid w:val="004F338C"/>
    <w:rsid w:val="00503610"/>
    <w:rsid w:val="00503B0A"/>
    <w:rsid w:val="00504D3F"/>
    <w:rsid w:val="00510590"/>
    <w:rsid w:val="00513574"/>
    <w:rsid w:val="00513DEF"/>
    <w:rsid w:val="00514B5D"/>
    <w:rsid w:val="00515401"/>
    <w:rsid w:val="005238A1"/>
    <w:rsid w:val="00527E91"/>
    <w:rsid w:val="00534AE3"/>
    <w:rsid w:val="00535960"/>
    <w:rsid w:val="00536291"/>
    <w:rsid w:val="005408A2"/>
    <w:rsid w:val="00543A25"/>
    <w:rsid w:val="00544851"/>
    <w:rsid w:val="005455E7"/>
    <w:rsid w:val="00546507"/>
    <w:rsid w:val="00546508"/>
    <w:rsid w:val="0054779A"/>
    <w:rsid w:val="00551D4C"/>
    <w:rsid w:val="00553D3B"/>
    <w:rsid w:val="0055709B"/>
    <w:rsid w:val="00560E45"/>
    <w:rsid w:val="00562F60"/>
    <w:rsid w:val="0056313C"/>
    <w:rsid w:val="00563DCB"/>
    <w:rsid w:val="005640CC"/>
    <w:rsid w:val="00566B8B"/>
    <w:rsid w:val="0057055A"/>
    <w:rsid w:val="00570990"/>
    <w:rsid w:val="00572A10"/>
    <w:rsid w:val="005772C9"/>
    <w:rsid w:val="0057780E"/>
    <w:rsid w:val="00582EC2"/>
    <w:rsid w:val="00584496"/>
    <w:rsid w:val="005852CB"/>
    <w:rsid w:val="005915AC"/>
    <w:rsid w:val="00592F97"/>
    <w:rsid w:val="0059415C"/>
    <w:rsid w:val="005A1C54"/>
    <w:rsid w:val="005A4BCF"/>
    <w:rsid w:val="005B0AC8"/>
    <w:rsid w:val="005B101A"/>
    <w:rsid w:val="005B1348"/>
    <w:rsid w:val="005B2D1D"/>
    <w:rsid w:val="005B3A3E"/>
    <w:rsid w:val="005C5A14"/>
    <w:rsid w:val="005C7B58"/>
    <w:rsid w:val="005D0294"/>
    <w:rsid w:val="005D15E3"/>
    <w:rsid w:val="005D2C4B"/>
    <w:rsid w:val="005D586A"/>
    <w:rsid w:val="005D708A"/>
    <w:rsid w:val="005E5FFE"/>
    <w:rsid w:val="005E79F9"/>
    <w:rsid w:val="005F0CA2"/>
    <w:rsid w:val="005F13FE"/>
    <w:rsid w:val="005F2A1A"/>
    <w:rsid w:val="005F39AF"/>
    <w:rsid w:val="005F4D2F"/>
    <w:rsid w:val="005F5596"/>
    <w:rsid w:val="005F57DA"/>
    <w:rsid w:val="005F7928"/>
    <w:rsid w:val="00600FD7"/>
    <w:rsid w:val="00601F39"/>
    <w:rsid w:val="00603EC5"/>
    <w:rsid w:val="00604615"/>
    <w:rsid w:val="00604D76"/>
    <w:rsid w:val="00605309"/>
    <w:rsid w:val="00607909"/>
    <w:rsid w:val="006101CB"/>
    <w:rsid w:val="006122DB"/>
    <w:rsid w:val="0061330C"/>
    <w:rsid w:val="00613F10"/>
    <w:rsid w:val="00620DCC"/>
    <w:rsid w:val="00621F18"/>
    <w:rsid w:val="00621FF1"/>
    <w:rsid w:val="00623C55"/>
    <w:rsid w:val="00626449"/>
    <w:rsid w:val="00626E41"/>
    <w:rsid w:val="00627B5C"/>
    <w:rsid w:val="00627B9D"/>
    <w:rsid w:val="0063073D"/>
    <w:rsid w:val="00635DA7"/>
    <w:rsid w:val="00636914"/>
    <w:rsid w:val="006374F7"/>
    <w:rsid w:val="0064012B"/>
    <w:rsid w:val="00640B40"/>
    <w:rsid w:val="00641B3A"/>
    <w:rsid w:val="00644920"/>
    <w:rsid w:val="00646496"/>
    <w:rsid w:val="0065317F"/>
    <w:rsid w:val="0065374C"/>
    <w:rsid w:val="0065456C"/>
    <w:rsid w:val="00655327"/>
    <w:rsid w:val="00660577"/>
    <w:rsid w:val="0066082A"/>
    <w:rsid w:val="00661438"/>
    <w:rsid w:val="006625BF"/>
    <w:rsid w:val="00664EAB"/>
    <w:rsid w:val="00672634"/>
    <w:rsid w:val="0067319C"/>
    <w:rsid w:val="00673ADA"/>
    <w:rsid w:val="006761CB"/>
    <w:rsid w:val="00683035"/>
    <w:rsid w:val="006835CC"/>
    <w:rsid w:val="00694845"/>
    <w:rsid w:val="00694FB5"/>
    <w:rsid w:val="00697DC2"/>
    <w:rsid w:val="006A1D49"/>
    <w:rsid w:val="006A25F5"/>
    <w:rsid w:val="006A3D3B"/>
    <w:rsid w:val="006A55C1"/>
    <w:rsid w:val="006A61BF"/>
    <w:rsid w:val="006A7659"/>
    <w:rsid w:val="006B0C0D"/>
    <w:rsid w:val="006B1CA2"/>
    <w:rsid w:val="006B6204"/>
    <w:rsid w:val="006B6D5F"/>
    <w:rsid w:val="006B74B8"/>
    <w:rsid w:val="006C2E01"/>
    <w:rsid w:val="006C2EA1"/>
    <w:rsid w:val="006C3697"/>
    <w:rsid w:val="006C3F45"/>
    <w:rsid w:val="006C7BAB"/>
    <w:rsid w:val="006D05EE"/>
    <w:rsid w:val="006D1643"/>
    <w:rsid w:val="006D5D42"/>
    <w:rsid w:val="006D64F1"/>
    <w:rsid w:val="006D756F"/>
    <w:rsid w:val="006E3A17"/>
    <w:rsid w:val="006E428F"/>
    <w:rsid w:val="006E4C99"/>
    <w:rsid w:val="006E509C"/>
    <w:rsid w:val="006E6FCF"/>
    <w:rsid w:val="006E70D3"/>
    <w:rsid w:val="006E738F"/>
    <w:rsid w:val="006E7AED"/>
    <w:rsid w:val="006F19D7"/>
    <w:rsid w:val="006F235A"/>
    <w:rsid w:val="006F392A"/>
    <w:rsid w:val="006F5BDB"/>
    <w:rsid w:val="006F5F70"/>
    <w:rsid w:val="006F6046"/>
    <w:rsid w:val="006F7FA9"/>
    <w:rsid w:val="007000F2"/>
    <w:rsid w:val="00700851"/>
    <w:rsid w:val="00701A9F"/>
    <w:rsid w:val="00701B16"/>
    <w:rsid w:val="00704020"/>
    <w:rsid w:val="00713034"/>
    <w:rsid w:val="0071339B"/>
    <w:rsid w:val="00714CA7"/>
    <w:rsid w:val="00716049"/>
    <w:rsid w:val="00717177"/>
    <w:rsid w:val="00722E47"/>
    <w:rsid w:val="007244AA"/>
    <w:rsid w:val="00724987"/>
    <w:rsid w:val="00726F44"/>
    <w:rsid w:val="00730B64"/>
    <w:rsid w:val="00734F81"/>
    <w:rsid w:val="007351D5"/>
    <w:rsid w:val="00735D9E"/>
    <w:rsid w:val="0073757B"/>
    <w:rsid w:val="00737DD4"/>
    <w:rsid w:val="00740341"/>
    <w:rsid w:val="007458A8"/>
    <w:rsid w:val="007469C3"/>
    <w:rsid w:val="00747236"/>
    <w:rsid w:val="0074790B"/>
    <w:rsid w:val="007506FA"/>
    <w:rsid w:val="00751006"/>
    <w:rsid w:val="00752491"/>
    <w:rsid w:val="00756D0B"/>
    <w:rsid w:val="00756D10"/>
    <w:rsid w:val="00756F68"/>
    <w:rsid w:val="007573F2"/>
    <w:rsid w:val="00757DCB"/>
    <w:rsid w:val="00762979"/>
    <w:rsid w:val="00764685"/>
    <w:rsid w:val="00764B65"/>
    <w:rsid w:val="00765B38"/>
    <w:rsid w:val="00766922"/>
    <w:rsid w:val="00766B60"/>
    <w:rsid w:val="00766E0D"/>
    <w:rsid w:val="00771B4A"/>
    <w:rsid w:val="00771DFE"/>
    <w:rsid w:val="007732E8"/>
    <w:rsid w:val="0077395C"/>
    <w:rsid w:val="00774A45"/>
    <w:rsid w:val="00777C5B"/>
    <w:rsid w:val="0078063A"/>
    <w:rsid w:val="00780E40"/>
    <w:rsid w:val="0078115D"/>
    <w:rsid w:val="007838BE"/>
    <w:rsid w:val="00784026"/>
    <w:rsid w:val="00785165"/>
    <w:rsid w:val="0078595A"/>
    <w:rsid w:val="0078720A"/>
    <w:rsid w:val="0079291D"/>
    <w:rsid w:val="00794553"/>
    <w:rsid w:val="00794EE1"/>
    <w:rsid w:val="00797D5A"/>
    <w:rsid w:val="007A0CEC"/>
    <w:rsid w:val="007A32E2"/>
    <w:rsid w:val="007A3A2C"/>
    <w:rsid w:val="007A3A80"/>
    <w:rsid w:val="007A5A04"/>
    <w:rsid w:val="007A65CF"/>
    <w:rsid w:val="007A6C8A"/>
    <w:rsid w:val="007A77E8"/>
    <w:rsid w:val="007A7B29"/>
    <w:rsid w:val="007B5532"/>
    <w:rsid w:val="007B7776"/>
    <w:rsid w:val="007B7F34"/>
    <w:rsid w:val="007C36A4"/>
    <w:rsid w:val="007C4A2B"/>
    <w:rsid w:val="007C62A2"/>
    <w:rsid w:val="007D5A9F"/>
    <w:rsid w:val="007E1CEA"/>
    <w:rsid w:val="007E24A4"/>
    <w:rsid w:val="007E7E23"/>
    <w:rsid w:val="007F3168"/>
    <w:rsid w:val="007F4BE2"/>
    <w:rsid w:val="007F4E20"/>
    <w:rsid w:val="007F4F0E"/>
    <w:rsid w:val="0080722E"/>
    <w:rsid w:val="00810F52"/>
    <w:rsid w:val="00813F11"/>
    <w:rsid w:val="00815B0A"/>
    <w:rsid w:val="008160AE"/>
    <w:rsid w:val="0081796C"/>
    <w:rsid w:val="00817E24"/>
    <w:rsid w:val="00817E68"/>
    <w:rsid w:val="008208D3"/>
    <w:rsid w:val="00820C0C"/>
    <w:rsid w:val="00821641"/>
    <w:rsid w:val="0082534B"/>
    <w:rsid w:val="00831CA9"/>
    <w:rsid w:val="00832D6D"/>
    <w:rsid w:val="00832ECF"/>
    <w:rsid w:val="008425D2"/>
    <w:rsid w:val="00843052"/>
    <w:rsid w:val="00843EF4"/>
    <w:rsid w:val="00847504"/>
    <w:rsid w:val="00850272"/>
    <w:rsid w:val="00850C3A"/>
    <w:rsid w:val="00855577"/>
    <w:rsid w:val="008602BC"/>
    <w:rsid w:val="008610EB"/>
    <w:rsid w:val="00861F3B"/>
    <w:rsid w:val="00861FB2"/>
    <w:rsid w:val="008668AC"/>
    <w:rsid w:val="008676A6"/>
    <w:rsid w:val="00867EB4"/>
    <w:rsid w:val="00870120"/>
    <w:rsid w:val="00870245"/>
    <w:rsid w:val="008706D6"/>
    <w:rsid w:val="00874BA7"/>
    <w:rsid w:val="008757BF"/>
    <w:rsid w:val="008777C4"/>
    <w:rsid w:val="00877D8C"/>
    <w:rsid w:val="0089399E"/>
    <w:rsid w:val="0089475B"/>
    <w:rsid w:val="00894F47"/>
    <w:rsid w:val="0089510A"/>
    <w:rsid w:val="00895BCC"/>
    <w:rsid w:val="00896136"/>
    <w:rsid w:val="0089681B"/>
    <w:rsid w:val="00896845"/>
    <w:rsid w:val="00896FFF"/>
    <w:rsid w:val="008A11F4"/>
    <w:rsid w:val="008A1BFE"/>
    <w:rsid w:val="008A2296"/>
    <w:rsid w:val="008A2CF9"/>
    <w:rsid w:val="008A2E1B"/>
    <w:rsid w:val="008A3AAE"/>
    <w:rsid w:val="008A5532"/>
    <w:rsid w:val="008A64CC"/>
    <w:rsid w:val="008A6BCC"/>
    <w:rsid w:val="008A7330"/>
    <w:rsid w:val="008A7582"/>
    <w:rsid w:val="008B0125"/>
    <w:rsid w:val="008B3C4C"/>
    <w:rsid w:val="008B45CE"/>
    <w:rsid w:val="008B6779"/>
    <w:rsid w:val="008C3E5E"/>
    <w:rsid w:val="008D29E1"/>
    <w:rsid w:val="008D7988"/>
    <w:rsid w:val="008E2F65"/>
    <w:rsid w:val="008E5357"/>
    <w:rsid w:val="008E6A28"/>
    <w:rsid w:val="008F0714"/>
    <w:rsid w:val="008F191B"/>
    <w:rsid w:val="008F2382"/>
    <w:rsid w:val="00901773"/>
    <w:rsid w:val="009037AA"/>
    <w:rsid w:val="00904AE1"/>
    <w:rsid w:val="00905782"/>
    <w:rsid w:val="009076E0"/>
    <w:rsid w:val="009104C9"/>
    <w:rsid w:val="0091144D"/>
    <w:rsid w:val="00912562"/>
    <w:rsid w:val="0091309A"/>
    <w:rsid w:val="00913B4F"/>
    <w:rsid w:val="00914056"/>
    <w:rsid w:val="0091406C"/>
    <w:rsid w:val="00915801"/>
    <w:rsid w:val="00915AAE"/>
    <w:rsid w:val="0091720E"/>
    <w:rsid w:val="009200D8"/>
    <w:rsid w:val="00920FDD"/>
    <w:rsid w:val="00924F5A"/>
    <w:rsid w:val="0093032E"/>
    <w:rsid w:val="0093342C"/>
    <w:rsid w:val="009375C3"/>
    <w:rsid w:val="0094520E"/>
    <w:rsid w:val="00947F4F"/>
    <w:rsid w:val="009516A7"/>
    <w:rsid w:val="00952920"/>
    <w:rsid w:val="00953BD2"/>
    <w:rsid w:val="00953ED7"/>
    <w:rsid w:val="00956DE4"/>
    <w:rsid w:val="009636E3"/>
    <w:rsid w:val="009643A8"/>
    <w:rsid w:val="00965B5B"/>
    <w:rsid w:val="0096640F"/>
    <w:rsid w:val="00967A66"/>
    <w:rsid w:val="0097016D"/>
    <w:rsid w:val="00970634"/>
    <w:rsid w:val="00971337"/>
    <w:rsid w:val="009747CC"/>
    <w:rsid w:val="0098015B"/>
    <w:rsid w:val="009805A2"/>
    <w:rsid w:val="0099070B"/>
    <w:rsid w:val="0099081C"/>
    <w:rsid w:val="0099149C"/>
    <w:rsid w:val="009A1183"/>
    <w:rsid w:val="009A49F1"/>
    <w:rsid w:val="009A6445"/>
    <w:rsid w:val="009A7901"/>
    <w:rsid w:val="009B310B"/>
    <w:rsid w:val="009B38C9"/>
    <w:rsid w:val="009B7827"/>
    <w:rsid w:val="009C0A25"/>
    <w:rsid w:val="009C0BE9"/>
    <w:rsid w:val="009C1476"/>
    <w:rsid w:val="009C14E2"/>
    <w:rsid w:val="009C1834"/>
    <w:rsid w:val="009C3C73"/>
    <w:rsid w:val="009C3DA3"/>
    <w:rsid w:val="009D0345"/>
    <w:rsid w:val="009D1933"/>
    <w:rsid w:val="009D2152"/>
    <w:rsid w:val="009D2CAD"/>
    <w:rsid w:val="009D50EC"/>
    <w:rsid w:val="009D6556"/>
    <w:rsid w:val="009D6757"/>
    <w:rsid w:val="009E0147"/>
    <w:rsid w:val="009E0DA3"/>
    <w:rsid w:val="009E4988"/>
    <w:rsid w:val="009E5295"/>
    <w:rsid w:val="009F39C9"/>
    <w:rsid w:val="00A01EB8"/>
    <w:rsid w:val="00A02124"/>
    <w:rsid w:val="00A047C0"/>
    <w:rsid w:val="00A04A32"/>
    <w:rsid w:val="00A111D0"/>
    <w:rsid w:val="00A11560"/>
    <w:rsid w:val="00A1629F"/>
    <w:rsid w:val="00A163D1"/>
    <w:rsid w:val="00A16EE4"/>
    <w:rsid w:val="00A22C04"/>
    <w:rsid w:val="00A26AF2"/>
    <w:rsid w:val="00A339A5"/>
    <w:rsid w:val="00A3449A"/>
    <w:rsid w:val="00A35D34"/>
    <w:rsid w:val="00A407AB"/>
    <w:rsid w:val="00A41AEF"/>
    <w:rsid w:val="00A42401"/>
    <w:rsid w:val="00A430D8"/>
    <w:rsid w:val="00A4348D"/>
    <w:rsid w:val="00A43B56"/>
    <w:rsid w:val="00A450EC"/>
    <w:rsid w:val="00A46B18"/>
    <w:rsid w:val="00A47076"/>
    <w:rsid w:val="00A52BF4"/>
    <w:rsid w:val="00A52D9B"/>
    <w:rsid w:val="00A52F28"/>
    <w:rsid w:val="00A540AC"/>
    <w:rsid w:val="00A56495"/>
    <w:rsid w:val="00A601AC"/>
    <w:rsid w:val="00A603FA"/>
    <w:rsid w:val="00A64E58"/>
    <w:rsid w:val="00A65C13"/>
    <w:rsid w:val="00A7008A"/>
    <w:rsid w:val="00A7044E"/>
    <w:rsid w:val="00A82465"/>
    <w:rsid w:val="00A84083"/>
    <w:rsid w:val="00A8449E"/>
    <w:rsid w:val="00A84A56"/>
    <w:rsid w:val="00A85181"/>
    <w:rsid w:val="00A85B54"/>
    <w:rsid w:val="00A85CEC"/>
    <w:rsid w:val="00A8620C"/>
    <w:rsid w:val="00A90385"/>
    <w:rsid w:val="00A91177"/>
    <w:rsid w:val="00A9270F"/>
    <w:rsid w:val="00A93BF2"/>
    <w:rsid w:val="00A93C1E"/>
    <w:rsid w:val="00A94D12"/>
    <w:rsid w:val="00A96268"/>
    <w:rsid w:val="00AA2D23"/>
    <w:rsid w:val="00AA4079"/>
    <w:rsid w:val="00AB09C9"/>
    <w:rsid w:val="00AB0D9D"/>
    <w:rsid w:val="00AB1067"/>
    <w:rsid w:val="00AB1AE7"/>
    <w:rsid w:val="00AB1F47"/>
    <w:rsid w:val="00AB2D59"/>
    <w:rsid w:val="00AB6326"/>
    <w:rsid w:val="00AB6EA7"/>
    <w:rsid w:val="00AB7F84"/>
    <w:rsid w:val="00AC101E"/>
    <w:rsid w:val="00AC1CD8"/>
    <w:rsid w:val="00AC667B"/>
    <w:rsid w:val="00AC7083"/>
    <w:rsid w:val="00AD5316"/>
    <w:rsid w:val="00AD60B3"/>
    <w:rsid w:val="00AE29BB"/>
    <w:rsid w:val="00AE2AA0"/>
    <w:rsid w:val="00AE2B11"/>
    <w:rsid w:val="00AE55C1"/>
    <w:rsid w:val="00AE6233"/>
    <w:rsid w:val="00AE7075"/>
    <w:rsid w:val="00AF0104"/>
    <w:rsid w:val="00AF050A"/>
    <w:rsid w:val="00AF7898"/>
    <w:rsid w:val="00B01E74"/>
    <w:rsid w:val="00B0225A"/>
    <w:rsid w:val="00B02F75"/>
    <w:rsid w:val="00B06C52"/>
    <w:rsid w:val="00B11371"/>
    <w:rsid w:val="00B12718"/>
    <w:rsid w:val="00B13BEA"/>
    <w:rsid w:val="00B15B07"/>
    <w:rsid w:val="00B162B8"/>
    <w:rsid w:val="00B235AA"/>
    <w:rsid w:val="00B24626"/>
    <w:rsid w:val="00B2605B"/>
    <w:rsid w:val="00B26DE3"/>
    <w:rsid w:val="00B30DD0"/>
    <w:rsid w:val="00B33103"/>
    <w:rsid w:val="00B3419C"/>
    <w:rsid w:val="00B35B94"/>
    <w:rsid w:val="00B4150B"/>
    <w:rsid w:val="00B434B4"/>
    <w:rsid w:val="00B45971"/>
    <w:rsid w:val="00B4655F"/>
    <w:rsid w:val="00B46A0A"/>
    <w:rsid w:val="00B47942"/>
    <w:rsid w:val="00B50A7A"/>
    <w:rsid w:val="00B52D58"/>
    <w:rsid w:val="00B53AD9"/>
    <w:rsid w:val="00B54AFE"/>
    <w:rsid w:val="00B555D5"/>
    <w:rsid w:val="00B560A5"/>
    <w:rsid w:val="00B5783D"/>
    <w:rsid w:val="00B60985"/>
    <w:rsid w:val="00B61ADD"/>
    <w:rsid w:val="00B622EE"/>
    <w:rsid w:val="00B639DF"/>
    <w:rsid w:val="00B63A29"/>
    <w:rsid w:val="00B64BB5"/>
    <w:rsid w:val="00B67760"/>
    <w:rsid w:val="00B67FC1"/>
    <w:rsid w:val="00B70CD0"/>
    <w:rsid w:val="00B7118D"/>
    <w:rsid w:val="00B72452"/>
    <w:rsid w:val="00B74B4D"/>
    <w:rsid w:val="00B7676E"/>
    <w:rsid w:val="00B77EE7"/>
    <w:rsid w:val="00B80468"/>
    <w:rsid w:val="00B83C0D"/>
    <w:rsid w:val="00B85D39"/>
    <w:rsid w:val="00B92297"/>
    <w:rsid w:val="00BA13B8"/>
    <w:rsid w:val="00BA4134"/>
    <w:rsid w:val="00BA59A3"/>
    <w:rsid w:val="00BA63AA"/>
    <w:rsid w:val="00BA6DB2"/>
    <w:rsid w:val="00BB2D90"/>
    <w:rsid w:val="00BB3717"/>
    <w:rsid w:val="00BB4854"/>
    <w:rsid w:val="00BC1A94"/>
    <w:rsid w:val="00BC2693"/>
    <w:rsid w:val="00BD2C83"/>
    <w:rsid w:val="00BD3D8A"/>
    <w:rsid w:val="00BD5ADC"/>
    <w:rsid w:val="00BE19E5"/>
    <w:rsid w:val="00BE3FBF"/>
    <w:rsid w:val="00BE4B78"/>
    <w:rsid w:val="00BE6FF9"/>
    <w:rsid w:val="00BF108B"/>
    <w:rsid w:val="00BF2060"/>
    <w:rsid w:val="00BF3DE5"/>
    <w:rsid w:val="00BF6E91"/>
    <w:rsid w:val="00C033DC"/>
    <w:rsid w:val="00C03A1E"/>
    <w:rsid w:val="00C11790"/>
    <w:rsid w:val="00C11D68"/>
    <w:rsid w:val="00C12687"/>
    <w:rsid w:val="00C212EC"/>
    <w:rsid w:val="00C23A56"/>
    <w:rsid w:val="00C25D1B"/>
    <w:rsid w:val="00C303B6"/>
    <w:rsid w:val="00C332E8"/>
    <w:rsid w:val="00C363F6"/>
    <w:rsid w:val="00C43D17"/>
    <w:rsid w:val="00C504CD"/>
    <w:rsid w:val="00C51403"/>
    <w:rsid w:val="00C54B8A"/>
    <w:rsid w:val="00C615BA"/>
    <w:rsid w:val="00C61965"/>
    <w:rsid w:val="00C61B9E"/>
    <w:rsid w:val="00C638F5"/>
    <w:rsid w:val="00C63A94"/>
    <w:rsid w:val="00C72CD2"/>
    <w:rsid w:val="00C74012"/>
    <w:rsid w:val="00C76180"/>
    <w:rsid w:val="00C81E78"/>
    <w:rsid w:val="00C8345E"/>
    <w:rsid w:val="00C83F88"/>
    <w:rsid w:val="00C84DBD"/>
    <w:rsid w:val="00C852E8"/>
    <w:rsid w:val="00C90574"/>
    <w:rsid w:val="00C909D4"/>
    <w:rsid w:val="00C90EA5"/>
    <w:rsid w:val="00C924AF"/>
    <w:rsid w:val="00C958F1"/>
    <w:rsid w:val="00C9630A"/>
    <w:rsid w:val="00C975D3"/>
    <w:rsid w:val="00CA3284"/>
    <w:rsid w:val="00CA5698"/>
    <w:rsid w:val="00CA5EA0"/>
    <w:rsid w:val="00CB0A7F"/>
    <w:rsid w:val="00CB2483"/>
    <w:rsid w:val="00CB6457"/>
    <w:rsid w:val="00CB654F"/>
    <w:rsid w:val="00CC27B5"/>
    <w:rsid w:val="00CC28EF"/>
    <w:rsid w:val="00CC5B9C"/>
    <w:rsid w:val="00CC60B0"/>
    <w:rsid w:val="00CD5840"/>
    <w:rsid w:val="00CD6B81"/>
    <w:rsid w:val="00CD78CC"/>
    <w:rsid w:val="00CE2F88"/>
    <w:rsid w:val="00CE5733"/>
    <w:rsid w:val="00CE64C5"/>
    <w:rsid w:val="00CF04E6"/>
    <w:rsid w:val="00CF094D"/>
    <w:rsid w:val="00CF30FA"/>
    <w:rsid w:val="00CF35AA"/>
    <w:rsid w:val="00CF444A"/>
    <w:rsid w:val="00CF5098"/>
    <w:rsid w:val="00CF6B38"/>
    <w:rsid w:val="00CF7677"/>
    <w:rsid w:val="00D00506"/>
    <w:rsid w:val="00D048B7"/>
    <w:rsid w:val="00D04F20"/>
    <w:rsid w:val="00D0591E"/>
    <w:rsid w:val="00D05944"/>
    <w:rsid w:val="00D059D2"/>
    <w:rsid w:val="00D07D10"/>
    <w:rsid w:val="00D07EC5"/>
    <w:rsid w:val="00D102D7"/>
    <w:rsid w:val="00D12D0D"/>
    <w:rsid w:val="00D14163"/>
    <w:rsid w:val="00D14472"/>
    <w:rsid w:val="00D15F51"/>
    <w:rsid w:val="00D16EDC"/>
    <w:rsid w:val="00D1792E"/>
    <w:rsid w:val="00D20EEF"/>
    <w:rsid w:val="00D212B6"/>
    <w:rsid w:val="00D26848"/>
    <w:rsid w:val="00D3002D"/>
    <w:rsid w:val="00D3057A"/>
    <w:rsid w:val="00D314F0"/>
    <w:rsid w:val="00D31929"/>
    <w:rsid w:val="00D34AD2"/>
    <w:rsid w:val="00D35CE5"/>
    <w:rsid w:val="00D42225"/>
    <w:rsid w:val="00D439EE"/>
    <w:rsid w:val="00D46C89"/>
    <w:rsid w:val="00D46E83"/>
    <w:rsid w:val="00D472C4"/>
    <w:rsid w:val="00D51B1F"/>
    <w:rsid w:val="00D56837"/>
    <w:rsid w:val="00D576D8"/>
    <w:rsid w:val="00D61847"/>
    <w:rsid w:val="00D61E8C"/>
    <w:rsid w:val="00D633AB"/>
    <w:rsid w:val="00D63A97"/>
    <w:rsid w:val="00D63DE9"/>
    <w:rsid w:val="00D64A29"/>
    <w:rsid w:val="00D73A45"/>
    <w:rsid w:val="00D742C2"/>
    <w:rsid w:val="00D82E62"/>
    <w:rsid w:val="00D832B5"/>
    <w:rsid w:val="00D835B4"/>
    <w:rsid w:val="00D84159"/>
    <w:rsid w:val="00D849B1"/>
    <w:rsid w:val="00D871AD"/>
    <w:rsid w:val="00D901E0"/>
    <w:rsid w:val="00D91926"/>
    <w:rsid w:val="00D932F7"/>
    <w:rsid w:val="00D954D6"/>
    <w:rsid w:val="00DA0422"/>
    <w:rsid w:val="00DA0BA2"/>
    <w:rsid w:val="00DA36E0"/>
    <w:rsid w:val="00DA3755"/>
    <w:rsid w:val="00DB3CD9"/>
    <w:rsid w:val="00DB595F"/>
    <w:rsid w:val="00DB668C"/>
    <w:rsid w:val="00DB6EDF"/>
    <w:rsid w:val="00DC21F6"/>
    <w:rsid w:val="00DC22D5"/>
    <w:rsid w:val="00DC2EA2"/>
    <w:rsid w:val="00DC418A"/>
    <w:rsid w:val="00DC4404"/>
    <w:rsid w:val="00DC4EC7"/>
    <w:rsid w:val="00DC4FFF"/>
    <w:rsid w:val="00DC6D6F"/>
    <w:rsid w:val="00DD0A56"/>
    <w:rsid w:val="00DD456A"/>
    <w:rsid w:val="00DE08D5"/>
    <w:rsid w:val="00DE106C"/>
    <w:rsid w:val="00DE1F7A"/>
    <w:rsid w:val="00DE228C"/>
    <w:rsid w:val="00DE3D6C"/>
    <w:rsid w:val="00DE460A"/>
    <w:rsid w:val="00DE7839"/>
    <w:rsid w:val="00DF1FA3"/>
    <w:rsid w:val="00DF3FE3"/>
    <w:rsid w:val="00DF68F8"/>
    <w:rsid w:val="00E00266"/>
    <w:rsid w:val="00E00F47"/>
    <w:rsid w:val="00E02620"/>
    <w:rsid w:val="00E040BB"/>
    <w:rsid w:val="00E1239A"/>
    <w:rsid w:val="00E12DB1"/>
    <w:rsid w:val="00E211FF"/>
    <w:rsid w:val="00E22B36"/>
    <w:rsid w:val="00E2318C"/>
    <w:rsid w:val="00E25DAB"/>
    <w:rsid w:val="00E2653A"/>
    <w:rsid w:val="00E26E56"/>
    <w:rsid w:val="00E302EB"/>
    <w:rsid w:val="00E306C1"/>
    <w:rsid w:val="00E335FA"/>
    <w:rsid w:val="00E33A18"/>
    <w:rsid w:val="00E364F7"/>
    <w:rsid w:val="00E37012"/>
    <w:rsid w:val="00E37306"/>
    <w:rsid w:val="00E37688"/>
    <w:rsid w:val="00E40704"/>
    <w:rsid w:val="00E4160E"/>
    <w:rsid w:val="00E42D25"/>
    <w:rsid w:val="00E43D14"/>
    <w:rsid w:val="00E46B27"/>
    <w:rsid w:val="00E46C0B"/>
    <w:rsid w:val="00E47E97"/>
    <w:rsid w:val="00E47EFB"/>
    <w:rsid w:val="00E5164F"/>
    <w:rsid w:val="00E55BC0"/>
    <w:rsid w:val="00E55EC9"/>
    <w:rsid w:val="00E5629A"/>
    <w:rsid w:val="00E56796"/>
    <w:rsid w:val="00E63D5F"/>
    <w:rsid w:val="00E648F4"/>
    <w:rsid w:val="00E65511"/>
    <w:rsid w:val="00E6676D"/>
    <w:rsid w:val="00E66783"/>
    <w:rsid w:val="00E745B1"/>
    <w:rsid w:val="00E74CCF"/>
    <w:rsid w:val="00E74CFE"/>
    <w:rsid w:val="00E77F5A"/>
    <w:rsid w:val="00E807A1"/>
    <w:rsid w:val="00E827F2"/>
    <w:rsid w:val="00E82DF3"/>
    <w:rsid w:val="00E82EF4"/>
    <w:rsid w:val="00E8336C"/>
    <w:rsid w:val="00E83EA4"/>
    <w:rsid w:val="00E87A8E"/>
    <w:rsid w:val="00E908AF"/>
    <w:rsid w:val="00E91A7C"/>
    <w:rsid w:val="00E92FAE"/>
    <w:rsid w:val="00E9480B"/>
    <w:rsid w:val="00E968F6"/>
    <w:rsid w:val="00E974E3"/>
    <w:rsid w:val="00EA61A0"/>
    <w:rsid w:val="00EB0FA1"/>
    <w:rsid w:val="00EB10EB"/>
    <w:rsid w:val="00EB2856"/>
    <w:rsid w:val="00EB3048"/>
    <w:rsid w:val="00EC08C3"/>
    <w:rsid w:val="00EC2735"/>
    <w:rsid w:val="00EC2876"/>
    <w:rsid w:val="00EC2B0B"/>
    <w:rsid w:val="00ED57F3"/>
    <w:rsid w:val="00ED5E49"/>
    <w:rsid w:val="00ED7656"/>
    <w:rsid w:val="00ED7CCB"/>
    <w:rsid w:val="00EE0006"/>
    <w:rsid w:val="00EE22A0"/>
    <w:rsid w:val="00EE2A22"/>
    <w:rsid w:val="00EE5A8A"/>
    <w:rsid w:val="00EE6F44"/>
    <w:rsid w:val="00EE768B"/>
    <w:rsid w:val="00EE7A1F"/>
    <w:rsid w:val="00EF2079"/>
    <w:rsid w:val="00EF3C13"/>
    <w:rsid w:val="00EF41BC"/>
    <w:rsid w:val="00EF6479"/>
    <w:rsid w:val="00F011CE"/>
    <w:rsid w:val="00F0186F"/>
    <w:rsid w:val="00F03CEB"/>
    <w:rsid w:val="00F03D53"/>
    <w:rsid w:val="00F04605"/>
    <w:rsid w:val="00F0471D"/>
    <w:rsid w:val="00F05607"/>
    <w:rsid w:val="00F05A4E"/>
    <w:rsid w:val="00F07C05"/>
    <w:rsid w:val="00F07D75"/>
    <w:rsid w:val="00F12E59"/>
    <w:rsid w:val="00F2346B"/>
    <w:rsid w:val="00F23762"/>
    <w:rsid w:val="00F23D13"/>
    <w:rsid w:val="00F26E3E"/>
    <w:rsid w:val="00F3017E"/>
    <w:rsid w:val="00F31B3C"/>
    <w:rsid w:val="00F31D67"/>
    <w:rsid w:val="00F32642"/>
    <w:rsid w:val="00F33967"/>
    <w:rsid w:val="00F33BBB"/>
    <w:rsid w:val="00F34CE2"/>
    <w:rsid w:val="00F359E2"/>
    <w:rsid w:val="00F367E7"/>
    <w:rsid w:val="00F421FF"/>
    <w:rsid w:val="00F43F88"/>
    <w:rsid w:val="00F458B0"/>
    <w:rsid w:val="00F4622B"/>
    <w:rsid w:val="00F536E4"/>
    <w:rsid w:val="00F559E6"/>
    <w:rsid w:val="00F60959"/>
    <w:rsid w:val="00F64E40"/>
    <w:rsid w:val="00F65BE0"/>
    <w:rsid w:val="00F66C65"/>
    <w:rsid w:val="00F756C0"/>
    <w:rsid w:val="00F80440"/>
    <w:rsid w:val="00F82555"/>
    <w:rsid w:val="00F85749"/>
    <w:rsid w:val="00F860D8"/>
    <w:rsid w:val="00F8622D"/>
    <w:rsid w:val="00F952AE"/>
    <w:rsid w:val="00F97427"/>
    <w:rsid w:val="00F976A5"/>
    <w:rsid w:val="00FA1D46"/>
    <w:rsid w:val="00FA20DF"/>
    <w:rsid w:val="00FA3462"/>
    <w:rsid w:val="00FA4A9F"/>
    <w:rsid w:val="00FA522E"/>
    <w:rsid w:val="00FA5D16"/>
    <w:rsid w:val="00FA7A3D"/>
    <w:rsid w:val="00FB4518"/>
    <w:rsid w:val="00FB5498"/>
    <w:rsid w:val="00FB5EA3"/>
    <w:rsid w:val="00FB785A"/>
    <w:rsid w:val="00FC3F20"/>
    <w:rsid w:val="00FC4A1F"/>
    <w:rsid w:val="00FC66B7"/>
    <w:rsid w:val="00FC746B"/>
    <w:rsid w:val="00FC752E"/>
    <w:rsid w:val="00FC75EE"/>
    <w:rsid w:val="00FD0800"/>
    <w:rsid w:val="00FD2A7D"/>
    <w:rsid w:val="00FD5605"/>
    <w:rsid w:val="00FD5901"/>
    <w:rsid w:val="00FE04DB"/>
    <w:rsid w:val="00FE1CF0"/>
    <w:rsid w:val="00FE79D1"/>
    <w:rsid w:val="00FE7E61"/>
    <w:rsid w:val="00FF1762"/>
    <w:rsid w:val="00FF5347"/>
    <w:rsid w:val="00FF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7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98"/>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B15B0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B560A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B560A5"/>
    <w:rPr>
      <w:rFonts w:ascii="Calibri" w:eastAsia="Calibri" w:hAnsi="Calibri" w:cs="Calibri"/>
      <w:noProof/>
      <w:sz w:val="22"/>
      <w:lang w:val="en-US"/>
    </w:rPr>
  </w:style>
  <w:style w:type="paragraph" w:customStyle="1" w:styleId="EndNoteBibliography">
    <w:name w:val="EndNote Bibliography"/>
    <w:basedOn w:val="Normal"/>
    <w:link w:val="EndNoteBibliographyChar"/>
    <w:rsid w:val="00B560A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B560A5"/>
    <w:rPr>
      <w:rFonts w:ascii="Calibri" w:eastAsia="Calibri" w:hAnsi="Calibri" w:cs="Calibri"/>
      <w:noProof/>
      <w:sz w:val="22"/>
      <w:lang w:val="en-US"/>
    </w:rPr>
  </w:style>
  <w:style w:type="paragraph" w:styleId="FootnoteText">
    <w:name w:val="footnote text"/>
    <w:basedOn w:val="Normal"/>
    <w:link w:val="FootnoteTextChar"/>
    <w:uiPriority w:val="99"/>
    <w:semiHidden/>
    <w:unhideWhenUsed/>
    <w:rsid w:val="000F5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20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F520A"/>
    <w:rPr>
      <w:vertAlign w:val="superscript"/>
    </w:rPr>
  </w:style>
  <w:style w:type="character" w:customStyle="1" w:styleId="UnresolvedMention">
    <w:name w:val="Unresolved Mention"/>
    <w:basedOn w:val="DefaultParagraphFont"/>
    <w:uiPriority w:val="99"/>
    <w:semiHidden/>
    <w:unhideWhenUsed/>
    <w:rsid w:val="000F520A"/>
    <w:rPr>
      <w:color w:val="605E5C"/>
      <w:shd w:val="clear" w:color="auto" w:fill="E1DFDD"/>
    </w:rPr>
  </w:style>
  <w:style w:type="paragraph" w:styleId="Revision">
    <w:name w:val="Revision"/>
    <w:hidden/>
    <w:uiPriority w:val="99"/>
    <w:semiHidden/>
    <w:rsid w:val="001F2591"/>
    <w:pPr>
      <w:spacing w:after="0" w:line="240" w:lineRule="auto"/>
    </w:pPr>
    <w:rPr>
      <w:rFonts w:ascii="Calibri" w:eastAsia="Calibri" w:hAnsi="Calibri" w:cs="Times New Roman"/>
      <w:sz w:val="22"/>
    </w:rPr>
  </w:style>
  <w:style w:type="paragraph" w:customStyle="1" w:styleId="TableText">
    <w:name w:val="TableText"/>
    <w:basedOn w:val="Normal"/>
    <w:rsid w:val="00204437"/>
    <w:pPr>
      <w:keepNext/>
      <w:spacing w:before="20" w:after="20" w:line="240" w:lineRule="auto"/>
    </w:pPr>
    <w:rPr>
      <w:rFonts w:ascii="Arial Narrow" w:eastAsia="Times New Roman" w:hAnsi="Arial Narrow"/>
      <w:color w:val="000000"/>
      <w:sz w:val="20"/>
      <w:szCs w:val="21"/>
      <w:lang w:eastAsia="en-AU"/>
    </w:rPr>
  </w:style>
  <w:style w:type="paragraph" w:customStyle="1" w:styleId="TableHeading">
    <w:name w:val="TableHeading"/>
    <w:basedOn w:val="TableText"/>
    <w:rsid w:val="00204437"/>
    <w:rPr>
      <w:b/>
      <w:bCs/>
    </w:rPr>
  </w:style>
  <w:style w:type="paragraph" w:customStyle="1" w:styleId="TableFigNotes0">
    <w:name w:val="TableFigNotes+0"/>
    <w:basedOn w:val="Normal"/>
    <w:rsid w:val="00B67FC1"/>
    <w:pPr>
      <w:keepNext/>
      <w:keepLines/>
      <w:spacing w:after="0" w:line="240" w:lineRule="auto"/>
      <w:ind w:left="720"/>
    </w:pPr>
    <w:rPr>
      <w:rFonts w:ascii="Arial Narrow" w:eastAsia="Times New Roman" w:hAnsi="Arial Narrow"/>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6358">
      <w:bodyDiv w:val="1"/>
      <w:marLeft w:val="0"/>
      <w:marRight w:val="0"/>
      <w:marTop w:val="0"/>
      <w:marBottom w:val="0"/>
      <w:divBdr>
        <w:top w:val="none" w:sz="0" w:space="0" w:color="auto"/>
        <w:left w:val="none" w:sz="0" w:space="0" w:color="auto"/>
        <w:bottom w:val="none" w:sz="0" w:space="0" w:color="auto"/>
        <w:right w:val="none" w:sz="0" w:space="0" w:color="auto"/>
      </w:divBdr>
      <w:divsChild>
        <w:div w:id="134570862">
          <w:marLeft w:val="0"/>
          <w:marRight w:val="0"/>
          <w:marTop w:val="0"/>
          <w:marBottom w:val="0"/>
          <w:divBdr>
            <w:top w:val="none" w:sz="0" w:space="0" w:color="auto"/>
            <w:left w:val="none" w:sz="0" w:space="0" w:color="auto"/>
            <w:bottom w:val="none" w:sz="0" w:space="0" w:color="auto"/>
            <w:right w:val="none" w:sz="0" w:space="0" w:color="auto"/>
          </w:divBdr>
        </w:div>
        <w:div w:id="420100125">
          <w:marLeft w:val="0"/>
          <w:marRight w:val="0"/>
          <w:marTop w:val="0"/>
          <w:marBottom w:val="0"/>
          <w:divBdr>
            <w:top w:val="none" w:sz="0" w:space="0" w:color="auto"/>
            <w:left w:val="none" w:sz="0" w:space="0" w:color="auto"/>
            <w:bottom w:val="none" w:sz="0" w:space="0" w:color="auto"/>
            <w:right w:val="none" w:sz="0" w:space="0" w:color="auto"/>
          </w:divBdr>
        </w:div>
        <w:div w:id="1508668648">
          <w:marLeft w:val="0"/>
          <w:marRight w:val="0"/>
          <w:marTop w:val="0"/>
          <w:marBottom w:val="0"/>
          <w:divBdr>
            <w:top w:val="none" w:sz="0" w:space="0" w:color="auto"/>
            <w:left w:val="none" w:sz="0" w:space="0" w:color="auto"/>
            <w:bottom w:val="none" w:sz="0" w:space="0" w:color="auto"/>
            <w:right w:val="none" w:sz="0" w:space="0" w:color="auto"/>
          </w:divBdr>
        </w:div>
        <w:div w:id="586769911">
          <w:marLeft w:val="0"/>
          <w:marRight w:val="0"/>
          <w:marTop w:val="0"/>
          <w:marBottom w:val="0"/>
          <w:divBdr>
            <w:top w:val="none" w:sz="0" w:space="0" w:color="auto"/>
            <w:left w:val="none" w:sz="0" w:space="0" w:color="auto"/>
            <w:bottom w:val="none" w:sz="0" w:space="0" w:color="auto"/>
            <w:right w:val="none" w:sz="0" w:space="0" w:color="auto"/>
          </w:divBdr>
        </w:div>
        <w:div w:id="1799296114">
          <w:marLeft w:val="0"/>
          <w:marRight w:val="0"/>
          <w:marTop w:val="0"/>
          <w:marBottom w:val="0"/>
          <w:divBdr>
            <w:top w:val="none" w:sz="0" w:space="0" w:color="auto"/>
            <w:left w:val="none" w:sz="0" w:space="0" w:color="auto"/>
            <w:bottom w:val="none" w:sz="0" w:space="0" w:color="auto"/>
            <w:right w:val="none" w:sz="0" w:space="0" w:color="auto"/>
          </w:divBdr>
        </w:div>
        <w:div w:id="1887832697">
          <w:marLeft w:val="0"/>
          <w:marRight w:val="0"/>
          <w:marTop w:val="0"/>
          <w:marBottom w:val="0"/>
          <w:divBdr>
            <w:top w:val="none" w:sz="0" w:space="0" w:color="auto"/>
            <w:left w:val="none" w:sz="0" w:space="0" w:color="auto"/>
            <w:bottom w:val="none" w:sz="0" w:space="0" w:color="auto"/>
            <w:right w:val="none" w:sz="0" w:space="0" w:color="auto"/>
          </w:divBdr>
        </w:div>
        <w:div w:id="1252281497">
          <w:marLeft w:val="0"/>
          <w:marRight w:val="0"/>
          <w:marTop w:val="0"/>
          <w:marBottom w:val="0"/>
          <w:divBdr>
            <w:top w:val="none" w:sz="0" w:space="0" w:color="auto"/>
            <w:left w:val="none" w:sz="0" w:space="0" w:color="auto"/>
            <w:bottom w:val="none" w:sz="0" w:space="0" w:color="auto"/>
            <w:right w:val="none" w:sz="0" w:space="0" w:color="auto"/>
          </w:divBdr>
        </w:div>
        <w:div w:id="778262939">
          <w:marLeft w:val="0"/>
          <w:marRight w:val="0"/>
          <w:marTop w:val="0"/>
          <w:marBottom w:val="0"/>
          <w:divBdr>
            <w:top w:val="none" w:sz="0" w:space="0" w:color="auto"/>
            <w:left w:val="none" w:sz="0" w:space="0" w:color="auto"/>
            <w:bottom w:val="none" w:sz="0" w:space="0" w:color="auto"/>
            <w:right w:val="none" w:sz="0" w:space="0" w:color="auto"/>
          </w:divBdr>
        </w:div>
        <w:div w:id="888539228">
          <w:marLeft w:val="0"/>
          <w:marRight w:val="0"/>
          <w:marTop w:val="0"/>
          <w:marBottom w:val="0"/>
          <w:divBdr>
            <w:top w:val="none" w:sz="0" w:space="0" w:color="auto"/>
            <w:left w:val="none" w:sz="0" w:space="0" w:color="auto"/>
            <w:bottom w:val="none" w:sz="0" w:space="0" w:color="auto"/>
            <w:right w:val="none" w:sz="0" w:space="0" w:color="auto"/>
          </w:divBdr>
        </w:div>
        <w:div w:id="1144354191">
          <w:marLeft w:val="0"/>
          <w:marRight w:val="0"/>
          <w:marTop w:val="0"/>
          <w:marBottom w:val="0"/>
          <w:divBdr>
            <w:top w:val="none" w:sz="0" w:space="0" w:color="auto"/>
            <w:left w:val="none" w:sz="0" w:space="0" w:color="auto"/>
            <w:bottom w:val="none" w:sz="0" w:space="0" w:color="auto"/>
            <w:right w:val="none" w:sz="0" w:space="0" w:color="auto"/>
          </w:divBdr>
        </w:div>
        <w:div w:id="600841611">
          <w:marLeft w:val="0"/>
          <w:marRight w:val="0"/>
          <w:marTop w:val="0"/>
          <w:marBottom w:val="0"/>
          <w:divBdr>
            <w:top w:val="none" w:sz="0" w:space="0" w:color="auto"/>
            <w:left w:val="none" w:sz="0" w:space="0" w:color="auto"/>
            <w:bottom w:val="none" w:sz="0" w:space="0" w:color="auto"/>
            <w:right w:val="none" w:sz="0" w:space="0" w:color="auto"/>
          </w:divBdr>
        </w:div>
        <w:div w:id="1893419420">
          <w:marLeft w:val="0"/>
          <w:marRight w:val="0"/>
          <w:marTop w:val="0"/>
          <w:marBottom w:val="0"/>
          <w:divBdr>
            <w:top w:val="none" w:sz="0" w:space="0" w:color="auto"/>
            <w:left w:val="none" w:sz="0" w:space="0" w:color="auto"/>
            <w:bottom w:val="none" w:sz="0" w:space="0" w:color="auto"/>
            <w:right w:val="none" w:sz="0" w:space="0" w:color="auto"/>
          </w:divBdr>
        </w:div>
      </w:divsChild>
    </w:div>
    <w:div w:id="402989274">
      <w:bodyDiv w:val="1"/>
      <w:marLeft w:val="0"/>
      <w:marRight w:val="0"/>
      <w:marTop w:val="0"/>
      <w:marBottom w:val="0"/>
      <w:divBdr>
        <w:top w:val="none" w:sz="0" w:space="0" w:color="auto"/>
        <w:left w:val="none" w:sz="0" w:space="0" w:color="auto"/>
        <w:bottom w:val="none" w:sz="0" w:space="0" w:color="auto"/>
        <w:right w:val="none" w:sz="0" w:space="0" w:color="auto"/>
      </w:divBdr>
      <w:divsChild>
        <w:div w:id="1804809150">
          <w:marLeft w:val="0"/>
          <w:marRight w:val="0"/>
          <w:marTop w:val="0"/>
          <w:marBottom w:val="0"/>
          <w:divBdr>
            <w:top w:val="none" w:sz="0" w:space="0" w:color="auto"/>
            <w:left w:val="none" w:sz="0" w:space="0" w:color="auto"/>
            <w:bottom w:val="none" w:sz="0" w:space="0" w:color="auto"/>
            <w:right w:val="none" w:sz="0" w:space="0" w:color="auto"/>
          </w:divBdr>
        </w:div>
        <w:div w:id="217522804">
          <w:marLeft w:val="0"/>
          <w:marRight w:val="0"/>
          <w:marTop w:val="0"/>
          <w:marBottom w:val="0"/>
          <w:divBdr>
            <w:top w:val="none" w:sz="0" w:space="0" w:color="auto"/>
            <w:left w:val="none" w:sz="0" w:space="0" w:color="auto"/>
            <w:bottom w:val="none" w:sz="0" w:space="0" w:color="auto"/>
            <w:right w:val="none" w:sz="0" w:space="0" w:color="auto"/>
          </w:divBdr>
        </w:div>
        <w:div w:id="1381127461">
          <w:marLeft w:val="0"/>
          <w:marRight w:val="0"/>
          <w:marTop w:val="0"/>
          <w:marBottom w:val="0"/>
          <w:divBdr>
            <w:top w:val="none" w:sz="0" w:space="0" w:color="auto"/>
            <w:left w:val="none" w:sz="0" w:space="0" w:color="auto"/>
            <w:bottom w:val="none" w:sz="0" w:space="0" w:color="auto"/>
            <w:right w:val="none" w:sz="0" w:space="0" w:color="auto"/>
          </w:divBdr>
        </w:div>
        <w:div w:id="2083747621">
          <w:marLeft w:val="0"/>
          <w:marRight w:val="0"/>
          <w:marTop w:val="0"/>
          <w:marBottom w:val="0"/>
          <w:divBdr>
            <w:top w:val="none" w:sz="0" w:space="0" w:color="auto"/>
            <w:left w:val="none" w:sz="0" w:space="0" w:color="auto"/>
            <w:bottom w:val="none" w:sz="0" w:space="0" w:color="auto"/>
            <w:right w:val="none" w:sz="0" w:space="0" w:color="auto"/>
          </w:divBdr>
        </w:div>
        <w:div w:id="2121602563">
          <w:marLeft w:val="0"/>
          <w:marRight w:val="0"/>
          <w:marTop w:val="0"/>
          <w:marBottom w:val="0"/>
          <w:divBdr>
            <w:top w:val="none" w:sz="0" w:space="0" w:color="auto"/>
            <w:left w:val="none" w:sz="0" w:space="0" w:color="auto"/>
            <w:bottom w:val="none" w:sz="0" w:space="0" w:color="auto"/>
            <w:right w:val="none" w:sz="0" w:space="0" w:color="auto"/>
          </w:divBdr>
        </w:div>
        <w:div w:id="1937789074">
          <w:marLeft w:val="0"/>
          <w:marRight w:val="0"/>
          <w:marTop w:val="0"/>
          <w:marBottom w:val="0"/>
          <w:divBdr>
            <w:top w:val="none" w:sz="0" w:space="0" w:color="auto"/>
            <w:left w:val="none" w:sz="0" w:space="0" w:color="auto"/>
            <w:bottom w:val="none" w:sz="0" w:space="0" w:color="auto"/>
            <w:right w:val="none" w:sz="0" w:space="0" w:color="auto"/>
          </w:divBdr>
        </w:div>
      </w:divsChild>
    </w:div>
    <w:div w:id="514080528">
      <w:bodyDiv w:val="1"/>
      <w:marLeft w:val="0"/>
      <w:marRight w:val="0"/>
      <w:marTop w:val="0"/>
      <w:marBottom w:val="0"/>
      <w:divBdr>
        <w:top w:val="none" w:sz="0" w:space="0" w:color="auto"/>
        <w:left w:val="none" w:sz="0" w:space="0" w:color="auto"/>
        <w:bottom w:val="none" w:sz="0" w:space="0" w:color="auto"/>
        <w:right w:val="none" w:sz="0" w:space="0" w:color="auto"/>
      </w:divBdr>
      <w:divsChild>
        <w:div w:id="1002127831">
          <w:marLeft w:val="0"/>
          <w:marRight w:val="0"/>
          <w:marTop w:val="0"/>
          <w:marBottom w:val="0"/>
          <w:divBdr>
            <w:top w:val="none" w:sz="0" w:space="0" w:color="auto"/>
            <w:left w:val="none" w:sz="0" w:space="0" w:color="auto"/>
            <w:bottom w:val="none" w:sz="0" w:space="0" w:color="auto"/>
            <w:right w:val="none" w:sz="0" w:space="0" w:color="auto"/>
          </w:divBdr>
        </w:div>
        <w:div w:id="1864198492">
          <w:marLeft w:val="0"/>
          <w:marRight w:val="0"/>
          <w:marTop w:val="0"/>
          <w:marBottom w:val="0"/>
          <w:divBdr>
            <w:top w:val="none" w:sz="0" w:space="0" w:color="auto"/>
            <w:left w:val="none" w:sz="0" w:space="0" w:color="auto"/>
            <w:bottom w:val="none" w:sz="0" w:space="0" w:color="auto"/>
            <w:right w:val="none" w:sz="0" w:space="0" w:color="auto"/>
          </w:divBdr>
        </w:div>
        <w:div w:id="248465160">
          <w:marLeft w:val="0"/>
          <w:marRight w:val="0"/>
          <w:marTop w:val="0"/>
          <w:marBottom w:val="0"/>
          <w:divBdr>
            <w:top w:val="none" w:sz="0" w:space="0" w:color="auto"/>
            <w:left w:val="none" w:sz="0" w:space="0" w:color="auto"/>
            <w:bottom w:val="none" w:sz="0" w:space="0" w:color="auto"/>
            <w:right w:val="none" w:sz="0" w:space="0" w:color="auto"/>
          </w:divBdr>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8652770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96340741">
      <w:bodyDiv w:val="1"/>
      <w:marLeft w:val="0"/>
      <w:marRight w:val="0"/>
      <w:marTop w:val="0"/>
      <w:marBottom w:val="0"/>
      <w:divBdr>
        <w:top w:val="none" w:sz="0" w:space="0" w:color="auto"/>
        <w:left w:val="none" w:sz="0" w:space="0" w:color="auto"/>
        <w:bottom w:val="none" w:sz="0" w:space="0" w:color="auto"/>
        <w:right w:val="none" w:sz="0" w:space="0" w:color="auto"/>
      </w:divBdr>
    </w:div>
    <w:div w:id="2018648646">
      <w:bodyDiv w:val="1"/>
      <w:marLeft w:val="0"/>
      <w:marRight w:val="0"/>
      <w:marTop w:val="0"/>
      <w:marBottom w:val="0"/>
      <w:divBdr>
        <w:top w:val="none" w:sz="0" w:space="0" w:color="auto"/>
        <w:left w:val="none" w:sz="0" w:space="0" w:color="auto"/>
        <w:bottom w:val="none" w:sz="0" w:space="0" w:color="auto"/>
        <w:right w:val="none" w:sz="0" w:space="0" w:color="auto"/>
      </w:divBdr>
    </w:div>
    <w:div w:id="2066442813">
      <w:bodyDiv w:val="1"/>
      <w:marLeft w:val="0"/>
      <w:marRight w:val="0"/>
      <w:marTop w:val="0"/>
      <w:marBottom w:val="0"/>
      <w:divBdr>
        <w:top w:val="none" w:sz="0" w:space="0" w:color="auto"/>
        <w:left w:val="none" w:sz="0" w:space="0" w:color="auto"/>
        <w:bottom w:val="none" w:sz="0" w:space="0" w:color="auto"/>
        <w:right w:val="none" w:sz="0" w:space="0" w:color="auto"/>
      </w:divBdr>
      <w:divsChild>
        <w:div w:id="1013533142">
          <w:marLeft w:val="0"/>
          <w:marRight w:val="0"/>
          <w:marTop w:val="0"/>
          <w:marBottom w:val="0"/>
          <w:divBdr>
            <w:top w:val="none" w:sz="0" w:space="0" w:color="auto"/>
            <w:left w:val="none" w:sz="0" w:space="0" w:color="auto"/>
            <w:bottom w:val="none" w:sz="0" w:space="0" w:color="auto"/>
            <w:right w:val="none" w:sz="0" w:space="0" w:color="auto"/>
          </w:divBdr>
        </w:div>
        <w:div w:id="722681317">
          <w:marLeft w:val="0"/>
          <w:marRight w:val="0"/>
          <w:marTop w:val="0"/>
          <w:marBottom w:val="0"/>
          <w:divBdr>
            <w:top w:val="none" w:sz="0" w:space="0" w:color="auto"/>
            <w:left w:val="none" w:sz="0" w:space="0" w:color="auto"/>
            <w:bottom w:val="none" w:sz="0" w:space="0" w:color="auto"/>
            <w:right w:val="none" w:sz="0" w:space="0" w:color="auto"/>
          </w:divBdr>
        </w:div>
        <w:div w:id="206992156">
          <w:marLeft w:val="0"/>
          <w:marRight w:val="0"/>
          <w:marTop w:val="0"/>
          <w:marBottom w:val="0"/>
          <w:divBdr>
            <w:top w:val="none" w:sz="0" w:space="0" w:color="auto"/>
            <w:left w:val="none" w:sz="0" w:space="0" w:color="auto"/>
            <w:bottom w:val="none" w:sz="0" w:space="0" w:color="auto"/>
            <w:right w:val="none" w:sz="0" w:space="0" w:color="auto"/>
          </w:divBdr>
        </w:div>
        <w:div w:id="912396798">
          <w:marLeft w:val="0"/>
          <w:marRight w:val="0"/>
          <w:marTop w:val="0"/>
          <w:marBottom w:val="0"/>
          <w:divBdr>
            <w:top w:val="none" w:sz="0" w:space="0" w:color="auto"/>
            <w:left w:val="none" w:sz="0" w:space="0" w:color="auto"/>
            <w:bottom w:val="none" w:sz="0" w:space="0" w:color="auto"/>
            <w:right w:val="none" w:sz="0" w:space="0" w:color="auto"/>
          </w:divBdr>
        </w:div>
        <w:div w:id="1352411277">
          <w:marLeft w:val="0"/>
          <w:marRight w:val="0"/>
          <w:marTop w:val="0"/>
          <w:marBottom w:val="0"/>
          <w:divBdr>
            <w:top w:val="none" w:sz="0" w:space="0" w:color="auto"/>
            <w:left w:val="none" w:sz="0" w:space="0" w:color="auto"/>
            <w:bottom w:val="none" w:sz="0" w:space="0" w:color="auto"/>
            <w:right w:val="none" w:sz="0" w:space="0" w:color="auto"/>
          </w:divBdr>
        </w:div>
        <w:div w:id="1004895628">
          <w:marLeft w:val="0"/>
          <w:marRight w:val="0"/>
          <w:marTop w:val="0"/>
          <w:marBottom w:val="0"/>
          <w:divBdr>
            <w:top w:val="none" w:sz="0" w:space="0" w:color="auto"/>
            <w:left w:val="none" w:sz="0" w:space="0" w:color="auto"/>
            <w:bottom w:val="none" w:sz="0" w:space="0" w:color="auto"/>
            <w:right w:val="none" w:sz="0" w:space="0" w:color="auto"/>
          </w:divBdr>
        </w:div>
        <w:div w:id="435053165">
          <w:marLeft w:val="0"/>
          <w:marRight w:val="0"/>
          <w:marTop w:val="0"/>
          <w:marBottom w:val="0"/>
          <w:divBdr>
            <w:top w:val="none" w:sz="0" w:space="0" w:color="auto"/>
            <w:left w:val="none" w:sz="0" w:space="0" w:color="auto"/>
            <w:bottom w:val="none" w:sz="0" w:space="0" w:color="auto"/>
            <w:right w:val="none" w:sz="0" w:space="0" w:color="auto"/>
          </w:divBdr>
        </w:div>
        <w:div w:id="611592101">
          <w:marLeft w:val="0"/>
          <w:marRight w:val="0"/>
          <w:marTop w:val="0"/>
          <w:marBottom w:val="0"/>
          <w:divBdr>
            <w:top w:val="none" w:sz="0" w:space="0" w:color="auto"/>
            <w:left w:val="none" w:sz="0" w:space="0" w:color="auto"/>
            <w:bottom w:val="none" w:sz="0" w:space="0" w:color="auto"/>
            <w:right w:val="none" w:sz="0" w:space="0" w:color="auto"/>
          </w:divBdr>
        </w:div>
        <w:div w:id="194586387">
          <w:marLeft w:val="0"/>
          <w:marRight w:val="0"/>
          <w:marTop w:val="0"/>
          <w:marBottom w:val="0"/>
          <w:divBdr>
            <w:top w:val="none" w:sz="0" w:space="0" w:color="auto"/>
            <w:left w:val="none" w:sz="0" w:space="0" w:color="auto"/>
            <w:bottom w:val="none" w:sz="0" w:space="0" w:color="auto"/>
            <w:right w:val="none" w:sz="0" w:space="0" w:color="auto"/>
          </w:divBdr>
        </w:div>
        <w:div w:id="288434012">
          <w:marLeft w:val="0"/>
          <w:marRight w:val="0"/>
          <w:marTop w:val="0"/>
          <w:marBottom w:val="0"/>
          <w:divBdr>
            <w:top w:val="none" w:sz="0" w:space="0" w:color="auto"/>
            <w:left w:val="none" w:sz="0" w:space="0" w:color="auto"/>
            <w:bottom w:val="none" w:sz="0" w:space="0" w:color="auto"/>
            <w:right w:val="none" w:sz="0" w:space="0" w:color="auto"/>
          </w:divBdr>
        </w:div>
        <w:div w:id="312100549">
          <w:marLeft w:val="0"/>
          <w:marRight w:val="0"/>
          <w:marTop w:val="0"/>
          <w:marBottom w:val="0"/>
          <w:divBdr>
            <w:top w:val="none" w:sz="0" w:space="0" w:color="auto"/>
            <w:left w:val="none" w:sz="0" w:space="0" w:color="auto"/>
            <w:bottom w:val="none" w:sz="0" w:space="0" w:color="auto"/>
            <w:right w:val="none" w:sz="0" w:space="0" w:color="auto"/>
          </w:divBdr>
        </w:div>
        <w:div w:id="467825795">
          <w:marLeft w:val="0"/>
          <w:marRight w:val="0"/>
          <w:marTop w:val="0"/>
          <w:marBottom w:val="0"/>
          <w:divBdr>
            <w:top w:val="none" w:sz="0" w:space="0" w:color="auto"/>
            <w:left w:val="none" w:sz="0" w:space="0" w:color="auto"/>
            <w:bottom w:val="none" w:sz="0" w:space="0" w:color="auto"/>
            <w:right w:val="none" w:sz="0" w:space="0" w:color="auto"/>
          </w:divBdr>
        </w:div>
        <w:div w:id="2111660402">
          <w:marLeft w:val="0"/>
          <w:marRight w:val="0"/>
          <w:marTop w:val="0"/>
          <w:marBottom w:val="0"/>
          <w:divBdr>
            <w:top w:val="none" w:sz="0" w:space="0" w:color="auto"/>
            <w:left w:val="none" w:sz="0" w:space="0" w:color="auto"/>
            <w:bottom w:val="none" w:sz="0" w:space="0" w:color="auto"/>
            <w:right w:val="none" w:sz="0" w:space="0" w:color="auto"/>
          </w:divBdr>
        </w:div>
        <w:div w:id="1822036037">
          <w:marLeft w:val="0"/>
          <w:marRight w:val="0"/>
          <w:marTop w:val="0"/>
          <w:marBottom w:val="0"/>
          <w:divBdr>
            <w:top w:val="none" w:sz="0" w:space="0" w:color="auto"/>
            <w:left w:val="none" w:sz="0" w:space="0" w:color="auto"/>
            <w:bottom w:val="none" w:sz="0" w:space="0" w:color="auto"/>
            <w:right w:val="none" w:sz="0" w:space="0" w:color="auto"/>
          </w:divBdr>
        </w:div>
        <w:div w:id="710808621">
          <w:marLeft w:val="0"/>
          <w:marRight w:val="0"/>
          <w:marTop w:val="0"/>
          <w:marBottom w:val="0"/>
          <w:divBdr>
            <w:top w:val="none" w:sz="0" w:space="0" w:color="auto"/>
            <w:left w:val="none" w:sz="0" w:space="0" w:color="auto"/>
            <w:bottom w:val="none" w:sz="0" w:space="0" w:color="auto"/>
            <w:right w:val="none" w:sz="0" w:space="0" w:color="auto"/>
          </w:divBdr>
        </w:div>
        <w:div w:id="287781109">
          <w:marLeft w:val="0"/>
          <w:marRight w:val="0"/>
          <w:marTop w:val="0"/>
          <w:marBottom w:val="0"/>
          <w:divBdr>
            <w:top w:val="none" w:sz="0" w:space="0" w:color="auto"/>
            <w:left w:val="none" w:sz="0" w:space="0" w:color="auto"/>
            <w:bottom w:val="none" w:sz="0" w:space="0" w:color="auto"/>
            <w:right w:val="none" w:sz="0" w:space="0" w:color="auto"/>
          </w:divBdr>
        </w:div>
        <w:div w:id="1175807237">
          <w:marLeft w:val="0"/>
          <w:marRight w:val="0"/>
          <w:marTop w:val="0"/>
          <w:marBottom w:val="0"/>
          <w:divBdr>
            <w:top w:val="none" w:sz="0" w:space="0" w:color="auto"/>
            <w:left w:val="none" w:sz="0" w:space="0" w:color="auto"/>
            <w:bottom w:val="none" w:sz="0" w:space="0" w:color="auto"/>
            <w:right w:val="none" w:sz="0" w:space="0" w:color="auto"/>
          </w:divBdr>
        </w:div>
        <w:div w:id="628244187">
          <w:marLeft w:val="0"/>
          <w:marRight w:val="0"/>
          <w:marTop w:val="0"/>
          <w:marBottom w:val="0"/>
          <w:divBdr>
            <w:top w:val="none" w:sz="0" w:space="0" w:color="auto"/>
            <w:left w:val="none" w:sz="0" w:space="0" w:color="auto"/>
            <w:bottom w:val="none" w:sz="0" w:space="0" w:color="auto"/>
            <w:right w:val="none" w:sz="0" w:space="0" w:color="auto"/>
          </w:divBdr>
        </w:div>
      </w:divsChild>
    </w:div>
    <w:div w:id="21155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5BDDD-8999-41DE-8D26-65FD67FA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5561</Words>
  <Characters>31699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2019-03-14T05:23:00Z</dcterms:created>
  <dcterms:modified xsi:type="dcterms:W3CDTF">2019-03-14T05:38:00Z</dcterms:modified>
</cp:coreProperties>
</file>