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38EBC38F"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0E25DD">
        <w:rPr>
          <w:rFonts w:ascii="Arial" w:hAnsi="Arial" w:cs="Arial"/>
          <w:b/>
          <w:sz w:val="48"/>
          <w:szCs w:val="48"/>
        </w:rPr>
        <w:t>6</w:t>
      </w:r>
    </w:p>
    <w:p w14:paraId="660F000E" w14:textId="719696D6" w:rsidR="000E25DD" w:rsidRDefault="000E25DD" w:rsidP="000E25DD">
      <w:pPr>
        <w:spacing w:before="240" w:after="120"/>
        <w:jc w:val="center"/>
        <w:rPr>
          <w:rFonts w:ascii="Arial" w:hAnsi="Arial" w:cs="Arial"/>
          <w:b/>
          <w:sz w:val="28"/>
          <w:szCs w:val="28"/>
        </w:rPr>
      </w:pPr>
      <w:r w:rsidRPr="000E25DD">
        <w:rPr>
          <w:rFonts w:ascii="Arial" w:hAnsi="Arial" w:cs="Arial"/>
          <w:b/>
          <w:sz w:val="28"/>
          <w:szCs w:val="28"/>
        </w:rPr>
        <w:t>Angiogenic and anti-angiogenic markers for identification and management of preeclampsia</w:t>
      </w:r>
    </w:p>
    <w:p w14:paraId="2224A917" w14:textId="308E819C"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E25DD">
        <w:rPr>
          <w:b w:val="0"/>
        </w:rPr>
      </w:r>
      <w:r w:rsidR="000E25D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25DD">
        <w:rPr>
          <w:b w:val="0"/>
        </w:rPr>
      </w:r>
      <w:r w:rsidR="000E25DD">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25DD"/>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2021-12-13T04:14:00Z</dcterms:created>
  <dcterms:modified xsi:type="dcterms:W3CDTF">2021-12-13T04:14:00Z</dcterms:modified>
</cp:coreProperties>
</file>