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1A65" w14:textId="4843172D" w:rsidR="00687576" w:rsidRDefault="00687576" w:rsidP="00881808">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bookmarkStart w:id="0" w:name="_Hlk68005436"/>
      <w:r>
        <w:rPr>
          <w:rFonts w:ascii="Arial" w:hAnsi="Arial" w:cs="Arial"/>
          <w:b/>
          <w:bCs/>
          <w:color w:val="000080"/>
          <w:sz w:val="36"/>
          <w:szCs w:val="36"/>
        </w:rPr>
        <w:t>Medical Services Advisory Committee (MSAC)</w:t>
      </w:r>
      <w:r>
        <w:rPr>
          <w:rFonts w:ascii="Arial" w:hAnsi="Arial" w:cs="Arial"/>
          <w:b/>
          <w:bCs/>
          <w:color w:val="000080"/>
          <w:sz w:val="36"/>
          <w:szCs w:val="36"/>
        </w:rPr>
        <w:br/>
      </w:r>
      <w:r w:rsidR="00881808" w:rsidRPr="00F76D74">
        <w:rPr>
          <w:rFonts w:ascii="Arial" w:hAnsi="Arial" w:cs="Arial"/>
          <w:b/>
          <w:bCs/>
          <w:color w:val="000080"/>
          <w:sz w:val="36"/>
          <w:szCs w:val="36"/>
        </w:rPr>
        <w:t>Public Summary Document</w:t>
      </w:r>
    </w:p>
    <w:bookmarkEnd w:id="0"/>
    <w:p w14:paraId="282CFBC3" w14:textId="77777777" w:rsidR="00687576" w:rsidRPr="00CE28E3" w:rsidRDefault="00687576" w:rsidP="00687576">
      <w:pPr>
        <w:pStyle w:val="Subtitle"/>
      </w:pPr>
      <w:r w:rsidRPr="00CE28E3">
        <w:t xml:space="preserve">Application No. </w:t>
      </w:r>
      <w:r>
        <w:t>1706</w:t>
      </w:r>
      <w:r w:rsidRPr="0044745D">
        <w:t xml:space="preserve"> – </w:t>
      </w:r>
      <w:r w:rsidRPr="00521BF5">
        <w:t>Angiogenic and anti-angiogenic markers for identification and management of preeclampsia</w:t>
      </w:r>
    </w:p>
    <w:p w14:paraId="60C341E7" w14:textId="77777777" w:rsidR="00687576" w:rsidRPr="0044058B" w:rsidRDefault="00687576" w:rsidP="00687576">
      <w:pPr>
        <w:tabs>
          <w:tab w:val="left" w:pos="3686"/>
        </w:tabs>
        <w:spacing w:line="256" w:lineRule="auto"/>
        <w:rPr>
          <w:rFonts w:ascii="Arial" w:eastAsia="Calibri" w:hAnsi="Arial" w:cs="Arial"/>
          <w:b/>
          <w:szCs w:val="24"/>
        </w:rPr>
      </w:pPr>
      <w:r w:rsidRPr="0044058B">
        <w:rPr>
          <w:rFonts w:ascii="Arial" w:eastAsia="Calibri" w:hAnsi="Arial" w:cs="Arial"/>
          <w:b/>
          <w:szCs w:val="24"/>
        </w:rPr>
        <w:t>Applicant:</w:t>
      </w:r>
      <w:r w:rsidRPr="0044058B">
        <w:rPr>
          <w:rFonts w:ascii="Arial" w:eastAsia="Calibri" w:hAnsi="Arial" w:cs="Arial"/>
          <w:b/>
          <w:szCs w:val="24"/>
        </w:rPr>
        <w:tab/>
      </w:r>
      <w:r w:rsidRPr="00ED64D9">
        <w:rPr>
          <w:rFonts w:ascii="Arial" w:hAnsi="Arial" w:cs="Arial"/>
          <w:b/>
          <w:szCs w:val="24"/>
        </w:rPr>
        <w:t>Professor REDACTED/</w:t>
      </w:r>
      <w:r w:rsidRPr="002C71DA">
        <w:rPr>
          <w:rFonts w:ascii="Arial" w:hAnsi="Arial" w:cs="Arial"/>
          <w:b/>
          <w:szCs w:val="24"/>
        </w:rPr>
        <w:t xml:space="preserve">Roche Diagnostics </w:t>
      </w:r>
      <w:r>
        <w:rPr>
          <w:rFonts w:ascii="Arial" w:hAnsi="Arial" w:cs="Arial"/>
          <w:b/>
          <w:szCs w:val="24"/>
        </w:rPr>
        <w:tab/>
      </w:r>
      <w:r w:rsidRPr="002C71DA">
        <w:rPr>
          <w:rFonts w:ascii="Arial" w:hAnsi="Arial" w:cs="Arial"/>
          <w:b/>
          <w:szCs w:val="24"/>
        </w:rPr>
        <w:t>Australia Pty Ltd</w:t>
      </w:r>
    </w:p>
    <w:p w14:paraId="3DC4217F" w14:textId="3B4696B2" w:rsidR="00687576" w:rsidRDefault="00687576" w:rsidP="00687576">
      <w:pPr>
        <w:tabs>
          <w:tab w:val="left" w:pos="3686"/>
        </w:tabs>
        <w:spacing w:after="360"/>
        <w:rPr>
          <w:rFonts w:ascii="Arial" w:eastAsia="Calibri" w:hAnsi="Arial" w:cs="Arial"/>
          <w:b/>
          <w:szCs w:val="24"/>
        </w:rPr>
      </w:pPr>
      <w:r w:rsidRPr="002C0248">
        <w:rPr>
          <w:rFonts w:ascii="Arial" w:eastAsia="Calibri" w:hAnsi="Arial" w:cs="Arial"/>
          <w:b/>
          <w:szCs w:val="24"/>
        </w:rPr>
        <w:t xml:space="preserve">Date of </w:t>
      </w:r>
      <w:r w:rsidR="00881808">
        <w:rPr>
          <w:rFonts w:ascii="Arial" w:eastAsia="Calibri" w:hAnsi="Arial" w:cs="Arial"/>
          <w:b/>
          <w:szCs w:val="24"/>
        </w:rPr>
        <w:t>MSAC</w:t>
      </w:r>
      <w:r w:rsidRPr="002C0248">
        <w:rPr>
          <w:rFonts w:ascii="Arial" w:eastAsia="Calibri" w:hAnsi="Arial" w:cs="Arial"/>
          <w:b/>
          <w:szCs w:val="24"/>
        </w:rPr>
        <w:t xml:space="preserve"> consideration:</w:t>
      </w:r>
      <w:r w:rsidRPr="002C0248">
        <w:rPr>
          <w:rFonts w:ascii="Arial" w:eastAsia="Calibri" w:hAnsi="Arial" w:cs="Arial"/>
          <w:b/>
          <w:szCs w:val="24"/>
        </w:rPr>
        <w:tab/>
      </w:r>
      <w:r w:rsidR="00881808">
        <w:rPr>
          <w:rFonts w:ascii="Arial" w:eastAsia="Calibri" w:hAnsi="Arial" w:cs="Arial"/>
          <w:b/>
          <w:szCs w:val="24"/>
        </w:rPr>
        <w:t>23-24 November</w:t>
      </w:r>
      <w:r w:rsidRPr="00747530">
        <w:rPr>
          <w:rFonts w:ascii="Arial" w:eastAsia="Calibri" w:hAnsi="Arial" w:cs="Arial"/>
          <w:b/>
          <w:szCs w:val="24"/>
        </w:rPr>
        <w:t xml:space="preserve"> 2023</w:t>
      </w:r>
    </w:p>
    <w:p w14:paraId="683332E7" w14:textId="0AF23868" w:rsidR="00881808" w:rsidRPr="00415A9B" w:rsidRDefault="00881808" w:rsidP="00881808">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11" w:tooltip="Link to Medical Services Advisory Committee website" w:history="1">
        <w:r w:rsidRPr="00F715D1">
          <w:rPr>
            <w:rStyle w:val="Hyperlink"/>
            <w:szCs w:val="24"/>
          </w:rPr>
          <w:t>visit the MSAC website</w:t>
        </w:r>
      </w:hyperlink>
    </w:p>
    <w:p w14:paraId="7EAA7262" w14:textId="093B7AA3" w:rsidR="00772829" w:rsidRDefault="00772829">
      <w:pPr>
        <w:pStyle w:val="Heading2"/>
        <w:numPr>
          <w:ilvl w:val="0"/>
          <w:numId w:val="14"/>
        </w:numPr>
        <w:ind w:left="0" w:firstLine="0"/>
      </w:pPr>
      <w:bookmarkStart w:id="1" w:name="_Toc69491415"/>
      <w:r w:rsidRPr="00CE28E3">
        <w:t xml:space="preserve">Purpose </w:t>
      </w:r>
      <w:r w:rsidRPr="00CE28E3">
        <w:rPr>
          <w:szCs w:val="32"/>
        </w:rPr>
        <w:t>of</w:t>
      </w:r>
      <w:r w:rsidRPr="00CE28E3">
        <w:t xml:space="preserve"> application</w:t>
      </w:r>
      <w:bookmarkEnd w:id="1"/>
    </w:p>
    <w:p w14:paraId="2B0897A4" w14:textId="48EDB36A" w:rsidR="002D15AA" w:rsidRDefault="002D15AA" w:rsidP="00196CE5">
      <w:pPr>
        <w:rPr>
          <w:lang w:val="en-GB"/>
        </w:rPr>
      </w:pPr>
      <w:r w:rsidRPr="002D15AA">
        <w:rPr>
          <w:lang w:val="en-GB"/>
        </w:rPr>
        <w:t xml:space="preserve">An application requesting </w:t>
      </w:r>
      <w:r w:rsidRPr="00FA6A3B">
        <w:rPr>
          <w:lang w:val="en-GB"/>
        </w:rPr>
        <w:t>Medicare Benefits Schedule (MBS) listin</w:t>
      </w:r>
      <w:r w:rsidR="00114464" w:rsidRPr="0064109D">
        <w:rPr>
          <w:lang w:val="en-GB"/>
        </w:rPr>
        <w:t>g</w:t>
      </w:r>
      <w:r w:rsidRPr="002D15AA">
        <w:rPr>
          <w:lang w:val="en-GB"/>
        </w:rPr>
        <w:t xml:space="preserve"> of </w:t>
      </w:r>
      <w:r w:rsidR="007F7205" w:rsidRPr="007F7205">
        <w:rPr>
          <w:lang w:val="en-GB"/>
        </w:rPr>
        <w:t xml:space="preserve">angiogenic and anti-angiogenic markers for the identification and management of preeclampsia </w:t>
      </w:r>
      <w:r w:rsidRPr="002D15AA">
        <w:rPr>
          <w:lang w:val="en-GB"/>
        </w:rPr>
        <w:t>was received from</w:t>
      </w:r>
      <w:r w:rsidR="00587269">
        <w:rPr>
          <w:lang w:val="en-GB"/>
        </w:rPr>
        <w:t xml:space="preserve"> </w:t>
      </w:r>
      <w:r w:rsidR="00363756">
        <w:rPr>
          <w:lang w:val="en-GB"/>
        </w:rPr>
        <w:t xml:space="preserve">Professor Redacted / </w:t>
      </w:r>
      <w:r w:rsidR="00587269">
        <w:rPr>
          <w:lang w:val="en-GB"/>
        </w:rPr>
        <w:t>Roche Diagnostics Australia Pty Ltd</w:t>
      </w:r>
      <w:r w:rsidRPr="002D15AA">
        <w:rPr>
          <w:lang w:val="en-GB"/>
        </w:rPr>
        <w:t xml:space="preserve"> by the Department of Health</w:t>
      </w:r>
      <w:r w:rsidR="00D65A64">
        <w:rPr>
          <w:lang w:val="en-GB"/>
        </w:rPr>
        <w:t xml:space="preserve"> and Aged Care</w:t>
      </w:r>
      <w:r w:rsidRPr="002D15AA">
        <w:rPr>
          <w:lang w:val="en-GB"/>
        </w:rPr>
        <w:t>.</w:t>
      </w:r>
    </w:p>
    <w:p w14:paraId="185968C5" w14:textId="77777777" w:rsidR="00881808" w:rsidRDefault="00881808" w:rsidP="00881808">
      <w:pPr>
        <w:pStyle w:val="Heading2"/>
        <w:numPr>
          <w:ilvl w:val="1"/>
          <w:numId w:val="0"/>
        </w:numPr>
      </w:pPr>
      <w:r>
        <w:t>2.</w:t>
      </w:r>
      <w:r>
        <w:tab/>
        <w:t>MSAC’s advice to the Minister</w:t>
      </w:r>
    </w:p>
    <w:p w14:paraId="39150CE2" w14:textId="023D50D8" w:rsidR="00881808" w:rsidRPr="0042718B" w:rsidRDefault="00881808" w:rsidP="00881808">
      <w:pPr>
        <w:spacing w:after="240"/>
        <w:rPr>
          <w:iCs/>
          <w:color w:val="FF0000"/>
        </w:rPr>
      </w:pPr>
      <w:r w:rsidRPr="000A352D">
        <w:rPr>
          <w:iCs/>
        </w:rPr>
        <w:t xml:space="preserve">After considering the strength of the available evidence in relation to comparative safety, clinical effectiveness, cost-effectiveness and total cost, </w:t>
      </w:r>
      <w:r w:rsidR="004229FE">
        <w:rPr>
          <w:rStyle w:val="normaltextrun"/>
          <w:color w:val="000000"/>
          <w:shd w:val="clear" w:color="auto" w:fill="FFFFFF"/>
        </w:rPr>
        <w:t>MSAC did not support the public funding of soluble FMS-like tyrosine kinase-1:placental growth factor (sFlt-1:PlGF) ratio testing to determine the risk or severity of preeclampsia (PE). MSAC considered the evidence supported the negative predictive value of ratio testing to rule out a diagnosis of PE in individuals with signs and/or symptoms of PE, however that the incremental change in management and clinical utility resulting from adding a rule-out diagnosis from ratio testing would likely be minimal in practice because the management of a patient with signs and/or symptoms of PE would be unlikely to be relaxed by a rule-out result from ratio testing. MSAC considered the evidence that ratio testing reduced hospitalisations was biased and insufficiently robust, which made the effectiveness, cost-effectiveness and total financial cost highly uncertain. There was also no evidence presented for the effectiveness of ratio testing in patients with no signs nor symptoms of PE but who were otherwise at risk of PE, so the proposed inclusion of these patients introduced considerable uncertainty regarding test uptake, cost and value. There was insufficient evidence for non-inferior safety. In addition, insufficient evidence was presented to support the claim of value of knowing.</w:t>
      </w:r>
    </w:p>
    <w:tbl>
      <w:tblPr>
        <w:tblStyle w:val="TableGrid"/>
        <w:tblW w:w="0" w:type="auto"/>
        <w:tblLook w:val="04A0" w:firstRow="1" w:lastRow="0" w:firstColumn="1" w:lastColumn="0" w:noHBand="0" w:noVBand="1"/>
        <w:tblDescription w:val="Consumer summary of MSAC consideration"/>
      </w:tblPr>
      <w:tblGrid>
        <w:gridCol w:w="9016"/>
      </w:tblGrid>
      <w:tr w:rsidR="00881808" w:rsidRPr="00AF46D8" w14:paraId="36C1D83C" w14:textId="77777777" w:rsidTr="00050AB4">
        <w:trPr>
          <w:tblHeader/>
        </w:trPr>
        <w:tc>
          <w:tcPr>
            <w:tcW w:w="9016" w:type="dxa"/>
          </w:tcPr>
          <w:p w14:paraId="779C003B" w14:textId="77777777" w:rsidR="00881808" w:rsidRPr="00AF46D8" w:rsidRDefault="00881808" w:rsidP="00050AB4">
            <w:pPr>
              <w:pStyle w:val="Heading3"/>
              <w:spacing w:before="120"/>
              <w:ind w:left="720" w:hanging="720"/>
              <w:rPr>
                <w:iCs/>
              </w:rPr>
            </w:pPr>
            <w:r w:rsidRPr="00AF46D8">
              <w:t>Consumer summary</w:t>
            </w:r>
          </w:p>
        </w:tc>
      </w:tr>
      <w:tr w:rsidR="00881808" w:rsidRPr="00AF46D8" w14:paraId="188AFB01" w14:textId="77777777" w:rsidTr="00050AB4">
        <w:tc>
          <w:tcPr>
            <w:tcW w:w="9016" w:type="dxa"/>
          </w:tcPr>
          <w:p w14:paraId="20DF52E3" w14:textId="49495961" w:rsidR="00E16B83" w:rsidRDefault="00E16B83" w:rsidP="00E16B83">
            <w:r w:rsidRPr="00AF46D8">
              <w:t xml:space="preserve">This </w:t>
            </w:r>
            <w:r w:rsidR="0047724C">
              <w:t>wa</w:t>
            </w:r>
            <w:r w:rsidRPr="00AF46D8">
              <w:t xml:space="preserve">s an application from </w:t>
            </w:r>
            <w:r w:rsidR="0047724C">
              <w:t>a p</w:t>
            </w:r>
            <w:r>
              <w:t xml:space="preserve">rofessor and Roche Diagnostics Australia </w:t>
            </w:r>
            <w:r w:rsidRPr="00AF46D8">
              <w:t>requesting Medicare Benefits Schedule (MBS) listing of</w:t>
            </w:r>
            <w:r>
              <w:t xml:space="preserve"> </w:t>
            </w:r>
            <w:r w:rsidR="00DE71B9">
              <w:t xml:space="preserve">testing </w:t>
            </w:r>
            <w:r>
              <w:rPr>
                <w:szCs w:val="24"/>
              </w:rPr>
              <w:t>a</w:t>
            </w:r>
            <w:r>
              <w:t xml:space="preserve">ngiogenic and anti-angiogenic markers for identification and management of preeclampsia. </w:t>
            </w:r>
          </w:p>
          <w:p w14:paraId="327B89BC" w14:textId="6ADFC91C" w:rsidR="00E16B83" w:rsidRDefault="003B2EE6" w:rsidP="00E16B83">
            <w:r>
              <w:t>P</w:t>
            </w:r>
            <w:r w:rsidRPr="0011692E">
              <w:t>reeclampsia</w:t>
            </w:r>
            <w:r w:rsidDel="003B2EE6">
              <w:t xml:space="preserve"> </w:t>
            </w:r>
            <w:r w:rsidR="00E16B83">
              <w:t xml:space="preserve">is a complication that can happen during pregnancy. It usually includes high blood pressure in the pregnant person, as well as other signs and symptoms. If it is not managed, </w:t>
            </w:r>
            <w:r>
              <w:t>preeclampsia</w:t>
            </w:r>
            <w:r w:rsidDel="003B2EE6">
              <w:t xml:space="preserve"> </w:t>
            </w:r>
            <w:r w:rsidR="00E16B83">
              <w:t xml:space="preserve">can cause serious illness and death in the </w:t>
            </w:r>
            <w:r w:rsidR="00524FE8">
              <w:t xml:space="preserve">pregnant person </w:t>
            </w:r>
            <w:r w:rsidR="00E16B83">
              <w:t>and</w:t>
            </w:r>
            <w:r w:rsidR="00FC23BE">
              <w:t>/or</w:t>
            </w:r>
            <w:r w:rsidR="00E16B83">
              <w:t xml:space="preserve"> </w:t>
            </w:r>
            <w:r w:rsidR="00E16B83">
              <w:lastRenderedPageBreak/>
              <w:t xml:space="preserve">the baby. The only cure </w:t>
            </w:r>
            <w:r w:rsidR="00FC23BE">
              <w:t xml:space="preserve">for </w:t>
            </w:r>
            <w:r>
              <w:t>preeclampsia</w:t>
            </w:r>
            <w:r w:rsidDel="003B2EE6">
              <w:t xml:space="preserve"> </w:t>
            </w:r>
            <w:r w:rsidR="00E16B83">
              <w:t xml:space="preserve">is for the baby to be born and the placenta delivered, so it is often </w:t>
            </w:r>
            <w:r w:rsidR="0003418E">
              <w:t>necessary</w:t>
            </w:r>
            <w:r w:rsidR="00E16B83">
              <w:t xml:space="preserve"> for the baby to be born early (preterm). </w:t>
            </w:r>
          </w:p>
          <w:p w14:paraId="485FBEC6" w14:textId="30ECA4F4" w:rsidR="00E16B83" w:rsidRDefault="00E16B83" w:rsidP="00E16B83">
            <w:r>
              <w:t xml:space="preserve">This application </w:t>
            </w:r>
            <w:r w:rsidR="00FC6260">
              <w:t>wa</w:t>
            </w:r>
            <w:r>
              <w:t>s for a test that measures biochemical markers in the pregnant person’s blood, called soluble FMS-like tyrosine kinase 1 (sFlt-1) and placental growth factor (</w:t>
            </w:r>
            <w:proofErr w:type="spellStart"/>
            <w:r>
              <w:t>PlGF</w:t>
            </w:r>
            <w:proofErr w:type="spellEnd"/>
            <w:r>
              <w:t xml:space="preserve">). The relative amounts of each of these markers can be used to group pregnant people into low risk, moderate risk or high risk of </w:t>
            </w:r>
            <w:r w:rsidR="00270FF7">
              <w:t>preeclampsia</w:t>
            </w:r>
            <w:r>
              <w:t xml:space="preserve">. </w:t>
            </w:r>
            <w:r w:rsidR="00062843">
              <w:t xml:space="preserve">The sFlt-1 to </w:t>
            </w:r>
            <w:proofErr w:type="spellStart"/>
            <w:r w:rsidR="00062843">
              <w:t>PlGF</w:t>
            </w:r>
            <w:proofErr w:type="spellEnd"/>
            <w:r w:rsidR="00062843">
              <w:t xml:space="preserve"> ratio</w:t>
            </w:r>
            <w:r>
              <w:t xml:space="preserve"> </w:t>
            </w:r>
            <w:r w:rsidR="00152205">
              <w:t xml:space="preserve">was proposed to </w:t>
            </w:r>
            <w:r>
              <w:t xml:space="preserve">be </w:t>
            </w:r>
            <w:r w:rsidR="00062843">
              <w:t xml:space="preserve">tested </w:t>
            </w:r>
            <w:r w:rsidR="00D15A21">
              <w:t xml:space="preserve">after 24 weeks </w:t>
            </w:r>
            <w:r w:rsidR="00136167">
              <w:t>into the person’s pregnancy, in people</w:t>
            </w:r>
            <w:r w:rsidR="00D15A21">
              <w:t xml:space="preserve"> </w:t>
            </w:r>
            <w:r>
              <w:t>who have s</w:t>
            </w:r>
            <w:r w:rsidR="00A27A80">
              <w:t>igns and s</w:t>
            </w:r>
            <w:r>
              <w:t xml:space="preserve">ymptoms </w:t>
            </w:r>
            <w:r w:rsidR="00A27A80">
              <w:t xml:space="preserve">suggestive </w:t>
            </w:r>
            <w:r>
              <w:t xml:space="preserve">of </w:t>
            </w:r>
            <w:r w:rsidR="00270FF7">
              <w:t>preeclampsia</w:t>
            </w:r>
            <w:r>
              <w:t xml:space="preserve">, are at high risk of </w:t>
            </w:r>
            <w:r w:rsidR="00270FF7">
              <w:t>preeclampsia</w:t>
            </w:r>
            <w:r w:rsidR="00270FF7" w:rsidDel="00270FF7">
              <w:t xml:space="preserve"> </w:t>
            </w:r>
            <w:r>
              <w:t>or have</w:t>
            </w:r>
            <w:r w:rsidR="00062843">
              <w:t xml:space="preserve"> already</w:t>
            </w:r>
            <w:r>
              <w:t xml:space="preserve"> been diagnosed with </w:t>
            </w:r>
            <w:r w:rsidR="00270FF7">
              <w:t>preeclampsia</w:t>
            </w:r>
            <w:r>
              <w:t xml:space="preserve">. The test would be used alongside a range of other standard tests that are done to </w:t>
            </w:r>
            <w:r w:rsidR="00586AE5">
              <w:t>make the diagnosis of</w:t>
            </w:r>
            <w:r>
              <w:t xml:space="preserve"> </w:t>
            </w:r>
            <w:r w:rsidR="00270FF7">
              <w:t>preeclampsia</w:t>
            </w:r>
            <w:r>
              <w:t>.</w:t>
            </w:r>
          </w:p>
          <w:p w14:paraId="244AAD17" w14:textId="7222B7CD" w:rsidR="00222473" w:rsidRDefault="00E16B83" w:rsidP="00A33E80">
            <w:r>
              <w:t xml:space="preserve">MSAC </w:t>
            </w:r>
            <w:r w:rsidR="00136167">
              <w:t xml:space="preserve">found </w:t>
            </w:r>
            <w:r>
              <w:t xml:space="preserve">that the clinical data in the application were </w:t>
            </w:r>
            <w:r w:rsidR="008A1F20">
              <w:t xml:space="preserve">overall </w:t>
            </w:r>
            <w:r>
              <w:t>low quality and uncertain</w:t>
            </w:r>
            <w:r w:rsidR="008A1F20">
              <w:t>, although the evidence did show that ratio testing can rule out preeclampsia</w:t>
            </w:r>
            <w:r>
              <w:t xml:space="preserve">. The applicant </w:t>
            </w:r>
            <w:r w:rsidR="00062843">
              <w:t xml:space="preserve">claimed </w:t>
            </w:r>
            <w:r>
              <w:t xml:space="preserve">that </w:t>
            </w:r>
            <w:r w:rsidR="00062843">
              <w:t xml:space="preserve">ratio </w:t>
            </w:r>
            <w:r>
              <w:t>test</w:t>
            </w:r>
            <w:r w:rsidR="00062843">
              <w:t>ing</w:t>
            </w:r>
            <w:r>
              <w:t xml:space="preserve"> will reduce the number of people having to go to hospital because of </w:t>
            </w:r>
            <w:r w:rsidR="00270FF7">
              <w:t>preeclampsia</w:t>
            </w:r>
            <w:r>
              <w:t>, but the evidence</w:t>
            </w:r>
            <w:r w:rsidR="008A1F20">
              <w:t xml:space="preserve"> for this</w:t>
            </w:r>
            <w:r>
              <w:t xml:space="preserve"> was very variable (some studies showed less people going to hospital after the test, but </w:t>
            </w:r>
            <w:r w:rsidR="00062843">
              <w:t xml:space="preserve">other </w:t>
            </w:r>
            <w:r>
              <w:t xml:space="preserve">studies showed more). </w:t>
            </w:r>
            <w:r w:rsidR="00E263F0">
              <w:t>I</w:t>
            </w:r>
            <w:r w:rsidR="00937FEC">
              <w:t xml:space="preserve">mportantly, </w:t>
            </w:r>
            <w:r w:rsidR="000A69FF">
              <w:t>people who have signs and symptoms of preeclampsia are already closely monitored</w:t>
            </w:r>
            <w:r w:rsidR="00062843">
              <w:t xml:space="preserve"> by healthcare providers</w:t>
            </w:r>
            <w:r w:rsidR="0003350B">
              <w:t xml:space="preserve">, </w:t>
            </w:r>
            <w:r w:rsidR="00E263F0">
              <w:t>so</w:t>
            </w:r>
            <w:r w:rsidR="0003350B">
              <w:t xml:space="preserve"> MSAC considered a rule-out result from ratio testing would be unlikely to relax</w:t>
            </w:r>
            <w:r w:rsidR="00171D3D">
              <w:t xml:space="preserve"> how closely they are monitored</w:t>
            </w:r>
            <w:r w:rsidR="00212242">
              <w:t>,</w:t>
            </w:r>
            <w:r w:rsidR="006B5E97">
              <w:t xml:space="preserve"> and </w:t>
            </w:r>
            <w:r w:rsidR="00062843">
              <w:t xml:space="preserve">so </w:t>
            </w:r>
            <w:r w:rsidR="006B5E97">
              <w:t xml:space="preserve">it was unlikely ratio testing would </w:t>
            </w:r>
            <w:r w:rsidR="00212242">
              <w:t>change how these patients are managed in practice</w:t>
            </w:r>
            <w:r w:rsidR="008A1F20">
              <w:t>.</w:t>
            </w:r>
            <w:r w:rsidR="00171D3D">
              <w:t xml:space="preserve"> </w:t>
            </w:r>
            <w:r>
              <w:t xml:space="preserve">There were no data about the safety of the test or what happens to a person if the test gives the wrong result. </w:t>
            </w:r>
          </w:p>
          <w:p w14:paraId="459158ED" w14:textId="7902EB5E" w:rsidR="00881808" w:rsidRDefault="00E16B83" w:rsidP="00A33E80">
            <w:r>
              <w:t xml:space="preserve">The </w:t>
            </w:r>
            <w:r w:rsidR="00D56C97">
              <w:t xml:space="preserve">value for money and financial cost of ratio testing </w:t>
            </w:r>
            <w:r w:rsidR="00222473">
              <w:t>also</w:t>
            </w:r>
            <w:r w:rsidR="00D56C97">
              <w:t xml:space="preserve"> relied on </w:t>
            </w:r>
            <w:r w:rsidR="00222473">
              <w:t xml:space="preserve">the assumption that people would be hospitalised less often </w:t>
            </w:r>
            <w:r w:rsidR="00062843">
              <w:t>with</w:t>
            </w:r>
            <w:r w:rsidR="00222473">
              <w:t xml:space="preserve"> ratio testing, but because MSAC</w:t>
            </w:r>
            <w:r w:rsidR="00043CA3">
              <w:t xml:space="preserve"> had found the evidence of reduced </w:t>
            </w:r>
            <w:r w:rsidR="00060CF0">
              <w:t>hospitalisation</w:t>
            </w:r>
            <w:r w:rsidR="00043CA3">
              <w:t xml:space="preserve"> to be unconvincing, t</w:t>
            </w:r>
            <w:r w:rsidR="00060CF0">
              <w:t>here was no</w:t>
            </w:r>
            <w:r w:rsidR="00062843">
              <w:t>t enough</w:t>
            </w:r>
            <w:r w:rsidR="00060CF0">
              <w:t xml:space="preserve"> evidence that this testing would be good value for money or come at an acceptable financial cost</w:t>
            </w:r>
            <w:r>
              <w:t>.</w:t>
            </w:r>
          </w:p>
          <w:p w14:paraId="740D61D9" w14:textId="77777777" w:rsidR="00881808" w:rsidRPr="00AF46D8" w:rsidRDefault="00881808" w:rsidP="00050AB4">
            <w:pPr>
              <w:pStyle w:val="Heading3"/>
              <w:ind w:left="720" w:hanging="720"/>
            </w:pPr>
            <w:r w:rsidRPr="00AF46D8">
              <w:t>MSAC’s advice to the Commonwealth Minister for Health</w:t>
            </w:r>
            <w:r>
              <w:t xml:space="preserve"> and Aged Care</w:t>
            </w:r>
          </w:p>
          <w:p w14:paraId="406FB54C" w14:textId="2B363EEA" w:rsidR="00881808" w:rsidRPr="00AF46D8" w:rsidRDefault="002940E1" w:rsidP="00050AB4">
            <w:pPr>
              <w:spacing w:after="120"/>
            </w:pPr>
            <w:r w:rsidRPr="00AF46D8">
              <w:t>MSAC did not support</w:t>
            </w:r>
            <w:r>
              <w:t xml:space="preserve"> MBS listing of </w:t>
            </w:r>
            <w:r>
              <w:rPr>
                <w:szCs w:val="24"/>
              </w:rPr>
              <w:t>a</w:t>
            </w:r>
            <w:r>
              <w:t xml:space="preserve">ngiogenic and anti-angiogenic markers for identification and management of </w:t>
            </w:r>
            <w:r w:rsidR="00270FF7">
              <w:t>preeclampsia</w:t>
            </w:r>
            <w:r>
              <w:t xml:space="preserve">. This was because it was not clear </w:t>
            </w:r>
            <w:r w:rsidR="00062843">
              <w:t xml:space="preserve">that ratio </w:t>
            </w:r>
            <w:r>
              <w:t>test</w:t>
            </w:r>
            <w:r w:rsidR="00062843">
              <w:t>ing</w:t>
            </w:r>
            <w:r>
              <w:t xml:space="preserve"> would</w:t>
            </w:r>
            <w:r w:rsidR="00062843">
              <w:t xml:space="preserve"> change management</w:t>
            </w:r>
            <w:r>
              <w:t xml:space="preserve"> lead</w:t>
            </w:r>
            <w:r w:rsidR="00062843">
              <w:t>ing</w:t>
            </w:r>
            <w:r>
              <w:t xml:space="preserve"> to better health outcomes or be good value for money.</w:t>
            </w:r>
          </w:p>
        </w:tc>
      </w:tr>
    </w:tbl>
    <w:p w14:paraId="7EF73531" w14:textId="77777777" w:rsidR="00881808" w:rsidRDefault="00881808" w:rsidP="00881808">
      <w:pPr>
        <w:pStyle w:val="Heading2"/>
        <w:numPr>
          <w:ilvl w:val="1"/>
          <w:numId w:val="0"/>
        </w:numPr>
      </w:pPr>
      <w:r>
        <w:lastRenderedPageBreak/>
        <w:t>3.</w:t>
      </w:r>
      <w:r>
        <w:tab/>
        <w:t>Summary of consideration and rationale for MSAC’s advice</w:t>
      </w:r>
    </w:p>
    <w:p w14:paraId="0E5A6420" w14:textId="5B185486" w:rsidR="000C7D3D" w:rsidRDefault="004E271F" w:rsidP="00153354">
      <w:r w:rsidRPr="00516D4E">
        <w:t>MSAC</w:t>
      </w:r>
      <w:r>
        <w:t xml:space="preserve"> noted that this application was for Medicare Benefits Schedule (MBS) listing of angiogenic and anti-angiogenic markers for identification and management of preeclampsia (PE). </w:t>
      </w:r>
      <w:r w:rsidR="000C7D3D">
        <w:t xml:space="preserve">MSAC considered that PE is a serious condition and is a significant cause of </w:t>
      </w:r>
      <w:r w:rsidR="00DA5D9C">
        <w:t>m</w:t>
      </w:r>
      <w:r w:rsidR="000C7D3D">
        <w:t xml:space="preserve">aternal and perinatal mortality and morbidity, and that appropriate treatment may reduce preterm births, PE complications, and improve health outcomes. </w:t>
      </w:r>
    </w:p>
    <w:p w14:paraId="6EEB5E49" w14:textId="3271D4FB" w:rsidR="004E271F" w:rsidRDefault="000C7D3D" w:rsidP="00153354">
      <w:r>
        <w:t>MSAC noted t</w:t>
      </w:r>
      <w:r w:rsidR="004E271F">
        <w:t>h</w:t>
      </w:r>
      <w:r w:rsidR="00203374">
        <w:t>e proposed</w:t>
      </w:r>
      <w:r w:rsidR="004E271F">
        <w:t xml:space="preserve"> test </w:t>
      </w:r>
      <w:r w:rsidR="00FF4ECF">
        <w:t xml:space="preserve">examines the ratio of </w:t>
      </w:r>
      <w:r w:rsidR="004E271F">
        <w:t>soluble FMS-like tyrosine kinase 1 (sFlt-1):placental growth factor (</w:t>
      </w:r>
      <w:proofErr w:type="spellStart"/>
      <w:r w:rsidR="004E271F">
        <w:t>PlGF</w:t>
      </w:r>
      <w:proofErr w:type="spellEnd"/>
      <w:r w:rsidR="004E271F">
        <w:t xml:space="preserve">) at </w:t>
      </w:r>
      <w:r w:rsidR="004E271F" w:rsidRPr="0029230D">
        <w:t>2</w:t>
      </w:r>
      <w:r w:rsidR="004E271F">
        <w:t xml:space="preserve">4+ weeks gestational age. </w:t>
      </w:r>
      <w:r w:rsidR="004E271F" w:rsidRPr="00683C85">
        <w:t>The sFlt-1:P</w:t>
      </w:r>
      <w:r w:rsidR="004E271F">
        <w:t>l</w:t>
      </w:r>
      <w:r w:rsidR="004E271F" w:rsidRPr="00683C85">
        <w:t xml:space="preserve">GF ratio increases several weeks before the onset of otherwise clinically diagnostic signs and symptoms of </w:t>
      </w:r>
      <w:r w:rsidR="004E271F">
        <w:t>PE</w:t>
      </w:r>
      <w:r w:rsidR="004E271F" w:rsidRPr="00683C85">
        <w:t xml:space="preserve">. </w:t>
      </w:r>
      <w:r w:rsidR="004E271F">
        <w:t xml:space="preserve">Based on the sFlt-1:PlGF ratio, the risk of PE </w:t>
      </w:r>
      <w:r w:rsidR="00ED2569">
        <w:t>wa</w:t>
      </w:r>
      <w:r w:rsidR="004E271F">
        <w:t>s categorised as</w:t>
      </w:r>
      <w:r w:rsidR="002338D0">
        <w:t xml:space="preserve"> </w:t>
      </w:r>
      <w:r w:rsidR="004E271F">
        <w:t xml:space="preserve">low risk (ratio &lt;38) </w:t>
      </w:r>
      <w:r w:rsidR="00153354">
        <w:t xml:space="preserve">(proposed to </w:t>
      </w:r>
      <w:r w:rsidR="004E271F">
        <w:t>rule out PE</w:t>
      </w:r>
      <w:r w:rsidR="006E0C7F">
        <w:t xml:space="preserve"> in the near future</w:t>
      </w:r>
      <w:r w:rsidR="004E271F">
        <w:t xml:space="preserve"> and </w:t>
      </w:r>
      <w:r w:rsidR="00153354">
        <w:t xml:space="preserve">the </w:t>
      </w:r>
      <w:r w:rsidR="004E271F">
        <w:t xml:space="preserve">pregnant </w:t>
      </w:r>
      <w:r w:rsidR="0065268B">
        <w:t xml:space="preserve">individual </w:t>
      </w:r>
      <w:r w:rsidR="004E271F">
        <w:t>can be managed as normal</w:t>
      </w:r>
      <w:r w:rsidR="00153354">
        <w:t xml:space="preserve">), or </w:t>
      </w:r>
      <w:r w:rsidR="004E271F">
        <w:t xml:space="preserve">moderate risk (ratio 38–85) </w:t>
      </w:r>
      <w:r w:rsidR="00153354">
        <w:t xml:space="preserve">(proposed to require </w:t>
      </w:r>
      <w:r w:rsidR="004E271F">
        <w:t>increased monitoring, including repeat testing every 1–2 weeks</w:t>
      </w:r>
      <w:r w:rsidR="00153354">
        <w:t xml:space="preserve">), or </w:t>
      </w:r>
      <w:r w:rsidR="004E271F">
        <w:t xml:space="preserve">high risk (ratio &gt;85) </w:t>
      </w:r>
      <w:r w:rsidR="00153354">
        <w:t xml:space="preserve">(proposed to mean </w:t>
      </w:r>
      <w:r w:rsidR="004E271F">
        <w:t>imminent delivery is likely</w:t>
      </w:r>
      <w:r w:rsidR="00153354">
        <w:t>)</w:t>
      </w:r>
      <w:r w:rsidR="004E271F">
        <w:t>.</w:t>
      </w:r>
      <w:r w:rsidR="00ED2569">
        <w:t xml:space="preserve"> MSAC queried </w:t>
      </w:r>
      <w:r w:rsidR="005E6AEA">
        <w:t>whether the</w:t>
      </w:r>
      <w:r w:rsidR="002B23E4">
        <w:t xml:space="preserve"> cut-points</w:t>
      </w:r>
      <w:r w:rsidR="005E6AEA">
        <w:t xml:space="preserve"> were </w:t>
      </w:r>
      <w:r w:rsidR="00FB290F">
        <w:t xml:space="preserve">based on a receiver-operating curve that had not been provided, whether they were </w:t>
      </w:r>
      <w:r w:rsidR="005E6AEA">
        <w:t>pre-specified or post hoc</w:t>
      </w:r>
      <w:r w:rsidR="002B23E4">
        <w:t>, and</w:t>
      </w:r>
      <w:r w:rsidR="002B23E4" w:rsidRPr="002B23E4">
        <w:t xml:space="preserve"> </w:t>
      </w:r>
      <w:r w:rsidR="00FB290F">
        <w:t xml:space="preserve">overall </w:t>
      </w:r>
      <w:r w:rsidR="002B23E4">
        <w:t>considered the evidentiary basis for the</w:t>
      </w:r>
      <w:r w:rsidR="00FB290F">
        <w:t xml:space="preserve"> </w:t>
      </w:r>
      <w:r w:rsidR="005156FA">
        <w:t>chosen</w:t>
      </w:r>
      <w:r w:rsidR="002B23E4">
        <w:t xml:space="preserve"> cut-points had not been </w:t>
      </w:r>
      <w:r w:rsidR="003556EA">
        <w:t xml:space="preserve">made </w:t>
      </w:r>
      <w:r w:rsidR="002B23E4">
        <w:t>sufficiently clear</w:t>
      </w:r>
      <w:r w:rsidR="005E6AEA">
        <w:t>.</w:t>
      </w:r>
    </w:p>
    <w:p w14:paraId="7D31EE70" w14:textId="243AA9B3" w:rsidR="004E271F" w:rsidRDefault="004E271F" w:rsidP="004E271F">
      <w:r>
        <w:lastRenderedPageBreak/>
        <w:t xml:space="preserve">MSAC noted </w:t>
      </w:r>
      <w:r w:rsidR="00FB290F">
        <w:t xml:space="preserve">consultation feedback was </w:t>
      </w:r>
      <w:r>
        <w:t>support</w:t>
      </w:r>
      <w:r w:rsidR="00FB290F">
        <w:t>ive of</w:t>
      </w:r>
      <w:r>
        <w:t xml:space="preserve"> this application. </w:t>
      </w:r>
    </w:p>
    <w:p w14:paraId="7F952FD3" w14:textId="57DF9FC8" w:rsidR="004E271F" w:rsidRDefault="004E271F" w:rsidP="004E271F">
      <w:r>
        <w:t xml:space="preserve">MSAC noted the </w:t>
      </w:r>
      <w:r w:rsidR="004A52C9">
        <w:t xml:space="preserve">two </w:t>
      </w:r>
      <w:r>
        <w:t xml:space="preserve">populations </w:t>
      </w:r>
      <w:r w:rsidR="00020437">
        <w:t xml:space="preserve">proposed </w:t>
      </w:r>
      <w:r>
        <w:t xml:space="preserve">for </w:t>
      </w:r>
      <w:r w:rsidR="00020437">
        <w:t xml:space="preserve">ratio </w:t>
      </w:r>
      <w:r>
        <w:t>test</w:t>
      </w:r>
      <w:r w:rsidR="00020437">
        <w:t>ing</w:t>
      </w:r>
      <w:r>
        <w:t xml:space="preserve">. Population 1 </w:t>
      </w:r>
      <w:r w:rsidR="00020437">
        <w:t>wa</w:t>
      </w:r>
      <w:r>
        <w:t xml:space="preserve">s patients with signs or symptoms of </w:t>
      </w:r>
      <w:r w:rsidR="00E062F2">
        <w:t>suggestive</w:t>
      </w:r>
      <w:r>
        <w:t xml:space="preserve"> of PE (such as high blood pressure) </w:t>
      </w:r>
      <w:r w:rsidR="00A95142">
        <w:t xml:space="preserve">and </w:t>
      </w:r>
      <w:r w:rsidR="00C16F52">
        <w:t xml:space="preserve">individuals </w:t>
      </w:r>
      <w:r>
        <w:t xml:space="preserve">at </w:t>
      </w:r>
      <w:r w:rsidR="00A95142">
        <w:t xml:space="preserve">increased </w:t>
      </w:r>
      <w:r>
        <w:t xml:space="preserve">risk of PE due to other factors (but </w:t>
      </w:r>
      <w:r w:rsidR="00AB7086">
        <w:t xml:space="preserve">currently </w:t>
      </w:r>
      <w:r>
        <w:t>asymptomatic</w:t>
      </w:r>
      <w:r w:rsidR="004A3671">
        <w:t>)</w:t>
      </w:r>
      <w:r w:rsidR="00C16F52">
        <w:t xml:space="preserve"> in whom ratio testing was proposed to </w:t>
      </w:r>
      <w:r w:rsidR="00013669">
        <w:t>allow an earlier diagnosis of PE</w:t>
      </w:r>
      <w:r w:rsidR="004A3671">
        <w:t xml:space="preserve">, and population 2 was patients who have already been diagnosed with PE </w:t>
      </w:r>
      <w:r w:rsidR="00C16F52">
        <w:t>in whom</w:t>
      </w:r>
      <w:r w:rsidR="004A3671">
        <w:t xml:space="preserve"> ratio testing was proposed to help categorise the severity of PE</w:t>
      </w:r>
      <w:r>
        <w:t xml:space="preserve">. </w:t>
      </w:r>
      <w:r w:rsidR="004A3671">
        <w:t>MSAC noted study results were not disaggregated for populations 1 and 2</w:t>
      </w:r>
      <w:r w:rsidR="009765B7">
        <w:t>, and therefore ESC had proposed a consolidated item descriptor</w:t>
      </w:r>
      <w:r w:rsidR="004A3671">
        <w:t xml:space="preserve">. </w:t>
      </w:r>
      <w:r>
        <w:t xml:space="preserve">MSAC considered the definition of </w:t>
      </w:r>
      <w:r w:rsidR="00013669">
        <w:t xml:space="preserve">the asymptomatic </w:t>
      </w:r>
      <w:r>
        <w:t>“</w:t>
      </w:r>
      <w:r w:rsidR="00A95142">
        <w:t xml:space="preserve">increased </w:t>
      </w:r>
      <w:r>
        <w:t xml:space="preserve">risk” </w:t>
      </w:r>
      <w:r w:rsidR="00013669">
        <w:t xml:space="preserve">population </w:t>
      </w:r>
      <w:r>
        <w:t xml:space="preserve">was </w:t>
      </w:r>
      <w:r w:rsidR="004A52C9">
        <w:t xml:space="preserve">ambiguous, and the clinical studies supporting the application did not include people asymptomatic for PE </w:t>
      </w:r>
      <w:r w:rsidR="002B6FB7">
        <w:t>(which would also</w:t>
      </w:r>
      <w:r w:rsidR="00174018">
        <w:t xml:space="preserve"> </w:t>
      </w:r>
      <w:r w:rsidR="00AB7086">
        <w:t>includ</w:t>
      </w:r>
      <w:r w:rsidR="002B6FB7">
        <w:t>e</w:t>
      </w:r>
      <w:r w:rsidR="00AB7086">
        <w:t xml:space="preserve"> those who may be receiving </w:t>
      </w:r>
      <w:r w:rsidR="00E11AEC">
        <w:t>aspirin prophylaxis</w:t>
      </w:r>
      <w:r w:rsidR="002B6FB7">
        <w:t xml:space="preserve"> commenced before 16 weeks gestation)</w:t>
      </w:r>
      <w:r>
        <w:t xml:space="preserve">. </w:t>
      </w:r>
      <w:r w:rsidR="00316EBC">
        <w:t xml:space="preserve">MSAC </w:t>
      </w:r>
      <w:r w:rsidR="004A440D">
        <w:t xml:space="preserve">noted </w:t>
      </w:r>
      <w:r w:rsidR="000B6E02" w:rsidRPr="00780301">
        <w:t xml:space="preserve">UK National Institute for Health and Care Excellence (NICE) </w:t>
      </w:r>
      <w:r w:rsidR="004A440D">
        <w:t xml:space="preserve">guidelines </w:t>
      </w:r>
      <w:r w:rsidR="00036A08">
        <w:t>recommend</w:t>
      </w:r>
      <w:r w:rsidR="004A440D">
        <w:t xml:space="preserve"> </w:t>
      </w:r>
      <w:r w:rsidR="00DB2D84">
        <w:t xml:space="preserve">ratio </w:t>
      </w:r>
      <w:r w:rsidR="004A440D">
        <w:t xml:space="preserve">testing </w:t>
      </w:r>
      <w:r w:rsidR="00DB2D84">
        <w:t xml:space="preserve">only </w:t>
      </w:r>
      <w:r w:rsidR="004A440D">
        <w:t>for patients &gt;24 weeks</w:t>
      </w:r>
      <w:r w:rsidR="006C42C7">
        <w:t xml:space="preserve"> gestation and</w:t>
      </w:r>
      <w:r w:rsidR="004A440D">
        <w:t xml:space="preserve"> </w:t>
      </w:r>
      <w:r w:rsidR="00036A08">
        <w:t xml:space="preserve">with </w:t>
      </w:r>
      <w:r w:rsidR="006C42C7">
        <w:t xml:space="preserve">either </w:t>
      </w:r>
      <w:r w:rsidR="00036A08">
        <w:t>symptoms of PE</w:t>
      </w:r>
      <w:r w:rsidR="006C42C7">
        <w:t xml:space="preserve"> or chronic hypertension, and </w:t>
      </w:r>
      <w:r w:rsidR="00316EBC">
        <w:t>considered there may be potential merit in including patients with chronic hypertension</w:t>
      </w:r>
      <w:r w:rsidR="00FC29D9">
        <w:t xml:space="preserve">, but that there was no evidence of </w:t>
      </w:r>
      <w:r w:rsidR="00BA0B99">
        <w:t>merit</w:t>
      </w:r>
      <w:r w:rsidR="00FC29D9">
        <w:t xml:space="preserve"> in ratio testing for </w:t>
      </w:r>
      <w:r w:rsidR="00BA0B99">
        <w:t>other patient</w:t>
      </w:r>
      <w:r w:rsidR="00C15D2F">
        <w:t>s</w:t>
      </w:r>
      <w:r w:rsidR="00BA0B99">
        <w:t xml:space="preserve"> </w:t>
      </w:r>
      <w:r w:rsidR="009B4E42">
        <w:t>asymptomatic for</w:t>
      </w:r>
      <w:r w:rsidR="00BA0B99">
        <w:t xml:space="preserve"> PE</w:t>
      </w:r>
      <w:r w:rsidR="004A440D">
        <w:t>.</w:t>
      </w:r>
      <w:r w:rsidR="001A126B">
        <w:t xml:space="preserve"> </w:t>
      </w:r>
      <w:r w:rsidR="008E68AF">
        <w:t>MSAC considered that</w:t>
      </w:r>
      <w:r w:rsidR="00C06D35">
        <w:t xml:space="preserve"> if it had supported the PE risk assessment proposed in </w:t>
      </w:r>
      <w:r w:rsidR="009E0F5A">
        <w:t xml:space="preserve">concurrent </w:t>
      </w:r>
      <w:r w:rsidR="00C06D35">
        <w:t xml:space="preserve">application 1705, this would have </w:t>
      </w:r>
      <w:r w:rsidR="009B4E42">
        <w:t>further enlarged the cohort of asymptomatic ‘</w:t>
      </w:r>
      <w:r w:rsidR="00A95142">
        <w:t>increased</w:t>
      </w:r>
      <w:r w:rsidR="009B4E42">
        <w:t xml:space="preserve"> risk’ patients</w:t>
      </w:r>
      <w:r w:rsidR="009765B7">
        <w:t>, rather than decreased it as the applicant proposed in its pre-MSAC response</w:t>
      </w:r>
      <w:r w:rsidR="00861908">
        <w:t xml:space="preserve">, given the approximate 10% incidence of breakthrough PE among </w:t>
      </w:r>
      <w:r w:rsidR="002A7A09">
        <w:t>those taking prophylactic aspirin</w:t>
      </w:r>
      <w:r w:rsidR="009B4E42">
        <w:t xml:space="preserve">. </w:t>
      </w:r>
      <w:r w:rsidR="00BA0B99">
        <w:t xml:space="preserve">Overall, MSAC agreed with ESC that the inclusion of patients without signs or symptoms of PE was not justified and </w:t>
      </w:r>
      <w:r w:rsidR="00BA0B99">
        <w:rPr>
          <w:rFonts w:cs="Calibri"/>
          <w:color w:val="000000"/>
          <w:shd w:val="clear" w:color="auto" w:fill="FFFFFF"/>
        </w:rPr>
        <w:t>introduced considerable uncertainty regarding test uptake, cost and value.</w:t>
      </w:r>
    </w:p>
    <w:p w14:paraId="3D43F4A8" w14:textId="72CFC63E" w:rsidR="00281071" w:rsidRDefault="004E271F" w:rsidP="004E271F">
      <w:r>
        <w:t xml:space="preserve">MSAC noted that PE is not a single condition and there are several diagnostic criteria. MSAC noted the comparator for population 1 was no </w:t>
      </w:r>
      <w:r w:rsidR="002348A7">
        <w:t>ratio</w:t>
      </w:r>
      <w:r w:rsidR="00E949AC">
        <w:t xml:space="preserve">-based </w:t>
      </w:r>
      <w:r>
        <w:t xml:space="preserve">diagnostic testing, with or without current standard tests for diagnosing PE (urine </w:t>
      </w:r>
      <w:proofErr w:type="spellStart"/>
      <w:r>
        <w:t>protein:creatinine</w:t>
      </w:r>
      <w:proofErr w:type="spellEnd"/>
      <w:r>
        <w:t xml:space="preserve"> ratio test, proteinuria reagent strip test, full blood count, and others). For population 2, the comparator was no prognostic </w:t>
      </w:r>
      <w:r w:rsidR="00355267">
        <w:t xml:space="preserve">ratio </w:t>
      </w:r>
      <w:r>
        <w:t>testing plus standard medical management for PE</w:t>
      </w:r>
      <w:r w:rsidR="00A16BDE">
        <w:t xml:space="preserve"> -</w:t>
      </w:r>
      <w:r>
        <w:t xml:space="preserve"> </w:t>
      </w:r>
      <w:r w:rsidR="00A16BDE">
        <w:t>t</w:t>
      </w:r>
      <w:r>
        <w:t xml:space="preserve">hat is, </w:t>
      </w:r>
      <w:r w:rsidR="009E0F5A">
        <w:t xml:space="preserve">ratio </w:t>
      </w:r>
      <w:r>
        <w:t>test</w:t>
      </w:r>
      <w:r w:rsidR="009E0F5A">
        <w:t>ing</w:t>
      </w:r>
      <w:r>
        <w:t xml:space="preserve"> </w:t>
      </w:r>
      <w:r w:rsidR="009E0F5A">
        <w:t>wa</w:t>
      </w:r>
      <w:r>
        <w:t>s</w:t>
      </w:r>
      <w:r w:rsidR="009E0F5A">
        <w:t xml:space="preserve"> proposed to be used</w:t>
      </w:r>
      <w:r>
        <w:t xml:space="preserve"> in addition to the range of other </w:t>
      </w:r>
      <w:r w:rsidR="008E661C">
        <w:t xml:space="preserve">existing </w:t>
      </w:r>
      <w:r>
        <w:t xml:space="preserve">tests to diagnose and monitor PE. </w:t>
      </w:r>
    </w:p>
    <w:p w14:paraId="38CA50F3" w14:textId="2ACA7511" w:rsidR="004E271F" w:rsidRDefault="004E271F" w:rsidP="004E271F">
      <w:r>
        <w:t xml:space="preserve">MSAC noted </w:t>
      </w:r>
      <w:r w:rsidR="00582130">
        <w:t>no</w:t>
      </w:r>
      <w:r>
        <w:t xml:space="preserve"> direct from test to health outcomes evidence</w:t>
      </w:r>
      <w:r w:rsidR="00582130">
        <w:t xml:space="preserve"> was </w:t>
      </w:r>
      <w:r w:rsidR="00F41B0F">
        <w:t>identified</w:t>
      </w:r>
      <w:r>
        <w:t xml:space="preserve">, and a linked evidence approach was used. MSAC agreed with ESC that </w:t>
      </w:r>
      <w:r w:rsidR="004F4B8A">
        <w:t xml:space="preserve">overall </w:t>
      </w:r>
      <w:r>
        <w:t>the clinical data were sparse and of low quality</w:t>
      </w:r>
      <w:r w:rsidR="002A2483">
        <w:t>, observational and at moderate to high risk of bias</w:t>
      </w:r>
      <w:r w:rsidR="00676FDB">
        <w:t>.</w:t>
      </w:r>
    </w:p>
    <w:p w14:paraId="57933A8F" w14:textId="6BFB3C13" w:rsidR="00F92E95" w:rsidRDefault="00F61735" w:rsidP="004E271F">
      <w:r>
        <w:t xml:space="preserve">MSAC considered that overall </w:t>
      </w:r>
      <w:r w:rsidRPr="00F41D2E">
        <w:t xml:space="preserve">there was considerable uncertainty in the clinical evidence </w:t>
      </w:r>
      <w:r>
        <w:t xml:space="preserve">that was </w:t>
      </w:r>
      <w:r w:rsidRPr="00F41D2E">
        <w:t>presented</w:t>
      </w:r>
      <w:r>
        <w:t>, because some studies include</w:t>
      </w:r>
      <w:r w:rsidR="00F267B9">
        <w:t>d</w:t>
      </w:r>
      <w:r>
        <w:t xml:space="preserve"> pregnant patients from 20</w:t>
      </w:r>
      <w:r w:rsidR="00116E18">
        <w:t>+</w:t>
      </w:r>
      <w:r>
        <w:t xml:space="preserve"> weeks’ gestation, most studies included only symptomatic patients, the generalisability to the Australian population was uncertain, and the studies were at moderate risk of bias. </w:t>
      </w:r>
      <w:r w:rsidR="007578CB">
        <w:t xml:space="preserve">However </w:t>
      </w:r>
      <w:r w:rsidR="00141ACD">
        <w:t>MSAC noted t</w:t>
      </w:r>
      <w:r w:rsidR="004E271F">
        <w:t>he</w:t>
      </w:r>
      <w:r w:rsidR="009A4CF5">
        <w:t xml:space="preserve"> evidence showed the</w:t>
      </w:r>
      <w:r w:rsidR="004E271F">
        <w:t xml:space="preserve"> negative predictive value (NPV) of a ratio of &lt;38 </w:t>
      </w:r>
      <w:r w:rsidR="003E5211">
        <w:t xml:space="preserve">to rule out PE </w:t>
      </w:r>
      <w:r w:rsidR="004E271F">
        <w:t>was 98.6% to 100%</w:t>
      </w:r>
      <w:r>
        <w:t>, and</w:t>
      </w:r>
      <w:r w:rsidR="00B1623A">
        <w:t xml:space="preserve"> considered</w:t>
      </w:r>
      <w:r w:rsidR="004E271F" w:rsidRPr="00F41D2E">
        <w:t xml:space="preserve"> the </w:t>
      </w:r>
      <w:r w:rsidR="00F41B0F">
        <w:t xml:space="preserve">evidence </w:t>
      </w:r>
      <w:r w:rsidR="007578CB">
        <w:t xml:space="preserve">relating to test accuracy </w:t>
      </w:r>
      <w:r w:rsidR="00CB3425">
        <w:t>did show</w:t>
      </w:r>
      <w:r w:rsidR="00F41B0F">
        <w:t xml:space="preserve"> the </w:t>
      </w:r>
      <w:r w:rsidR="004E271F" w:rsidRPr="00F41D2E">
        <w:t xml:space="preserve">claim </w:t>
      </w:r>
      <w:r w:rsidR="004E271F">
        <w:t>of</w:t>
      </w:r>
      <w:r w:rsidR="004E271F" w:rsidRPr="00F41D2E">
        <w:t xml:space="preserve"> superior </w:t>
      </w:r>
      <w:r w:rsidR="00D074BF">
        <w:t xml:space="preserve">test accuracy </w:t>
      </w:r>
      <w:r w:rsidR="004E271F" w:rsidRPr="00F41D2E">
        <w:t xml:space="preserve">to </w:t>
      </w:r>
      <w:r w:rsidR="00141ACD">
        <w:t>rule out</w:t>
      </w:r>
      <w:r w:rsidR="004E271F" w:rsidRPr="00F41D2E">
        <w:t xml:space="preserve"> </w:t>
      </w:r>
      <w:r w:rsidR="00465834">
        <w:t xml:space="preserve">a diagnosis of </w:t>
      </w:r>
      <w:r w:rsidR="004E271F" w:rsidRPr="00F41D2E">
        <w:t>PE was reasonable</w:t>
      </w:r>
      <w:r w:rsidR="004E271F">
        <w:t>.</w:t>
      </w:r>
      <w:r w:rsidR="007578CB">
        <w:t xml:space="preserve"> </w:t>
      </w:r>
      <w:r w:rsidR="00882782">
        <w:t xml:space="preserve">However, </w:t>
      </w:r>
      <w:r w:rsidR="00D85012">
        <w:t xml:space="preserve">MSAC considered the confidence intervals on the NPV may have been </w:t>
      </w:r>
      <w:r w:rsidR="006341A4">
        <w:t>small because it was bounded by 1.</w:t>
      </w:r>
      <w:r w:rsidR="0096775B">
        <w:t xml:space="preserve"> MSAC considered that the NPV decreases as risk </w:t>
      </w:r>
      <w:r w:rsidR="00A53F75">
        <w:t xml:space="preserve">(and therefore prevalence) </w:t>
      </w:r>
      <w:r w:rsidR="0096775B">
        <w:t xml:space="preserve">increases, so the NPV for the test will be reduced in </w:t>
      </w:r>
      <w:r w:rsidR="0065268B">
        <w:t>pregnant individuals</w:t>
      </w:r>
      <w:r w:rsidR="0096775B">
        <w:t xml:space="preserve"> at highest risk of PE. </w:t>
      </w:r>
      <w:r w:rsidR="00E54E92">
        <w:t xml:space="preserve">On rule-in </w:t>
      </w:r>
      <w:r w:rsidR="00F267B9">
        <w:t>value, MSAC considered the evidence from a single US study included patients from</w:t>
      </w:r>
      <w:r w:rsidR="00116E18">
        <w:t xml:space="preserve"> 20+ weeks’ gestation and had unclear generalisability to the Australian population. MSAC considered </w:t>
      </w:r>
      <w:r w:rsidR="0060701E">
        <w:t xml:space="preserve">the positive predictive value (PPV) for a rule-in diagnosis was </w:t>
      </w:r>
      <w:r w:rsidR="00F92E95">
        <w:t>better for ratio results &gt;85 (PPV 55-70%) than &gt;38 (PPV 37-58%)</w:t>
      </w:r>
      <w:r w:rsidR="00081C00">
        <w:t>, but that overall the evidence for rule-in value of ratio testing was poor.</w:t>
      </w:r>
    </w:p>
    <w:p w14:paraId="4490541E" w14:textId="72B6FC4C" w:rsidR="004E271F" w:rsidRDefault="002425B4" w:rsidP="004E271F">
      <w:r>
        <w:t xml:space="preserve">On change of management, MSAC considered that in patients </w:t>
      </w:r>
      <w:r w:rsidR="003008DA">
        <w:t>with PE symptoms in whom</w:t>
      </w:r>
      <w:r>
        <w:t xml:space="preserve"> preterm delivery is being considered, if it could be demonstrated that ratio testing could rule out PE </w:t>
      </w:r>
      <w:r w:rsidR="005A40D6">
        <w:t>and</w:t>
      </w:r>
      <w:r>
        <w:t xml:space="preserve"> avoid antenatal steroid administration to quicken fetal lung development, which has diabetogenic risks to the mother and neurocognitive and infection risks to the </w:t>
      </w:r>
      <w:proofErr w:type="spellStart"/>
      <w:r>
        <w:t>fetus</w:t>
      </w:r>
      <w:proofErr w:type="spellEnd"/>
      <w:r w:rsidR="005A40D6">
        <w:t xml:space="preserve">, then there </w:t>
      </w:r>
      <w:r w:rsidR="005A40D6">
        <w:lastRenderedPageBreak/>
        <w:t xml:space="preserve">could </w:t>
      </w:r>
      <w:r w:rsidR="003008DA">
        <w:t xml:space="preserve">potentially </w:t>
      </w:r>
      <w:r w:rsidR="005A40D6">
        <w:t>be a management change resulting from ratio testing</w:t>
      </w:r>
      <w:r w:rsidR="003008DA">
        <w:t xml:space="preserve"> that may improve health outcomes</w:t>
      </w:r>
      <w:r>
        <w:t xml:space="preserve">. </w:t>
      </w:r>
      <w:r w:rsidR="005021EA">
        <w:t xml:space="preserve">However, </w:t>
      </w:r>
      <w:r w:rsidR="00676FDB">
        <w:t xml:space="preserve">MSAC </w:t>
      </w:r>
      <w:r w:rsidR="00676FDB" w:rsidRPr="00676FDB">
        <w:t>considered</w:t>
      </w:r>
      <w:r w:rsidR="00676FDB" w:rsidRPr="007578CB">
        <w:t xml:space="preserve"> that the published evidence for reduction in hospitalisation </w:t>
      </w:r>
      <w:r w:rsidR="00F92E95">
        <w:t>arising from a ratio rest rule-out result</w:t>
      </w:r>
      <w:r w:rsidR="00676FDB" w:rsidRPr="007578CB">
        <w:t xml:space="preserve"> was </w:t>
      </w:r>
      <w:r w:rsidR="00212BEB">
        <w:t>insufficiently robust</w:t>
      </w:r>
      <w:r w:rsidR="00212BEB" w:rsidRPr="00212BEB">
        <w:t xml:space="preserve"> </w:t>
      </w:r>
      <w:r w:rsidR="00212BEB" w:rsidRPr="003E6EC8">
        <w:t>and highly uncertain</w:t>
      </w:r>
      <w:r w:rsidR="00212BEB">
        <w:t>, given the variability in results</w:t>
      </w:r>
      <w:r w:rsidR="00676FDB" w:rsidRPr="007578CB">
        <w:t xml:space="preserve"> </w:t>
      </w:r>
      <w:r w:rsidR="00C92388">
        <w:t>(studies reported -53.3%, -15.0%, and +23.7%)</w:t>
      </w:r>
      <w:r w:rsidR="00676FDB" w:rsidRPr="007578CB">
        <w:t xml:space="preserve">. </w:t>
      </w:r>
      <w:r w:rsidR="005C24E6" w:rsidRPr="007578CB">
        <w:t xml:space="preserve">MSAC </w:t>
      </w:r>
      <w:r w:rsidR="003008DA">
        <w:t xml:space="preserve">also </w:t>
      </w:r>
      <w:r w:rsidR="005C24E6" w:rsidRPr="007578CB">
        <w:t xml:space="preserve">considered that patients presenting with signs and symptoms of PE are always intensively </w:t>
      </w:r>
      <w:r w:rsidR="00B27390">
        <w:t xml:space="preserve">investigated and </w:t>
      </w:r>
      <w:r w:rsidR="005C24E6" w:rsidRPr="007578CB">
        <w:t xml:space="preserve">monitored as they can deteriorate rapidly. MSAC therefore considered that although </w:t>
      </w:r>
      <w:r w:rsidR="000C7781">
        <w:t>ratio</w:t>
      </w:r>
      <w:r w:rsidR="005C24E6" w:rsidRPr="007578CB">
        <w:t xml:space="preserve"> test</w:t>
      </w:r>
      <w:r w:rsidR="000C7781">
        <w:t>ing</w:t>
      </w:r>
      <w:r w:rsidR="005C24E6" w:rsidRPr="007578CB">
        <w:t xml:space="preserve"> may provide additional clinical information</w:t>
      </w:r>
      <w:r w:rsidR="00282E1E">
        <w:t>,</w:t>
      </w:r>
      <w:r w:rsidR="00336765">
        <w:t xml:space="preserve"> </w:t>
      </w:r>
      <w:r w:rsidR="00622DBD" w:rsidRPr="00622DBD">
        <w:t>the incremental change in management and clinical utility resulting from adding a rule-out diagnosis from ratio testing would likely be minimal in practice because the management of a patient with signs and/or symptoms of PE would be unlikely to be relaxed by a rule-out result from ratio testing.</w:t>
      </w:r>
      <w:r w:rsidR="0091210F">
        <w:t xml:space="preserve"> </w:t>
      </w:r>
      <w:r w:rsidR="00081C00">
        <w:t>MSAC noted that i</w:t>
      </w:r>
      <w:r w:rsidR="00081C00" w:rsidRPr="004B53E5">
        <w:t xml:space="preserve">n the pre-MSAC response, the applicant suggested that the precision of the hospital admission </w:t>
      </w:r>
      <w:r w:rsidR="00081C00">
        <w:t xml:space="preserve">decision-making </w:t>
      </w:r>
      <w:r w:rsidR="00081C00" w:rsidRPr="004B53E5">
        <w:t>is</w:t>
      </w:r>
      <w:r w:rsidR="00081C00">
        <w:t xml:space="preserve"> more</w:t>
      </w:r>
      <w:r w:rsidR="00081C00" w:rsidRPr="004B53E5">
        <w:t xml:space="preserve"> important</w:t>
      </w:r>
      <w:r w:rsidR="00081C00">
        <w:t xml:space="preserve"> than </w:t>
      </w:r>
      <w:r w:rsidR="00081C00" w:rsidRPr="004B53E5">
        <w:t>the rate of hospitalisation</w:t>
      </w:r>
      <w:r w:rsidR="00081C00">
        <w:t>,</w:t>
      </w:r>
      <w:r w:rsidR="00081C00" w:rsidRPr="004B53E5">
        <w:t xml:space="preserve"> however,</w:t>
      </w:r>
      <w:r w:rsidR="00081C00">
        <w:t xml:space="preserve"> MSAC</w:t>
      </w:r>
      <w:r w:rsidR="00081C00" w:rsidRPr="004B53E5">
        <w:t xml:space="preserve"> </w:t>
      </w:r>
      <w:r w:rsidR="00081C00">
        <w:t>considered</w:t>
      </w:r>
      <w:r w:rsidR="00081C00" w:rsidRPr="004B53E5">
        <w:t xml:space="preserve"> that </w:t>
      </w:r>
      <w:r w:rsidR="00081C00">
        <w:t>the change in hospitalisation rate</w:t>
      </w:r>
      <w:r w:rsidR="00081C00" w:rsidRPr="004B53E5">
        <w:t xml:space="preserve"> </w:t>
      </w:r>
      <w:r w:rsidR="00081C00">
        <w:t xml:space="preserve">was material as it </w:t>
      </w:r>
      <w:r w:rsidR="00081C00" w:rsidRPr="004B53E5">
        <w:t xml:space="preserve">affects </w:t>
      </w:r>
      <w:r w:rsidR="00081C00">
        <w:t xml:space="preserve">cost-effectiveness and </w:t>
      </w:r>
      <w:r w:rsidR="00081C00" w:rsidRPr="004B53E5">
        <w:t>costs.</w:t>
      </w:r>
      <w:r w:rsidR="00081C00">
        <w:t xml:space="preserve"> </w:t>
      </w:r>
      <w:r w:rsidR="00662DD0">
        <w:t xml:space="preserve">MSAC noted that evidence was presented showing an association between higher ratio results and time to delivery, but considered it was unclear to what extent any association was attributable to PE. </w:t>
      </w:r>
      <w:r w:rsidR="00297F10">
        <w:t xml:space="preserve">MSAC </w:t>
      </w:r>
      <w:r w:rsidR="001B7720">
        <w:t xml:space="preserve">therefore advised </w:t>
      </w:r>
      <w:r w:rsidR="00297F10">
        <w:t>there was insufficient evidence that ratio testing would change management and improve health outcomes</w:t>
      </w:r>
      <w:r w:rsidR="001B7720">
        <w:t>.</w:t>
      </w:r>
    </w:p>
    <w:p w14:paraId="6FF7D491" w14:textId="6500F527" w:rsidR="004E271F" w:rsidRDefault="004E271F" w:rsidP="004E271F">
      <w:r>
        <w:t xml:space="preserve">MSAC noted that no </w:t>
      </w:r>
      <w:r w:rsidR="00297F10">
        <w:t xml:space="preserve">evidence was presented on </w:t>
      </w:r>
      <w:r>
        <w:t xml:space="preserve">safety, </w:t>
      </w:r>
      <w:r w:rsidR="00297F10">
        <w:t>including no</w:t>
      </w:r>
      <w:r>
        <w:t xml:space="preserve"> information about misclassification on the basis of the test or the risks </w:t>
      </w:r>
      <w:r w:rsidR="0073629D">
        <w:t xml:space="preserve">from </w:t>
      </w:r>
      <w:r>
        <w:t xml:space="preserve">false positives. </w:t>
      </w:r>
      <w:r w:rsidR="00163322">
        <w:t xml:space="preserve">MSAC noted Klein </w:t>
      </w:r>
      <w:r w:rsidR="007204C7">
        <w:t xml:space="preserve">et al </w:t>
      </w:r>
      <w:r w:rsidR="00163322">
        <w:t>2016</w:t>
      </w:r>
      <w:r w:rsidR="007204C7">
        <w:rPr>
          <w:rStyle w:val="FootnoteReference"/>
        </w:rPr>
        <w:footnoteReference w:id="2"/>
      </w:r>
      <w:r w:rsidR="00163322">
        <w:t xml:space="preserve"> </w:t>
      </w:r>
      <w:r w:rsidR="004F5CA0">
        <w:t>reported</w:t>
      </w:r>
      <w:r w:rsidR="00D875CA">
        <w:t xml:space="preserve"> expert committee review of hospitalisation decision-making on the basis of ratio testing had resulted in </w:t>
      </w:r>
      <w:r w:rsidR="004F5CA0">
        <w:t xml:space="preserve">inappropriate decisions in </w:t>
      </w:r>
      <w:r w:rsidR="00D875CA">
        <w:t xml:space="preserve">11% of decisions to hospitalise </w:t>
      </w:r>
      <w:r w:rsidR="004F5CA0">
        <w:t xml:space="preserve">and 5.9% of decisions not to hospitalise, and considered </w:t>
      </w:r>
      <w:r w:rsidR="00B70E4B">
        <w:t>this demonstrated</w:t>
      </w:r>
      <w:r w:rsidR="00D5275B">
        <w:t xml:space="preserve"> potential harms.</w:t>
      </w:r>
      <w:r w:rsidR="00163322">
        <w:t xml:space="preserve"> </w:t>
      </w:r>
      <w:r>
        <w:t xml:space="preserve">MSAC </w:t>
      </w:r>
      <w:r w:rsidR="0073629D">
        <w:t xml:space="preserve">noted the applicant in the pre-MSAC response commented that a lack of safety data was not an issue as patients will continue to be monitored if they have symptoms. MSAC </w:t>
      </w:r>
      <w:r>
        <w:t>considered that the claim of non-inferior safety was not supported.</w:t>
      </w:r>
    </w:p>
    <w:p w14:paraId="11A2BE6F" w14:textId="25568316" w:rsidR="004E271F" w:rsidRDefault="004E271F" w:rsidP="004E271F">
      <w:r>
        <w:t>MSAC noted the applicant</w:t>
      </w:r>
      <w:r w:rsidR="00CB7090">
        <w:t xml:space="preserve"> also</w:t>
      </w:r>
      <w:r>
        <w:t xml:space="preserve"> claim</w:t>
      </w:r>
      <w:r w:rsidR="00CB7090">
        <w:t>ed</w:t>
      </w:r>
      <w:r>
        <w:t xml:space="preserve"> </w:t>
      </w:r>
      <w:r w:rsidR="00CB7090">
        <w:t>ratio testing would provide</w:t>
      </w:r>
      <w:r>
        <w:t xml:space="preserve"> </w:t>
      </w:r>
      <w:r w:rsidR="00CB7090">
        <w:t>‘</w:t>
      </w:r>
      <w:r>
        <w:t>value of knowing</w:t>
      </w:r>
      <w:r w:rsidR="00CB7090">
        <w:t>’</w:t>
      </w:r>
      <w:r>
        <w:t xml:space="preserve">, </w:t>
      </w:r>
      <w:r w:rsidR="007340D0">
        <w:t xml:space="preserve">but </w:t>
      </w:r>
      <w:r>
        <w:t xml:space="preserve">considered </w:t>
      </w:r>
      <w:r w:rsidR="00D85405">
        <w:t>no</w:t>
      </w:r>
      <w:r>
        <w:t xml:space="preserve"> evidence</w:t>
      </w:r>
      <w:r w:rsidR="00D85405">
        <w:t xml:space="preserve"> was provided</w:t>
      </w:r>
      <w:r>
        <w:t xml:space="preserve"> to substantiate this claim. MSAC</w:t>
      </w:r>
      <w:r w:rsidR="006A4B2D">
        <w:t xml:space="preserve"> noted the applicant’s comments about the value patients place on ratio testing in the pre-MSAC response, but</w:t>
      </w:r>
      <w:r>
        <w:t xml:space="preserve"> agreed with ESC that p</w:t>
      </w:r>
      <w:r w:rsidRPr="00931657">
        <w:t xml:space="preserve">roviding a patient with a test result of unclear validity </w:t>
      </w:r>
      <w:r>
        <w:t>would be</w:t>
      </w:r>
      <w:r w:rsidRPr="00931657">
        <w:t xml:space="preserve"> more likely to increase anxiety than reduce it</w:t>
      </w:r>
      <w:r w:rsidR="00DD4483">
        <w:t>, and so advised the claim of value of knowing was not supported</w:t>
      </w:r>
      <w:r w:rsidRPr="00931657">
        <w:t>.</w:t>
      </w:r>
    </w:p>
    <w:p w14:paraId="2B705043" w14:textId="02413A8C" w:rsidR="004E271F" w:rsidRDefault="004E271F" w:rsidP="004E271F">
      <w:r>
        <w:t xml:space="preserve">MSAC noted the </w:t>
      </w:r>
      <w:r w:rsidR="00215E94">
        <w:t xml:space="preserve">ADAR’s </w:t>
      </w:r>
      <w:r>
        <w:t>economic evaluation was a cost-consequence analysis</w:t>
      </w:r>
      <w:r w:rsidR="00267F23">
        <w:t xml:space="preserve"> (CCA)</w:t>
      </w:r>
      <w:r w:rsidR="00901EFE">
        <w:t xml:space="preserve">, </w:t>
      </w:r>
      <w:r w:rsidR="00215E94">
        <w:t>and t</w:t>
      </w:r>
      <w:r>
        <w:t>he base case analysis showed a cost saving of $873</w:t>
      </w:r>
      <w:r w:rsidR="005C2D39">
        <w:t xml:space="preserve"> per patient</w:t>
      </w:r>
      <w:r w:rsidR="00215E94">
        <w:t>. MSAC noted</w:t>
      </w:r>
      <w:r>
        <w:t xml:space="preserve"> </w:t>
      </w:r>
      <w:r w:rsidR="005C2D39">
        <w:t>ESC</w:t>
      </w:r>
      <w:r>
        <w:t xml:space="preserve"> </w:t>
      </w:r>
      <w:r w:rsidR="00D1686C">
        <w:t>used</w:t>
      </w:r>
      <w:r w:rsidR="005C2D39">
        <w:t xml:space="preserve"> this to</w:t>
      </w:r>
      <w:r w:rsidR="00D1686C">
        <w:t xml:space="preserve"> construct</w:t>
      </w:r>
      <w:r w:rsidR="005C2D39">
        <w:t xml:space="preserve"> a cost-effectiveness analysis </w:t>
      </w:r>
      <w:r w:rsidR="00267F23">
        <w:t xml:space="preserve">(CEA) </w:t>
      </w:r>
      <w:r w:rsidR="005C2D39">
        <w:t xml:space="preserve">that </w:t>
      </w:r>
      <w:r w:rsidR="00267F23">
        <w:t>yielded an incremental cost-effectiveness ratio (ICER) of</w:t>
      </w:r>
      <w:r w:rsidR="005C2D39">
        <w:t xml:space="preserve"> </w:t>
      </w:r>
      <w:r w:rsidR="00111551">
        <w:t>$3,331</w:t>
      </w:r>
      <w:r>
        <w:t xml:space="preserve"> per hospital admission avoided. </w:t>
      </w:r>
      <w:r w:rsidR="00A206C3">
        <w:t xml:space="preserve">MSAC </w:t>
      </w:r>
      <w:r w:rsidR="00F179E5">
        <w:t xml:space="preserve">noted the applicant stated a CUA was infeasible, however </w:t>
      </w:r>
      <w:r w:rsidR="00A206C3">
        <w:t>considered that the economic evaluation should have included a cost-utility analysis (CUA)</w:t>
      </w:r>
      <w:r w:rsidR="00A4379A">
        <w:t xml:space="preserve"> or CEA</w:t>
      </w:r>
      <w:r w:rsidR="0064509E">
        <w:t>, as</w:t>
      </w:r>
      <w:r w:rsidR="001848CA">
        <w:t xml:space="preserve"> </w:t>
      </w:r>
      <w:r w:rsidR="00F35ADB">
        <w:t xml:space="preserve">given the clinical </w:t>
      </w:r>
      <w:r w:rsidR="00F179E5">
        <w:t>superiority in terms of test accuracy was supported</w:t>
      </w:r>
      <w:r w:rsidR="0064509E">
        <w:t xml:space="preserve"> it was important to include intermediate outcomes, </w:t>
      </w:r>
      <w:r w:rsidR="00CF420B">
        <w:t xml:space="preserve">ideally also </w:t>
      </w:r>
      <w:r w:rsidR="0064509E">
        <w:t>QALYs, and a possible change in risk groups</w:t>
      </w:r>
      <w:r w:rsidR="001848CA">
        <w:t>.</w:t>
      </w:r>
      <w:r w:rsidR="00AC332D">
        <w:t xml:space="preserve"> MSAC considered the </w:t>
      </w:r>
      <w:r w:rsidR="00CF420B">
        <w:t xml:space="preserve">economic </w:t>
      </w:r>
      <w:r w:rsidR="00AC332D">
        <w:t xml:space="preserve">model would </w:t>
      </w:r>
      <w:r w:rsidR="00CF420B">
        <w:t xml:space="preserve">also </w:t>
      </w:r>
      <w:r w:rsidR="00AC332D">
        <w:t xml:space="preserve">have been improved by incorporating testing </w:t>
      </w:r>
      <w:r w:rsidR="00BE0C92">
        <w:t>by clinical risk stratification.</w:t>
      </w:r>
      <w:r w:rsidR="001848CA">
        <w:t xml:space="preserve"> </w:t>
      </w:r>
      <w:r w:rsidR="00897A12">
        <w:t>MSAC noted the main driver of the model was a reduction in hospitalisation following a rule out diagnosis</w:t>
      </w:r>
      <w:r w:rsidR="00215E94">
        <w:t>, and</w:t>
      </w:r>
      <w:r w:rsidR="00897A12">
        <w:t xml:space="preserve"> other factors that had a high impact on model outcomes favoured the intervention. </w:t>
      </w:r>
      <w:r>
        <w:t>MSAC considered that the cost-effectiveness was highly uncertain</w:t>
      </w:r>
      <w:r w:rsidR="005C2D39">
        <w:t xml:space="preserve">, as the model was based on the reduction in hospitalisations from a rule-out result from ratio testing, which as above was highly uncertain based on the literature evidence and </w:t>
      </w:r>
      <w:r w:rsidR="006135B8">
        <w:t xml:space="preserve">unlikely to be realised in practice </w:t>
      </w:r>
      <w:r w:rsidR="005C2D39">
        <w:t>as management of patients with signs and symptoms was unlikely to be relaxed</w:t>
      </w:r>
      <w:r w:rsidR="006135B8">
        <w:t xml:space="preserve"> by a rule-out ratio testing result</w:t>
      </w:r>
      <w:r>
        <w:t xml:space="preserve">. </w:t>
      </w:r>
      <w:r w:rsidR="001220FC">
        <w:t xml:space="preserve">MSAC considered repeat testing and the number of tests per patient was uncertain, but that this was not a main </w:t>
      </w:r>
      <w:r w:rsidR="001220FC">
        <w:lastRenderedPageBreak/>
        <w:t>driver of the economic model.</w:t>
      </w:r>
      <w:r w:rsidR="00970D22">
        <w:t xml:space="preserve"> MSAC considered that the model would have been improved by including modelling of multiple births.</w:t>
      </w:r>
    </w:p>
    <w:p w14:paraId="0EC3ED10" w14:textId="68D17987" w:rsidR="004E271F" w:rsidRDefault="00F57E59" w:rsidP="004E271F">
      <w:r>
        <w:t xml:space="preserve">MSAC noted an epidemiological approach was used to estimate utilisation, and the ADAR estimated a net financial saving of </w:t>
      </w:r>
      <w:r w:rsidR="00225A4C">
        <w:t xml:space="preserve">approximately $29 million per year, comprised of </w:t>
      </w:r>
      <w:r w:rsidR="001E5336">
        <w:t xml:space="preserve">the additional </w:t>
      </w:r>
      <w:r w:rsidR="00225A4C">
        <w:t xml:space="preserve">cost of ratio testing that was more </w:t>
      </w:r>
      <w:r w:rsidR="001E5336">
        <w:t>than offset by the anticipated reduction in hospitalisation</w:t>
      </w:r>
      <w:r>
        <w:t xml:space="preserve">. </w:t>
      </w:r>
      <w:r w:rsidR="004E271F">
        <w:t xml:space="preserve">MSAC considered the financial and budgetary impacts to be highly uncertain, </w:t>
      </w:r>
      <w:r w:rsidR="00DE1C32">
        <w:t xml:space="preserve">mainly because the cost-offsets may have been overestimated as they were based on uncertain evidence. MSAC considered the financial analysis </w:t>
      </w:r>
      <w:r w:rsidR="00EF6D9F">
        <w:t>was also uncertain because</w:t>
      </w:r>
      <w:r w:rsidR="004E271F">
        <w:t xml:space="preserve"> costs were not disaggregated for each population</w:t>
      </w:r>
      <w:r w:rsidR="008C7BE2">
        <w:t>,</w:t>
      </w:r>
      <w:r w:rsidR="004E271F">
        <w:t xml:space="preserve"> </w:t>
      </w:r>
      <w:r w:rsidR="008C7BE2">
        <w:t xml:space="preserve">and the estimates did not include </w:t>
      </w:r>
      <w:r w:rsidR="00FB3E61">
        <w:t>testing</w:t>
      </w:r>
      <w:r w:rsidR="008812A6">
        <w:t xml:space="preserve"> and management</w:t>
      </w:r>
      <w:r w:rsidR="00FB3E61">
        <w:t xml:space="preserve"> of </w:t>
      </w:r>
      <w:r w:rsidR="008C7BE2">
        <w:t>asymptomatic patients</w:t>
      </w:r>
      <w:r w:rsidR="004E271F">
        <w:t>.</w:t>
      </w:r>
    </w:p>
    <w:p w14:paraId="4125EF61" w14:textId="21FE6D58" w:rsidR="004E271F" w:rsidRDefault="00984E04" w:rsidP="004E271F">
      <w:r>
        <w:t xml:space="preserve">Although it did not support public funding, MSAC considered ratio testing </w:t>
      </w:r>
      <w:r w:rsidR="00183EF2">
        <w:t>may have</w:t>
      </w:r>
      <w:r>
        <w:t xml:space="preserve"> potential merit</w:t>
      </w:r>
      <w:r w:rsidR="00183EF2">
        <w:t xml:space="preserve"> in some situations</w:t>
      </w:r>
      <w:r w:rsidR="00966384">
        <w:t xml:space="preserve"> –</w:t>
      </w:r>
      <w:r w:rsidR="004420A2">
        <w:t xml:space="preserve"> although these would need to be more tightly defined and supported by evidence</w:t>
      </w:r>
      <w:r>
        <w:t xml:space="preserve">. </w:t>
      </w:r>
      <w:r w:rsidR="004E271F">
        <w:t xml:space="preserve">MSAC considered the circumstances under which </w:t>
      </w:r>
      <w:r w:rsidR="009A488A">
        <w:t xml:space="preserve">ratio </w:t>
      </w:r>
      <w:r w:rsidR="004E271F">
        <w:t>test</w:t>
      </w:r>
      <w:r w:rsidR="009A488A">
        <w:t>ing</w:t>
      </w:r>
      <w:r w:rsidR="004E271F">
        <w:t xml:space="preserve"> might be useful to help clinical decision making, given the evidence support</w:t>
      </w:r>
      <w:r w:rsidR="009A488A">
        <w:t>ed</w:t>
      </w:r>
      <w:r w:rsidR="004E271F">
        <w:t xml:space="preserve"> the </w:t>
      </w:r>
      <w:r w:rsidR="009A488A">
        <w:t xml:space="preserve">rule-out value </w:t>
      </w:r>
      <w:r w:rsidR="004E271F">
        <w:t xml:space="preserve">of the test. </w:t>
      </w:r>
      <w:r w:rsidR="007D6F2B">
        <w:t xml:space="preserve">MSAC considered that </w:t>
      </w:r>
      <w:r w:rsidR="004E271F">
        <w:t xml:space="preserve">if a </w:t>
      </w:r>
      <w:r w:rsidR="000B6E02">
        <w:t xml:space="preserve">patient </w:t>
      </w:r>
      <w:r w:rsidR="004E271F">
        <w:t xml:space="preserve">in a rural or remote area </w:t>
      </w:r>
      <w:r w:rsidR="000B6E02">
        <w:t>wa</w:t>
      </w:r>
      <w:r w:rsidR="004E271F">
        <w:t xml:space="preserve">s classified as low risk, this may provide reassurance that they will not imminently develop PE. </w:t>
      </w:r>
      <w:r w:rsidR="00554693">
        <w:t xml:space="preserve">Although the evidence supporting the rule-in value of ratio testing was poor, MSAC considered that in rural and remote areas, if a patient was classified as high risk based on ratio testing it may facilitate </w:t>
      </w:r>
      <w:r w:rsidR="00E11AB4">
        <w:t>appropriate</w:t>
      </w:r>
      <w:r w:rsidR="00554693">
        <w:t xml:space="preserve"> transfer to a tertiary facility, which may potentially lead to improved health outcomes for mother and infant. </w:t>
      </w:r>
      <w:r w:rsidR="000B6E02">
        <w:t xml:space="preserve">MSAC considered ratio testing may potentially </w:t>
      </w:r>
      <w:r w:rsidR="0099350C">
        <w:t>meaningfully change management and improve health outcomes in rural and remote areas, but that no evidence had been presented for this.</w:t>
      </w:r>
      <w:r w:rsidR="004E271F">
        <w:t xml:space="preserve"> </w:t>
      </w:r>
      <w:r w:rsidR="0029142F">
        <w:t>MSAC noted that in its pre-MSAC response the applicant stated clinical guidelines recommend ratio testing as an adjunct to clinical management of patients with signs and symptoms of PE, however considered that inclusion in guidelines did not necessarily justify public funding.</w:t>
      </w:r>
    </w:p>
    <w:p w14:paraId="2BACAD32" w14:textId="77777777" w:rsidR="00183EF2" w:rsidRDefault="00183EF2" w:rsidP="00183EF2">
      <w:r>
        <w:rPr>
          <w:rFonts w:cs="Calibri"/>
          <w:color w:val="000000"/>
          <w:shd w:val="clear" w:color="auto" w:fill="FFFFFF"/>
        </w:rPr>
        <w:t>MSAC considered that in well-established clinical practice patients already diagnosed with PE (population 2) already warrant close monitoring, and so if the applicant was considering resubmission the proposed population should not include already diagnosed patients. MSAC also noted no upper limit of gestation was proposed, and considered the applicant should consider an upper limit of 37 weeks’ gestation.</w:t>
      </w:r>
    </w:p>
    <w:p w14:paraId="2A08F798" w14:textId="03CECBCB" w:rsidR="0078607B" w:rsidRDefault="004E271F" w:rsidP="004F710F">
      <w:r>
        <w:t xml:space="preserve">Overall, MSAC did not support </w:t>
      </w:r>
      <w:r w:rsidR="00AF581C">
        <w:t>public funding</w:t>
      </w:r>
      <w:r>
        <w:t xml:space="preserve"> of </w:t>
      </w:r>
      <w:r w:rsidR="001B7720">
        <w:t>sFlt-1:PlGF ratio testing</w:t>
      </w:r>
      <w:r>
        <w:t xml:space="preserve"> for</w:t>
      </w:r>
      <w:r w:rsidR="001B7720">
        <w:t xml:space="preserve"> the</w:t>
      </w:r>
      <w:r>
        <w:t xml:space="preserve"> identification and management of PE. MSAC considered that any future resubmission </w:t>
      </w:r>
      <w:r w:rsidR="0078607B">
        <w:t>would need to:</w:t>
      </w:r>
    </w:p>
    <w:p w14:paraId="30BD0C5F" w14:textId="01C8FD28" w:rsidR="009329A2" w:rsidRDefault="0010284D" w:rsidP="009329A2">
      <w:pPr>
        <w:pStyle w:val="ListParagraph"/>
        <w:numPr>
          <w:ilvl w:val="0"/>
          <w:numId w:val="30"/>
        </w:numPr>
      </w:pPr>
      <w:r>
        <w:t>Revise the proposed population.</w:t>
      </w:r>
    </w:p>
    <w:p w14:paraId="63F0387C" w14:textId="104A7209" w:rsidR="00D10310" w:rsidRDefault="00D10310" w:rsidP="00D10310">
      <w:pPr>
        <w:pStyle w:val="ListParagraph"/>
        <w:numPr>
          <w:ilvl w:val="1"/>
          <w:numId w:val="30"/>
        </w:numPr>
      </w:pPr>
      <w:r>
        <w:t>MSAC recommended excluding patients asymptomatic for PE (except those with chronic hypertension), those with an existing diagnosis of PE, and those</w:t>
      </w:r>
      <w:r w:rsidR="009A7B7C">
        <w:t xml:space="preserve"> &gt;37 weeks gestation</w:t>
      </w:r>
      <w:r w:rsidR="00DB6EA2">
        <w:t xml:space="preserve"> – although the applicant would need to justify its </w:t>
      </w:r>
      <w:r w:rsidR="002378CB">
        <w:t xml:space="preserve">revised </w:t>
      </w:r>
      <w:r w:rsidR="00DB6EA2">
        <w:t>proposed population.</w:t>
      </w:r>
    </w:p>
    <w:p w14:paraId="2DA9FB3F" w14:textId="3657C3A8" w:rsidR="009A7B7C" w:rsidRDefault="009A7B7C" w:rsidP="007578CB">
      <w:pPr>
        <w:pStyle w:val="ListParagraph"/>
        <w:numPr>
          <w:ilvl w:val="1"/>
          <w:numId w:val="30"/>
        </w:numPr>
      </w:pPr>
      <w:r>
        <w:t>MSAC considered</w:t>
      </w:r>
      <w:r w:rsidR="009E2F95">
        <w:t xml:space="preserve"> ratio testing may </w:t>
      </w:r>
      <w:r w:rsidR="001031EB">
        <w:t xml:space="preserve">potentially </w:t>
      </w:r>
      <w:r w:rsidR="009E2F95">
        <w:t xml:space="preserve">be useful in </w:t>
      </w:r>
      <w:r w:rsidR="001031EB">
        <w:t>rural or remote areas, although evidence would need to be presented to support this.</w:t>
      </w:r>
    </w:p>
    <w:p w14:paraId="232C2A3A" w14:textId="5634F091" w:rsidR="003556EA" w:rsidRDefault="003556EA" w:rsidP="009329A2">
      <w:pPr>
        <w:pStyle w:val="ListParagraph"/>
        <w:numPr>
          <w:ilvl w:val="0"/>
          <w:numId w:val="30"/>
        </w:numPr>
      </w:pPr>
      <w:r>
        <w:t>Justify the proposed cut-points in ratio test results.</w:t>
      </w:r>
    </w:p>
    <w:p w14:paraId="08A7F67D" w14:textId="07252F67" w:rsidR="0029142F" w:rsidRDefault="009329A2" w:rsidP="009329A2">
      <w:pPr>
        <w:pStyle w:val="ListParagraph"/>
        <w:numPr>
          <w:ilvl w:val="0"/>
          <w:numId w:val="30"/>
        </w:numPr>
      </w:pPr>
      <w:r>
        <w:t xml:space="preserve">Provide </w:t>
      </w:r>
      <w:r w:rsidR="005156FA">
        <w:t xml:space="preserve">robust </w:t>
      </w:r>
      <w:r>
        <w:t xml:space="preserve">evidence demonstrating </w:t>
      </w:r>
      <w:r w:rsidR="004E271F">
        <w:t xml:space="preserve">the </w:t>
      </w:r>
      <w:r>
        <w:t>incremental</w:t>
      </w:r>
      <w:r w:rsidR="009A4CF5">
        <w:t xml:space="preserve"> effect </w:t>
      </w:r>
      <w:r w:rsidR="004E271F">
        <w:t xml:space="preserve">of </w:t>
      </w:r>
      <w:r>
        <w:t xml:space="preserve">ratio </w:t>
      </w:r>
      <w:r w:rsidR="004E271F">
        <w:t xml:space="preserve">testing on </w:t>
      </w:r>
      <w:r w:rsidR="00E3118E">
        <w:t>chang</w:t>
      </w:r>
      <w:r w:rsidR="000E14B1">
        <w:t>e in management</w:t>
      </w:r>
      <w:r w:rsidR="00855CD7">
        <w:t xml:space="preserve"> </w:t>
      </w:r>
      <w:r w:rsidR="009D70D0">
        <w:t>in each proposed population</w:t>
      </w:r>
      <w:r w:rsidR="00DC7D9A">
        <w:t>.</w:t>
      </w:r>
    </w:p>
    <w:p w14:paraId="0A2E9D97" w14:textId="724AFEB9" w:rsidR="00111551" w:rsidRDefault="0029142F" w:rsidP="009329A2">
      <w:pPr>
        <w:pStyle w:val="ListParagraph"/>
        <w:numPr>
          <w:ilvl w:val="0"/>
          <w:numId w:val="30"/>
        </w:numPr>
      </w:pPr>
      <w:r>
        <w:t xml:space="preserve">Provide evidence demonstrating </w:t>
      </w:r>
      <w:r w:rsidR="004E271F">
        <w:t xml:space="preserve">the incremental </w:t>
      </w:r>
      <w:r w:rsidR="005156FA">
        <w:t xml:space="preserve">effect </w:t>
      </w:r>
      <w:r w:rsidR="00D85E6E">
        <w:t xml:space="preserve">on maternal and infant </w:t>
      </w:r>
      <w:r w:rsidR="000E14B1">
        <w:t xml:space="preserve">health </w:t>
      </w:r>
      <w:r w:rsidR="00D85E6E">
        <w:t>outcomes</w:t>
      </w:r>
      <w:r w:rsidR="004E271F">
        <w:t>.</w:t>
      </w:r>
    </w:p>
    <w:p w14:paraId="4530852D" w14:textId="4AFB0D3C" w:rsidR="004F710F" w:rsidRDefault="0049772E" w:rsidP="007578CB">
      <w:pPr>
        <w:pStyle w:val="ListParagraph"/>
        <w:numPr>
          <w:ilvl w:val="0"/>
          <w:numId w:val="30"/>
        </w:numPr>
      </w:pPr>
      <w:r>
        <w:t>Provide u</w:t>
      </w:r>
      <w:r w:rsidR="00111551">
        <w:t xml:space="preserve">pdated economic </w:t>
      </w:r>
      <w:r w:rsidR="00F35ADB">
        <w:t>and</w:t>
      </w:r>
      <w:r>
        <w:t xml:space="preserve"> </w:t>
      </w:r>
      <w:r w:rsidR="00111551">
        <w:t>financial analyses</w:t>
      </w:r>
      <w:r w:rsidR="00D24553">
        <w:t xml:space="preserve"> in line with MSAC’s advice and</w:t>
      </w:r>
      <w:r w:rsidR="00111551">
        <w:t xml:space="preserve"> taking the above into account.</w:t>
      </w:r>
      <w:r w:rsidR="004F710F" w:rsidRPr="004F710F">
        <w:t xml:space="preserve"> </w:t>
      </w:r>
    </w:p>
    <w:p w14:paraId="675D2D3C" w14:textId="412216E9" w:rsidR="004E271F" w:rsidRDefault="004F710F" w:rsidP="004E271F">
      <w:r>
        <w:t xml:space="preserve">MSAC noted </w:t>
      </w:r>
      <w:r w:rsidR="00832E5D">
        <w:t xml:space="preserve">the applicant had indicated </w:t>
      </w:r>
      <w:r>
        <w:t xml:space="preserve">that the </w:t>
      </w:r>
      <w:r w:rsidRPr="0079741A">
        <w:t>Royal Australian and New Zealand College of Obstetricians and Gynaecologists</w:t>
      </w:r>
      <w:r>
        <w:t xml:space="preserve"> (RANZCOG) </w:t>
      </w:r>
      <w:r w:rsidR="00832E5D">
        <w:t xml:space="preserve">had advised it is planning to update its </w:t>
      </w:r>
      <w:r>
        <w:t xml:space="preserve">guidelines relating to PE </w:t>
      </w:r>
      <w:r w:rsidR="00F0722D">
        <w:t>(</w:t>
      </w:r>
      <w:r>
        <w:t>last updated in 2014</w:t>
      </w:r>
      <w:r w:rsidR="00F0722D">
        <w:t>)</w:t>
      </w:r>
      <w:r>
        <w:t xml:space="preserve">. MSAC requested the Department write to RANZCOG </w:t>
      </w:r>
      <w:r>
        <w:lastRenderedPageBreak/>
        <w:t xml:space="preserve">seeking more information about its plans to update its guidelines, </w:t>
      </w:r>
      <w:r w:rsidR="000B6E02">
        <w:t xml:space="preserve">including its timeline for the update </w:t>
      </w:r>
      <w:r>
        <w:t xml:space="preserve">and whether </w:t>
      </w:r>
      <w:r w:rsidR="00E7527D">
        <w:t xml:space="preserve">they would include any </w:t>
      </w:r>
      <w:r w:rsidR="000B6E02">
        <w:t>guidance</w:t>
      </w:r>
      <w:r w:rsidR="00E7527D">
        <w:t xml:space="preserve"> in relation to</w:t>
      </w:r>
      <w:r>
        <w:t xml:space="preserve"> ratio testing. </w:t>
      </w:r>
    </w:p>
    <w:p w14:paraId="038F8214" w14:textId="3D6FC30A" w:rsidR="00BE5374" w:rsidRDefault="00881808" w:rsidP="007D1729">
      <w:pPr>
        <w:pStyle w:val="Heading2"/>
        <w:numPr>
          <w:ilvl w:val="0"/>
          <w:numId w:val="0"/>
        </w:numPr>
      </w:pPr>
      <w:bookmarkStart w:id="2" w:name="_Toc69491416"/>
      <w:r>
        <w:t>4</w:t>
      </w:r>
      <w:r w:rsidR="00C36633">
        <w:t>.</w:t>
      </w:r>
      <w:r w:rsidR="00C36633">
        <w:tab/>
      </w:r>
      <w:r w:rsidR="00772829" w:rsidRPr="00CE28E3">
        <w:t>Background</w:t>
      </w:r>
      <w:bookmarkStart w:id="3" w:name="_Hlk69734494"/>
      <w:bookmarkEnd w:id="2"/>
    </w:p>
    <w:p w14:paraId="799A73A2" w14:textId="348C745E" w:rsidR="00A22864" w:rsidRDefault="00A22864" w:rsidP="00A22864">
      <w:r>
        <w:t xml:space="preserve">MSAC has not previously considered angiogenic and anti-angiogenic markers for </w:t>
      </w:r>
      <w:r w:rsidR="00E461C5">
        <w:t xml:space="preserve">the </w:t>
      </w:r>
      <w:r>
        <w:t>identification and management of preeclampsia.</w:t>
      </w:r>
    </w:p>
    <w:p w14:paraId="3EA11A2B" w14:textId="6101CA40" w:rsidR="005C187E" w:rsidRDefault="00A22864" w:rsidP="00A22864">
      <w:r>
        <w:t xml:space="preserve">MSAC Application 1705 – </w:t>
      </w:r>
      <w:r w:rsidRPr="00195304">
        <w:rPr>
          <w:i/>
          <w:iCs/>
        </w:rPr>
        <w:t>Structured prenatal risk assessment for preterm preeclampsia</w:t>
      </w:r>
      <w:r>
        <w:t xml:space="preserve"> </w:t>
      </w:r>
      <w:r w:rsidR="00DA440A">
        <w:t>was</w:t>
      </w:r>
      <w:r>
        <w:t xml:space="preserve"> lodged </w:t>
      </w:r>
      <w:r w:rsidR="0087126A">
        <w:t>by Roche Diagnostics Australia Pty Ltd</w:t>
      </w:r>
      <w:r w:rsidR="00640E1D">
        <w:t xml:space="preserve"> and a professor</w:t>
      </w:r>
      <w:r w:rsidR="0087126A">
        <w:t xml:space="preserve"> </w:t>
      </w:r>
      <w:r>
        <w:t xml:space="preserve">in parallel with this </w:t>
      </w:r>
      <w:r w:rsidR="00B77F8B">
        <w:t>application, and will be considered by ESC and MSAC at the same time</w:t>
      </w:r>
      <w:r>
        <w:t>. The interventions and patient populations covered in Application</w:t>
      </w:r>
      <w:r w:rsidR="003572D3">
        <w:t>s</w:t>
      </w:r>
      <w:r>
        <w:t xml:space="preserve"> 1705 and 1706 </w:t>
      </w:r>
      <w:r w:rsidR="008F6336">
        <w:t xml:space="preserve">did </w:t>
      </w:r>
      <w:r>
        <w:t>not overlap</w:t>
      </w:r>
      <w:r w:rsidR="00B97EE0">
        <w:t>;</w:t>
      </w:r>
      <w:r>
        <w:t xml:space="preserve"> </w:t>
      </w:r>
      <w:r w:rsidR="00B97EE0">
        <w:t>h</w:t>
      </w:r>
      <w:r>
        <w:t xml:space="preserve">owever, </w:t>
      </w:r>
      <w:r w:rsidR="00DE66FC">
        <w:t xml:space="preserve">MSAC’s advice on </w:t>
      </w:r>
      <w:r w:rsidR="005F7308">
        <w:t>A</w:t>
      </w:r>
      <w:r w:rsidR="00DE66FC">
        <w:t xml:space="preserve">pplication 1705 may influence </w:t>
      </w:r>
      <w:r w:rsidR="00C34CC9">
        <w:t xml:space="preserve">its consideration of this application. This is because </w:t>
      </w:r>
      <w:r w:rsidR="00023AF0">
        <w:t>pregnant people</w:t>
      </w:r>
      <w:r>
        <w:t xml:space="preserve"> identified as being at high risk of developing preterm preeclampsia at 11+0 to 13+6 weeks gestation using the intervention </w:t>
      </w:r>
      <w:r w:rsidR="008F6336">
        <w:t>prop</w:t>
      </w:r>
      <w:r w:rsidR="00483C1D">
        <w:t xml:space="preserve">osed </w:t>
      </w:r>
      <w:r>
        <w:t xml:space="preserve">in Application 1705 may subsequently be considered for </w:t>
      </w:r>
      <w:r w:rsidR="006D3023">
        <w:t>soluble FMS-like tyrosine kinase-1:placental growth factor</w:t>
      </w:r>
      <w:r>
        <w:t xml:space="preserve"> </w:t>
      </w:r>
      <w:r w:rsidR="006D3023">
        <w:t>(</w:t>
      </w:r>
      <w:r>
        <w:t>sFlt-1:PlGF</w:t>
      </w:r>
      <w:r w:rsidR="006D3023">
        <w:t>)</w:t>
      </w:r>
      <w:r>
        <w:t xml:space="preserve"> testing from 24+0 weeks gestation</w:t>
      </w:r>
      <w:r w:rsidR="00664FC5">
        <w:t>.</w:t>
      </w:r>
    </w:p>
    <w:p w14:paraId="6D63D7F0" w14:textId="1CB8D1E5" w:rsidR="00B14AD1" w:rsidRPr="005C187E" w:rsidRDefault="00B14AD1" w:rsidP="00A22864">
      <w:r>
        <w:t>In July 2022, the UK National Institute for Health and Care Excellence (NICE) recommended</w:t>
      </w:r>
      <w:r w:rsidR="009838A7">
        <w:t xml:space="preserve"> P</w:t>
      </w:r>
      <w:r w:rsidR="00CA50E6">
        <w:t>L</w:t>
      </w:r>
      <w:r w:rsidR="009838A7">
        <w:t xml:space="preserve">GF-based tests in conjunction with standard clinical assessment, to </w:t>
      </w:r>
      <w:r w:rsidR="001037E8">
        <w:t>help rule in or rule out suspected preeclampsia and help decide on care.</w:t>
      </w:r>
      <w:r w:rsidR="00851D61">
        <w:rPr>
          <w:rStyle w:val="FootnoteReference"/>
        </w:rPr>
        <w:footnoteReference w:id="3"/>
      </w:r>
    </w:p>
    <w:p w14:paraId="2F196472" w14:textId="4B25FBF1" w:rsidR="00823A8A" w:rsidRDefault="00881808" w:rsidP="000C3E03">
      <w:pPr>
        <w:pStyle w:val="Heading2"/>
        <w:numPr>
          <w:ilvl w:val="0"/>
          <w:numId w:val="0"/>
        </w:numPr>
      </w:pPr>
      <w:bookmarkStart w:id="4" w:name="_Toc69491417"/>
      <w:bookmarkEnd w:id="3"/>
      <w:r>
        <w:t>5</w:t>
      </w:r>
      <w:r w:rsidR="00C36633">
        <w:t>.</w:t>
      </w:r>
      <w:r w:rsidR="00C36633">
        <w:tab/>
      </w:r>
      <w:r w:rsidR="00772829" w:rsidRPr="00CE28E3">
        <w:t>Prerequisites to implementation of any funding advice</w:t>
      </w:r>
      <w:bookmarkEnd w:id="4"/>
    </w:p>
    <w:p w14:paraId="508957D6" w14:textId="53054E97" w:rsidR="001B3AA3" w:rsidRDefault="00DE4F78" w:rsidP="00196CE5">
      <w:r w:rsidRPr="00DE4F78">
        <w:t xml:space="preserve">The sFlt-1:PlGF ratio test involves the use of </w:t>
      </w:r>
      <w:r w:rsidR="00135038">
        <w:t>in vitro diagnostic (</w:t>
      </w:r>
      <w:r w:rsidRPr="00DE4F78">
        <w:t>IVD</w:t>
      </w:r>
      <w:r w:rsidR="00135038">
        <w:t>)</w:t>
      </w:r>
      <w:r w:rsidRPr="00DE4F78">
        <w:t xml:space="preserve"> assays to quantify the levels of serum sFlt-1 and </w:t>
      </w:r>
      <w:proofErr w:type="spellStart"/>
      <w:r w:rsidRPr="00DE4F78">
        <w:t>PlGF</w:t>
      </w:r>
      <w:proofErr w:type="spellEnd"/>
      <w:r w:rsidRPr="00DE4F78">
        <w:t xml:space="preserve">. A summary of the regulatory status of sFlt-1 and </w:t>
      </w:r>
      <w:proofErr w:type="spellStart"/>
      <w:r w:rsidRPr="00DE4F78">
        <w:t>PlGF</w:t>
      </w:r>
      <w:proofErr w:type="spellEnd"/>
      <w:r w:rsidRPr="00DE4F78">
        <w:t xml:space="preserve"> assays marketed by Roche Diagnostics</w:t>
      </w:r>
      <w:r w:rsidR="005B1798">
        <w:t xml:space="preserve"> in Australia</w:t>
      </w:r>
      <w:r w:rsidRPr="00DE4F78">
        <w:t xml:space="preserve"> is provided in</w:t>
      </w:r>
      <w:r w:rsidR="005A29ED">
        <w:t xml:space="preserve"> </w:t>
      </w:r>
      <w:r w:rsidR="005A29ED">
        <w:fldChar w:fldCharType="begin"/>
      </w:r>
      <w:r w:rsidR="005A29ED">
        <w:instrText xml:space="preserve"> REF _Ref140586491 \h </w:instrText>
      </w:r>
      <w:r w:rsidR="005A29ED">
        <w:fldChar w:fldCharType="separate"/>
      </w:r>
      <w:r w:rsidR="009D7CE9">
        <w:t xml:space="preserve">Table </w:t>
      </w:r>
      <w:r w:rsidR="009D7CE9">
        <w:rPr>
          <w:noProof/>
        </w:rPr>
        <w:t>1</w:t>
      </w:r>
      <w:r w:rsidR="005A29ED">
        <w:fldChar w:fldCharType="end"/>
      </w:r>
      <w:r w:rsidR="00E447E9">
        <w:t>.</w:t>
      </w:r>
      <w:r w:rsidR="005738AF">
        <w:t xml:space="preserve"> During the PASC meeting, the applicant stated that the Roche assay is the assay </w:t>
      </w:r>
      <w:r w:rsidR="00DE573E">
        <w:t>most likely</w:t>
      </w:r>
      <w:r w:rsidR="005738AF">
        <w:t xml:space="preserve"> to be used in Australia.</w:t>
      </w:r>
    </w:p>
    <w:p w14:paraId="02F101F6" w14:textId="6E19535A" w:rsidR="002F3150" w:rsidRDefault="002F3150" w:rsidP="007578CB">
      <w:pPr>
        <w:pStyle w:val="In-tableHeading"/>
      </w:pPr>
      <w:bookmarkStart w:id="5" w:name="_Ref140586491"/>
      <w:r>
        <w:t xml:space="preserve">Table </w:t>
      </w:r>
      <w:r>
        <w:fldChar w:fldCharType="begin"/>
      </w:r>
      <w:r>
        <w:instrText xml:space="preserve"> SEQ Table \* ARABIC </w:instrText>
      </w:r>
      <w:r>
        <w:fldChar w:fldCharType="separate"/>
      </w:r>
      <w:r w:rsidR="009D7CE9">
        <w:rPr>
          <w:noProof/>
        </w:rPr>
        <w:t>1</w:t>
      </w:r>
      <w:r>
        <w:rPr>
          <w:noProof/>
        </w:rPr>
        <w:fldChar w:fldCharType="end"/>
      </w:r>
      <w:bookmarkEnd w:id="5"/>
      <w:r>
        <w:t xml:space="preserve"> </w:t>
      </w:r>
      <w:r w:rsidRPr="00B53916">
        <w:t>Regulatory details of IVDs marketed by Roche Diagnostics used in sFlt-1:PlGF ratio testing</w:t>
      </w:r>
    </w:p>
    <w:tbl>
      <w:tblPr>
        <w:tblStyle w:val="TableGrid"/>
        <w:tblW w:w="0" w:type="auto"/>
        <w:tblLook w:val="04A0" w:firstRow="1" w:lastRow="0" w:firstColumn="1" w:lastColumn="0" w:noHBand="0" w:noVBand="1"/>
      </w:tblPr>
      <w:tblGrid>
        <w:gridCol w:w="1093"/>
        <w:gridCol w:w="887"/>
        <w:gridCol w:w="4819"/>
        <w:gridCol w:w="2217"/>
      </w:tblGrid>
      <w:tr w:rsidR="001B3AA3" w:rsidRPr="00EA58C4" w14:paraId="1151C8A3" w14:textId="77777777" w:rsidTr="007578CB">
        <w:tc>
          <w:tcPr>
            <w:tcW w:w="0" w:type="auto"/>
            <w:shd w:val="clear" w:color="auto" w:fill="auto"/>
          </w:tcPr>
          <w:p w14:paraId="33633D44" w14:textId="77777777" w:rsidR="001B3AA3" w:rsidRPr="00EA58C4" w:rsidRDefault="001B3AA3">
            <w:pPr>
              <w:pStyle w:val="TableHeading0"/>
              <w:keepNext/>
              <w:keepLines/>
            </w:pPr>
            <w:r w:rsidRPr="00EA58C4">
              <w:t>Serum biomarker</w:t>
            </w:r>
          </w:p>
        </w:tc>
        <w:tc>
          <w:tcPr>
            <w:tcW w:w="887" w:type="dxa"/>
            <w:shd w:val="clear" w:color="auto" w:fill="auto"/>
          </w:tcPr>
          <w:p w14:paraId="01323665" w14:textId="77777777" w:rsidR="001B3AA3" w:rsidRPr="00EA58C4" w:rsidRDefault="001B3AA3">
            <w:pPr>
              <w:pStyle w:val="TableHeading0"/>
              <w:keepNext/>
              <w:keepLines/>
            </w:pPr>
            <w:r w:rsidRPr="00EA58C4">
              <w:t>Assay name</w:t>
            </w:r>
          </w:p>
        </w:tc>
        <w:tc>
          <w:tcPr>
            <w:tcW w:w="4819" w:type="dxa"/>
            <w:shd w:val="clear" w:color="auto" w:fill="auto"/>
          </w:tcPr>
          <w:p w14:paraId="7E5D6840" w14:textId="77777777" w:rsidR="001B3AA3" w:rsidRPr="00EA58C4" w:rsidRDefault="001B3AA3">
            <w:pPr>
              <w:pStyle w:val="TableHeading0"/>
              <w:keepNext/>
              <w:keepLines/>
            </w:pPr>
            <w:r w:rsidRPr="00EA58C4">
              <w:t>Intended use</w:t>
            </w:r>
          </w:p>
        </w:tc>
        <w:tc>
          <w:tcPr>
            <w:tcW w:w="2217" w:type="dxa"/>
            <w:shd w:val="clear" w:color="auto" w:fill="auto"/>
          </w:tcPr>
          <w:p w14:paraId="60755BDB" w14:textId="640DC80E" w:rsidR="001B3AA3" w:rsidRPr="00EA58C4" w:rsidRDefault="001B3AA3">
            <w:pPr>
              <w:pStyle w:val="TableHeading0"/>
              <w:keepNext/>
              <w:keepLines/>
            </w:pPr>
            <w:r w:rsidRPr="00EA58C4">
              <w:t xml:space="preserve">ARTG registration </w:t>
            </w:r>
          </w:p>
        </w:tc>
      </w:tr>
      <w:tr w:rsidR="001B3AA3" w:rsidRPr="00EA58C4" w14:paraId="20D7D060" w14:textId="77777777" w:rsidTr="007578CB">
        <w:tc>
          <w:tcPr>
            <w:tcW w:w="0" w:type="auto"/>
          </w:tcPr>
          <w:p w14:paraId="098AD429" w14:textId="77777777" w:rsidR="001B3AA3" w:rsidRPr="00EA58C4" w:rsidRDefault="001B3AA3">
            <w:pPr>
              <w:pStyle w:val="TableText"/>
              <w:keepNext/>
              <w:keepLines/>
            </w:pPr>
            <w:r w:rsidRPr="00EA58C4">
              <w:t>sFlt-1</w:t>
            </w:r>
          </w:p>
        </w:tc>
        <w:tc>
          <w:tcPr>
            <w:tcW w:w="887" w:type="dxa"/>
          </w:tcPr>
          <w:p w14:paraId="2DF9CC30" w14:textId="77777777" w:rsidR="001B3AA3" w:rsidRPr="00EA58C4" w:rsidRDefault="001B3AA3">
            <w:pPr>
              <w:pStyle w:val="TableText"/>
              <w:keepNext/>
              <w:keepLines/>
            </w:pPr>
            <w:proofErr w:type="spellStart"/>
            <w:r w:rsidRPr="00EA58C4">
              <w:t>Elecsys</w:t>
            </w:r>
            <w:proofErr w:type="spellEnd"/>
            <w:r w:rsidRPr="00EA58C4">
              <w:t xml:space="preserve"> sFlt-1</w:t>
            </w:r>
          </w:p>
        </w:tc>
        <w:tc>
          <w:tcPr>
            <w:tcW w:w="4819" w:type="dxa"/>
          </w:tcPr>
          <w:p w14:paraId="631B161E" w14:textId="7CC9582D" w:rsidR="001B3AA3" w:rsidRPr="00EA58C4" w:rsidRDefault="001B3AA3" w:rsidP="00134545">
            <w:pPr>
              <w:pStyle w:val="TableText"/>
              <w:keepNext/>
              <w:keepLines/>
              <w:spacing w:before="0" w:after="0"/>
            </w:pPr>
            <w:r w:rsidRPr="00EA58C4">
              <w:t>Immunoassay for the in vitro quantitative determination of sFlt-1 in human serum</w:t>
            </w:r>
          </w:p>
          <w:p w14:paraId="212C5E15" w14:textId="77777777" w:rsidR="001B3AA3" w:rsidRPr="00EA58C4" w:rsidRDefault="001B3AA3" w:rsidP="00134545">
            <w:pPr>
              <w:pStyle w:val="TableText"/>
              <w:keepNext/>
              <w:keepLines/>
              <w:spacing w:before="0" w:after="0"/>
            </w:pPr>
          </w:p>
          <w:p w14:paraId="3E2215A9" w14:textId="54C9E8D2" w:rsidR="001B3AA3" w:rsidRPr="00EA58C4" w:rsidRDefault="001B3AA3" w:rsidP="00134545">
            <w:pPr>
              <w:pStyle w:val="TableText"/>
              <w:keepNext/>
              <w:keepLines/>
              <w:spacing w:before="0" w:after="0"/>
            </w:pPr>
            <w:r w:rsidRPr="00EA58C4">
              <w:t xml:space="preserve">The </w:t>
            </w:r>
            <w:proofErr w:type="spellStart"/>
            <w:r w:rsidRPr="00EA58C4">
              <w:t>Elecsys</w:t>
            </w:r>
            <w:proofErr w:type="spellEnd"/>
            <w:r w:rsidRPr="00EA58C4">
              <w:t xml:space="preserve"> sFlt-1 assay is used in combination with the </w:t>
            </w:r>
            <w:proofErr w:type="spellStart"/>
            <w:r w:rsidRPr="00EA58C4">
              <w:t>Elecsys</w:t>
            </w:r>
            <w:proofErr w:type="spellEnd"/>
            <w:r w:rsidRPr="00EA58C4">
              <w:t xml:space="preserve"> </w:t>
            </w:r>
            <w:proofErr w:type="spellStart"/>
            <w:r w:rsidRPr="00EA58C4">
              <w:t>PlGF</w:t>
            </w:r>
            <w:proofErr w:type="spellEnd"/>
            <w:r w:rsidRPr="00EA58C4">
              <w:t xml:space="preserve"> assay to determine the sFlt-1</w:t>
            </w:r>
            <w:r w:rsidR="00B709FE">
              <w:t>:</w:t>
            </w:r>
            <w:r w:rsidRPr="00EA58C4">
              <w:t>PlGF ratio. The sFlt-1</w:t>
            </w:r>
            <w:r w:rsidR="00B739F6">
              <w:t>:</w:t>
            </w:r>
            <w:r w:rsidRPr="00EA58C4">
              <w:t>PlGF ratio is intended for use as an aid in the diagnosis of preeclampsia</w:t>
            </w:r>
            <w:r w:rsidR="00B7336C">
              <w:t>,</w:t>
            </w:r>
            <w:r w:rsidRPr="00EA58C4">
              <w:t xml:space="preserve"> in conjunction with other diagnostic and clinical information</w:t>
            </w:r>
            <w:r w:rsidR="00B84CF1">
              <w:t>.</w:t>
            </w:r>
          </w:p>
          <w:p w14:paraId="3CA5B98E" w14:textId="77777777" w:rsidR="001B3AA3" w:rsidRPr="00EA58C4" w:rsidRDefault="001B3AA3" w:rsidP="00134545">
            <w:pPr>
              <w:pStyle w:val="TableText"/>
              <w:keepNext/>
              <w:keepLines/>
              <w:spacing w:before="0" w:after="0"/>
            </w:pPr>
          </w:p>
          <w:p w14:paraId="3CCC492A" w14:textId="7FC0BAFE" w:rsidR="001B3AA3" w:rsidRPr="00EA58C4" w:rsidRDefault="001B3AA3" w:rsidP="00134545">
            <w:pPr>
              <w:pStyle w:val="TableText"/>
              <w:keepNext/>
              <w:keepLines/>
              <w:spacing w:before="0" w:after="0"/>
            </w:pPr>
            <w:r w:rsidRPr="00EA58C4">
              <w:t>In addition</w:t>
            </w:r>
            <w:r w:rsidR="001C7E93">
              <w:t>,</w:t>
            </w:r>
            <w:r w:rsidRPr="00EA58C4">
              <w:t xml:space="preserve"> the sFlt-1</w:t>
            </w:r>
            <w:r w:rsidR="00B709FE">
              <w:t>:</w:t>
            </w:r>
            <w:r w:rsidRPr="00EA58C4">
              <w:t>PlGF ratio is intended for use as an aid in short</w:t>
            </w:r>
            <w:r w:rsidR="00F068AC">
              <w:t>-</w:t>
            </w:r>
            <w:r w:rsidRPr="00EA58C4">
              <w:t>term prediction of preeclampsia (rule</w:t>
            </w:r>
            <w:r w:rsidR="002D4706">
              <w:t xml:space="preserve"> </w:t>
            </w:r>
            <w:r w:rsidRPr="00EA58C4">
              <w:t>out and rule</w:t>
            </w:r>
            <w:r w:rsidR="002D4706">
              <w:t xml:space="preserve"> </w:t>
            </w:r>
            <w:r w:rsidRPr="00EA58C4">
              <w:t xml:space="preserve">in) in pregnant </w:t>
            </w:r>
            <w:r w:rsidR="00665078">
              <w:t>people</w:t>
            </w:r>
            <w:r w:rsidR="00665078" w:rsidRPr="00EA58C4">
              <w:t xml:space="preserve"> </w:t>
            </w:r>
            <w:r w:rsidR="00B84CF1">
              <w:t>suspected to have</w:t>
            </w:r>
            <w:r w:rsidRPr="00EA58C4">
              <w:t xml:space="preserve"> preeclampsia</w:t>
            </w:r>
            <w:r w:rsidR="00B84CF1">
              <w:t>,</w:t>
            </w:r>
            <w:r w:rsidRPr="00EA58C4">
              <w:t xml:space="preserve"> in conjunction with other diagnostic and clinical information</w:t>
            </w:r>
            <w:r w:rsidR="00B84CF1">
              <w:t>.</w:t>
            </w:r>
          </w:p>
        </w:tc>
        <w:tc>
          <w:tcPr>
            <w:tcW w:w="2217" w:type="dxa"/>
          </w:tcPr>
          <w:p w14:paraId="041F9C2A" w14:textId="2345411F" w:rsidR="001B3AA3" w:rsidRPr="00EA58C4" w:rsidRDefault="00124AF1">
            <w:pPr>
              <w:pStyle w:val="TableText"/>
              <w:keepNext/>
              <w:keepLines/>
            </w:pPr>
            <w:r>
              <w:t xml:space="preserve">ARTG ID </w:t>
            </w:r>
            <w:r w:rsidR="001B3AA3" w:rsidRPr="00EA58C4">
              <w:t>181222</w:t>
            </w:r>
          </w:p>
          <w:p w14:paraId="4BB6AACF" w14:textId="77777777" w:rsidR="001B3AA3" w:rsidRPr="00EA58C4" w:rsidRDefault="001B3AA3">
            <w:pPr>
              <w:pStyle w:val="TableText"/>
              <w:keepNext/>
              <w:keepLines/>
            </w:pPr>
          </w:p>
          <w:p w14:paraId="39C39FD7" w14:textId="39404B8A" w:rsidR="001B3AA3" w:rsidRPr="00EA58C4" w:rsidRDefault="001B3AA3">
            <w:pPr>
              <w:pStyle w:val="TableText"/>
              <w:keepNext/>
              <w:keepLines/>
            </w:pPr>
            <w:r w:rsidRPr="00EA58C4">
              <w:t>Intended purpose: IVDs intended to be used for the qualitative and/or quantitative determination of proteins specific to clinical chemistry in a clinical specimen</w:t>
            </w:r>
          </w:p>
        </w:tc>
      </w:tr>
    </w:tbl>
    <w:p w14:paraId="05B0A91C" w14:textId="77777777" w:rsidR="00046C26" w:rsidRDefault="00046C26">
      <w:r>
        <w:br w:type="page"/>
      </w:r>
    </w:p>
    <w:tbl>
      <w:tblPr>
        <w:tblStyle w:val="TableGrid"/>
        <w:tblW w:w="0" w:type="auto"/>
        <w:tblLook w:val="04A0" w:firstRow="1" w:lastRow="0" w:firstColumn="1" w:lastColumn="0" w:noHBand="0" w:noVBand="1"/>
      </w:tblPr>
      <w:tblGrid>
        <w:gridCol w:w="1093"/>
        <w:gridCol w:w="887"/>
        <w:gridCol w:w="4819"/>
        <w:gridCol w:w="2217"/>
      </w:tblGrid>
      <w:tr w:rsidR="007578CB" w:rsidRPr="00EA58C4" w14:paraId="0C778E04" w14:textId="77777777" w:rsidTr="007578CB">
        <w:tc>
          <w:tcPr>
            <w:tcW w:w="1093" w:type="dxa"/>
          </w:tcPr>
          <w:p w14:paraId="1261C17A" w14:textId="6C57F721" w:rsidR="001B3AA3" w:rsidRPr="00EA58C4" w:rsidRDefault="001B3AA3">
            <w:pPr>
              <w:pStyle w:val="TableText"/>
              <w:keepNext/>
              <w:keepLines/>
            </w:pPr>
            <w:proofErr w:type="spellStart"/>
            <w:r w:rsidRPr="00EA58C4">
              <w:lastRenderedPageBreak/>
              <w:t>PlGF</w:t>
            </w:r>
            <w:proofErr w:type="spellEnd"/>
          </w:p>
        </w:tc>
        <w:tc>
          <w:tcPr>
            <w:tcW w:w="887" w:type="dxa"/>
          </w:tcPr>
          <w:p w14:paraId="4B482D8D" w14:textId="77777777" w:rsidR="001B3AA3" w:rsidRPr="00EA58C4" w:rsidRDefault="001B3AA3">
            <w:pPr>
              <w:pStyle w:val="TableText"/>
              <w:keepNext/>
              <w:keepLines/>
            </w:pPr>
            <w:proofErr w:type="spellStart"/>
            <w:r w:rsidRPr="00EA58C4">
              <w:t>Elecsys</w:t>
            </w:r>
            <w:proofErr w:type="spellEnd"/>
            <w:r w:rsidRPr="00EA58C4">
              <w:t xml:space="preserve"> </w:t>
            </w:r>
            <w:proofErr w:type="spellStart"/>
            <w:r w:rsidRPr="00EA58C4">
              <w:t>PlGF</w:t>
            </w:r>
            <w:proofErr w:type="spellEnd"/>
          </w:p>
        </w:tc>
        <w:tc>
          <w:tcPr>
            <w:tcW w:w="4819" w:type="dxa"/>
          </w:tcPr>
          <w:p w14:paraId="2B0857F6" w14:textId="2764CF02" w:rsidR="001B3AA3" w:rsidRPr="00EA58C4" w:rsidRDefault="001B3AA3" w:rsidP="00134545">
            <w:pPr>
              <w:pStyle w:val="TableText"/>
              <w:keepNext/>
              <w:keepLines/>
              <w:spacing w:before="0" w:after="0"/>
            </w:pPr>
            <w:r w:rsidRPr="00EA58C4">
              <w:t xml:space="preserve">Immunoassay for the in vitro quantitative determination of </w:t>
            </w:r>
            <w:proofErr w:type="spellStart"/>
            <w:r w:rsidRPr="00EA58C4">
              <w:t>PlGF</w:t>
            </w:r>
            <w:proofErr w:type="spellEnd"/>
            <w:r w:rsidRPr="00EA58C4">
              <w:t xml:space="preserve"> in human serum</w:t>
            </w:r>
          </w:p>
          <w:p w14:paraId="7A2334C2" w14:textId="77777777" w:rsidR="001B3AA3" w:rsidRPr="00EA58C4" w:rsidRDefault="001B3AA3" w:rsidP="00134545">
            <w:pPr>
              <w:pStyle w:val="TableText"/>
              <w:keepNext/>
              <w:keepLines/>
              <w:spacing w:before="0" w:after="0"/>
            </w:pPr>
          </w:p>
          <w:p w14:paraId="33ABDFC0" w14:textId="6B8CB2B9" w:rsidR="001B3AA3" w:rsidRPr="00EA58C4" w:rsidRDefault="001B3AA3" w:rsidP="00134545">
            <w:pPr>
              <w:pStyle w:val="TableText"/>
              <w:keepNext/>
              <w:keepLines/>
              <w:spacing w:before="0" w:after="0"/>
            </w:pPr>
            <w:r w:rsidRPr="00EA58C4">
              <w:t xml:space="preserve">The </w:t>
            </w:r>
            <w:proofErr w:type="spellStart"/>
            <w:r w:rsidRPr="00EA58C4">
              <w:t>Elecsys</w:t>
            </w:r>
            <w:proofErr w:type="spellEnd"/>
            <w:r w:rsidRPr="00EA58C4">
              <w:t xml:space="preserve"> </w:t>
            </w:r>
            <w:proofErr w:type="spellStart"/>
            <w:r w:rsidRPr="00EA58C4">
              <w:t>PlGF</w:t>
            </w:r>
            <w:proofErr w:type="spellEnd"/>
            <w:r w:rsidRPr="00EA58C4">
              <w:t xml:space="preserve"> assay is used in combination with the </w:t>
            </w:r>
            <w:proofErr w:type="spellStart"/>
            <w:r w:rsidRPr="00EA58C4">
              <w:t>Elecsys</w:t>
            </w:r>
            <w:proofErr w:type="spellEnd"/>
            <w:r w:rsidRPr="00EA58C4">
              <w:t xml:space="preserve"> sFlt-1 assay to determine the sFlt-1</w:t>
            </w:r>
            <w:r w:rsidR="00D80548">
              <w:t>:</w:t>
            </w:r>
            <w:r w:rsidRPr="00EA58C4">
              <w:t>PlGF ratio. The sFlt-1</w:t>
            </w:r>
            <w:r w:rsidR="00B739F6">
              <w:t>:</w:t>
            </w:r>
            <w:r w:rsidRPr="00EA58C4">
              <w:t>PlGF ratio is intended for use as an aid in the diagnosis of preeclampsia</w:t>
            </w:r>
            <w:r w:rsidR="00334DA0">
              <w:t>,</w:t>
            </w:r>
            <w:r w:rsidRPr="00EA58C4">
              <w:t xml:space="preserve"> in conjunction with other diagnostic and clinical information</w:t>
            </w:r>
            <w:r w:rsidR="00B84CF1">
              <w:t>.</w:t>
            </w:r>
          </w:p>
          <w:p w14:paraId="63B3AA88" w14:textId="77777777" w:rsidR="001B3AA3" w:rsidRPr="00EA58C4" w:rsidRDefault="001B3AA3" w:rsidP="00134545">
            <w:pPr>
              <w:pStyle w:val="TableText"/>
              <w:keepNext/>
              <w:keepLines/>
              <w:spacing w:before="0" w:after="0"/>
            </w:pPr>
          </w:p>
          <w:p w14:paraId="7EA1FED1" w14:textId="1FD2906C" w:rsidR="001B3AA3" w:rsidRPr="00EA58C4" w:rsidRDefault="001B3AA3" w:rsidP="00134545">
            <w:pPr>
              <w:pStyle w:val="TableText"/>
              <w:keepNext/>
              <w:keepLines/>
              <w:spacing w:before="0" w:after="0"/>
            </w:pPr>
            <w:r w:rsidRPr="00EA58C4">
              <w:t>In addition</w:t>
            </w:r>
            <w:r w:rsidR="00B84CF1">
              <w:t>,</w:t>
            </w:r>
            <w:r w:rsidRPr="00EA58C4">
              <w:t xml:space="preserve"> the sFlt-1</w:t>
            </w:r>
            <w:r w:rsidR="00B739F6">
              <w:t>:</w:t>
            </w:r>
            <w:r w:rsidRPr="00EA58C4">
              <w:t>PlGF ratio is intended for use as an aid in short</w:t>
            </w:r>
            <w:r w:rsidR="00D7095A">
              <w:t>-</w:t>
            </w:r>
            <w:r w:rsidRPr="00EA58C4">
              <w:t>term prediction of preeclampsia (rule</w:t>
            </w:r>
            <w:r w:rsidR="002D4706">
              <w:t xml:space="preserve"> </w:t>
            </w:r>
            <w:r w:rsidRPr="00EA58C4">
              <w:t>out and rule</w:t>
            </w:r>
            <w:r w:rsidR="002D4706">
              <w:t xml:space="preserve"> </w:t>
            </w:r>
            <w:r w:rsidRPr="00EA58C4">
              <w:t xml:space="preserve">in) in pregnant </w:t>
            </w:r>
            <w:r w:rsidR="00665078">
              <w:t>people</w:t>
            </w:r>
            <w:r w:rsidR="00665078" w:rsidRPr="00EA58C4">
              <w:t xml:space="preserve"> </w:t>
            </w:r>
            <w:r w:rsidR="00B84CF1">
              <w:t>suspected to have</w:t>
            </w:r>
            <w:r w:rsidRPr="00EA58C4">
              <w:t xml:space="preserve"> preeclampsia</w:t>
            </w:r>
            <w:r w:rsidR="00B84CF1">
              <w:t>,</w:t>
            </w:r>
            <w:r w:rsidRPr="00EA58C4">
              <w:t xml:space="preserve"> in conjunction with other diagnostic and clinical information</w:t>
            </w:r>
            <w:r w:rsidR="00B84CF1">
              <w:t>.</w:t>
            </w:r>
          </w:p>
          <w:p w14:paraId="27B988D8" w14:textId="77777777" w:rsidR="001B3AA3" w:rsidRPr="00EA58C4" w:rsidRDefault="001B3AA3" w:rsidP="00134545">
            <w:pPr>
              <w:pStyle w:val="TableText"/>
              <w:keepNext/>
              <w:keepLines/>
              <w:spacing w:before="0" w:after="0"/>
            </w:pPr>
          </w:p>
          <w:p w14:paraId="13C3961F" w14:textId="34468993" w:rsidR="001B3AA3" w:rsidRPr="00EA58C4" w:rsidRDefault="001B3AA3" w:rsidP="00134545">
            <w:pPr>
              <w:pStyle w:val="TableText"/>
              <w:keepNext/>
              <w:keepLines/>
              <w:spacing w:before="0" w:after="0"/>
            </w:pPr>
            <w:r w:rsidRPr="00EA58C4">
              <w:t>This assay is intended for the use as one component, in combination with other parameters, to evaluate the risk of early onset preeclampsia during the first trimester of pregnancy</w:t>
            </w:r>
            <w:r w:rsidR="00B84CF1">
              <w:t>.</w:t>
            </w:r>
          </w:p>
        </w:tc>
        <w:tc>
          <w:tcPr>
            <w:tcW w:w="2217" w:type="dxa"/>
          </w:tcPr>
          <w:p w14:paraId="5162D9F5" w14:textId="08AEBFA3" w:rsidR="001B3AA3" w:rsidRPr="00EA58C4" w:rsidRDefault="00124AF1">
            <w:pPr>
              <w:pStyle w:val="TableText"/>
              <w:keepNext/>
              <w:keepLines/>
            </w:pPr>
            <w:r>
              <w:t xml:space="preserve">ARTG ID </w:t>
            </w:r>
            <w:r w:rsidR="001B3AA3" w:rsidRPr="00EA58C4">
              <w:t>181221</w:t>
            </w:r>
          </w:p>
          <w:p w14:paraId="58507CC5" w14:textId="77777777" w:rsidR="001B3AA3" w:rsidRPr="00EA58C4" w:rsidRDefault="001B3AA3">
            <w:pPr>
              <w:pStyle w:val="TableText"/>
              <w:keepNext/>
              <w:keepLines/>
            </w:pPr>
          </w:p>
          <w:p w14:paraId="22CF7992" w14:textId="453F8DA7" w:rsidR="001B3AA3" w:rsidRPr="00EA58C4" w:rsidRDefault="001B3AA3">
            <w:pPr>
              <w:pStyle w:val="TableText"/>
              <w:keepNext/>
              <w:keepLines/>
            </w:pPr>
            <w:r w:rsidRPr="00EA58C4">
              <w:t>Intended purpose: IVDs intended to be used for the qualitative and/or quantitative determination of clinical chemistry hormones in a clinical specimen</w:t>
            </w:r>
          </w:p>
        </w:tc>
      </w:tr>
    </w:tbl>
    <w:p w14:paraId="2DE88501" w14:textId="75D84597" w:rsidR="001B3AA3" w:rsidRDefault="00FC05D9" w:rsidP="00052031">
      <w:pPr>
        <w:spacing w:before="0"/>
        <w:contextualSpacing/>
        <w:rPr>
          <w:rFonts w:ascii="Arial Narrow" w:hAnsi="Arial Narrow"/>
          <w:sz w:val="18"/>
          <w:szCs w:val="18"/>
        </w:rPr>
      </w:pPr>
      <w:r w:rsidRPr="00052031">
        <w:rPr>
          <w:rFonts w:ascii="Arial Narrow" w:hAnsi="Arial Narrow"/>
          <w:b/>
          <w:bCs/>
          <w:sz w:val="18"/>
          <w:szCs w:val="18"/>
          <w:u w:val="single"/>
        </w:rPr>
        <w:t>Abbreviations</w:t>
      </w:r>
      <w:r w:rsidR="00B7642F" w:rsidRPr="00C577B3">
        <w:rPr>
          <w:rFonts w:ascii="Arial Narrow" w:hAnsi="Arial Narrow"/>
          <w:b/>
          <w:bCs/>
          <w:sz w:val="18"/>
          <w:szCs w:val="18"/>
        </w:rPr>
        <w:t>:</w:t>
      </w:r>
      <w:r w:rsidR="00B7642F">
        <w:rPr>
          <w:rFonts w:ascii="Arial Narrow" w:hAnsi="Arial Narrow"/>
          <w:b/>
          <w:bCs/>
          <w:sz w:val="18"/>
          <w:szCs w:val="18"/>
        </w:rPr>
        <w:t xml:space="preserve"> </w:t>
      </w:r>
      <w:r w:rsidR="00216306" w:rsidRPr="00052031">
        <w:rPr>
          <w:rFonts w:ascii="Arial Narrow" w:hAnsi="Arial Narrow"/>
          <w:b/>
          <w:bCs/>
          <w:sz w:val="18"/>
          <w:szCs w:val="18"/>
        </w:rPr>
        <w:t>ARTG</w:t>
      </w:r>
      <w:r w:rsidR="0048483C">
        <w:rPr>
          <w:rFonts w:ascii="Arial Narrow" w:hAnsi="Arial Narrow"/>
          <w:sz w:val="18"/>
          <w:szCs w:val="18"/>
        </w:rPr>
        <w:t xml:space="preserve"> = </w:t>
      </w:r>
      <w:r w:rsidR="00701115" w:rsidRPr="00701115">
        <w:rPr>
          <w:rFonts w:ascii="Arial Narrow" w:hAnsi="Arial Narrow"/>
          <w:sz w:val="18"/>
          <w:szCs w:val="18"/>
        </w:rPr>
        <w:t>Australian Register of Therapeutic Goods</w:t>
      </w:r>
      <w:r w:rsidR="00701115">
        <w:rPr>
          <w:rFonts w:ascii="Arial Narrow" w:hAnsi="Arial Narrow"/>
          <w:sz w:val="18"/>
          <w:szCs w:val="18"/>
        </w:rPr>
        <w:t>,</w:t>
      </w:r>
      <w:r w:rsidR="00216306">
        <w:rPr>
          <w:rFonts w:ascii="Arial Narrow" w:hAnsi="Arial Narrow"/>
          <w:sz w:val="18"/>
          <w:szCs w:val="18"/>
        </w:rPr>
        <w:t xml:space="preserve"> </w:t>
      </w:r>
      <w:r w:rsidR="00216306" w:rsidRPr="00052031">
        <w:rPr>
          <w:rFonts w:ascii="Arial Narrow" w:hAnsi="Arial Narrow"/>
          <w:b/>
          <w:bCs/>
          <w:sz w:val="18"/>
          <w:szCs w:val="18"/>
        </w:rPr>
        <w:t>IVD</w:t>
      </w:r>
      <w:r w:rsidR="00216306">
        <w:rPr>
          <w:rFonts w:ascii="Arial Narrow" w:hAnsi="Arial Narrow"/>
          <w:sz w:val="18"/>
          <w:szCs w:val="18"/>
        </w:rPr>
        <w:t xml:space="preserve"> </w:t>
      </w:r>
      <w:r w:rsidR="00701115">
        <w:rPr>
          <w:rFonts w:ascii="Arial Narrow" w:hAnsi="Arial Narrow"/>
          <w:sz w:val="18"/>
          <w:szCs w:val="18"/>
        </w:rPr>
        <w:t xml:space="preserve">= </w:t>
      </w:r>
      <w:r w:rsidR="00B355CB" w:rsidRPr="00B355CB">
        <w:rPr>
          <w:rFonts w:ascii="Arial Narrow" w:hAnsi="Arial Narrow"/>
          <w:sz w:val="18"/>
          <w:szCs w:val="18"/>
        </w:rPr>
        <w:t>in vitro diagnostic/s</w:t>
      </w:r>
      <w:r w:rsidR="00B355CB">
        <w:rPr>
          <w:rFonts w:ascii="Arial Narrow" w:hAnsi="Arial Narrow"/>
          <w:sz w:val="18"/>
          <w:szCs w:val="18"/>
        </w:rPr>
        <w:t>,</w:t>
      </w:r>
      <w:r w:rsidR="00C17EAB">
        <w:rPr>
          <w:rFonts w:ascii="Arial Narrow" w:hAnsi="Arial Narrow"/>
          <w:sz w:val="18"/>
          <w:szCs w:val="18"/>
        </w:rPr>
        <w:t xml:space="preserve"> </w:t>
      </w:r>
      <w:r w:rsidR="00C17EAB" w:rsidRPr="00ED59DF">
        <w:rPr>
          <w:rFonts w:ascii="Arial Narrow" w:hAnsi="Arial Narrow"/>
          <w:b/>
          <w:bCs/>
          <w:sz w:val="18"/>
          <w:szCs w:val="18"/>
        </w:rPr>
        <w:t>sF</w:t>
      </w:r>
      <w:r w:rsidR="00ED59DF" w:rsidRPr="00ED59DF">
        <w:rPr>
          <w:rFonts w:ascii="Arial Narrow" w:hAnsi="Arial Narrow"/>
          <w:b/>
          <w:bCs/>
          <w:sz w:val="18"/>
          <w:szCs w:val="18"/>
        </w:rPr>
        <w:t>lt-1</w:t>
      </w:r>
      <w:r w:rsidR="00ED59DF">
        <w:rPr>
          <w:rFonts w:ascii="Arial Narrow" w:hAnsi="Arial Narrow"/>
          <w:sz w:val="18"/>
          <w:szCs w:val="18"/>
        </w:rPr>
        <w:t xml:space="preserve"> = </w:t>
      </w:r>
      <w:r w:rsidR="00ED59DF" w:rsidRPr="00ED59DF">
        <w:rPr>
          <w:rFonts w:ascii="Arial Narrow" w:hAnsi="Arial Narrow"/>
          <w:sz w:val="18"/>
          <w:szCs w:val="18"/>
        </w:rPr>
        <w:t>soluble FMS-like tyrosine kinase-1</w:t>
      </w:r>
      <w:r w:rsidR="00ED59DF">
        <w:rPr>
          <w:rFonts w:ascii="Arial Narrow" w:hAnsi="Arial Narrow"/>
          <w:sz w:val="18"/>
          <w:szCs w:val="18"/>
        </w:rPr>
        <w:t>,</w:t>
      </w:r>
      <w:r w:rsidR="00B355CB">
        <w:rPr>
          <w:rFonts w:ascii="Arial Narrow" w:hAnsi="Arial Narrow"/>
          <w:sz w:val="18"/>
          <w:szCs w:val="18"/>
        </w:rPr>
        <w:t xml:space="preserve"> </w:t>
      </w:r>
      <w:r w:rsidR="00E479E3" w:rsidRPr="00F068AC">
        <w:rPr>
          <w:rFonts w:ascii="Arial Narrow" w:hAnsi="Arial Narrow"/>
          <w:b/>
          <w:bCs/>
          <w:sz w:val="18"/>
          <w:szCs w:val="18"/>
        </w:rPr>
        <w:t>sFlt-1</w:t>
      </w:r>
      <w:r w:rsidR="00D80548">
        <w:rPr>
          <w:rFonts w:ascii="Arial Narrow" w:hAnsi="Arial Narrow"/>
          <w:b/>
          <w:bCs/>
          <w:sz w:val="18"/>
          <w:szCs w:val="18"/>
        </w:rPr>
        <w:t>:</w:t>
      </w:r>
      <w:r w:rsidR="00E479E3" w:rsidRPr="00F068AC">
        <w:rPr>
          <w:rFonts w:ascii="Arial Narrow" w:hAnsi="Arial Narrow"/>
          <w:b/>
          <w:bCs/>
          <w:sz w:val="18"/>
          <w:szCs w:val="18"/>
        </w:rPr>
        <w:t>PlGF</w:t>
      </w:r>
      <w:r w:rsidR="00E479E3" w:rsidRPr="00E479E3">
        <w:rPr>
          <w:rFonts w:ascii="Arial Narrow" w:hAnsi="Arial Narrow"/>
          <w:sz w:val="18"/>
          <w:szCs w:val="18"/>
        </w:rPr>
        <w:t xml:space="preserve"> </w:t>
      </w:r>
      <w:r w:rsidR="00E479E3">
        <w:rPr>
          <w:rFonts w:ascii="Arial Narrow" w:hAnsi="Arial Narrow"/>
          <w:sz w:val="18"/>
          <w:szCs w:val="18"/>
        </w:rPr>
        <w:t xml:space="preserve">= </w:t>
      </w:r>
      <w:r w:rsidR="00E479E3" w:rsidRPr="00E479E3">
        <w:rPr>
          <w:rFonts w:ascii="Arial Narrow" w:hAnsi="Arial Narrow"/>
          <w:sz w:val="18"/>
          <w:szCs w:val="18"/>
        </w:rPr>
        <w:t>soluble FMS-like tyrosine kinase-1:placental growth factor</w:t>
      </w:r>
      <w:r w:rsidR="00F068AC">
        <w:rPr>
          <w:rFonts w:ascii="Arial Narrow" w:hAnsi="Arial Narrow"/>
          <w:sz w:val="18"/>
          <w:szCs w:val="18"/>
        </w:rPr>
        <w:t>,</w:t>
      </w:r>
      <w:r w:rsidR="00E479E3">
        <w:rPr>
          <w:rFonts w:ascii="Arial Narrow" w:hAnsi="Arial Narrow"/>
          <w:sz w:val="18"/>
          <w:szCs w:val="18"/>
        </w:rPr>
        <w:t xml:space="preserve"> </w:t>
      </w:r>
      <w:proofErr w:type="spellStart"/>
      <w:r w:rsidR="00216306" w:rsidRPr="00052031">
        <w:rPr>
          <w:rFonts w:ascii="Arial Narrow" w:hAnsi="Arial Narrow"/>
          <w:b/>
          <w:bCs/>
          <w:sz w:val="18"/>
          <w:szCs w:val="18"/>
        </w:rPr>
        <w:t>PlGF</w:t>
      </w:r>
      <w:proofErr w:type="spellEnd"/>
      <w:r w:rsidR="00B355CB">
        <w:rPr>
          <w:rFonts w:ascii="Arial Narrow" w:hAnsi="Arial Narrow"/>
          <w:sz w:val="18"/>
          <w:szCs w:val="18"/>
        </w:rPr>
        <w:t xml:space="preserve"> = </w:t>
      </w:r>
      <w:r w:rsidR="00B355CB" w:rsidRPr="00B355CB">
        <w:rPr>
          <w:rFonts w:ascii="Arial Narrow" w:hAnsi="Arial Narrow"/>
          <w:sz w:val="18"/>
          <w:szCs w:val="18"/>
        </w:rPr>
        <w:t>placental growth factor</w:t>
      </w:r>
    </w:p>
    <w:p w14:paraId="05C355FA" w14:textId="157D6CC2" w:rsidR="001F2B07" w:rsidRPr="00052031" w:rsidRDefault="001F2B07" w:rsidP="00052031">
      <w:pPr>
        <w:spacing w:before="0"/>
        <w:contextualSpacing/>
        <w:rPr>
          <w:rFonts w:ascii="Arial Narrow" w:hAnsi="Arial Narrow"/>
          <w:sz w:val="18"/>
          <w:szCs w:val="18"/>
        </w:rPr>
      </w:pPr>
      <w:r w:rsidRPr="001F2B07">
        <w:rPr>
          <w:rFonts w:ascii="Arial Narrow" w:hAnsi="Arial Narrow"/>
          <w:b/>
          <w:bCs/>
          <w:sz w:val="18"/>
          <w:szCs w:val="18"/>
          <w:u w:val="single"/>
        </w:rPr>
        <w:t>Source</w:t>
      </w:r>
      <w:r w:rsidR="00B7642F" w:rsidRPr="00C577B3">
        <w:rPr>
          <w:rFonts w:ascii="Arial Narrow" w:hAnsi="Arial Narrow"/>
          <w:b/>
          <w:bCs/>
          <w:sz w:val="18"/>
          <w:szCs w:val="18"/>
        </w:rPr>
        <w:t>:</w:t>
      </w:r>
      <w:r w:rsidR="00B7642F">
        <w:rPr>
          <w:rFonts w:ascii="Arial Narrow" w:hAnsi="Arial Narrow"/>
          <w:b/>
          <w:bCs/>
          <w:sz w:val="18"/>
          <w:szCs w:val="18"/>
        </w:rPr>
        <w:t xml:space="preserve"> </w:t>
      </w:r>
      <w:r w:rsidR="003648B9" w:rsidRPr="006705B8">
        <w:rPr>
          <w:rFonts w:ascii="Arial Narrow" w:hAnsi="Arial Narrow"/>
          <w:sz w:val="18"/>
          <w:szCs w:val="18"/>
          <w:lang w:val="en-US"/>
        </w:rPr>
        <w:t xml:space="preserve">Adapted from ADAR </w:t>
      </w:r>
      <w:r>
        <w:rPr>
          <w:rFonts w:ascii="Arial Narrow" w:hAnsi="Arial Narrow"/>
          <w:sz w:val="18"/>
          <w:szCs w:val="18"/>
        </w:rPr>
        <w:t>Table 1</w:t>
      </w:r>
    </w:p>
    <w:p w14:paraId="44C3B242" w14:textId="11BECFD9" w:rsidR="00772829" w:rsidRDefault="00881808" w:rsidP="002A18BE">
      <w:pPr>
        <w:pStyle w:val="Heading2"/>
        <w:numPr>
          <w:ilvl w:val="1"/>
          <w:numId w:val="0"/>
        </w:numPr>
      </w:pPr>
      <w:bookmarkStart w:id="6" w:name="_Toc69491418"/>
      <w:r>
        <w:t>6</w:t>
      </w:r>
      <w:r w:rsidR="00C36633">
        <w:t>.</w:t>
      </w:r>
      <w:r w:rsidR="00C36633">
        <w:tab/>
      </w:r>
      <w:r w:rsidR="00772829" w:rsidRPr="00CE28E3">
        <w:t>Proposal for public funding</w:t>
      </w:r>
      <w:bookmarkEnd w:id="6"/>
    </w:p>
    <w:p w14:paraId="5276B161" w14:textId="2E25E794" w:rsidR="00F27A2C" w:rsidRPr="00E164CD" w:rsidRDefault="00F27A2C" w:rsidP="00F27A2C">
      <w:r>
        <w:t>The applicant</w:t>
      </w:r>
      <w:r w:rsidRPr="00E164CD">
        <w:t xml:space="preserve"> propose</w:t>
      </w:r>
      <w:r w:rsidR="001131BF">
        <w:t>d</w:t>
      </w:r>
      <w:r w:rsidRPr="00E164CD">
        <w:t xml:space="preserve"> the creation of </w:t>
      </w:r>
      <w:r w:rsidR="006163F8">
        <w:t>2</w:t>
      </w:r>
      <w:r w:rsidR="006163F8" w:rsidRPr="00E164CD">
        <w:t xml:space="preserve"> </w:t>
      </w:r>
      <w:r w:rsidRPr="00E164CD">
        <w:t xml:space="preserve">new MBS items </w:t>
      </w:r>
      <w:r w:rsidR="00A643C7">
        <w:t>to publicly</w:t>
      </w:r>
      <w:r w:rsidRPr="00E164CD">
        <w:t xml:space="preserve"> fund sFlt-1:PlGF ratio testing in </w:t>
      </w:r>
      <w:r w:rsidR="00DC3376">
        <w:t>pregnant people</w:t>
      </w:r>
      <w:r w:rsidR="00DC3376" w:rsidRPr="00E164CD">
        <w:t xml:space="preserve"> </w:t>
      </w:r>
      <w:r w:rsidRPr="00E164CD">
        <w:t>with signs and symptoms of preeclampsia</w:t>
      </w:r>
      <w:r>
        <w:t xml:space="preserve"> or</w:t>
      </w:r>
      <w:r w:rsidRPr="00E164CD">
        <w:t xml:space="preserve"> at high risk of preeclampsia (Population 1) and </w:t>
      </w:r>
      <w:r w:rsidR="008A6CC4">
        <w:t>those</w:t>
      </w:r>
      <w:r w:rsidR="008A6CC4" w:rsidRPr="00E164CD">
        <w:t xml:space="preserve"> </w:t>
      </w:r>
      <w:r w:rsidRPr="00E164CD">
        <w:t>diagnosed with preeclampsia (Population 2).</w:t>
      </w:r>
    </w:p>
    <w:p w14:paraId="19C6A2F8" w14:textId="77777777" w:rsidR="009D7CE9" w:rsidRPr="0064109D" w:rsidRDefault="00F27A2C" w:rsidP="009D7CE9">
      <w:pPr>
        <w:rPr>
          <w:rFonts w:ascii="Arial Narrow" w:hAnsi="Arial Narrow"/>
          <w:sz w:val="18"/>
          <w:szCs w:val="18"/>
        </w:rPr>
      </w:pPr>
      <w:r w:rsidRPr="00E164CD">
        <w:fldChar w:fldCharType="begin"/>
      </w:r>
      <w:r w:rsidRPr="00E164CD">
        <w:instrText xml:space="preserve"> REF _Ref46132829 \h </w:instrText>
      </w:r>
      <w:r>
        <w:instrText xml:space="preserve"> \* MERGEFORMAT </w:instrText>
      </w:r>
      <w:r w:rsidRPr="00E164CD">
        <w:fldChar w:fldCharType="separate"/>
      </w:r>
      <w:r w:rsidR="009D7CE9" w:rsidRPr="00215DC9">
        <w:t>Table </w:t>
      </w:r>
      <w:r w:rsidR="009D7CE9">
        <w:t>2</w:t>
      </w:r>
      <w:r w:rsidRPr="00E164CD">
        <w:fldChar w:fldCharType="end"/>
      </w:r>
      <w:r w:rsidRPr="00E164CD">
        <w:t xml:space="preserve"> and </w:t>
      </w:r>
      <w:r w:rsidRPr="00E164CD">
        <w:fldChar w:fldCharType="begin"/>
      </w:r>
      <w:r w:rsidRPr="00E164CD">
        <w:instrText xml:space="preserve"> REF _Ref132816881 \h </w:instrText>
      </w:r>
      <w:r>
        <w:instrText xml:space="preserve"> \* MERGEFORMAT </w:instrText>
      </w:r>
      <w:r w:rsidRPr="00E164CD">
        <w:fldChar w:fldCharType="separate"/>
      </w:r>
      <w:r w:rsidR="009D7CE9" w:rsidRPr="009D7CE9">
        <w:t>Note:</w:t>
      </w:r>
      <w:r w:rsidR="009D7CE9" w:rsidRPr="009D7CE9">
        <w:rPr>
          <w:noProof/>
        </w:rPr>
        <w:t xml:space="preserve"> </w:t>
      </w:r>
      <w:r w:rsidR="009D7CE9">
        <w:rPr>
          <w:rFonts w:ascii="Arial Narrow" w:hAnsi="Arial Narrow"/>
          <w:sz w:val="18"/>
          <w:szCs w:val="18"/>
        </w:rPr>
        <w:t>Amendments made during the commentary in italicised text (additions) and strikethrough (deletions)</w:t>
      </w:r>
    </w:p>
    <w:p w14:paraId="7466CA13" w14:textId="77777777" w:rsidR="009D7CE9" w:rsidRDefault="009D7CE9" w:rsidP="0064109D">
      <w:pPr>
        <w:spacing w:before="0"/>
        <w:contextualSpacing/>
      </w:pPr>
      <w:r w:rsidRPr="00BE2AF8">
        <w:rPr>
          <w:rFonts w:ascii="Arial Narrow" w:hAnsi="Arial Narrow"/>
          <w:b/>
          <w:bCs/>
          <w:sz w:val="18"/>
          <w:szCs w:val="18"/>
          <w:u w:val="single"/>
        </w:rPr>
        <w:t>Source</w:t>
      </w:r>
      <w:r w:rsidRPr="00C577B3">
        <w:rPr>
          <w:rFonts w:ascii="Arial Narrow" w:hAnsi="Arial Narrow"/>
          <w:b/>
          <w:bCs/>
          <w:sz w:val="18"/>
          <w:szCs w:val="18"/>
        </w:rPr>
        <w:t>:</w:t>
      </w:r>
      <w:r>
        <w:rPr>
          <w:rFonts w:ascii="Arial Narrow" w:hAnsi="Arial Narrow"/>
          <w:b/>
          <w:bCs/>
          <w:sz w:val="18"/>
          <w:szCs w:val="18"/>
        </w:rPr>
        <w:t xml:space="preserve"> </w:t>
      </w:r>
      <w:r w:rsidRPr="0064109D">
        <w:rPr>
          <w:rFonts w:ascii="Arial Narrow" w:hAnsi="Arial Narrow"/>
          <w:sz w:val="18"/>
          <w:szCs w:val="18"/>
        </w:rPr>
        <w:t>ADAR Table 7 Proposed item descriptor population 1</w:t>
      </w:r>
    </w:p>
    <w:p w14:paraId="2E7FC7C2" w14:textId="45DFA393" w:rsidR="00F27A2C" w:rsidRPr="00E164CD" w:rsidRDefault="009D7CE9" w:rsidP="00F27A2C">
      <w:r w:rsidRPr="00215DC9">
        <w:t xml:space="preserve">Table </w:t>
      </w:r>
      <w:r>
        <w:rPr>
          <w:noProof/>
        </w:rPr>
        <w:t>3</w:t>
      </w:r>
      <w:r w:rsidR="00F27A2C" w:rsidRPr="00E164CD">
        <w:fldChar w:fldCharType="end"/>
      </w:r>
      <w:r w:rsidR="00F27A2C" w:rsidRPr="00E164CD">
        <w:t xml:space="preserve"> </w:t>
      </w:r>
      <w:r w:rsidR="00A643C7">
        <w:t>provide</w:t>
      </w:r>
      <w:r w:rsidR="00A643C7" w:rsidRPr="00E164CD">
        <w:t xml:space="preserve"> </w:t>
      </w:r>
      <w:r w:rsidR="00F27A2C" w:rsidRPr="00E164CD">
        <w:t xml:space="preserve">the proposed MBS item descriptors for Population 1 </w:t>
      </w:r>
      <w:r w:rsidR="001E381F">
        <w:t xml:space="preserve">(AAAA) </w:t>
      </w:r>
      <w:r w:rsidR="00F27A2C" w:rsidRPr="00E164CD">
        <w:t>and Population 2</w:t>
      </w:r>
      <w:r w:rsidR="001E381F">
        <w:t xml:space="preserve"> (BBBB)</w:t>
      </w:r>
      <w:r w:rsidR="00F27A2C" w:rsidRPr="00E164CD">
        <w:t xml:space="preserve">, respectively. As requested by </w:t>
      </w:r>
      <w:r w:rsidR="00347377">
        <w:t xml:space="preserve">the </w:t>
      </w:r>
      <w:r w:rsidR="00F214B0" w:rsidRPr="00F214B0">
        <w:t xml:space="preserve">PICO Advisory Sub-committee </w:t>
      </w:r>
      <w:r w:rsidR="00F214B0">
        <w:t>(</w:t>
      </w:r>
      <w:r w:rsidR="00F27A2C" w:rsidRPr="00E164CD">
        <w:t>PASC</w:t>
      </w:r>
      <w:r w:rsidR="00F214B0">
        <w:t>)</w:t>
      </w:r>
      <w:r w:rsidR="00F27A2C" w:rsidRPr="00E164CD">
        <w:t xml:space="preserve">, the proposed MBS items </w:t>
      </w:r>
      <w:r w:rsidR="00A0595E">
        <w:t xml:space="preserve">have been modified </w:t>
      </w:r>
      <w:r w:rsidR="003A2DC9">
        <w:t xml:space="preserve">in the ADAR </w:t>
      </w:r>
      <w:r w:rsidR="00A0595E">
        <w:t xml:space="preserve">from those in the ratified PICO to </w:t>
      </w:r>
      <w:bookmarkStart w:id="7" w:name="_Hlk144909500"/>
      <w:r w:rsidR="0064109D">
        <w:t xml:space="preserve">incorporate policy advice that the testing does not need to be specified to be laboratory based, and to </w:t>
      </w:r>
      <w:bookmarkEnd w:id="7"/>
      <w:r w:rsidR="006A7978">
        <w:t>add</w:t>
      </w:r>
      <w:r w:rsidR="006A7978" w:rsidRPr="00E164CD">
        <w:t xml:space="preserve"> </w:t>
      </w:r>
      <w:r w:rsidR="00A0595E">
        <w:t xml:space="preserve">practice notes </w:t>
      </w:r>
      <w:r w:rsidR="00542794">
        <w:t xml:space="preserve">with </w:t>
      </w:r>
      <w:r w:rsidR="00F27A2C" w:rsidRPr="00E164CD">
        <w:t>reference to:</w:t>
      </w:r>
    </w:p>
    <w:p w14:paraId="771F1811" w14:textId="5F21734C" w:rsidR="00F27A2C" w:rsidRPr="00F55028" w:rsidRDefault="00246B77">
      <w:pPr>
        <w:pStyle w:val="ListParagraph"/>
        <w:numPr>
          <w:ilvl w:val="0"/>
          <w:numId w:val="13"/>
        </w:numPr>
        <w:spacing w:after="160" w:line="259" w:lineRule="auto"/>
      </w:pPr>
      <w:r>
        <w:t>c</w:t>
      </w:r>
      <w:r w:rsidR="00F27A2C" w:rsidRPr="00F55028">
        <w:t xml:space="preserve">linical judgement being based on the sFlt-1:PlGF ratio rather than </w:t>
      </w:r>
      <w:r w:rsidR="00B84CF1">
        <w:t xml:space="preserve">the </w:t>
      </w:r>
      <w:r w:rsidR="00F27A2C" w:rsidRPr="00F55028">
        <w:t>individual value</w:t>
      </w:r>
      <w:r w:rsidR="00B84CF1">
        <w:t>s</w:t>
      </w:r>
      <w:r w:rsidR="00F27A2C" w:rsidRPr="00F55028">
        <w:t xml:space="preserve"> of sFlt-1 and </w:t>
      </w:r>
      <w:proofErr w:type="spellStart"/>
      <w:r w:rsidR="00F27A2C" w:rsidRPr="00F55028">
        <w:t>PlGF</w:t>
      </w:r>
      <w:proofErr w:type="spellEnd"/>
      <w:r w:rsidR="00F27A2C" w:rsidRPr="00F55028">
        <w:t>; and</w:t>
      </w:r>
    </w:p>
    <w:p w14:paraId="7EEB4606" w14:textId="033D9251" w:rsidR="00F27A2C" w:rsidRPr="00F55028" w:rsidRDefault="00246B77">
      <w:pPr>
        <w:pStyle w:val="ListParagraph"/>
        <w:numPr>
          <w:ilvl w:val="0"/>
          <w:numId w:val="13"/>
        </w:numPr>
        <w:spacing w:after="160" w:line="259" w:lineRule="auto"/>
      </w:pPr>
      <w:r>
        <w:t>i</w:t>
      </w:r>
      <w:r w:rsidR="00F27A2C" w:rsidRPr="00F55028">
        <w:t>nformation on the interpretation of sFlt-1:PlGF ratio test results</w:t>
      </w:r>
      <w:r w:rsidR="00B84CF1">
        <w:t>.</w:t>
      </w:r>
    </w:p>
    <w:p w14:paraId="22EA4C24" w14:textId="123326AB" w:rsidR="00F27A2C" w:rsidRPr="00215DC9" w:rsidRDefault="00F27A2C" w:rsidP="00B811B3">
      <w:pPr>
        <w:pStyle w:val="Caption"/>
        <w:spacing w:before="240"/>
      </w:pPr>
      <w:bookmarkStart w:id="8" w:name="_Ref46132829"/>
      <w:r w:rsidRPr="00215DC9">
        <w:t>Table </w:t>
      </w:r>
      <w:r w:rsidR="009C163C">
        <w:fldChar w:fldCharType="begin"/>
      </w:r>
      <w:r w:rsidR="009C163C">
        <w:instrText xml:space="preserve"> SEQ Table \* ARABIC </w:instrText>
      </w:r>
      <w:r w:rsidR="009C163C">
        <w:fldChar w:fldCharType="separate"/>
      </w:r>
      <w:r w:rsidR="009D7CE9">
        <w:rPr>
          <w:noProof/>
        </w:rPr>
        <w:t>2</w:t>
      </w:r>
      <w:r w:rsidR="009C163C">
        <w:rPr>
          <w:noProof/>
        </w:rPr>
        <w:fldChar w:fldCharType="end"/>
      </w:r>
      <w:bookmarkEnd w:id="8"/>
      <w:r w:rsidRPr="00215DC9">
        <w:tab/>
        <w:t>Proposed item descriptor for Population 1</w:t>
      </w:r>
    </w:p>
    <w:tbl>
      <w:tblPr>
        <w:tblStyle w:val="TableGrid"/>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F27A2C" w:rsidRPr="00B811B3" w14:paraId="3CFC87B8" w14:textId="77777777" w:rsidTr="00B811B3">
        <w:trPr>
          <w:trHeight w:val="350"/>
          <w:tblHeader/>
        </w:trPr>
        <w:tc>
          <w:tcPr>
            <w:tcW w:w="9016" w:type="dxa"/>
            <w:shd w:val="clear" w:color="auto" w:fill="auto"/>
          </w:tcPr>
          <w:p w14:paraId="1177D394" w14:textId="77777777" w:rsidR="00F27A2C" w:rsidRPr="00B811B3" w:rsidRDefault="00F27A2C" w:rsidP="00B811B3">
            <w:pPr>
              <w:rPr>
                <w:rFonts w:ascii="Arial Narrow" w:hAnsi="Arial Narrow"/>
                <w:b/>
              </w:rPr>
            </w:pPr>
            <w:r w:rsidRPr="00B811B3">
              <w:rPr>
                <w:rFonts w:ascii="Arial Narrow" w:hAnsi="Arial Narrow"/>
                <w:b/>
              </w:rPr>
              <w:t>Category 6 – PATHOLOGY SERVICES</w:t>
            </w:r>
          </w:p>
        </w:tc>
      </w:tr>
      <w:tr w:rsidR="00F27A2C" w:rsidRPr="00E164CD" w14:paraId="6D902364" w14:textId="77777777" w:rsidTr="00B811B3">
        <w:trPr>
          <w:tblHeader/>
        </w:trPr>
        <w:tc>
          <w:tcPr>
            <w:tcW w:w="9016" w:type="dxa"/>
          </w:tcPr>
          <w:p w14:paraId="3EEF651A" w14:textId="40EA45FA" w:rsidR="00F27A2C" w:rsidRPr="0064109D" w:rsidRDefault="00F27A2C">
            <w:pPr>
              <w:pStyle w:val="TableText"/>
              <w:rPr>
                <w:i/>
                <w:lang w:val="en-US" w:eastAsia="ja-JP"/>
              </w:rPr>
            </w:pPr>
            <w:r w:rsidRPr="0064109D">
              <w:rPr>
                <w:i/>
                <w:lang w:val="en-US" w:eastAsia="ja-JP"/>
              </w:rPr>
              <w:t xml:space="preserve">MBS item </w:t>
            </w:r>
            <w:r w:rsidR="00AD1CF9" w:rsidRPr="0064109D">
              <w:rPr>
                <w:i/>
                <w:lang w:val="en-US" w:eastAsia="ja-JP"/>
              </w:rPr>
              <w:t>AAAA</w:t>
            </w:r>
          </w:p>
          <w:p w14:paraId="01066653" w14:textId="324A5E57" w:rsidR="00F27A2C" w:rsidRPr="00E164CD" w:rsidRDefault="00F27A2C">
            <w:pPr>
              <w:pStyle w:val="TableText"/>
            </w:pPr>
            <w:r w:rsidRPr="0064109D">
              <w:rPr>
                <w:strike/>
                <w:lang w:val="en-US" w:eastAsia="ja-JP"/>
              </w:rPr>
              <w:t xml:space="preserve">Laboratory-based </w:t>
            </w:r>
            <w:proofErr w:type="spellStart"/>
            <w:r w:rsidRPr="0064109D">
              <w:rPr>
                <w:strike/>
                <w:lang w:val="en-US" w:eastAsia="ja-JP"/>
              </w:rPr>
              <w:t>q</w:t>
            </w:r>
            <w:r w:rsidR="00E7323E" w:rsidRPr="0064109D">
              <w:rPr>
                <w:i/>
                <w:iCs/>
                <w:lang w:val="en-US" w:eastAsia="ja-JP"/>
              </w:rPr>
              <w:t>Q</w:t>
            </w:r>
            <w:r w:rsidRPr="00E164CD">
              <w:rPr>
                <w:lang w:val="en-US" w:eastAsia="ja-JP"/>
              </w:rPr>
              <w:t>uantitative</w:t>
            </w:r>
            <w:proofErr w:type="spellEnd"/>
            <w:r w:rsidRPr="00E164CD">
              <w:rPr>
                <w:lang w:val="en-US" w:eastAsia="ja-JP"/>
              </w:rPr>
              <w:t xml:space="preserve"> determination of the ratio of placental soluble </w:t>
            </w:r>
            <w:r w:rsidR="005427DA">
              <w:rPr>
                <w:lang w:val="en-US" w:eastAsia="ja-JP"/>
              </w:rPr>
              <w:t>FMS</w:t>
            </w:r>
            <w:r w:rsidRPr="00E164CD">
              <w:rPr>
                <w:lang w:val="en-US" w:eastAsia="ja-JP"/>
              </w:rPr>
              <w:t>-like tyrosine kinase-1 (sFlt-1) and placental growth factor (</w:t>
            </w:r>
            <w:proofErr w:type="spellStart"/>
            <w:r w:rsidRPr="00E164CD">
              <w:rPr>
                <w:lang w:val="en-US" w:eastAsia="ja-JP"/>
              </w:rPr>
              <w:t>PlGF</w:t>
            </w:r>
            <w:proofErr w:type="spellEnd"/>
            <w:r w:rsidRPr="00E164CD">
              <w:rPr>
                <w:lang w:val="en-US" w:eastAsia="ja-JP"/>
              </w:rPr>
              <w:t xml:space="preserve">) </w:t>
            </w:r>
            <w:r w:rsidRPr="00157D2A">
              <w:rPr>
                <w:lang w:val="en-US" w:eastAsia="ja-JP"/>
              </w:rPr>
              <w:t xml:space="preserve">from the beginning of the 24th week of pregnancy </w:t>
            </w:r>
            <w:r w:rsidRPr="00E164CD">
              <w:rPr>
                <w:lang w:val="en-US" w:eastAsia="ja-JP"/>
              </w:rPr>
              <w:t>to evaluate the likelihood of preeclampsia in pregnancies where there are signs and symptoms suggestive of preeclampsia, or where there is an increased risk of preeclampsia.</w:t>
            </w:r>
          </w:p>
        </w:tc>
      </w:tr>
      <w:tr w:rsidR="00F27A2C" w:rsidRPr="00E164CD" w14:paraId="248BD599" w14:textId="77777777" w:rsidTr="00B811B3">
        <w:trPr>
          <w:trHeight w:val="223"/>
          <w:tblHeader/>
        </w:trPr>
        <w:tc>
          <w:tcPr>
            <w:tcW w:w="9016" w:type="dxa"/>
          </w:tcPr>
          <w:p w14:paraId="4DAA97BC" w14:textId="77777777" w:rsidR="00F27A2C" w:rsidRPr="00E164CD" w:rsidRDefault="00F27A2C">
            <w:pPr>
              <w:pStyle w:val="TableText"/>
              <w:rPr>
                <w:snapToGrid w:val="0"/>
              </w:rPr>
            </w:pPr>
            <w:r w:rsidRPr="00E164CD">
              <w:t>Fee: $</w:t>
            </w:r>
            <w:r>
              <w:t>60.00 Benefit: 75% = $45.00 85% = $51.00</w:t>
            </w:r>
          </w:p>
        </w:tc>
      </w:tr>
      <w:tr w:rsidR="00F27A2C" w:rsidRPr="00E164CD" w14:paraId="3F3AA272" w14:textId="77777777" w:rsidTr="00B811B3">
        <w:trPr>
          <w:trHeight w:val="223"/>
          <w:tblHeader/>
        </w:trPr>
        <w:tc>
          <w:tcPr>
            <w:tcW w:w="9016" w:type="dxa"/>
          </w:tcPr>
          <w:p w14:paraId="1EA07532" w14:textId="2F4C189C" w:rsidR="00F27A2C" w:rsidRPr="00E164CD" w:rsidRDefault="00F27A2C">
            <w:pPr>
              <w:pStyle w:val="TableText"/>
            </w:pPr>
            <w:r w:rsidRPr="00E164CD">
              <w:rPr>
                <w:szCs w:val="18"/>
              </w:rPr>
              <w:t xml:space="preserve">Note: </w:t>
            </w:r>
            <w:r w:rsidR="00040235">
              <w:rPr>
                <w:szCs w:val="18"/>
              </w:rPr>
              <w:t>The ri</w:t>
            </w:r>
            <w:r w:rsidRPr="00E164CD">
              <w:rPr>
                <w:szCs w:val="18"/>
              </w:rPr>
              <w:t xml:space="preserve">sk of preeclampsia should be </w:t>
            </w:r>
            <w:r w:rsidRPr="00E164CD">
              <w:t>judged based on the sFlt-1:PlGF ratio</w:t>
            </w:r>
            <w:r w:rsidR="00040235">
              <w:t>,</w:t>
            </w:r>
            <w:r w:rsidRPr="00E164CD">
              <w:t xml:space="preserve"> rather than individual values of sFlt-1 and </w:t>
            </w:r>
            <w:proofErr w:type="spellStart"/>
            <w:r w:rsidRPr="00E164CD">
              <w:t>PlGF</w:t>
            </w:r>
            <w:proofErr w:type="spellEnd"/>
            <w:r w:rsidR="00040235">
              <w:t>.</w:t>
            </w:r>
          </w:p>
          <w:p w14:paraId="0CBCBA10" w14:textId="65349773" w:rsidR="00F27A2C" w:rsidRPr="00E164CD" w:rsidRDefault="00F27A2C">
            <w:pPr>
              <w:pStyle w:val="TableText"/>
            </w:pPr>
            <w:r w:rsidRPr="0064109D">
              <w:rPr>
                <w:strike/>
              </w:rPr>
              <w:t>Women with</w:t>
            </w:r>
            <w:r w:rsidR="003843E9" w:rsidRPr="0064109D">
              <w:t xml:space="preserve"> </w:t>
            </w:r>
            <w:r w:rsidR="005545A1" w:rsidRPr="0064109D">
              <w:rPr>
                <w:i/>
              </w:rPr>
              <w:t>An</w:t>
            </w:r>
            <w:r w:rsidRPr="00E164CD">
              <w:t xml:space="preserve"> sFlt-1:PlGF ratio &lt;38 </w:t>
            </w:r>
            <w:r w:rsidRPr="0064109D">
              <w:rPr>
                <w:strike/>
              </w:rPr>
              <w:t>are at</w:t>
            </w:r>
            <w:r w:rsidRPr="00CF3FDA">
              <w:t xml:space="preserve"> </w:t>
            </w:r>
            <w:r w:rsidR="005545A1" w:rsidRPr="0064109D">
              <w:rPr>
                <w:i/>
              </w:rPr>
              <w:t>indicates</w:t>
            </w:r>
            <w:r w:rsidR="005545A1">
              <w:t xml:space="preserve"> </w:t>
            </w:r>
            <w:r w:rsidRPr="00E164CD">
              <w:t>low risk of preeclampsia in the following 2</w:t>
            </w:r>
            <w:r w:rsidR="00DD7E21">
              <w:t>–</w:t>
            </w:r>
            <w:r w:rsidRPr="00E164CD">
              <w:t>4 weeks, review in 2</w:t>
            </w:r>
            <w:r w:rsidR="00DD7E21">
              <w:t>–</w:t>
            </w:r>
            <w:r w:rsidRPr="00E164CD">
              <w:t xml:space="preserve">4 weeks and retest if clinical situation changes; </w:t>
            </w:r>
            <w:r w:rsidRPr="0064109D">
              <w:rPr>
                <w:strike/>
              </w:rPr>
              <w:t>women</w:t>
            </w:r>
            <w:r w:rsidR="007721F3" w:rsidRPr="0064109D">
              <w:rPr>
                <w:strike/>
              </w:rPr>
              <w:t xml:space="preserve"> </w:t>
            </w:r>
            <w:r w:rsidRPr="0064109D">
              <w:rPr>
                <w:strike/>
              </w:rPr>
              <w:t>with</w:t>
            </w:r>
            <w:r w:rsidR="001E61E8" w:rsidRPr="00CF3FDA">
              <w:t xml:space="preserve"> </w:t>
            </w:r>
            <w:r w:rsidR="001E61E8" w:rsidRPr="0064109D">
              <w:rPr>
                <w:i/>
              </w:rPr>
              <w:t>an</w:t>
            </w:r>
            <w:r w:rsidRPr="00E164CD">
              <w:t xml:space="preserve"> sFlt-1:PlGF ratio 38</w:t>
            </w:r>
            <w:r w:rsidR="00DD7E21">
              <w:t>–</w:t>
            </w:r>
            <w:r w:rsidRPr="0010264C">
              <w:t xml:space="preserve">85 </w:t>
            </w:r>
            <w:r w:rsidRPr="0064109D">
              <w:rPr>
                <w:strike/>
              </w:rPr>
              <w:t>are at</w:t>
            </w:r>
            <w:r w:rsidRPr="00CF3FDA">
              <w:t xml:space="preserve"> </w:t>
            </w:r>
            <w:r w:rsidR="001E61E8" w:rsidRPr="0064109D">
              <w:rPr>
                <w:i/>
              </w:rPr>
              <w:t>indicates</w:t>
            </w:r>
            <w:r w:rsidR="001E61E8">
              <w:t xml:space="preserve"> </w:t>
            </w:r>
            <w:r w:rsidRPr="00E164CD">
              <w:t>risk of preeclampsia</w:t>
            </w:r>
            <w:r w:rsidR="00040235">
              <w:t xml:space="preserve">, </w:t>
            </w:r>
            <w:r w:rsidRPr="00E164CD">
              <w:t>enhanced monitoring and retest after 1</w:t>
            </w:r>
            <w:r w:rsidR="00DD7E21">
              <w:t>–</w:t>
            </w:r>
            <w:r w:rsidRPr="00E164CD">
              <w:t xml:space="preserve">2 weeks recommended; </w:t>
            </w:r>
            <w:r w:rsidRPr="0064109D">
              <w:rPr>
                <w:strike/>
              </w:rPr>
              <w:t>women with</w:t>
            </w:r>
            <w:r w:rsidR="001E61E8" w:rsidRPr="00CF3FDA">
              <w:t xml:space="preserve"> </w:t>
            </w:r>
            <w:r w:rsidR="001E61E8" w:rsidRPr="0064109D">
              <w:rPr>
                <w:i/>
              </w:rPr>
              <w:t>an</w:t>
            </w:r>
            <w:r w:rsidRPr="00E164CD">
              <w:t xml:space="preserve"> sFlt-1:PlGF ratio &gt;85 </w:t>
            </w:r>
            <w:r w:rsidRPr="0064109D">
              <w:rPr>
                <w:strike/>
              </w:rPr>
              <w:t>most likely have, or will develop,</w:t>
            </w:r>
            <w:r w:rsidRPr="00CF3FDA">
              <w:t xml:space="preserve"> </w:t>
            </w:r>
            <w:r w:rsidR="00656C09" w:rsidRPr="0064109D">
              <w:rPr>
                <w:i/>
              </w:rPr>
              <w:t xml:space="preserve">indicates the development or a diagnosis of </w:t>
            </w:r>
            <w:r w:rsidRPr="00E164CD">
              <w:t xml:space="preserve">preeclampsia </w:t>
            </w:r>
            <w:r w:rsidRPr="0064109D">
              <w:rPr>
                <w:strike/>
              </w:rPr>
              <w:t>and</w:t>
            </w:r>
            <w:r w:rsidRPr="00E164CD">
              <w:t xml:space="preserve"> </w:t>
            </w:r>
            <w:proofErr w:type="spellStart"/>
            <w:r w:rsidRPr="00E164CD">
              <w:t>requir</w:t>
            </w:r>
            <w:r w:rsidR="000E75CC" w:rsidRPr="0064109D">
              <w:rPr>
                <w:i/>
              </w:rPr>
              <w:t>ing</w:t>
            </w:r>
            <w:r w:rsidRPr="0064109D">
              <w:rPr>
                <w:strike/>
              </w:rPr>
              <w:t>e</w:t>
            </w:r>
            <w:proofErr w:type="spellEnd"/>
            <w:r w:rsidRPr="00E164CD">
              <w:t xml:space="preserve"> intensive monitoring</w:t>
            </w:r>
            <w:r w:rsidR="00040235">
              <w:t>.</w:t>
            </w:r>
          </w:p>
        </w:tc>
      </w:tr>
    </w:tbl>
    <w:p w14:paraId="627BA1E8" w14:textId="3CA78FD3" w:rsidR="00BE5BF0" w:rsidRPr="0064109D" w:rsidRDefault="000270CB" w:rsidP="00161D9F">
      <w:pPr>
        <w:spacing w:before="0"/>
        <w:contextualSpacing/>
        <w:rPr>
          <w:rFonts w:ascii="Arial Narrow" w:hAnsi="Arial Narrow"/>
          <w:sz w:val="18"/>
          <w:szCs w:val="18"/>
        </w:rPr>
      </w:pPr>
      <w:bookmarkStart w:id="9" w:name="_Ref132816881"/>
      <w:r>
        <w:rPr>
          <w:rFonts w:ascii="Arial Narrow" w:hAnsi="Arial Narrow"/>
          <w:b/>
          <w:bCs/>
          <w:sz w:val="18"/>
          <w:szCs w:val="18"/>
          <w:u w:val="single"/>
        </w:rPr>
        <w:lastRenderedPageBreak/>
        <w:t>Note</w:t>
      </w:r>
      <w:r w:rsidR="00B7642F" w:rsidRPr="00C577B3">
        <w:rPr>
          <w:rFonts w:ascii="Arial Narrow" w:hAnsi="Arial Narrow"/>
          <w:b/>
          <w:bCs/>
          <w:sz w:val="18"/>
          <w:szCs w:val="18"/>
        </w:rPr>
        <w:t>:</w:t>
      </w:r>
      <w:r w:rsidR="00B7642F">
        <w:rPr>
          <w:rFonts w:ascii="Arial Narrow" w:hAnsi="Arial Narrow"/>
          <w:b/>
          <w:bCs/>
          <w:sz w:val="18"/>
          <w:szCs w:val="18"/>
        </w:rPr>
        <w:t xml:space="preserve"> </w:t>
      </w:r>
      <w:r w:rsidR="00BE5BF0">
        <w:rPr>
          <w:rFonts w:ascii="Arial Narrow" w:hAnsi="Arial Narrow"/>
          <w:sz w:val="18"/>
          <w:szCs w:val="18"/>
        </w:rPr>
        <w:t xml:space="preserve">Amendments made during the commentary </w:t>
      </w:r>
      <w:r w:rsidR="0018148E">
        <w:rPr>
          <w:rFonts w:ascii="Arial Narrow" w:hAnsi="Arial Narrow"/>
          <w:sz w:val="18"/>
          <w:szCs w:val="18"/>
        </w:rPr>
        <w:t>in italicised text (additions) and strikethrough (deletions)</w:t>
      </w:r>
    </w:p>
    <w:p w14:paraId="4C61E7AF" w14:textId="5D6DA579" w:rsidR="00161D9F" w:rsidRDefault="00161D9F" w:rsidP="0064109D">
      <w:pPr>
        <w:spacing w:before="0"/>
        <w:contextualSpacing/>
      </w:pPr>
      <w:r w:rsidRPr="00BE2AF8">
        <w:rPr>
          <w:rFonts w:ascii="Arial Narrow" w:hAnsi="Arial Narrow"/>
          <w:b/>
          <w:bCs/>
          <w:sz w:val="18"/>
          <w:szCs w:val="18"/>
          <w:u w:val="single"/>
        </w:rPr>
        <w:t>Source</w:t>
      </w:r>
      <w:r w:rsidR="00B7642F" w:rsidRPr="00C577B3">
        <w:rPr>
          <w:rFonts w:ascii="Arial Narrow" w:hAnsi="Arial Narrow"/>
          <w:b/>
          <w:bCs/>
          <w:sz w:val="18"/>
          <w:szCs w:val="18"/>
        </w:rPr>
        <w:t>:</w:t>
      </w:r>
      <w:r w:rsidR="00B7642F">
        <w:rPr>
          <w:rFonts w:ascii="Arial Narrow" w:hAnsi="Arial Narrow"/>
          <w:b/>
          <w:bCs/>
          <w:sz w:val="18"/>
          <w:szCs w:val="18"/>
        </w:rPr>
        <w:t xml:space="preserve"> </w:t>
      </w:r>
      <w:r w:rsidRPr="0064109D">
        <w:rPr>
          <w:rFonts w:ascii="Arial Narrow" w:hAnsi="Arial Narrow"/>
          <w:sz w:val="18"/>
          <w:szCs w:val="18"/>
        </w:rPr>
        <w:t>ADAR Table 7 Proposed item descriptor population 1</w:t>
      </w:r>
    </w:p>
    <w:p w14:paraId="4776D6D1" w14:textId="232B8585" w:rsidR="00F27A2C" w:rsidRPr="00215DC9" w:rsidRDefault="00F27A2C" w:rsidP="00F27A2C">
      <w:pPr>
        <w:pStyle w:val="Caption"/>
      </w:pPr>
      <w:r w:rsidRPr="00215DC9">
        <w:t xml:space="preserve">Table </w:t>
      </w:r>
      <w:r w:rsidR="009C163C">
        <w:fldChar w:fldCharType="begin"/>
      </w:r>
      <w:r w:rsidR="009C163C">
        <w:instrText xml:space="preserve"> SEQ Table \* ARABIC </w:instrText>
      </w:r>
      <w:r w:rsidR="009C163C">
        <w:fldChar w:fldCharType="separate"/>
      </w:r>
      <w:r w:rsidR="009D7CE9">
        <w:rPr>
          <w:noProof/>
        </w:rPr>
        <w:t>3</w:t>
      </w:r>
      <w:r w:rsidR="009C163C">
        <w:rPr>
          <w:noProof/>
        </w:rPr>
        <w:fldChar w:fldCharType="end"/>
      </w:r>
      <w:bookmarkEnd w:id="9"/>
      <w:r w:rsidRPr="00215DC9">
        <w:tab/>
        <w:t>Proposed item descriptor for Population 2</w:t>
      </w:r>
    </w:p>
    <w:tbl>
      <w:tblPr>
        <w:tblStyle w:val="TableGrid"/>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F27A2C" w:rsidRPr="00E164CD" w14:paraId="08F56C1F" w14:textId="77777777" w:rsidTr="0064109D">
        <w:trPr>
          <w:cantSplit/>
          <w:trHeight w:val="350"/>
          <w:tblHeader/>
        </w:trPr>
        <w:tc>
          <w:tcPr>
            <w:tcW w:w="9016" w:type="dxa"/>
            <w:shd w:val="clear" w:color="auto" w:fill="auto"/>
          </w:tcPr>
          <w:p w14:paraId="351BDCE1" w14:textId="77777777" w:rsidR="00F27A2C" w:rsidRPr="00E164CD" w:rsidRDefault="00F27A2C">
            <w:pPr>
              <w:pStyle w:val="TableHeading0"/>
            </w:pPr>
            <w:r w:rsidRPr="00E164CD">
              <w:t>Category 6 – PATHOLOGY SERVICES</w:t>
            </w:r>
          </w:p>
        </w:tc>
      </w:tr>
      <w:tr w:rsidR="00F27A2C" w:rsidRPr="00E164CD" w14:paraId="53A0098D" w14:textId="77777777">
        <w:trPr>
          <w:cantSplit/>
          <w:tblHeader/>
        </w:trPr>
        <w:tc>
          <w:tcPr>
            <w:tcW w:w="9016" w:type="dxa"/>
          </w:tcPr>
          <w:p w14:paraId="6FCC76E4" w14:textId="77777777" w:rsidR="00DD01E0" w:rsidRPr="0064109D" w:rsidRDefault="00FF17C3">
            <w:pPr>
              <w:pStyle w:val="TableText"/>
              <w:rPr>
                <w:i/>
                <w:lang w:val="en-US" w:eastAsia="ja-JP"/>
              </w:rPr>
            </w:pPr>
            <w:r w:rsidRPr="0064109D">
              <w:rPr>
                <w:i/>
                <w:lang w:val="en-US" w:eastAsia="ja-JP"/>
              </w:rPr>
              <w:t xml:space="preserve">MBS item </w:t>
            </w:r>
            <w:r w:rsidR="00AD1CF9" w:rsidRPr="0064109D">
              <w:rPr>
                <w:i/>
                <w:lang w:val="en-US" w:eastAsia="ja-JP"/>
              </w:rPr>
              <w:t xml:space="preserve">BBBB </w:t>
            </w:r>
          </w:p>
          <w:p w14:paraId="4A41A692" w14:textId="43058955" w:rsidR="00F27A2C" w:rsidRPr="00E164CD" w:rsidRDefault="00832798">
            <w:pPr>
              <w:pStyle w:val="TableText"/>
            </w:pPr>
            <w:r>
              <w:rPr>
                <w:lang w:val="en-US" w:eastAsia="ja-JP"/>
              </w:rPr>
              <w:t>Q</w:t>
            </w:r>
            <w:r w:rsidR="00F27A2C" w:rsidRPr="00E164CD">
              <w:rPr>
                <w:lang w:val="en-US" w:eastAsia="ja-JP"/>
              </w:rPr>
              <w:t xml:space="preserve">uantitative determination of the ratio of placental soluble </w:t>
            </w:r>
            <w:r w:rsidR="005427DA">
              <w:rPr>
                <w:lang w:val="en-US" w:eastAsia="ja-JP"/>
              </w:rPr>
              <w:t>FMS</w:t>
            </w:r>
            <w:r w:rsidR="00F27A2C" w:rsidRPr="00E164CD">
              <w:rPr>
                <w:lang w:val="en-US" w:eastAsia="ja-JP"/>
              </w:rPr>
              <w:t>-like tyrosine kinase-1 (sFlt-1) and placental growth factor (</w:t>
            </w:r>
            <w:proofErr w:type="spellStart"/>
            <w:r w:rsidR="00F27A2C" w:rsidRPr="00E164CD">
              <w:rPr>
                <w:lang w:val="en-US" w:eastAsia="ja-JP"/>
              </w:rPr>
              <w:t>PlGF</w:t>
            </w:r>
            <w:proofErr w:type="spellEnd"/>
            <w:r w:rsidR="00F27A2C" w:rsidRPr="00E164CD">
              <w:rPr>
                <w:lang w:val="en-US" w:eastAsia="ja-JP"/>
              </w:rPr>
              <w:t xml:space="preserve">) from the beginning of the 24th week of pregnancy for the management (by </w:t>
            </w:r>
            <w:proofErr w:type="spellStart"/>
            <w:r w:rsidR="00F27A2C" w:rsidRPr="00E164CD">
              <w:rPr>
                <w:lang w:val="en-US" w:eastAsia="ja-JP"/>
              </w:rPr>
              <w:t>categorising</w:t>
            </w:r>
            <w:proofErr w:type="spellEnd"/>
            <w:r w:rsidR="00F27A2C" w:rsidRPr="00E164CD">
              <w:rPr>
                <w:lang w:val="en-US" w:eastAsia="ja-JP"/>
              </w:rPr>
              <w:t xml:space="preserve"> the severity) of diagnosed preeclampsia in </w:t>
            </w:r>
            <w:r w:rsidR="00F27A2C" w:rsidRPr="00642DBC">
              <w:rPr>
                <w:lang w:val="en-US" w:eastAsia="ja-JP"/>
              </w:rPr>
              <w:t>preterm pregnancies.</w:t>
            </w:r>
          </w:p>
        </w:tc>
      </w:tr>
      <w:tr w:rsidR="00F27A2C" w:rsidRPr="00E164CD" w14:paraId="0A625B8E" w14:textId="77777777">
        <w:trPr>
          <w:cantSplit/>
          <w:trHeight w:val="223"/>
          <w:tblHeader/>
        </w:trPr>
        <w:tc>
          <w:tcPr>
            <w:tcW w:w="9016" w:type="dxa"/>
          </w:tcPr>
          <w:p w14:paraId="3D9B503F" w14:textId="77777777" w:rsidR="00F27A2C" w:rsidRPr="00E164CD" w:rsidRDefault="00F27A2C">
            <w:pPr>
              <w:pStyle w:val="TableText"/>
              <w:rPr>
                <w:snapToGrid w:val="0"/>
              </w:rPr>
            </w:pPr>
            <w:r w:rsidRPr="00E164CD">
              <w:t>Fee: $</w:t>
            </w:r>
            <w:r>
              <w:t>60.00 Benefit: 75% = $45.00 85% = $51.00</w:t>
            </w:r>
          </w:p>
        </w:tc>
      </w:tr>
      <w:tr w:rsidR="00F27A2C" w:rsidRPr="00E164CD" w14:paraId="1A4A779C" w14:textId="77777777">
        <w:trPr>
          <w:cantSplit/>
          <w:trHeight w:val="223"/>
          <w:tblHeader/>
        </w:trPr>
        <w:tc>
          <w:tcPr>
            <w:tcW w:w="9016" w:type="dxa"/>
          </w:tcPr>
          <w:p w14:paraId="29D5A7B6" w14:textId="1558DB70" w:rsidR="00F27A2C" w:rsidRPr="00E164CD" w:rsidRDefault="00F27A2C">
            <w:pPr>
              <w:pStyle w:val="TableText"/>
            </w:pPr>
            <w:r w:rsidRPr="00E164CD">
              <w:rPr>
                <w:szCs w:val="18"/>
              </w:rPr>
              <w:t xml:space="preserve">Note: </w:t>
            </w:r>
            <w:r w:rsidR="00E43CA6">
              <w:rPr>
                <w:szCs w:val="18"/>
              </w:rPr>
              <w:t xml:space="preserve">The </w:t>
            </w:r>
            <w:r w:rsidR="00E43CA6" w:rsidRPr="0064109D">
              <w:rPr>
                <w:strike/>
                <w:szCs w:val="18"/>
              </w:rPr>
              <w:t>r</w:t>
            </w:r>
            <w:r w:rsidRPr="0064109D">
              <w:rPr>
                <w:strike/>
                <w:szCs w:val="18"/>
              </w:rPr>
              <w:t>isk</w:t>
            </w:r>
            <w:r w:rsidRPr="003B2AEA">
              <w:rPr>
                <w:szCs w:val="18"/>
              </w:rPr>
              <w:t xml:space="preserve"> </w:t>
            </w:r>
            <w:r w:rsidR="00077AB2" w:rsidRPr="0064109D">
              <w:rPr>
                <w:i/>
                <w:szCs w:val="18"/>
              </w:rPr>
              <w:t xml:space="preserve">severity </w:t>
            </w:r>
            <w:r w:rsidRPr="00E164CD">
              <w:rPr>
                <w:szCs w:val="18"/>
              </w:rPr>
              <w:t xml:space="preserve">of preeclampsia should be </w:t>
            </w:r>
            <w:r w:rsidRPr="00E164CD">
              <w:t>judged based on the sFlt-1:PlGF ratio</w:t>
            </w:r>
            <w:r w:rsidR="00E43CA6">
              <w:t>,</w:t>
            </w:r>
            <w:r w:rsidRPr="00E164CD">
              <w:t xml:space="preserve"> rather than individual values of sFlt-1 and </w:t>
            </w:r>
            <w:proofErr w:type="spellStart"/>
            <w:r w:rsidRPr="00E164CD">
              <w:t>PlGF</w:t>
            </w:r>
            <w:proofErr w:type="spellEnd"/>
            <w:r w:rsidR="00E43CA6">
              <w:t>.</w:t>
            </w:r>
          </w:p>
          <w:p w14:paraId="048FC378" w14:textId="5259B895" w:rsidR="00F27A2C" w:rsidRPr="00E164CD" w:rsidRDefault="00F27A2C">
            <w:pPr>
              <w:pStyle w:val="TableText"/>
            </w:pPr>
            <w:r w:rsidRPr="0064109D">
              <w:rPr>
                <w:strike/>
              </w:rPr>
              <w:t>Women with</w:t>
            </w:r>
            <w:r w:rsidR="00B415E0" w:rsidRPr="003B2AEA">
              <w:t xml:space="preserve"> </w:t>
            </w:r>
            <w:r w:rsidR="00B415E0" w:rsidRPr="0064109D">
              <w:rPr>
                <w:i/>
              </w:rPr>
              <w:t>An</w:t>
            </w:r>
            <w:r w:rsidRPr="00E164CD">
              <w:t xml:space="preserve"> sFlt-1:PlGF ratio 38</w:t>
            </w:r>
            <w:r w:rsidR="00C63187">
              <w:t>–</w:t>
            </w:r>
            <w:r w:rsidRPr="00E164CD">
              <w:t xml:space="preserve">85 </w:t>
            </w:r>
            <w:r w:rsidRPr="0064109D">
              <w:rPr>
                <w:strike/>
              </w:rPr>
              <w:t>are at</w:t>
            </w:r>
            <w:r w:rsidRPr="003B2AEA">
              <w:t xml:space="preserve"> </w:t>
            </w:r>
            <w:r w:rsidR="00B415E0" w:rsidRPr="0064109D">
              <w:rPr>
                <w:i/>
              </w:rPr>
              <w:t>indicates</w:t>
            </w:r>
            <w:r w:rsidR="00B415E0">
              <w:t xml:space="preserve"> </w:t>
            </w:r>
            <w:r w:rsidRPr="0064109D">
              <w:rPr>
                <w:strike/>
              </w:rPr>
              <w:t>risk of</w:t>
            </w:r>
            <w:r w:rsidRPr="003B2AEA">
              <w:t xml:space="preserve"> </w:t>
            </w:r>
            <w:r w:rsidR="004C7371" w:rsidRPr="0064109D">
              <w:rPr>
                <w:i/>
              </w:rPr>
              <w:t>less severe</w:t>
            </w:r>
            <w:r w:rsidR="004C7371">
              <w:t xml:space="preserve"> </w:t>
            </w:r>
            <w:r w:rsidRPr="00E164CD">
              <w:t>preeclampsia</w:t>
            </w:r>
            <w:r w:rsidR="00E43CA6">
              <w:t>,</w:t>
            </w:r>
            <w:r w:rsidRPr="00E164CD">
              <w:t xml:space="preserve"> enhanced monitoring and retest</w:t>
            </w:r>
            <w:r w:rsidR="000E75CC" w:rsidRPr="0064109D">
              <w:rPr>
                <w:i/>
              </w:rPr>
              <w:t>ing</w:t>
            </w:r>
            <w:r w:rsidRPr="00E164CD">
              <w:t xml:space="preserve"> after 1-2 weeks recommended; </w:t>
            </w:r>
            <w:r w:rsidRPr="0064109D">
              <w:rPr>
                <w:strike/>
              </w:rPr>
              <w:t>women with</w:t>
            </w:r>
            <w:r w:rsidR="00B415E0" w:rsidRPr="0064109D">
              <w:t xml:space="preserve"> </w:t>
            </w:r>
            <w:r w:rsidR="00B415E0" w:rsidRPr="0064109D">
              <w:rPr>
                <w:i/>
              </w:rPr>
              <w:t>an</w:t>
            </w:r>
            <w:r w:rsidRPr="00E164CD">
              <w:t xml:space="preserve"> sFlt-1:PlGF ratio &gt;85 </w:t>
            </w:r>
            <w:r w:rsidRPr="0064109D">
              <w:rPr>
                <w:strike/>
              </w:rPr>
              <w:t>most likely have, or will develop,</w:t>
            </w:r>
            <w:r w:rsidR="00B13313">
              <w:t xml:space="preserve"> </w:t>
            </w:r>
            <w:r w:rsidR="00B13313" w:rsidRPr="0064109D">
              <w:rPr>
                <w:i/>
              </w:rPr>
              <w:t xml:space="preserve">indicates </w:t>
            </w:r>
            <w:r w:rsidR="004C7371" w:rsidRPr="0064109D">
              <w:rPr>
                <w:i/>
              </w:rPr>
              <w:t>more severe</w:t>
            </w:r>
            <w:r w:rsidRPr="0064109D">
              <w:rPr>
                <w:i/>
              </w:rPr>
              <w:t xml:space="preserve"> </w:t>
            </w:r>
            <w:r w:rsidRPr="00E164CD">
              <w:t xml:space="preserve">preeclampsia </w:t>
            </w:r>
            <w:r w:rsidRPr="0064109D">
              <w:rPr>
                <w:strike/>
              </w:rPr>
              <w:t>and</w:t>
            </w:r>
            <w:r w:rsidRPr="00E164CD">
              <w:t xml:space="preserve"> </w:t>
            </w:r>
            <w:proofErr w:type="spellStart"/>
            <w:r w:rsidRPr="00E164CD">
              <w:t>requir</w:t>
            </w:r>
            <w:r w:rsidR="004C7371" w:rsidRPr="0064109D">
              <w:rPr>
                <w:i/>
              </w:rPr>
              <w:t>ing</w:t>
            </w:r>
            <w:r w:rsidRPr="0064109D">
              <w:rPr>
                <w:strike/>
              </w:rPr>
              <w:t>e</w:t>
            </w:r>
            <w:proofErr w:type="spellEnd"/>
            <w:r w:rsidRPr="00E164CD">
              <w:t xml:space="preserve"> intensive monitoring</w:t>
            </w:r>
            <w:r w:rsidR="00E43CA6">
              <w:t>.</w:t>
            </w:r>
          </w:p>
        </w:tc>
      </w:tr>
    </w:tbl>
    <w:p w14:paraId="2735A913" w14:textId="64C28EF2" w:rsidR="00BE5BF0" w:rsidRPr="0064109D" w:rsidRDefault="00BE5BF0" w:rsidP="00402491">
      <w:pPr>
        <w:spacing w:before="0"/>
        <w:contextualSpacing/>
        <w:rPr>
          <w:rFonts w:ascii="Arial Narrow" w:hAnsi="Arial Narrow"/>
          <w:sz w:val="18"/>
          <w:szCs w:val="18"/>
        </w:rPr>
      </w:pPr>
      <w:bookmarkStart w:id="10" w:name="_Toc69491419"/>
      <w:r>
        <w:rPr>
          <w:rFonts w:ascii="Arial Narrow" w:hAnsi="Arial Narrow"/>
          <w:b/>
          <w:bCs/>
          <w:sz w:val="18"/>
          <w:szCs w:val="18"/>
          <w:u w:val="single"/>
        </w:rPr>
        <w:t>Note</w:t>
      </w:r>
      <w:r w:rsidR="00B7642F" w:rsidRPr="00C577B3">
        <w:rPr>
          <w:rFonts w:ascii="Arial Narrow" w:hAnsi="Arial Narrow"/>
          <w:b/>
          <w:bCs/>
          <w:sz w:val="18"/>
          <w:szCs w:val="18"/>
        </w:rPr>
        <w:t>:</w:t>
      </w:r>
      <w:r w:rsidR="00B7642F">
        <w:rPr>
          <w:rFonts w:ascii="Arial Narrow" w:hAnsi="Arial Narrow"/>
          <w:b/>
          <w:bCs/>
          <w:sz w:val="18"/>
          <w:szCs w:val="18"/>
        </w:rPr>
        <w:t xml:space="preserve"> </w:t>
      </w:r>
      <w:r>
        <w:rPr>
          <w:rFonts w:ascii="Arial Narrow" w:hAnsi="Arial Narrow"/>
          <w:sz w:val="18"/>
          <w:szCs w:val="18"/>
        </w:rPr>
        <w:t xml:space="preserve">Amendments made during the commentary </w:t>
      </w:r>
      <w:r w:rsidR="003B2AEA">
        <w:rPr>
          <w:rFonts w:ascii="Arial Narrow" w:hAnsi="Arial Narrow"/>
          <w:sz w:val="18"/>
          <w:szCs w:val="18"/>
        </w:rPr>
        <w:t>in italicised text (additions) and strikethrough (deletions)</w:t>
      </w:r>
    </w:p>
    <w:p w14:paraId="1239CA0A" w14:textId="10BF5F05" w:rsidR="00402491" w:rsidRPr="0064109D" w:rsidRDefault="00402491" w:rsidP="00402491">
      <w:pPr>
        <w:spacing w:before="0"/>
        <w:contextualSpacing/>
        <w:rPr>
          <w:rFonts w:ascii="Arial Narrow" w:hAnsi="Arial Narrow"/>
          <w:b/>
          <w:bCs/>
          <w:sz w:val="18"/>
          <w:szCs w:val="18"/>
        </w:rPr>
      </w:pPr>
      <w:r w:rsidRPr="00BE2AF8">
        <w:rPr>
          <w:rFonts w:ascii="Arial Narrow" w:hAnsi="Arial Narrow"/>
          <w:b/>
          <w:bCs/>
          <w:sz w:val="18"/>
          <w:szCs w:val="18"/>
          <w:u w:val="single"/>
        </w:rPr>
        <w:t>Source</w:t>
      </w:r>
      <w:r w:rsidR="00B7642F" w:rsidRPr="00C577B3">
        <w:rPr>
          <w:rFonts w:ascii="Arial Narrow" w:hAnsi="Arial Narrow"/>
          <w:b/>
          <w:bCs/>
          <w:sz w:val="18"/>
          <w:szCs w:val="18"/>
        </w:rPr>
        <w:t>:</w:t>
      </w:r>
      <w:r w:rsidR="00B7642F">
        <w:rPr>
          <w:rFonts w:ascii="Arial Narrow" w:hAnsi="Arial Narrow"/>
          <w:b/>
          <w:bCs/>
          <w:sz w:val="18"/>
          <w:szCs w:val="18"/>
        </w:rPr>
        <w:t xml:space="preserve"> </w:t>
      </w:r>
      <w:r w:rsidR="005445D1" w:rsidRPr="0064109D">
        <w:rPr>
          <w:rFonts w:ascii="Arial Narrow" w:hAnsi="Arial Narrow"/>
          <w:sz w:val="18"/>
          <w:szCs w:val="18"/>
        </w:rPr>
        <w:t>ADAR</w:t>
      </w:r>
      <w:r w:rsidR="00367188" w:rsidRPr="0064109D">
        <w:rPr>
          <w:rFonts w:ascii="Arial Narrow" w:hAnsi="Arial Narrow"/>
          <w:sz w:val="18"/>
          <w:szCs w:val="18"/>
        </w:rPr>
        <w:t xml:space="preserve"> Table 7 </w:t>
      </w:r>
      <w:r w:rsidR="00FD2A17" w:rsidRPr="0064109D">
        <w:rPr>
          <w:rFonts w:ascii="Arial Narrow" w:hAnsi="Arial Narrow"/>
          <w:sz w:val="18"/>
          <w:szCs w:val="18"/>
        </w:rPr>
        <w:t>Proposed</w:t>
      </w:r>
      <w:r w:rsidR="00367188" w:rsidRPr="0064109D">
        <w:rPr>
          <w:rFonts w:ascii="Arial Narrow" w:hAnsi="Arial Narrow"/>
          <w:sz w:val="18"/>
          <w:szCs w:val="18"/>
        </w:rPr>
        <w:t xml:space="preserve"> item descriptor</w:t>
      </w:r>
      <w:r w:rsidR="00161D9F" w:rsidRPr="0064109D">
        <w:rPr>
          <w:rFonts w:ascii="Arial Narrow" w:hAnsi="Arial Narrow"/>
          <w:sz w:val="18"/>
          <w:szCs w:val="18"/>
        </w:rPr>
        <w:t xml:space="preserve"> population 2</w:t>
      </w:r>
    </w:p>
    <w:p w14:paraId="34E0B08F" w14:textId="6ED88E9C" w:rsidR="00772829" w:rsidRPr="00CE28E3" w:rsidRDefault="00881808" w:rsidP="009847B9">
      <w:pPr>
        <w:pStyle w:val="Heading2"/>
        <w:numPr>
          <w:ilvl w:val="0"/>
          <w:numId w:val="0"/>
        </w:numPr>
      </w:pPr>
      <w:r>
        <w:t>7</w:t>
      </w:r>
      <w:r w:rsidR="00C36633">
        <w:t>.</w:t>
      </w:r>
      <w:r w:rsidR="00C36633">
        <w:tab/>
      </w:r>
      <w:r w:rsidR="00772829" w:rsidRPr="00CE28E3">
        <w:t>Population</w:t>
      </w:r>
      <w:bookmarkEnd w:id="10"/>
      <w:r w:rsidR="00772829" w:rsidRPr="00CE28E3">
        <w:t xml:space="preserve"> </w:t>
      </w:r>
    </w:p>
    <w:p w14:paraId="35AD1966" w14:textId="62706D07" w:rsidR="00453DD0" w:rsidRDefault="00453DD0" w:rsidP="00453DD0">
      <w:pPr>
        <w:keepNext/>
        <w:tabs>
          <w:tab w:val="left" w:pos="652"/>
        </w:tabs>
        <w:spacing w:before="240" w:after="60" w:line="276" w:lineRule="auto"/>
      </w:pPr>
      <w:bookmarkStart w:id="11" w:name="_Toc69491420"/>
      <w:r w:rsidRPr="00796BF4">
        <w:t>The populations addressed in th</w:t>
      </w:r>
      <w:r w:rsidR="00C35D22">
        <w:t>e</w:t>
      </w:r>
      <w:r w:rsidRPr="00796BF4">
        <w:t xml:space="preserve"> ADAR </w:t>
      </w:r>
      <w:r w:rsidR="00C35D22">
        <w:t>were</w:t>
      </w:r>
      <w:r w:rsidRPr="00796BF4">
        <w:t xml:space="preserve"> consistent with the populations specified in the ratified PICO confirmation.</w:t>
      </w:r>
    </w:p>
    <w:p w14:paraId="4C1396AB" w14:textId="5F608886" w:rsidR="004F34C0" w:rsidRDefault="00A23D22" w:rsidP="004F34C0">
      <w:r>
        <w:t>The</w:t>
      </w:r>
      <w:r w:rsidR="00001A46">
        <w:t xml:space="preserve">re are </w:t>
      </w:r>
      <w:r w:rsidR="008A25BA">
        <w:t xml:space="preserve">2 </w:t>
      </w:r>
      <w:r w:rsidR="008128CD">
        <w:t xml:space="preserve">proposed </w:t>
      </w:r>
      <w:r>
        <w:t>population</w:t>
      </w:r>
      <w:r w:rsidR="00001A46">
        <w:t>s</w:t>
      </w:r>
      <w:r>
        <w:t xml:space="preserve"> </w:t>
      </w:r>
      <w:r w:rsidR="00001A46">
        <w:t>for</w:t>
      </w:r>
      <w:r>
        <w:t xml:space="preserve"> </w:t>
      </w:r>
      <w:r w:rsidR="00DE1E5C">
        <w:t>sFlt-1:PlGF ratio testing</w:t>
      </w:r>
      <w:r w:rsidR="005D12BE">
        <w:t xml:space="preserve">. </w:t>
      </w:r>
      <w:r w:rsidR="00033D10">
        <w:t xml:space="preserve">Both populations consist of pregnant </w:t>
      </w:r>
      <w:r w:rsidR="00E14536">
        <w:t>people</w:t>
      </w:r>
      <w:r w:rsidR="00033D10">
        <w:t xml:space="preserve"> </w:t>
      </w:r>
      <w:r w:rsidR="00DE4EC6">
        <w:t>f</w:t>
      </w:r>
      <w:r w:rsidR="00033D10">
        <w:t>rom 24+0 weeks gestation</w:t>
      </w:r>
      <w:r w:rsidR="006F4970">
        <w:t xml:space="preserve">. In </w:t>
      </w:r>
      <w:r w:rsidR="005427DA">
        <w:t>P</w:t>
      </w:r>
      <w:r w:rsidR="006F4970">
        <w:t xml:space="preserve">opulation 1, no diagnosis of </w:t>
      </w:r>
      <w:r w:rsidR="00540409">
        <w:t>preeclampsia</w:t>
      </w:r>
      <w:r w:rsidR="00FE5D60">
        <w:t xml:space="preserve"> </w:t>
      </w:r>
      <w:r w:rsidR="00540409">
        <w:t xml:space="preserve">has yet been made, but </w:t>
      </w:r>
      <w:r w:rsidR="00B32A2D">
        <w:t xml:space="preserve">there are either </w:t>
      </w:r>
      <w:r w:rsidR="00540409">
        <w:t>signs</w:t>
      </w:r>
      <w:r w:rsidR="00FF39A6">
        <w:t xml:space="preserve"> and symptoms suggestive of preeclampsia</w:t>
      </w:r>
      <w:r w:rsidR="00B32A2D">
        <w:t xml:space="preserve"> present, or an increased risk of the development of preeclampsia due to maternal, gestational</w:t>
      </w:r>
      <w:r w:rsidR="00A8267E">
        <w:t>,</w:t>
      </w:r>
      <w:r w:rsidR="00B32A2D">
        <w:t xml:space="preserve"> or other factors</w:t>
      </w:r>
      <w:r w:rsidR="00D324CC">
        <w:t>, in the absence of signs of symptoms of preeclampsia. This population is the diagnostic testing population</w:t>
      </w:r>
      <w:r w:rsidR="00A8267E">
        <w:t>;</w:t>
      </w:r>
      <w:r w:rsidR="0030057C">
        <w:t xml:space="preserve"> the test</w:t>
      </w:r>
      <w:r w:rsidR="00906212">
        <w:t xml:space="preserve"> (AAAA)</w:t>
      </w:r>
      <w:r w:rsidR="0030057C">
        <w:t xml:space="preserve"> </w:t>
      </w:r>
      <w:r w:rsidR="005C34D5">
        <w:t xml:space="preserve">would </w:t>
      </w:r>
      <w:r w:rsidR="0030057C">
        <w:t>be used to help</w:t>
      </w:r>
      <w:r w:rsidR="00A8267E">
        <w:t xml:space="preserve"> establish the presence or absence of preeclampsia</w:t>
      </w:r>
      <w:r w:rsidR="009828E8">
        <w:t xml:space="preserve">. </w:t>
      </w:r>
      <w:r w:rsidR="00033E14">
        <w:t>Population 2 consists of</w:t>
      </w:r>
      <w:r w:rsidR="001F6CEB">
        <w:t xml:space="preserve"> pregnant people</w:t>
      </w:r>
      <w:r w:rsidR="000A7D2D">
        <w:t xml:space="preserve"> with a confirmed diagnosis of preeclampsia</w:t>
      </w:r>
      <w:r w:rsidR="00033E14">
        <w:t xml:space="preserve"> </w:t>
      </w:r>
      <w:r w:rsidR="0077246B">
        <w:t>utilising current standard tests</w:t>
      </w:r>
      <w:r w:rsidR="00A8267E">
        <w:t>,</w:t>
      </w:r>
      <w:r w:rsidR="0077246B">
        <w:t xml:space="preserve"> for wh</w:t>
      </w:r>
      <w:r w:rsidR="00A8267E">
        <w:t>om</w:t>
      </w:r>
      <w:r w:rsidR="0077246B">
        <w:t xml:space="preserve"> the sFlt-1:PlGF ratio test </w:t>
      </w:r>
      <w:r w:rsidR="00906212">
        <w:t xml:space="preserve">(BBBB) </w:t>
      </w:r>
      <w:r w:rsidR="0077246B">
        <w:t>would help</w:t>
      </w:r>
      <w:r w:rsidR="00033E14">
        <w:t xml:space="preserve"> </w:t>
      </w:r>
      <w:r w:rsidR="000A7D2D">
        <w:t>categorise the severity of preeclampsia.</w:t>
      </w:r>
    </w:p>
    <w:p w14:paraId="1BBDB8AE" w14:textId="0DAED8F8" w:rsidR="008855BA" w:rsidRDefault="008855BA" w:rsidP="004F34C0">
      <w:r>
        <w:t>Patients eligible for AAAA include those with “an increased risk of preeclampsia”. However, “increased risk” was not defined, so it was unclear what patient group this is intended to refer to – and the number of patients defined as being at “increased risk” may be large. The ADAR did not address this patient group. Being overweight or obese increases the risk of preeclampsia, and this is around 50% of the pregnant patient population.</w:t>
      </w:r>
      <w:r w:rsidR="00962FD3">
        <w:t xml:space="preserve"> If the </w:t>
      </w:r>
      <w:r w:rsidR="00DE254F">
        <w:t>structured risk assessment at 11+0 to 13+6 weeks gestation</w:t>
      </w:r>
      <w:r w:rsidR="00962FD3">
        <w:t xml:space="preserve"> proposed in application 1705 was supported</w:t>
      </w:r>
      <w:r w:rsidR="00DE254F">
        <w:t xml:space="preserve"> by MSAC</w:t>
      </w:r>
      <w:r w:rsidR="00962FD3">
        <w:t xml:space="preserve">, </w:t>
      </w:r>
      <w:r w:rsidR="00513F16">
        <w:t xml:space="preserve">patients </w:t>
      </w:r>
      <w:r w:rsidR="00DE254F">
        <w:t>defined as</w:t>
      </w:r>
      <w:r w:rsidR="00513F16">
        <w:t xml:space="preserve"> increased risk </w:t>
      </w:r>
      <w:r w:rsidR="00DE254F">
        <w:t>by that tool</w:t>
      </w:r>
      <w:r w:rsidR="00495978">
        <w:t xml:space="preserve"> </w:t>
      </w:r>
      <w:r w:rsidR="00513F16">
        <w:t xml:space="preserve">(even if treated with aspirin) may </w:t>
      </w:r>
      <w:r w:rsidR="0088099D">
        <w:t xml:space="preserve">also </w:t>
      </w:r>
      <w:r w:rsidR="00513F16">
        <w:t>be regarded as</w:t>
      </w:r>
      <w:r>
        <w:t xml:space="preserve"> </w:t>
      </w:r>
      <w:r w:rsidR="00495978">
        <w:t xml:space="preserve">at increased risk for </w:t>
      </w:r>
      <w:r w:rsidR="00DE254F">
        <w:t xml:space="preserve">the </w:t>
      </w:r>
      <w:r w:rsidR="00495978">
        <w:t xml:space="preserve">testing proposed in this application. </w:t>
      </w:r>
      <w:r>
        <w:t>Clinician concern or other subjective factors may also be regarded as defining a patient as being at “increased risk” – the applicant should define this population and estimate its size. The current unclear definition could result in leakage, the extreme of which would be the test becoming a universal part of antenatal care.</w:t>
      </w:r>
    </w:p>
    <w:p w14:paraId="5DBA62E2" w14:textId="78648092" w:rsidR="00ED2390" w:rsidRDefault="00ED2390" w:rsidP="004F34C0">
      <w:r>
        <w:t xml:space="preserve">The ADAR did not present an upper limit for </w:t>
      </w:r>
      <w:r w:rsidR="00A90EE0">
        <w:t>gestation in either population</w:t>
      </w:r>
      <w:r w:rsidR="00365A65">
        <w:t>;</w:t>
      </w:r>
      <w:r w:rsidR="00A90EE0">
        <w:t xml:space="preserve"> however</w:t>
      </w:r>
      <w:r w:rsidR="00365A65">
        <w:t>, it</w:t>
      </w:r>
      <w:r w:rsidR="00A90EE0">
        <w:t xml:space="preserve"> did </w:t>
      </w:r>
      <w:r w:rsidR="00DF62E9">
        <w:t>state</w:t>
      </w:r>
      <w:r w:rsidR="00A90EE0">
        <w:t xml:space="preserve"> that </w:t>
      </w:r>
      <w:r w:rsidR="00274D05">
        <w:t xml:space="preserve">the </w:t>
      </w:r>
      <w:r w:rsidR="00084254" w:rsidRPr="00084254">
        <w:t>sFlt-1:PlGF ratio test is particularly useful between 24+0 to 34+6 weeks of gestation to inform decision-making regarding the optimal timing of a likely preterm delivery</w:t>
      </w:r>
      <w:r w:rsidR="00084254">
        <w:t xml:space="preserve">. </w:t>
      </w:r>
    </w:p>
    <w:p w14:paraId="66BDFCC1" w14:textId="388880DD" w:rsidR="00772829" w:rsidRDefault="00881808" w:rsidP="002A18BE">
      <w:pPr>
        <w:pStyle w:val="Heading2"/>
        <w:numPr>
          <w:ilvl w:val="0"/>
          <w:numId w:val="0"/>
        </w:numPr>
      </w:pPr>
      <w:r>
        <w:lastRenderedPageBreak/>
        <w:t>8</w:t>
      </w:r>
      <w:r w:rsidR="00C36633">
        <w:t>.</w:t>
      </w:r>
      <w:r w:rsidR="00C36633">
        <w:tab/>
      </w:r>
      <w:r w:rsidR="00772829" w:rsidRPr="00FB297F">
        <w:t>Comparator</w:t>
      </w:r>
      <w:bookmarkEnd w:id="11"/>
    </w:p>
    <w:p w14:paraId="3D2EC68E" w14:textId="04169CE7" w:rsidR="00C5436A" w:rsidRPr="00E164CD" w:rsidRDefault="00C5436A" w:rsidP="00C5436A">
      <w:r w:rsidRPr="00F13D2D">
        <w:t xml:space="preserve">The </w:t>
      </w:r>
      <w:r w:rsidR="001005E9">
        <w:t>ADAR</w:t>
      </w:r>
      <w:r w:rsidR="001005E9" w:rsidRPr="00F13D2D">
        <w:t xml:space="preserve"> </w:t>
      </w:r>
      <w:r w:rsidRPr="00F13D2D">
        <w:t>pres</w:t>
      </w:r>
      <w:r>
        <w:t>ent</w:t>
      </w:r>
      <w:r w:rsidR="005D3185">
        <w:t>ed</w:t>
      </w:r>
      <w:r w:rsidRPr="00E164CD">
        <w:t xml:space="preserve"> comparators for Population 1 and Population 2 nominated in the PICO confirmation</w:t>
      </w:r>
      <w:r w:rsidR="005F38A4">
        <w:t>,</w:t>
      </w:r>
      <w:r w:rsidRPr="00E164CD">
        <w:t xml:space="preserve"> </w:t>
      </w:r>
      <w:r>
        <w:t>as</w:t>
      </w:r>
      <w:r w:rsidRPr="00E164CD">
        <w:t xml:space="preserve"> outlined in </w:t>
      </w:r>
      <w:r w:rsidR="00CB4FD5">
        <w:fldChar w:fldCharType="begin"/>
      </w:r>
      <w:r w:rsidR="00CB4FD5">
        <w:instrText xml:space="preserve"> REF _Ref132798262 \h  \* MERGEFORMAT </w:instrText>
      </w:r>
      <w:r w:rsidR="00CB4FD5">
        <w:fldChar w:fldCharType="separate"/>
      </w:r>
      <w:r w:rsidR="009D7CE9" w:rsidRPr="009D7CE9">
        <w:t>Table 4</w:t>
      </w:r>
      <w:r w:rsidR="00CB4FD5">
        <w:fldChar w:fldCharType="end"/>
      </w:r>
      <w:r w:rsidR="00CB4FD5">
        <w:t xml:space="preserve">. </w:t>
      </w:r>
      <w:r w:rsidRPr="00E164CD">
        <w:t xml:space="preserve">These comparators </w:t>
      </w:r>
      <w:r w:rsidR="007105AF">
        <w:t>were</w:t>
      </w:r>
      <w:r w:rsidRPr="00E164CD">
        <w:t xml:space="preserve"> applied to the assessment of the sFlt-1:PlGF ratio test presented in th</w:t>
      </w:r>
      <w:r w:rsidR="00615149">
        <w:t>e</w:t>
      </w:r>
      <w:r w:rsidRPr="00E164CD">
        <w:t xml:space="preserve"> ADAR.</w:t>
      </w:r>
    </w:p>
    <w:p w14:paraId="4684054F" w14:textId="5252EAE3" w:rsidR="00C5436A" w:rsidRPr="00E164CD" w:rsidRDefault="00C5436A" w:rsidP="00C5436A">
      <w:r w:rsidRPr="00E164CD">
        <w:t xml:space="preserve">For Population 1, Australian guidelines </w:t>
      </w:r>
      <w:r w:rsidR="000A10CE">
        <w:fldChar w:fldCharType="begin"/>
      </w:r>
      <w:r w:rsidR="00D076C7">
        <w:instrText xml:space="preserve"> ADDIN EN.CITE &lt;EndNote&gt;&lt;Cite&gt;&lt;Author&gt;Lowe&lt;/Author&gt;&lt;Year&gt;2015&lt;/Year&gt;&lt;RecNum&gt;2&lt;/RecNum&gt;&lt;record&gt;&lt;rec-number&gt;2&lt;/rec-number&gt;&lt;foreign-keys&gt;&lt;key app="EN" db-id="vrszaev5dzpe0se0rvkxpdxnf9x0r2t0ptf5" timestamp="1690935580"&gt;2&lt;/key&gt;&lt;/foreign-keys&gt;&lt;ref-type name="Journal Article"&gt;17&lt;/ref-type&gt;&lt;contributors&gt;&lt;authors&gt;&lt;author&gt;Lowe, Sandra A&lt;/author&gt;&lt;author&gt;Bowyer, Lucy&lt;/author&gt;&lt;author&gt;Lust, Karin&lt;/author&gt;&lt;author&gt;McMahon, Lawrence P&lt;/author&gt;&lt;author&gt;Morton, Mark&lt;/author&gt;&lt;author&gt;North, Robyn A&lt;/author&gt;&lt;author&gt;Paech, Michael&lt;/author&gt;&lt;author&gt;Said, Joanne M&lt;/author&gt;&lt;/authors&gt;&lt;/contributors&gt;&lt;titles&gt;&lt;title&gt;SOMANZ guidelines for the management of hypertensive disorders of pregnancy 2014&lt;/title&gt;&lt;secondary-title&gt;Australian and New Zealand Journal of Obstetrics and Gynaecology&lt;/secondary-title&gt;&lt;/titles&gt;&lt;pages&gt;e1-e29&lt;/pages&gt;&lt;volume&gt;55&lt;/volume&gt;&lt;number&gt;5&lt;/number&gt;&lt;dates&gt;&lt;year&gt;2015&lt;/year&gt;&lt;/dates&gt;&lt;isbn&gt;0004-8666&lt;/isbn&gt;&lt;urls&gt;&lt;/urls&gt;&lt;/record&gt;&lt;/Cite&gt;&lt;/EndNote&gt;</w:instrText>
      </w:r>
      <w:r w:rsidR="009C163C">
        <w:fldChar w:fldCharType="separate"/>
      </w:r>
      <w:r w:rsidR="000A10CE">
        <w:fldChar w:fldCharType="end"/>
      </w:r>
      <w:r w:rsidRPr="00E164CD">
        <w:t xml:space="preserve">specify that a diagnosis </w:t>
      </w:r>
      <w:r w:rsidR="005B0AA9">
        <w:t xml:space="preserve">of </w:t>
      </w:r>
      <w:r w:rsidRPr="00E164CD">
        <w:t>preeclampsia can be made when hypertension (above 140</w:t>
      </w:r>
      <w:r w:rsidR="002E7B3B">
        <w:t xml:space="preserve"> </w:t>
      </w:r>
      <w:r w:rsidRPr="00E164CD">
        <w:t>mm</w:t>
      </w:r>
      <w:r w:rsidR="002E7B3B">
        <w:t xml:space="preserve"> </w:t>
      </w:r>
      <w:r w:rsidRPr="00E164CD">
        <w:t>Hg systolic and/or 90</w:t>
      </w:r>
      <w:r w:rsidR="002E7B3B">
        <w:t xml:space="preserve"> </w:t>
      </w:r>
      <w:r w:rsidRPr="00E164CD">
        <w:t>mm</w:t>
      </w:r>
      <w:r w:rsidR="002E7B3B">
        <w:t xml:space="preserve"> </w:t>
      </w:r>
      <w:r w:rsidRPr="00E164CD">
        <w:t xml:space="preserve">Hg diastolic) arises after 20 weeks gestation and is accompanied by one or more signs of organ involvement. </w:t>
      </w:r>
    </w:p>
    <w:p w14:paraId="063D2103" w14:textId="782C9D63" w:rsidR="00CB4FD5" w:rsidRPr="00CB4FD5" w:rsidRDefault="00CB4FD5" w:rsidP="00043A0F">
      <w:pPr>
        <w:keepNext/>
        <w:spacing w:before="240" w:after="120" w:line="240" w:lineRule="auto"/>
        <w:ind w:left="992" w:hanging="992"/>
        <w:rPr>
          <w:rFonts w:ascii="Arial Narrow" w:eastAsia="Times New Roman" w:hAnsi="Arial Narrow" w:cstheme="minorHAnsi"/>
          <w:b/>
          <w:sz w:val="20"/>
          <w:szCs w:val="20"/>
        </w:rPr>
      </w:pPr>
      <w:bookmarkStart w:id="12" w:name="_Ref132798262"/>
      <w:r w:rsidRPr="00CB4FD5">
        <w:rPr>
          <w:rFonts w:ascii="Arial Narrow" w:eastAsia="Times New Roman" w:hAnsi="Arial Narrow" w:cstheme="minorHAnsi"/>
          <w:b/>
          <w:sz w:val="20"/>
          <w:szCs w:val="20"/>
        </w:rPr>
        <w:t xml:space="preserve">Table </w:t>
      </w:r>
      <w:r w:rsidRPr="00CB4FD5">
        <w:rPr>
          <w:rFonts w:ascii="Arial Narrow" w:eastAsia="Times New Roman" w:hAnsi="Arial Narrow" w:cstheme="minorHAnsi"/>
          <w:b/>
          <w:sz w:val="20"/>
          <w:szCs w:val="20"/>
        </w:rPr>
        <w:fldChar w:fldCharType="begin"/>
      </w:r>
      <w:r w:rsidRPr="00CB4FD5">
        <w:rPr>
          <w:rFonts w:ascii="Arial Narrow" w:eastAsia="Times New Roman" w:hAnsi="Arial Narrow" w:cstheme="minorHAnsi"/>
          <w:b/>
          <w:sz w:val="20"/>
          <w:szCs w:val="20"/>
        </w:rPr>
        <w:instrText xml:space="preserve"> SEQ Table \* ARABIC </w:instrText>
      </w:r>
      <w:r w:rsidRPr="00CB4FD5">
        <w:rPr>
          <w:rFonts w:ascii="Arial Narrow" w:eastAsia="Times New Roman" w:hAnsi="Arial Narrow" w:cstheme="minorHAnsi"/>
          <w:b/>
          <w:sz w:val="20"/>
          <w:szCs w:val="20"/>
        </w:rPr>
        <w:fldChar w:fldCharType="separate"/>
      </w:r>
      <w:r w:rsidR="009D7CE9">
        <w:rPr>
          <w:rFonts w:ascii="Arial Narrow" w:eastAsia="Times New Roman" w:hAnsi="Arial Narrow" w:cstheme="minorHAnsi"/>
          <w:b/>
          <w:noProof/>
          <w:sz w:val="20"/>
          <w:szCs w:val="20"/>
        </w:rPr>
        <w:t>4</w:t>
      </w:r>
      <w:r w:rsidRPr="00CB4FD5">
        <w:rPr>
          <w:rFonts w:ascii="Arial Narrow" w:eastAsia="Times New Roman" w:hAnsi="Arial Narrow" w:cstheme="minorHAnsi"/>
          <w:b/>
          <w:sz w:val="20"/>
          <w:szCs w:val="20"/>
        </w:rPr>
        <w:fldChar w:fldCharType="end"/>
      </w:r>
      <w:bookmarkEnd w:id="12"/>
      <w:r w:rsidRPr="004649A1">
        <w:rPr>
          <w:rFonts w:ascii="Arial Narrow" w:eastAsia="Times New Roman" w:hAnsi="Arial Narrow" w:cstheme="minorHAnsi"/>
          <w:b/>
          <w:sz w:val="20"/>
          <w:szCs w:val="20"/>
        </w:rPr>
        <w:t xml:space="preserve"> </w:t>
      </w:r>
      <w:r w:rsidRPr="00CB4FD5">
        <w:rPr>
          <w:rFonts w:ascii="Arial Narrow" w:eastAsia="Times New Roman" w:hAnsi="Arial Narrow" w:cstheme="minorHAnsi"/>
          <w:b/>
          <w:sz w:val="20"/>
          <w:szCs w:val="20"/>
        </w:rPr>
        <w:t>Nominated comparators for sFlt-1:PlGF ratio testing</w:t>
      </w:r>
    </w:p>
    <w:tbl>
      <w:tblPr>
        <w:tblStyle w:val="TableGrid"/>
        <w:tblW w:w="5000" w:type="pct"/>
        <w:tblLook w:val="04A0" w:firstRow="1" w:lastRow="0" w:firstColumn="1" w:lastColumn="0" w:noHBand="0" w:noVBand="1"/>
      </w:tblPr>
      <w:tblGrid>
        <w:gridCol w:w="2254"/>
        <w:gridCol w:w="1569"/>
        <w:gridCol w:w="2939"/>
        <w:gridCol w:w="2254"/>
      </w:tblGrid>
      <w:tr w:rsidR="00CB4FD5" w:rsidRPr="005B39B8" w14:paraId="061108D0" w14:textId="77777777" w:rsidTr="0064109D">
        <w:trPr>
          <w:tblHeader/>
        </w:trPr>
        <w:tc>
          <w:tcPr>
            <w:tcW w:w="1250" w:type="pct"/>
            <w:shd w:val="clear" w:color="auto" w:fill="auto"/>
          </w:tcPr>
          <w:p w14:paraId="72282A02" w14:textId="77777777" w:rsidR="00CB4FD5" w:rsidRPr="00203D66" w:rsidRDefault="00CB4FD5" w:rsidP="00CB4FD5">
            <w:pPr>
              <w:keepNext/>
              <w:spacing w:after="60"/>
              <w:rPr>
                <w:rFonts w:ascii="Arial Narrow" w:hAnsi="Arial Narrow"/>
                <w:b/>
                <w:sz w:val="20"/>
              </w:rPr>
            </w:pPr>
            <w:r w:rsidRPr="00203D66">
              <w:rPr>
                <w:rFonts w:ascii="Arial Narrow" w:hAnsi="Arial Narrow"/>
                <w:b/>
                <w:sz w:val="20"/>
              </w:rPr>
              <w:t>Population</w:t>
            </w:r>
          </w:p>
        </w:tc>
        <w:tc>
          <w:tcPr>
            <w:tcW w:w="870" w:type="pct"/>
            <w:shd w:val="clear" w:color="auto" w:fill="auto"/>
          </w:tcPr>
          <w:p w14:paraId="09E0783B" w14:textId="77777777" w:rsidR="00CB4FD5" w:rsidRPr="00203D66" w:rsidRDefault="00CB4FD5" w:rsidP="00CB4FD5">
            <w:pPr>
              <w:keepNext/>
              <w:spacing w:after="60"/>
              <w:rPr>
                <w:rFonts w:ascii="Arial Narrow" w:hAnsi="Arial Narrow"/>
                <w:b/>
                <w:sz w:val="20"/>
              </w:rPr>
            </w:pPr>
            <w:r w:rsidRPr="00203D66">
              <w:rPr>
                <w:rFonts w:ascii="Arial Narrow" w:hAnsi="Arial Narrow"/>
                <w:b/>
                <w:sz w:val="20"/>
              </w:rPr>
              <w:t>Role of sFlt-1:PlGF ratio test</w:t>
            </w:r>
          </w:p>
        </w:tc>
        <w:tc>
          <w:tcPr>
            <w:tcW w:w="1630" w:type="pct"/>
            <w:shd w:val="clear" w:color="auto" w:fill="auto"/>
          </w:tcPr>
          <w:p w14:paraId="03711953" w14:textId="77777777" w:rsidR="00CB4FD5" w:rsidRPr="00203D66" w:rsidRDefault="00CB4FD5" w:rsidP="00CB4FD5">
            <w:pPr>
              <w:keepNext/>
              <w:spacing w:after="60"/>
              <w:rPr>
                <w:rFonts w:ascii="Arial Narrow" w:hAnsi="Arial Narrow"/>
                <w:b/>
                <w:sz w:val="20"/>
              </w:rPr>
            </w:pPr>
            <w:r w:rsidRPr="00203D66">
              <w:rPr>
                <w:rFonts w:ascii="Arial Narrow" w:hAnsi="Arial Narrow"/>
                <w:b/>
                <w:sz w:val="20"/>
              </w:rPr>
              <w:t>Comparator</w:t>
            </w:r>
          </w:p>
        </w:tc>
        <w:tc>
          <w:tcPr>
            <w:tcW w:w="1250" w:type="pct"/>
            <w:shd w:val="clear" w:color="auto" w:fill="auto"/>
          </w:tcPr>
          <w:p w14:paraId="24E526DF" w14:textId="77777777" w:rsidR="00CB4FD5" w:rsidRPr="00203D66" w:rsidRDefault="00CB4FD5" w:rsidP="00CB4FD5">
            <w:pPr>
              <w:keepNext/>
              <w:spacing w:after="60"/>
              <w:rPr>
                <w:rFonts w:ascii="Arial Narrow" w:hAnsi="Arial Narrow"/>
                <w:b/>
                <w:sz w:val="20"/>
              </w:rPr>
            </w:pPr>
            <w:r w:rsidRPr="00203D66">
              <w:rPr>
                <w:rFonts w:ascii="Arial Narrow" w:hAnsi="Arial Narrow"/>
                <w:b/>
                <w:sz w:val="20"/>
              </w:rPr>
              <w:t>Clinical context</w:t>
            </w:r>
          </w:p>
        </w:tc>
      </w:tr>
      <w:tr w:rsidR="00CB4FD5" w:rsidRPr="005B39B8" w14:paraId="6EC50A6B" w14:textId="77777777" w:rsidTr="0064109D">
        <w:tc>
          <w:tcPr>
            <w:tcW w:w="1250" w:type="pct"/>
          </w:tcPr>
          <w:p w14:paraId="568BD832" w14:textId="14C3BC3A" w:rsidR="00CB4FD5" w:rsidRPr="00203D66" w:rsidRDefault="00CB4FD5" w:rsidP="00CB4FD5">
            <w:pPr>
              <w:spacing w:before="40" w:after="40"/>
              <w:rPr>
                <w:rFonts w:ascii="Arial Narrow" w:hAnsi="Arial Narrow"/>
                <w:sz w:val="20"/>
                <w:szCs w:val="20"/>
              </w:rPr>
            </w:pPr>
            <w:r w:rsidRPr="00203D66">
              <w:rPr>
                <w:rFonts w:ascii="Arial Narrow" w:hAnsi="Arial Narrow"/>
                <w:sz w:val="20"/>
                <w:szCs w:val="20"/>
              </w:rPr>
              <w:t xml:space="preserve">Population 1: </w:t>
            </w:r>
            <w:r w:rsidR="005F38A4" w:rsidRPr="00203D66">
              <w:rPr>
                <w:rFonts w:ascii="Arial Narrow" w:hAnsi="Arial Narrow"/>
                <w:sz w:val="20"/>
                <w:szCs w:val="20"/>
              </w:rPr>
              <w:t>P</w:t>
            </w:r>
            <w:r w:rsidRPr="00203D66">
              <w:rPr>
                <w:rFonts w:ascii="Arial Narrow" w:hAnsi="Arial Narrow"/>
                <w:sz w:val="20"/>
                <w:szCs w:val="20"/>
              </w:rPr>
              <w:t xml:space="preserve">regnant </w:t>
            </w:r>
            <w:r w:rsidR="00665078">
              <w:rPr>
                <w:rFonts w:ascii="Arial Narrow" w:hAnsi="Arial Narrow"/>
                <w:sz w:val="20"/>
                <w:szCs w:val="20"/>
              </w:rPr>
              <w:t>people</w:t>
            </w:r>
            <w:r w:rsidR="00665078" w:rsidRPr="00203D66">
              <w:rPr>
                <w:rFonts w:ascii="Arial Narrow" w:hAnsi="Arial Narrow"/>
                <w:sz w:val="20"/>
                <w:szCs w:val="20"/>
              </w:rPr>
              <w:t xml:space="preserve"> </w:t>
            </w:r>
            <w:r w:rsidRPr="00203D66">
              <w:rPr>
                <w:rFonts w:ascii="Arial Narrow" w:hAnsi="Arial Narrow"/>
                <w:sz w:val="20"/>
                <w:szCs w:val="20"/>
              </w:rPr>
              <w:t xml:space="preserve">from 24+0 weeks gestation with signs and symptoms suggestive of preeclampsia or asymptomatic </w:t>
            </w:r>
            <w:r w:rsidR="00665078">
              <w:rPr>
                <w:rFonts w:ascii="Arial Narrow" w:hAnsi="Arial Narrow"/>
                <w:sz w:val="20"/>
                <w:szCs w:val="20"/>
              </w:rPr>
              <w:t>people</w:t>
            </w:r>
            <w:r w:rsidR="00665078" w:rsidRPr="00203D66">
              <w:rPr>
                <w:rFonts w:ascii="Arial Narrow" w:hAnsi="Arial Narrow"/>
                <w:sz w:val="20"/>
                <w:szCs w:val="20"/>
              </w:rPr>
              <w:t xml:space="preserve"> </w:t>
            </w:r>
            <w:r w:rsidRPr="00203D66">
              <w:rPr>
                <w:rFonts w:ascii="Arial Narrow" w:hAnsi="Arial Narrow"/>
                <w:sz w:val="20"/>
                <w:szCs w:val="20"/>
              </w:rPr>
              <w:t>at increased risk of preeclampsia</w:t>
            </w:r>
          </w:p>
        </w:tc>
        <w:tc>
          <w:tcPr>
            <w:tcW w:w="870" w:type="pct"/>
          </w:tcPr>
          <w:p w14:paraId="4DF1DEB0" w14:textId="77777777" w:rsidR="00CB4FD5" w:rsidRPr="00203D66" w:rsidRDefault="00CB4FD5" w:rsidP="00CB4FD5">
            <w:pPr>
              <w:spacing w:before="40" w:after="40"/>
              <w:rPr>
                <w:rFonts w:ascii="Arial Narrow" w:hAnsi="Arial Narrow"/>
                <w:sz w:val="20"/>
                <w:szCs w:val="20"/>
              </w:rPr>
            </w:pPr>
            <w:r w:rsidRPr="00203D66">
              <w:rPr>
                <w:rFonts w:ascii="Arial Narrow" w:hAnsi="Arial Narrow"/>
                <w:sz w:val="20"/>
                <w:szCs w:val="20"/>
              </w:rPr>
              <w:t>Diagnostic test</w:t>
            </w:r>
          </w:p>
        </w:tc>
        <w:tc>
          <w:tcPr>
            <w:tcW w:w="1630" w:type="pct"/>
          </w:tcPr>
          <w:p w14:paraId="52F8EEB0" w14:textId="2EC56810" w:rsidR="00CB4FD5" w:rsidRPr="00203D66" w:rsidRDefault="00CB4FD5" w:rsidP="00134545">
            <w:pPr>
              <w:spacing w:before="0"/>
              <w:rPr>
                <w:rFonts w:ascii="Arial Narrow" w:hAnsi="Arial Narrow"/>
                <w:sz w:val="20"/>
                <w:szCs w:val="20"/>
              </w:rPr>
            </w:pPr>
            <w:r w:rsidRPr="00203D66">
              <w:rPr>
                <w:rFonts w:ascii="Arial Narrow" w:hAnsi="Arial Narrow"/>
                <w:sz w:val="20"/>
                <w:szCs w:val="20"/>
              </w:rPr>
              <w:t xml:space="preserve">No </w:t>
            </w:r>
            <w:proofErr w:type="spellStart"/>
            <w:r w:rsidRPr="00203D66">
              <w:rPr>
                <w:rFonts w:ascii="Arial Narrow" w:hAnsi="Arial Narrow"/>
                <w:sz w:val="20"/>
                <w:szCs w:val="20"/>
              </w:rPr>
              <w:t>triage</w:t>
            </w:r>
            <w:r w:rsidRPr="00203D66">
              <w:rPr>
                <w:rFonts w:ascii="Arial Narrow" w:hAnsi="Arial Narrow"/>
                <w:sz w:val="20"/>
                <w:szCs w:val="20"/>
                <w:vertAlign w:val="superscript"/>
              </w:rPr>
              <w:t>a</w:t>
            </w:r>
            <w:proofErr w:type="spellEnd"/>
            <w:r w:rsidRPr="00203D66">
              <w:rPr>
                <w:rFonts w:ascii="Arial Narrow" w:hAnsi="Arial Narrow"/>
                <w:sz w:val="20"/>
                <w:szCs w:val="20"/>
              </w:rPr>
              <w:t xml:space="preserve"> [diagnostic] testing ± current standard tests that are repeated for diagnosing preeclampsia at 24</w:t>
            </w:r>
            <w:r w:rsidRPr="00F83E53">
              <w:rPr>
                <w:rFonts w:ascii="Arial Narrow" w:hAnsi="Arial Narrow"/>
                <w:sz w:val="20"/>
                <w:szCs w:val="20"/>
              </w:rPr>
              <w:t>+0</w:t>
            </w:r>
            <w:r w:rsidRPr="00203D66">
              <w:rPr>
                <w:rFonts w:ascii="Arial Narrow" w:hAnsi="Arial Narrow"/>
                <w:sz w:val="20"/>
                <w:szCs w:val="20"/>
              </w:rPr>
              <w:t xml:space="preserve"> to 36</w:t>
            </w:r>
            <w:r w:rsidRPr="00F83E53">
              <w:rPr>
                <w:rFonts w:ascii="Arial Narrow" w:hAnsi="Arial Narrow"/>
                <w:sz w:val="20"/>
                <w:szCs w:val="20"/>
              </w:rPr>
              <w:t>+6</w:t>
            </w:r>
            <w:r w:rsidRPr="00203D66">
              <w:rPr>
                <w:rFonts w:ascii="Arial Narrow" w:hAnsi="Arial Narrow"/>
                <w:sz w:val="20"/>
                <w:szCs w:val="20"/>
              </w:rPr>
              <w:t xml:space="preserve"> weeks gestation, including</w:t>
            </w:r>
            <w:r w:rsidR="00FE1EBA">
              <w:rPr>
                <w:rFonts w:ascii="Arial Narrow" w:hAnsi="Arial Narrow"/>
                <w:sz w:val="20"/>
                <w:szCs w:val="20"/>
              </w:rPr>
              <w:t>:</w:t>
            </w:r>
          </w:p>
          <w:p w14:paraId="32E9AD3B" w14:textId="42054C9D" w:rsidR="00CB4FD5" w:rsidRPr="00203D66" w:rsidRDefault="00CB4FD5" w:rsidP="00134545">
            <w:pPr>
              <w:numPr>
                <w:ilvl w:val="0"/>
                <w:numId w:val="15"/>
              </w:numPr>
              <w:spacing w:before="0"/>
              <w:rPr>
                <w:rFonts w:ascii="Arial Narrow" w:hAnsi="Arial Narrow"/>
                <w:sz w:val="20"/>
                <w:szCs w:val="20"/>
              </w:rPr>
            </w:pPr>
            <w:r w:rsidRPr="00203D66">
              <w:rPr>
                <w:rFonts w:ascii="Arial Narrow" w:hAnsi="Arial Narrow"/>
                <w:sz w:val="20"/>
                <w:szCs w:val="20"/>
              </w:rPr>
              <w:t xml:space="preserve">Urine </w:t>
            </w:r>
            <w:proofErr w:type="spellStart"/>
            <w:r w:rsidRPr="00203D66">
              <w:rPr>
                <w:rFonts w:ascii="Arial Narrow" w:hAnsi="Arial Narrow"/>
                <w:sz w:val="20"/>
                <w:szCs w:val="20"/>
              </w:rPr>
              <w:t>protein:creatinine</w:t>
            </w:r>
            <w:proofErr w:type="spellEnd"/>
            <w:r w:rsidRPr="00203D66">
              <w:rPr>
                <w:rFonts w:ascii="Arial Narrow" w:hAnsi="Arial Narrow"/>
                <w:sz w:val="20"/>
                <w:szCs w:val="20"/>
              </w:rPr>
              <w:t xml:space="preserve"> ratio test</w:t>
            </w:r>
          </w:p>
          <w:p w14:paraId="49A77B5D" w14:textId="5C56C04D" w:rsidR="00CB4FD5" w:rsidRPr="00203D66" w:rsidRDefault="00CB4FD5" w:rsidP="00134545">
            <w:pPr>
              <w:numPr>
                <w:ilvl w:val="0"/>
                <w:numId w:val="15"/>
              </w:numPr>
              <w:spacing w:before="0"/>
              <w:rPr>
                <w:rFonts w:ascii="Arial Narrow" w:hAnsi="Arial Narrow"/>
                <w:sz w:val="20"/>
                <w:szCs w:val="20"/>
              </w:rPr>
            </w:pPr>
            <w:r w:rsidRPr="00203D66">
              <w:rPr>
                <w:rFonts w:ascii="Arial Narrow" w:hAnsi="Arial Narrow"/>
                <w:sz w:val="20"/>
                <w:szCs w:val="20"/>
              </w:rPr>
              <w:t>Proteinuria reagent strip test</w:t>
            </w:r>
          </w:p>
          <w:p w14:paraId="39346AD7" w14:textId="039F12DF" w:rsidR="00CB4FD5" w:rsidRPr="00203D66" w:rsidRDefault="00CB4FD5" w:rsidP="00134545">
            <w:pPr>
              <w:numPr>
                <w:ilvl w:val="0"/>
                <w:numId w:val="15"/>
              </w:numPr>
              <w:spacing w:before="0"/>
              <w:rPr>
                <w:rFonts w:ascii="Arial Narrow" w:hAnsi="Arial Narrow"/>
                <w:sz w:val="20"/>
                <w:szCs w:val="20"/>
              </w:rPr>
            </w:pPr>
            <w:r w:rsidRPr="00203D66">
              <w:rPr>
                <w:rFonts w:ascii="Arial Narrow" w:hAnsi="Arial Narrow"/>
                <w:sz w:val="20"/>
                <w:szCs w:val="20"/>
              </w:rPr>
              <w:t>Full blood count</w:t>
            </w:r>
          </w:p>
          <w:p w14:paraId="2AF37B98" w14:textId="08A3B4C8" w:rsidR="00CB4FD5" w:rsidRPr="00203D66" w:rsidRDefault="00CB4FD5" w:rsidP="00134545">
            <w:pPr>
              <w:numPr>
                <w:ilvl w:val="0"/>
                <w:numId w:val="15"/>
              </w:numPr>
              <w:spacing w:before="0"/>
              <w:rPr>
                <w:rFonts w:ascii="Arial Narrow" w:hAnsi="Arial Narrow"/>
                <w:sz w:val="20"/>
                <w:szCs w:val="20"/>
              </w:rPr>
            </w:pPr>
            <w:r w:rsidRPr="00203D66">
              <w:rPr>
                <w:rFonts w:ascii="Arial Narrow" w:hAnsi="Arial Narrow"/>
                <w:sz w:val="20"/>
                <w:szCs w:val="20"/>
              </w:rPr>
              <w:t>Renal function test</w:t>
            </w:r>
          </w:p>
          <w:p w14:paraId="59D9469E" w14:textId="0B5AFFE0" w:rsidR="00CB4FD5" w:rsidRPr="00203D66" w:rsidRDefault="00CB4FD5" w:rsidP="00134545">
            <w:pPr>
              <w:numPr>
                <w:ilvl w:val="0"/>
                <w:numId w:val="15"/>
              </w:numPr>
              <w:spacing w:before="0"/>
              <w:rPr>
                <w:rFonts w:ascii="Arial Narrow" w:hAnsi="Arial Narrow"/>
                <w:sz w:val="20"/>
                <w:szCs w:val="20"/>
              </w:rPr>
            </w:pPr>
            <w:r w:rsidRPr="00203D66">
              <w:rPr>
                <w:rFonts w:ascii="Arial Narrow" w:hAnsi="Arial Narrow"/>
                <w:sz w:val="20"/>
                <w:szCs w:val="20"/>
              </w:rPr>
              <w:t>Serum electrolytes</w:t>
            </w:r>
          </w:p>
          <w:p w14:paraId="7F76F16A" w14:textId="3D16F616" w:rsidR="00CB4FD5" w:rsidRPr="00203D66" w:rsidRDefault="00CB4FD5" w:rsidP="00134545">
            <w:pPr>
              <w:numPr>
                <w:ilvl w:val="0"/>
                <w:numId w:val="15"/>
              </w:numPr>
              <w:spacing w:before="0"/>
              <w:rPr>
                <w:rFonts w:ascii="Arial Narrow" w:hAnsi="Arial Narrow"/>
                <w:sz w:val="20"/>
                <w:szCs w:val="20"/>
              </w:rPr>
            </w:pPr>
            <w:r w:rsidRPr="00203D66">
              <w:rPr>
                <w:rFonts w:ascii="Arial Narrow" w:hAnsi="Arial Narrow"/>
                <w:sz w:val="20"/>
                <w:szCs w:val="20"/>
              </w:rPr>
              <w:t>Hepatic transaminases</w:t>
            </w:r>
          </w:p>
        </w:tc>
        <w:tc>
          <w:tcPr>
            <w:tcW w:w="1250" w:type="pct"/>
          </w:tcPr>
          <w:p w14:paraId="11185D6E" w14:textId="77777777" w:rsidR="00CB4FD5" w:rsidRPr="00203D66" w:rsidRDefault="00CB4FD5" w:rsidP="00CB4FD5">
            <w:pPr>
              <w:spacing w:before="40" w:after="40"/>
              <w:rPr>
                <w:rFonts w:ascii="Arial Narrow" w:hAnsi="Arial Narrow"/>
                <w:sz w:val="20"/>
                <w:szCs w:val="20"/>
              </w:rPr>
            </w:pPr>
            <w:r w:rsidRPr="00203D66">
              <w:rPr>
                <w:rFonts w:ascii="Arial Narrow" w:hAnsi="Arial Narrow"/>
                <w:sz w:val="20"/>
                <w:szCs w:val="20"/>
              </w:rPr>
              <w:t>sFlt-1:PlGF ratio test used in addition to comparator (add-on)</w:t>
            </w:r>
          </w:p>
        </w:tc>
      </w:tr>
      <w:tr w:rsidR="00CB4FD5" w:rsidRPr="005B39B8" w14:paraId="42BF8EB8" w14:textId="77777777" w:rsidTr="0064109D">
        <w:trPr>
          <w:trHeight w:val="482"/>
        </w:trPr>
        <w:tc>
          <w:tcPr>
            <w:tcW w:w="1250" w:type="pct"/>
          </w:tcPr>
          <w:p w14:paraId="182D9353" w14:textId="30D54C92" w:rsidR="00CB4FD5" w:rsidRPr="00203D66" w:rsidRDefault="00CB4FD5" w:rsidP="00CB4FD5">
            <w:pPr>
              <w:spacing w:before="40" w:after="40"/>
              <w:rPr>
                <w:rFonts w:ascii="Arial Narrow" w:hAnsi="Arial Narrow"/>
                <w:sz w:val="20"/>
                <w:szCs w:val="20"/>
              </w:rPr>
            </w:pPr>
            <w:r w:rsidRPr="00203D66">
              <w:rPr>
                <w:rFonts w:ascii="Arial Narrow" w:hAnsi="Arial Narrow"/>
                <w:sz w:val="20"/>
                <w:szCs w:val="20"/>
              </w:rPr>
              <w:t xml:space="preserve">Population 2: </w:t>
            </w:r>
            <w:r w:rsidR="005F38A4" w:rsidRPr="00203D66">
              <w:rPr>
                <w:rFonts w:ascii="Arial Narrow" w:hAnsi="Arial Narrow"/>
                <w:sz w:val="20"/>
                <w:szCs w:val="20"/>
              </w:rPr>
              <w:t>P</w:t>
            </w:r>
            <w:r w:rsidRPr="00203D66">
              <w:rPr>
                <w:rFonts w:ascii="Arial Narrow" w:hAnsi="Arial Narrow"/>
                <w:sz w:val="20"/>
                <w:szCs w:val="20"/>
              </w:rPr>
              <w:t xml:space="preserve">regnant </w:t>
            </w:r>
            <w:r w:rsidR="00665078">
              <w:rPr>
                <w:rFonts w:ascii="Arial Narrow" w:hAnsi="Arial Narrow"/>
                <w:sz w:val="20"/>
                <w:szCs w:val="20"/>
              </w:rPr>
              <w:t>people</w:t>
            </w:r>
            <w:r w:rsidR="00665078" w:rsidRPr="00203D66">
              <w:rPr>
                <w:rFonts w:ascii="Arial Narrow" w:hAnsi="Arial Narrow"/>
                <w:sz w:val="20"/>
                <w:szCs w:val="20"/>
              </w:rPr>
              <w:t xml:space="preserve"> </w:t>
            </w:r>
            <w:r w:rsidRPr="00203D66">
              <w:rPr>
                <w:rFonts w:ascii="Arial Narrow" w:hAnsi="Arial Narrow"/>
                <w:sz w:val="20"/>
                <w:szCs w:val="20"/>
              </w:rPr>
              <w:t>from 24</w:t>
            </w:r>
            <w:r w:rsidRPr="005B39B8">
              <w:rPr>
                <w:rFonts w:ascii="Arial Narrow" w:hAnsi="Arial Narrow"/>
                <w:sz w:val="20"/>
                <w:szCs w:val="20"/>
              </w:rPr>
              <w:t>+0</w:t>
            </w:r>
            <w:r w:rsidRPr="00203D66">
              <w:rPr>
                <w:rFonts w:ascii="Arial Narrow" w:hAnsi="Arial Narrow"/>
                <w:sz w:val="20"/>
                <w:szCs w:val="20"/>
              </w:rPr>
              <w:t xml:space="preserve"> weeks gestation with a confirmed diagnosis of preeclampsia</w:t>
            </w:r>
          </w:p>
        </w:tc>
        <w:tc>
          <w:tcPr>
            <w:tcW w:w="870" w:type="pct"/>
          </w:tcPr>
          <w:p w14:paraId="277992B9" w14:textId="77777777" w:rsidR="00CB4FD5" w:rsidRPr="00203D66" w:rsidRDefault="00CB4FD5" w:rsidP="00CB4FD5">
            <w:pPr>
              <w:spacing w:before="40" w:after="40"/>
              <w:rPr>
                <w:rFonts w:ascii="Arial Narrow" w:hAnsi="Arial Narrow"/>
                <w:sz w:val="20"/>
                <w:szCs w:val="20"/>
              </w:rPr>
            </w:pPr>
            <w:r w:rsidRPr="00203D66">
              <w:rPr>
                <w:rFonts w:ascii="Arial Narrow" w:hAnsi="Arial Narrow"/>
                <w:sz w:val="20"/>
                <w:szCs w:val="20"/>
              </w:rPr>
              <w:t>Prognostic/staging test</w:t>
            </w:r>
          </w:p>
        </w:tc>
        <w:tc>
          <w:tcPr>
            <w:tcW w:w="1630" w:type="pct"/>
          </w:tcPr>
          <w:p w14:paraId="7DFE8631" w14:textId="77777777" w:rsidR="00CB4FD5" w:rsidRPr="00203D66" w:rsidRDefault="00CB4FD5" w:rsidP="00CB4FD5">
            <w:pPr>
              <w:spacing w:before="40" w:after="40"/>
              <w:rPr>
                <w:rFonts w:ascii="Arial Narrow" w:hAnsi="Arial Narrow"/>
                <w:sz w:val="20"/>
                <w:szCs w:val="20"/>
              </w:rPr>
            </w:pPr>
            <w:r w:rsidRPr="00203D66">
              <w:rPr>
                <w:rFonts w:ascii="Arial Narrow" w:hAnsi="Arial Narrow"/>
                <w:sz w:val="20"/>
                <w:szCs w:val="20"/>
              </w:rPr>
              <w:t>No prognostic testing plus standard medical management of preeclampsia (which may include repeat current standard tests for monitoring preeclampsia severity)</w:t>
            </w:r>
          </w:p>
        </w:tc>
        <w:tc>
          <w:tcPr>
            <w:tcW w:w="1250" w:type="pct"/>
          </w:tcPr>
          <w:p w14:paraId="286EEE7A" w14:textId="77777777" w:rsidR="00CB4FD5" w:rsidRPr="00203D66" w:rsidRDefault="00CB4FD5" w:rsidP="00CB4FD5">
            <w:pPr>
              <w:spacing w:before="40" w:after="40"/>
              <w:rPr>
                <w:rFonts w:ascii="Arial Narrow" w:hAnsi="Arial Narrow"/>
                <w:sz w:val="20"/>
                <w:szCs w:val="20"/>
              </w:rPr>
            </w:pPr>
            <w:r w:rsidRPr="00203D66">
              <w:rPr>
                <w:rFonts w:ascii="Arial Narrow" w:hAnsi="Arial Narrow"/>
                <w:sz w:val="20"/>
                <w:szCs w:val="20"/>
              </w:rPr>
              <w:t>sFlt-1:PlGF ratio test used in addition to comparator (add-on)</w:t>
            </w:r>
          </w:p>
        </w:tc>
      </w:tr>
    </w:tbl>
    <w:p w14:paraId="665F5782" w14:textId="3EE78D83" w:rsidR="00F1761D" w:rsidRPr="00F1761D" w:rsidRDefault="00F1761D" w:rsidP="00B47BA7">
      <w:pPr>
        <w:spacing w:after="240"/>
        <w:contextualSpacing/>
        <w:jc w:val="both"/>
        <w:rPr>
          <w:rFonts w:ascii="Arial Narrow" w:hAnsi="Arial Narrow"/>
          <w:sz w:val="18"/>
          <w:szCs w:val="18"/>
        </w:rPr>
      </w:pPr>
      <w:r>
        <w:rPr>
          <w:rFonts w:ascii="Arial Narrow" w:hAnsi="Arial Narrow" w:cs="Arial"/>
          <w:b/>
          <w:bCs/>
          <w:sz w:val="18"/>
          <w:u w:val="single"/>
        </w:rPr>
        <w:t>Abbreviations</w:t>
      </w:r>
      <w:r w:rsidR="00B7642F" w:rsidRPr="00C577B3">
        <w:rPr>
          <w:rFonts w:ascii="Arial Narrow" w:hAnsi="Arial Narrow"/>
          <w:b/>
          <w:bCs/>
          <w:sz w:val="18"/>
          <w:szCs w:val="18"/>
        </w:rPr>
        <w:t>:</w:t>
      </w:r>
      <w:r w:rsidR="00B7642F">
        <w:rPr>
          <w:rFonts w:ascii="Arial Narrow" w:hAnsi="Arial Narrow"/>
          <w:b/>
          <w:bCs/>
          <w:sz w:val="18"/>
          <w:szCs w:val="18"/>
        </w:rPr>
        <w:t xml:space="preserve"> </w:t>
      </w:r>
      <w:r w:rsidRPr="00956E33">
        <w:rPr>
          <w:rFonts w:ascii="Arial Narrow" w:hAnsi="Arial Narrow"/>
          <w:b/>
          <w:bCs/>
          <w:sz w:val="18"/>
          <w:szCs w:val="18"/>
        </w:rPr>
        <w:t>sFlt-1:</w:t>
      </w:r>
      <w:r w:rsidRPr="00F354AE">
        <w:rPr>
          <w:rFonts w:ascii="Arial Narrow" w:hAnsi="Arial Narrow"/>
          <w:b/>
          <w:bCs/>
          <w:sz w:val="18"/>
          <w:szCs w:val="18"/>
        </w:rPr>
        <w:t>PlGF</w:t>
      </w:r>
      <w:r>
        <w:rPr>
          <w:rFonts w:ascii="Arial Narrow" w:hAnsi="Arial Narrow"/>
          <w:sz w:val="18"/>
          <w:szCs w:val="18"/>
        </w:rPr>
        <w:t xml:space="preserve"> = </w:t>
      </w:r>
      <w:r w:rsidRPr="00B9763A">
        <w:rPr>
          <w:rFonts w:ascii="Arial Narrow" w:hAnsi="Arial Narrow"/>
          <w:sz w:val="18"/>
          <w:szCs w:val="18"/>
        </w:rPr>
        <w:t>soluble FMS-like tyrosine kinase-1:placental growth factor</w:t>
      </w:r>
    </w:p>
    <w:p w14:paraId="49D2FEDC" w14:textId="7575B6D7" w:rsidR="00CB4FD5" w:rsidRDefault="003764A4" w:rsidP="00CB4FD5">
      <w:pPr>
        <w:spacing w:after="240"/>
        <w:contextualSpacing/>
        <w:jc w:val="both"/>
        <w:rPr>
          <w:rFonts w:ascii="Arial Narrow" w:hAnsi="Arial Narrow" w:cs="Arial"/>
          <w:sz w:val="18"/>
        </w:rPr>
      </w:pPr>
      <w:r w:rsidRPr="00437FC2">
        <w:rPr>
          <w:rFonts w:ascii="Arial Narrow" w:hAnsi="Arial Narrow" w:cs="Arial"/>
          <w:b/>
          <w:bCs/>
          <w:sz w:val="18"/>
          <w:u w:val="single"/>
        </w:rPr>
        <w:t>Notes</w:t>
      </w:r>
      <w:r w:rsidR="00B7642F" w:rsidRPr="00C577B3">
        <w:rPr>
          <w:rFonts w:ascii="Arial Narrow" w:hAnsi="Arial Narrow"/>
          <w:b/>
          <w:bCs/>
          <w:sz w:val="18"/>
          <w:szCs w:val="18"/>
        </w:rPr>
        <w:t>:</w:t>
      </w:r>
      <w:r w:rsidR="00B7642F">
        <w:rPr>
          <w:rFonts w:ascii="Arial Narrow" w:hAnsi="Arial Narrow"/>
          <w:b/>
          <w:bCs/>
          <w:sz w:val="18"/>
          <w:szCs w:val="18"/>
        </w:rPr>
        <w:t xml:space="preserve"> </w:t>
      </w:r>
      <w:r w:rsidR="00CB4FD5" w:rsidRPr="00437FC2">
        <w:rPr>
          <w:rFonts w:ascii="Arial Narrow" w:hAnsi="Arial Narrow" w:cs="Arial"/>
          <w:b/>
          <w:bCs/>
          <w:sz w:val="18"/>
        </w:rPr>
        <w:t>a</w:t>
      </w:r>
      <w:r>
        <w:rPr>
          <w:rFonts w:ascii="Arial Narrow" w:hAnsi="Arial Narrow" w:cs="Arial"/>
          <w:sz w:val="18"/>
        </w:rPr>
        <w:t xml:space="preserve"> =</w:t>
      </w:r>
      <w:r w:rsidR="00CB4FD5" w:rsidRPr="00CB4FD5">
        <w:rPr>
          <w:rFonts w:ascii="Arial Narrow" w:hAnsi="Arial Narrow" w:cs="Arial"/>
          <w:sz w:val="18"/>
        </w:rPr>
        <w:t xml:space="preserve"> The PICO confirmation describes the role of the sFlt-1:PlGF ratio test in Population 1 as a triage test. The function of the sFlt-1:PlGF ratio test is more accurately described as a diagnostic test.</w:t>
      </w:r>
    </w:p>
    <w:p w14:paraId="472C876E" w14:textId="718F837E" w:rsidR="00045405" w:rsidRPr="00045405" w:rsidRDefault="00045405" w:rsidP="00CB4FD5">
      <w:pPr>
        <w:spacing w:after="240"/>
        <w:jc w:val="both"/>
        <w:rPr>
          <w:rFonts w:ascii="Arial Narrow" w:hAnsi="Arial Narrow" w:cs="Arial"/>
          <w:sz w:val="18"/>
        </w:rPr>
      </w:pPr>
      <w:r>
        <w:rPr>
          <w:rFonts w:ascii="Arial Narrow" w:hAnsi="Arial Narrow" w:cs="Arial"/>
          <w:b/>
          <w:bCs/>
          <w:sz w:val="18"/>
          <w:u w:val="single"/>
        </w:rPr>
        <w:t>Source</w:t>
      </w:r>
      <w:r w:rsidR="00B7642F" w:rsidRPr="00C577B3">
        <w:rPr>
          <w:rFonts w:ascii="Arial Narrow" w:hAnsi="Arial Narrow"/>
          <w:b/>
          <w:bCs/>
          <w:sz w:val="18"/>
          <w:szCs w:val="18"/>
        </w:rPr>
        <w:t>:</w:t>
      </w:r>
      <w:r w:rsidR="00B7642F">
        <w:rPr>
          <w:rFonts w:ascii="Arial Narrow" w:hAnsi="Arial Narrow"/>
          <w:b/>
          <w:bCs/>
          <w:sz w:val="18"/>
          <w:szCs w:val="18"/>
        </w:rPr>
        <w:t xml:space="preserve"> </w:t>
      </w:r>
      <w:r w:rsidR="003648B9" w:rsidRPr="006705B8">
        <w:rPr>
          <w:rFonts w:ascii="Arial Narrow" w:hAnsi="Arial Narrow"/>
          <w:sz w:val="18"/>
          <w:szCs w:val="18"/>
          <w:lang w:val="en-US"/>
        </w:rPr>
        <w:t xml:space="preserve">Adapted from ADAR </w:t>
      </w:r>
      <w:r>
        <w:rPr>
          <w:rFonts w:ascii="Arial Narrow" w:hAnsi="Arial Narrow" w:cs="Arial"/>
          <w:sz w:val="18"/>
        </w:rPr>
        <w:t>Table 4</w:t>
      </w:r>
    </w:p>
    <w:p w14:paraId="3C82AA49" w14:textId="337DE538" w:rsidR="004E24DD" w:rsidRPr="00C5436A" w:rsidRDefault="004E24DD" w:rsidP="00FB4E2F">
      <w:pPr>
        <w:spacing w:before="240"/>
      </w:pPr>
      <w:r w:rsidRPr="007C7B32">
        <w:t>The</w:t>
      </w:r>
      <w:r w:rsidR="00C96FE6">
        <w:t xml:space="preserve"> commentary considered the</w:t>
      </w:r>
      <w:r w:rsidRPr="007C7B32">
        <w:t xml:space="preserve"> </w:t>
      </w:r>
      <w:r w:rsidR="006B19EA" w:rsidRPr="007C7B32">
        <w:t>nomin</w:t>
      </w:r>
      <w:r w:rsidR="006B19EA">
        <w:t xml:space="preserve">ated comparators </w:t>
      </w:r>
      <w:r w:rsidR="006300A5">
        <w:t>were</w:t>
      </w:r>
      <w:r w:rsidR="006B19EA">
        <w:t xml:space="preserve"> as per the ratified PICO 1706</w:t>
      </w:r>
      <w:r w:rsidR="00BC2078">
        <w:t xml:space="preserve">. </w:t>
      </w:r>
      <w:r w:rsidR="00226977">
        <w:t>PASC requested the applicant clarify the percentage additional versus replacement tests, and in the ADAR the applicant c</w:t>
      </w:r>
      <w:r w:rsidR="00BC2078">
        <w:t>larifi</w:t>
      </w:r>
      <w:r w:rsidR="00226977">
        <w:t>ed</w:t>
      </w:r>
      <w:r w:rsidR="00BC2078">
        <w:t xml:space="preserve"> that the test is to be used in addition to the comparator tests (add-on). </w:t>
      </w:r>
    </w:p>
    <w:p w14:paraId="47BC3A84" w14:textId="76FF1845" w:rsidR="00772829" w:rsidRDefault="00881808" w:rsidP="002A18BE">
      <w:pPr>
        <w:pStyle w:val="Heading2"/>
        <w:numPr>
          <w:ilvl w:val="0"/>
          <w:numId w:val="0"/>
        </w:numPr>
      </w:pPr>
      <w:bookmarkStart w:id="13" w:name="_Toc69491421"/>
      <w:r>
        <w:t>9</w:t>
      </w:r>
      <w:r w:rsidR="00C36633" w:rsidRPr="005A116D">
        <w:t>.</w:t>
      </w:r>
      <w:r w:rsidR="00C36633" w:rsidRPr="005A116D">
        <w:tab/>
      </w:r>
      <w:r w:rsidR="00772829" w:rsidRPr="005A116D">
        <w:t xml:space="preserve">Summary of </w:t>
      </w:r>
      <w:r w:rsidR="000E7CEF" w:rsidRPr="005A116D">
        <w:t>public</w:t>
      </w:r>
      <w:r w:rsidR="00772829" w:rsidRPr="005A116D">
        <w:t xml:space="preserve"> consultation </w:t>
      </w:r>
      <w:r w:rsidR="0052575D" w:rsidRPr="005A116D">
        <w:t>input</w:t>
      </w:r>
      <w:bookmarkEnd w:id="13"/>
    </w:p>
    <w:p w14:paraId="436CF0E7" w14:textId="029E06D2" w:rsidR="0035484A" w:rsidRPr="0035484A" w:rsidRDefault="0035484A" w:rsidP="0035484A">
      <w:pPr>
        <w:spacing w:after="0"/>
        <w:rPr>
          <w:lang w:eastAsia="en-AU"/>
        </w:rPr>
      </w:pPr>
      <w:bookmarkStart w:id="14" w:name="_Toc69491422"/>
      <w:r w:rsidRPr="005E305B">
        <w:rPr>
          <w:lang w:eastAsia="en-AU"/>
        </w:rPr>
        <w:t xml:space="preserve">Prior to the October </w:t>
      </w:r>
      <w:r>
        <w:rPr>
          <w:lang w:eastAsia="en-AU"/>
        </w:rPr>
        <w:t xml:space="preserve">2023 </w:t>
      </w:r>
      <w:r w:rsidRPr="005E305B">
        <w:rPr>
          <w:lang w:eastAsia="en-AU"/>
        </w:rPr>
        <w:t xml:space="preserve">ESC </w:t>
      </w:r>
      <w:r>
        <w:rPr>
          <w:lang w:eastAsia="en-AU"/>
        </w:rPr>
        <w:t>m</w:t>
      </w:r>
      <w:r w:rsidRPr="005E305B">
        <w:rPr>
          <w:lang w:eastAsia="en-AU"/>
        </w:rPr>
        <w:t>eeting consultation feedback deadline, consultation input was received from four organisations and eight individuals</w:t>
      </w:r>
      <w:r>
        <w:rPr>
          <w:lang w:eastAsia="en-AU"/>
        </w:rPr>
        <w:t>, of whom</w:t>
      </w:r>
      <w:r w:rsidRPr="005E305B">
        <w:rPr>
          <w:lang w:eastAsia="en-AU"/>
        </w:rPr>
        <w:t xml:space="preserve"> </w:t>
      </w:r>
      <w:r>
        <w:rPr>
          <w:lang w:eastAsia="en-AU"/>
        </w:rPr>
        <w:t>two</w:t>
      </w:r>
      <w:r w:rsidRPr="005E305B">
        <w:rPr>
          <w:lang w:eastAsia="en-AU"/>
        </w:rPr>
        <w:t xml:space="preserve"> </w:t>
      </w:r>
      <w:r>
        <w:rPr>
          <w:lang w:eastAsia="en-AU"/>
        </w:rPr>
        <w:t xml:space="preserve">were </w:t>
      </w:r>
      <w:r w:rsidRPr="005E305B">
        <w:rPr>
          <w:lang w:eastAsia="en-AU"/>
        </w:rPr>
        <w:t xml:space="preserve">consumers and </w:t>
      </w:r>
      <w:r>
        <w:rPr>
          <w:lang w:eastAsia="en-AU"/>
        </w:rPr>
        <w:t>six</w:t>
      </w:r>
      <w:r w:rsidRPr="005E305B">
        <w:rPr>
          <w:lang w:eastAsia="en-AU"/>
        </w:rPr>
        <w:t xml:space="preserve"> </w:t>
      </w:r>
      <w:r>
        <w:rPr>
          <w:lang w:eastAsia="en-AU"/>
        </w:rPr>
        <w:t xml:space="preserve">were </w:t>
      </w:r>
      <w:r w:rsidRPr="005E305B">
        <w:rPr>
          <w:lang w:eastAsia="en-AU"/>
        </w:rPr>
        <w:t xml:space="preserve">medical professionals. </w:t>
      </w:r>
    </w:p>
    <w:p w14:paraId="72242DAB" w14:textId="4129FB64" w:rsidR="0035484A" w:rsidRPr="0035484A" w:rsidRDefault="0035484A" w:rsidP="0035484A">
      <w:pPr>
        <w:spacing w:after="0"/>
        <w:rPr>
          <w:iCs/>
          <w:lang w:eastAsia="en-AU"/>
        </w:rPr>
      </w:pPr>
      <w:r w:rsidRPr="00AC3843">
        <w:rPr>
          <w:iCs/>
          <w:lang w:eastAsia="en-AU"/>
        </w:rPr>
        <w:t xml:space="preserve">Post ESC deadline feedback was received by five organisations and </w:t>
      </w:r>
      <w:r>
        <w:rPr>
          <w:iCs/>
          <w:lang w:eastAsia="en-AU"/>
        </w:rPr>
        <w:t>four</w:t>
      </w:r>
      <w:r w:rsidRPr="00AC3843">
        <w:rPr>
          <w:iCs/>
          <w:lang w:eastAsia="en-AU"/>
        </w:rPr>
        <w:t xml:space="preserve"> individuals, all of whom were medical professionals.</w:t>
      </w:r>
    </w:p>
    <w:p w14:paraId="70F8DFFF" w14:textId="77777777" w:rsidR="0035484A" w:rsidRDefault="0035484A" w:rsidP="0035484A">
      <w:pPr>
        <w:spacing w:after="120"/>
      </w:pPr>
      <w:r w:rsidRPr="005E305B">
        <w:rPr>
          <w:lang w:eastAsia="en-AU"/>
        </w:rPr>
        <w:t xml:space="preserve">The organisations that submitted input </w:t>
      </w:r>
      <w:r>
        <w:t>were</w:t>
      </w:r>
      <w:r w:rsidRPr="00F75259">
        <w:t xml:space="preserve">: </w:t>
      </w:r>
    </w:p>
    <w:p w14:paraId="16B6229D" w14:textId="77777777" w:rsidR="0035484A" w:rsidRPr="008D35DE" w:rsidRDefault="0035484A" w:rsidP="0035484A">
      <w:pPr>
        <w:pStyle w:val="ListParagraph"/>
        <w:numPr>
          <w:ilvl w:val="0"/>
          <w:numId w:val="26"/>
        </w:numPr>
        <w:spacing w:before="0" w:after="120" w:line="259" w:lineRule="auto"/>
      </w:pPr>
      <w:r>
        <w:t>Australian Action on Preeclampsia (AAPEC) x2</w:t>
      </w:r>
    </w:p>
    <w:p w14:paraId="645AA6F1" w14:textId="77777777" w:rsidR="0035484A" w:rsidRPr="008D35DE" w:rsidRDefault="0035484A" w:rsidP="0035484A">
      <w:pPr>
        <w:pStyle w:val="ListParagraph"/>
        <w:numPr>
          <w:ilvl w:val="0"/>
          <w:numId w:val="26"/>
        </w:numPr>
        <w:spacing w:before="0" w:after="120" w:line="259" w:lineRule="auto"/>
      </w:pPr>
      <w:r w:rsidRPr="008D35DE">
        <w:t>Royal Australian and New Zealand College of Obstetricians and Gynaecologists (RANZCOG)</w:t>
      </w:r>
    </w:p>
    <w:p w14:paraId="04C35774" w14:textId="77777777" w:rsidR="0035484A" w:rsidRPr="008D35DE" w:rsidRDefault="0035484A" w:rsidP="0035484A">
      <w:pPr>
        <w:pStyle w:val="ListParagraph"/>
        <w:numPr>
          <w:ilvl w:val="0"/>
          <w:numId w:val="26"/>
        </w:numPr>
        <w:spacing w:before="0" w:after="120" w:line="259" w:lineRule="auto"/>
      </w:pPr>
      <w:r w:rsidRPr="008D35DE">
        <w:lastRenderedPageBreak/>
        <w:t>Australian Pathology (AP)</w:t>
      </w:r>
    </w:p>
    <w:p w14:paraId="54FE9FD5" w14:textId="77777777" w:rsidR="0035484A" w:rsidRDefault="0035484A" w:rsidP="0035484A">
      <w:pPr>
        <w:pStyle w:val="ListParagraph"/>
        <w:numPr>
          <w:ilvl w:val="0"/>
          <w:numId w:val="26"/>
        </w:numPr>
        <w:spacing w:before="0" w:after="120" w:line="259" w:lineRule="auto"/>
      </w:pPr>
      <w:r w:rsidRPr="008D35DE">
        <w:t>Society of Obstetric Medicine Australia and New Zealand (SOMANZ)</w:t>
      </w:r>
      <w:r>
        <w:t>x2</w:t>
      </w:r>
    </w:p>
    <w:p w14:paraId="47468C0A" w14:textId="77777777" w:rsidR="0035484A" w:rsidRDefault="0035484A" w:rsidP="0035484A">
      <w:pPr>
        <w:pStyle w:val="ListParagraph"/>
        <w:numPr>
          <w:ilvl w:val="0"/>
          <w:numId w:val="26"/>
        </w:numPr>
        <w:spacing w:before="0" w:after="120" w:line="259" w:lineRule="auto"/>
      </w:pPr>
      <w:r>
        <w:t>Australasian Diabetes in Pregnancy Society (ADPS)</w:t>
      </w:r>
    </w:p>
    <w:p w14:paraId="7877376B" w14:textId="77777777" w:rsidR="0035484A" w:rsidRDefault="0035484A" w:rsidP="0035484A">
      <w:pPr>
        <w:pStyle w:val="ListParagraph"/>
        <w:numPr>
          <w:ilvl w:val="0"/>
          <w:numId w:val="26"/>
        </w:numPr>
        <w:spacing w:before="0" w:after="120" w:line="259" w:lineRule="auto"/>
      </w:pPr>
      <w:r>
        <w:t>Australian Diabetes Society</w:t>
      </w:r>
    </w:p>
    <w:p w14:paraId="1095F145" w14:textId="77777777" w:rsidR="0035484A" w:rsidRPr="00F75259" w:rsidRDefault="0035484A" w:rsidP="0035484A">
      <w:pPr>
        <w:pStyle w:val="ListParagraph"/>
        <w:numPr>
          <w:ilvl w:val="0"/>
          <w:numId w:val="26"/>
        </w:numPr>
        <w:spacing w:before="0" w:after="120" w:line="259" w:lineRule="auto"/>
      </w:pPr>
      <w:r>
        <w:t>Royal Hospital for Women, Randwick NSW</w:t>
      </w:r>
    </w:p>
    <w:p w14:paraId="63559F08" w14:textId="77777777" w:rsidR="0035484A" w:rsidRPr="00BC22E1" w:rsidRDefault="0035484A" w:rsidP="0035484A">
      <w:pPr>
        <w:spacing w:before="240"/>
        <w:rPr>
          <w:iCs/>
        </w:rPr>
      </w:pPr>
      <w:r w:rsidRPr="00E80962">
        <w:rPr>
          <w:iCs/>
        </w:rPr>
        <w:t>The consultation feedback received was supportive of public funding for angiogenic and anti-angiogenic markers for identification and management of preeclampsia.</w:t>
      </w:r>
    </w:p>
    <w:p w14:paraId="66C2F43C" w14:textId="77777777" w:rsidR="0035484A" w:rsidRDefault="0035484A" w:rsidP="0035484A">
      <w:pPr>
        <w:spacing w:after="0" w:line="257" w:lineRule="auto"/>
        <w:rPr>
          <w:rFonts w:cstheme="minorHAnsi"/>
        </w:rPr>
      </w:pPr>
      <w:r w:rsidRPr="00E11844">
        <w:rPr>
          <w:rFonts w:cstheme="minorHAnsi"/>
        </w:rPr>
        <w:t xml:space="preserve">The main benefits of public funding received in the consultation feedback included: </w:t>
      </w:r>
    </w:p>
    <w:p w14:paraId="60208513" w14:textId="77777777" w:rsidR="0035484A" w:rsidRDefault="0035484A" w:rsidP="0035484A">
      <w:pPr>
        <w:pStyle w:val="ListParagraph"/>
        <w:numPr>
          <w:ilvl w:val="0"/>
          <w:numId w:val="24"/>
        </w:numPr>
        <w:spacing w:before="0" w:line="257" w:lineRule="auto"/>
        <w:contextualSpacing w:val="0"/>
        <w:rPr>
          <w:rFonts w:cstheme="minorHAnsi"/>
        </w:rPr>
      </w:pPr>
      <w:r>
        <w:rPr>
          <w:rFonts w:cstheme="minorHAnsi"/>
        </w:rPr>
        <w:t>Separates patients with preeclampsia from those with hypertension, allowing tailored treatment/management and intense surveillance for patients identified with preeclampsia.</w:t>
      </w:r>
    </w:p>
    <w:p w14:paraId="5A9E1D97" w14:textId="77777777" w:rsidR="0035484A" w:rsidRPr="009A466C" w:rsidRDefault="0035484A" w:rsidP="0035484A">
      <w:pPr>
        <w:pStyle w:val="ListParagraph"/>
        <w:numPr>
          <w:ilvl w:val="0"/>
          <w:numId w:val="24"/>
        </w:numPr>
        <w:spacing w:before="0" w:line="257" w:lineRule="auto"/>
        <w:contextualSpacing w:val="0"/>
        <w:rPr>
          <w:rFonts w:cstheme="minorHAnsi"/>
        </w:rPr>
      </w:pPr>
      <w:r>
        <w:rPr>
          <w:rFonts w:cstheme="minorHAnsi"/>
        </w:rPr>
        <w:t>U</w:t>
      </w:r>
      <w:r w:rsidRPr="009A466C">
        <w:rPr>
          <w:rFonts w:cstheme="minorHAnsi"/>
        </w:rPr>
        <w:t>seful in helping with decision making on whether to admit</w:t>
      </w:r>
      <w:r>
        <w:rPr>
          <w:rFonts w:cstheme="minorHAnsi"/>
        </w:rPr>
        <w:t xml:space="preserve"> </w:t>
      </w:r>
      <w:r w:rsidRPr="009A466C">
        <w:rPr>
          <w:rFonts w:cstheme="minorHAnsi"/>
        </w:rPr>
        <w:t xml:space="preserve">the </w:t>
      </w:r>
      <w:r>
        <w:rPr>
          <w:rFonts w:cstheme="minorHAnsi"/>
        </w:rPr>
        <w:t>patient</w:t>
      </w:r>
      <w:r w:rsidRPr="009A466C">
        <w:rPr>
          <w:rFonts w:cstheme="minorHAnsi"/>
        </w:rPr>
        <w:t xml:space="preserve"> to hospital for observation or transfer her to a higher-level facility for further care and/or birth</w:t>
      </w:r>
      <w:r>
        <w:rPr>
          <w:rFonts w:cstheme="minorHAnsi"/>
        </w:rPr>
        <w:t>.</w:t>
      </w:r>
    </w:p>
    <w:p w14:paraId="7EE21513" w14:textId="77777777" w:rsidR="0035484A" w:rsidRDefault="0035484A" w:rsidP="0035484A">
      <w:pPr>
        <w:pStyle w:val="ListParagraph"/>
        <w:numPr>
          <w:ilvl w:val="0"/>
          <w:numId w:val="24"/>
        </w:numPr>
        <w:spacing w:before="0" w:line="257" w:lineRule="auto"/>
        <w:contextualSpacing w:val="0"/>
        <w:rPr>
          <w:rFonts w:cstheme="minorHAnsi"/>
        </w:rPr>
      </w:pPr>
      <w:r>
        <w:rPr>
          <w:rFonts w:cstheme="minorHAnsi"/>
        </w:rPr>
        <w:t>Allows for a reduction in further blood tests, ultrasound, fetal monitoring and obstetric intervention.</w:t>
      </w:r>
    </w:p>
    <w:p w14:paraId="424F7755" w14:textId="77777777" w:rsidR="0035484A" w:rsidRPr="009A466C" w:rsidRDefault="0035484A" w:rsidP="0035484A">
      <w:pPr>
        <w:pStyle w:val="ListParagraph"/>
        <w:numPr>
          <w:ilvl w:val="0"/>
          <w:numId w:val="24"/>
        </w:numPr>
        <w:spacing w:before="0" w:line="257" w:lineRule="auto"/>
        <w:contextualSpacing w:val="0"/>
        <w:rPr>
          <w:rFonts w:cstheme="minorHAnsi"/>
        </w:rPr>
      </w:pPr>
      <w:r w:rsidRPr="009A466C">
        <w:rPr>
          <w:rFonts w:cstheme="minorHAnsi"/>
        </w:rPr>
        <w:t>More reliable and prompt prediction, diagnosis or non-diagnosis</w:t>
      </w:r>
      <w:r>
        <w:rPr>
          <w:rFonts w:cstheme="minorHAnsi"/>
        </w:rPr>
        <w:t>,</w:t>
      </w:r>
      <w:r w:rsidRPr="009A466C">
        <w:rPr>
          <w:rFonts w:cstheme="minorHAnsi"/>
        </w:rPr>
        <w:t xml:space="preserve"> which may lead to better </w:t>
      </w:r>
      <w:r>
        <w:rPr>
          <w:rFonts w:cstheme="minorHAnsi"/>
        </w:rPr>
        <w:t xml:space="preserve">decision making and </w:t>
      </w:r>
      <w:r w:rsidRPr="009A466C">
        <w:rPr>
          <w:rFonts w:cstheme="minorHAnsi"/>
        </w:rPr>
        <w:t>outcomes</w:t>
      </w:r>
      <w:r>
        <w:rPr>
          <w:rFonts w:cstheme="minorHAnsi"/>
        </w:rPr>
        <w:t>, b</w:t>
      </w:r>
      <w:r w:rsidRPr="009A466C">
        <w:rPr>
          <w:rFonts w:cstheme="minorHAnsi"/>
        </w:rPr>
        <w:t>etter idea of progression of preeclampsia</w:t>
      </w:r>
      <w:r>
        <w:rPr>
          <w:rFonts w:cstheme="minorHAnsi"/>
        </w:rPr>
        <w:t xml:space="preserve"> and fewer</w:t>
      </w:r>
      <w:r w:rsidRPr="009A466C">
        <w:rPr>
          <w:rFonts w:cstheme="minorHAnsi"/>
        </w:rPr>
        <w:t xml:space="preserve"> hospital admissions</w:t>
      </w:r>
      <w:r>
        <w:rPr>
          <w:rFonts w:cstheme="minorHAnsi"/>
        </w:rPr>
        <w:t>.</w:t>
      </w:r>
    </w:p>
    <w:p w14:paraId="7DA1D469" w14:textId="77777777" w:rsidR="0035484A" w:rsidRPr="009A466C" w:rsidRDefault="0035484A" w:rsidP="0035484A">
      <w:pPr>
        <w:pStyle w:val="ListParagraph"/>
        <w:numPr>
          <w:ilvl w:val="0"/>
          <w:numId w:val="24"/>
        </w:numPr>
        <w:spacing w:before="0" w:line="257" w:lineRule="auto"/>
        <w:contextualSpacing w:val="0"/>
        <w:rPr>
          <w:rFonts w:cstheme="minorHAnsi"/>
        </w:rPr>
      </w:pPr>
      <w:r w:rsidRPr="009A466C">
        <w:rPr>
          <w:rFonts w:cstheme="minorHAnsi"/>
        </w:rPr>
        <w:t>Can be reassuring for the patient who has had preeclampsia in a previous pregnancy and is worried</w:t>
      </w:r>
      <w:r>
        <w:rPr>
          <w:rFonts w:cstheme="minorHAnsi"/>
        </w:rPr>
        <w:t xml:space="preserve"> </w:t>
      </w:r>
      <w:r w:rsidRPr="009A466C">
        <w:rPr>
          <w:rFonts w:cstheme="minorHAnsi"/>
        </w:rPr>
        <w:t>about it happening again</w:t>
      </w:r>
      <w:r>
        <w:rPr>
          <w:rFonts w:cstheme="minorHAnsi"/>
        </w:rPr>
        <w:t>.</w:t>
      </w:r>
    </w:p>
    <w:p w14:paraId="445ECCDC" w14:textId="77777777" w:rsidR="0035484A" w:rsidRPr="00E8679D" w:rsidRDefault="0035484A" w:rsidP="0035484A">
      <w:pPr>
        <w:pStyle w:val="ListParagraph"/>
        <w:numPr>
          <w:ilvl w:val="0"/>
          <w:numId w:val="24"/>
        </w:numPr>
        <w:spacing w:before="0" w:line="257" w:lineRule="auto"/>
        <w:contextualSpacing w:val="0"/>
        <w:rPr>
          <w:rFonts w:cstheme="minorHAnsi"/>
        </w:rPr>
      </w:pPr>
      <w:r>
        <w:rPr>
          <w:rFonts w:cstheme="minorHAnsi"/>
        </w:rPr>
        <w:t>The high negative predicative value of the test is reassuring to both clinicians and patients.</w:t>
      </w:r>
    </w:p>
    <w:p w14:paraId="03E5F28F" w14:textId="77777777" w:rsidR="0035484A" w:rsidRDefault="0035484A" w:rsidP="0035484A">
      <w:pPr>
        <w:pStyle w:val="ListParagraph"/>
        <w:numPr>
          <w:ilvl w:val="0"/>
          <w:numId w:val="24"/>
        </w:numPr>
        <w:spacing w:before="0" w:line="257" w:lineRule="auto"/>
        <w:contextualSpacing w:val="0"/>
        <w:rPr>
          <w:rFonts w:cstheme="minorHAnsi"/>
        </w:rPr>
      </w:pPr>
      <w:r w:rsidRPr="00273FCC">
        <w:rPr>
          <w:rFonts w:cstheme="minorHAnsi"/>
        </w:rPr>
        <w:t xml:space="preserve">This intervention will increase access for </w:t>
      </w:r>
      <w:r>
        <w:rPr>
          <w:rFonts w:cstheme="minorHAnsi"/>
        </w:rPr>
        <w:t>at-</w:t>
      </w:r>
      <w:r w:rsidRPr="00273FCC">
        <w:rPr>
          <w:rFonts w:cstheme="minorHAnsi"/>
        </w:rPr>
        <w:t xml:space="preserve">risk mothers to </w:t>
      </w:r>
      <w:r>
        <w:rPr>
          <w:rFonts w:cstheme="minorHAnsi"/>
        </w:rPr>
        <w:t xml:space="preserve">know if they have a </w:t>
      </w:r>
      <w:r w:rsidRPr="00273FCC">
        <w:rPr>
          <w:rFonts w:cstheme="minorHAnsi"/>
        </w:rPr>
        <w:t>reduce</w:t>
      </w:r>
      <w:r>
        <w:rPr>
          <w:rFonts w:cstheme="minorHAnsi"/>
        </w:rPr>
        <w:t>d</w:t>
      </w:r>
      <w:r w:rsidRPr="00273FCC">
        <w:rPr>
          <w:rFonts w:cstheme="minorHAnsi"/>
        </w:rPr>
        <w:t xml:space="preserve"> risk of preeclampsia</w:t>
      </w:r>
    </w:p>
    <w:p w14:paraId="27971B3D" w14:textId="77777777" w:rsidR="0035484A" w:rsidRPr="00273FCC" w:rsidRDefault="0035484A" w:rsidP="0035484A">
      <w:pPr>
        <w:pStyle w:val="ListParagraph"/>
        <w:numPr>
          <w:ilvl w:val="0"/>
          <w:numId w:val="24"/>
        </w:numPr>
        <w:spacing w:before="0" w:line="257" w:lineRule="auto"/>
        <w:contextualSpacing w:val="0"/>
        <w:rPr>
          <w:rFonts w:cstheme="minorHAnsi"/>
        </w:rPr>
      </w:pPr>
      <w:r>
        <w:rPr>
          <w:rFonts w:cstheme="minorHAnsi"/>
        </w:rPr>
        <w:t xml:space="preserve">It </w:t>
      </w:r>
      <w:r w:rsidRPr="00273FCC">
        <w:rPr>
          <w:rFonts w:cstheme="minorHAnsi"/>
        </w:rPr>
        <w:t xml:space="preserve">will be beneficial to those </w:t>
      </w:r>
      <w:r>
        <w:rPr>
          <w:rFonts w:cstheme="minorHAnsi"/>
        </w:rPr>
        <w:t xml:space="preserve">patients </w:t>
      </w:r>
      <w:r w:rsidRPr="00273FCC">
        <w:rPr>
          <w:rFonts w:cstheme="minorHAnsi"/>
        </w:rPr>
        <w:t xml:space="preserve">at high risk of preeclampsia who will be managed prophylactically, but it will be most beneficial to </w:t>
      </w:r>
      <w:r>
        <w:rPr>
          <w:rFonts w:cstheme="minorHAnsi"/>
        </w:rPr>
        <w:t>ruling out</w:t>
      </w:r>
      <w:r w:rsidRPr="00273FCC">
        <w:rPr>
          <w:rFonts w:cstheme="minorHAnsi"/>
        </w:rPr>
        <w:t xml:space="preserve"> preeclampsia in low</w:t>
      </w:r>
      <w:r>
        <w:rPr>
          <w:rFonts w:cstheme="minorHAnsi"/>
        </w:rPr>
        <w:t>-</w:t>
      </w:r>
      <w:r w:rsidRPr="00273FCC">
        <w:rPr>
          <w:rFonts w:cstheme="minorHAnsi"/>
        </w:rPr>
        <w:t>risk</w:t>
      </w:r>
      <w:r>
        <w:rPr>
          <w:rFonts w:cstheme="minorHAnsi"/>
        </w:rPr>
        <w:t xml:space="preserve"> </w:t>
      </w:r>
      <w:r w:rsidRPr="00273FCC">
        <w:rPr>
          <w:rFonts w:cstheme="minorHAnsi"/>
        </w:rPr>
        <w:t>individuals.</w:t>
      </w:r>
    </w:p>
    <w:p w14:paraId="7A384562" w14:textId="459232CD" w:rsidR="0035484A" w:rsidRPr="0035484A" w:rsidRDefault="0035484A" w:rsidP="0035484A">
      <w:pPr>
        <w:spacing w:before="240" w:line="256" w:lineRule="auto"/>
        <w:rPr>
          <w:rFonts w:cstheme="minorHAnsi"/>
        </w:rPr>
      </w:pPr>
      <w:r>
        <w:rPr>
          <w:rFonts w:cstheme="minorHAnsi"/>
        </w:rPr>
        <w:t xml:space="preserve">No potential </w:t>
      </w:r>
      <w:r w:rsidRPr="00E11844">
        <w:rPr>
          <w:rFonts w:cstheme="minorHAnsi"/>
        </w:rPr>
        <w:t>disadvantage</w:t>
      </w:r>
      <w:r>
        <w:rPr>
          <w:rFonts w:cstheme="minorHAnsi"/>
        </w:rPr>
        <w:t>s were</w:t>
      </w:r>
      <w:r w:rsidRPr="00E11844">
        <w:rPr>
          <w:rFonts w:cstheme="minorHAnsi"/>
        </w:rPr>
        <w:t xml:space="preserve"> </w:t>
      </w:r>
      <w:r>
        <w:rPr>
          <w:rFonts w:cstheme="minorHAnsi"/>
        </w:rPr>
        <w:t xml:space="preserve">noted </w:t>
      </w:r>
      <w:r w:rsidRPr="00E11844">
        <w:rPr>
          <w:rFonts w:cstheme="minorHAnsi"/>
        </w:rPr>
        <w:t>in the consultation feedback</w:t>
      </w:r>
      <w:r>
        <w:rPr>
          <w:rFonts w:cstheme="minorHAnsi"/>
        </w:rPr>
        <w:t xml:space="preserve"> for</w:t>
      </w:r>
      <w:r w:rsidRPr="00E11844">
        <w:rPr>
          <w:rFonts w:cstheme="minorHAnsi"/>
        </w:rPr>
        <w:t xml:space="preserve"> public funding</w:t>
      </w:r>
      <w:r>
        <w:rPr>
          <w:rFonts w:cstheme="minorHAnsi"/>
        </w:rPr>
        <w:t xml:space="preserve"> of this proposal.</w:t>
      </w:r>
    </w:p>
    <w:p w14:paraId="5BCAB783" w14:textId="77777777" w:rsidR="0035484A" w:rsidRDefault="0035484A" w:rsidP="00FB4E2F">
      <w:pPr>
        <w:keepNext/>
        <w:keepLines/>
        <w:spacing w:after="0"/>
        <w:rPr>
          <w:b/>
          <w:bCs/>
        </w:rPr>
      </w:pPr>
      <w:r w:rsidRPr="00E8679D">
        <w:t xml:space="preserve">Other </w:t>
      </w:r>
      <w:r>
        <w:t>points raised</w:t>
      </w:r>
      <w:r w:rsidRPr="00E11844">
        <w:rPr>
          <w:rFonts w:cstheme="minorHAnsi"/>
        </w:rPr>
        <w:t xml:space="preserve"> in the consultation feedback included:</w:t>
      </w:r>
    </w:p>
    <w:p w14:paraId="0AEF009F" w14:textId="77777777" w:rsidR="0035484A" w:rsidRDefault="0035484A" w:rsidP="00FB4E2F">
      <w:pPr>
        <w:pStyle w:val="ListParagraph"/>
        <w:keepNext/>
        <w:keepLines/>
        <w:numPr>
          <w:ilvl w:val="0"/>
          <w:numId w:val="25"/>
        </w:numPr>
        <w:spacing w:before="0"/>
        <w:contextualSpacing w:val="0"/>
      </w:pPr>
      <w:r>
        <w:t>The introduction of ratio testing has been the most clinically significant breakthrough in the preeclampsia field since the introduction of low-dose aspirin in the 1980s.</w:t>
      </w:r>
    </w:p>
    <w:p w14:paraId="0DF79A0C" w14:textId="77777777" w:rsidR="0035484A" w:rsidRDefault="0035484A" w:rsidP="0035484A">
      <w:pPr>
        <w:pStyle w:val="ListParagraph"/>
        <w:numPr>
          <w:ilvl w:val="0"/>
          <w:numId w:val="25"/>
        </w:numPr>
        <w:spacing w:before="0"/>
        <w:contextualSpacing w:val="0"/>
      </w:pPr>
      <w:r>
        <w:t>I</w:t>
      </w:r>
      <w:r w:rsidRPr="0057302A">
        <w:t>ntroducing this new test will need to go hand-in-hand with targeted education</w:t>
      </w:r>
      <w:r>
        <w:t xml:space="preserve"> on the underlying pathophysiology and appropriate use of the test for relevant health professionals.</w:t>
      </w:r>
    </w:p>
    <w:p w14:paraId="53619748" w14:textId="5FA1A713" w:rsidR="001D78B4" w:rsidRDefault="00881808" w:rsidP="00D015FF">
      <w:pPr>
        <w:pStyle w:val="Heading2"/>
        <w:numPr>
          <w:ilvl w:val="0"/>
          <w:numId w:val="0"/>
        </w:numPr>
      </w:pPr>
      <w:r>
        <w:t>10</w:t>
      </w:r>
      <w:r w:rsidR="00C36633">
        <w:t>.</w:t>
      </w:r>
      <w:r w:rsidR="00C36633">
        <w:tab/>
      </w:r>
      <w:r w:rsidR="00772829" w:rsidRPr="00CE28E3">
        <w:t>Characteristics of the evidence base</w:t>
      </w:r>
      <w:bookmarkEnd w:id="14"/>
    </w:p>
    <w:p w14:paraId="5B7F0012" w14:textId="1916FE03" w:rsidR="00927EDA" w:rsidRPr="00B26637" w:rsidRDefault="003A0601" w:rsidP="005B39B8">
      <w:r>
        <w:t>A literature search was conducted</w:t>
      </w:r>
      <w:r w:rsidRPr="003A0601">
        <w:t xml:space="preserve"> on 6 April 2023 to identify relevant studies and systematic reviews.</w:t>
      </w:r>
      <w:r>
        <w:t xml:space="preserve"> The relevant studies were included in the ADAR. The characteristics of the clinical evidence base are presented in</w:t>
      </w:r>
      <w:r w:rsidR="00B811B3">
        <w:t xml:space="preserve"> </w:t>
      </w:r>
      <w:r w:rsidR="009C163C">
        <w:fldChar w:fldCharType="begin"/>
      </w:r>
      <w:r w:rsidR="009C163C">
        <w:instrText xml:space="preserve"> REF _Ref157764944 </w:instrText>
      </w:r>
      <w:r w:rsidR="009C163C">
        <w:fldChar w:fldCharType="separate"/>
      </w:r>
      <w:r w:rsidR="009D7CE9">
        <w:t xml:space="preserve">Table </w:t>
      </w:r>
      <w:r w:rsidR="009D7CE9">
        <w:rPr>
          <w:noProof/>
        </w:rPr>
        <w:t>5</w:t>
      </w:r>
      <w:r w:rsidR="009C163C">
        <w:rPr>
          <w:noProof/>
        </w:rPr>
        <w:fldChar w:fldCharType="end"/>
      </w:r>
      <w:r>
        <w:t xml:space="preserve">. </w:t>
      </w:r>
      <w:r w:rsidR="006D5DA4">
        <w:t xml:space="preserve">The </w:t>
      </w:r>
      <w:r w:rsidR="001F2BAB">
        <w:t xml:space="preserve">commentary considered the </w:t>
      </w:r>
      <w:r w:rsidR="00D65799">
        <w:t>systematic literature review</w:t>
      </w:r>
      <w:r w:rsidR="000555A1">
        <w:t xml:space="preserve"> (SLR)</w:t>
      </w:r>
      <w:r w:rsidR="00D65799">
        <w:t xml:space="preserve"> was presented with a clear search strategy</w:t>
      </w:r>
      <w:r w:rsidR="005F38A4">
        <w:t xml:space="preserve"> </w:t>
      </w:r>
      <w:r w:rsidR="001F2BAB">
        <w:t xml:space="preserve">that </w:t>
      </w:r>
      <w:r w:rsidR="00433098">
        <w:t>align</w:t>
      </w:r>
      <w:r w:rsidR="001F2BAB">
        <w:t>ed</w:t>
      </w:r>
      <w:r w:rsidR="00433098">
        <w:t xml:space="preserve"> with </w:t>
      </w:r>
      <w:r w:rsidR="005F38A4">
        <w:t>the</w:t>
      </w:r>
      <w:r w:rsidR="00433098">
        <w:t xml:space="preserve"> ratified PICO </w:t>
      </w:r>
      <w:r w:rsidR="006451D4">
        <w:t>1706</w:t>
      </w:r>
      <w:r w:rsidR="003035D9">
        <w:t xml:space="preserve">. The searches </w:t>
      </w:r>
      <w:r w:rsidR="00927EDA">
        <w:t>were</w:t>
      </w:r>
      <w:r w:rsidR="003035D9">
        <w:t xml:space="preserve"> methodologically sound </w:t>
      </w:r>
      <w:r w:rsidR="005F38A4">
        <w:t xml:space="preserve">and used </w:t>
      </w:r>
      <w:r w:rsidR="003035D9">
        <w:t>broad search terms</w:t>
      </w:r>
      <w:r w:rsidR="00E070AF">
        <w:t xml:space="preserve"> to capture relevant clinical evidence. </w:t>
      </w:r>
      <w:r w:rsidR="001F2BAB">
        <w:t>However, d</w:t>
      </w:r>
      <w:r w:rsidR="00861AD7">
        <w:t>atabase searches were not presented individually</w:t>
      </w:r>
      <w:r w:rsidR="005F38A4">
        <w:t>;</w:t>
      </w:r>
      <w:r w:rsidR="00861AD7">
        <w:t xml:space="preserve"> as such</w:t>
      </w:r>
      <w:r w:rsidR="005F38A4">
        <w:t>,</w:t>
      </w:r>
      <w:r w:rsidR="00861AD7">
        <w:t xml:space="preserve"> </w:t>
      </w:r>
      <w:r w:rsidR="001F2BAB">
        <w:t xml:space="preserve">the commentary considered </w:t>
      </w:r>
      <w:r w:rsidR="00861AD7">
        <w:t>c</w:t>
      </w:r>
      <w:r w:rsidR="00927EDA">
        <w:t xml:space="preserve">ontrolled vocabulary or </w:t>
      </w:r>
      <w:r w:rsidR="00B02215">
        <w:t>thesaurus</w:t>
      </w:r>
      <w:r w:rsidR="00927EDA">
        <w:t xml:space="preserve"> terms ha</w:t>
      </w:r>
      <w:r w:rsidR="001F2BAB">
        <w:t>d</w:t>
      </w:r>
      <w:r w:rsidR="00927EDA">
        <w:t xml:space="preserve"> not been specifically tailored </w:t>
      </w:r>
      <w:r w:rsidR="00927EDA" w:rsidRPr="005B39B8">
        <w:t>and optimi</w:t>
      </w:r>
      <w:r w:rsidR="005F38A4">
        <w:t>s</w:t>
      </w:r>
      <w:r w:rsidR="00927EDA" w:rsidRPr="005B39B8">
        <w:t xml:space="preserve">ed for individual databases, </w:t>
      </w:r>
      <w:r w:rsidR="005F38A4">
        <w:t>meaning</w:t>
      </w:r>
      <w:r w:rsidR="00927EDA" w:rsidRPr="005B39B8">
        <w:t xml:space="preserve"> relevant references may have been overlooked in the searches.</w:t>
      </w:r>
    </w:p>
    <w:p w14:paraId="7E16CEE7" w14:textId="6FFF7A1C" w:rsidR="00FB4E2F" w:rsidRPr="00FB4E2F" w:rsidRDefault="008134DA" w:rsidP="00FB4E2F">
      <w:r>
        <w:lastRenderedPageBreak/>
        <w:t xml:space="preserve">A total of 9 studies were included </w:t>
      </w:r>
      <w:r w:rsidR="00136369">
        <w:t>from</w:t>
      </w:r>
      <w:r>
        <w:t xml:space="preserve"> the </w:t>
      </w:r>
      <w:r w:rsidR="00903ACF">
        <w:t>SLR</w:t>
      </w:r>
      <w:r w:rsidR="00136369">
        <w:t xml:space="preserve">. </w:t>
      </w:r>
      <w:r w:rsidR="001A270A">
        <w:t>None of the studies provide</w:t>
      </w:r>
      <w:r w:rsidR="001F2BAB">
        <w:t>d</w:t>
      </w:r>
      <w:r w:rsidR="001A270A">
        <w:t xml:space="preserve"> direct </w:t>
      </w:r>
      <w:r w:rsidR="00994D46">
        <w:t xml:space="preserve">from test to health outcomes </w:t>
      </w:r>
      <w:r w:rsidR="001A270A">
        <w:t>evidence</w:t>
      </w:r>
      <w:r w:rsidR="005F38A4">
        <w:t>. Instead</w:t>
      </w:r>
      <w:r w:rsidR="007C571F">
        <w:t>,</w:t>
      </w:r>
      <w:r w:rsidR="001A270A">
        <w:t xml:space="preserve"> they </w:t>
      </w:r>
      <w:r w:rsidR="00903ACF">
        <w:t>we</w:t>
      </w:r>
      <w:r w:rsidR="001A270A">
        <w:t>re focused on diagnostic accuracy and change</w:t>
      </w:r>
      <w:r w:rsidR="005F38A4">
        <w:t>s</w:t>
      </w:r>
      <w:r w:rsidR="001A270A">
        <w:t xml:space="preserve"> in management/downstream outcomes. </w:t>
      </w:r>
      <w:r w:rsidR="00DE03A5">
        <w:t>Due to the nature of the included studies (</w:t>
      </w:r>
      <w:r w:rsidR="00780CBD">
        <w:t xml:space="preserve">the </w:t>
      </w:r>
      <w:r w:rsidR="00DE03A5">
        <w:t xml:space="preserve">majority </w:t>
      </w:r>
      <w:r w:rsidR="00903ACF">
        <w:t>we</w:t>
      </w:r>
      <w:r w:rsidR="00A52598">
        <w:t>re prospective observational trials)</w:t>
      </w:r>
      <w:r w:rsidR="007829FF">
        <w:t>,</w:t>
      </w:r>
      <w:r w:rsidR="00A52598">
        <w:t xml:space="preserve"> </w:t>
      </w:r>
      <w:r w:rsidR="002123E7">
        <w:t>all</w:t>
      </w:r>
      <w:r w:rsidR="00A52598">
        <w:t xml:space="preserve"> were assessed by both the </w:t>
      </w:r>
      <w:r w:rsidR="00903ACF">
        <w:t xml:space="preserve">ADAR </w:t>
      </w:r>
      <w:r w:rsidR="00A52598">
        <w:t xml:space="preserve">and </w:t>
      </w:r>
      <w:r w:rsidR="00BB7899">
        <w:t>commentary</w:t>
      </w:r>
      <w:r w:rsidR="00A52598">
        <w:t xml:space="preserve"> as having a moderate to high risk of bias. </w:t>
      </w:r>
      <w:r w:rsidR="00225363">
        <w:t xml:space="preserve">Only one of the </w:t>
      </w:r>
      <w:r w:rsidR="00562756">
        <w:t xml:space="preserve">9 </w:t>
      </w:r>
      <w:r w:rsidR="00225363">
        <w:t>studies</w:t>
      </w:r>
      <w:r w:rsidR="00097635">
        <w:t xml:space="preserve"> included Australia</w:t>
      </w:r>
      <w:r w:rsidR="00C81DF1">
        <w:t>n</w:t>
      </w:r>
      <w:r w:rsidR="00097635">
        <w:t xml:space="preserve"> </w:t>
      </w:r>
      <w:r w:rsidR="00C81DF1">
        <w:t>study</w:t>
      </w:r>
      <w:r w:rsidR="00097635">
        <w:t xml:space="preserve"> centres</w:t>
      </w:r>
      <w:r w:rsidR="0079676E">
        <w:t>, the re</w:t>
      </w:r>
      <w:r w:rsidR="00B41C45">
        <w:t>st</w:t>
      </w:r>
      <w:r w:rsidR="0079676E">
        <w:t xml:space="preserve"> being conducted </w:t>
      </w:r>
      <w:r w:rsidR="00376687">
        <w:t>elsewhere.</w:t>
      </w:r>
      <w:r w:rsidR="00ED5D8E">
        <w:t xml:space="preserve"> </w:t>
      </w:r>
      <w:r w:rsidR="00FB6DCF">
        <w:t xml:space="preserve">A meta-analysis </w:t>
      </w:r>
      <w:r w:rsidR="002C7EE6">
        <w:t xml:space="preserve">combining results across </w:t>
      </w:r>
      <w:r w:rsidR="00FA6C0F">
        <w:t xml:space="preserve">identified studies </w:t>
      </w:r>
      <w:r w:rsidR="00FB6DCF">
        <w:t>was</w:t>
      </w:r>
      <w:r w:rsidR="005C1F83">
        <w:t xml:space="preserve"> not</w:t>
      </w:r>
      <w:r w:rsidR="00FB6DCF">
        <w:t xml:space="preserve"> </w:t>
      </w:r>
      <w:r w:rsidR="005F1A0B">
        <w:t>presented</w:t>
      </w:r>
      <w:r w:rsidR="005C1F83">
        <w:t xml:space="preserve"> in the ADAR and no justification </w:t>
      </w:r>
      <w:r w:rsidR="003610C3">
        <w:t xml:space="preserve">was </w:t>
      </w:r>
      <w:r w:rsidR="005C1F83">
        <w:t>given</w:t>
      </w:r>
      <w:r w:rsidR="000C3784">
        <w:t>, however t</w:t>
      </w:r>
      <w:r w:rsidR="005C1F83">
        <w:t>he commen</w:t>
      </w:r>
      <w:r w:rsidR="00980533">
        <w:t>tary consider</w:t>
      </w:r>
      <w:r w:rsidR="00903ACF">
        <w:t>ed</w:t>
      </w:r>
      <w:r w:rsidR="00980533">
        <w:t xml:space="preserve"> th</w:t>
      </w:r>
      <w:r w:rsidR="00F100EA">
        <w:t xml:space="preserve">at the heterogeneity of </w:t>
      </w:r>
      <w:r w:rsidR="00236254">
        <w:t>study design</w:t>
      </w:r>
      <w:r w:rsidR="00E9746C">
        <w:t xml:space="preserve">, </w:t>
      </w:r>
      <w:r w:rsidR="003014AF">
        <w:t>population</w:t>
      </w:r>
      <w:r w:rsidR="00E9746C">
        <w:t xml:space="preserve">, and outcomes </w:t>
      </w:r>
      <w:r w:rsidR="003610C3">
        <w:t>would</w:t>
      </w:r>
      <w:r w:rsidR="00E26FCA">
        <w:t xml:space="preserve"> </w:t>
      </w:r>
      <w:r w:rsidR="003610C3">
        <w:t>preclude the undertaking of a</w:t>
      </w:r>
      <w:r w:rsidR="00DF62E9">
        <w:t>n informative</w:t>
      </w:r>
      <w:r w:rsidR="003610C3">
        <w:t xml:space="preserve"> meta-analysis</w:t>
      </w:r>
      <w:r w:rsidR="00DE4967">
        <w:t>.</w:t>
      </w:r>
      <w:r w:rsidR="005F1A0B">
        <w:t xml:space="preserve"> </w:t>
      </w:r>
      <w:r w:rsidR="00ED5D8E">
        <w:t xml:space="preserve">As </w:t>
      </w:r>
      <w:r w:rsidR="00B41C45">
        <w:t>shown in</w:t>
      </w:r>
      <w:r w:rsidR="00ED5D8E">
        <w:t xml:space="preserve"> Table 6</w:t>
      </w:r>
      <w:r w:rsidR="00B41C45">
        <w:t xml:space="preserve">, </w:t>
      </w:r>
      <w:r w:rsidR="00682F8A">
        <w:t xml:space="preserve">the risk of bias across </w:t>
      </w:r>
      <w:r w:rsidR="000C3784">
        <w:t xml:space="preserve">evidence on </w:t>
      </w:r>
      <w:r w:rsidR="00682F8A">
        <w:t xml:space="preserve">test accuracy, prognostic accuracy, change in </w:t>
      </w:r>
      <w:r w:rsidR="00B41C45">
        <w:t xml:space="preserve">patient </w:t>
      </w:r>
      <w:r w:rsidR="00682F8A">
        <w:t>management</w:t>
      </w:r>
      <w:r w:rsidR="00B41C45">
        <w:t>,</w:t>
      </w:r>
      <w:r w:rsidR="00682F8A">
        <w:t xml:space="preserve"> and health outcomes </w:t>
      </w:r>
      <w:r w:rsidR="00B41C45">
        <w:t xml:space="preserve">was </w:t>
      </w:r>
      <w:r w:rsidR="00B26977">
        <w:t>assessed to be moderate.</w:t>
      </w:r>
    </w:p>
    <w:p w14:paraId="20A04935" w14:textId="104F7C95" w:rsidR="003A0601" w:rsidRDefault="003A0601" w:rsidP="00043A0F">
      <w:pPr>
        <w:pStyle w:val="Caption"/>
        <w:spacing w:before="240"/>
      </w:pPr>
      <w:bookmarkStart w:id="15" w:name="_Ref157764944"/>
      <w:r>
        <w:t xml:space="preserve">Table </w:t>
      </w:r>
      <w:r w:rsidR="009C163C">
        <w:fldChar w:fldCharType="begin"/>
      </w:r>
      <w:r w:rsidR="009C163C">
        <w:instrText xml:space="preserve"> SEQ Table \* ARABIC </w:instrText>
      </w:r>
      <w:r w:rsidR="009C163C">
        <w:fldChar w:fldCharType="separate"/>
      </w:r>
      <w:r w:rsidR="009D7CE9">
        <w:rPr>
          <w:noProof/>
        </w:rPr>
        <w:t>5</w:t>
      </w:r>
      <w:r w:rsidR="009C163C">
        <w:rPr>
          <w:noProof/>
        </w:rPr>
        <w:fldChar w:fldCharType="end"/>
      </w:r>
      <w:bookmarkEnd w:id="15"/>
      <w:r>
        <w:t xml:space="preserve"> Characteristics of the evidence base</w:t>
      </w:r>
    </w:p>
    <w:tbl>
      <w:tblPr>
        <w:tblStyle w:val="TableGrid1"/>
        <w:tblW w:w="5000" w:type="pct"/>
        <w:tblLook w:val="04A0" w:firstRow="1" w:lastRow="0" w:firstColumn="1" w:lastColumn="0" w:noHBand="0" w:noVBand="1"/>
      </w:tblPr>
      <w:tblGrid>
        <w:gridCol w:w="1413"/>
        <w:gridCol w:w="4678"/>
        <w:gridCol w:w="1134"/>
        <w:gridCol w:w="1791"/>
      </w:tblGrid>
      <w:tr w:rsidR="009A6F7A" w:rsidRPr="009847B9" w14:paraId="774D850B" w14:textId="77777777" w:rsidTr="00B811B3">
        <w:trPr>
          <w:cnfStyle w:val="100000000000" w:firstRow="1" w:lastRow="0" w:firstColumn="0" w:lastColumn="0" w:oddVBand="0" w:evenVBand="0" w:oddHBand="0" w:evenHBand="0" w:firstRowFirstColumn="0" w:firstRowLastColumn="0" w:lastRowFirstColumn="0" w:lastRowLastColumn="0"/>
          <w:tblHeader/>
        </w:trPr>
        <w:tc>
          <w:tcPr>
            <w:tcW w:w="784" w:type="pct"/>
            <w:shd w:val="clear" w:color="auto" w:fill="auto"/>
            <w:hideMark/>
          </w:tcPr>
          <w:p w14:paraId="08821153" w14:textId="24C29ADA" w:rsidR="00C671A3" w:rsidRPr="0064109D" w:rsidRDefault="00C671A3" w:rsidP="00043A0F">
            <w:pPr>
              <w:spacing w:before="0" w:after="0"/>
              <w:rPr>
                <w:rFonts w:ascii="Arial Narrow" w:eastAsiaTheme="minorHAnsi" w:hAnsi="Arial Narrow" w:cstheme="minorBidi"/>
                <w:b/>
                <w:bCs/>
                <w:lang w:eastAsia="en-US"/>
              </w:rPr>
            </w:pPr>
            <w:r w:rsidRPr="009847B9">
              <w:rPr>
                <w:rFonts w:ascii="Arial Narrow" w:hAnsi="Arial Narrow"/>
                <w:b/>
                <w:bCs/>
              </w:rPr>
              <w:t>Criterion</w:t>
            </w:r>
          </w:p>
        </w:tc>
        <w:tc>
          <w:tcPr>
            <w:tcW w:w="2594" w:type="pct"/>
            <w:shd w:val="clear" w:color="auto" w:fill="auto"/>
            <w:hideMark/>
          </w:tcPr>
          <w:p w14:paraId="00DF45D8" w14:textId="77777777" w:rsidR="00C671A3" w:rsidRPr="0064109D" w:rsidRDefault="00C671A3" w:rsidP="00043A0F">
            <w:pPr>
              <w:spacing w:before="0" w:after="0"/>
              <w:rPr>
                <w:rFonts w:ascii="Arial Narrow" w:eastAsiaTheme="minorHAnsi" w:hAnsi="Arial Narrow" w:cstheme="minorBidi"/>
                <w:b/>
                <w:bCs/>
                <w:lang w:eastAsia="en-US"/>
              </w:rPr>
            </w:pPr>
            <w:r w:rsidRPr="009847B9">
              <w:rPr>
                <w:rFonts w:ascii="Arial Narrow" w:hAnsi="Arial Narrow"/>
                <w:b/>
                <w:bCs/>
              </w:rPr>
              <w:t>Type of evidence supplied</w:t>
            </w:r>
          </w:p>
        </w:tc>
        <w:tc>
          <w:tcPr>
            <w:tcW w:w="629" w:type="pct"/>
            <w:shd w:val="clear" w:color="auto" w:fill="auto"/>
            <w:hideMark/>
          </w:tcPr>
          <w:p w14:paraId="108714C9" w14:textId="39082B19" w:rsidR="00C671A3" w:rsidRPr="0064109D" w:rsidRDefault="00C671A3" w:rsidP="00043A0F">
            <w:pPr>
              <w:spacing w:before="0" w:after="0"/>
              <w:rPr>
                <w:rFonts w:ascii="Arial Narrow" w:eastAsiaTheme="minorHAnsi" w:hAnsi="Arial Narrow" w:cstheme="minorBidi"/>
                <w:b/>
                <w:bCs/>
                <w:lang w:eastAsia="en-US"/>
              </w:rPr>
            </w:pPr>
            <w:r w:rsidRPr="009847B9">
              <w:rPr>
                <w:rFonts w:ascii="Arial Narrow" w:hAnsi="Arial Narrow"/>
                <w:b/>
                <w:bCs/>
              </w:rPr>
              <w:t xml:space="preserve">Extent of evidence </w:t>
            </w:r>
            <w:proofErr w:type="spellStart"/>
            <w:r w:rsidRPr="009847B9">
              <w:rPr>
                <w:rFonts w:ascii="Arial Narrow" w:hAnsi="Arial Narrow"/>
                <w:b/>
                <w:bCs/>
              </w:rPr>
              <w:t>supplied</w:t>
            </w:r>
            <w:r w:rsidR="00996CB7" w:rsidRPr="0064109D">
              <w:rPr>
                <w:rFonts w:ascii="Arial Narrow" w:hAnsi="Arial Narrow"/>
                <w:b/>
                <w:bCs/>
                <w:vertAlign w:val="superscript"/>
              </w:rPr>
              <w:t>a</w:t>
            </w:r>
            <w:proofErr w:type="spellEnd"/>
          </w:p>
        </w:tc>
        <w:tc>
          <w:tcPr>
            <w:tcW w:w="993" w:type="pct"/>
            <w:shd w:val="clear" w:color="auto" w:fill="auto"/>
            <w:hideMark/>
          </w:tcPr>
          <w:p w14:paraId="29352808" w14:textId="77777777" w:rsidR="00C671A3" w:rsidRPr="0064109D" w:rsidRDefault="00C671A3" w:rsidP="00043A0F">
            <w:pPr>
              <w:spacing w:before="0" w:after="0"/>
              <w:rPr>
                <w:rFonts w:ascii="Arial Narrow" w:eastAsiaTheme="minorHAnsi" w:hAnsi="Arial Narrow" w:cstheme="minorBidi"/>
                <w:b/>
                <w:bCs/>
                <w:lang w:eastAsia="en-US"/>
              </w:rPr>
            </w:pPr>
            <w:r w:rsidRPr="009847B9">
              <w:rPr>
                <w:rFonts w:ascii="Arial Narrow" w:hAnsi="Arial Narrow"/>
                <w:b/>
                <w:bCs/>
              </w:rPr>
              <w:t>Overall risk of bias in evidence base</w:t>
            </w:r>
          </w:p>
        </w:tc>
      </w:tr>
      <w:tr w:rsidR="009A6F7A" w:rsidRPr="009847B9" w14:paraId="509A8A69" w14:textId="77777777" w:rsidTr="00B811B3">
        <w:tc>
          <w:tcPr>
            <w:tcW w:w="784" w:type="pct"/>
            <w:hideMark/>
          </w:tcPr>
          <w:p w14:paraId="73F60026" w14:textId="1FBF40CB" w:rsidR="00C671A3" w:rsidRPr="009847B9" w:rsidRDefault="00823014" w:rsidP="00043A0F">
            <w:pPr>
              <w:spacing w:before="0" w:after="0"/>
              <w:rPr>
                <w:rFonts w:ascii="Arial Narrow" w:eastAsiaTheme="minorHAnsi" w:hAnsi="Arial Narrow" w:cstheme="minorBidi"/>
                <w:lang w:eastAsia="en-US"/>
              </w:rPr>
            </w:pPr>
            <w:r w:rsidRPr="009847B9">
              <w:rPr>
                <w:rFonts w:ascii="Arial Narrow" w:eastAsiaTheme="minorHAnsi" w:hAnsi="Arial Narrow" w:cstheme="minorBidi"/>
                <w:lang w:eastAsia="en-US"/>
              </w:rPr>
              <w:t>Test accuracy</w:t>
            </w:r>
          </w:p>
        </w:tc>
        <w:tc>
          <w:tcPr>
            <w:tcW w:w="2594" w:type="pct"/>
          </w:tcPr>
          <w:p w14:paraId="2A05F0BD" w14:textId="6C04AE9B" w:rsidR="00323E4F" w:rsidRPr="009847B9" w:rsidRDefault="006528ED" w:rsidP="00043A0F">
            <w:pPr>
              <w:spacing w:before="0" w:after="0"/>
              <w:rPr>
                <w:rFonts w:ascii="Arial Narrow" w:eastAsiaTheme="minorHAnsi" w:hAnsi="Arial Narrow" w:cstheme="minorBidi"/>
                <w:lang w:eastAsia="en-US"/>
              </w:rPr>
            </w:pPr>
            <w:r w:rsidRPr="009847B9">
              <w:rPr>
                <w:rFonts w:ascii="Arial Narrow" w:hAnsi="Arial Narrow"/>
              </w:rPr>
              <w:t>One validation study</w:t>
            </w:r>
          </w:p>
          <w:p w14:paraId="11DCFCBC" w14:textId="0C46900D" w:rsidR="00A417F4" w:rsidRPr="009847B9" w:rsidRDefault="00A417F4" w:rsidP="00043A0F">
            <w:pPr>
              <w:spacing w:before="0" w:after="0"/>
              <w:rPr>
                <w:rFonts w:ascii="Arial Narrow" w:eastAsiaTheme="minorHAnsi" w:hAnsi="Arial Narrow" w:cstheme="minorBidi"/>
                <w:lang w:eastAsia="en-US"/>
              </w:rPr>
            </w:pPr>
            <w:r w:rsidRPr="009847B9">
              <w:rPr>
                <w:rFonts w:ascii="Arial Narrow" w:hAnsi="Arial Narrow"/>
              </w:rPr>
              <w:t xml:space="preserve">Three studies </w:t>
            </w:r>
            <w:r w:rsidR="006D3AD6" w:rsidRPr="009847B9">
              <w:rPr>
                <w:rFonts w:ascii="Arial Narrow" w:hAnsi="Arial Narrow"/>
              </w:rPr>
              <w:t>(</w:t>
            </w:r>
            <w:r w:rsidR="008A25BA" w:rsidRPr="009847B9">
              <w:rPr>
                <w:rFonts w:ascii="Arial Narrow" w:hAnsi="Arial Narrow"/>
              </w:rPr>
              <w:t xml:space="preserve">2 </w:t>
            </w:r>
            <w:r w:rsidR="006D3AD6" w:rsidRPr="009847B9">
              <w:rPr>
                <w:rFonts w:ascii="Arial Narrow" w:hAnsi="Arial Narrow"/>
              </w:rPr>
              <w:t>prospective cohort</w:t>
            </w:r>
            <w:r w:rsidR="008D7D4F" w:rsidRPr="009847B9">
              <w:rPr>
                <w:rFonts w:ascii="Arial Narrow" w:hAnsi="Arial Narrow"/>
              </w:rPr>
              <w:t>s</w:t>
            </w:r>
            <w:r w:rsidR="006D3AD6" w:rsidRPr="009847B9">
              <w:rPr>
                <w:rFonts w:ascii="Arial Narrow" w:hAnsi="Arial Narrow"/>
              </w:rPr>
              <w:t xml:space="preserve">, </w:t>
            </w:r>
            <w:r w:rsidR="00D31DDE" w:rsidRPr="009847B9">
              <w:rPr>
                <w:rFonts w:ascii="Arial Narrow" w:hAnsi="Arial Narrow"/>
              </w:rPr>
              <w:t xml:space="preserve">1 </w:t>
            </w:r>
            <w:r w:rsidR="00A35358" w:rsidRPr="009847B9">
              <w:rPr>
                <w:rFonts w:ascii="Arial Narrow" w:hAnsi="Arial Narrow"/>
              </w:rPr>
              <w:t>randomi</w:t>
            </w:r>
            <w:r w:rsidR="00B41C45" w:rsidRPr="009847B9">
              <w:rPr>
                <w:rFonts w:ascii="Arial Narrow" w:hAnsi="Arial Narrow"/>
              </w:rPr>
              <w:t>s</w:t>
            </w:r>
            <w:r w:rsidR="00A35358" w:rsidRPr="009847B9">
              <w:rPr>
                <w:rFonts w:ascii="Arial Narrow" w:hAnsi="Arial Narrow"/>
              </w:rPr>
              <w:t xml:space="preserve">ed control trial) </w:t>
            </w:r>
            <w:r w:rsidRPr="009847B9">
              <w:rPr>
                <w:rFonts w:ascii="Arial Narrow" w:hAnsi="Arial Narrow"/>
              </w:rPr>
              <w:t xml:space="preserve">reported on the </w:t>
            </w:r>
            <w:r w:rsidR="004647D5" w:rsidRPr="009847B9">
              <w:rPr>
                <w:rFonts w:ascii="Arial Narrow" w:hAnsi="Arial Narrow"/>
              </w:rPr>
              <w:t xml:space="preserve">diagnostic/predictive performance of the sFlt-1:PlGF ratio test </w:t>
            </w:r>
            <w:r w:rsidR="00B41C45" w:rsidRPr="009847B9">
              <w:rPr>
                <w:rFonts w:ascii="Arial Narrow" w:hAnsi="Arial Narrow"/>
              </w:rPr>
              <w:t>in ruling out</w:t>
            </w:r>
            <w:r w:rsidR="004647D5" w:rsidRPr="009847B9">
              <w:rPr>
                <w:rFonts w:ascii="Arial Narrow" w:hAnsi="Arial Narrow"/>
              </w:rPr>
              <w:t xml:space="preserve"> a diagnosis preeclampsia within 1 week</w:t>
            </w:r>
            <w:r w:rsidR="0015027F" w:rsidRPr="009847B9">
              <w:rPr>
                <w:rFonts w:ascii="Arial Narrow" w:hAnsi="Arial Narrow"/>
              </w:rPr>
              <w:t>.</w:t>
            </w:r>
          </w:p>
          <w:p w14:paraId="5DA91CA9" w14:textId="5CB52730" w:rsidR="004647D5" w:rsidRPr="009847B9" w:rsidRDefault="00683BC5" w:rsidP="00043A0F">
            <w:pPr>
              <w:spacing w:before="0" w:after="0"/>
              <w:rPr>
                <w:rFonts w:ascii="Arial Narrow" w:eastAsiaTheme="minorHAnsi" w:hAnsi="Arial Narrow" w:cstheme="minorBidi"/>
                <w:lang w:eastAsia="en-US"/>
              </w:rPr>
            </w:pPr>
            <w:r w:rsidRPr="009847B9">
              <w:rPr>
                <w:rFonts w:ascii="Arial Narrow" w:hAnsi="Arial Narrow"/>
              </w:rPr>
              <w:t>Three studies</w:t>
            </w:r>
            <w:r w:rsidR="00E43B0D" w:rsidRPr="009847B9">
              <w:rPr>
                <w:rFonts w:ascii="Arial Narrow" w:hAnsi="Arial Narrow"/>
              </w:rPr>
              <w:t xml:space="preserve"> (</w:t>
            </w:r>
            <w:r w:rsidR="008A25BA" w:rsidRPr="009847B9">
              <w:rPr>
                <w:rFonts w:ascii="Arial Narrow" w:hAnsi="Arial Narrow"/>
              </w:rPr>
              <w:t xml:space="preserve">2 </w:t>
            </w:r>
            <w:r w:rsidR="00E43B0D" w:rsidRPr="009847B9">
              <w:rPr>
                <w:rFonts w:ascii="Arial Narrow" w:hAnsi="Arial Narrow"/>
              </w:rPr>
              <w:t>prospective cohort</w:t>
            </w:r>
            <w:r w:rsidR="005D6AC6" w:rsidRPr="009847B9">
              <w:rPr>
                <w:rFonts w:ascii="Arial Narrow" w:hAnsi="Arial Narrow"/>
              </w:rPr>
              <w:t>s</w:t>
            </w:r>
            <w:r w:rsidR="00E43B0D" w:rsidRPr="009847B9">
              <w:rPr>
                <w:rFonts w:ascii="Arial Narrow" w:hAnsi="Arial Narrow"/>
              </w:rPr>
              <w:t xml:space="preserve">, </w:t>
            </w:r>
            <w:r w:rsidR="008C4D95" w:rsidRPr="009847B9">
              <w:rPr>
                <w:rFonts w:ascii="Arial Narrow" w:hAnsi="Arial Narrow"/>
              </w:rPr>
              <w:t xml:space="preserve">1 </w:t>
            </w:r>
            <w:r w:rsidR="00E43B0D" w:rsidRPr="009847B9">
              <w:rPr>
                <w:rFonts w:ascii="Arial Narrow" w:hAnsi="Arial Narrow"/>
              </w:rPr>
              <w:t xml:space="preserve">respective </w:t>
            </w:r>
            <w:r w:rsidR="005D6AC6" w:rsidRPr="009847B9">
              <w:rPr>
                <w:rFonts w:ascii="Arial Narrow" w:hAnsi="Arial Narrow"/>
              </w:rPr>
              <w:t>cohort)</w:t>
            </w:r>
            <w:r w:rsidRPr="009847B9">
              <w:rPr>
                <w:rFonts w:ascii="Arial Narrow" w:hAnsi="Arial Narrow"/>
              </w:rPr>
              <w:t xml:space="preserve"> </w:t>
            </w:r>
            <w:r w:rsidR="00CD43AA" w:rsidRPr="009847B9">
              <w:rPr>
                <w:rFonts w:ascii="Arial Narrow" w:hAnsi="Arial Narrow"/>
              </w:rPr>
              <w:t xml:space="preserve">reported on the diagnostic/predictive performance of the sFlt-1:PlGF ratio test </w:t>
            </w:r>
            <w:r w:rsidR="00B41C45" w:rsidRPr="009847B9">
              <w:rPr>
                <w:rFonts w:ascii="Arial Narrow" w:hAnsi="Arial Narrow"/>
              </w:rPr>
              <w:t>in</w:t>
            </w:r>
            <w:r w:rsidR="00CD43AA" w:rsidRPr="009847B9">
              <w:rPr>
                <w:rFonts w:ascii="Arial Narrow" w:hAnsi="Arial Narrow"/>
              </w:rPr>
              <w:t xml:space="preserve"> predict</w:t>
            </w:r>
            <w:r w:rsidR="00B41C45" w:rsidRPr="009847B9">
              <w:rPr>
                <w:rFonts w:ascii="Arial Narrow" w:hAnsi="Arial Narrow"/>
              </w:rPr>
              <w:t>ing</w:t>
            </w:r>
            <w:r w:rsidR="00CD43AA" w:rsidRPr="009847B9">
              <w:rPr>
                <w:rFonts w:ascii="Arial Narrow" w:hAnsi="Arial Narrow"/>
              </w:rPr>
              <w:t xml:space="preserve"> a diagnosis of preeclampsia within 2 weeks</w:t>
            </w:r>
            <w:r w:rsidR="0015027F" w:rsidRPr="009847B9">
              <w:rPr>
                <w:rFonts w:ascii="Arial Narrow" w:hAnsi="Arial Narrow"/>
              </w:rPr>
              <w:t>.</w:t>
            </w:r>
          </w:p>
          <w:p w14:paraId="55AFD688" w14:textId="7EC8A99D" w:rsidR="00C671A3" w:rsidRPr="009847B9" w:rsidRDefault="00CD43AA" w:rsidP="00043A0F">
            <w:pPr>
              <w:spacing w:before="0" w:after="0"/>
              <w:rPr>
                <w:rFonts w:ascii="Arial Narrow" w:eastAsiaTheme="minorHAnsi" w:hAnsi="Arial Narrow" w:cstheme="minorBidi"/>
                <w:lang w:eastAsia="en-US"/>
              </w:rPr>
            </w:pPr>
            <w:r w:rsidRPr="009847B9">
              <w:rPr>
                <w:rFonts w:ascii="Arial Narrow" w:hAnsi="Arial Narrow"/>
              </w:rPr>
              <w:t xml:space="preserve">One </w:t>
            </w:r>
            <w:r w:rsidR="00FB546A" w:rsidRPr="009847B9">
              <w:rPr>
                <w:rFonts w:ascii="Arial Narrow" w:hAnsi="Arial Narrow"/>
              </w:rPr>
              <w:t xml:space="preserve">prospective </w:t>
            </w:r>
            <w:r w:rsidRPr="009847B9">
              <w:rPr>
                <w:rFonts w:ascii="Arial Narrow" w:hAnsi="Arial Narrow"/>
              </w:rPr>
              <w:t xml:space="preserve">study presented the additive value </w:t>
            </w:r>
            <w:r w:rsidR="0015027F" w:rsidRPr="009847B9">
              <w:rPr>
                <w:rFonts w:ascii="Arial Narrow" w:hAnsi="Arial Narrow"/>
              </w:rPr>
              <w:t>of the sFlt-1:PlGF ratio.</w:t>
            </w:r>
          </w:p>
        </w:tc>
        <w:tc>
          <w:tcPr>
            <w:tcW w:w="629" w:type="pct"/>
          </w:tcPr>
          <w:p w14:paraId="237F580B" w14:textId="538E5E78" w:rsidR="00C671A3" w:rsidRPr="009847B9" w:rsidRDefault="00056D5E" w:rsidP="00043A0F">
            <w:pPr>
              <w:spacing w:before="0" w:after="0"/>
              <w:rPr>
                <w:rFonts w:ascii="Arial Narrow" w:eastAsiaTheme="minorHAnsi" w:hAnsi="Arial Narrow" w:cstheme="minorBidi"/>
                <w:lang w:eastAsia="en-US"/>
              </w:rPr>
            </w:pPr>
            <w:r w:rsidRPr="009847B9">
              <w:rPr>
                <w:rFonts w:ascii="Arial Narrow" w:eastAsiaTheme="minorHAnsi" w:hAnsi="Arial Narrow" w:cstheme="minorBidi"/>
                <w:lang w:eastAsia="en-US"/>
              </w:rPr>
              <w:t>k</w:t>
            </w:r>
            <w:r w:rsidR="00B41C45" w:rsidRPr="009847B9">
              <w:rPr>
                <w:rFonts w:ascii="Arial Narrow" w:eastAsiaTheme="minorHAnsi" w:hAnsi="Arial Narrow" w:cstheme="minorBidi"/>
                <w:lang w:eastAsia="en-US"/>
              </w:rPr>
              <w:t xml:space="preserve"> </w:t>
            </w:r>
            <w:r w:rsidR="00282E41" w:rsidRPr="009847B9">
              <w:rPr>
                <w:rFonts w:ascii="Arial Narrow" w:eastAsiaTheme="minorHAnsi" w:hAnsi="Arial Narrow" w:cstheme="minorBidi"/>
                <w:lang w:eastAsia="en-US"/>
              </w:rPr>
              <w:t xml:space="preserve">= </w:t>
            </w:r>
            <w:r w:rsidR="00114715" w:rsidRPr="009847B9">
              <w:rPr>
                <w:rFonts w:ascii="Arial Narrow" w:eastAsiaTheme="minorHAnsi" w:hAnsi="Arial Narrow" w:cstheme="minorBidi"/>
                <w:lang w:eastAsia="en-US"/>
              </w:rPr>
              <w:t xml:space="preserve">8 </w:t>
            </w:r>
          </w:p>
          <w:p w14:paraId="55C60F20" w14:textId="621A0F01" w:rsidR="00C671A3" w:rsidRPr="009847B9" w:rsidRDefault="00114715" w:rsidP="00043A0F">
            <w:pPr>
              <w:spacing w:before="0" w:after="0"/>
              <w:rPr>
                <w:rFonts w:ascii="Arial Narrow" w:eastAsiaTheme="minorHAnsi" w:hAnsi="Arial Narrow" w:cstheme="minorBidi"/>
                <w:lang w:eastAsia="en-US"/>
              </w:rPr>
            </w:pPr>
            <w:r w:rsidRPr="009847B9">
              <w:rPr>
                <w:rFonts w:ascii="Arial Narrow" w:eastAsiaTheme="minorHAnsi" w:hAnsi="Arial Narrow" w:cstheme="minorBidi"/>
                <w:lang w:eastAsia="en-US"/>
              </w:rPr>
              <w:t>n</w:t>
            </w:r>
            <w:r w:rsidR="00B41C45" w:rsidRPr="009847B9">
              <w:rPr>
                <w:rFonts w:ascii="Arial Narrow" w:eastAsiaTheme="minorHAnsi" w:hAnsi="Arial Narrow" w:cstheme="minorBidi"/>
                <w:lang w:eastAsia="en-US"/>
              </w:rPr>
              <w:t xml:space="preserve"> </w:t>
            </w:r>
            <w:r w:rsidRPr="009847B9">
              <w:rPr>
                <w:rFonts w:ascii="Arial Narrow" w:eastAsiaTheme="minorHAnsi" w:hAnsi="Arial Narrow" w:cstheme="minorBidi"/>
                <w:lang w:eastAsia="en-US"/>
              </w:rPr>
              <w:t xml:space="preserve">= </w:t>
            </w:r>
            <w:r w:rsidR="009E0917" w:rsidRPr="009847B9">
              <w:rPr>
                <w:rFonts w:ascii="Arial Narrow" w:eastAsiaTheme="minorHAnsi" w:hAnsi="Arial Narrow" w:cstheme="minorBidi"/>
                <w:lang w:eastAsia="en-US"/>
              </w:rPr>
              <w:t>3,340</w:t>
            </w:r>
          </w:p>
        </w:tc>
        <w:tc>
          <w:tcPr>
            <w:tcW w:w="993" w:type="pct"/>
          </w:tcPr>
          <w:p w14:paraId="2A3F11CC" w14:textId="6F1B5FA4" w:rsidR="00C671A3" w:rsidRPr="009847B9" w:rsidRDefault="009E0917" w:rsidP="00043A0F">
            <w:pPr>
              <w:spacing w:before="0" w:after="0"/>
              <w:rPr>
                <w:rFonts w:ascii="Arial Narrow" w:hAnsi="Arial Narrow"/>
              </w:rPr>
            </w:pPr>
            <w:r w:rsidRPr="009847B9">
              <w:rPr>
                <w:rFonts w:ascii="Arial Narrow" w:hAnsi="Arial Narrow"/>
              </w:rPr>
              <w:t xml:space="preserve">Moderate </w:t>
            </w:r>
            <w:r w:rsidR="00B41C45" w:rsidRPr="009847B9">
              <w:rPr>
                <w:rFonts w:ascii="Arial Narrow" w:hAnsi="Arial Narrow"/>
              </w:rPr>
              <w:t>risk of bias</w:t>
            </w:r>
            <w:r w:rsidRPr="009847B9">
              <w:rPr>
                <w:rFonts w:ascii="Arial Narrow" w:hAnsi="Arial Narrow"/>
              </w:rPr>
              <w:t xml:space="preserve"> (</w:t>
            </w:r>
            <w:r w:rsidR="00984C29" w:rsidRPr="009847B9">
              <w:rPr>
                <w:rFonts w:ascii="Arial Narrow" w:hAnsi="Arial Narrow"/>
              </w:rPr>
              <w:t>the commentary</w:t>
            </w:r>
            <w:r w:rsidR="00755325" w:rsidRPr="009847B9">
              <w:rPr>
                <w:rFonts w:ascii="Arial Narrow" w:hAnsi="Arial Narrow"/>
              </w:rPr>
              <w:t>)</w:t>
            </w:r>
          </w:p>
        </w:tc>
      </w:tr>
      <w:tr w:rsidR="009A6F7A" w:rsidRPr="009847B9" w14:paraId="3E08CFC0" w14:textId="77777777" w:rsidTr="00B811B3">
        <w:tc>
          <w:tcPr>
            <w:tcW w:w="784" w:type="pct"/>
          </w:tcPr>
          <w:p w14:paraId="4A66031C" w14:textId="0870E777" w:rsidR="00E41C1C" w:rsidRPr="009847B9" w:rsidRDefault="002F0E61" w:rsidP="00043A0F">
            <w:pPr>
              <w:spacing w:before="0" w:after="0"/>
              <w:rPr>
                <w:rFonts w:ascii="Arial Narrow" w:hAnsi="Arial Narrow"/>
              </w:rPr>
            </w:pPr>
            <w:r w:rsidRPr="009847B9">
              <w:rPr>
                <w:rFonts w:ascii="Arial Narrow" w:hAnsi="Arial Narrow"/>
              </w:rPr>
              <w:t>Prognostic (longitudinal) accuracy of the sFlt-1:PlGF ratio test</w:t>
            </w:r>
          </w:p>
        </w:tc>
        <w:tc>
          <w:tcPr>
            <w:tcW w:w="2594" w:type="pct"/>
          </w:tcPr>
          <w:p w14:paraId="469233A5" w14:textId="267ACB1E" w:rsidR="00E41C1C" w:rsidRPr="009847B9" w:rsidRDefault="00B73EE2" w:rsidP="00043A0F">
            <w:pPr>
              <w:spacing w:before="0" w:after="0"/>
              <w:rPr>
                <w:rFonts w:ascii="Arial Narrow" w:hAnsi="Arial Narrow"/>
              </w:rPr>
            </w:pPr>
            <w:r w:rsidRPr="009847B9">
              <w:rPr>
                <w:rFonts w:ascii="Arial Narrow" w:hAnsi="Arial Narrow"/>
              </w:rPr>
              <w:t>Four studies</w:t>
            </w:r>
            <w:r w:rsidR="00F405A8" w:rsidRPr="009847B9">
              <w:rPr>
                <w:rFonts w:ascii="Arial Narrow" w:hAnsi="Arial Narrow"/>
              </w:rPr>
              <w:t xml:space="preserve"> (</w:t>
            </w:r>
            <w:r w:rsidR="008A25BA" w:rsidRPr="009847B9">
              <w:rPr>
                <w:rFonts w:ascii="Arial Narrow" w:hAnsi="Arial Narrow"/>
              </w:rPr>
              <w:t xml:space="preserve">3 </w:t>
            </w:r>
            <w:r w:rsidR="00F405A8" w:rsidRPr="009847B9">
              <w:rPr>
                <w:rFonts w:ascii="Arial Narrow" w:hAnsi="Arial Narrow"/>
              </w:rPr>
              <w:t xml:space="preserve">prospective cohorts, </w:t>
            </w:r>
            <w:r w:rsidR="008C4D95" w:rsidRPr="009847B9">
              <w:rPr>
                <w:rFonts w:ascii="Arial Narrow" w:hAnsi="Arial Narrow"/>
              </w:rPr>
              <w:t xml:space="preserve">1 </w:t>
            </w:r>
            <w:r w:rsidR="00E914BF" w:rsidRPr="009847B9">
              <w:rPr>
                <w:rFonts w:ascii="Arial Narrow" w:hAnsi="Arial Narrow"/>
              </w:rPr>
              <w:t xml:space="preserve">retrospective cohort) </w:t>
            </w:r>
            <w:r w:rsidR="002415E0" w:rsidRPr="009847B9">
              <w:rPr>
                <w:rFonts w:ascii="Arial Narrow" w:hAnsi="Arial Narrow"/>
              </w:rPr>
              <w:t>investigated the association between sFlt-1:PlGF ratio and the time to delivery</w:t>
            </w:r>
            <w:r w:rsidR="002F0E61" w:rsidRPr="009847B9">
              <w:rPr>
                <w:rFonts w:ascii="Arial Narrow" w:hAnsi="Arial Narrow"/>
              </w:rPr>
              <w:t xml:space="preserve">. </w:t>
            </w:r>
          </w:p>
        </w:tc>
        <w:tc>
          <w:tcPr>
            <w:tcW w:w="629" w:type="pct"/>
          </w:tcPr>
          <w:p w14:paraId="70F3FC16" w14:textId="20E41407" w:rsidR="00E41C1C" w:rsidRPr="009847B9" w:rsidRDefault="00056D5E" w:rsidP="00043A0F">
            <w:pPr>
              <w:spacing w:before="0" w:after="0"/>
              <w:rPr>
                <w:rFonts w:ascii="Arial Narrow" w:hAnsi="Arial Narrow"/>
              </w:rPr>
            </w:pPr>
            <w:r w:rsidRPr="009847B9">
              <w:rPr>
                <w:rFonts w:ascii="Arial Narrow" w:hAnsi="Arial Narrow"/>
              </w:rPr>
              <w:t>k</w:t>
            </w:r>
            <w:r w:rsidR="00B41C45" w:rsidRPr="009847B9">
              <w:rPr>
                <w:rFonts w:ascii="Arial Narrow" w:hAnsi="Arial Narrow"/>
              </w:rPr>
              <w:t xml:space="preserve"> = </w:t>
            </w:r>
            <w:r w:rsidR="0048599A" w:rsidRPr="009847B9">
              <w:rPr>
                <w:rFonts w:ascii="Arial Narrow" w:hAnsi="Arial Narrow"/>
              </w:rPr>
              <w:t xml:space="preserve">4 </w:t>
            </w:r>
          </w:p>
          <w:p w14:paraId="71D41F0C" w14:textId="7FB7E28C" w:rsidR="0048599A" w:rsidRPr="009847B9" w:rsidRDefault="00777238" w:rsidP="00043A0F">
            <w:pPr>
              <w:spacing w:before="0" w:after="0"/>
              <w:rPr>
                <w:rFonts w:ascii="Arial Narrow" w:hAnsi="Arial Narrow"/>
              </w:rPr>
            </w:pPr>
            <w:r w:rsidRPr="009847B9">
              <w:rPr>
                <w:rFonts w:ascii="Arial Narrow" w:hAnsi="Arial Narrow"/>
              </w:rPr>
              <w:t>n</w:t>
            </w:r>
            <w:r w:rsidR="00B41C45" w:rsidRPr="009847B9">
              <w:rPr>
                <w:rFonts w:ascii="Arial Narrow" w:hAnsi="Arial Narrow"/>
              </w:rPr>
              <w:t xml:space="preserve"> = </w:t>
            </w:r>
            <w:r w:rsidR="00533C9B" w:rsidRPr="009847B9">
              <w:rPr>
                <w:rFonts w:ascii="Arial Narrow" w:hAnsi="Arial Narrow"/>
              </w:rPr>
              <w:t>1,704</w:t>
            </w:r>
          </w:p>
        </w:tc>
        <w:tc>
          <w:tcPr>
            <w:tcW w:w="993" w:type="pct"/>
          </w:tcPr>
          <w:p w14:paraId="71B814F4" w14:textId="2BD164D1" w:rsidR="00E41C1C" w:rsidRPr="009847B9" w:rsidRDefault="008A50BA" w:rsidP="00043A0F">
            <w:pPr>
              <w:spacing w:before="0" w:after="0"/>
              <w:rPr>
                <w:rFonts w:ascii="Arial Narrow" w:hAnsi="Arial Narrow"/>
              </w:rPr>
            </w:pPr>
            <w:r w:rsidRPr="009847B9">
              <w:rPr>
                <w:rFonts w:ascii="Arial Narrow" w:hAnsi="Arial Narrow"/>
              </w:rPr>
              <w:t>Moderate risk of bias (</w:t>
            </w:r>
            <w:r w:rsidR="00984C29" w:rsidRPr="009847B9">
              <w:rPr>
                <w:rFonts w:ascii="Arial Narrow" w:hAnsi="Arial Narrow"/>
              </w:rPr>
              <w:t>the commentary</w:t>
            </w:r>
            <w:r w:rsidRPr="009847B9">
              <w:rPr>
                <w:rFonts w:ascii="Arial Narrow" w:hAnsi="Arial Narrow"/>
              </w:rPr>
              <w:t>)</w:t>
            </w:r>
          </w:p>
        </w:tc>
      </w:tr>
      <w:tr w:rsidR="009A6F7A" w:rsidRPr="009847B9" w14:paraId="4F794E1F" w14:textId="77777777" w:rsidTr="00B811B3">
        <w:tc>
          <w:tcPr>
            <w:tcW w:w="784" w:type="pct"/>
            <w:hideMark/>
          </w:tcPr>
          <w:p w14:paraId="53BCCD0A" w14:textId="77777777" w:rsidR="00C671A3" w:rsidRPr="009847B9" w:rsidRDefault="00C671A3" w:rsidP="00043A0F">
            <w:pPr>
              <w:spacing w:before="0" w:after="0"/>
              <w:rPr>
                <w:rFonts w:ascii="Arial Narrow" w:hAnsi="Arial Narrow"/>
              </w:rPr>
            </w:pPr>
            <w:r w:rsidRPr="009847B9">
              <w:rPr>
                <w:rFonts w:ascii="Arial Narrow" w:hAnsi="Arial Narrow"/>
              </w:rPr>
              <w:t>Change in patient management</w:t>
            </w:r>
          </w:p>
        </w:tc>
        <w:tc>
          <w:tcPr>
            <w:tcW w:w="2594" w:type="pct"/>
          </w:tcPr>
          <w:p w14:paraId="0D12CBE2" w14:textId="30BC12FD" w:rsidR="00C671A3" w:rsidRPr="009847B9" w:rsidRDefault="00B55E0A" w:rsidP="00043A0F">
            <w:pPr>
              <w:spacing w:before="0" w:after="0"/>
              <w:rPr>
                <w:rFonts w:ascii="Arial Narrow" w:hAnsi="Arial Narrow"/>
              </w:rPr>
            </w:pPr>
            <w:r w:rsidRPr="009847B9">
              <w:rPr>
                <w:rFonts w:ascii="Arial Narrow" w:hAnsi="Arial Narrow"/>
              </w:rPr>
              <w:t>Three studies (</w:t>
            </w:r>
            <w:r w:rsidR="002C1162" w:rsidRPr="009847B9">
              <w:rPr>
                <w:rFonts w:ascii="Arial Narrow" w:hAnsi="Arial Narrow"/>
              </w:rPr>
              <w:t>1</w:t>
            </w:r>
            <w:r w:rsidR="009540B2" w:rsidRPr="009847B9">
              <w:rPr>
                <w:rFonts w:ascii="Arial Narrow" w:hAnsi="Arial Narrow"/>
              </w:rPr>
              <w:t xml:space="preserve"> randomi</w:t>
            </w:r>
            <w:r w:rsidR="00B41C45" w:rsidRPr="009847B9">
              <w:rPr>
                <w:rFonts w:ascii="Arial Narrow" w:hAnsi="Arial Narrow"/>
              </w:rPr>
              <w:t>s</w:t>
            </w:r>
            <w:r w:rsidR="009540B2" w:rsidRPr="009847B9">
              <w:rPr>
                <w:rFonts w:ascii="Arial Narrow" w:hAnsi="Arial Narrow"/>
              </w:rPr>
              <w:t xml:space="preserve">ed control trial, </w:t>
            </w:r>
            <w:r w:rsidR="002C1162" w:rsidRPr="009847B9">
              <w:rPr>
                <w:rFonts w:ascii="Arial Narrow" w:hAnsi="Arial Narrow"/>
              </w:rPr>
              <w:t>1</w:t>
            </w:r>
            <w:r w:rsidR="009D66EC" w:rsidRPr="009847B9">
              <w:rPr>
                <w:rFonts w:ascii="Arial Narrow" w:hAnsi="Arial Narrow"/>
              </w:rPr>
              <w:t xml:space="preserve"> prospective cohort</w:t>
            </w:r>
            <w:r w:rsidR="00B41C45" w:rsidRPr="009847B9">
              <w:rPr>
                <w:rFonts w:ascii="Arial Narrow" w:hAnsi="Arial Narrow"/>
              </w:rPr>
              <w:t xml:space="preserve">, </w:t>
            </w:r>
            <w:r w:rsidR="002C1162" w:rsidRPr="009847B9">
              <w:rPr>
                <w:rFonts w:ascii="Arial Narrow" w:hAnsi="Arial Narrow"/>
              </w:rPr>
              <w:t>1</w:t>
            </w:r>
            <w:r w:rsidR="009D66EC" w:rsidRPr="009847B9">
              <w:rPr>
                <w:rFonts w:ascii="Arial Narrow" w:hAnsi="Arial Narrow"/>
              </w:rPr>
              <w:t xml:space="preserve"> retrospective </w:t>
            </w:r>
            <w:r w:rsidR="00B068D4" w:rsidRPr="009847B9">
              <w:rPr>
                <w:rFonts w:ascii="Arial Narrow" w:hAnsi="Arial Narrow"/>
              </w:rPr>
              <w:t xml:space="preserve">cohort) </w:t>
            </w:r>
            <w:r w:rsidR="00341051" w:rsidRPr="009847B9">
              <w:rPr>
                <w:rFonts w:ascii="Arial Narrow" w:hAnsi="Arial Narrow"/>
              </w:rPr>
              <w:t>assessed change in management</w:t>
            </w:r>
            <w:r w:rsidR="009A6F7A" w:rsidRPr="009847B9">
              <w:rPr>
                <w:rFonts w:ascii="Arial Narrow" w:hAnsi="Arial Narrow"/>
              </w:rPr>
              <w:t xml:space="preserve"> (including hospital admission)</w:t>
            </w:r>
            <w:r w:rsidR="00341051" w:rsidRPr="009847B9">
              <w:rPr>
                <w:rFonts w:ascii="Arial Narrow" w:hAnsi="Arial Narrow"/>
              </w:rPr>
              <w:t xml:space="preserve"> following sFlt-1:PlGF ratio compared to current standard tests. </w:t>
            </w:r>
          </w:p>
        </w:tc>
        <w:tc>
          <w:tcPr>
            <w:tcW w:w="629" w:type="pct"/>
          </w:tcPr>
          <w:p w14:paraId="64DE4B3A" w14:textId="40D34325" w:rsidR="00C671A3" w:rsidRPr="009847B9" w:rsidRDefault="00056D5E" w:rsidP="00043A0F">
            <w:pPr>
              <w:spacing w:before="0" w:after="0"/>
              <w:rPr>
                <w:rFonts w:ascii="Arial Narrow" w:hAnsi="Arial Narrow"/>
              </w:rPr>
            </w:pPr>
            <w:r w:rsidRPr="009847B9">
              <w:rPr>
                <w:rFonts w:ascii="Arial Narrow" w:hAnsi="Arial Narrow"/>
              </w:rPr>
              <w:t>k</w:t>
            </w:r>
            <w:r w:rsidR="00B41C45" w:rsidRPr="009847B9">
              <w:rPr>
                <w:rFonts w:ascii="Arial Narrow" w:hAnsi="Arial Narrow"/>
              </w:rPr>
              <w:t xml:space="preserve"> = </w:t>
            </w:r>
            <w:r w:rsidR="00777238" w:rsidRPr="009847B9">
              <w:rPr>
                <w:rFonts w:ascii="Arial Narrow" w:hAnsi="Arial Narrow"/>
              </w:rPr>
              <w:t xml:space="preserve">3 </w:t>
            </w:r>
          </w:p>
          <w:p w14:paraId="25244903" w14:textId="00011067" w:rsidR="00C671A3" w:rsidRPr="009847B9" w:rsidRDefault="00777238" w:rsidP="00043A0F">
            <w:pPr>
              <w:spacing w:before="0" w:after="0"/>
              <w:rPr>
                <w:rFonts w:ascii="Arial Narrow" w:hAnsi="Arial Narrow"/>
              </w:rPr>
            </w:pPr>
            <w:r w:rsidRPr="009847B9">
              <w:rPr>
                <w:rFonts w:ascii="Arial Narrow" w:hAnsi="Arial Narrow"/>
              </w:rPr>
              <w:t>n</w:t>
            </w:r>
            <w:r w:rsidR="00B41C45" w:rsidRPr="009847B9">
              <w:rPr>
                <w:rFonts w:ascii="Arial Narrow" w:hAnsi="Arial Narrow"/>
              </w:rPr>
              <w:t xml:space="preserve"> = </w:t>
            </w:r>
            <w:r w:rsidRPr="009847B9">
              <w:rPr>
                <w:rFonts w:ascii="Arial Narrow" w:hAnsi="Arial Narrow"/>
              </w:rPr>
              <w:t>763</w:t>
            </w:r>
          </w:p>
        </w:tc>
        <w:tc>
          <w:tcPr>
            <w:tcW w:w="993" w:type="pct"/>
          </w:tcPr>
          <w:p w14:paraId="7C11BC7F" w14:textId="071FD755" w:rsidR="00C671A3" w:rsidRPr="009847B9" w:rsidRDefault="000623DA" w:rsidP="00043A0F">
            <w:pPr>
              <w:spacing w:before="0" w:after="0"/>
              <w:rPr>
                <w:rFonts w:ascii="Arial Narrow" w:hAnsi="Arial Narrow"/>
              </w:rPr>
            </w:pPr>
            <w:r w:rsidRPr="009847B9">
              <w:rPr>
                <w:rFonts w:ascii="Arial Narrow" w:hAnsi="Arial Narrow"/>
              </w:rPr>
              <w:t>Moderate risk of bias (</w:t>
            </w:r>
            <w:r w:rsidR="00964ABD" w:rsidRPr="009847B9">
              <w:rPr>
                <w:rFonts w:ascii="Arial Narrow" w:hAnsi="Arial Narrow"/>
              </w:rPr>
              <w:t>the commentary</w:t>
            </w:r>
            <w:r w:rsidRPr="009847B9">
              <w:rPr>
                <w:rFonts w:ascii="Arial Narrow" w:hAnsi="Arial Narrow"/>
              </w:rPr>
              <w:t>)</w:t>
            </w:r>
          </w:p>
        </w:tc>
      </w:tr>
      <w:tr w:rsidR="009A6F7A" w:rsidRPr="009847B9" w14:paraId="47444854" w14:textId="77777777" w:rsidTr="00B811B3">
        <w:tc>
          <w:tcPr>
            <w:tcW w:w="784" w:type="pct"/>
            <w:hideMark/>
          </w:tcPr>
          <w:p w14:paraId="7BB6CA02" w14:textId="77777777" w:rsidR="00C671A3" w:rsidRPr="009847B9" w:rsidRDefault="00C671A3" w:rsidP="00043A0F">
            <w:pPr>
              <w:spacing w:before="0" w:after="0"/>
              <w:rPr>
                <w:rFonts w:ascii="Arial Narrow" w:hAnsi="Arial Narrow"/>
              </w:rPr>
            </w:pPr>
            <w:r w:rsidRPr="009847B9">
              <w:rPr>
                <w:rFonts w:ascii="Arial Narrow" w:hAnsi="Arial Narrow"/>
              </w:rPr>
              <w:t>Health outcomes</w:t>
            </w:r>
          </w:p>
        </w:tc>
        <w:tc>
          <w:tcPr>
            <w:tcW w:w="2594" w:type="pct"/>
          </w:tcPr>
          <w:p w14:paraId="2E70AB42" w14:textId="05650621" w:rsidR="00C671A3" w:rsidRPr="009847B9" w:rsidRDefault="00D015FF" w:rsidP="00043A0F">
            <w:pPr>
              <w:spacing w:before="0" w:after="0"/>
              <w:rPr>
                <w:rFonts w:ascii="Arial Narrow" w:hAnsi="Arial Narrow"/>
              </w:rPr>
            </w:pPr>
            <w:r w:rsidRPr="009847B9">
              <w:rPr>
                <w:rFonts w:ascii="Arial Narrow" w:hAnsi="Arial Narrow"/>
              </w:rPr>
              <w:t xml:space="preserve">The evidence presented was the same as </w:t>
            </w:r>
            <w:r w:rsidR="00BD5253" w:rsidRPr="009847B9">
              <w:rPr>
                <w:rFonts w:ascii="Arial Narrow" w:hAnsi="Arial Narrow"/>
              </w:rPr>
              <w:t xml:space="preserve">that </w:t>
            </w:r>
            <w:r w:rsidRPr="009847B9">
              <w:rPr>
                <w:rFonts w:ascii="Arial Narrow" w:hAnsi="Arial Narrow"/>
              </w:rPr>
              <w:t xml:space="preserve">used for change in patient management. </w:t>
            </w:r>
          </w:p>
        </w:tc>
        <w:tc>
          <w:tcPr>
            <w:tcW w:w="629" w:type="pct"/>
          </w:tcPr>
          <w:p w14:paraId="08EC6BD5" w14:textId="5BA5952B" w:rsidR="00D015FF" w:rsidRPr="009847B9" w:rsidRDefault="00056D5E" w:rsidP="00043A0F">
            <w:pPr>
              <w:spacing w:before="0" w:after="0"/>
              <w:rPr>
                <w:rFonts w:ascii="Arial Narrow" w:hAnsi="Arial Narrow"/>
              </w:rPr>
            </w:pPr>
            <w:r w:rsidRPr="009847B9">
              <w:rPr>
                <w:rFonts w:ascii="Arial Narrow" w:hAnsi="Arial Narrow"/>
              </w:rPr>
              <w:t>k</w:t>
            </w:r>
            <w:r w:rsidR="00B41C45" w:rsidRPr="009847B9">
              <w:rPr>
                <w:rFonts w:ascii="Arial Narrow" w:hAnsi="Arial Narrow"/>
              </w:rPr>
              <w:t xml:space="preserve"> = </w:t>
            </w:r>
            <w:r w:rsidR="00D015FF" w:rsidRPr="009847B9">
              <w:rPr>
                <w:rFonts w:ascii="Arial Narrow" w:hAnsi="Arial Narrow"/>
              </w:rPr>
              <w:t xml:space="preserve">3 </w:t>
            </w:r>
          </w:p>
          <w:p w14:paraId="0B9116D8" w14:textId="4793821B" w:rsidR="00C671A3" w:rsidRPr="009847B9" w:rsidRDefault="00D015FF" w:rsidP="00043A0F">
            <w:pPr>
              <w:spacing w:before="0" w:after="0"/>
              <w:rPr>
                <w:rFonts w:ascii="Arial Narrow" w:eastAsiaTheme="minorHAnsi" w:hAnsi="Arial Narrow" w:cstheme="minorBidi"/>
                <w:lang w:eastAsia="en-US"/>
              </w:rPr>
            </w:pPr>
            <w:r w:rsidRPr="009847B9">
              <w:rPr>
                <w:rFonts w:ascii="Arial Narrow" w:hAnsi="Arial Narrow"/>
              </w:rPr>
              <w:t>n</w:t>
            </w:r>
            <w:r w:rsidR="00B41C45" w:rsidRPr="009847B9">
              <w:rPr>
                <w:rFonts w:ascii="Arial Narrow" w:hAnsi="Arial Narrow"/>
              </w:rPr>
              <w:t xml:space="preserve"> </w:t>
            </w:r>
            <w:r w:rsidRPr="009847B9">
              <w:rPr>
                <w:rFonts w:ascii="Arial Narrow" w:hAnsi="Arial Narrow"/>
              </w:rPr>
              <w:t>= 763</w:t>
            </w:r>
          </w:p>
        </w:tc>
        <w:tc>
          <w:tcPr>
            <w:tcW w:w="993" w:type="pct"/>
          </w:tcPr>
          <w:p w14:paraId="58261018" w14:textId="741B861E" w:rsidR="00C671A3" w:rsidRPr="009847B9" w:rsidRDefault="00D015FF" w:rsidP="00043A0F">
            <w:pPr>
              <w:spacing w:before="0" w:after="0"/>
              <w:rPr>
                <w:rFonts w:ascii="Arial Narrow" w:eastAsiaTheme="minorHAnsi" w:hAnsi="Arial Narrow" w:cstheme="minorBidi"/>
                <w:lang w:eastAsia="en-US"/>
              </w:rPr>
            </w:pPr>
            <w:r w:rsidRPr="009847B9">
              <w:rPr>
                <w:rFonts w:ascii="Arial Narrow" w:eastAsiaTheme="minorHAnsi" w:hAnsi="Arial Narrow" w:cstheme="minorBidi"/>
                <w:lang w:eastAsia="en-US"/>
              </w:rPr>
              <w:t>Moderate risk of bias (</w:t>
            </w:r>
            <w:r w:rsidR="00964ABD" w:rsidRPr="009847B9">
              <w:rPr>
                <w:rFonts w:ascii="Arial Narrow" w:eastAsiaTheme="minorHAnsi" w:hAnsi="Arial Narrow" w:cstheme="minorBidi"/>
                <w:lang w:eastAsia="en-US"/>
              </w:rPr>
              <w:t>the commentary</w:t>
            </w:r>
            <w:r w:rsidR="00B41C45" w:rsidRPr="009847B9">
              <w:rPr>
                <w:rFonts w:ascii="Arial Narrow" w:eastAsiaTheme="minorHAnsi" w:hAnsi="Arial Narrow" w:cstheme="minorBidi"/>
                <w:lang w:eastAsia="en-US"/>
              </w:rPr>
              <w:t>)</w:t>
            </w:r>
          </w:p>
        </w:tc>
      </w:tr>
    </w:tbl>
    <w:p w14:paraId="4B97DB74" w14:textId="744C554E" w:rsidR="00996CB7" w:rsidRPr="0064109D" w:rsidRDefault="00996CB7" w:rsidP="00D4165A">
      <w:pPr>
        <w:spacing w:before="0"/>
        <w:contextualSpacing/>
        <w:rPr>
          <w:rFonts w:ascii="Arial Narrow" w:hAnsi="Arial Narrow"/>
          <w:sz w:val="18"/>
          <w:szCs w:val="18"/>
        </w:rPr>
      </w:pPr>
      <w:r w:rsidRPr="005D1F7A">
        <w:rPr>
          <w:rFonts w:ascii="Arial Narrow" w:hAnsi="Arial Narrow"/>
          <w:b/>
          <w:bCs/>
          <w:sz w:val="18"/>
          <w:szCs w:val="18"/>
          <w:u w:val="single"/>
        </w:rPr>
        <w:t>Notes</w:t>
      </w:r>
      <w:r w:rsidR="00B7642F" w:rsidRPr="00C577B3">
        <w:rPr>
          <w:rFonts w:ascii="Arial Narrow" w:hAnsi="Arial Narrow"/>
          <w:b/>
          <w:bCs/>
          <w:sz w:val="18"/>
          <w:szCs w:val="18"/>
        </w:rPr>
        <w:t>:</w:t>
      </w:r>
      <w:r w:rsidR="00B7642F">
        <w:rPr>
          <w:rFonts w:ascii="Arial Narrow" w:hAnsi="Arial Narrow"/>
          <w:b/>
          <w:bCs/>
          <w:sz w:val="18"/>
          <w:szCs w:val="18"/>
        </w:rPr>
        <w:t xml:space="preserve"> </w:t>
      </w:r>
      <w:r w:rsidRPr="00836212">
        <w:rPr>
          <w:rFonts w:ascii="Arial Narrow" w:hAnsi="Arial Narrow"/>
          <w:sz w:val="18"/>
          <w:szCs w:val="18"/>
          <w:vertAlign w:val="superscript"/>
        </w:rPr>
        <w:t>a</w:t>
      </w:r>
      <w:r>
        <w:rPr>
          <w:rFonts w:ascii="Arial Narrow" w:hAnsi="Arial Narrow"/>
          <w:sz w:val="18"/>
          <w:szCs w:val="18"/>
        </w:rPr>
        <w:t xml:space="preserve"> Total of 9 studies included</w:t>
      </w:r>
      <w:r w:rsidR="00D43C52">
        <w:rPr>
          <w:rFonts w:ascii="Arial Narrow" w:hAnsi="Arial Narrow"/>
          <w:sz w:val="18"/>
          <w:szCs w:val="18"/>
        </w:rPr>
        <w:t>;</w:t>
      </w:r>
      <w:r>
        <w:rPr>
          <w:rFonts w:ascii="Arial Narrow" w:hAnsi="Arial Narrow"/>
          <w:sz w:val="18"/>
          <w:szCs w:val="18"/>
        </w:rPr>
        <w:t xml:space="preserve"> some studies appl</w:t>
      </w:r>
      <w:r w:rsidR="006B7D74">
        <w:rPr>
          <w:rFonts w:ascii="Arial Narrow" w:hAnsi="Arial Narrow"/>
          <w:sz w:val="18"/>
          <w:szCs w:val="18"/>
        </w:rPr>
        <w:t>ied</w:t>
      </w:r>
      <w:r>
        <w:rPr>
          <w:rFonts w:ascii="Arial Narrow" w:hAnsi="Arial Narrow"/>
          <w:sz w:val="18"/>
          <w:szCs w:val="18"/>
        </w:rPr>
        <w:t xml:space="preserve"> evidence across multiple criteri</w:t>
      </w:r>
      <w:r w:rsidR="006B7D74">
        <w:rPr>
          <w:rFonts w:ascii="Arial Narrow" w:hAnsi="Arial Narrow"/>
          <w:sz w:val="18"/>
          <w:szCs w:val="18"/>
        </w:rPr>
        <w:t>a</w:t>
      </w:r>
      <w:r>
        <w:rPr>
          <w:rFonts w:ascii="Arial Narrow" w:hAnsi="Arial Narrow"/>
          <w:sz w:val="18"/>
          <w:szCs w:val="18"/>
        </w:rPr>
        <w:t xml:space="preserve"> </w:t>
      </w:r>
    </w:p>
    <w:p w14:paraId="0FF0ECDC" w14:textId="2B9AECDF" w:rsidR="005E291A" w:rsidRPr="00D4165A" w:rsidRDefault="00DD1DC2" w:rsidP="00D4165A">
      <w:pPr>
        <w:spacing w:before="0"/>
        <w:contextualSpacing/>
        <w:rPr>
          <w:rFonts w:ascii="Arial Narrow" w:hAnsi="Arial Narrow"/>
          <w:sz w:val="18"/>
          <w:szCs w:val="18"/>
        </w:rPr>
      </w:pPr>
      <w:r w:rsidRPr="0085459D">
        <w:rPr>
          <w:rFonts w:ascii="Arial Narrow" w:hAnsi="Arial Narrow"/>
          <w:b/>
          <w:bCs/>
          <w:sz w:val="18"/>
          <w:szCs w:val="18"/>
          <w:u w:val="single"/>
        </w:rPr>
        <w:t>Abbreviations</w:t>
      </w:r>
      <w:r w:rsidR="00B7642F" w:rsidRPr="00C577B3">
        <w:rPr>
          <w:rFonts w:ascii="Arial Narrow" w:hAnsi="Arial Narrow"/>
          <w:b/>
          <w:bCs/>
          <w:sz w:val="18"/>
          <w:szCs w:val="18"/>
        </w:rPr>
        <w:t>:</w:t>
      </w:r>
      <w:r w:rsidR="00B7642F">
        <w:rPr>
          <w:rFonts w:ascii="Arial Narrow" w:hAnsi="Arial Narrow"/>
          <w:b/>
          <w:bCs/>
          <w:sz w:val="18"/>
          <w:szCs w:val="18"/>
        </w:rPr>
        <w:t xml:space="preserve"> </w:t>
      </w:r>
      <w:r w:rsidR="00B41C45" w:rsidRPr="00D4165A">
        <w:rPr>
          <w:rFonts w:ascii="Arial Narrow" w:hAnsi="Arial Narrow"/>
          <w:b/>
          <w:bCs/>
          <w:sz w:val="18"/>
          <w:szCs w:val="18"/>
        </w:rPr>
        <w:t>k</w:t>
      </w:r>
      <w:r w:rsidRPr="0085459D">
        <w:rPr>
          <w:rFonts w:ascii="Arial Narrow" w:hAnsi="Arial Narrow"/>
          <w:sz w:val="18"/>
          <w:szCs w:val="18"/>
        </w:rPr>
        <w:t xml:space="preserve"> = number of studies, </w:t>
      </w:r>
      <w:r w:rsidR="00B41C45" w:rsidRPr="0085459D">
        <w:rPr>
          <w:rFonts w:ascii="Arial Narrow" w:hAnsi="Arial Narrow"/>
          <w:b/>
          <w:bCs/>
          <w:sz w:val="18"/>
          <w:szCs w:val="18"/>
        </w:rPr>
        <w:t>n</w:t>
      </w:r>
      <w:r w:rsidRPr="0085459D">
        <w:rPr>
          <w:rFonts w:ascii="Arial Narrow" w:hAnsi="Arial Narrow"/>
          <w:sz w:val="18"/>
          <w:szCs w:val="18"/>
        </w:rPr>
        <w:t xml:space="preserve"> = number of patients</w:t>
      </w:r>
      <w:r w:rsidR="00D4165A">
        <w:rPr>
          <w:rFonts w:ascii="Arial Narrow" w:hAnsi="Arial Narrow"/>
          <w:sz w:val="18"/>
          <w:szCs w:val="18"/>
        </w:rPr>
        <w:t xml:space="preserve">, </w:t>
      </w:r>
      <w:r w:rsidR="00D4165A" w:rsidRPr="00956E33">
        <w:rPr>
          <w:rFonts w:ascii="Arial Narrow" w:hAnsi="Arial Narrow"/>
          <w:b/>
          <w:bCs/>
          <w:sz w:val="18"/>
          <w:szCs w:val="18"/>
        </w:rPr>
        <w:t>sFlt-1:</w:t>
      </w:r>
      <w:r w:rsidR="00D4165A" w:rsidRPr="00F354AE">
        <w:rPr>
          <w:rFonts w:ascii="Arial Narrow" w:hAnsi="Arial Narrow"/>
          <w:b/>
          <w:bCs/>
          <w:sz w:val="18"/>
          <w:szCs w:val="18"/>
        </w:rPr>
        <w:t>PlGF</w:t>
      </w:r>
      <w:r w:rsidR="00D4165A">
        <w:rPr>
          <w:rFonts w:ascii="Arial Narrow" w:hAnsi="Arial Narrow"/>
          <w:sz w:val="18"/>
          <w:szCs w:val="18"/>
        </w:rPr>
        <w:t xml:space="preserve"> = </w:t>
      </w:r>
      <w:r w:rsidR="00D4165A" w:rsidRPr="00B9763A">
        <w:rPr>
          <w:rFonts w:ascii="Arial Narrow" w:hAnsi="Arial Narrow"/>
          <w:sz w:val="18"/>
          <w:szCs w:val="18"/>
        </w:rPr>
        <w:t>soluble FMS-like tyrosine kinase-1:placental growth factor</w:t>
      </w:r>
    </w:p>
    <w:p w14:paraId="5B5597A7" w14:textId="296FFEEB" w:rsidR="00C013DA" w:rsidRDefault="00C013DA" w:rsidP="00D4165A">
      <w:pPr>
        <w:spacing w:before="0"/>
        <w:contextualSpacing/>
        <w:rPr>
          <w:rFonts w:ascii="Arial Narrow" w:hAnsi="Arial Narrow"/>
          <w:sz w:val="18"/>
          <w:szCs w:val="18"/>
        </w:rPr>
      </w:pPr>
      <w:r w:rsidRPr="0064109D">
        <w:rPr>
          <w:rFonts w:ascii="Arial Narrow" w:hAnsi="Arial Narrow"/>
          <w:b/>
          <w:bCs/>
          <w:sz w:val="18"/>
          <w:szCs w:val="18"/>
          <w:u w:val="single"/>
        </w:rPr>
        <w:t>Source</w:t>
      </w:r>
      <w:r w:rsidR="00B7642F" w:rsidRPr="00C577B3">
        <w:rPr>
          <w:rFonts w:ascii="Arial Narrow" w:hAnsi="Arial Narrow"/>
          <w:b/>
          <w:bCs/>
          <w:sz w:val="18"/>
          <w:szCs w:val="18"/>
        </w:rPr>
        <w:t>:</w:t>
      </w:r>
      <w:r w:rsidR="00B7642F">
        <w:rPr>
          <w:rFonts w:ascii="Arial Narrow" w:hAnsi="Arial Narrow"/>
          <w:b/>
          <w:bCs/>
          <w:sz w:val="18"/>
          <w:szCs w:val="18"/>
        </w:rPr>
        <w:t xml:space="preserve"> </w:t>
      </w:r>
      <w:r>
        <w:rPr>
          <w:rFonts w:ascii="Arial Narrow" w:hAnsi="Arial Narrow"/>
          <w:sz w:val="18"/>
          <w:szCs w:val="18"/>
        </w:rPr>
        <w:t xml:space="preserve">Constructed during the </w:t>
      </w:r>
      <w:r w:rsidR="00CB654A">
        <w:rPr>
          <w:rFonts w:ascii="Arial Narrow" w:hAnsi="Arial Narrow"/>
          <w:sz w:val="18"/>
          <w:szCs w:val="18"/>
        </w:rPr>
        <w:t>commentary</w:t>
      </w:r>
      <w:r w:rsidR="009847B9">
        <w:rPr>
          <w:rFonts w:ascii="Arial Narrow" w:hAnsi="Arial Narrow"/>
          <w:sz w:val="18"/>
          <w:szCs w:val="18"/>
        </w:rPr>
        <w:t>.</w:t>
      </w:r>
    </w:p>
    <w:p w14:paraId="3B9FC2AD" w14:textId="7CF90D89" w:rsidR="00772829" w:rsidRDefault="00881808" w:rsidP="002A18BE">
      <w:pPr>
        <w:pStyle w:val="Heading2"/>
        <w:numPr>
          <w:ilvl w:val="0"/>
          <w:numId w:val="0"/>
        </w:numPr>
      </w:pPr>
      <w:bookmarkStart w:id="16" w:name="_Toc69491423"/>
      <w:r>
        <w:t>11</w:t>
      </w:r>
      <w:r w:rsidR="00C36633">
        <w:t>.</w:t>
      </w:r>
      <w:r w:rsidR="00C36633">
        <w:tab/>
      </w:r>
      <w:r w:rsidR="00772829" w:rsidRPr="00CE28E3">
        <w:t>Comparative safety</w:t>
      </w:r>
      <w:bookmarkEnd w:id="16"/>
    </w:p>
    <w:p w14:paraId="3AC6826B" w14:textId="10672AAB" w:rsidR="00684EE2" w:rsidRDefault="00684EE2" w:rsidP="007F3C97">
      <w:r>
        <w:t xml:space="preserve">The </w:t>
      </w:r>
      <w:r w:rsidR="00F703B1">
        <w:t>ADAR</w:t>
      </w:r>
      <w:r>
        <w:t xml:space="preserve"> state</w:t>
      </w:r>
      <w:r w:rsidR="0016536D">
        <w:t>d</w:t>
      </w:r>
      <w:r>
        <w:t>:</w:t>
      </w:r>
    </w:p>
    <w:p w14:paraId="3E249482" w14:textId="0B7EA4B1" w:rsidR="00684EE2" w:rsidRDefault="00684EE2" w:rsidP="00684EE2">
      <w:pPr>
        <w:ind w:left="720"/>
      </w:pPr>
      <w:r w:rsidRPr="00E164CD">
        <w:t>No studies were identified that specifically investigated the safety of the sFlt-1:PlGF ratio</w:t>
      </w:r>
      <w:r>
        <w:t xml:space="preserve"> test</w:t>
      </w:r>
      <w:r w:rsidR="00B97EE0">
        <w:t>;</w:t>
      </w:r>
      <w:r w:rsidRPr="00E164CD">
        <w:t xml:space="preserve"> </w:t>
      </w:r>
      <w:r w:rsidR="00B97EE0">
        <w:t>h</w:t>
      </w:r>
      <w:r w:rsidRPr="00E164CD">
        <w:t>owever,</w:t>
      </w:r>
      <w:r>
        <w:t xml:space="preserve"> the authors of the </w:t>
      </w:r>
      <w:proofErr w:type="spellStart"/>
      <w:r>
        <w:t>PreOS</w:t>
      </w:r>
      <w:proofErr w:type="spellEnd"/>
      <w:r>
        <w:t xml:space="preserve"> study outline that</w:t>
      </w:r>
      <w:r w:rsidRPr="00E164CD">
        <w:t xml:space="preserve"> </w:t>
      </w:r>
      <w:r w:rsidR="00760B7D">
        <w:t>‘</w:t>
      </w:r>
      <w:r>
        <w:t xml:space="preserve">there were </w:t>
      </w:r>
      <w:r w:rsidRPr="00E164CD">
        <w:t xml:space="preserve">no incidents or indirect harm associated with the use of the </w:t>
      </w:r>
      <w:r w:rsidRPr="007A7883">
        <w:t>sF</w:t>
      </w:r>
      <w:r w:rsidR="005429BC">
        <w:t>l</w:t>
      </w:r>
      <w:r w:rsidRPr="007A7883">
        <w:t>t-1:PlGF</w:t>
      </w:r>
      <w:r w:rsidRPr="00E164CD">
        <w:t xml:space="preserve"> ratio</w:t>
      </w:r>
      <w:r>
        <w:t xml:space="preserve"> test in routine clinical practice in this population with suspected preeclampsia</w:t>
      </w:r>
      <w:r w:rsidR="00760B7D">
        <w:t>’</w:t>
      </w:r>
      <w:r>
        <w:t xml:space="preserve"> p. 14 of</w:t>
      </w:r>
      <w:r w:rsidR="008D31D6">
        <w:t xml:space="preserve"> </w:t>
      </w:r>
      <w:r w:rsidR="00A410AA">
        <w:t>Klein et al 2016.</w:t>
      </w:r>
    </w:p>
    <w:p w14:paraId="1B482003" w14:textId="3DDC7F7F" w:rsidR="007F3C97" w:rsidRDefault="001A0928" w:rsidP="007F3C97">
      <w:r>
        <w:t>The</w:t>
      </w:r>
      <w:r w:rsidR="008955DF">
        <w:t xml:space="preserve"> commentary considered that </w:t>
      </w:r>
      <w:r w:rsidR="00263791">
        <w:t>it</w:t>
      </w:r>
      <w:r>
        <w:t xml:space="preserve"> </w:t>
      </w:r>
      <w:r w:rsidR="008955DF">
        <w:t>wa</w:t>
      </w:r>
      <w:r>
        <w:t>s uncertain</w:t>
      </w:r>
      <w:r w:rsidR="007D7882" w:rsidRPr="007D7882">
        <w:t xml:space="preserve"> whether sFlt-1:PlGF ratio testing </w:t>
      </w:r>
      <w:r w:rsidR="00263791">
        <w:t>wa</w:t>
      </w:r>
      <w:r w:rsidR="007D7882" w:rsidRPr="007D7882">
        <w:t>s safer, similar</w:t>
      </w:r>
      <w:r w:rsidR="00B41C45">
        <w:t>ly safe</w:t>
      </w:r>
      <w:r w:rsidR="007D7882" w:rsidRPr="007D7882">
        <w:t xml:space="preserve">, or less safe </w:t>
      </w:r>
      <w:r w:rsidR="002123E7">
        <w:t>than standard clinical management</w:t>
      </w:r>
      <w:r w:rsidR="00B41C45">
        <w:t>,</w:t>
      </w:r>
      <w:r w:rsidR="007D7882" w:rsidRPr="007D7882">
        <w:t xml:space="preserve"> because </w:t>
      </w:r>
      <w:r w:rsidR="00B41C45">
        <w:t xml:space="preserve">no </w:t>
      </w:r>
      <w:r w:rsidR="00AC5262">
        <w:t>evidence was presented for</w:t>
      </w:r>
      <w:r w:rsidR="00B41C45">
        <w:t xml:space="preserve"> safety</w:t>
      </w:r>
      <w:r w:rsidR="007D7882" w:rsidRPr="007D7882">
        <w:t>.</w:t>
      </w:r>
    </w:p>
    <w:p w14:paraId="09AE2A65" w14:textId="4BBDC819" w:rsidR="002B3CCA" w:rsidRDefault="00942646" w:rsidP="0064109D">
      <w:r>
        <w:lastRenderedPageBreak/>
        <w:t xml:space="preserve">The ADAR presented data from </w:t>
      </w:r>
      <w:r w:rsidR="00360EA0" w:rsidRPr="00360EA0">
        <w:t>Klein et al 2016</w:t>
      </w:r>
      <w:r w:rsidR="00360EA0">
        <w:t xml:space="preserve"> in which </w:t>
      </w:r>
      <w:r w:rsidR="007222E9" w:rsidRPr="007222E9">
        <w:t>100% of the change in management decisions regarding induction of delivery and fetal lung maturation were considered appropriate</w:t>
      </w:r>
      <w:r w:rsidR="007222E9">
        <w:t xml:space="preserve"> by an </w:t>
      </w:r>
      <w:r w:rsidR="00601B0A">
        <w:t>independent adjudication committee of 3 experts</w:t>
      </w:r>
      <w:r w:rsidR="00641A14">
        <w:t>;</w:t>
      </w:r>
      <w:r w:rsidR="00601B0A">
        <w:t xml:space="preserve"> </w:t>
      </w:r>
      <w:r w:rsidR="00641A14">
        <w:t>h</w:t>
      </w:r>
      <w:r w:rsidR="00D27803">
        <w:t>owever</w:t>
      </w:r>
      <w:r w:rsidR="005D68C3">
        <w:t xml:space="preserve">, </w:t>
      </w:r>
      <w:r w:rsidR="00466D2C">
        <w:t xml:space="preserve">the initial decision to hospitalise was </w:t>
      </w:r>
      <w:r w:rsidR="005C7E28">
        <w:t xml:space="preserve">changed to no hospitalisation in 11% </w:t>
      </w:r>
      <w:r w:rsidR="003B0297">
        <w:t>o</w:t>
      </w:r>
      <w:r w:rsidR="005C7E28">
        <w:t xml:space="preserve">f cases, and the decision not to hospitalise was changed to hospitalise in </w:t>
      </w:r>
      <w:r w:rsidR="00B91C21">
        <w:t>5.9% of cases.</w:t>
      </w:r>
      <w:r w:rsidR="007222E9" w:rsidRPr="007222E9">
        <w:t xml:space="preserve"> </w:t>
      </w:r>
      <w:r w:rsidR="00ED129A">
        <w:t>There was insufficient</w:t>
      </w:r>
      <w:r w:rsidR="002B3CCA" w:rsidRPr="00991AFA">
        <w:t xml:space="preserve"> </w:t>
      </w:r>
      <w:r w:rsidR="00991AFA" w:rsidRPr="00991AFA">
        <w:t>information</w:t>
      </w:r>
      <w:r w:rsidR="00486ADF">
        <w:t xml:space="preserve"> presented in the ADAR</w:t>
      </w:r>
      <w:r w:rsidR="00991AFA" w:rsidRPr="00991AFA">
        <w:t xml:space="preserve"> regarding </w:t>
      </w:r>
      <w:r w:rsidR="008046C5">
        <w:t>safety</w:t>
      </w:r>
      <w:r w:rsidR="00991AFA" w:rsidRPr="00991AFA">
        <w:t xml:space="preserve"> issues in relation to misclassification of the risk of preeclampsia</w:t>
      </w:r>
      <w:r w:rsidR="00B41C45">
        <w:t>,</w:t>
      </w:r>
      <w:r w:rsidR="00991AFA" w:rsidRPr="00991AFA">
        <w:t xml:space="preserve"> adverse events associated with incorrect risk stratification</w:t>
      </w:r>
      <w:r w:rsidR="00B41C45">
        <w:t>,</w:t>
      </w:r>
      <w:r w:rsidR="00991AFA" w:rsidRPr="00991AFA">
        <w:t xml:space="preserve"> and the follow-up diagnostic and treatment </w:t>
      </w:r>
      <w:r w:rsidR="00991AFA">
        <w:t>workups</w:t>
      </w:r>
      <w:r w:rsidR="00991AFA" w:rsidRPr="00991AFA">
        <w:t>.</w:t>
      </w:r>
      <w:r w:rsidR="00661C20">
        <w:t xml:space="preserve"> This </w:t>
      </w:r>
      <w:r w:rsidR="004B02E0">
        <w:t>wa</w:t>
      </w:r>
      <w:r w:rsidR="00661C20">
        <w:t>s particularly notable as the post-hoc analysis of the ROPE study</w:t>
      </w:r>
      <w:r w:rsidR="00135E27">
        <w:t xml:space="preserve"> </w:t>
      </w:r>
      <w:r w:rsidR="00941230">
        <w:t xml:space="preserve">that </w:t>
      </w:r>
      <w:r w:rsidR="00135E27">
        <w:t>underpin</w:t>
      </w:r>
      <w:r w:rsidR="004B02E0">
        <w:t>ned</w:t>
      </w:r>
      <w:r w:rsidR="00135E27">
        <w:t xml:space="preserve"> the economic analysis </w:t>
      </w:r>
      <w:r w:rsidR="00786611">
        <w:t xml:space="preserve">showed an increased </w:t>
      </w:r>
      <w:r w:rsidR="004054DF">
        <w:t>risk</w:t>
      </w:r>
      <w:r w:rsidR="00786611">
        <w:t xml:space="preserve"> of </w:t>
      </w:r>
      <w:r w:rsidR="004054DF">
        <w:t xml:space="preserve">hospital discharge associated with </w:t>
      </w:r>
      <w:r w:rsidR="004054DF" w:rsidRPr="004054DF">
        <w:t>sFlt-1:PlGF ratio test</w:t>
      </w:r>
      <w:r w:rsidR="004054DF">
        <w:t>ing in comparison with standard clinical management.</w:t>
      </w:r>
      <w:r w:rsidR="00B91C21">
        <w:t xml:space="preserve"> </w:t>
      </w:r>
      <w:r w:rsidR="00D929CE">
        <w:t>No data</w:t>
      </w:r>
      <w:r w:rsidR="003B0297">
        <w:t xml:space="preserve"> were supplied</w:t>
      </w:r>
      <w:r w:rsidR="00D929CE">
        <w:t xml:space="preserve"> in the ADAR that </w:t>
      </w:r>
      <w:r w:rsidR="003B0297">
        <w:t>described</w:t>
      </w:r>
      <w:r w:rsidR="00D929CE">
        <w:t xml:space="preserve"> </w:t>
      </w:r>
      <w:r w:rsidR="000D1AC1">
        <w:t xml:space="preserve">outcomes for patients that were </w:t>
      </w:r>
      <w:r w:rsidR="004B71FB">
        <w:t>discharged</w:t>
      </w:r>
      <w:r w:rsidR="000D1AC1">
        <w:t xml:space="preserve"> in the knowledge of t</w:t>
      </w:r>
      <w:r w:rsidR="00351232">
        <w:t>heir</w:t>
      </w:r>
      <w:r w:rsidR="00351232" w:rsidRPr="00351232">
        <w:t xml:space="preserve"> </w:t>
      </w:r>
      <w:r w:rsidR="00351232" w:rsidRPr="004054DF">
        <w:t>sFlt-1:PlGF ratio tes</w:t>
      </w:r>
      <w:r w:rsidR="00351232">
        <w:t>t results</w:t>
      </w:r>
      <w:r w:rsidR="00B7382F">
        <w:t>;</w:t>
      </w:r>
      <w:r w:rsidR="00351232">
        <w:t xml:space="preserve"> </w:t>
      </w:r>
      <w:r w:rsidR="004B71FB">
        <w:t>therefore</w:t>
      </w:r>
      <w:r w:rsidR="00B7382F">
        <w:t>,</w:t>
      </w:r>
      <w:r w:rsidR="00351232">
        <w:t xml:space="preserve"> </w:t>
      </w:r>
      <w:r w:rsidR="00303760">
        <w:t xml:space="preserve">the risks of </w:t>
      </w:r>
      <w:r w:rsidR="003934E4">
        <w:t xml:space="preserve">discharging a patient </w:t>
      </w:r>
      <w:r w:rsidR="001050C0">
        <w:t xml:space="preserve">due to misclassification of the risk of </w:t>
      </w:r>
      <w:r w:rsidR="004B71FB">
        <w:t>preeclampsia</w:t>
      </w:r>
      <w:r w:rsidR="00351232">
        <w:t xml:space="preserve">, and the </w:t>
      </w:r>
      <w:r w:rsidR="000D617A">
        <w:t xml:space="preserve">potential </w:t>
      </w:r>
      <w:r w:rsidR="00462D48">
        <w:t>downstream health outcomes of this</w:t>
      </w:r>
      <w:r w:rsidR="00C654DC">
        <w:t>,</w:t>
      </w:r>
      <w:r w:rsidR="00462D48">
        <w:t xml:space="preserve"> remain unclear</w:t>
      </w:r>
      <w:r w:rsidR="001050C0">
        <w:t xml:space="preserve">. </w:t>
      </w:r>
    </w:p>
    <w:p w14:paraId="50B16E99" w14:textId="0AF74329" w:rsidR="005F6C9D" w:rsidRPr="0063644E" w:rsidRDefault="005F6C9D" w:rsidP="0064109D">
      <w:r w:rsidRPr="005F6C9D">
        <w:t xml:space="preserve">As the sFlt-1:PlGF ratio test is a laboratory assessment performed on maternal serum, no safety signals aside from those associated with the routine collection of serum samples </w:t>
      </w:r>
      <w:r w:rsidR="00C22EA6">
        <w:t>would be</w:t>
      </w:r>
      <w:r w:rsidRPr="005F6C9D">
        <w:t xml:space="preserve"> anticipated</w:t>
      </w:r>
      <w:r w:rsidR="00C654DC">
        <w:t>;</w:t>
      </w:r>
      <w:r>
        <w:t xml:space="preserve"> however</w:t>
      </w:r>
      <w:r w:rsidR="00C654DC">
        <w:t>,</w:t>
      </w:r>
      <w:r>
        <w:t xml:space="preserve"> </w:t>
      </w:r>
      <w:r w:rsidR="00017B18">
        <w:t>the risk of misclassif</w:t>
      </w:r>
      <w:r w:rsidR="00281AEB">
        <w:t>ication</w:t>
      </w:r>
      <w:r w:rsidR="00017B18">
        <w:t xml:space="preserve"> was not addressed.</w:t>
      </w:r>
    </w:p>
    <w:p w14:paraId="2CAA798F" w14:textId="1F2A1DD4" w:rsidR="005D08D7" w:rsidRDefault="00C36633" w:rsidP="00C17155">
      <w:pPr>
        <w:pStyle w:val="Heading2"/>
        <w:numPr>
          <w:ilvl w:val="0"/>
          <w:numId w:val="0"/>
        </w:numPr>
      </w:pPr>
      <w:bookmarkStart w:id="17" w:name="_Toc69491424"/>
      <w:r>
        <w:t>1</w:t>
      </w:r>
      <w:r w:rsidR="00881808">
        <w:t>2</w:t>
      </w:r>
      <w:r>
        <w:t>.</w:t>
      </w:r>
      <w:r>
        <w:tab/>
      </w:r>
      <w:r w:rsidR="00772829" w:rsidRPr="00CE28E3">
        <w:t>Comparative effectiveness</w:t>
      </w:r>
      <w:bookmarkEnd w:id="17"/>
    </w:p>
    <w:p w14:paraId="2E80BB01" w14:textId="15FA8D90" w:rsidR="00043A0F" w:rsidRPr="00043A0F" w:rsidRDefault="003C65E4" w:rsidP="00810B8F">
      <w:r>
        <w:t>The main comparative effectiveness results are summarised below (</w:t>
      </w:r>
      <w:r w:rsidR="00810B8F">
        <w:rPr>
          <w:noProof/>
        </w:rPr>
        <w:t>Table 6</w:t>
      </w:r>
      <w:r>
        <w:t>).</w:t>
      </w:r>
      <w:bookmarkStart w:id="18" w:name="_Ref144305490"/>
    </w:p>
    <w:p w14:paraId="1E612DA0" w14:textId="692CD124" w:rsidR="00617B61" w:rsidRDefault="00617B61" w:rsidP="0064109D">
      <w:pPr>
        <w:pStyle w:val="Caption"/>
      </w:pPr>
      <w:r>
        <w:t xml:space="preserve">Table </w:t>
      </w:r>
      <w:r w:rsidR="009C163C">
        <w:fldChar w:fldCharType="begin"/>
      </w:r>
      <w:r w:rsidR="009C163C">
        <w:instrText xml:space="preserve"> SEQ Table \* ARABIC </w:instrText>
      </w:r>
      <w:r w:rsidR="009C163C">
        <w:fldChar w:fldCharType="separate"/>
      </w:r>
      <w:r w:rsidR="009D7CE9">
        <w:rPr>
          <w:noProof/>
        </w:rPr>
        <w:t>6</w:t>
      </w:r>
      <w:r w:rsidR="009C163C">
        <w:rPr>
          <w:noProof/>
        </w:rPr>
        <w:fldChar w:fldCharType="end"/>
      </w:r>
      <w:bookmarkEnd w:id="18"/>
      <w:r>
        <w:t xml:space="preserve"> Summary of comparative effectiveness data</w:t>
      </w:r>
    </w:p>
    <w:tbl>
      <w:tblPr>
        <w:tblStyle w:val="TableGrid"/>
        <w:tblW w:w="5000" w:type="pct"/>
        <w:tblLook w:val="04A0" w:firstRow="1" w:lastRow="0" w:firstColumn="1" w:lastColumn="0" w:noHBand="0" w:noVBand="1"/>
      </w:tblPr>
      <w:tblGrid>
        <w:gridCol w:w="1413"/>
        <w:gridCol w:w="1984"/>
        <w:gridCol w:w="5619"/>
      </w:tblGrid>
      <w:tr w:rsidR="007521F3" w:rsidRPr="009847B9" w14:paraId="057C8D6A" w14:textId="77777777" w:rsidTr="0064109D">
        <w:trPr>
          <w:tblHeader/>
        </w:trPr>
        <w:tc>
          <w:tcPr>
            <w:tcW w:w="784" w:type="pct"/>
            <w:shd w:val="clear" w:color="auto" w:fill="auto"/>
            <w:vAlign w:val="center"/>
          </w:tcPr>
          <w:p w14:paraId="10FEFDDD" w14:textId="2B178096" w:rsidR="007521F3" w:rsidRPr="0064109D" w:rsidRDefault="00FF4FBC" w:rsidP="00171AF7">
            <w:pPr>
              <w:rPr>
                <w:rFonts w:ascii="Arial Narrow" w:hAnsi="Arial Narrow"/>
                <w:b/>
                <w:sz w:val="20"/>
                <w:szCs w:val="20"/>
              </w:rPr>
            </w:pPr>
            <w:r w:rsidRPr="0064109D">
              <w:rPr>
                <w:rFonts w:ascii="Arial Narrow" w:hAnsi="Arial Narrow"/>
                <w:b/>
                <w:sz w:val="20"/>
                <w:szCs w:val="20"/>
              </w:rPr>
              <w:t>Section</w:t>
            </w:r>
          </w:p>
        </w:tc>
        <w:tc>
          <w:tcPr>
            <w:tcW w:w="1100" w:type="pct"/>
            <w:shd w:val="clear" w:color="auto" w:fill="auto"/>
            <w:vAlign w:val="center"/>
          </w:tcPr>
          <w:p w14:paraId="215DB0DF" w14:textId="77777777" w:rsidR="007521F3" w:rsidRPr="0064109D" w:rsidRDefault="007521F3" w:rsidP="00171AF7">
            <w:pPr>
              <w:rPr>
                <w:rFonts w:ascii="Arial Narrow" w:hAnsi="Arial Narrow"/>
                <w:b/>
                <w:sz w:val="20"/>
                <w:szCs w:val="20"/>
              </w:rPr>
            </w:pPr>
            <w:r w:rsidRPr="0064109D">
              <w:rPr>
                <w:rFonts w:ascii="Arial Narrow" w:hAnsi="Arial Narrow"/>
                <w:b/>
                <w:sz w:val="20"/>
                <w:szCs w:val="20"/>
              </w:rPr>
              <w:t xml:space="preserve">Settings </w:t>
            </w:r>
          </w:p>
        </w:tc>
        <w:tc>
          <w:tcPr>
            <w:tcW w:w="3116" w:type="pct"/>
            <w:shd w:val="clear" w:color="auto" w:fill="auto"/>
            <w:vAlign w:val="center"/>
          </w:tcPr>
          <w:p w14:paraId="22572D96" w14:textId="77777777" w:rsidR="007521F3" w:rsidRPr="0064109D" w:rsidRDefault="007521F3" w:rsidP="00171AF7">
            <w:pPr>
              <w:rPr>
                <w:rFonts w:ascii="Arial Narrow" w:hAnsi="Arial Narrow"/>
                <w:b/>
                <w:sz w:val="20"/>
                <w:szCs w:val="20"/>
              </w:rPr>
            </w:pPr>
            <w:r w:rsidRPr="0064109D">
              <w:rPr>
                <w:rFonts w:ascii="Arial Narrow" w:hAnsi="Arial Narrow"/>
                <w:b/>
                <w:sz w:val="20"/>
                <w:szCs w:val="20"/>
              </w:rPr>
              <w:t xml:space="preserve">Summary </w:t>
            </w:r>
          </w:p>
        </w:tc>
      </w:tr>
      <w:tr w:rsidR="007521F3" w:rsidRPr="009847B9" w14:paraId="0A54A0E7" w14:textId="77777777" w:rsidTr="0064109D">
        <w:tc>
          <w:tcPr>
            <w:tcW w:w="784" w:type="pct"/>
          </w:tcPr>
          <w:p w14:paraId="1649DEA5" w14:textId="6BFC77E9" w:rsidR="007521F3" w:rsidRPr="0064109D" w:rsidRDefault="007521F3" w:rsidP="002A0A5E">
            <w:pPr>
              <w:spacing w:before="0"/>
              <w:rPr>
                <w:rFonts w:ascii="Arial Narrow" w:hAnsi="Arial Narrow"/>
                <w:sz w:val="20"/>
                <w:szCs w:val="20"/>
              </w:rPr>
            </w:pPr>
            <w:r w:rsidRPr="0064109D">
              <w:rPr>
                <w:rFonts w:ascii="Arial Narrow" w:hAnsi="Arial Narrow"/>
                <w:sz w:val="20"/>
                <w:szCs w:val="20"/>
              </w:rPr>
              <w:t xml:space="preserve">Test </w:t>
            </w:r>
            <w:r w:rsidR="00E90B94">
              <w:rPr>
                <w:rFonts w:ascii="Arial Narrow" w:hAnsi="Arial Narrow"/>
                <w:sz w:val="20"/>
                <w:szCs w:val="20"/>
              </w:rPr>
              <w:t>a</w:t>
            </w:r>
            <w:r w:rsidRPr="0064109D">
              <w:rPr>
                <w:rFonts w:ascii="Arial Narrow" w:hAnsi="Arial Narrow"/>
                <w:sz w:val="20"/>
                <w:szCs w:val="20"/>
              </w:rPr>
              <w:t xml:space="preserve">ccuracy </w:t>
            </w:r>
          </w:p>
        </w:tc>
        <w:tc>
          <w:tcPr>
            <w:tcW w:w="1100" w:type="pct"/>
          </w:tcPr>
          <w:p w14:paraId="2AEF3031" w14:textId="77777777" w:rsidR="007521F3" w:rsidRPr="0064109D" w:rsidRDefault="007521F3" w:rsidP="002A0A5E">
            <w:pPr>
              <w:spacing w:before="0"/>
              <w:rPr>
                <w:rFonts w:ascii="Arial Narrow" w:hAnsi="Arial Narrow"/>
                <w:sz w:val="20"/>
                <w:szCs w:val="20"/>
              </w:rPr>
            </w:pPr>
            <w:r w:rsidRPr="0064109D">
              <w:rPr>
                <w:rFonts w:ascii="Arial Narrow" w:hAnsi="Arial Narrow"/>
                <w:sz w:val="20"/>
                <w:szCs w:val="20"/>
              </w:rPr>
              <w:t xml:space="preserve">Argentina, Australia, Austria, Belgium, Canada, Chile, China, Germany, Hong Kong, Japan, Netherlands, New Zealand, Norway, Peru, Singapore, South Korea, Spain, Sweden, Thailand, UK, USA </w:t>
            </w:r>
          </w:p>
        </w:tc>
        <w:tc>
          <w:tcPr>
            <w:tcW w:w="3116" w:type="pct"/>
          </w:tcPr>
          <w:p w14:paraId="1A01A764" w14:textId="0E995D40" w:rsidR="007521F3" w:rsidRPr="0064109D" w:rsidRDefault="007521F3" w:rsidP="002A0A5E">
            <w:pPr>
              <w:pStyle w:val="ListParagraph"/>
              <w:numPr>
                <w:ilvl w:val="0"/>
                <w:numId w:val="12"/>
              </w:numPr>
              <w:spacing w:before="0"/>
              <w:ind w:left="262" w:hanging="141"/>
              <w:rPr>
                <w:rFonts w:ascii="Arial Narrow" w:hAnsi="Arial Narrow"/>
                <w:sz w:val="20"/>
                <w:szCs w:val="20"/>
              </w:rPr>
            </w:pPr>
            <w:r w:rsidRPr="0064109D">
              <w:rPr>
                <w:rFonts w:ascii="Arial Narrow" w:hAnsi="Arial Narrow"/>
                <w:sz w:val="20"/>
                <w:szCs w:val="20"/>
              </w:rPr>
              <w:t>The ADAR present</w:t>
            </w:r>
            <w:r w:rsidR="00746973">
              <w:rPr>
                <w:rFonts w:ascii="Arial Narrow" w:hAnsi="Arial Narrow"/>
                <w:sz w:val="20"/>
                <w:szCs w:val="20"/>
              </w:rPr>
              <w:t>ed</w:t>
            </w:r>
            <w:r w:rsidRPr="0064109D">
              <w:rPr>
                <w:rFonts w:ascii="Arial Narrow" w:hAnsi="Arial Narrow"/>
                <w:sz w:val="20"/>
                <w:szCs w:val="20"/>
              </w:rPr>
              <w:t xml:space="preserve"> data that justifie</w:t>
            </w:r>
            <w:r w:rsidR="00746973">
              <w:rPr>
                <w:rFonts w:ascii="Arial Narrow" w:hAnsi="Arial Narrow"/>
                <w:sz w:val="20"/>
                <w:szCs w:val="20"/>
              </w:rPr>
              <w:t>d</w:t>
            </w:r>
            <w:r w:rsidRPr="0064109D">
              <w:rPr>
                <w:rFonts w:ascii="Arial Narrow" w:hAnsi="Arial Narrow"/>
                <w:sz w:val="20"/>
                <w:szCs w:val="20"/>
              </w:rPr>
              <w:t xml:space="preserve"> the </w:t>
            </w:r>
            <w:r w:rsidR="006E02C1" w:rsidRPr="0064109D">
              <w:rPr>
                <w:rFonts w:ascii="Arial Narrow" w:hAnsi="Arial Narrow"/>
                <w:sz w:val="20"/>
                <w:szCs w:val="20"/>
              </w:rPr>
              <w:t>ratio cut</w:t>
            </w:r>
            <w:r w:rsidR="00660830" w:rsidRPr="0064109D">
              <w:rPr>
                <w:rFonts w:ascii="Arial Narrow" w:hAnsi="Arial Narrow"/>
                <w:sz w:val="20"/>
                <w:szCs w:val="20"/>
              </w:rPr>
              <w:t>-o</w:t>
            </w:r>
            <w:r w:rsidR="006E02C1" w:rsidRPr="0064109D">
              <w:rPr>
                <w:rFonts w:ascii="Arial Narrow" w:hAnsi="Arial Narrow"/>
                <w:sz w:val="20"/>
                <w:szCs w:val="20"/>
              </w:rPr>
              <w:t>ff</w:t>
            </w:r>
            <w:r w:rsidR="001B6301" w:rsidRPr="0064109D">
              <w:rPr>
                <w:rFonts w:ascii="Arial Narrow" w:hAnsi="Arial Narrow"/>
                <w:sz w:val="20"/>
                <w:szCs w:val="20"/>
              </w:rPr>
              <w:t xml:space="preserve">s and the PROGNOSIS study which was used to validate this is </w:t>
            </w:r>
            <w:r w:rsidR="005D0874" w:rsidRPr="0064109D">
              <w:rPr>
                <w:rFonts w:ascii="Arial Narrow" w:hAnsi="Arial Narrow"/>
                <w:sz w:val="20"/>
                <w:szCs w:val="20"/>
              </w:rPr>
              <w:t>generali</w:t>
            </w:r>
            <w:r w:rsidR="00F04732">
              <w:rPr>
                <w:rFonts w:ascii="Arial Narrow" w:hAnsi="Arial Narrow"/>
                <w:sz w:val="20"/>
                <w:szCs w:val="20"/>
              </w:rPr>
              <w:t>s</w:t>
            </w:r>
            <w:r w:rsidR="005D0874" w:rsidRPr="0064109D">
              <w:rPr>
                <w:rFonts w:ascii="Arial Narrow" w:hAnsi="Arial Narrow"/>
                <w:sz w:val="20"/>
                <w:szCs w:val="20"/>
              </w:rPr>
              <w:t>able to clinical practice</w:t>
            </w:r>
            <w:r w:rsidR="002B2ACB">
              <w:rPr>
                <w:rFonts w:ascii="Arial Narrow" w:hAnsi="Arial Narrow"/>
                <w:sz w:val="20"/>
                <w:szCs w:val="20"/>
              </w:rPr>
              <w:t>.</w:t>
            </w:r>
          </w:p>
          <w:p w14:paraId="35188FE2" w14:textId="6097ABEF" w:rsidR="005D0874" w:rsidRPr="0064109D" w:rsidRDefault="00A525B7" w:rsidP="002A0A5E">
            <w:pPr>
              <w:pStyle w:val="ListParagraph"/>
              <w:numPr>
                <w:ilvl w:val="0"/>
                <w:numId w:val="12"/>
              </w:numPr>
              <w:spacing w:before="0"/>
              <w:ind w:left="262" w:hanging="141"/>
              <w:rPr>
                <w:rFonts w:ascii="Arial Narrow" w:hAnsi="Arial Narrow"/>
                <w:sz w:val="20"/>
                <w:szCs w:val="20"/>
              </w:rPr>
            </w:pPr>
            <w:r w:rsidRPr="0064109D">
              <w:rPr>
                <w:rFonts w:ascii="Arial Narrow" w:hAnsi="Arial Narrow"/>
                <w:sz w:val="20"/>
                <w:szCs w:val="20"/>
              </w:rPr>
              <w:t xml:space="preserve">Across the identified studies, the negative predictive value of sFlt-1:PlGF ratio testing with a cut-off of 38 ranged from 98.6% (97.2%, 99.4%) to 100.0% (97.1%, 100.0%) for ruling out preeclampsia within 1 week. </w:t>
            </w:r>
          </w:p>
        </w:tc>
      </w:tr>
      <w:tr w:rsidR="007521F3" w:rsidRPr="009847B9" w14:paraId="16ACF8F4" w14:textId="77777777" w:rsidTr="0064109D">
        <w:tc>
          <w:tcPr>
            <w:tcW w:w="784" w:type="pct"/>
          </w:tcPr>
          <w:p w14:paraId="6BAD828D" w14:textId="324262AD" w:rsidR="007521F3" w:rsidRPr="0064109D" w:rsidRDefault="00FF4FBC" w:rsidP="002A0A5E">
            <w:pPr>
              <w:spacing w:before="0"/>
              <w:rPr>
                <w:rFonts w:ascii="Arial Narrow" w:hAnsi="Arial Narrow"/>
                <w:sz w:val="20"/>
                <w:szCs w:val="20"/>
              </w:rPr>
            </w:pPr>
            <w:r w:rsidRPr="0064109D">
              <w:rPr>
                <w:rFonts w:ascii="Arial Narrow" w:hAnsi="Arial Narrow"/>
                <w:sz w:val="20"/>
                <w:szCs w:val="20"/>
              </w:rPr>
              <w:t>Limitations and missing data</w:t>
            </w:r>
          </w:p>
        </w:tc>
        <w:tc>
          <w:tcPr>
            <w:tcW w:w="1100" w:type="pct"/>
          </w:tcPr>
          <w:p w14:paraId="7A7643BF" w14:textId="40CFBF7E" w:rsidR="007521F3" w:rsidRPr="0064109D" w:rsidRDefault="006A7713" w:rsidP="002A0A5E">
            <w:pPr>
              <w:spacing w:before="0"/>
              <w:rPr>
                <w:rFonts w:ascii="Arial Narrow" w:hAnsi="Arial Narrow"/>
                <w:sz w:val="20"/>
                <w:szCs w:val="20"/>
              </w:rPr>
            </w:pPr>
            <w:r w:rsidRPr="0064109D">
              <w:rPr>
                <w:rFonts w:ascii="Arial Narrow" w:hAnsi="Arial Narrow"/>
                <w:sz w:val="20"/>
                <w:szCs w:val="20"/>
              </w:rPr>
              <w:t>Frequency of testing</w:t>
            </w:r>
          </w:p>
        </w:tc>
        <w:tc>
          <w:tcPr>
            <w:tcW w:w="3116" w:type="pct"/>
          </w:tcPr>
          <w:p w14:paraId="484F57F6" w14:textId="7BE15A6D" w:rsidR="00790278" w:rsidRPr="0064109D" w:rsidRDefault="003B5E0F" w:rsidP="002A0A5E">
            <w:pPr>
              <w:pStyle w:val="ListParagraph"/>
              <w:numPr>
                <w:ilvl w:val="0"/>
                <w:numId w:val="12"/>
              </w:numPr>
              <w:spacing w:before="0"/>
              <w:ind w:left="262" w:hanging="141"/>
              <w:rPr>
                <w:rFonts w:ascii="Arial Narrow" w:hAnsi="Arial Narrow"/>
                <w:sz w:val="20"/>
                <w:szCs w:val="20"/>
              </w:rPr>
            </w:pPr>
            <w:r w:rsidRPr="0064109D">
              <w:rPr>
                <w:rFonts w:ascii="Arial Narrow" w:hAnsi="Arial Narrow"/>
                <w:sz w:val="20"/>
                <w:szCs w:val="20"/>
              </w:rPr>
              <w:t>Frequency of testing was not addressed in the ADAR</w:t>
            </w:r>
            <w:r w:rsidR="002B2ACB">
              <w:rPr>
                <w:rFonts w:ascii="Arial Narrow" w:hAnsi="Arial Narrow"/>
                <w:sz w:val="20"/>
                <w:szCs w:val="20"/>
              </w:rPr>
              <w:t>.</w:t>
            </w:r>
          </w:p>
          <w:p w14:paraId="2611DF37" w14:textId="42FE482C" w:rsidR="007521F3" w:rsidRPr="0064109D" w:rsidRDefault="00A63C19" w:rsidP="002A0A5E">
            <w:pPr>
              <w:pStyle w:val="ListParagraph"/>
              <w:numPr>
                <w:ilvl w:val="0"/>
                <w:numId w:val="12"/>
              </w:numPr>
              <w:spacing w:before="0"/>
              <w:ind w:left="262" w:hanging="141"/>
              <w:rPr>
                <w:rFonts w:ascii="Arial Narrow" w:hAnsi="Arial Narrow"/>
                <w:sz w:val="20"/>
                <w:szCs w:val="20"/>
              </w:rPr>
            </w:pPr>
            <w:r w:rsidRPr="0064109D">
              <w:rPr>
                <w:rFonts w:ascii="Arial Narrow" w:hAnsi="Arial Narrow"/>
                <w:sz w:val="20"/>
                <w:szCs w:val="20"/>
              </w:rPr>
              <w:t xml:space="preserve">Only one trial was presented in the ADAR </w:t>
            </w:r>
            <w:r w:rsidR="00961A85">
              <w:rPr>
                <w:rFonts w:ascii="Arial Narrow" w:hAnsi="Arial Narrow"/>
                <w:sz w:val="20"/>
                <w:szCs w:val="20"/>
              </w:rPr>
              <w:t>for</w:t>
            </w:r>
            <w:r w:rsidRPr="0064109D">
              <w:rPr>
                <w:rFonts w:ascii="Arial Narrow" w:hAnsi="Arial Narrow"/>
                <w:sz w:val="20"/>
                <w:szCs w:val="20"/>
              </w:rPr>
              <w:t xml:space="preserve"> </w:t>
            </w:r>
            <w:r w:rsidR="00361C11" w:rsidRPr="0064109D">
              <w:rPr>
                <w:rFonts w:ascii="Arial Narrow" w:hAnsi="Arial Narrow"/>
                <w:sz w:val="20"/>
                <w:szCs w:val="20"/>
              </w:rPr>
              <w:t xml:space="preserve">multiple pregnancies, </w:t>
            </w:r>
            <w:r w:rsidR="006A7713" w:rsidRPr="0064109D">
              <w:rPr>
                <w:rFonts w:ascii="Arial Narrow" w:hAnsi="Arial Narrow"/>
                <w:sz w:val="20"/>
                <w:szCs w:val="20"/>
              </w:rPr>
              <w:t xml:space="preserve">and no evidence was presented </w:t>
            </w:r>
            <w:r w:rsidR="00961A85">
              <w:rPr>
                <w:rFonts w:ascii="Arial Narrow" w:hAnsi="Arial Narrow"/>
                <w:sz w:val="20"/>
                <w:szCs w:val="20"/>
              </w:rPr>
              <w:t>for</w:t>
            </w:r>
            <w:r w:rsidR="006A7713" w:rsidRPr="0064109D">
              <w:rPr>
                <w:rFonts w:ascii="Arial Narrow" w:hAnsi="Arial Narrow"/>
                <w:sz w:val="20"/>
                <w:szCs w:val="20"/>
              </w:rPr>
              <w:t xml:space="preserve"> serial testing in multiple pregnancies</w:t>
            </w:r>
            <w:r w:rsidR="002B2ACB">
              <w:rPr>
                <w:rFonts w:ascii="Arial Narrow" w:hAnsi="Arial Narrow"/>
                <w:sz w:val="20"/>
                <w:szCs w:val="20"/>
              </w:rPr>
              <w:t>.</w:t>
            </w:r>
          </w:p>
        </w:tc>
      </w:tr>
      <w:tr w:rsidR="007521F3" w:rsidRPr="009847B9" w14:paraId="08B56F5C" w14:textId="77777777" w:rsidTr="0064109D">
        <w:tc>
          <w:tcPr>
            <w:tcW w:w="784" w:type="pct"/>
          </w:tcPr>
          <w:p w14:paraId="04D7766C" w14:textId="11308063" w:rsidR="007521F3" w:rsidRPr="0064109D" w:rsidRDefault="00FF4FBC" w:rsidP="002A0A5E">
            <w:pPr>
              <w:spacing w:before="0"/>
              <w:rPr>
                <w:rFonts w:ascii="Arial Narrow" w:hAnsi="Arial Narrow"/>
                <w:sz w:val="20"/>
                <w:szCs w:val="20"/>
              </w:rPr>
            </w:pPr>
            <w:r w:rsidRPr="0064109D">
              <w:rPr>
                <w:rFonts w:ascii="Arial Narrow" w:hAnsi="Arial Narrow"/>
                <w:sz w:val="20"/>
                <w:szCs w:val="20"/>
              </w:rPr>
              <w:t>Change in management</w:t>
            </w:r>
          </w:p>
        </w:tc>
        <w:tc>
          <w:tcPr>
            <w:tcW w:w="1100" w:type="pct"/>
          </w:tcPr>
          <w:p w14:paraId="58E6AF2D" w14:textId="7B16A0AA" w:rsidR="007521F3" w:rsidRPr="0064109D" w:rsidRDefault="00693216" w:rsidP="002A0A5E">
            <w:pPr>
              <w:spacing w:before="0"/>
              <w:rPr>
                <w:rFonts w:ascii="Arial Narrow" w:hAnsi="Arial Narrow"/>
                <w:sz w:val="20"/>
                <w:szCs w:val="20"/>
              </w:rPr>
            </w:pPr>
            <w:r w:rsidRPr="0064109D">
              <w:rPr>
                <w:rFonts w:ascii="Arial Narrow" w:hAnsi="Arial Narrow"/>
                <w:sz w:val="20"/>
                <w:szCs w:val="20"/>
              </w:rPr>
              <w:t xml:space="preserve">Variability in the </w:t>
            </w:r>
            <w:r w:rsidR="00951493" w:rsidRPr="0064109D">
              <w:rPr>
                <w:rFonts w:ascii="Arial Narrow" w:hAnsi="Arial Narrow"/>
                <w:sz w:val="20"/>
                <w:szCs w:val="20"/>
              </w:rPr>
              <w:t>evidence presented</w:t>
            </w:r>
          </w:p>
        </w:tc>
        <w:tc>
          <w:tcPr>
            <w:tcW w:w="3116" w:type="pct"/>
          </w:tcPr>
          <w:p w14:paraId="21F8C514" w14:textId="30239C5F" w:rsidR="00161FC1" w:rsidRPr="0064109D" w:rsidRDefault="00161FC1" w:rsidP="002A0A5E">
            <w:pPr>
              <w:pStyle w:val="ListParagraph"/>
              <w:numPr>
                <w:ilvl w:val="0"/>
                <w:numId w:val="12"/>
              </w:numPr>
              <w:spacing w:before="0"/>
              <w:ind w:left="262" w:hanging="141"/>
              <w:rPr>
                <w:rFonts w:ascii="Arial Narrow" w:hAnsi="Arial Narrow"/>
                <w:sz w:val="20"/>
                <w:szCs w:val="20"/>
              </w:rPr>
            </w:pPr>
            <w:r w:rsidRPr="0064109D">
              <w:rPr>
                <w:rFonts w:ascii="Arial Narrow" w:hAnsi="Arial Narrow"/>
                <w:sz w:val="20"/>
                <w:szCs w:val="20"/>
              </w:rPr>
              <w:t>Results presented in the ADAR were highly variable</w:t>
            </w:r>
            <w:r w:rsidR="00693216" w:rsidRPr="0064109D">
              <w:rPr>
                <w:rFonts w:ascii="Arial Narrow" w:hAnsi="Arial Narrow"/>
                <w:sz w:val="20"/>
                <w:szCs w:val="20"/>
              </w:rPr>
              <w:t xml:space="preserve">, and no explanation </w:t>
            </w:r>
            <w:r w:rsidR="002B02F5">
              <w:rPr>
                <w:rFonts w:ascii="Arial Narrow" w:hAnsi="Arial Narrow"/>
                <w:sz w:val="20"/>
                <w:szCs w:val="20"/>
              </w:rPr>
              <w:t>wa</w:t>
            </w:r>
            <w:r w:rsidR="00693216" w:rsidRPr="0064109D">
              <w:rPr>
                <w:rFonts w:ascii="Arial Narrow" w:hAnsi="Arial Narrow"/>
                <w:sz w:val="20"/>
                <w:szCs w:val="20"/>
              </w:rPr>
              <w:t>s provided for the large differences</w:t>
            </w:r>
            <w:r w:rsidR="002B2ACB">
              <w:rPr>
                <w:rFonts w:ascii="Arial Narrow" w:hAnsi="Arial Narrow"/>
                <w:sz w:val="20"/>
                <w:szCs w:val="20"/>
              </w:rPr>
              <w:t>.</w:t>
            </w:r>
          </w:p>
          <w:p w14:paraId="24DB360E" w14:textId="5C63ABB7" w:rsidR="007521F3" w:rsidRPr="0064109D" w:rsidRDefault="00797973" w:rsidP="002A0A5E">
            <w:pPr>
              <w:pStyle w:val="ListParagraph"/>
              <w:numPr>
                <w:ilvl w:val="0"/>
                <w:numId w:val="12"/>
              </w:numPr>
              <w:spacing w:before="0"/>
              <w:ind w:left="262" w:hanging="141"/>
              <w:rPr>
                <w:rFonts w:ascii="Arial Narrow" w:hAnsi="Arial Narrow"/>
                <w:sz w:val="20"/>
                <w:szCs w:val="20"/>
              </w:rPr>
            </w:pPr>
            <w:r w:rsidRPr="0064109D">
              <w:rPr>
                <w:rFonts w:ascii="Arial Narrow" w:hAnsi="Arial Narrow"/>
                <w:sz w:val="20"/>
                <w:szCs w:val="20"/>
              </w:rPr>
              <w:t xml:space="preserve">One study showed an increase in hospital admissions </w:t>
            </w:r>
            <w:r w:rsidRPr="00C77517">
              <w:rPr>
                <w:rFonts w:ascii="Arial Narrow" w:hAnsi="Arial Narrow"/>
                <w:strike/>
                <w:sz w:val="20"/>
                <w:szCs w:val="20"/>
              </w:rPr>
              <w:t>(+21.1%</w:t>
            </w:r>
            <w:r w:rsidR="00AC3E96">
              <w:rPr>
                <w:rFonts w:ascii="Arial Narrow" w:hAnsi="Arial Narrow"/>
                <w:sz w:val="20"/>
                <w:szCs w:val="20"/>
              </w:rPr>
              <w:t xml:space="preserve"> </w:t>
            </w:r>
            <w:r w:rsidR="00AC3E96" w:rsidRPr="00C77517">
              <w:rPr>
                <w:rFonts w:ascii="Arial Narrow" w:hAnsi="Arial Narrow"/>
                <w:i/>
                <w:iCs/>
                <w:color w:val="0070C0"/>
                <w:sz w:val="20"/>
                <w:szCs w:val="20"/>
              </w:rPr>
              <w:t>+</w:t>
            </w:r>
            <w:r w:rsidR="009A3B77" w:rsidRPr="00C77517">
              <w:rPr>
                <w:rFonts w:ascii="Arial Narrow" w:hAnsi="Arial Narrow"/>
                <w:i/>
                <w:iCs/>
                <w:color w:val="0070C0"/>
                <w:sz w:val="20"/>
                <w:szCs w:val="20"/>
              </w:rPr>
              <w:t>23.7%</w:t>
            </w:r>
            <w:r w:rsidRPr="0064109D">
              <w:rPr>
                <w:rFonts w:ascii="Arial Narrow" w:hAnsi="Arial Narrow"/>
                <w:sz w:val="20"/>
                <w:szCs w:val="20"/>
              </w:rPr>
              <w:t>), and 2 studies show</w:t>
            </w:r>
            <w:r w:rsidR="002B02F5">
              <w:rPr>
                <w:rFonts w:ascii="Arial Narrow" w:hAnsi="Arial Narrow"/>
                <w:sz w:val="20"/>
                <w:szCs w:val="20"/>
              </w:rPr>
              <w:t>ed</w:t>
            </w:r>
            <w:r w:rsidRPr="0064109D">
              <w:rPr>
                <w:rFonts w:ascii="Arial Narrow" w:hAnsi="Arial Narrow"/>
                <w:sz w:val="20"/>
                <w:szCs w:val="20"/>
              </w:rPr>
              <w:t xml:space="preserve"> decreases in admissions </w:t>
            </w:r>
            <w:r w:rsidRPr="00C77517">
              <w:rPr>
                <w:rFonts w:ascii="Arial Narrow" w:hAnsi="Arial Narrow"/>
                <w:strike/>
                <w:sz w:val="20"/>
                <w:szCs w:val="20"/>
              </w:rPr>
              <w:t>(-72%</w:t>
            </w:r>
            <w:r w:rsidR="009A3B77">
              <w:rPr>
                <w:rFonts w:ascii="Arial Narrow" w:hAnsi="Arial Narrow"/>
                <w:sz w:val="20"/>
                <w:szCs w:val="20"/>
              </w:rPr>
              <w:t xml:space="preserve"> </w:t>
            </w:r>
            <w:r w:rsidR="00F36878" w:rsidRPr="00F36878">
              <w:rPr>
                <w:rFonts w:ascii="Cambria Math" w:hAnsi="Cambria Math" w:cs="Cambria Math"/>
                <w:i/>
                <w:iCs/>
                <w:color w:val="0070C0"/>
                <w:sz w:val="20"/>
                <w:szCs w:val="20"/>
              </w:rPr>
              <w:t>‑</w:t>
            </w:r>
            <w:r w:rsidR="002F1CE5" w:rsidRPr="00C77517">
              <w:rPr>
                <w:rFonts w:ascii="Arial Narrow" w:hAnsi="Arial Narrow"/>
                <w:i/>
                <w:iCs/>
                <w:color w:val="0070C0"/>
                <w:sz w:val="20"/>
                <w:szCs w:val="20"/>
              </w:rPr>
              <w:t>53.3%</w:t>
            </w:r>
            <w:r w:rsidRPr="0064109D">
              <w:rPr>
                <w:rFonts w:ascii="Arial Narrow" w:hAnsi="Arial Narrow"/>
                <w:sz w:val="20"/>
                <w:szCs w:val="20"/>
              </w:rPr>
              <w:t xml:space="preserve"> </w:t>
            </w:r>
            <w:r w:rsidR="00F36878">
              <w:rPr>
                <w:rFonts w:ascii="Arial Narrow" w:hAnsi="Arial Narrow"/>
                <w:sz w:val="20"/>
                <w:szCs w:val="20"/>
              </w:rPr>
              <w:t xml:space="preserve">and </w:t>
            </w:r>
            <w:r w:rsidRPr="00C77517">
              <w:rPr>
                <w:rFonts w:ascii="Arial Narrow" w:hAnsi="Arial Narrow"/>
                <w:strike/>
                <w:sz w:val="20"/>
                <w:szCs w:val="20"/>
              </w:rPr>
              <w:t>-16.2%</w:t>
            </w:r>
            <w:r w:rsidR="002F1CE5">
              <w:rPr>
                <w:rFonts w:ascii="Arial Narrow" w:hAnsi="Arial Narrow"/>
                <w:sz w:val="20"/>
                <w:szCs w:val="20"/>
              </w:rPr>
              <w:t xml:space="preserve"> </w:t>
            </w:r>
            <w:r w:rsidR="002F1CE5" w:rsidRPr="00C77517">
              <w:rPr>
                <w:rFonts w:ascii="Arial Narrow" w:hAnsi="Arial Narrow"/>
                <w:i/>
                <w:iCs/>
                <w:color w:val="0070C0"/>
                <w:sz w:val="20"/>
                <w:szCs w:val="20"/>
              </w:rPr>
              <w:t>-15.0%</w:t>
            </w:r>
            <w:r w:rsidRPr="0064109D">
              <w:rPr>
                <w:rFonts w:ascii="Arial Narrow" w:hAnsi="Arial Narrow"/>
                <w:sz w:val="20"/>
                <w:szCs w:val="20"/>
              </w:rPr>
              <w:t>).</w:t>
            </w:r>
          </w:p>
        </w:tc>
      </w:tr>
      <w:tr w:rsidR="007521F3" w:rsidRPr="009847B9" w14:paraId="7C8615DF" w14:textId="77777777" w:rsidTr="0064109D">
        <w:tc>
          <w:tcPr>
            <w:tcW w:w="784" w:type="pct"/>
          </w:tcPr>
          <w:p w14:paraId="337DDFB5" w14:textId="0A082F61" w:rsidR="007521F3" w:rsidRPr="0064109D" w:rsidRDefault="00FF4FBC" w:rsidP="002A0A5E">
            <w:pPr>
              <w:spacing w:before="0"/>
              <w:rPr>
                <w:rFonts w:ascii="Arial Narrow" w:hAnsi="Arial Narrow"/>
                <w:sz w:val="20"/>
                <w:szCs w:val="20"/>
              </w:rPr>
            </w:pPr>
            <w:r w:rsidRPr="0064109D">
              <w:rPr>
                <w:rFonts w:ascii="Arial Narrow" w:hAnsi="Arial Narrow"/>
                <w:sz w:val="20"/>
                <w:szCs w:val="20"/>
              </w:rPr>
              <w:t>Health outcomes</w:t>
            </w:r>
          </w:p>
        </w:tc>
        <w:tc>
          <w:tcPr>
            <w:tcW w:w="1100" w:type="pct"/>
          </w:tcPr>
          <w:p w14:paraId="7EFC00EF" w14:textId="7FE13362" w:rsidR="007521F3" w:rsidRPr="0064109D" w:rsidRDefault="00F7575B" w:rsidP="002A0A5E">
            <w:pPr>
              <w:spacing w:before="0"/>
              <w:rPr>
                <w:rFonts w:ascii="Arial Narrow" w:hAnsi="Arial Narrow"/>
                <w:sz w:val="20"/>
                <w:szCs w:val="20"/>
              </w:rPr>
            </w:pPr>
            <w:r w:rsidRPr="0064109D">
              <w:rPr>
                <w:rFonts w:ascii="Arial Narrow" w:hAnsi="Arial Narrow"/>
                <w:sz w:val="20"/>
                <w:szCs w:val="20"/>
              </w:rPr>
              <w:t>Long-term health outcomes</w:t>
            </w:r>
          </w:p>
        </w:tc>
        <w:tc>
          <w:tcPr>
            <w:tcW w:w="3116" w:type="pct"/>
          </w:tcPr>
          <w:p w14:paraId="6AAC6C42" w14:textId="5BCADE3F" w:rsidR="007521F3" w:rsidRPr="0064109D" w:rsidRDefault="00184B64" w:rsidP="002A0A5E">
            <w:pPr>
              <w:pStyle w:val="ListParagraph"/>
              <w:numPr>
                <w:ilvl w:val="0"/>
                <w:numId w:val="12"/>
              </w:numPr>
              <w:spacing w:before="0"/>
              <w:ind w:left="262" w:hanging="141"/>
              <w:rPr>
                <w:rFonts w:ascii="Arial Narrow" w:hAnsi="Arial Narrow"/>
                <w:sz w:val="20"/>
                <w:szCs w:val="20"/>
              </w:rPr>
            </w:pPr>
            <w:r w:rsidRPr="0064109D">
              <w:rPr>
                <w:rFonts w:ascii="Arial Narrow" w:hAnsi="Arial Narrow"/>
                <w:sz w:val="20"/>
                <w:szCs w:val="20"/>
              </w:rPr>
              <w:t xml:space="preserve">The ADAR stated that results of the test were not expected to influence the incidence or severity of preeclampsia and knowledge of test results </w:t>
            </w:r>
            <w:r w:rsidR="00F7575B" w:rsidRPr="0064109D">
              <w:rPr>
                <w:rFonts w:ascii="Arial Narrow" w:hAnsi="Arial Narrow"/>
                <w:sz w:val="20"/>
                <w:szCs w:val="20"/>
              </w:rPr>
              <w:t>was</w:t>
            </w:r>
            <w:r w:rsidRPr="0064109D">
              <w:rPr>
                <w:rFonts w:ascii="Arial Narrow" w:hAnsi="Arial Narrow"/>
                <w:sz w:val="20"/>
                <w:szCs w:val="20"/>
              </w:rPr>
              <w:t xml:space="preserve"> not expected to influence health outcomes.</w:t>
            </w:r>
          </w:p>
          <w:p w14:paraId="24BCDD64" w14:textId="6132C0ED" w:rsidR="007521F3" w:rsidRPr="0064109D" w:rsidRDefault="00F7575B" w:rsidP="002A0A5E">
            <w:pPr>
              <w:pStyle w:val="ListParagraph"/>
              <w:numPr>
                <w:ilvl w:val="0"/>
                <w:numId w:val="12"/>
              </w:numPr>
              <w:spacing w:before="0"/>
              <w:ind w:left="262" w:hanging="141"/>
              <w:rPr>
                <w:rFonts w:ascii="Arial Narrow" w:hAnsi="Arial Narrow"/>
                <w:sz w:val="20"/>
                <w:szCs w:val="20"/>
              </w:rPr>
            </w:pPr>
            <w:r w:rsidRPr="0064109D">
              <w:rPr>
                <w:rFonts w:ascii="Arial Narrow" w:hAnsi="Arial Narrow"/>
                <w:sz w:val="20"/>
                <w:szCs w:val="20"/>
              </w:rPr>
              <w:t xml:space="preserve">However, </w:t>
            </w:r>
            <w:r w:rsidR="00B9223C" w:rsidRPr="0064109D">
              <w:rPr>
                <w:rFonts w:ascii="Arial Narrow" w:hAnsi="Arial Narrow"/>
                <w:sz w:val="20"/>
                <w:szCs w:val="20"/>
              </w:rPr>
              <w:t>NICE DSU model included long</w:t>
            </w:r>
            <w:r w:rsidR="00DC29C3">
              <w:rPr>
                <w:rFonts w:ascii="Arial Narrow" w:hAnsi="Arial Narrow"/>
                <w:sz w:val="20"/>
                <w:szCs w:val="20"/>
              </w:rPr>
              <w:t>-</w:t>
            </w:r>
            <w:r w:rsidR="00B9223C" w:rsidRPr="0064109D">
              <w:rPr>
                <w:rFonts w:ascii="Arial Narrow" w:hAnsi="Arial Narrow"/>
                <w:sz w:val="20"/>
                <w:szCs w:val="20"/>
              </w:rPr>
              <w:t xml:space="preserve">term health outcomes, including </w:t>
            </w:r>
            <w:r w:rsidRPr="0064109D">
              <w:rPr>
                <w:rFonts w:ascii="Arial Narrow" w:hAnsi="Arial Narrow"/>
                <w:sz w:val="20"/>
                <w:szCs w:val="20"/>
              </w:rPr>
              <w:t>mortality, for gestational parent and infant.</w:t>
            </w:r>
          </w:p>
        </w:tc>
      </w:tr>
      <w:tr w:rsidR="007521F3" w:rsidRPr="009847B9" w14:paraId="69E28FD4" w14:textId="77777777" w:rsidTr="0064109D">
        <w:tc>
          <w:tcPr>
            <w:tcW w:w="784" w:type="pct"/>
          </w:tcPr>
          <w:p w14:paraId="3F021654" w14:textId="1AA7BF6C" w:rsidR="007521F3" w:rsidRPr="0064109D" w:rsidRDefault="00FF4FBC" w:rsidP="002A0A5E">
            <w:pPr>
              <w:spacing w:before="0"/>
              <w:rPr>
                <w:rFonts w:ascii="Arial Narrow" w:hAnsi="Arial Narrow"/>
                <w:sz w:val="20"/>
                <w:szCs w:val="20"/>
              </w:rPr>
            </w:pPr>
            <w:r w:rsidRPr="0064109D">
              <w:rPr>
                <w:rFonts w:ascii="Arial Narrow" w:hAnsi="Arial Narrow"/>
                <w:sz w:val="20"/>
                <w:szCs w:val="20"/>
              </w:rPr>
              <w:t>Clinical claim</w:t>
            </w:r>
          </w:p>
        </w:tc>
        <w:tc>
          <w:tcPr>
            <w:tcW w:w="1100" w:type="pct"/>
          </w:tcPr>
          <w:p w14:paraId="4E1F7A58" w14:textId="1C3FDFE3" w:rsidR="007521F3" w:rsidRPr="0064109D" w:rsidRDefault="00F677AB" w:rsidP="002A0A5E">
            <w:pPr>
              <w:spacing w:before="0"/>
              <w:rPr>
                <w:rFonts w:ascii="Arial Narrow" w:hAnsi="Arial Narrow"/>
                <w:sz w:val="20"/>
                <w:szCs w:val="20"/>
              </w:rPr>
            </w:pPr>
            <w:r w:rsidRPr="0064109D">
              <w:rPr>
                <w:rFonts w:ascii="Arial Narrow" w:hAnsi="Arial Narrow"/>
                <w:sz w:val="20"/>
                <w:szCs w:val="20"/>
              </w:rPr>
              <w:t>Additional</w:t>
            </w:r>
            <w:r w:rsidR="005D028D" w:rsidRPr="0064109D">
              <w:rPr>
                <w:rFonts w:ascii="Arial Narrow" w:hAnsi="Arial Narrow"/>
                <w:sz w:val="20"/>
                <w:szCs w:val="20"/>
              </w:rPr>
              <w:t xml:space="preserve"> safety concerns</w:t>
            </w:r>
          </w:p>
        </w:tc>
        <w:tc>
          <w:tcPr>
            <w:tcW w:w="3116" w:type="pct"/>
          </w:tcPr>
          <w:p w14:paraId="28A5560A" w14:textId="73202AD2" w:rsidR="007521F3" w:rsidRPr="0064109D" w:rsidRDefault="005D028D" w:rsidP="002A0A5E">
            <w:pPr>
              <w:pStyle w:val="ListParagraph"/>
              <w:numPr>
                <w:ilvl w:val="0"/>
                <w:numId w:val="12"/>
              </w:numPr>
              <w:spacing w:before="0"/>
              <w:ind w:left="262" w:hanging="141"/>
              <w:rPr>
                <w:rFonts w:ascii="Arial Narrow" w:hAnsi="Arial Narrow"/>
                <w:sz w:val="20"/>
                <w:szCs w:val="20"/>
              </w:rPr>
            </w:pPr>
            <w:r w:rsidRPr="0064109D">
              <w:rPr>
                <w:rFonts w:ascii="Arial Narrow" w:hAnsi="Arial Narrow"/>
                <w:sz w:val="20"/>
                <w:szCs w:val="20"/>
              </w:rPr>
              <w:t>W</w:t>
            </w:r>
            <w:r w:rsidR="005D27FF" w:rsidRPr="0064109D">
              <w:rPr>
                <w:rFonts w:ascii="Arial Narrow" w:hAnsi="Arial Narrow"/>
                <w:sz w:val="20"/>
                <w:szCs w:val="20"/>
              </w:rPr>
              <w:t>hile there was considerable uncertainty in the clinical evidence presented, the applicant’s claim that the addition of testing resulted in no change in adverse outcomes compared with current standard of care</w:t>
            </w:r>
            <w:r w:rsidRPr="0064109D">
              <w:rPr>
                <w:rFonts w:ascii="Arial Narrow" w:hAnsi="Arial Narrow"/>
                <w:sz w:val="20"/>
                <w:szCs w:val="20"/>
              </w:rPr>
              <w:t xml:space="preserve"> was considered reasonable </w:t>
            </w:r>
            <w:r w:rsidR="002B02F5">
              <w:rPr>
                <w:rFonts w:ascii="Arial Narrow" w:hAnsi="Arial Narrow"/>
                <w:sz w:val="20"/>
                <w:szCs w:val="20"/>
              </w:rPr>
              <w:t>by</w:t>
            </w:r>
            <w:r w:rsidRPr="0064109D">
              <w:rPr>
                <w:rFonts w:ascii="Arial Narrow" w:hAnsi="Arial Narrow"/>
                <w:sz w:val="20"/>
                <w:szCs w:val="20"/>
              </w:rPr>
              <w:t xml:space="preserve"> the commentary</w:t>
            </w:r>
            <w:r w:rsidR="002B2ACB">
              <w:rPr>
                <w:rFonts w:ascii="Arial Narrow" w:hAnsi="Arial Narrow"/>
                <w:sz w:val="20"/>
                <w:szCs w:val="20"/>
              </w:rPr>
              <w:t>.</w:t>
            </w:r>
          </w:p>
        </w:tc>
      </w:tr>
    </w:tbl>
    <w:p w14:paraId="07FD1799" w14:textId="396CB299" w:rsidR="007D6262" w:rsidRPr="00D4165A" w:rsidRDefault="007D6262" w:rsidP="007D6262">
      <w:pPr>
        <w:spacing w:before="0"/>
        <w:contextualSpacing/>
        <w:rPr>
          <w:rFonts w:ascii="Arial Narrow" w:hAnsi="Arial Narrow"/>
          <w:sz w:val="18"/>
          <w:szCs w:val="18"/>
        </w:rPr>
      </w:pPr>
      <w:r w:rsidRPr="0085459D">
        <w:rPr>
          <w:rFonts w:ascii="Arial Narrow" w:hAnsi="Arial Narrow"/>
          <w:b/>
          <w:bCs/>
          <w:sz w:val="18"/>
          <w:szCs w:val="18"/>
          <w:u w:val="single"/>
        </w:rPr>
        <w:t>Abbreviations</w:t>
      </w:r>
      <w:r w:rsidR="00B7642F" w:rsidRPr="00C577B3">
        <w:rPr>
          <w:rFonts w:ascii="Arial Narrow" w:hAnsi="Arial Narrow"/>
          <w:b/>
          <w:bCs/>
          <w:sz w:val="18"/>
          <w:szCs w:val="18"/>
        </w:rPr>
        <w:t>:</w:t>
      </w:r>
      <w:r w:rsidR="00B7642F">
        <w:rPr>
          <w:rFonts w:ascii="Arial Narrow" w:hAnsi="Arial Narrow"/>
          <w:b/>
          <w:bCs/>
          <w:sz w:val="18"/>
          <w:szCs w:val="18"/>
        </w:rPr>
        <w:t xml:space="preserve"> </w:t>
      </w:r>
      <w:r>
        <w:rPr>
          <w:rFonts w:ascii="Arial Narrow" w:hAnsi="Arial Narrow"/>
          <w:b/>
          <w:bCs/>
          <w:sz w:val="18"/>
          <w:szCs w:val="18"/>
        </w:rPr>
        <w:t xml:space="preserve">ADAR </w:t>
      </w:r>
      <w:r w:rsidRPr="0064109D">
        <w:rPr>
          <w:rFonts w:ascii="Arial Narrow" w:hAnsi="Arial Narrow"/>
          <w:sz w:val="18"/>
          <w:szCs w:val="18"/>
        </w:rPr>
        <w:t xml:space="preserve">= </w:t>
      </w:r>
      <w:r w:rsidR="00A639DE" w:rsidRPr="0064109D">
        <w:rPr>
          <w:rFonts w:ascii="Arial Narrow" w:hAnsi="Arial Narrow"/>
          <w:sz w:val="18"/>
          <w:szCs w:val="18"/>
        </w:rPr>
        <w:t>applicant developed assessment report</w:t>
      </w:r>
      <w:r w:rsidRPr="00A639DE">
        <w:rPr>
          <w:rFonts w:ascii="Arial Narrow" w:hAnsi="Arial Narrow"/>
          <w:sz w:val="18"/>
          <w:szCs w:val="18"/>
        </w:rPr>
        <w:t>,</w:t>
      </w:r>
      <w:r w:rsidR="006411C2">
        <w:rPr>
          <w:rFonts w:ascii="Arial Narrow" w:hAnsi="Arial Narrow"/>
          <w:sz w:val="18"/>
          <w:szCs w:val="18"/>
        </w:rPr>
        <w:t xml:space="preserve"> </w:t>
      </w:r>
      <w:r w:rsidR="006411C2" w:rsidRPr="0064109D">
        <w:rPr>
          <w:rFonts w:ascii="Arial Narrow" w:hAnsi="Arial Narrow"/>
          <w:b/>
          <w:bCs/>
          <w:sz w:val="18"/>
          <w:szCs w:val="18"/>
        </w:rPr>
        <w:t>DSU</w:t>
      </w:r>
      <w:r w:rsidR="006411C2">
        <w:rPr>
          <w:rFonts w:ascii="Arial Narrow" w:hAnsi="Arial Narrow"/>
          <w:sz w:val="18"/>
          <w:szCs w:val="18"/>
        </w:rPr>
        <w:t xml:space="preserve"> = Decision Support Unit,</w:t>
      </w:r>
      <w:r>
        <w:rPr>
          <w:rFonts w:ascii="Arial Narrow" w:hAnsi="Arial Narrow"/>
          <w:sz w:val="18"/>
          <w:szCs w:val="18"/>
        </w:rPr>
        <w:t xml:space="preserve"> </w:t>
      </w:r>
      <w:r w:rsidRPr="00956E33">
        <w:rPr>
          <w:rFonts w:ascii="Arial Narrow" w:hAnsi="Arial Narrow"/>
          <w:b/>
          <w:bCs/>
          <w:sz w:val="18"/>
          <w:szCs w:val="18"/>
        </w:rPr>
        <w:t>sFlt-1:</w:t>
      </w:r>
      <w:r w:rsidRPr="00F354AE">
        <w:rPr>
          <w:rFonts w:ascii="Arial Narrow" w:hAnsi="Arial Narrow"/>
          <w:b/>
          <w:bCs/>
          <w:sz w:val="18"/>
          <w:szCs w:val="18"/>
        </w:rPr>
        <w:t>PlGF</w:t>
      </w:r>
      <w:r>
        <w:rPr>
          <w:rFonts w:ascii="Arial Narrow" w:hAnsi="Arial Narrow"/>
          <w:sz w:val="18"/>
          <w:szCs w:val="18"/>
        </w:rPr>
        <w:t xml:space="preserve"> = </w:t>
      </w:r>
      <w:r w:rsidRPr="00B9763A">
        <w:rPr>
          <w:rFonts w:ascii="Arial Narrow" w:hAnsi="Arial Narrow"/>
          <w:sz w:val="18"/>
          <w:szCs w:val="18"/>
        </w:rPr>
        <w:t>soluble FMS-like tyrosine kinase-1:placental growth factor</w:t>
      </w:r>
    </w:p>
    <w:p w14:paraId="3224B180" w14:textId="77777777" w:rsidR="00CC2B17" w:rsidRDefault="007D6262" w:rsidP="00046C26">
      <w:pPr>
        <w:spacing w:before="0"/>
        <w:contextualSpacing/>
        <w:rPr>
          <w:rFonts w:ascii="Arial Narrow" w:eastAsia="Calibri" w:hAnsi="Arial Narrow" w:cs="Arial"/>
          <w:snapToGrid w:val="0"/>
          <w:sz w:val="18"/>
          <w:szCs w:val="20"/>
          <w:lang w:eastAsia="en-AU"/>
        </w:rPr>
      </w:pPr>
      <w:r w:rsidRPr="005D1F7A">
        <w:rPr>
          <w:rFonts w:ascii="Arial Narrow" w:hAnsi="Arial Narrow"/>
          <w:b/>
          <w:bCs/>
          <w:sz w:val="18"/>
          <w:szCs w:val="18"/>
          <w:u w:val="single"/>
        </w:rPr>
        <w:lastRenderedPageBreak/>
        <w:t>Source</w:t>
      </w:r>
      <w:r w:rsidR="00B7642F" w:rsidRPr="00C577B3">
        <w:rPr>
          <w:rFonts w:ascii="Arial Narrow" w:hAnsi="Arial Narrow"/>
          <w:b/>
          <w:bCs/>
          <w:sz w:val="18"/>
          <w:szCs w:val="18"/>
        </w:rPr>
        <w:t>:</w:t>
      </w:r>
      <w:r w:rsidR="00B7642F">
        <w:rPr>
          <w:rFonts w:ascii="Arial Narrow" w:hAnsi="Arial Narrow"/>
          <w:b/>
          <w:bCs/>
          <w:sz w:val="18"/>
          <w:szCs w:val="18"/>
        </w:rPr>
        <w:t xml:space="preserve"> </w:t>
      </w:r>
      <w:r>
        <w:rPr>
          <w:rFonts w:ascii="Arial Narrow" w:hAnsi="Arial Narrow"/>
          <w:sz w:val="18"/>
          <w:szCs w:val="18"/>
        </w:rPr>
        <w:t>Constructed during the commentary</w:t>
      </w:r>
      <w:r w:rsidR="009847B9">
        <w:rPr>
          <w:rFonts w:ascii="Arial Narrow" w:hAnsi="Arial Narrow"/>
          <w:sz w:val="18"/>
          <w:szCs w:val="18"/>
        </w:rPr>
        <w:t>.</w:t>
      </w:r>
      <w:r w:rsidR="00944922">
        <w:rPr>
          <w:rFonts w:ascii="Arial Narrow" w:hAnsi="Arial Narrow"/>
          <w:sz w:val="18"/>
          <w:szCs w:val="18"/>
        </w:rPr>
        <w:t xml:space="preserve"> </w:t>
      </w:r>
      <w:r w:rsidR="00944922">
        <w:rPr>
          <w:rFonts w:ascii="Arial Narrow" w:eastAsia="Calibri" w:hAnsi="Arial Narrow" w:cs="Arial"/>
          <w:snapToGrid w:val="0"/>
          <w:sz w:val="18"/>
          <w:szCs w:val="20"/>
          <w:lang w:eastAsia="en-AU"/>
        </w:rPr>
        <w:t>ESC’s additions are shown in blue italics and deletions in strikethrough.</w:t>
      </w:r>
    </w:p>
    <w:p w14:paraId="27F19E27" w14:textId="44BA392B" w:rsidR="007F3C97" w:rsidRPr="00DE1E17" w:rsidRDefault="00DE1E17" w:rsidP="00CC2B17">
      <w:pPr>
        <w:pStyle w:val="Heading3"/>
      </w:pPr>
      <w:r w:rsidRPr="00DE1E17">
        <w:t>Test accuracy</w:t>
      </w:r>
    </w:p>
    <w:p w14:paraId="47096A48" w14:textId="3417BB9E" w:rsidR="00A742C4" w:rsidRDefault="004570A6" w:rsidP="007F3C97">
      <w:r>
        <w:t>The</w:t>
      </w:r>
      <w:r w:rsidR="00A323E0">
        <w:t xml:space="preserve"> evidence for test accuracy was split into </w:t>
      </w:r>
      <w:r w:rsidR="00022502">
        <w:t>5</w:t>
      </w:r>
      <w:r w:rsidR="00A323E0">
        <w:t xml:space="preserve"> sections: </w:t>
      </w:r>
    </w:p>
    <w:p w14:paraId="05B3115A" w14:textId="77777777" w:rsidR="00E4785F" w:rsidRDefault="00E4785F">
      <w:pPr>
        <w:pStyle w:val="ListParagraph"/>
        <w:numPr>
          <w:ilvl w:val="0"/>
          <w:numId w:val="16"/>
        </w:numPr>
        <w:spacing w:after="160" w:line="259" w:lineRule="auto"/>
      </w:pPr>
      <w:r>
        <w:t>Validation of the sFlt-1:PlGF ratio of 38 to rule in/rule out preeclampsia</w:t>
      </w:r>
    </w:p>
    <w:p w14:paraId="41AD6005" w14:textId="77777777" w:rsidR="00E4785F" w:rsidRDefault="00E4785F">
      <w:pPr>
        <w:pStyle w:val="ListParagraph"/>
        <w:numPr>
          <w:ilvl w:val="0"/>
          <w:numId w:val="16"/>
        </w:numPr>
        <w:spacing w:after="160" w:line="259" w:lineRule="auto"/>
      </w:pPr>
      <w:r>
        <w:t xml:space="preserve">Diagnostic/predictive accuracy of </w:t>
      </w:r>
      <w:r w:rsidRPr="00D62671">
        <w:t>the sFlt-1:PlGF ratio test</w:t>
      </w:r>
    </w:p>
    <w:p w14:paraId="33496DBE" w14:textId="77777777" w:rsidR="00E4785F" w:rsidRDefault="00E4785F">
      <w:pPr>
        <w:pStyle w:val="ListParagraph"/>
        <w:numPr>
          <w:ilvl w:val="0"/>
          <w:numId w:val="16"/>
        </w:numPr>
        <w:spacing w:after="160" w:line="259" w:lineRule="auto"/>
      </w:pPr>
      <w:r>
        <w:t>Prognostic (longitudinal) accuracy of the sFlt-1:PlGF ratio test to estimate the time to delivery</w:t>
      </w:r>
    </w:p>
    <w:p w14:paraId="2303E845" w14:textId="77777777" w:rsidR="00E4785F" w:rsidRDefault="00E4785F">
      <w:pPr>
        <w:pStyle w:val="ListParagraph"/>
        <w:numPr>
          <w:ilvl w:val="0"/>
          <w:numId w:val="16"/>
        </w:numPr>
        <w:spacing w:after="160" w:line="259" w:lineRule="auto"/>
      </w:pPr>
      <w:r>
        <w:t>The additive value of sFlt-1:PlGF to current clinical tests</w:t>
      </w:r>
    </w:p>
    <w:p w14:paraId="3F6A04C1" w14:textId="3C0CF3FE" w:rsidR="00E4785F" w:rsidRPr="004570A6" w:rsidRDefault="00E4785F">
      <w:pPr>
        <w:pStyle w:val="ListParagraph"/>
        <w:numPr>
          <w:ilvl w:val="0"/>
          <w:numId w:val="16"/>
        </w:numPr>
        <w:spacing w:after="160" w:line="259" w:lineRule="auto"/>
      </w:pPr>
      <w:r>
        <w:t xml:space="preserve">Maternal and </w:t>
      </w:r>
      <w:r w:rsidR="00B41C45">
        <w:t>f</w:t>
      </w:r>
      <w:r w:rsidR="00802B4D">
        <w:t>etal</w:t>
      </w:r>
      <w:r>
        <w:t xml:space="preserve"> health outcomes</w:t>
      </w:r>
      <w:r w:rsidR="00B87549">
        <w:t>.</w:t>
      </w:r>
    </w:p>
    <w:p w14:paraId="6F23FBFC" w14:textId="73FAFA32" w:rsidR="00B11EF9" w:rsidRDefault="00B41C45" w:rsidP="00F567E0">
      <w:r>
        <w:t>Of</w:t>
      </w:r>
      <w:r w:rsidR="00F567E0">
        <w:t xml:space="preserve"> the </w:t>
      </w:r>
      <w:r w:rsidR="0063052A">
        <w:t xml:space="preserve">8 </w:t>
      </w:r>
      <w:r w:rsidR="000B11B1">
        <w:t>studies presented as evidence (</w:t>
      </w:r>
      <w:r w:rsidR="009C163C">
        <w:fldChar w:fldCharType="begin"/>
      </w:r>
      <w:r w:rsidR="009C163C">
        <w:instrText xml:space="preserve"> REF _Ref157764944 </w:instrText>
      </w:r>
      <w:r w:rsidR="009C163C">
        <w:fldChar w:fldCharType="separate"/>
      </w:r>
      <w:r w:rsidR="009D7CE9">
        <w:t xml:space="preserve">Table </w:t>
      </w:r>
      <w:r w:rsidR="009D7CE9">
        <w:rPr>
          <w:noProof/>
        </w:rPr>
        <w:t>5</w:t>
      </w:r>
      <w:r w:rsidR="009C163C">
        <w:rPr>
          <w:noProof/>
        </w:rPr>
        <w:fldChar w:fldCharType="end"/>
      </w:r>
      <w:r w:rsidR="000B11B1">
        <w:t>), o</w:t>
      </w:r>
      <w:r w:rsidR="00F567E0">
        <w:t>nly one included sites in Australia (together with 13 other countries</w:t>
      </w:r>
      <w:r>
        <w:t>:</w:t>
      </w:r>
      <w:r w:rsidR="00F567E0">
        <w:t xml:space="preserve"> PROGNOSIS</w:t>
      </w:r>
      <w:r w:rsidR="001E03BF">
        <w:fldChar w:fldCharType="begin">
          <w:fldData xml:space="preserve">PEVuZE5vdGU+PENpdGU+PEF1dGhvcj5aZWlzbGVyPC9BdXRob3I+PFllYXI+MjAxNjwvWWVhcj48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</w:fldData>
        </w:fldChar>
      </w:r>
      <w:r w:rsidR="00D076C7">
        <w:instrText xml:space="preserve"> ADDIN EN.CITE </w:instrText>
      </w:r>
      <w:r w:rsidR="00D076C7">
        <w:fldChar w:fldCharType="begin">
          <w:fldData xml:space="preserve">PEVuZE5vdGU+PENpdGU+PEF1dGhvcj5aZWlzbGVyPC9BdXRob3I+PFllYXI+MjAxNjwvWWVhcj48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</w:fldData>
        </w:fldChar>
      </w:r>
      <w:r w:rsidR="00D076C7">
        <w:instrText xml:space="preserve"> ADDIN EN.CITE.DATA </w:instrText>
      </w:r>
      <w:r w:rsidR="00D076C7">
        <w:fldChar w:fldCharType="end"/>
      </w:r>
      <w:r w:rsidR="009C163C">
        <w:fldChar w:fldCharType="separate"/>
      </w:r>
      <w:r w:rsidR="001E03BF">
        <w:fldChar w:fldCharType="end"/>
      </w:r>
      <w:r>
        <w:t>),</w:t>
      </w:r>
      <w:r w:rsidR="00F567E0">
        <w:t xml:space="preserve"> </w:t>
      </w:r>
      <w:r w:rsidR="009A576E">
        <w:t xml:space="preserve">and </w:t>
      </w:r>
      <w:r w:rsidR="00F567E0">
        <w:t xml:space="preserve">the remaining evidence </w:t>
      </w:r>
      <w:r w:rsidR="009A576E">
        <w:t xml:space="preserve">came </w:t>
      </w:r>
      <w:r w:rsidR="00F567E0">
        <w:t xml:space="preserve">from </w:t>
      </w:r>
      <w:r>
        <w:t xml:space="preserve">the </w:t>
      </w:r>
      <w:r w:rsidR="00F567E0">
        <w:t xml:space="preserve">USA, </w:t>
      </w:r>
      <w:r>
        <w:t xml:space="preserve">the </w:t>
      </w:r>
      <w:r w:rsidR="00F567E0">
        <w:t xml:space="preserve">UK, and sites across Asia. </w:t>
      </w:r>
      <w:r w:rsidR="00D82433">
        <w:t xml:space="preserve">No explanation </w:t>
      </w:r>
      <w:r w:rsidR="00C52E40">
        <w:t>wa</w:t>
      </w:r>
      <w:r w:rsidR="00D82433">
        <w:t xml:space="preserve">s provided in the ADAR as to how the evidence base </w:t>
      </w:r>
      <w:r w:rsidR="009A576E">
        <w:t>wa</w:t>
      </w:r>
      <w:r w:rsidR="00D82433">
        <w:t>s applicable to Australian clinical practice</w:t>
      </w:r>
      <w:r w:rsidR="00F567E0">
        <w:t xml:space="preserve">. </w:t>
      </w:r>
      <w:r w:rsidR="00865494">
        <w:t>The commentary considered i</w:t>
      </w:r>
      <w:r w:rsidR="00F567E0">
        <w:t xml:space="preserve">t </w:t>
      </w:r>
      <w:r w:rsidR="00865494">
        <w:t>wa</w:t>
      </w:r>
      <w:r w:rsidR="00F567E0">
        <w:t>s also not</w:t>
      </w:r>
      <w:r>
        <w:t>able</w:t>
      </w:r>
      <w:r w:rsidR="00F567E0">
        <w:t xml:space="preserve"> that </w:t>
      </w:r>
      <w:r w:rsidR="008A25BA">
        <w:t>2</w:t>
      </w:r>
      <w:r w:rsidR="005B1D89">
        <w:t xml:space="preserve"> of the 3</w:t>
      </w:r>
      <w:r w:rsidR="008A25BA">
        <w:t xml:space="preserve"> </w:t>
      </w:r>
      <w:r w:rsidR="00F567E0">
        <w:t xml:space="preserve">studies </w:t>
      </w:r>
      <w:r w:rsidR="00865494">
        <w:t>we</w:t>
      </w:r>
      <w:r w:rsidR="00F567E0">
        <w:t xml:space="preserve">re for </w:t>
      </w:r>
      <w:r w:rsidR="006C3250">
        <w:t>pregnant people</w:t>
      </w:r>
      <w:r w:rsidR="00F567E0">
        <w:t xml:space="preserve"> of 20</w:t>
      </w:r>
      <w:r w:rsidR="00FC0067">
        <w:t>+</w:t>
      </w:r>
      <w:r w:rsidR="00F567E0">
        <w:t xml:space="preserve"> weeks gestation</w:t>
      </w:r>
      <w:r>
        <w:t>,</w:t>
      </w:r>
      <w:r w:rsidR="00F567E0">
        <w:t xml:space="preserve"> not 24 weeks</w:t>
      </w:r>
      <w:r w:rsidR="00864C06">
        <w:t xml:space="preserve"> as per the PICO</w:t>
      </w:r>
      <w:r w:rsidR="0072192F">
        <w:t xml:space="preserve">, </w:t>
      </w:r>
      <w:r w:rsidR="003A63BD">
        <w:t xml:space="preserve">which </w:t>
      </w:r>
      <w:r w:rsidR="00864C06">
        <w:t>reduced</w:t>
      </w:r>
      <w:r w:rsidR="003A63BD">
        <w:t xml:space="preserve"> </w:t>
      </w:r>
      <w:r w:rsidR="00B85100">
        <w:t>applicability</w:t>
      </w:r>
      <w:r w:rsidR="003A63BD">
        <w:t xml:space="preserve"> to </w:t>
      </w:r>
      <w:r w:rsidR="00B85100">
        <w:t xml:space="preserve">the </w:t>
      </w:r>
      <w:r w:rsidR="00C43F9F">
        <w:t>target population</w:t>
      </w:r>
      <w:r w:rsidR="00F567E0">
        <w:t>.</w:t>
      </w:r>
      <w:r w:rsidR="00400F36">
        <w:t xml:space="preserve"> </w:t>
      </w:r>
    </w:p>
    <w:p w14:paraId="32ED08A1" w14:textId="51B9A98D" w:rsidR="00B11EF9" w:rsidRDefault="00B11EF9" w:rsidP="00F567E0">
      <w:r w:rsidRPr="00B53B2B">
        <w:t>A comprehe</w:t>
      </w:r>
      <w:r>
        <w:t xml:space="preserve">nsive clinical evidence base </w:t>
      </w:r>
      <w:r w:rsidR="00C52E40">
        <w:t>wa</w:t>
      </w:r>
      <w:r>
        <w:t xml:space="preserve">s presented supporting the </w:t>
      </w:r>
      <w:r w:rsidR="005737C7">
        <w:t xml:space="preserve">accuracy of the </w:t>
      </w:r>
      <w:r w:rsidR="005737C7" w:rsidRPr="00924127">
        <w:t>sFlt-1:PlGF</w:t>
      </w:r>
      <w:r w:rsidR="005737C7">
        <w:t xml:space="preserve"> ratio test. </w:t>
      </w:r>
      <w:r w:rsidR="00535FA5">
        <w:t>The test ha</w:t>
      </w:r>
      <w:r w:rsidR="004D7A00">
        <w:t>d</w:t>
      </w:r>
      <w:r w:rsidR="00535FA5">
        <w:t xml:space="preserve"> a very hig</w:t>
      </w:r>
      <w:r w:rsidR="002979B3">
        <w:t xml:space="preserve">h accuracy </w:t>
      </w:r>
      <w:r w:rsidR="009F6654">
        <w:t>for</w:t>
      </w:r>
      <w:r w:rsidR="002979B3">
        <w:t xml:space="preserve"> ruling out preeclampsia within 1 week</w:t>
      </w:r>
      <w:r w:rsidR="000069ED">
        <w:t xml:space="preserve"> (</w:t>
      </w:r>
      <w:r w:rsidR="000069ED" w:rsidRPr="000069ED">
        <w:t>98.6% to 100% accuracy</w:t>
      </w:r>
      <w:r w:rsidR="000069ED">
        <w:t>)</w:t>
      </w:r>
      <w:r w:rsidR="00C216E8">
        <w:t xml:space="preserve">, and </w:t>
      </w:r>
      <w:r w:rsidR="00C216E8" w:rsidRPr="00C216E8">
        <w:t xml:space="preserve">the addition of </w:t>
      </w:r>
      <w:r w:rsidR="00971A1E" w:rsidRPr="00C216E8">
        <w:t xml:space="preserve">sFlt-1:PlGF &gt;38 </w:t>
      </w:r>
      <w:r w:rsidR="00C216E8" w:rsidRPr="00C216E8">
        <w:t xml:space="preserve">information </w:t>
      </w:r>
      <w:r w:rsidR="00C216E8">
        <w:t>was shown to improve</w:t>
      </w:r>
      <w:r w:rsidR="00C216E8" w:rsidRPr="00C216E8">
        <w:t xml:space="preserve"> diagnostic/predictive accuracy</w:t>
      </w:r>
      <w:r w:rsidR="00C216E8">
        <w:t xml:space="preserve"> </w:t>
      </w:r>
      <w:r w:rsidR="001F5A44">
        <w:t xml:space="preserve">in a large cohort of </w:t>
      </w:r>
      <w:r w:rsidR="000C1C95">
        <w:t>women (</w:t>
      </w:r>
      <w:r w:rsidR="00DC4F82">
        <w:t>n=</w:t>
      </w:r>
      <w:r w:rsidR="000C1C95">
        <w:t>1,</w:t>
      </w:r>
      <w:r w:rsidR="007A3C5E">
        <w:t xml:space="preserve">035) </w:t>
      </w:r>
      <w:r w:rsidR="00D36005">
        <w:t>when compared to clinical criteria</w:t>
      </w:r>
      <w:r w:rsidR="002B1D40">
        <w:t xml:space="preserve"> (guidelines</w:t>
      </w:r>
      <w:r w:rsidR="009723A0">
        <w:t xml:space="preserve"> from the International Society for the Study of Hypertension in Pregnancy</w:t>
      </w:r>
      <w:r w:rsidR="004737BA">
        <w:rPr>
          <w:rStyle w:val="FootnoteReference"/>
        </w:rPr>
        <w:footnoteReference w:id="4"/>
      </w:r>
      <w:r w:rsidR="002B1D40">
        <w:t>)</w:t>
      </w:r>
      <w:r w:rsidR="00B97EE0">
        <w:t>;</w:t>
      </w:r>
      <w:r w:rsidR="007A3C5E">
        <w:t xml:space="preserve"> </w:t>
      </w:r>
      <w:r w:rsidR="00B97EE0">
        <w:t>h</w:t>
      </w:r>
      <w:r w:rsidR="00603BFA">
        <w:t>owever, it should be noted that this study was conducted in the USA</w:t>
      </w:r>
      <w:r w:rsidR="00B41C45">
        <w:t>,</w:t>
      </w:r>
      <w:r w:rsidR="00D95563">
        <w:t xml:space="preserve"> with participants enrolled between 2009</w:t>
      </w:r>
      <w:r w:rsidR="006C1232">
        <w:t>–</w:t>
      </w:r>
      <w:r w:rsidR="00D95563">
        <w:t>2012</w:t>
      </w:r>
      <w:r w:rsidR="00603BFA">
        <w:t>, and from 20+ weeks gestation.</w:t>
      </w:r>
      <w:r w:rsidR="00721278">
        <w:t xml:space="preserve"> As such, the generalisability of the</w:t>
      </w:r>
      <w:r w:rsidR="00B41C45">
        <w:t xml:space="preserve"> study’s</w:t>
      </w:r>
      <w:r w:rsidR="00721278">
        <w:t xml:space="preserve"> conclusions to current clinical practice in Australia </w:t>
      </w:r>
      <w:r w:rsidR="004D7A00">
        <w:t>wa</w:t>
      </w:r>
      <w:r w:rsidR="00721278">
        <w:t>s uncertain.</w:t>
      </w:r>
      <w:r w:rsidR="00603BFA">
        <w:t xml:space="preserve"> </w:t>
      </w:r>
    </w:p>
    <w:p w14:paraId="6E5CEB75" w14:textId="168C5B1B" w:rsidR="00706BDA" w:rsidRPr="004570A6" w:rsidRDefault="002123E7" w:rsidP="00F567E0">
      <w:r>
        <w:t>The ADAR state</w:t>
      </w:r>
      <w:r w:rsidR="00857036">
        <w:t>d</w:t>
      </w:r>
      <w:r w:rsidR="00655CCA">
        <w:t xml:space="preserve"> that the low number of </w:t>
      </w:r>
      <w:r w:rsidR="00296009">
        <w:t xml:space="preserve">maternal adverse outcomes reported in the studies providing evidence for the accuracy of the test </w:t>
      </w:r>
      <w:r w:rsidR="006014D4">
        <w:t>preclude</w:t>
      </w:r>
      <w:r w:rsidR="004D7A00">
        <w:t>d</w:t>
      </w:r>
      <w:r w:rsidR="006014D4">
        <w:t xml:space="preserve"> </w:t>
      </w:r>
      <w:r w:rsidR="00B41C45">
        <w:t>the undertaking of a</w:t>
      </w:r>
      <w:r w:rsidR="006014D4">
        <w:t xml:space="preserve"> robust assessment of the relationship between sFlt-1:PlGF ratio and maternal adverse outcomes. </w:t>
      </w:r>
      <w:r w:rsidR="00971A1E" w:rsidRPr="00971A1E">
        <w:t xml:space="preserve">The median baseline sFlt-1:PlGF ratio was higher (148.9) in </w:t>
      </w:r>
      <w:r w:rsidR="00857036">
        <w:t>pre</w:t>
      </w:r>
      <w:r w:rsidR="003F10BB">
        <w:t>gnant people</w:t>
      </w:r>
      <w:r w:rsidR="00971A1E" w:rsidRPr="00971A1E">
        <w:t xml:space="preserve"> </w:t>
      </w:r>
      <w:r w:rsidR="00B41C45">
        <w:t xml:space="preserve">who </w:t>
      </w:r>
      <w:r w:rsidR="00971A1E" w:rsidRPr="00971A1E">
        <w:t>experienc</w:t>
      </w:r>
      <w:r w:rsidR="00B41C45">
        <w:t>ed</w:t>
      </w:r>
      <w:r w:rsidR="00971A1E" w:rsidRPr="00971A1E">
        <w:t xml:space="preserve"> </w:t>
      </w:r>
      <w:r w:rsidR="00B41C45" w:rsidRPr="00971A1E">
        <w:t>fetal</w:t>
      </w:r>
      <w:r w:rsidR="00971A1E" w:rsidRPr="00971A1E">
        <w:t xml:space="preserve"> adverse outcomes within 1 week compared with </w:t>
      </w:r>
      <w:r w:rsidR="00665078">
        <w:t>those</w:t>
      </w:r>
      <w:r w:rsidR="00665078" w:rsidRPr="00971A1E">
        <w:t xml:space="preserve"> </w:t>
      </w:r>
      <w:r w:rsidR="00971A1E" w:rsidRPr="00971A1E">
        <w:t>who did not (7.4)</w:t>
      </w:r>
      <w:r w:rsidR="00971A1E">
        <w:t xml:space="preserve">. It was demonstrated that the </w:t>
      </w:r>
      <w:r w:rsidR="00971A1E" w:rsidRPr="00C216E8">
        <w:t>sFlt-1:PlGF &gt;38</w:t>
      </w:r>
      <w:r w:rsidR="00971A1E">
        <w:t xml:space="preserve"> ratio test </w:t>
      </w:r>
      <w:r w:rsidR="00D33FB4">
        <w:t>predict</w:t>
      </w:r>
      <w:r w:rsidR="00B211FF">
        <w:t>ed</w:t>
      </w:r>
      <w:r w:rsidR="00D33FB4">
        <w:t xml:space="preserve"> the lack of </w:t>
      </w:r>
      <w:r w:rsidR="00B41C45">
        <w:t>fetal</w:t>
      </w:r>
      <w:r w:rsidR="00D33FB4">
        <w:t xml:space="preserve"> adverse outcomes within </w:t>
      </w:r>
      <w:r w:rsidR="00D33FB4" w:rsidRPr="002C4B5E">
        <w:t>1 week</w:t>
      </w:r>
      <w:r w:rsidR="00D33FB4">
        <w:t xml:space="preserve"> with very high accuracy (</w:t>
      </w:r>
      <w:r w:rsidR="00B51ED3">
        <w:t>negative predictive</w:t>
      </w:r>
      <w:r w:rsidR="001B2818">
        <w:t xml:space="preserve"> value </w:t>
      </w:r>
      <w:r w:rsidR="001215BA">
        <w:t>[</w:t>
      </w:r>
      <w:r w:rsidR="00D33FB4" w:rsidRPr="00D33FB4">
        <w:t>NPV</w:t>
      </w:r>
      <w:r w:rsidR="001215BA">
        <w:t>]</w:t>
      </w:r>
      <w:r w:rsidR="00D33FB4" w:rsidRPr="00D33FB4">
        <w:t xml:space="preserve"> 98.9% to 99.5%).</w:t>
      </w:r>
    </w:p>
    <w:p w14:paraId="132A1CB0" w14:textId="0E68B483" w:rsidR="00DE1E17" w:rsidRPr="00DE1E17" w:rsidRDefault="00DE1E17" w:rsidP="000E1029">
      <w:pPr>
        <w:pStyle w:val="Heading3"/>
      </w:pPr>
      <w:r w:rsidRPr="00DE1E17">
        <w:t>Limitations and missing data</w:t>
      </w:r>
    </w:p>
    <w:p w14:paraId="031395D1" w14:textId="0047620D" w:rsidR="00DF6C21" w:rsidRDefault="005A69CB" w:rsidP="007F3C97">
      <w:r>
        <w:t>The</w:t>
      </w:r>
      <w:r w:rsidR="006C2D3D">
        <w:t xml:space="preserve"> clinical evaluation presented in the ADAR d</w:t>
      </w:r>
      <w:r w:rsidR="003F10BB">
        <w:t>id</w:t>
      </w:r>
      <w:r w:rsidR="006C2D3D">
        <w:t xml:space="preserve"> n</w:t>
      </w:r>
      <w:r w:rsidR="005D70CB">
        <w:t xml:space="preserve">ot </w:t>
      </w:r>
      <w:r w:rsidR="00B41C45">
        <w:t>cover</w:t>
      </w:r>
      <w:r w:rsidR="005D70CB">
        <w:t xml:space="preserve"> the frequency of repeat tests. </w:t>
      </w:r>
      <w:r w:rsidR="003B1A97">
        <w:t>The commentary considered i</w:t>
      </w:r>
      <w:r w:rsidR="00042FBD">
        <w:t xml:space="preserve">t </w:t>
      </w:r>
      <w:r w:rsidR="004500F6">
        <w:t>wa</w:t>
      </w:r>
      <w:r w:rsidR="00042FBD">
        <w:t xml:space="preserve">s unclear </w:t>
      </w:r>
      <w:r w:rsidR="00584000">
        <w:t>h</w:t>
      </w:r>
      <w:r w:rsidR="00A521D0">
        <w:t xml:space="preserve">ow the frequency of repeat testing </w:t>
      </w:r>
      <w:r w:rsidR="00584000">
        <w:t xml:space="preserve">could </w:t>
      </w:r>
      <w:r w:rsidR="00A521D0">
        <w:t xml:space="preserve">influence </w:t>
      </w:r>
      <w:r w:rsidR="008F57F1">
        <w:t>the change in management</w:t>
      </w:r>
      <w:r w:rsidR="00584000">
        <w:t xml:space="preserve"> of preeclampsia screening in Australia</w:t>
      </w:r>
      <w:r w:rsidR="00B249A7">
        <w:t>, and consequently,</w:t>
      </w:r>
      <w:r w:rsidR="00BF22D2">
        <w:t xml:space="preserve"> </w:t>
      </w:r>
      <w:r w:rsidR="00B249A7">
        <w:t>t</w:t>
      </w:r>
      <w:r w:rsidR="008D2E98">
        <w:t xml:space="preserve">he usefulness of </w:t>
      </w:r>
      <w:r w:rsidR="00930C88">
        <w:t xml:space="preserve">frequent testing </w:t>
      </w:r>
      <w:r w:rsidR="004500F6">
        <w:t>wa</w:t>
      </w:r>
      <w:r w:rsidR="00930C88">
        <w:t xml:space="preserve">s </w:t>
      </w:r>
      <w:r w:rsidR="00B249A7">
        <w:t>uncertain</w:t>
      </w:r>
      <w:r w:rsidR="00930C88">
        <w:t xml:space="preserve">. </w:t>
      </w:r>
    </w:p>
    <w:p w14:paraId="2356F7AD" w14:textId="77777777" w:rsidR="001A744E" w:rsidRDefault="00DE3FBA" w:rsidP="007F3C97">
      <w:r>
        <w:t>T</w:t>
      </w:r>
      <w:r w:rsidR="00D7658F">
        <w:t xml:space="preserve">he ADAR </w:t>
      </w:r>
      <w:r w:rsidR="007A77E5">
        <w:t>claimed</w:t>
      </w:r>
      <w:r w:rsidR="00D7658F">
        <w:t xml:space="preserve"> that</w:t>
      </w:r>
      <w:r w:rsidR="00EB5FAD">
        <w:t xml:space="preserve"> repeat testing </w:t>
      </w:r>
      <w:r w:rsidR="008318BB">
        <w:t>was</w:t>
      </w:r>
      <w:r w:rsidR="00EB5FAD">
        <w:t xml:space="preserve"> useful</w:t>
      </w:r>
      <w:r w:rsidR="00B41C45">
        <w:t xml:space="preserve">, </w:t>
      </w:r>
      <w:r w:rsidR="00EB5FAD">
        <w:t xml:space="preserve">as </w:t>
      </w:r>
      <w:r w:rsidR="007240DA">
        <w:t xml:space="preserve">the rate of ratio change between tests can </w:t>
      </w:r>
      <w:r w:rsidR="000240DD">
        <w:t xml:space="preserve">provide data on the rate of progression of preeclampsia. </w:t>
      </w:r>
      <w:r w:rsidR="007A77E5">
        <w:t>However no d</w:t>
      </w:r>
      <w:r w:rsidR="00C66349">
        <w:t xml:space="preserve">ata </w:t>
      </w:r>
      <w:r w:rsidR="007A77E5">
        <w:t>were</w:t>
      </w:r>
      <w:r w:rsidR="00C66349">
        <w:t xml:space="preserve"> submitted that provide</w:t>
      </w:r>
      <w:r w:rsidR="007A77E5">
        <w:t>d</w:t>
      </w:r>
      <w:r w:rsidR="00C66349">
        <w:t xml:space="preserve"> </w:t>
      </w:r>
      <w:r w:rsidR="00E96E74">
        <w:t xml:space="preserve">an explanation as to how </w:t>
      </w:r>
      <w:r w:rsidR="006A6C8D">
        <w:t xml:space="preserve">the </w:t>
      </w:r>
      <w:r w:rsidR="00B41C45">
        <w:t>rate of ratio</w:t>
      </w:r>
      <w:r w:rsidR="006A6C8D">
        <w:t xml:space="preserve"> change </w:t>
      </w:r>
      <w:r w:rsidR="001317D4">
        <w:t>wa</w:t>
      </w:r>
      <w:r w:rsidR="006A6C8D">
        <w:t>s related to severity of disease</w:t>
      </w:r>
      <w:r w:rsidR="009A15F5">
        <w:t>;</w:t>
      </w:r>
      <w:r w:rsidR="006A6C8D">
        <w:t xml:space="preserve"> </w:t>
      </w:r>
      <w:r w:rsidR="009A15F5">
        <w:t>t</w:t>
      </w:r>
      <w:r w:rsidR="002E79CB">
        <w:t>herefore</w:t>
      </w:r>
      <w:r w:rsidR="00D546D3">
        <w:t>,</w:t>
      </w:r>
      <w:r w:rsidR="00A514B1">
        <w:t xml:space="preserve"> the commentary considered</w:t>
      </w:r>
      <w:r w:rsidR="002E79CB">
        <w:t xml:space="preserve"> it remain</w:t>
      </w:r>
      <w:r w:rsidR="004500F6">
        <w:t>ed</w:t>
      </w:r>
      <w:r w:rsidR="002E79CB">
        <w:t xml:space="preserve"> unclear </w:t>
      </w:r>
      <w:r w:rsidR="00B41C45">
        <w:t xml:space="preserve">whether </w:t>
      </w:r>
      <w:r w:rsidR="002E79CB">
        <w:t xml:space="preserve">a change in ratio </w:t>
      </w:r>
      <w:r w:rsidR="00B41C45">
        <w:t>indicate</w:t>
      </w:r>
      <w:r w:rsidR="001317D4">
        <w:t>d</w:t>
      </w:r>
      <w:r w:rsidR="00B41C45">
        <w:t xml:space="preserve"> immediate risk</w:t>
      </w:r>
      <w:r w:rsidR="002E79CB">
        <w:t xml:space="preserve">. </w:t>
      </w:r>
      <w:r w:rsidR="00D546D3">
        <w:t xml:space="preserve">Furthermore, </w:t>
      </w:r>
      <w:r w:rsidR="006047F4">
        <w:t xml:space="preserve">while evidence </w:t>
      </w:r>
      <w:r w:rsidR="006B0C9E">
        <w:t>wa</w:t>
      </w:r>
      <w:r w:rsidR="006047F4">
        <w:t xml:space="preserve">s presented to show that higher </w:t>
      </w:r>
      <w:r w:rsidR="006047F4" w:rsidRPr="006047F4">
        <w:t>sFlt-1:PlGF ratio</w:t>
      </w:r>
      <w:r w:rsidR="006047F4">
        <w:t xml:space="preserve">s </w:t>
      </w:r>
      <w:r w:rsidR="001317D4">
        <w:lastRenderedPageBreak/>
        <w:t>we</w:t>
      </w:r>
      <w:r w:rsidR="006047F4">
        <w:t xml:space="preserve">re associated with increased </w:t>
      </w:r>
      <w:r w:rsidR="005A03BD">
        <w:t xml:space="preserve">risk between </w:t>
      </w:r>
      <w:r w:rsidR="00191553">
        <w:t>pregnant people</w:t>
      </w:r>
      <w:r w:rsidR="005A03BD">
        <w:t xml:space="preserve">, no evidence </w:t>
      </w:r>
      <w:r w:rsidR="0036697F">
        <w:t>was</w:t>
      </w:r>
      <w:r w:rsidR="002C72D9">
        <w:t xml:space="preserve"> </w:t>
      </w:r>
      <w:r w:rsidR="005A03BD">
        <w:t xml:space="preserve">presented showing that increasing sFlt-1:PlGF ratio </w:t>
      </w:r>
      <w:r w:rsidR="001317D4">
        <w:t>with</w:t>
      </w:r>
      <w:r w:rsidR="005A03BD">
        <w:t xml:space="preserve">in an individual </w:t>
      </w:r>
      <w:r w:rsidR="001317D4">
        <w:t>wa</w:t>
      </w:r>
      <w:r w:rsidR="005A03BD">
        <w:t>s associated with a worsening prognosis. Th</w:t>
      </w:r>
      <w:r w:rsidR="00A514B1">
        <w:t>e commentary considered th</w:t>
      </w:r>
      <w:r w:rsidR="005A03BD">
        <w:t>is introduce</w:t>
      </w:r>
      <w:r w:rsidR="00991FB3">
        <w:t>d</w:t>
      </w:r>
      <w:r w:rsidR="005A03BD">
        <w:t xml:space="preserve"> significant uncertainty around the utility and cost-effectiveness of repeat testing.</w:t>
      </w:r>
      <w:r w:rsidR="00400E1D">
        <w:t xml:space="preserve"> </w:t>
      </w:r>
    </w:p>
    <w:p w14:paraId="646E99A0" w14:textId="55A48389" w:rsidR="00D7658F" w:rsidRDefault="00400E1D" w:rsidP="007F3C97">
      <w:r>
        <w:t xml:space="preserve">Furthermore, </w:t>
      </w:r>
      <w:r w:rsidR="00733929">
        <w:t xml:space="preserve">the ADAR </w:t>
      </w:r>
      <w:r w:rsidR="00A514B1">
        <w:t>wa</w:t>
      </w:r>
      <w:r w:rsidR="00733929">
        <w:t>s unclear on what define</w:t>
      </w:r>
      <w:r w:rsidR="001317D4">
        <w:t>d</w:t>
      </w:r>
      <w:r w:rsidR="00733929">
        <w:t xml:space="preserve"> ‘other factors’ in</w:t>
      </w:r>
      <w:r>
        <w:t xml:space="preserve"> population 1</w:t>
      </w:r>
      <w:r w:rsidR="00733929">
        <w:t xml:space="preserve">: </w:t>
      </w:r>
      <w:r w:rsidR="00771053">
        <w:t>‘</w:t>
      </w:r>
      <w:r w:rsidR="00EA651A" w:rsidRPr="0044434C">
        <w:t>at increased risk of preeclampsia, due to maternal, gestational or other factors, in the absence of signs and symptoms suggestive of preeclampsia (diagnostic testing population)</w:t>
      </w:r>
      <w:r w:rsidR="00771053">
        <w:t>’</w:t>
      </w:r>
      <w:r w:rsidR="0060690A">
        <w:t>. Th</w:t>
      </w:r>
      <w:r w:rsidR="00A514B1">
        <w:t>e commentary considered th</w:t>
      </w:r>
      <w:r w:rsidR="0060690A">
        <w:t xml:space="preserve">is </w:t>
      </w:r>
      <w:r w:rsidR="002F1322">
        <w:t>create</w:t>
      </w:r>
      <w:r w:rsidR="00A514B1">
        <w:t>d</w:t>
      </w:r>
      <w:r w:rsidR="00BA202F">
        <w:t xml:space="preserve"> </w:t>
      </w:r>
      <w:r w:rsidR="003B5F0A">
        <w:t>ambiguity a</w:t>
      </w:r>
      <w:r w:rsidR="00BA202F">
        <w:t xml:space="preserve">s to what factors </w:t>
      </w:r>
      <w:r w:rsidR="000E396F">
        <w:t>will cause a pregnant person to fall into the category of population 1</w:t>
      </w:r>
      <w:r w:rsidR="008A157E">
        <w:t xml:space="preserve">, and </w:t>
      </w:r>
      <w:r w:rsidR="003B5F0A">
        <w:t xml:space="preserve">would </w:t>
      </w:r>
      <w:r w:rsidR="008A157E">
        <w:t xml:space="preserve">leave </w:t>
      </w:r>
      <w:r w:rsidR="00303798">
        <w:t>it</w:t>
      </w:r>
      <w:r w:rsidR="008A157E">
        <w:t xml:space="preserve"> open to interpretation. </w:t>
      </w:r>
    </w:p>
    <w:p w14:paraId="5BA068A0" w14:textId="527FC920" w:rsidR="008D2E98" w:rsidRPr="005A69CB" w:rsidRDefault="00CF04CB" w:rsidP="007F3C97">
      <w:r>
        <w:t>Only one trial in the evidence base provide</w:t>
      </w:r>
      <w:r w:rsidR="005C3870">
        <w:t>d</w:t>
      </w:r>
      <w:r>
        <w:t xml:space="preserve"> data on the use of </w:t>
      </w:r>
      <w:r w:rsidR="00924127" w:rsidRPr="00924127">
        <w:t>sFlt-1:PlGF</w:t>
      </w:r>
      <w:r w:rsidR="00924127">
        <w:t xml:space="preserve"> ratio testing in </w:t>
      </w:r>
      <w:r w:rsidR="00B41C45">
        <w:t>multiple pregnancies</w:t>
      </w:r>
      <w:r w:rsidR="00611242">
        <w:t xml:space="preserve">. </w:t>
      </w:r>
      <w:r w:rsidR="00560D51">
        <w:t xml:space="preserve">This </w:t>
      </w:r>
      <w:r w:rsidR="00776A10">
        <w:t>wa</w:t>
      </w:r>
      <w:r w:rsidR="00560D51">
        <w:t>s a</w:t>
      </w:r>
      <w:r w:rsidR="00776A10">
        <w:t>n</w:t>
      </w:r>
      <w:r w:rsidR="00560D51">
        <w:t xml:space="preserve"> area of </w:t>
      </w:r>
      <w:r w:rsidR="00776A10">
        <w:t xml:space="preserve">substantial </w:t>
      </w:r>
      <w:r w:rsidR="00560D51">
        <w:t>uncertainty considering that neither population addressed in the ADAR exclude</w:t>
      </w:r>
      <w:r w:rsidR="00776A10">
        <w:t>d</w:t>
      </w:r>
      <w:r w:rsidR="00560D51">
        <w:t xml:space="preserve"> multiple pregnancies. There </w:t>
      </w:r>
      <w:r w:rsidR="00B35354">
        <w:t>was</w:t>
      </w:r>
      <w:r w:rsidR="00560D51">
        <w:t xml:space="preserve"> also no evidence presented o</w:t>
      </w:r>
      <w:r w:rsidR="00776A10">
        <w:t>n</w:t>
      </w:r>
      <w:r w:rsidR="00560D51">
        <w:t xml:space="preserve"> serial testing in multiple pregnancies. </w:t>
      </w:r>
      <w:r w:rsidR="00611242">
        <w:t xml:space="preserve"> </w:t>
      </w:r>
    </w:p>
    <w:p w14:paraId="52E78CB7" w14:textId="2E8890F8" w:rsidR="007F3C97" w:rsidRDefault="00DE1E17" w:rsidP="000E1029">
      <w:pPr>
        <w:pStyle w:val="Heading3"/>
      </w:pPr>
      <w:r w:rsidRPr="0000317C">
        <w:t>Change in management</w:t>
      </w:r>
    </w:p>
    <w:p w14:paraId="7A21BD51" w14:textId="491E6C34" w:rsidR="00D50472" w:rsidRDefault="00B41C45" w:rsidP="007F3C97">
      <w:r>
        <w:t>The ADAR present</w:t>
      </w:r>
      <w:r w:rsidR="00AE0D1F">
        <w:t>ed</w:t>
      </w:r>
      <w:r>
        <w:t xml:space="preserve"> data</w:t>
      </w:r>
      <w:r w:rsidR="00ED4A19">
        <w:t xml:space="preserve"> </w:t>
      </w:r>
      <w:r w:rsidR="00AB23D4">
        <w:t>on how</w:t>
      </w:r>
      <w:r w:rsidR="008C63F5">
        <w:t xml:space="preserve"> </w:t>
      </w:r>
      <w:r w:rsidR="00FE7BD4">
        <w:t xml:space="preserve">results from the </w:t>
      </w:r>
      <w:r w:rsidR="00313A8A" w:rsidRPr="00313A8A">
        <w:t>sFlt-1:PlGF ratio test</w:t>
      </w:r>
      <w:r w:rsidR="00313A8A">
        <w:t xml:space="preserve"> </w:t>
      </w:r>
      <w:r w:rsidR="00AB23D4">
        <w:t>can</w:t>
      </w:r>
      <w:r w:rsidR="00313A8A">
        <w:t xml:space="preserve"> </w:t>
      </w:r>
      <w:r w:rsidR="00BC26BF">
        <w:t xml:space="preserve">lead to a change in management by </w:t>
      </w:r>
      <w:r w:rsidR="000175B4">
        <w:t xml:space="preserve">identifying </w:t>
      </w:r>
      <w:r w:rsidR="00B51BD5">
        <w:t>those</w:t>
      </w:r>
      <w:r w:rsidR="000175B4">
        <w:t xml:space="preserve"> </w:t>
      </w:r>
      <w:r w:rsidR="006F6552">
        <w:t>with suspected preeclampsia who will develop preeclampsia in the near future</w:t>
      </w:r>
      <w:r w:rsidR="00776A10">
        <w:t xml:space="preserve"> (population 1)</w:t>
      </w:r>
      <w:r w:rsidR="006F6552">
        <w:t>.</w:t>
      </w:r>
      <w:r w:rsidR="00103736">
        <w:t xml:space="preserve"> </w:t>
      </w:r>
      <w:r w:rsidR="00541D15">
        <w:t>T</w:t>
      </w:r>
      <w:r w:rsidR="00103736">
        <w:t>hree studies</w:t>
      </w:r>
      <w:r w:rsidR="00AB66A2">
        <w:t xml:space="preserve"> </w:t>
      </w:r>
      <w:r w:rsidR="00776A10">
        <w:t>we</w:t>
      </w:r>
      <w:r w:rsidR="00AB66A2">
        <w:t xml:space="preserve">re </w:t>
      </w:r>
      <w:r w:rsidR="00597A6B">
        <w:t>presented</w:t>
      </w:r>
      <w:r w:rsidR="00103736">
        <w:t xml:space="preserve"> in support of this clai</w:t>
      </w:r>
      <w:r w:rsidR="004E740B">
        <w:t xml:space="preserve">m </w:t>
      </w:r>
      <w:r w:rsidR="00CD4359" w:rsidRPr="00CD4359">
        <w:t>(</w:t>
      </w:r>
      <w:proofErr w:type="spellStart"/>
      <w:r w:rsidR="00CD4359" w:rsidRPr="00CD4359">
        <w:t>Cerdeira</w:t>
      </w:r>
      <w:proofErr w:type="spellEnd"/>
      <w:r w:rsidR="00CD4359" w:rsidRPr="00CD4359">
        <w:t xml:space="preserve"> et al 2019</w:t>
      </w:r>
      <w:r w:rsidR="006B4BB0">
        <w:rPr>
          <w:rStyle w:val="FootnoteReference"/>
        </w:rPr>
        <w:footnoteReference w:id="5"/>
      </w:r>
      <w:r w:rsidR="001312CF">
        <w:t>,</w:t>
      </w:r>
      <w:r w:rsidR="00CD4359" w:rsidRPr="00CD4359">
        <w:t xml:space="preserve"> Klein et al 2016</w:t>
      </w:r>
      <w:r w:rsidR="001312CF">
        <w:t>,</w:t>
      </w:r>
      <w:r w:rsidR="00A844D2">
        <w:t xml:space="preserve"> </w:t>
      </w:r>
      <w:r w:rsidR="00A844D2" w:rsidRPr="00CD4359">
        <w:t>Suresh et al 2020</w:t>
      </w:r>
      <w:r w:rsidR="00800C79">
        <w:rPr>
          <w:rStyle w:val="FootnoteReference"/>
        </w:rPr>
        <w:footnoteReference w:id="6"/>
      </w:r>
      <w:r w:rsidR="00CD4359" w:rsidRPr="00CD4359">
        <w:t>)</w:t>
      </w:r>
      <w:r w:rsidR="00CD4359">
        <w:t>.</w:t>
      </w:r>
      <w:r w:rsidR="006F6552">
        <w:t xml:space="preserve"> </w:t>
      </w:r>
      <w:r w:rsidR="003050E3">
        <w:t xml:space="preserve">In all </w:t>
      </w:r>
      <w:r w:rsidR="008A25BA">
        <w:t xml:space="preserve">3 </w:t>
      </w:r>
      <w:r w:rsidR="003050E3">
        <w:t>studies</w:t>
      </w:r>
      <w:r w:rsidR="00247621">
        <w:t xml:space="preserve">, a change in management </w:t>
      </w:r>
      <w:r w:rsidR="00484F25">
        <w:t xml:space="preserve">resulting from the knowledge of the </w:t>
      </w:r>
      <w:r w:rsidR="00484F25" w:rsidRPr="00313A8A">
        <w:t>sFlt-1:PlGF ratio test</w:t>
      </w:r>
      <w:r w:rsidR="00484F25">
        <w:t xml:space="preserve"> </w:t>
      </w:r>
      <w:r>
        <w:t>was observed</w:t>
      </w:r>
      <w:r w:rsidR="00247621">
        <w:t>.</w:t>
      </w:r>
      <w:r w:rsidR="00D50472">
        <w:t xml:space="preserve"> In the randomi</w:t>
      </w:r>
      <w:r>
        <w:t>s</w:t>
      </w:r>
      <w:r w:rsidR="00D50472">
        <w:t xml:space="preserve">ed trial by </w:t>
      </w:r>
      <w:proofErr w:type="spellStart"/>
      <w:r w:rsidR="00D50472" w:rsidRPr="00D50472">
        <w:t>Cerdeira</w:t>
      </w:r>
      <w:proofErr w:type="spellEnd"/>
      <w:r w:rsidR="00D50472" w:rsidRPr="00D50472">
        <w:t xml:space="preserve"> et al 2019</w:t>
      </w:r>
      <w:r w:rsidR="0067773B">
        <w:t>,</w:t>
      </w:r>
      <w:r w:rsidR="00D50472">
        <w:t xml:space="preserve"> </w:t>
      </w:r>
      <w:r w:rsidR="003A29ED">
        <w:t>an increase of 21.</w:t>
      </w:r>
      <w:r w:rsidR="003F256B">
        <w:t>2</w:t>
      </w:r>
      <w:r w:rsidR="003A29ED">
        <w:t>% in admissions was reported</w:t>
      </w:r>
      <w:r w:rsidR="0067773B">
        <w:t>. T</w:t>
      </w:r>
      <w:r w:rsidR="00621460">
        <w:t>he retrospective analysis of the ROPE study</w:t>
      </w:r>
      <w:r w:rsidR="000A10CE">
        <w:fldChar w:fldCharType="begin"/>
      </w:r>
      <w:r w:rsidR="00D076C7">
        <w:instrText xml:space="preserve"> ADDIN EN.CITE &lt;EndNote&gt;&lt;Cite&gt;&lt;Author&gt;Suresh&lt;/Author&gt;&lt;Year&gt;2020&lt;/Year&gt;&lt;RecNum&gt;209&lt;/RecNum&gt;&lt;record&gt;&lt;rec-number&gt;209&lt;/rec-number&gt;&lt;foreign-keys&gt;&lt;key app="EN" db-id="wz9spdavb9zvfzettrixwd9peddd2sf5data" timestamp="1690381741"&gt;209&lt;/key&gt;&lt;/foreign-keys&gt;&lt;ref-type name="Journal Article"&gt;17&lt;/ref-type&gt;&lt;contributors&gt;&lt;authors&gt;&lt;author&gt;Suresh, Sunitha&lt;/author&gt;&lt;author&gt;Mueller, Ariel&lt;/author&gt;&lt;author&gt;Salahuddin, Saira&lt;/author&gt;&lt;author&gt;Naseem, Heba&lt;/author&gt;&lt;author&gt;Dhir, Rohin&lt;/author&gt;&lt;author&gt;Rana, Sarosh&lt;/author&gt;&lt;/authors&gt;&lt;/contributors&gt;&lt;titles&gt;&lt;title&gt;Evaluation of angiogenic factors in the decision to admit women with suspected preeclampsia&lt;/title&gt;&lt;secondary-title&gt;Pregnancy Hypertension&lt;/secondary-title&gt;&lt;/titles&gt;&lt;periodical&gt;&lt;full-title&gt;Pregnancy Hypertension&lt;/full-title&gt;&lt;/periodical&gt;&lt;pages&gt;124-131&lt;/pages&gt;&lt;volume&gt;21&lt;/volume&gt;&lt;keywords&gt;&lt;keyword&gt;Angiogenic factors&lt;/keyword&gt;&lt;keyword&gt;Triage&lt;/keyword&gt;&lt;keyword&gt;Admission decision&lt;/keyword&gt;&lt;keyword&gt;Severe preeclampsia&lt;/keyword&gt;&lt;/keywords&gt;&lt;dates&gt;&lt;year&gt;2020&lt;/year&gt;&lt;pub-dates&gt;&lt;date&gt;2020/07/01/&lt;/date&gt;&lt;/pub-dates&gt;&lt;/dates&gt;&lt;isbn&gt;2210-7789&lt;/isbn&gt;&lt;urls&gt;&lt;related-urls&gt;&lt;url&gt;https://www.sciencedirect.com/science/article/pii/S221077892030074X&lt;/url&gt;&lt;/related-urls&gt;&lt;/urls&gt;&lt;electronic-resource-num&gt;https://doi.org/10.1016/j.preghy.2020.05.013&lt;/electronic-resource-num&gt;&lt;/record&gt;&lt;/Cite&gt;&lt;/EndNote&gt;</w:instrText>
      </w:r>
      <w:r w:rsidR="009C163C">
        <w:fldChar w:fldCharType="separate"/>
      </w:r>
      <w:r w:rsidR="000A10CE">
        <w:fldChar w:fldCharType="end"/>
      </w:r>
      <w:r w:rsidR="00621460">
        <w:t xml:space="preserve"> </w:t>
      </w:r>
      <w:r w:rsidR="001F6A11">
        <w:t xml:space="preserve">found a decrease in </w:t>
      </w:r>
      <w:r w:rsidR="0067773B">
        <w:t>admissions</w:t>
      </w:r>
      <w:r w:rsidR="00B051AF">
        <w:t xml:space="preserve"> by 72.6%, and the </w:t>
      </w:r>
      <w:proofErr w:type="spellStart"/>
      <w:r w:rsidR="00345D89">
        <w:t>PreOS</w:t>
      </w:r>
      <w:proofErr w:type="spellEnd"/>
      <w:r w:rsidR="00345D89">
        <w:t xml:space="preserve"> study reported a decrease in admissions by 16.2%. </w:t>
      </w:r>
      <w:r w:rsidR="009525DB">
        <w:t xml:space="preserve">These studies were </w:t>
      </w:r>
      <w:r w:rsidR="004516B0">
        <w:t>reported t</w:t>
      </w:r>
      <w:r w:rsidR="0019153C">
        <w:t xml:space="preserve">o be moderate quality in the </w:t>
      </w:r>
      <w:r w:rsidR="006A05D8">
        <w:t xml:space="preserve">quality assessment presented in the ADAR. </w:t>
      </w:r>
    </w:p>
    <w:p w14:paraId="42F9F8EE" w14:textId="7890B2BE" w:rsidR="005222AA" w:rsidRPr="008C63F5" w:rsidRDefault="00B41C45" w:rsidP="007F3C97">
      <w:r>
        <w:t>The ADAR state</w:t>
      </w:r>
      <w:r w:rsidR="00093B96">
        <w:t>d</w:t>
      </w:r>
      <w:r w:rsidR="007B0116">
        <w:t xml:space="preserve"> that </w:t>
      </w:r>
      <w:r w:rsidR="00A567A2">
        <w:t xml:space="preserve">the results </w:t>
      </w:r>
      <w:r w:rsidR="00AA34A5">
        <w:t>of</w:t>
      </w:r>
      <w:r w:rsidR="0067773B">
        <w:t xml:space="preserve"> a decrease in admissions found in</w:t>
      </w:r>
      <w:r w:rsidR="00AA34A5">
        <w:t xml:space="preserve"> the </w:t>
      </w:r>
      <w:proofErr w:type="spellStart"/>
      <w:r w:rsidR="00AA34A5">
        <w:t>PreOS</w:t>
      </w:r>
      <w:proofErr w:type="spellEnd"/>
      <w:r w:rsidR="00AA34A5">
        <w:t xml:space="preserve"> and ROPE studies </w:t>
      </w:r>
      <w:r w:rsidR="00776A10">
        <w:t>we</w:t>
      </w:r>
      <w:r w:rsidR="00056406">
        <w:t xml:space="preserve">re more favourable as there </w:t>
      </w:r>
      <w:r w:rsidR="00776A10">
        <w:t>wa</w:t>
      </w:r>
      <w:r w:rsidR="00056406">
        <w:t xml:space="preserve">s potential to reduce </w:t>
      </w:r>
      <w:r w:rsidR="00873533">
        <w:t xml:space="preserve">consumption of hospital </w:t>
      </w:r>
      <w:r w:rsidR="004F32B2">
        <w:t>resources</w:t>
      </w:r>
      <w:r w:rsidR="00873533">
        <w:t xml:space="preserve">, particularly with </w:t>
      </w:r>
      <w:r w:rsidR="00B83FD8">
        <w:t xml:space="preserve">pregnant people </w:t>
      </w:r>
      <w:r w:rsidR="00873533">
        <w:t xml:space="preserve">who are at low risk of preeclampsia </w:t>
      </w:r>
      <w:r w:rsidR="00EB5BDE" w:rsidRPr="00EB5BDE">
        <w:t>(sFlt-1:PlGF ≤38)</w:t>
      </w:r>
      <w:r w:rsidR="00EB5BDE">
        <w:t xml:space="preserve">. </w:t>
      </w:r>
      <w:r w:rsidR="007B0116">
        <w:t xml:space="preserve">This </w:t>
      </w:r>
      <w:r w:rsidR="00776A10">
        <w:t>wa</w:t>
      </w:r>
      <w:r w:rsidR="0058071E">
        <w:t xml:space="preserve">s supported </w:t>
      </w:r>
      <w:r>
        <w:t>by the fact</w:t>
      </w:r>
      <w:r w:rsidR="0058071E">
        <w:t xml:space="preserve"> that </w:t>
      </w:r>
      <w:r w:rsidR="00422613">
        <w:t xml:space="preserve">the ratio test </w:t>
      </w:r>
      <w:r w:rsidR="005C75F5">
        <w:t>can provide evidence</w:t>
      </w:r>
      <w:r w:rsidR="00422613">
        <w:t xml:space="preserve"> that these </w:t>
      </w:r>
      <w:r w:rsidR="0044601A">
        <w:t>people</w:t>
      </w:r>
      <w:r w:rsidR="00422613">
        <w:t xml:space="preserve"> </w:t>
      </w:r>
      <w:r w:rsidR="00776A10">
        <w:t>we</w:t>
      </w:r>
      <w:r w:rsidR="00422613">
        <w:t xml:space="preserve">re highly unlikely to develop preeclampsia </w:t>
      </w:r>
      <w:r w:rsidR="00D10B41">
        <w:t xml:space="preserve">within </w:t>
      </w:r>
      <w:r w:rsidR="00AA0427">
        <w:t xml:space="preserve">1 </w:t>
      </w:r>
      <w:r w:rsidR="00D10B41">
        <w:t xml:space="preserve">week </w:t>
      </w:r>
      <w:r w:rsidR="005C75F5">
        <w:t>(</w:t>
      </w:r>
      <w:r w:rsidR="00EB7BF4" w:rsidRPr="00EB7BF4">
        <w:t>based on the NPV of 98.5% to 100% associated with a sFlt-1:PlGF ≤38</w:t>
      </w:r>
      <w:r w:rsidR="005C75F5">
        <w:t>)</w:t>
      </w:r>
      <w:r w:rsidR="009A15F5">
        <w:t>;</w:t>
      </w:r>
      <w:r w:rsidR="00EB7BF4">
        <w:t xml:space="preserve"> </w:t>
      </w:r>
      <w:r w:rsidR="009A15F5">
        <w:t>t</w:t>
      </w:r>
      <w:r w:rsidR="0094021B">
        <w:t>herefore,</w:t>
      </w:r>
      <w:r w:rsidR="004501D2">
        <w:t xml:space="preserve"> </w:t>
      </w:r>
      <w:r w:rsidR="00A92431">
        <w:t xml:space="preserve">these </w:t>
      </w:r>
      <w:r w:rsidR="00C51F49">
        <w:t>people</w:t>
      </w:r>
      <w:r w:rsidR="00A92431">
        <w:t xml:space="preserve"> are unlikely to experience </w:t>
      </w:r>
      <w:r w:rsidR="00BE4ECC">
        <w:t>adverse maternal and f</w:t>
      </w:r>
      <w:r w:rsidR="002D4706">
        <w:t>etal</w:t>
      </w:r>
      <w:r w:rsidR="00AD5939">
        <w:t xml:space="preserve"> </w:t>
      </w:r>
      <w:r w:rsidR="0082760C">
        <w:t xml:space="preserve">events </w:t>
      </w:r>
      <w:r w:rsidR="00AD5939">
        <w:t>a</w:t>
      </w:r>
      <w:r w:rsidR="00D92F52">
        <w:t xml:space="preserve">nd unlikely to require </w:t>
      </w:r>
      <w:r w:rsidR="005D46ED">
        <w:t>imminent delivery.</w:t>
      </w:r>
      <w:r w:rsidR="00BE4ECC">
        <w:t xml:space="preserve"> </w:t>
      </w:r>
      <w:r w:rsidR="00C45CC1" w:rsidRPr="005B39B8">
        <w:t>This evidence len</w:t>
      </w:r>
      <w:r w:rsidR="00776A10">
        <w:t>t</w:t>
      </w:r>
      <w:r w:rsidR="00C45CC1" w:rsidRPr="005B39B8">
        <w:t xml:space="preserve"> more credence to the decision to</w:t>
      </w:r>
      <w:r w:rsidR="00C45CC1" w:rsidDel="00C45CC1">
        <w:t xml:space="preserve"> </w:t>
      </w:r>
      <w:r w:rsidR="00E53AAC">
        <w:t xml:space="preserve">effectively manage </w:t>
      </w:r>
      <w:r w:rsidR="00192393">
        <w:t xml:space="preserve">these </w:t>
      </w:r>
      <w:r w:rsidR="00AF18B5">
        <w:t>people</w:t>
      </w:r>
      <w:r w:rsidR="00192393">
        <w:t xml:space="preserve"> as </w:t>
      </w:r>
      <w:r w:rsidR="000B2CFC">
        <w:t>outpatients</w:t>
      </w:r>
      <w:r w:rsidR="0030453A">
        <w:t xml:space="preserve">, thereby saving on hospital </w:t>
      </w:r>
      <w:r w:rsidR="004F32B2">
        <w:t>resources</w:t>
      </w:r>
      <w:r w:rsidR="0030453A">
        <w:t xml:space="preserve">. </w:t>
      </w:r>
    </w:p>
    <w:p w14:paraId="465C27E1" w14:textId="2BC256F8" w:rsidR="009E593F" w:rsidRDefault="007A53B5" w:rsidP="007F3C97">
      <w:r>
        <w:t xml:space="preserve">The results presented in the ADAR </w:t>
      </w:r>
      <w:r w:rsidR="00246E37">
        <w:t>we</w:t>
      </w:r>
      <w:r>
        <w:t>re, however, highly variable</w:t>
      </w:r>
      <w:r w:rsidR="005C4614">
        <w:t xml:space="preserve"> (</w:t>
      </w:r>
      <w:r w:rsidR="005C4614">
        <w:fldChar w:fldCharType="begin"/>
      </w:r>
      <w:r w:rsidR="005C4614">
        <w:instrText xml:space="preserve"> REF _Ref143769516 \h </w:instrText>
      </w:r>
      <w:r w:rsidR="005C4614">
        <w:fldChar w:fldCharType="separate"/>
      </w:r>
      <w:r w:rsidR="009D7CE9">
        <w:t xml:space="preserve">Table </w:t>
      </w:r>
      <w:r w:rsidR="009D7CE9">
        <w:rPr>
          <w:noProof/>
        </w:rPr>
        <w:t>7</w:t>
      </w:r>
      <w:r w:rsidR="005C4614">
        <w:fldChar w:fldCharType="end"/>
      </w:r>
      <w:r w:rsidR="005C4614">
        <w:t>)</w:t>
      </w:r>
      <w:r>
        <w:t xml:space="preserve">. </w:t>
      </w:r>
      <w:r w:rsidR="007D6213">
        <w:t>One study show</w:t>
      </w:r>
      <w:r w:rsidR="000262F1">
        <w:t>ed</w:t>
      </w:r>
      <w:r w:rsidR="007D6213">
        <w:t xml:space="preserve"> an increase in hospital admissions</w:t>
      </w:r>
      <w:r w:rsidR="00860AE3">
        <w:t xml:space="preserve"> (</w:t>
      </w:r>
      <w:r w:rsidR="0001772A">
        <w:t>+21.</w:t>
      </w:r>
      <w:r w:rsidR="003F256B">
        <w:t>2</w:t>
      </w:r>
      <w:r w:rsidR="0001772A">
        <w:t>%)</w:t>
      </w:r>
      <w:r w:rsidR="007D6213">
        <w:t xml:space="preserve">, and </w:t>
      </w:r>
      <w:r w:rsidR="008A25BA">
        <w:t xml:space="preserve">2 </w:t>
      </w:r>
      <w:r w:rsidR="00860AE3">
        <w:t>studies show</w:t>
      </w:r>
      <w:r w:rsidR="00246E37">
        <w:t>ed</w:t>
      </w:r>
      <w:r w:rsidR="00860AE3">
        <w:t xml:space="preserve"> decreases </w:t>
      </w:r>
      <w:r w:rsidR="0001772A">
        <w:t>in admissions (-72</w:t>
      </w:r>
      <w:r w:rsidR="00A84FF5">
        <w:t>.6</w:t>
      </w:r>
      <w:r w:rsidR="0001772A">
        <w:t xml:space="preserve">%, -16.2%). </w:t>
      </w:r>
      <w:r w:rsidR="0058246F">
        <w:t xml:space="preserve">It </w:t>
      </w:r>
      <w:r w:rsidR="00246E37">
        <w:t>wa</w:t>
      </w:r>
      <w:r w:rsidR="0058246F">
        <w:t>s reported</w:t>
      </w:r>
      <w:r w:rsidR="00A91624">
        <w:t xml:space="preserve"> in the ADAR</w:t>
      </w:r>
      <w:r w:rsidR="0058246F">
        <w:t xml:space="preserve"> that increases in admissions in the INSPIRE trial compared to the decreases reported in </w:t>
      </w:r>
      <w:proofErr w:type="spellStart"/>
      <w:r w:rsidR="0058246F">
        <w:t>PreOS</w:t>
      </w:r>
      <w:proofErr w:type="spellEnd"/>
      <w:r w:rsidR="0058246F">
        <w:t xml:space="preserve"> and ROPE</w:t>
      </w:r>
      <w:r w:rsidR="0008456E">
        <w:t xml:space="preserve"> studies</w:t>
      </w:r>
      <w:r w:rsidR="0058246F">
        <w:t xml:space="preserve"> may be explained by differences in study designs. </w:t>
      </w:r>
      <w:r w:rsidR="005268C0">
        <w:t xml:space="preserve">It </w:t>
      </w:r>
      <w:r w:rsidR="00414001">
        <w:t>wa</w:t>
      </w:r>
      <w:r w:rsidR="005268C0">
        <w:t xml:space="preserve">s also reported that </w:t>
      </w:r>
      <w:r w:rsidR="0033015A">
        <w:t xml:space="preserve">the </w:t>
      </w:r>
      <w:r w:rsidR="00212136">
        <w:t xml:space="preserve">INSPIRE trial </w:t>
      </w:r>
      <w:r w:rsidR="009503BF">
        <w:t xml:space="preserve">recruited during </w:t>
      </w:r>
      <w:r w:rsidR="00C9001E">
        <w:t>2015</w:t>
      </w:r>
      <w:r w:rsidR="0047376E">
        <w:t>–</w:t>
      </w:r>
      <w:r w:rsidR="00C9001E">
        <w:t>2017</w:t>
      </w:r>
      <w:r w:rsidR="00AB10EC">
        <w:t xml:space="preserve">, and </w:t>
      </w:r>
      <w:r w:rsidR="00985EC6">
        <w:t>that</w:t>
      </w:r>
      <w:r w:rsidR="00AB10EC">
        <w:t xml:space="preserve"> there has </w:t>
      </w:r>
      <w:r w:rsidR="00B67635">
        <w:t xml:space="preserve">since </w:t>
      </w:r>
      <w:r w:rsidR="00AB10EC">
        <w:t xml:space="preserve">been </w:t>
      </w:r>
      <w:r w:rsidR="00522310">
        <w:t xml:space="preserve">substantial advancements in </w:t>
      </w:r>
      <w:r w:rsidR="00081E00">
        <w:t>the literature surrounding the</w:t>
      </w:r>
      <w:r w:rsidR="00E92F2D">
        <w:t xml:space="preserve"> effectiveness of</w:t>
      </w:r>
      <w:r w:rsidR="00081E00">
        <w:t xml:space="preserve"> </w:t>
      </w:r>
      <w:r w:rsidR="00E92F2D" w:rsidRPr="00E92F2D">
        <w:t xml:space="preserve">sFlt-1:PlGF in </w:t>
      </w:r>
      <w:r w:rsidR="00985EC6">
        <w:t xml:space="preserve">establishing </w:t>
      </w:r>
      <w:r w:rsidR="00E92F2D" w:rsidRPr="00E92F2D">
        <w:t>preeclampsia</w:t>
      </w:r>
      <w:r w:rsidR="00E92F2D">
        <w:t xml:space="preserve"> development</w:t>
      </w:r>
      <w:r w:rsidR="00985EC6">
        <w:t xml:space="preserve"> (or ruling it out)</w:t>
      </w:r>
      <w:r w:rsidR="009A15F5">
        <w:t>;</w:t>
      </w:r>
      <w:r w:rsidR="00E92F2D">
        <w:t xml:space="preserve"> </w:t>
      </w:r>
      <w:r w:rsidR="009A15F5">
        <w:t>t</w:t>
      </w:r>
      <w:r w:rsidR="00C4122A">
        <w:t>herefore,</w:t>
      </w:r>
      <w:r w:rsidR="00F3615D">
        <w:t xml:space="preserve"> it </w:t>
      </w:r>
      <w:r w:rsidR="00246E37">
        <w:t>wa</w:t>
      </w:r>
      <w:r w:rsidR="00F3615D">
        <w:t xml:space="preserve">s suggested that </w:t>
      </w:r>
      <w:r w:rsidR="005B79E6">
        <w:t xml:space="preserve">the INSPIRE trial </w:t>
      </w:r>
      <w:r w:rsidR="003C448A">
        <w:t xml:space="preserve">may have </w:t>
      </w:r>
      <w:r w:rsidR="00985EC6">
        <w:t>featured</w:t>
      </w:r>
      <w:r w:rsidR="005B79E6">
        <w:t xml:space="preserve"> more conservative </w:t>
      </w:r>
      <w:r w:rsidR="00985EC6">
        <w:t xml:space="preserve">attitudes to hospital </w:t>
      </w:r>
      <w:r w:rsidR="00985EC6">
        <w:lastRenderedPageBreak/>
        <w:t>admission,</w:t>
      </w:r>
      <w:r w:rsidR="005B79E6">
        <w:t xml:space="preserve"> </w:t>
      </w:r>
      <w:r w:rsidR="003C448A">
        <w:t xml:space="preserve">due to </w:t>
      </w:r>
      <w:r w:rsidR="00985EC6">
        <w:t>clinicians having</w:t>
      </w:r>
      <w:r w:rsidR="003C448A">
        <w:t xml:space="preserve"> less confidence in the technology.</w:t>
      </w:r>
      <w:r w:rsidR="00C4122A">
        <w:t xml:space="preserve"> </w:t>
      </w:r>
      <w:r w:rsidR="00D24268">
        <w:t>The commentary considered i</w:t>
      </w:r>
      <w:r w:rsidR="00483B76">
        <w:t xml:space="preserve">t </w:t>
      </w:r>
      <w:r w:rsidR="00D24268">
        <w:t>wa</w:t>
      </w:r>
      <w:r w:rsidR="00483B76">
        <w:t xml:space="preserve">s </w:t>
      </w:r>
      <w:r w:rsidR="00985EC6">
        <w:t>nevertheless</w:t>
      </w:r>
      <w:r w:rsidR="00483B76">
        <w:t xml:space="preserve"> still important to </w:t>
      </w:r>
      <w:r w:rsidR="00BA7580">
        <w:t xml:space="preserve">consider </w:t>
      </w:r>
      <w:r w:rsidR="00BA7580" w:rsidRPr="00104E2E">
        <w:t>the results of this</w:t>
      </w:r>
      <w:r w:rsidR="00BA7580">
        <w:t xml:space="preserve"> trial. </w:t>
      </w:r>
    </w:p>
    <w:p w14:paraId="4BBF1D16" w14:textId="028F521E" w:rsidR="00B26B60" w:rsidRDefault="00B26B60" w:rsidP="0064109D">
      <w:pPr>
        <w:pStyle w:val="Caption"/>
      </w:pPr>
      <w:bookmarkStart w:id="19" w:name="_Ref143769516"/>
      <w:r>
        <w:t xml:space="preserve">Table </w:t>
      </w:r>
      <w:r w:rsidR="009C163C">
        <w:fldChar w:fldCharType="begin"/>
      </w:r>
      <w:r w:rsidR="009C163C">
        <w:instrText xml:space="preserve"> SEQ Table \* ARABIC </w:instrText>
      </w:r>
      <w:r w:rsidR="009C163C">
        <w:fldChar w:fldCharType="separate"/>
      </w:r>
      <w:r w:rsidR="009D7CE9">
        <w:rPr>
          <w:noProof/>
        </w:rPr>
        <w:t>7</w:t>
      </w:r>
      <w:r w:rsidR="009C163C">
        <w:rPr>
          <w:noProof/>
        </w:rPr>
        <w:fldChar w:fldCharType="end"/>
      </w:r>
      <w:bookmarkEnd w:id="19"/>
      <w:r>
        <w:t xml:space="preserve"> Impact of sFLT-1:PIGF ratio testing on hospitalisation based on INSPIRE, </w:t>
      </w:r>
      <w:proofErr w:type="spellStart"/>
      <w:r>
        <w:t>PreOS</w:t>
      </w:r>
      <w:proofErr w:type="spellEnd"/>
      <w:r>
        <w:t>, and ROPE analysis</w:t>
      </w:r>
    </w:p>
    <w:tbl>
      <w:tblPr>
        <w:tblStyle w:val="TableGrid"/>
        <w:tblW w:w="5000" w:type="pct"/>
        <w:tblLook w:val="04A0" w:firstRow="1" w:lastRow="0" w:firstColumn="1" w:lastColumn="0" w:noHBand="0" w:noVBand="1"/>
      </w:tblPr>
      <w:tblGrid>
        <w:gridCol w:w="1414"/>
        <w:gridCol w:w="1843"/>
        <w:gridCol w:w="1417"/>
        <w:gridCol w:w="1417"/>
        <w:gridCol w:w="1560"/>
        <w:gridCol w:w="1365"/>
      </w:tblGrid>
      <w:tr w:rsidR="00290DBB" w:rsidRPr="009847B9" w14:paraId="62EC64A6" w14:textId="77777777" w:rsidTr="00290DBB">
        <w:trPr>
          <w:tblHeader/>
        </w:trPr>
        <w:tc>
          <w:tcPr>
            <w:tcW w:w="784" w:type="pct"/>
            <w:shd w:val="clear" w:color="auto" w:fill="auto"/>
          </w:tcPr>
          <w:p w14:paraId="633B10A5" w14:textId="7FD90D57" w:rsidR="003B782F" w:rsidRPr="0064109D" w:rsidRDefault="003B782F" w:rsidP="00043A0F">
            <w:pPr>
              <w:spacing w:before="0"/>
              <w:rPr>
                <w:rFonts w:ascii="Arial Narrow" w:hAnsi="Arial Narrow"/>
                <w:b/>
                <w:bCs/>
                <w:sz w:val="20"/>
                <w:szCs w:val="20"/>
              </w:rPr>
            </w:pPr>
            <w:r w:rsidRPr="0064109D">
              <w:rPr>
                <w:rFonts w:ascii="Arial Narrow" w:hAnsi="Arial Narrow"/>
                <w:b/>
                <w:bCs/>
                <w:sz w:val="20"/>
                <w:szCs w:val="20"/>
              </w:rPr>
              <w:t>Trial</w:t>
            </w:r>
          </w:p>
        </w:tc>
        <w:tc>
          <w:tcPr>
            <w:tcW w:w="1022" w:type="pct"/>
            <w:shd w:val="clear" w:color="auto" w:fill="auto"/>
          </w:tcPr>
          <w:p w14:paraId="6BFA7191" w14:textId="4221DCEE" w:rsidR="003B782F" w:rsidRPr="0064109D" w:rsidRDefault="003B782F" w:rsidP="00043A0F">
            <w:pPr>
              <w:spacing w:before="0"/>
              <w:rPr>
                <w:rFonts w:ascii="Arial Narrow" w:hAnsi="Arial Narrow"/>
                <w:b/>
                <w:bCs/>
                <w:sz w:val="20"/>
                <w:szCs w:val="20"/>
              </w:rPr>
            </w:pPr>
            <w:r w:rsidRPr="0064109D">
              <w:rPr>
                <w:rFonts w:ascii="Arial Narrow" w:hAnsi="Arial Narrow"/>
                <w:b/>
                <w:bCs/>
                <w:sz w:val="20"/>
                <w:szCs w:val="20"/>
              </w:rPr>
              <w:t>Outcome</w:t>
            </w:r>
          </w:p>
        </w:tc>
        <w:tc>
          <w:tcPr>
            <w:tcW w:w="786" w:type="pct"/>
            <w:shd w:val="clear" w:color="auto" w:fill="auto"/>
          </w:tcPr>
          <w:p w14:paraId="01E3A989" w14:textId="71AD3BA4" w:rsidR="003B782F" w:rsidRPr="0064109D" w:rsidRDefault="003B782F" w:rsidP="00043A0F">
            <w:pPr>
              <w:spacing w:before="0"/>
              <w:rPr>
                <w:rFonts w:ascii="Arial Narrow" w:hAnsi="Arial Narrow"/>
                <w:b/>
                <w:bCs/>
                <w:sz w:val="20"/>
                <w:szCs w:val="20"/>
              </w:rPr>
            </w:pPr>
            <w:r w:rsidRPr="0064109D">
              <w:rPr>
                <w:rFonts w:ascii="Arial Narrow" w:hAnsi="Arial Narrow"/>
                <w:b/>
                <w:bCs/>
                <w:sz w:val="20"/>
                <w:szCs w:val="20"/>
              </w:rPr>
              <w:t>Comparator (current standard tests)</w:t>
            </w:r>
          </w:p>
        </w:tc>
        <w:tc>
          <w:tcPr>
            <w:tcW w:w="786" w:type="pct"/>
            <w:shd w:val="clear" w:color="auto" w:fill="auto"/>
          </w:tcPr>
          <w:p w14:paraId="15EBA8F1" w14:textId="64CB70B3" w:rsidR="003B782F" w:rsidRPr="0064109D" w:rsidRDefault="00FB28F7" w:rsidP="00043A0F">
            <w:pPr>
              <w:spacing w:before="0"/>
              <w:rPr>
                <w:rFonts w:ascii="Arial Narrow" w:hAnsi="Arial Narrow"/>
                <w:b/>
                <w:bCs/>
                <w:sz w:val="20"/>
                <w:szCs w:val="20"/>
              </w:rPr>
            </w:pPr>
            <w:r w:rsidRPr="0064109D">
              <w:rPr>
                <w:rFonts w:ascii="Arial Narrow" w:hAnsi="Arial Narrow"/>
                <w:b/>
                <w:bCs/>
                <w:sz w:val="20"/>
                <w:szCs w:val="20"/>
              </w:rPr>
              <w:t>sFL</w:t>
            </w:r>
            <w:r w:rsidR="00097A78">
              <w:rPr>
                <w:rFonts w:ascii="Arial Narrow" w:hAnsi="Arial Narrow"/>
                <w:b/>
                <w:bCs/>
                <w:sz w:val="20"/>
                <w:szCs w:val="20"/>
              </w:rPr>
              <w:t>t</w:t>
            </w:r>
            <w:r w:rsidRPr="0064109D">
              <w:rPr>
                <w:rFonts w:ascii="Arial Narrow" w:hAnsi="Arial Narrow"/>
                <w:b/>
                <w:bCs/>
                <w:sz w:val="20"/>
                <w:szCs w:val="20"/>
              </w:rPr>
              <w:t>-1:PlGF result + current standard tests</w:t>
            </w:r>
          </w:p>
        </w:tc>
        <w:tc>
          <w:tcPr>
            <w:tcW w:w="865" w:type="pct"/>
            <w:shd w:val="clear" w:color="auto" w:fill="auto"/>
          </w:tcPr>
          <w:p w14:paraId="0CBCD390" w14:textId="5FB4D0D5" w:rsidR="003B782F" w:rsidRPr="0064109D" w:rsidRDefault="00FB28F7" w:rsidP="00043A0F">
            <w:pPr>
              <w:spacing w:before="0"/>
              <w:rPr>
                <w:rFonts w:ascii="Arial Narrow" w:hAnsi="Arial Narrow"/>
                <w:b/>
                <w:bCs/>
                <w:sz w:val="20"/>
                <w:szCs w:val="20"/>
              </w:rPr>
            </w:pPr>
            <w:r w:rsidRPr="0064109D">
              <w:rPr>
                <w:rFonts w:ascii="Arial Narrow" w:hAnsi="Arial Narrow"/>
                <w:b/>
                <w:bCs/>
                <w:sz w:val="20"/>
                <w:szCs w:val="20"/>
              </w:rPr>
              <w:t xml:space="preserve">Percent </w:t>
            </w:r>
            <w:r w:rsidRPr="00185DC4">
              <w:rPr>
                <w:rFonts w:ascii="Arial Narrow" w:hAnsi="Arial Narrow"/>
                <w:b/>
                <w:bCs/>
                <w:strike/>
                <w:sz w:val="20"/>
                <w:szCs w:val="20"/>
              </w:rPr>
              <w:t>difference</w:t>
            </w:r>
            <w:r w:rsidRPr="0064109D">
              <w:rPr>
                <w:rFonts w:ascii="Arial Narrow" w:hAnsi="Arial Narrow"/>
                <w:b/>
                <w:bCs/>
                <w:sz w:val="20"/>
                <w:szCs w:val="20"/>
              </w:rPr>
              <w:t xml:space="preserve"> </w:t>
            </w:r>
            <w:r w:rsidRPr="00185DC4">
              <w:rPr>
                <w:rFonts w:ascii="Arial Narrow" w:hAnsi="Arial Narrow"/>
                <w:b/>
                <w:bCs/>
                <w:color w:val="0070C0"/>
                <w:sz w:val="20"/>
                <w:szCs w:val="20"/>
              </w:rPr>
              <w:t xml:space="preserve">change </w:t>
            </w:r>
            <w:r w:rsidRPr="0064109D">
              <w:rPr>
                <w:rFonts w:ascii="Arial Narrow" w:hAnsi="Arial Narrow"/>
                <w:b/>
                <w:bCs/>
                <w:sz w:val="20"/>
                <w:szCs w:val="20"/>
              </w:rPr>
              <w:t>(%)</w:t>
            </w:r>
          </w:p>
        </w:tc>
        <w:tc>
          <w:tcPr>
            <w:tcW w:w="758" w:type="pct"/>
            <w:shd w:val="clear" w:color="auto" w:fill="auto"/>
          </w:tcPr>
          <w:p w14:paraId="430CF3A9" w14:textId="78C07D35" w:rsidR="003B782F" w:rsidRPr="0064109D" w:rsidRDefault="00FB28F7" w:rsidP="00043A0F">
            <w:pPr>
              <w:spacing w:before="0"/>
              <w:rPr>
                <w:rFonts w:ascii="Arial Narrow" w:hAnsi="Arial Narrow"/>
                <w:b/>
                <w:bCs/>
                <w:sz w:val="20"/>
                <w:szCs w:val="20"/>
              </w:rPr>
            </w:pPr>
            <w:r w:rsidRPr="0064109D">
              <w:rPr>
                <w:rFonts w:ascii="Arial Narrow" w:hAnsi="Arial Narrow"/>
                <w:b/>
                <w:bCs/>
                <w:sz w:val="20"/>
                <w:szCs w:val="20"/>
              </w:rPr>
              <w:t>Risk ratio (95% CI)</w:t>
            </w:r>
          </w:p>
        </w:tc>
      </w:tr>
      <w:tr w:rsidR="00290DBB" w:rsidRPr="009847B9" w14:paraId="7B8EEB57" w14:textId="616F0C36" w:rsidTr="00290DBB">
        <w:tc>
          <w:tcPr>
            <w:tcW w:w="784" w:type="pct"/>
          </w:tcPr>
          <w:p w14:paraId="0EE6F01C" w14:textId="75086F3A" w:rsidR="00EC2279" w:rsidRPr="0064109D" w:rsidRDefault="00EC2279" w:rsidP="00043A0F">
            <w:pPr>
              <w:spacing w:before="0"/>
              <w:rPr>
                <w:rFonts w:ascii="Arial Narrow" w:hAnsi="Arial Narrow"/>
                <w:sz w:val="20"/>
                <w:szCs w:val="20"/>
              </w:rPr>
            </w:pPr>
            <w:r w:rsidRPr="0064109D">
              <w:rPr>
                <w:rFonts w:ascii="Arial Narrow" w:hAnsi="Arial Narrow"/>
                <w:sz w:val="20"/>
                <w:szCs w:val="20"/>
              </w:rPr>
              <w:t>INSPIRE Trial</w:t>
            </w:r>
            <w:r w:rsidR="00E96FCA">
              <w:rPr>
                <w:rFonts w:ascii="Arial Narrow" w:hAnsi="Arial Narrow"/>
                <w:sz w:val="20"/>
                <w:szCs w:val="20"/>
              </w:rPr>
              <w:br/>
            </w:r>
            <w:r w:rsidR="00EA53B3">
              <w:rPr>
                <w:rFonts w:ascii="Arial Narrow" w:hAnsi="Arial Narrow"/>
                <w:sz w:val="20"/>
                <w:szCs w:val="20"/>
              </w:rPr>
              <w:t>(</w:t>
            </w:r>
            <w:proofErr w:type="spellStart"/>
            <w:r w:rsidR="00E96FCA">
              <w:rPr>
                <w:rFonts w:ascii="Arial Narrow" w:hAnsi="Arial Narrow"/>
                <w:sz w:val="20"/>
                <w:szCs w:val="20"/>
              </w:rPr>
              <w:t>Cerdeira</w:t>
            </w:r>
            <w:proofErr w:type="spellEnd"/>
            <w:r w:rsidR="00E96FCA">
              <w:rPr>
                <w:rFonts w:ascii="Arial Narrow" w:hAnsi="Arial Narrow"/>
                <w:sz w:val="20"/>
                <w:szCs w:val="20"/>
              </w:rPr>
              <w:t xml:space="preserve"> 2019</w:t>
            </w:r>
            <w:r w:rsidR="00EA53B3">
              <w:rPr>
                <w:rFonts w:ascii="Arial Narrow" w:hAnsi="Arial Narrow"/>
                <w:sz w:val="20"/>
                <w:szCs w:val="20"/>
              </w:rPr>
              <w:t>)</w:t>
            </w:r>
          </w:p>
        </w:tc>
        <w:tc>
          <w:tcPr>
            <w:tcW w:w="1022" w:type="pct"/>
          </w:tcPr>
          <w:p w14:paraId="4C9628AE" w14:textId="460DE2C7" w:rsidR="00EC2279" w:rsidRPr="0064109D" w:rsidRDefault="00EC2279" w:rsidP="00043A0F">
            <w:pPr>
              <w:spacing w:before="0"/>
              <w:rPr>
                <w:rFonts w:ascii="Arial Narrow" w:hAnsi="Arial Narrow"/>
                <w:sz w:val="20"/>
                <w:szCs w:val="20"/>
              </w:rPr>
            </w:pPr>
            <w:r w:rsidRPr="0064109D">
              <w:rPr>
                <w:rFonts w:ascii="Arial Narrow" w:hAnsi="Arial Narrow"/>
                <w:sz w:val="20"/>
                <w:szCs w:val="20"/>
              </w:rPr>
              <w:t>Admission to hospital within 24 hours of the test, n/N (%)</w:t>
            </w:r>
          </w:p>
        </w:tc>
        <w:tc>
          <w:tcPr>
            <w:tcW w:w="786" w:type="pct"/>
          </w:tcPr>
          <w:p w14:paraId="37A37221" w14:textId="460DC00E" w:rsidR="00EC2279" w:rsidRPr="0064109D" w:rsidRDefault="00EC2279" w:rsidP="00043A0F">
            <w:pPr>
              <w:spacing w:before="0"/>
              <w:rPr>
                <w:rFonts w:ascii="Arial Narrow" w:hAnsi="Arial Narrow"/>
                <w:sz w:val="20"/>
                <w:szCs w:val="20"/>
              </w:rPr>
            </w:pPr>
            <w:r w:rsidRPr="0064109D">
              <w:rPr>
                <w:rFonts w:ascii="Arial Narrow" w:hAnsi="Arial Narrow"/>
                <w:sz w:val="20"/>
                <w:szCs w:val="20"/>
              </w:rPr>
              <w:t>48/184=26.1%</w:t>
            </w:r>
          </w:p>
        </w:tc>
        <w:tc>
          <w:tcPr>
            <w:tcW w:w="786" w:type="pct"/>
          </w:tcPr>
          <w:p w14:paraId="145E2A71" w14:textId="1F0BF28C" w:rsidR="00EC2279" w:rsidRPr="0064109D" w:rsidRDefault="00EC2279" w:rsidP="00043A0F">
            <w:pPr>
              <w:spacing w:before="0"/>
              <w:rPr>
                <w:rFonts w:ascii="Arial Narrow" w:hAnsi="Arial Narrow"/>
                <w:sz w:val="20"/>
                <w:szCs w:val="20"/>
              </w:rPr>
            </w:pPr>
            <w:r w:rsidRPr="0064109D">
              <w:rPr>
                <w:rFonts w:ascii="Arial Narrow" w:hAnsi="Arial Narrow"/>
                <w:sz w:val="20"/>
                <w:szCs w:val="20"/>
              </w:rPr>
              <w:t>60/186=32.3%</w:t>
            </w:r>
          </w:p>
        </w:tc>
        <w:tc>
          <w:tcPr>
            <w:tcW w:w="865" w:type="pct"/>
          </w:tcPr>
          <w:p w14:paraId="1476EB89" w14:textId="2EABAE33" w:rsidR="00EC2279" w:rsidRPr="0064109D" w:rsidRDefault="0058570D" w:rsidP="00043A0F">
            <w:pPr>
              <w:spacing w:before="0"/>
              <w:rPr>
                <w:rFonts w:ascii="Arial Narrow" w:hAnsi="Arial Narrow"/>
                <w:sz w:val="20"/>
                <w:szCs w:val="20"/>
              </w:rPr>
            </w:pPr>
            <w:r w:rsidRPr="00C77517">
              <w:rPr>
                <w:rFonts w:ascii="Arial Narrow" w:hAnsi="Arial Narrow"/>
                <w:strike/>
                <w:sz w:val="20"/>
                <w:szCs w:val="20"/>
              </w:rPr>
              <w:t>↑21.2%</w:t>
            </w:r>
            <w:r w:rsidRPr="0064109D">
              <w:rPr>
                <w:rFonts w:ascii="Arial Narrow" w:hAnsi="Arial Narrow"/>
                <w:sz w:val="20"/>
                <w:szCs w:val="20"/>
              </w:rPr>
              <w:t xml:space="preserve"> </w:t>
            </w:r>
            <w:r w:rsidR="00D80635" w:rsidRPr="00C77517">
              <w:rPr>
                <w:rFonts w:ascii="Arial Narrow" w:hAnsi="Arial Narrow"/>
                <w:i/>
                <w:iCs/>
                <w:color w:val="0070C0"/>
                <w:sz w:val="20"/>
                <w:szCs w:val="20"/>
              </w:rPr>
              <w:t>↑23.7%</w:t>
            </w:r>
            <w:r w:rsidR="003126D8">
              <w:rPr>
                <w:rFonts w:ascii="Arial Narrow" w:hAnsi="Arial Narrow"/>
                <w:color w:val="0070C0"/>
                <w:sz w:val="20"/>
                <w:szCs w:val="20"/>
              </w:rPr>
              <w:t xml:space="preserve"> </w:t>
            </w:r>
            <w:r w:rsidRPr="0064109D">
              <w:rPr>
                <w:rFonts w:ascii="Arial Narrow" w:hAnsi="Arial Narrow"/>
                <w:sz w:val="20"/>
                <w:szCs w:val="20"/>
              </w:rPr>
              <w:t xml:space="preserve">in </w:t>
            </w:r>
            <w:r w:rsidR="006E36A6">
              <w:rPr>
                <w:rFonts w:ascii="Arial Narrow" w:hAnsi="Arial Narrow"/>
                <w:sz w:val="20"/>
                <w:szCs w:val="20"/>
              </w:rPr>
              <w:t xml:space="preserve">the </w:t>
            </w:r>
            <w:r w:rsidRPr="0064109D">
              <w:rPr>
                <w:rFonts w:ascii="Arial Narrow" w:hAnsi="Arial Narrow"/>
                <w:sz w:val="20"/>
                <w:szCs w:val="20"/>
              </w:rPr>
              <w:t>intervention arm</w:t>
            </w:r>
          </w:p>
        </w:tc>
        <w:tc>
          <w:tcPr>
            <w:tcW w:w="758" w:type="pct"/>
          </w:tcPr>
          <w:p w14:paraId="7C345BB0" w14:textId="615EBC0B" w:rsidR="00EC2279" w:rsidRPr="0064109D" w:rsidRDefault="009E1F46" w:rsidP="00043A0F">
            <w:pPr>
              <w:spacing w:before="0"/>
              <w:rPr>
                <w:rFonts w:ascii="Arial Narrow" w:hAnsi="Arial Narrow"/>
                <w:sz w:val="20"/>
                <w:szCs w:val="20"/>
              </w:rPr>
            </w:pPr>
            <w:r w:rsidRPr="0064109D">
              <w:rPr>
                <w:rFonts w:ascii="Arial Narrow" w:hAnsi="Arial Narrow"/>
                <w:sz w:val="20"/>
                <w:szCs w:val="20"/>
              </w:rPr>
              <w:t xml:space="preserve">1.24 </w:t>
            </w:r>
            <w:r w:rsidR="00290DBB">
              <w:rPr>
                <w:rFonts w:ascii="Arial Narrow" w:hAnsi="Arial Narrow"/>
                <w:sz w:val="20"/>
                <w:szCs w:val="20"/>
              </w:rPr>
              <w:br/>
            </w:r>
            <w:r w:rsidRPr="0064109D">
              <w:rPr>
                <w:rFonts w:ascii="Arial Narrow" w:hAnsi="Arial Narrow"/>
                <w:sz w:val="20"/>
                <w:szCs w:val="20"/>
              </w:rPr>
              <w:t>(0.89, 1.70)</w:t>
            </w:r>
          </w:p>
        </w:tc>
      </w:tr>
      <w:tr w:rsidR="00EA53B3" w:rsidRPr="009847B9" w14:paraId="0AE0C2AD" w14:textId="65C8AD7C" w:rsidTr="00C77517">
        <w:trPr>
          <w:trHeight w:val="714"/>
        </w:trPr>
        <w:tc>
          <w:tcPr>
            <w:tcW w:w="784" w:type="pct"/>
          </w:tcPr>
          <w:p w14:paraId="34E774F2" w14:textId="169F554F" w:rsidR="00EC2279" w:rsidRPr="0064109D" w:rsidRDefault="0043175E" w:rsidP="00043A0F">
            <w:pPr>
              <w:spacing w:before="0"/>
              <w:rPr>
                <w:rFonts w:ascii="Arial Narrow" w:hAnsi="Arial Narrow"/>
                <w:sz w:val="20"/>
                <w:szCs w:val="20"/>
              </w:rPr>
            </w:pPr>
            <w:proofErr w:type="spellStart"/>
            <w:r w:rsidRPr="0064109D">
              <w:rPr>
                <w:rFonts w:ascii="Arial Narrow" w:hAnsi="Arial Narrow"/>
                <w:sz w:val="20"/>
                <w:szCs w:val="20"/>
              </w:rPr>
              <w:t>PreOS</w:t>
            </w:r>
            <w:proofErr w:type="spellEnd"/>
            <w:r w:rsidRPr="0064109D">
              <w:rPr>
                <w:rFonts w:ascii="Arial Narrow" w:hAnsi="Arial Narrow"/>
                <w:sz w:val="20"/>
                <w:szCs w:val="20"/>
              </w:rPr>
              <w:t xml:space="preserve"> Trial </w:t>
            </w:r>
            <w:r w:rsidR="00E96FCA">
              <w:rPr>
                <w:rFonts w:ascii="Arial Narrow" w:hAnsi="Arial Narrow"/>
                <w:sz w:val="20"/>
                <w:szCs w:val="20"/>
              </w:rPr>
              <w:br/>
            </w:r>
            <w:r w:rsidR="00EA53B3">
              <w:rPr>
                <w:rFonts w:ascii="Arial Narrow" w:hAnsi="Arial Narrow"/>
                <w:sz w:val="20"/>
                <w:szCs w:val="20"/>
              </w:rPr>
              <w:t>(</w:t>
            </w:r>
            <w:r w:rsidR="007A46EB">
              <w:rPr>
                <w:rFonts w:ascii="Arial Narrow" w:hAnsi="Arial Narrow"/>
                <w:sz w:val="20"/>
                <w:szCs w:val="20"/>
              </w:rPr>
              <w:t>Klein 2016</w:t>
            </w:r>
            <w:r w:rsidR="00EA53B3">
              <w:rPr>
                <w:rFonts w:ascii="Arial Narrow" w:hAnsi="Arial Narrow"/>
                <w:sz w:val="20"/>
                <w:szCs w:val="20"/>
              </w:rPr>
              <w:t>)</w:t>
            </w:r>
          </w:p>
        </w:tc>
        <w:tc>
          <w:tcPr>
            <w:tcW w:w="1022" w:type="pct"/>
          </w:tcPr>
          <w:p w14:paraId="2E7E49FF" w14:textId="511A3E7A" w:rsidR="00EC2279" w:rsidRPr="0064109D" w:rsidRDefault="00654F3F" w:rsidP="00043A0F">
            <w:pPr>
              <w:spacing w:before="0"/>
              <w:rPr>
                <w:rFonts w:ascii="Arial Narrow" w:hAnsi="Arial Narrow"/>
                <w:sz w:val="20"/>
                <w:szCs w:val="20"/>
              </w:rPr>
            </w:pPr>
            <w:r w:rsidRPr="0064109D">
              <w:rPr>
                <w:rFonts w:ascii="Arial Narrow" w:hAnsi="Arial Narrow"/>
                <w:sz w:val="20"/>
                <w:szCs w:val="20"/>
              </w:rPr>
              <w:t>Hospitalisation</w:t>
            </w:r>
          </w:p>
        </w:tc>
        <w:tc>
          <w:tcPr>
            <w:tcW w:w="786" w:type="pct"/>
          </w:tcPr>
          <w:p w14:paraId="3DE98C8F" w14:textId="758E08FF" w:rsidR="00EC2279" w:rsidRPr="0064109D" w:rsidRDefault="00394C21" w:rsidP="00043A0F">
            <w:pPr>
              <w:spacing w:before="0"/>
              <w:rPr>
                <w:rFonts w:ascii="Arial Narrow" w:hAnsi="Arial Narrow"/>
                <w:sz w:val="20"/>
                <w:szCs w:val="20"/>
              </w:rPr>
            </w:pPr>
            <w:r w:rsidRPr="0064109D">
              <w:rPr>
                <w:rFonts w:ascii="Arial Narrow" w:hAnsi="Arial Narrow"/>
                <w:sz w:val="20"/>
                <w:szCs w:val="20"/>
              </w:rPr>
              <w:t>40/118=33.9%</w:t>
            </w:r>
          </w:p>
        </w:tc>
        <w:tc>
          <w:tcPr>
            <w:tcW w:w="786" w:type="pct"/>
          </w:tcPr>
          <w:p w14:paraId="43C22A62" w14:textId="04782222" w:rsidR="00EC2279" w:rsidRPr="0064109D" w:rsidRDefault="00E84C57" w:rsidP="00043A0F">
            <w:pPr>
              <w:spacing w:before="0"/>
              <w:rPr>
                <w:rFonts w:ascii="Arial Narrow" w:hAnsi="Arial Narrow"/>
                <w:sz w:val="20"/>
                <w:szCs w:val="20"/>
              </w:rPr>
            </w:pPr>
            <w:r w:rsidRPr="0064109D">
              <w:rPr>
                <w:rFonts w:ascii="Arial Narrow" w:hAnsi="Arial Narrow"/>
                <w:sz w:val="20"/>
                <w:szCs w:val="20"/>
              </w:rPr>
              <w:t>34/118=28.8%</w:t>
            </w:r>
          </w:p>
        </w:tc>
        <w:tc>
          <w:tcPr>
            <w:tcW w:w="865" w:type="pct"/>
          </w:tcPr>
          <w:p w14:paraId="305F918B" w14:textId="7AB640A0" w:rsidR="00EC2279" w:rsidRPr="0064109D" w:rsidRDefault="000C2E4E" w:rsidP="00043A0F">
            <w:pPr>
              <w:spacing w:before="0"/>
              <w:rPr>
                <w:rFonts w:ascii="Arial Narrow" w:hAnsi="Arial Narrow"/>
                <w:sz w:val="20"/>
                <w:szCs w:val="20"/>
              </w:rPr>
            </w:pPr>
            <w:r w:rsidRPr="00C77517">
              <w:rPr>
                <w:rFonts w:ascii="Arial Narrow" w:hAnsi="Arial Narrow"/>
                <w:strike/>
                <w:sz w:val="20"/>
                <w:szCs w:val="20"/>
              </w:rPr>
              <w:t>↓16.2%</w:t>
            </w:r>
            <w:r w:rsidRPr="0064109D">
              <w:rPr>
                <w:rFonts w:ascii="Arial Narrow" w:hAnsi="Arial Narrow"/>
                <w:sz w:val="20"/>
                <w:szCs w:val="20"/>
              </w:rPr>
              <w:t xml:space="preserve"> </w:t>
            </w:r>
            <w:r w:rsidR="00D80635" w:rsidRPr="00C77517">
              <w:rPr>
                <w:rFonts w:ascii="Arial Narrow" w:hAnsi="Arial Narrow"/>
                <w:i/>
                <w:iCs/>
                <w:color w:val="0070C0"/>
                <w:sz w:val="20"/>
                <w:szCs w:val="20"/>
              </w:rPr>
              <w:t>↓15.0%</w:t>
            </w:r>
            <w:r w:rsidR="00D80635">
              <w:rPr>
                <w:rFonts w:ascii="Arial Narrow" w:hAnsi="Arial Narrow"/>
                <w:sz w:val="20"/>
                <w:szCs w:val="20"/>
              </w:rPr>
              <w:t xml:space="preserve"> </w:t>
            </w:r>
            <w:r w:rsidRPr="0064109D">
              <w:rPr>
                <w:rFonts w:ascii="Arial Narrow" w:hAnsi="Arial Narrow"/>
                <w:sz w:val="20"/>
                <w:szCs w:val="20"/>
              </w:rPr>
              <w:t>in the intervention arm</w:t>
            </w:r>
          </w:p>
        </w:tc>
        <w:tc>
          <w:tcPr>
            <w:tcW w:w="758" w:type="pct"/>
          </w:tcPr>
          <w:p w14:paraId="5EB45632" w14:textId="0AEEBC02" w:rsidR="00EC2279" w:rsidRPr="0064109D" w:rsidRDefault="00694F6D" w:rsidP="00043A0F">
            <w:pPr>
              <w:spacing w:before="0"/>
              <w:rPr>
                <w:rFonts w:ascii="Arial Narrow" w:hAnsi="Arial Narrow"/>
                <w:sz w:val="20"/>
                <w:szCs w:val="20"/>
              </w:rPr>
            </w:pPr>
            <w:r w:rsidRPr="0064109D">
              <w:rPr>
                <w:rFonts w:ascii="Arial Narrow" w:hAnsi="Arial Narrow"/>
                <w:sz w:val="20"/>
                <w:szCs w:val="20"/>
              </w:rPr>
              <w:t xml:space="preserve">0.85 </w:t>
            </w:r>
            <w:r w:rsidR="00290DBB">
              <w:rPr>
                <w:rFonts w:ascii="Arial Narrow" w:hAnsi="Arial Narrow"/>
                <w:sz w:val="20"/>
                <w:szCs w:val="20"/>
              </w:rPr>
              <w:br/>
            </w:r>
            <w:r w:rsidRPr="0064109D">
              <w:rPr>
                <w:rFonts w:ascii="Arial Narrow" w:hAnsi="Arial Narrow"/>
                <w:sz w:val="20"/>
                <w:szCs w:val="20"/>
              </w:rPr>
              <w:t>(0.58, 1.24)</w:t>
            </w:r>
            <w:r w:rsidR="005B67CA" w:rsidRPr="0064109D">
              <w:rPr>
                <w:rFonts w:ascii="Arial Narrow" w:hAnsi="Arial Narrow"/>
                <w:sz w:val="20"/>
                <w:szCs w:val="20"/>
                <w:vertAlign w:val="superscript"/>
              </w:rPr>
              <w:t>a</w:t>
            </w:r>
          </w:p>
        </w:tc>
      </w:tr>
      <w:tr w:rsidR="00EA53B3" w:rsidRPr="009847B9" w14:paraId="65F3946F" w14:textId="61E4D1C3" w:rsidTr="00C77517">
        <w:trPr>
          <w:trHeight w:val="683"/>
        </w:trPr>
        <w:tc>
          <w:tcPr>
            <w:tcW w:w="784" w:type="pct"/>
          </w:tcPr>
          <w:p w14:paraId="6B992EDA" w14:textId="6BE68FE2" w:rsidR="00EC2279" w:rsidRPr="0064109D" w:rsidRDefault="000C2E4E" w:rsidP="00043A0F">
            <w:pPr>
              <w:spacing w:before="0"/>
              <w:rPr>
                <w:rFonts w:ascii="Arial Narrow" w:hAnsi="Arial Narrow"/>
                <w:sz w:val="20"/>
                <w:szCs w:val="20"/>
              </w:rPr>
            </w:pPr>
            <w:r w:rsidRPr="0064109D">
              <w:rPr>
                <w:rFonts w:ascii="Arial Narrow" w:hAnsi="Arial Narrow"/>
                <w:sz w:val="20"/>
                <w:szCs w:val="20"/>
              </w:rPr>
              <w:t xml:space="preserve">ROPE Trial </w:t>
            </w:r>
            <w:r w:rsidR="007A46EB">
              <w:rPr>
                <w:rFonts w:ascii="Arial Narrow" w:hAnsi="Arial Narrow"/>
                <w:sz w:val="20"/>
                <w:szCs w:val="20"/>
              </w:rPr>
              <w:br/>
            </w:r>
            <w:r w:rsidR="00EA53B3">
              <w:rPr>
                <w:rFonts w:ascii="Arial Narrow" w:hAnsi="Arial Narrow"/>
                <w:sz w:val="20"/>
                <w:szCs w:val="20"/>
              </w:rPr>
              <w:t>(Suresh 2020)</w:t>
            </w:r>
          </w:p>
        </w:tc>
        <w:tc>
          <w:tcPr>
            <w:tcW w:w="1022" w:type="pct"/>
          </w:tcPr>
          <w:p w14:paraId="6EA75063" w14:textId="18018886" w:rsidR="00EC2279" w:rsidRPr="0064109D" w:rsidRDefault="0099728A" w:rsidP="00043A0F">
            <w:pPr>
              <w:spacing w:before="0"/>
              <w:rPr>
                <w:rFonts w:ascii="Arial Narrow" w:hAnsi="Arial Narrow"/>
                <w:sz w:val="20"/>
                <w:szCs w:val="20"/>
              </w:rPr>
            </w:pPr>
            <w:r w:rsidRPr="0064109D">
              <w:rPr>
                <w:rFonts w:ascii="Arial Narrow" w:hAnsi="Arial Narrow"/>
                <w:sz w:val="20"/>
                <w:szCs w:val="20"/>
              </w:rPr>
              <w:t>Admitted to hospital</w:t>
            </w:r>
          </w:p>
        </w:tc>
        <w:tc>
          <w:tcPr>
            <w:tcW w:w="786" w:type="pct"/>
          </w:tcPr>
          <w:p w14:paraId="23C3D516" w14:textId="1AD5F218" w:rsidR="00EC2279" w:rsidRPr="0064109D" w:rsidRDefault="004026B3" w:rsidP="00043A0F">
            <w:pPr>
              <w:spacing w:before="0"/>
              <w:rPr>
                <w:rFonts w:ascii="Arial Narrow" w:hAnsi="Arial Narrow"/>
                <w:sz w:val="20"/>
                <w:szCs w:val="20"/>
              </w:rPr>
            </w:pPr>
            <w:r w:rsidRPr="0064109D">
              <w:rPr>
                <w:rFonts w:ascii="Arial Narrow" w:hAnsi="Arial Narrow"/>
                <w:sz w:val="20"/>
                <w:szCs w:val="20"/>
              </w:rPr>
              <w:t>225/459=49.0%</w:t>
            </w:r>
          </w:p>
        </w:tc>
        <w:tc>
          <w:tcPr>
            <w:tcW w:w="786" w:type="pct"/>
          </w:tcPr>
          <w:p w14:paraId="2AD26EDB" w14:textId="36EF0F7C" w:rsidR="00EC2279" w:rsidRPr="0064109D" w:rsidRDefault="00ED3213" w:rsidP="00043A0F">
            <w:pPr>
              <w:spacing w:before="0"/>
              <w:rPr>
                <w:rFonts w:ascii="Arial Narrow" w:hAnsi="Arial Narrow"/>
                <w:sz w:val="20"/>
                <w:szCs w:val="20"/>
              </w:rPr>
            </w:pPr>
            <w:r w:rsidRPr="0064109D">
              <w:rPr>
                <w:rFonts w:ascii="Arial Narrow" w:hAnsi="Arial Narrow"/>
                <w:sz w:val="20"/>
                <w:szCs w:val="20"/>
              </w:rPr>
              <w:t>105/459=22.9%</w:t>
            </w:r>
          </w:p>
        </w:tc>
        <w:tc>
          <w:tcPr>
            <w:tcW w:w="865" w:type="pct"/>
          </w:tcPr>
          <w:p w14:paraId="2A1658A6" w14:textId="55186305" w:rsidR="00EC2279" w:rsidRPr="0064109D" w:rsidRDefault="00866F85" w:rsidP="00043A0F">
            <w:pPr>
              <w:spacing w:before="0"/>
              <w:rPr>
                <w:rFonts w:ascii="Arial Narrow" w:hAnsi="Arial Narrow"/>
                <w:sz w:val="20"/>
                <w:szCs w:val="20"/>
              </w:rPr>
            </w:pPr>
            <w:r w:rsidRPr="00C77517">
              <w:rPr>
                <w:rFonts w:ascii="Arial Narrow" w:hAnsi="Arial Narrow"/>
                <w:strike/>
                <w:sz w:val="20"/>
                <w:szCs w:val="20"/>
              </w:rPr>
              <w:t>↓72.6%</w:t>
            </w:r>
            <w:r w:rsidR="00D80635">
              <w:rPr>
                <w:rFonts w:ascii="Arial Narrow" w:hAnsi="Arial Narrow"/>
                <w:sz w:val="20"/>
                <w:szCs w:val="20"/>
              </w:rPr>
              <w:t xml:space="preserve"> </w:t>
            </w:r>
            <w:r w:rsidR="00D80635" w:rsidRPr="00C77517">
              <w:rPr>
                <w:rFonts w:ascii="Arial Narrow" w:hAnsi="Arial Narrow"/>
                <w:i/>
                <w:iCs/>
                <w:color w:val="0070C0"/>
                <w:sz w:val="20"/>
                <w:szCs w:val="20"/>
              </w:rPr>
              <w:t>↓53.3%</w:t>
            </w:r>
            <w:r w:rsidRPr="0064109D">
              <w:rPr>
                <w:rFonts w:ascii="Arial Narrow" w:hAnsi="Arial Narrow"/>
                <w:sz w:val="20"/>
                <w:szCs w:val="20"/>
              </w:rPr>
              <w:t xml:space="preserve"> in the intervention arm</w:t>
            </w:r>
          </w:p>
        </w:tc>
        <w:tc>
          <w:tcPr>
            <w:tcW w:w="758" w:type="pct"/>
          </w:tcPr>
          <w:p w14:paraId="22500381" w14:textId="054316F7" w:rsidR="00EC2279" w:rsidRPr="0064109D" w:rsidRDefault="00B26E24" w:rsidP="00043A0F">
            <w:pPr>
              <w:spacing w:before="0"/>
              <w:rPr>
                <w:rFonts w:ascii="Arial Narrow" w:hAnsi="Arial Narrow"/>
                <w:sz w:val="20"/>
                <w:szCs w:val="20"/>
              </w:rPr>
            </w:pPr>
            <w:r w:rsidRPr="0064109D">
              <w:rPr>
                <w:rFonts w:ascii="Arial Narrow" w:hAnsi="Arial Narrow"/>
                <w:sz w:val="20"/>
                <w:szCs w:val="20"/>
              </w:rPr>
              <w:t xml:space="preserve">0.47 </w:t>
            </w:r>
            <w:r w:rsidR="00290DBB">
              <w:rPr>
                <w:rFonts w:ascii="Arial Narrow" w:hAnsi="Arial Narrow"/>
                <w:sz w:val="20"/>
                <w:szCs w:val="20"/>
              </w:rPr>
              <w:br/>
            </w:r>
            <w:r w:rsidRPr="0064109D">
              <w:rPr>
                <w:rFonts w:ascii="Arial Narrow" w:hAnsi="Arial Narrow"/>
                <w:sz w:val="20"/>
                <w:szCs w:val="20"/>
              </w:rPr>
              <w:t>(</w:t>
            </w:r>
            <w:r w:rsidR="0005726F" w:rsidRPr="0064109D">
              <w:rPr>
                <w:rFonts w:ascii="Arial Narrow" w:hAnsi="Arial Narrow"/>
                <w:sz w:val="20"/>
                <w:szCs w:val="20"/>
              </w:rPr>
              <w:t>0.39, 0.56)</w:t>
            </w:r>
            <w:r w:rsidR="005B67CA" w:rsidRPr="0064109D">
              <w:rPr>
                <w:rFonts w:ascii="Arial Narrow" w:hAnsi="Arial Narrow"/>
                <w:sz w:val="20"/>
                <w:szCs w:val="20"/>
                <w:vertAlign w:val="superscript"/>
              </w:rPr>
              <w:t>a</w:t>
            </w:r>
          </w:p>
        </w:tc>
      </w:tr>
    </w:tbl>
    <w:p w14:paraId="3C259DE2" w14:textId="6F67C457" w:rsidR="009E593F" w:rsidRPr="0064109D" w:rsidRDefault="00CB654A" w:rsidP="0064109D">
      <w:pPr>
        <w:spacing w:before="0" w:after="0"/>
        <w:rPr>
          <w:rFonts w:ascii="Arial Narrow" w:hAnsi="Arial Narrow" w:cs="Arial"/>
          <w:sz w:val="18"/>
        </w:rPr>
      </w:pPr>
      <w:r w:rsidRPr="00437FC2">
        <w:rPr>
          <w:rFonts w:ascii="Arial Narrow" w:hAnsi="Arial Narrow" w:cs="Arial"/>
          <w:b/>
          <w:bCs/>
          <w:sz w:val="18"/>
          <w:u w:val="single"/>
        </w:rPr>
        <w:t>Notes</w:t>
      </w:r>
      <w:r w:rsidR="00B7642F" w:rsidRPr="00C577B3">
        <w:rPr>
          <w:rFonts w:ascii="Arial Narrow" w:hAnsi="Arial Narrow"/>
          <w:b/>
          <w:bCs/>
          <w:sz w:val="18"/>
          <w:szCs w:val="18"/>
        </w:rPr>
        <w:t>:</w:t>
      </w:r>
      <w:r w:rsidR="00B7642F">
        <w:rPr>
          <w:rFonts w:ascii="Arial Narrow" w:hAnsi="Arial Narrow"/>
          <w:b/>
          <w:bCs/>
          <w:sz w:val="18"/>
          <w:szCs w:val="18"/>
        </w:rPr>
        <w:t xml:space="preserve"> </w:t>
      </w:r>
      <w:r w:rsidR="005B67CA" w:rsidRPr="00836212">
        <w:rPr>
          <w:rFonts w:ascii="Arial Narrow" w:hAnsi="Arial Narrow" w:cs="Arial"/>
          <w:sz w:val="18"/>
          <w:vertAlign w:val="superscript"/>
        </w:rPr>
        <w:t>a</w:t>
      </w:r>
      <w:r w:rsidR="005B67CA" w:rsidRPr="0064109D">
        <w:rPr>
          <w:rFonts w:ascii="Arial Narrow" w:hAnsi="Arial Narrow" w:cs="Arial"/>
          <w:sz w:val="18"/>
        </w:rPr>
        <w:t xml:space="preserve"> </w:t>
      </w:r>
      <w:r w:rsidR="004149C2" w:rsidRPr="0064109D">
        <w:rPr>
          <w:rFonts w:ascii="Arial Narrow" w:hAnsi="Arial Narrow" w:cs="Arial"/>
          <w:sz w:val="18"/>
        </w:rPr>
        <w:t>R</w:t>
      </w:r>
      <w:r w:rsidR="005457D3" w:rsidRPr="0064109D">
        <w:rPr>
          <w:rFonts w:ascii="Arial Narrow" w:hAnsi="Arial Narrow" w:cs="Arial"/>
          <w:sz w:val="18"/>
        </w:rPr>
        <w:t>isk ratio calculated by the assessment group</w:t>
      </w:r>
      <w:r w:rsidR="005B510A" w:rsidRPr="0064109D">
        <w:rPr>
          <w:rFonts w:ascii="Arial Narrow" w:hAnsi="Arial Narrow" w:cs="Arial"/>
          <w:sz w:val="18"/>
        </w:rPr>
        <w:t xml:space="preserve">, CIs </w:t>
      </w:r>
      <w:r w:rsidR="008755AE" w:rsidRPr="0064109D">
        <w:rPr>
          <w:rFonts w:ascii="Arial Narrow" w:hAnsi="Arial Narrow" w:cs="Arial"/>
          <w:sz w:val="18"/>
        </w:rPr>
        <w:t>estimated using normal approximation.</w:t>
      </w:r>
    </w:p>
    <w:p w14:paraId="563CADD3" w14:textId="11D729E1" w:rsidR="00CB654A" w:rsidRPr="00F1761D" w:rsidRDefault="00CB654A" w:rsidP="0064109D">
      <w:pPr>
        <w:spacing w:before="0" w:after="0"/>
        <w:rPr>
          <w:rFonts w:ascii="Arial Narrow" w:hAnsi="Arial Narrow"/>
          <w:sz w:val="18"/>
          <w:szCs w:val="18"/>
        </w:rPr>
      </w:pPr>
      <w:r>
        <w:rPr>
          <w:rFonts w:ascii="Arial Narrow" w:hAnsi="Arial Narrow" w:cs="Arial"/>
          <w:b/>
          <w:bCs/>
          <w:sz w:val="18"/>
          <w:u w:val="single"/>
        </w:rPr>
        <w:t>Abbreviations</w:t>
      </w:r>
      <w:r w:rsidR="00B013B1" w:rsidRPr="00C577B3">
        <w:rPr>
          <w:rFonts w:ascii="Arial Narrow" w:hAnsi="Arial Narrow"/>
          <w:b/>
          <w:bCs/>
          <w:sz w:val="18"/>
          <w:szCs w:val="18"/>
        </w:rPr>
        <w:t>:</w:t>
      </w:r>
      <w:r w:rsidR="00B013B1">
        <w:rPr>
          <w:rFonts w:ascii="Arial Narrow" w:hAnsi="Arial Narrow"/>
          <w:b/>
          <w:bCs/>
          <w:sz w:val="18"/>
          <w:szCs w:val="18"/>
        </w:rPr>
        <w:t xml:space="preserve"> </w:t>
      </w:r>
      <w:r>
        <w:rPr>
          <w:rFonts w:ascii="Arial Narrow" w:hAnsi="Arial Narrow"/>
          <w:b/>
          <w:bCs/>
          <w:sz w:val="18"/>
          <w:szCs w:val="18"/>
        </w:rPr>
        <w:t xml:space="preserve">CI </w:t>
      </w:r>
      <w:r w:rsidRPr="0064109D">
        <w:rPr>
          <w:rFonts w:ascii="Arial Narrow" w:hAnsi="Arial Narrow"/>
          <w:sz w:val="18"/>
          <w:szCs w:val="18"/>
        </w:rPr>
        <w:t>= confidence interval</w:t>
      </w:r>
      <w:r>
        <w:rPr>
          <w:rFonts w:ascii="Arial Narrow" w:hAnsi="Arial Narrow"/>
          <w:b/>
          <w:bCs/>
          <w:sz w:val="18"/>
          <w:szCs w:val="18"/>
        </w:rPr>
        <w:t xml:space="preserve">, </w:t>
      </w:r>
      <w:r w:rsidRPr="00956E33">
        <w:rPr>
          <w:rFonts w:ascii="Arial Narrow" w:hAnsi="Arial Narrow"/>
          <w:b/>
          <w:bCs/>
          <w:sz w:val="18"/>
          <w:szCs w:val="18"/>
        </w:rPr>
        <w:t>sFlt-1:</w:t>
      </w:r>
      <w:r w:rsidRPr="00F354AE">
        <w:rPr>
          <w:rFonts w:ascii="Arial Narrow" w:hAnsi="Arial Narrow"/>
          <w:b/>
          <w:bCs/>
          <w:sz w:val="18"/>
          <w:szCs w:val="18"/>
        </w:rPr>
        <w:t>PlGF</w:t>
      </w:r>
      <w:r>
        <w:rPr>
          <w:rFonts w:ascii="Arial Narrow" w:hAnsi="Arial Narrow"/>
          <w:sz w:val="18"/>
          <w:szCs w:val="18"/>
        </w:rPr>
        <w:t xml:space="preserve"> = </w:t>
      </w:r>
      <w:r w:rsidRPr="00B9763A">
        <w:rPr>
          <w:rFonts w:ascii="Arial Narrow" w:hAnsi="Arial Narrow"/>
          <w:sz w:val="18"/>
          <w:szCs w:val="18"/>
        </w:rPr>
        <w:t>soluble FMS-like tyrosine kinase-1:placental growth factor</w:t>
      </w:r>
      <w:r w:rsidR="009847B9">
        <w:rPr>
          <w:rFonts w:ascii="Arial Narrow" w:hAnsi="Arial Narrow"/>
          <w:sz w:val="18"/>
          <w:szCs w:val="18"/>
        </w:rPr>
        <w:t>.</w:t>
      </w:r>
    </w:p>
    <w:p w14:paraId="2730AE60" w14:textId="4D70F078" w:rsidR="00CB654A" w:rsidRPr="0064109D" w:rsidRDefault="00CB654A" w:rsidP="00836212">
      <w:pPr>
        <w:spacing w:before="0" w:after="0"/>
        <w:contextualSpacing/>
        <w:jc w:val="both"/>
        <w:rPr>
          <w:rFonts w:ascii="Arial Narrow" w:hAnsi="Arial Narrow" w:cs="Arial"/>
          <w:sz w:val="18"/>
        </w:rPr>
      </w:pPr>
      <w:r>
        <w:rPr>
          <w:rFonts w:ascii="Arial Narrow" w:hAnsi="Arial Narrow" w:cs="Arial"/>
          <w:b/>
          <w:bCs/>
          <w:sz w:val="18"/>
          <w:u w:val="single"/>
        </w:rPr>
        <w:t>Source</w:t>
      </w:r>
      <w:r w:rsidR="00B013B1" w:rsidRPr="00C577B3">
        <w:rPr>
          <w:rFonts w:ascii="Arial Narrow" w:hAnsi="Arial Narrow"/>
          <w:b/>
          <w:bCs/>
          <w:sz w:val="18"/>
          <w:szCs w:val="18"/>
        </w:rPr>
        <w:t>:</w:t>
      </w:r>
      <w:r w:rsidR="00B013B1">
        <w:rPr>
          <w:rFonts w:ascii="Arial Narrow" w:hAnsi="Arial Narrow"/>
          <w:b/>
          <w:bCs/>
          <w:sz w:val="18"/>
          <w:szCs w:val="18"/>
        </w:rPr>
        <w:t xml:space="preserve"> </w:t>
      </w:r>
      <w:r w:rsidR="004B455E" w:rsidRPr="0064109D">
        <w:rPr>
          <w:rFonts w:ascii="Arial Narrow" w:hAnsi="Arial Narrow" w:cs="Arial"/>
          <w:sz w:val="18"/>
        </w:rPr>
        <w:t>Adapted from ADAR Table 22</w:t>
      </w:r>
      <w:r w:rsidR="009847B9">
        <w:rPr>
          <w:rFonts w:ascii="Arial Narrow" w:hAnsi="Arial Narrow" w:cs="Arial"/>
          <w:sz w:val="18"/>
        </w:rPr>
        <w:t>.</w:t>
      </w:r>
      <w:r w:rsidR="00470352">
        <w:rPr>
          <w:rFonts w:ascii="Arial Narrow" w:hAnsi="Arial Narrow" w:cs="Arial"/>
          <w:sz w:val="18"/>
        </w:rPr>
        <w:t xml:space="preserve"> </w:t>
      </w:r>
      <w:r w:rsidR="00470352">
        <w:rPr>
          <w:rFonts w:ascii="Arial Narrow" w:eastAsia="Calibri" w:hAnsi="Arial Narrow" w:cs="Arial"/>
          <w:snapToGrid w:val="0"/>
          <w:sz w:val="18"/>
          <w:szCs w:val="20"/>
          <w:lang w:eastAsia="en-AU"/>
        </w:rPr>
        <w:t>ESC’s additions are shown in blue italics</w:t>
      </w:r>
      <w:r w:rsidR="00D80635">
        <w:rPr>
          <w:rFonts w:ascii="Arial Narrow" w:eastAsia="Calibri" w:hAnsi="Arial Narrow" w:cs="Arial"/>
          <w:snapToGrid w:val="0"/>
          <w:sz w:val="18"/>
          <w:szCs w:val="20"/>
          <w:lang w:eastAsia="en-AU"/>
        </w:rPr>
        <w:t xml:space="preserve"> and deletions in strikethrough</w:t>
      </w:r>
      <w:r w:rsidR="00470352">
        <w:rPr>
          <w:rFonts w:ascii="Arial Narrow" w:eastAsia="Calibri" w:hAnsi="Arial Narrow" w:cs="Arial"/>
          <w:snapToGrid w:val="0"/>
          <w:sz w:val="18"/>
          <w:szCs w:val="20"/>
          <w:lang w:eastAsia="en-AU"/>
        </w:rPr>
        <w:t>.</w:t>
      </w:r>
    </w:p>
    <w:p w14:paraId="0A2B5D77" w14:textId="1B6D1E8E" w:rsidR="004837A8" w:rsidRDefault="00834390" w:rsidP="007F3C97">
      <w:r>
        <w:t>N</w:t>
      </w:r>
      <w:r w:rsidR="00BA7580">
        <w:t xml:space="preserve">o explanation </w:t>
      </w:r>
      <w:r w:rsidR="00A514B1">
        <w:t>wa</w:t>
      </w:r>
      <w:r w:rsidR="00840B26">
        <w:t xml:space="preserve">s </w:t>
      </w:r>
      <w:r w:rsidR="00BA7580">
        <w:t>provided</w:t>
      </w:r>
      <w:r w:rsidR="00840B26">
        <w:t xml:space="preserve"> in the ADAR</w:t>
      </w:r>
      <w:r w:rsidR="00BA7580">
        <w:t xml:space="preserve"> for the </w:t>
      </w:r>
      <w:r w:rsidR="004D70F5">
        <w:t xml:space="preserve">large differences in reductions to hospital admissions seen in the ROPE and </w:t>
      </w:r>
      <w:proofErr w:type="spellStart"/>
      <w:r w:rsidR="004E3EEF">
        <w:t>PreOS</w:t>
      </w:r>
      <w:proofErr w:type="spellEnd"/>
      <w:r w:rsidR="004E3EEF">
        <w:t xml:space="preserve"> studies (</w:t>
      </w:r>
      <w:r w:rsidR="002A7B63" w:rsidRPr="002A7B63">
        <w:t>72.6% and 16.2%, respectively</w:t>
      </w:r>
      <w:r w:rsidR="002A7B63">
        <w:t>)</w:t>
      </w:r>
      <w:r w:rsidR="00CB28A4">
        <w:t>;</w:t>
      </w:r>
      <w:r w:rsidR="002A7B63">
        <w:t xml:space="preserve"> </w:t>
      </w:r>
      <w:r w:rsidR="00CB28A4">
        <w:t>h</w:t>
      </w:r>
      <w:r>
        <w:t xml:space="preserve">owever, </w:t>
      </w:r>
      <w:r w:rsidR="00BA54BC">
        <w:t xml:space="preserve">the commentary </w:t>
      </w:r>
      <w:r w:rsidR="00E44344">
        <w:t xml:space="preserve">considered that </w:t>
      </w:r>
      <w:r w:rsidR="006725F5">
        <w:t xml:space="preserve">advancements in the literature surrounding the effectiveness of </w:t>
      </w:r>
      <w:r w:rsidR="006725F5" w:rsidRPr="00E92F2D">
        <w:t>sFlt-1:PlGF</w:t>
      </w:r>
      <w:r w:rsidR="00D7349B">
        <w:t xml:space="preserve"> testing</w:t>
      </w:r>
      <w:r w:rsidR="006725F5">
        <w:t xml:space="preserve"> occurring after the </w:t>
      </w:r>
      <w:proofErr w:type="spellStart"/>
      <w:r w:rsidR="00405EE8">
        <w:t>PreOS</w:t>
      </w:r>
      <w:proofErr w:type="spellEnd"/>
      <w:r w:rsidR="00405EE8">
        <w:t xml:space="preserve"> study (2016) up to the ROPE study (20</w:t>
      </w:r>
      <w:r w:rsidR="00A82776">
        <w:t>19</w:t>
      </w:r>
      <w:r w:rsidR="00405EE8">
        <w:t xml:space="preserve">) </w:t>
      </w:r>
      <w:r w:rsidR="00D7349B">
        <w:t>may have increased clinician confidence in the test and</w:t>
      </w:r>
      <w:r w:rsidR="00656A6D">
        <w:t xml:space="preserve"> </w:t>
      </w:r>
      <w:r w:rsidR="0059080B">
        <w:t xml:space="preserve">could </w:t>
      </w:r>
      <w:r w:rsidR="00772972">
        <w:t xml:space="preserve">provide a possible explanation as to the </w:t>
      </w:r>
      <w:r w:rsidR="00735F5F">
        <w:t>discrepancy between results.</w:t>
      </w:r>
    </w:p>
    <w:p w14:paraId="1DFAEF23" w14:textId="0256D3F2" w:rsidR="006F15B5" w:rsidRDefault="006F15B5" w:rsidP="007F3C97">
      <w:r>
        <w:t xml:space="preserve">The ADAR provided no </w:t>
      </w:r>
      <w:r w:rsidR="00BF6900">
        <w:t>evidence for</w:t>
      </w:r>
      <w:r>
        <w:t xml:space="preserve"> change in management </w:t>
      </w:r>
      <w:r w:rsidR="00CE0DDD">
        <w:t>of</w:t>
      </w:r>
      <w:r>
        <w:t xml:space="preserve"> </w:t>
      </w:r>
      <w:r w:rsidRPr="00EB7BF4">
        <w:t>sFlt-1:PlGF</w:t>
      </w:r>
      <w:r>
        <w:t xml:space="preserve"> testing to determine the severity of </w:t>
      </w:r>
      <w:r w:rsidR="00CE0DDD">
        <w:t xml:space="preserve">already diagnosed </w:t>
      </w:r>
      <w:r>
        <w:t xml:space="preserve">preeclampsia </w:t>
      </w:r>
      <w:r w:rsidR="00BF6900">
        <w:t>(population 2)</w:t>
      </w:r>
      <w:r>
        <w:t>, although did state that “</w:t>
      </w:r>
      <w:r w:rsidR="00BF6900">
        <w:t>there are not treatments for the prevention or reduction in severity of preeclampsia in women beyond 20+0 weeks gestation.”</w:t>
      </w:r>
    </w:p>
    <w:p w14:paraId="362DC105" w14:textId="4C0BCF7B" w:rsidR="0000317C" w:rsidRDefault="0000317C" w:rsidP="000E1029">
      <w:pPr>
        <w:pStyle w:val="Heading3"/>
      </w:pPr>
      <w:r w:rsidRPr="0000317C">
        <w:t xml:space="preserve">Health outcomes </w:t>
      </w:r>
    </w:p>
    <w:p w14:paraId="1301D523" w14:textId="5BE76CD2" w:rsidR="006E0692" w:rsidRDefault="003351D4" w:rsidP="007F3C97">
      <w:r>
        <w:t>Th</w:t>
      </w:r>
      <w:r w:rsidRPr="003351D4">
        <w:t>e sFlt-1:PlGF ratio test</w:t>
      </w:r>
      <w:r w:rsidR="00570118">
        <w:t xml:space="preserve"> </w:t>
      </w:r>
      <w:r w:rsidR="00CE0DDD">
        <w:t>wa</w:t>
      </w:r>
      <w:r w:rsidR="00255B1E">
        <w:t>s n</w:t>
      </w:r>
      <w:r w:rsidR="001E0F57">
        <w:t xml:space="preserve">ot intended to </w:t>
      </w:r>
      <w:r w:rsidR="001E0942">
        <w:t xml:space="preserve">reduce the incidence of </w:t>
      </w:r>
      <w:r w:rsidR="00B568E8">
        <w:t xml:space="preserve">or severity of preterm preeclampsia. </w:t>
      </w:r>
      <w:r w:rsidR="006D45AF">
        <w:t xml:space="preserve">The </w:t>
      </w:r>
      <w:r w:rsidR="00FC43CB">
        <w:t xml:space="preserve">results of the </w:t>
      </w:r>
      <w:r w:rsidR="00FC43CB" w:rsidRPr="003351D4">
        <w:t>sFlt-1:PlGF</w:t>
      </w:r>
      <w:r w:rsidR="00FC43CB">
        <w:t xml:space="preserve"> ratio test </w:t>
      </w:r>
      <w:r w:rsidR="00CE0DDD">
        <w:t>we</w:t>
      </w:r>
      <w:r w:rsidR="00E27017">
        <w:t xml:space="preserve">re only intended for use </w:t>
      </w:r>
      <w:r w:rsidR="00F41D38">
        <w:t>as</w:t>
      </w:r>
      <w:r w:rsidR="00E27017">
        <w:t xml:space="preserve"> an aid in short</w:t>
      </w:r>
      <w:r w:rsidR="004977E0">
        <w:t>-</w:t>
      </w:r>
      <w:r w:rsidR="00E27017">
        <w:t xml:space="preserve">term prediction </w:t>
      </w:r>
      <w:r w:rsidR="00DA3D8A">
        <w:t xml:space="preserve">of preeclampsia in </w:t>
      </w:r>
      <w:r w:rsidR="001C39EF">
        <w:t>pregnant people</w:t>
      </w:r>
      <w:r w:rsidR="00DA3D8A">
        <w:t xml:space="preserve"> with signs and symptoms. </w:t>
      </w:r>
      <w:r w:rsidR="003D69EF">
        <w:t xml:space="preserve">Furthermore, </w:t>
      </w:r>
      <w:r w:rsidR="00C46B0B">
        <w:t xml:space="preserve">it </w:t>
      </w:r>
      <w:r w:rsidR="00F532F3">
        <w:t>wa</w:t>
      </w:r>
      <w:r w:rsidR="00C46B0B">
        <w:t xml:space="preserve">s reported </w:t>
      </w:r>
      <w:r w:rsidR="00E81939">
        <w:t xml:space="preserve">in the ADAR </w:t>
      </w:r>
      <w:r w:rsidR="00C46B0B">
        <w:t xml:space="preserve">that </w:t>
      </w:r>
      <w:r w:rsidR="00235946">
        <w:t xml:space="preserve">the results of the test </w:t>
      </w:r>
      <w:r w:rsidR="00CE0DDD">
        <w:t>we</w:t>
      </w:r>
      <w:r w:rsidR="00235946">
        <w:t>re not expected to influence the incidence o</w:t>
      </w:r>
      <w:r w:rsidR="002C3CD2">
        <w:t xml:space="preserve">r </w:t>
      </w:r>
      <w:r w:rsidR="00235946">
        <w:t xml:space="preserve">severity of </w:t>
      </w:r>
      <w:r w:rsidR="00725C63">
        <w:t xml:space="preserve">preeclampsia as </w:t>
      </w:r>
      <w:r w:rsidR="003F3CE6">
        <w:t xml:space="preserve">there are no treatments for the prevention </w:t>
      </w:r>
      <w:r w:rsidR="005C709C">
        <w:t>or reduction in severity of preeclampsia</w:t>
      </w:r>
      <w:r w:rsidR="002C3CD2">
        <w:t>. Th</w:t>
      </w:r>
      <w:r w:rsidR="00083B1A">
        <w:t>us</w:t>
      </w:r>
      <w:r w:rsidR="002C3CD2">
        <w:t xml:space="preserve">, </w:t>
      </w:r>
      <w:r w:rsidR="008524AC">
        <w:t>according to the ADAR</w:t>
      </w:r>
      <w:r w:rsidR="002C3CD2">
        <w:t xml:space="preserve">, </w:t>
      </w:r>
      <w:r w:rsidR="00083B1A">
        <w:t xml:space="preserve">knowledge of test results </w:t>
      </w:r>
      <w:r w:rsidR="00F532F3">
        <w:t xml:space="preserve">would </w:t>
      </w:r>
      <w:r w:rsidR="00D07EE1">
        <w:t xml:space="preserve">not </w:t>
      </w:r>
      <w:r w:rsidR="00F532F3">
        <w:t xml:space="preserve">be </w:t>
      </w:r>
      <w:r w:rsidR="00D07EE1">
        <w:t>expected to influence health outcomes</w:t>
      </w:r>
      <w:r w:rsidR="0005148F">
        <w:t>.</w:t>
      </w:r>
      <w:r w:rsidR="00D07EE1">
        <w:t xml:space="preserve"> </w:t>
      </w:r>
      <w:r w:rsidR="0005148F">
        <w:t>H</w:t>
      </w:r>
      <w:r w:rsidR="007A2483">
        <w:t xml:space="preserve">owever, utilities </w:t>
      </w:r>
      <w:r w:rsidR="00F07F59">
        <w:t xml:space="preserve">and differences in maternal and fetal health outcomes </w:t>
      </w:r>
      <w:r w:rsidR="007A2483">
        <w:t xml:space="preserve">were </w:t>
      </w:r>
      <w:r w:rsidR="00F07F59">
        <w:t>included</w:t>
      </w:r>
      <w:r w:rsidR="007A2483">
        <w:t xml:space="preserve"> in the NICE </w:t>
      </w:r>
      <w:r w:rsidR="00352DEB">
        <w:t>Decision Support Unit</w:t>
      </w:r>
      <w:r w:rsidR="007A2483">
        <w:t xml:space="preserve">’s model and </w:t>
      </w:r>
      <w:r w:rsidR="00472A0F">
        <w:t xml:space="preserve">varied by </w:t>
      </w:r>
      <w:r w:rsidR="00534257">
        <w:t>diagnosis of</w:t>
      </w:r>
      <w:r w:rsidR="00472A0F">
        <w:t xml:space="preserve"> preeclampsia and if </w:t>
      </w:r>
      <w:r w:rsidR="00534257">
        <w:t xml:space="preserve">the diagnosis was correct. </w:t>
      </w:r>
      <w:r w:rsidR="009426E1">
        <w:t xml:space="preserve">A small incremental QALY gain </w:t>
      </w:r>
      <w:r w:rsidR="00F73C06">
        <w:t>was reported in</w:t>
      </w:r>
      <w:r w:rsidR="009426E1">
        <w:t xml:space="preserve"> the </w:t>
      </w:r>
      <w:r w:rsidR="00CB5779">
        <w:t>evaluation</w:t>
      </w:r>
      <w:r w:rsidR="00FA1EA1">
        <w:t>.</w:t>
      </w:r>
      <w:r w:rsidR="00350660">
        <w:t xml:space="preserve"> In addition to this,</w:t>
      </w:r>
      <w:r w:rsidR="003E69AA">
        <w:t xml:space="preserve"> </w:t>
      </w:r>
      <w:r w:rsidR="00635AFD">
        <w:t>long-term</w:t>
      </w:r>
      <w:r w:rsidR="00B15DFB">
        <w:t xml:space="preserve"> consequences </w:t>
      </w:r>
      <w:r w:rsidR="00F07F59">
        <w:t xml:space="preserve">conditional on maternal and fetal outcomes </w:t>
      </w:r>
      <w:r w:rsidR="00B15DFB">
        <w:t>including mortality were</w:t>
      </w:r>
      <w:r w:rsidR="003E69AA">
        <w:t xml:space="preserve"> included in the </w:t>
      </w:r>
      <w:r w:rsidR="00F07F59">
        <w:t>estimation</w:t>
      </w:r>
      <w:r w:rsidR="003E69AA">
        <w:t xml:space="preserve"> of </w:t>
      </w:r>
      <w:r w:rsidR="00B15DFB">
        <w:t>incremental benefits</w:t>
      </w:r>
      <w:r w:rsidR="00FA1EA1">
        <w:t xml:space="preserve">. </w:t>
      </w:r>
      <w:r w:rsidR="00BF332E">
        <w:t>The commentary therefore consider</w:t>
      </w:r>
      <w:r w:rsidR="00FD1EE7">
        <w:t>ed</w:t>
      </w:r>
      <w:r w:rsidR="00BF332E">
        <w:t xml:space="preserve"> that </w:t>
      </w:r>
      <w:r w:rsidR="005C364A">
        <w:t xml:space="preserve">the ADAR did not adequately capture the impact on </w:t>
      </w:r>
      <w:r w:rsidR="00484B68">
        <w:t xml:space="preserve">the </w:t>
      </w:r>
      <w:r w:rsidR="005C364A">
        <w:t xml:space="preserve">gestational parent and neonatal outcomes </w:t>
      </w:r>
      <w:r w:rsidR="0016105E">
        <w:t>following testing.</w:t>
      </w:r>
      <w:r w:rsidR="003E69AA">
        <w:t xml:space="preserve"> </w:t>
      </w:r>
      <w:r w:rsidR="00350660">
        <w:t xml:space="preserve"> </w:t>
      </w:r>
      <w:r w:rsidR="00FA1EA1">
        <w:t xml:space="preserve"> </w:t>
      </w:r>
    </w:p>
    <w:p w14:paraId="4D680932" w14:textId="3CF4658F" w:rsidR="001359A4" w:rsidRDefault="00E201AE" w:rsidP="007F3C97">
      <w:r>
        <w:t xml:space="preserve">Downstream health outcomes </w:t>
      </w:r>
      <w:r w:rsidR="00F73C06">
        <w:t>we</w:t>
      </w:r>
      <w:r>
        <w:t xml:space="preserve">re reported in the ADAR </w:t>
      </w:r>
      <w:r w:rsidR="001A69EC">
        <w:t>by hospitalisation status and clinical assessmen</w:t>
      </w:r>
      <w:r w:rsidR="00122E21">
        <w:t>t</w:t>
      </w:r>
      <w:r w:rsidR="00D26091">
        <w:t xml:space="preserve">. The </w:t>
      </w:r>
      <w:r w:rsidR="008A25BA">
        <w:t xml:space="preserve">3 </w:t>
      </w:r>
      <w:r w:rsidR="00D26091">
        <w:t xml:space="preserve">studies presented </w:t>
      </w:r>
      <w:r w:rsidR="00F73C06">
        <w:t>we</w:t>
      </w:r>
      <w:r w:rsidR="00FA325B">
        <w:t>re the same as those</w:t>
      </w:r>
      <w:r w:rsidR="00D26091">
        <w:t xml:space="preserve"> presented for evidence of a change in clinical management</w:t>
      </w:r>
      <w:r w:rsidR="00037571">
        <w:fldChar w:fldCharType="begin">
          <w:fldData xml:space="preserve">PEVuZE5vdGU+PENpdGU+PEF1dGhvcj5DZXJkZWlyYTwvQXV0aG9yPjxZZWFyPjIwMTk8L1llYXI+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</w:fldData>
        </w:fldChar>
      </w:r>
      <w:r w:rsidR="00D076C7">
        <w:instrText xml:space="preserve"> ADDIN EN.CITE </w:instrText>
      </w:r>
      <w:r w:rsidR="00D076C7">
        <w:fldChar w:fldCharType="begin">
          <w:fldData xml:space="preserve">PEVuZE5vdGU+PENpdGU+PEF1dGhvcj5DZXJkZWlyYTwvQXV0aG9yPjxZZWFyPjIwMTk8L1llYXI+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</w:fldData>
        </w:fldChar>
      </w:r>
      <w:r w:rsidR="00D076C7">
        <w:instrText xml:space="preserve"> ADDIN EN.CITE.DATA </w:instrText>
      </w:r>
      <w:r w:rsidR="00D076C7">
        <w:fldChar w:fldCharType="end"/>
      </w:r>
      <w:r w:rsidR="009C163C">
        <w:fldChar w:fldCharType="separate"/>
      </w:r>
      <w:r w:rsidR="00037571">
        <w:fldChar w:fldCharType="end"/>
      </w:r>
      <w:r w:rsidR="00900D99">
        <w:t>. This means that the same issues ar</w:t>
      </w:r>
      <w:r w:rsidR="00F73C06">
        <w:t>o</w:t>
      </w:r>
      <w:r w:rsidR="00900D99">
        <w:t xml:space="preserve">se </w:t>
      </w:r>
      <w:r w:rsidR="00FA325B">
        <w:t>regarding</w:t>
      </w:r>
      <w:r w:rsidR="000246F4">
        <w:t xml:space="preserve"> the </w:t>
      </w:r>
      <w:r w:rsidR="00F07F3F">
        <w:t xml:space="preserve">heterogeneity </w:t>
      </w:r>
      <w:r w:rsidR="00A22A38">
        <w:t>of study designs</w:t>
      </w:r>
      <w:r w:rsidR="00157CBE">
        <w:t xml:space="preserve"> and results</w:t>
      </w:r>
      <w:r w:rsidR="00FD4C9C">
        <w:t xml:space="preserve"> (</w:t>
      </w:r>
      <w:r w:rsidR="00330FF2">
        <w:t xml:space="preserve">see </w:t>
      </w:r>
      <w:r w:rsidR="00AD2A1C">
        <w:t>‘Limitations and missing data’)</w:t>
      </w:r>
      <w:r w:rsidR="00157CBE">
        <w:t xml:space="preserve">. </w:t>
      </w:r>
    </w:p>
    <w:p w14:paraId="0D6725DE" w14:textId="77777777" w:rsidR="00CE477A" w:rsidRDefault="0000317C" w:rsidP="000E1029">
      <w:pPr>
        <w:pStyle w:val="Heading3"/>
      </w:pPr>
      <w:r>
        <w:lastRenderedPageBreak/>
        <w:t>Clinical claim</w:t>
      </w:r>
    </w:p>
    <w:p w14:paraId="292F3A50" w14:textId="34B7EBEA" w:rsidR="0000317C" w:rsidRDefault="00CE477A" w:rsidP="007F3C97">
      <w:r w:rsidRPr="00CE477A">
        <w:t xml:space="preserve">The </w:t>
      </w:r>
      <w:r w:rsidR="00FA325B">
        <w:t>applicant claim</w:t>
      </w:r>
      <w:r w:rsidR="001567A1">
        <w:t>ed</w:t>
      </w:r>
      <w:r w:rsidRPr="00CE477A">
        <w:t xml:space="preserve"> that sFlt-1:PlGF ratio</w:t>
      </w:r>
      <w:r w:rsidR="00F73C06">
        <w:t xml:space="preserve"> testing</w:t>
      </w:r>
      <w:r w:rsidRPr="00CE477A">
        <w:t xml:space="preserve"> </w:t>
      </w:r>
      <w:r w:rsidR="0005148F">
        <w:t>wa</w:t>
      </w:r>
      <w:r w:rsidRPr="00CE477A">
        <w:t>s superior</w:t>
      </w:r>
      <w:r w:rsidR="00CF7478">
        <w:t xml:space="preserve"> in effectiveness</w:t>
      </w:r>
      <w:r w:rsidRPr="00CE477A">
        <w:t xml:space="preserve"> compared with current standard tests. This claim </w:t>
      </w:r>
      <w:r w:rsidR="001567A1">
        <w:t>wa</w:t>
      </w:r>
      <w:r w:rsidRPr="00CE477A">
        <w:t xml:space="preserve">s made on the improved diagnostic performance of the sFlt-1:PlGF ratio test </w:t>
      </w:r>
      <w:r w:rsidR="008D2DF5">
        <w:t xml:space="preserve">in establishing the presence or absence of </w:t>
      </w:r>
      <w:r w:rsidRPr="00CE477A">
        <w:t>preeclampsia over a timeframe of 1</w:t>
      </w:r>
      <w:r w:rsidR="00EC7127">
        <w:t>–</w:t>
      </w:r>
      <w:r w:rsidRPr="00CE477A">
        <w:t xml:space="preserve">4 weeks. The sFlt-1:PlGF ratio </w:t>
      </w:r>
      <w:r w:rsidR="0069103C">
        <w:t>wa</w:t>
      </w:r>
      <w:r w:rsidRPr="00CE477A">
        <w:t>s non</w:t>
      </w:r>
      <w:r w:rsidR="00680F37">
        <w:t>-</w:t>
      </w:r>
      <w:r w:rsidRPr="00CE477A">
        <w:t>inferior compared with current standard test in terms of safety</w:t>
      </w:r>
      <w:r w:rsidR="003216EB">
        <w:t>, as stated in the ADAR</w:t>
      </w:r>
      <w:r w:rsidRPr="00CE477A">
        <w:t>. Both assessments include</w:t>
      </w:r>
      <w:r w:rsidR="0069103C">
        <w:t>d</w:t>
      </w:r>
      <w:r w:rsidRPr="00CE477A">
        <w:t xml:space="preserve"> laboratory testing of maternal serum samples, with no safety signal aside from those associated with the routine collection of serum samples anticipated</w:t>
      </w:r>
      <w:r w:rsidR="005E2BC1">
        <w:t xml:space="preserve">, resulting in no </w:t>
      </w:r>
      <w:r w:rsidR="001814C5">
        <w:t>change in</w:t>
      </w:r>
      <w:r w:rsidR="005E2BC1">
        <w:t xml:space="preserve"> </w:t>
      </w:r>
      <w:r w:rsidR="00B15DFB">
        <w:t>safety</w:t>
      </w:r>
      <w:r w:rsidR="005E2BC1">
        <w:t xml:space="preserve"> </w:t>
      </w:r>
      <w:r w:rsidR="001814C5">
        <w:t>outcomes</w:t>
      </w:r>
      <w:r w:rsidR="005E2BC1">
        <w:t xml:space="preserve"> compared with current standard of care</w:t>
      </w:r>
      <w:r w:rsidRPr="00CE477A">
        <w:t>.</w:t>
      </w:r>
    </w:p>
    <w:p w14:paraId="6145DE91" w14:textId="6EB2098E" w:rsidR="0068723B" w:rsidRDefault="0068723B" w:rsidP="007F3C97">
      <w:r w:rsidRPr="00A07978">
        <w:t xml:space="preserve">Testing </w:t>
      </w:r>
      <w:r w:rsidR="0005148F">
        <w:t>would be</w:t>
      </w:r>
      <w:r w:rsidR="0005148F" w:rsidRPr="00A07978">
        <w:t xml:space="preserve"> </w:t>
      </w:r>
      <w:r w:rsidRPr="00A07978">
        <w:t>used as an add-on to standard tests for the diagnosis of preeclampsia</w:t>
      </w:r>
      <w:r w:rsidR="008D2DF5">
        <w:t>,</w:t>
      </w:r>
      <w:r w:rsidR="00813EED">
        <w:t xml:space="preserve"> as</w:t>
      </w:r>
      <w:r w:rsidRPr="00A07978">
        <w:t xml:space="preserve"> outlined in Australian preeclampsia testing guidelines/practices</w:t>
      </w:r>
      <w:r w:rsidR="008502D1">
        <w:t>, so</w:t>
      </w:r>
      <w:r w:rsidRPr="00A07978">
        <w:t xml:space="preserve"> </w:t>
      </w:r>
      <w:r w:rsidR="008502D1">
        <w:t>t</w:t>
      </w:r>
      <w:r w:rsidR="00C00C3B">
        <w:t xml:space="preserve">his </w:t>
      </w:r>
      <w:r w:rsidR="0005148F">
        <w:t xml:space="preserve">would </w:t>
      </w:r>
      <w:r w:rsidR="00C00C3B">
        <w:t xml:space="preserve">not </w:t>
      </w:r>
      <w:r w:rsidR="0005148F">
        <w:t xml:space="preserve">be </w:t>
      </w:r>
      <w:r w:rsidR="00C00C3B">
        <w:t xml:space="preserve">a </w:t>
      </w:r>
      <w:r w:rsidR="005766FE">
        <w:t>standalone</w:t>
      </w:r>
      <w:r w:rsidR="00C00C3B">
        <w:t xml:space="preserve"> test</w:t>
      </w:r>
      <w:r w:rsidR="008502D1">
        <w:t>.</w:t>
      </w:r>
      <w:r w:rsidR="00C00C3B">
        <w:t xml:space="preserve"> </w:t>
      </w:r>
      <w:r w:rsidR="008502D1">
        <w:t>T</w:t>
      </w:r>
      <w:r w:rsidR="00FE6D44">
        <w:t>he</w:t>
      </w:r>
      <w:r w:rsidR="00C00C3B">
        <w:t xml:space="preserve"> </w:t>
      </w:r>
      <w:r w:rsidR="00BC6A0E">
        <w:t>commentary</w:t>
      </w:r>
      <w:r w:rsidR="00C00C3B">
        <w:t xml:space="preserve"> </w:t>
      </w:r>
      <w:r w:rsidR="008502D1">
        <w:t xml:space="preserve">considered that while </w:t>
      </w:r>
      <w:r w:rsidR="008502D1" w:rsidRPr="003B7EA8">
        <w:t xml:space="preserve">there </w:t>
      </w:r>
      <w:r w:rsidR="008502D1">
        <w:t>was</w:t>
      </w:r>
      <w:r w:rsidR="008502D1" w:rsidRPr="003B7EA8">
        <w:t xml:space="preserve"> considerable uncertainty in the clinical evidence presented</w:t>
      </w:r>
      <w:r w:rsidR="008502D1">
        <w:t xml:space="preserve">, overall </w:t>
      </w:r>
      <w:r w:rsidR="00C00C3B">
        <w:t xml:space="preserve">the </w:t>
      </w:r>
      <w:r w:rsidR="002022E0">
        <w:t xml:space="preserve">applicant’s conclusion </w:t>
      </w:r>
      <w:r w:rsidR="00486353">
        <w:t>on</w:t>
      </w:r>
      <w:r w:rsidR="002022E0">
        <w:t xml:space="preserve"> the </w:t>
      </w:r>
      <w:r w:rsidR="00C00C3B">
        <w:t>clinical claim</w:t>
      </w:r>
      <w:r w:rsidR="008502D1">
        <w:t xml:space="preserve"> was reasonable</w:t>
      </w:r>
      <w:r w:rsidR="00F76A2D">
        <w:t xml:space="preserve">. </w:t>
      </w:r>
    </w:p>
    <w:p w14:paraId="2519EFE3" w14:textId="47EA00ED" w:rsidR="00D86E13" w:rsidRDefault="00C36633" w:rsidP="00D86E13">
      <w:pPr>
        <w:pStyle w:val="Heading2"/>
        <w:numPr>
          <w:ilvl w:val="1"/>
          <w:numId w:val="0"/>
        </w:numPr>
      </w:pPr>
      <w:bookmarkStart w:id="20" w:name="_Toc69491425"/>
      <w:r>
        <w:t>1</w:t>
      </w:r>
      <w:r w:rsidR="00881808">
        <w:t>3</w:t>
      </w:r>
      <w:r>
        <w:t>.</w:t>
      </w:r>
      <w:r>
        <w:tab/>
      </w:r>
      <w:r w:rsidR="00772829" w:rsidRPr="00CE28E3">
        <w:t>Economic evaluation</w:t>
      </w:r>
      <w:bookmarkEnd w:id="20"/>
    </w:p>
    <w:p w14:paraId="19D3A09A" w14:textId="77777777" w:rsidR="003F4267" w:rsidRPr="001B3DCC" w:rsidRDefault="003F4267" w:rsidP="00461848">
      <w:pPr>
        <w:pStyle w:val="Heading3"/>
      </w:pPr>
      <w:r w:rsidRPr="00A0722A">
        <w:t>Cost-comparison analysis</w:t>
      </w:r>
    </w:p>
    <w:p w14:paraId="39FD5180" w14:textId="77777777" w:rsidR="009D7CE9" w:rsidRPr="00FB4E2F" w:rsidRDefault="00AD52E3" w:rsidP="00FB4E2F">
      <w:r>
        <w:t xml:space="preserve">A summary of the economic evaluation is presented in </w:t>
      </w:r>
      <w:r>
        <w:fldChar w:fldCharType="begin"/>
      </w:r>
      <w:r>
        <w:instrText xml:space="preserve"> REF _Ref135121210 \h </w:instrText>
      </w:r>
      <w:r>
        <w:fldChar w:fldCharType="separate"/>
      </w:r>
    </w:p>
    <w:p w14:paraId="41E91D9C" w14:textId="30E96FF0" w:rsidR="00AE7691" w:rsidRDefault="009D7CE9" w:rsidP="003F4267">
      <w:r w:rsidRPr="00600E0C">
        <w:t>Table </w:t>
      </w:r>
      <w:r>
        <w:rPr>
          <w:noProof/>
        </w:rPr>
        <w:t>8</w:t>
      </w:r>
      <w:r w:rsidR="00AD52E3">
        <w:fldChar w:fldCharType="end"/>
      </w:r>
      <w:r w:rsidR="00AD52E3">
        <w:t xml:space="preserve">. </w:t>
      </w:r>
      <w:r w:rsidR="003F4267">
        <w:t xml:space="preserve">The </w:t>
      </w:r>
      <w:r w:rsidR="00157896">
        <w:t xml:space="preserve">ADAR </w:t>
      </w:r>
      <w:r w:rsidR="003F4267">
        <w:t>present</w:t>
      </w:r>
      <w:r w:rsidR="000C48E1">
        <w:t>ed</w:t>
      </w:r>
      <w:r w:rsidR="003F4267">
        <w:t xml:space="preserve"> a cost-comparison analysis in the form of a decision tree and present</w:t>
      </w:r>
      <w:r w:rsidR="0005148F">
        <w:t>ed</w:t>
      </w:r>
      <w:r w:rsidR="003F4267">
        <w:t xml:space="preserve"> intervention costs per patient (cost savings), costs for a cohort of 100 patients</w:t>
      </w:r>
      <w:r w:rsidR="008D2DF5">
        <w:t xml:space="preserve">, </w:t>
      </w:r>
      <w:r w:rsidR="003F4267">
        <w:t xml:space="preserve">and reductions in hospital admissions for monitoring for 100 patients. The </w:t>
      </w:r>
      <w:r w:rsidR="0041352B">
        <w:t xml:space="preserve">ADAR </w:t>
      </w:r>
      <w:r w:rsidR="003F4267">
        <w:t>did not present health outcomes in the form of life</w:t>
      </w:r>
      <w:r w:rsidR="002D4706">
        <w:t xml:space="preserve"> </w:t>
      </w:r>
      <w:r w:rsidR="003F4267">
        <w:t xml:space="preserve">years, </w:t>
      </w:r>
      <w:r w:rsidR="003F40BD" w:rsidRPr="003F40BD">
        <w:t>quality-adjusted life year</w:t>
      </w:r>
      <w:r w:rsidR="003F40BD">
        <w:t>s</w:t>
      </w:r>
      <w:r w:rsidR="003F40BD" w:rsidRPr="003F40BD">
        <w:t xml:space="preserve"> </w:t>
      </w:r>
      <w:r w:rsidR="003F40BD">
        <w:t>(</w:t>
      </w:r>
      <w:r w:rsidR="003F4267">
        <w:t>QALYs</w:t>
      </w:r>
      <w:r w:rsidR="003F40BD">
        <w:t>)</w:t>
      </w:r>
      <w:r w:rsidR="008D2DF5">
        <w:t xml:space="preserve">, </w:t>
      </w:r>
      <w:r w:rsidR="003F4267">
        <w:t>or an incremental cost-utility ratio</w:t>
      </w:r>
      <w:r w:rsidR="008D2DF5">
        <w:t>,</w:t>
      </w:r>
      <w:r w:rsidR="007D1E99" w:rsidRPr="007D1E99">
        <w:t xml:space="preserve"> </w:t>
      </w:r>
      <w:r w:rsidR="005B5146">
        <w:t>in contrast with the ratified PICO</w:t>
      </w:r>
      <w:r w:rsidR="003F4267">
        <w:t>. As described in the ratified PICO, a cost-minimisation analysis may only be presented in the event of non</w:t>
      </w:r>
      <w:r w:rsidR="00680F37">
        <w:t>-</w:t>
      </w:r>
      <w:r w:rsidR="002D4706">
        <w:t>inferior</w:t>
      </w:r>
      <w:r w:rsidR="003F4267">
        <w:t xml:space="preserve"> efficacy and safety. Given the </w:t>
      </w:r>
      <w:r w:rsidR="0005148F">
        <w:t xml:space="preserve">ADAR </w:t>
      </w:r>
      <w:r w:rsidR="003F4267">
        <w:t>concluded that efficacy w</w:t>
      </w:r>
      <w:r w:rsidR="00F543D1">
        <w:t>as</w:t>
      </w:r>
      <w:r w:rsidR="003F4267">
        <w:t xml:space="preserve"> superior and safety </w:t>
      </w:r>
      <w:r w:rsidR="00F543D1">
        <w:t xml:space="preserve">was </w:t>
      </w:r>
      <w:r w:rsidR="003F4267">
        <w:t>non</w:t>
      </w:r>
      <w:r w:rsidR="00680F37">
        <w:t>-</w:t>
      </w:r>
      <w:r w:rsidR="002D4706">
        <w:t>inferior</w:t>
      </w:r>
      <w:r w:rsidR="003F4267">
        <w:t xml:space="preserve">, a cost-utility analysis </w:t>
      </w:r>
      <w:r w:rsidR="00B47B50">
        <w:t>wa</w:t>
      </w:r>
      <w:r w:rsidR="003F4267">
        <w:t xml:space="preserve">s </w:t>
      </w:r>
      <w:r w:rsidR="00012395">
        <w:t xml:space="preserve">therefore </w:t>
      </w:r>
      <w:r w:rsidR="003F4267">
        <w:t>required</w:t>
      </w:r>
      <w:r w:rsidR="008259DE">
        <w:t xml:space="preserve"> according to </w:t>
      </w:r>
      <w:r w:rsidR="00AE7691">
        <w:t xml:space="preserve">the </w:t>
      </w:r>
      <w:r w:rsidR="008259DE">
        <w:t xml:space="preserve">MSAC </w:t>
      </w:r>
      <w:r w:rsidR="00AE7691">
        <w:t>G</w:t>
      </w:r>
      <w:r w:rsidR="008259DE">
        <w:t>uidelines</w:t>
      </w:r>
      <w:r w:rsidR="00012395">
        <w:t xml:space="preserve">, and </w:t>
      </w:r>
      <w:r w:rsidR="00AE7691">
        <w:t xml:space="preserve">so </w:t>
      </w:r>
      <w:r w:rsidR="00012395">
        <w:t xml:space="preserve">the commentary considered the </w:t>
      </w:r>
      <w:r w:rsidR="0005148F">
        <w:t>ADAR’s</w:t>
      </w:r>
      <w:r w:rsidR="00012395">
        <w:t xml:space="preserve"> </w:t>
      </w:r>
      <w:r w:rsidR="001D6604">
        <w:t xml:space="preserve">chosen </w:t>
      </w:r>
      <w:r w:rsidR="00012395">
        <w:t>economic analysis was inappropriate</w:t>
      </w:r>
      <w:r w:rsidR="003F4267">
        <w:t xml:space="preserve">. </w:t>
      </w:r>
    </w:p>
    <w:p w14:paraId="0852E23F" w14:textId="79B46C14" w:rsidR="00FB4E2F" w:rsidRPr="00FB4E2F" w:rsidRDefault="003F4267" w:rsidP="00FB4E2F">
      <w:r>
        <w:t xml:space="preserve">The </w:t>
      </w:r>
      <w:r w:rsidR="0005148F">
        <w:t xml:space="preserve">ADAR’s </w:t>
      </w:r>
      <w:r>
        <w:t xml:space="preserve">argument for deviating from the PICO </w:t>
      </w:r>
      <w:r w:rsidR="0005148F">
        <w:t xml:space="preserve">was </w:t>
      </w:r>
      <w:r>
        <w:t>the short</w:t>
      </w:r>
      <w:r w:rsidR="00445BD6">
        <w:t>-</w:t>
      </w:r>
      <w:r>
        <w:t xml:space="preserve">term impact of the introduction of </w:t>
      </w:r>
      <w:r w:rsidRPr="00DB42CA">
        <w:t xml:space="preserve">sFlt-1:PlGF </w:t>
      </w:r>
      <w:r>
        <w:t>testing, and the absence of quality</w:t>
      </w:r>
      <w:r w:rsidR="00CB0E52">
        <w:t>-</w:t>
      </w:r>
      <w:r>
        <w:t>of</w:t>
      </w:r>
      <w:r w:rsidR="00CB0E52">
        <w:t>-</w:t>
      </w:r>
      <w:r>
        <w:t xml:space="preserve">life data collected in the relevant trials. The </w:t>
      </w:r>
      <w:r w:rsidR="007C0CF2">
        <w:t>commentary</w:t>
      </w:r>
      <w:r>
        <w:t xml:space="preserve"> </w:t>
      </w:r>
      <w:r w:rsidR="0005148F">
        <w:t xml:space="preserve">did </w:t>
      </w:r>
      <w:r>
        <w:t xml:space="preserve">not consider this </w:t>
      </w:r>
      <w:r w:rsidR="00A8620C">
        <w:t xml:space="preserve">justification </w:t>
      </w:r>
      <w:r>
        <w:t xml:space="preserve">to be sufficient, as proxy data are routinely used in </w:t>
      </w:r>
      <w:r w:rsidR="008259DE">
        <w:t>economic</w:t>
      </w:r>
      <w:r>
        <w:t xml:space="preserve"> models </w:t>
      </w:r>
      <w:r w:rsidR="008259DE">
        <w:t xml:space="preserve">as part of </w:t>
      </w:r>
      <w:r w:rsidR="004736D1">
        <w:t xml:space="preserve">a </w:t>
      </w:r>
      <w:r w:rsidR="008259DE">
        <w:t xml:space="preserve">linked </w:t>
      </w:r>
      <w:r w:rsidR="004736D1">
        <w:t xml:space="preserve">evidence of health outcomes </w:t>
      </w:r>
      <w:r w:rsidR="008259DE">
        <w:t>analysis</w:t>
      </w:r>
      <w:r w:rsidR="00934C69">
        <w:t xml:space="preserve"> </w:t>
      </w:r>
      <w:r>
        <w:t xml:space="preserve">when trial data are not available. </w:t>
      </w:r>
      <w:r w:rsidR="004736D1">
        <w:t xml:space="preserve">Furthermore, </w:t>
      </w:r>
      <w:r w:rsidR="00EB40E4">
        <w:t xml:space="preserve">there </w:t>
      </w:r>
      <w:r w:rsidR="007A3027">
        <w:t>is at least one published example</w:t>
      </w:r>
      <w:r w:rsidR="00EB40E4">
        <w:t xml:space="preserve"> </w:t>
      </w:r>
      <w:r w:rsidR="007A3027">
        <w:t>of a</w:t>
      </w:r>
      <w:r w:rsidR="00EB40E4">
        <w:t xml:space="preserve"> cost-utility </w:t>
      </w:r>
      <w:r w:rsidR="00A0722A">
        <w:t xml:space="preserve">analysis </w:t>
      </w:r>
      <w:r w:rsidR="00EB40E4">
        <w:t>of</w:t>
      </w:r>
      <w:r>
        <w:t xml:space="preserve"> </w:t>
      </w:r>
      <w:r w:rsidRPr="00673EBB">
        <w:t>sFlt-1:PlGF testing</w:t>
      </w:r>
      <w:r w:rsidR="000A10CE">
        <w:fldChar w:fldCharType="begin"/>
      </w:r>
      <w:r w:rsidR="00D076C7">
        <w:instrText xml:space="preserve"> ADDIN EN.CITE &lt;EndNote&gt;&lt;Cite&gt;&lt;Author&gt;NICE&lt;/Author&gt;&lt;Year&gt;2022&lt;/Year&gt;&lt;RecNum&gt;6&lt;/RecNum&gt;&lt;record&gt;&lt;rec-number&gt;6&lt;/rec-number&gt;&lt;foreign-keys&gt;&lt;key app="EN" db-id="vrszaev5dzpe0se0rvkxpdxnf9x0r2t0ptf5" timestamp="1690935580"&gt;6&lt;/key&gt;&lt;/foreign-keys&gt;&lt;ref-type name="Web Page"&gt;12&lt;/ref-type&gt;&lt;contributors&gt;&lt;authors&gt;&lt;author&gt;NICE&lt;/author&gt;&lt;/authors&gt;&lt;/contributors&gt;&lt;titles&gt;&lt;title&gt;PLGF-based testing to help diagnose suspected preterm preeclampsia (PDF)&lt;/title&gt;&lt;/titles&gt;&lt;volume&gt;2023&lt;/volume&gt;&lt;number&gt;2 August&lt;/number&gt;&lt;dates&gt;&lt;year&gt;2022&lt;/year&gt;&lt;/dates&gt;&lt;urls&gt;&lt;related-urls&gt;&lt;url&gt; https://www.nice.org.uk/guidance/dg49/resources/plgfbased-testing-to-help-diagnose-suspected-preterm-preeclampsia-pdf-1053819586501&lt;/url&gt;&lt;/related-urls&gt;&lt;/urls&gt;&lt;/record&gt;&lt;/Cite&gt;&lt;/EndNote&gt;</w:instrText>
      </w:r>
      <w:r w:rsidR="009C163C">
        <w:fldChar w:fldCharType="separate"/>
      </w:r>
      <w:r w:rsidR="000A10CE">
        <w:fldChar w:fldCharType="end"/>
      </w:r>
      <w:r>
        <w:t>, includ</w:t>
      </w:r>
      <w:r w:rsidR="007A3027">
        <w:t>ing</w:t>
      </w:r>
      <w:r>
        <w:t xml:space="preserve"> utility decrements for critical care units from </w:t>
      </w:r>
      <w:r w:rsidR="006C260F">
        <w:fldChar w:fldCharType="begin">
          <w:fldData xml:space="preserve">PEVuZE5vdGU+PENpdGUgQXV0aG9yWWVhcj0iMSI+PEF1dGhvcj5TZXBww6RuZW48L0F1dGhvcj48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</w:fldData>
        </w:fldChar>
      </w:r>
      <w:r w:rsidR="00D076C7">
        <w:instrText xml:space="preserve"> ADDIN EN.CITE </w:instrText>
      </w:r>
      <w:r w:rsidR="00D076C7">
        <w:fldChar w:fldCharType="begin">
          <w:fldData xml:space="preserve">PEVuZE5vdGU+PENpdGUgQXV0aG9yWWVhcj0iMSI+PEF1dGhvcj5TZXBww6RuZW48L0F1dGhvcj48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</w:fldData>
        </w:fldChar>
      </w:r>
      <w:r w:rsidR="00D076C7">
        <w:instrText xml:space="preserve"> ADDIN EN.CITE.DATA </w:instrText>
      </w:r>
      <w:r w:rsidR="00D076C7">
        <w:fldChar w:fldCharType="end"/>
      </w:r>
      <w:r w:rsidR="009C163C">
        <w:fldChar w:fldCharType="separate"/>
      </w:r>
      <w:r w:rsidR="006C260F">
        <w:fldChar w:fldCharType="end"/>
      </w:r>
      <w:r w:rsidR="008A25BA">
        <w:t xml:space="preserve">2 </w:t>
      </w:r>
      <w:r>
        <w:t>possible scenarios with and without neonatal outcomes.</w:t>
      </w:r>
      <w:r w:rsidR="007A3027">
        <w:t xml:space="preserve"> This </w:t>
      </w:r>
      <w:r w:rsidR="00B61BE7">
        <w:t>demonstrates the feasibility of conducting cost-utility analyses per MSAC’s guidelines</w:t>
      </w:r>
      <w:r w:rsidR="00E12F84">
        <w:t xml:space="preserve">, </w:t>
      </w:r>
      <w:r w:rsidR="00B61BE7">
        <w:t>as specified in the ratified PICO</w:t>
      </w:r>
      <w:r w:rsidR="00ED0E1C">
        <w:t xml:space="preserve"> and as conducted by NICE</w:t>
      </w:r>
      <w:r w:rsidR="00B61BE7">
        <w:t>.</w:t>
      </w:r>
      <w:bookmarkStart w:id="21" w:name="_Ref135121210"/>
    </w:p>
    <w:p w14:paraId="2E5B36CE" w14:textId="38A9912C" w:rsidR="00455EB4" w:rsidRPr="00600E0C" w:rsidRDefault="00455EB4" w:rsidP="00455EB4">
      <w:pPr>
        <w:pStyle w:val="Caption"/>
      </w:pPr>
      <w:r w:rsidRPr="00600E0C">
        <w:t>Table </w:t>
      </w:r>
      <w:r w:rsidR="009C163C">
        <w:fldChar w:fldCharType="begin"/>
      </w:r>
      <w:r w:rsidR="009C163C">
        <w:instrText xml:space="preserve"> SEQ Table \* ARABIC </w:instrText>
      </w:r>
      <w:r w:rsidR="009C163C">
        <w:fldChar w:fldCharType="separate"/>
      </w:r>
      <w:r w:rsidR="009D7CE9">
        <w:rPr>
          <w:noProof/>
        </w:rPr>
        <w:t>8</w:t>
      </w:r>
      <w:r w:rsidR="009C163C">
        <w:rPr>
          <w:noProof/>
        </w:rPr>
        <w:fldChar w:fldCharType="end"/>
      </w:r>
      <w:bookmarkEnd w:id="21"/>
      <w:r w:rsidRPr="00600E0C">
        <w:tab/>
        <w:t>Summary of the economic evaluation</w:t>
      </w:r>
    </w:p>
    <w:tbl>
      <w:tblPr>
        <w:tblStyle w:val="TableGrid1"/>
        <w:tblW w:w="4950" w:type="pct"/>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328"/>
        <w:gridCol w:w="7598"/>
      </w:tblGrid>
      <w:tr w:rsidR="009837BA" w:rsidRPr="00E164CD" w14:paraId="7E156D5A" w14:textId="4A3AC5B1" w:rsidTr="0064109D">
        <w:trPr>
          <w:cnfStyle w:val="100000000000" w:firstRow="1" w:lastRow="0" w:firstColumn="0" w:lastColumn="0" w:oddVBand="0" w:evenVBand="0" w:oddHBand="0" w:evenHBand="0" w:firstRowFirstColumn="0" w:firstRowLastColumn="0" w:lastRowFirstColumn="0" w:lastRowLastColumn="0"/>
          <w:tblHeader/>
        </w:trPr>
        <w:tc>
          <w:tcPr>
            <w:tcW w:w="744" w:type="pct"/>
            <w:shd w:val="clear" w:color="auto" w:fill="auto"/>
          </w:tcPr>
          <w:p w14:paraId="7C5247D6" w14:textId="77777777" w:rsidR="009837BA" w:rsidRPr="00E164CD" w:rsidRDefault="009837BA">
            <w:pPr>
              <w:pStyle w:val="TableHeading0"/>
            </w:pPr>
            <w:bookmarkStart w:id="22" w:name="Title_Table32" w:colFirst="0" w:colLast="0"/>
            <w:r w:rsidRPr="00E164CD">
              <w:t>Component</w:t>
            </w:r>
          </w:p>
        </w:tc>
        <w:tc>
          <w:tcPr>
            <w:tcW w:w="4256" w:type="pct"/>
            <w:shd w:val="clear" w:color="auto" w:fill="auto"/>
          </w:tcPr>
          <w:p w14:paraId="7B9AD61F" w14:textId="77777777" w:rsidR="009837BA" w:rsidRPr="00E164CD" w:rsidRDefault="009837BA">
            <w:pPr>
              <w:pStyle w:val="TableHeading0"/>
            </w:pPr>
            <w:r w:rsidRPr="00E164CD">
              <w:t>Description</w:t>
            </w:r>
          </w:p>
        </w:tc>
      </w:tr>
      <w:bookmarkEnd w:id="22"/>
      <w:tr w:rsidR="009837BA" w:rsidRPr="00E164CD" w14:paraId="3304C974" w14:textId="1600D322" w:rsidTr="0064109D">
        <w:tc>
          <w:tcPr>
            <w:tcW w:w="744" w:type="pct"/>
          </w:tcPr>
          <w:p w14:paraId="17110CE9" w14:textId="77777777" w:rsidR="009837BA" w:rsidRPr="00600E0C" w:rsidRDefault="009837BA" w:rsidP="000D7682">
            <w:pPr>
              <w:pStyle w:val="TableText"/>
            </w:pPr>
            <w:r w:rsidRPr="00600E0C">
              <w:t>Perspective</w:t>
            </w:r>
          </w:p>
        </w:tc>
        <w:tc>
          <w:tcPr>
            <w:tcW w:w="4256" w:type="pct"/>
          </w:tcPr>
          <w:p w14:paraId="0428F9D3" w14:textId="77777777" w:rsidR="009837BA" w:rsidRPr="00600E0C" w:rsidRDefault="009837BA" w:rsidP="000D7682">
            <w:pPr>
              <w:pStyle w:val="TableText"/>
            </w:pPr>
            <w:r w:rsidRPr="00600E0C">
              <w:t>Health care system perspective</w:t>
            </w:r>
          </w:p>
        </w:tc>
      </w:tr>
      <w:tr w:rsidR="009837BA" w:rsidRPr="00E164CD" w14:paraId="23479D88" w14:textId="39928E76" w:rsidTr="0064109D">
        <w:trPr>
          <w:tblHeader/>
        </w:trPr>
        <w:tc>
          <w:tcPr>
            <w:tcW w:w="744" w:type="pct"/>
          </w:tcPr>
          <w:p w14:paraId="59B12AA6" w14:textId="77777777" w:rsidR="009837BA" w:rsidRPr="00600E0C" w:rsidRDefault="009837BA" w:rsidP="000D7682">
            <w:pPr>
              <w:pStyle w:val="TableText"/>
            </w:pPr>
            <w:r w:rsidRPr="00600E0C">
              <w:t>Population</w:t>
            </w:r>
          </w:p>
        </w:tc>
        <w:tc>
          <w:tcPr>
            <w:tcW w:w="4256" w:type="pct"/>
          </w:tcPr>
          <w:p w14:paraId="7CBE1564" w14:textId="46E3A519" w:rsidR="009837BA" w:rsidRPr="00600E0C" w:rsidRDefault="009837BA" w:rsidP="000D7682">
            <w:pPr>
              <w:pStyle w:val="TableText"/>
            </w:pPr>
            <w:r w:rsidRPr="00600E0C">
              <w:t xml:space="preserve">Pregnant </w:t>
            </w:r>
            <w:r>
              <w:t>people</w:t>
            </w:r>
            <w:r w:rsidRPr="00600E0C">
              <w:t xml:space="preserve"> from 24 weeks gestation with suspected preeclampsia, at high risk of preeclampsia or confirmed preeclampsia</w:t>
            </w:r>
          </w:p>
        </w:tc>
      </w:tr>
      <w:tr w:rsidR="009837BA" w:rsidRPr="00E164CD" w14:paraId="1F03F926" w14:textId="0DC4A4CF" w:rsidTr="0064109D">
        <w:tc>
          <w:tcPr>
            <w:tcW w:w="744" w:type="pct"/>
          </w:tcPr>
          <w:p w14:paraId="0D733C28" w14:textId="77777777" w:rsidR="009837BA" w:rsidRPr="00600E0C" w:rsidRDefault="009837BA" w:rsidP="000D7682">
            <w:pPr>
              <w:pStyle w:val="TableText"/>
            </w:pPr>
            <w:r w:rsidRPr="00600E0C">
              <w:t>Prior testing</w:t>
            </w:r>
          </w:p>
        </w:tc>
        <w:tc>
          <w:tcPr>
            <w:tcW w:w="4256" w:type="pct"/>
          </w:tcPr>
          <w:p w14:paraId="18D78487" w14:textId="77777777" w:rsidR="009837BA" w:rsidRPr="00600E0C" w:rsidRDefault="009837BA" w:rsidP="000D7682">
            <w:pPr>
              <w:pStyle w:val="TableText"/>
            </w:pPr>
            <w:r w:rsidRPr="00600E0C">
              <w:t>No</w:t>
            </w:r>
            <w:r>
              <w:t>t</w:t>
            </w:r>
            <w:r w:rsidRPr="00600E0C">
              <w:t xml:space="preserve"> required</w:t>
            </w:r>
          </w:p>
        </w:tc>
      </w:tr>
      <w:tr w:rsidR="009837BA" w:rsidRPr="00E164CD" w14:paraId="4DDE2D82" w14:textId="62C37E7B" w:rsidTr="0064109D">
        <w:tc>
          <w:tcPr>
            <w:tcW w:w="744" w:type="pct"/>
          </w:tcPr>
          <w:p w14:paraId="7679F2EE" w14:textId="77777777" w:rsidR="009837BA" w:rsidRPr="00600E0C" w:rsidRDefault="009837BA" w:rsidP="000D7682">
            <w:pPr>
              <w:pStyle w:val="TableText"/>
            </w:pPr>
            <w:r w:rsidRPr="00600E0C">
              <w:t>Comparator</w:t>
            </w:r>
          </w:p>
        </w:tc>
        <w:tc>
          <w:tcPr>
            <w:tcW w:w="4256" w:type="pct"/>
          </w:tcPr>
          <w:p w14:paraId="3F698348" w14:textId="77777777" w:rsidR="009837BA" w:rsidRPr="00600E0C" w:rsidRDefault="009837BA" w:rsidP="000D7682">
            <w:pPr>
              <w:pStyle w:val="TableText"/>
            </w:pPr>
            <w:r w:rsidRPr="00600E0C">
              <w:t>Standard management. This would include assessments for new onset or severe hypertension and proteinuria to establish signs and symptoms o</w:t>
            </w:r>
            <w:r>
              <w:t>r</w:t>
            </w:r>
            <w:r w:rsidRPr="00600E0C">
              <w:t xml:space="preserve"> diagnosis of preeclampsia</w:t>
            </w:r>
          </w:p>
        </w:tc>
      </w:tr>
      <w:tr w:rsidR="009837BA" w:rsidRPr="00E164CD" w14:paraId="3C203615" w14:textId="6E09500D" w:rsidTr="0064109D">
        <w:tc>
          <w:tcPr>
            <w:tcW w:w="744" w:type="pct"/>
          </w:tcPr>
          <w:p w14:paraId="5F84B196" w14:textId="77777777" w:rsidR="009837BA" w:rsidRPr="00600E0C" w:rsidRDefault="009837BA" w:rsidP="000D7682">
            <w:pPr>
              <w:pStyle w:val="TableText"/>
            </w:pPr>
            <w:r w:rsidRPr="00600E0C">
              <w:lastRenderedPageBreak/>
              <w:t>Type(s) of analysis</w:t>
            </w:r>
          </w:p>
        </w:tc>
        <w:tc>
          <w:tcPr>
            <w:tcW w:w="4256" w:type="pct"/>
          </w:tcPr>
          <w:p w14:paraId="009DADC6" w14:textId="77777777" w:rsidR="009837BA" w:rsidRPr="00600E0C" w:rsidRDefault="009837BA" w:rsidP="000D7682">
            <w:pPr>
              <w:pStyle w:val="TableText"/>
            </w:pPr>
            <w:r w:rsidRPr="00600E0C">
              <w:t>Cost analysis/cost consequence analysis</w:t>
            </w:r>
          </w:p>
        </w:tc>
      </w:tr>
      <w:tr w:rsidR="009837BA" w:rsidRPr="00E164CD" w14:paraId="2811AB90" w14:textId="3B02C268" w:rsidTr="0064109D">
        <w:tc>
          <w:tcPr>
            <w:tcW w:w="744" w:type="pct"/>
          </w:tcPr>
          <w:p w14:paraId="3AC7A377" w14:textId="77777777" w:rsidR="009837BA" w:rsidRPr="00600E0C" w:rsidRDefault="009837BA" w:rsidP="000D7682">
            <w:pPr>
              <w:pStyle w:val="TableText"/>
            </w:pPr>
            <w:r w:rsidRPr="00600E0C">
              <w:t>Outcomes</w:t>
            </w:r>
          </w:p>
        </w:tc>
        <w:tc>
          <w:tcPr>
            <w:tcW w:w="4256" w:type="pct"/>
          </w:tcPr>
          <w:p w14:paraId="17D6D763" w14:textId="77777777" w:rsidR="009837BA" w:rsidRPr="00600E0C" w:rsidRDefault="009837BA" w:rsidP="000D7682">
            <w:pPr>
              <w:pStyle w:val="TableText"/>
            </w:pPr>
            <w:r w:rsidRPr="00600E0C">
              <w:t>Cost per patient, hospital admissions for monitoring</w:t>
            </w:r>
          </w:p>
        </w:tc>
      </w:tr>
      <w:tr w:rsidR="009837BA" w:rsidRPr="00E164CD" w14:paraId="4434F202" w14:textId="7813BABE" w:rsidTr="0064109D">
        <w:tc>
          <w:tcPr>
            <w:tcW w:w="744" w:type="pct"/>
          </w:tcPr>
          <w:p w14:paraId="48EF6870" w14:textId="77777777" w:rsidR="009837BA" w:rsidRPr="00600E0C" w:rsidRDefault="009837BA" w:rsidP="000D7682">
            <w:pPr>
              <w:pStyle w:val="TableText"/>
            </w:pPr>
            <w:r w:rsidRPr="00600E0C">
              <w:t>Time horizon</w:t>
            </w:r>
          </w:p>
        </w:tc>
        <w:tc>
          <w:tcPr>
            <w:tcW w:w="4256" w:type="pct"/>
          </w:tcPr>
          <w:p w14:paraId="23866236" w14:textId="77777777" w:rsidR="009837BA" w:rsidRPr="00600E0C" w:rsidRDefault="009837BA" w:rsidP="000D7682">
            <w:pPr>
              <w:pStyle w:val="TableText"/>
            </w:pPr>
            <w:r w:rsidRPr="00600E0C">
              <w:t>Up to 15 weeks (from eligibility for sFlt-1:PlGF ratio testing from 24+0 weeks gestation to term delivery at 39 weeks) in the model</w:t>
            </w:r>
          </w:p>
          <w:p w14:paraId="75727D11" w14:textId="77777777" w:rsidR="009837BA" w:rsidRPr="00600E0C" w:rsidRDefault="009837BA" w:rsidP="000D7682">
            <w:pPr>
              <w:pStyle w:val="TableText"/>
            </w:pPr>
            <w:r w:rsidRPr="00600E0C">
              <w:t xml:space="preserve">The time horizon used in the model aligns with the time horizon of the key </w:t>
            </w:r>
            <w:r>
              <w:t>studies</w:t>
            </w:r>
          </w:p>
        </w:tc>
      </w:tr>
      <w:tr w:rsidR="009837BA" w:rsidRPr="00E164CD" w14:paraId="1DFF8927" w14:textId="368B5FE0" w:rsidTr="0064109D">
        <w:tc>
          <w:tcPr>
            <w:tcW w:w="744" w:type="pct"/>
          </w:tcPr>
          <w:p w14:paraId="3E3501E1" w14:textId="77777777" w:rsidR="009837BA" w:rsidRPr="00600E0C" w:rsidRDefault="009837BA" w:rsidP="000D7682">
            <w:pPr>
              <w:pStyle w:val="TableText"/>
            </w:pPr>
            <w:r w:rsidRPr="00600E0C">
              <w:t>Computational method</w:t>
            </w:r>
          </w:p>
        </w:tc>
        <w:tc>
          <w:tcPr>
            <w:tcW w:w="4256" w:type="pct"/>
          </w:tcPr>
          <w:p w14:paraId="1295F5B3" w14:textId="77777777" w:rsidR="009837BA" w:rsidRPr="00600E0C" w:rsidRDefault="009837BA" w:rsidP="000D7682">
            <w:pPr>
              <w:pStyle w:val="TableText"/>
            </w:pPr>
            <w:r w:rsidRPr="00600E0C">
              <w:t>Cohort expected value</w:t>
            </w:r>
          </w:p>
        </w:tc>
      </w:tr>
      <w:tr w:rsidR="009837BA" w:rsidRPr="00E164CD" w14:paraId="11E98DA9" w14:textId="79AF8A65" w:rsidTr="0064109D">
        <w:tc>
          <w:tcPr>
            <w:tcW w:w="744" w:type="pct"/>
          </w:tcPr>
          <w:p w14:paraId="6F3D6EB0" w14:textId="77777777" w:rsidR="009837BA" w:rsidRPr="00600E0C" w:rsidRDefault="009837BA" w:rsidP="000D7682">
            <w:pPr>
              <w:pStyle w:val="TableText"/>
            </w:pPr>
            <w:r w:rsidRPr="00600E0C">
              <w:t>Generation of the base case</w:t>
            </w:r>
          </w:p>
        </w:tc>
        <w:tc>
          <w:tcPr>
            <w:tcW w:w="4256" w:type="pct"/>
          </w:tcPr>
          <w:p w14:paraId="22CC47C1" w14:textId="77777777" w:rsidR="009837BA" w:rsidRPr="00600E0C" w:rsidRDefault="009837BA" w:rsidP="000D7682">
            <w:pPr>
              <w:pStyle w:val="TableText"/>
            </w:pPr>
            <w:r w:rsidRPr="00600E0C">
              <w:t xml:space="preserve">Trial based. Results of an analysis of the ROPE study </w:t>
            </w:r>
            <w:r w:rsidRPr="00600E0C">
              <w:fldChar w:fldCharType="begin">
                <w:fldData xml:space="preserve">PEVuZE5vdGU+PENpdGU+PEF1dGhvcj5TdXJlc2g8L0F1dGhvcj48WWVhcj4yMDIwPC9ZZWFyPjxS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</w:fldData>
              </w:fldChar>
            </w:r>
            <w:r w:rsidRPr="00600E0C">
              <w:instrText xml:space="preserve"> ADDIN EN.CITE </w:instrText>
            </w:r>
            <w:r w:rsidRPr="00600E0C">
              <w:fldChar w:fldCharType="begin">
                <w:fldData xml:space="preserve">PEVuZE5vdGU+PENpdGU+PEF1dGhvcj5TdXJlc2g8L0F1dGhvcj48WWVhcj4yMDIwPC9ZZWFyPjxS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</w:fldData>
              </w:fldChar>
            </w:r>
            <w:r w:rsidRPr="00600E0C">
              <w:instrText xml:space="preserve"> ADDIN EN.CITE.DATA </w:instrText>
            </w:r>
            <w:r w:rsidRPr="00600E0C">
              <w:fldChar w:fldCharType="end"/>
            </w:r>
            <w:r w:rsidRPr="00600E0C">
              <w:fldChar w:fldCharType="separate"/>
            </w:r>
            <w:r w:rsidRPr="00600E0C">
              <w:t>(Suresh et al. 2020)</w:t>
            </w:r>
            <w:r w:rsidRPr="00600E0C">
              <w:fldChar w:fldCharType="end"/>
            </w:r>
            <w:r w:rsidRPr="00600E0C">
              <w:t xml:space="preserve"> are used to generate the base case</w:t>
            </w:r>
          </w:p>
        </w:tc>
      </w:tr>
      <w:tr w:rsidR="009837BA" w:rsidRPr="00E164CD" w14:paraId="00F9E773" w14:textId="29476414" w:rsidTr="0064109D">
        <w:tc>
          <w:tcPr>
            <w:tcW w:w="744" w:type="pct"/>
          </w:tcPr>
          <w:p w14:paraId="47EC3801" w14:textId="77777777" w:rsidR="009837BA" w:rsidRPr="00600E0C" w:rsidRDefault="009837BA" w:rsidP="000D7682">
            <w:pPr>
              <w:pStyle w:val="TableText"/>
            </w:pPr>
            <w:r w:rsidRPr="00600E0C">
              <w:t>Health states</w:t>
            </w:r>
          </w:p>
        </w:tc>
        <w:tc>
          <w:tcPr>
            <w:tcW w:w="4256" w:type="pct"/>
          </w:tcPr>
          <w:p w14:paraId="4C2D4D43" w14:textId="77777777" w:rsidR="009837BA" w:rsidRPr="00600E0C" w:rsidRDefault="009837BA" w:rsidP="000D7682">
            <w:pPr>
              <w:pStyle w:val="TableText"/>
            </w:pPr>
            <w:r w:rsidRPr="00600E0C">
              <w:t>Not applicable (decision tree used)</w:t>
            </w:r>
          </w:p>
        </w:tc>
      </w:tr>
      <w:tr w:rsidR="009837BA" w:rsidRPr="00E164CD" w14:paraId="489B74C7" w14:textId="4A1F752F" w:rsidTr="0064109D">
        <w:tc>
          <w:tcPr>
            <w:tcW w:w="744" w:type="pct"/>
          </w:tcPr>
          <w:p w14:paraId="0E30CDAB" w14:textId="77777777" w:rsidR="009837BA" w:rsidRPr="00600E0C" w:rsidRDefault="009837BA" w:rsidP="000D7682">
            <w:pPr>
              <w:pStyle w:val="TableText"/>
            </w:pPr>
            <w:r w:rsidRPr="00600E0C">
              <w:t>Cycle length</w:t>
            </w:r>
          </w:p>
        </w:tc>
        <w:tc>
          <w:tcPr>
            <w:tcW w:w="4256" w:type="pct"/>
          </w:tcPr>
          <w:p w14:paraId="014ED704" w14:textId="77777777" w:rsidR="009837BA" w:rsidRPr="00600E0C" w:rsidRDefault="009837BA" w:rsidP="000D7682">
            <w:pPr>
              <w:pStyle w:val="TableText"/>
            </w:pPr>
            <w:r w:rsidRPr="00600E0C">
              <w:t>Not applicable</w:t>
            </w:r>
          </w:p>
        </w:tc>
      </w:tr>
      <w:tr w:rsidR="009837BA" w:rsidRPr="00E164CD" w14:paraId="4B139C62" w14:textId="091413BD" w:rsidTr="0064109D">
        <w:tc>
          <w:tcPr>
            <w:tcW w:w="744" w:type="pct"/>
          </w:tcPr>
          <w:p w14:paraId="0EDBE0F5" w14:textId="77777777" w:rsidR="009837BA" w:rsidRPr="00600E0C" w:rsidRDefault="009837BA" w:rsidP="000D7682">
            <w:pPr>
              <w:pStyle w:val="TableText"/>
            </w:pPr>
            <w:r w:rsidRPr="00600E0C">
              <w:t>Transition probabilities</w:t>
            </w:r>
          </w:p>
        </w:tc>
        <w:tc>
          <w:tcPr>
            <w:tcW w:w="4256" w:type="pct"/>
          </w:tcPr>
          <w:p w14:paraId="2451D87E" w14:textId="77777777" w:rsidR="009837BA" w:rsidRDefault="009837BA" w:rsidP="000D7682">
            <w:pPr>
              <w:pStyle w:val="TableText"/>
            </w:pPr>
            <w:r w:rsidRPr="00600E0C">
              <w:t xml:space="preserve">Transition probabilities allocating patients to ‘Outpatient ’ and ‘Admit to hospital for monitoring’ branches of the decision tree were obtained from the analysis of the ROPE study by </w:t>
            </w:r>
            <w:r w:rsidRPr="00600E0C">
              <w:fldChar w:fldCharType="begin">
                <w:fldData xml:space="preserve">PEVuZE5vdGU+PENpdGU+PEF1dGhvcj5TdXJlc2g8L0F1dGhvcj48WWVhcj4yMDIwPC9ZZWFyPjxS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</w:fldData>
              </w:fldChar>
            </w:r>
            <w:r w:rsidRPr="00600E0C">
              <w:instrText xml:space="preserve"> ADDIN EN.CITE </w:instrText>
            </w:r>
            <w:r w:rsidRPr="00600E0C">
              <w:fldChar w:fldCharType="begin">
                <w:fldData xml:space="preserve">PEVuZE5vdGU+PENpdGU+PEF1dGhvcj5TdXJlc2g8L0F1dGhvcj48WWVhcj4yMDIwPC9ZZWFyPjxS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</w:fldData>
              </w:fldChar>
            </w:r>
            <w:r w:rsidRPr="00600E0C">
              <w:instrText xml:space="preserve"> ADDIN EN.CITE.DATA </w:instrText>
            </w:r>
            <w:r w:rsidRPr="00600E0C">
              <w:fldChar w:fldCharType="end"/>
            </w:r>
            <w:r w:rsidRPr="00600E0C">
              <w:fldChar w:fldCharType="separate"/>
            </w:r>
            <w:r w:rsidRPr="00600E0C">
              <w:t>(Suresh et al. 2020)</w:t>
            </w:r>
            <w:r w:rsidRPr="00600E0C">
              <w:fldChar w:fldCharType="end"/>
            </w:r>
            <w:r w:rsidRPr="00600E0C">
              <w:t xml:space="preserve"> and applied without transformation</w:t>
            </w:r>
          </w:p>
          <w:p w14:paraId="27B14AF5" w14:textId="77777777" w:rsidR="002A0A5E" w:rsidRPr="00600E0C" w:rsidRDefault="002A0A5E" w:rsidP="000D7682">
            <w:pPr>
              <w:pStyle w:val="TableText"/>
            </w:pPr>
          </w:p>
          <w:p w14:paraId="42BDB001" w14:textId="77777777" w:rsidR="009837BA" w:rsidRDefault="009837BA" w:rsidP="000D7682">
            <w:pPr>
              <w:pStyle w:val="TableText"/>
            </w:pPr>
            <w:r w:rsidRPr="00600E0C">
              <w:t xml:space="preserve">Transition probabilities allocating patients to sFlt-1:PlGF ratio </w:t>
            </w:r>
            <w:r>
              <w:t>cut-off</w:t>
            </w:r>
            <w:r w:rsidRPr="00600E0C">
              <w:t xml:space="preserve"> branches of the decision tree were obtained from the analysis of the ROPE study by </w:t>
            </w:r>
            <w:r w:rsidRPr="00600E0C">
              <w:fldChar w:fldCharType="begin">
                <w:fldData xml:space="preserve">PEVuZE5vdGU+PENpdGU+PEF1dGhvcj5TdXJlc2g8L0F1dGhvcj48WWVhcj4yMDIwPC9ZZWFyPjxS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</w:fldData>
              </w:fldChar>
            </w:r>
            <w:r w:rsidRPr="00600E0C">
              <w:instrText xml:space="preserve"> ADDIN EN.CITE </w:instrText>
            </w:r>
            <w:r w:rsidRPr="00600E0C">
              <w:fldChar w:fldCharType="begin">
                <w:fldData xml:space="preserve">PEVuZE5vdGU+PENpdGU+PEF1dGhvcj5TdXJlc2g8L0F1dGhvcj48WWVhcj4yMDIwPC9ZZWFyPjxS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</w:fldData>
              </w:fldChar>
            </w:r>
            <w:r w:rsidRPr="00600E0C">
              <w:instrText xml:space="preserve"> ADDIN EN.CITE.DATA </w:instrText>
            </w:r>
            <w:r w:rsidRPr="00600E0C">
              <w:fldChar w:fldCharType="end"/>
            </w:r>
            <w:r w:rsidRPr="00600E0C">
              <w:fldChar w:fldCharType="separate"/>
            </w:r>
            <w:r w:rsidRPr="00600E0C">
              <w:t>(Suresh et al. 2020)</w:t>
            </w:r>
            <w:r w:rsidRPr="00600E0C">
              <w:fldChar w:fldCharType="end"/>
            </w:r>
            <w:r w:rsidRPr="00600E0C">
              <w:t xml:space="preserve"> and applied without transformation</w:t>
            </w:r>
          </w:p>
          <w:p w14:paraId="1A86441A" w14:textId="77777777" w:rsidR="002A0A5E" w:rsidRPr="00600E0C" w:rsidRDefault="002A0A5E" w:rsidP="000D7682">
            <w:pPr>
              <w:pStyle w:val="TableText"/>
            </w:pPr>
          </w:p>
          <w:p w14:paraId="1BEF6C1F" w14:textId="77777777" w:rsidR="009837BA" w:rsidRPr="00600E0C" w:rsidRDefault="009837BA" w:rsidP="000D7682">
            <w:pPr>
              <w:pStyle w:val="TableText"/>
            </w:pPr>
            <w:r w:rsidRPr="00600E0C">
              <w:t xml:space="preserve">Transition probabilities allocating patients to the ‘Preterm delivery &lt;34 weeks’, Preterm delivery 34 to 37 weeks’ and ‘Term delivery &gt;37 weeks’ were obtained from the analysis of the ROPE study by </w:t>
            </w:r>
            <w:r w:rsidRPr="00600E0C">
              <w:fldChar w:fldCharType="begin">
                <w:fldData xml:space="preserve">PEVuZE5vdGU+PENpdGU+PEF1dGhvcj5TdXJlc2g8L0F1dGhvcj48WWVhcj4yMDIwPC9ZZWFyPjxS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</w:fldData>
              </w:fldChar>
            </w:r>
            <w:r w:rsidRPr="00600E0C">
              <w:instrText xml:space="preserve"> ADDIN EN.CITE </w:instrText>
            </w:r>
            <w:r w:rsidRPr="00600E0C">
              <w:fldChar w:fldCharType="begin">
                <w:fldData xml:space="preserve">PEVuZE5vdGU+PENpdGU+PEF1dGhvcj5TdXJlc2g8L0F1dGhvcj48WWVhcj4yMDIwPC9ZZWFyPjxS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</w:fldData>
              </w:fldChar>
            </w:r>
            <w:r w:rsidRPr="00600E0C">
              <w:instrText xml:space="preserve"> ADDIN EN.CITE.DATA </w:instrText>
            </w:r>
            <w:r w:rsidRPr="00600E0C">
              <w:fldChar w:fldCharType="end"/>
            </w:r>
            <w:r w:rsidRPr="00600E0C">
              <w:fldChar w:fldCharType="separate"/>
            </w:r>
            <w:r w:rsidRPr="00600E0C">
              <w:t>(Suresh et al. 2020)</w:t>
            </w:r>
            <w:r w:rsidRPr="00600E0C">
              <w:fldChar w:fldCharType="end"/>
            </w:r>
            <w:r w:rsidRPr="00600E0C">
              <w:t xml:space="preserve"> and applied without transformation</w:t>
            </w:r>
          </w:p>
        </w:tc>
      </w:tr>
      <w:tr w:rsidR="009837BA" w:rsidRPr="00E164CD" w14:paraId="1C62BC69" w14:textId="63BC3C87" w:rsidTr="0064109D">
        <w:tc>
          <w:tcPr>
            <w:tcW w:w="744" w:type="pct"/>
          </w:tcPr>
          <w:p w14:paraId="4A633225" w14:textId="77777777" w:rsidR="009837BA" w:rsidRPr="00600E0C" w:rsidRDefault="009837BA" w:rsidP="000D7682">
            <w:pPr>
              <w:pStyle w:val="TableText"/>
            </w:pPr>
            <w:r w:rsidRPr="00600E0C">
              <w:t>Discount rate</w:t>
            </w:r>
          </w:p>
        </w:tc>
        <w:tc>
          <w:tcPr>
            <w:tcW w:w="4256" w:type="pct"/>
          </w:tcPr>
          <w:p w14:paraId="5A878769" w14:textId="77777777" w:rsidR="009837BA" w:rsidRPr="00600E0C" w:rsidRDefault="009837BA" w:rsidP="000D7682">
            <w:pPr>
              <w:pStyle w:val="TableText"/>
            </w:pPr>
            <w:r w:rsidRPr="00600E0C">
              <w:t>Not applied. All costs and consequences accrued in less than 1 year</w:t>
            </w:r>
          </w:p>
        </w:tc>
      </w:tr>
      <w:tr w:rsidR="009837BA" w:rsidRPr="00E164CD" w14:paraId="28ADEABC" w14:textId="3B0BA8BC" w:rsidTr="0064109D">
        <w:tc>
          <w:tcPr>
            <w:tcW w:w="744" w:type="pct"/>
          </w:tcPr>
          <w:p w14:paraId="12E2C5E3" w14:textId="77777777" w:rsidR="009837BA" w:rsidRPr="00600E0C" w:rsidRDefault="009837BA" w:rsidP="000D7682">
            <w:pPr>
              <w:pStyle w:val="TableText"/>
            </w:pPr>
            <w:r w:rsidRPr="00600E0C">
              <w:t>Software</w:t>
            </w:r>
          </w:p>
        </w:tc>
        <w:tc>
          <w:tcPr>
            <w:tcW w:w="4256" w:type="pct"/>
          </w:tcPr>
          <w:p w14:paraId="20CE62B8" w14:textId="77777777" w:rsidR="009837BA" w:rsidRPr="00600E0C" w:rsidRDefault="009837BA" w:rsidP="000D7682">
            <w:pPr>
              <w:pStyle w:val="TableText"/>
            </w:pPr>
            <w:proofErr w:type="spellStart"/>
            <w:r w:rsidRPr="00600E0C">
              <w:t>TreeAge</w:t>
            </w:r>
            <w:proofErr w:type="spellEnd"/>
            <w:r w:rsidRPr="00600E0C">
              <w:t xml:space="preserve"> Pro (Healthcare Version)</w:t>
            </w:r>
          </w:p>
        </w:tc>
      </w:tr>
    </w:tbl>
    <w:p w14:paraId="5F473C9E" w14:textId="08DCBF0D" w:rsidR="00AB043D" w:rsidRPr="00F1761D" w:rsidRDefault="00AB043D" w:rsidP="00AB043D">
      <w:pPr>
        <w:spacing w:before="0" w:after="0"/>
        <w:rPr>
          <w:rFonts w:ascii="Arial Narrow" w:hAnsi="Arial Narrow"/>
          <w:sz w:val="18"/>
          <w:szCs w:val="18"/>
        </w:rPr>
      </w:pPr>
      <w:r>
        <w:rPr>
          <w:rFonts w:ascii="Arial Narrow" w:hAnsi="Arial Narrow" w:cs="Arial"/>
          <w:b/>
          <w:bCs/>
          <w:sz w:val="18"/>
          <w:u w:val="single"/>
        </w:rPr>
        <w:t>Abbreviations</w:t>
      </w:r>
      <w:r w:rsidR="00B013B1" w:rsidRPr="00C577B3">
        <w:rPr>
          <w:rFonts w:ascii="Arial Narrow" w:hAnsi="Arial Narrow"/>
          <w:b/>
          <w:bCs/>
          <w:sz w:val="18"/>
          <w:szCs w:val="18"/>
        </w:rPr>
        <w:t>:</w:t>
      </w:r>
      <w:r w:rsidR="00B013B1">
        <w:rPr>
          <w:rFonts w:ascii="Arial Narrow" w:hAnsi="Arial Narrow"/>
          <w:b/>
          <w:bCs/>
          <w:sz w:val="18"/>
          <w:szCs w:val="18"/>
        </w:rPr>
        <w:t xml:space="preserve"> </w:t>
      </w:r>
      <w:r w:rsidRPr="00956E33">
        <w:rPr>
          <w:rFonts w:ascii="Arial Narrow" w:hAnsi="Arial Narrow"/>
          <w:b/>
          <w:bCs/>
          <w:sz w:val="18"/>
          <w:szCs w:val="18"/>
        </w:rPr>
        <w:t>sFlt-1:</w:t>
      </w:r>
      <w:r w:rsidRPr="00F354AE">
        <w:rPr>
          <w:rFonts w:ascii="Arial Narrow" w:hAnsi="Arial Narrow"/>
          <w:b/>
          <w:bCs/>
          <w:sz w:val="18"/>
          <w:szCs w:val="18"/>
        </w:rPr>
        <w:t>PlGF</w:t>
      </w:r>
      <w:r>
        <w:rPr>
          <w:rFonts w:ascii="Arial Narrow" w:hAnsi="Arial Narrow"/>
          <w:sz w:val="18"/>
          <w:szCs w:val="18"/>
        </w:rPr>
        <w:t xml:space="preserve"> = </w:t>
      </w:r>
      <w:r w:rsidRPr="00B9763A">
        <w:rPr>
          <w:rFonts w:ascii="Arial Narrow" w:hAnsi="Arial Narrow"/>
          <w:sz w:val="18"/>
          <w:szCs w:val="18"/>
        </w:rPr>
        <w:t>soluble FMS-like tyrosine kinase-1:placental growth factor</w:t>
      </w:r>
      <w:r>
        <w:rPr>
          <w:rFonts w:ascii="Arial Narrow" w:hAnsi="Arial Narrow"/>
          <w:sz w:val="18"/>
          <w:szCs w:val="18"/>
        </w:rPr>
        <w:t>.</w:t>
      </w:r>
    </w:p>
    <w:p w14:paraId="48F20BAF" w14:textId="5F176A4E" w:rsidR="00436ECC" w:rsidRPr="0064109D" w:rsidRDefault="00436ECC" w:rsidP="00836212">
      <w:pPr>
        <w:spacing w:before="0" w:after="0"/>
        <w:contextualSpacing/>
        <w:jc w:val="both"/>
        <w:rPr>
          <w:rFonts w:ascii="Arial Narrow" w:hAnsi="Arial Narrow" w:cs="Arial"/>
          <w:sz w:val="18"/>
        </w:rPr>
      </w:pPr>
      <w:r>
        <w:rPr>
          <w:rFonts w:ascii="Arial Narrow" w:hAnsi="Arial Narrow" w:cs="Arial"/>
          <w:b/>
          <w:bCs/>
          <w:sz w:val="18"/>
          <w:u w:val="single"/>
        </w:rPr>
        <w:t>Source</w:t>
      </w:r>
      <w:r w:rsidR="00B013B1" w:rsidRPr="00C577B3">
        <w:rPr>
          <w:rFonts w:ascii="Arial Narrow" w:hAnsi="Arial Narrow"/>
          <w:b/>
          <w:bCs/>
          <w:sz w:val="18"/>
          <w:szCs w:val="18"/>
        </w:rPr>
        <w:t>:</w:t>
      </w:r>
      <w:r w:rsidR="00B013B1">
        <w:rPr>
          <w:rFonts w:ascii="Arial Narrow" w:hAnsi="Arial Narrow"/>
          <w:b/>
          <w:bCs/>
          <w:sz w:val="18"/>
          <w:szCs w:val="18"/>
        </w:rPr>
        <w:t xml:space="preserve"> </w:t>
      </w:r>
      <w:r w:rsidRPr="0064109D">
        <w:rPr>
          <w:rFonts w:ascii="Arial Narrow" w:hAnsi="Arial Narrow" w:cs="Arial"/>
          <w:sz w:val="18"/>
        </w:rPr>
        <w:t>Adapted from ADAR Table 24</w:t>
      </w:r>
    </w:p>
    <w:p w14:paraId="1B288DBB" w14:textId="77777777" w:rsidR="003F4267" w:rsidRPr="001B3DCC" w:rsidRDefault="003F4267" w:rsidP="00461848">
      <w:pPr>
        <w:pStyle w:val="Heading3"/>
      </w:pPr>
      <w:r w:rsidRPr="001B3DCC">
        <w:t>Model structure</w:t>
      </w:r>
    </w:p>
    <w:p w14:paraId="78124454" w14:textId="3C733FE6" w:rsidR="009D7CE9" w:rsidRDefault="003F4267" w:rsidP="003F4267">
      <w:pPr>
        <w:rPr>
          <w:lang w:val="en-US"/>
        </w:rPr>
        <w:sectPr w:rsidR="009D7CE9" w:rsidSect="009D7CE9">
          <w:footerReference w:type="even" r:id="rId12"/>
          <w:footerReference w:type="default" r:id="rId13"/>
          <w:type w:val="oddPage"/>
          <w:pgSz w:w="11906" w:h="16838"/>
          <w:pgMar w:top="1440" w:right="1440" w:bottom="1440" w:left="1440" w:header="709" w:footer="709" w:gutter="0"/>
          <w:cols w:space="708"/>
          <w:docGrid w:linePitch="360"/>
        </w:sectPr>
      </w:pPr>
      <w:r w:rsidRPr="0064109D">
        <w:t xml:space="preserve">The </w:t>
      </w:r>
      <w:r w:rsidR="00F91202">
        <w:t>commentary</w:t>
      </w:r>
      <w:r w:rsidRPr="0064109D">
        <w:t xml:space="preserve"> </w:t>
      </w:r>
      <w:r w:rsidR="00C05CD6" w:rsidRPr="0064109D">
        <w:t>consider</w:t>
      </w:r>
      <w:r w:rsidR="0034686D">
        <w:t>ed</w:t>
      </w:r>
      <w:r w:rsidR="00C05CD6" w:rsidRPr="0064109D">
        <w:t xml:space="preserve"> that</w:t>
      </w:r>
      <w:r w:rsidRPr="0064109D">
        <w:t xml:space="preserve"> the decision nodes included in the model structure (</w:t>
      </w:r>
      <w:r w:rsidR="00F53BD7" w:rsidRPr="0064109D">
        <w:fldChar w:fldCharType="begin"/>
      </w:r>
      <w:r w:rsidR="00F53BD7" w:rsidRPr="0064109D">
        <w:instrText xml:space="preserve"> REF _Ref141802545 \h </w:instrText>
      </w:r>
      <w:r w:rsidR="00F53BD7" w:rsidRPr="0064109D">
        <w:fldChar w:fldCharType="separate"/>
      </w:r>
      <w:r w:rsidR="009D7CE9">
        <w:t xml:space="preserve">Figure </w:t>
      </w:r>
      <w:r w:rsidR="009D7CE9">
        <w:rPr>
          <w:noProof/>
        </w:rPr>
        <w:t>1</w:t>
      </w:r>
      <w:r w:rsidR="00F53BD7" w:rsidRPr="0064109D">
        <w:fldChar w:fldCharType="end"/>
      </w:r>
      <w:r w:rsidR="005528F8" w:rsidRPr="0064109D">
        <w:t>)</w:t>
      </w:r>
      <w:r w:rsidRPr="0064109D">
        <w:t xml:space="preserve"> </w:t>
      </w:r>
      <w:r w:rsidR="00ED0E1C">
        <w:t>did</w:t>
      </w:r>
      <w:r w:rsidR="00ED0E1C" w:rsidRPr="0064109D">
        <w:t xml:space="preserve"> </w:t>
      </w:r>
      <w:r w:rsidRPr="0064109D">
        <w:t>not accurately reflect the treatment pathway for preeclampsia. Repeat testing may be required</w:t>
      </w:r>
      <w:r w:rsidR="00E12F84" w:rsidRPr="0064109D">
        <w:t>,</w:t>
      </w:r>
      <w:r w:rsidRPr="0064109D">
        <w:t xml:space="preserve"> subject to a number of conditions in both Population 1 and 2, which </w:t>
      </w:r>
      <w:r w:rsidR="00ED0E1C">
        <w:t>was</w:t>
      </w:r>
      <w:r w:rsidR="00ED0E1C" w:rsidRPr="0064109D">
        <w:t xml:space="preserve"> </w:t>
      </w:r>
      <w:r w:rsidRPr="0064109D">
        <w:t xml:space="preserve">not reflected in the decision tree. Patients </w:t>
      </w:r>
      <w:r w:rsidR="00ED0E1C">
        <w:t>were</w:t>
      </w:r>
      <w:r w:rsidR="00ED0E1C" w:rsidRPr="0064109D">
        <w:t xml:space="preserve"> </w:t>
      </w:r>
      <w:r w:rsidRPr="0064109D">
        <w:t>categori</w:t>
      </w:r>
      <w:r w:rsidR="00E12F84" w:rsidRPr="0064109D">
        <w:t>se</w:t>
      </w:r>
      <w:r w:rsidRPr="0064109D">
        <w:t xml:space="preserve">d into high risk (requiring inpatient admission and monitoring) or low/intermediate risk (requiring outpatient monitoring only) after their initial test, with no possibility of changing categories throughout the course of their pregnancy. This </w:t>
      </w:r>
      <w:r w:rsidR="00ED0E1C">
        <w:t>was</w:t>
      </w:r>
      <w:r w:rsidR="00ED0E1C" w:rsidRPr="0064109D">
        <w:t xml:space="preserve"> </w:t>
      </w:r>
      <w:r w:rsidRPr="0064109D">
        <w:t>also inconsistent with the</w:t>
      </w:r>
      <w:r w:rsidR="00993F72" w:rsidRPr="0064109D">
        <w:t xml:space="preserve"> </w:t>
      </w:r>
      <w:r w:rsidRPr="0064109D">
        <w:t xml:space="preserve">average </w:t>
      </w:r>
      <w:r w:rsidR="000F4C4A" w:rsidRPr="0064109D">
        <w:t>of</w:t>
      </w:r>
      <w:r w:rsidRPr="0064109D">
        <w:t xml:space="preserve"> 1.7 tests per </w:t>
      </w:r>
      <w:r w:rsidR="00AE577F">
        <w:t>pregnancy</w:t>
      </w:r>
      <w:r w:rsidRPr="0064109D">
        <w:t xml:space="preserve">, which </w:t>
      </w:r>
      <w:r w:rsidR="00ED0E1C">
        <w:t>was</w:t>
      </w:r>
      <w:r w:rsidR="00ED0E1C" w:rsidRPr="0064109D">
        <w:t xml:space="preserve"> </w:t>
      </w:r>
      <w:r w:rsidR="0088236B">
        <w:t xml:space="preserve">based on </w:t>
      </w:r>
      <w:r w:rsidRPr="0064109D">
        <w:t xml:space="preserve">unreferenced and undescribed </w:t>
      </w:r>
      <w:r w:rsidR="0088236B">
        <w:t xml:space="preserve">audit data </w:t>
      </w:r>
      <w:r w:rsidR="00023ADD" w:rsidRPr="0064109D">
        <w:t xml:space="preserve">in the </w:t>
      </w:r>
      <w:r w:rsidR="0088236B">
        <w:t>ADAR</w:t>
      </w:r>
      <w:r w:rsidRPr="0064109D">
        <w:t xml:space="preserve">. The </w:t>
      </w:r>
      <w:r w:rsidR="00F91202">
        <w:t>commentary</w:t>
      </w:r>
      <w:r w:rsidRPr="0064109D">
        <w:t xml:space="preserve"> </w:t>
      </w:r>
      <w:r w:rsidR="0088236B">
        <w:t>considered</w:t>
      </w:r>
      <w:r w:rsidR="0088236B" w:rsidRPr="0064109D">
        <w:t xml:space="preserve"> </w:t>
      </w:r>
      <w:r w:rsidRPr="0064109D">
        <w:t>the model structure should enable low</w:t>
      </w:r>
      <w:r w:rsidR="0080651B" w:rsidRPr="0064109D">
        <w:t>-</w:t>
      </w:r>
      <w:r w:rsidRPr="0064109D">
        <w:t>, intermediate</w:t>
      </w:r>
      <w:r w:rsidR="0080651B" w:rsidRPr="0064109D">
        <w:t>-</w:t>
      </w:r>
      <w:r w:rsidR="00993F72" w:rsidRPr="0064109D">
        <w:t xml:space="preserve">, </w:t>
      </w:r>
      <w:r w:rsidRPr="0064109D">
        <w:t>and high</w:t>
      </w:r>
      <w:r w:rsidR="0080651B" w:rsidRPr="0064109D">
        <w:t>-</w:t>
      </w:r>
      <w:r w:rsidRPr="0064109D">
        <w:t xml:space="preserve">risk patients to have inpatient and outpatient monitoring, </w:t>
      </w:r>
      <w:r w:rsidR="001678CA" w:rsidRPr="0064109D">
        <w:t>as</w:t>
      </w:r>
      <w:r w:rsidRPr="0064109D">
        <w:t xml:space="preserve"> the proportion of admitted or non-admitted </w:t>
      </w:r>
      <w:r w:rsidR="00665078" w:rsidRPr="0064109D">
        <w:t xml:space="preserve">people </w:t>
      </w:r>
      <w:r w:rsidRPr="0064109D">
        <w:t xml:space="preserve">would vary dependent on the outcomes of </w:t>
      </w:r>
      <w:r w:rsidR="000963A1">
        <w:t>the</w:t>
      </w:r>
      <w:r w:rsidR="000963A1" w:rsidRPr="0064109D">
        <w:t xml:space="preserve"> </w:t>
      </w:r>
      <w:r w:rsidR="001678CA" w:rsidRPr="00673EBB">
        <w:t xml:space="preserve">sFlt-1:PlGF </w:t>
      </w:r>
      <w:r w:rsidR="001678CA">
        <w:t>ratio test</w:t>
      </w:r>
      <w:r w:rsidRPr="0064109D">
        <w:t>.</w:t>
      </w:r>
      <w:r w:rsidR="001678CA" w:rsidRPr="0064109D">
        <w:t xml:space="preserve"> Furthermore, the </w:t>
      </w:r>
      <w:r w:rsidR="00993F72" w:rsidRPr="0064109D">
        <w:t>failure to include</w:t>
      </w:r>
      <w:r w:rsidR="001678CA" w:rsidRPr="0064109D">
        <w:t xml:space="preserve"> </w:t>
      </w:r>
      <w:r w:rsidR="002B5B49" w:rsidRPr="0064109D">
        <w:t xml:space="preserve">both maternal and </w:t>
      </w:r>
      <w:r w:rsidR="00561105">
        <w:t>fetal</w:t>
      </w:r>
      <w:r w:rsidR="002B5B49" w:rsidRPr="0064109D">
        <w:t xml:space="preserve"> adverse outcomes</w:t>
      </w:r>
      <w:r w:rsidR="00993F72" w:rsidRPr="0064109D">
        <w:t>,</w:t>
      </w:r>
      <w:r w:rsidR="002B5B49" w:rsidRPr="0064109D">
        <w:t xml:space="preserve"> and </w:t>
      </w:r>
      <w:r w:rsidR="00993F72" w:rsidRPr="0064109D">
        <w:t xml:space="preserve">the </w:t>
      </w:r>
      <w:r w:rsidR="002B5B49" w:rsidRPr="0064109D">
        <w:t>associated costs and health outcomes</w:t>
      </w:r>
      <w:r w:rsidR="00993F72" w:rsidRPr="0064109D">
        <w:t>,</w:t>
      </w:r>
      <w:r w:rsidR="002B5B49" w:rsidRPr="0064109D">
        <w:t xml:space="preserve"> </w:t>
      </w:r>
      <w:r w:rsidR="000963A1">
        <w:t>was</w:t>
      </w:r>
      <w:r w:rsidR="000963A1" w:rsidRPr="0064109D">
        <w:t xml:space="preserve"> </w:t>
      </w:r>
      <w:r w:rsidR="002B5B49" w:rsidRPr="0064109D">
        <w:t xml:space="preserve">a significant oversight given the heterogeneity in the presented evidence around </w:t>
      </w:r>
      <w:r w:rsidR="008C6C17" w:rsidRPr="0064109D">
        <w:t xml:space="preserve">incorrect hospital discharge following </w:t>
      </w:r>
      <w:r w:rsidR="008C6C17" w:rsidRPr="00673EBB">
        <w:t xml:space="preserve">sFlt-1:PlGF </w:t>
      </w:r>
      <w:r w:rsidR="008C6C17">
        <w:t>ratio testing.</w:t>
      </w:r>
      <w:r w:rsidR="009A2685" w:rsidRPr="000A7A32">
        <w:t xml:space="preserve"> </w:t>
      </w:r>
      <w:r w:rsidR="004756AA">
        <w:t>As a result,</w:t>
      </w:r>
      <w:r w:rsidR="00C745F7">
        <w:t xml:space="preserve"> it </w:t>
      </w:r>
      <w:r w:rsidR="000963A1">
        <w:t>was</w:t>
      </w:r>
      <w:r w:rsidR="00C745F7">
        <w:t xml:space="preserve"> unlikely that</w:t>
      </w:r>
      <w:r w:rsidR="004756AA">
        <w:t xml:space="preserve"> t</w:t>
      </w:r>
      <w:r w:rsidR="002932C9" w:rsidRPr="000A7A32">
        <w:t xml:space="preserve">he comparative change in management arising from testing </w:t>
      </w:r>
      <w:r w:rsidR="00503B28">
        <w:t xml:space="preserve">was </w:t>
      </w:r>
      <w:r w:rsidR="002932C9" w:rsidRPr="000A7A32">
        <w:t>adequately captured</w:t>
      </w:r>
      <w:r w:rsidR="00FD3B0B">
        <w:t xml:space="preserve">, as the </w:t>
      </w:r>
      <w:r w:rsidR="004A6517">
        <w:t>intended use of the intervention is to reduce the number</w:t>
      </w:r>
      <w:r w:rsidR="0027076D">
        <w:t xml:space="preserve"> </w:t>
      </w:r>
      <w:r w:rsidR="004A6517">
        <w:t xml:space="preserve">of </w:t>
      </w:r>
      <w:r w:rsidR="0027076D">
        <w:t xml:space="preserve">inappropriate admissions </w:t>
      </w:r>
      <w:r w:rsidR="006E025A">
        <w:t>given the test’s sensitivity</w:t>
      </w:r>
      <w:r w:rsidR="00ED630F">
        <w:t>.</w:t>
      </w:r>
    </w:p>
    <w:p w14:paraId="7DD206A3" w14:textId="19B909A7" w:rsidR="003F4267" w:rsidRDefault="003F4267" w:rsidP="003F4267">
      <w:pPr>
        <w:rPr>
          <w:lang w:val="en-US"/>
        </w:rPr>
      </w:pPr>
    </w:p>
    <w:p w14:paraId="7D5594E5" w14:textId="4904284D" w:rsidR="003F4267" w:rsidRDefault="003F4267" w:rsidP="003F4267">
      <w:pPr>
        <w:keepNext/>
      </w:pPr>
      <w:r>
        <w:rPr>
          <w:noProof/>
          <w:lang w:val="en-US"/>
        </w:rPr>
        <w:drawing>
          <wp:inline distT="0" distB="0" distL="0" distR="0" wp14:anchorId="2CBC5255" wp14:editId="541F6CBF">
            <wp:extent cx="9097135" cy="4686069"/>
            <wp:effectExtent l="0" t="0" r="0" b="635"/>
            <wp:docPr id="214540865" name="Picture 214540865" descr="Model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40865" name="Picture 214540865" descr="Model structur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21046" cy="4698386"/>
                    </a:xfrm>
                    <a:prstGeom prst="rect">
                      <a:avLst/>
                    </a:prstGeom>
                    <a:noFill/>
                  </pic:spPr>
                </pic:pic>
              </a:graphicData>
            </a:graphic>
          </wp:inline>
        </w:drawing>
      </w:r>
    </w:p>
    <w:p w14:paraId="573E14CB" w14:textId="7380C88B" w:rsidR="003F4267" w:rsidRDefault="003F4267" w:rsidP="003F4267">
      <w:pPr>
        <w:pStyle w:val="Caption"/>
      </w:pPr>
      <w:bookmarkStart w:id="23" w:name="_Ref141802545"/>
      <w:r>
        <w:t xml:space="preserve">Figure </w:t>
      </w:r>
      <w:r w:rsidR="009C163C">
        <w:fldChar w:fldCharType="begin"/>
      </w:r>
      <w:r w:rsidR="009C163C">
        <w:instrText xml:space="preserve"> SEQ Figure \* ARABIC </w:instrText>
      </w:r>
      <w:r w:rsidR="009C163C">
        <w:fldChar w:fldCharType="separate"/>
      </w:r>
      <w:r w:rsidR="009D7CE9">
        <w:rPr>
          <w:noProof/>
        </w:rPr>
        <w:t>1</w:t>
      </w:r>
      <w:r w:rsidR="009C163C">
        <w:rPr>
          <w:noProof/>
        </w:rPr>
        <w:fldChar w:fldCharType="end"/>
      </w:r>
      <w:bookmarkEnd w:id="23"/>
      <w:r>
        <w:t xml:space="preserve"> Model structure </w:t>
      </w:r>
    </w:p>
    <w:p w14:paraId="03B0967A" w14:textId="4096F4D4" w:rsidR="003F4267" w:rsidRPr="00D72986" w:rsidRDefault="00D62649" w:rsidP="00D72986">
      <w:pPr>
        <w:pStyle w:val="Tablenotes0"/>
      </w:pPr>
      <w:r w:rsidRPr="00D62649">
        <w:rPr>
          <w:b/>
          <w:bCs/>
          <w:u w:val="single"/>
        </w:rPr>
        <w:t>Source</w:t>
      </w:r>
      <w:r w:rsidR="00B013B1" w:rsidRPr="00C577B3">
        <w:rPr>
          <w:b/>
          <w:bCs/>
          <w:szCs w:val="18"/>
        </w:rPr>
        <w:t>:</w:t>
      </w:r>
      <w:r w:rsidR="00B013B1">
        <w:rPr>
          <w:b/>
          <w:bCs/>
          <w:szCs w:val="18"/>
        </w:rPr>
        <w:t xml:space="preserve"> </w:t>
      </w:r>
      <w:r w:rsidR="003648B9">
        <w:t xml:space="preserve">ADAR </w:t>
      </w:r>
      <w:r>
        <w:t>Figure</w:t>
      </w:r>
      <w:r w:rsidR="00D72986">
        <w:t xml:space="preserve"> 16</w:t>
      </w:r>
    </w:p>
    <w:p w14:paraId="311A70D3" w14:textId="77777777" w:rsidR="00B77C5E" w:rsidRDefault="00B77C5E" w:rsidP="003F4267">
      <w:pPr>
        <w:rPr>
          <w:lang w:val="en-US"/>
        </w:rPr>
        <w:sectPr w:rsidR="00B77C5E" w:rsidSect="009D7CE9">
          <w:pgSz w:w="16838" w:h="11906" w:orient="landscape"/>
          <w:pgMar w:top="1440" w:right="1440" w:bottom="1440" w:left="1440" w:header="709" w:footer="709" w:gutter="0"/>
          <w:cols w:space="708"/>
          <w:docGrid w:linePitch="360"/>
        </w:sectPr>
      </w:pPr>
    </w:p>
    <w:p w14:paraId="28897AEC" w14:textId="58B10080" w:rsidR="003F4267" w:rsidRDefault="003F4267" w:rsidP="003F4267">
      <w:r>
        <w:rPr>
          <w:lang w:val="en-US"/>
        </w:rPr>
        <w:lastRenderedPageBreak/>
        <w:t xml:space="preserve">All transition probabilities were derived from Suresh et al </w:t>
      </w:r>
      <w:r w:rsidR="00686A44">
        <w:t>2020</w:t>
      </w:r>
      <w:r>
        <w:t xml:space="preserve">, and the </w:t>
      </w:r>
      <w:r w:rsidR="000963A1">
        <w:t xml:space="preserve">ADAR </w:t>
      </w:r>
      <w:r>
        <w:t>stated that low risk of bias was expected given the use of a single source for clinical inputs</w:t>
      </w:r>
      <w:r w:rsidR="00B97EE0">
        <w:t>;</w:t>
      </w:r>
      <w:r>
        <w:t xml:space="preserve"> </w:t>
      </w:r>
      <w:r w:rsidR="00B97EE0">
        <w:t>h</w:t>
      </w:r>
      <w:r>
        <w:t xml:space="preserve">owever, this study </w:t>
      </w:r>
      <w:r w:rsidR="00DA35D8">
        <w:t xml:space="preserve">was evaluated to be </w:t>
      </w:r>
      <w:r>
        <w:t xml:space="preserve">moderate risk of bias. The </w:t>
      </w:r>
      <w:r w:rsidR="00F91202">
        <w:t>commentary</w:t>
      </w:r>
      <w:r>
        <w:t xml:space="preserve"> </w:t>
      </w:r>
      <w:r w:rsidR="001C563B">
        <w:t>consider</w:t>
      </w:r>
      <w:r w:rsidR="000963A1">
        <w:t>ed</w:t>
      </w:r>
      <w:r w:rsidR="001C563B">
        <w:t xml:space="preserve"> </w:t>
      </w:r>
      <w:r>
        <w:t xml:space="preserve">that, although the selected study </w:t>
      </w:r>
      <w:r w:rsidR="000963A1">
        <w:t xml:space="preserve">was </w:t>
      </w:r>
      <w:r>
        <w:t>favourable to the model results, the ROPE study ha</w:t>
      </w:r>
      <w:r w:rsidR="000963A1">
        <w:t>d</w:t>
      </w:r>
      <w:r>
        <w:t xml:space="preserve"> the largest study cohort of the presented evidence for a change in management</w:t>
      </w:r>
      <w:r w:rsidR="009A15F5">
        <w:t>;</w:t>
      </w:r>
      <w:r w:rsidR="00993F72">
        <w:t xml:space="preserve"> </w:t>
      </w:r>
      <w:r w:rsidR="009A15F5">
        <w:t>t</w:t>
      </w:r>
      <w:r>
        <w:t>herefore</w:t>
      </w:r>
      <w:r w:rsidR="00993F72">
        <w:t>, it</w:t>
      </w:r>
      <w:r>
        <w:t xml:space="preserve"> remain</w:t>
      </w:r>
      <w:r w:rsidR="000963A1">
        <w:t>ed</w:t>
      </w:r>
      <w:r>
        <w:t xml:space="preserve"> a suitable choice, despite the risk of bias that </w:t>
      </w:r>
      <w:r w:rsidR="00DC329D">
        <w:t xml:space="preserve">came </w:t>
      </w:r>
      <w:r>
        <w:t xml:space="preserve">with a retrospective </w:t>
      </w:r>
      <w:r w:rsidR="005266CB">
        <w:t>(</w:t>
      </w:r>
      <w:r>
        <w:t>historical</w:t>
      </w:r>
      <w:r w:rsidR="005266CB">
        <w:t>)</w:t>
      </w:r>
      <w:r>
        <w:t xml:space="preserve"> study design. </w:t>
      </w:r>
    </w:p>
    <w:p w14:paraId="3D3D76D8" w14:textId="2175B066" w:rsidR="003F4267" w:rsidRDefault="003F4267" w:rsidP="003F4267">
      <w:r>
        <w:t>As f</w:t>
      </w:r>
      <w:r w:rsidR="00E45865">
        <w:t>or</w:t>
      </w:r>
      <w:r>
        <w:t xml:space="preserve"> the </w:t>
      </w:r>
      <w:r w:rsidR="00C93864">
        <w:t xml:space="preserve">ADAR’s </w:t>
      </w:r>
      <w:r>
        <w:t>other inputs and structural choices, the</w:t>
      </w:r>
      <w:r w:rsidR="00023879">
        <w:t xml:space="preserve"> commentary considered the</w:t>
      </w:r>
      <w:r>
        <w:t xml:space="preserve"> analysis was broadly acceptable with a number of limitations, which can </w:t>
      </w:r>
      <w:r>
        <w:rPr>
          <w:lang w:val="en-US"/>
        </w:rPr>
        <w:t>be attributed to the erroneous choice of model structure in line with the PICO criteria</w:t>
      </w:r>
      <w:r w:rsidR="00993F72">
        <w:rPr>
          <w:lang w:val="en-US"/>
        </w:rPr>
        <w:t>:</w:t>
      </w:r>
    </w:p>
    <w:p w14:paraId="7A04FE67" w14:textId="45EFA1FE" w:rsidR="003F4267" w:rsidRPr="00E72C9A" w:rsidRDefault="003F4267" w:rsidP="00C77517">
      <w:pPr>
        <w:pStyle w:val="ListParagraph"/>
        <w:ind w:left="851" w:hanging="491"/>
        <w:rPr>
          <w:lang w:val="en-US"/>
        </w:rPr>
      </w:pPr>
      <w:r>
        <w:t>The comparator may not be reflective of current clinical management in Australia</w:t>
      </w:r>
      <w:r w:rsidR="00993F72">
        <w:t>.</w:t>
      </w:r>
    </w:p>
    <w:p w14:paraId="2CA0AFA1" w14:textId="59E82C56" w:rsidR="003F4267" w:rsidRDefault="003F4267" w:rsidP="00C77517">
      <w:pPr>
        <w:pStyle w:val="ListParagraph"/>
        <w:ind w:left="851" w:hanging="491"/>
        <w:rPr>
          <w:lang w:val="en-US"/>
        </w:rPr>
      </w:pPr>
      <w:r>
        <w:rPr>
          <w:lang w:val="en-US"/>
        </w:rPr>
        <w:t xml:space="preserve">The time horizon of 15 weeks </w:t>
      </w:r>
      <w:r w:rsidR="00C736CD">
        <w:rPr>
          <w:lang w:val="en-US"/>
        </w:rPr>
        <w:t xml:space="preserve">and absence of discounting of costs and benefits </w:t>
      </w:r>
      <w:r w:rsidR="00DC329D">
        <w:rPr>
          <w:lang w:val="en-US"/>
        </w:rPr>
        <w:t>was</w:t>
      </w:r>
      <w:r w:rsidR="00783632">
        <w:rPr>
          <w:lang w:val="en-US"/>
        </w:rPr>
        <w:t xml:space="preserve"> appropriate given the selected model structure (decision tree</w:t>
      </w:r>
      <w:r w:rsidR="008F3C09">
        <w:rPr>
          <w:lang w:val="en-US"/>
        </w:rPr>
        <w:t>)</w:t>
      </w:r>
      <w:r w:rsidR="00026981">
        <w:rPr>
          <w:lang w:val="en-US"/>
        </w:rPr>
        <w:t>;</w:t>
      </w:r>
      <w:r w:rsidR="00783632">
        <w:rPr>
          <w:lang w:val="en-US"/>
        </w:rPr>
        <w:t xml:space="preserve"> </w:t>
      </w:r>
      <w:r w:rsidR="00026981">
        <w:rPr>
          <w:lang w:val="en-US"/>
        </w:rPr>
        <w:t>h</w:t>
      </w:r>
      <w:r w:rsidR="00783632">
        <w:rPr>
          <w:lang w:val="en-US"/>
        </w:rPr>
        <w:t>owever</w:t>
      </w:r>
      <w:r w:rsidR="008F3C09">
        <w:rPr>
          <w:lang w:val="en-US"/>
        </w:rPr>
        <w:t>,</w:t>
      </w:r>
      <w:r w:rsidR="00DE4B87">
        <w:rPr>
          <w:lang w:val="en-US"/>
        </w:rPr>
        <w:t xml:space="preserve"> the </w:t>
      </w:r>
      <w:r w:rsidR="00F91202">
        <w:rPr>
          <w:lang w:val="en-US"/>
        </w:rPr>
        <w:t>commentary</w:t>
      </w:r>
      <w:r w:rsidR="00DE4B87">
        <w:rPr>
          <w:lang w:val="en-US"/>
        </w:rPr>
        <w:t xml:space="preserve"> consider</w:t>
      </w:r>
      <w:r w:rsidR="00DC329D">
        <w:rPr>
          <w:lang w:val="en-US"/>
        </w:rPr>
        <w:t>ed</w:t>
      </w:r>
      <w:r w:rsidR="00DE4B87">
        <w:rPr>
          <w:lang w:val="en-US"/>
        </w:rPr>
        <w:t xml:space="preserve"> this to be an additional limitation given the model </w:t>
      </w:r>
      <w:r w:rsidR="00DC329D">
        <w:rPr>
          <w:lang w:val="en-US"/>
        </w:rPr>
        <w:t>did</w:t>
      </w:r>
      <w:r w:rsidR="00DE4B87">
        <w:rPr>
          <w:lang w:val="en-US"/>
        </w:rPr>
        <w:t xml:space="preserve"> not capture long-term costs and effects</w:t>
      </w:r>
      <w:r w:rsidR="00993F72">
        <w:rPr>
          <w:lang w:val="en-US"/>
        </w:rPr>
        <w:t>.</w:t>
      </w:r>
    </w:p>
    <w:p w14:paraId="44DE28E5" w14:textId="770F295C" w:rsidR="003F4267" w:rsidRPr="009F0AE0" w:rsidRDefault="003F4267" w:rsidP="00C77517">
      <w:pPr>
        <w:pStyle w:val="ListParagraph"/>
        <w:ind w:left="851" w:hanging="491"/>
        <w:rPr>
          <w:lang w:val="en-US"/>
        </w:rPr>
      </w:pPr>
      <w:r w:rsidRPr="00953F0C">
        <w:rPr>
          <w:lang w:val="en-US"/>
        </w:rPr>
        <w:t xml:space="preserve">The transition probabilities from Suresh et al </w:t>
      </w:r>
      <w:r w:rsidR="00DC329D">
        <w:rPr>
          <w:lang w:val="en-US"/>
        </w:rPr>
        <w:t>we</w:t>
      </w:r>
      <w:r w:rsidR="00312195">
        <w:rPr>
          <w:lang w:val="en-US"/>
        </w:rPr>
        <w:t>re</w:t>
      </w:r>
      <w:r w:rsidR="00312195" w:rsidRPr="00953F0C">
        <w:rPr>
          <w:lang w:val="en-US"/>
        </w:rPr>
        <w:t xml:space="preserve"> </w:t>
      </w:r>
      <w:r w:rsidRPr="00953F0C">
        <w:rPr>
          <w:lang w:val="en-US"/>
        </w:rPr>
        <w:t xml:space="preserve">not sufficiently granular for modelling patient outcomes, although they </w:t>
      </w:r>
      <w:r w:rsidR="00DF1B5F">
        <w:rPr>
          <w:lang w:val="en-US"/>
        </w:rPr>
        <w:t>were</w:t>
      </w:r>
      <w:r w:rsidRPr="00953F0C">
        <w:rPr>
          <w:lang w:val="en-US"/>
        </w:rPr>
        <w:t xml:space="preserve"> adequately derived and applied in the model</w:t>
      </w:r>
      <w:r w:rsidR="00993F72">
        <w:rPr>
          <w:lang w:val="en-US"/>
        </w:rPr>
        <w:t>.</w:t>
      </w:r>
    </w:p>
    <w:p w14:paraId="41A55FE0" w14:textId="6A6BCE81" w:rsidR="0025152D" w:rsidRPr="001B3DCC" w:rsidRDefault="0025152D" w:rsidP="00461848">
      <w:pPr>
        <w:pStyle w:val="Heading3"/>
      </w:pPr>
      <w:r w:rsidRPr="000853A9">
        <w:t>Model input</w:t>
      </w:r>
      <w:r w:rsidR="005766FE" w:rsidRPr="000853A9">
        <w:t>s</w:t>
      </w:r>
    </w:p>
    <w:p w14:paraId="3D1DDD84" w14:textId="0E35F45E" w:rsidR="00353F09" w:rsidRDefault="002E5128" w:rsidP="002E5128">
      <w:pPr>
        <w:spacing w:before="0" w:after="0" w:line="240" w:lineRule="auto"/>
      </w:pPr>
      <w:r>
        <w:t xml:space="preserve">A second </w:t>
      </w:r>
      <w:r w:rsidR="00EB719E">
        <w:t>SLR</w:t>
      </w:r>
      <w:r>
        <w:t xml:space="preserve"> </w:t>
      </w:r>
      <w:r w:rsidR="00DF1B5F">
        <w:t>wa</w:t>
      </w:r>
      <w:r>
        <w:t xml:space="preserve">s presented in the ADAR to assess relevant economic evaluations. The search was conducted on 14 April 2023. Search terms and methodology </w:t>
      </w:r>
      <w:r w:rsidR="00DF1B5F">
        <w:t>we</w:t>
      </w:r>
      <w:r>
        <w:t>re presented. As with the clinical SLR, database searches were not presented individually</w:t>
      </w:r>
      <w:r w:rsidR="00993F72">
        <w:t xml:space="preserve">; </w:t>
      </w:r>
      <w:r>
        <w:t>as such</w:t>
      </w:r>
      <w:r w:rsidR="00993F72">
        <w:t>,</w:t>
      </w:r>
      <w:r>
        <w:t xml:space="preserve"> </w:t>
      </w:r>
      <w:r w:rsidR="00241B57">
        <w:t xml:space="preserve">the commentary considered that </w:t>
      </w:r>
      <w:r>
        <w:t xml:space="preserve">controlled vocabulary or thesaurus terms </w:t>
      </w:r>
      <w:r w:rsidR="00DF1B5F">
        <w:t xml:space="preserve">had </w:t>
      </w:r>
      <w:r>
        <w:t xml:space="preserve">not been specifically tailored </w:t>
      </w:r>
      <w:r w:rsidRPr="00127510">
        <w:t>and optimi</w:t>
      </w:r>
      <w:r w:rsidR="00993F72">
        <w:t>s</w:t>
      </w:r>
      <w:r w:rsidRPr="00127510">
        <w:t>ed for individual databases,</w:t>
      </w:r>
      <w:r w:rsidRPr="004A668E">
        <w:rPr>
          <w:i/>
          <w:iCs/>
        </w:rPr>
        <w:t xml:space="preserve"> </w:t>
      </w:r>
      <w:r w:rsidR="00993F72">
        <w:t>meaning relevant</w:t>
      </w:r>
      <w:r w:rsidRPr="00127510">
        <w:t xml:space="preserve"> references may have been overlooked in the searches. A total of 6 publications were included, all of which presented cost </w:t>
      </w:r>
      <w:r w:rsidR="001233EF">
        <w:t>comparison</w:t>
      </w:r>
      <w:r w:rsidR="001233EF" w:rsidRPr="00127510">
        <w:t xml:space="preserve"> </w:t>
      </w:r>
      <w:r w:rsidRPr="00127510">
        <w:t>economic evaluations. The ADAR state</w:t>
      </w:r>
      <w:r w:rsidR="00DF1B5F">
        <w:t>d</w:t>
      </w:r>
      <w:r w:rsidRPr="00127510">
        <w:t xml:space="preserve"> </w:t>
      </w:r>
      <w:r w:rsidR="00993F72">
        <w:t xml:space="preserve">that </w:t>
      </w:r>
      <w:r w:rsidRPr="00127510">
        <w:t>no published economic evaluations unde</w:t>
      </w:r>
      <w:r w:rsidR="00993F72">
        <w:t>r</w:t>
      </w:r>
      <w:r w:rsidRPr="00127510">
        <w:t xml:space="preserve">took cost-utility analysis or reported incremental cost per </w:t>
      </w:r>
      <w:r w:rsidR="004E58B6">
        <w:t>QALY</w:t>
      </w:r>
      <w:r w:rsidRPr="00127510">
        <w:t xml:space="preserve">s. The SLR did not identify </w:t>
      </w:r>
      <w:r w:rsidR="006D3023">
        <w:t>Health Technology Assessment (</w:t>
      </w:r>
      <w:r w:rsidRPr="00127510">
        <w:t>HTA</w:t>
      </w:r>
      <w:r w:rsidR="006D3023">
        <w:t>)</w:t>
      </w:r>
      <w:r w:rsidRPr="00127510">
        <w:t xml:space="preserve"> submissions</w:t>
      </w:r>
      <w:r w:rsidR="00993F72">
        <w:t>, meaning</w:t>
      </w:r>
      <w:r w:rsidRPr="00127510">
        <w:t xml:space="preserve"> the cost</w:t>
      </w:r>
      <w:r w:rsidR="006C30B3">
        <w:t>-</w:t>
      </w:r>
      <w:r w:rsidRPr="00127510">
        <w:t>utility analysis by the NICE Decision Support Unit conducted as part of the assessment for sFlt-1:PlGF ratio test in England</w:t>
      </w:r>
      <w:r w:rsidR="00993F72">
        <w:t xml:space="preserve"> was, notably, excluded</w:t>
      </w:r>
      <w:r w:rsidRPr="00127510">
        <w:t xml:space="preserve">. This </w:t>
      </w:r>
      <w:r w:rsidR="00606DD0">
        <w:t xml:space="preserve">analysis not only </w:t>
      </w:r>
      <w:r w:rsidRPr="00127510">
        <w:t>demonstrate</w:t>
      </w:r>
      <w:r w:rsidR="00606DD0">
        <w:t>d</w:t>
      </w:r>
      <w:r w:rsidRPr="00127510">
        <w:t xml:space="preserve"> the feasibility of a cost</w:t>
      </w:r>
      <w:r>
        <w:t>-utility analysis</w:t>
      </w:r>
      <w:r w:rsidR="00606DD0">
        <w:t>, but also</w:t>
      </w:r>
      <w:r>
        <w:t xml:space="preserve"> conclude</w:t>
      </w:r>
      <w:r w:rsidR="0081096A">
        <w:t>d that</w:t>
      </w:r>
      <w:r>
        <w:t xml:space="preserve"> </w:t>
      </w:r>
      <w:r w:rsidR="0081096A" w:rsidRPr="0081096A">
        <w:t>sFlt-1:PlGF ratio test</w:t>
      </w:r>
      <w:r w:rsidR="0081096A">
        <w:t xml:space="preserve">ing would result in </w:t>
      </w:r>
      <w:r>
        <w:t xml:space="preserve">a small increase in </w:t>
      </w:r>
      <w:r w:rsidR="004E58B6">
        <w:t>QALY</w:t>
      </w:r>
      <w:r>
        <w:t xml:space="preserve">s gained versus current clinical management in </w:t>
      </w:r>
      <w:r w:rsidR="005F399A">
        <w:t>England</w:t>
      </w:r>
      <w:r>
        <w:t xml:space="preserve">. </w:t>
      </w:r>
      <w:r w:rsidR="001D2248" w:rsidRPr="001814C5">
        <w:t xml:space="preserve">Assuming </w:t>
      </w:r>
      <w:r w:rsidR="00444C5B" w:rsidRPr="001814C5">
        <w:t xml:space="preserve">a QALY gain equivalent to that reported in </w:t>
      </w:r>
      <w:r w:rsidR="00C708D9" w:rsidRPr="001814C5">
        <w:t xml:space="preserve">the </w:t>
      </w:r>
      <w:r w:rsidR="00444C5B" w:rsidRPr="001814C5">
        <w:t xml:space="preserve">NICE </w:t>
      </w:r>
      <w:r w:rsidR="00352DEB">
        <w:t>Decision Support Unit</w:t>
      </w:r>
      <w:r w:rsidR="00352DEB" w:rsidRPr="001814C5">
        <w:t xml:space="preserve"> </w:t>
      </w:r>
      <w:r w:rsidR="00C708D9" w:rsidRPr="001814C5">
        <w:t xml:space="preserve">model </w:t>
      </w:r>
      <w:r w:rsidR="00F16C3C" w:rsidRPr="001814C5">
        <w:t>(</w:t>
      </w:r>
      <w:r w:rsidR="005C012B" w:rsidRPr="001814C5">
        <w:t>0.</w:t>
      </w:r>
      <w:r w:rsidR="00A021D9" w:rsidRPr="001814C5">
        <w:t xml:space="preserve">0029 to </w:t>
      </w:r>
      <w:r w:rsidR="005C012B" w:rsidRPr="001814C5">
        <w:t>0.0046</w:t>
      </w:r>
      <w:r w:rsidR="00974A1B" w:rsidRPr="001814C5">
        <w:t>)</w:t>
      </w:r>
      <w:r w:rsidR="00C838BC" w:rsidRPr="001814C5">
        <w:t xml:space="preserve">, the resulting ICER </w:t>
      </w:r>
      <w:r w:rsidR="00974A1B" w:rsidRPr="001814C5">
        <w:t xml:space="preserve">for an incremental cost of </w:t>
      </w:r>
      <w:r w:rsidR="00987BB7">
        <w:t>-</w:t>
      </w:r>
      <w:r w:rsidR="00974A1B" w:rsidRPr="001814C5">
        <w:t>$873</w:t>
      </w:r>
      <w:r w:rsidR="005B01A6" w:rsidRPr="001814C5">
        <w:t xml:space="preserve"> </w:t>
      </w:r>
      <w:r w:rsidR="00FB4A29">
        <w:t>wa</w:t>
      </w:r>
      <w:r w:rsidR="005B01A6" w:rsidRPr="001814C5">
        <w:t xml:space="preserve">s </w:t>
      </w:r>
      <w:r w:rsidR="002157C3" w:rsidRPr="002157C3">
        <w:t>sFlt-1:PlGF ratio test</w:t>
      </w:r>
      <w:r w:rsidR="00483592">
        <w:t xml:space="preserve">ing </w:t>
      </w:r>
      <w:r w:rsidR="00FB4A29">
        <w:t>wa</w:t>
      </w:r>
      <w:r w:rsidR="00483592">
        <w:t>s a dominant strategy</w:t>
      </w:r>
      <w:r w:rsidR="003B0393">
        <w:t xml:space="preserve"> (</w:t>
      </w:r>
      <w:r w:rsidR="00702B44">
        <w:t>i.e. more effective and less costly)</w:t>
      </w:r>
      <w:r w:rsidR="00F32A45">
        <w:t>;</w:t>
      </w:r>
      <w:r w:rsidR="00BC43D6">
        <w:t xml:space="preserve"> </w:t>
      </w:r>
      <w:r w:rsidR="00F32A45">
        <w:t>h</w:t>
      </w:r>
      <w:r w:rsidR="00BC43D6" w:rsidRPr="001814C5">
        <w:t xml:space="preserve">owever, as long-term </w:t>
      </w:r>
      <w:r w:rsidR="00483592">
        <w:t xml:space="preserve">costs and health </w:t>
      </w:r>
      <w:r w:rsidR="00BC43D6" w:rsidRPr="001814C5">
        <w:t xml:space="preserve">outcomes </w:t>
      </w:r>
      <w:r w:rsidR="00ED32A7">
        <w:t>we</w:t>
      </w:r>
      <w:r w:rsidR="00BC43D6" w:rsidRPr="001814C5">
        <w:t xml:space="preserve">re not accounted for, </w:t>
      </w:r>
      <w:r w:rsidR="004B32D6" w:rsidRPr="001814C5">
        <w:t xml:space="preserve">the true ICER of this economic evaluation </w:t>
      </w:r>
      <w:r w:rsidR="0040602E">
        <w:t>may be</w:t>
      </w:r>
      <w:r w:rsidR="004B32D6" w:rsidRPr="001814C5">
        <w:t xml:space="preserve"> </w:t>
      </w:r>
      <w:r w:rsidR="002B2F72" w:rsidRPr="001814C5">
        <w:t>in the north-east quadrant of the cost-effectiveness plane</w:t>
      </w:r>
      <w:r w:rsidR="00E5519A" w:rsidRPr="0064109D">
        <w:t xml:space="preserve"> (</w:t>
      </w:r>
      <w:r w:rsidR="00C95BD8" w:rsidRPr="0064109D">
        <w:t>more effective and more costly)</w:t>
      </w:r>
      <w:r w:rsidR="0040602E">
        <w:t xml:space="preserve">, consistent with the analysis undertaken by the </w:t>
      </w:r>
      <w:r w:rsidR="0040602E" w:rsidRPr="00127510">
        <w:t>NICE Decision Support Unit</w:t>
      </w:r>
      <w:r w:rsidR="00D93E4F" w:rsidRPr="001814C5">
        <w:t>.</w:t>
      </w:r>
    </w:p>
    <w:p w14:paraId="408A87EF" w14:textId="6F283F79" w:rsidR="002E0EFB" w:rsidRPr="002E5128" w:rsidRDefault="00DC234A" w:rsidP="00FB4E2F">
      <w:pPr>
        <w:spacing w:after="0" w:line="240" w:lineRule="auto"/>
      </w:pPr>
      <w:r>
        <w:t xml:space="preserve">There </w:t>
      </w:r>
      <w:r w:rsidR="00181336">
        <w:t xml:space="preserve">was </w:t>
      </w:r>
      <w:r>
        <w:t>also significant uncertainty around the inputs used in the model</w:t>
      </w:r>
      <w:r w:rsidR="007951EB">
        <w:t xml:space="preserve">, as there </w:t>
      </w:r>
      <w:r w:rsidR="00181336">
        <w:t xml:space="preserve">were </w:t>
      </w:r>
      <w:r w:rsidR="007951EB">
        <w:t xml:space="preserve">large variations in </w:t>
      </w:r>
      <w:r w:rsidR="00A86BCC">
        <w:t xml:space="preserve">the </w:t>
      </w:r>
      <w:r w:rsidR="002F6169">
        <w:t>data on</w:t>
      </w:r>
      <w:r w:rsidR="00A86BCC">
        <w:t xml:space="preserve"> reductions in hospitali</w:t>
      </w:r>
      <w:r w:rsidR="007656BA">
        <w:t xml:space="preserve">sations as a result of </w:t>
      </w:r>
      <w:r w:rsidR="007656BA" w:rsidRPr="00127510">
        <w:t>sFlt-1:PlGF ratio test</w:t>
      </w:r>
      <w:r w:rsidR="007656BA">
        <w:t>ing (</w:t>
      </w:r>
      <w:r w:rsidR="00E76340">
        <w:t xml:space="preserve">72.6% </w:t>
      </w:r>
      <w:r w:rsidR="006E7242">
        <w:t xml:space="preserve">reduction </w:t>
      </w:r>
      <w:r w:rsidR="002846FB">
        <w:t xml:space="preserve">reported by Suresh et al 2020, </w:t>
      </w:r>
      <w:r w:rsidR="00EF4507">
        <w:t>16.2%</w:t>
      </w:r>
      <w:r w:rsidR="006E7242">
        <w:t xml:space="preserve"> reduction</w:t>
      </w:r>
      <w:r w:rsidR="00EF4507">
        <w:t xml:space="preserve"> reported by Klein et al 2016</w:t>
      </w:r>
      <w:r w:rsidR="002F6169">
        <w:t xml:space="preserve">, </w:t>
      </w:r>
      <w:r w:rsidR="00A575B8">
        <w:t xml:space="preserve">and a </w:t>
      </w:r>
      <w:r w:rsidR="00BE3BEA">
        <w:t>21.</w:t>
      </w:r>
      <w:r w:rsidR="00A575B8">
        <w:t>2</w:t>
      </w:r>
      <w:r w:rsidR="00BE3BEA">
        <w:t>% increase in hospitalisations</w:t>
      </w:r>
      <w:r w:rsidR="002F6169">
        <w:t xml:space="preserve"> </w:t>
      </w:r>
      <w:r w:rsidR="00A575B8">
        <w:t xml:space="preserve">observed in </w:t>
      </w:r>
      <w:r w:rsidR="002F6169">
        <w:t>INSPIRE</w:t>
      </w:r>
      <w:r w:rsidR="00BE3BEA">
        <w:t xml:space="preserve">). </w:t>
      </w:r>
      <w:r w:rsidR="00253C8E">
        <w:t xml:space="preserve">Although the </w:t>
      </w:r>
      <w:r w:rsidR="00547C4D">
        <w:t>commentary</w:t>
      </w:r>
      <w:r w:rsidR="00253C8E">
        <w:t xml:space="preserve"> </w:t>
      </w:r>
      <w:r w:rsidR="00181336">
        <w:t xml:space="preserve">considered </w:t>
      </w:r>
      <w:r w:rsidR="00253C8E">
        <w:t xml:space="preserve">the selected source (Suresh et al 2020) </w:t>
      </w:r>
      <w:r w:rsidR="00181336">
        <w:t xml:space="preserve">was </w:t>
      </w:r>
      <w:r w:rsidR="00253C8E">
        <w:t xml:space="preserve">appropriate and </w:t>
      </w:r>
      <w:r w:rsidR="00A579E6">
        <w:t xml:space="preserve">comparatively </w:t>
      </w:r>
      <w:r w:rsidR="00253C8E">
        <w:t xml:space="preserve">robust, </w:t>
      </w:r>
      <w:r w:rsidR="002E469A">
        <w:t>the results of the analysis should be interpreted with caution</w:t>
      </w:r>
      <w:r w:rsidR="0034605B">
        <w:t xml:space="preserve">, as the primary benefit of </w:t>
      </w:r>
      <w:r w:rsidR="0034605B" w:rsidRPr="00127510">
        <w:t>sFlt-1:PlGF ratio test</w:t>
      </w:r>
      <w:r w:rsidR="0034605B">
        <w:t xml:space="preserve">ing </w:t>
      </w:r>
      <w:r w:rsidR="00181336">
        <w:t xml:space="preserve">was </w:t>
      </w:r>
      <w:r w:rsidR="00AA2514">
        <w:t xml:space="preserve">based on </w:t>
      </w:r>
      <w:r w:rsidR="00C440D8">
        <w:t xml:space="preserve">a </w:t>
      </w:r>
      <w:r w:rsidR="00AA2514">
        <w:t xml:space="preserve">reduction in </w:t>
      </w:r>
      <w:r w:rsidR="00C608E5">
        <w:t>hospitalisations</w:t>
      </w:r>
      <w:r w:rsidR="00AA2514">
        <w:t>.</w:t>
      </w:r>
      <w:r w:rsidR="00C608E5">
        <w:t xml:space="preserve"> Finally, </w:t>
      </w:r>
      <w:r w:rsidR="009239AD">
        <w:t>the frequency of testing</w:t>
      </w:r>
      <w:r w:rsidR="00504D42">
        <w:t xml:space="preserve"> used in the model (i.e. 1.7 tests per </w:t>
      </w:r>
      <w:r w:rsidR="00AE577F">
        <w:t>pregnancy</w:t>
      </w:r>
      <w:r w:rsidR="00D559DE">
        <w:t xml:space="preserve">) </w:t>
      </w:r>
      <w:r w:rsidR="00C440D8">
        <w:t>wa</w:t>
      </w:r>
      <w:r w:rsidR="0041642C">
        <w:t xml:space="preserve">s </w:t>
      </w:r>
      <w:r w:rsidR="00F22CC0">
        <w:t xml:space="preserve">based on an audit from </w:t>
      </w:r>
      <w:r w:rsidR="00EC66DB">
        <w:t>t</w:t>
      </w:r>
      <w:r w:rsidR="00F22CC0">
        <w:t xml:space="preserve">he Royal Women’s Hospital in Melbourne, </w:t>
      </w:r>
      <w:r w:rsidR="002F6169">
        <w:t xml:space="preserve">a source </w:t>
      </w:r>
      <w:r w:rsidR="00382C28">
        <w:t xml:space="preserve">that </w:t>
      </w:r>
      <w:r w:rsidR="002F6169">
        <w:t>has not been assessed</w:t>
      </w:r>
      <w:r w:rsidR="00E57221">
        <w:t xml:space="preserve"> </w:t>
      </w:r>
      <w:r w:rsidR="00B432BE">
        <w:t xml:space="preserve">for </w:t>
      </w:r>
      <w:r w:rsidR="00E57221">
        <w:t xml:space="preserve">quality or </w:t>
      </w:r>
      <w:r w:rsidR="008560A8">
        <w:t>reliability</w:t>
      </w:r>
      <w:r w:rsidR="00A95C49">
        <w:t>.</w:t>
      </w:r>
      <w:r w:rsidR="00065A97">
        <w:t xml:space="preserve"> </w:t>
      </w:r>
      <w:r w:rsidR="00421EDF">
        <w:t xml:space="preserve">Given the sensitivity of the model </w:t>
      </w:r>
      <w:r w:rsidR="009833CB">
        <w:t xml:space="preserve">with respect to </w:t>
      </w:r>
      <w:r w:rsidR="00AB4985">
        <w:t xml:space="preserve">test frequency, caution should be exercised in the interpretation of </w:t>
      </w:r>
      <w:r w:rsidR="002F6169">
        <w:t xml:space="preserve">these </w:t>
      </w:r>
      <w:r w:rsidR="00AB4985">
        <w:t>results.</w:t>
      </w:r>
      <w:r w:rsidR="00C608E5">
        <w:t xml:space="preserve"> </w:t>
      </w:r>
    </w:p>
    <w:p w14:paraId="64C76096" w14:textId="1FA97ED0" w:rsidR="00866D27" w:rsidRPr="001B3DCC" w:rsidRDefault="0056685A" w:rsidP="000C2060">
      <w:pPr>
        <w:pStyle w:val="Heading3"/>
      </w:pPr>
      <w:r w:rsidRPr="001B3DCC">
        <w:lastRenderedPageBreak/>
        <w:t>Model healthcare resource use and costs</w:t>
      </w:r>
    </w:p>
    <w:p w14:paraId="4F600B7E" w14:textId="316D376E" w:rsidR="00E115F5" w:rsidRDefault="00066EE7" w:rsidP="00137C65">
      <w:pPr>
        <w:rPr>
          <w:lang w:val="en-US"/>
        </w:rPr>
      </w:pPr>
      <w:r>
        <w:rPr>
          <w:lang w:val="en-US"/>
        </w:rPr>
        <w:t>T</w:t>
      </w:r>
      <w:r w:rsidR="00713AE3">
        <w:rPr>
          <w:lang w:val="en-US"/>
        </w:rPr>
        <w:t xml:space="preserve">he ADAR </w:t>
      </w:r>
      <w:r w:rsidR="00137C65">
        <w:rPr>
          <w:lang w:val="en-US"/>
        </w:rPr>
        <w:t xml:space="preserve">modelled the cost of testing </w:t>
      </w:r>
      <w:r w:rsidR="008E0DC1">
        <w:rPr>
          <w:lang w:val="en-US"/>
        </w:rPr>
        <w:t>(incl</w:t>
      </w:r>
      <w:r w:rsidR="00B432BE">
        <w:rPr>
          <w:lang w:val="en-US"/>
        </w:rPr>
        <w:t>uding</w:t>
      </w:r>
      <w:r w:rsidR="008E0DC1">
        <w:rPr>
          <w:lang w:val="en-US"/>
        </w:rPr>
        <w:t xml:space="preserve"> standard management), </w:t>
      </w:r>
      <w:r w:rsidR="005F61B1">
        <w:rPr>
          <w:lang w:val="en-US"/>
        </w:rPr>
        <w:t>outpatient appointments</w:t>
      </w:r>
      <w:r w:rsidR="002F6169">
        <w:rPr>
          <w:lang w:val="en-US"/>
        </w:rPr>
        <w:t>,</w:t>
      </w:r>
      <w:r w:rsidR="005F61B1">
        <w:rPr>
          <w:lang w:val="en-US"/>
        </w:rPr>
        <w:t xml:space="preserve"> and </w:t>
      </w:r>
      <w:r w:rsidR="009B205B">
        <w:rPr>
          <w:lang w:val="en-US"/>
        </w:rPr>
        <w:t xml:space="preserve">hospital costs. It </w:t>
      </w:r>
      <w:r w:rsidR="00713AE3">
        <w:rPr>
          <w:lang w:val="en-US"/>
        </w:rPr>
        <w:t>omitted</w:t>
      </w:r>
      <w:r w:rsidR="009B205B">
        <w:rPr>
          <w:lang w:val="en-US"/>
        </w:rPr>
        <w:t xml:space="preserve"> antihypertensive medication and therapeutic interventions </w:t>
      </w:r>
      <w:r w:rsidR="0090229B">
        <w:rPr>
          <w:lang w:val="en-US"/>
        </w:rPr>
        <w:t>prior to delivery and treating complications, despite these being requested in the PICO.</w:t>
      </w:r>
      <w:r w:rsidR="00453D43">
        <w:rPr>
          <w:lang w:val="en-US"/>
        </w:rPr>
        <w:t xml:space="preserve"> The </w:t>
      </w:r>
      <w:r w:rsidR="00713AE3">
        <w:rPr>
          <w:lang w:val="en-US"/>
        </w:rPr>
        <w:t>commentary</w:t>
      </w:r>
      <w:r w:rsidR="00453D43">
        <w:rPr>
          <w:lang w:val="en-US"/>
        </w:rPr>
        <w:t xml:space="preserve"> </w:t>
      </w:r>
      <w:r w:rsidR="00713AE3">
        <w:rPr>
          <w:lang w:val="en-US"/>
        </w:rPr>
        <w:t>considered</w:t>
      </w:r>
      <w:r w:rsidR="00597BCF">
        <w:rPr>
          <w:lang w:val="en-US"/>
        </w:rPr>
        <w:t xml:space="preserve"> the rationale provided for the exclusion of </w:t>
      </w:r>
      <w:r w:rsidR="00A14827">
        <w:rPr>
          <w:lang w:val="en-US"/>
        </w:rPr>
        <w:t>therapeutic intervention costs</w:t>
      </w:r>
      <w:r w:rsidR="00713AE3">
        <w:rPr>
          <w:lang w:val="en-US"/>
        </w:rPr>
        <w:t xml:space="preserve"> was reasonable</w:t>
      </w:r>
      <w:r w:rsidR="00A14827">
        <w:rPr>
          <w:lang w:val="en-US"/>
        </w:rPr>
        <w:t>, as the</w:t>
      </w:r>
      <w:r w:rsidR="001516FD">
        <w:rPr>
          <w:lang w:val="en-US"/>
        </w:rPr>
        <w:t xml:space="preserve"> </w:t>
      </w:r>
      <w:r w:rsidR="00A757EE">
        <w:rPr>
          <w:lang w:val="en-US"/>
        </w:rPr>
        <w:t>Australian Refined Diagnosis Related Group (</w:t>
      </w:r>
      <w:r w:rsidR="001516FD">
        <w:rPr>
          <w:lang w:val="en-US"/>
        </w:rPr>
        <w:t>AR-DRG</w:t>
      </w:r>
      <w:r w:rsidR="00A757EE">
        <w:rPr>
          <w:lang w:val="en-US"/>
        </w:rPr>
        <w:t>)</w:t>
      </w:r>
      <w:r w:rsidR="001516FD">
        <w:rPr>
          <w:lang w:val="en-US"/>
        </w:rPr>
        <w:t xml:space="preserve"> code used represents a total cost of care</w:t>
      </w:r>
      <w:r w:rsidR="00B97EE0">
        <w:rPr>
          <w:lang w:val="en-US"/>
        </w:rPr>
        <w:t>;</w:t>
      </w:r>
      <w:r w:rsidR="00902744">
        <w:rPr>
          <w:lang w:val="en-US"/>
        </w:rPr>
        <w:t xml:space="preserve"> </w:t>
      </w:r>
      <w:r w:rsidR="00B97EE0">
        <w:rPr>
          <w:lang w:val="en-US"/>
        </w:rPr>
        <w:t>h</w:t>
      </w:r>
      <w:r w:rsidR="00EB76F6">
        <w:rPr>
          <w:lang w:val="en-US"/>
        </w:rPr>
        <w:t xml:space="preserve">owever, </w:t>
      </w:r>
      <w:r w:rsidR="008B0E61">
        <w:rPr>
          <w:lang w:val="en-US"/>
        </w:rPr>
        <w:t>antihypertensive</w:t>
      </w:r>
      <w:r w:rsidR="00EB76F6">
        <w:rPr>
          <w:lang w:val="en-US"/>
        </w:rPr>
        <w:t xml:space="preserve"> medication </w:t>
      </w:r>
      <w:r w:rsidR="00A7106B">
        <w:rPr>
          <w:lang w:val="en-US"/>
        </w:rPr>
        <w:t xml:space="preserve">is administered to </w:t>
      </w:r>
      <w:r w:rsidR="00314A51">
        <w:rPr>
          <w:lang w:val="en-US"/>
        </w:rPr>
        <w:t xml:space="preserve">some </w:t>
      </w:r>
      <w:r w:rsidR="00665078">
        <w:rPr>
          <w:lang w:val="en-US"/>
        </w:rPr>
        <w:t xml:space="preserve">people </w:t>
      </w:r>
      <w:r w:rsidR="00A7106B">
        <w:rPr>
          <w:lang w:val="en-US"/>
        </w:rPr>
        <w:t>with moderate/severe pre</w:t>
      </w:r>
      <w:r w:rsidR="00B46D7D">
        <w:rPr>
          <w:lang w:val="en-US"/>
        </w:rPr>
        <w:t>eclampsia</w:t>
      </w:r>
      <w:r w:rsidR="00A7106B">
        <w:rPr>
          <w:lang w:val="en-US"/>
        </w:rPr>
        <w:t xml:space="preserve"> </w:t>
      </w:r>
      <w:r w:rsidR="00314A51">
        <w:rPr>
          <w:lang w:val="en-US"/>
        </w:rPr>
        <w:t xml:space="preserve">after 37 </w:t>
      </w:r>
      <w:r w:rsidR="00D4126A">
        <w:rPr>
          <w:lang w:val="en-US"/>
        </w:rPr>
        <w:t>weeks</w:t>
      </w:r>
      <w:r w:rsidR="00F747D6">
        <w:rPr>
          <w:lang w:val="en-US"/>
        </w:rPr>
        <w:t>.</w:t>
      </w:r>
      <w:r w:rsidR="002F6169">
        <w:rPr>
          <w:lang w:val="en-US"/>
        </w:rPr>
        <w:t xml:space="preserve"> </w:t>
      </w:r>
      <w:r w:rsidR="00F747D6">
        <w:rPr>
          <w:lang w:val="en-US"/>
        </w:rPr>
        <w:t>T</w:t>
      </w:r>
      <w:r w:rsidR="002F6169">
        <w:rPr>
          <w:lang w:val="en-US"/>
        </w:rPr>
        <w:t xml:space="preserve">his </w:t>
      </w:r>
      <w:r w:rsidR="00EB76F6">
        <w:rPr>
          <w:lang w:val="en-US"/>
        </w:rPr>
        <w:t>could</w:t>
      </w:r>
      <w:r w:rsidR="00D4126A">
        <w:rPr>
          <w:lang w:val="en-US"/>
        </w:rPr>
        <w:t xml:space="preserve"> </w:t>
      </w:r>
      <w:r w:rsidR="00EB76F6">
        <w:rPr>
          <w:lang w:val="en-US"/>
        </w:rPr>
        <w:t>have been included</w:t>
      </w:r>
      <w:r w:rsidR="00B97EE0">
        <w:rPr>
          <w:lang w:val="en-US"/>
        </w:rPr>
        <w:t>;</w:t>
      </w:r>
      <w:r w:rsidR="00EB76F6">
        <w:rPr>
          <w:lang w:val="en-US"/>
        </w:rPr>
        <w:t xml:space="preserve"> </w:t>
      </w:r>
      <w:r w:rsidR="00B97EE0">
        <w:rPr>
          <w:lang w:val="en-US"/>
        </w:rPr>
        <w:t>h</w:t>
      </w:r>
      <w:r w:rsidR="00D4126A">
        <w:rPr>
          <w:lang w:val="en-US"/>
        </w:rPr>
        <w:t>owever,</w:t>
      </w:r>
      <w:r w:rsidR="00EB76F6">
        <w:rPr>
          <w:lang w:val="en-US"/>
        </w:rPr>
        <w:t xml:space="preserve"> </w:t>
      </w:r>
      <w:r w:rsidR="00713AE3">
        <w:rPr>
          <w:lang w:val="en-US"/>
        </w:rPr>
        <w:t>the commentary considered</w:t>
      </w:r>
      <w:r w:rsidR="00EB76F6">
        <w:rPr>
          <w:lang w:val="en-US"/>
        </w:rPr>
        <w:t xml:space="preserve"> that </w:t>
      </w:r>
      <w:r w:rsidR="008B0E61">
        <w:rPr>
          <w:lang w:val="en-US"/>
        </w:rPr>
        <w:t xml:space="preserve">the addition of this cost would </w:t>
      </w:r>
      <w:r w:rsidR="00713AE3">
        <w:rPr>
          <w:lang w:val="en-US"/>
        </w:rPr>
        <w:t xml:space="preserve">not </w:t>
      </w:r>
      <w:r w:rsidR="008B0E61">
        <w:rPr>
          <w:lang w:val="en-US"/>
        </w:rPr>
        <w:t xml:space="preserve">have </w:t>
      </w:r>
      <w:r w:rsidR="00C9557D">
        <w:rPr>
          <w:lang w:val="en-US"/>
        </w:rPr>
        <w:t xml:space="preserve">a </w:t>
      </w:r>
      <w:r w:rsidR="008B0E61">
        <w:rPr>
          <w:lang w:val="en-US"/>
        </w:rPr>
        <w:t xml:space="preserve">major </w:t>
      </w:r>
      <w:r w:rsidR="00C9557D">
        <w:rPr>
          <w:lang w:val="en-US"/>
        </w:rPr>
        <w:t>effect</w:t>
      </w:r>
      <w:r w:rsidR="008B0E61">
        <w:rPr>
          <w:lang w:val="en-US"/>
        </w:rPr>
        <w:t xml:space="preserve"> on </w:t>
      </w:r>
      <w:r w:rsidR="00713AE3">
        <w:rPr>
          <w:lang w:val="en-US"/>
        </w:rPr>
        <w:t xml:space="preserve">the </w:t>
      </w:r>
      <w:r w:rsidR="008B0E61">
        <w:rPr>
          <w:lang w:val="en-US"/>
        </w:rPr>
        <w:t>results.</w:t>
      </w:r>
    </w:p>
    <w:p w14:paraId="1B0D2FBC" w14:textId="4E2B4998" w:rsidR="00137C65" w:rsidRPr="00137C65" w:rsidRDefault="002F6169" w:rsidP="00137C65">
      <w:pPr>
        <w:rPr>
          <w:lang w:val="en-US"/>
        </w:rPr>
      </w:pPr>
      <w:r>
        <w:rPr>
          <w:lang w:val="en-US"/>
        </w:rPr>
        <w:t>The</w:t>
      </w:r>
      <w:r w:rsidR="00E115F5">
        <w:rPr>
          <w:lang w:val="en-US"/>
        </w:rPr>
        <w:t xml:space="preserve"> model structure and short time horizon, which </w:t>
      </w:r>
      <w:r w:rsidR="006D545C">
        <w:rPr>
          <w:lang w:val="en-US"/>
        </w:rPr>
        <w:t xml:space="preserve">were </w:t>
      </w:r>
      <w:r w:rsidR="00E115F5">
        <w:rPr>
          <w:lang w:val="en-US"/>
        </w:rPr>
        <w:t xml:space="preserve">discussed above, </w:t>
      </w:r>
      <w:r>
        <w:rPr>
          <w:lang w:val="en-US"/>
        </w:rPr>
        <w:t>mean</w:t>
      </w:r>
      <w:r w:rsidR="006D545C">
        <w:rPr>
          <w:lang w:val="en-US"/>
        </w:rPr>
        <w:t>t</w:t>
      </w:r>
      <w:r>
        <w:rPr>
          <w:lang w:val="en-US"/>
        </w:rPr>
        <w:t xml:space="preserve"> that </w:t>
      </w:r>
      <w:r w:rsidR="00B242B3">
        <w:rPr>
          <w:lang w:val="en-US"/>
        </w:rPr>
        <w:t xml:space="preserve">preeclampsia-related </w:t>
      </w:r>
      <w:r w:rsidR="008D3D8F">
        <w:rPr>
          <w:lang w:val="en-US"/>
        </w:rPr>
        <w:t>adverse neonatal and maternal outcomes</w:t>
      </w:r>
      <w:r w:rsidR="00E115F5">
        <w:rPr>
          <w:lang w:val="en-US"/>
        </w:rPr>
        <w:t xml:space="preserve"> </w:t>
      </w:r>
      <w:r w:rsidR="000666DB">
        <w:rPr>
          <w:lang w:val="en-US"/>
        </w:rPr>
        <w:t>were</w:t>
      </w:r>
      <w:r w:rsidR="00E115F5">
        <w:rPr>
          <w:lang w:val="en-US"/>
        </w:rPr>
        <w:t xml:space="preserve"> excluded from the </w:t>
      </w:r>
      <w:r w:rsidR="006D545C">
        <w:rPr>
          <w:lang w:val="en-US"/>
        </w:rPr>
        <w:t xml:space="preserve">economic </w:t>
      </w:r>
      <w:r w:rsidR="006D558D">
        <w:rPr>
          <w:lang w:val="en-US"/>
        </w:rPr>
        <w:t>evaluation</w:t>
      </w:r>
      <w:r w:rsidR="008D3D8F">
        <w:rPr>
          <w:lang w:val="en-US"/>
        </w:rPr>
        <w:t xml:space="preserve">. </w:t>
      </w:r>
      <w:r w:rsidR="006D545C">
        <w:rPr>
          <w:lang w:val="en-US"/>
        </w:rPr>
        <w:t>However the commentary considered t</w:t>
      </w:r>
      <w:r w:rsidR="008D3D8F">
        <w:rPr>
          <w:lang w:val="en-US"/>
        </w:rPr>
        <w:t>hese ha</w:t>
      </w:r>
      <w:r w:rsidR="000666DB">
        <w:rPr>
          <w:lang w:val="en-US"/>
        </w:rPr>
        <w:t>d</w:t>
      </w:r>
      <w:r w:rsidR="008D3D8F">
        <w:rPr>
          <w:lang w:val="en-US"/>
        </w:rPr>
        <w:t xml:space="preserve"> the potential to be significantly impacted by the introduction of </w:t>
      </w:r>
      <w:r w:rsidR="008D3D8F" w:rsidRPr="00127510">
        <w:t>sFlt-1:PlGF ratio test</w:t>
      </w:r>
      <w:r w:rsidR="008D3D8F">
        <w:t>ing and should therefore have been included.</w:t>
      </w:r>
      <w:r w:rsidR="00490BF4">
        <w:rPr>
          <w:lang w:val="en-US"/>
        </w:rPr>
        <w:t xml:space="preserve"> </w:t>
      </w:r>
      <w:r w:rsidR="00BF1CAD">
        <w:rPr>
          <w:lang w:val="en-US"/>
        </w:rPr>
        <w:t xml:space="preserve">In </w:t>
      </w:r>
      <w:r w:rsidR="003B11F5">
        <w:rPr>
          <w:lang w:val="en-US"/>
        </w:rPr>
        <w:t xml:space="preserve">the NICE </w:t>
      </w:r>
      <w:r w:rsidR="00352DEB">
        <w:rPr>
          <w:lang w:val="en-US"/>
        </w:rPr>
        <w:t xml:space="preserve">Decision Support Unit </w:t>
      </w:r>
      <w:r w:rsidR="003B11F5">
        <w:rPr>
          <w:lang w:val="en-US"/>
        </w:rPr>
        <w:t>model</w:t>
      </w:r>
      <w:r w:rsidR="00986A93">
        <w:rPr>
          <w:lang w:val="en-US"/>
        </w:rPr>
        <w:t>, the scenario</w:t>
      </w:r>
      <w:r w:rsidR="003B11F5">
        <w:rPr>
          <w:lang w:val="en-US"/>
        </w:rPr>
        <w:t xml:space="preserve"> </w:t>
      </w:r>
      <w:r w:rsidR="00FC3D9B">
        <w:rPr>
          <w:lang w:val="en-US"/>
        </w:rPr>
        <w:t xml:space="preserve">excluding neonatal outcomes </w:t>
      </w:r>
      <w:r w:rsidR="00D238E1">
        <w:rPr>
          <w:lang w:val="en-US"/>
        </w:rPr>
        <w:t>led to increases in the ICE</w:t>
      </w:r>
      <w:r w:rsidR="00DE1F11">
        <w:rPr>
          <w:lang w:val="en-US"/>
        </w:rPr>
        <w:t>R</w:t>
      </w:r>
      <w:r w:rsidR="00E008CA">
        <w:rPr>
          <w:lang w:val="en-US"/>
        </w:rPr>
        <w:t xml:space="preserve"> – with the exclusion of long-term outcomes having the greatest impact on results. </w:t>
      </w:r>
      <w:r w:rsidR="004D2467">
        <w:rPr>
          <w:lang w:val="en-US"/>
        </w:rPr>
        <w:t xml:space="preserve">As a result, the </w:t>
      </w:r>
      <w:r w:rsidR="005658C5">
        <w:rPr>
          <w:lang w:val="en-US"/>
        </w:rPr>
        <w:t>commentary</w:t>
      </w:r>
      <w:r w:rsidR="004D2467">
        <w:rPr>
          <w:lang w:val="en-US"/>
        </w:rPr>
        <w:t xml:space="preserve"> reiterate</w:t>
      </w:r>
      <w:r w:rsidR="006D545C">
        <w:rPr>
          <w:lang w:val="en-US"/>
        </w:rPr>
        <w:t>d</w:t>
      </w:r>
      <w:r w:rsidR="004D2467">
        <w:rPr>
          <w:lang w:val="en-US"/>
        </w:rPr>
        <w:t xml:space="preserve"> its </w:t>
      </w:r>
      <w:r>
        <w:rPr>
          <w:lang w:val="en-US"/>
        </w:rPr>
        <w:t>stance that</w:t>
      </w:r>
      <w:r w:rsidR="004D2467">
        <w:rPr>
          <w:lang w:val="en-US"/>
        </w:rPr>
        <w:t xml:space="preserve"> a cost-utility analysis </w:t>
      </w:r>
      <w:r>
        <w:rPr>
          <w:lang w:val="en-US"/>
        </w:rPr>
        <w:t xml:space="preserve">should </w:t>
      </w:r>
      <w:r w:rsidR="00523288">
        <w:rPr>
          <w:lang w:val="en-US"/>
        </w:rPr>
        <w:t xml:space="preserve">have </w:t>
      </w:r>
      <w:r>
        <w:rPr>
          <w:lang w:val="en-US"/>
        </w:rPr>
        <w:t>b</w:t>
      </w:r>
      <w:r w:rsidR="00523288">
        <w:rPr>
          <w:lang w:val="en-US"/>
        </w:rPr>
        <w:t>e</w:t>
      </w:r>
      <w:r>
        <w:rPr>
          <w:lang w:val="en-US"/>
        </w:rPr>
        <w:t>e</w:t>
      </w:r>
      <w:r w:rsidR="00523288">
        <w:rPr>
          <w:lang w:val="en-US"/>
        </w:rPr>
        <w:t>n</w:t>
      </w:r>
      <w:r>
        <w:rPr>
          <w:lang w:val="en-US"/>
        </w:rPr>
        <w:t xml:space="preserve"> performed</w:t>
      </w:r>
      <w:r w:rsidR="002C3411">
        <w:rPr>
          <w:lang w:val="en-US"/>
        </w:rPr>
        <w:t>, consistent with the ratified PICO</w:t>
      </w:r>
      <w:r>
        <w:rPr>
          <w:lang w:val="en-US"/>
        </w:rPr>
        <w:t>.</w:t>
      </w:r>
    </w:p>
    <w:p w14:paraId="6E361942" w14:textId="6F18E888" w:rsidR="0056685A" w:rsidRPr="001B3DCC" w:rsidRDefault="0056685A" w:rsidP="000C2060">
      <w:pPr>
        <w:pStyle w:val="Heading3"/>
      </w:pPr>
      <w:r w:rsidRPr="00C4258C">
        <w:t>Model results</w:t>
      </w:r>
    </w:p>
    <w:p w14:paraId="0604B433" w14:textId="553DD0E9" w:rsidR="00F37794" w:rsidRDefault="00F37794" w:rsidP="002A51A1">
      <w:r w:rsidRPr="00130148">
        <w:rPr>
          <w:lang w:val="en-US"/>
        </w:rPr>
        <w:t xml:space="preserve">The </w:t>
      </w:r>
      <w:r w:rsidR="006D545C">
        <w:rPr>
          <w:lang w:val="en-US"/>
        </w:rPr>
        <w:t>ADAR</w:t>
      </w:r>
      <w:r w:rsidR="006D545C" w:rsidRPr="00130148">
        <w:rPr>
          <w:lang w:val="en-US"/>
        </w:rPr>
        <w:t xml:space="preserve"> </w:t>
      </w:r>
      <w:r w:rsidRPr="00130148">
        <w:rPr>
          <w:lang w:val="en-US"/>
        </w:rPr>
        <w:t xml:space="preserve">presented </w:t>
      </w:r>
      <w:r w:rsidR="00E6332D" w:rsidRPr="00130148">
        <w:rPr>
          <w:lang w:val="en-US"/>
        </w:rPr>
        <w:t>incremental</w:t>
      </w:r>
      <w:r w:rsidR="008E0A82" w:rsidRPr="00130148">
        <w:rPr>
          <w:lang w:val="en-US"/>
        </w:rPr>
        <w:t xml:space="preserve"> costs </w:t>
      </w:r>
      <w:r w:rsidR="00E6332D" w:rsidRPr="00130148">
        <w:rPr>
          <w:lang w:val="en-US"/>
        </w:rPr>
        <w:t xml:space="preserve">and </w:t>
      </w:r>
      <w:r w:rsidR="00E6332D" w:rsidRPr="00130148">
        <w:t xml:space="preserve">hospital admissions </w:t>
      </w:r>
      <w:r w:rsidR="008E0A82" w:rsidRPr="00130148">
        <w:rPr>
          <w:lang w:val="en-US"/>
        </w:rPr>
        <w:t xml:space="preserve">associated with the introduction of </w:t>
      </w:r>
      <w:r w:rsidR="008E0A82" w:rsidRPr="00130148">
        <w:t>sFlt-1:PlGF ratio testing</w:t>
      </w:r>
      <w:r w:rsidR="00E6332D" w:rsidRPr="00130148">
        <w:t xml:space="preserve">. </w:t>
      </w:r>
      <w:r w:rsidR="000F67FB" w:rsidRPr="00130148">
        <w:t xml:space="preserve">The model resulted in a cost saving of </w:t>
      </w:r>
      <w:r w:rsidR="002F75A9" w:rsidRPr="00130148">
        <w:t xml:space="preserve">$873 </w:t>
      </w:r>
      <w:r w:rsidR="0060561F">
        <w:t>per pregnancy</w:t>
      </w:r>
      <w:r w:rsidR="002F75A9" w:rsidRPr="00130148">
        <w:t xml:space="preserve"> and </w:t>
      </w:r>
      <w:r w:rsidR="003E5E69">
        <w:t>0.</w:t>
      </w:r>
      <w:r w:rsidR="00E160EC" w:rsidRPr="00130148">
        <w:t xml:space="preserve">26 fewer admissions </w:t>
      </w:r>
      <w:r w:rsidR="00130148" w:rsidRPr="00130148">
        <w:t>to hospital per patient</w:t>
      </w:r>
      <w:r w:rsidR="00C3568C">
        <w:t xml:space="preserve"> (</w:t>
      </w:r>
      <w:r w:rsidR="00C3568C">
        <w:fldChar w:fldCharType="begin"/>
      </w:r>
      <w:r w:rsidR="00C3568C">
        <w:instrText xml:space="preserve"> REF _Ref69726284 \h </w:instrText>
      </w:r>
      <w:r w:rsidR="00C3568C">
        <w:fldChar w:fldCharType="separate"/>
      </w:r>
      <w:r w:rsidR="009D7CE9" w:rsidRPr="00CE28E3">
        <w:t>Table</w:t>
      </w:r>
      <w:r w:rsidR="009D7CE9">
        <w:t> </w:t>
      </w:r>
      <w:r w:rsidR="009D7CE9">
        <w:rPr>
          <w:noProof/>
        </w:rPr>
        <w:t>9</w:t>
      </w:r>
      <w:r w:rsidR="00C3568C">
        <w:fldChar w:fldCharType="end"/>
      </w:r>
      <w:r w:rsidR="00C3568C">
        <w:t>)</w:t>
      </w:r>
      <w:r w:rsidR="00130148" w:rsidRPr="00130148">
        <w:t>.</w:t>
      </w:r>
      <w:r w:rsidR="00130148">
        <w:t xml:space="preserve"> As previously mentioned, the </w:t>
      </w:r>
      <w:r w:rsidR="003241CE">
        <w:t>commentary</w:t>
      </w:r>
      <w:r w:rsidR="00130148">
        <w:t xml:space="preserve"> </w:t>
      </w:r>
      <w:r w:rsidR="003241CE">
        <w:t xml:space="preserve">considered </w:t>
      </w:r>
      <w:r w:rsidR="00130148">
        <w:t xml:space="preserve">a number of outcomes </w:t>
      </w:r>
      <w:r w:rsidR="003241CE">
        <w:t xml:space="preserve">were </w:t>
      </w:r>
      <w:r w:rsidR="00130148">
        <w:t>missing from the analysis,</w:t>
      </w:r>
      <w:r w:rsidR="00827E13">
        <w:t xml:space="preserve"> </w:t>
      </w:r>
      <w:r w:rsidR="003F592B">
        <w:t xml:space="preserve">such as </w:t>
      </w:r>
      <w:r w:rsidR="00D736F9">
        <w:t>long-term health</w:t>
      </w:r>
      <w:r w:rsidR="003F592B">
        <w:t xml:space="preserve"> outcomes</w:t>
      </w:r>
      <w:r w:rsidR="00D736F9">
        <w:t xml:space="preserve"> for </w:t>
      </w:r>
      <w:r w:rsidR="002352A4">
        <w:t xml:space="preserve">gestational </w:t>
      </w:r>
      <w:r w:rsidR="00875B8E">
        <w:t xml:space="preserve">parents </w:t>
      </w:r>
      <w:r w:rsidR="00D736F9">
        <w:t>and their infants</w:t>
      </w:r>
      <w:r w:rsidR="001B0B31">
        <w:t xml:space="preserve">, and that the </w:t>
      </w:r>
      <w:r w:rsidR="006D545C">
        <w:t xml:space="preserve">ADAR’s </w:t>
      </w:r>
      <w:r w:rsidR="001B0B31">
        <w:t xml:space="preserve">model structure </w:t>
      </w:r>
      <w:r w:rsidR="002F6169">
        <w:t>potentially</w:t>
      </w:r>
      <w:r w:rsidR="00CE47CB">
        <w:t xml:space="preserve"> </w:t>
      </w:r>
      <w:r w:rsidR="000F466B">
        <w:t>underestimate</w:t>
      </w:r>
      <w:r w:rsidR="003241CE">
        <w:t>d</w:t>
      </w:r>
      <w:r w:rsidR="000F466B">
        <w:t xml:space="preserve"> </w:t>
      </w:r>
      <w:r w:rsidR="007C0C1E">
        <w:t>costs for the intervention</w:t>
      </w:r>
      <w:r w:rsidR="00D736F9">
        <w:t>.</w:t>
      </w:r>
      <w:r w:rsidR="003B78B0">
        <w:t xml:space="preserve"> </w:t>
      </w:r>
      <w:r w:rsidR="002829C7">
        <w:t xml:space="preserve">In addition to this, there </w:t>
      </w:r>
      <w:r w:rsidR="006D545C">
        <w:t>wa</w:t>
      </w:r>
      <w:r w:rsidR="002829C7">
        <w:t xml:space="preserve">s unexplored uncertainty </w:t>
      </w:r>
      <w:r w:rsidR="00451B1A">
        <w:t xml:space="preserve">around </w:t>
      </w:r>
      <w:r w:rsidR="005C17C2">
        <w:t xml:space="preserve">the frequency of repeat testing, which </w:t>
      </w:r>
      <w:r w:rsidR="00830AAB">
        <w:t xml:space="preserve">would </w:t>
      </w:r>
      <w:r w:rsidR="00DB1CE9">
        <w:t xml:space="preserve">significantly impact </w:t>
      </w:r>
      <w:r w:rsidR="00E1284E">
        <w:t>the cost saving</w:t>
      </w:r>
      <w:r w:rsidR="002F6169">
        <w:t>s</w:t>
      </w:r>
      <w:r w:rsidR="00E1284E">
        <w:t xml:space="preserve"> </w:t>
      </w:r>
      <w:r w:rsidR="002F6169">
        <w:t>associated with</w:t>
      </w:r>
      <w:r w:rsidR="00E1284E">
        <w:t xml:space="preserve"> introducing </w:t>
      </w:r>
      <w:r w:rsidR="00E1284E" w:rsidRPr="00E1284E">
        <w:t>sFlt-1:PlGF ratio testing</w:t>
      </w:r>
      <w:r w:rsidR="00E1284E">
        <w:t xml:space="preserve">. </w:t>
      </w:r>
      <w:r w:rsidR="003B78B0">
        <w:t xml:space="preserve">As a result, </w:t>
      </w:r>
      <w:r w:rsidR="00436A6B">
        <w:t xml:space="preserve">the commentary considered the net </w:t>
      </w:r>
      <w:r w:rsidR="00A8139F">
        <w:t>cost savings m</w:t>
      </w:r>
      <w:r w:rsidR="004F500C">
        <w:t xml:space="preserve">ay </w:t>
      </w:r>
      <w:r w:rsidR="00830AAB">
        <w:t xml:space="preserve">have </w:t>
      </w:r>
      <w:r w:rsidR="004F500C">
        <w:t>be</w:t>
      </w:r>
      <w:r w:rsidR="00830AAB">
        <w:t>en</w:t>
      </w:r>
      <w:r w:rsidR="004F500C">
        <w:t xml:space="preserve"> overestimated </w:t>
      </w:r>
      <w:r w:rsidR="00830AAB">
        <w:t>by the ADAR</w:t>
      </w:r>
      <w:r w:rsidR="004F500C">
        <w:t>.</w:t>
      </w:r>
    </w:p>
    <w:p w14:paraId="5B1C52CB" w14:textId="69448805" w:rsidR="00D2652C" w:rsidRPr="00CE28E3" w:rsidRDefault="00D2652C" w:rsidP="0064109D">
      <w:pPr>
        <w:pStyle w:val="Caption"/>
        <w:widowControl w:val="0"/>
      </w:pPr>
      <w:bookmarkStart w:id="24" w:name="_Ref69726284"/>
      <w:r w:rsidRPr="00CE28E3">
        <w:t>Table</w:t>
      </w:r>
      <w:r>
        <w:t> </w:t>
      </w:r>
      <w:r w:rsidR="009C163C">
        <w:fldChar w:fldCharType="begin"/>
      </w:r>
      <w:r w:rsidR="009C163C">
        <w:instrText xml:space="preserve"> SEQ Table \* ARABIC </w:instrText>
      </w:r>
      <w:r w:rsidR="009C163C">
        <w:fldChar w:fldCharType="separate"/>
      </w:r>
      <w:r w:rsidR="009D7CE9">
        <w:rPr>
          <w:noProof/>
        </w:rPr>
        <w:t>9</w:t>
      </w:r>
      <w:r w:rsidR="009C163C">
        <w:rPr>
          <w:noProof/>
        </w:rPr>
        <w:fldChar w:fldCharType="end"/>
      </w:r>
      <w:bookmarkEnd w:id="24"/>
      <w:r w:rsidRPr="00CE28E3">
        <w:tab/>
        <w:t>Results of the economic evaluation</w:t>
      </w:r>
    </w:p>
    <w:tbl>
      <w:tblPr>
        <w:tblStyle w:val="TableGrid"/>
        <w:tblW w:w="0" w:type="auto"/>
        <w:tblLook w:val="04A0" w:firstRow="1" w:lastRow="0" w:firstColumn="1" w:lastColumn="0" w:noHBand="0" w:noVBand="1"/>
      </w:tblPr>
      <w:tblGrid>
        <w:gridCol w:w="2254"/>
        <w:gridCol w:w="2254"/>
        <w:gridCol w:w="2254"/>
        <w:gridCol w:w="2254"/>
      </w:tblGrid>
      <w:tr w:rsidR="009000D5" w:rsidRPr="00E164CD" w14:paraId="3ACE5726" w14:textId="77777777" w:rsidTr="0064109D">
        <w:tc>
          <w:tcPr>
            <w:tcW w:w="2254" w:type="dxa"/>
            <w:shd w:val="clear" w:color="auto" w:fill="auto"/>
          </w:tcPr>
          <w:p w14:paraId="3D9CC4B9" w14:textId="0F5CCA92" w:rsidR="009000D5" w:rsidRPr="00D92B65" w:rsidRDefault="009847B9" w:rsidP="0064109D">
            <w:pPr>
              <w:pStyle w:val="TableHeading0"/>
              <w:keepNext/>
              <w:widowControl w:val="0"/>
            </w:pPr>
            <w:r>
              <w:t>Component</w:t>
            </w:r>
          </w:p>
        </w:tc>
        <w:tc>
          <w:tcPr>
            <w:tcW w:w="2254" w:type="dxa"/>
            <w:shd w:val="clear" w:color="auto" w:fill="auto"/>
          </w:tcPr>
          <w:p w14:paraId="4233CA1E" w14:textId="77777777" w:rsidR="009000D5" w:rsidRPr="00D92B65" w:rsidRDefault="009000D5" w:rsidP="0064109D">
            <w:pPr>
              <w:pStyle w:val="TableHeading0"/>
              <w:keepNext/>
              <w:widowControl w:val="0"/>
            </w:pPr>
            <w:r w:rsidRPr="00D92B65">
              <w:t>sFlt1-PlGF ratio testing plus standard management</w:t>
            </w:r>
          </w:p>
        </w:tc>
        <w:tc>
          <w:tcPr>
            <w:tcW w:w="2254" w:type="dxa"/>
            <w:shd w:val="clear" w:color="auto" w:fill="auto"/>
          </w:tcPr>
          <w:p w14:paraId="57DDC3BA" w14:textId="77777777" w:rsidR="009000D5" w:rsidRPr="00D92B65" w:rsidRDefault="009000D5" w:rsidP="0064109D">
            <w:pPr>
              <w:pStyle w:val="TableHeading0"/>
              <w:keepNext/>
              <w:widowControl w:val="0"/>
            </w:pPr>
            <w:r w:rsidRPr="00D92B65">
              <w:t>Standard management</w:t>
            </w:r>
          </w:p>
        </w:tc>
        <w:tc>
          <w:tcPr>
            <w:tcW w:w="2254" w:type="dxa"/>
            <w:shd w:val="clear" w:color="auto" w:fill="auto"/>
          </w:tcPr>
          <w:p w14:paraId="71AAA6CF" w14:textId="5A3C6508" w:rsidR="009000D5" w:rsidRPr="00D92B65" w:rsidRDefault="009000D5" w:rsidP="0064109D">
            <w:pPr>
              <w:pStyle w:val="TableHeading0"/>
              <w:keepNext/>
              <w:widowControl w:val="0"/>
            </w:pPr>
            <w:r w:rsidRPr="00D92B65">
              <w:t>Increment</w:t>
            </w:r>
          </w:p>
        </w:tc>
      </w:tr>
      <w:tr w:rsidR="00F06196" w:rsidRPr="00E164CD" w14:paraId="173637DF" w14:textId="77777777">
        <w:tc>
          <w:tcPr>
            <w:tcW w:w="2254" w:type="dxa"/>
          </w:tcPr>
          <w:p w14:paraId="4A3BEFA9" w14:textId="7545A6E4" w:rsidR="00F06196" w:rsidRPr="006F23FB" w:rsidRDefault="00F06196" w:rsidP="0064109D">
            <w:pPr>
              <w:pStyle w:val="TableText"/>
              <w:keepNext/>
              <w:widowControl w:val="0"/>
            </w:pPr>
            <w:r w:rsidRPr="006F23FB">
              <w:t>Costs</w:t>
            </w:r>
            <w:r w:rsidR="000C737B">
              <w:t xml:space="preserve"> (N=100)</w:t>
            </w:r>
          </w:p>
        </w:tc>
        <w:tc>
          <w:tcPr>
            <w:tcW w:w="2254" w:type="dxa"/>
          </w:tcPr>
          <w:p w14:paraId="7866045A" w14:textId="77777777" w:rsidR="00F06196" w:rsidRPr="006F23FB" w:rsidRDefault="00F06196" w:rsidP="0064109D">
            <w:pPr>
              <w:pStyle w:val="TableText"/>
              <w:keepNext/>
              <w:widowControl w:val="0"/>
            </w:pPr>
            <w:r w:rsidRPr="006F23FB">
              <w:t>$2,797,549</w:t>
            </w:r>
          </w:p>
        </w:tc>
        <w:tc>
          <w:tcPr>
            <w:tcW w:w="2254" w:type="dxa"/>
          </w:tcPr>
          <w:p w14:paraId="7CC1E85A" w14:textId="77777777" w:rsidR="00F06196" w:rsidRPr="006F23FB" w:rsidRDefault="00F06196" w:rsidP="0064109D">
            <w:pPr>
              <w:pStyle w:val="TableText"/>
              <w:keepNext/>
              <w:widowControl w:val="0"/>
            </w:pPr>
            <w:r w:rsidRPr="006F23FB">
              <w:t>$2,884,813</w:t>
            </w:r>
          </w:p>
        </w:tc>
        <w:tc>
          <w:tcPr>
            <w:tcW w:w="2254" w:type="dxa"/>
          </w:tcPr>
          <w:p w14:paraId="35FBC80C" w14:textId="77777777" w:rsidR="00F06196" w:rsidRPr="006F23FB" w:rsidRDefault="00F06196" w:rsidP="0064109D">
            <w:pPr>
              <w:pStyle w:val="TableText"/>
              <w:keepNext/>
              <w:widowControl w:val="0"/>
            </w:pPr>
            <w:r w:rsidRPr="006F23FB">
              <w:t>-$87,264</w:t>
            </w:r>
          </w:p>
        </w:tc>
      </w:tr>
      <w:tr w:rsidR="000C737B" w:rsidRPr="00066EE7" w14:paraId="4FB7D379" w14:textId="77777777">
        <w:tc>
          <w:tcPr>
            <w:tcW w:w="2254" w:type="dxa"/>
          </w:tcPr>
          <w:p w14:paraId="68BC5E0F" w14:textId="59FCCB75" w:rsidR="000C737B" w:rsidRPr="0064109D" w:rsidRDefault="000C737B" w:rsidP="0064109D">
            <w:pPr>
              <w:pStyle w:val="TableText"/>
              <w:keepNext/>
              <w:widowControl w:val="0"/>
              <w:rPr>
                <w:b/>
                <w:bCs/>
              </w:rPr>
            </w:pPr>
            <w:r w:rsidRPr="0064109D">
              <w:rPr>
                <w:b/>
                <w:bCs/>
              </w:rPr>
              <w:t>Cost per patient</w:t>
            </w:r>
          </w:p>
        </w:tc>
        <w:tc>
          <w:tcPr>
            <w:tcW w:w="2254" w:type="dxa"/>
          </w:tcPr>
          <w:p w14:paraId="1D715B2A" w14:textId="28D728DA" w:rsidR="000C737B" w:rsidRPr="0064109D" w:rsidRDefault="000C737B" w:rsidP="0064109D">
            <w:pPr>
              <w:pStyle w:val="TableText"/>
              <w:keepNext/>
              <w:widowControl w:val="0"/>
              <w:rPr>
                <w:b/>
                <w:bCs/>
              </w:rPr>
            </w:pPr>
            <w:r w:rsidRPr="0064109D">
              <w:rPr>
                <w:b/>
                <w:bCs/>
              </w:rPr>
              <w:t>$27,975</w:t>
            </w:r>
          </w:p>
        </w:tc>
        <w:tc>
          <w:tcPr>
            <w:tcW w:w="2254" w:type="dxa"/>
          </w:tcPr>
          <w:p w14:paraId="20C31B73" w14:textId="6146EFE3" w:rsidR="000C737B" w:rsidRPr="0064109D" w:rsidRDefault="000C737B" w:rsidP="0064109D">
            <w:pPr>
              <w:pStyle w:val="TableText"/>
              <w:keepNext/>
              <w:widowControl w:val="0"/>
              <w:rPr>
                <w:b/>
                <w:bCs/>
              </w:rPr>
            </w:pPr>
            <w:r w:rsidRPr="0064109D">
              <w:rPr>
                <w:b/>
                <w:bCs/>
              </w:rPr>
              <w:t>$28,848</w:t>
            </w:r>
          </w:p>
        </w:tc>
        <w:tc>
          <w:tcPr>
            <w:tcW w:w="2254" w:type="dxa"/>
          </w:tcPr>
          <w:p w14:paraId="7800BF4D" w14:textId="52162264" w:rsidR="000C737B" w:rsidRPr="0064109D" w:rsidRDefault="000C737B" w:rsidP="0064109D">
            <w:pPr>
              <w:pStyle w:val="TableText"/>
              <w:keepNext/>
              <w:widowControl w:val="0"/>
              <w:rPr>
                <w:b/>
                <w:bCs/>
              </w:rPr>
            </w:pPr>
            <w:r w:rsidRPr="0064109D">
              <w:rPr>
                <w:b/>
                <w:bCs/>
              </w:rPr>
              <w:t>-$873</w:t>
            </w:r>
          </w:p>
        </w:tc>
      </w:tr>
      <w:tr w:rsidR="000C737B" w:rsidRPr="00E164CD" w14:paraId="0EAFEC1A" w14:textId="77777777">
        <w:tc>
          <w:tcPr>
            <w:tcW w:w="2254" w:type="dxa"/>
          </w:tcPr>
          <w:p w14:paraId="160A32BE" w14:textId="7804612E" w:rsidR="000C737B" w:rsidRPr="006F23FB" w:rsidRDefault="000C737B" w:rsidP="0064109D">
            <w:pPr>
              <w:pStyle w:val="TableText"/>
              <w:keepNext/>
              <w:widowControl w:val="0"/>
            </w:pPr>
            <w:r w:rsidRPr="006F23FB">
              <w:t>Hospital admissions for monitoring</w:t>
            </w:r>
            <w:r w:rsidR="006D545C">
              <w:t xml:space="preserve"> per patient</w:t>
            </w:r>
          </w:p>
        </w:tc>
        <w:tc>
          <w:tcPr>
            <w:tcW w:w="2254" w:type="dxa"/>
          </w:tcPr>
          <w:p w14:paraId="20495680" w14:textId="6673B68E" w:rsidR="000C737B" w:rsidRPr="006F23FB" w:rsidRDefault="00111974" w:rsidP="0064109D">
            <w:pPr>
              <w:pStyle w:val="TableText"/>
              <w:keepNext/>
              <w:widowControl w:val="0"/>
            </w:pPr>
            <w:r>
              <w:t>0.</w:t>
            </w:r>
            <w:r w:rsidR="000C737B" w:rsidRPr="006F23FB">
              <w:t>23</w:t>
            </w:r>
          </w:p>
        </w:tc>
        <w:tc>
          <w:tcPr>
            <w:tcW w:w="2254" w:type="dxa"/>
          </w:tcPr>
          <w:p w14:paraId="38883E2C" w14:textId="47EA4D3C" w:rsidR="000C737B" w:rsidRPr="006F23FB" w:rsidRDefault="00111974" w:rsidP="0064109D">
            <w:pPr>
              <w:pStyle w:val="TableText"/>
              <w:keepNext/>
              <w:widowControl w:val="0"/>
            </w:pPr>
            <w:r>
              <w:t>0.</w:t>
            </w:r>
            <w:r w:rsidR="000C737B" w:rsidRPr="006F23FB">
              <w:t>49</w:t>
            </w:r>
          </w:p>
        </w:tc>
        <w:tc>
          <w:tcPr>
            <w:tcW w:w="2254" w:type="dxa"/>
          </w:tcPr>
          <w:p w14:paraId="5DC5F75F" w14:textId="1CF41410" w:rsidR="000C737B" w:rsidRPr="006F23FB" w:rsidRDefault="000C737B" w:rsidP="0064109D">
            <w:pPr>
              <w:pStyle w:val="TableText"/>
              <w:keepNext/>
              <w:widowControl w:val="0"/>
            </w:pPr>
            <w:r w:rsidRPr="006F23FB">
              <w:t>-</w:t>
            </w:r>
            <w:r w:rsidR="00111974">
              <w:t>0.</w:t>
            </w:r>
            <w:r w:rsidRPr="006F23FB">
              <w:t>26</w:t>
            </w:r>
          </w:p>
        </w:tc>
      </w:tr>
      <w:tr w:rsidR="00F7340C" w:rsidRPr="005E538F" w14:paraId="175BFA2F" w14:textId="77777777">
        <w:tc>
          <w:tcPr>
            <w:tcW w:w="2254" w:type="dxa"/>
          </w:tcPr>
          <w:p w14:paraId="78DD36D1" w14:textId="54BB563D" w:rsidR="005E538F" w:rsidRPr="00836212" w:rsidRDefault="00BF3361" w:rsidP="0064109D">
            <w:pPr>
              <w:pStyle w:val="TableText"/>
              <w:keepNext/>
              <w:widowControl w:val="0"/>
              <w:rPr>
                <w:i/>
                <w:iCs/>
                <w:color w:val="0070C0"/>
              </w:rPr>
            </w:pPr>
            <w:r>
              <w:rPr>
                <w:i/>
                <w:iCs/>
                <w:color w:val="0070C0"/>
              </w:rPr>
              <w:t>ICER: c</w:t>
            </w:r>
            <w:r w:rsidR="005E538F">
              <w:rPr>
                <w:i/>
                <w:iCs/>
                <w:color w:val="0070C0"/>
              </w:rPr>
              <w:t>ost per hospital admission avoided</w:t>
            </w:r>
          </w:p>
        </w:tc>
        <w:tc>
          <w:tcPr>
            <w:tcW w:w="2254" w:type="dxa"/>
          </w:tcPr>
          <w:p w14:paraId="598CD946" w14:textId="77777777" w:rsidR="005E538F" w:rsidRPr="00836212" w:rsidRDefault="005E538F" w:rsidP="0064109D">
            <w:pPr>
              <w:pStyle w:val="TableText"/>
              <w:keepNext/>
              <w:widowControl w:val="0"/>
              <w:rPr>
                <w:i/>
                <w:iCs/>
                <w:color w:val="0070C0"/>
              </w:rPr>
            </w:pPr>
          </w:p>
        </w:tc>
        <w:tc>
          <w:tcPr>
            <w:tcW w:w="2254" w:type="dxa"/>
          </w:tcPr>
          <w:p w14:paraId="0B783B42" w14:textId="77777777" w:rsidR="005E538F" w:rsidRPr="00836212" w:rsidRDefault="005E538F" w:rsidP="0064109D">
            <w:pPr>
              <w:pStyle w:val="TableText"/>
              <w:keepNext/>
              <w:widowControl w:val="0"/>
              <w:rPr>
                <w:i/>
                <w:iCs/>
                <w:color w:val="0070C0"/>
              </w:rPr>
            </w:pPr>
          </w:p>
        </w:tc>
        <w:tc>
          <w:tcPr>
            <w:tcW w:w="2254" w:type="dxa"/>
          </w:tcPr>
          <w:p w14:paraId="1E860AE0" w14:textId="21589EA5" w:rsidR="005E538F" w:rsidRPr="00836212" w:rsidRDefault="00BF3361" w:rsidP="0064109D">
            <w:pPr>
              <w:pStyle w:val="TableText"/>
              <w:keepNext/>
              <w:widowControl w:val="0"/>
              <w:rPr>
                <w:i/>
                <w:iCs/>
                <w:color w:val="0070C0"/>
              </w:rPr>
            </w:pPr>
            <w:r>
              <w:rPr>
                <w:i/>
                <w:iCs/>
                <w:color w:val="0070C0"/>
              </w:rPr>
              <w:t>$3</w:t>
            </w:r>
            <w:r w:rsidR="00CC3F9D">
              <w:rPr>
                <w:i/>
                <w:iCs/>
                <w:color w:val="0070C0"/>
              </w:rPr>
              <w:t>,331</w:t>
            </w:r>
          </w:p>
        </w:tc>
      </w:tr>
    </w:tbl>
    <w:p w14:paraId="3DA50E84" w14:textId="7F4A0ED0" w:rsidR="00837898" w:rsidRPr="0064109D" w:rsidRDefault="00837898" w:rsidP="005B57D6">
      <w:pPr>
        <w:spacing w:before="0" w:after="0"/>
        <w:rPr>
          <w:rFonts w:ascii="Arial Narrow" w:eastAsia="Calibri" w:hAnsi="Arial Narrow" w:cs="Arial"/>
          <w:snapToGrid w:val="0"/>
          <w:sz w:val="18"/>
          <w:szCs w:val="20"/>
          <w:lang w:eastAsia="en-AU"/>
        </w:rPr>
      </w:pPr>
      <w:bookmarkStart w:id="25" w:name="_Ref69726321"/>
      <w:r w:rsidRPr="0064109D">
        <w:rPr>
          <w:rFonts w:ascii="Arial Narrow" w:eastAsia="Calibri" w:hAnsi="Arial Narrow" w:cs="Arial"/>
          <w:b/>
          <w:bCs/>
          <w:snapToGrid w:val="0"/>
          <w:sz w:val="18"/>
          <w:szCs w:val="20"/>
          <w:u w:val="single"/>
          <w:lang w:eastAsia="en-AU"/>
        </w:rPr>
        <w:t>Abbreviations</w:t>
      </w:r>
      <w:r w:rsidR="00B013B1" w:rsidRPr="00C577B3">
        <w:rPr>
          <w:rFonts w:ascii="Arial Narrow" w:hAnsi="Arial Narrow"/>
          <w:b/>
          <w:bCs/>
          <w:sz w:val="18"/>
          <w:szCs w:val="18"/>
        </w:rPr>
        <w:t>:</w:t>
      </w:r>
      <w:r w:rsidR="00B013B1">
        <w:rPr>
          <w:rFonts w:ascii="Arial Narrow" w:hAnsi="Arial Narrow"/>
          <w:b/>
          <w:bCs/>
          <w:sz w:val="18"/>
          <w:szCs w:val="18"/>
        </w:rPr>
        <w:t xml:space="preserve"> </w:t>
      </w:r>
      <w:r w:rsidR="004F7AAD" w:rsidRPr="00105291">
        <w:rPr>
          <w:rFonts w:ascii="Arial Narrow" w:eastAsia="Calibri" w:hAnsi="Arial Narrow" w:cs="Arial"/>
          <w:b/>
          <w:bCs/>
          <w:snapToGrid w:val="0"/>
          <w:sz w:val="18"/>
          <w:szCs w:val="20"/>
          <w:lang w:eastAsia="en-AU"/>
        </w:rPr>
        <w:t>ICER</w:t>
      </w:r>
      <w:r w:rsidR="00105291">
        <w:rPr>
          <w:rFonts w:ascii="Arial Narrow" w:eastAsia="Calibri" w:hAnsi="Arial Narrow" w:cs="Arial"/>
          <w:b/>
          <w:bCs/>
          <w:snapToGrid w:val="0"/>
          <w:sz w:val="18"/>
          <w:szCs w:val="20"/>
          <w:lang w:eastAsia="en-AU"/>
        </w:rPr>
        <w:t xml:space="preserve"> </w:t>
      </w:r>
      <w:r w:rsidR="00105291">
        <w:rPr>
          <w:rFonts w:ascii="Arial Narrow" w:eastAsia="Calibri" w:hAnsi="Arial Narrow" w:cs="Arial"/>
          <w:snapToGrid w:val="0"/>
          <w:sz w:val="18"/>
          <w:szCs w:val="20"/>
          <w:lang w:eastAsia="en-AU"/>
        </w:rPr>
        <w:t>= incremental cost-effectiveness ratio;</w:t>
      </w:r>
      <w:r w:rsidR="00105291">
        <w:rPr>
          <w:rFonts w:ascii="Arial Narrow" w:eastAsia="Calibri" w:hAnsi="Arial Narrow" w:cs="Arial"/>
          <w:b/>
          <w:bCs/>
          <w:snapToGrid w:val="0"/>
          <w:sz w:val="18"/>
          <w:szCs w:val="20"/>
          <w:lang w:eastAsia="en-AU"/>
        </w:rPr>
        <w:t xml:space="preserve"> </w:t>
      </w:r>
      <w:r w:rsidRPr="00105291">
        <w:rPr>
          <w:rFonts w:ascii="Arial Narrow" w:eastAsia="Calibri" w:hAnsi="Arial Narrow" w:cs="Arial"/>
          <w:b/>
          <w:bCs/>
          <w:snapToGrid w:val="0"/>
          <w:sz w:val="18"/>
          <w:szCs w:val="20"/>
          <w:lang w:eastAsia="en-AU"/>
        </w:rPr>
        <w:t>sFlt</w:t>
      </w:r>
      <w:r w:rsidRPr="00BE1AD4">
        <w:rPr>
          <w:rFonts w:ascii="Arial Narrow" w:eastAsia="Calibri" w:hAnsi="Arial Narrow" w:cs="Arial"/>
          <w:b/>
          <w:bCs/>
          <w:snapToGrid w:val="0"/>
          <w:sz w:val="18"/>
          <w:szCs w:val="20"/>
          <w:lang w:eastAsia="en-AU"/>
        </w:rPr>
        <w:t>-1:PlGF</w:t>
      </w:r>
      <w:r w:rsidRPr="0064109D">
        <w:rPr>
          <w:rFonts w:ascii="Arial Narrow" w:eastAsia="Calibri" w:hAnsi="Arial Narrow" w:cs="Arial"/>
          <w:snapToGrid w:val="0"/>
          <w:sz w:val="18"/>
          <w:szCs w:val="20"/>
          <w:lang w:eastAsia="en-AU"/>
        </w:rPr>
        <w:t xml:space="preserve"> = soluble FMS-like tyrosine kinase-1:placental growth factor</w:t>
      </w:r>
    </w:p>
    <w:p w14:paraId="2B96666B" w14:textId="629FD07F" w:rsidR="00E67ABD" w:rsidRPr="0064109D" w:rsidRDefault="00E67ABD" w:rsidP="005B57D6">
      <w:pPr>
        <w:spacing w:before="0" w:after="0"/>
        <w:rPr>
          <w:rFonts w:ascii="Arial Narrow" w:eastAsia="Calibri" w:hAnsi="Arial Narrow" w:cs="Arial"/>
          <w:snapToGrid w:val="0"/>
          <w:sz w:val="18"/>
          <w:szCs w:val="20"/>
          <w:lang w:eastAsia="en-AU"/>
        </w:rPr>
      </w:pPr>
      <w:r w:rsidRPr="0064109D">
        <w:rPr>
          <w:rFonts w:ascii="Arial Narrow" w:eastAsia="Calibri" w:hAnsi="Arial Narrow" w:cs="Arial"/>
          <w:b/>
          <w:bCs/>
          <w:snapToGrid w:val="0"/>
          <w:sz w:val="18"/>
          <w:szCs w:val="20"/>
          <w:u w:val="single"/>
          <w:lang w:eastAsia="en-AU"/>
        </w:rPr>
        <w:t>Source</w:t>
      </w:r>
      <w:r w:rsidR="00B013B1" w:rsidRPr="00C577B3">
        <w:rPr>
          <w:rFonts w:ascii="Arial Narrow" w:hAnsi="Arial Narrow"/>
          <w:b/>
          <w:bCs/>
          <w:sz w:val="18"/>
          <w:szCs w:val="18"/>
        </w:rPr>
        <w:t>:</w:t>
      </w:r>
      <w:r w:rsidR="00B013B1">
        <w:rPr>
          <w:rFonts w:ascii="Arial Narrow" w:hAnsi="Arial Narrow"/>
          <w:b/>
          <w:bCs/>
          <w:sz w:val="18"/>
          <w:szCs w:val="18"/>
        </w:rPr>
        <w:t xml:space="preserve"> </w:t>
      </w:r>
      <w:r w:rsidR="00BE1AD4">
        <w:rPr>
          <w:rFonts w:ascii="Arial Narrow" w:eastAsia="Calibri" w:hAnsi="Arial Narrow" w:cs="Arial"/>
          <w:snapToGrid w:val="0"/>
          <w:sz w:val="18"/>
          <w:szCs w:val="20"/>
          <w:lang w:eastAsia="en-AU"/>
        </w:rPr>
        <w:t xml:space="preserve">Adapted from </w:t>
      </w:r>
      <w:r w:rsidRPr="0064109D">
        <w:rPr>
          <w:rFonts w:ascii="Arial Narrow" w:eastAsia="Calibri" w:hAnsi="Arial Narrow" w:cs="Arial"/>
          <w:snapToGrid w:val="0"/>
          <w:sz w:val="18"/>
          <w:szCs w:val="20"/>
          <w:lang w:eastAsia="en-AU"/>
        </w:rPr>
        <w:t>ADAR Table 35</w:t>
      </w:r>
      <w:r w:rsidR="00111974">
        <w:rPr>
          <w:rFonts w:ascii="Arial Narrow" w:eastAsia="Calibri" w:hAnsi="Arial Narrow" w:cs="Arial"/>
          <w:snapToGrid w:val="0"/>
          <w:sz w:val="18"/>
          <w:szCs w:val="20"/>
          <w:lang w:eastAsia="en-AU"/>
        </w:rPr>
        <w:t xml:space="preserve"> and Post ESC</w:t>
      </w:r>
      <w:r w:rsidR="005E538F">
        <w:rPr>
          <w:rFonts w:ascii="Arial Narrow" w:eastAsia="Calibri" w:hAnsi="Arial Narrow" w:cs="Arial"/>
          <w:snapToGrid w:val="0"/>
          <w:sz w:val="18"/>
          <w:szCs w:val="20"/>
          <w:lang w:eastAsia="en-AU"/>
        </w:rPr>
        <w:t>. ESC’s additions are shown in blue italics</w:t>
      </w:r>
      <w:r w:rsidR="00AF4376">
        <w:rPr>
          <w:rFonts w:ascii="Arial Narrow" w:eastAsia="Calibri" w:hAnsi="Arial Narrow" w:cs="Arial"/>
          <w:snapToGrid w:val="0"/>
          <w:sz w:val="18"/>
          <w:szCs w:val="20"/>
          <w:lang w:eastAsia="en-AU"/>
        </w:rPr>
        <w:t xml:space="preserve">: the ICER </w:t>
      </w:r>
      <w:r w:rsidR="006C73CF">
        <w:rPr>
          <w:rFonts w:ascii="Arial Narrow" w:eastAsia="Calibri" w:hAnsi="Arial Narrow" w:cs="Arial"/>
          <w:snapToGrid w:val="0"/>
          <w:sz w:val="18"/>
          <w:szCs w:val="20"/>
          <w:lang w:eastAsia="en-AU"/>
        </w:rPr>
        <w:t>wa</w:t>
      </w:r>
      <w:r w:rsidR="00AF4376">
        <w:rPr>
          <w:rFonts w:ascii="Arial Narrow" w:eastAsia="Calibri" w:hAnsi="Arial Narrow" w:cs="Arial"/>
          <w:snapToGrid w:val="0"/>
          <w:sz w:val="18"/>
          <w:szCs w:val="20"/>
          <w:lang w:eastAsia="en-AU"/>
        </w:rPr>
        <w:t xml:space="preserve">s calculated as </w:t>
      </w:r>
      <w:r w:rsidR="007840B6">
        <w:rPr>
          <w:rFonts w:ascii="Arial Narrow" w:eastAsia="Calibri" w:hAnsi="Arial Narrow" w:cs="Arial"/>
          <w:snapToGrid w:val="0"/>
          <w:sz w:val="18"/>
          <w:szCs w:val="20"/>
          <w:lang w:eastAsia="en-AU"/>
        </w:rPr>
        <w:t>cost</w:t>
      </w:r>
      <w:r w:rsidR="008A5983">
        <w:rPr>
          <w:rFonts w:ascii="Arial Narrow" w:eastAsia="Calibri" w:hAnsi="Arial Narrow" w:cs="Arial"/>
          <w:snapToGrid w:val="0"/>
          <w:sz w:val="18"/>
          <w:szCs w:val="20"/>
          <w:lang w:eastAsia="en-AU"/>
        </w:rPr>
        <w:t xml:space="preserve"> saving per patient divided by </w:t>
      </w:r>
      <w:r w:rsidR="00301B26">
        <w:rPr>
          <w:rFonts w:ascii="Arial Narrow" w:eastAsia="Calibri" w:hAnsi="Arial Narrow" w:cs="Arial"/>
          <w:snapToGrid w:val="0"/>
          <w:sz w:val="18"/>
          <w:szCs w:val="20"/>
          <w:lang w:eastAsia="en-AU"/>
        </w:rPr>
        <w:t>hospital admissions avoided</w:t>
      </w:r>
      <w:r w:rsidR="00105291">
        <w:rPr>
          <w:rFonts w:ascii="Arial Narrow" w:eastAsia="Calibri" w:hAnsi="Arial Narrow" w:cs="Arial"/>
          <w:snapToGrid w:val="0"/>
          <w:sz w:val="18"/>
          <w:szCs w:val="20"/>
          <w:lang w:eastAsia="en-AU"/>
        </w:rPr>
        <w:t>.</w:t>
      </w:r>
    </w:p>
    <w:p w14:paraId="20C93A4D" w14:textId="07DAF6A7" w:rsidR="0051186F" w:rsidRPr="00CE28E3" w:rsidRDefault="0051186F" w:rsidP="0051186F">
      <w:pPr>
        <w:pStyle w:val="Caption"/>
      </w:pPr>
      <w:bookmarkStart w:id="26" w:name="_Ref148355052"/>
      <w:r w:rsidRPr="00CE28E3">
        <w:lastRenderedPageBreak/>
        <w:t>Table</w:t>
      </w:r>
      <w:r>
        <w:t> </w:t>
      </w:r>
      <w:r w:rsidR="009C163C">
        <w:fldChar w:fldCharType="begin"/>
      </w:r>
      <w:r w:rsidR="009C163C">
        <w:instrText xml:space="preserve"> SEQ Table \* ARABIC </w:instrText>
      </w:r>
      <w:r w:rsidR="009C163C">
        <w:fldChar w:fldCharType="separate"/>
      </w:r>
      <w:r w:rsidR="009D7CE9">
        <w:rPr>
          <w:noProof/>
        </w:rPr>
        <w:t>10</w:t>
      </w:r>
      <w:r w:rsidR="009C163C">
        <w:rPr>
          <w:noProof/>
        </w:rPr>
        <w:fldChar w:fldCharType="end"/>
      </w:r>
      <w:bookmarkEnd w:id="25"/>
      <w:bookmarkEnd w:id="26"/>
      <w:r w:rsidRPr="00CE28E3">
        <w:tab/>
        <w:t>Key drivers of the model</w:t>
      </w:r>
    </w:p>
    <w:tbl>
      <w:tblPr>
        <w:tblStyle w:val="TableGrid1"/>
        <w:tblW w:w="5000" w:type="pct"/>
        <w:tblLayout w:type="fixed"/>
        <w:tblCellMar>
          <w:left w:w="28" w:type="dxa"/>
          <w:right w:w="28" w:type="dxa"/>
        </w:tblCellMar>
        <w:tblLook w:val="04A0" w:firstRow="1" w:lastRow="0" w:firstColumn="1" w:lastColumn="0" w:noHBand="0" w:noVBand="1"/>
      </w:tblPr>
      <w:tblGrid>
        <w:gridCol w:w="1838"/>
        <w:gridCol w:w="4394"/>
        <w:gridCol w:w="2784"/>
      </w:tblGrid>
      <w:tr w:rsidR="0051186F" w:rsidRPr="00CE28E3" w14:paraId="08E617D7" w14:textId="77777777" w:rsidTr="00836212">
        <w:trPr>
          <w:cnfStyle w:val="100000000000" w:firstRow="1" w:lastRow="0" w:firstColumn="0" w:lastColumn="0" w:oddVBand="0" w:evenVBand="0" w:oddHBand="0" w:evenHBand="0" w:firstRowFirstColumn="0" w:firstRowLastColumn="0" w:lastRowFirstColumn="0" w:lastRowLastColumn="0"/>
          <w:tblHeader/>
        </w:trPr>
        <w:tc>
          <w:tcPr>
            <w:tcW w:w="1019" w:type="pct"/>
            <w:shd w:val="clear" w:color="auto" w:fill="auto"/>
            <w:vAlign w:val="center"/>
          </w:tcPr>
          <w:p w14:paraId="62CE5BE2" w14:textId="77777777" w:rsidR="0051186F" w:rsidRPr="00CE28E3" w:rsidRDefault="0051186F" w:rsidP="0064109D">
            <w:pPr>
              <w:pStyle w:val="In-tableHeading"/>
            </w:pPr>
            <w:bookmarkStart w:id="27" w:name="Title_Table10" w:colFirst="0" w:colLast="0"/>
            <w:bookmarkStart w:id="28" w:name="_Hlk68276626"/>
            <w:r w:rsidRPr="00CE28E3">
              <w:t>Description</w:t>
            </w:r>
          </w:p>
        </w:tc>
        <w:tc>
          <w:tcPr>
            <w:tcW w:w="2437" w:type="pct"/>
            <w:shd w:val="clear" w:color="auto" w:fill="auto"/>
            <w:vAlign w:val="center"/>
          </w:tcPr>
          <w:p w14:paraId="21A7EAFC" w14:textId="77777777" w:rsidR="0051186F" w:rsidRPr="00CE28E3" w:rsidRDefault="0051186F" w:rsidP="0064109D">
            <w:pPr>
              <w:pStyle w:val="In-tableHeading"/>
            </w:pPr>
            <w:r w:rsidRPr="00CE28E3">
              <w:t>Method/Value</w:t>
            </w:r>
          </w:p>
        </w:tc>
        <w:tc>
          <w:tcPr>
            <w:tcW w:w="1544" w:type="pct"/>
            <w:shd w:val="clear" w:color="auto" w:fill="auto"/>
            <w:vAlign w:val="center"/>
          </w:tcPr>
          <w:p w14:paraId="41EE7F04" w14:textId="77777777" w:rsidR="0051186F" w:rsidRPr="00CE28E3" w:rsidRDefault="0051186F" w:rsidP="0064109D">
            <w:pPr>
              <w:pStyle w:val="In-tableHeading"/>
            </w:pPr>
            <w:r w:rsidRPr="00CE28E3">
              <w:t>Impact</w:t>
            </w:r>
          </w:p>
          <w:p w14:paraId="758BA281" w14:textId="5AEB4080" w:rsidR="0051186F" w:rsidRPr="00CE28E3" w:rsidRDefault="0051186F" w:rsidP="0064109D">
            <w:pPr>
              <w:pStyle w:val="In-tableHeading"/>
              <w:spacing w:after="160"/>
            </w:pPr>
            <w:r w:rsidRPr="00CE28E3">
              <w:rPr>
                <w:rFonts w:cs="Arial"/>
                <w:szCs w:val="20"/>
              </w:rPr>
              <w:t xml:space="preserve">Base case: </w:t>
            </w:r>
            <w:r w:rsidR="007246C3">
              <w:rPr>
                <w:rFonts w:cs="Arial"/>
                <w:szCs w:val="20"/>
              </w:rPr>
              <w:t>cost-saving of $873</w:t>
            </w:r>
          </w:p>
        </w:tc>
      </w:tr>
      <w:tr w:rsidR="00331143" w:rsidRPr="002C1093" w14:paraId="27D4AAEC" w14:textId="77777777">
        <w:tc>
          <w:tcPr>
            <w:tcW w:w="1019" w:type="pct"/>
            <w:shd w:val="clear" w:color="auto" w:fill="auto"/>
            <w:vAlign w:val="center"/>
          </w:tcPr>
          <w:p w14:paraId="075B6274" w14:textId="77777777" w:rsidR="00331143" w:rsidRPr="001B77D5" w:rsidRDefault="00331143">
            <w:pPr>
              <w:pStyle w:val="TableText"/>
              <w:rPr>
                <w:i/>
                <w:iCs/>
                <w:color w:val="0070C0"/>
                <w:lang w:val="en-US"/>
              </w:rPr>
            </w:pPr>
            <w:r>
              <w:rPr>
                <w:i/>
                <w:iCs/>
                <w:color w:val="0070C0"/>
                <w:lang w:val="en-US"/>
              </w:rPr>
              <w:t>Reduction in inpatient management</w:t>
            </w:r>
          </w:p>
        </w:tc>
        <w:tc>
          <w:tcPr>
            <w:tcW w:w="2437" w:type="pct"/>
            <w:shd w:val="clear" w:color="auto" w:fill="auto"/>
            <w:vAlign w:val="center"/>
          </w:tcPr>
          <w:p w14:paraId="57DCA13B" w14:textId="41AA4DDA" w:rsidR="00331143" w:rsidRPr="001B77D5" w:rsidRDefault="00331143">
            <w:pPr>
              <w:pStyle w:val="TableText"/>
              <w:rPr>
                <w:i/>
                <w:iCs/>
                <w:color w:val="0070C0"/>
                <w:lang w:val="en-US"/>
              </w:rPr>
            </w:pPr>
            <w:r>
              <w:rPr>
                <w:i/>
                <w:iCs/>
                <w:color w:val="0070C0"/>
                <w:lang w:val="en-US"/>
              </w:rPr>
              <w:t xml:space="preserve">Base case </w:t>
            </w:r>
            <w:r w:rsidR="00384A2A">
              <w:rPr>
                <w:i/>
                <w:iCs/>
                <w:color w:val="0070C0"/>
                <w:lang w:val="en-US"/>
              </w:rPr>
              <w:t>53.3</w:t>
            </w:r>
            <w:r>
              <w:rPr>
                <w:i/>
                <w:iCs/>
                <w:color w:val="0070C0"/>
                <w:lang w:val="en-US"/>
              </w:rPr>
              <w:t>% reduction (Suresh 2020), however other studies reported considerably different values (1</w:t>
            </w:r>
            <w:r w:rsidR="00384A2A">
              <w:rPr>
                <w:i/>
                <w:iCs/>
                <w:color w:val="0070C0"/>
                <w:lang w:val="en-US"/>
              </w:rPr>
              <w:t>5.0</w:t>
            </w:r>
            <w:r>
              <w:rPr>
                <w:i/>
                <w:iCs/>
                <w:color w:val="0070C0"/>
                <w:lang w:val="en-US"/>
              </w:rPr>
              <w:t xml:space="preserve">% reduction in Klein 2016; </w:t>
            </w:r>
            <w:r w:rsidR="00793C8C">
              <w:rPr>
                <w:i/>
                <w:iCs/>
                <w:color w:val="0070C0"/>
                <w:lang w:val="en-US"/>
              </w:rPr>
              <w:t>23.7</w:t>
            </w:r>
            <w:r>
              <w:rPr>
                <w:i/>
                <w:iCs/>
                <w:color w:val="0070C0"/>
                <w:lang w:val="en-US"/>
              </w:rPr>
              <w:t xml:space="preserve">% increase in </w:t>
            </w:r>
            <w:proofErr w:type="spellStart"/>
            <w:r w:rsidRPr="00AC37B8">
              <w:rPr>
                <w:i/>
                <w:iCs/>
                <w:color w:val="0070C0"/>
              </w:rPr>
              <w:t>Cerdeira</w:t>
            </w:r>
            <w:proofErr w:type="spellEnd"/>
            <w:r w:rsidRPr="00AC37B8">
              <w:rPr>
                <w:i/>
                <w:iCs/>
                <w:color w:val="0070C0"/>
              </w:rPr>
              <w:t xml:space="preserve"> 2019</w:t>
            </w:r>
            <w:r>
              <w:rPr>
                <w:i/>
                <w:iCs/>
                <w:color w:val="0070C0"/>
              </w:rPr>
              <w:t>).</w:t>
            </w:r>
          </w:p>
        </w:tc>
        <w:tc>
          <w:tcPr>
            <w:tcW w:w="1544" w:type="pct"/>
            <w:shd w:val="clear" w:color="auto" w:fill="auto"/>
            <w:vAlign w:val="center"/>
          </w:tcPr>
          <w:p w14:paraId="46222AE7" w14:textId="7ACD2AC5" w:rsidR="00331143" w:rsidRPr="001B77D5" w:rsidRDefault="00331143">
            <w:pPr>
              <w:pStyle w:val="TableText"/>
              <w:rPr>
                <w:i/>
                <w:iCs/>
                <w:color w:val="0070C0"/>
                <w:lang w:val="en-US"/>
              </w:rPr>
            </w:pPr>
            <w:r>
              <w:rPr>
                <w:i/>
                <w:iCs/>
                <w:color w:val="0070C0"/>
                <w:lang w:val="en-US"/>
              </w:rPr>
              <w:t xml:space="preserve">The reduction in inpatient management was the key driver, yet </w:t>
            </w:r>
            <w:r w:rsidR="00444333">
              <w:rPr>
                <w:i/>
                <w:iCs/>
                <w:color w:val="0070C0"/>
                <w:lang w:val="en-US"/>
              </w:rPr>
              <w:t>substantial variation has been reported</w:t>
            </w:r>
            <w:r w:rsidR="001839B1">
              <w:rPr>
                <w:i/>
                <w:iCs/>
                <w:color w:val="0070C0"/>
                <w:lang w:val="en-US"/>
              </w:rPr>
              <w:t>.</w:t>
            </w:r>
          </w:p>
        </w:tc>
      </w:tr>
      <w:bookmarkEnd w:id="27"/>
      <w:tr w:rsidR="0051186F" w:rsidRPr="00CE28E3" w14:paraId="74F1B12D" w14:textId="77777777" w:rsidTr="00836212">
        <w:tc>
          <w:tcPr>
            <w:tcW w:w="1019" w:type="pct"/>
            <w:shd w:val="clear" w:color="auto" w:fill="auto"/>
            <w:vAlign w:val="center"/>
          </w:tcPr>
          <w:p w14:paraId="7E2D5903" w14:textId="2078E347" w:rsidR="0051186F" w:rsidRPr="00CE28E3" w:rsidRDefault="00E16607" w:rsidP="0064109D">
            <w:pPr>
              <w:pStyle w:val="TableText"/>
              <w:rPr>
                <w:lang w:val="en-US"/>
              </w:rPr>
            </w:pPr>
            <w:r>
              <w:rPr>
                <w:lang w:val="en-US"/>
              </w:rPr>
              <w:t>Model structure</w:t>
            </w:r>
          </w:p>
        </w:tc>
        <w:tc>
          <w:tcPr>
            <w:tcW w:w="2437" w:type="pct"/>
            <w:shd w:val="clear" w:color="auto" w:fill="auto"/>
            <w:vAlign w:val="center"/>
          </w:tcPr>
          <w:p w14:paraId="00581665" w14:textId="5AC10A53" w:rsidR="0051186F" w:rsidRPr="00CE28E3" w:rsidRDefault="003B2489">
            <w:pPr>
              <w:pStyle w:val="TableText"/>
              <w:rPr>
                <w:lang w:val="en-US"/>
              </w:rPr>
            </w:pPr>
            <w:r>
              <w:rPr>
                <w:lang w:val="en-US"/>
              </w:rPr>
              <w:t xml:space="preserve">The decision tree underestimated </w:t>
            </w:r>
            <w:r w:rsidR="00E25DF0">
              <w:rPr>
                <w:lang w:val="en-US"/>
              </w:rPr>
              <w:t>costs for the intervention</w:t>
            </w:r>
          </w:p>
        </w:tc>
        <w:tc>
          <w:tcPr>
            <w:tcW w:w="1544" w:type="pct"/>
            <w:shd w:val="clear" w:color="auto" w:fill="auto"/>
            <w:vAlign w:val="center"/>
          </w:tcPr>
          <w:p w14:paraId="4DA603EE" w14:textId="3F65BEA3" w:rsidR="0051186F" w:rsidRPr="00CE28E3" w:rsidRDefault="0051186F" w:rsidP="00837898">
            <w:pPr>
              <w:pStyle w:val="TableText"/>
              <w:rPr>
                <w:i/>
                <w:lang w:val="en-US"/>
              </w:rPr>
            </w:pPr>
            <w:r w:rsidRPr="00CE28E3">
              <w:rPr>
                <w:i/>
                <w:lang w:val="en-US"/>
              </w:rPr>
              <w:t xml:space="preserve">High, </w:t>
            </w:r>
            <w:proofErr w:type="spellStart"/>
            <w:r w:rsidRPr="00CE28E3">
              <w:rPr>
                <w:i/>
                <w:lang w:val="en-US"/>
              </w:rPr>
              <w:t>favour</w:t>
            </w:r>
            <w:r w:rsidR="00066EE7">
              <w:rPr>
                <w:i/>
                <w:lang w:val="en-US"/>
              </w:rPr>
              <w:t>ed</w:t>
            </w:r>
            <w:proofErr w:type="spellEnd"/>
            <w:r w:rsidR="007246C3">
              <w:rPr>
                <w:i/>
                <w:lang w:val="en-US"/>
              </w:rPr>
              <w:t xml:space="preserve"> </w:t>
            </w:r>
            <w:r w:rsidR="007246C3" w:rsidRPr="007246C3">
              <w:rPr>
                <w:i/>
                <w:lang w:val="en-US"/>
              </w:rPr>
              <w:t>sFlt-1:PlGF ratio testing</w:t>
            </w:r>
          </w:p>
        </w:tc>
      </w:tr>
      <w:tr w:rsidR="0051186F" w:rsidRPr="00CE28E3" w14:paraId="33EEA245" w14:textId="77777777" w:rsidTr="00836212">
        <w:tc>
          <w:tcPr>
            <w:tcW w:w="1019" w:type="pct"/>
            <w:shd w:val="clear" w:color="auto" w:fill="auto"/>
            <w:vAlign w:val="center"/>
          </w:tcPr>
          <w:p w14:paraId="772704E1" w14:textId="338B8A7E" w:rsidR="0051186F" w:rsidRPr="00CE28E3" w:rsidRDefault="00624CAB" w:rsidP="0064109D">
            <w:pPr>
              <w:pStyle w:val="TableText"/>
              <w:rPr>
                <w:lang w:val="en-US"/>
              </w:rPr>
            </w:pPr>
            <w:r>
              <w:rPr>
                <w:lang w:val="en-US"/>
              </w:rPr>
              <w:t>Frequency of repeat testing</w:t>
            </w:r>
          </w:p>
        </w:tc>
        <w:tc>
          <w:tcPr>
            <w:tcW w:w="2437" w:type="pct"/>
            <w:shd w:val="clear" w:color="auto" w:fill="auto"/>
            <w:vAlign w:val="center"/>
          </w:tcPr>
          <w:p w14:paraId="2EF31D8E" w14:textId="3D4F4F27" w:rsidR="0051186F" w:rsidRPr="00CE28E3" w:rsidRDefault="00624CAB">
            <w:pPr>
              <w:pStyle w:val="TableText"/>
              <w:rPr>
                <w:lang w:val="en-US"/>
              </w:rPr>
            </w:pPr>
            <w:r>
              <w:rPr>
                <w:lang w:val="en-US"/>
              </w:rPr>
              <w:t>Source</w:t>
            </w:r>
            <w:r w:rsidR="0042000D">
              <w:rPr>
                <w:lang w:val="en-US"/>
              </w:rPr>
              <w:t xml:space="preserve"> of 1.7 tests per pregnancy</w:t>
            </w:r>
            <w:r>
              <w:rPr>
                <w:lang w:val="en-US"/>
              </w:rPr>
              <w:t xml:space="preserve"> </w:t>
            </w:r>
            <w:r w:rsidR="00C440D8">
              <w:rPr>
                <w:lang w:val="en-US"/>
              </w:rPr>
              <w:t>wa</w:t>
            </w:r>
            <w:r>
              <w:rPr>
                <w:lang w:val="en-US"/>
              </w:rPr>
              <w:t xml:space="preserve">s uncertain and </w:t>
            </w:r>
            <w:r w:rsidR="0042000D">
              <w:rPr>
                <w:lang w:val="en-US"/>
              </w:rPr>
              <w:t xml:space="preserve">undescribed </w:t>
            </w:r>
          </w:p>
        </w:tc>
        <w:tc>
          <w:tcPr>
            <w:tcW w:w="1544" w:type="pct"/>
            <w:shd w:val="clear" w:color="auto" w:fill="auto"/>
            <w:vAlign w:val="center"/>
          </w:tcPr>
          <w:p w14:paraId="03356EF7" w14:textId="269C6023" w:rsidR="0051186F" w:rsidRPr="00CE28E3" w:rsidRDefault="00AF475D" w:rsidP="00837898">
            <w:pPr>
              <w:pStyle w:val="TableText"/>
              <w:spacing w:after="160"/>
              <w:rPr>
                <w:i/>
                <w:lang w:val="en-US"/>
              </w:rPr>
            </w:pPr>
            <w:r>
              <w:rPr>
                <w:i/>
                <w:lang w:val="en-US"/>
              </w:rPr>
              <w:t xml:space="preserve">High, </w:t>
            </w:r>
            <w:proofErr w:type="spellStart"/>
            <w:r>
              <w:rPr>
                <w:i/>
                <w:lang w:val="en-US"/>
              </w:rPr>
              <w:t>favour</w:t>
            </w:r>
            <w:r w:rsidR="00066EE7">
              <w:rPr>
                <w:i/>
                <w:lang w:val="en-US"/>
              </w:rPr>
              <w:t>ed</w:t>
            </w:r>
            <w:proofErr w:type="spellEnd"/>
            <w:r>
              <w:rPr>
                <w:i/>
                <w:lang w:val="en-US"/>
              </w:rPr>
              <w:t xml:space="preserve"> </w:t>
            </w:r>
            <w:r w:rsidRPr="00AF475D">
              <w:rPr>
                <w:i/>
                <w:lang w:val="en-US"/>
              </w:rPr>
              <w:t>sFlt-1:PlGF ratio testing</w:t>
            </w:r>
          </w:p>
        </w:tc>
      </w:tr>
      <w:tr w:rsidR="0051186F" w:rsidRPr="00CE28E3" w14:paraId="3DB63287" w14:textId="77777777" w:rsidTr="00836212">
        <w:tc>
          <w:tcPr>
            <w:tcW w:w="1019" w:type="pct"/>
            <w:shd w:val="clear" w:color="auto" w:fill="auto"/>
            <w:vAlign w:val="center"/>
          </w:tcPr>
          <w:p w14:paraId="64D3EECF" w14:textId="235C070C" w:rsidR="0051186F" w:rsidRPr="00CE28E3" w:rsidRDefault="0042000D" w:rsidP="0064109D">
            <w:pPr>
              <w:pStyle w:val="TableText"/>
              <w:rPr>
                <w:lang w:val="en-US"/>
              </w:rPr>
            </w:pPr>
            <w:r>
              <w:rPr>
                <w:lang w:val="en-US"/>
              </w:rPr>
              <w:t>Long term outcomes</w:t>
            </w:r>
          </w:p>
        </w:tc>
        <w:tc>
          <w:tcPr>
            <w:tcW w:w="2437" w:type="pct"/>
            <w:shd w:val="clear" w:color="auto" w:fill="auto"/>
            <w:vAlign w:val="center"/>
          </w:tcPr>
          <w:p w14:paraId="317D5F74" w14:textId="03CF728E" w:rsidR="0051186F" w:rsidRPr="00CE28E3" w:rsidRDefault="0042000D">
            <w:pPr>
              <w:pStyle w:val="TableText"/>
              <w:rPr>
                <w:lang w:val="en-US"/>
              </w:rPr>
            </w:pPr>
            <w:r>
              <w:rPr>
                <w:lang w:val="en-US"/>
              </w:rPr>
              <w:t>Long term m</w:t>
            </w:r>
            <w:r w:rsidRPr="0042000D">
              <w:rPr>
                <w:lang w:val="en-US"/>
              </w:rPr>
              <w:t xml:space="preserve">aternal and </w:t>
            </w:r>
            <w:r w:rsidR="00561105">
              <w:rPr>
                <w:lang w:val="en-US"/>
              </w:rPr>
              <w:t>fetal</w:t>
            </w:r>
            <w:r w:rsidRPr="0042000D">
              <w:rPr>
                <w:lang w:val="en-US"/>
              </w:rPr>
              <w:t xml:space="preserve"> adverse</w:t>
            </w:r>
            <w:r>
              <w:rPr>
                <w:lang w:val="en-US"/>
              </w:rPr>
              <w:t xml:space="preserve"> health</w:t>
            </w:r>
            <w:r w:rsidRPr="0042000D">
              <w:rPr>
                <w:lang w:val="en-US"/>
              </w:rPr>
              <w:t xml:space="preserve"> outcomes</w:t>
            </w:r>
            <w:r>
              <w:rPr>
                <w:lang w:val="en-US"/>
              </w:rPr>
              <w:t xml:space="preserve"> and costs </w:t>
            </w:r>
            <w:r w:rsidR="00C440D8">
              <w:rPr>
                <w:lang w:val="en-US"/>
              </w:rPr>
              <w:t>we</w:t>
            </w:r>
            <w:r>
              <w:rPr>
                <w:lang w:val="en-US"/>
              </w:rPr>
              <w:t>re not included</w:t>
            </w:r>
            <w:r w:rsidR="00AF475D">
              <w:rPr>
                <w:lang w:val="en-US"/>
              </w:rPr>
              <w:t xml:space="preserve">. </w:t>
            </w:r>
          </w:p>
        </w:tc>
        <w:tc>
          <w:tcPr>
            <w:tcW w:w="1544" w:type="pct"/>
            <w:shd w:val="clear" w:color="auto" w:fill="auto"/>
            <w:vAlign w:val="center"/>
          </w:tcPr>
          <w:p w14:paraId="4F65CBDF" w14:textId="632C7FB6" w:rsidR="00AF475D" w:rsidRDefault="00AF475D" w:rsidP="0064109D">
            <w:pPr>
              <w:pStyle w:val="TableText"/>
              <w:rPr>
                <w:i/>
                <w:iCs/>
                <w:lang w:val="en-US"/>
              </w:rPr>
            </w:pPr>
            <w:r w:rsidRPr="00AF475D">
              <w:rPr>
                <w:i/>
                <w:iCs/>
                <w:lang w:val="en-US"/>
              </w:rPr>
              <w:t>High</w:t>
            </w:r>
            <w:r w:rsidRPr="0042000D">
              <w:rPr>
                <w:lang w:val="en-US"/>
              </w:rPr>
              <w:t xml:space="preserve"> </w:t>
            </w:r>
            <w:r w:rsidRPr="00AF475D">
              <w:rPr>
                <w:i/>
                <w:iCs/>
                <w:lang w:val="en-US"/>
              </w:rPr>
              <w:t>given the heterogeneity in the presented evidence around incorrect hospital discharge following sFlt-1:PlGF ratio testing,</w:t>
            </w:r>
          </w:p>
          <w:p w14:paraId="31C3C054" w14:textId="486A6776" w:rsidR="0051186F" w:rsidRPr="00AF475D" w:rsidRDefault="00AF475D" w:rsidP="0064109D">
            <w:pPr>
              <w:pStyle w:val="TableText"/>
              <w:rPr>
                <w:i/>
                <w:lang w:val="en-US"/>
              </w:rPr>
            </w:pPr>
            <w:proofErr w:type="spellStart"/>
            <w:r>
              <w:rPr>
                <w:i/>
                <w:iCs/>
                <w:lang w:val="en-US"/>
              </w:rPr>
              <w:t>favour</w:t>
            </w:r>
            <w:r w:rsidR="00066EE7">
              <w:rPr>
                <w:i/>
                <w:iCs/>
                <w:lang w:val="en-US"/>
              </w:rPr>
              <w:t>ed</w:t>
            </w:r>
            <w:proofErr w:type="spellEnd"/>
            <w:r w:rsidRPr="00AF475D">
              <w:rPr>
                <w:i/>
                <w:iCs/>
                <w:lang w:val="en-US"/>
              </w:rPr>
              <w:t xml:space="preserve"> sFlt-1:PlGF ratio testing</w:t>
            </w:r>
          </w:p>
        </w:tc>
      </w:tr>
    </w:tbl>
    <w:bookmarkEnd w:id="28"/>
    <w:p w14:paraId="2BEF09B7" w14:textId="63F5D90B" w:rsidR="00D2652C" w:rsidRDefault="00837898" w:rsidP="005B57D6">
      <w:pPr>
        <w:spacing w:before="0" w:after="0"/>
        <w:rPr>
          <w:rFonts w:ascii="Arial Narrow" w:eastAsia="Calibri" w:hAnsi="Arial Narrow" w:cs="Arial"/>
          <w:snapToGrid w:val="0"/>
          <w:sz w:val="18"/>
          <w:szCs w:val="20"/>
          <w:lang w:eastAsia="en-AU"/>
        </w:rPr>
      </w:pPr>
      <w:r w:rsidRPr="0064109D">
        <w:rPr>
          <w:rFonts w:ascii="Arial Narrow" w:eastAsia="Calibri" w:hAnsi="Arial Narrow" w:cs="Arial"/>
          <w:b/>
          <w:bCs/>
          <w:snapToGrid w:val="0"/>
          <w:sz w:val="18"/>
          <w:szCs w:val="20"/>
          <w:u w:val="single"/>
          <w:lang w:eastAsia="en-AU"/>
        </w:rPr>
        <w:t>Abbreviations</w:t>
      </w:r>
      <w:r w:rsidR="00B013B1" w:rsidRPr="00C577B3">
        <w:rPr>
          <w:rFonts w:ascii="Arial Narrow" w:hAnsi="Arial Narrow"/>
          <w:b/>
          <w:bCs/>
          <w:sz w:val="18"/>
          <w:szCs w:val="18"/>
        </w:rPr>
        <w:t>:</w:t>
      </w:r>
      <w:r w:rsidR="00B013B1">
        <w:rPr>
          <w:rFonts w:ascii="Arial Narrow" w:hAnsi="Arial Narrow"/>
          <w:b/>
          <w:bCs/>
          <w:sz w:val="18"/>
          <w:szCs w:val="18"/>
        </w:rPr>
        <w:t xml:space="preserve"> </w:t>
      </w:r>
      <w:r w:rsidR="00B972D3" w:rsidRPr="0064109D">
        <w:rPr>
          <w:rFonts w:ascii="Arial Narrow" w:eastAsia="Calibri" w:hAnsi="Arial Narrow" w:cs="Arial"/>
          <w:b/>
          <w:bCs/>
          <w:snapToGrid w:val="0"/>
          <w:sz w:val="18"/>
          <w:szCs w:val="20"/>
          <w:lang w:eastAsia="en-AU"/>
        </w:rPr>
        <w:t>sFlt-1:PlGF</w:t>
      </w:r>
      <w:r w:rsidR="00B972D3" w:rsidRPr="00745D42">
        <w:rPr>
          <w:rFonts w:ascii="Arial Narrow" w:eastAsia="Calibri" w:hAnsi="Arial Narrow" w:cs="Arial"/>
          <w:snapToGrid w:val="0"/>
          <w:sz w:val="18"/>
          <w:szCs w:val="20"/>
          <w:lang w:eastAsia="en-AU"/>
        </w:rPr>
        <w:t xml:space="preserve"> = soluble FMS-like tyrosine kinase-1:placental growth factor</w:t>
      </w:r>
    </w:p>
    <w:p w14:paraId="5DD17BC1" w14:textId="69946DA2" w:rsidR="002F17D3" w:rsidRDefault="002F17D3" w:rsidP="005B57D6">
      <w:pPr>
        <w:spacing w:before="0" w:after="0"/>
        <w:rPr>
          <w:rFonts w:ascii="Arial Narrow" w:eastAsia="Calibri" w:hAnsi="Arial Narrow" w:cs="Arial"/>
          <w:snapToGrid w:val="0"/>
          <w:sz w:val="18"/>
          <w:szCs w:val="20"/>
          <w:lang w:eastAsia="en-AU"/>
        </w:rPr>
      </w:pPr>
      <w:r w:rsidRPr="0064109D">
        <w:rPr>
          <w:rFonts w:ascii="Arial Narrow" w:eastAsia="Calibri" w:hAnsi="Arial Narrow" w:cs="Arial"/>
          <w:b/>
          <w:bCs/>
          <w:snapToGrid w:val="0"/>
          <w:sz w:val="18"/>
          <w:szCs w:val="20"/>
          <w:u w:val="single"/>
          <w:lang w:eastAsia="en-AU"/>
        </w:rPr>
        <w:t>Source</w:t>
      </w:r>
      <w:r w:rsidR="00B013B1" w:rsidRPr="00C577B3">
        <w:rPr>
          <w:rFonts w:ascii="Arial Narrow" w:hAnsi="Arial Narrow"/>
          <w:b/>
          <w:bCs/>
          <w:sz w:val="18"/>
          <w:szCs w:val="18"/>
        </w:rPr>
        <w:t>:</w:t>
      </w:r>
      <w:r w:rsidR="00B013B1">
        <w:rPr>
          <w:rFonts w:ascii="Arial Narrow" w:hAnsi="Arial Narrow"/>
          <w:b/>
          <w:bCs/>
          <w:sz w:val="18"/>
          <w:szCs w:val="18"/>
        </w:rPr>
        <w:t xml:space="preserve"> </w:t>
      </w:r>
      <w:r>
        <w:rPr>
          <w:rFonts w:ascii="Arial Narrow" w:eastAsia="Calibri" w:hAnsi="Arial Narrow" w:cs="Arial"/>
          <w:snapToGrid w:val="0"/>
          <w:sz w:val="18"/>
          <w:szCs w:val="20"/>
          <w:lang w:eastAsia="en-AU"/>
        </w:rPr>
        <w:t>Constructed during commentary.</w:t>
      </w:r>
      <w:r w:rsidR="00151BC7">
        <w:rPr>
          <w:rFonts w:ascii="Arial Narrow" w:eastAsia="Calibri" w:hAnsi="Arial Narrow" w:cs="Arial"/>
          <w:snapToGrid w:val="0"/>
          <w:sz w:val="18"/>
          <w:szCs w:val="20"/>
          <w:lang w:eastAsia="en-AU"/>
        </w:rPr>
        <w:t xml:space="preserve"> ESC’s additions are shown in blue italics.</w:t>
      </w:r>
    </w:p>
    <w:p w14:paraId="0C9E44E8" w14:textId="3585105E" w:rsidR="002616B7" w:rsidRDefault="00247C2B" w:rsidP="00043A0F">
      <w:pPr>
        <w:spacing w:before="240"/>
        <w:rPr>
          <w:lang w:val="en-US"/>
        </w:rPr>
      </w:pPr>
      <w:r>
        <w:rPr>
          <w:lang w:val="en-US"/>
        </w:rPr>
        <w:t xml:space="preserve">The applicant’s </w:t>
      </w:r>
      <w:r w:rsidR="007C2B54">
        <w:rPr>
          <w:lang w:val="en-US"/>
        </w:rPr>
        <w:t>clinical expert</w:t>
      </w:r>
      <w:r w:rsidR="00E61D78">
        <w:rPr>
          <w:lang w:val="en-US"/>
        </w:rPr>
        <w:t xml:space="preserve"> performed a methodical review of </w:t>
      </w:r>
      <w:r w:rsidR="007C2B54">
        <w:rPr>
          <w:lang w:val="en-US"/>
        </w:rPr>
        <w:t xml:space="preserve">the </w:t>
      </w:r>
      <w:r w:rsidR="006D545C">
        <w:rPr>
          <w:lang w:val="en-US"/>
        </w:rPr>
        <w:t xml:space="preserve">ADAR’s </w:t>
      </w:r>
      <w:r w:rsidR="0047678A">
        <w:rPr>
          <w:lang w:val="en-US"/>
        </w:rPr>
        <w:t>inputs and</w:t>
      </w:r>
      <w:r w:rsidR="00CE2A45">
        <w:rPr>
          <w:lang w:val="en-US"/>
        </w:rPr>
        <w:t xml:space="preserve"> detailed the </w:t>
      </w:r>
      <w:r w:rsidR="0014248E">
        <w:rPr>
          <w:lang w:val="en-US"/>
        </w:rPr>
        <w:t xml:space="preserve">steps to </w:t>
      </w:r>
      <w:r w:rsidR="00CF259D">
        <w:rPr>
          <w:lang w:val="en-US"/>
        </w:rPr>
        <w:t>validate</w:t>
      </w:r>
      <w:r w:rsidR="0014248E">
        <w:rPr>
          <w:lang w:val="en-US"/>
        </w:rPr>
        <w:t xml:space="preserve"> the </w:t>
      </w:r>
      <w:proofErr w:type="spellStart"/>
      <w:r w:rsidR="0015007A">
        <w:rPr>
          <w:lang w:val="en-US"/>
        </w:rPr>
        <w:t>TreeAge</w:t>
      </w:r>
      <w:proofErr w:type="spellEnd"/>
      <w:r w:rsidR="0015007A">
        <w:rPr>
          <w:lang w:val="en-US"/>
        </w:rPr>
        <w:t xml:space="preserve"> model. The </w:t>
      </w:r>
      <w:r w:rsidR="00587939">
        <w:rPr>
          <w:lang w:val="en-US"/>
        </w:rPr>
        <w:t>ADAR</w:t>
      </w:r>
      <w:r w:rsidR="00CF259D">
        <w:rPr>
          <w:lang w:val="en-US"/>
        </w:rPr>
        <w:t xml:space="preserve"> did </w:t>
      </w:r>
      <w:r w:rsidR="00FC2B55">
        <w:rPr>
          <w:lang w:val="en-US"/>
        </w:rPr>
        <w:t>no</w:t>
      </w:r>
      <w:r w:rsidR="00CF259D">
        <w:rPr>
          <w:lang w:val="en-US"/>
        </w:rPr>
        <w:t>t</w:t>
      </w:r>
      <w:r w:rsidR="00FC2B55">
        <w:rPr>
          <w:lang w:val="en-US"/>
        </w:rPr>
        <w:t xml:space="preserve"> mention outside sources </w:t>
      </w:r>
      <w:r w:rsidR="00CF259D">
        <w:rPr>
          <w:lang w:val="en-US"/>
        </w:rPr>
        <w:t>for</w:t>
      </w:r>
      <w:r w:rsidR="00BA0BAF">
        <w:rPr>
          <w:lang w:val="en-US"/>
        </w:rPr>
        <w:t xml:space="preserve"> external validation purposes</w:t>
      </w:r>
      <w:r w:rsidR="00B20BB7">
        <w:rPr>
          <w:lang w:val="en-US"/>
        </w:rPr>
        <w:t xml:space="preserve">, which </w:t>
      </w:r>
      <w:r w:rsidR="00CF259D">
        <w:rPr>
          <w:lang w:val="en-US"/>
        </w:rPr>
        <w:t>could be informative for decision-making</w:t>
      </w:r>
      <w:r w:rsidR="00BF7F97">
        <w:rPr>
          <w:lang w:val="en-US"/>
        </w:rPr>
        <w:t>.</w:t>
      </w:r>
      <w:r w:rsidR="00D90EF5">
        <w:rPr>
          <w:lang w:val="en-US"/>
        </w:rPr>
        <w:t xml:space="preserve"> </w:t>
      </w:r>
    </w:p>
    <w:p w14:paraId="3F1E5150" w14:textId="3486957F" w:rsidR="00A74762" w:rsidRDefault="002616B7" w:rsidP="002A51A1">
      <w:pPr>
        <w:rPr>
          <w:lang w:val="en-US"/>
        </w:rPr>
      </w:pPr>
      <w:r w:rsidRPr="00322B3E">
        <w:rPr>
          <w:lang w:val="en-US"/>
        </w:rPr>
        <w:t xml:space="preserve">The </w:t>
      </w:r>
      <w:r w:rsidR="006D545C">
        <w:rPr>
          <w:lang w:val="en-US"/>
        </w:rPr>
        <w:t>ADAR’s</w:t>
      </w:r>
      <w:r w:rsidR="006D545C" w:rsidRPr="002616B7">
        <w:rPr>
          <w:lang w:val="en-US"/>
        </w:rPr>
        <w:t xml:space="preserve"> </w:t>
      </w:r>
      <w:r w:rsidRPr="002616B7">
        <w:rPr>
          <w:lang w:val="en-US"/>
        </w:rPr>
        <w:t>scenario analyses show</w:t>
      </w:r>
      <w:r w:rsidR="00450984">
        <w:rPr>
          <w:lang w:val="en-US"/>
        </w:rPr>
        <w:t>ed</w:t>
      </w:r>
      <w:r w:rsidRPr="002616B7">
        <w:rPr>
          <w:lang w:val="en-US"/>
        </w:rPr>
        <w:t xml:space="preserve"> that the introduction of sFlt-1:PlGF ratio testing </w:t>
      </w:r>
      <w:r w:rsidR="006D545C">
        <w:rPr>
          <w:lang w:val="en-US"/>
        </w:rPr>
        <w:t>wa</w:t>
      </w:r>
      <w:r w:rsidRPr="002616B7">
        <w:rPr>
          <w:lang w:val="en-US"/>
        </w:rPr>
        <w:t>s estimated to be cost-saving in all scenarios</w:t>
      </w:r>
      <w:r>
        <w:rPr>
          <w:lang w:val="en-US"/>
        </w:rPr>
        <w:t xml:space="preserve"> (</w:t>
      </w:r>
      <w:r w:rsidR="00511C85">
        <w:rPr>
          <w:lang w:val="en-US"/>
        </w:rPr>
        <w:fldChar w:fldCharType="begin"/>
      </w:r>
      <w:r w:rsidR="00511C85">
        <w:rPr>
          <w:lang w:val="en-US"/>
        </w:rPr>
        <w:instrText xml:space="preserve"> REF _Ref69726347 \h </w:instrText>
      </w:r>
      <w:r w:rsidR="00511C85">
        <w:rPr>
          <w:lang w:val="en-US"/>
        </w:rPr>
      </w:r>
      <w:r w:rsidR="00511C85">
        <w:rPr>
          <w:lang w:val="en-US"/>
        </w:rPr>
        <w:fldChar w:fldCharType="separate"/>
      </w:r>
      <w:r w:rsidR="009D7CE9" w:rsidRPr="00CE28E3">
        <w:t>Table</w:t>
      </w:r>
      <w:r w:rsidR="009D7CE9">
        <w:t> </w:t>
      </w:r>
      <w:r w:rsidR="009D7CE9">
        <w:rPr>
          <w:noProof/>
        </w:rPr>
        <w:t>11</w:t>
      </w:r>
      <w:r w:rsidR="00511C85">
        <w:rPr>
          <w:lang w:val="en-US"/>
        </w:rPr>
        <w:fldChar w:fldCharType="end"/>
      </w:r>
      <w:r>
        <w:rPr>
          <w:lang w:val="en-US"/>
        </w:rPr>
        <w:t>)</w:t>
      </w:r>
      <w:r w:rsidRPr="002616B7">
        <w:rPr>
          <w:lang w:val="en-US"/>
        </w:rPr>
        <w:t>, with the exception of a higher proportion of patients being at low risk of preeclampsia. While these sensitivity analyses explore</w:t>
      </w:r>
      <w:r w:rsidR="006D545C">
        <w:rPr>
          <w:lang w:val="en-US"/>
        </w:rPr>
        <w:t>d</w:t>
      </w:r>
      <w:r w:rsidRPr="002616B7">
        <w:rPr>
          <w:lang w:val="en-US"/>
        </w:rPr>
        <w:t xml:space="preserve"> the impact of parameter uncertainty in the model, they d</w:t>
      </w:r>
      <w:r w:rsidR="00450984">
        <w:rPr>
          <w:lang w:val="en-US"/>
        </w:rPr>
        <w:t>id</w:t>
      </w:r>
      <w:r w:rsidRPr="002616B7">
        <w:rPr>
          <w:lang w:val="en-US"/>
        </w:rPr>
        <w:t xml:space="preserve"> not address uncertainty associated with </w:t>
      </w:r>
      <w:proofErr w:type="spellStart"/>
      <w:r w:rsidR="00923D77" w:rsidRPr="002616B7">
        <w:rPr>
          <w:lang w:val="en-US"/>
        </w:rPr>
        <w:t>generali</w:t>
      </w:r>
      <w:r w:rsidR="007C2B54">
        <w:rPr>
          <w:lang w:val="en-US"/>
        </w:rPr>
        <w:t>s</w:t>
      </w:r>
      <w:r w:rsidR="00923D77" w:rsidRPr="002616B7">
        <w:rPr>
          <w:lang w:val="en-US"/>
        </w:rPr>
        <w:t>ability</w:t>
      </w:r>
      <w:proofErr w:type="spellEnd"/>
      <w:r w:rsidRPr="002616B7">
        <w:rPr>
          <w:lang w:val="en-US"/>
        </w:rPr>
        <w:t xml:space="preserve"> of </w:t>
      </w:r>
      <w:r w:rsidR="006D545C">
        <w:rPr>
          <w:lang w:val="en-US"/>
        </w:rPr>
        <w:t xml:space="preserve">the </w:t>
      </w:r>
      <w:r w:rsidRPr="002616B7">
        <w:rPr>
          <w:lang w:val="en-US"/>
        </w:rPr>
        <w:t>clinical evidence, or structural uncertainty included in the model with respect to repeated testing</w:t>
      </w:r>
      <w:r>
        <w:rPr>
          <w:lang w:val="en-US"/>
        </w:rPr>
        <w:t xml:space="preserve"> and the exclusion of </w:t>
      </w:r>
      <w:r w:rsidR="000D3452">
        <w:rPr>
          <w:lang w:val="en-US"/>
        </w:rPr>
        <w:t>maternal and fetal adverse outcomes</w:t>
      </w:r>
      <w:r w:rsidRPr="002616B7">
        <w:rPr>
          <w:lang w:val="en-US"/>
        </w:rPr>
        <w:t>.</w:t>
      </w:r>
      <w:r w:rsidR="002E491A">
        <w:rPr>
          <w:lang w:val="en-US"/>
        </w:rPr>
        <w:t xml:space="preserve"> </w:t>
      </w:r>
      <w:r w:rsidR="0000375B">
        <w:rPr>
          <w:lang w:val="en-US"/>
        </w:rPr>
        <w:t xml:space="preserve">In particular, scenarios showing </w:t>
      </w:r>
      <w:r w:rsidR="000177DF">
        <w:rPr>
          <w:lang w:val="en-US"/>
        </w:rPr>
        <w:t xml:space="preserve">reduced costs associated with inpatient monitoring </w:t>
      </w:r>
      <w:r w:rsidR="007C2B54">
        <w:rPr>
          <w:lang w:val="en-US"/>
        </w:rPr>
        <w:t xml:space="preserve">also </w:t>
      </w:r>
      <w:r w:rsidR="000177DF">
        <w:rPr>
          <w:lang w:val="en-US"/>
        </w:rPr>
        <w:t>showed significant reductions in the estimated cost</w:t>
      </w:r>
      <w:r w:rsidR="002D4706">
        <w:rPr>
          <w:lang w:val="en-US"/>
        </w:rPr>
        <w:t xml:space="preserve"> </w:t>
      </w:r>
      <w:r w:rsidR="000177DF">
        <w:rPr>
          <w:lang w:val="en-US"/>
        </w:rPr>
        <w:t xml:space="preserve">savings associated with </w:t>
      </w:r>
      <w:r w:rsidR="000177DF" w:rsidRPr="00127510">
        <w:t>sFlt-1:PlGF ratio test</w:t>
      </w:r>
      <w:r w:rsidR="000177DF">
        <w:t>ing.</w:t>
      </w:r>
      <w:r w:rsidR="002E491A">
        <w:rPr>
          <w:lang w:val="en-US"/>
        </w:rPr>
        <w:t xml:space="preserve"> </w:t>
      </w:r>
    </w:p>
    <w:p w14:paraId="48726341" w14:textId="08C4499C" w:rsidR="00FE61D2" w:rsidRPr="00CE28E3" w:rsidRDefault="00FE61D2" w:rsidP="00FE61D2">
      <w:pPr>
        <w:pStyle w:val="Caption"/>
      </w:pPr>
      <w:bookmarkStart w:id="29" w:name="_Ref69726347"/>
      <w:r w:rsidRPr="00CE28E3">
        <w:t>Table</w:t>
      </w:r>
      <w:r>
        <w:t> </w:t>
      </w:r>
      <w:r w:rsidR="009C163C">
        <w:fldChar w:fldCharType="begin"/>
      </w:r>
      <w:r w:rsidR="009C163C">
        <w:instrText xml:space="preserve"> SEQ Table \* ARABIC </w:instrText>
      </w:r>
      <w:r w:rsidR="009C163C">
        <w:fldChar w:fldCharType="separate"/>
      </w:r>
      <w:r w:rsidR="009D7CE9">
        <w:rPr>
          <w:noProof/>
        </w:rPr>
        <w:t>11</w:t>
      </w:r>
      <w:r w:rsidR="009C163C">
        <w:rPr>
          <w:noProof/>
        </w:rPr>
        <w:fldChar w:fldCharType="end"/>
      </w:r>
      <w:bookmarkEnd w:id="29"/>
      <w:r w:rsidRPr="00CE28E3">
        <w:tab/>
        <w:t>Sensitivity analyses</w:t>
      </w:r>
    </w:p>
    <w:tbl>
      <w:tblPr>
        <w:tblStyle w:val="TableGrid1"/>
        <w:tblW w:w="4958" w:type="pct"/>
        <w:tblLayout w:type="fixed"/>
        <w:tblLook w:val="04A0" w:firstRow="1" w:lastRow="0" w:firstColumn="1" w:lastColumn="0" w:noHBand="0" w:noVBand="1"/>
      </w:tblPr>
      <w:tblGrid>
        <w:gridCol w:w="6254"/>
        <w:gridCol w:w="2686"/>
      </w:tblGrid>
      <w:tr w:rsidR="00FE61D2" w:rsidRPr="00CE28E3" w14:paraId="4B550A21" w14:textId="77777777" w:rsidTr="0064109D">
        <w:trPr>
          <w:cnfStyle w:val="100000000000" w:firstRow="1" w:lastRow="0" w:firstColumn="0" w:lastColumn="0" w:oddVBand="0" w:evenVBand="0" w:oddHBand="0" w:evenHBand="0" w:firstRowFirstColumn="0" w:firstRowLastColumn="0" w:lastRowFirstColumn="0" w:lastRowLastColumn="0"/>
          <w:cantSplit/>
          <w:trHeight w:val="405"/>
          <w:tblHeader/>
        </w:trPr>
        <w:tc>
          <w:tcPr>
            <w:tcW w:w="3498" w:type="pct"/>
            <w:shd w:val="clear" w:color="auto" w:fill="auto"/>
            <w:vAlign w:val="center"/>
          </w:tcPr>
          <w:p w14:paraId="6756A2E8" w14:textId="77777777" w:rsidR="00FE61D2" w:rsidRPr="00CE28E3" w:rsidRDefault="00FE61D2">
            <w:pPr>
              <w:pStyle w:val="In-tableHeading"/>
            </w:pPr>
            <w:bookmarkStart w:id="30" w:name="Title_Table11" w:colFirst="0" w:colLast="0"/>
            <w:bookmarkStart w:id="31" w:name="_Hlk68276702"/>
            <w:r w:rsidRPr="00CE28E3">
              <w:t>Analyses</w:t>
            </w:r>
          </w:p>
        </w:tc>
        <w:tc>
          <w:tcPr>
            <w:tcW w:w="1502" w:type="pct"/>
            <w:shd w:val="clear" w:color="auto" w:fill="auto"/>
            <w:vAlign w:val="center"/>
          </w:tcPr>
          <w:p w14:paraId="58262B39" w14:textId="37045414" w:rsidR="00FE61D2" w:rsidRPr="00CE28E3" w:rsidRDefault="00050E32">
            <w:pPr>
              <w:pStyle w:val="In-tableHeading"/>
              <w:jc w:val="center"/>
            </w:pPr>
            <w:r>
              <w:t>Cost per patient</w:t>
            </w:r>
          </w:p>
        </w:tc>
      </w:tr>
      <w:bookmarkEnd w:id="30"/>
      <w:tr w:rsidR="00FE61D2" w:rsidRPr="00CE28E3" w14:paraId="1670F442" w14:textId="77777777" w:rsidTr="00A756EE">
        <w:trPr>
          <w:cantSplit/>
          <w:trHeight w:val="304"/>
        </w:trPr>
        <w:tc>
          <w:tcPr>
            <w:tcW w:w="3498" w:type="pct"/>
          </w:tcPr>
          <w:p w14:paraId="18727C24" w14:textId="77777777" w:rsidR="00FE61D2" w:rsidRPr="00CE28E3" w:rsidRDefault="00FE61D2">
            <w:pPr>
              <w:pStyle w:val="TableText"/>
              <w:keepNext/>
              <w:rPr>
                <w:b/>
              </w:rPr>
            </w:pPr>
            <w:r w:rsidRPr="00CE28E3">
              <w:rPr>
                <w:b/>
              </w:rPr>
              <w:t>Base case</w:t>
            </w:r>
          </w:p>
        </w:tc>
        <w:tc>
          <w:tcPr>
            <w:tcW w:w="1502" w:type="pct"/>
          </w:tcPr>
          <w:p w14:paraId="21E2D779" w14:textId="67E4D036" w:rsidR="00FE61D2" w:rsidRPr="00CE28E3" w:rsidRDefault="00E95CFE">
            <w:pPr>
              <w:pStyle w:val="TableText"/>
              <w:keepNext/>
              <w:jc w:val="center"/>
              <w:rPr>
                <w:b/>
                <w:highlight w:val="black"/>
              </w:rPr>
            </w:pPr>
            <w:r w:rsidRPr="00E95CFE">
              <w:rPr>
                <w:b/>
              </w:rPr>
              <w:t>-$873</w:t>
            </w:r>
          </w:p>
        </w:tc>
      </w:tr>
      <w:tr w:rsidR="00FE61D2" w:rsidRPr="00CE28E3" w14:paraId="5BDB5F73" w14:textId="77777777" w:rsidTr="00A756EE">
        <w:trPr>
          <w:cantSplit/>
          <w:trHeight w:val="290"/>
        </w:trPr>
        <w:tc>
          <w:tcPr>
            <w:tcW w:w="5000" w:type="pct"/>
            <w:gridSpan w:val="2"/>
          </w:tcPr>
          <w:p w14:paraId="06573D67" w14:textId="66BDF7B0" w:rsidR="00FE61D2" w:rsidRPr="00CE28E3" w:rsidRDefault="00FE61D2">
            <w:pPr>
              <w:pStyle w:val="TableText"/>
              <w:keepNext/>
            </w:pPr>
            <w:r>
              <w:t xml:space="preserve">Number of </w:t>
            </w:r>
            <w:r w:rsidR="000575EC">
              <w:t>tests</w:t>
            </w:r>
            <w:r>
              <w:t xml:space="preserve"> per patient </w:t>
            </w:r>
            <w:r w:rsidR="00E95CFE">
              <w:t>(base case: 1.7)</w:t>
            </w:r>
          </w:p>
        </w:tc>
      </w:tr>
      <w:tr w:rsidR="00FE61D2" w:rsidRPr="00CE28E3" w14:paraId="7E059A96" w14:textId="77777777" w:rsidTr="00A756EE">
        <w:trPr>
          <w:cantSplit/>
          <w:trHeight w:val="290"/>
        </w:trPr>
        <w:tc>
          <w:tcPr>
            <w:tcW w:w="3498" w:type="pct"/>
          </w:tcPr>
          <w:p w14:paraId="09E9A01D" w14:textId="7F0E544E" w:rsidR="00FE61D2" w:rsidRPr="00CE28E3" w:rsidRDefault="00E95CFE">
            <w:pPr>
              <w:pStyle w:val="TableText"/>
              <w:keepNext/>
            </w:pPr>
            <w:r>
              <w:t>1</w:t>
            </w:r>
          </w:p>
        </w:tc>
        <w:tc>
          <w:tcPr>
            <w:tcW w:w="1502" w:type="pct"/>
          </w:tcPr>
          <w:p w14:paraId="0301FAF7" w14:textId="60D932EC" w:rsidR="00FE61D2" w:rsidRPr="00CE28E3" w:rsidRDefault="00D531D9">
            <w:pPr>
              <w:pStyle w:val="TableText"/>
              <w:keepNext/>
              <w:jc w:val="center"/>
              <w:rPr>
                <w:highlight w:val="black"/>
              </w:rPr>
            </w:pPr>
            <w:r w:rsidRPr="00D531D9">
              <w:t>-$915 (↓5%)</w:t>
            </w:r>
          </w:p>
        </w:tc>
      </w:tr>
      <w:tr w:rsidR="00FE61D2" w:rsidRPr="00CE28E3" w14:paraId="64C207D1" w14:textId="77777777" w:rsidTr="00A756EE">
        <w:trPr>
          <w:cantSplit/>
          <w:trHeight w:val="273"/>
        </w:trPr>
        <w:tc>
          <w:tcPr>
            <w:tcW w:w="3498" w:type="pct"/>
          </w:tcPr>
          <w:p w14:paraId="380869ED" w14:textId="321D3C48" w:rsidR="00FE61D2" w:rsidRPr="00CE28E3" w:rsidRDefault="00E95CFE">
            <w:pPr>
              <w:pStyle w:val="TableText"/>
              <w:keepNext/>
            </w:pPr>
            <w:r>
              <w:t>2</w:t>
            </w:r>
          </w:p>
        </w:tc>
        <w:tc>
          <w:tcPr>
            <w:tcW w:w="1502" w:type="pct"/>
          </w:tcPr>
          <w:p w14:paraId="24A839E7" w14:textId="49A24E33" w:rsidR="00FE61D2" w:rsidRPr="00CE28E3" w:rsidRDefault="00D4469C">
            <w:pPr>
              <w:pStyle w:val="TableText"/>
              <w:keepNext/>
              <w:jc w:val="center"/>
              <w:rPr>
                <w:highlight w:val="black"/>
              </w:rPr>
            </w:pPr>
            <w:r w:rsidRPr="00D4469C">
              <w:t>-$855 (↑5%)</w:t>
            </w:r>
          </w:p>
        </w:tc>
      </w:tr>
      <w:tr w:rsidR="000575EC" w:rsidRPr="00CE28E3" w14:paraId="025D7C08" w14:textId="77777777" w:rsidTr="00A756EE">
        <w:trPr>
          <w:cantSplit/>
          <w:trHeight w:val="273"/>
        </w:trPr>
        <w:tc>
          <w:tcPr>
            <w:tcW w:w="5000" w:type="pct"/>
            <w:gridSpan w:val="2"/>
          </w:tcPr>
          <w:p w14:paraId="685E3D2B" w14:textId="37B7F7AD" w:rsidR="000575EC" w:rsidRPr="00CE28E3" w:rsidRDefault="000575EC" w:rsidP="0064109D">
            <w:pPr>
              <w:pStyle w:val="TableText"/>
              <w:keepNext/>
              <w:rPr>
                <w:rFonts w:eastAsia="Calibri"/>
              </w:rPr>
            </w:pPr>
            <w:r w:rsidRPr="000575EC">
              <w:t>Proportion of sFlt-1:PlGF ratio tests &lt;38</w:t>
            </w:r>
            <w:r w:rsidR="003D3871">
              <w:t xml:space="preserve"> (base case: </w:t>
            </w:r>
            <w:r w:rsidR="00407ED8">
              <w:t>67.8%)</w:t>
            </w:r>
          </w:p>
        </w:tc>
      </w:tr>
      <w:tr w:rsidR="00FE61D2" w:rsidRPr="00CE28E3" w14:paraId="1AE2EBB7" w14:textId="77777777" w:rsidTr="00A756EE">
        <w:trPr>
          <w:cantSplit/>
          <w:trHeight w:val="273"/>
        </w:trPr>
        <w:tc>
          <w:tcPr>
            <w:tcW w:w="3498" w:type="pct"/>
          </w:tcPr>
          <w:p w14:paraId="2B5FD529" w14:textId="77F87521" w:rsidR="00FE61D2" w:rsidRDefault="00CC3289">
            <w:pPr>
              <w:pStyle w:val="TableText"/>
              <w:keepNext/>
            </w:pPr>
            <w:r>
              <w:t>61.0%</w:t>
            </w:r>
          </w:p>
        </w:tc>
        <w:tc>
          <w:tcPr>
            <w:tcW w:w="1502" w:type="pct"/>
          </w:tcPr>
          <w:p w14:paraId="0B1760A2" w14:textId="66B0A566" w:rsidR="00FE61D2" w:rsidRPr="00CE28E3" w:rsidRDefault="007F478C" w:rsidP="00214141">
            <w:pPr>
              <w:pStyle w:val="TableText"/>
              <w:keepNext/>
              <w:jc w:val="center"/>
              <w:rPr>
                <w:rFonts w:eastAsia="Calibri"/>
              </w:rPr>
            </w:pPr>
            <w:r w:rsidRPr="007F478C">
              <w:rPr>
                <w:rFonts w:eastAsia="Calibri"/>
              </w:rPr>
              <w:t>-$2,787 (↓219%)</w:t>
            </w:r>
          </w:p>
        </w:tc>
      </w:tr>
      <w:tr w:rsidR="00FE61D2" w:rsidRPr="00CE28E3" w14:paraId="2F578EB7" w14:textId="77777777" w:rsidTr="00A756EE">
        <w:trPr>
          <w:cantSplit/>
          <w:trHeight w:val="273"/>
        </w:trPr>
        <w:tc>
          <w:tcPr>
            <w:tcW w:w="3498" w:type="pct"/>
          </w:tcPr>
          <w:p w14:paraId="0DC6AD71" w14:textId="08B94A3D" w:rsidR="00FE61D2" w:rsidRDefault="00CC3289">
            <w:pPr>
              <w:pStyle w:val="TableText"/>
              <w:keepNext/>
            </w:pPr>
            <w:r>
              <w:t>74.6%</w:t>
            </w:r>
          </w:p>
        </w:tc>
        <w:tc>
          <w:tcPr>
            <w:tcW w:w="1502" w:type="pct"/>
          </w:tcPr>
          <w:p w14:paraId="760B6CBD" w14:textId="197B4E3F" w:rsidR="00FE61D2" w:rsidRPr="00CE28E3" w:rsidRDefault="00214141">
            <w:pPr>
              <w:pStyle w:val="TableText"/>
              <w:keepNext/>
              <w:jc w:val="center"/>
              <w:rPr>
                <w:rFonts w:eastAsia="Calibri"/>
              </w:rPr>
            </w:pPr>
            <w:r w:rsidRPr="00214141">
              <w:rPr>
                <w:rFonts w:eastAsia="Calibri"/>
              </w:rPr>
              <w:t>$1,041 (↑219%)</w:t>
            </w:r>
          </w:p>
        </w:tc>
      </w:tr>
      <w:tr w:rsidR="003D3871" w:rsidRPr="00CE28E3" w14:paraId="1BF17E4F" w14:textId="77777777" w:rsidTr="00A756EE">
        <w:trPr>
          <w:cantSplit/>
          <w:trHeight w:val="273"/>
        </w:trPr>
        <w:tc>
          <w:tcPr>
            <w:tcW w:w="5000" w:type="pct"/>
            <w:gridSpan w:val="2"/>
          </w:tcPr>
          <w:p w14:paraId="66566870" w14:textId="6739A924" w:rsidR="003D3871" w:rsidRPr="00CE28E3" w:rsidRDefault="003D3871" w:rsidP="0064109D">
            <w:pPr>
              <w:pStyle w:val="TableText"/>
              <w:keepNext/>
              <w:rPr>
                <w:rFonts w:eastAsia="Calibri"/>
              </w:rPr>
            </w:pPr>
            <w:r>
              <w:t xml:space="preserve">Proportion of </w:t>
            </w:r>
            <w:r w:rsidRPr="002616B7">
              <w:rPr>
                <w:lang w:val="en-US"/>
              </w:rPr>
              <w:t>sFlt-1:PlGF</w:t>
            </w:r>
            <w:r>
              <w:rPr>
                <w:lang w:val="en-US"/>
              </w:rPr>
              <w:t xml:space="preserve"> ratio tests from 38–85</w:t>
            </w:r>
            <w:r w:rsidR="00407ED8">
              <w:rPr>
                <w:lang w:val="en-US"/>
              </w:rPr>
              <w:t xml:space="preserve"> (base case: 9.4%)</w:t>
            </w:r>
          </w:p>
        </w:tc>
      </w:tr>
      <w:tr w:rsidR="003D3871" w:rsidRPr="00CE28E3" w14:paraId="0D1729E7" w14:textId="77777777" w:rsidTr="00A756EE">
        <w:trPr>
          <w:cantSplit/>
          <w:trHeight w:val="273"/>
        </w:trPr>
        <w:tc>
          <w:tcPr>
            <w:tcW w:w="3498" w:type="pct"/>
          </w:tcPr>
          <w:p w14:paraId="363AF1D3" w14:textId="6F30D969" w:rsidR="003D3871" w:rsidRDefault="00214141">
            <w:pPr>
              <w:pStyle w:val="TableText"/>
              <w:keepNext/>
            </w:pPr>
            <w:r>
              <w:t>8.5%</w:t>
            </w:r>
          </w:p>
        </w:tc>
        <w:tc>
          <w:tcPr>
            <w:tcW w:w="1502" w:type="pct"/>
          </w:tcPr>
          <w:p w14:paraId="0413F7D4" w14:textId="552E3614" w:rsidR="003D3871" w:rsidRPr="00CE28E3" w:rsidRDefault="00214141">
            <w:pPr>
              <w:pStyle w:val="TableText"/>
              <w:keepNext/>
              <w:jc w:val="center"/>
              <w:rPr>
                <w:rFonts w:eastAsia="Calibri"/>
              </w:rPr>
            </w:pPr>
            <w:r w:rsidRPr="00214141">
              <w:rPr>
                <w:rFonts w:eastAsia="Calibri"/>
              </w:rPr>
              <w:t>-$1,017 (↓16%)</w:t>
            </w:r>
          </w:p>
        </w:tc>
      </w:tr>
      <w:tr w:rsidR="003D3871" w:rsidRPr="00CE28E3" w14:paraId="25F0EB95" w14:textId="77777777" w:rsidTr="00A756EE">
        <w:trPr>
          <w:cantSplit/>
          <w:trHeight w:val="273"/>
        </w:trPr>
        <w:tc>
          <w:tcPr>
            <w:tcW w:w="3498" w:type="pct"/>
          </w:tcPr>
          <w:p w14:paraId="4EF5AD75" w14:textId="7E4DCB3A" w:rsidR="003D3871" w:rsidRDefault="00214141">
            <w:pPr>
              <w:pStyle w:val="TableText"/>
              <w:keepNext/>
            </w:pPr>
            <w:r>
              <w:t>10.3%</w:t>
            </w:r>
          </w:p>
        </w:tc>
        <w:tc>
          <w:tcPr>
            <w:tcW w:w="1502" w:type="pct"/>
          </w:tcPr>
          <w:p w14:paraId="2A58A64F" w14:textId="46D7491E" w:rsidR="003D3871" w:rsidRPr="00CE28E3" w:rsidRDefault="00214141">
            <w:pPr>
              <w:pStyle w:val="TableText"/>
              <w:keepNext/>
              <w:jc w:val="center"/>
              <w:rPr>
                <w:rFonts w:eastAsia="Calibri"/>
              </w:rPr>
            </w:pPr>
            <w:r w:rsidRPr="00214141">
              <w:rPr>
                <w:rFonts w:eastAsia="Calibri"/>
              </w:rPr>
              <w:t>-$728 (↑17%)</w:t>
            </w:r>
          </w:p>
        </w:tc>
      </w:tr>
      <w:tr w:rsidR="00214141" w:rsidRPr="00CE28E3" w14:paraId="16F977C7" w14:textId="77777777" w:rsidTr="00A756EE">
        <w:trPr>
          <w:cantSplit/>
          <w:trHeight w:val="273"/>
        </w:trPr>
        <w:tc>
          <w:tcPr>
            <w:tcW w:w="5000" w:type="pct"/>
            <w:gridSpan w:val="2"/>
          </w:tcPr>
          <w:p w14:paraId="22865862" w14:textId="43B4497F" w:rsidR="00214141" w:rsidRPr="00CE28E3" w:rsidRDefault="00214141" w:rsidP="0064109D">
            <w:pPr>
              <w:pStyle w:val="TableText"/>
              <w:keepNext/>
              <w:rPr>
                <w:rFonts w:eastAsia="Calibri"/>
              </w:rPr>
            </w:pPr>
            <w:r>
              <w:t xml:space="preserve">Cost of inpatient monitoring (base case: </w:t>
            </w:r>
            <w:r w:rsidRPr="00214141">
              <w:t>$3,887</w:t>
            </w:r>
            <w:r>
              <w:t>)</w:t>
            </w:r>
          </w:p>
        </w:tc>
      </w:tr>
      <w:tr w:rsidR="00214141" w:rsidRPr="00CE28E3" w14:paraId="5B095320" w14:textId="77777777" w:rsidTr="00A756EE">
        <w:trPr>
          <w:cantSplit/>
          <w:trHeight w:val="273"/>
        </w:trPr>
        <w:tc>
          <w:tcPr>
            <w:tcW w:w="3498" w:type="pct"/>
          </w:tcPr>
          <w:p w14:paraId="0C9989AF" w14:textId="0925542D" w:rsidR="00214141" w:rsidRDefault="00214141">
            <w:pPr>
              <w:pStyle w:val="TableText"/>
              <w:keepNext/>
            </w:pPr>
            <w:r w:rsidRPr="00DF0D08">
              <w:t>$1,993</w:t>
            </w:r>
          </w:p>
        </w:tc>
        <w:tc>
          <w:tcPr>
            <w:tcW w:w="1502" w:type="pct"/>
          </w:tcPr>
          <w:p w14:paraId="57BF255D" w14:textId="32F90E0D" w:rsidR="00214141" w:rsidRPr="00CE28E3" w:rsidRDefault="00214141">
            <w:pPr>
              <w:pStyle w:val="TableText"/>
              <w:keepNext/>
              <w:jc w:val="center"/>
              <w:rPr>
                <w:rFonts w:eastAsia="Calibri"/>
              </w:rPr>
            </w:pPr>
            <w:r w:rsidRPr="00214141">
              <w:rPr>
                <w:rFonts w:eastAsia="Calibri"/>
              </w:rPr>
              <w:t>-$376 (↓57%)</w:t>
            </w:r>
          </w:p>
        </w:tc>
      </w:tr>
    </w:tbl>
    <w:bookmarkEnd w:id="31"/>
    <w:p w14:paraId="6E204879" w14:textId="72F51BCF" w:rsidR="00745D42" w:rsidRPr="00745D42" w:rsidRDefault="00837898" w:rsidP="0064109D">
      <w:pPr>
        <w:spacing w:before="0" w:after="0"/>
        <w:rPr>
          <w:rFonts w:ascii="Arial Narrow" w:eastAsia="Calibri" w:hAnsi="Arial Narrow" w:cs="Arial"/>
          <w:snapToGrid w:val="0"/>
          <w:sz w:val="18"/>
          <w:szCs w:val="20"/>
          <w:lang w:eastAsia="en-AU"/>
        </w:rPr>
      </w:pPr>
      <w:r w:rsidRPr="0064109D">
        <w:rPr>
          <w:rFonts w:ascii="Arial Narrow" w:eastAsia="Calibri" w:hAnsi="Arial Narrow" w:cs="Arial"/>
          <w:b/>
          <w:bCs/>
          <w:snapToGrid w:val="0"/>
          <w:sz w:val="18"/>
          <w:szCs w:val="20"/>
          <w:u w:val="single"/>
          <w:lang w:eastAsia="en-AU"/>
        </w:rPr>
        <w:t>Abbreviations</w:t>
      </w:r>
      <w:r w:rsidR="00B013B1" w:rsidRPr="00C577B3">
        <w:rPr>
          <w:rFonts w:ascii="Arial Narrow" w:hAnsi="Arial Narrow"/>
          <w:b/>
          <w:bCs/>
          <w:sz w:val="18"/>
          <w:szCs w:val="18"/>
        </w:rPr>
        <w:t>:</w:t>
      </w:r>
      <w:r w:rsidR="00B013B1">
        <w:rPr>
          <w:rFonts w:ascii="Arial Narrow" w:hAnsi="Arial Narrow"/>
          <w:b/>
          <w:bCs/>
          <w:sz w:val="18"/>
          <w:szCs w:val="18"/>
        </w:rPr>
        <w:t xml:space="preserve"> </w:t>
      </w:r>
      <w:r w:rsidR="00745D42" w:rsidRPr="0064109D">
        <w:rPr>
          <w:rFonts w:ascii="Arial Narrow" w:eastAsia="Calibri" w:hAnsi="Arial Narrow" w:cs="Arial"/>
          <w:b/>
          <w:bCs/>
          <w:snapToGrid w:val="0"/>
          <w:sz w:val="18"/>
          <w:szCs w:val="20"/>
          <w:lang w:eastAsia="en-AU"/>
        </w:rPr>
        <w:t>sFlt-1:PlGF</w:t>
      </w:r>
      <w:r w:rsidR="00745D42" w:rsidRPr="00745D42">
        <w:rPr>
          <w:rFonts w:ascii="Arial Narrow" w:eastAsia="Calibri" w:hAnsi="Arial Narrow" w:cs="Arial"/>
          <w:snapToGrid w:val="0"/>
          <w:sz w:val="18"/>
          <w:szCs w:val="20"/>
          <w:lang w:eastAsia="en-AU"/>
        </w:rPr>
        <w:t xml:space="preserve"> = soluble FMS-like tyrosine kinase-1:placental growth factor</w:t>
      </w:r>
    </w:p>
    <w:p w14:paraId="0F725637" w14:textId="62C84DCA" w:rsidR="00FE61D2" w:rsidRPr="006705B8" w:rsidRDefault="00745D42" w:rsidP="0064109D">
      <w:pPr>
        <w:spacing w:before="0" w:after="0" w:line="240" w:lineRule="auto"/>
        <w:rPr>
          <w:rFonts w:ascii="Arial Narrow" w:hAnsi="Arial Narrow"/>
          <w:sz w:val="18"/>
          <w:szCs w:val="18"/>
          <w:lang w:val="en-US"/>
        </w:rPr>
      </w:pPr>
      <w:r w:rsidRPr="0064109D">
        <w:rPr>
          <w:rFonts w:ascii="Arial Narrow" w:eastAsia="Calibri" w:hAnsi="Arial Narrow" w:cs="Arial"/>
          <w:b/>
          <w:bCs/>
          <w:snapToGrid w:val="0"/>
          <w:sz w:val="18"/>
          <w:szCs w:val="20"/>
          <w:u w:val="single"/>
          <w:lang w:eastAsia="en-AU"/>
        </w:rPr>
        <w:t>Source</w:t>
      </w:r>
      <w:r w:rsidR="00B013B1" w:rsidRPr="00C577B3">
        <w:rPr>
          <w:rFonts w:ascii="Arial Narrow" w:hAnsi="Arial Narrow"/>
          <w:b/>
          <w:bCs/>
          <w:sz w:val="18"/>
          <w:szCs w:val="18"/>
        </w:rPr>
        <w:t>:</w:t>
      </w:r>
      <w:r w:rsidR="00B013B1">
        <w:rPr>
          <w:rFonts w:ascii="Arial Narrow" w:hAnsi="Arial Narrow"/>
          <w:b/>
          <w:bCs/>
          <w:sz w:val="18"/>
          <w:szCs w:val="18"/>
        </w:rPr>
        <w:t xml:space="preserve"> </w:t>
      </w:r>
      <w:r w:rsidRPr="00745D42">
        <w:rPr>
          <w:rFonts w:ascii="Arial Narrow" w:eastAsia="Calibri" w:hAnsi="Arial Narrow" w:cs="Arial"/>
          <w:snapToGrid w:val="0"/>
          <w:sz w:val="18"/>
          <w:szCs w:val="20"/>
          <w:lang w:eastAsia="en-AU"/>
        </w:rPr>
        <w:t>Adapted from ADAR Table 38</w:t>
      </w:r>
    </w:p>
    <w:p w14:paraId="71EF3C3A" w14:textId="31F46885" w:rsidR="00E61D78" w:rsidRPr="0088562A" w:rsidRDefault="00F73193" w:rsidP="002A51A1">
      <w:pPr>
        <w:rPr>
          <w:b/>
          <w:bCs/>
          <w:lang w:val="en-US"/>
        </w:rPr>
      </w:pPr>
      <w:r>
        <w:rPr>
          <w:lang w:val="en-US"/>
        </w:rPr>
        <w:lastRenderedPageBreak/>
        <w:t>Despite these observations, t</w:t>
      </w:r>
      <w:r w:rsidR="008E5F6B">
        <w:rPr>
          <w:lang w:val="en-US"/>
        </w:rPr>
        <w:t xml:space="preserve">he </w:t>
      </w:r>
      <w:r w:rsidR="006173F7">
        <w:rPr>
          <w:lang w:val="en-US"/>
        </w:rPr>
        <w:t xml:space="preserve">commentary </w:t>
      </w:r>
      <w:r w:rsidR="003A2B24">
        <w:rPr>
          <w:lang w:val="en-US"/>
        </w:rPr>
        <w:t>considered</w:t>
      </w:r>
      <w:r w:rsidR="008E5F6B">
        <w:rPr>
          <w:lang w:val="en-US"/>
        </w:rPr>
        <w:t xml:space="preserve"> that </w:t>
      </w:r>
      <w:r w:rsidR="008E5F6B" w:rsidRPr="00127510">
        <w:t>sFlt-1:PlGF ratio test</w:t>
      </w:r>
      <w:r w:rsidR="008E5F6B">
        <w:t xml:space="preserve">ing </w:t>
      </w:r>
      <w:r w:rsidR="0098681E">
        <w:t xml:space="preserve">has the potential to be </w:t>
      </w:r>
      <w:r w:rsidR="00723F51">
        <w:t xml:space="preserve">net </w:t>
      </w:r>
      <w:r w:rsidR="0098681E">
        <w:t>cost-saving in Australia</w:t>
      </w:r>
      <w:r w:rsidR="00B97EE0">
        <w:t>;</w:t>
      </w:r>
      <w:r w:rsidR="007C2B54">
        <w:t xml:space="preserve"> </w:t>
      </w:r>
      <w:r w:rsidR="00B97EE0">
        <w:t>h</w:t>
      </w:r>
      <w:r w:rsidR="008776ED">
        <w:t xml:space="preserve">owever, </w:t>
      </w:r>
      <w:r w:rsidR="007C2B54">
        <w:t xml:space="preserve">it is also likely </w:t>
      </w:r>
      <w:r w:rsidR="008776ED">
        <w:t>that the cost</w:t>
      </w:r>
      <w:r w:rsidR="00723F51">
        <w:t>-offsets</w:t>
      </w:r>
      <w:r w:rsidR="007C2B54">
        <w:t xml:space="preserve"> </w:t>
      </w:r>
      <w:r w:rsidR="001D4C29">
        <w:t xml:space="preserve"> </w:t>
      </w:r>
      <w:r w:rsidR="008776ED">
        <w:t xml:space="preserve">presented in the ADAR </w:t>
      </w:r>
      <w:r w:rsidR="00B737D5">
        <w:t>were</w:t>
      </w:r>
      <w:r w:rsidR="008776ED">
        <w:t xml:space="preserve"> overestimated</w:t>
      </w:r>
      <w:r>
        <w:t>. The extent of these cost</w:t>
      </w:r>
      <w:r w:rsidR="00723F51">
        <w:t>-offsets</w:t>
      </w:r>
      <w:r>
        <w:t xml:space="preserve"> </w:t>
      </w:r>
      <w:r w:rsidR="0023271F">
        <w:t>wa</w:t>
      </w:r>
      <w:r w:rsidR="00B44826">
        <w:t>s</w:t>
      </w:r>
      <w:r w:rsidR="00D811E2">
        <w:t xml:space="preserve"> </w:t>
      </w:r>
      <w:r w:rsidR="00AD1A6B">
        <w:t>variable</w:t>
      </w:r>
      <w:r w:rsidR="00D811E2">
        <w:t xml:space="preserve"> </w:t>
      </w:r>
      <w:r w:rsidR="001F51FF">
        <w:t xml:space="preserve">given the </w:t>
      </w:r>
      <w:r w:rsidR="00B44826">
        <w:t xml:space="preserve">issues raised in previous sections, such as the </w:t>
      </w:r>
      <w:r w:rsidR="00453F30">
        <w:t xml:space="preserve">generalisability of </w:t>
      </w:r>
      <w:r w:rsidR="00B44826">
        <w:t xml:space="preserve">the </w:t>
      </w:r>
      <w:r w:rsidR="00453F30">
        <w:t>clinical</w:t>
      </w:r>
      <w:r w:rsidR="008F3460">
        <w:t xml:space="preserve"> evidence</w:t>
      </w:r>
      <w:r w:rsidR="00B44826">
        <w:t xml:space="preserve"> </w:t>
      </w:r>
      <w:r w:rsidR="00453F30">
        <w:t>to</w:t>
      </w:r>
      <w:r w:rsidR="008F3460">
        <w:t xml:space="preserve"> the</w:t>
      </w:r>
      <w:r w:rsidR="00453F30">
        <w:t xml:space="preserve"> Australia</w:t>
      </w:r>
      <w:r w:rsidR="008F3460">
        <w:t xml:space="preserve">n setting, </w:t>
      </w:r>
      <w:r w:rsidR="00AD1A6B">
        <w:t xml:space="preserve">the uncertainty in the </w:t>
      </w:r>
      <w:r w:rsidR="00BD6E9C">
        <w:t xml:space="preserve">estimates used for </w:t>
      </w:r>
      <w:r w:rsidR="007C2B54">
        <w:t xml:space="preserve">repeat testing and </w:t>
      </w:r>
      <w:r w:rsidR="00BD6E9C">
        <w:t>reductions in hospitalisations</w:t>
      </w:r>
      <w:r w:rsidR="007C2B54">
        <w:t>,</w:t>
      </w:r>
      <w:r w:rsidR="00BD6E9C">
        <w:t xml:space="preserve"> </w:t>
      </w:r>
      <w:r w:rsidR="00600FD3">
        <w:t>and the inadequacy of the model structure.</w:t>
      </w:r>
      <w:r w:rsidR="007F6F89">
        <w:t xml:space="preserve"> </w:t>
      </w:r>
    </w:p>
    <w:p w14:paraId="48CFE5FE" w14:textId="62DA4B64" w:rsidR="00AE279F" w:rsidRDefault="009A0763" w:rsidP="004F307F">
      <w:pPr>
        <w:pStyle w:val="Heading2"/>
      </w:pPr>
      <w:r>
        <w:t>1</w:t>
      </w:r>
      <w:r w:rsidR="00881808">
        <w:t>4</w:t>
      </w:r>
      <w:r>
        <w:t xml:space="preserve">. </w:t>
      </w:r>
      <w:r w:rsidR="00AE279F" w:rsidRPr="005E13F3">
        <w:t>Financial/budgetary impacts</w:t>
      </w:r>
    </w:p>
    <w:p w14:paraId="0C37EF18" w14:textId="1F0DCD91" w:rsidR="00476636" w:rsidRDefault="00476636" w:rsidP="00476636">
      <w:r w:rsidRPr="00CE28E3">
        <w:t xml:space="preserve">The financial implications to the </w:t>
      </w:r>
      <w:r>
        <w:t xml:space="preserve">MBS </w:t>
      </w:r>
      <w:r w:rsidRPr="00CE28E3">
        <w:t xml:space="preserve">resulting from the proposed listing of </w:t>
      </w:r>
      <w:r w:rsidRPr="00DB42CA">
        <w:t xml:space="preserve">sFlt-1:PlGF ratio test </w:t>
      </w:r>
      <w:r w:rsidRPr="00CE28E3">
        <w:t xml:space="preserve">are summarised in </w:t>
      </w:r>
      <w:r>
        <w:fldChar w:fldCharType="begin"/>
      </w:r>
      <w:r>
        <w:instrText xml:space="preserve"> REF _Ref69726382 \h </w:instrText>
      </w:r>
      <w:r>
        <w:fldChar w:fldCharType="separate"/>
      </w:r>
      <w:r w:rsidR="009D7CE9" w:rsidRPr="00CE28E3">
        <w:t>Table</w:t>
      </w:r>
      <w:r w:rsidR="009D7CE9">
        <w:t> </w:t>
      </w:r>
      <w:r w:rsidR="009D7CE9">
        <w:rPr>
          <w:noProof/>
        </w:rPr>
        <w:t>12</w:t>
      </w:r>
      <w:r>
        <w:fldChar w:fldCharType="end"/>
      </w:r>
      <w:r w:rsidRPr="00CE28E3">
        <w:t xml:space="preserve">. </w:t>
      </w:r>
      <w:r w:rsidR="000D2C00" w:rsidRPr="005621E9">
        <w:rPr>
          <w:rFonts w:cs="Helvetica"/>
        </w:rPr>
        <w:t xml:space="preserve">The </w:t>
      </w:r>
      <w:r w:rsidR="00723F51">
        <w:rPr>
          <w:rFonts w:cs="Helvetica"/>
        </w:rPr>
        <w:t xml:space="preserve">ADAR </w:t>
      </w:r>
      <w:r w:rsidR="000B3565">
        <w:rPr>
          <w:rFonts w:cs="Helvetica"/>
        </w:rPr>
        <w:t>analysed</w:t>
      </w:r>
      <w:r w:rsidR="00CF259D">
        <w:rPr>
          <w:rFonts w:cs="Helvetica"/>
        </w:rPr>
        <w:t xml:space="preserve"> the </w:t>
      </w:r>
      <w:r w:rsidR="000B3565">
        <w:rPr>
          <w:rFonts w:cs="Helvetica"/>
        </w:rPr>
        <w:t>utilisation and</w:t>
      </w:r>
      <w:r w:rsidR="000B3565" w:rsidRPr="005621E9">
        <w:rPr>
          <w:rFonts w:cs="Helvetica"/>
        </w:rPr>
        <w:t xml:space="preserve"> </w:t>
      </w:r>
      <w:r w:rsidR="000D2C00" w:rsidRPr="005621E9">
        <w:rPr>
          <w:rFonts w:cs="Helvetica"/>
        </w:rPr>
        <w:t xml:space="preserve">financial impact of </w:t>
      </w:r>
      <w:r w:rsidR="00531BDA">
        <w:rPr>
          <w:rFonts w:cs="Helvetica"/>
        </w:rPr>
        <w:t xml:space="preserve">the </w:t>
      </w:r>
      <w:r w:rsidR="00531BDA" w:rsidRPr="00DB42CA">
        <w:t>sFlt-1:PlGF ratio test</w:t>
      </w:r>
      <w:r w:rsidR="007A2203">
        <w:t xml:space="preserve"> by applying an </w:t>
      </w:r>
      <w:r w:rsidR="007A2203">
        <w:rPr>
          <w:rFonts w:cs="Helvetica"/>
        </w:rPr>
        <w:t>epidemiological approach</w:t>
      </w:r>
      <w:r w:rsidR="003D055A">
        <w:rPr>
          <w:rFonts w:cs="Helvetica"/>
        </w:rPr>
        <w:t xml:space="preserve"> and considering </w:t>
      </w:r>
      <w:r w:rsidR="00AE6C67">
        <w:rPr>
          <w:rFonts w:cs="Helvetica"/>
        </w:rPr>
        <w:t xml:space="preserve">financial </w:t>
      </w:r>
      <w:r w:rsidR="000436FC">
        <w:rPr>
          <w:rFonts w:cs="Helvetica"/>
        </w:rPr>
        <w:t>implications</w:t>
      </w:r>
      <w:r w:rsidR="00AE6C67">
        <w:rPr>
          <w:rFonts w:cs="Helvetica"/>
        </w:rPr>
        <w:t xml:space="preserve"> to the MBS</w:t>
      </w:r>
      <w:r w:rsidR="00840286">
        <w:rPr>
          <w:rFonts w:cs="Helvetica"/>
        </w:rPr>
        <w:t xml:space="preserve">, </w:t>
      </w:r>
      <w:r w:rsidR="00334459">
        <w:rPr>
          <w:rFonts w:cs="Helvetica"/>
        </w:rPr>
        <w:t>hospital</w:t>
      </w:r>
      <w:r w:rsidR="00840286">
        <w:rPr>
          <w:rFonts w:cs="Helvetica"/>
        </w:rPr>
        <w:t>s</w:t>
      </w:r>
      <w:r w:rsidR="00AE6C67">
        <w:rPr>
          <w:rFonts w:cs="Helvetica"/>
        </w:rPr>
        <w:t xml:space="preserve"> </w:t>
      </w:r>
      <w:r w:rsidR="00334459">
        <w:rPr>
          <w:rFonts w:cs="Helvetica"/>
        </w:rPr>
        <w:t xml:space="preserve">and </w:t>
      </w:r>
      <w:r w:rsidR="00840286">
        <w:rPr>
          <w:rFonts w:cs="Helvetica"/>
        </w:rPr>
        <w:t>Commonwealth</w:t>
      </w:r>
      <w:r w:rsidR="00334459">
        <w:rPr>
          <w:rFonts w:cs="Helvetica"/>
        </w:rPr>
        <w:t>.</w:t>
      </w:r>
      <w:r>
        <w:rPr>
          <w:rFonts w:cs="Helvetica"/>
        </w:rPr>
        <w:t xml:space="preserve"> </w:t>
      </w:r>
      <w:r w:rsidR="0041151B" w:rsidRPr="0041151B">
        <w:rPr>
          <w:rFonts w:cs="Helvetica"/>
        </w:rPr>
        <w:t xml:space="preserve">The interventions and populations covered in Applications 1705 and 1706 did not overlap. Therefore, the financial impacts of the two applications would be </w:t>
      </w:r>
      <w:r w:rsidR="001644A3">
        <w:rPr>
          <w:rFonts w:cs="Helvetica"/>
        </w:rPr>
        <w:t xml:space="preserve">separate and </w:t>
      </w:r>
      <w:r w:rsidR="0041151B" w:rsidRPr="0041151B">
        <w:rPr>
          <w:rFonts w:cs="Helvetica"/>
        </w:rPr>
        <w:t>cumulative</w:t>
      </w:r>
      <w:r w:rsidR="001644A3">
        <w:rPr>
          <w:rFonts w:cs="Helvetica"/>
        </w:rPr>
        <w:t>,</w:t>
      </w:r>
      <w:r w:rsidR="0041151B">
        <w:rPr>
          <w:rFonts w:cs="Helvetica"/>
        </w:rPr>
        <w:t xml:space="preserve"> and the budget impact presented in the ADAR cover</w:t>
      </w:r>
      <w:r w:rsidR="007F34ED">
        <w:rPr>
          <w:rFonts w:cs="Helvetica"/>
        </w:rPr>
        <w:t>ed</w:t>
      </w:r>
      <w:r w:rsidR="0041151B">
        <w:rPr>
          <w:rFonts w:cs="Helvetica"/>
        </w:rPr>
        <w:t xml:space="preserve"> </w:t>
      </w:r>
      <w:r w:rsidR="006A6D9F">
        <w:rPr>
          <w:rFonts w:cs="Helvetica"/>
        </w:rPr>
        <w:t>the population of 1706, only</w:t>
      </w:r>
      <w:r w:rsidR="0041151B" w:rsidRPr="0041151B">
        <w:rPr>
          <w:rFonts w:cs="Helvetica"/>
        </w:rPr>
        <w:t>.</w:t>
      </w:r>
      <w:r w:rsidR="00C300D5">
        <w:rPr>
          <w:rFonts w:cs="Helvetica"/>
        </w:rPr>
        <w:t xml:space="preserve"> </w:t>
      </w:r>
    </w:p>
    <w:p w14:paraId="58DC2E8E" w14:textId="460DBA48" w:rsidR="00A655A7" w:rsidRDefault="00B30FA8" w:rsidP="008C234D">
      <w:pPr>
        <w:rPr>
          <w:rFonts w:cs="Helvetica"/>
        </w:rPr>
      </w:pPr>
      <w:r>
        <w:rPr>
          <w:rFonts w:cs="Helvetica"/>
        </w:rPr>
        <w:t xml:space="preserve">The </w:t>
      </w:r>
      <w:r w:rsidR="00BE1AD4">
        <w:rPr>
          <w:rFonts w:cs="Helvetica"/>
        </w:rPr>
        <w:t>ADAR</w:t>
      </w:r>
      <w:r>
        <w:rPr>
          <w:rFonts w:cs="Helvetica"/>
        </w:rPr>
        <w:t xml:space="preserve"> concluded that </w:t>
      </w:r>
      <w:r w:rsidR="00905DB1">
        <w:rPr>
          <w:rFonts w:cs="Helvetica"/>
        </w:rPr>
        <w:t xml:space="preserve">the </w:t>
      </w:r>
      <w:r w:rsidR="00B47985">
        <w:rPr>
          <w:rFonts w:cs="Helvetica"/>
        </w:rPr>
        <w:t>introduction</w:t>
      </w:r>
      <w:r w:rsidR="00905DB1">
        <w:rPr>
          <w:rFonts w:cs="Helvetica"/>
        </w:rPr>
        <w:t xml:space="preserve"> of the </w:t>
      </w:r>
      <w:r w:rsidR="00905DB1" w:rsidRPr="00905DB1">
        <w:rPr>
          <w:rFonts w:cs="Helvetica"/>
        </w:rPr>
        <w:t>sFlt-1:PlGF ratio test</w:t>
      </w:r>
      <w:r w:rsidR="00905DB1">
        <w:rPr>
          <w:rFonts w:cs="Helvetica"/>
        </w:rPr>
        <w:t xml:space="preserve"> </w:t>
      </w:r>
      <w:r w:rsidR="00715726">
        <w:rPr>
          <w:rFonts w:cs="Helvetica"/>
        </w:rPr>
        <w:t xml:space="preserve">would </w:t>
      </w:r>
      <w:r w:rsidR="00905DB1" w:rsidRPr="00905DB1">
        <w:rPr>
          <w:rFonts w:cs="Helvetica"/>
        </w:rPr>
        <w:t xml:space="preserve">result in a </w:t>
      </w:r>
      <w:r w:rsidR="00715726">
        <w:rPr>
          <w:rFonts w:cs="Helvetica"/>
        </w:rPr>
        <w:t xml:space="preserve">net </w:t>
      </w:r>
      <w:r w:rsidR="00905DB1" w:rsidRPr="00905DB1">
        <w:rPr>
          <w:rFonts w:cs="Helvetica"/>
        </w:rPr>
        <w:t xml:space="preserve">cost saving </w:t>
      </w:r>
      <w:r w:rsidR="001F5A6D">
        <w:rPr>
          <w:rFonts w:cs="Helvetica"/>
        </w:rPr>
        <w:t xml:space="preserve">for the Commonwealth </w:t>
      </w:r>
      <w:r w:rsidR="00905DB1" w:rsidRPr="00905DB1">
        <w:rPr>
          <w:rFonts w:cs="Helvetica"/>
        </w:rPr>
        <w:t xml:space="preserve">of approximately $29 million per year over the next 6 </w:t>
      </w:r>
      <w:r w:rsidR="00050D1C">
        <w:rPr>
          <w:rFonts w:cs="Helvetica"/>
        </w:rPr>
        <w:t>calendar</w:t>
      </w:r>
      <w:r w:rsidR="00905DB1" w:rsidRPr="00905DB1">
        <w:rPr>
          <w:rFonts w:cs="Helvetica"/>
        </w:rPr>
        <w:t xml:space="preserve"> years</w:t>
      </w:r>
      <w:r w:rsidR="00905DB1">
        <w:rPr>
          <w:rFonts w:cs="Helvetica"/>
        </w:rPr>
        <w:t>.</w:t>
      </w:r>
      <w:r w:rsidR="001F5A6D">
        <w:rPr>
          <w:rFonts w:cs="Helvetica"/>
        </w:rPr>
        <w:t xml:space="preserve"> </w:t>
      </w:r>
      <w:r w:rsidR="00694479" w:rsidRPr="00694479">
        <w:rPr>
          <w:rFonts w:cs="Helvetica"/>
        </w:rPr>
        <w:t>The</w:t>
      </w:r>
      <w:r w:rsidR="001F5A6D">
        <w:rPr>
          <w:rFonts w:cs="Helvetica"/>
        </w:rPr>
        <w:t>se</w:t>
      </w:r>
      <w:r w:rsidR="00694479" w:rsidRPr="00694479">
        <w:rPr>
          <w:rFonts w:cs="Helvetica"/>
        </w:rPr>
        <w:t xml:space="preserve"> </w:t>
      </w:r>
      <w:r w:rsidR="00724920">
        <w:rPr>
          <w:rFonts w:cs="Helvetica"/>
        </w:rPr>
        <w:t xml:space="preserve">projected </w:t>
      </w:r>
      <w:r w:rsidR="00694479" w:rsidRPr="00694479">
        <w:rPr>
          <w:rFonts w:cs="Helvetica"/>
        </w:rPr>
        <w:t xml:space="preserve">net </w:t>
      </w:r>
      <w:r w:rsidR="00C73768">
        <w:rPr>
          <w:rFonts w:cs="Helvetica"/>
        </w:rPr>
        <w:t xml:space="preserve">cost </w:t>
      </w:r>
      <w:r w:rsidR="00694479" w:rsidRPr="00694479">
        <w:rPr>
          <w:rFonts w:cs="Helvetica"/>
        </w:rPr>
        <w:t xml:space="preserve">savings </w:t>
      </w:r>
      <w:r w:rsidR="00BE1AD4">
        <w:rPr>
          <w:rFonts w:cs="Helvetica"/>
        </w:rPr>
        <w:t>we</w:t>
      </w:r>
      <w:r w:rsidR="00694479" w:rsidRPr="00694479">
        <w:rPr>
          <w:rFonts w:cs="Helvetica"/>
        </w:rPr>
        <w:t xml:space="preserve">re a result of the anticipated costs to the MBS resulting from funding </w:t>
      </w:r>
      <w:r w:rsidR="00694479">
        <w:rPr>
          <w:rFonts w:cs="Helvetica"/>
        </w:rPr>
        <w:t xml:space="preserve">the </w:t>
      </w:r>
      <w:r w:rsidR="00694479" w:rsidRPr="00DB42CA">
        <w:t>sFlt-1:PlGF ratio test</w:t>
      </w:r>
      <w:r w:rsidR="00694479" w:rsidRPr="00694479">
        <w:rPr>
          <w:rFonts w:cs="Helvetica"/>
        </w:rPr>
        <w:t>, which were</w:t>
      </w:r>
      <w:r w:rsidR="007F34ED">
        <w:rPr>
          <w:rFonts w:cs="Helvetica"/>
        </w:rPr>
        <w:t xml:space="preserve"> more than</w:t>
      </w:r>
      <w:r w:rsidR="00694479" w:rsidRPr="00694479">
        <w:rPr>
          <w:rFonts w:cs="Helvetica"/>
        </w:rPr>
        <w:t xml:space="preserve"> offset by the anticipated reduction in hospitali</w:t>
      </w:r>
      <w:r w:rsidR="000F098E">
        <w:rPr>
          <w:rFonts w:cs="Helvetica"/>
        </w:rPr>
        <w:t>s</w:t>
      </w:r>
      <w:r w:rsidR="00694479" w:rsidRPr="00694479">
        <w:rPr>
          <w:rFonts w:cs="Helvetica"/>
        </w:rPr>
        <w:t>ation costs due to a reduced number of admissions</w:t>
      </w:r>
      <w:r w:rsidR="004E4CD1">
        <w:rPr>
          <w:rFonts w:cs="Helvetica"/>
        </w:rPr>
        <w:t xml:space="preserve"> (</w:t>
      </w:r>
      <w:r w:rsidR="0071686E">
        <w:rPr>
          <w:rFonts w:cs="Helvetica"/>
        </w:rPr>
        <w:t xml:space="preserve">percentage of </w:t>
      </w:r>
      <w:r w:rsidR="00FF55BD">
        <w:rPr>
          <w:rFonts w:cs="Helvetica"/>
        </w:rPr>
        <w:t>individuals</w:t>
      </w:r>
      <w:r w:rsidR="0071686E">
        <w:rPr>
          <w:rFonts w:cs="Helvetica"/>
        </w:rPr>
        <w:t xml:space="preserve"> indicated for hospital admission reduced </w:t>
      </w:r>
      <w:r w:rsidR="004E4CD1">
        <w:rPr>
          <w:rFonts w:cs="Helvetica"/>
        </w:rPr>
        <w:t>from 49.0% to 22.9%)</w:t>
      </w:r>
      <w:r w:rsidR="00694479" w:rsidRPr="00694479">
        <w:rPr>
          <w:rFonts w:cs="Helvetica"/>
        </w:rPr>
        <w:t>.</w:t>
      </w:r>
    </w:p>
    <w:p w14:paraId="11F2D854" w14:textId="333973B0" w:rsidR="00EC2BD3" w:rsidRPr="00CE28E3" w:rsidRDefault="00EC2BD3" w:rsidP="00EC2BD3">
      <w:pPr>
        <w:pStyle w:val="Caption"/>
      </w:pPr>
      <w:bookmarkStart w:id="32" w:name="_Ref69726382"/>
      <w:r w:rsidRPr="00CE28E3">
        <w:t>Table</w:t>
      </w:r>
      <w:r>
        <w:t> </w:t>
      </w:r>
      <w:r w:rsidR="009C163C">
        <w:fldChar w:fldCharType="begin"/>
      </w:r>
      <w:r w:rsidR="009C163C">
        <w:instrText xml:space="preserve"> SEQ Table \* ARABIC </w:instrText>
      </w:r>
      <w:r w:rsidR="009C163C">
        <w:fldChar w:fldCharType="separate"/>
      </w:r>
      <w:r w:rsidR="009D7CE9">
        <w:rPr>
          <w:noProof/>
        </w:rPr>
        <w:t>12</w:t>
      </w:r>
      <w:r w:rsidR="009C163C">
        <w:rPr>
          <w:noProof/>
        </w:rPr>
        <w:fldChar w:fldCharType="end"/>
      </w:r>
      <w:bookmarkEnd w:id="32"/>
      <w:r w:rsidRPr="00CE28E3">
        <w:tab/>
        <w:t xml:space="preserve">Net financial implications of </w:t>
      </w:r>
      <w:r w:rsidRPr="00F8432F">
        <w:t xml:space="preserve">sFlt-1:PlGF ratio testing </w:t>
      </w:r>
      <w:r w:rsidRPr="00CE28E3">
        <w:t>to the</w:t>
      </w:r>
      <w:r>
        <w:t xml:space="preserve"> MBS</w:t>
      </w:r>
      <w:r w:rsidR="00E936ED">
        <w:t>, hospitals and Commonwealth</w:t>
      </w:r>
    </w:p>
    <w:tbl>
      <w:tblPr>
        <w:tblStyle w:val="TableGrid1"/>
        <w:tblW w:w="0" w:type="auto"/>
        <w:tblCellMar>
          <w:left w:w="0" w:type="dxa"/>
          <w:right w:w="0" w:type="dxa"/>
        </w:tblCellMar>
        <w:tblLook w:val="04A0" w:firstRow="1" w:lastRow="0" w:firstColumn="1" w:lastColumn="0" w:noHBand="0" w:noVBand="1"/>
      </w:tblPr>
      <w:tblGrid>
        <w:gridCol w:w="2232"/>
        <w:gridCol w:w="1129"/>
        <w:gridCol w:w="1129"/>
        <w:gridCol w:w="1129"/>
        <w:gridCol w:w="1129"/>
        <w:gridCol w:w="1129"/>
        <w:gridCol w:w="1129"/>
      </w:tblGrid>
      <w:tr w:rsidR="00EC2BD3" w:rsidRPr="00CE28E3" w14:paraId="59C7FD8C" w14:textId="77777777" w:rsidTr="0064109D">
        <w:trPr>
          <w:cnfStyle w:val="100000000000" w:firstRow="1" w:lastRow="0" w:firstColumn="0" w:lastColumn="0" w:oddVBand="0" w:evenVBand="0" w:oddHBand="0" w:evenHBand="0" w:firstRowFirstColumn="0" w:firstRowLastColumn="0" w:lastRowFirstColumn="0" w:lastRowLastColumn="0"/>
          <w:tblHeader/>
        </w:trPr>
        <w:tc>
          <w:tcPr>
            <w:tcW w:w="22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C61C0B8" w14:textId="77777777" w:rsidR="00EC2BD3" w:rsidRPr="00185DC4" w:rsidRDefault="00EC2BD3" w:rsidP="00185DC4">
            <w:pPr>
              <w:spacing w:after="0"/>
              <w:rPr>
                <w:rFonts w:ascii="Arial Narrow" w:hAnsi="Arial Narrow"/>
                <w:b/>
              </w:rPr>
            </w:pPr>
            <w:bookmarkStart w:id="33" w:name="Title_Table12" w:colFirst="0" w:colLast="0"/>
            <w:bookmarkStart w:id="34" w:name="_Hlk68276802"/>
            <w:r w:rsidRPr="00185DC4">
              <w:rPr>
                <w:rFonts w:ascii="Arial Narrow" w:hAnsi="Arial Narrow"/>
                <w:b/>
              </w:rPr>
              <w:t xml:space="preserve">Parameter </w:t>
            </w:r>
          </w:p>
        </w:tc>
        <w:tc>
          <w:tcPr>
            <w:tcW w:w="11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D2B2125" w14:textId="77777777" w:rsidR="00EC2BD3" w:rsidRPr="00185DC4" w:rsidRDefault="00EC2BD3" w:rsidP="00185DC4">
            <w:pPr>
              <w:spacing w:after="0"/>
              <w:rPr>
                <w:rFonts w:ascii="Arial Narrow" w:hAnsi="Arial Narrow"/>
                <w:b/>
              </w:rPr>
            </w:pPr>
            <w:r w:rsidRPr="00185DC4">
              <w:rPr>
                <w:rFonts w:ascii="Arial Narrow" w:hAnsi="Arial Narrow"/>
                <w:b/>
              </w:rPr>
              <w:t>Year 2024</w:t>
            </w:r>
          </w:p>
        </w:tc>
        <w:tc>
          <w:tcPr>
            <w:tcW w:w="11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A35B2A" w14:textId="77777777" w:rsidR="00EC2BD3" w:rsidRPr="00185DC4" w:rsidRDefault="00EC2BD3" w:rsidP="00185DC4">
            <w:pPr>
              <w:spacing w:after="0"/>
              <w:rPr>
                <w:rFonts w:ascii="Arial Narrow" w:hAnsi="Arial Narrow"/>
                <w:b/>
              </w:rPr>
            </w:pPr>
            <w:r w:rsidRPr="00185DC4">
              <w:rPr>
                <w:rFonts w:ascii="Arial Narrow" w:hAnsi="Arial Narrow"/>
                <w:b/>
              </w:rPr>
              <w:t>Year 2025</w:t>
            </w:r>
          </w:p>
        </w:tc>
        <w:tc>
          <w:tcPr>
            <w:tcW w:w="11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7ED221E" w14:textId="77777777" w:rsidR="00EC2BD3" w:rsidRPr="00185DC4" w:rsidRDefault="00EC2BD3" w:rsidP="00185DC4">
            <w:pPr>
              <w:spacing w:after="0"/>
              <w:rPr>
                <w:rFonts w:ascii="Arial Narrow" w:hAnsi="Arial Narrow"/>
                <w:b/>
              </w:rPr>
            </w:pPr>
            <w:r w:rsidRPr="00185DC4">
              <w:rPr>
                <w:rFonts w:ascii="Arial Narrow" w:hAnsi="Arial Narrow"/>
                <w:b/>
              </w:rPr>
              <w:t>Year 2026</w:t>
            </w:r>
          </w:p>
        </w:tc>
        <w:tc>
          <w:tcPr>
            <w:tcW w:w="11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F4293CB" w14:textId="77777777" w:rsidR="00EC2BD3" w:rsidRPr="00185DC4" w:rsidRDefault="00EC2BD3" w:rsidP="00185DC4">
            <w:pPr>
              <w:spacing w:after="0"/>
              <w:rPr>
                <w:rFonts w:ascii="Arial Narrow" w:hAnsi="Arial Narrow"/>
                <w:b/>
              </w:rPr>
            </w:pPr>
            <w:r w:rsidRPr="00185DC4">
              <w:rPr>
                <w:rFonts w:ascii="Arial Narrow" w:hAnsi="Arial Narrow"/>
                <w:b/>
              </w:rPr>
              <w:t>Year 2027</w:t>
            </w:r>
          </w:p>
        </w:tc>
        <w:tc>
          <w:tcPr>
            <w:tcW w:w="11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82CA3BE" w14:textId="77777777" w:rsidR="00EC2BD3" w:rsidRPr="00185DC4" w:rsidRDefault="00EC2BD3" w:rsidP="00185DC4">
            <w:pPr>
              <w:spacing w:after="0"/>
              <w:rPr>
                <w:rFonts w:ascii="Arial Narrow" w:hAnsi="Arial Narrow"/>
                <w:b/>
              </w:rPr>
            </w:pPr>
            <w:r w:rsidRPr="00185DC4">
              <w:rPr>
                <w:rFonts w:ascii="Arial Narrow" w:hAnsi="Arial Narrow"/>
                <w:b/>
              </w:rPr>
              <w:t>Year 2028</w:t>
            </w:r>
          </w:p>
        </w:tc>
        <w:tc>
          <w:tcPr>
            <w:tcW w:w="11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92976C" w14:textId="77777777" w:rsidR="00EC2BD3" w:rsidRPr="00185DC4" w:rsidRDefault="00EC2BD3" w:rsidP="00185DC4">
            <w:pPr>
              <w:spacing w:after="0"/>
              <w:rPr>
                <w:rFonts w:ascii="Arial Narrow" w:hAnsi="Arial Narrow"/>
                <w:b/>
              </w:rPr>
            </w:pPr>
            <w:r w:rsidRPr="00185DC4">
              <w:rPr>
                <w:rFonts w:ascii="Arial Narrow" w:hAnsi="Arial Narrow"/>
                <w:b/>
              </w:rPr>
              <w:t>Year 2029</w:t>
            </w:r>
          </w:p>
        </w:tc>
      </w:tr>
      <w:bookmarkEnd w:id="33"/>
      <w:tr w:rsidR="00EC2BD3" w:rsidRPr="00CE28E3" w14:paraId="65DD297C" w14:textId="77777777" w:rsidTr="0064109D">
        <w:tc>
          <w:tcPr>
            <w:tcW w:w="9006" w:type="dxa"/>
            <w:gridSpan w:val="7"/>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56D2AD" w14:textId="77777777" w:rsidR="00EC2BD3" w:rsidRPr="00185DC4" w:rsidRDefault="00EC2BD3" w:rsidP="00185DC4">
            <w:pPr>
              <w:spacing w:after="0"/>
              <w:rPr>
                <w:rFonts w:ascii="Arial Narrow" w:hAnsi="Arial Narrow"/>
                <w:b/>
              </w:rPr>
            </w:pPr>
            <w:r w:rsidRPr="00185DC4">
              <w:rPr>
                <w:rFonts w:ascii="Arial Narrow" w:hAnsi="Arial Narrow"/>
                <w:b/>
              </w:rPr>
              <w:t>Estimated use and cost of the proposed health technology</w:t>
            </w:r>
          </w:p>
        </w:tc>
      </w:tr>
      <w:tr w:rsidR="00EC2BD3" w:rsidRPr="00CE28E3" w14:paraId="2814B990" w14:textId="77777777" w:rsidTr="008E5815">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D76CD" w14:textId="5F2B53C8" w:rsidR="00EC2BD3" w:rsidRPr="00CE28E3" w:rsidRDefault="00EC2BD3">
            <w:pPr>
              <w:pStyle w:val="TableText"/>
              <w:keepNext/>
            </w:pPr>
            <w:r w:rsidRPr="00CE28E3">
              <w:t xml:space="preserve">Number of people eligible for </w:t>
            </w:r>
            <w:r w:rsidRPr="00033395">
              <w:t>sFlt-1:PlGF ratio testing</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7E1380DE" w14:textId="77777777" w:rsidR="00EC2BD3" w:rsidRPr="00CE28E3" w:rsidRDefault="00EC2BD3" w:rsidP="0064109D">
            <w:pPr>
              <w:pStyle w:val="TableText"/>
              <w:keepNext/>
              <w:jc w:val="right"/>
            </w:pPr>
            <w:r w:rsidRPr="00CF0E54">
              <w:t xml:space="preserve">31,843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4D43C227" w14:textId="77777777" w:rsidR="00EC2BD3" w:rsidRPr="00CE28E3" w:rsidRDefault="00EC2BD3" w:rsidP="0064109D">
            <w:pPr>
              <w:pStyle w:val="TableText"/>
              <w:keepNext/>
              <w:jc w:val="right"/>
            </w:pPr>
            <w:r w:rsidRPr="00CF0E54">
              <w:t xml:space="preserve">31,821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3B7C3599" w14:textId="77777777" w:rsidR="00EC2BD3" w:rsidRPr="00CE28E3" w:rsidRDefault="00EC2BD3" w:rsidP="0064109D">
            <w:pPr>
              <w:pStyle w:val="TableText"/>
              <w:keepNext/>
              <w:jc w:val="right"/>
            </w:pPr>
            <w:r w:rsidRPr="00CF0E54">
              <w:t xml:space="preserve">31,799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272109D9" w14:textId="77777777" w:rsidR="00EC2BD3" w:rsidRPr="00CE28E3" w:rsidRDefault="00EC2BD3" w:rsidP="0064109D">
            <w:pPr>
              <w:pStyle w:val="TableText"/>
              <w:keepNext/>
              <w:jc w:val="right"/>
            </w:pPr>
            <w:r w:rsidRPr="00CF0E54">
              <w:t xml:space="preserve">31,778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39838673" w14:textId="77777777" w:rsidR="00EC2BD3" w:rsidRPr="00CE28E3" w:rsidRDefault="00EC2BD3" w:rsidP="0064109D">
            <w:pPr>
              <w:pStyle w:val="TableText"/>
              <w:keepNext/>
              <w:jc w:val="right"/>
            </w:pPr>
            <w:r w:rsidRPr="00CF0E54">
              <w:t xml:space="preserve">31,756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05C9C199" w14:textId="77777777" w:rsidR="00EC2BD3" w:rsidRPr="00CE28E3" w:rsidRDefault="00EC2BD3" w:rsidP="0064109D">
            <w:pPr>
              <w:pStyle w:val="TableText"/>
              <w:keepNext/>
              <w:jc w:val="right"/>
            </w:pPr>
            <w:r w:rsidRPr="00CF0E54">
              <w:t xml:space="preserve">31,735 </w:t>
            </w:r>
          </w:p>
        </w:tc>
      </w:tr>
      <w:tr w:rsidR="00EC2BD3" w:rsidRPr="00CE28E3" w14:paraId="51E417FD" w14:textId="77777777" w:rsidTr="008E5815">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1F9EE2" w14:textId="77777777" w:rsidR="00EC2BD3" w:rsidRPr="00CE28E3" w:rsidRDefault="00EC2BD3">
            <w:pPr>
              <w:pStyle w:val="TableText"/>
              <w:keepNext/>
            </w:pPr>
            <w:r w:rsidRPr="00033395">
              <w:t>sFlt-1:PlGF ratio testing</w:t>
            </w:r>
            <w:r>
              <w:t xml:space="preserve"> uptake rate</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5E1F0836" w14:textId="77777777" w:rsidR="00EC2BD3" w:rsidRPr="00CF0E54" w:rsidRDefault="00EC2BD3" w:rsidP="0064109D">
            <w:pPr>
              <w:pStyle w:val="TableText"/>
              <w:keepNext/>
              <w:jc w:val="right"/>
            </w:pPr>
            <w:r>
              <w:t>100%</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678ADDBA" w14:textId="77777777" w:rsidR="00EC2BD3" w:rsidRPr="00CF0E54" w:rsidRDefault="00EC2BD3" w:rsidP="0064109D">
            <w:pPr>
              <w:pStyle w:val="TableText"/>
              <w:keepNext/>
              <w:jc w:val="right"/>
            </w:pPr>
            <w:r>
              <w:t>100%</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556907CE" w14:textId="77777777" w:rsidR="00EC2BD3" w:rsidRPr="00CF0E54" w:rsidRDefault="00EC2BD3" w:rsidP="0064109D">
            <w:pPr>
              <w:pStyle w:val="TableText"/>
              <w:keepNext/>
              <w:jc w:val="right"/>
            </w:pPr>
            <w:r>
              <w:t>100%</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395D3E81" w14:textId="77777777" w:rsidR="00EC2BD3" w:rsidRPr="00CF0E54" w:rsidRDefault="00EC2BD3" w:rsidP="0064109D">
            <w:pPr>
              <w:pStyle w:val="TableText"/>
              <w:keepNext/>
              <w:jc w:val="right"/>
            </w:pPr>
            <w:r>
              <w:t>100%</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4933BE71" w14:textId="77777777" w:rsidR="00EC2BD3" w:rsidRPr="00CF0E54" w:rsidRDefault="00EC2BD3" w:rsidP="0064109D">
            <w:pPr>
              <w:pStyle w:val="TableText"/>
              <w:keepNext/>
              <w:jc w:val="right"/>
            </w:pPr>
            <w:r>
              <w:t>100%</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611DDE40" w14:textId="77777777" w:rsidR="00EC2BD3" w:rsidRPr="00CF0E54" w:rsidRDefault="00EC2BD3" w:rsidP="0064109D">
            <w:pPr>
              <w:pStyle w:val="TableText"/>
              <w:keepNext/>
              <w:jc w:val="right"/>
            </w:pPr>
            <w:r>
              <w:t>100%</w:t>
            </w:r>
          </w:p>
        </w:tc>
      </w:tr>
      <w:tr w:rsidR="00EC2BD3" w:rsidRPr="00CE28E3" w14:paraId="56527776" w14:textId="77777777" w:rsidTr="008E5815">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91D7A" w14:textId="77777777" w:rsidR="00EC2BD3" w:rsidRPr="00CE28E3" w:rsidRDefault="00EC2BD3">
            <w:pPr>
              <w:pStyle w:val="TableText"/>
              <w:keepNext/>
            </w:pPr>
            <w:r w:rsidRPr="00EE5A97">
              <w:t>Average number sFlt-1:PlGF tests per eligible patient</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5F6C9F9E" w14:textId="77777777" w:rsidR="00EC2BD3" w:rsidRPr="00CE28E3" w:rsidRDefault="00EC2BD3" w:rsidP="0064109D">
            <w:pPr>
              <w:pStyle w:val="TableText"/>
              <w:keepNext/>
              <w:jc w:val="right"/>
            </w:pPr>
            <w:r w:rsidRPr="00EE5A97">
              <w:t xml:space="preserve">1.7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6534697B" w14:textId="77777777" w:rsidR="00EC2BD3" w:rsidRPr="00CE28E3" w:rsidRDefault="00EC2BD3" w:rsidP="0064109D">
            <w:pPr>
              <w:pStyle w:val="TableText"/>
              <w:keepNext/>
              <w:jc w:val="right"/>
            </w:pPr>
            <w:r w:rsidRPr="00EE5A97">
              <w:t xml:space="preserve">1.7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26BF81E8" w14:textId="77777777" w:rsidR="00EC2BD3" w:rsidRPr="00CE28E3" w:rsidRDefault="00EC2BD3" w:rsidP="0064109D">
            <w:pPr>
              <w:pStyle w:val="TableText"/>
              <w:keepNext/>
              <w:jc w:val="right"/>
            </w:pPr>
            <w:r w:rsidRPr="00EE5A97">
              <w:t xml:space="preserve">1.7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1BE75C2D" w14:textId="77777777" w:rsidR="00EC2BD3" w:rsidRPr="00CE28E3" w:rsidRDefault="00EC2BD3" w:rsidP="0064109D">
            <w:pPr>
              <w:pStyle w:val="TableText"/>
              <w:keepNext/>
              <w:jc w:val="right"/>
            </w:pPr>
            <w:r w:rsidRPr="00EE5A97">
              <w:t xml:space="preserve">1.7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15C7FB59" w14:textId="77777777" w:rsidR="00EC2BD3" w:rsidRPr="00CE28E3" w:rsidRDefault="00EC2BD3" w:rsidP="0064109D">
            <w:pPr>
              <w:pStyle w:val="TableText"/>
              <w:keepNext/>
              <w:jc w:val="right"/>
            </w:pPr>
            <w:r w:rsidRPr="00EE5A97">
              <w:t xml:space="preserve">1.7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3402465F" w14:textId="77777777" w:rsidR="00EC2BD3" w:rsidRPr="00CE28E3" w:rsidRDefault="00EC2BD3" w:rsidP="0064109D">
            <w:pPr>
              <w:pStyle w:val="TableText"/>
              <w:keepNext/>
              <w:jc w:val="right"/>
            </w:pPr>
            <w:r w:rsidRPr="00EE5A97">
              <w:t xml:space="preserve">1.7 </w:t>
            </w:r>
          </w:p>
        </w:tc>
      </w:tr>
      <w:tr w:rsidR="00EC2BD3" w:rsidRPr="00CE28E3" w14:paraId="6434C7FC" w14:textId="77777777" w:rsidTr="008E5815">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DD89D" w14:textId="4F477538" w:rsidR="00EC2BD3" w:rsidRPr="00CE28E3" w:rsidRDefault="00D53108">
            <w:pPr>
              <w:pStyle w:val="TableText"/>
              <w:keepNext/>
            </w:pPr>
            <w:r>
              <w:t>Number of service</w:t>
            </w:r>
            <w:r w:rsidR="00C002C3">
              <w:t>s</w:t>
            </w:r>
            <w:r>
              <w:t xml:space="preserve"> of </w:t>
            </w:r>
            <w:r w:rsidR="00EC2BD3" w:rsidRPr="00EE5A97">
              <w:t>sFlt-1:PlGF testing</w:t>
            </w:r>
            <w:r w:rsidR="003D4E90">
              <w:t xml:space="preserve"> (AAAA and BBBB</w:t>
            </w:r>
            <w:r w:rsidR="00C002C3">
              <w:t xml:space="preserve"> combined</w:t>
            </w:r>
            <w:r w:rsidR="003D4E90">
              <w:t>)</w:t>
            </w:r>
            <w:r w:rsidR="008A49DA">
              <w:t xml:space="preserve"> </w:t>
            </w:r>
            <w:r w:rsidR="008A49DA">
              <w:br/>
              <w:t>(85% benefit = $51.00)</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722BC457" w14:textId="77777777" w:rsidR="00EC2BD3" w:rsidRPr="00CE28E3" w:rsidRDefault="00EC2BD3" w:rsidP="0064109D">
            <w:pPr>
              <w:pStyle w:val="TableText"/>
              <w:keepNext/>
              <w:jc w:val="right"/>
            </w:pPr>
            <w:r w:rsidRPr="00EE5A97">
              <w:t xml:space="preserve">54,132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14183E7C" w14:textId="77777777" w:rsidR="00EC2BD3" w:rsidRPr="00CE28E3" w:rsidRDefault="00EC2BD3" w:rsidP="0064109D">
            <w:pPr>
              <w:pStyle w:val="TableText"/>
              <w:keepNext/>
              <w:jc w:val="right"/>
            </w:pPr>
            <w:r w:rsidRPr="00EE5A97">
              <w:t xml:space="preserve">54,096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0121DEB6" w14:textId="77777777" w:rsidR="00EC2BD3" w:rsidRPr="00CE28E3" w:rsidRDefault="00EC2BD3" w:rsidP="0064109D">
            <w:pPr>
              <w:pStyle w:val="TableText"/>
              <w:keepNext/>
              <w:jc w:val="right"/>
            </w:pPr>
            <w:r w:rsidRPr="00EE5A97">
              <w:t xml:space="preserve">54,059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0B69A06C" w14:textId="77777777" w:rsidR="00EC2BD3" w:rsidRPr="00CE28E3" w:rsidRDefault="00EC2BD3" w:rsidP="0064109D">
            <w:pPr>
              <w:pStyle w:val="TableText"/>
              <w:keepNext/>
              <w:jc w:val="right"/>
            </w:pPr>
            <w:r w:rsidRPr="00EE5A97">
              <w:t xml:space="preserve">54,022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6E3BFA77" w14:textId="77777777" w:rsidR="00EC2BD3" w:rsidRPr="00CE28E3" w:rsidRDefault="00EC2BD3" w:rsidP="0064109D">
            <w:pPr>
              <w:pStyle w:val="TableText"/>
              <w:keepNext/>
              <w:jc w:val="right"/>
            </w:pPr>
            <w:r w:rsidRPr="00EE5A97">
              <w:t xml:space="preserve">53,986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0E04AB85" w14:textId="77777777" w:rsidR="00EC2BD3" w:rsidRPr="00CE28E3" w:rsidRDefault="00EC2BD3" w:rsidP="0064109D">
            <w:pPr>
              <w:pStyle w:val="TableText"/>
              <w:keepNext/>
              <w:jc w:val="right"/>
            </w:pPr>
            <w:r w:rsidRPr="00EE5A97">
              <w:t xml:space="preserve">53,949 </w:t>
            </w:r>
          </w:p>
        </w:tc>
      </w:tr>
      <w:tr w:rsidR="00BA0DC4" w:rsidRPr="00CE28E3" w14:paraId="636E557F" w14:textId="77777777" w:rsidTr="008E5815">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50FEC9" w14:textId="0368C841" w:rsidR="004C31B3" w:rsidRPr="00BA0DC4" w:rsidRDefault="00D53108" w:rsidP="00BA0DC4">
            <w:pPr>
              <w:pStyle w:val="TableText"/>
              <w:keepNext/>
            </w:pPr>
            <w:r>
              <w:t>Cost</w:t>
            </w:r>
            <w:r w:rsidR="00BA0DC4" w:rsidRPr="00BA0DC4">
              <w:t xml:space="preserve"> to the MBS</w:t>
            </w:r>
            <w:r w:rsidR="00543F61">
              <w:t xml:space="preserve"> (with appropriate copayments excluded)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7F4B3530" w14:textId="77777777" w:rsidR="00BA0DC4" w:rsidRPr="00BA0DC4" w:rsidRDefault="00BA0DC4" w:rsidP="0064109D">
            <w:pPr>
              <w:pStyle w:val="TableText"/>
              <w:keepNext/>
              <w:jc w:val="right"/>
            </w:pPr>
            <w:r w:rsidRPr="00BA0DC4">
              <w:t>$2,760,748</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03448048" w14:textId="77777777" w:rsidR="00BA0DC4" w:rsidRPr="00BA0DC4" w:rsidRDefault="00BA0DC4" w:rsidP="0064109D">
            <w:pPr>
              <w:pStyle w:val="TableText"/>
              <w:keepNext/>
              <w:jc w:val="right"/>
            </w:pPr>
            <w:r w:rsidRPr="00BA0DC4">
              <w:t>$2,758,879</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75F9F7C9" w14:textId="77777777" w:rsidR="00BA0DC4" w:rsidRPr="00BA0DC4" w:rsidRDefault="00BA0DC4" w:rsidP="0064109D">
            <w:pPr>
              <w:pStyle w:val="TableText"/>
              <w:keepNext/>
              <w:jc w:val="right"/>
            </w:pPr>
            <w:r w:rsidRPr="00BA0DC4">
              <w:t>$2,757,010</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11A3CB9E" w14:textId="77777777" w:rsidR="00BA0DC4" w:rsidRPr="00BA0DC4" w:rsidRDefault="00BA0DC4" w:rsidP="0064109D">
            <w:pPr>
              <w:pStyle w:val="TableText"/>
              <w:keepNext/>
              <w:jc w:val="right"/>
            </w:pPr>
            <w:r w:rsidRPr="00BA0DC4">
              <w:t>$2,755,141</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53C71EAD" w14:textId="77777777" w:rsidR="00BA0DC4" w:rsidRPr="00BA0DC4" w:rsidRDefault="00BA0DC4" w:rsidP="0064109D">
            <w:pPr>
              <w:pStyle w:val="TableText"/>
              <w:keepNext/>
              <w:jc w:val="right"/>
            </w:pPr>
            <w:r w:rsidRPr="00BA0DC4">
              <w:t>$2,753,272</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18F0A81E" w14:textId="77777777" w:rsidR="00BA0DC4" w:rsidRPr="00BA0DC4" w:rsidRDefault="00BA0DC4" w:rsidP="0064109D">
            <w:pPr>
              <w:pStyle w:val="TableText"/>
              <w:keepNext/>
              <w:jc w:val="right"/>
            </w:pPr>
            <w:r w:rsidRPr="00BA0DC4">
              <w:t>$2,751,403</w:t>
            </w:r>
          </w:p>
        </w:tc>
      </w:tr>
      <w:tr w:rsidR="004C31B3" w:rsidRPr="00CE28E3" w14:paraId="247FAB63" w14:textId="77777777" w:rsidTr="008E5815">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FAE71" w14:textId="4DEF90CC" w:rsidR="004C31B3" w:rsidRPr="00185DC4" w:rsidDel="00D53108" w:rsidRDefault="004C31B3" w:rsidP="00185DC4">
            <w:pPr>
              <w:spacing w:before="0" w:after="0"/>
              <w:rPr>
                <w:rFonts w:ascii="Arial Narrow" w:hAnsi="Arial Narrow"/>
                <w:b/>
              </w:rPr>
            </w:pPr>
            <w:r w:rsidRPr="00185DC4">
              <w:rPr>
                <w:rFonts w:ascii="Arial Narrow" w:hAnsi="Arial Narrow"/>
                <w:b/>
              </w:rPr>
              <w:t>Net financial impact to the MBS</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5CA3CFD5" w14:textId="2B103687" w:rsidR="004C31B3" w:rsidRPr="00185DC4" w:rsidRDefault="004C31B3" w:rsidP="00185DC4">
            <w:pPr>
              <w:spacing w:before="0" w:after="0"/>
              <w:rPr>
                <w:rFonts w:ascii="Arial Narrow" w:hAnsi="Arial Narrow"/>
                <w:b/>
              </w:rPr>
            </w:pPr>
            <w:r w:rsidRPr="00185DC4">
              <w:rPr>
                <w:rFonts w:ascii="Arial Narrow" w:hAnsi="Arial Narrow"/>
                <w:b/>
              </w:rPr>
              <w:t>$2,760,748</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136913B8" w14:textId="28089344" w:rsidR="004C31B3" w:rsidRPr="00185DC4" w:rsidRDefault="004C31B3" w:rsidP="00185DC4">
            <w:pPr>
              <w:spacing w:before="0" w:after="0"/>
              <w:rPr>
                <w:rFonts w:ascii="Arial Narrow" w:hAnsi="Arial Narrow"/>
                <w:b/>
              </w:rPr>
            </w:pPr>
            <w:r w:rsidRPr="00185DC4">
              <w:rPr>
                <w:rFonts w:ascii="Arial Narrow" w:hAnsi="Arial Narrow"/>
                <w:b/>
              </w:rPr>
              <w:t>$2,758,879</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41263E8E" w14:textId="6C065059" w:rsidR="004C31B3" w:rsidRPr="00185DC4" w:rsidRDefault="004C31B3" w:rsidP="00185DC4">
            <w:pPr>
              <w:spacing w:before="0" w:after="0"/>
              <w:rPr>
                <w:rFonts w:ascii="Arial Narrow" w:hAnsi="Arial Narrow"/>
                <w:b/>
              </w:rPr>
            </w:pPr>
            <w:r w:rsidRPr="00185DC4">
              <w:rPr>
                <w:rFonts w:ascii="Arial Narrow" w:hAnsi="Arial Narrow"/>
                <w:b/>
              </w:rPr>
              <w:t>$2,757,010</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733A96B7" w14:textId="49454C76" w:rsidR="004C31B3" w:rsidRPr="00185DC4" w:rsidRDefault="004C31B3" w:rsidP="00185DC4">
            <w:pPr>
              <w:spacing w:before="0" w:after="0"/>
              <w:rPr>
                <w:rFonts w:ascii="Arial Narrow" w:hAnsi="Arial Narrow"/>
                <w:b/>
              </w:rPr>
            </w:pPr>
            <w:r w:rsidRPr="00185DC4">
              <w:rPr>
                <w:rFonts w:ascii="Arial Narrow" w:hAnsi="Arial Narrow"/>
                <w:b/>
              </w:rPr>
              <w:t>$2,755,141</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29B4CF1C" w14:textId="02931487" w:rsidR="004C31B3" w:rsidRPr="00185DC4" w:rsidRDefault="004C31B3" w:rsidP="00185DC4">
            <w:pPr>
              <w:spacing w:before="0" w:after="0"/>
              <w:rPr>
                <w:rFonts w:ascii="Arial Narrow" w:hAnsi="Arial Narrow"/>
                <w:b/>
              </w:rPr>
            </w:pPr>
            <w:r w:rsidRPr="00185DC4">
              <w:rPr>
                <w:rFonts w:ascii="Arial Narrow" w:hAnsi="Arial Narrow"/>
                <w:b/>
              </w:rPr>
              <w:t>$2,753,272</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187A3CEA" w14:textId="5F87215C" w:rsidR="004C31B3" w:rsidRPr="00185DC4" w:rsidRDefault="004C31B3" w:rsidP="00185DC4">
            <w:pPr>
              <w:spacing w:before="0" w:after="0"/>
              <w:rPr>
                <w:rFonts w:ascii="Arial Narrow" w:hAnsi="Arial Narrow"/>
                <w:b/>
              </w:rPr>
            </w:pPr>
            <w:r w:rsidRPr="00185DC4">
              <w:rPr>
                <w:rFonts w:ascii="Arial Narrow" w:hAnsi="Arial Narrow"/>
                <w:b/>
              </w:rPr>
              <w:t>$2,751,403</w:t>
            </w:r>
          </w:p>
        </w:tc>
      </w:tr>
      <w:tr w:rsidR="00EC2BD3" w:rsidRPr="00CE28E3" w14:paraId="25AAFEAC" w14:textId="77777777" w:rsidTr="0064109D">
        <w:tc>
          <w:tcPr>
            <w:tcW w:w="9006" w:type="dxa"/>
            <w:gridSpan w:val="7"/>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D2D7BC" w14:textId="77777777" w:rsidR="00EC2BD3" w:rsidRPr="00185DC4" w:rsidRDefault="00EC2BD3" w:rsidP="00185DC4">
            <w:pPr>
              <w:spacing w:after="0"/>
              <w:rPr>
                <w:rFonts w:ascii="Arial Narrow" w:hAnsi="Arial Narrow"/>
                <w:b/>
              </w:rPr>
            </w:pPr>
            <w:r w:rsidRPr="00185DC4">
              <w:rPr>
                <w:rFonts w:ascii="Arial Narrow" w:hAnsi="Arial Narrow"/>
                <w:b/>
              </w:rPr>
              <w:t>Change in use and cost of other health technologies</w:t>
            </w:r>
          </w:p>
        </w:tc>
      </w:tr>
      <w:tr w:rsidR="00B21BAB" w:rsidRPr="00B21BAB" w14:paraId="726266AE" w14:textId="77777777" w:rsidTr="008E5815">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8C8E1" w14:textId="109DB687" w:rsidR="00EC2BD3" w:rsidRPr="00B21BAB" w:rsidRDefault="00D23A5D">
            <w:pPr>
              <w:pStyle w:val="TableText"/>
              <w:keepNext/>
            </w:pPr>
            <w:r w:rsidRPr="00B21BAB">
              <w:t>Change in</w:t>
            </w:r>
            <w:r w:rsidR="00C07D3A" w:rsidRPr="00B21BAB">
              <w:t xml:space="preserve"> hospital admissions</w:t>
            </w:r>
            <w:r w:rsidR="00EB5F4F" w:rsidRPr="00B21BAB">
              <w:t xml:space="preserve"> </w:t>
            </w:r>
            <w:r w:rsidR="00AC284C" w:rsidRPr="00B21BAB">
              <w:t>for monitoring</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023F22A7" w14:textId="77777777" w:rsidR="00EC2BD3" w:rsidRPr="00B21BAB" w:rsidRDefault="00C07D3A" w:rsidP="0064109D">
            <w:pPr>
              <w:pStyle w:val="TableText"/>
              <w:keepNext/>
              <w:jc w:val="right"/>
            </w:pPr>
            <w:r w:rsidRPr="0064109D">
              <w:t xml:space="preserve">-8,311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4B211C03" w14:textId="77777777" w:rsidR="00EC2BD3" w:rsidRPr="00B21BAB" w:rsidRDefault="00C07D3A" w:rsidP="0064109D">
            <w:pPr>
              <w:pStyle w:val="TableText"/>
              <w:keepNext/>
              <w:jc w:val="right"/>
            </w:pPr>
            <w:r w:rsidRPr="0064109D">
              <w:t xml:space="preserve">-8,305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503C7389" w14:textId="77777777" w:rsidR="00EC2BD3" w:rsidRPr="00B21BAB" w:rsidRDefault="00C07D3A" w:rsidP="0064109D">
            <w:pPr>
              <w:pStyle w:val="TableText"/>
              <w:keepNext/>
              <w:jc w:val="right"/>
            </w:pPr>
            <w:r w:rsidRPr="0064109D">
              <w:t xml:space="preserve">-8,300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3A293473" w14:textId="77777777" w:rsidR="00EC2BD3" w:rsidRPr="00B21BAB" w:rsidRDefault="00C07D3A" w:rsidP="0064109D">
            <w:pPr>
              <w:pStyle w:val="TableText"/>
              <w:keepNext/>
              <w:jc w:val="right"/>
            </w:pPr>
            <w:r w:rsidRPr="0064109D">
              <w:t xml:space="preserve">-8,294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59CDE5E9" w14:textId="77777777" w:rsidR="00EC2BD3" w:rsidRPr="00B21BAB" w:rsidRDefault="00C07D3A" w:rsidP="0064109D">
            <w:pPr>
              <w:pStyle w:val="TableText"/>
              <w:keepNext/>
              <w:jc w:val="right"/>
            </w:pPr>
            <w:r w:rsidRPr="0064109D">
              <w:t xml:space="preserve">-8,288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4AF9F615" w14:textId="77777777" w:rsidR="00EC2BD3" w:rsidRPr="00B21BAB" w:rsidRDefault="00C07D3A" w:rsidP="0064109D">
            <w:pPr>
              <w:pStyle w:val="TableText"/>
              <w:keepNext/>
              <w:jc w:val="right"/>
            </w:pPr>
            <w:r w:rsidRPr="0064109D">
              <w:t xml:space="preserve">-8,283 </w:t>
            </w:r>
          </w:p>
        </w:tc>
      </w:tr>
      <w:tr w:rsidR="00B21BAB" w:rsidRPr="00B21BAB" w14:paraId="1333F62F" w14:textId="77777777" w:rsidTr="008E5815">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0A265C" w14:textId="0D7018F6" w:rsidR="00EC2BD3" w:rsidRPr="00B21BAB" w:rsidRDefault="001954D5">
            <w:pPr>
              <w:pStyle w:val="TableText"/>
              <w:keepNext/>
            </w:pPr>
            <w:r>
              <w:t>C</w:t>
            </w:r>
            <w:r w:rsidR="00B21BAB" w:rsidRPr="00B21BAB">
              <w:t>hange in</w:t>
            </w:r>
            <w:r w:rsidR="003275B1" w:rsidRPr="00B21BAB">
              <w:t xml:space="preserve"> hospital costs</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546E68B8" w14:textId="77777777" w:rsidR="00EC2BD3" w:rsidRPr="0064109D" w:rsidRDefault="0020481A" w:rsidP="0064109D">
            <w:pPr>
              <w:pStyle w:val="TableText"/>
              <w:keepNext/>
              <w:jc w:val="right"/>
              <w:rPr>
                <w:sz w:val="18"/>
              </w:rPr>
            </w:pPr>
            <w:r w:rsidRPr="0064109D">
              <w:rPr>
                <w:sz w:val="18"/>
              </w:rPr>
              <w:t>-$32,304,740</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2AB437C2" w14:textId="77777777" w:rsidR="00EC2BD3" w:rsidRPr="0064109D" w:rsidRDefault="0020481A" w:rsidP="0064109D">
            <w:pPr>
              <w:pStyle w:val="TableText"/>
              <w:keepNext/>
              <w:jc w:val="right"/>
              <w:rPr>
                <w:sz w:val="18"/>
              </w:rPr>
            </w:pPr>
            <w:r w:rsidRPr="0064109D">
              <w:rPr>
                <w:sz w:val="18"/>
              </w:rPr>
              <w:t>-$32,282,870</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5ECBC9F1" w14:textId="77777777" w:rsidR="00EC2BD3" w:rsidRPr="0064109D" w:rsidRDefault="0020481A" w:rsidP="0064109D">
            <w:pPr>
              <w:pStyle w:val="TableText"/>
              <w:keepNext/>
              <w:jc w:val="right"/>
              <w:rPr>
                <w:sz w:val="18"/>
              </w:rPr>
            </w:pPr>
            <w:r w:rsidRPr="0064109D">
              <w:rPr>
                <w:sz w:val="18"/>
              </w:rPr>
              <w:t>-$32,261,001</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4B0F12CB" w14:textId="77777777" w:rsidR="00EC2BD3" w:rsidRPr="0064109D" w:rsidRDefault="0020481A" w:rsidP="0064109D">
            <w:pPr>
              <w:pStyle w:val="TableText"/>
              <w:keepNext/>
              <w:jc w:val="right"/>
              <w:rPr>
                <w:sz w:val="18"/>
              </w:rPr>
            </w:pPr>
            <w:r w:rsidRPr="0064109D">
              <w:rPr>
                <w:sz w:val="18"/>
              </w:rPr>
              <w:t>-$32,239,132</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1C50D356" w14:textId="77777777" w:rsidR="00EC2BD3" w:rsidRPr="0064109D" w:rsidRDefault="0020481A" w:rsidP="0064109D">
            <w:pPr>
              <w:pStyle w:val="TableText"/>
              <w:keepNext/>
              <w:jc w:val="right"/>
              <w:rPr>
                <w:sz w:val="18"/>
              </w:rPr>
            </w:pPr>
            <w:r w:rsidRPr="0064109D">
              <w:rPr>
                <w:sz w:val="18"/>
              </w:rPr>
              <w:t>-$32,217,262</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63C838B2" w14:textId="77777777" w:rsidR="00EC2BD3" w:rsidRPr="0064109D" w:rsidRDefault="0020481A" w:rsidP="0064109D">
            <w:pPr>
              <w:pStyle w:val="TableText"/>
              <w:keepNext/>
              <w:jc w:val="right"/>
              <w:rPr>
                <w:sz w:val="18"/>
              </w:rPr>
            </w:pPr>
            <w:r w:rsidRPr="0064109D">
              <w:rPr>
                <w:sz w:val="18"/>
              </w:rPr>
              <w:t>-$32,195,393</w:t>
            </w:r>
          </w:p>
        </w:tc>
      </w:tr>
      <w:tr w:rsidR="00B21BAB" w:rsidRPr="00B21BAB" w14:paraId="5AFD329B" w14:textId="77777777" w:rsidTr="0064109D">
        <w:tc>
          <w:tcPr>
            <w:tcW w:w="9006" w:type="dxa"/>
            <w:gridSpan w:val="7"/>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7823AB" w14:textId="77777777" w:rsidR="00E0745B" w:rsidRPr="00185DC4" w:rsidRDefault="002D6126" w:rsidP="00185DC4">
            <w:pPr>
              <w:spacing w:after="0"/>
              <w:rPr>
                <w:rFonts w:ascii="Arial Narrow" w:hAnsi="Arial Narrow"/>
                <w:b/>
              </w:rPr>
            </w:pPr>
            <w:r w:rsidRPr="00185DC4">
              <w:rPr>
                <w:rFonts w:ascii="Arial Narrow" w:hAnsi="Arial Narrow"/>
                <w:b/>
              </w:rPr>
              <w:t>Net financial implications of sFlt-1:PlGF ratio testing</w:t>
            </w:r>
          </w:p>
        </w:tc>
      </w:tr>
      <w:tr w:rsidR="00B21BAB" w:rsidRPr="00B21BAB" w14:paraId="338A56FC" w14:textId="77777777" w:rsidTr="008E5815">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B5C32" w14:textId="0D94CD72" w:rsidR="00EC2BD3" w:rsidRPr="00185DC4" w:rsidRDefault="008E5815" w:rsidP="00185DC4">
            <w:pPr>
              <w:spacing w:before="0" w:after="0"/>
              <w:rPr>
                <w:rFonts w:ascii="Arial Narrow" w:hAnsi="Arial Narrow"/>
                <w:b/>
              </w:rPr>
            </w:pPr>
            <w:r w:rsidRPr="00185DC4">
              <w:rPr>
                <w:rFonts w:ascii="Arial Narrow" w:hAnsi="Arial Narrow"/>
                <w:b/>
              </w:rPr>
              <w:lastRenderedPageBreak/>
              <w:t>Overall net cost to Commonwealth</w:t>
            </w:r>
            <w:r w:rsidR="00C92C83" w:rsidRPr="00185DC4">
              <w:rPr>
                <w:rFonts w:ascii="Arial Narrow" w:hAnsi="Arial Narrow"/>
                <w:b/>
              </w:rPr>
              <w:t xml:space="preserve"> (MBS and hospitals)</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035CB59F" w14:textId="77777777" w:rsidR="00EC2BD3" w:rsidRPr="00185DC4" w:rsidRDefault="008E5815" w:rsidP="00185DC4">
            <w:pPr>
              <w:spacing w:before="0" w:after="0"/>
              <w:rPr>
                <w:rFonts w:ascii="Arial Narrow" w:hAnsi="Arial Narrow"/>
                <w:b/>
                <w:sz w:val="18"/>
                <w:szCs w:val="18"/>
              </w:rPr>
            </w:pPr>
            <w:r w:rsidRPr="00185DC4">
              <w:rPr>
                <w:rFonts w:ascii="Arial Narrow" w:hAnsi="Arial Narrow"/>
                <w:b/>
                <w:sz w:val="18"/>
                <w:szCs w:val="18"/>
              </w:rPr>
              <w:t>-$29,543,992</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16B044DE" w14:textId="77777777" w:rsidR="00EC2BD3" w:rsidRPr="00185DC4" w:rsidRDefault="008E5815" w:rsidP="00185DC4">
            <w:pPr>
              <w:spacing w:before="0" w:after="0"/>
              <w:rPr>
                <w:rFonts w:ascii="Arial Narrow" w:hAnsi="Arial Narrow"/>
                <w:b/>
                <w:sz w:val="18"/>
                <w:szCs w:val="18"/>
              </w:rPr>
            </w:pPr>
            <w:r w:rsidRPr="00185DC4">
              <w:rPr>
                <w:rFonts w:ascii="Arial Narrow" w:hAnsi="Arial Narrow"/>
                <w:b/>
                <w:sz w:val="18"/>
                <w:szCs w:val="18"/>
              </w:rPr>
              <w:t>-$29,523,991</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034EC3A8" w14:textId="77777777" w:rsidR="00EC2BD3" w:rsidRPr="00185DC4" w:rsidRDefault="008E5815" w:rsidP="00185DC4">
            <w:pPr>
              <w:spacing w:before="0" w:after="0"/>
              <w:rPr>
                <w:rFonts w:ascii="Arial Narrow" w:hAnsi="Arial Narrow"/>
                <w:b/>
                <w:sz w:val="18"/>
                <w:szCs w:val="18"/>
              </w:rPr>
            </w:pPr>
            <w:r w:rsidRPr="00185DC4">
              <w:rPr>
                <w:rFonts w:ascii="Arial Narrow" w:hAnsi="Arial Narrow"/>
                <w:b/>
                <w:sz w:val="18"/>
                <w:szCs w:val="18"/>
              </w:rPr>
              <w:t>-$29,503,991</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7FB4B0AF" w14:textId="77777777" w:rsidR="00EC2BD3" w:rsidRPr="00185DC4" w:rsidRDefault="008E5815" w:rsidP="00185DC4">
            <w:pPr>
              <w:spacing w:before="0" w:after="0"/>
              <w:rPr>
                <w:rFonts w:ascii="Arial Narrow" w:hAnsi="Arial Narrow"/>
                <w:b/>
                <w:sz w:val="18"/>
                <w:szCs w:val="18"/>
              </w:rPr>
            </w:pPr>
            <w:r w:rsidRPr="00185DC4">
              <w:rPr>
                <w:rFonts w:ascii="Arial Narrow" w:hAnsi="Arial Narrow"/>
                <w:b/>
                <w:sz w:val="18"/>
                <w:szCs w:val="18"/>
              </w:rPr>
              <w:t>-$29,483,990</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51EB33AB" w14:textId="77777777" w:rsidR="00EC2BD3" w:rsidRPr="00185DC4" w:rsidRDefault="008E5815" w:rsidP="00185DC4">
            <w:pPr>
              <w:spacing w:before="0" w:after="0"/>
              <w:rPr>
                <w:rFonts w:ascii="Arial Narrow" w:hAnsi="Arial Narrow"/>
                <w:b/>
                <w:sz w:val="18"/>
                <w:szCs w:val="18"/>
              </w:rPr>
            </w:pPr>
            <w:r w:rsidRPr="00185DC4">
              <w:rPr>
                <w:rFonts w:ascii="Arial Narrow" w:hAnsi="Arial Narrow"/>
                <w:b/>
                <w:sz w:val="18"/>
                <w:szCs w:val="18"/>
              </w:rPr>
              <w:t>-$29,463,990</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472A0EE6" w14:textId="77777777" w:rsidR="00EC2BD3" w:rsidRPr="00185DC4" w:rsidRDefault="008E5815" w:rsidP="00185DC4">
            <w:pPr>
              <w:spacing w:before="0" w:after="0"/>
              <w:rPr>
                <w:rFonts w:ascii="Arial Narrow" w:hAnsi="Arial Narrow"/>
                <w:b/>
                <w:sz w:val="18"/>
                <w:szCs w:val="18"/>
              </w:rPr>
            </w:pPr>
            <w:r w:rsidRPr="00185DC4">
              <w:rPr>
                <w:rFonts w:ascii="Arial Narrow" w:hAnsi="Arial Narrow"/>
                <w:b/>
                <w:sz w:val="18"/>
                <w:szCs w:val="18"/>
              </w:rPr>
              <w:t>-$29,443,989</w:t>
            </w:r>
          </w:p>
        </w:tc>
      </w:tr>
    </w:tbl>
    <w:p w14:paraId="5D37DBAF" w14:textId="6E3ED2E8" w:rsidR="00EC2BD3" w:rsidRPr="005368B7" w:rsidRDefault="00837898" w:rsidP="0064109D">
      <w:pPr>
        <w:spacing w:before="0" w:after="0"/>
        <w:rPr>
          <w:color w:val="000000" w:themeColor="text1"/>
        </w:rPr>
      </w:pPr>
      <w:bookmarkStart w:id="35" w:name="_Hlk68276814"/>
      <w:bookmarkEnd w:id="34"/>
      <w:r w:rsidRPr="0064109D">
        <w:rPr>
          <w:rFonts w:ascii="Arial Narrow" w:eastAsia="Calibri" w:hAnsi="Arial Narrow" w:cs="Arial"/>
          <w:b/>
          <w:bCs/>
          <w:snapToGrid w:val="0"/>
          <w:sz w:val="18"/>
          <w:szCs w:val="20"/>
          <w:u w:val="single"/>
          <w:lang w:eastAsia="en-AU"/>
        </w:rPr>
        <w:t>Abbreviations</w:t>
      </w:r>
      <w:r w:rsidR="00B013B1" w:rsidRPr="00C577B3">
        <w:rPr>
          <w:rFonts w:ascii="Arial Narrow" w:hAnsi="Arial Narrow"/>
          <w:b/>
          <w:bCs/>
          <w:sz w:val="18"/>
          <w:szCs w:val="18"/>
        </w:rPr>
        <w:t>:</w:t>
      </w:r>
      <w:r w:rsidR="00B013B1">
        <w:rPr>
          <w:rFonts w:ascii="Arial Narrow" w:hAnsi="Arial Narrow"/>
          <w:b/>
          <w:bCs/>
          <w:sz w:val="18"/>
          <w:szCs w:val="18"/>
        </w:rPr>
        <w:t xml:space="preserve"> </w:t>
      </w:r>
      <w:r w:rsidRPr="005D1F7A">
        <w:rPr>
          <w:rFonts w:ascii="Arial Narrow" w:eastAsia="Calibri" w:hAnsi="Arial Narrow" w:cs="Arial"/>
          <w:b/>
          <w:bCs/>
          <w:snapToGrid w:val="0"/>
          <w:sz w:val="18"/>
          <w:szCs w:val="20"/>
          <w:lang w:eastAsia="en-AU"/>
        </w:rPr>
        <w:t>sFlt-1:PlGF</w:t>
      </w:r>
      <w:r w:rsidRPr="00745D42">
        <w:rPr>
          <w:rFonts w:ascii="Arial Narrow" w:eastAsia="Calibri" w:hAnsi="Arial Narrow" w:cs="Arial"/>
          <w:snapToGrid w:val="0"/>
          <w:sz w:val="18"/>
          <w:szCs w:val="20"/>
          <w:lang w:eastAsia="en-AU"/>
        </w:rPr>
        <w:t xml:space="preserve"> = soluble FMS-like tyrosine kinase-1:placental growth factor</w:t>
      </w:r>
      <w:r>
        <w:rPr>
          <w:rFonts w:ascii="Arial Narrow" w:eastAsia="Calibri" w:hAnsi="Arial Narrow" w:cs="Arial"/>
          <w:snapToGrid w:val="0"/>
          <w:sz w:val="18"/>
          <w:szCs w:val="20"/>
          <w:lang w:eastAsia="en-AU"/>
        </w:rPr>
        <w:t xml:space="preserve">, </w:t>
      </w:r>
      <w:r w:rsidR="00DF14BE" w:rsidRPr="0064109D">
        <w:rPr>
          <w:rFonts w:ascii="Arial Narrow" w:eastAsia="Calibri" w:hAnsi="Arial Narrow" w:cs="Arial"/>
          <w:b/>
          <w:bCs/>
          <w:snapToGrid w:val="0"/>
          <w:sz w:val="18"/>
          <w:szCs w:val="20"/>
          <w:lang w:eastAsia="en-AU"/>
        </w:rPr>
        <w:t>MBS</w:t>
      </w:r>
      <w:r w:rsidR="00BC28C2" w:rsidRPr="0064109D">
        <w:rPr>
          <w:rFonts w:ascii="Arial Narrow" w:eastAsia="Calibri" w:hAnsi="Arial Narrow" w:cs="Arial"/>
          <w:snapToGrid w:val="0"/>
          <w:sz w:val="18"/>
          <w:szCs w:val="20"/>
          <w:lang w:eastAsia="en-AU"/>
        </w:rPr>
        <w:t xml:space="preserve"> = Medicare Benefits Schedule</w:t>
      </w:r>
    </w:p>
    <w:bookmarkEnd w:id="35"/>
    <w:p w14:paraId="42F3B61F" w14:textId="2E90766A" w:rsidR="00BC28C2" w:rsidRPr="005368B7" w:rsidRDefault="00BC28C2" w:rsidP="0064109D">
      <w:pPr>
        <w:pStyle w:val="TableFigureFooter"/>
        <w:spacing w:before="0" w:after="0"/>
        <w:rPr>
          <w:color w:val="000000" w:themeColor="text1"/>
        </w:rPr>
      </w:pPr>
      <w:r w:rsidRPr="0064109D">
        <w:rPr>
          <w:b/>
          <w:bCs/>
          <w:color w:val="000000" w:themeColor="text1"/>
          <w:u w:val="single"/>
        </w:rPr>
        <w:t>Source</w:t>
      </w:r>
      <w:r w:rsidR="00B013B1" w:rsidRPr="00C577B3">
        <w:rPr>
          <w:b/>
          <w:bCs/>
          <w:szCs w:val="18"/>
        </w:rPr>
        <w:t>:</w:t>
      </w:r>
      <w:r w:rsidR="00B013B1">
        <w:rPr>
          <w:b/>
          <w:bCs/>
          <w:szCs w:val="18"/>
        </w:rPr>
        <w:t xml:space="preserve"> </w:t>
      </w:r>
      <w:r w:rsidRPr="005368B7">
        <w:rPr>
          <w:color w:val="000000" w:themeColor="text1"/>
        </w:rPr>
        <w:t xml:space="preserve">Adapted from ADAR Tables </w:t>
      </w:r>
      <w:r w:rsidR="005368B7" w:rsidRPr="005368B7">
        <w:rPr>
          <w:color w:val="000000" w:themeColor="text1"/>
        </w:rPr>
        <w:t>41</w:t>
      </w:r>
      <w:r w:rsidR="004E4CD1">
        <w:rPr>
          <w:color w:val="000000" w:themeColor="text1"/>
        </w:rPr>
        <w:t>,</w:t>
      </w:r>
      <w:r w:rsidR="005368B7" w:rsidRPr="005368B7">
        <w:rPr>
          <w:color w:val="000000" w:themeColor="text1"/>
        </w:rPr>
        <w:t xml:space="preserve"> 42</w:t>
      </w:r>
      <w:r w:rsidR="004E4CD1">
        <w:rPr>
          <w:color w:val="000000" w:themeColor="text1"/>
        </w:rPr>
        <w:t>, 43 and 44</w:t>
      </w:r>
    </w:p>
    <w:p w14:paraId="4F741D58" w14:textId="7B5556F0" w:rsidR="00A43774" w:rsidRDefault="00BB12DD" w:rsidP="00A43774">
      <w:r>
        <w:rPr>
          <w:rFonts w:cs="Helvetica"/>
        </w:rPr>
        <w:t xml:space="preserve">The eligible populations </w:t>
      </w:r>
      <w:r w:rsidR="003061E6">
        <w:rPr>
          <w:rFonts w:cs="Helvetica"/>
        </w:rPr>
        <w:t>were</w:t>
      </w:r>
      <w:r>
        <w:rPr>
          <w:rFonts w:cs="Helvetica"/>
        </w:rPr>
        <w:t xml:space="preserve"> calculated based on </w:t>
      </w:r>
      <w:r w:rsidR="00FF55BD">
        <w:rPr>
          <w:rFonts w:cs="Helvetica"/>
        </w:rPr>
        <w:t>0.105 patients per</w:t>
      </w:r>
      <w:r w:rsidR="00E71473">
        <w:rPr>
          <w:rFonts w:cs="Helvetica"/>
        </w:rPr>
        <w:t xml:space="preserve"> birth</w:t>
      </w:r>
      <w:r w:rsidR="00A73E81">
        <w:rPr>
          <w:rFonts w:cs="Helvetica"/>
        </w:rPr>
        <w:t xml:space="preserve"> at </w:t>
      </w:r>
      <w:r w:rsidR="00C9120C">
        <w:rPr>
          <w:rFonts w:cs="Helvetica"/>
        </w:rPr>
        <w:t>≥</w:t>
      </w:r>
      <w:r w:rsidR="00061963">
        <w:rPr>
          <w:rFonts w:cs="Helvetica"/>
        </w:rPr>
        <w:t xml:space="preserve">24 weeks gestation </w:t>
      </w:r>
      <w:r w:rsidR="009E2799">
        <w:rPr>
          <w:rFonts w:cs="Helvetica"/>
        </w:rPr>
        <w:t xml:space="preserve">with signs and symptoms </w:t>
      </w:r>
      <w:r w:rsidR="00370D08">
        <w:rPr>
          <w:rFonts w:cs="Helvetica"/>
        </w:rPr>
        <w:t xml:space="preserve">or diagnosis </w:t>
      </w:r>
      <w:r w:rsidR="009E2799">
        <w:rPr>
          <w:rFonts w:cs="Helvetica"/>
        </w:rPr>
        <w:t xml:space="preserve">of preeclampsia </w:t>
      </w:r>
      <w:r w:rsidR="005F392F">
        <w:rPr>
          <w:rFonts w:cs="Helvetica"/>
        </w:rPr>
        <w:t>(from undescribed audit data included in the ADAR), being</w:t>
      </w:r>
      <w:r w:rsidR="004A5E78">
        <w:rPr>
          <w:rFonts w:cs="Helvetica"/>
        </w:rPr>
        <w:t xml:space="preserve"> the </w:t>
      </w:r>
      <w:r w:rsidR="005F392F">
        <w:rPr>
          <w:rFonts w:cs="Helvetica"/>
        </w:rPr>
        <w:t xml:space="preserve">estimated </w:t>
      </w:r>
      <w:r w:rsidR="004A5E78">
        <w:rPr>
          <w:rFonts w:cs="Helvetica"/>
        </w:rPr>
        <w:t xml:space="preserve">proportion of pregnancies indicated for </w:t>
      </w:r>
      <w:r w:rsidR="004A5E78" w:rsidRPr="00DB42CA">
        <w:t>sFlt-1:PlGF ratio test</w:t>
      </w:r>
      <w:r w:rsidR="004A5E78">
        <w:t>ing.</w:t>
      </w:r>
      <w:r w:rsidR="00C6409D">
        <w:t xml:space="preserve"> </w:t>
      </w:r>
      <w:r w:rsidR="0050143C">
        <w:t>Because t</w:t>
      </w:r>
      <w:r w:rsidR="00C6409D">
        <w:t xml:space="preserve">he </w:t>
      </w:r>
      <w:r w:rsidR="0050143C">
        <w:t xml:space="preserve">population eligible for testing was </w:t>
      </w:r>
      <w:r w:rsidR="00137AEC">
        <w:t xml:space="preserve">calculated </w:t>
      </w:r>
      <w:r w:rsidR="0050143C">
        <w:t>based on</w:t>
      </w:r>
      <w:r w:rsidR="00C6409D">
        <w:t xml:space="preserve"> </w:t>
      </w:r>
      <w:r w:rsidR="00DF07A5">
        <w:t>patients with signs or symptoms</w:t>
      </w:r>
      <w:r w:rsidR="0050143C">
        <w:t xml:space="preserve">, it </w:t>
      </w:r>
      <w:r w:rsidR="00137AEC">
        <w:t>omit</w:t>
      </w:r>
      <w:r w:rsidR="005C02C1">
        <w:t>ted</w:t>
      </w:r>
      <w:r w:rsidR="00137AEC">
        <w:t xml:space="preserve"> patients with no signs nor symptoms</w:t>
      </w:r>
      <w:r w:rsidR="00DF07A5">
        <w:t xml:space="preserve"> but at increased risk, who would also be eligible for AAAA under the current wording.</w:t>
      </w:r>
    </w:p>
    <w:p w14:paraId="34969D00" w14:textId="78332AB7" w:rsidR="00D852C1" w:rsidRDefault="004A5E78" w:rsidP="00A43774">
      <w:r>
        <w:t xml:space="preserve">The </w:t>
      </w:r>
      <w:r w:rsidR="005658C5">
        <w:t>commentary</w:t>
      </w:r>
      <w:r>
        <w:t xml:space="preserve"> agree</w:t>
      </w:r>
      <w:r w:rsidR="00C300D5">
        <w:t>d</w:t>
      </w:r>
      <w:r>
        <w:t xml:space="preserve"> that the method</w:t>
      </w:r>
      <w:r w:rsidR="00506D6A">
        <w:t xml:space="preserve">s for calculating incident and prevalent populations </w:t>
      </w:r>
      <w:r w:rsidR="00E4316A">
        <w:t>were</w:t>
      </w:r>
      <w:r w:rsidR="00506D6A">
        <w:t xml:space="preserve"> </w:t>
      </w:r>
      <w:r w:rsidR="007D1215">
        <w:t>suitable</w:t>
      </w:r>
      <w:r w:rsidR="00B83761">
        <w:t>;</w:t>
      </w:r>
      <w:r w:rsidR="00E14857">
        <w:t xml:space="preserve"> </w:t>
      </w:r>
      <w:r w:rsidR="00B83761">
        <w:t>h</w:t>
      </w:r>
      <w:r w:rsidR="00BC375C">
        <w:t>owever, t</w:t>
      </w:r>
      <w:r w:rsidR="00BC375C" w:rsidRPr="00BC375C">
        <w:t xml:space="preserve">he total number of patients </w:t>
      </w:r>
      <w:r w:rsidR="00BC375C">
        <w:t xml:space="preserve">tested with </w:t>
      </w:r>
      <w:r w:rsidR="00BC375C" w:rsidRPr="00BC375C">
        <w:t>sFlt-1:PlGF</w:t>
      </w:r>
      <w:r w:rsidR="00FA2E9E">
        <w:t xml:space="preserve"> </w:t>
      </w:r>
      <w:r w:rsidR="00BC375C" w:rsidRPr="00BC375C">
        <w:t xml:space="preserve">in 2024 </w:t>
      </w:r>
      <w:r w:rsidR="00D90316">
        <w:t>wa</w:t>
      </w:r>
      <w:r w:rsidR="00BC375C" w:rsidRPr="00BC375C">
        <w:t xml:space="preserve">s overestimated </w:t>
      </w:r>
      <w:r w:rsidR="000148DD">
        <w:t>since</w:t>
      </w:r>
      <w:r w:rsidR="00BC375C" w:rsidRPr="00BC375C">
        <w:t xml:space="preserve"> </w:t>
      </w:r>
      <w:r w:rsidR="00FA2E9E" w:rsidRPr="00EE5A97">
        <w:t>sFlt-1:PlGF</w:t>
      </w:r>
      <w:r w:rsidR="00BC375C" w:rsidRPr="00BC375C">
        <w:t xml:space="preserve"> may only become </w:t>
      </w:r>
      <w:r w:rsidR="0025509D">
        <w:t>availab</w:t>
      </w:r>
      <w:r w:rsidR="0033677D">
        <w:t>l</w:t>
      </w:r>
      <w:r w:rsidR="0025509D">
        <w:t xml:space="preserve">e </w:t>
      </w:r>
      <w:r w:rsidR="0033677D">
        <w:t xml:space="preserve">in </w:t>
      </w:r>
      <w:r w:rsidR="00941249">
        <w:t>ea</w:t>
      </w:r>
      <w:r w:rsidR="0033677D">
        <w:t>r</w:t>
      </w:r>
      <w:r w:rsidR="00941249">
        <w:t>ly</w:t>
      </w:r>
      <w:r w:rsidR="00BC375C" w:rsidRPr="00BC375C">
        <w:t xml:space="preserve"> 2024 at the earliest. </w:t>
      </w:r>
      <w:r w:rsidR="00017883">
        <w:t xml:space="preserve">In addition, the </w:t>
      </w:r>
      <w:r w:rsidR="00260FAE">
        <w:t>ADAR</w:t>
      </w:r>
      <w:r w:rsidR="00017883">
        <w:t xml:space="preserve"> assumed a 100% uptake rate</w:t>
      </w:r>
      <w:r w:rsidR="00D56458">
        <w:t>,</w:t>
      </w:r>
      <w:r w:rsidR="00017883">
        <w:t xml:space="preserve"> which </w:t>
      </w:r>
      <w:r w:rsidR="00260FAE">
        <w:t>the commentary considered was</w:t>
      </w:r>
      <w:r w:rsidR="00017883">
        <w:t xml:space="preserve"> </w:t>
      </w:r>
      <w:r w:rsidR="00644CEA">
        <w:t>also</w:t>
      </w:r>
      <w:r w:rsidR="00017883">
        <w:t xml:space="preserve"> </w:t>
      </w:r>
      <w:r w:rsidR="0086570F">
        <w:t>not realistic.</w:t>
      </w:r>
      <w:r w:rsidR="00E14857">
        <w:t xml:space="preserve"> No disaggregation of </w:t>
      </w:r>
      <w:r w:rsidR="00260FAE">
        <w:t>utilisation/</w:t>
      </w:r>
      <w:r w:rsidR="00E14857">
        <w:t xml:space="preserve">costs </w:t>
      </w:r>
      <w:r w:rsidR="00C300D5">
        <w:t>was</w:t>
      </w:r>
      <w:r w:rsidR="00E14857">
        <w:t xml:space="preserve"> presented </w:t>
      </w:r>
      <w:r w:rsidR="00A90083">
        <w:t xml:space="preserve">for </w:t>
      </w:r>
      <w:r w:rsidR="00E4316A">
        <w:t>pregnant people</w:t>
      </w:r>
      <w:r w:rsidR="00A90083">
        <w:t xml:space="preserve"> presenting si</w:t>
      </w:r>
      <w:r w:rsidR="002B24DC">
        <w:t>gns</w:t>
      </w:r>
      <w:r w:rsidR="00A90083">
        <w:t xml:space="preserve"> and symptoms of preeclampsia </w:t>
      </w:r>
      <w:r w:rsidR="00260FAE">
        <w:t xml:space="preserve">(population 1) </w:t>
      </w:r>
      <w:r w:rsidR="00BE7B77">
        <w:t>compared with</w:t>
      </w:r>
      <w:r w:rsidR="00A90083">
        <w:t xml:space="preserve"> </w:t>
      </w:r>
      <w:r w:rsidR="00E4316A">
        <w:t>those</w:t>
      </w:r>
      <w:r w:rsidR="00A90083">
        <w:t xml:space="preserve"> with an existing diagnosis</w:t>
      </w:r>
      <w:r w:rsidR="00260FAE">
        <w:t xml:space="preserve"> (population 2)</w:t>
      </w:r>
      <w:r w:rsidR="00A90083">
        <w:t xml:space="preserve">. </w:t>
      </w:r>
    </w:p>
    <w:p w14:paraId="1111CF49" w14:textId="5B059EEE" w:rsidR="00AC4709" w:rsidRDefault="00304800" w:rsidP="00A43774">
      <w:r>
        <w:t>Given that the cost</w:t>
      </w:r>
      <w:r w:rsidR="0029485D">
        <w:t>-offsets</w:t>
      </w:r>
      <w:r>
        <w:t xml:space="preserve"> </w:t>
      </w:r>
      <w:r w:rsidR="002B35C2">
        <w:t xml:space="preserve">largely </w:t>
      </w:r>
      <w:r w:rsidR="0029485D">
        <w:t xml:space="preserve">arose </w:t>
      </w:r>
      <w:r w:rsidR="00FA7FB5">
        <w:t>from</w:t>
      </w:r>
      <w:r w:rsidR="002B35C2">
        <w:t xml:space="preserve"> </w:t>
      </w:r>
      <w:r w:rsidR="00301894">
        <w:t>the reduction of hospital admissions</w:t>
      </w:r>
      <w:r w:rsidR="00D140A9">
        <w:t xml:space="preserve"> of </w:t>
      </w:r>
      <w:r w:rsidR="00D140A9" w:rsidRPr="00D140A9">
        <w:t>pregnant people</w:t>
      </w:r>
      <w:r w:rsidR="00301894">
        <w:t>, t</w:t>
      </w:r>
      <w:r w:rsidR="00AC4709" w:rsidRPr="00AC4709">
        <w:t xml:space="preserve">here </w:t>
      </w:r>
      <w:r w:rsidR="00260FAE">
        <w:t>wa</w:t>
      </w:r>
      <w:r w:rsidR="00AC4709" w:rsidRPr="00AC4709">
        <w:t>s unexplored uncertainty around the frequency of repeat testing</w:t>
      </w:r>
      <w:r w:rsidR="00301894">
        <w:t xml:space="preserve"> </w:t>
      </w:r>
      <w:r w:rsidR="00285727">
        <w:t>and their implications on hospital</w:t>
      </w:r>
      <w:r w:rsidR="007D2188">
        <w:t xml:space="preserve"> admissions</w:t>
      </w:r>
      <w:r w:rsidR="00285727">
        <w:t>.</w:t>
      </w:r>
      <w:r w:rsidR="00AC4709" w:rsidRPr="00AC4709">
        <w:t xml:space="preserve"> As a result, </w:t>
      </w:r>
      <w:r w:rsidR="006D43B5">
        <w:t xml:space="preserve">net </w:t>
      </w:r>
      <w:r w:rsidR="00AC4709" w:rsidRPr="00AC4709">
        <w:t xml:space="preserve">cost savings may </w:t>
      </w:r>
      <w:r w:rsidR="00A70C78">
        <w:t xml:space="preserve">have </w:t>
      </w:r>
      <w:r w:rsidR="00AC4709" w:rsidRPr="00AC4709">
        <w:t>be</w:t>
      </w:r>
      <w:r w:rsidR="00A70C78">
        <w:t>en</w:t>
      </w:r>
      <w:r w:rsidR="00AC4709" w:rsidRPr="00AC4709">
        <w:t xml:space="preserve"> overestimated in the </w:t>
      </w:r>
      <w:r w:rsidR="00A70C78">
        <w:t>ADAR</w:t>
      </w:r>
      <w:r w:rsidR="00AC4709" w:rsidRPr="00AC4709">
        <w:t>.</w:t>
      </w:r>
      <w:r w:rsidR="00C300D5">
        <w:t xml:space="preserve"> In addition, t</w:t>
      </w:r>
      <w:r w:rsidR="00C300D5" w:rsidRPr="00C300D5">
        <w:t>he population modelled in the budget impact has likely been underestimated</w:t>
      </w:r>
      <w:r w:rsidR="00C300D5">
        <w:t xml:space="preserve"> – t</w:t>
      </w:r>
      <w:r w:rsidR="00C300D5" w:rsidRPr="00C300D5">
        <w:t>he ADAR did not account for those who could be serial</w:t>
      </w:r>
      <w:r w:rsidR="00A70C78">
        <w:t>ly</w:t>
      </w:r>
      <w:r w:rsidR="00C300D5" w:rsidRPr="00C300D5">
        <w:t xml:space="preserve"> re-tested due to their risk stratification, despite their test classifying them as low risk.</w:t>
      </w:r>
    </w:p>
    <w:p w14:paraId="59E40DEF" w14:textId="335CE03D" w:rsidR="001E2B9A" w:rsidRPr="001B3DCC" w:rsidRDefault="00C300D5" w:rsidP="00A43774">
      <w:r>
        <w:t>Finally</w:t>
      </w:r>
      <w:r w:rsidR="00285727">
        <w:t>, t</w:t>
      </w:r>
      <w:r w:rsidR="009E1E26">
        <w:t xml:space="preserve">he budgetary impact </w:t>
      </w:r>
      <w:r w:rsidR="00620E43">
        <w:t>wa</w:t>
      </w:r>
      <w:r w:rsidR="009E1E26">
        <w:t xml:space="preserve">s largely driven </w:t>
      </w:r>
      <w:r w:rsidR="00C07E77">
        <w:t xml:space="preserve">by data provided by </w:t>
      </w:r>
      <w:r w:rsidR="00351B9A">
        <w:t xml:space="preserve">a </w:t>
      </w:r>
      <w:r w:rsidR="00BC5D37">
        <w:t>professor</w:t>
      </w:r>
      <w:r w:rsidR="00F04977">
        <w:t xml:space="preserve">, which </w:t>
      </w:r>
      <w:r w:rsidR="00620E43">
        <w:t>we</w:t>
      </w:r>
      <w:r w:rsidR="00F04977">
        <w:t>re undocumented.</w:t>
      </w:r>
      <w:r w:rsidR="00A146CC">
        <w:t xml:space="preserve"> </w:t>
      </w:r>
      <w:r w:rsidR="008C68FC">
        <w:t xml:space="preserve">The commentary </w:t>
      </w:r>
      <w:r w:rsidR="000B3DD7">
        <w:t xml:space="preserve">therefore </w:t>
      </w:r>
      <w:r w:rsidR="008C68FC">
        <w:t>considered</w:t>
      </w:r>
      <w:r w:rsidR="000B3DD7">
        <w:t xml:space="preserve"> the </w:t>
      </w:r>
      <w:r w:rsidR="00E67395">
        <w:t>estimated</w:t>
      </w:r>
      <w:r w:rsidR="00E323DF" w:rsidDel="00E67395">
        <w:t xml:space="preserve"> </w:t>
      </w:r>
      <w:r w:rsidR="00E323DF">
        <w:t xml:space="preserve">budgetary impact </w:t>
      </w:r>
      <w:r w:rsidR="00E67395">
        <w:t>was uncertain</w:t>
      </w:r>
      <w:r w:rsidR="007B0103">
        <w:t>.</w:t>
      </w:r>
      <w:r w:rsidR="00A146CC">
        <w:t xml:space="preserve"> </w:t>
      </w:r>
    </w:p>
    <w:p w14:paraId="701893E1" w14:textId="55443B6D" w:rsidR="00DB2309" w:rsidRPr="00DB2309" w:rsidRDefault="00DB2309" w:rsidP="004F307F">
      <w:pPr>
        <w:pStyle w:val="Heading2"/>
      </w:pPr>
      <w:r w:rsidRPr="00DB2309">
        <w:t>1</w:t>
      </w:r>
      <w:r w:rsidR="00881808">
        <w:t>5</w:t>
      </w:r>
      <w:r w:rsidRPr="00DB2309">
        <w:t xml:space="preserve">. </w:t>
      </w:r>
      <w:r w:rsidR="00D34AAF">
        <w:t>Other relevant information</w:t>
      </w:r>
    </w:p>
    <w:p w14:paraId="02FE95EF" w14:textId="24026AB7" w:rsidR="00D34AAF" w:rsidRDefault="00D34AAF" w:rsidP="00E55191">
      <w:pPr>
        <w:pStyle w:val="Heading3nonumbers"/>
      </w:pPr>
      <w:r>
        <w:t>Equality considerations</w:t>
      </w:r>
    </w:p>
    <w:p w14:paraId="118BD191" w14:textId="77C7DF56" w:rsidR="007E1203" w:rsidRDefault="007E1203" w:rsidP="007E1203">
      <w:r>
        <w:t>While preeclampsia can affect any pregnan</w:t>
      </w:r>
      <w:r w:rsidR="00E67395">
        <w:t>cy</w:t>
      </w:r>
      <w:r>
        <w:t xml:space="preserve">, certain </w:t>
      </w:r>
      <w:r w:rsidR="00E67395">
        <w:t xml:space="preserve">patient </w:t>
      </w:r>
      <w:r>
        <w:t xml:space="preserve">groups may face unique equality issues when it comes to testing for this condition. </w:t>
      </w:r>
      <w:r w:rsidR="00D375F7">
        <w:t xml:space="preserve">These equality considerations are not exclusive to the </w:t>
      </w:r>
      <w:r w:rsidR="00D375F7" w:rsidRPr="00DB42CA">
        <w:t>sFlt-1:PlGF</w:t>
      </w:r>
      <w:r w:rsidR="00D375F7">
        <w:t xml:space="preserve"> test</w:t>
      </w:r>
      <w:r w:rsidR="00B26A9A">
        <w:t xml:space="preserve"> but are applicable to preeclampsia testing more generally.</w:t>
      </w:r>
      <w:r w:rsidR="00D375F7">
        <w:t xml:space="preserve"> </w:t>
      </w:r>
      <w:r w:rsidR="00665014">
        <w:t>S</w:t>
      </w:r>
      <w:r>
        <w:t>ome potential equality issues related to preeclampsia testing</w:t>
      </w:r>
      <w:r w:rsidR="00665014">
        <w:t xml:space="preserve"> include</w:t>
      </w:r>
      <w:r>
        <w:t>:</w:t>
      </w:r>
    </w:p>
    <w:p w14:paraId="3BF3699D" w14:textId="21F68148" w:rsidR="007E1203" w:rsidRDefault="007E1203" w:rsidP="007E1203">
      <w:r w:rsidRPr="005B39B8">
        <w:rPr>
          <w:b/>
        </w:rPr>
        <w:t xml:space="preserve">Socioeconomic </w:t>
      </w:r>
      <w:r w:rsidR="009E5568" w:rsidRPr="005B39B8">
        <w:rPr>
          <w:b/>
          <w:bCs/>
        </w:rPr>
        <w:t>d</w:t>
      </w:r>
      <w:r w:rsidRPr="005B39B8">
        <w:rPr>
          <w:b/>
        </w:rPr>
        <w:t>isparities</w:t>
      </w:r>
      <w:r>
        <w:t>: Low-income individuals may face barriers in accessing adequate prenatal care, including preeclampsia testing. Lack of financial resources, limited healthcare facilities in underserved areas, and inadequate insurance coverage can all contribute to disparities in access to timely and accurate testing.</w:t>
      </w:r>
    </w:p>
    <w:p w14:paraId="04277FE2" w14:textId="28F6411E" w:rsidR="007E1203" w:rsidRDefault="007E1203" w:rsidP="007E1203">
      <w:r w:rsidRPr="005B39B8">
        <w:rPr>
          <w:b/>
        </w:rPr>
        <w:t xml:space="preserve">Racial and </w:t>
      </w:r>
      <w:r w:rsidR="009E5568">
        <w:rPr>
          <w:b/>
          <w:bCs/>
        </w:rPr>
        <w:t>e</w:t>
      </w:r>
      <w:r w:rsidRPr="005B39B8">
        <w:rPr>
          <w:b/>
          <w:bCs/>
        </w:rPr>
        <w:t xml:space="preserve">thnic </w:t>
      </w:r>
      <w:r w:rsidR="009E5568">
        <w:rPr>
          <w:b/>
          <w:bCs/>
        </w:rPr>
        <w:t>d</w:t>
      </w:r>
      <w:r w:rsidRPr="005B39B8">
        <w:rPr>
          <w:b/>
        </w:rPr>
        <w:t>isparities</w:t>
      </w:r>
      <w:r>
        <w:t>: Certain racial and ethnic groups have been found to have a higher risk of developing preeclampsia</w:t>
      </w:r>
      <w:r w:rsidR="00B97EE0">
        <w:t>;</w:t>
      </w:r>
      <w:r>
        <w:t xml:space="preserve"> </w:t>
      </w:r>
      <w:r w:rsidR="00B97EE0">
        <w:t>h</w:t>
      </w:r>
      <w:r>
        <w:t>owever, there may be disparities in the availability and quality of preeclampsia testing for these populations, potentially leading to delayed or missed diagnoses.</w:t>
      </w:r>
    </w:p>
    <w:p w14:paraId="7A61BE64" w14:textId="1B5FD5D8" w:rsidR="007E1203" w:rsidRDefault="007E1203" w:rsidP="007E1203">
      <w:r w:rsidRPr="005B39B8">
        <w:rPr>
          <w:b/>
        </w:rPr>
        <w:t xml:space="preserve">Implicit </w:t>
      </w:r>
      <w:r w:rsidR="009E5568">
        <w:rPr>
          <w:b/>
          <w:bCs/>
        </w:rPr>
        <w:t>b</w:t>
      </w:r>
      <w:r w:rsidRPr="005B39B8">
        <w:rPr>
          <w:b/>
        </w:rPr>
        <w:t>ias</w:t>
      </w:r>
      <w:r>
        <w:t xml:space="preserve">: Implicit biases among healthcare providers can influence the decision-making process regarding preeclampsia testing. Biases based on race, ethnicity, age, socioeconomic </w:t>
      </w:r>
      <w:r>
        <w:lastRenderedPageBreak/>
        <w:t>status, or other factors may impact the level of attention, recommendation, or access to necessary tests, potentially leading to disparities in diagnosis and treatment.</w:t>
      </w:r>
    </w:p>
    <w:p w14:paraId="0FEF1040" w14:textId="05D59179" w:rsidR="007E1203" w:rsidRDefault="007E1203" w:rsidP="007E1203">
      <w:r w:rsidRPr="005B39B8">
        <w:rPr>
          <w:b/>
        </w:rPr>
        <w:t xml:space="preserve">Geographical </w:t>
      </w:r>
      <w:r w:rsidR="009E5568">
        <w:rPr>
          <w:b/>
          <w:bCs/>
        </w:rPr>
        <w:t>di</w:t>
      </w:r>
      <w:r w:rsidRPr="005B39B8">
        <w:rPr>
          <w:b/>
        </w:rPr>
        <w:t>sparities</w:t>
      </w:r>
      <w:r>
        <w:t xml:space="preserve">: Rural or remote areas may have limited access to </w:t>
      </w:r>
      <w:r w:rsidR="009E5568">
        <w:t xml:space="preserve">the </w:t>
      </w:r>
      <w:r>
        <w:t>speciali</w:t>
      </w:r>
      <w:r w:rsidR="009E5568">
        <w:t>s</w:t>
      </w:r>
      <w:r>
        <w:t>ed healthcare facilities or resources required for preeclampsia testing. Limited availability of medical professionals, long travel distances, and lack of infrastructure can contribute to delays or reduced access to appropriate testing, affecting individuals living in these areas.</w:t>
      </w:r>
    </w:p>
    <w:p w14:paraId="60D8ED12" w14:textId="59329B45" w:rsidR="007E1203" w:rsidRDefault="00BD6DAD" w:rsidP="007E1203">
      <w:r>
        <w:t xml:space="preserve">The </w:t>
      </w:r>
      <w:r w:rsidR="00260FAE">
        <w:t xml:space="preserve">public funding </w:t>
      </w:r>
      <w:r>
        <w:t xml:space="preserve">of </w:t>
      </w:r>
      <w:r w:rsidR="00F3243A">
        <w:t xml:space="preserve">the </w:t>
      </w:r>
      <w:r w:rsidRPr="00DB42CA">
        <w:t>sFlt-1:PlGF</w:t>
      </w:r>
      <w:r>
        <w:t xml:space="preserve"> test</w:t>
      </w:r>
      <w:r w:rsidR="00F3243A">
        <w:t xml:space="preserve"> </w:t>
      </w:r>
      <w:r w:rsidR="00260FAE">
        <w:t xml:space="preserve">would </w:t>
      </w:r>
      <w:r w:rsidR="00F3243A">
        <w:t xml:space="preserve">neither </w:t>
      </w:r>
      <w:r w:rsidR="00AB5E64">
        <w:t>exacerbate</w:t>
      </w:r>
      <w:r w:rsidR="00AD044B">
        <w:t xml:space="preserve"> </w:t>
      </w:r>
      <w:r w:rsidR="008570D4">
        <w:t xml:space="preserve">nor </w:t>
      </w:r>
      <w:r w:rsidR="007E754F">
        <w:t xml:space="preserve">reduce </w:t>
      </w:r>
      <w:r w:rsidR="00AB5E64">
        <w:t xml:space="preserve">these equality considerations. </w:t>
      </w:r>
    </w:p>
    <w:p w14:paraId="3FFEFD36" w14:textId="13D4C9F9" w:rsidR="00D34AAF" w:rsidRDefault="00D34AAF" w:rsidP="00D34AAF">
      <w:pPr>
        <w:pStyle w:val="Heading3nonumbers"/>
      </w:pPr>
      <w:r>
        <w:t>Value of knowing</w:t>
      </w:r>
    </w:p>
    <w:p w14:paraId="0B91D63B" w14:textId="1189EE2C" w:rsidR="001B6060" w:rsidRDefault="00594F6F" w:rsidP="00594F6F">
      <w:r>
        <w:t xml:space="preserve">For </w:t>
      </w:r>
      <w:r w:rsidR="00D26F0F">
        <w:t>pregnant people</w:t>
      </w:r>
      <w:r>
        <w:t xml:space="preserve"> assessed as high risk </w:t>
      </w:r>
      <w:r w:rsidRPr="00673448">
        <w:t>(sFlt-1:PlGF &gt;85</w:t>
      </w:r>
      <w:r>
        <w:t xml:space="preserve">), it </w:t>
      </w:r>
      <w:r w:rsidR="00131015">
        <w:t>wa</w:t>
      </w:r>
      <w:r>
        <w:t xml:space="preserve">s claimed in the ADAR that, following a decision to admit to hospital, the ratio test </w:t>
      </w:r>
      <w:r w:rsidR="00260FAE">
        <w:t xml:space="preserve">would </w:t>
      </w:r>
      <w:r>
        <w:t xml:space="preserve">provide additional ‘value of knowing’ to both patients and clinicians by reducing the anxiety associated with the ambiguity of a </w:t>
      </w:r>
      <w:r w:rsidR="00665078">
        <w:t>person</w:t>
      </w:r>
      <w:r>
        <w:t xml:space="preserve">’s situation </w:t>
      </w:r>
      <w:r w:rsidRPr="00EF6D76">
        <w:t xml:space="preserve">and </w:t>
      </w:r>
      <w:r>
        <w:t xml:space="preserve">providing </w:t>
      </w:r>
      <w:r w:rsidRPr="00EF6D76">
        <w:t>relief in the knowledge that they are within reach of resources should their condition deteriorate.</w:t>
      </w:r>
      <w:r>
        <w:t xml:space="preserve"> </w:t>
      </w:r>
    </w:p>
    <w:p w14:paraId="7E25CD67" w14:textId="78C960A6" w:rsidR="003D1140" w:rsidRDefault="00E37622" w:rsidP="003D1140">
      <w:r>
        <w:t xml:space="preserve">As per </w:t>
      </w:r>
      <w:r w:rsidR="00260FAE">
        <w:t xml:space="preserve">the </w:t>
      </w:r>
      <w:r>
        <w:t xml:space="preserve">MSAC </w:t>
      </w:r>
      <w:r w:rsidR="00260FAE">
        <w:t>Guidelines</w:t>
      </w:r>
      <w:r w:rsidR="0071689F">
        <w:t>,</w:t>
      </w:r>
      <w:r>
        <w:t xml:space="preserve"> the ADAR </w:t>
      </w:r>
      <w:r w:rsidR="00260FAE">
        <w:t>wa</w:t>
      </w:r>
      <w:r>
        <w:t xml:space="preserve">s required to provide evidence supporting any claim that the key benefit of a test is from its impact in non-health outcomes (value of knowing). The ADAR </w:t>
      </w:r>
      <w:r w:rsidR="00321D50">
        <w:t>did</w:t>
      </w:r>
      <w:r>
        <w:t xml:space="preserve"> not adequately address the benefits and harms of receiving the test information versus what would happen in the absence of the test. </w:t>
      </w:r>
      <w:r w:rsidR="003D1140">
        <w:t xml:space="preserve">The ADAR </w:t>
      </w:r>
      <w:r w:rsidR="00321D50">
        <w:t>did</w:t>
      </w:r>
      <w:r w:rsidR="003D1140">
        <w:t xml:space="preserve"> not provide a tabulated (or otherwise) assessment of the proposed benefit or harm with reason and evidence</w:t>
      </w:r>
      <w:r w:rsidR="003D1140" w:rsidRPr="008E002F">
        <w:t>.</w:t>
      </w:r>
      <w:r w:rsidR="003D1140">
        <w:t xml:space="preserve"> No quantitative evidence </w:t>
      </w:r>
      <w:r w:rsidR="00321D50">
        <w:t>wa</w:t>
      </w:r>
      <w:r w:rsidR="003D1140">
        <w:t xml:space="preserve">s provided to allow the consideration of the proportion of patients who experience the benefits and harms, or the magnitude of such benefits/harms. No qualitative evidence </w:t>
      </w:r>
      <w:r w:rsidR="00321D50">
        <w:t>wa</w:t>
      </w:r>
      <w:r w:rsidR="003D1140">
        <w:t>s provided in the absence of quantitative evidence either. Therefore the commentary was unable to make an evidence</w:t>
      </w:r>
      <w:r w:rsidR="00D26977">
        <w:t>-</w:t>
      </w:r>
      <w:r w:rsidR="003D1140">
        <w:t>based judgement on whether the value of knowing claim was justified</w:t>
      </w:r>
      <w:r w:rsidR="00CA45D7">
        <w:t>, although considered it may be reasonable</w:t>
      </w:r>
      <w:r w:rsidR="003D1140">
        <w:t>.</w:t>
      </w:r>
    </w:p>
    <w:p w14:paraId="40C18B4F" w14:textId="77777777" w:rsidR="00881808" w:rsidRDefault="00881808" w:rsidP="00881808">
      <w:pPr>
        <w:pStyle w:val="Heading2"/>
      </w:pPr>
      <w:r>
        <w:t>16.</w:t>
      </w:r>
      <w:r>
        <w:tab/>
        <w:t>Key issues from ESC to MSAC</w:t>
      </w:r>
    </w:p>
    <w:tbl>
      <w:tblPr>
        <w:tblStyle w:val="TableGrid"/>
        <w:tblW w:w="0" w:type="auto"/>
        <w:tblLook w:val="04A0" w:firstRow="1" w:lastRow="0" w:firstColumn="1" w:lastColumn="0" w:noHBand="0" w:noVBand="1"/>
      </w:tblPr>
      <w:tblGrid>
        <w:gridCol w:w="9016"/>
      </w:tblGrid>
      <w:tr w:rsidR="00881808" w14:paraId="51EDF1AD" w14:textId="77777777" w:rsidTr="00050AB4">
        <w:tc>
          <w:tcPr>
            <w:tcW w:w="9016" w:type="dxa"/>
          </w:tcPr>
          <w:p w14:paraId="5B5D2EB5" w14:textId="77777777" w:rsidR="00881808" w:rsidRDefault="00881808" w:rsidP="00050AB4">
            <w:pPr>
              <w:pStyle w:val="BoxName0"/>
              <w:keepNext w:val="0"/>
              <w:pBdr>
                <w:top w:val="none" w:sz="0" w:space="0" w:color="auto"/>
                <w:left w:val="none" w:sz="0" w:space="0" w:color="auto"/>
                <w:bottom w:val="none" w:sz="0" w:space="0" w:color="auto"/>
                <w:right w:val="none" w:sz="0" w:space="0" w:color="auto"/>
              </w:pBdr>
            </w:pPr>
            <w:r w:rsidRPr="00C749CB">
              <w:t>Main issues for MSAC consideration</w:t>
            </w:r>
          </w:p>
          <w:p w14:paraId="20D5AAA6" w14:textId="77777777" w:rsidR="00881808" w:rsidRPr="00C91095" w:rsidRDefault="00881808" w:rsidP="00050AB4">
            <w:pPr>
              <w:rPr>
                <w:b/>
                <w:bCs/>
              </w:rPr>
            </w:pPr>
            <w:r w:rsidRPr="00C91095">
              <w:rPr>
                <w:b/>
                <w:bCs/>
              </w:rPr>
              <w:t>Clinical issues</w:t>
            </w:r>
          </w:p>
          <w:p w14:paraId="4000746D" w14:textId="77777777" w:rsidR="00881808" w:rsidRDefault="00881808" w:rsidP="00050AB4">
            <w:pPr>
              <w:pStyle w:val="BoxBullet"/>
              <w:pBdr>
                <w:top w:val="none" w:sz="0" w:space="0" w:color="auto"/>
                <w:left w:val="none" w:sz="0" w:space="0" w:color="auto"/>
                <w:bottom w:val="none" w:sz="0" w:space="0" w:color="auto"/>
                <w:right w:val="none" w:sz="0" w:space="0" w:color="auto"/>
              </w:pBdr>
            </w:pPr>
            <w:r w:rsidRPr="00931657">
              <w:t xml:space="preserve">Overall, evidence supporting this application was sparse and of low quality. </w:t>
            </w:r>
            <w:r>
              <w:t>Evidence</w:t>
            </w:r>
            <w:r w:rsidRPr="00931657">
              <w:t xml:space="preserve"> was not disaggregated for population 1 (risk of </w:t>
            </w:r>
            <w:r>
              <w:t>preeclampsia</w:t>
            </w:r>
            <w:r w:rsidRPr="00931657">
              <w:t xml:space="preserve">) versus population 2 (severity of </w:t>
            </w:r>
            <w:r>
              <w:t>preeclampsia</w:t>
            </w:r>
            <w:r w:rsidRPr="00931657">
              <w:t>).</w:t>
            </w:r>
          </w:p>
          <w:p w14:paraId="6C7F566E" w14:textId="77777777" w:rsidR="00881808" w:rsidRPr="00931657" w:rsidRDefault="00881808" w:rsidP="00050AB4">
            <w:pPr>
              <w:pStyle w:val="BoxBullet"/>
              <w:pBdr>
                <w:top w:val="none" w:sz="0" w:space="0" w:color="auto"/>
                <w:left w:val="none" w:sz="0" w:space="0" w:color="auto"/>
                <w:bottom w:val="none" w:sz="0" w:space="0" w:color="auto"/>
                <w:right w:val="none" w:sz="0" w:space="0" w:color="auto"/>
              </w:pBdr>
            </w:pPr>
            <w:r w:rsidRPr="00931657">
              <w:t xml:space="preserve">The evidence examined the </w:t>
            </w:r>
            <w:r w:rsidRPr="00D61075">
              <w:t xml:space="preserve">sFlt-1:PlGF </w:t>
            </w:r>
            <w:r w:rsidRPr="00931657">
              <w:t>ratio</w:t>
            </w:r>
            <w:r>
              <w:t xml:space="preserve"> itself</w:t>
            </w:r>
            <w:r w:rsidRPr="00931657">
              <w:t>, rather than the change in ratio over time</w:t>
            </w:r>
            <w:r>
              <w:t>. Ratio change over time may be associated with preeclampsia risk, but there was no evidence on how this can change management and/or improve health outcomes. Rate of change may be used to justify more frequent retesting, with risk of greater usage than was estimated by the applicant.</w:t>
            </w:r>
          </w:p>
          <w:p w14:paraId="6C23BC2F" w14:textId="77777777" w:rsidR="00881808" w:rsidRPr="00931657" w:rsidRDefault="00881808" w:rsidP="00050AB4">
            <w:pPr>
              <w:pStyle w:val="BoxBullet"/>
              <w:pBdr>
                <w:top w:val="none" w:sz="0" w:space="0" w:color="auto"/>
                <w:left w:val="none" w:sz="0" w:space="0" w:color="auto"/>
                <w:bottom w:val="none" w:sz="0" w:space="0" w:color="auto"/>
                <w:right w:val="none" w:sz="0" w:space="0" w:color="auto"/>
              </w:pBdr>
              <w:rPr>
                <w:b/>
                <w:bCs/>
              </w:rPr>
            </w:pPr>
            <w:r w:rsidRPr="00931657">
              <w:t>The claim of non-inferior safety was not supported by evidence.</w:t>
            </w:r>
          </w:p>
          <w:p w14:paraId="31F74B97" w14:textId="77777777" w:rsidR="00881808" w:rsidRPr="00931657" w:rsidRDefault="00881808" w:rsidP="00050AB4">
            <w:pPr>
              <w:pStyle w:val="BoxBullet"/>
              <w:pBdr>
                <w:top w:val="none" w:sz="0" w:space="0" w:color="auto"/>
                <w:left w:val="none" w:sz="0" w:space="0" w:color="auto"/>
                <w:bottom w:val="none" w:sz="0" w:space="0" w:color="auto"/>
                <w:right w:val="none" w:sz="0" w:space="0" w:color="auto"/>
              </w:pBdr>
            </w:pPr>
            <w:r w:rsidRPr="00931657">
              <w:t xml:space="preserve">The evidence for </w:t>
            </w:r>
            <w:r>
              <w:t>reduction</w:t>
            </w:r>
            <w:r w:rsidRPr="00931657">
              <w:t xml:space="preserve"> in </w:t>
            </w:r>
            <w:r>
              <w:t xml:space="preserve">proportion of patients </w:t>
            </w:r>
            <w:r w:rsidRPr="00931657">
              <w:t>hospital</w:t>
            </w:r>
            <w:r>
              <w:t>ised</w:t>
            </w:r>
            <w:r w:rsidRPr="00931657">
              <w:t xml:space="preserve"> was unconvincing, as it varied greatly between studies (</w:t>
            </w:r>
            <w:r>
              <w:t>studies reported -53.3%, -15.0%, and +23.7%</w:t>
            </w:r>
            <w:r w:rsidRPr="00931657">
              <w:t>).</w:t>
            </w:r>
            <w:r>
              <w:t xml:space="preserve"> Further justification of the variability in inputs would assist MSAC’s consideration.</w:t>
            </w:r>
          </w:p>
          <w:p w14:paraId="771BA4B6" w14:textId="77777777" w:rsidR="00881808" w:rsidRPr="00931657" w:rsidRDefault="00881808" w:rsidP="00050AB4">
            <w:pPr>
              <w:pStyle w:val="BoxBullet"/>
              <w:pBdr>
                <w:top w:val="none" w:sz="0" w:space="0" w:color="auto"/>
                <w:left w:val="none" w:sz="0" w:space="0" w:color="auto"/>
                <w:bottom w:val="none" w:sz="0" w:space="0" w:color="auto"/>
                <w:right w:val="none" w:sz="0" w:space="0" w:color="auto"/>
              </w:pBdr>
            </w:pPr>
            <w:r>
              <w:t>Patients with multiple pregnancies are a group at high risk of preeclampsia, yet v</w:t>
            </w:r>
            <w:r w:rsidRPr="00931657">
              <w:t>ery little data was provide</w:t>
            </w:r>
            <w:r>
              <w:t>d</w:t>
            </w:r>
            <w:r w:rsidRPr="00931657">
              <w:t xml:space="preserve"> for </w:t>
            </w:r>
            <w:r>
              <w:t xml:space="preserve">the use of testing in </w:t>
            </w:r>
            <w:r w:rsidRPr="00931657">
              <w:t>multiple pregnancies.</w:t>
            </w:r>
          </w:p>
          <w:p w14:paraId="7A8AD78B" w14:textId="77777777" w:rsidR="00881808" w:rsidRPr="00931657" w:rsidRDefault="00881808" w:rsidP="00050AB4">
            <w:pPr>
              <w:pStyle w:val="BoxBullet"/>
              <w:pBdr>
                <w:top w:val="none" w:sz="0" w:space="0" w:color="auto"/>
                <w:left w:val="none" w:sz="0" w:space="0" w:color="auto"/>
                <w:bottom w:val="none" w:sz="0" w:space="0" w:color="auto"/>
                <w:right w:val="none" w:sz="0" w:space="0" w:color="auto"/>
              </w:pBdr>
            </w:pPr>
            <w:r w:rsidRPr="00931657">
              <w:lastRenderedPageBreak/>
              <w:t xml:space="preserve">Tighter definitions are needed of the at-risk population. </w:t>
            </w:r>
            <w:bookmarkStart w:id="36" w:name="_Hlk148096677"/>
            <w:r w:rsidRPr="00931657">
              <w:t xml:space="preserve">Inclusion of the population with no signs nor symptoms of </w:t>
            </w:r>
            <w:r>
              <w:t>preeclampsia</w:t>
            </w:r>
            <w:r w:rsidRPr="00931657">
              <w:t xml:space="preserve"> but “where there is an increased risk of preeclampsia” </w:t>
            </w:r>
            <w:r>
              <w:t>w</w:t>
            </w:r>
            <w:r w:rsidRPr="00931657">
              <w:t>as not clarified by the applicant and introduce</w:t>
            </w:r>
            <w:r>
              <w:t>d</w:t>
            </w:r>
            <w:r w:rsidRPr="00931657">
              <w:t xml:space="preserve"> considerable uncertainty regarding test uptake, cost and value.</w:t>
            </w:r>
            <w:bookmarkEnd w:id="36"/>
          </w:p>
          <w:p w14:paraId="3B7BF265" w14:textId="77777777" w:rsidR="00881808" w:rsidRPr="00931657" w:rsidRDefault="00881808" w:rsidP="00050AB4">
            <w:pPr>
              <w:pStyle w:val="BoxBullet"/>
              <w:pBdr>
                <w:top w:val="none" w:sz="0" w:space="0" w:color="auto"/>
                <w:left w:val="none" w:sz="0" w:space="0" w:color="auto"/>
                <w:bottom w:val="none" w:sz="0" w:space="0" w:color="auto"/>
                <w:right w:val="none" w:sz="0" w:space="0" w:color="auto"/>
              </w:pBdr>
            </w:pPr>
            <w:r w:rsidRPr="00931657">
              <w:t xml:space="preserve">There was considerable uncertainty about the likelihood of serial testing and implications for outcomes. The ADAR assumed an average of </w:t>
            </w:r>
            <w:r>
              <w:t>1.7</w:t>
            </w:r>
            <w:r w:rsidRPr="00931657">
              <w:t xml:space="preserve"> tests per patient, however the basis for this figure was not provided and it may be unrealistic.</w:t>
            </w:r>
          </w:p>
          <w:p w14:paraId="1D0EF31F" w14:textId="77777777" w:rsidR="00881808" w:rsidRPr="00931657" w:rsidRDefault="00881808" w:rsidP="00050AB4">
            <w:pPr>
              <w:pStyle w:val="BoxBullet"/>
              <w:numPr>
                <w:ilvl w:val="0"/>
                <w:numId w:val="0"/>
              </w:numPr>
              <w:pBdr>
                <w:top w:val="none" w:sz="0" w:space="0" w:color="auto"/>
                <w:left w:val="none" w:sz="0" w:space="0" w:color="auto"/>
                <w:bottom w:val="none" w:sz="0" w:space="0" w:color="auto"/>
                <w:right w:val="none" w:sz="0" w:space="0" w:color="auto"/>
              </w:pBdr>
              <w:rPr>
                <w:b/>
                <w:bCs/>
              </w:rPr>
            </w:pPr>
            <w:r w:rsidRPr="00931657">
              <w:rPr>
                <w:b/>
                <w:bCs/>
              </w:rPr>
              <w:t>Economic issues:</w:t>
            </w:r>
          </w:p>
          <w:p w14:paraId="6191AB5A" w14:textId="77777777" w:rsidR="00881808" w:rsidRPr="00931657" w:rsidRDefault="00881808" w:rsidP="00050AB4">
            <w:pPr>
              <w:pStyle w:val="BoxBullet"/>
              <w:pBdr>
                <w:top w:val="none" w:sz="0" w:space="0" w:color="auto"/>
                <w:left w:val="none" w:sz="0" w:space="0" w:color="auto"/>
                <w:bottom w:val="none" w:sz="0" w:space="0" w:color="auto"/>
                <w:right w:val="none" w:sz="0" w:space="0" w:color="auto"/>
              </w:pBdr>
            </w:pPr>
            <w:r w:rsidRPr="00931657">
              <w:t>The choice of a cost-consequences analysis was inappropriate</w:t>
            </w:r>
            <w:r>
              <w:t>, although</w:t>
            </w:r>
            <w:r w:rsidRPr="00931657">
              <w:t xml:space="preserve"> a cost-effectiveness analysis c</w:t>
            </w:r>
            <w:r>
              <w:t>ould</w:t>
            </w:r>
            <w:r w:rsidRPr="00931657">
              <w:t xml:space="preserve"> be calculated </w:t>
            </w:r>
            <w:bookmarkStart w:id="37" w:name="_Hlk147915976"/>
            <w:r w:rsidRPr="00931657">
              <w:t xml:space="preserve">using the ADAR’s model, which gave an ICER of </w:t>
            </w:r>
            <w:r w:rsidRPr="00007CCB">
              <w:t>$3</w:t>
            </w:r>
            <w:r w:rsidRPr="00836212">
              <w:t>,331</w:t>
            </w:r>
            <w:r w:rsidRPr="00931657">
              <w:t xml:space="preserve"> per hospital admission avoided</w:t>
            </w:r>
            <w:r>
              <w:t xml:space="preserve"> </w:t>
            </w:r>
            <w:r w:rsidRPr="00931657">
              <w:t>(without making other adjustments)</w:t>
            </w:r>
            <w:bookmarkEnd w:id="37"/>
            <w:r w:rsidRPr="00931657">
              <w:t>.</w:t>
            </w:r>
            <w:r>
              <w:t xml:space="preserve"> </w:t>
            </w:r>
          </w:p>
          <w:p w14:paraId="2C67734A" w14:textId="77777777" w:rsidR="00881808" w:rsidRPr="00931657" w:rsidRDefault="00881808" w:rsidP="00050AB4">
            <w:pPr>
              <w:pStyle w:val="BoxBullet"/>
              <w:pBdr>
                <w:top w:val="none" w:sz="0" w:space="0" w:color="auto"/>
                <w:left w:val="none" w:sz="0" w:space="0" w:color="auto"/>
                <w:bottom w:val="none" w:sz="0" w:space="0" w:color="auto"/>
                <w:right w:val="none" w:sz="0" w:space="0" w:color="auto"/>
              </w:pBdr>
            </w:pPr>
            <w:r w:rsidRPr="00931657">
              <w:t xml:space="preserve">The evidence for a reduction in </w:t>
            </w:r>
            <w:r>
              <w:t xml:space="preserve">proportion of patients </w:t>
            </w:r>
            <w:r w:rsidRPr="00931657">
              <w:t>hospital</w:t>
            </w:r>
            <w:r>
              <w:t>ised</w:t>
            </w:r>
            <w:r w:rsidRPr="00931657">
              <w:t>, which was a key driver of the model, may not be sufficiently robust.</w:t>
            </w:r>
          </w:p>
          <w:p w14:paraId="17BE9E53" w14:textId="77777777" w:rsidR="00881808" w:rsidRPr="00931657" w:rsidRDefault="00881808" w:rsidP="00050AB4">
            <w:pPr>
              <w:pStyle w:val="BoxBullet"/>
              <w:pBdr>
                <w:top w:val="none" w:sz="0" w:space="0" w:color="auto"/>
                <w:left w:val="none" w:sz="0" w:space="0" w:color="auto"/>
                <w:bottom w:val="none" w:sz="0" w:space="0" w:color="auto"/>
                <w:right w:val="none" w:sz="0" w:space="0" w:color="auto"/>
              </w:pBdr>
            </w:pPr>
            <w:r w:rsidRPr="00931657">
              <w:t xml:space="preserve">Retesting could change the downstream patient management (in either direction), </w:t>
            </w:r>
            <w:r>
              <w:t>which</w:t>
            </w:r>
            <w:r w:rsidRPr="00931657">
              <w:t xml:space="preserve"> was not </w:t>
            </w:r>
            <w:r>
              <w:t>addressed</w:t>
            </w:r>
            <w:r w:rsidRPr="00931657">
              <w:t xml:space="preserve">, although </w:t>
            </w:r>
            <w:r>
              <w:t>retesting rate</w:t>
            </w:r>
            <w:r w:rsidRPr="00931657">
              <w:t xml:space="preserve"> was not a key driver of the model.</w:t>
            </w:r>
            <w:r>
              <w:t xml:space="preserve"> The applicant should consider incorporating retesting by clinical risk stratification into the economic model.</w:t>
            </w:r>
          </w:p>
          <w:p w14:paraId="06CC91B9" w14:textId="77777777" w:rsidR="00881808" w:rsidRPr="00931657" w:rsidRDefault="00881808" w:rsidP="00050AB4">
            <w:pPr>
              <w:pStyle w:val="BoxBullet"/>
              <w:pBdr>
                <w:top w:val="none" w:sz="0" w:space="0" w:color="auto"/>
                <w:left w:val="none" w:sz="0" w:space="0" w:color="auto"/>
                <w:bottom w:val="none" w:sz="0" w:space="0" w:color="auto"/>
                <w:right w:val="none" w:sz="0" w:space="0" w:color="auto"/>
              </w:pBdr>
            </w:pPr>
            <w:r w:rsidRPr="00931657">
              <w:t xml:space="preserve">Further consideration is needed about </w:t>
            </w:r>
            <w:r>
              <w:t xml:space="preserve">economic modelling of </w:t>
            </w:r>
            <w:r w:rsidRPr="00931657">
              <w:t>multiple births and the moderate risk group. MSAC’s consideration</w:t>
            </w:r>
            <w:r>
              <w:t xml:space="preserve"> would also be supported by</w:t>
            </w:r>
            <w:r w:rsidRPr="00931657">
              <w:t xml:space="preserve"> </w:t>
            </w:r>
            <w:r>
              <w:t xml:space="preserve">incorporating </w:t>
            </w:r>
            <w:r w:rsidRPr="00931657">
              <w:t>a change in risk groupings.</w:t>
            </w:r>
          </w:p>
          <w:p w14:paraId="70FF2931" w14:textId="77777777" w:rsidR="00881808" w:rsidRDefault="00881808" w:rsidP="00134545">
            <w:pPr>
              <w:pStyle w:val="BoxBullet"/>
              <w:pBdr>
                <w:top w:val="none" w:sz="0" w:space="0" w:color="auto"/>
                <w:left w:val="none" w:sz="0" w:space="0" w:color="auto"/>
                <w:bottom w:val="none" w:sz="0" w:space="0" w:color="auto"/>
                <w:right w:val="none" w:sz="0" w:space="0" w:color="auto"/>
              </w:pBdr>
            </w:pPr>
            <w:r>
              <w:t xml:space="preserve">ESC considered that as the effect of ratio testing had not been established, intermediate outcomes appeared appropriate for the economic modelling. </w:t>
            </w:r>
          </w:p>
          <w:p w14:paraId="07DC257B" w14:textId="77777777" w:rsidR="00881808" w:rsidRPr="00931657" w:rsidRDefault="00881808" w:rsidP="00050AB4">
            <w:pPr>
              <w:pStyle w:val="BoxBullet"/>
              <w:numPr>
                <w:ilvl w:val="0"/>
                <w:numId w:val="0"/>
              </w:numPr>
              <w:pBdr>
                <w:top w:val="none" w:sz="0" w:space="0" w:color="auto"/>
                <w:left w:val="none" w:sz="0" w:space="0" w:color="auto"/>
                <w:bottom w:val="none" w:sz="0" w:space="0" w:color="auto"/>
                <w:right w:val="none" w:sz="0" w:space="0" w:color="auto"/>
              </w:pBdr>
              <w:rPr>
                <w:b/>
                <w:bCs/>
              </w:rPr>
            </w:pPr>
            <w:r w:rsidRPr="00931657">
              <w:rPr>
                <w:b/>
                <w:bCs/>
              </w:rPr>
              <w:t>Financial issues:</w:t>
            </w:r>
          </w:p>
          <w:p w14:paraId="239689B8" w14:textId="77777777" w:rsidR="00881808" w:rsidRDefault="00881808" w:rsidP="00050AB4">
            <w:pPr>
              <w:pStyle w:val="BoxBullet"/>
              <w:pBdr>
                <w:top w:val="none" w:sz="0" w:space="0" w:color="auto"/>
                <w:left w:val="none" w:sz="0" w:space="0" w:color="auto"/>
                <w:bottom w:val="none" w:sz="0" w:space="0" w:color="auto"/>
                <w:right w:val="none" w:sz="0" w:space="0" w:color="auto"/>
              </w:pBdr>
            </w:pPr>
            <w:r>
              <w:t>The cost offset from hospitalisations avoided relied on the reduction in the proportion of patients hospitalised, which may not be sufficiently robust.</w:t>
            </w:r>
          </w:p>
          <w:p w14:paraId="612E2DDC" w14:textId="77777777" w:rsidR="00881808" w:rsidRDefault="00881808" w:rsidP="00050AB4">
            <w:pPr>
              <w:pStyle w:val="BoxBullet"/>
              <w:pBdr>
                <w:top w:val="none" w:sz="0" w:space="0" w:color="auto"/>
                <w:left w:val="none" w:sz="0" w:space="0" w:color="auto"/>
                <w:bottom w:val="none" w:sz="0" w:space="0" w:color="auto"/>
                <w:right w:val="none" w:sz="0" w:space="0" w:color="auto"/>
              </w:pBdr>
            </w:pPr>
            <w:r w:rsidRPr="00931657">
              <w:t>If MSAC application 1705 is supported, then the number of people defined as “high risk” in the first trimester would likely substantially increase</w:t>
            </w:r>
            <w:r>
              <w:t xml:space="preserve"> as there remains a significant incidence of preeclampsia despite aspirin prophylaxis.</w:t>
            </w:r>
            <w:r w:rsidRPr="00931657">
              <w:t xml:space="preserve"> </w:t>
            </w:r>
            <w:r>
              <w:t>A</w:t>
            </w:r>
            <w:r w:rsidRPr="00931657">
              <w:t xml:space="preserve"> sensitivity analysis</w:t>
            </w:r>
            <w:r>
              <w:t xml:space="preserve"> of the utilisation and financial cost if 1705 is supported would facilitate MSAC’s consideration</w:t>
            </w:r>
            <w:r w:rsidRPr="00931657">
              <w:t>.</w:t>
            </w:r>
          </w:p>
          <w:p w14:paraId="43A23ED7" w14:textId="77777777" w:rsidR="00881808" w:rsidRDefault="00881808" w:rsidP="00050AB4">
            <w:pPr>
              <w:pStyle w:val="BoxBullet"/>
              <w:numPr>
                <w:ilvl w:val="0"/>
                <w:numId w:val="0"/>
              </w:numPr>
              <w:pBdr>
                <w:top w:val="none" w:sz="0" w:space="0" w:color="auto"/>
                <w:left w:val="none" w:sz="0" w:space="0" w:color="auto"/>
                <w:bottom w:val="none" w:sz="0" w:space="0" w:color="auto"/>
                <w:right w:val="none" w:sz="0" w:space="0" w:color="auto"/>
              </w:pBdr>
              <w:ind w:left="357" w:hanging="357"/>
              <w:rPr>
                <w:b/>
                <w:bCs/>
              </w:rPr>
            </w:pPr>
            <w:r>
              <w:rPr>
                <w:b/>
                <w:bCs/>
              </w:rPr>
              <w:t>Other issues</w:t>
            </w:r>
          </w:p>
          <w:p w14:paraId="4251A9DA" w14:textId="77777777" w:rsidR="00881808" w:rsidRPr="00931657" w:rsidRDefault="00881808" w:rsidP="00050AB4">
            <w:pPr>
              <w:pStyle w:val="BoxBullet"/>
              <w:pBdr>
                <w:top w:val="none" w:sz="0" w:space="0" w:color="auto"/>
                <w:left w:val="none" w:sz="0" w:space="0" w:color="auto"/>
                <w:bottom w:val="none" w:sz="0" w:space="0" w:color="auto"/>
                <w:right w:val="none" w:sz="0" w:space="0" w:color="auto"/>
              </w:pBdr>
            </w:pPr>
            <w:r w:rsidRPr="00931657">
              <w:t xml:space="preserve">The </w:t>
            </w:r>
            <w:r>
              <w:t>‘</w:t>
            </w:r>
            <w:r w:rsidRPr="00931657">
              <w:t>value of knowing</w:t>
            </w:r>
            <w:r>
              <w:t>’</w:t>
            </w:r>
            <w:r w:rsidRPr="00931657">
              <w:t xml:space="preserve"> claim was unsupported by evidence. Providing a patient with a test result of unclear validity </w:t>
            </w:r>
            <w:r>
              <w:t>seems</w:t>
            </w:r>
            <w:r w:rsidRPr="00931657">
              <w:t xml:space="preserve"> more likely to increase anxiety, than reduce it.</w:t>
            </w:r>
          </w:p>
        </w:tc>
      </w:tr>
    </w:tbl>
    <w:p w14:paraId="305D5FC0" w14:textId="77777777" w:rsidR="00881808" w:rsidRPr="000C21C8" w:rsidRDefault="00881808" w:rsidP="00881808">
      <w:pPr>
        <w:spacing w:before="240"/>
        <w:outlineLvl w:val="1"/>
        <w:rPr>
          <w:rFonts w:eastAsia="Times New Roman" w:cs="Arial"/>
          <w:b/>
          <w:bCs/>
          <w:iCs/>
          <w:sz w:val="24"/>
          <w:szCs w:val="28"/>
          <w:lang w:eastAsia="en-AU"/>
        </w:rPr>
      </w:pPr>
      <w:r w:rsidRPr="000C21C8">
        <w:rPr>
          <w:rFonts w:eastAsia="Times New Roman" w:cs="Arial"/>
          <w:b/>
          <w:bCs/>
          <w:iCs/>
          <w:sz w:val="24"/>
          <w:szCs w:val="28"/>
          <w:lang w:eastAsia="en-AU"/>
        </w:rPr>
        <w:lastRenderedPageBreak/>
        <w:t>ESC discussion</w:t>
      </w:r>
    </w:p>
    <w:p w14:paraId="092F23CB" w14:textId="77777777" w:rsidR="00881808" w:rsidRDefault="00881808" w:rsidP="00881808">
      <w:r w:rsidRPr="00D61075">
        <w:t>ESC noted that this application request</w:t>
      </w:r>
      <w:r>
        <w:t>ed</w:t>
      </w:r>
      <w:r w:rsidRPr="00D61075">
        <w:t xml:space="preserve"> Medicare Benefits Schedule (MBS) listing of soluble FMS-like tyrosine kinase-1:placental growth factor </w:t>
      </w:r>
      <w:r>
        <w:t xml:space="preserve">ratio </w:t>
      </w:r>
      <w:r w:rsidRPr="00D61075">
        <w:t>(sFlt-1:PlGF) testing</w:t>
      </w:r>
      <w:r>
        <w:t xml:space="preserve">, </w:t>
      </w:r>
      <w:r w:rsidRPr="00D61075">
        <w:t xml:space="preserve">to </w:t>
      </w:r>
      <w:r>
        <w:t xml:space="preserve">determine the risk of preeclampsia </w:t>
      </w:r>
      <w:r w:rsidRPr="00D61075">
        <w:t>in pregnant people with signs and symptoms of preeclampsia or at high risk of preeclampsia (Population 1</w:t>
      </w:r>
      <w:r>
        <w:t>, proposed MBS item AAAA</w:t>
      </w:r>
      <w:r w:rsidRPr="00D61075">
        <w:t>)</w:t>
      </w:r>
      <w:r>
        <w:t>,</w:t>
      </w:r>
      <w:r w:rsidRPr="00D61075">
        <w:t xml:space="preserve"> and </w:t>
      </w:r>
      <w:r>
        <w:t xml:space="preserve">to determine the severity of preeclampsia in </w:t>
      </w:r>
      <w:r w:rsidRPr="00D61075">
        <w:t xml:space="preserve">those </w:t>
      </w:r>
      <w:r>
        <w:t xml:space="preserve">already </w:t>
      </w:r>
      <w:r w:rsidRPr="00D61075">
        <w:t>diagnosed (Population 2</w:t>
      </w:r>
      <w:r>
        <w:t>, proposed MBS item BBBB</w:t>
      </w:r>
      <w:r w:rsidRPr="00D61075">
        <w:t>).</w:t>
      </w:r>
    </w:p>
    <w:p w14:paraId="707CCA75" w14:textId="77777777" w:rsidR="00881808" w:rsidRPr="00D61075" w:rsidRDefault="00881808" w:rsidP="00881808">
      <w:r>
        <w:t xml:space="preserve">ESC noted that in preeclampsia there is impaired trophoblastic invasion, which can cause placental thromboses and infarcts, and that early preeclampsia (before 34 weeks gestation) tends to be more severe and is associated with intrauterine growth restriction (IUGR) and low birth weight. ESC noted preeclampsia is associated with maternal hypertension, and can result in proteinuria, thrombocytopenia and increased risk of miscarriage or stillbirth. There is also a risk of preterm delivery as the ultimate therapeutic option for preeclampsia management, and consequent risk of gestation-dependent neonatal morbidity and mortality. ESC noted that </w:t>
      </w:r>
      <w:r>
        <w:lastRenderedPageBreak/>
        <w:t>preeclampsia is antecedent in 10-15% of direct maternal deaths (approximately 1 per year in Australia), and in one third of pre-term births (and approximately 200 deaths per year in Australia). The management of preeclampsia is informed by the gestation at which it occurs, and may include administration of steroids for fetal lung maturation, intravenous magnesium, and stabilisation of haemodynamic or haematological instability prior to delivery. In the Australian setting for rural and remote patients, timely antenatal transfer to a centre with appropriate neonatal intensive care should be considered in preference to post-natal transfer of a premature infant.</w:t>
      </w:r>
    </w:p>
    <w:p w14:paraId="7E6FCEAE" w14:textId="77777777" w:rsidR="00881808" w:rsidRPr="00D61075" w:rsidRDefault="00881808" w:rsidP="00881808">
      <w:r w:rsidRPr="00D61075">
        <w:t xml:space="preserve">MSAC noted that the applicant </w:t>
      </w:r>
      <w:r>
        <w:t xml:space="preserve">had </w:t>
      </w:r>
      <w:r w:rsidRPr="00D61075">
        <w:t xml:space="preserve">also lodged </w:t>
      </w:r>
      <w:r w:rsidRPr="00836212">
        <w:t>MSAC Application 1705</w:t>
      </w:r>
      <w:r w:rsidRPr="00D61075">
        <w:t xml:space="preserve"> </w:t>
      </w:r>
      <w:r>
        <w:t xml:space="preserve">– </w:t>
      </w:r>
      <w:r w:rsidRPr="00D61075">
        <w:t>Structured prenatal risk assessment for preterm preeclampsia</w:t>
      </w:r>
      <w:r>
        <w:rPr>
          <w:rStyle w:val="FootnoteReference"/>
        </w:rPr>
        <w:footnoteReference w:id="7"/>
      </w:r>
      <w:r w:rsidRPr="00D61075">
        <w:t xml:space="preserve">, which is being considered by ESC and MSAC </w:t>
      </w:r>
      <w:r>
        <w:t>concurrently with this application</w:t>
      </w:r>
      <w:r w:rsidRPr="00D61075">
        <w:t xml:space="preserve">. </w:t>
      </w:r>
      <w:r>
        <w:t>ESC considered that t</w:t>
      </w:r>
      <w:r w:rsidRPr="00D61075">
        <w:t>he interventions and patient populations covered in applications 1705 and 1706 did not overlap</w:t>
      </w:r>
      <w:r>
        <w:t>,</w:t>
      </w:r>
      <w:r w:rsidRPr="00D61075">
        <w:t xml:space="preserve"> however</w:t>
      </w:r>
      <w:r>
        <w:t xml:space="preserve"> p</w:t>
      </w:r>
      <w:r w:rsidRPr="00D61075">
        <w:t xml:space="preserve">regnant people identified as being at high risk of developing preterm preeclampsia at 11+0 to 13+6 weeks gestation using the intervention proposed in Application 1705 may subsequently be considered </w:t>
      </w:r>
      <w:r>
        <w:t xml:space="preserve">as being at high risk of preeclampsia given the reduced incidence, but incomplete abolition of events of preeclampsia following aspirin prophylaxis, which this application proposed would indicate them </w:t>
      </w:r>
      <w:r w:rsidRPr="00D61075">
        <w:t xml:space="preserve">for </w:t>
      </w:r>
      <w:r>
        <w:t>sFlt-1:PlGF ratio</w:t>
      </w:r>
      <w:r w:rsidRPr="00D61075">
        <w:t xml:space="preserve"> testing from 24+0 weeks gestation</w:t>
      </w:r>
      <w:r>
        <w:t>. ESC therefore considered that MSAC’s advice on Application 1705 may influence its consideration of this application</w:t>
      </w:r>
      <w:r w:rsidRPr="00D61075">
        <w:t>.</w:t>
      </w:r>
    </w:p>
    <w:p w14:paraId="2258E3DF" w14:textId="77777777" w:rsidR="00881808" w:rsidRPr="00D61075" w:rsidRDefault="00881808" w:rsidP="00881808">
      <w:r w:rsidRPr="00D61075">
        <w:t xml:space="preserve">ESC noted that in July 2022, the UK National Institute for Health and Care Excellence (NICE) </w:t>
      </w:r>
      <w:r>
        <w:t xml:space="preserve">had </w:t>
      </w:r>
      <w:r w:rsidRPr="00D61075">
        <w:t xml:space="preserve">recommended </w:t>
      </w:r>
      <w:proofErr w:type="spellStart"/>
      <w:r w:rsidRPr="00D61075">
        <w:t>P</w:t>
      </w:r>
      <w:r>
        <w:t>l</w:t>
      </w:r>
      <w:r w:rsidRPr="00D61075">
        <w:t>GF</w:t>
      </w:r>
      <w:proofErr w:type="spellEnd"/>
      <w:r w:rsidRPr="00D61075">
        <w:t>-based tests in conjunction with standard clinical assessment, to help rule in or rule out suspected preeclampsia and help decide on care.</w:t>
      </w:r>
    </w:p>
    <w:p w14:paraId="472AA2D3" w14:textId="77777777" w:rsidR="00881808" w:rsidRDefault="00881808" w:rsidP="00881808">
      <w:r>
        <w:t xml:space="preserve">ESC noted that consultation feedback was supportive of sFlt-1:PlGF ratio testing, with comments including that it would allow the separation of patients with preeclampsia from those with hypertension, allow for surveillance, help decision-making on antenatal management and delivery timing, lower need for other blood tests and may be reassuring for those who had preeclampsia in a previous pregnancy. ESC noted a systematic review had concluded there is a higher incidence of postpartum depression in women with preeclampsia than in women without preeclampsia, and considered that the risks of postpartum depression should be considered in patients with preeclampsia. ESC noted that all practitioners who manage patients at risk for preeclampsia would require appropriate training in the use of the proposed test. ESC queried whether ratio testing would be available at all relevant pathology centres, but noted that while there is no obligation for providers to offer an MBS-listed test it is anticipated providers would offer it if it became a regular component of antenatal care. </w:t>
      </w:r>
      <w:bookmarkStart w:id="38" w:name="_Hlk148702296"/>
      <w:r>
        <w:t>ESC considered that hospitalisation may also have access and equity issues for women in more remote areas (due to costs of travel, need to arrange care for other children, and the potential need for transfer if local hospitals did not have capacity to admit), and that reducing hospitalisation may mitigate these concerns.</w:t>
      </w:r>
      <w:bookmarkEnd w:id="38"/>
    </w:p>
    <w:p w14:paraId="49B55710" w14:textId="4D6AAF28" w:rsidR="00881808" w:rsidRDefault="00881808" w:rsidP="00881808">
      <w:r>
        <w:t>ESC noted the item descriptor proposed for determining preeclampsia risk (AAAA) included patients with no signs nor symptoms but at “increased risk”. ESC considered that evidence had not been presented to support this patient group, and that their inclusion</w:t>
      </w:r>
      <w:r w:rsidRPr="00C417F4">
        <w:t xml:space="preserve"> ha</w:t>
      </w:r>
      <w:r>
        <w:t>d</w:t>
      </w:r>
      <w:r w:rsidRPr="00C417F4">
        <w:t xml:space="preserve"> not been clarified by the applicant</w:t>
      </w:r>
      <w:r>
        <w:t>.</w:t>
      </w:r>
      <w:r w:rsidRPr="00C417F4">
        <w:t xml:space="preserve"> </w:t>
      </w:r>
      <w:r>
        <w:t xml:space="preserve">ESC considered that inclusion of this poorly defined group </w:t>
      </w:r>
      <w:r w:rsidRPr="00C417F4">
        <w:t>introduce</w:t>
      </w:r>
      <w:r>
        <w:t>d</w:t>
      </w:r>
      <w:r w:rsidRPr="00C417F4">
        <w:t xml:space="preserve"> considerable uncertainty regarding test uptake, cost and value</w:t>
      </w:r>
      <w:r>
        <w:t>, and proposed that t</w:t>
      </w:r>
      <w:r w:rsidRPr="00C417F4">
        <w:t>his population be removed from the MBS item descriptor</w:t>
      </w:r>
      <w:r>
        <w:t xml:space="preserve"> (</w:t>
      </w:r>
      <w:r w:rsidR="009C163C">
        <w:fldChar w:fldCharType="begin"/>
      </w:r>
      <w:r w:rsidR="009C163C">
        <w:instrText xml:space="preserve"> REF _Ref148096345 </w:instrText>
      </w:r>
      <w:r w:rsidR="009C163C">
        <w:fldChar w:fldCharType="separate"/>
      </w:r>
      <w:r w:rsidR="009D7CE9">
        <w:t xml:space="preserve">Table </w:t>
      </w:r>
      <w:r w:rsidR="009D7CE9">
        <w:rPr>
          <w:noProof/>
        </w:rPr>
        <w:t>13</w:t>
      </w:r>
      <w:r w:rsidR="009C163C">
        <w:rPr>
          <w:noProof/>
        </w:rPr>
        <w:fldChar w:fldCharType="end"/>
      </w:r>
      <w:r>
        <w:t>)</w:t>
      </w:r>
      <w:r w:rsidRPr="00C417F4">
        <w:t xml:space="preserve">. </w:t>
      </w:r>
    </w:p>
    <w:p w14:paraId="4CD9D58E" w14:textId="1190881F" w:rsidR="00881808" w:rsidRDefault="00881808" w:rsidP="00881808">
      <w:r>
        <w:t>ESC also noted that</w:t>
      </w:r>
      <w:r w:rsidRPr="00C417F4">
        <w:t xml:space="preserve"> the upper gestational limit for the test </w:t>
      </w:r>
      <w:r>
        <w:t>had</w:t>
      </w:r>
      <w:r w:rsidRPr="00C417F4">
        <w:t xml:space="preserve"> not</w:t>
      </w:r>
      <w:r>
        <w:t xml:space="preserve"> been</w:t>
      </w:r>
      <w:r w:rsidRPr="00C417F4">
        <w:t xml:space="preserve"> defined.</w:t>
      </w:r>
      <w:r>
        <w:t xml:space="preserve"> ESC considered that including this in the item descriptor would be appropriate, and suggested the addition of “in preterm pregnancies” to the item descriptor (</w:t>
      </w:r>
      <w:r w:rsidR="009C163C">
        <w:fldChar w:fldCharType="begin"/>
      </w:r>
      <w:r w:rsidR="009C163C">
        <w:instrText xml:space="preserve"> REF _Ref148096345 </w:instrText>
      </w:r>
      <w:r w:rsidR="009C163C">
        <w:fldChar w:fldCharType="separate"/>
      </w:r>
      <w:r w:rsidR="009D7CE9">
        <w:t xml:space="preserve">Table </w:t>
      </w:r>
      <w:r w:rsidR="009D7CE9">
        <w:rPr>
          <w:noProof/>
        </w:rPr>
        <w:t>13</w:t>
      </w:r>
      <w:r w:rsidR="009C163C">
        <w:rPr>
          <w:noProof/>
        </w:rPr>
        <w:fldChar w:fldCharType="end"/>
      </w:r>
      <w:r>
        <w:t>).</w:t>
      </w:r>
    </w:p>
    <w:p w14:paraId="5BE29322" w14:textId="67CF1C17" w:rsidR="00881808" w:rsidRDefault="00881808" w:rsidP="00881808">
      <w:pPr>
        <w:pStyle w:val="Caption"/>
      </w:pPr>
      <w:bookmarkStart w:id="39" w:name="_Ref148096345"/>
      <w:r>
        <w:lastRenderedPageBreak/>
        <w:t xml:space="preserve">Table </w:t>
      </w:r>
      <w:r w:rsidR="009C163C">
        <w:fldChar w:fldCharType="begin"/>
      </w:r>
      <w:r w:rsidR="009C163C">
        <w:instrText xml:space="preserve"> SEQ Table \* ARABIC </w:instrText>
      </w:r>
      <w:r w:rsidR="009C163C">
        <w:fldChar w:fldCharType="separate"/>
      </w:r>
      <w:r w:rsidR="009D7CE9">
        <w:rPr>
          <w:noProof/>
        </w:rPr>
        <w:t>13</w:t>
      </w:r>
      <w:r w:rsidR="009C163C">
        <w:rPr>
          <w:noProof/>
        </w:rPr>
        <w:fldChar w:fldCharType="end"/>
      </w:r>
      <w:bookmarkEnd w:id="39"/>
      <w:r>
        <w:tab/>
        <w:t>ESC’s revised and combined item descriptor (CCCC)</w:t>
      </w:r>
    </w:p>
    <w:tbl>
      <w:tblPr>
        <w:tblStyle w:val="TableGrid"/>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881808" w:rsidRPr="00E164CD" w14:paraId="34A0AB13" w14:textId="77777777" w:rsidTr="00050AB4">
        <w:trPr>
          <w:cantSplit/>
          <w:trHeight w:val="350"/>
          <w:tblHeader/>
        </w:trPr>
        <w:tc>
          <w:tcPr>
            <w:tcW w:w="9016" w:type="dxa"/>
            <w:shd w:val="clear" w:color="auto" w:fill="auto"/>
          </w:tcPr>
          <w:p w14:paraId="1E33646F" w14:textId="77777777" w:rsidR="00881808" w:rsidRPr="00E164CD" w:rsidRDefault="00881808" w:rsidP="00050AB4">
            <w:pPr>
              <w:pStyle w:val="TableHeading0"/>
            </w:pPr>
            <w:r w:rsidRPr="00E164CD">
              <w:t>Category 6 – PATHOLOGY SERVICES</w:t>
            </w:r>
          </w:p>
        </w:tc>
      </w:tr>
      <w:tr w:rsidR="00881808" w:rsidRPr="00E164CD" w14:paraId="57EC2533" w14:textId="77777777" w:rsidTr="00050AB4">
        <w:trPr>
          <w:cantSplit/>
          <w:tblHeader/>
        </w:trPr>
        <w:tc>
          <w:tcPr>
            <w:tcW w:w="9016" w:type="dxa"/>
          </w:tcPr>
          <w:p w14:paraId="12CFCCF3" w14:textId="77777777" w:rsidR="00881808" w:rsidRPr="00AF1E08" w:rsidRDefault="00881808" w:rsidP="00050AB4">
            <w:pPr>
              <w:pStyle w:val="TableText"/>
              <w:rPr>
                <w:iCs/>
                <w:lang w:val="en-US" w:eastAsia="ja-JP"/>
              </w:rPr>
            </w:pPr>
            <w:r w:rsidRPr="00AF1E08">
              <w:rPr>
                <w:iCs/>
                <w:lang w:val="en-US" w:eastAsia="ja-JP"/>
              </w:rPr>
              <w:t>MBS item CCCC</w:t>
            </w:r>
          </w:p>
          <w:p w14:paraId="48F63FF9" w14:textId="77777777" w:rsidR="00881808" w:rsidRDefault="00881808" w:rsidP="00050AB4">
            <w:pPr>
              <w:pStyle w:val="TableText"/>
              <w:rPr>
                <w:lang w:val="en-US" w:eastAsia="ja-JP"/>
              </w:rPr>
            </w:pPr>
            <w:r w:rsidRPr="00AF1E08">
              <w:rPr>
                <w:lang w:val="en-US" w:eastAsia="ja-JP"/>
              </w:rPr>
              <w:t>Q</w:t>
            </w:r>
            <w:r w:rsidRPr="000F2746">
              <w:rPr>
                <w:lang w:val="en-US" w:eastAsia="ja-JP"/>
              </w:rPr>
              <w:t>u</w:t>
            </w:r>
            <w:r w:rsidRPr="00E164CD">
              <w:rPr>
                <w:lang w:val="en-US" w:eastAsia="ja-JP"/>
              </w:rPr>
              <w:t xml:space="preserve">antitative determination of the ratio of placental soluble </w:t>
            </w:r>
            <w:r>
              <w:rPr>
                <w:lang w:val="en-US" w:eastAsia="ja-JP"/>
              </w:rPr>
              <w:t>FMS</w:t>
            </w:r>
            <w:r w:rsidRPr="00E164CD">
              <w:rPr>
                <w:lang w:val="en-US" w:eastAsia="ja-JP"/>
              </w:rPr>
              <w:t>-like tyrosine kinase-1 (sFlt-1) and placental growth factor (</w:t>
            </w:r>
            <w:proofErr w:type="spellStart"/>
            <w:r w:rsidRPr="00E164CD">
              <w:rPr>
                <w:lang w:val="en-US" w:eastAsia="ja-JP"/>
              </w:rPr>
              <w:t>PlGF</w:t>
            </w:r>
            <w:proofErr w:type="spellEnd"/>
            <w:r w:rsidRPr="00E164CD">
              <w:rPr>
                <w:lang w:val="en-US" w:eastAsia="ja-JP"/>
              </w:rPr>
              <w:t xml:space="preserve">) </w:t>
            </w:r>
            <w:r w:rsidRPr="00157D2A">
              <w:rPr>
                <w:lang w:val="en-US" w:eastAsia="ja-JP"/>
              </w:rPr>
              <w:t>from the beginning of the 24</w:t>
            </w:r>
            <w:r w:rsidRPr="00AF1E08">
              <w:rPr>
                <w:vertAlign w:val="superscript"/>
                <w:lang w:val="en-US" w:eastAsia="ja-JP"/>
              </w:rPr>
              <w:t>th</w:t>
            </w:r>
            <w:r w:rsidRPr="00157D2A">
              <w:rPr>
                <w:lang w:val="en-US" w:eastAsia="ja-JP"/>
              </w:rPr>
              <w:t xml:space="preserve"> week of pregnancy </w:t>
            </w:r>
            <w:r w:rsidRPr="00E164CD">
              <w:rPr>
                <w:lang w:val="en-US" w:eastAsia="ja-JP"/>
              </w:rPr>
              <w:t>to evaluate the likelihood of preeclampsia in pregnancies where there are signs and symptoms suggestive of preeclampsia</w:t>
            </w:r>
            <w:r>
              <w:rPr>
                <w:lang w:val="en-US" w:eastAsia="ja-JP"/>
              </w:rPr>
              <w:t xml:space="preserve">, or for the management (by </w:t>
            </w:r>
            <w:proofErr w:type="spellStart"/>
            <w:r>
              <w:rPr>
                <w:lang w:val="en-US" w:eastAsia="ja-JP"/>
              </w:rPr>
              <w:t>categorising</w:t>
            </w:r>
            <w:proofErr w:type="spellEnd"/>
            <w:r>
              <w:rPr>
                <w:lang w:val="en-US" w:eastAsia="ja-JP"/>
              </w:rPr>
              <w:t xml:space="preserve"> the severity) of diagnosed preeclampsia in preterm pregnancies</w:t>
            </w:r>
            <w:r w:rsidRPr="00E164CD">
              <w:rPr>
                <w:lang w:val="en-US" w:eastAsia="ja-JP"/>
              </w:rPr>
              <w:t>.</w:t>
            </w:r>
          </w:p>
          <w:p w14:paraId="2A01080E" w14:textId="77777777" w:rsidR="00881808" w:rsidRDefault="00881808" w:rsidP="00050AB4">
            <w:pPr>
              <w:pStyle w:val="TableText"/>
              <w:rPr>
                <w:lang w:val="en-US" w:eastAsia="ja-JP"/>
              </w:rPr>
            </w:pPr>
          </w:p>
          <w:p w14:paraId="049EB757" w14:textId="77777777" w:rsidR="00881808" w:rsidRPr="00E164CD" w:rsidRDefault="00881808" w:rsidP="00050AB4">
            <w:pPr>
              <w:pStyle w:val="TableText"/>
            </w:pPr>
            <w:r>
              <w:rPr>
                <w:lang w:val="en-US" w:eastAsia="ja-JP"/>
              </w:rPr>
              <w:t>Applicable &gt;2 to 4 weeks after a previous CCCC with ratio result of &lt;38, and 1 week after a previous CCCC with ratio result of 38-85, and no further times during that pregnancy after a ratio result of &gt;85.</w:t>
            </w:r>
          </w:p>
        </w:tc>
      </w:tr>
      <w:tr w:rsidR="00881808" w:rsidRPr="00E164CD" w14:paraId="770ED9E9" w14:textId="77777777" w:rsidTr="00050AB4">
        <w:trPr>
          <w:cantSplit/>
          <w:trHeight w:val="223"/>
          <w:tblHeader/>
        </w:trPr>
        <w:tc>
          <w:tcPr>
            <w:tcW w:w="9016" w:type="dxa"/>
          </w:tcPr>
          <w:p w14:paraId="195BEFE5" w14:textId="77777777" w:rsidR="00881808" w:rsidRPr="00E164CD" w:rsidRDefault="00881808" w:rsidP="00050AB4">
            <w:pPr>
              <w:pStyle w:val="TableText"/>
              <w:rPr>
                <w:snapToGrid w:val="0"/>
              </w:rPr>
            </w:pPr>
            <w:r w:rsidRPr="00E164CD">
              <w:t>Fee: $</w:t>
            </w:r>
            <w:r>
              <w:t>60.00 Benefit: 75% = $45.00 85% = $51.00</w:t>
            </w:r>
          </w:p>
        </w:tc>
      </w:tr>
      <w:tr w:rsidR="00881808" w:rsidRPr="00E164CD" w14:paraId="65F16B85" w14:textId="77777777" w:rsidTr="00050AB4">
        <w:trPr>
          <w:cantSplit/>
          <w:trHeight w:val="223"/>
          <w:tblHeader/>
        </w:trPr>
        <w:tc>
          <w:tcPr>
            <w:tcW w:w="9016" w:type="dxa"/>
          </w:tcPr>
          <w:p w14:paraId="718A89DA" w14:textId="5F584E9F" w:rsidR="00881808" w:rsidRPr="00E164CD" w:rsidRDefault="00881808" w:rsidP="00050AB4">
            <w:pPr>
              <w:pStyle w:val="TableText"/>
            </w:pPr>
            <w:r w:rsidRPr="00E164CD">
              <w:rPr>
                <w:szCs w:val="18"/>
              </w:rPr>
              <w:t xml:space="preserve">Note: </w:t>
            </w:r>
            <w:r>
              <w:rPr>
                <w:szCs w:val="18"/>
              </w:rPr>
              <w:t>The ri</w:t>
            </w:r>
            <w:r w:rsidRPr="00E164CD">
              <w:rPr>
                <w:szCs w:val="18"/>
              </w:rPr>
              <w:t xml:space="preserve">sk </w:t>
            </w:r>
            <w:r>
              <w:rPr>
                <w:szCs w:val="18"/>
              </w:rPr>
              <w:t xml:space="preserve">or severity </w:t>
            </w:r>
            <w:r w:rsidRPr="00E164CD">
              <w:rPr>
                <w:szCs w:val="18"/>
              </w:rPr>
              <w:t xml:space="preserve">of preeclampsia should be </w:t>
            </w:r>
            <w:r w:rsidRPr="00E164CD">
              <w:t>judged based on the sFlt-1:PlGF ratio</w:t>
            </w:r>
            <w:r>
              <w:t>,</w:t>
            </w:r>
            <w:r w:rsidRPr="00E164CD">
              <w:t xml:space="preserve"> rather than individual values of sFlt-1 and </w:t>
            </w:r>
            <w:proofErr w:type="spellStart"/>
            <w:r w:rsidRPr="00E164CD">
              <w:t>PlGF</w:t>
            </w:r>
            <w:proofErr w:type="spellEnd"/>
            <w:r>
              <w:t>.</w:t>
            </w:r>
          </w:p>
          <w:p w14:paraId="6AD77005" w14:textId="77777777" w:rsidR="00881808" w:rsidRPr="001C3B95" w:rsidRDefault="00881808" w:rsidP="00050AB4">
            <w:pPr>
              <w:pStyle w:val="TableText"/>
              <w:rPr>
                <w:iCs/>
              </w:rPr>
            </w:pPr>
            <w:r w:rsidRPr="00AF1E08">
              <w:rPr>
                <w:iCs/>
              </w:rPr>
              <w:t>An</w:t>
            </w:r>
            <w:r w:rsidRPr="001C3B95">
              <w:rPr>
                <w:iCs/>
              </w:rPr>
              <w:t xml:space="preserve"> sFlt-1:PlGF ratio &lt;38 </w:t>
            </w:r>
            <w:r w:rsidRPr="00AF1E08">
              <w:rPr>
                <w:iCs/>
              </w:rPr>
              <w:t>indicates</w:t>
            </w:r>
            <w:r w:rsidRPr="001C3B95">
              <w:rPr>
                <w:iCs/>
              </w:rPr>
              <w:t xml:space="preserve"> low risk of preeclampsia in the following 2–4 weeks, review in 2–4 weeks and retest if clinical situation changes; </w:t>
            </w:r>
            <w:r w:rsidRPr="00AF1E08">
              <w:rPr>
                <w:iCs/>
              </w:rPr>
              <w:t>an</w:t>
            </w:r>
            <w:r w:rsidRPr="001C3B95">
              <w:rPr>
                <w:iCs/>
              </w:rPr>
              <w:t xml:space="preserve"> sFlt-1:PlGF ratio 38–85 </w:t>
            </w:r>
            <w:r w:rsidRPr="00AF1E08">
              <w:rPr>
                <w:iCs/>
              </w:rPr>
              <w:t>indicates</w:t>
            </w:r>
            <w:r w:rsidRPr="001C3B95">
              <w:rPr>
                <w:iCs/>
              </w:rPr>
              <w:t xml:space="preserve"> risk of preeclampsia, enhanced monitoring and retest after 1–2 weeks recommended; </w:t>
            </w:r>
            <w:r w:rsidRPr="00AF1E08">
              <w:rPr>
                <w:iCs/>
              </w:rPr>
              <w:t>an</w:t>
            </w:r>
            <w:r w:rsidRPr="001C3B95">
              <w:rPr>
                <w:iCs/>
              </w:rPr>
              <w:t xml:space="preserve"> sFlt-1:PlGF ratio &gt;85 </w:t>
            </w:r>
            <w:r w:rsidRPr="00AF1E08">
              <w:rPr>
                <w:iCs/>
              </w:rPr>
              <w:t xml:space="preserve">indicates the development or a diagnosis of </w:t>
            </w:r>
            <w:r w:rsidRPr="001C3B95">
              <w:rPr>
                <w:iCs/>
              </w:rPr>
              <w:t>preeclampsia requir</w:t>
            </w:r>
            <w:r w:rsidRPr="00AF1E08">
              <w:rPr>
                <w:iCs/>
              </w:rPr>
              <w:t>ing</w:t>
            </w:r>
            <w:r w:rsidRPr="001C3B95">
              <w:rPr>
                <w:iCs/>
              </w:rPr>
              <w:t xml:space="preserve"> intensive monitoring.</w:t>
            </w:r>
          </w:p>
        </w:tc>
      </w:tr>
    </w:tbl>
    <w:p w14:paraId="79B6C952" w14:textId="77777777" w:rsidR="00881808" w:rsidRPr="00836212" w:rsidRDefault="00881808" w:rsidP="00881808">
      <w:pPr>
        <w:spacing w:before="0"/>
        <w:contextualSpacing/>
        <w:rPr>
          <w:rFonts w:ascii="Arial Narrow" w:hAnsi="Arial Narrow"/>
          <w:sz w:val="18"/>
          <w:szCs w:val="18"/>
        </w:rPr>
      </w:pPr>
      <w:r>
        <w:rPr>
          <w:rFonts w:ascii="Arial Narrow" w:hAnsi="Arial Narrow"/>
          <w:sz w:val="18"/>
          <w:szCs w:val="18"/>
        </w:rPr>
        <w:t>Note: CCCC combines testing for the risk (AAAA) and severity (BBBB) of preeclampsia, and so is proposed to replace both.</w:t>
      </w:r>
    </w:p>
    <w:p w14:paraId="7456403A" w14:textId="77777777" w:rsidR="00881808" w:rsidRPr="00AF1E08" w:rsidRDefault="00881808" w:rsidP="00881808">
      <w:pPr>
        <w:spacing w:before="0" w:after="240"/>
        <w:rPr>
          <w:rFonts w:ascii="Arial Narrow" w:hAnsi="Arial Narrow"/>
          <w:b/>
          <w:bCs/>
          <w:sz w:val="18"/>
          <w:szCs w:val="18"/>
          <w:u w:val="single"/>
        </w:rPr>
      </w:pPr>
      <w:r w:rsidRPr="00BE2AF8">
        <w:rPr>
          <w:rFonts w:ascii="Arial Narrow" w:hAnsi="Arial Narrow"/>
          <w:b/>
          <w:bCs/>
          <w:sz w:val="18"/>
          <w:szCs w:val="18"/>
          <w:u w:val="single"/>
        </w:rPr>
        <w:t>Source</w:t>
      </w:r>
      <w:r>
        <w:rPr>
          <w:rFonts w:ascii="Arial Narrow" w:hAnsi="Arial Narrow"/>
          <w:b/>
          <w:bCs/>
          <w:sz w:val="18"/>
          <w:szCs w:val="18"/>
          <w:u w:val="single"/>
        </w:rPr>
        <w:t>:</w:t>
      </w:r>
      <w:r>
        <w:rPr>
          <w:rFonts w:ascii="Arial Narrow" w:hAnsi="Arial Narrow"/>
          <w:sz w:val="18"/>
          <w:szCs w:val="18"/>
        </w:rPr>
        <w:t xml:space="preserve"> ESC.</w:t>
      </w:r>
    </w:p>
    <w:p w14:paraId="2BEAF193" w14:textId="51D685A5" w:rsidR="00881808" w:rsidRPr="00D61075" w:rsidRDefault="00881808" w:rsidP="00881808">
      <w:pPr>
        <w:spacing w:before="240"/>
      </w:pPr>
      <w:r w:rsidRPr="00185DC4">
        <w:t xml:space="preserve">ESC noted the current and proposed clinical management algorithm described in the PICO confirmation. </w:t>
      </w:r>
    </w:p>
    <w:p w14:paraId="6F425BA8" w14:textId="77777777" w:rsidR="00881808" w:rsidRPr="00D61075" w:rsidRDefault="00881808" w:rsidP="00881808">
      <w:r w:rsidRPr="00D61075">
        <w:t xml:space="preserve">ESC considered the </w:t>
      </w:r>
      <w:r>
        <w:t xml:space="preserve">description of </w:t>
      </w:r>
      <w:r w:rsidRPr="00D61075">
        <w:t xml:space="preserve">standard care </w:t>
      </w:r>
      <w:r>
        <w:t>for the comparator was</w:t>
      </w:r>
      <w:r w:rsidRPr="00D61075">
        <w:t xml:space="preserve"> reasonable. For </w:t>
      </w:r>
      <w:r>
        <w:t>assessing risk of preeclampsia (</w:t>
      </w:r>
      <w:r w:rsidRPr="00D61075">
        <w:t>population 1</w:t>
      </w:r>
      <w:r>
        <w:t>)</w:t>
      </w:r>
      <w:r w:rsidRPr="00D61075">
        <w:t xml:space="preserve">, the comparator </w:t>
      </w:r>
      <w:r>
        <w:t>wa</w:t>
      </w:r>
      <w:r w:rsidRPr="00D61075">
        <w:t xml:space="preserve">s point-of-care testing for proteinuria, or biochemical testing for </w:t>
      </w:r>
      <w:r>
        <w:t>urine</w:t>
      </w:r>
      <w:r w:rsidRPr="00D61075">
        <w:t xml:space="preserve"> </w:t>
      </w:r>
      <w:proofErr w:type="spellStart"/>
      <w:r w:rsidRPr="00D61075">
        <w:t>protein:creatinine</w:t>
      </w:r>
      <w:proofErr w:type="spellEnd"/>
      <w:r w:rsidRPr="00D61075">
        <w:t xml:space="preserve"> ratio, together with standard serum biochemistry. </w:t>
      </w:r>
      <w:r>
        <w:t>T</w:t>
      </w:r>
      <w:r w:rsidRPr="00D61075">
        <w:t>here is no current prognostic testing</w:t>
      </w:r>
      <w:r w:rsidRPr="00204A17">
        <w:t xml:space="preserve"> </w:t>
      </w:r>
      <w:r>
        <w:t>f</w:t>
      </w:r>
      <w:r w:rsidRPr="00D61075">
        <w:t xml:space="preserve">or </w:t>
      </w:r>
      <w:r>
        <w:t>assessing severity of preeclampsia (</w:t>
      </w:r>
      <w:r w:rsidRPr="00D61075">
        <w:t>population 2</w:t>
      </w:r>
      <w:r>
        <w:t>)</w:t>
      </w:r>
      <w:r w:rsidRPr="00D61075">
        <w:t xml:space="preserve">, but clinical monitoring also includes repeat biochemistry as for population 1. In both populations, the intervention would be </w:t>
      </w:r>
      <w:r>
        <w:t>provided i</w:t>
      </w:r>
      <w:r w:rsidRPr="00D61075">
        <w:t>n add</w:t>
      </w:r>
      <w:r>
        <w:t>iti</w:t>
      </w:r>
      <w:r w:rsidRPr="00D61075">
        <w:t>on</w:t>
      </w:r>
      <w:r>
        <w:t xml:space="preserve"> to existing care</w:t>
      </w:r>
      <w:r w:rsidRPr="00D61075">
        <w:t>.</w:t>
      </w:r>
    </w:p>
    <w:p w14:paraId="5FC33244" w14:textId="77777777" w:rsidR="00881808" w:rsidRPr="00D61075" w:rsidRDefault="00881808" w:rsidP="00881808">
      <w:r w:rsidRPr="00D61075">
        <w:t xml:space="preserve">ESC </w:t>
      </w:r>
      <w:r>
        <w:t>considered</w:t>
      </w:r>
      <w:r w:rsidRPr="00D61075">
        <w:t xml:space="preserve"> that the literature search appeared comprehensive</w:t>
      </w:r>
      <w:r>
        <w:t>, however considered that o</w:t>
      </w:r>
      <w:r w:rsidRPr="00931657">
        <w:t>verall</w:t>
      </w:r>
      <w:r>
        <w:t xml:space="preserve"> there was little</w:t>
      </w:r>
      <w:r w:rsidRPr="00931657">
        <w:t xml:space="preserve"> evidence</w:t>
      </w:r>
      <w:r>
        <w:t xml:space="preserve"> to</w:t>
      </w:r>
      <w:r w:rsidRPr="00931657">
        <w:t xml:space="preserve"> support this application</w:t>
      </w:r>
      <w:r>
        <w:t xml:space="preserve">, and the available evidence </w:t>
      </w:r>
      <w:r w:rsidRPr="00931657">
        <w:t xml:space="preserve">was of low quality. </w:t>
      </w:r>
      <w:r>
        <w:t>ESC noted m</w:t>
      </w:r>
      <w:r w:rsidRPr="00D61075">
        <w:t xml:space="preserve">ost of the studies were observational </w:t>
      </w:r>
      <w:r>
        <w:t xml:space="preserve">with moderate or high risk of bias, </w:t>
      </w:r>
      <w:r w:rsidRPr="00D61075">
        <w:t xml:space="preserve">and </w:t>
      </w:r>
      <w:r>
        <w:t>there was no</w:t>
      </w:r>
      <w:r w:rsidRPr="00D61075">
        <w:t xml:space="preserve"> </w:t>
      </w:r>
      <w:r>
        <w:t xml:space="preserve">direct </w:t>
      </w:r>
      <w:r w:rsidRPr="00D61075">
        <w:t>evidence so a linked approach was used.</w:t>
      </w:r>
      <w:r>
        <w:t xml:space="preserve"> ESC noted only one study was conducted in Australia.</w:t>
      </w:r>
      <w:r w:rsidRPr="00D61075">
        <w:t xml:space="preserve"> </w:t>
      </w:r>
      <w:r>
        <w:t>ESC noted the evidence base consisted of t</w:t>
      </w:r>
      <w:r w:rsidRPr="00D61075">
        <w:t xml:space="preserve">hree studies </w:t>
      </w:r>
      <w:r>
        <w:t>on</w:t>
      </w:r>
      <w:r w:rsidRPr="00D61075">
        <w:t xml:space="preserve"> the rule-out value of ratio </w:t>
      </w:r>
      <w:r>
        <w:t xml:space="preserve">testing </w:t>
      </w:r>
      <w:r w:rsidRPr="00D61075">
        <w:t>(i.e. rule out preeclampsia diagnosis within 1 week)</w:t>
      </w:r>
      <w:r>
        <w:t>, t</w:t>
      </w:r>
      <w:r w:rsidRPr="00D61075">
        <w:t xml:space="preserve">hree studies </w:t>
      </w:r>
      <w:r>
        <w:t>on</w:t>
      </w:r>
      <w:r w:rsidRPr="00D61075">
        <w:t xml:space="preserve"> rule</w:t>
      </w:r>
      <w:r>
        <w:t>-</w:t>
      </w:r>
      <w:r w:rsidRPr="00D61075">
        <w:t xml:space="preserve">in </w:t>
      </w:r>
      <w:r>
        <w:t>value</w:t>
      </w:r>
      <w:r w:rsidRPr="00D61075">
        <w:t xml:space="preserve"> within 2 weeks</w:t>
      </w:r>
      <w:r>
        <w:t>, f</w:t>
      </w:r>
      <w:r w:rsidRPr="00D61075">
        <w:t xml:space="preserve">our studies </w:t>
      </w:r>
      <w:r>
        <w:t>on</w:t>
      </w:r>
      <w:r w:rsidRPr="00D61075">
        <w:t xml:space="preserve"> the association between sFlt-1:PlGF ratio and time to delivery, and one study </w:t>
      </w:r>
      <w:r>
        <w:t>on the</w:t>
      </w:r>
      <w:r w:rsidRPr="00D61075">
        <w:t xml:space="preserve"> additive value of ratio</w:t>
      </w:r>
      <w:r>
        <w:t xml:space="preserve"> testing</w:t>
      </w:r>
      <w:r w:rsidRPr="00D61075">
        <w:t xml:space="preserve"> to current clinical testing.</w:t>
      </w:r>
      <w:r>
        <w:t xml:space="preserve"> No studies were provided on change in the ratio over time.</w:t>
      </w:r>
    </w:p>
    <w:p w14:paraId="5E6C4CD1" w14:textId="77777777" w:rsidR="00881808" w:rsidRDefault="00881808" w:rsidP="00881808">
      <w:r w:rsidRPr="00D61075">
        <w:t xml:space="preserve">ESC noted no evidence was presented for safety. In the ADAR, the applicant stated that no studies were identified that specifically investigated the safety of the sFlt-1:PlGF ratio test; </w:t>
      </w:r>
      <w:r>
        <w:t>although</w:t>
      </w:r>
      <w:r w:rsidRPr="00D61075">
        <w:t xml:space="preserve"> the authors of the </w:t>
      </w:r>
      <w:proofErr w:type="spellStart"/>
      <w:r w:rsidRPr="00D61075">
        <w:t>PreOS</w:t>
      </w:r>
      <w:proofErr w:type="spellEnd"/>
      <w:r w:rsidRPr="00D61075">
        <w:t xml:space="preserve"> study </w:t>
      </w:r>
      <w:r>
        <w:t>reported</w:t>
      </w:r>
      <w:r w:rsidRPr="00D61075">
        <w:t xml:space="preserve"> that “there were no incidents or indirect harm associated with the use of the sFlt-1:PlGF ratio test in routine clinical practice in this population with suspected preeclampsia”</w:t>
      </w:r>
      <w:r>
        <w:rPr>
          <w:rStyle w:val="FootnoteReference"/>
        </w:rPr>
        <w:footnoteReference w:id="8"/>
      </w:r>
      <w:r w:rsidRPr="00D61075">
        <w:t>.</w:t>
      </w:r>
      <w:r>
        <w:t xml:space="preserve"> However, ESC noted the same study reported that expert review of hospitalisation decisions based on ratio testing showed 11% of decisions to hospitalise and 5.9% of decisions to not hospitalise had been inappropriate, and considered that using ratio testing to inform hospitalisation decision-making could have adverse safety implications. ESC further noted that no evidence was presented regarding implications of misclassification or </w:t>
      </w:r>
      <w:r>
        <w:lastRenderedPageBreak/>
        <w:t>potential downstream effects. Overall, ESC considered that insufficient evidence had been presented to support the claim of non-inferior safety.</w:t>
      </w:r>
    </w:p>
    <w:p w14:paraId="7BCBE043" w14:textId="730D0DE6" w:rsidR="00881808" w:rsidRPr="00D61075" w:rsidDel="002B0EA5" w:rsidRDefault="00881808" w:rsidP="00881808">
      <w:r w:rsidRPr="00E074D7">
        <w:t xml:space="preserve">ESC noted </w:t>
      </w:r>
      <w:r w:rsidRPr="00D61075">
        <w:t>that study results were not disaggregated for populations 1 and 2.</w:t>
      </w:r>
      <w:r>
        <w:t xml:space="preserve"> ESC considered that i</w:t>
      </w:r>
      <w:r w:rsidRPr="00D61075">
        <w:t>f patients have “clinical signs and symptoms” they may not have had proteinuria tests, and hence may not meet the definition of preeclampsia</w:t>
      </w:r>
      <w:r>
        <w:t>,</w:t>
      </w:r>
      <w:r w:rsidRPr="00D61075">
        <w:t xml:space="preserve"> and/or the two populations may overlap.</w:t>
      </w:r>
      <w:r>
        <w:t xml:space="preserve"> ESC considered that as the evidence had been presented without disaggregation for risk vs severity and the items were both for the same test, combining the proposed item descriptors would be reasonable (new combined item CCCC to replace AAAA and BBBB, </w:t>
      </w:r>
      <w:r w:rsidR="009C163C">
        <w:fldChar w:fldCharType="begin"/>
      </w:r>
      <w:r w:rsidR="009C163C">
        <w:instrText xml:space="preserve"> REF _Ref148096345 </w:instrText>
      </w:r>
      <w:r w:rsidR="009C163C">
        <w:fldChar w:fldCharType="separate"/>
      </w:r>
      <w:r w:rsidR="009D7CE9">
        <w:t xml:space="preserve">Table </w:t>
      </w:r>
      <w:r w:rsidR="009D7CE9">
        <w:rPr>
          <w:noProof/>
        </w:rPr>
        <w:t>13</w:t>
      </w:r>
      <w:r w:rsidR="009C163C">
        <w:rPr>
          <w:noProof/>
        </w:rPr>
        <w:fldChar w:fldCharType="end"/>
      </w:r>
      <w:r>
        <w:t>).</w:t>
      </w:r>
    </w:p>
    <w:p w14:paraId="57677196" w14:textId="77777777" w:rsidR="00881808" w:rsidRDefault="00881808" w:rsidP="00881808">
      <w:r>
        <w:t>ESC noted that comprehensive evidence was presented supporting the accuracy of the sFlt-1:PlGF ratio test. ESC accepted the evidence showed a sFlt-1:PlGF ratio of &lt;38 had a high accuracy for ruling out preeclampsia within 1 </w:t>
      </w:r>
      <w:r w:rsidRPr="000C0414">
        <w:t xml:space="preserve">week (98.6% to 100% </w:t>
      </w:r>
      <w:r>
        <w:t>negative predictive value (</w:t>
      </w:r>
      <w:r w:rsidRPr="000C0414">
        <w:t>NP</w:t>
      </w:r>
      <w:r w:rsidRPr="00232F7A">
        <w:t>V))</w:t>
      </w:r>
      <w:r>
        <w:t>. However, ESC considered it was unclear whether this rule-out value applied to people “at increased risk” but with no signs/symptoms of preeclampsia. ESC also considered that the proposal to retest 2-4 weeks after a ratio result of &lt;38 upon clinical deterioration had uncertain implications for the rule-out value, as the applicant had not defined “deterioration” in the ADAR and in its pre-ESC response had reiterated that it sought not to define deterioration</w:t>
      </w:r>
      <w:r w:rsidRPr="00232F7A">
        <w:t>.</w:t>
      </w:r>
      <w:r>
        <w:t xml:space="preserve"> </w:t>
      </w:r>
      <w:r w:rsidRPr="00232F7A">
        <w:t xml:space="preserve"> </w:t>
      </w:r>
    </w:p>
    <w:p w14:paraId="367D5C16" w14:textId="77777777" w:rsidR="00881808" w:rsidRPr="00D61075" w:rsidRDefault="00881808" w:rsidP="00881808">
      <w:r>
        <w:t>In contrast to the strong rule-out evidence, ESC considered the evidence for rule-in value of ratio testing for a result of &gt;38 or &gt;85 was poor (PPV of 37-58% and 55-70% respectively). ESC noted the higher PPV at higher ratios, however considered that the utility of ratio testing was unclear because patients with a ratio &gt;85 were likely to be admitted to hospital anyway and to deliver soon. ESC noted that the evidence showed the ratio test result was associated with time to delivery, but considered that the evidence did not convincingly demonstrate that the expedited delivery could be attributed to adding ratio testing to standard observations and management.</w:t>
      </w:r>
    </w:p>
    <w:p w14:paraId="0242949C" w14:textId="7118DEE7" w:rsidR="00881808" w:rsidRDefault="00881808" w:rsidP="00881808">
      <w:r>
        <w:t xml:space="preserve">For change in management, </w:t>
      </w:r>
      <w:r w:rsidRPr="00D61075">
        <w:t xml:space="preserve">ESC noted </w:t>
      </w:r>
      <w:r>
        <w:t>substantial variation</w:t>
      </w:r>
      <w:r w:rsidRPr="00D61075">
        <w:t xml:space="preserve"> around hospital inpatient management</w:t>
      </w:r>
      <w:r>
        <w:t>:</w:t>
      </w:r>
      <w:r w:rsidRPr="00D61075">
        <w:t xml:space="preserve"> </w:t>
      </w:r>
      <w:r>
        <w:t>the ADAR stated the base case figure was a 72.6% decrease in admissions, yet other</w:t>
      </w:r>
      <w:r w:rsidRPr="00D61075">
        <w:t xml:space="preserve"> stud</w:t>
      </w:r>
      <w:r>
        <w:t>ies</w:t>
      </w:r>
      <w:r w:rsidRPr="00D61075">
        <w:t xml:space="preserve"> </w:t>
      </w:r>
      <w:r>
        <w:t>reporte</w:t>
      </w:r>
      <w:r w:rsidRPr="00D61075">
        <w:t>d an increase in hospital admissions (21.</w:t>
      </w:r>
      <w:r>
        <w:t>2</w:t>
      </w:r>
      <w:r w:rsidRPr="00D61075">
        <w:t>%</w:t>
      </w:r>
      <w:r>
        <w:t xml:space="preserve"> increase</w:t>
      </w:r>
      <w:r w:rsidRPr="00D61075">
        <w:t xml:space="preserve">), </w:t>
      </w:r>
      <w:r>
        <w:t>or a smaller</w:t>
      </w:r>
      <w:r w:rsidRPr="00D61075">
        <w:t xml:space="preserve"> decrease (16.2%</w:t>
      </w:r>
      <w:r>
        <w:t xml:space="preserve"> decrease</w:t>
      </w:r>
      <w:r w:rsidRPr="00D61075">
        <w:t>)</w:t>
      </w:r>
      <w:r w:rsidR="00574B02">
        <w:t xml:space="preserve"> – however this was </w:t>
      </w:r>
      <w:r w:rsidR="00D21AF1">
        <w:t xml:space="preserve">a </w:t>
      </w:r>
      <w:r w:rsidR="00574B02">
        <w:t xml:space="preserve">calculation of the </w:t>
      </w:r>
      <w:r w:rsidR="008E0409">
        <w:t>‘</w:t>
      </w:r>
      <w:r w:rsidR="00574B02">
        <w:t>difference</w:t>
      </w:r>
      <w:r w:rsidR="008E0409">
        <w:t>’</w:t>
      </w:r>
      <w:r w:rsidR="00574B02">
        <w:t xml:space="preserve"> (i.e. the size of the difference relative to the </w:t>
      </w:r>
      <w:r w:rsidR="0078226B">
        <w:t xml:space="preserve">crude </w:t>
      </w:r>
      <w:r w:rsidR="00574B02">
        <w:t>average of intervention and comparator</w:t>
      </w:r>
      <w:r w:rsidR="0078226B">
        <w:t xml:space="preserve"> values</w:t>
      </w:r>
      <w:r w:rsidR="00574B02">
        <w:t xml:space="preserve">) rather than </w:t>
      </w:r>
      <w:r w:rsidR="00D21AF1">
        <w:t xml:space="preserve">of </w:t>
      </w:r>
      <w:r w:rsidR="00574B02">
        <w:t xml:space="preserve">the </w:t>
      </w:r>
      <w:r w:rsidR="008E0409">
        <w:t>‘</w:t>
      </w:r>
      <w:r w:rsidR="00574B02">
        <w:t>change</w:t>
      </w:r>
      <w:r w:rsidR="008E0409">
        <w:t>’</w:t>
      </w:r>
      <w:r w:rsidR="0078226B">
        <w:t xml:space="preserve"> </w:t>
      </w:r>
      <w:r w:rsidR="0078226B" w:rsidRPr="0078226B">
        <w:t>(i.e. the size of the difference relative to the comparator</w:t>
      </w:r>
      <w:r w:rsidR="00650748">
        <w:t xml:space="preserve"> value</w:t>
      </w:r>
      <w:r w:rsidR="0078226B" w:rsidRPr="0078226B">
        <w:t>)</w:t>
      </w:r>
      <w:r w:rsidRPr="00D61075">
        <w:t>.</w:t>
      </w:r>
      <w:r>
        <w:t xml:space="preserve"> </w:t>
      </w:r>
      <w:r w:rsidRPr="00185DC4">
        <w:t>ESC considered the changes in hospitalisation</w:t>
      </w:r>
      <w:r w:rsidR="008572E6" w:rsidRPr="00185DC4">
        <w:t xml:space="preserve"> </w:t>
      </w:r>
      <w:r w:rsidR="00650748" w:rsidRPr="00185DC4">
        <w:t xml:space="preserve">from comparator to intervention </w:t>
      </w:r>
      <w:r w:rsidR="008608AB" w:rsidRPr="00185DC4">
        <w:t xml:space="preserve">were </w:t>
      </w:r>
      <w:r w:rsidR="008E0409" w:rsidRPr="00185DC4">
        <w:t>the relevant figures for decision-making</w:t>
      </w:r>
      <w:r w:rsidRPr="00185DC4">
        <w:t>, and the data presented indicated the</w:t>
      </w:r>
      <w:r w:rsidR="00AE4128" w:rsidRPr="00185DC4">
        <w:t xml:space="preserve"> changes</w:t>
      </w:r>
      <w:r w:rsidRPr="00185DC4">
        <w:t xml:space="preserve"> were a 23.7% increase for the INSPIRE trial, a 15.0% decrease for the </w:t>
      </w:r>
      <w:proofErr w:type="spellStart"/>
      <w:r w:rsidRPr="00185DC4">
        <w:t>PreOS</w:t>
      </w:r>
      <w:proofErr w:type="spellEnd"/>
      <w:r w:rsidRPr="00185DC4">
        <w:t xml:space="preserve"> trial, and a 53.3% decrease for the ROPE trial (see updates to </w:t>
      </w:r>
      <w:r w:rsidRPr="00185DC4">
        <w:fldChar w:fldCharType="begin"/>
      </w:r>
      <w:r w:rsidRPr="00185DC4">
        <w:instrText xml:space="preserve"> REF _Ref143769516 \h </w:instrText>
      </w:r>
      <w:r w:rsidR="00F96FE6" w:rsidRPr="00185DC4">
        <w:instrText xml:space="preserve"> \* MERGEFORMAT </w:instrText>
      </w:r>
      <w:r w:rsidRPr="00185DC4">
        <w:fldChar w:fldCharType="separate"/>
      </w:r>
      <w:r w:rsidR="009D7CE9">
        <w:t xml:space="preserve">Table </w:t>
      </w:r>
      <w:r w:rsidR="009D7CE9">
        <w:rPr>
          <w:noProof/>
        </w:rPr>
        <w:t>7</w:t>
      </w:r>
      <w:r w:rsidRPr="00185DC4">
        <w:fldChar w:fldCharType="end"/>
      </w:r>
      <w:r w:rsidRPr="00185DC4">
        <w:t>). ESC noted that one USA study in 2015-17 had showed clinicians were much more likely to admit</w:t>
      </w:r>
      <w:r>
        <w:t xml:space="preserve"> patients if aware of their ratio result, yet another similar earlier study had showed ratio testing was associated with fewer admissions. </w:t>
      </w:r>
      <w:r w:rsidRPr="00470352">
        <w:t xml:space="preserve">Notwithstanding their incorrect calculation in the ADAR, </w:t>
      </w:r>
      <w:r w:rsidRPr="00385F28">
        <w:t>ESC considered the applicability</w:t>
      </w:r>
      <w:r>
        <w:t xml:space="preserve"> of results for changes in hospitalisation rate</w:t>
      </w:r>
      <w:r w:rsidRPr="00385F28">
        <w:t xml:space="preserve"> to current clinical practice in Australia was uncertain.</w:t>
      </w:r>
      <w:r>
        <w:t xml:space="preserve"> ESC considered that the discrepancy may be a result of improved understanding of risk and the associated thresholds, although if so this was not well-identified by the ADAR</w:t>
      </w:r>
      <w:r w:rsidRPr="00F823CD">
        <w:t>.</w:t>
      </w:r>
      <w:r w:rsidRPr="00836212">
        <w:t xml:space="preserve"> </w:t>
      </w:r>
    </w:p>
    <w:p w14:paraId="4F4BC544" w14:textId="77777777" w:rsidR="00881808" w:rsidRDefault="00881808" w:rsidP="00881808">
      <w:r>
        <w:t>ESC considered that as the evidence did not examine effects of ratio testing on maternal and fetal health outcomes, the clinical significance of the ratio/deterioration relationship was unclear, and so utility of the test had not been established by the evidence.</w:t>
      </w:r>
    </w:p>
    <w:p w14:paraId="28DB9C12" w14:textId="77777777" w:rsidR="00881808" w:rsidRPr="00D61075" w:rsidRDefault="00881808" w:rsidP="00881808">
      <w:r>
        <w:t xml:space="preserve">ESC considered that changes in management that may take place in Australia following ratio testing may not have been captured in the literature or in NICE’s modelling. For example, if ratio testing showed that a patient in a remote area had imminent preeclampsia necessitating transfer to a tertiary centre, then transfer of the pregnant patient could be done sooner, more simply and with potentially better health outcomes than a postnatal transfer of the patient with preterm baby. ESC considered that if a preterm delivery were being considered then ratio testing may be </w:t>
      </w:r>
      <w:r>
        <w:lastRenderedPageBreak/>
        <w:t xml:space="preserve">able to rule out preeclampsia and so allow avoidance of antenatal steroid administration to quicken fetal lung development, which has diabetogenic risks to the pregnant patient and neurocognitive and infection risks to the </w:t>
      </w:r>
      <w:proofErr w:type="spellStart"/>
      <w:r>
        <w:t>fetus</w:t>
      </w:r>
      <w:proofErr w:type="spellEnd"/>
      <w:r>
        <w:t>.</w:t>
      </w:r>
    </w:p>
    <w:p w14:paraId="0BFF2B45" w14:textId="45B97C94" w:rsidR="00881808" w:rsidRDefault="00881808" w:rsidP="00881808">
      <w:r>
        <w:t>ESC noted t</w:t>
      </w:r>
      <w:r w:rsidRPr="00D61075">
        <w:t xml:space="preserve">he clinical </w:t>
      </w:r>
      <w:r>
        <w:t>evidence</w:t>
      </w:r>
      <w:r w:rsidRPr="00D61075">
        <w:t xml:space="preserve"> presented in the ADAR did not address the frequency of repeat test</w:t>
      </w:r>
      <w:r>
        <w:t xml:space="preserve">ing, although ESC considered serial retesting was </w:t>
      </w:r>
      <w:r w:rsidRPr="00D61075" w:rsidDel="002B0EA5">
        <w:t>a real possibility.</w:t>
      </w:r>
      <w:r>
        <w:t xml:space="preserve"> ESC noted t</w:t>
      </w:r>
      <w:r w:rsidRPr="00D61075">
        <w:t xml:space="preserve">he commentary </w:t>
      </w:r>
      <w:r>
        <w:t xml:space="preserve">had </w:t>
      </w:r>
      <w:r w:rsidRPr="00D61075">
        <w:t xml:space="preserve">considered it was unclear how the frequency of repeat testing could influence the management of preeclampsia in Australia and, consequently, </w:t>
      </w:r>
      <w:r>
        <w:t xml:space="preserve">that </w:t>
      </w:r>
      <w:r w:rsidRPr="00D61075">
        <w:t>the usefulness of frequent testing was uncertain.</w:t>
      </w:r>
      <w:r>
        <w:t xml:space="preserve"> ESC noted </w:t>
      </w:r>
      <w:r w:rsidRPr="00EA24B2">
        <w:t>that the ADAR</w:t>
      </w:r>
      <w:r>
        <w:t xml:space="preserve"> provided</w:t>
      </w:r>
      <w:r w:rsidRPr="00EA24B2">
        <w:t xml:space="preserve"> evidence </w:t>
      </w:r>
      <w:r>
        <w:t xml:space="preserve">that </w:t>
      </w:r>
      <w:r w:rsidRPr="00EA24B2">
        <w:t xml:space="preserve">examined the sFlt-1:PlGF ratio rather than the change in ratio over time, </w:t>
      </w:r>
      <w:r w:rsidRPr="00836212">
        <w:t xml:space="preserve">but that the pre-ESC response provided evidence </w:t>
      </w:r>
      <w:r w:rsidRPr="00EA24B2">
        <w:t>that retesting can change a patient’s risk</w:t>
      </w:r>
      <w:r>
        <w:t xml:space="preserve"> category (</w:t>
      </w:r>
      <w:r w:rsidR="009C163C">
        <w:fldChar w:fldCharType="begin"/>
      </w:r>
      <w:r w:rsidR="009C163C">
        <w:instrText xml:space="preserve"> REF _Ref148088629 </w:instrText>
      </w:r>
      <w:r w:rsidR="009C163C">
        <w:fldChar w:fldCharType="separate"/>
      </w:r>
      <w:r w:rsidR="009D7CE9">
        <w:t xml:space="preserve">Table </w:t>
      </w:r>
      <w:r w:rsidR="009D7CE9">
        <w:rPr>
          <w:noProof/>
        </w:rPr>
        <w:t>14</w:t>
      </w:r>
      <w:r w:rsidR="009C163C">
        <w:rPr>
          <w:noProof/>
        </w:rPr>
        <w:fldChar w:fldCharType="end"/>
      </w:r>
      <w:r>
        <w:t>).</w:t>
      </w:r>
      <w:r w:rsidRPr="00D61075" w:rsidDel="002B0EA5">
        <w:t xml:space="preserve"> </w:t>
      </w:r>
      <w:r>
        <w:t>ESC considered that this evidence indicated a greater rate of ratio change in patients who go on to develop preeclampsia, but considered that this was not evidence of a change in management nor improvement in health outcomes associated with rate of ratio change over time, which ESC considered remained an area of substantial uncertainty for this application.</w:t>
      </w:r>
    </w:p>
    <w:p w14:paraId="572BA98B" w14:textId="7B546F65" w:rsidR="00881808" w:rsidRDefault="00881808" w:rsidP="00881808">
      <w:pPr>
        <w:pStyle w:val="Caption"/>
      </w:pPr>
      <w:bookmarkStart w:id="40" w:name="_Ref148088629"/>
      <w:r>
        <w:t xml:space="preserve">Table </w:t>
      </w:r>
      <w:r w:rsidR="009C163C">
        <w:fldChar w:fldCharType="begin"/>
      </w:r>
      <w:r w:rsidR="009C163C">
        <w:instrText xml:space="preserve"> SEQ Table \* ARABIC </w:instrText>
      </w:r>
      <w:r w:rsidR="009C163C">
        <w:fldChar w:fldCharType="separate"/>
      </w:r>
      <w:r w:rsidR="009D7CE9">
        <w:rPr>
          <w:noProof/>
        </w:rPr>
        <w:t>14</w:t>
      </w:r>
      <w:r w:rsidR="009C163C">
        <w:rPr>
          <w:noProof/>
        </w:rPr>
        <w:fldChar w:fldCharType="end"/>
      </w:r>
      <w:bookmarkEnd w:id="40"/>
      <w:r>
        <w:tab/>
        <w:t>Change in sFlt-1:PlGF ratio from a baseline ratio of 38-85 in patients who developed or did not develop preeclampsia</w:t>
      </w:r>
    </w:p>
    <w:tbl>
      <w:tblPr>
        <w:tblStyle w:val="TableGrid"/>
        <w:tblW w:w="5000" w:type="pct"/>
        <w:tblLook w:val="04A0" w:firstRow="1" w:lastRow="0" w:firstColumn="1" w:lastColumn="0" w:noHBand="0" w:noVBand="1"/>
      </w:tblPr>
      <w:tblGrid>
        <w:gridCol w:w="3326"/>
        <w:gridCol w:w="2845"/>
        <w:gridCol w:w="2845"/>
      </w:tblGrid>
      <w:tr w:rsidR="00881808" w:rsidRPr="00EA58C4" w14:paraId="680D2350" w14:textId="77777777" w:rsidTr="00050AB4">
        <w:trPr>
          <w:trHeight w:hRule="exact" w:val="312"/>
        </w:trPr>
        <w:tc>
          <w:tcPr>
            <w:tcW w:w="1844" w:type="pct"/>
            <w:shd w:val="clear" w:color="auto" w:fill="auto"/>
          </w:tcPr>
          <w:p w14:paraId="41140B2B" w14:textId="77777777" w:rsidR="00881808" w:rsidRDefault="00881808" w:rsidP="00050AB4">
            <w:pPr>
              <w:pStyle w:val="TableHeading0"/>
              <w:keepNext/>
              <w:keepLines/>
              <w:spacing w:before="0" w:after="0"/>
            </w:pPr>
          </w:p>
        </w:tc>
        <w:tc>
          <w:tcPr>
            <w:tcW w:w="3156" w:type="pct"/>
            <w:gridSpan w:val="2"/>
            <w:shd w:val="clear" w:color="auto" w:fill="auto"/>
          </w:tcPr>
          <w:p w14:paraId="38FD4A03" w14:textId="77777777" w:rsidR="00881808" w:rsidRDefault="00881808" w:rsidP="00050AB4">
            <w:pPr>
              <w:pStyle w:val="TableHeading0"/>
              <w:keepNext/>
              <w:keepLines/>
              <w:spacing w:before="0" w:after="0"/>
            </w:pPr>
            <w:r>
              <w:t>Change in sFlt-1:PlGF ratio (change, IQR)</w:t>
            </w:r>
          </w:p>
        </w:tc>
      </w:tr>
      <w:tr w:rsidR="00881808" w:rsidRPr="00EA58C4" w14:paraId="0256FAD0" w14:textId="77777777" w:rsidTr="00050AB4">
        <w:trPr>
          <w:trHeight w:hRule="exact" w:val="312"/>
        </w:trPr>
        <w:tc>
          <w:tcPr>
            <w:tcW w:w="1844" w:type="pct"/>
            <w:shd w:val="clear" w:color="auto" w:fill="auto"/>
          </w:tcPr>
          <w:p w14:paraId="5B10A62D" w14:textId="77777777" w:rsidR="00881808" w:rsidRPr="00EA58C4" w:rsidRDefault="00881808" w:rsidP="00050AB4">
            <w:pPr>
              <w:pStyle w:val="TableHeading0"/>
              <w:keepNext/>
              <w:keepLines/>
              <w:spacing w:before="0" w:after="0"/>
            </w:pPr>
            <w:r>
              <w:t>Baseline sFlt-1:PlGF 38-85</w:t>
            </w:r>
          </w:p>
        </w:tc>
        <w:tc>
          <w:tcPr>
            <w:tcW w:w="1578" w:type="pct"/>
            <w:shd w:val="clear" w:color="auto" w:fill="auto"/>
          </w:tcPr>
          <w:p w14:paraId="28C3FEB1" w14:textId="77777777" w:rsidR="00881808" w:rsidRPr="00EA58C4" w:rsidRDefault="00881808" w:rsidP="00050AB4">
            <w:pPr>
              <w:pStyle w:val="TableHeading0"/>
              <w:keepNext/>
              <w:keepLines/>
              <w:spacing w:before="0" w:after="0"/>
            </w:pPr>
            <w:r>
              <w:t>2 weeks after baseline</w:t>
            </w:r>
          </w:p>
        </w:tc>
        <w:tc>
          <w:tcPr>
            <w:tcW w:w="1578" w:type="pct"/>
            <w:shd w:val="clear" w:color="auto" w:fill="auto"/>
          </w:tcPr>
          <w:p w14:paraId="020E86D3" w14:textId="77777777" w:rsidR="00881808" w:rsidRPr="00EA58C4" w:rsidRDefault="00881808" w:rsidP="00050AB4">
            <w:pPr>
              <w:pStyle w:val="TableHeading0"/>
              <w:keepNext/>
              <w:keepLines/>
              <w:spacing w:before="0" w:after="0"/>
            </w:pPr>
            <w:r>
              <w:t>3 weeks after baseline</w:t>
            </w:r>
          </w:p>
        </w:tc>
      </w:tr>
      <w:tr w:rsidR="00881808" w:rsidRPr="00EA58C4" w14:paraId="17F90148" w14:textId="77777777" w:rsidTr="00050AB4">
        <w:trPr>
          <w:trHeight w:hRule="exact" w:val="312"/>
        </w:trPr>
        <w:tc>
          <w:tcPr>
            <w:tcW w:w="1844" w:type="pct"/>
          </w:tcPr>
          <w:p w14:paraId="5DE0ACD8" w14:textId="77777777" w:rsidR="00881808" w:rsidRPr="00EA58C4" w:rsidRDefault="00881808" w:rsidP="00050AB4">
            <w:pPr>
              <w:pStyle w:val="TableText"/>
              <w:keepNext/>
              <w:keepLines/>
              <w:spacing w:before="0" w:after="0"/>
            </w:pPr>
            <w:r>
              <w:t>Preeclampsia</w:t>
            </w:r>
          </w:p>
        </w:tc>
        <w:tc>
          <w:tcPr>
            <w:tcW w:w="1578" w:type="pct"/>
          </w:tcPr>
          <w:p w14:paraId="0F53BC8C" w14:textId="77777777" w:rsidR="00881808" w:rsidRPr="00EA58C4" w:rsidRDefault="00881808" w:rsidP="00050AB4">
            <w:pPr>
              <w:pStyle w:val="TableText"/>
              <w:keepNext/>
              <w:keepLines/>
              <w:spacing w:before="0" w:after="0"/>
            </w:pPr>
            <w:r>
              <w:t>35.80 (22-87-65.43)</w:t>
            </w:r>
          </w:p>
        </w:tc>
        <w:tc>
          <w:tcPr>
            <w:tcW w:w="1578" w:type="pct"/>
          </w:tcPr>
          <w:p w14:paraId="1A751024" w14:textId="77777777" w:rsidR="00881808" w:rsidRPr="00EA58C4" w:rsidRDefault="00881808" w:rsidP="00050AB4">
            <w:pPr>
              <w:pStyle w:val="TableText"/>
              <w:keepNext/>
              <w:keepLines/>
              <w:spacing w:before="0" w:after="0"/>
            </w:pPr>
            <w:r>
              <w:t>45.81 (33.75-57.86)</w:t>
            </w:r>
          </w:p>
        </w:tc>
      </w:tr>
      <w:tr w:rsidR="00881808" w:rsidRPr="00EA58C4" w14:paraId="0C30EC66" w14:textId="77777777" w:rsidTr="00050AB4">
        <w:trPr>
          <w:trHeight w:hRule="exact" w:val="312"/>
        </w:trPr>
        <w:tc>
          <w:tcPr>
            <w:tcW w:w="1844" w:type="pct"/>
          </w:tcPr>
          <w:p w14:paraId="46B2F695" w14:textId="77777777" w:rsidR="00881808" w:rsidRDefault="00881808" w:rsidP="00050AB4">
            <w:pPr>
              <w:pStyle w:val="TableText"/>
              <w:keepNext/>
              <w:keepLines/>
              <w:spacing w:before="0" w:after="0"/>
            </w:pPr>
            <w:r>
              <w:t>No preeclampsia</w:t>
            </w:r>
          </w:p>
        </w:tc>
        <w:tc>
          <w:tcPr>
            <w:tcW w:w="1578" w:type="pct"/>
          </w:tcPr>
          <w:p w14:paraId="5AAA7A49" w14:textId="77777777" w:rsidR="00881808" w:rsidRPr="00EA58C4" w:rsidRDefault="00881808" w:rsidP="00050AB4">
            <w:pPr>
              <w:pStyle w:val="TableText"/>
              <w:keepNext/>
              <w:keepLines/>
              <w:spacing w:before="0" w:after="0"/>
            </w:pPr>
            <w:r>
              <w:t>19.77 (9.26-68.93)</w:t>
            </w:r>
          </w:p>
        </w:tc>
        <w:tc>
          <w:tcPr>
            <w:tcW w:w="1578" w:type="pct"/>
          </w:tcPr>
          <w:p w14:paraId="59221949" w14:textId="77777777" w:rsidR="00881808" w:rsidRPr="00EA58C4" w:rsidRDefault="00881808" w:rsidP="00050AB4">
            <w:pPr>
              <w:pStyle w:val="TableText"/>
              <w:keepNext/>
              <w:keepLines/>
              <w:spacing w:before="0" w:after="0"/>
            </w:pPr>
            <w:r>
              <w:t>23.84 (-2.77-74.56)</w:t>
            </w:r>
          </w:p>
        </w:tc>
      </w:tr>
    </w:tbl>
    <w:p w14:paraId="4BE9C797" w14:textId="77777777" w:rsidR="00881808" w:rsidRDefault="00881808" w:rsidP="00881808">
      <w:pPr>
        <w:spacing w:before="0"/>
        <w:contextualSpacing/>
        <w:rPr>
          <w:rFonts w:ascii="Arial Narrow" w:hAnsi="Arial Narrow"/>
          <w:sz w:val="18"/>
          <w:szCs w:val="18"/>
        </w:rPr>
      </w:pPr>
      <w:r w:rsidRPr="00052031">
        <w:rPr>
          <w:rFonts w:ascii="Arial Narrow" w:hAnsi="Arial Narrow"/>
          <w:b/>
          <w:bCs/>
          <w:sz w:val="18"/>
          <w:szCs w:val="18"/>
          <w:u w:val="single"/>
        </w:rPr>
        <w:t>Abbreviations</w:t>
      </w:r>
      <w:r w:rsidRPr="00C577B3">
        <w:rPr>
          <w:rFonts w:ascii="Arial Narrow" w:hAnsi="Arial Narrow"/>
          <w:b/>
          <w:bCs/>
          <w:sz w:val="18"/>
          <w:szCs w:val="18"/>
        </w:rPr>
        <w:t xml:space="preserve">: </w:t>
      </w:r>
      <w:r>
        <w:rPr>
          <w:rFonts w:ascii="Arial Narrow" w:hAnsi="Arial Narrow"/>
          <w:b/>
          <w:bCs/>
          <w:sz w:val="18"/>
          <w:szCs w:val="18"/>
        </w:rPr>
        <w:t xml:space="preserve">IQR </w:t>
      </w:r>
      <w:r>
        <w:rPr>
          <w:rFonts w:ascii="Arial Narrow" w:hAnsi="Arial Narrow"/>
          <w:sz w:val="18"/>
          <w:szCs w:val="18"/>
        </w:rPr>
        <w:t>= interquartile range;</w:t>
      </w:r>
      <w:r>
        <w:rPr>
          <w:rFonts w:ascii="Arial Narrow" w:hAnsi="Arial Narrow"/>
          <w:b/>
          <w:bCs/>
          <w:sz w:val="18"/>
          <w:szCs w:val="18"/>
        </w:rPr>
        <w:t xml:space="preserve"> </w:t>
      </w:r>
      <w:r w:rsidRPr="00F068AC">
        <w:rPr>
          <w:rFonts w:ascii="Arial Narrow" w:hAnsi="Arial Narrow"/>
          <w:b/>
          <w:bCs/>
          <w:sz w:val="18"/>
          <w:szCs w:val="18"/>
        </w:rPr>
        <w:t>sFlt-1</w:t>
      </w:r>
      <w:r>
        <w:rPr>
          <w:rFonts w:ascii="Arial Narrow" w:hAnsi="Arial Narrow"/>
          <w:b/>
          <w:bCs/>
          <w:sz w:val="18"/>
          <w:szCs w:val="18"/>
        </w:rPr>
        <w:t>:</w:t>
      </w:r>
      <w:r w:rsidRPr="00F068AC">
        <w:rPr>
          <w:rFonts w:ascii="Arial Narrow" w:hAnsi="Arial Narrow"/>
          <w:b/>
          <w:bCs/>
          <w:sz w:val="18"/>
          <w:szCs w:val="18"/>
        </w:rPr>
        <w:t>PlGF</w:t>
      </w:r>
      <w:r w:rsidRPr="00E479E3">
        <w:rPr>
          <w:rFonts w:ascii="Arial Narrow" w:hAnsi="Arial Narrow"/>
          <w:sz w:val="18"/>
          <w:szCs w:val="18"/>
        </w:rPr>
        <w:t xml:space="preserve"> </w:t>
      </w:r>
      <w:r>
        <w:rPr>
          <w:rFonts w:ascii="Arial Narrow" w:hAnsi="Arial Narrow"/>
          <w:sz w:val="18"/>
          <w:szCs w:val="18"/>
        </w:rPr>
        <w:t xml:space="preserve">= </w:t>
      </w:r>
      <w:r w:rsidRPr="00E479E3">
        <w:rPr>
          <w:rFonts w:ascii="Arial Narrow" w:hAnsi="Arial Narrow"/>
          <w:sz w:val="18"/>
          <w:szCs w:val="18"/>
        </w:rPr>
        <w:t>soluble FMS-like tyrosine kinase-1:placental growth factor</w:t>
      </w:r>
    </w:p>
    <w:p w14:paraId="629AD115" w14:textId="77777777" w:rsidR="00881808" w:rsidRPr="00052031" w:rsidRDefault="00881808" w:rsidP="00881808">
      <w:pPr>
        <w:spacing w:before="0" w:after="240"/>
        <w:rPr>
          <w:rFonts w:ascii="Arial Narrow" w:hAnsi="Arial Narrow"/>
          <w:sz w:val="18"/>
          <w:szCs w:val="18"/>
        </w:rPr>
      </w:pPr>
      <w:r w:rsidRPr="001F2B07">
        <w:rPr>
          <w:rFonts w:ascii="Arial Narrow" w:hAnsi="Arial Narrow"/>
          <w:b/>
          <w:bCs/>
          <w:sz w:val="18"/>
          <w:szCs w:val="18"/>
          <w:u w:val="single"/>
        </w:rPr>
        <w:t>Source</w:t>
      </w:r>
      <w:r>
        <w:rPr>
          <w:rFonts w:ascii="Arial Narrow" w:hAnsi="Arial Narrow"/>
          <w:b/>
          <w:bCs/>
          <w:sz w:val="18"/>
          <w:szCs w:val="18"/>
          <w:u w:val="single"/>
        </w:rPr>
        <w:t>:</w:t>
      </w:r>
      <w:r w:rsidRPr="00C577B3">
        <w:rPr>
          <w:rFonts w:ascii="Arial Narrow" w:hAnsi="Arial Narrow"/>
          <w:b/>
          <w:bCs/>
          <w:sz w:val="18"/>
          <w:szCs w:val="18"/>
        </w:rPr>
        <w:t xml:space="preserve"> </w:t>
      </w:r>
      <w:r>
        <w:rPr>
          <w:rFonts w:ascii="Arial Narrow" w:hAnsi="Arial Narrow"/>
          <w:sz w:val="18"/>
          <w:szCs w:val="18"/>
          <w:lang w:val="en-US"/>
        </w:rPr>
        <w:t xml:space="preserve">Pre-ESC response Table 1: from </w:t>
      </w:r>
      <w:proofErr w:type="spellStart"/>
      <w:r>
        <w:rPr>
          <w:rFonts w:ascii="Arial Narrow" w:hAnsi="Arial Narrow"/>
          <w:sz w:val="18"/>
          <w:szCs w:val="18"/>
          <w:lang w:val="en-US"/>
        </w:rPr>
        <w:t>Zeisler</w:t>
      </w:r>
      <w:proofErr w:type="spellEnd"/>
      <w:r>
        <w:rPr>
          <w:rFonts w:ascii="Arial Narrow" w:hAnsi="Arial Narrow"/>
          <w:sz w:val="18"/>
          <w:szCs w:val="18"/>
          <w:lang w:val="en-US"/>
        </w:rPr>
        <w:t xml:space="preserve"> 2019’s exploratory analysis of n=550 women enrolled in the PROGNOSIS study.</w:t>
      </w:r>
    </w:p>
    <w:p w14:paraId="6853FBAD" w14:textId="2C567592" w:rsidR="00881808" w:rsidRPr="00D61075" w:rsidRDefault="00881808" w:rsidP="00881808">
      <w:r>
        <w:t>ESC considered the practice notes on ratio interpretation were an informative decision aid. ESC considered that the frequency of repeated ratio testing should be justified by the evidence, and noted the applicant indicated in the pre-ESC response that it did not intend the MBS to fund serial testing. ESC considered that adding a frequency restriction to the item descriptor would be appropriate to prevent unlimited retesting (</w:t>
      </w:r>
      <w:r w:rsidR="009C163C">
        <w:fldChar w:fldCharType="begin"/>
      </w:r>
      <w:r w:rsidR="009C163C">
        <w:instrText xml:space="preserve"> REF _Ref148096345 </w:instrText>
      </w:r>
      <w:r w:rsidR="009C163C">
        <w:fldChar w:fldCharType="separate"/>
      </w:r>
      <w:r w:rsidR="009D7CE9">
        <w:t xml:space="preserve">Table </w:t>
      </w:r>
      <w:r w:rsidR="009D7CE9">
        <w:rPr>
          <w:noProof/>
        </w:rPr>
        <w:t>13</w:t>
      </w:r>
      <w:r w:rsidR="009C163C">
        <w:rPr>
          <w:noProof/>
        </w:rPr>
        <w:fldChar w:fldCharType="end"/>
      </w:r>
      <w:r>
        <w:t>), and noted policy advice that this would be monitored through post-payment compliance. ESC considered the evidence may support retesting after &gt;2-4 weeks where the ratio is &lt;38, and retesting after 1 week where the ratio was 38-85 – but that no evidence was provided to support an appropriate retesting interval when the ratio was &gt;85.</w:t>
      </w:r>
    </w:p>
    <w:p w14:paraId="78EB0F02" w14:textId="2E2E8864" w:rsidR="00881808" w:rsidRDefault="00881808" w:rsidP="00881808">
      <w:r>
        <w:t>ESC also noted the ADAR’s evidence base included studies of singleton pregnancies only, but that in the pre-ESC response the applicant had provided two studies supporting the rule-out value of a sFlt-1:PlGF ratio &lt;38 in twin pregnancies (</w:t>
      </w:r>
      <w:r w:rsidR="009C163C">
        <w:fldChar w:fldCharType="begin"/>
      </w:r>
      <w:r w:rsidR="009C163C">
        <w:instrText xml:space="preserve"> REF _Ref145436513 </w:instrText>
      </w:r>
      <w:r w:rsidR="009C163C">
        <w:fldChar w:fldCharType="separate"/>
      </w:r>
      <w:r w:rsidR="009D7CE9">
        <w:t xml:space="preserve">Table </w:t>
      </w:r>
      <w:r w:rsidR="009D7CE9">
        <w:rPr>
          <w:noProof/>
        </w:rPr>
        <w:t>15</w:t>
      </w:r>
      <w:r w:rsidR="009C163C">
        <w:rPr>
          <w:noProof/>
        </w:rPr>
        <w:fldChar w:fldCharType="end"/>
      </w:r>
      <w:r>
        <w:t>). ESC noted the applicant also commented that ratio testing is less discriminatory for preeclampsia in twin pregnancies so results beyond 30 weeks should be interpreted with caution. ESC considered this information about ratio testing in multiple pregnancies may be informative for MSAC.</w:t>
      </w:r>
    </w:p>
    <w:p w14:paraId="6CABC6E5" w14:textId="6DF6942C" w:rsidR="00881808" w:rsidRDefault="00881808" w:rsidP="00881808">
      <w:pPr>
        <w:pStyle w:val="Caption"/>
      </w:pPr>
      <w:bookmarkStart w:id="41" w:name="_Ref145436513"/>
      <w:r>
        <w:t xml:space="preserve">Table </w:t>
      </w:r>
      <w:r w:rsidR="009C163C">
        <w:fldChar w:fldCharType="begin"/>
      </w:r>
      <w:r w:rsidR="009C163C">
        <w:instrText xml:space="preserve"> SEQ Table \* ARABIC </w:instrText>
      </w:r>
      <w:r w:rsidR="009C163C">
        <w:fldChar w:fldCharType="separate"/>
      </w:r>
      <w:r w:rsidR="009D7CE9">
        <w:rPr>
          <w:noProof/>
        </w:rPr>
        <w:t>15</w:t>
      </w:r>
      <w:r w:rsidR="009C163C">
        <w:rPr>
          <w:noProof/>
        </w:rPr>
        <w:fldChar w:fldCharType="end"/>
      </w:r>
      <w:bookmarkEnd w:id="41"/>
      <w:r>
        <w:rPr>
          <w:noProof/>
        </w:rPr>
        <w:tab/>
      </w:r>
      <w:r>
        <w:t>Rule-out value of sFlt-1:PlGF ratio &lt;38 in twin pregnancies</w:t>
      </w:r>
    </w:p>
    <w:tbl>
      <w:tblPr>
        <w:tblStyle w:val="TableGrid"/>
        <w:tblW w:w="5000" w:type="pct"/>
        <w:tblLook w:val="04A0" w:firstRow="1" w:lastRow="0" w:firstColumn="1" w:lastColumn="0" w:noHBand="0" w:noVBand="1"/>
      </w:tblPr>
      <w:tblGrid>
        <w:gridCol w:w="986"/>
        <w:gridCol w:w="3971"/>
        <w:gridCol w:w="2409"/>
        <w:gridCol w:w="1650"/>
      </w:tblGrid>
      <w:tr w:rsidR="00881808" w14:paraId="4B860AD8" w14:textId="77777777" w:rsidTr="00134545">
        <w:tc>
          <w:tcPr>
            <w:tcW w:w="547" w:type="pct"/>
          </w:tcPr>
          <w:p w14:paraId="14FA331C" w14:textId="77777777" w:rsidR="00881808" w:rsidRDefault="00881808" w:rsidP="00050AB4">
            <w:pPr>
              <w:pStyle w:val="TableHeading0"/>
            </w:pPr>
            <w:r>
              <w:t>Study</w:t>
            </w:r>
          </w:p>
        </w:tc>
        <w:tc>
          <w:tcPr>
            <w:tcW w:w="2202" w:type="pct"/>
          </w:tcPr>
          <w:p w14:paraId="5D876CA5" w14:textId="77777777" w:rsidR="00881808" w:rsidRDefault="00881808" w:rsidP="00050AB4">
            <w:pPr>
              <w:pStyle w:val="TableHeading0"/>
            </w:pPr>
            <w:r>
              <w:t>Study design</w:t>
            </w:r>
          </w:p>
        </w:tc>
        <w:tc>
          <w:tcPr>
            <w:tcW w:w="1336" w:type="pct"/>
          </w:tcPr>
          <w:p w14:paraId="2F5FEDFA" w14:textId="77777777" w:rsidR="00881808" w:rsidRDefault="00881808" w:rsidP="00050AB4">
            <w:pPr>
              <w:pStyle w:val="TableHeading0"/>
            </w:pPr>
            <w:r>
              <w:t>Patient population</w:t>
            </w:r>
          </w:p>
        </w:tc>
        <w:tc>
          <w:tcPr>
            <w:tcW w:w="915" w:type="pct"/>
          </w:tcPr>
          <w:p w14:paraId="0E396937" w14:textId="55E0C069" w:rsidR="00881808" w:rsidRDefault="00881808" w:rsidP="00050AB4">
            <w:pPr>
              <w:pStyle w:val="TableHeading0"/>
            </w:pPr>
            <w:r>
              <w:t xml:space="preserve">NPV: rule-out </w:t>
            </w:r>
            <w:r w:rsidR="00134545">
              <w:t>PE</w:t>
            </w:r>
            <w:r>
              <w:t xml:space="preserve"> within 1 week </w:t>
            </w:r>
          </w:p>
        </w:tc>
      </w:tr>
      <w:tr w:rsidR="00881808" w14:paraId="4024FC9B" w14:textId="77777777" w:rsidTr="00134545">
        <w:tc>
          <w:tcPr>
            <w:tcW w:w="547" w:type="pct"/>
          </w:tcPr>
          <w:p w14:paraId="705ACC38" w14:textId="77777777" w:rsidR="00881808" w:rsidRDefault="00881808" w:rsidP="00050AB4">
            <w:pPr>
              <w:pStyle w:val="Tabletext0"/>
              <w:jc w:val="left"/>
            </w:pPr>
            <w:r>
              <w:t>Binder et al (2020)</w:t>
            </w:r>
          </w:p>
        </w:tc>
        <w:tc>
          <w:tcPr>
            <w:tcW w:w="2202" w:type="pct"/>
          </w:tcPr>
          <w:p w14:paraId="665972AF" w14:textId="77777777" w:rsidR="00881808" w:rsidRDefault="00881808" w:rsidP="00050AB4">
            <w:pPr>
              <w:pStyle w:val="Tabletext0"/>
              <w:jc w:val="left"/>
            </w:pPr>
            <w:r>
              <w:t>Retrospective analysis of prospective cohort study (data collected January 2013 – October 2019)</w:t>
            </w:r>
          </w:p>
        </w:tc>
        <w:tc>
          <w:tcPr>
            <w:tcW w:w="1336" w:type="pct"/>
          </w:tcPr>
          <w:p w14:paraId="1091849C" w14:textId="4C989703" w:rsidR="00881808" w:rsidRDefault="00881808" w:rsidP="00050AB4">
            <w:pPr>
              <w:pStyle w:val="Tabletext0"/>
              <w:jc w:val="left"/>
            </w:pPr>
            <w:r>
              <w:t xml:space="preserve">Twin pregnancies with suspected </w:t>
            </w:r>
            <w:r w:rsidR="00134545">
              <w:t>PE</w:t>
            </w:r>
            <w:r>
              <w:t xml:space="preserve"> (N=164)</w:t>
            </w:r>
          </w:p>
        </w:tc>
        <w:tc>
          <w:tcPr>
            <w:tcW w:w="915" w:type="pct"/>
          </w:tcPr>
          <w:p w14:paraId="399910C4" w14:textId="77777777" w:rsidR="00881808" w:rsidRDefault="00881808" w:rsidP="00050AB4">
            <w:pPr>
              <w:pStyle w:val="Tabletext0"/>
              <w:jc w:val="left"/>
            </w:pPr>
            <w:r>
              <w:t>98.8%</w:t>
            </w:r>
          </w:p>
        </w:tc>
      </w:tr>
      <w:tr w:rsidR="00881808" w14:paraId="7079C575" w14:textId="77777777" w:rsidTr="00134545">
        <w:tc>
          <w:tcPr>
            <w:tcW w:w="547" w:type="pct"/>
          </w:tcPr>
          <w:p w14:paraId="65FB9222" w14:textId="77777777" w:rsidR="00881808" w:rsidRDefault="00881808" w:rsidP="00050AB4">
            <w:pPr>
              <w:pStyle w:val="Tabletext0"/>
              <w:jc w:val="left"/>
            </w:pPr>
            <w:r>
              <w:t>De La Calle</w:t>
            </w:r>
          </w:p>
        </w:tc>
        <w:tc>
          <w:tcPr>
            <w:tcW w:w="2202" w:type="pct"/>
          </w:tcPr>
          <w:p w14:paraId="7F221BA8" w14:textId="77777777" w:rsidR="00881808" w:rsidRDefault="00881808" w:rsidP="00050AB4">
            <w:pPr>
              <w:pStyle w:val="Tabletext0"/>
              <w:jc w:val="left"/>
            </w:pPr>
            <w:r>
              <w:t>Pooled subgroup analysis of PROGNOSIS, STEPS and case-control study</w:t>
            </w:r>
          </w:p>
        </w:tc>
        <w:tc>
          <w:tcPr>
            <w:tcW w:w="1336" w:type="pct"/>
          </w:tcPr>
          <w:p w14:paraId="5A8BFF28" w14:textId="77777777" w:rsidR="00881808" w:rsidRDefault="00881808" w:rsidP="00050AB4">
            <w:pPr>
              <w:pStyle w:val="Tabletext0"/>
              <w:jc w:val="left"/>
            </w:pPr>
            <w:r>
              <w:t>Twin pregnancies enrolled in included studies (N=296)</w:t>
            </w:r>
          </w:p>
        </w:tc>
        <w:tc>
          <w:tcPr>
            <w:tcW w:w="915" w:type="pct"/>
          </w:tcPr>
          <w:p w14:paraId="47C87693" w14:textId="77777777" w:rsidR="00881808" w:rsidRDefault="00881808" w:rsidP="00050AB4">
            <w:pPr>
              <w:pStyle w:val="Tabletext0"/>
              <w:jc w:val="left"/>
            </w:pPr>
            <w:r>
              <w:t>91.9%</w:t>
            </w:r>
          </w:p>
        </w:tc>
      </w:tr>
    </w:tbl>
    <w:p w14:paraId="0A991477" w14:textId="47D4E5E5" w:rsidR="00881808" w:rsidRPr="00134545" w:rsidRDefault="00881808" w:rsidP="00881808">
      <w:pPr>
        <w:spacing w:before="0"/>
        <w:contextualSpacing/>
        <w:rPr>
          <w:rFonts w:ascii="Arial Narrow" w:hAnsi="Arial Narrow"/>
          <w:sz w:val="18"/>
          <w:szCs w:val="18"/>
        </w:rPr>
      </w:pPr>
      <w:r w:rsidRPr="00052031">
        <w:rPr>
          <w:rFonts w:ascii="Arial Narrow" w:hAnsi="Arial Narrow"/>
          <w:b/>
          <w:bCs/>
          <w:sz w:val="18"/>
          <w:szCs w:val="18"/>
          <w:u w:val="single"/>
        </w:rPr>
        <w:t>Abbreviations</w:t>
      </w:r>
      <w:r w:rsidRPr="00C577B3">
        <w:rPr>
          <w:rFonts w:ascii="Arial Narrow" w:hAnsi="Arial Narrow"/>
          <w:b/>
          <w:bCs/>
          <w:sz w:val="18"/>
          <w:szCs w:val="18"/>
        </w:rPr>
        <w:t xml:space="preserve">: </w:t>
      </w:r>
      <w:r>
        <w:rPr>
          <w:rFonts w:ascii="Arial Narrow" w:hAnsi="Arial Narrow"/>
          <w:b/>
          <w:bCs/>
          <w:sz w:val="18"/>
          <w:szCs w:val="18"/>
        </w:rPr>
        <w:t xml:space="preserve">NPV </w:t>
      </w:r>
      <w:r>
        <w:rPr>
          <w:rFonts w:ascii="Arial Narrow" w:hAnsi="Arial Narrow"/>
          <w:sz w:val="18"/>
          <w:szCs w:val="18"/>
        </w:rPr>
        <w:t>= negative predictive (rule-out) value</w:t>
      </w:r>
      <w:r w:rsidR="00134545">
        <w:rPr>
          <w:rFonts w:ascii="Arial Narrow" w:hAnsi="Arial Narrow"/>
          <w:sz w:val="18"/>
          <w:szCs w:val="18"/>
        </w:rPr>
        <w:t xml:space="preserve">; </w:t>
      </w:r>
      <w:r w:rsidR="00134545">
        <w:rPr>
          <w:rFonts w:ascii="Arial Narrow" w:hAnsi="Arial Narrow"/>
          <w:b/>
          <w:bCs/>
          <w:sz w:val="18"/>
          <w:szCs w:val="18"/>
        </w:rPr>
        <w:t>PE</w:t>
      </w:r>
      <w:r w:rsidR="00134545">
        <w:rPr>
          <w:rFonts w:ascii="Arial Narrow" w:hAnsi="Arial Narrow"/>
          <w:sz w:val="18"/>
          <w:szCs w:val="18"/>
        </w:rPr>
        <w:t xml:space="preserve"> = preeclampsia</w:t>
      </w:r>
    </w:p>
    <w:p w14:paraId="2DB2CF8E" w14:textId="77777777" w:rsidR="00881808" w:rsidRPr="00052031" w:rsidRDefault="00881808" w:rsidP="00881808">
      <w:pPr>
        <w:spacing w:before="0" w:after="240"/>
        <w:rPr>
          <w:rFonts w:ascii="Arial Narrow" w:hAnsi="Arial Narrow"/>
          <w:sz w:val="18"/>
          <w:szCs w:val="18"/>
        </w:rPr>
      </w:pPr>
      <w:r w:rsidRPr="001F2B07">
        <w:rPr>
          <w:rFonts w:ascii="Arial Narrow" w:hAnsi="Arial Narrow"/>
          <w:b/>
          <w:bCs/>
          <w:sz w:val="18"/>
          <w:szCs w:val="18"/>
          <w:u w:val="single"/>
        </w:rPr>
        <w:t>Source</w:t>
      </w:r>
      <w:r>
        <w:rPr>
          <w:rFonts w:ascii="Arial Narrow" w:hAnsi="Arial Narrow"/>
          <w:b/>
          <w:bCs/>
          <w:sz w:val="18"/>
          <w:szCs w:val="18"/>
          <w:u w:val="single"/>
        </w:rPr>
        <w:t>:</w:t>
      </w:r>
      <w:r w:rsidRPr="00C577B3">
        <w:rPr>
          <w:rFonts w:ascii="Arial Narrow" w:hAnsi="Arial Narrow"/>
          <w:b/>
          <w:bCs/>
          <w:sz w:val="18"/>
          <w:szCs w:val="18"/>
        </w:rPr>
        <w:t xml:space="preserve"> </w:t>
      </w:r>
      <w:r>
        <w:rPr>
          <w:rFonts w:ascii="Arial Narrow" w:hAnsi="Arial Narrow"/>
          <w:sz w:val="18"/>
          <w:szCs w:val="18"/>
          <w:lang w:val="en-US"/>
        </w:rPr>
        <w:t>Pre-ESC response Table 3: from Binder 2020 p180, and De La Calle 2021 Table 4.</w:t>
      </w:r>
    </w:p>
    <w:p w14:paraId="3FD14883" w14:textId="77777777" w:rsidR="00881808" w:rsidRPr="00D61075" w:rsidRDefault="00881808" w:rsidP="00881808">
      <w:r w:rsidRPr="00D61075">
        <w:lastRenderedPageBreak/>
        <w:t xml:space="preserve">The ADAR stated that results of the test were not expected to influence the incidence or severity of preeclampsia and knowledge of test results was not expected to influence health outcomes. However, the NICE Decision Support Unit model included </w:t>
      </w:r>
      <w:r>
        <w:t xml:space="preserve">maternal and neonatal </w:t>
      </w:r>
      <w:r w:rsidRPr="00D61075">
        <w:t>long-term health outcomes, including mortality.</w:t>
      </w:r>
    </w:p>
    <w:p w14:paraId="5AD79FD5" w14:textId="77777777" w:rsidR="00881808" w:rsidRDefault="00881808" w:rsidP="00881808">
      <w:r w:rsidRPr="00D61075">
        <w:t>ESC noted the ADAR</w:t>
      </w:r>
      <w:r>
        <w:t>’s economic evaluation was</w:t>
      </w:r>
      <w:r w:rsidRPr="00D61075">
        <w:t xml:space="preserve"> a cost-comparison analysis</w:t>
      </w:r>
      <w:r>
        <w:t xml:space="preserve"> (CCA)</w:t>
      </w:r>
      <w:r w:rsidRPr="00D61075">
        <w:t xml:space="preserve"> in the form of a decision tree</w:t>
      </w:r>
      <w:r>
        <w:t xml:space="preserve">, essentially examining whether the additional cost of ratio testing was offset by cost-offsets from increased management outside hospital. ESC noted the economic analysis </w:t>
      </w:r>
      <w:r w:rsidRPr="00D61075">
        <w:t xml:space="preserve">presented intervention costs per patient (cost savings), costs for a cohort of 100 patients, and reductions in hospital admissions for monitoring for 100 patients. </w:t>
      </w:r>
      <w:r>
        <w:t>ESC noted t</w:t>
      </w:r>
      <w:r w:rsidRPr="00744778">
        <w:t xml:space="preserve">he model was based on a retrospective study that classified patients into two groups of hospitalisation risk with the comparator, versus three groups with the intervention. </w:t>
      </w:r>
      <w:r>
        <w:t>ESC considered t</w:t>
      </w:r>
      <w:r w:rsidRPr="00744778">
        <w:t>here was therefore no change in effectiveness other than different categorisation.</w:t>
      </w:r>
      <w:r>
        <w:t xml:space="preserve"> ESC noted t</w:t>
      </w:r>
      <w:r w:rsidRPr="00D61075">
        <w:t xml:space="preserve">he model resulted in a cost saving of $873 per </w:t>
      </w:r>
      <w:r>
        <w:t>patient</w:t>
      </w:r>
      <w:r w:rsidRPr="00D61075">
        <w:t xml:space="preserve"> </w:t>
      </w:r>
      <w:r>
        <w:t>($87,264 per 100 patients)</w:t>
      </w:r>
      <w:r w:rsidRPr="00D61075">
        <w:t xml:space="preserve"> and </w:t>
      </w:r>
      <w:r>
        <w:t>0.</w:t>
      </w:r>
      <w:r w:rsidRPr="00D61075">
        <w:t>26</w:t>
      </w:r>
      <w:r>
        <w:t xml:space="preserve"> (26 per 100 patients)</w:t>
      </w:r>
      <w:r w:rsidRPr="00D61075">
        <w:t xml:space="preserve"> fewer admissions to hospital per patient.</w:t>
      </w:r>
    </w:p>
    <w:p w14:paraId="1D1B8AD8" w14:textId="77777777" w:rsidR="00881808" w:rsidRDefault="00881808" w:rsidP="00881808">
      <w:r>
        <w:t xml:space="preserve">ESC’s validity testing of the model showed that ratio testing reduced the proportion of patients admitted to hospital from 49% to 23%. ESC noted that the model showed the proportion of patients with pre-term deliveries was unchanged by the intervention (29% at &lt;34 weeks, and 28% at &gt;34-&lt;37 weeks), but that under the intervention more pregnant people who progress to pre-term deliveries would be managed out of hospital (&lt;34 weeks: 12% rather than 3% of all patients; &gt;34-&lt;37 weeks: 23% rather than 12%). </w:t>
      </w:r>
      <w:r w:rsidRPr="6174517B">
        <w:rPr>
          <w:rFonts w:eastAsia="Times New Roman" w:cs="Times New Roman"/>
          <w:color w:val="000000" w:themeColor="text1"/>
          <w:lang w:eastAsia="en-AU"/>
        </w:rPr>
        <w:t xml:space="preserve">ESC </w:t>
      </w:r>
      <w:r>
        <w:rPr>
          <w:rFonts w:eastAsia="Times New Roman" w:cs="Times New Roman"/>
          <w:color w:val="000000" w:themeColor="text1"/>
          <w:lang w:eastAsia="en-AU"/>
        </w:rPr>
        <w:t xml:space="preserve">also </w:t>
      </w:r>
      <w:r w:rsidRPr="6174517B">
        <w:rPr>
          <w:rFonts w:eastAsia="Times New Roman" w:cs="Times New Roman"/>
          <w:color w:val="000000" w:themeColor="text1"/>
          <w:lang w:eastAsia="en-AU"/>
        </w:rPr>
        <w:t>considered the purpose of including the delivery outcomes in the model was unclear, as their inclusion greatly increased costs but did not change outcomes</w:t>
      </w:r>
      <w:r>
        <w:t>. ESC’s validity testing with costs of delivery removed found slight differences in the results (cost saving $880 per patient rather than $873), but it considered that this small discrepancy may be due to rounding.</w:t>
      </w:r>
    </w:p>
    <w:p w14:paraId="44AA397D" w14:textId="763E2310" w:rsidR="00881808" w:rsidRDefault="00881808" w:rsidP="00881808">
      <w:r>
        <w:t>ESC noted that t</w:t>
      </w:r>
      <w:r w:rsidRPr="00D61075">
        <w:t xml:space="preserve">he ADAR concluded efficacy was superior and safety was non-inferior, </w:t>
      </w:r>
      <w:r>
        <w:t xml:space="preserve">therefore </w:t>
      </w:r>
      <w:r w:rsidRPr="00D61075">
        <w:t xml:space="preserve">a </w:t>
      </w:r>
      <w:r>
        <w:t xml:space="preserve">cost-effectiveness analysis (CEA) or cost-utility analysis (CUA) </w:t>
      </w:r>
      <w:r w:rsidRPr="00D61075">
        <w:t xml:space="preserve">was </w:t>
      </w:r>
      <w:r>
        <w:t>appropriate</w:t>
      </w:r>
      <w:r w:rsidRPr="00D61075">
        <w:t xml:space="preserve"> according to the MSAC Guidelines</w:t>
      </w:r>
      <w:r>
        <w:t>.</w:t>
      </w:r>
      <w:r w:rsidRPr="00D61075">
        <w:t xml:space="preserve"> </w:t>
      </w:r>
      <w:r>
        <w:t>ESC also noted that the commentary had identified a CUA conducted by NICE, which demonstrated a CUA is possible for ratio testing, and reported a small gain of 0.0029 to 0.0046 quality-adjusted life years (QALYs).</w:t>
      </w:r>
      <w:r w:rsidRPr="00D61075">
        <w:t xml:space="preserve"> </w:t>
      </w:r>
      <w:r>
        <w:t>ESC considered that in principle a CEA/CUA was more appropriate than a CCA, h</w:t>
      </w:r>
      <w:r w:rsidRPr="00D61075">
        <w:t xml:space="preserve">owever </w:t>
      </w:r>
      <w:r>
        <w:t>considered</w:t>
      </w:r>
      <w:r w:rsidRPr="00D61075">
        <w:t xml:space="preserve"> that the </w:t>
      </w:r>
      <w:r>
        <w:t>CCA model</w:t>
      </w:r>
      <w:r w:rsidRPr="00D61075">
        <w:t xml:space="preserve"> results could </w:t>
      </w:r>
      <w:r>
        <w:t xml:space="preserve">easily </w:t>
      </w:r>
      <w:r w:rsidRPr="00D61075">
        <w:t>be used to calculate a cost per hospital admission</w:t>
      </w:r>
      <w:r>
        <w:t xml:space="preserve"> avoided</w:t>
      </w:r>
      <w:r w:rsidRPr="00D61075">
        <w:t>, which is an intermediate outcome.</w:t>
      </w:r>
      <w:r>
        <w:t xml:space="preserve"> ESC noted that using </w:t>
      </w:r>
      <w:r w:rsidRPr="00931657">
        <w:t>the ADAR’s</w:t>
      </w:r>
      <w:r>
        <w:t xml:space="preserve"> CCA results to construct a CEA </w:t>
      </w:r>
      <w:r w:rsidRPr="00931657">
        <w:t xml:space="preserve">gave an </w:t>
      </w:r>
      <w:r>
        <w:t>incremental cost-effectiveness ratio (</w:t>
      </w:r>
      <w:r w:rsidRPr="00931657">
        <w:t>ICER</w:t>
      </w:r>
      <w:r>
        <w:t>)</w:t>
      </w:r>
      <w:r w:rsidRPr="00931657">
        <w:t xml:space="preserve"> of </w:t>
      </w:r>
      <w:r w:rsidRPr="00394140">
        <w:t>$3,331</w:t>
      </w:r>
      <w:r>
        <w:t xml:space="preserve"> </w:t>
      </w:r>
      <w:r w:rsidRPr="00931657">
        <w:t>per hospital admission avoided</w:t>
      </w:r>
      <w:r w:rsidRPr="00C948EA">
        <w:t xml:space="preserve"> </w:t>
      </w:r>
      <w:r w:rsidRPr="00931657">
        <w:t>(without making</w:t>
      </w:r>
      <w:r>
        <w:t xml:space="preserve"> </w:t>
      </w:r>
      <w:r w:rsidRPr="00931657">
        <w:t>other adjustments)</w:t>
      </w:r>
      <w:r>
        <w:t xml:space="preserve"> (</w:t>
      </w:r>
      <w:r>
        <w:fldChar w:fldCharType="begin"/>
      </w:r>
      <w:r>
        <w:instrText xml:space="preserve"> REF _Ref69726284 \h </w:instrText>
      </w:r>
      <w:r>
        <w:fldChar w:fldCharType="separate"/>
      </w:r>
      <w:r w:rsidR="009D7CE9" w:rsidRPr="00CE28E3">
        <w:t>Table</w:t>
      </w:r>
      <w:r w:rsidR="009D7CE9">
        <w:t> </w:t>
      </w:r>
      <w:r w:rsidR="009D7CE9">
        <w:rPr>
          <w:noProof/>
        </w:rPr>
        <w:t>9</w:t>
      </w:r>
      <w:r>
        <w:fldChar w:fldCharType="end"/>
      </w:r>
      <w:r>
        <w:t>). ESC recalled MSAC’s general preference for a CUA over a CEA, and considered that MSAC will need to consider whether a CEA with ICER expressed in terms of cost per hospitalisation averted was sufficiently informative.</w:t>
      </w:r>
    </w:p>
    <w:p w14:paraId="516C5304" w14:textId="4775D694" w:rsidR="00881808" w:rsidRPr="00D61075" w:rsidRDefault="00881808" w:rsidP="00881808">
      <w:r>
        <w:t>ESC considered that the main driver of the economic model was the reduction of hospital inpatient management (</w:t>
      </w:r>
      <w:r w:rsidR="009C163C">
        <w:fldChar w:fldCharType="begin"/>
      </w:r>
      <w:r w:rsidR="009C163C">
        <w:instrText xml:space="preserve"> REF _Ref148355052 </w:instrText>
      </w:r>
      <w:r w:rsidR="009C163C">
        <w:fldChar w:fldCharType="separate"/>
      </w:r>
      <w:r w:rsidR="009D7CE9" w:rsidRPr="00CE28E3">
        <w:t>Table</w:t>
      </w:r>
      <w:r w:rsidR="009D7CE9">
        <w:t> </w:t>
      </w:r>
      <w:r w:rsidR="009D7CE9">
        <w:rPr>
          <w:noProof/>
        </w:rPr>
        <w:t>10</w:t>
      </w:r>
      <w:r w:rsidR="009C163C">
        <w:rPr>
          <w:noProof/>
        </w:rPr>
        <w:fldChar w:fldCharType="end"/>
      </w:r>
      <w:r>
        <w:t>). ESC noted the base case had used the reduction in hospitalisation from the ROPE study, however ESC considered that whether the evidence supported a reduction was uncertain as some studies had showed ratio testing resulted in a smaller reduction or an increase in hospitalisations. ESC considered that it was uncertain whether the evidence of reduced hospital inpatient management was sufficiently robust and the choice of hospitalisation rate sufficiently justified, and that MSAC consideration would be supported by further justification of the variability in model inputs, such as sensitivity analyses of other hospitalisation rates.</w:t>
      </w:r>
    </w:p>
    <w:p w14:paraId="43B99BCA" w14:textId="77777777" w:rsidR="00881808" w:rsidRPr="00FE62E0" w:rsidRDefault="00881808" w:rsidP="00881808">
      <w:r>
        <w:t xml:space="preserve">ESC considered </w:t>
      </w:r>
      <w:r w:rsidRPr="00FE62E0">
        <w:t xml:space="preserve">the model may have underestimated the hospitalisation costs associated with monitoring to some degree, </w:t>
      </w:r>
      <w:r>
        <w:t xml:space="preserve">although estimated </w:t>
      </w:r>
      <w:r w:rsidRPr="00FE62E0">
        <w:t xml:space="preserve">the magnitude of this potential under estimation </w:t>
      </w:r>
      <w:r>
        <w:t>was</w:t>
      </w:r>
      <w:r w:rsidRPr="00FE62E0">
        <w:t xml:space="preserve"> low.</w:t>
      </w:r>
    </w:p>
    <w:p w14:paraId="429A7E55" w14:textId="77777777" w:rsidR="00881808" w:rsidRDefault="00881808" w:rsidP="00881808">
      <w:pPr>
        <w:rPr>
          <w:rFonts w:eastAsia="Times New Roman" w:cs="Times New Roman"/>
          <w:color w:val="000000" w:themeColor="text1"/>
          <w:lang w:eastAsia="en-AU"/>
        </w:rPr>
      </w:pPr>
      <w:r w:rsidRPr="6174517B">
        <w:rPr>
          <w:lang w:val="en-US"/>
        </w:rPr>
        <w:lastRenderedPageBreak/>
        <w:t xml:space="preserve">ESC </w:t>
      </w:r>
      <w:r>
        <w:rPr>
          <w:lang w:val="en-US"/>
        </w:rPr>
        <w:t>considered</w:t>
      </w:r>
      <w:r w:rsidRPr="6174517B">
        <w:rPr>
          <w:lang w:val="en-US"/>
        </w:rPr>
        <w:t xml:space="preserve"> </w:t>
      </w:r>
      <w:r>
        <w:t>that because maternal and neonatal long-term health outcomes had been omitted from the model, the real health benefit of testing was unclear. ESC noted that the NICE model had included some changes in management and maternal and fetal outcomes, and the commentary stated that if a QALY gain equivalent to that reported in the NICE model was assumed here, then the ICER became dominant. ESC considered that as the effect of ratio testing had not been established, intermediate outcomes were appropriate for the economic modelling. ESC further considered that the simplicity of the model was appropriate given the uncertainty that would arise with use of long-term outcomes.</w:t>
      </w:r>
      <w:r w:rsidRPr="6174517B">
        <w:rPr>
          <w:rFonts w:eastAsia="Times New Roman" w:cs="Times New Roman"/>
          <w:color w:val="000000" w:themeColor="text1"/>
          <w:lang w:eastAsia="en-AU"/>
        </w:rPr>
        <w:t xml:space="preserve"> </w:t>
      </w:r>
    </w:p>
    <w:p w14:paraId="3BED5693" w14:textId="349F5221" w:rsidR="00881808" w:rsidRPr="00D61075" w:rsidRDefault="00881808" w:rsidP="00881808">
      <w:r>
        <w:t xml:space="preserve">ESC noted the ADAR had assumed 1.7 tests per patient, however ESC considered </w:t>
      </w:r>
      <w:r w:rsidRPr="00931657">
        <w:rPr>
          <w:rFonts w:eastAsia="Times New Roman" w:cs="Times New Roman"/>
          <w:color w:val="000000"/>
          <w:szCs w:val="20"/>
          <w:lang w:eastAsia="en-AU"/>
        </w:rPr>
        <w:t xml:space="preserve">the basis for this figure was not </w:t>
      </w:r>
      <w:r>
        <w:rPr>
          <w:rFonts w:eastAsia="Times New Roman" w:cs="Times New Roman"/>
          <w:color w:val="000000"/>
          <w:szCs w:val="20"/>
          <w:lang w:eastAsia="en-AU"/>
        </w:rPr>
        <w:t>clarified</w:t>
      </w:r>
      <w:r w:rsidRPr="00931657">
        <w:rPr>
          <w:rFonts w:eastAsia="Times New Roman" w:cs="Times New Roman"/>
          <w:color w:val="000000"/>
          <w:szCs w:val="20"/>
          <w:lang w:eastAsia="en-AU"/>
        </w:rPr>
        <w:t xml:space="preserve"> and it may be highly unrealistic.</w:t>
      </w:r>
      <w:r>
        <w:rPr>
          <w:rFonts w:eastAsia="Times New Roman" w:cs="Times New Roman"/>
          <w:color w:val="000000"/>
          <w:szCs w:val="20"/>
          <w:lang w:eastAsia="en-AU"/>
        </w:rPr>
        <w:t xml:space="preserve"> ESC noted the cost saving per patient increased to $915 if only 1 test per patient was applied, and considered this was marginal. In conjunction with the ADAR’s economic model needing 17 tests per person before the cost-saving became a cost, ESC considered that retesting rate was not a key driver of the economic model, although may have financial implications. However, ESC considered that a key group for which re-testing may be important is those identified as being at moderate risk, and that data presented in the pre-ESC response demonstrated that these patients may potentially move risk groups after re-testing (</w:t>
      </w:r>
      <w:r w:rsidR="009C163C">
        <w:fldChar w:fldCharType="begin"/>
      </w:r>
      <w:r w:rsidR="009C163C">
        <w:instrText xml:space="preserve"> REF _Ref148088629 </w:instrText>
      </w:r>
      <w:r w:rsidR="009C163C">
        <w:fldChar w:fldCharType="separate"/>
      </w:r>
      <w:r w:rsidR="009D7CE9">
        <w:t xml:space="preserve">Table </w:t>
      </w:r>
      <w:r w:rsidR="009D7CE9">
        <w:rPr>
          <w:noProof/>
        </w:rPr>
        <w:t>14</w:t>
      </w:r>
      <w:r w:rsidR="009C163C">
        <w:rPr>
          <w:noProof/>
        </w:rPr>
        <w:fldChar w:fldCharType="end"/>
      </w:r>
      <w:r>
        <w:rPr>
          <w:rFonts w:eastAsia="Times New Roman" w:cs="Times New Roman"/>
          <w:color w:val="000000"/>
          <w:szCs w:val="20"/>
          <w:lang w:eastAsia="en-AU"/>
        </w:rPr>
        <w:t>). ESC considered that a reclassification of risk level may therefore change downstream management, but in an unknown direction. ESC raised whether the economic model should examine re-testing by risk stratification, and considered such analyses may be informative for MSAC.</w:t>
      </w:r>
    </w:p>
    <w:p w14:paraId="1B1F1B1F" w14:textId="77777777" w:rsidR="00881808" w:rsidRDefault="00881808" w:rsidP="00881808">
      <w:r>
        <w:t>ESC noted utilisation was estimated using an epidemiological approach, which contrasted with the market share approach the same applicant had used in concurrent application 1705.</w:t>
      </w:r>
    </w:p>
    <w:p w14:paraId="13604650" w14:textId="77777777" w:rsidR="00881808" w:rsidRDefault="00881808" w:rsidP="00881808">
      <w:r w:rsidRPr="00D61075">
        <w:t xml:space="preserve">ESC noted that the ADAR </w:t>
      </w:r>
      <w:r>
        <w:t>found</w:t>
      </w:r>
      <w:r w:rsidRPr="00D61075">
        <w:t xml:space="preserve"> the introduction of the sFlt-1:PlGF ratio test would result in a net cost saving for the Commonwealth of approximately $29 million per year over the next </w:t>
      </w:r>
      <w:r>
        <w:t>six</w:t>
      </w:r>
      <w:r w:rsidRPr="00D61075">
        <w:t> calendar years. These projected net cost savings were a result of the anticipated costs to the MBS resulting from funding the sFlt-1:PlGF ratio test</w:t>
      </w:r>
      <w:r>
        <w:t xml:space="preserve"> (approximately $2.7 million per year)</w:t>
      </w:r>
      <w:r w:rsidRPr="00D61075">
        <w:t xml:space="preserve">, </w:t>
      </w:r>
      <w:r>
        <w:t>being</w:t>
      </w:r>
      <w:r w:rsidRPr="00D61075">
        <w:t xml:space="preserve"> more than offset by the anticipated reduction in hospital admissions </w:t>
      </w:r>
      <w:r w:rsidRPr="00B46CDD">
        <w:t>(from 49.0% to 22.9%</w:t>
      </w:r>
      <w:r>
        <w:t xml:space="preserve"> of individuals; cost offset approximately -$32 million per year</w:t>
      </w:r>
      <w:r w:rsidRPr="00B46CDD">
        <w:t>).</w:t>
      </w:r>
      <w:r w:rsidRPr="00D61075">
        <w:t xml:space="preserve"> However,</w:t>
      </w:r>
      <w:r>
        <w:t xml:space="preserve"> given the uncertainty in the evidence for the difference in hospital admission rate,</w:t>
      </w:r>
      <w:r w:rsidRPr="00D61075">
        <w:t xml:space="preserve"> </w:t>
      </w:r>
      <w:r>
        <w:t>ESC considered</w:t>
      </w:r>
      <w:r w:rsidRPr="00D61075">
        <w:t xml:space="preserve"> </w:t>
      </w:r>
      <w:r>
        <w:t>the net</w:t>
      </w:r>
      <w:r w:rsidRPr="00D61075">
        <w:t xml:space="preserve"> cost saving may </w:t>
      </w:r>
      <w:r>
        <w:t xml:space="preserve">have </w:t>
      </w:r>
      <w:r w:rsidRPr="00D61075">
        <w:t>be</w:t>
      </w:r>
      <w:r>
        <w:t>en</w:t>
      </w:r>
      <w:r w:rsidRPr="00D61075">
        <w:t xml:space="preserve"> overestimated.</w:t>
      </w:r>
    </w:p>
    <w:p w14:paraId="6F761A91" w14:textId="77777777" w:rsidR="00881808" w:rsidRDefault="00881808" w:rsidP="00881808">
      <w:r w:rsidRPr="00D61075" w:rsidDel="002B0EA5">
        <w:t xml:space="preserve">ESC noted the applicant claimed </w:t>
      </w:r>
      <w:r w:rsidRPr="00D61075">
        <w:t xml:space="preserve">sFlt-1:PlGF </w:t>
      </w:r>
      <w:r>
        <w:t>ratio testing would</w:t>
      </w:r>
      <w:r w:rsidRPr="00D61075" w:rsidDel="002B0EA5">
        <w:t xml:space="preserve"> also </w:t>
      </w:r>
      <w:r>
        <w:t>provide ‘</w:t>
      </w:r>
      <w:r w:rsidRPr="00D61075" w:rsidDel="002B0EA5">
        <w:t>value of knowing</w:t>
      </w:r>
      <w:r>
        <w:t>’ benefit for patients</w:t>
      </w:r>
      <w:r w:rsidRPr="00D61075" w:rsidDel="002B0EA5">
        <w:t xml:space="preserve">. However, ESC </w:t>
      </w:r>
      <w:r>
        <w:t>considered</w:t>
      </w:r>
      <w:r w:rsidRPr="00D61075" w:rsidDel="002B0EA5">
        <w:t xml:space="preserve"> that </w:t>
      </w:r>
      <w:r>
        <w:t xml:space="preserve">providing results from </w:t>
      </w:r>
      <w:r w:rsidRPr="00D61075" w:rsidDel="002B0EA5">
        <w:t xml:space="preserve">a test of unclear validity would </w:t>
      </w:r>
      <w:r>
        <w:t xml:space="preserve">more likely increase than </w:t>
      </w:r>
      <w:r w:rsidRPr="00D61075" w:rsidDel="002B0EA5">
        <w:t>reduce anxiety.</w:t>
      </w:r>
      <w:r>
        <w:t xml:space="preserve"> ESC noted that evidence had not been provided to support the claim of value of knowing, which the MSAC Guidelines state is required.</w:t>
      </w:r>
    </w:p>
    <w:p w14:paraId="7F3FA8D3" w14:textId="77777777" w:rsidR="00881808" w:rsidRDefault="00881808" w:rsidP="00881808">
      <w:pPr>
        <w:pStyle w:val="Heading2"/>
        <w:numPr>
          <w:ilvl w:val="0"/>
          <w:numId w:val="0"/>
        </w:numPr>
      </w:pPr>
      <w:r>
        <w:t>17.</w:t>
      </w:r>
      <w:r>
        <w:tab/>
        <w:t>Applicant comments on MSAC’s Public Summary Document</w:t>
      </w:r>
    </w:p>
    <w:p w14:paraId="10E182FA" w14:textId="77777777" w:rsidR="007A75AE" w:rsidRDefault="007A75AE" w:rsidP="00881808">
      <w:pPr>
        <w:pStyle w:val="Heading2"/>
        <w:numPr>
          <w:ilvl w:val="0"/>
          <w:numId w:val="0"/>
        </w:numPr>
        <w:rPr>
          <w:rFonts w:ascii="Franklin Gothic Book" w:eastAsiaTheme="minorHAnsi" w:hAnsi="Franklin Gothic Book" w:cstheme="minorBidi"/>
          <w:color w:val="auto"/>
          <w:sz w:val="22"/>
          <w:szCs w:val="24"/>
        </w:rPr>
      </w:pPr>
      <w:r w:rsidRPr="007A75AE">
        <w:rPr>
          <w:rFonts w:ascii="Franklin Gothic Book" w:eastAsiaTheme="minorHAnsi" w:hAnsi="Franklin Gothic Book" w:cstheme="minorBidi"/>
          <w:color w:val="auto"/>
          <w:sz w:val="22"/>
          <w:szCs w:val="24"/>
        </w:rPr>
        <w:t xml:space="preserve">Roche wishes to thank the Medical Services Advisory Committee (MSAC) for reviewing and considering our application. While the outcome was disappointing, we respectfully accept the committee's findings. </w:t>
      </w:r>
    </w:p>
    <w:p w14:paraId="59C2F257" w14:textId="0A08DBB6" w:rsidR="00881808" w:rsidRDefault="00881808" w:rsidP="00881808">
      <w:pPr>
        <w:pStyle w:val="Heading2"/>
        <w:numPr>
          <w:ilvl w:val="0"/>
          <w:numId w:val="0"/>
        </w:numPr>
      </w:pPr>
      <w:r>
        <w:t>18.</w:t>
      </w:r>
      <w:r>
        <w:tab/>
        <w:t>Further information on MSAC</w:t>
      </w:r>
    </w:p>
    <w:p w14:paraId="5F4E569A" w14:textId="0DC8C536" w:rsidR="00881808" w:rsidRPr="00881808" w:rsidRDefault="00881808" w:rsidP="00881808">
      <w:pPr>
        <w:pStyle w:val="BodyText"/>
        <w:rPr>
          <w:b/>
          <w:bCs/>
          <w:i/>
          <w:iCs/>
        </w:rPr>
      </w:pPr>
      <w:r w:rsidRPr="00F309FA">
        <w:rPr>
          <w:bCs/>
          <w:iCs/>
        </w:rPr>
        <w:t xml:space="preserve">MSAC Terms of Reference and other information are available on the MSAC Website: </w:t>
      </w:r>
      <w:hyperlink r:id="rId15" w:tooltip="Link to the MSAC website" w:history="1">
        <w:r w:rsidRPr="00F309FA">
          <w:rPr>
            <w:rStyle w:val="Hyperlink"/>
            <w:bCs/>
            <w:iCs/>
          </w:rPr>
          <w:t>visit the MSAC website</w:t>
        </w:r>
      </w:hyperlink>
    </w:p>
    <w:sectPr w:rsidR="00881808" w:rsidRPr="00881808" w:rsidSect="00AC617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0AE4" w14:textId="77777777" w:rsidR="00AD22B1" w:rsidRDefault="00AD22B1" w:rsidP="00B62DF2">
      <w:pPr>
        <w:spacing w:after="0" w:line="240" w:lineRule="auto"/>
      </w:pPr>
      <w:r>
        <w:separator/>
      </w:r>
    </w:p>
  </w:endnote>
  <w:endnote w:type="continuationSeparator" w:id="0">
    <w:p w14:paraId="71F2616A" w14:textId="77777777" w:rsidR="00AD22B1" w:rsidRDefault="00AD22B1" w:rsidP="00B62DF2">
      <w:pPr>
        <w:spacing w:after="0" w:line="240" w:lineRule="auto"/>
      </w:pPr>
      <w:r>
        <w:continuationSeparator/>
      </w:r>
    </w:p>
  </w:endnote>
  <w:endnote w:type="continuationNotice" w:id="1">
    <w:p w14:paraId="05A4A04D" w14:textId="77777777" w:rsidR="00AD22B1" w:rsidRDefault="00AD22B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33AC9350" w:rsidR="005947B5" w:rsidRPr="008C471F" w:rsidRDefault="005947B5" w:rsidP="008C471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055917"/>
      <w:docPartObj>
        <w:docPartGallery w:val="Page Numbers (Bottom of Page)"/>
        <w:docPartUnique/>
      </w:docPartObj>
    </w:sdtPr>
    <w:sdtEndPr>
      <w:rPr>
        <w:noProof/>
      </w:rPr>
    </w:sdtEndPr>
    <w:sdtContent>
      <w:p w14:paraId="7EFE35F0" w14:textId="294F0204" w:rsidR="008C471F" w:rsidRDefault="008C47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0AB0" w14:textId="77777777" w:rsidR="00AD22B1" w:rsidRDefault="00AD22B1" w:rsidP="00B62DF2">
      <w:pPr>
        <w:spacing w:after="0" w:line="240" w:lineRule="auto"/>
      </w:pPr>
      <w:r>
        <w:separator/>
      </w:r>
    </w:p>
  </w:footnote>
  <w:footnote w:type="continuationSeparator" w:id="0">
    <w:p w14:paraId="112089FD" w14:textId="77777777" w:rsidR="00AD22B1" w:rsidRDefault="00AD22B1" w:rsidP="00B62DF2">
      <w:pPr>
        <w:spacing w:after="0" w:line="240" w:lineRule="auto"/>
      </w:pPr>
      <w:r>
        <w:continuationSeparator/>
      </w:r>
    </w:p>
  </w:footnote>
  <w:footnote w:type="continuationNotice" w:id="1">
    <w:p w14:paraId="2F1E3A65" w14:textId="77777777" w:rsidR="00AD22B1" w:rsidRDefault="00AD22B1">
      <w:pPr>
        <w:spacing w:before="0" w:after="0" w:line="240" w:lineRule="auto"/>
      </w:pPr>
    </w:p>
  </w:footnote>
  <w:footnote w:id="2">
    <w:p w14:paraId="57B1A91E" w14:textId="2191701A" w:rsidR="007204C7" w:rsidRPr="0064109D" w:rsidRDefault="007204C7" w:rsidP="007204C7">
      <w:pPr>
        <w:pStyle w:val="FootnoteText"/>
        <w:rPr>
          <w:lang w:val="en-GB"/>
        </w:rPr>
      </w:pPr>
      <w:r>
        <w:rPr>
          <w:rStyle w:val="FootnoteReference"/>
        </w:rPr>
        <w:footnoteRef/>
      </w:r>
      <w:r w:rsidRPr="00721CA5">
        <w:rPr>
          <w:lang w:val="de-DE"/>
        </w:rPr>
        <w:t xml:space="preserve"> Klein E, Schlembach D, et al. </w:t>
      </w:r>
      <w:r>
        <w:t xml:space="preserve">(2016). </w:t>
      </w:r>
      <w:r w:rsidRPr="00800C79">
        <w:t>"Influence of the Sflt-1/</w:t>
      </w:r>
      <w:proofErr w:type="spellStart"/>
      <w:r w:rsidRPr="00800C79">
        <w:t>Plgf</w:t>
      </w:r>
      <w:proofErr w:type="spellEnd"/>
      <w:r w:rsidRPr="00800C79">
        <w:t xml:space="preserve"> Ratio on Clinical Decision-Making in Women with Suspected Preeclampsia." </w:t>
      </w:r>
      <w:proofErr w:type="spellStart"/>
      <w:r w:rsidRPr="00800C79">
        <w:t>PloS</w:t>
      </w:r>
      <w:proofErr w:type="spellEnd"/>
      <w:r w:rsidRPr="00800C79">
        <w:t xml:space="preserve"> one 11, no. 5 (2016): e0156013.</w:t>
      </w:r>
    </w:p>
  </w:footnote>
  <w:footnote w:id="3">
    <w:p w14:paraId="2988FAA1" w14:textId="4EA2829C" w:rsidR="00851D61" w:rsidRPr="0064109D" w:rsidRDefault="00851D61">
      <w:pPr>
        <w:pStyle w:val="FootnoteText"/>
        <w:rPr>
          <w:lang w:val="en-GB"/>
        </w:rPr>
      </w:pPr>
      <w:r>
        <w:rPr>
          <w:rStyle w:val="FootnoteReference"/>
        </w:rPr>
        <w:footnoteRef/>
      </w:r>
      <w:r>
        <w:t xml:space="preserve"> </w:t>
      </w:r>
      <w:r w:rsidR="00220C72" w:rsidRPr="00220C72">
        <w:t>"</w:t>
      </w:r>
      <w:proofErr w:type="spellStart"/>
      <w:r w:rsidR="00220C72" w:rsidRPr="00220C72">
        <w:t>Plgf</w:t>
      </w:r>
      <w:proofErr w:type="spellEnd"/>
      <w:r w:rsidR="00220C72" w:rsidRPr="00220C72">
        <w:t>-Based Testing to Help Diagnose Suspected Preterm Preeclampsia (Pdf)." 2022, accessed 2 August, 2023, https://www.nice.org.uk/guidance/dg49/resources/plgfbased-testing-to-help-diagnose-suspected-preterm-preeclampsia-pdf-1053819586501.</w:t>
      </w:r>
    </w:p>
  </w:footnote>
  <w:footnote w:id="4">
    <w:p w14:paraId="193C6879" w14:textId="1FB0B433" w:rsidR="004737BA" w:rsidRPr="0064109D" w:rsidRDefault="004737BA">
      <w:pPr>
        <w:pStyle w:val="FootnoteText"/>
        <w:rPr>
          <w:lang w:val="en-GB"/>
        </w:rPr>
      </w:pPr>
      <w:r>
        <w:rPr>
          <w:rStyle w:val="FootnoteReference"/>
        </w:rPr>
        <w:footnoteRef/>
      </w:r>
      <w:r>
        <w:t xml:space="preserve"> </w:t>
      </w:r>
      <w:r w:rsidR="00760DB5" w:rsidRPr="00760DB5">
        <w:t>Magee, LA, Brown, MA, et al. (2022). "The 2021 International Society for the Study of Hypertension in Pregnancy classification, diagnosis &amp; management recommendations for international practice." Pregnancy Hypertension 27: 148-169.</w:t>
      </w:r>
    </w:p>
  </w:footnote>
  <w:footnote w:id="5">
    <w:p w14:paraId="48D6B194" w14:textId="4B3C44E0" w:rsidR="006B4BB0" w:rsidRPr="0064109D" w:rsidRDefault="006B4BB0" w:rsidP="006B4BB0">
      <w:pPr>
        <w:pStyle w:val="FootnoteText"/>
        <w:rPr>
          <w:lang w:val="en-GB"/>
        </w:rPr>
      </w:pPr>
      <w:r>
        <w:rPr>
          <w:rStyle w:val="FootnoteReference"/>
        </w:rPr>
        <w:footnoteRef/>
      </w:r>
      <w:r>
        <w:t xml:space="preserve"> </w:t>
      </w:r>
      <w:proofErr w:type="spellStart"/>
      <w:r w:rsidRPr="00DD43FA">
        <w:t>Cerdeira</w:t>
      </w:r>
      <w:proofErr w:type="spellEnd"/>
      <w:r w:rsidRPr="00DD43FA">
        <w:t xml:space="preserve"> AS, O'Sullivan J, et al. (2019). "Randomized Interventional Study on Prediction of Preeclampsia/Eclampsia in Women with Suspected Preeclampsia: INSPIRE." Hypertension 74(4): 983-990.</w:t>
      </w:r>
    </w:p>
  </w:footnote>
  <w:footnote w:id="6">
    <w:p w14:paraId="55D5D710" w14:textId="60C0411F" w:rsidR="00800C79" w:rsidRPr="0064109D" w:rsidRDefault="00800C79">
      <w:pPr>
        <w:pStyle w:val="FootnoteText"/>
        <w:rPr>
          <w:lang w:val="fr-FR"/>
        </w:rPr>
      </w:pPr>
      <w:r>
        <w:rPr>
          <w:rStyle w:val="FootnoteReference"/>
        </w:rPr>
        <w:footnoteRef/>
      </w:r>
      <w:r>
        <w:t xml:space="preserve"> </w:t>
      </w:r>
      <w:r w:rsidRPr="00800C79">
        <w:t>Suresh S, Mueller</w:t>
      </w:r>
      <w:r w:rsidR="00590A05">
        <w:t xml:space="preserve"> A</w:t>
      </w:r>
      <w:r w:rsidRPr="00800C79">
        <w:t xml:space="preserve">, </w:t>
      </w:r>
      <w:r w:rsidR="00590A05">
        <w:t>et al</w:t>
      </w:r>
      <w:r w:rsidRPr="00800C79">
        <w:t>.</w:t>
      </w:r>
      <w:r w:rsidR="00590A05">
        <w:t xml:space="preserve"> (2020).</w:t>
      </w:r>
      <w:r w:rsidRPr="00800C79">
        <w:t xml:space="preserve"> "Evaluation of Angiogenic Factors in the Decision to Admit Women with Suspected Preeclampsia." </w:t>
      </w:r>
      <w:proofErr w:type="spellStart"/>
      <w:r w:rsidRPr="0064109D">
        <w:rPr>
          <w:lang w:val="fr-FR"/>
        </w:rPr>
        <w:t>Pregnancy</w:t>
      </w:r>
      <w:proofErr w:type="spellEnd"/>
      <w:r w:rsidRPr="0064109D">
        <w:rPr>
          <w:lang w:val="fr-FR"/>
        </w:rPr>
        <w:t xml:space="preserve"> Hypertension 21: 124-31. https://doi.org/https://doi.org/10.1016/j.preghy.2020.05.013.</w:t>
      </w:r>
    </w:p>
  </w:footnote>
  <w:footnote w:id="7">
    <w:p w14:paraId="20E60CA9" w14:textId="77777777" w:rsidR="00881808" w:rsidRDefault="00881808" w:rsidP="00881808">
      <w:pPr>
        <w:pStyle w:val="FootnoteText"/>
      </w:pPr>
      <w:r>
        <w:rPr>
          <w:rStyle w:val="FootnoteReference"/>
        </w:rPr>
        <w:footnoteRef/>
      </w:r>
      <w:r>
        <w:t xml:space="preserve"> </w:t>
      </w:r>
      <w:hyperlink r:id="rId1" w:history="1">
        <w:r w:rsidRPr="00D61075">
          <w:rPr>
            <w:rStyle w:val="Hyperlink"/>
          </w:rPr>
          <w:t>MSAC Application 1705</w:t>
        </w:r>
      </w:hyperlink>
      <w:r>
        <w:t xml:space="preserve"> – </w:t>
      </w:r>
      <w:r w:rsidRPr="00D61075">
        <w:t>Structured prenatal risk assessment for preterm preeclampsia</w:t>
      </w:r>
      <w:r>
        <w:t>.</w:t>
      </w:r>
    </w:p>
  </w:footnote>
  <w:footnote w:id="8">
    <w:p w14:paraId="34807D19" w14:textId="77777777" w:rsidR="00881808" w:rsidRPr="0064109D" w:rsidRDefault="00881808" w:rsidP="00881808">
      <w:pPr>
        <w:pStyle w:val="FootnoteText"/>
        <w:rPr>
          <w:lang w:val="en-GB"/>
        </w:rPr>
      </w:pPr>
      <w:r>
        <w:rPr>
          <w:rStyle w:val="FootnoteReference"/>
        </w:rPr>
        <w:footnoteRef/>
      </w:r>
      <w:r>
        <w:t xml:space="preserve"> </w:t>
      </w:r>
      <w:r w:rsidRPr="00BD7900">
        <w:t xml:space="preserve">Klein </w:t>
      </w:r>
      <w:r>
        <w:t>E</w:t>
      </w:r>
      <w:r w:rsidRPr="00BD7900">
        <w:t xml:space="preserve">, et al. </w:t>
      </w:r>
      <w:r>
        <w:t xml:space="preserve">(2016). </w:t>
      </w:r>
      <w:r w:rsidRPr="00BD7900">
        <w:t xml:space="preserve">Influence of the </w:t>
      </w:r>
      <w:r>
        <w:t>sFl</w:t>
      </w:r>
      <w:r w:rsidRPr="00BD7900">
        <w:t>t-1/</w:t>
      </w:r>
      <w:proofErr w:type="spellStart"/>
      <w:r w:rsidRPr="00BD7900">
        <w:t>Pl</w:t>
      </w:r>
      <w:r>
        <w:t>GF</w:t>
      </w:r>
      <w:proofErr w:type="spellEnd"/>
      <w:r w:rsidRPr="00BD7900">
        <w:t xml:space="preserve"> Ratio on Clinical Decision-Making in Women with Suspected Preeclampsia</w:t>
      </w:r>
      <w:r>
        <w:t>,</w:t>
      </w:r>
      <w:r w:rsidRPr="00BD7900">
        <w:t xml:space="preserve"> </w:t>
      </w:r>
      <w:proofErr w:type="spellStart"/>
      <w:r w:rsidRPr="00836212">
        <w:rPr>
          <w:i/>
          <w:iCs/>
        </w:rPr>
        <w:t>PloS</w:t>
      </w:r>
      <w:proofErr w:type="spellEnd"/>
      <w:r w:rsidRPr="00836212">
        <w:rPr>
          <w:i/>
          <w:iCs/>
        </w:rPr>
        <w:t xml:space="preserve"> one</w:t>
      </w:r>
      <w:r>
        <w:t>:</w:t>
      </w:r>
      <w:r w:rsidRPr="00BD7900">
        <w:t xml:space="preserve"> 11</w:t>
      </w:r>
      <w:r>
        <w:t>(5</w:t>
      </w:r>
      <w:r w:rsidRPr="00BD7900">
        <w:t>): e0156013.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45488D"/>
    <w:multiLevelType w:val="hybridMultilevel"/>
    <w:tmpl w:val="020E1A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3B2DAA"/>
    <w:multiLevelType w:val="hybridMultilevel"/>
    <w:tmpl w:val="3E1C08EC"/>
    <w:lvl w:ilvl="0" w:tplc="DE9ED9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F51FE"/>
    <w:multiLevelType w:val="hybridMultilevel"/>
    <w:tmpl w:val="68DAE8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84DF5"/>
    <w:multiLevelType w:val="hybridMultilevel"/>
    <w:tmpl w:val="E56AAEA0"/>
    <w:lvl w:ilvl="0" w:tplc="B3DA64BC">
      <w:start w:val="1"/>
      <w:numFmt w:val="lowerLetter"/>
      <w:lvlText w:val="%1)"/>
      <w:lvlJc w:val="left"/>
      <w:pPr>
        <w:ind w:left="720" w:hanging="360"/>
      </w:pPr>
    </w:lvl>
    <w:lvl w:ilvl="1" w:tplc="1BFA92E2">
      <w:start w:val="1"/>
      <w:numFmt w:val="lowerLetter"/>
      <w:lvlText w:val="%2)"/>
      <w:lvlJc w:val="left"/>
      <w:pPr>
        <w:ind w:left="720" w:hanging="360"/>
      </w:pPr>
    </w:lvl>
    <w:lvl w:ilvl="2" w:tplc="8DD6BC66">
      <w:start w:val="1"/>
      <w:numFmt w:val="lowerLetter"/>
      <w:lvlText w:val="%3)"/>
      <w:lvlJc w:val="left"/>
      <w:pPr>
        <w:ind w:left="720" w:hanging="360"/>
      </w:pPr>
    </w:lvl>
    <w:lvl w:ilvl="3" w:tplc="19DEC5D2">
      <w:start w:val="1"/>
      <w:numFmt w:val="lowerLetter"/>
      <w:lvlText w:val="%4)"/>
      <w:lvlJc w:val="left"/>
      <w:pPr>
        <w:ind w:left="720" w:hanging="360"/>
      </w:pPr>
    </w:lvl>
    <w:lvl w:ilvl="4" w:tplc="9ECC6610">
      <w:start w:val="1"/>
      <w:numFmt w:val="lowerLetter"/>
      <w:lvlText w:val="%5)"/>
      <w:lvlJc w:val="left"/>
      <w:pPr>
        <w:ind w:left="720" w:hanging="360"/>
      </w:pPr>
    </w:lvl>
    <w:lvl w:ilvl="5" w:tplc="D06420EC">
      <w:start w:val="1"/>
      <w:numFmt w:val="lowerLetter"/>
      <w:lvlText w:val="%6)"/>
      <w:lvlJc w:val="left"/>
      <w:pPr>
        <w:ind w:left="720" w:hanging="360"/>
      </w:pPr>
    </w:lvl>
    <w:lvl w:ilvl="6" w:tplc="6A524302">
      <w:start w:val="1"/>
      <w:numFmt w:val="lowerLetter"/>
      <w:lvlText w:val="%7)"/>
      <w:lvlJc w:val="left"/>
      <w:pPr>
        <w:ind w:left="720" w:hanging="360"/>
      </w:pPr>
    </w:lvl>
    <w:lvl w:ilvl="7" w:tplc="04883A04">
      <w:start w:val="1"/>
      <w:numFmt w:val="lowerLetter"/>
      <w:lvlText w:val="%8)"/>
      <w:lvlJc w:val="left"/>
      <w:pPr>
        <w:ind w:left="720" w:hanging="360"/>
      </w:pPr>
    </w:lvl>
    <w:lvl w:ilvl="8" w:tplc="09EC10D0">
      <w:start w:val="1"/>
      <w:numFmt w:val="lowerLetter"/>
      <w:lvlText w:val="%9)"/>
      <w:lvlJc w:val="left"/>
      <w:pPr>
        <w:ind w:left="720" w:hanging="360"/>
      </w:pPr>
    </w:lvl>
  </w:abstractNum>
  <w:abstractNum w:abstractNumId="6" w15:restartNumberingAfterBreak="0">
    <w:nsid w:val="22E678E0"/>
    <w:multiLevelType w:val="hybridMultilevel"/>
    <w:tmpl w:val="E4C27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8" w15:restartNumberingAfterBreak="0">
    <w:nsid w:val="2483655B"/>
    <w:multiLevelType w:val="hybridMultilevel"/>
    <w:tmpl w:val="5A166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BED5D83"/>
    <w:multiLevelType w:val="hybridMultilevel"/>
    <w:tmpl w:val="623AB768"/>
    <w:lvl w:ilvl="0" w:tplc="6D32A8DC">
      <w:start w:val="1"/>
      <w:numFmt w:val="decimal"/>
      <w:pStyle w:val="Heading2execsummary"/>
      <w:lvlText w:val="%1."/>
      <w:lvlJc w:val="left"/>
      <w:pPr>
        <w:ind w:left="737" w:hanging="73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numFmt w:val="none"/>
      <w:pStyle w:val="Heading2"/>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漀(耗萏 萑ﺘ葞 葠ﺘ䩏"/>
      <w:lvlJc w:val="left"/>
      <w:rPr>
        <w:rFonts w:ascii="Symbol" w:hAnsi="Wingdings" w:cs="Wingdings" w:hint="default"/>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4" w15:restartNumberingAfterBreak="0">
    <w:nsid w:val="392A3ACE"/>
    <w:multiLevelType w:val="hybridMultilevel"/>
    <w:tmpl w:val="61E62D6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3D4F368B"/>
    <w:multiLevelType w:val="hybridMultilevel"/>
    <w:tmpl w:val="7F36D186"/>
    <w:lvl w:ilvl="0" w:tplc="A86E3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7095746"/>
    <w:multiLevelType w:val="hybridMultilevel"/>
    <w:tmpl w:val="28BC0FCE"/>
    <w:lvl w:ilvl="0" w:tplc="A26EFB64">
      <w:numFmt w:val="decimal"/>
      <w:pStyle w:val="Instructionaltext-bullet"/>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7" w15:restartNumberingAfterBreak="0">
    <w:nsid w:val="4C0354F2"/>
    <w:multiLevelType w:val="hybridMultilevel"/>
    <w:tmpl w:val="54721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7E051C"/>
    <w:multiLevelType w:val="hybridMultilevel"/>
    <w:tmpl w:val="E8582E76"/>
    <w:lvl w:ilvl="0" w:tplc="7FCC4FDE">
      <w:start w:val="1"/>
      <w:numFmt w:val="bullet"/>
      <w:pStyle w:val="ListParagraph"/>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547E2"/>
    <w:multiLevelType w:val="hybridMultilevel"/>
    <w:tmpl w:val="1378515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91AE3"/>
    <w:multiLevelType w:val="hybridMultilevel"/>
    <w:tmpl w:val="7556E9F2"/>
    <w:lvl w:ilvl="0" w:tplc="725CCEE8">
      <w:start w:val="1"/>
      <w:numFmt w:val="lowerLetter"/>
      <w:lvlText w:val="%1)"/>
      <w:lvlJc w:val="left"/>
      <w:pPr>
        <w:ind w:left="720" w:hanging="360"/>
      </w:pPr>
    </w:lvl>
    <w:lvl w:ilvl="1" w:tplc="59A20E1C">
      <w:start w:val="1"/>
      <w:numFmt w:val="lowerLetter"/>
      <w:lvlText w:val="%2)"/>
      <w:lvlJc w:val="left"/>
      <w:pPr>
        <w:ind w:left="720" w:hanging="360"/>
      </w:pPr>
    </w:lvl>
    <w:lvl w:ilvl="2" w:tplc="85DCA78A">
      <w:start w:val="1"/>
      <w:numFmt w:val="lowerLetter"/>
      <w:lvlText w:val="%3)"/>
      <w:lvlJc w:val="left"/>
      <w:pPr>
        <w:ind w:left="720" w:hanging="360"/>
      </w:pPr>
    </w:lvl>
    <w:lvl w:ilvl="3" w:tplc="0CA8FAF0">
      <w:start w:val="1"/>
      <w:numFmt w:val="lowerLetter"/>
      <w:lvlText w:val="%4)"/>
      <w:lvlJc w:val="left"/>
      <w:pPr>
        <w:ind w:left="720" w:hanging="360"/>
      </w:pPr>
    </w:lvl>
    <w:lvl w:ilvl="4" w:tplc="86969DE4">
      <w:start w:val="1"/>
      <w:numFmt w:val="lowerLetter"/>
      <w:lvlText w:val="%5)"/>
      <w:lvlJc w:val="left"/>
      <w:pPr>
        <w:ind w:left="720" w:hanging="360"/>
      </w:pPr>
    </w:lvl>
    <w:lvl w:ilvl="5" w:tplc="A58A0F60">
      <w:start w:val="1"/>
      <w:numFmt w:val="lowerLetter"/>
      <w:lvlText w:val="%6)"/>
      <w:lvlJc w:val="left"/>
      <w:pPr>
        <w:ind w:left="720" w:hanging="360"/>
      </w:pPr>
    </w:lvl>
    <w:lvl w:ilvl="6" w:tplc="128CFCC4">
      <w:start w:val="1"/>
      <w:numFmt w:val="lowerLetter"/>
      <w:lvlText w:val="%7)"/>
      <w:lvlJc w:val="left"/>
      <w:pPr>
        <w:ind w:left="720" w:hanging="360"/>
      </w:pPr>
    </w:lvl>
    <w:lvl w:ilvl="7" w:tplc="903008DA">
      <w:start w:val="1"/>
      <w:numFmt w:val="lowerLetter"/>
      <w:lvlText w:val="%8)"/>
      <w:lvlJc w:val="left"/>
      <w:pPr>
        <w:ind w:left="720" w:hanging="360"/>
      </w:pPr>
    </w:lvl>
    <w:lvl w:ilvl="8" w:tplc="E4BC9CEA">
      <w:start w:val="1"/>
      <w:numFmt w:val="lowerLetter"/>
      <w:lvlText w:val="%9)"/>
      <w:lvlJc w:val="left"/>
      <w:pPr>
        <w:ind w:left="720" w:hanging="360"/>
      </w:pPr>
    </w:lvl>
  </w:abstractNum>
  <w:abstractNum w:abstractNumId="22" w15:restartNumberingAfterBreak="0">
    <w:nsid w:val="66063EDA"/>
    <w:multiLevelType w:val="hybridMultilevel"/>
    <w:tmpl w:val="01F2E11E"/>
    <w:lvl w:ilvl="0" w:tplc="C0B0BFF6">
      <w:start w:val="1"/>
      <w:numFmt w:val="lowerLetter"/>
      <w:lvlText w:val="%1)"/>
      <w:lvlJc w:val="left"/>
      <w:pPr>
        <w:ind w:left="720" w:hanging="360"/>
      </w:pPr>
    </w:lvl>
    <w:lvl w:ilvl="1" w:tplc="BD727896">
      <w:start w:val="1"/>
      <w:numFmt w:val="lowerLetter"/>
      <w:lvlText w:val="%2)"/>
      <w:lvlJc w:val="left"/>
      <w:pPr>
        <w:ind w:left="720" w:hanging="360"/>
      </w:pPr>
    </w:lvl>
    <w:lvl w:ilvl="2" w:tplc="B01C9834">
      <w:start w:val="1"/>
      <w:numFmt w:val="lowerLetter"/>
      <w:lvlText w:val="%3)"/>
      <w:lvlJc w:val="left"/>
      <w:pPr>
        <w:ind w:left="720" w:hanging="360"/>
      </w:pPr>
    </w:lvl>
    <w:lvl w:ilvl="3" w:tplc="7B1AF532">
      <w:start w:val="1"/>
      <w:numFmt w:val="lowerLetter"/>
      <w:lvlText w:val="%4)"/>
      <w:lvlJc w:val="left"/>
      <w:pPr>
        <w:ind w:left="720" w:hanging="360"/>
      </w:pPr>
    </w:lvl>
    <w:lvl w:ilvl="4" w:tplc="0DF49F24">
      <w:start w:val="1"/>
      <w:numFmt w:val="lowerLetter"/>
      <w:lvlText w:val="%5)"/>
      <w:lvlJc w:val="left"/>
      <w:pPr>
        <w:ind w:left="720" w:hanging="360"/>
      </w:pPr>
    </w:lvl>
    <w:lvl w:ilvl="5" w:tplc="AD704F0E">
      <w:start w:val="1"/>
      <w:numFmt w:val="lowerLetter"/>
      <w:lvlText w:val="%6)"/>
      <w:lvlJc w:val="left"/>
      <w:pPr>
        <w:ind w:left="720" w:hanging="360"/>
      </w:pPr>
    </w:lvl>
    <w:lvl w:ilvl="6" w:tplc="420C19C0">
      <w:start w:val="1"/>
      <w:numFmt w:val="lowerLetter"/>
      <w:lvlText w:val="%7)"/>
      <w:lvlJc w:val="left"/>
      <w:pPr>
        <w:ind w:left="720" w:hanging="360"/>
      </w:pPr>
    </w:lvl>
    <w:lvl w:ilvl="7" w:tplc="3A86A346">
      <w:start w:val="1"/>
      <w:numFmt w:val="lowerLetter"/>
      <w:lvlText w:val="%8)"/>
      <w:lvlJc w:val="left"/>
      <w:pPr>
        <w:ind w:left="720" w:hanging="360"/>
      </w:pPr>
    </w:lvl>
    <w:lvl w:ilvl="8" w:tplc="460EEEE8">
      <w:start w:val="1"/>
      <w:numFmt w:val="lowerLetter"/>
      <w:lvlText w:val="%9)"/>
      <w:lvlJc w:val="left"/>
      <w:pPr>
        <w:ind w:left="720" w:hanging="360"/>
      </w:pPr>
    </w:lvl>
  </w:abstractNum>
  <w:abstractNum w:abstractNumId="23" w15:restartNumberingAfterBreak="0">
    <w:nsid w:val="66F74CFF"/>
    <w:multiLevelType w:val="hybridMultilevel"/>
    <w:tmpl w:val="A4CE1F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305BF6"/>
    <w:multiLevelType w:val="hybridMultilevel"/>
    <w:tmpl w:val="70E8D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4D033C"/>
    <w:multiLevelType w:val="multilevel"/>
    <w:tmpl w:val="45FC285E"/>
    <w:lvl w:ilvl="0">
      <w:numFmt w:val="decimal"/>
      <w:pStyle w:val="2-SectionHeading"/>
      <w:lvlText w:val=""/>
      <w:lvlJc w:val="left"/>
    </w:lvl>
    <w:lvl w:ilvl="1">
      <w:numFmt w:val="decimal"/>
      <w:pStyle w:val="3-BodyTex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84803"/>
    <w:multiLevelType w:val="hybridMultilevel"/>
    <w:tmpl w:val="D0587DEA"/>
    <w:lvl w:ilvl="0" w:tplc="FD80DE9C">
      <w:start w:val="1"/>
      <w:numFmt w:val="lowerLetter"/>
      <w:lvlText w:val="%1)"/>
      <w:lvlJc w:val="left"/>
      <w:pPr>
        <w:ind w:left="720" w:hanging="360"/>
      </w:pPr>
    </w:lvl>
    <w:lvl w:ilvl="1" w:tplc="A77E2D5C">
      <w:start w:val="1"/>
      <w:numFmt w:val="lowerLetter"/>
      <w:lvlText w:val="%2)"/>
      <w:lvlJc w:val="left"/>
      <w:pPr>
        <w:ind w:left="720" w:hanging="360"/>
      </w:pPr>
    </w:lvl>
    <w:lvl w:ilvl="2" w:tplc="8836139C">
      <w:start w:val="1"/>
      <w:numFmt w:val="lowerLetter"/>
      <w:lvlText w:val="%3)"/>
      <w:lvlJc w:val="left"/>
      <w:pPr>
        <w:ind w:left="720" w:hanging="360"/>
      </w:pPr>
    </w:lvl>
    <w:lvl w:ilvl="3" w:tplc="AFA8546A">
      <w:start w:val="1"/>
      <w:numFmt w:val="lowerLetter"/>
      <w:lvlText w:val="%4)"/>
      <w:lvlJc w:val="left"/>
      <w:pPr>
        <w:ind w:left="720" w:hanging="360"/>
      </w:pPr>
    </w:lvl>
    <w:lvl w:ilvl="4" w:tplc="BA48E93C">
      <w:start w:val="1"/>
      <w:numFmt w:val="lowerLetter"/>
      <w:lvlText w:val="%5)"/>
      <w:lvlJc w:val="left"/>
      <w:pPr>
        <w:ind w:left="720" w:hanging="360"/>
      </w:pPr>
    </w:lvl>
    <w:lvl w:ilvl="5" w:tplc="4836B726">
      <w:start w:val="1"/>
      <w:numFmt w:val="lowerLetter"/>
      <w:lvlText w:val="%6)"/>
      <w:lvlJc w:val="left"/>
      <w:pPr>
        <w:ind w:left="720" w:hanging="360"/>
      </w:pPr>
    </w:lvl>
    <w:lvl w:ilvl="6" w:tplc="B246D98C">
      <w:start w:val="1"/>
      <w:numFmt w:val="lowerLetter"/>
      <w:lvlText w:val="%7)"/>
      <w:lvlJc w:val="left"/>
      <w:pPr>
        <w:ind w:left="720" w:hanging="360"/>
      </w:pPr>
    </w:lvl>
    <w:lvl w:ilvl="7" w:tplc="57666D18">
      <w:start w:val="1"/>
      <w:numFmt w:val="lowerLetter"/>
      <w:lvlText w:val="%8)"/>
      <w:lvlJc w:val="left"/>
      <w:pPr>
        <w:ind w:left="720" w:hanging="360"/>
      </w:pPr>
    </w:lvl>
    <w:lvl w:ilvl="8" w:tplc="CF244AA2">
      <w:start w:val="1"/>
      <w:numFmt w:val="lowerLetter"/>
      <w:lvlText w:val="%9)"/>
      <w:lvlJc w:val="left"/>
      <w:pPr>
        <w:ind w:left="720" w:hanging="360"/>
      </w:pPr>
    </w:lvl>
  </w:abstractNum>
  <w:abstractNum w:abstractNumId="28" w15:restartNumberingAfterBreak="0">
    <w:nsid w:val="7F181516"/>
    <w:multiLevelType w:val="hybridMultilevel"/>
    <w:tmpl w:val="FF9EE7EA"/>
    <w:lvl w:ilvl="0" w:tplc="99525AAE">
      <w:numFmt w:val="decimal"/>
      <w:pStyle w:val="Nnumberedlist"/>
      <w:lvlText w:val=""/>
      <w:lvlJc w:val="left"/>
    </w:lvl>
    <w:lvl w:ilvl="1" w:tplc="389C2200">
      <w:numFmt w:val="decimal"/>
      <w:lvlText w:val=""/>
      <w:lvlJc w:val="left"/>
    </w:lvl>
    <w:lvl w:ilvl="2" w:tplc="C3F8B188">
      <w:numFmt w:val="decimal"/>
      <w:lvlText w:val=""/>
      <w:lvlJc w:val="left"/>
    </w:lvl>
    <w:lvl w:ilvl="3" w:tplc="391E97F0">
      <w:numFmt w:val="decimal"/>
      <w:lvlText w:val=""/>
      <w:lvlJc w:val="left"/>
    </w:lvl>
    <w:lvl w:ilvl="4" w:tplc="4F42265E">
      <w:numFmt w:val="decimal"/>
      <w:lvlText w:val=""/>
      <w:lvlJc w:val="left"/>
    </w:lvl>
    <w:lvl w:ilvl="5" w:tplc="30546058">
      <w:numFmt w:val="decimal"/>
      <w:lvlText w:val=""/>
      <w:lvlJc w:val="left"/>
    </w:lvl>
    <w:lvl w:ilvl="6" w:tplc="6E10F0C6">
      <w:numFmt w:val="decimal"/>
      <w:lvlText w:val=""/>
      <w:lvlJc w:val="left"/>
    </w:lvl>
    <w:lvl w:ilvl="7" w:tplc="70B07B9C">
      <w:numFmt w:val="decimal"/>
      <w:lvlText w:val=""/>
      <w:lvlJc w:val="left"/>
    </w:lvl>
    <w:lvl w:ilvl="8" w:tplc="9BF48AAC">
      <w:numFmt w:val="decimal"/>
      <w:lvlText w:val=""/>
      <w:lvlJc w:val="left"/>
    </w:lvl>
  </w:abstractNum>
  <w:num w:numId="1" w16cid:durableId="1493376905">
    <w:abstractNumId w:val="13"/>
  </w:num>
  <w:num w:numId="2" w16cid:durableId="584608137">
    <w:abstractNumId w:val="28"/>
  </w:num>
  <w:num w:numId="3" w16cid:durableId="861166620">
    <w:abstractNumId w:val="0"/>
  </w:num>
  <w:num w:numId="4" w16cid:durableId="1955945577">
    <w:abstractNumId w:val="7"/>
  </w:num>
  <w:num w:numId="5" w16cid:durableId="1452743898">
    <w:abstractNumId w:val="25"/>
  </w:num>
  <w:num w:numId="6" w16cid:durableId="1482694446">
    <w:abstractNumId w:val="9"/>
  </w:num>
  <w:num w:numId="7" w16cid:durableId="393238364">
    <w:abstractNumId w:val="10"/>
  </w:num>
  <w:num w:numId="8" w16cid:durableId="261572506">
    <w:abstractNumId w:val="12"/>
  </w:num>
  <w:num w:numId="9" w16cid:durableId="2129229103">
    <w:abstractNumId w:val="16"/>
  </w:num>
  <w:num w:numId="10" w16cid:durableId="647125357">
    <w:abstractNumId w:val="18"/>
  </w:num>
  <w:num w:numId="11" w16cid:durableId="1203709043">
    <w:abstractNumId w:val="11"/>
    <w:lvlOverride w:ilvl="0">
      <w:startOverride w:val="1"/>
    </w:lvlOverride>
  </w:num>
  <w:num w:numId="12" w16cid:durableId="1647323477">
    <w:abstractNumId w:val="20"/>
  </w:num>
  <w:num w:numId="13" w16cid:durableId="1824156579">
    <w:abstractNumId w:val="6"/>
  </w:num>
  <w:num w:numId="14" w16cid:durableId="301808833">
    <w:abstractNumId w:val="2"/>
  </w:num>
  <w:num w:numId="15" w16cid:durableId="140734575">
    <w:abstractNumId w:val="3"/>
  </w:num>
  <w:num w:numId="16" w16cid:durableId="1206334446">
    <w:abstractNumId w:val="1"/>
  </w:num>
  <w:num w:numId="17" w16cid:durableId="597254042">
    <w:abstractNumId w:val="4"/>
  </w:num>
  <w:num w:numId="18" w16cid:durableId="1473323826">
    <w:abstractNumId w:val="19"/>
  </w:num>
  <w:num w:numId="19" w16cid:durableId="1856453588">
    <w:abstractNumId w:val="26"/>
  </w:num>
  <w:num w:numId="20" w16cid:durableId="2123069252">
    <w:abstractNumId w:val="22"/>
  </w:num>
  <w:num w:numId="21" w16cid:durableId="561868533">
    <w:abstractNumId w:val="5"/>
  </w:num>
  <w:num w:numId="22" w16cid:durableId="365570802">
    <w:abstractNumId w:val="21"/>
  </w:num>
  <w:num w:numId="23" w16cid:durableId="1279721501">
    <w:abstractNumId w:val="27"/>
  </w:num>
  <w:num w:numId="24" w16cid:durableId="1524976201">
    <w:abstractNumId w:val="8"/>
  </w:num>
  <w:num w:numId="25" w16cid:durableId="182211721">
    <w:abstractNumId w:val="14"/>
  </w:num>
  <w:num w:numId="26" w16cid:durableId="1249728695">
    <w:abstractNumId w:val="24"/>
  </w:num>
  <w:num w:numId="27" w16cid:durableId="719788538">
    <w:abstractNumId w:val="17"/>
  </w:num>
  <w:num w:numId="28" w16cid:durableId="20514618">
    <w:abstractNumId w:val="13"/>
  </w:num>
  <w:num w:numId="29" w16cid:durableId="1412973153">
    <w:abstractNumId w:val="15"/>
  </w:num>
  <w:num w:numId="30" w16cid:durableId="188431875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2MDEzMTQwMrK0sLBU0lEKTi0uzszPAykwNKgFAGb+xPEtAAAA"/>
    <w:docVar w:name="EN.InstantFormat" w:val="&lt;ENInstantFormat&gt;&lt;Enabled&gt;1&lt;/Enabled&gt;&lt;ScanUnformatted&gt;1&lt;/ScanUnformatted&gt;&lt;ScanChanges&gt;1&lt;/ScanChanges&gt;&lt;Suspended&gt;1&lt;/Suspended&gt;&lt;/ENInstantFormat&gt;"/>
    <w:docVar w:name="EN.Layout" w:val="&lt;ENLayout&gt;&lt;Style&gt;Chicago 17th Footnote&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z9spdavb9zvfzettrixwd9peddd2sf5data&quot;&gt;NPAF V1.1&lt;record-ids&gt;&lt;item&gt;207&lt;/item&gt;&lt;item&gt;209&lt;/item&gt;&lt;/record-ids&gt;&lt;/item&gt;&lt;/Libraries&gt;"/>
  </w:docVars>
  <w:rsids>
    <w:rsidRoot w:val="008157F1"/>
    <w:rsid w:val="00000055"/>
    <w:rsid w:val="000001A8"/>
    <w:rsid w:val="000004EE"/>
    <w:rsid w:val="000005A1"/>
    <w:rsid w:val="00000785"/>
    <w:rsid w:val="00000933"/>
    <w:rsid w:val="00000B9D"/>
    <w:rsid w:val="00000DC1"/>
    <w:rsid w:val="00000F3F"/>
    <w:rsid w:val="0000109A"/>
    <w:rsid w:val="00001145"/>
    <w:rsid w:val="000011A3"/>
    <w:rsid w:val="000011DD"/>
    <w:rsid w:val="0000154A"/>
    <w:rsid w:val="000016A3"/>
    <w:rsid w:val="000016A6"/>
    <w:rsid w:val="000016BE"/>
    <w:rsid w:val="00001A46"/>
    <w:rsid w:val="00001A65"/>
    <w:rsid w:val="00001A9C"/>
    <w:rsid w:val="00001AE6"/>
    <w:rsid w:val="00001BC1"/>
    <w:rsid w:val="00001D55"/>
    <w:rsid w:val="0000221D"/>
    <w:rsid w:val="000023FD"/>
    <w:rsid w:val="000026CF"/>
    <w:rsid w:val="000028AD"/>
    <w:rsid w:val="000028C9"/>
    <w:rsid w:val="00002D98"/>
    <w:rsid w:val="00002EA9"/>
    <w:rsid w:val="00002FE2"/>
    <w:rsid w:val="0000308D"/>
    <w:rsid w:val="0000317C"/>
    <w:rsid w:val="0000375B"/>
    <w:rsid w:val="00003DF5"/>
    <w:rsid w:val="00003F41"/>
    <w:rsid w:val="00004155"/>
    <w:rsid w:val="00004380"/>
    <w:rsid w:val="000045DD"/>
    <w:rsid w:val="00004821"/>
    <w:rsid w:val="000049AC"/>
    <w:rsid w:val="00004A87"/>
    <w:rsid w:val="00004AD6"/>
    <w:rsid w:val="00004D69"/>
    <w:rsid w:val="00004F7F"/>
    <w:rsid w:val="00005100"/>
    <w:rsid w:val="000054C9"/>
    <w:rsid w:val="00005824"/>
    <w:rsid w:val="00005B73"/>
    <w:rsid w:val="00005D37"/>
    <w:rsid w:val="000062CA"/>
    <w:rsid w:val="00006392"/>
    <w:rsid w:val="000064D7"/>
    <w:rsid w:val="00006502"/>
    <w:rsid w:val="00006636"/>
    <w:rsid w:val="0000675E"/>
    <w:rsid w:val="000069ED"/>
    <w:rsid w:val="00006A99"/>
    <w:rsid w:val="00006DF3"/>
    <w:rsid w:val="00007465"/>
    <w:rsid w:val="00007A12"/>
    <w:rsid w:val="00007A43"/>
    <w:rsid w:val="00007B42"/>
    <w:rsid w:val="00007C32"/>
    <w:rsid w:val="00007CB4"/>
    <w:rsid w:val="00007CCB"/>
    <w:rsid w:val="00007D02"/>
    <w:rsid w:val="00007DCE"/>
    <w:rsid w:val="00007E6B"/>
    <w:rsid w:val="00007F08"/>
    <w:rsid w:val="00007FEA"/>
    <w:rsid w:val="000100B0"/>
    <w:rsid w:val="000103B3"/>
    <w:rsid w:val="00010947"/>
    <w:rsid w:val="000109B8"/>
    <w:rsid w:val="00011568"/>
    <w:rsid w:val="00011776"/>
    <w:rsid w:val="00011981"/>
    <w:rsid w:val="00011A18"/>
    <w:rsid w:val="00011C25"/>
    <w:rsid w:val="00011C43"/>
    <w:rsid w:val="00012395"/>
    <w:rsid w:val="000123F0"/>
    <w:rsid w:val="000129AB"/>
    <w:rsid w:val="000129F7"/>
    <w:rsid w:val="00012A3A"/>
    <w:rsid w:val="00012C67"/>
    <w:rsid w:val="00012DA1"/>
    <w:rsid w:val="00012FC9"/>
    <w:rsid w:val="0001305D"/>
    <w:rsid w:val="00013386"/>
    <w:rsid w:val="000135DA"/>
    <w:rsid w:val="00013669"/>
    <w:rsid w:val="00013AC7"/>
    <w:rsid w:val="00013B13"/>
    <w:rsid w:val="00013F71"/>
    <w:rsid w:val="00014351"/>
    <w:rsid w:val="00014543"/>
    <w:rsid w:val="0001488D"/>
    <w:rsid w:val="000148DD"/>
    <w:rsid w:val="00014974"/>
    <w:rsid w:val="00014D90"/>
    <w:rsid w:val="000152EF"/>
    <w:rsid w:val="00015384"/>
    <w:rsid w:val="000160A8"/>
    <w:rsid w:val="0001661A"/>
    <w:rsid w:val="00016909"/>
    <w:rsid w:val="00016AF5"/>
    <w:rsid w:val="00016E5A"/>
    <w:rsid w:val="00016F03"/>
    <w:rsid w:val="00017184"/>
    <w:rsid w:val="000172B3"/>
    <w:rsid w:val="00017548"/>
    <w:rsid w:val="000175B4"/>
    <w:rsid w:val="00017718"/>
    <w:rsid w:val="0001772A"/>
    <w:rsid w:val="000177DF"/>
    <w:rsid w:val="0001787E"/>
    <w:rsid w:val="00017883"/>
    <w:rsid w:val="00017AA2"/>
    <w:rsid w:val="00017B18"/>
    <w:rsid w:val="00017DEB"/>
    <w:rsid w:val="00017E1F"/>
    <w:rsid w:val="00020057"/>
    <w:rsid w:val="000201F1"/>
    <w:rsid w:val="000202C2"/>
    <w:rsid w:val="0002034F"/>
    <w:rsid w:val="00020437"/>
    <w:rsid w:val="000205D3"/>
    <w:rsid w:val="00020AB2"/>
    <w:rsid w:val="00020CC7"/>
    <w:rsid w:val="000210F8"/>
    <w:rsid w:val="000212B2"/>
    <w:rsid w:val="000212D9"/>
    <w:rsid w:val="00021356"/>
    <w:rsid w:val="000213DF"/>
    <w:rsid w:val="000213FC"/>
    <w:rsid w:val="000217D1"/>
    <w:rsid w:val="000217F9"/>
    <w:rsid w:val="00021924"/>
    <w:rsid w:val="0002198B"/>
    <w:rsid w:val="00021A98"/>
    <w:rsid w:val="00022043"/>
    <w:rsid w:val="00022179"/>
    <w:rsid w:val="00022305"/>
    <w:rsid w:val="00022502"/>
    <w:rsid w:val="0002251A"/>
    <w:rsid w:val="0002257D"/>
    <w:rsid w:val="0002272F"/>
    <w:rsid w:val="000228B8"/>
    <w:rsid w:val="00022C64"/>
    <w:rsid w:val="00022E7F"/>
    <w:rsid w:val="0002341F"/>
    <w:rsid w:val="0002343C"/>
    <w:rsid w:val="000235F1"/>
    <w:rsid w:val="000236A1"/>
    <w:rsid w:val="0002380B"/>
    <w:rsid w:val="0002381B"/>
    <w:rsid w:val="00023879"/>
    <w:rsid w:val="00023ADD"/>
    <w:rsid w:val="00023AF0"/>
    <w:rsid w:val="000240C4"/>
    <w:rsid w:val="000240DD"/>
    <w:rsid w:val="000246F4"/>
    <w:rsid w:val="00024884"/>
    <w:rsid w:val="00024AE4"/>
    <w:rsid w:val="00024B45"/>
    <w:rsid w:val="00024BF9"/>
    <w:rsid w:val="00024E1D"/>
    <w:rsid w:val="00024EA5"/>
    <w:rsid w:val="0002525A"/>
    <w:rsid w:val="000254E4"/>
    <w:rsid w:val="000256C6"/>
    <w:rsid w:val="000258E3"/>
    <w:rsid w:val="00025A31"/>
    <w:rsid w:val="00025BDC"/>
    <w:rsid w:val="00025BFD"/>
    <w:rsid w:val="00025C92"/>
    <w:rsid w:val="0002618F"/>
    <w:rsid w:val="000262F1"/>
    <w:rsid w:val="00026981"/>
    <w:rsid w:val="00027089"/>
    <w:rsid w:val="000270CB"/>
    <w:rsid w:val="000270CD"/>
    <w:rsid w:val="000272FE"/>
    <w:rsid w:val="0002730D"/>
    <w:rsid w:val="000274B9"/>
    <w:rsid w:val="0002751D"/>
    <w:rsid w:val="0002755F"/>
    <w:rsid w:val="0002781E"/>
    <w:rsid w:val="00030332"/>
    <w:rsid w:val="000303B3"/>
    <w:rsid w:val="0003045A"/>
    <w:rsid w:val="00030499"/>
    <w:rsid w:val="000304A3"/>
    <w:rsid w:val="00030759"/>
    <w:rsid w:val="00030CAF"/>
    <w:rsid w:val="00030D98"/>
    <w:rsid w:val="00030EDB"/>
    <w:rsid w:val="000310AF"/>
    <w:rsid w:val="0003128A"/>
    <w:rsid w:val="00031514"/>
    <w:rsid w:val="00031E23"/>
    <w:rsid w:val="00031F21"/>
    <w:rsid w:val="00032294"/>
    <w:rsid w:val="000322CD"/>
    <w:rsid w:val="0003232A"/>
    <w:rsid w:val="0003235D"/>
    <w:rsid w:val="000323FF"/>
    <w:rsid w:val="000326B4"/>
    <w:rsid w:val="0003297A"/>
    <w:rsid w:val="00032D5E"/>
    <w:rsid w:val="00032E57"/>
    <w:rsid w:val="00032F13"/>
    <w:rsid w:val="000332CF"/>
    <w:rsid w:val="00033395"/>
    <w:rsid w:val="000333DA"/>
    <w:rsid w:val="000334AF"/>
    <w:rsid w:val="000334DC"/>
    <w:rsid w:val="0003350B"/>
    <w:rsid w:val="000338EB"/>
    <w:rsid w:val="00033C46"/>
    <w:rsid w:val="00033D10"/>
    <w:rsid w:val="00033D4D"/>
    <w:rsid w:val="00033E14"/>
    <w:rsid w:val="0003418E"/>
    <w:rsid w:val="0003423A"/>
    <w:rsid w:val="00034668"/>
    <w:rsid w:val="0003477F"/>
    <w:rsid w:val="00034D3D"/>
    <w:rsid w:val="00035131"/>
    <w:rsid w:val="000356CA"/>
    <w:rsid w:val="00035DF6"/>
    <w:rsid w:val="00035EE8"/>
    <w:rsid w:val="00036043"/>
    <w:rsid w:val="000364FA"/>
    <w:rsid w:val="0003678A"/>
    <w:rsid w:val="00036823"/>
    <w:rsid w:val="00036A08"/>
    <w:rsid w:val="00036AD8"/>
    <w:rsid w:val="00036C56"/>
    <w:rsid w:val="00037037"/>
    <w:rsid w:val="0003712F"/>
    <w:rsid w:val="00037302"/>
    <w:rsid w:val="00037571"/>
    <w:rsid w:val="000375B6"/>
    <w:rsid w:val="00037B59"/>
    <w:rsid w:val="00037FFE"/>
    <w:rsid w:val="0004005D"/>
    <w:rsid w:val="00040235"/>
    <w:rsid w:val="00040324"/>
    <w:rsid w:val="000403B0"/>
    <w:rsid w:val="0004049F"/>
    <w:rsid w:val="000408A0"/>
    <w:rsid w:val="000408CE"/>
    <w:rsid w:val="00040927"/>
    <w:rsid w:val="00040ADF"/>
    <w:rsid w:val="00040B19"/>
    <w:rsid w:val="00040BDA"/>
    <w:rsid w:val="00040FB4"/>
    <w:rsid w:val="0004111A"/>
    <w:rsid w:val="0004115C"/>
    <w:rsid w:val="00041220"/>
    <w:rsid w:val="000413A5"/>
    <w:rsid w:val="00041483"/>
    <w:rsid w:val="0004178C"/>
    <w:rsid w:val="000417BB"/>
    <w:rsid w:val="00041A04"/>
    <w:rsid w:val="00041F5D"/>
    <w:rsid w:val="0004203E"/>
    <w:rsid w:val="000421A8"/>
    <w:rsid w:val="00042327"/>
    <w:rsid w:val="000425D2"/>
    <w:rsid w:val="0004284C"/>
    <w:rsid w:val="0004296A"/>
    <w:rsid w:val="00042A36"/>
    <w:rsid w:val="00042AE7"/>
    <w:rsid w:val="00042FBD"/>
    <w:rsid w:val="000431C7"/>
    <w:rsid w:val="000431F8"/>
    <w:rsid w:val="00043307"/>
    <w:rsid w:val="000436FC"/>
    <w:rsid w:val="000439C4"/>
    <w:rsid w:val="00043A0F"/>
    <w:rsid w:val="00043CA3"/>
    <w:rsid w:val="00043CD1"/>
    <w:rsid w:val="00043FE0"/>
    <w:rsid w:val="000440DC"/>
    <w:rsid w:val="000440E2"/>
    <w:rsid w:val="000441A2"/>
    <w:rsid w:val="000442D3"/>
    <w:rsid w:val="000443A6"/>
    <w:rsid w:val="00044451"/>
    <w:rsid w:val="00044806"/>
    <w:rsid w:val="000449C0"/>
    <w:rsid w:val="000449D1"/>
    <w:rsid w:val="00044E18"/>
    <w:rsid w:val="00044E36"/>
    <w:rsid w:val="00044FD7"/>
    <w:rsid w:val="000450DC"/>
    <w:rsid w:val="0004520A"/>
    <w:rsid w:val="00045405"/>
    <w:rsid w:val="000457E4"/>
    <w:rsid w:val="00045AC7"/>
    <w:rsid w:val="00045B8D"/>
    <w:rsid w:val="00045CC5"/>
    <w:rsid w:val="00045D66"/>
    <w:rsid w:val="0004606C"/>
    <w:rsid w:val="00046404"/>
    <w:rsid w:val="0004649C"/>
    <w:rsid w:val="000464C9"/>
    <w:rsid w:val="00046811"/>
    <w:rsid w:val="0004682C"/>
    <w:rsid w:val="00046926"/>
    <w:rsid w:val="00046B6A"/>
    <w:rsid w:val="00046BC2"/>
    <w:rsid w:val="00046C26"/>
    <w:rsid w:val="00046CB1"/>
    <w:rsid w:val="00046F71"/>
    <w:rsid w:val="00047004"/>
    <w:rsid w:val="0004707A"/>
    <w:rsid w:val="000470E9"/>
    <w:rsid w:val="00047268"/>
    <w:rsid w:val="000472D4"/>
    <w:rsid w:val="00047415"/>
    <w:rsid w:val="00047B03"/>
    <w:rsid w:val="00047DAF"/>
    <w:rsid w:val="00047E5A"/>
    <w:rsid w:val="0005028D"/>
    <w:rsid w:val="00050314"/>
    <w:rsid w:val="00050899"/>
    <w:rsid w:val="00050A78"/>
    <w:rsid w:val="00050D1C"/>
    <w:rsid w:val="00050E32"/>
    <w:rsid w:val="00050FB1"/>
    <w:rsid w:val="0005148F"/>
    <w:rsid w:val="00051869"/>
    <w:rsid w:val="000518E6"/>
    <w:rsid w:val="00052031"/>
    <w:rsid w:val="000521C3"/>
    <w:rsid w:val="000521FE"/>
    <w:rsid w:val="00052603"/>
    <w:rsid w:val="0005275F"/>
    <w:rsid w:val="0005279D"/>
    <w:rsid w:val="00052953"/>
    <w:rsid w:val="00052DD3"/>
    <w:rsid w:val="00052DD5"/>
    <w:rsid w:val="00052EE4"/>
    <w:rsid w:val="0005326D"/>
    <w:rsid w:val="000537EC"/>
    <w:rsid w:val="00053992"/>
    <w:rsid w:val="00053C63"/>
    <w:rsid w:val="00053C7F"/>
    <w:rsid w:val="00053C89"/>
    <w:rsid w:val="00053F68"/>
    <w:rsid w:val="00053F6C"/>
    <w:rsid w:val="0005450F"/>
    <w:rsid w:val="000546D1"/>
    <w:rsid w:val="00054884"/>
    <w:rsid w:val="00054914"/>
    <w:rsid w:val="00054B9F"/>
    <w:rsid w:val="00054BEC"/>
    <w:rsid w:val="00055503"/>
    <w:rsid w:val="000555A1"/>
    <w:rsid w:val="00055627"/>
    <w:rsid w:val="00055685"/>
    <w:rsid w:val="00055A6D"/>
    <w:rsid w:val="00055BF1"/>
    <w:rsid w:val="00056047"/>
    <w:rsid w:val="00056406"/>
    <w:rsid w:val="0005667E"/>
    <w:rsid w:val="00056990"/>
    <w:rsid w:val="00056AD2"/>
    <w:rsid w:val="00056D5E"/>
    <w:rsid w:val="00056FCE"/>
    <w:rsid w:val="000570A6"/>
    <w:rsid w:val="0005726F"/>
    <w:rsid w:val="00057334"/>
    <w:rsid w:val="00057440"/>
    <w:rsid w:val="000575EC"/>
    <w:rsid w:val="000576D4"/>
    <w:rsid w:val="00057835"/>
    <w:rsid w:val="00057869"/>
    <w:rsid w:val="00057984"/>
    <w:rsid w:val="00057AAB"/>
    <w:rsid w:val="00057BE3"/>
    <w:rsid w:val="00057FAF"/>
    <w:rsid w:val="00060135"/>
    <w:rsid w:val="0006019C"/>
    <w:rsid w:val="000601EE"/>
    <w:rsid w:val="000602D9"/>
    <w:rsid w:val="00060707"/>
    <w:rsid w:val="000607BE"/>
    <w:rsid w:val="000607C4"/>
    <w:rsid w:val="00060944"/>
    <w:rsid w:val="00060AEA"/>
    <w:rsid w:val="00060CE6"/>
    <w:rsid w:val="00060CF0"/>
    <w:rsid w:val="00060EBE"/>
    <w:rsid w:val="000612AB"/>
    <w:rsid w:val="000614BC"/>
    <w:rsid w:val="0006156D"/>
    <w:rsid w:val="00061963"/>
    <w:rsid w:val="000619C7"/>
    <w:rsid w:val="00061E95"/>
    <w:rsid w:val="00062072"/>
    <w:rsid w:val="000623DA"/>
    <w:rsid w:val="00062481"/>
    <w:rsid w:val="0006257C"/>
    <w:rsid w:val="00062843"/>
    <w:rsid w:val="00062916"/>
    <w:rsid w:val="00062EF1"/>
    <w:rsid w:val="00063317"/>
    <w:rsid w:val="0006339C"/>
    <w:rsid w:val="000633FB"/>
    <w:rsid w:val="000635E9"/>
    <w:rsid w:val="00063606"/>
    <w:rsid w:val="0006371E"/>
    <w:rsid w:val="0006397B"/>
    <w:rsid w:val="00063A51"/>
    <w:rsid w:val="00063CA1"/>
    <w:rsid w:val="00063DFD"/>
    <w:rsid w:val="00063E6F"/>
    <w:rsid w:val="00063F0C"/>
    <w:rsid w:val="00063FEF"/>
    <w:rsid w:val="00064079"/>
    <w:rsid w:val="00064310"/>
    <w:rsid w:val="0006439C"/>
    <w:rsid w:val="000643EC"/>
    <w:rsid w:val="00064783"/>
    <w:rsid w:val="000647C2"/>
    <w:rsid w:val="00064D9A"/>
    <w:rsid w:val="00064E01"/>
    <w:rsid w:val="00065956"/>
    <w:rsid w:val="00065A97"/>
    <w:rsid w:val="00065D6E"/>
    <w:rsid w:val="00066069"/>
    <w:rsid w:val="00066135"/>
    <w:rsid w:val="0006661B"/>
    <w:rsid w:val="000666DB"/>
    <w:rsid w:val="000667E7"/>
    <w:rsid w:val="000667ED"/>
    <w:rsid w:val="0006687B"/>
    <w:rsid w:val="0006698B"/>
    <w:rsid w:val="00066EE7"/>
    <w:rsid w:val="00067414"/>
    <w:rsid w:val="000675F1"/>
    <w:rsid w:val="0006785E"/>
    <w:rsid w:val="00067A24"/>
    <w:rsid w:val="000700C5"/>
    <w:rsid w:val="0007021F"/>
    <w:rsid w:val="00070734"/>
    <w:rsid w:val="000707AA"/>
    <w:rsid w:val="0007085B"/>
    <w:rsid w:val="00070887"/>
    <w:rsid w:val="0007099D"/>
    <w:rsid w:val="000709A0"/>
    <w:rsid w:val="00071165"/>
    <w:rsid w:val="000713AC"/>
    <w:rsid w:val="00071733"/>
    <w:rsid w:val="000719FD"/>
    <w:rsid w:val="00071A7E"/>
    <w:rsid w:val="00071F88"/>
    <w:rsid w:val="00072845"/>
    <w:rsid w:val="0007324E"/>
    <w:rsid w:val="0007333B"/>
    <w:rsid w:val="000739C7"/>
    <w:rsid w:val="00073A55"/>
    <w:rsid w:val="00073E56"/>
    <w:rsid w:val="00074199"/>
    <w:rsid w:val="0007432B"/>
    <w:rsid w:val="0007458B"/>
    <w:rsid w:val="00074821"/>
    <w:rsid w:val="0007487C"/>
    <w:rsid w:val="00074CAD"/>
    <w:rsid w:val="00074E14"/>
    <w:rsid w:val="00075060"/>
    <w:rsid w:val="000750A9"/>
    <w:rsid w:val="000751E0"/>
    <w:rsid w:val="000753C1"/>
    <w:rsid w:val="0007545A"/>
    <w:rsid w:val="000754C1"/>
    <w:rsid w:val="000759C5"/>
    <w:rsid w:val="00075A43"/>
    <w:rsid w:val="00075ACF"/>
    <w:rsid w:val="00075CD1"/>
    <w:rsid w:val="000763AF"/>
    <w:rsid w:val="00076CD8"/>
    <w:rsid w:val="00076E29"/>
    <w:rsid w:val="00076F26"/>
    <w:rsid w:val="000772BF"/>
    <w:rsid w:val="000774F0"/>
    <w:rsid w:val="000775F8"/>
    <w:rsid w:val="00077785"/>
    <w:rsid w:val="000777DC"/>
    <w:rsid w:val="00077A32"/>
    <w:rsid w:val="00077AB2"/>
    <w:rsid w:val="00077E98"/>
    <w:rsid w:val="00080002"/>
    <w:rsid w:val="00080241"/>
    <w:rsid w:val="0008077C"/>
    <w:rsid w:val="000809B9"/>
    <w:rsid w:val="00080A9D"/>
    <w:rsid w:val="00080E05"/>
    <w:rsid w:val="00081778"/>
    <w:rsid w:val="000817AF"/>
    <w:rsid w:val="00081B92"/>
    <w:rsid w:val="00081C00"/>
    <w:rsid w:val="00081CFA"/>
    <w:rsid w:val="00081D10"/>
    <w:rsid w:val="00081DB2"/>
    <w:rsid w:val="00081E00"/>
    <w:rsid w:val="00082BFE"/>
    <w:rsid w:val="00083460"/>
    <w:rsid w:val="0008377B"/>
    <w:rsid w:val="00083B1A"/>
    <w:rsid w:val="00083BE6"/>
    <w:rsid w:val="00084126"/>
    <w:rsid w:val="00084254"/>
    <w:rsid w:val="0008456E"/>
    <w:rsid w:val="000846F9"/>
    <w:rsid w:val="000847E6"/>
    <w:rsid w:val="00084A1A"/>
    <w:rsid w:val="00084A1E"/>
    <w:rsid w:val="00084AAC"/>
    <w:rsid w:val="00085030"/>
    <w:rsid w:val="000853A9"/>
    <w:rsid w:val="0008541E"/>
    <w:rsid w:val="00085447"/>
    <w:rsid w:val="000856BC"/>
    <w:rsid w:val="0008587E"/>
    <w:rsid w:val="00085A1B"/>
    <w:rsid w:val="00085F4F"/>
    <w:rsid w:val="000860CD"/>
    <w:rsid w:val="000861D5"/>
    <w:rsid w:val="00086BA8"/>
    <w:rsid w:val="00086E6B"/>
    <w:rsid w:val="000870B6"/>
    <w:rsid w:val="00087108"/>
    <w:rsid w:val="0008723C"/>
    <w:rsid w:val="000873B3"/>
    <w:rsid w:val="00087465"/>
    <w:rsid w:val="0008755D"/>
    <w:rsid w:val="0008798E"/>
    <w:rsid w:val="00087CE5"/>
    <w:rsid w:val="00087D64"/>
    <w:rsid w:val="00087D73"/>
    <w:rsid w:val="00087E4D"/>
    <w:rsid w:val="00087F7F"/>
    <w:rsid w:val="00090512"/>
    <w:rsid w:val="00090613"/>
    <w:rsid w:val="000909C6"/>
    <w:rsid w:val="00090BC0"/>
    <w:rsid w:val="00090BD1"/>
    <w:rsid w:val="00090CEC"/>
    <w:rsid w:val="00090DDA"/>
    <w:rsid w:val="0009103B"/>
    <w:rsid w:val="000911C6"/>
    <w:rsid w:val="000915C6"/>
    <w:rsid w:val="000915D8"/>
    <w:rsid w:val="000916C9"/>
    <w:rsid w:val="00091857"/>
    <w:rsid w:val="00091B6D"/>
    <w:rsid w:val="00091B71"/>
    <w:rsid w:val="00091B7A"/>
    <w:rsid w:val="00091C59"/>
    <w:rsid w:val="00091F35"/>
    <w:rsid w:val="00091F5F"/>
    <w:rsid w:val="00091FE0"/>
    <w:rsid w:val="0009200A"/>
    <w:rsid w:val="0009223C"/>
    <w:rsid w:val="000928DA"/>
    <w:rsid w:val="0009293B"/>
    <w:rsid w:val="00092987"/>
    <w:rsid w:val="00092A21"/>
    <w:rsid w:val="0009333B"/>
    <w:rsid w:val="0009350B"/>
    <w:rsid w:val="000936BD"/>
    <w:rsid w:val="00093728"/>
    <w:rsid w:val="00093B96"/>
    <w:rsid w:val="00093D9A"/>
    <w:rsid w:val="00093FF3"/>
    <w:rsid w:val="000940B7"/>
    <w:rsid w:val="0009445F"/>
    <w:rsid w:val="000945C7"/>
    <w:rsid w:val="000945E1"/>
    <w:rsid w:val="00094656"/>
    <w:rsid w:val="00094824"/>
    <w:rsid w:val="00094930"/>
    <w:rsid w:val="00094A28"/>
    <w:rsid w:val="00094D0A"/>
    <w:rsid w:val="00094E16"/>
    <w:rsid w:val="00094E6E"/>
    <w:rsid w:val="00095044"/>
    <w:rsid w:val="00095147"/>
    <w:rsid w:val="000952CD"/>
    <w:rsid w:val="000958E0"/>
    <w:rsid w:val="00095A91"/>
    <w:rsid w:val="00095B11"/>
    <w:rsid w:val="00095B1F"/>
    <w:rsid w:val="00095E54"/>
    <w:rsid w:val="00096028"/>
    <w:rsid w:val="000962BE"/>
    <w:rsid w:val="0009638E"/>
    <w:rsid w:val="000963A1"/>
    <w:rsid w:val="00096698"/>
    <w:rsid w:val="000966AC"/>
    <w:rsid w:val="0009676F"/>
    <w:rsid w:val="00096829"/>
    <w:rsid w:val="00096949"/>
    <w:rsid w:val="00096AA1"/>
    <w:rsid w:val="00096B52"/>
    <w:rsid w:val="0009707A"/>
    <w:rsid w:val="000974FF"/>
    <w:rsid w:val="00097635"/>
    <w:rsid w:val="0009780A"/>
    <w:rsid w:val="000978F9"/>
    <w:rsid w:val="00097938"/>
    <w:rsid w:val="00097A6D"/>
    <w:rsid w:val="00097A78"/>
    <w:rsid w:val="00097D9C"/>
    <w:rsid w:val="000A0550"/>
    <w:rsid w:val="000A0673"/>
    <w:rsid w:val="000A08BE"/>
    <w:rsid w:val="000A0D28"/>
    <w:rsid w:val="000A0EA3"/>
    <w:rsid w:val="000A0EA6"/>
    <w:rsid w:val="000A0EDD"/>
    <w:rsid w:val="000A0F8C"/>
    <w:rsid w:val="000A10BF"/>
    <w:rsid w:val="000A10CB"/>
    <w:rsid w:val="000A10CE"/>
    <w:rsid w:val="000A110C"/>
    <w:rsid w:val="000A13D9"/>
    <w:rsid w:val="000A16B9"/>
    <w:rsid w:val="000A1D22"/>
    <w:rsid w:val="000A1F22"/>
    <w:rsid w:val="000A1F2A"/>
    <w:rsid w:val="000A1F32"/>
    <w:rsid w:val="000A2064"/>
    <w:rsid w:val="000A22C9"/>
    <w:rsid w:val="000A2461"/>
    <w:rsid w:val="000A2867"/>
    <w:rsid w:val="000A291A"/>
    <w:rsid w:val="000A29E9"/>
    <w:rsid w:val="000A2ACD"/>
    <w:rsid w:val="000A2B65"/>
    <w:rsid w:val="000A2D23"/>
    <w:rsid w:val="000A2D30"/>
    <w:rsid w:val="000A2DA8"/>
    <w:rsid w:val="000A2E6A"/>
    <w:rsid w:val="000A30B1"/>
    <w:rsid w:val="000A3224"/>
    <w:rsid w:val="000A367A"/>
    <w:rsid w:val="000A38E8"/>
    <w:rsid w:val="000A3A59"/>
    <w:rsid w:val="000A465D"/>
    <w:rsid w:val="000A4CE6"/>
    <w:rsid w:val="000A4D34"/>
    <w:rsid w:val="000A4D3D"/>
    <w:rsid w:val="000A4D8D"/>
    <w:rsid w:val="000A4F9E"/>
    <w:rsid w:val="000A5045"/>
    <w:rsid w:val="000A505F"/>
    <w:rsid w:val="000A562D"/>
    <w:rsid w:val="000A5676"/>
    <w:rsid w:val="000A5A4E"/>
    <w:rsid w:val="000A5BC2"/>
    <w:rsid w:val="000A5C47"/>
    <w:rsid w:val="000A5C5D"/>
    <w:rsid w:val="000A629E"/>
    <w:rsid w:val="000A69FF"/>
    <w:rsid w:val="000A6B30"/>
    <w:rsid w:val="000A6BE1"/>
    <w:rsid w:val="000A6C9A"/>
    <w:rsid w:val="000A6E59"/>
    <w:rsid w:val="000A704B"/>
    <w:rsid w:val="000A7316"/>
    <w:rsid w:val="000A7A32"/>
    <w:rsid w:val="000A7AF6"/>
    <w:rsid w:val="000A7D2D"/>
    <w:rsid w:val="000B079B"/>
    <w:rsid w:val="000B0977"/>
    <w:rsid w:val="000B0A55"/>
    <w:rsid w:val="000B0B7D"/>
    <w:rsid w:val="000B0E59"/>
    <w:rsid w:val="000B105B"/>
    <w:rsid w:val="000B11A7"/>
    <w:rsid w:val="000B11B1"/>
    <w:rsid w:val="000B1213"/>
    <w:rsid w:val="000B17AC"/>
    <w:rsid w:val="000B1D09"/>
    <w:rsid w:val="000B1EC4"/>
    <w:rsid w:val="000B23B4"/>
    <w:rsid w:val="000B29AB"/>
    <w:rsid w:val="000B2B40"/>
    <w:rsid w:val="000B2CFC"/>
    <w:rsid w:val="000B2E1C"/>
    <w:rsid w:val="000B2EF2"/>
    <w:rsid w:val="000B2F8E"/>
    <w:rsid w:val="000B30CC"/>
    <w:rsid w:val="000B31CD"/>
    <w:rsid w:val="000B3330"/>
    <w:rsid w:val="000B3473"/>
    <w:rsid w:val="000B353B"/>
    <w:rsid w:val="000B3565"/>
    <w:rsid w:val="000B3720"/>
    <w:rsid w:val="000B3777"/>
    <w:rsid w:val="000B38BE"/>
    <w:rsid w:val="000B39A4"/>
    <w:rsid w:val="000B3B36"/>
    <w:rsid w:val="000B3B88"/>
    <w:rsid w:val="000B3DD7"/>
    <w:rsid w:val="000B4031"/>
    <w:rsid w:val="000B41A7"/>
    <w:rsid w:val="000B4213"/>
    <w:rsid w:val="000B426F"/>
    <w:rsid w:val="000B46CC"/>
    <w:rsid w:val="000B4C03"/>
    <w:rsid w:val="000B4C49"/>
    <w:rsid w:val="000B4CE4"/>
    <w:rsid w:val="000B4F9E"/>
    <w:rsid w:val="000B5016"/>
    <w:rsid w:val="000B5352"/>
    <w:rsid w:val="000B5437"/>
    <w:rsid w:val="000B5684"/>
    <w:rsid w:val="000B5816"/>
    <w:rsid w:val="000B59F1"/>
    <w:rsid w:val="000B5D82"/>
    <w:rsid w:val="000B6564"/>
    <w:rsid w:val="000B67C0"/>
    <w:rsid w:val="000B6B0A"/>
    <w:rsid w:val="000B6C7B"/>
    <w:rsid w:val="000B6CC6"/>
    <w:rsid w:val="000B6CF0"/>
    <w:rsid w:val="000B6DBB"/>
    <w:rsid w:val="000B6E02"/>
    <w:rsid w:val="000B6E38"/>
    <w:rsid w:val="000B703D"/>
    <w:rsid w:val="000B703E"/>
    <w:rsid w:val="000B720C"/>
    <w:rsid w:val="000B7413"/>
    <w:rsid w:val="000B7665"/>
    <w:rsid w:val="000C0285"/>
    <w:rsid w:val="000C0414"/>
    <w:rsid w:val="000C06A0"/>
    <w:rsid w:val="000C0B31"/>
    <w:rsid w:val="000C1462"/>
    <w:rsid w:val="000C1470"/>
    <w:rsid w:val="000C172C"/>
    <w:rsid w:val="000C18B2"/>
    <w:rsid w:val="000C1C95"/>
    <w:rsid w:val="000C1CE1"/>
    <w:rsid w:val="000C2060"/>
    <w:rsid w:val="000C21A5"/>
    <w:rsid w:val="000C2279"/>
    <w:rsid w:val="000C22E5"/>
    <w:rsid w:val="000C22FC"/>
    <w:rsid w:val="000C26BD"/>
    <w:rsid w:val="000C2B88"/>
    <w:rsid w:val="000C2E4E"/>
    <w:rsid w:val="000C2ECA"/>
    <w:rsid w:val="000C2F06"/>
    <w:rsid w:val="000C2F78"/>
    <w:rsid w:val="000C3002"/>
    <w:rsid w:val="000C317C"/>
    <w:rsid w:val="000C3221"/>
    <w:rsid w:val="000C354B"/>
    <w:rsid w:val="000C3784"/>
    <w:rsid w:val="000C37CB"/>
    <w:rsid w:val="000C3A22"/>
    <w:rsid w:val="000C3C74"/>
    <w:rsid w:val="000C3CB0"/>
    <w:rsid w:val="000C3E03"/>
    <w:rsid w:val="000C3F17"/>
    <w:rsid w:val="000C3F2B"/>
    <w:rsid w:val="000C4147"/>
    <w:rsid w:val="000C4525"/>
    <w:rsid w:val="000C4635"/>
    <w:rsid w:val="000C47F0"/>
    <w:rsid w:val="000C486C"/>
    <w:rsid w:val="000C48E1"/>
    <w:rsid w:val="000C4ADB"/>
    <w:rsid w:val="000C4AF4"/>
    <w:rsid w:val="000C4EEC"/>
    <w:rsid w:val="000C55ED"/>
    <w:rsid w:val="000C596E"/>
    <w:rsid w:val="000C5B09"/>
    <w:rsid w:val="000C5B81"/>
    <w:rsid w:val="000C5DA4"/>
    <w:rsid w:val="000C617D"/>
    <w:rsid w:val="000C647F"/>
    <w:rsid w:val="000C64C7"/>
    <w:rsid w:val="000C6671"/>
    <w:rsid w:val="000C6919"/>
    <w:rsid w:val="000C696A"/>
    <w:rsid w:val="000C6B23"/>
    <w:rsid w:val="000C6C6D"/>
    <w:rsid w:val="000C6D32"/>
    <w:rsid w:val="000C6D7E"/>
    <w:rsid w:val="000C737B"/>
    <w:rsid w:val="000C7781"/>
    <w:rsid w:val="000C77F5"/>
    <w:rsid w:val="000C7949"/>
    <w:rsid w:val="000C7A99"/>
    <w:rsid w:val="000C7C46"/>
    <w:rsid w:val="000C7D3D"/>
    <w:rsid w:val="000C7EB3"/>
    <w:rsid w:val="000C7FF9"/>
    <w:rsid w:val="000D021C"/>
    <w:rsid w:val="000D0760"/>
    <w:rsid w:val="000D0A7A"/>
    <w:rsid w:val="000D0C0C"/>
    <w:rsid w:val="000D0D56"/>
    <w:rsid w:val="000D0E33"/>
    <w:rsid w:val="000D1050"/>
    <w:rsid w:val="000D111D"/>
    <w:rsid w:val="000D1206"/>
    <w:rsid w:val="000D1312"/>
    <w:rsid w:val="000D1324"/>
    <w:rsid w:val="000D142D"/>
    <w:rsid w:val="000D173F"/>
    <w:rsid w:val="000D1AC1"/>
    <w:rsid w:val="000D1B3B"/>
    <w:rsid w:val="000D1B52"/>
    <w:rsid w:val="000D2043"/>
    <w:rsid w:val="000D23A9"/>
    <w:rsid w:val="000D24E4"/>
    <w:rsid w:val="000D26F8"/>
    <w:rsid w:val="000D2814"/>
    <w:rsid w:val="000D2971"/>
    <w:rsid w:val="000D299B"/>
    <w:rsid w:val="000D2C00"/>
    <w:rsid w:val="000D2D64"/>
    <w:rsid w:val="000D30BC"/>
    <w:rsid w:val="000D3452"/>
    <w:rsid w:val="000D34EA"/>
    <w:rsid w:val="000D372B"/>
    <w:rsid w:val="000D3831"/>
    <w:rsid w:val="000D38F1"/>
    <w:rsid w:val="000D3B1A"/>
    <w:rsid w:val="000D3C3F"/>
    <w:rsid w:val="000D3C5C"/>
    <w:rsid w:val="000D3F1D"/>
    <w:rsid w:val="000D3FF3"/>
    <w:rsid w:val="000D467B"/>
    <w:rsid w:val="000D4979"/>
    <w:rsid w:val="000D4A0A"/>
    <w:rsid w:val="000D4C1B"/>
    <w:rsid w:val="000D5058"/>
    <w:rsid w:val="000D5171"/>
    <w:rsid w:val="000D54A6"/>
    <w:rsid w:val="000D5523"/>
    <w:rsid w:val="000D5684"/>
    <w:rsid w:val="000D5749"/>
    <w:rsid w:val="000D589B"/>
    <w:rsid w:val="000D5948"/>
    <w:rsid w:val="000D5C12"/>
    <w:rsid w:val="000D5C97"/>
    <w:rsid w:val="000D5E9B"/>
    <w:rsid w:val="000D5F47"/>
    <w:rsid w:val="000D617A"/>
    <w:rsid w:val="000D6C96"/>
    <w:rsid w:val="000D6CD3"/>
    <w:rsid w:val="000D6FE7"/>
    <w:rsid w:val="000D71B2"/>
    <w:rsid w:val="000D7289"/>
    <w:rsid w:val="000D7682"/>
    <w:rsid w:val="000D795D"/>
    <w:rsid w:val="000D79BF"/>
    <w:rsid w:val="000D7DDD"/>
    <w:rsid w:val="000D7DF3"/>
    <w:rsid w:val="000E001A"/>
    <w:rsid w:val="000E0048"/>
    <w:rsid w:val="000E0109"/>
    <w:rsid w:val="000E03DC"/>
    <w:rsid w:val="000E0620"/>
    <w:rsid w:val="000E0649"/>
    <w:rsid w:val="000E0722"/>
    <w:rsid w:val="000E0AF6"/>
    <w:rsid w:val="000E0B59"/>
    <w:rsid w:val="000E0BBA"/>
    <w:rsid w:val="000E0D7B"/>
    <w:rsid w:val="000E0F6C"/>
    <w:rsid w:val="000E1029"/>
    <w:rsid w:val="000E102B"/>
    <w:rsid w:val="000E10FC"/>
    <w:rsid w:val="000E1124"/>
    <w:rsid w:val="000E138E"/>
    <w:rsid w:val="000E148C"/>
    <w:rsid w:val="000E14B1"/>
    <w:rsid w:val="000E196A"/>
    <w:rsid w:val="000E1E2E"/>
    <w:rsid w:val="000E2006"/>
    <w:rsid w:val="000E20B6"/>
    <w:rsid w:val="000E218E"/>
    <w:rsid w:val="000E2488"/>
    <w:rsid w:val="000E2631"/>
    <w:rsid w:val="000E27D0"/>
    <w:rsid w:val="000E27D4"/>
    <w:rsid w:val="000E3105"/>
    <w:rsid w:val="000E3179"/>
    <w:rsid w:val="000E3758"/>
    <w:rsid w:val="000E396F"/>
    <w:rsid w:val="000E397B"/>
    <w:rsid w:val="000E3A26"/>
    <w:rsid w:val="000E3B72"/>
    <w:rsid w:val="000E3E5D"/>
    <w:rsid w:val="000E404E"/>
    <w:rsid w:val="000E4235"/>
    <w:rsid w:val="000E433C"/>
    <w:rsid w:val="000E4528"/>
    <w:rsid w:val="000E476D"/>
    <w:rsid w:val="000E493D"/>
    <w:rsid w:val="000E4BD3"/>
    <w:rsid w:val="000E4D5A"/>
    <w:rsid w:val="000E4D82"/>
    <w:rsid w:val="000E4DE3"/>
    <w:rsid w:val="000E4DFC"/>
    <w:rsid w:val="000E4E03"/>
    <w:rsid w:val="000E4FE1"/>
    <w:rsid w:val="000E5070"/>
    <w:rsid w:val="000E52D2"/>
    <w:rsid w:val="000E5531"/>
    <w:rsid w:val="000E5851"/>
    <w:rsid w:val="000E594B"/>
    <w:rsid w:val="000E5D9F"/>
    <w:rsid w:val="000E5E6F"/>
    <w:rsid w:val="000E6113"/>
    <w:rsid w:val="000E6410"/>
    <w:rsid w:val="000E6473"/>
    <w:rsid w:val="000E6673"/>
    <w:rsid w:val="000E66E7"/>
    <w:rsid w:val="000E678B"/>
    <w:rsid w:val="000E6806"/>
    <w:rsid w:val="000E6856"/>
    <w:rsid w:val="000E6A7B"/>
    <w:rsid w:val="000E6B4A"/>
    <w:rsid w:val="000E6F53"/>
    <w:rsid w:val="000E7501"/>
    <w:rsid w:val="000E75CC"/>
    <w:rsid w:val="000E7607"/>
    <w:rsid w:val="000E7745"/>
    <w:rsid w:val="000E79E2"/>
    <w:rsid w:val="000E7AD9"/>
    <w:rsid w:val="000E7BE9"/>
    <w:rsid w:val="000E7CEF"/>
    <w:rsid w:val="000E7F9D"/>
    <w:rsid w:val="000F0126"/>
    <w:rsid w:val="000F0203"/>
    <w:rsid w:val="000F02ED"/>
    <w:rsid w:val="000F0498"/>
    <w:rsid w:val="000F0586"/>
    <w:rsid w:val="000F0651"/>
    <w:rsid w:val="000F0821"/>
    <w:rsid w:val="000F098E"/>
    <w:rsid w:val="000F099C"/>
    <w:rsid w:val="000F0A7A"/>
    <w:rsid w:val="000F0A84"/>
    <w:rsid w:val="000F0D6B"/>
    <w:rsid w:val="000F0EC4"/>
    <w:rsid w:val="000F0EFD"/>
    <w:rsid w:val="000F1439"/>
    <w:rsid w:val="000F18C9"/>
    <w:rsid w:val="000F1D05"/>
    <w:rsid w:val="000F1D2D"/>
    <w:rsid w:val="000F1F8B"/>
    <w:rsid w:val="000F2672"/>
    <w:rsid w:val="000F2746"/>
    <w:rsid w:val="000F2A67"/>
    <w:rsid w:val="000F2B7B"/>
    <w:rsid w:val="000F2E01"/>
    <w:rsid w:val="000F3492"/>
    <w:rsid w:val="000F3567"/>
    <w:rsid w:val="000F3CB0"/>
    <w:rsid w:val="000F3E10"/>
    <w:rsid w:val="000F3E47"/>
    <w:rsid w:val="000F44FE"/>
    <w:rsid w:val="000F45C7"/>
    <w:rsid w:val="000F466B"/>
    <w:rsid w:val="000F4913"/>
    <w:rsid w:val="000F4950"/>
    <w:rsid w:val="000F49FE"/>
    <w:rsid w:val="000F4C4A"/>
    <w:rsid w:val="000F4C7B"/>
    <w:rsid w:val="000F5770"/>
    <w:rsid w:val="000F5865"/>
    <w:rsid w:val="000F590C"/>
    <w:rsid w:val="000F59BE"/>
    <w:rsid w:val="000F5A54"/>
    <w:rsid w:val="000F5B72"/>
    <w:rsid w:val="000F5E38"/>
    <w:rsid w:val="000F5EF7"/>
    <w:rsid w:val="000F631D"/>
    <w:rsid w:val="000F63E7"/>
    <w:rsid w:val="000F64BE"/>
    <w:rsid w:val="000F653B"/>
    <w:rsid w:val="000F667C"/>
    <w:rsid w:val="000F674B"/>
    <w:rsid w:val="000F67FB"/>
    <w:rsid w:val="000F6AFA"/>
    <w:rsid w:val="000F6B40"/>
    <w:rsid w:val="000F6DB1"/>
    <w:rsid w:val="000F6FD5"/>
    <w:rsid w:val="000F7056"/>
    <w:rsid w:val="000F7987"/>
    <w:rsid w:val="000F7A78"/>
    <w:rsid w:val="000F7AE2"/>
    <w:rsid w:val="000F7B9D"/>
    <w:rsid w:val="000F7C3A"/>
    <w:rsid w:val="00100311"/>
    <w:rsid w:val="0010051C"/>
    <w:rsid w:val="001005E9"/>
    <w:rsid w:val="001006CE"/>
    <w:rsid w:val="00100742"/>
    <w:rsid w:val="00100C39"/>
    <w:rsid w:val="001011A1"/>
    <w:rsid w:val="00101450"/>
    <w:rsid w:val="001015A6"/>
    <w:rsid w:val="001016EB"/>
    <w:rsid w:val="0010173B"/>
    <w:rsid w:val="00101B62"/>
    <w:rsid w:val="00101F74"/>
    <w:rsid w:val="00101FDB"/>
    <w:rsid w:val="0010257B"/>
    <w:rsid w:val="0010264C"/>
    <w:rsid w:val="0010265B"/>
    <w:rsid w:val="0010284D"/>
    <w:rsid w:val="001028E5"/>
    <w:rsid w:val="00102980"/>
    <w:rsid w:val="00102B2B"/>
    <w:rsid w:val="00102D25"/>
    <w:rsid w:val="00103001"/>
    <w:rsid w:val="001031EB"/>
    <w:rsid w:val="0010360A"/>
    <w:rsid w:val="00103736"/>
    <w:rsid w:val="001037E8"/>
    <w:rsid w:val="00103E0D"/>
    <w:rsid w:val="00104126"/>
    <w:rsid w:val="00104371"/>
    <w:rsid w:val="0010437A"/>
    <w:rsid w:val="0010448B"/>
    <w:rsid w:val="00104932"/>
    <w:rsid w:val="00104966"/>
    <w:rsid w:val="00104A2E"/>
    <w:rsid w:val="00104C8A"/>
    <w:rsid w:val="00104D3C"/>
    <w:rsid w:val="00104E2E"/>
    <w:rsid w:val="001050C0"/>
    <w:rsid w:val="0010521F"/>
    <w:rsid w:val="00105252"/>
    <w:rsid w:val="00105291"/>
    <w:rsid w:val="00105476"/>
    <w:rsid w:val="00105742"/>
    <w:rsid w:val="0010598E"/>
    <w:rsid w:val="00106151"/>
    <w:rsid w:val="0010625A"/>
    <w:rsid w:val="00106376"/>
    <w:rsid w:val="001066CA"/>
    <w:rsid w:val="0010682C"/>
    <w:rsid w:val="00106C56"/>
    <w:rsid w:val="00106C57"/>
    <w:rsid w:val="00106CD3"/>
    <w:rsid w:val="0010714F"/>
    <w:rsid w:val="0010715C"/>
    <w:rsid w:val="0010740C"/>
    <w:rsid w:val="00107524"/>
    <w:rsid w:val="00107A94"/>
    <w:rsid w:val="00107AA2"/>
    <w:rsid w:val="00107DCD"/>
    <w:rsid w:val="00107EF0"/>
    <w:rsid w:val="00110142"/>
    <w:rsid w:val="001103AF"/>
    <w:rsid w:val="0011051C"/>
    <w:rsid w:val="00110674"/>
    <w:rsid w:val="0011074D"/>
    <w:rsid w:val="00110808"/>
    <w:rsid w:val="0011095A"/>
    <w:rsid w:val="001109D1"/>
    <w:rsid w:val="00110A21"/>
    <w:rsid w:val="00110FC8"/>
    <w:rsid w:val="00111253"/>
    <w:rsid w:val="00111417"/>
    <w:rsid w:val="00111551"/>
    <w:rsid w:val="001116BE"/>
    <w:rsid w:val="0011176C"/>
    <w:rsid w:val="00111974"/>
    <w:rsid w:val="00111AF0"/>
    <w:rsid w:val="00111F19"/>
    <w:rsid w:val="00111FB9"/>
    <w:rsid w:val="00112452"/>
    <w:rsid w:val="001124FA"/>
    <w:rsid w:val="00112749"/>
    <w:rsid w:val="0011276A"/>
    <w:rsid w:val="00112827"/>
    <w:rsid w:val="00112870"/>
    <w:rsid w:val="00112A75"/>
    <w:rsid w:val="00112C5D"/>
    <w:rsid w:val="00112D77"/>
    <w:rsid w:val="00112F55"/>
    <w:rsid w:val="0011301B"/>
    <w:rsid w:val="001131BF"/>
    <w:rsid w:val="00113205"/>
    <w:rsid w:val="0011369C"/>
    <w:rsid w:val="00113A24"/>
    <w:rsid w:val="00113C60"/>
    <w:rsid w:val="00113E67"/>
    <w:rsid w:val="00113F2D"/>
    <w:rsid w:val="00113FBE"/>
    <w:rsid w:val="0011412D"/>
    <w:rsid w:val="00114293"/>
    <w:rsid w:val="001142EA"/>
    <w:rsid w:val="001143DE"/>
    <w:rsid w:val="00114464"/>
    <w:rsid w:val="00114542"/>
    <w:rsid w:val="0011454A"/>
    <w:rsid w:val="00114649"/>
    <w:rsid w:val="00114715"/>
    <w:rsid w:val="00114B9A"/>
    <w:rsid w:val="00114C3B"/>
    <w:rsid w:val="00114CBF"/>
    <w:rsid w:val="001152B1"/>
    <w:rsid w:val="001154EB"/>
    <w:rsid w:val="0011560F"/>
    <w:rsid w:val="00115691"/>
    <w:rsid w:val="0011593F"/>
    <w:rsid w:val="00115A3B"/>
    <w:rsid w:val="00115CE4"/>
    <w:rsid w:val="00115DBB"/>
    <w:rsid w:val="00115EE8"/>
    <w:rsid w:val="00115F4C"/>
    <w:rsid w:val="001161ED"/>
    <w:rsid w:val="001165E2"/>
    <w:rsid w:val="00116645"/>
    <w:rsid w:val="001167BE"/>
    <w:rsid w:val="00116A85"/>
    <w:rsid w:val="00116B31"/>
    <w:rsid w:val="00116E18"/>
    <w:rsid w:val="00117039"/>
    <w:rsid w:val="00117397"/>
    <w:rsid w:val="001176DF"/>
    <w:rsid w:val="0011772B"/>
    <w:rsid w:val="001179BD"/>
    <w:rsid w:val="001179F3"/>
    <w:rsid w:val="00117A38"/>
    <w:rsid w:val="00117DB8"/>
    <w:rsid w:val="00117F04"/>
    <w:rsid w:val="0012008E"/>
    <w:rsid w:val="0012075B"/>
    <w:rsid w:val="00120782"/>
    <w:rsid w:val="00120BD3"/>
    <w:rsid w:val="00120ED4"/>
    <w:rsid w:val="00121033"/>
    <w:rsid w:val="00121038"/>
    <w:rsid w:val="001210E4"/>
    <w:rsid w:val="00121169"/>
    <w:rsid w:val="001215BA"/>
    <w:rsid w:val="001218E9"/>
    <w:rsid w:val="00121A7A"/>
    <w:rsid w:val="001220FC"/>
    <w:rsid w:val="001221E3"/>
    <w:rsid w:val="001226E5"/>
    <w:rsid w:val="001226F1"/>
    <w:rsid w:val="00122AE3"/>
    <w:rsid w:val="00122C4A"/>
    <w:rsid w:val="00122DAE"/>
    <w:rsid w:val="00122E21"/>
    <w:rsid w:val="00122EE1"/>
    <w:rsid w:val="00123043"/>
    <w:rsid w:val="00123124"/>
    <w:rsid w:val="0012327A"/>
    <w:rsid w:val="001233EF"/>
    <w:rsid w:val="0012344B"/>
    <w:rsid w:val="0012350D"/>
    <w:rsid w:val="00123658"/>
    <w:rsid w:val="001237AF"/>
    <w:rsid w:val="00123946"/>
    <w:rsid w:val="0012398E"/>
    <w:rsid w:val="00123D29"/>
    <w:rsid w:val="00123E4D"/>
    <w:rsid w:val="00124502"/>
    <w:rsid w:val="0012455F"/>
    <w:rsid w:val="00124598"/>
    <w:rsid w:val="001245C2"/>
    <w:rsid w:val="001247EB"/>
    <w:rsid w:val="00124AF1"/>
    <w:rsid w:val="00124BA3"/>
    <w:rsid w:val="00124CB6"/>
    <w:rsid w:val="00124D87"/>
    <w:rsid w:val="00124E62"/>
    <w:rsid w:val="00124F3C"/>
    <w:rsid w:val="0012500E"/>
    <w:rsid w:val="001256E1"/>
    <w:rsid w:val="00125700"/>
    <w:rsid w:val="00125775"/>
    <w:rsid w:val="00125A34"/>
    <w:rsid w:val="00125A9B"/>
    <w:rsid w:val="00125B61"/>
    <w:rsid w:val="00126122"/>
    <w:rsid w:val="00126506"/>
    <w:rsid w:val="001267C8"/>
    <w:rsid w:val="001269F4"/>
    <w:rsid w:val="00126B64"/>
    <w:rsid w:val="00126D17"/>
    <w:rsid w:val="00126D5E"/>
    <w:rsid w:val="00126E6C"/>
    <w:rsid w:val="001273BA"/>
    <w:rsid w:val="00127438"/>
    <w:rsid w:val="00127510"/>
    <w:rsid w:val="00127BC8"/>
    <w:rsid w:val="00127DF3"/>
    <w:rsid w:val="00130148"/>
    <w:rsid w:val="001304D2"/>
    <w:rsid w:val="00130738"/>
    <w:rsid w:val="001308D7"/>
    <w:rsid w:val="00130CD4"/>
    <w:rsid w:val="00130EAC"/>
    <w:rsid w:val="00131015"/>
    <w:rsid w:val="001312CF"/>
    <w:rsid w:val="00131448"/>
    <w:rsid w:val="00131587"/>
    <w:rsid w:val="001317D4"/>
    <w:rsid w:val="00131851"/>
    <w:rsid w:val="001319D1"/>
    <w:rsid w:val="00131AF4"/>
    <w:rsid w:val="00131D45"/>
    <w:rsid w:val="00132023"/>
    <w:rsid w:val="001320F0"/>
    <w:rsid w:val="0013214B"/>
    <w:rsid w:val="00132566"/>
    <w:rsid w:val="001325EC"/>
    <w:rsid w:val="001326E7"/>
    <w:rsid w:val="00132774"/>
    <w:rsid w:val="0013292B"/>
    <w:rsid w:val="00132B7F"/>
    <w:rsid w:val="00132BF9"/>
    <w:rsid w:val="00132C5F"/>
    <w:rsid w:val="00132CE2"/>
    <w:rsid w:val="00132DEE"/>
    <w:rsid w:val="00132EA5"/>
    <w:rsid w:val="00132F7F"/>
    <w:rsid w:val="001334C7"/>
    <w:rsid w:val="001336C9"/>
    <w:rsid w:val="001336E0"/>
    <w:rsid w:val="00133BD8"/>
    <w:rsid w:val="00133F34"/>
    <w:rsid w:val="00134028"/>
    <w:rsid w:val="00134392"/>
    <w:rsid w:val="0013450A"/>
    <w:rsid w:val="00134545"/>
    <w:rsid w:val="001348B1"/>
    <w:rsid w:val="001349B3"/>
    <w:rsid w:val="00135038"/>
    <w:rsid w:val="00135046"/>
    <w:rsid w:val="00135273"/>
    <w:rsid w:val="001352CF"/>
    <w:rsid w:val="001353A4"/>
    <w:rsid w:val="001353F1"/>
    <w:rsid w:val="001355D5"/>
    <w:rsid w:val="00135788"/>
    <w:rsid w:val="001359A4"/>
    <w:rsid w:val="00135A0C"/>
    <w:rsid w:val="00135A27"/>
    <w:rsid w:val="00135D4C"/>
    <w:rsid w:val="00135E27"/>
    <w:rsid w:val="00135FC9"/>
    <w:rsid w:val="00136167"/>
    <w:rsid w:val="00136369"/>
    <w:rsid w:val="00136778"/>
    <w:rsid w:val="00136930"/>
    <w:rsid w:val="00136963"/>
    <w:rsid w:val="00136BA5"/>
    <w:rsid w:val="00136D32"/>
    <w:rsid w:val="00136D7A"/>
    <w:rsid w:val="00136F6F"/>
    <w:rsid w:val="00137800"/>
    <w:rsid w:val="00137881"/>
    <w:rsid w:val="00137AEC"/>
    <w:rsid w:val="00137C65"/>
    <w:rsid w:val="00137D74"/>
    <w:rsid w:val="00140352"/>
    <w:rsid w:val="001406A9"/>
    <w:rsid w:val="001408FA"/>
    <w:rsid w:val="00140B9E"/>
    <w:rsid w:val="00140DD8"/>
    <w:rsid w:val="00141099"/>
    <w:rsid w:val="0014123F"/>
    <w:rsid w:val="00141354"/>
    <w:rsid w:val="0014178F"/>
    <w:rsid w:val="001419CA"/>
    <w:rsid w:val="001419D7"/>
    <w:rsid w:val="00141ACD"/>
    <w:rsid w:val="00141B3A"/>
    <w:rsid w:val="001421F8"/>
    <w:rsid w:val="0014248E"/>
    <w:rsid w:val="0014251F"/>
    <w:rsid w:val="001426BA"/>
    <w:rsid w:val="0014286C"/>
    <w:rsid w:val="001428FB"/>
    <w:rsid w:val="0014311B"/>
    <w:rsid w:val="00143478"/>
    <w:rsid w:val="0014377C"/>
    <w:rsid w:val="001438A2"/>
    <w:rsid w:val="00143D4F"/>
    <w:rsid w:val="00143D89"/>
    <w:rsid w:val="00143F2F"/>
    <w:rsid w:val="00143FF3"/>
    <w:rsid w:val="001445F1"/>
    <w:rsid w:val="0014498C"/>
    <w:rsid w:val="00144B87"/>
    <w:rsid w:val="00144C0A"/>
    <w:rsid w:val="0014518D"/>
    <w:rsid w:val="0014539F"/>
    <w:rsid w:val="0014577B"/>
    <w:rsid w:val="00145830"/>
    <w:rsid w:val="00145876"/>
    <w:rsid w:val="00145A9C"/>
    <w:rsid w:val="00145B1C"/>
    <w:rsid w:val="00145E1F"/>
    <w:rsid w:val="0014618A"/>
    <w:rsid w:val="00146346"/>
    <w:rsid w:val="00146446"/>
    <w:rsid w:val="00146610"/>
    <w:rsid w:val="00146624"/>
    <w:rsid w:val="00146828"/>
    <w:rsid w:val="00146889"/>
    <w:rsid w:val="0014699E"/>
    <w:rsid w:val="00146E0E"/>
    <w:rsid w:val="0014714B"/>
    <w:rsid w:val="00147684"/>
    <w:rsid w:val="00147710"/>
    <w:rsid w:val="00147B52"/>
    <w:rsid w:val="00147B68"/>
    <w:rsid w:val="00147C38"/>
    <w:rsid w:val="0015007A"/>
    <w:rsid w:val="0015027F"/>
    <w:rsid w:val="00150376"/>
    <w:rsid w:val="001503EA"/>
    <w:rsid w:val="00150473"/>
    <w:rsid w:val="001507D4"/>
    <w:rsid w:val="00150CF1"/>
    <w:rsid w:val="00150EEE"/>
    <w:rsid w:val="001515DD"/>
    <w:rsid w:val="001516A3"/>
    <w:rsid w:val="001516FD"/>
    <w:rsid w:val="00151BC7"/>
    <w:rsid w:val="00151DBD"/>
    <w:rsid w:val="00152205"/>
    <w:rsid w:val="0015220A"/>
    <w:rsid w:val="001522FA"/>
    <w:rsid w:val="00152358"/>
    <w:rsid w:val="00152484"/>
    <w:rsid w:val="00152662"/>
    <w:rsid w:val="00152B88"/>
    <w:rsid w:val="00152D5B"/>
    <w:rsid w:val="00152EAA"/>
    <w:rsid w:val="0015301F"/>
    <w:rsid w:val="001530F5"/>
    <w:rsid w:val="001531D6"/>
    <w:rsid w:val="001532D5"/>
    <w:rsid w:val="00153354"/>
    <w:rsid w:val="001536AF"/>
    <w:rsid w:val="00153915"/>
    <w:rsid w:val="00153B9F"/>
    <w:rsid w:val="00153BC1"/>
    <w:rsid w:val="00154115"/>
    <w:rsid w:val="00154179"/>
    <w:rsid w:val="001544DF"/>
    <w:rsid w:val="00154618"/>
    <w:rsid w:val="001547D8"/>
    <w:rsid w:val="001548F6"/>
    <w:rsid w:val="0015496E"/>
    <w:rsid w:val="001549D0"/>
    <w:rsid w:val="001549F0"/>
    <w:rsid w:val="00154FF3"/>
    <w:rsid w:val="001550AB"/>
    <w:rsid w:val="00155208"/>
    <w:rsid w:val="00155434"/>
    <w:rsid w:val="0015569A"/>
    <w:rsid w:val="00155BDA"/>
    <w:rsid w:val="00155FCE"/>
    <w:rsid w:val="00156138"/>
    <w:rsid w:val="001563A8"/>
    <w:rsid w:val="00156641"/>
    <w:rsid w:val="00156669"/>
    <w:rsid w:val="001567A1"/>
    <w:rsid w:val="001567DC"/>
    <w:rsid w:val="00156CB4"/>
    <w:rsid w:val="00156DAA"/>
    <w:rsid w:val="00156F4F"/>
    <w:rsid w:val="00156FA7"/>
    <w:rsid w:val="001571D7"/>
    <w:rsid w:val="0015745E"/>
    <w:rsid w:val="00157700"/>
    <w:rsid w:val="00157896"/>
    <w:rsid w:val="00157CBE"/>
    <w:rsid w:val="00157D2A"/>
    <w:rsid w:val="00157E4B"/>
    <w:rsid w:val="0016023A"/>
    <w:rsid w:val="0016035A"/>
    <w:rsid w:val="00160731"/>
    <w:rsid w:val="0016097C"/>
    <w:rsid w:val="00160B80"/>
    <w:rsid w:val="00160DE3"/>
    <w:rsid w:val="00160E19"/>
    <w:rsid w:val="00160E5C"/>
    <w:rsid w:val="00160FF9"/>
    <w:rsid w:val="0016105E"/>
    <w:rsid w:val="0016129D"/>
    <w:rsid w:val="00161589"/>
    <w:rsid w:val="0016164B"/>
    <w:rsid w:val="00161A5C"/>
    <w:rsid w:val="00161BC0"/>
    <w:rsid w:val="00161D1D"/>
    <w:rsid w:val="00161D9F"/>
    <w:rsid w:val="00161FC1"/>
    <w:rsid w:val="0016221A"/>
    <w:rsid w:val="001622B2"/>
    <w:rsid w:val="001629A0"/>
    <w:rsid w:val="00162DBF"/>
    <w:rsid w:val="00162EAC"/>
    <w:rsid w:val="001630A7"/>
    <w:rsid w:val="0016313E"/>
    <w:rsid w:val="00163322"/>
    <w:rsid w:val="00163A72"/>
    <w:rsid w:val="00163AE0"/>
    <w:rsid w:val="00163F5C"/>
    <w:rsid w:val="00164207"/>
    <w:rsid w:val="00164431"/>
    <w:rsid w:val="00164461"/>
    <w:rsid w:val="001644A3"/>
    <w:rsid w:val="00164727"/>
    <w:rsid w:val="00164AA4"/>
    <w:rsid w:val="00164CB8"/>
    <w:rsid w:val="00164CF8"/>
    <w:rsid w:val="001650F6"/>
    <w:rsid w:val="0016536D"/>
    <w:rsid w:val="001653AE"/>
    <w:rsid w:val="00165447"/>
    <w:rsid w:val="00165496"/>
    <w:rsid w:val="00165527"/>
    <w:rsid w:val="00165593"/>
    <w:rsid w:val="0016569F"/>
    <w:rsid w:val="001659C4"/>
    <w:rsid w:val="001659D9"/>
    <w:rsid w:val="001660EE"/>
    <w:rsid w:val="00166286"/>
    <w:rsid w:val="001662BF"/>
    <w:rsid w:val="0016668D"/>
    <w:rsid w:val="001666CC"/>
    <w:rsid w:val="00166944"/>
    <w:rsid w:val="00166B53"/>
    <w:rsid w:val="00166DD5"/>
    <w:rsid w:val="00166E21"/>
    <w:rsid w:val="00166F0C"/>
    <w:rsid w:val="00167487"/>
    <w:rsid w:val="001674A7"/>
    <w:rsid w:val="00167503"/>
    <w:rsid w:val="001675BC"/>
    <w:rsid w:val="00167700"/>
    <w:rsid w:val="001677D3"/>
    <w:rsid w:val="001678CA"/>
    <w:rsid w:val="00167ABD"/>
    <w:rsid w:val="00167AFA"/>
    <w:rsid w:val="00167CFB"/>
    <w:rsid w:val="00167D71"/>
    <w:rsid w:val="00167DF4"/>
    <w:rsid w:val="00167EF5"/>
    <w:rsid w:val="001700AB"/>
    <w:rsid w:val="001701D9"/>
    <w:rsid w:val="00170346"/>
    <w:rsid w:val="00170494"/>
    <w:rsid w:val="001705B0"/>
    <w:rsid w:val="00170687"/>
    <w:rsid w:val="001708BF"/>
    <w:rsid w:val="00170A7C"/>
    <w:rsid w:val="00170A8A"/>
    <w:rsid w:val="00170D5B"/>
    <w:rsid w:val="00170F06"/>
    <w:rsid w:val="0017103C"/>
    <w:rsid w:val="0017116F"/>
    <w:rsid w:val="00171206"/>
    <w:rsid w:val="00171261"/>
    <w:rsid w:val="0017140A"/>
    <w:rsid w:val="0017141B"/>
    <w:rsid w:val="00171479"/>
    <w:rsid w:val="00171AF7"/>
    <w:rsid w:val="00171B3C"/>
    <w:rsid w:val="00171B51"/>
    <w:rsid w:val="00171B7D"/>
    <w:rsid w:val="00171D3D"/>
    <w:rsid w:val="001720D1"/>
    <w:rsid w:val="001720DC"/>
    <w:rsid w:val="001723EF"/>
    <w:rsid w:val="0017267C"/>
    <w:rsid w:val="001726B1"/>
    <w:rsid w:val="00172B8F"/>
    <w:rsid w:val="001731CF"/>
    <w:rsid w:val="001736F8"/>
    <w:rsid w:val="001737B1"/>
    <w:rsid w:val="00173D81"/>
    <w:rsid w:val="00173D85"/>
    <w:rsid w:val="00174018"/>
    <w:rsid w:val="0017449C"/>
    <w:rsid w:val="00174534"/>
    <w:rsid w:val="001745B1"/>
    <w:rsid w:val="00174758"/>
    <w:rsid w:val="0017489D"/>
    <w:rsid w:val="00174949"/>
    <w:rsid w:val="0017497F"/>
    <w:rsid w:val="00174CB4"/>
    <w:rsid w:val="00174E01"/>
    <w:rsid w:val="00174FD4"/>
    <w:rsid w:val="00175382"/>
    <w:rsid w:val="001753D5"/>
    <w:rsid w:val="0017545F"/>
    <w:rsid w:val="001756F5"/>
    <w:rsid w:val="00175705"/>
    <w:rsid w:val="00175789"/>
    <w:rsid w:val="001757B9"/>
    <w:rsid w:val="0017593C"/>
    <w:rsid w:val="00175F93"/>
    <w:rsid w:val="00176014"/>
    <w:rsid w:val="001766F0"/>
    <w:rsid w:val="00176ABB"/>
    <w:rsid w:val="00176ADF"/>
    <w:rsid w:val="00176D88"/>
    <w:rsid w:val="00176E0C"/>
    <w:rsid w:val="00177184"/>
    <w:rsid w:val="0017733D"/>
    <w:rsid w:val="00177342"/>
    <w:rsid w:val="0017749E"/>
    <w:rsid w:val="001774C1"/>
    <w:rsid w:val="001777F4"/>
    <w:rsid w:val="001779DD"/>
    <w:rsid w:val="00180317"/>
    <w:rsid w:val="001806FC"/>
    <w:rsid w:val="00180BA2"/>
    <w:rsid w:val="00180C8A"/>
    <w:rsid w:val="00180D61"/>
    <w:rsid w:val="00181170"/>
    <w:rsid w:val="0018122B"/>
    <w:rsid w:val="001812E2"/>
    <w:rsid w:val="00181336"/>
    <w:rsid w:val="0018148D"/>
    <w:rsid w:val="0018148E"/>
    <w:rsid w:val="001814C5"/>
    <w:rsid w:val="001816F5"/>
    <w:rsid w:val="00181945"/>
    <w:rsid w:val="00181A90"/>
    <w:rsid w:val="00181DCE"/>
    <w:rsid w:val="00181EFC"/>
    <w:rsid w:val="00182265"/>
    <w:rsid w:val="0018239F"/>
    <w:rsid w:val="001823B9"/>
    <w:rsid w:val="001824C2"/>
    <w:rsid w:val="001828C8"/>
    <w:rsid w:val="00182A26"/>
    <w:rsid w:val="00182EF9"/>
    <w:rsid w:val="00183267"/>
    <w:rsid w:val="00183294"/>
    <w:rsid w:val="001839B1"/>
    <w:rsid w:val="001839C9"/>
    <w:rsid w:val="00183AD8"/>
    <w:rsid w:val="00183DA4"/>
    <w:rsid w:val="00183EF2"/>
    <w:rsid w:val="001841DC"/>
    <w:rsid w:val="00184770"/>
    <w:rsid w:val="001848CA"/>
    <w:rsid w:val="00184A0D"/>
    <w:rsid w:val="00184B64"/>
    <w:rsid w:val="00184BA4"/>
    <w:rsid w:val="00184BAE"/>
    <w:rsid w:val="00184CA6"/>
    <w:rsid w:val="001850D9"/>
    <w:rsid w:val="00185163"/>
    <w:rsid w:val="001851E7"/>
    <w:rsid w:val="0018524E"/>
    <w:rsid w:val="00185365"/>
    <w:rsid w:val="001853EC"/>
    <w:rsid w:val="001854AF"/>
    <w:rsid w:val="0018581B"/>
    <w:rsid w:val="00185A1B"/>
    <w:rsid w:val="00185BEF"/>
    <w:rsid w:val="00185DC4"/>
    <w:rsid w:val="00185E24"/>
    <w:rsid w:val="001865A4"/>
    <w:rsid w:val="00186DBD"/>
    <w:rsid w:val="001870B2"/>
    <w:rsid w:val="00187234"/>
    <w:rsid w:val="0018778E"/>
    <w:rsid w:val="00187C37"/>
    <w:rsid w:val="0019004A"/>
    <w:rsid w:val="001903F1"/>
    <w:rsid w:val="00190677"/>
    <w:rsid w:val="0019084B"/>
    <w:rsid w:val="00190982"/>
    <w:rsid w:val="001909BE"/>
    <w:rsid w:val="00190D8B"/>
    <w:rsid w:val="00190DE9"/>
    <w:rsid w:val="0019153C"/>
    <w:rsid w:val="00191553"/>
    <w:rsid w:val="0019162F"/>
    <w:rsid w:val="00191C97"/>
    <w:rsid w:val="0019213D"/>
    <w:rsid w:val="00192147"/>
    <w:rsid w:val="00192196"/>
    <w:rsid w:val="00192393"/>
    <w:rsid w:val="00192396"/>
    <w:rsid w:val="00192620"/>
    <w:rsid w:val="00192772"/>
    <w:rsid w:val="00192A87"/>
    <w:rsid w:val="00192AC8"/>
    <w:rsid w:val="00192C9F"/>
    <w:rsid w:val="00192E0E"/>
    <w:rsid w:val="0019362A"/>
    <w:rsid w:val="00193679"/>
    <w:rsid w:val="0019384B"/>
    <w:rsid w:val="00193BDD"/>
    <w:rsid w:val="00193C97"/>
    <w:rsid w:val="00193FB4"/>
    <w:rsid w:val="0019453D"/>
    <w:rsid w:val="00194606"/>
    <w:rsid w:val="00194611"/>
    <w:rsid w:val="001946DC"/>
    <w:rsid w:val="0019474E"/>
    <w:rsid w:val="00194A11"/>
    <w:rsid w:val="00194B08"/>
    <w:rsid w:val="00194E80"/>
    <w:rsid w:val="00194F71"/>
    <w:rsid w:val="00195304"/>
    <w:rsid w:val="00195321"/>
    <w:rsid w:val="001954D5"/>
    <w:rsid w:val="00195728"/>
    <w:rsid w:val="001957FA"/>
    <w:rsid w:val="0019585F"/>
    <w:rsid w:val="001958B3"/>
    <w:rsid w:val="0019619B"/>
    <w:rsid w:val="001965C9"/>
    <w:rsid w:val="00196A01"/>
    <w:rsid w:val="00196A8B"/>
    <w:rsid w:val="00196AAC"/>
    <w:rsid w:val="00196CE5"/>
    <w:rsid w:val="00196F50"/>
    <w:rsid w:val="00196FD5"/>
    <w:rsid w:val="001970C0"/>
    <w:rsid w:val="001973E0"/>
    <w:rsid w:val="0019756D"/>
    <w:rsid w:val="0019795C"/>
    <w:rsid w:val="00197B48"/>
    <w:rsid w:val="00197E06"/>
    <w:rsid w:val="00197FAA"/>
    <w:rsid w:val="001A01C7"/>
    <w:rsid w:val="001A01E4"/>
    <w:rsid w:val="001A058C"/>
    <w:rsid w:val="001A0615"/>
    <w:rsid w:val="001A0634"/>
    <w:rsid w:val="001A0833"/>
    <w:rsid w:val="001A089F"/>
    <w:rsid w:val="001A0928"/>
    <w:rsid w:val="001A09CB"/>
    <w:rsid w:val="001A09EC"/>
    <w:rsid w:val="001A0D4C"/>
    <w:rsid w:val="001A0FE6"/>
    <w:rsid w:val="001A126B"/>
    <w:rsid w:val="001A12BE"/>
    <w:rsid w:val="001A1477"/>
    <w:rsid w:val="001A14C7"/>
    <w:rsid w:val="001A1CB7"/>
    <w:rsid w:val="001A1DDF"/>
    <w:rsid w:val="001A1F19"/>
    <w:rsid w:val="001A228B"/>
    <w:rsid w:val="001A2401"/>
    <w:rsid w:val="001A26E1"/>
    <w:rsid w:val="001A270A"/>
    <w:rsid w:val="001A2777"/>
    <w:rsid w:val="001A2AD4"/>
    <w:rsid w:val="001A2AD8"/>
    <w:rsid w:val="001A2B5A"/>
    <w:rsid w:val="001A2BEF"/>
    <w:rsid w:val="001A2DDC"/>
    <w:rsid w:val="001A2DF0"/>
    <w:rsid w:val="001A2E27"/>
    <w:rsid w:val="001A3099"/>
    <w:rsid w:val="001A3494"/>
    <w:rsid w:val="001A3BC3"/>
    <w:rsid w:val="001A3C4A"/>
    <w:rsid w:val="001A3E9A"/>
    <w:rsid w:val="001A420B"/>
    <w:rsid w:val="001A4359"/>
    <w:rsid w:val="001A491D"/>
    <w:rsid w:val="001A4B97"/>
    <w:rsid w:val="001A4F7D"/>
    <w:rsid w:val="001A512C"/>
    <w:rsid w:val="001A51F3"/>
    <w:rsid w:val="001A56DE"/>
    <w:rsid w:val="001A5920"/>
    <w:rsid w:val="001A5D9D"/>
    <w:rsid w:val="001A62F3"/>
    <w:rsid w:val="001A6600"/>
    <w:rsid w:val="001A69A0"/>
    <w:rsid w:val="001A69EC"/>
    <w:rsid w:val="001A6A05"/>
    <w:rsid w:val="001A6B25"/>
    <w:rsid w:val="001A6B3C"/>
    <w:rsid w:val="001A6F1B"/>
    <w:rsid w:val="001A7263"/>
    <w:rsid w:val="001A73EE"/>
    <w:rsid w:val="001A744E"/>
    <w:rsid w:val="001A753C"/>
    <w:rsid w:val="001A7B42"/>
    <w:rsid w:val="001A7B46"/>
    <w:rsid w:val="001A7D8F"/>
    <w:rsid w:val="001B00AB"/>
    <w:rsid w:val="001B00C9"/>
    <w:rsid w:val="001B02EA"/>
    <w:rsid w:val="001B0499"/>
    <w:rsid w:val="001B06D7"/>
    <w:rsid w:val="001B0891"/>
    <w:rsid w:val="001B0A31"/>
    <w:rsid w:val="001B0B31"/>
    <w:rsid w:val="001B0C59"/>
    <w:rsid w:val="001B0C77"/>
    <w:rsid w:val="001B0DAD"/>
    <w:rsid w:val="001B0DEB"/>
    <w:rsid w:val="001B131F"/>
    <w:rsid w:val="001B148F"/>
    <w:rsid w:val="001B1528"/>
    <w:rsid w:val="001B18E8"/>
    <w:rsid w:val="001B18F6"/>
    <w:rsid w:val="001B19CC"/>
    <w:rsid w:val="001B1E37"/>
    <w:rsid w:val="001B2146"/>
    <w:rsid w:val="001B2215"/>
    <w:rsid w:val="001B2283"/>
    <w:rsid w:val="001B2298"/>
    <w:rsid w:val="001B2688"/>
    <w:rsid w:val="001B2818"/>
    <w:rsid w:val="001B29F4"/>
    <w:rsid w:val="001B29FB"/>
    <w:rsid w:val="001B2A24"/>
    <w:rsid w:val="001B2A97"/>
    <w:rsid w:val="001B2CD4"/>
    <w:rsid w:val="001B2E97"/>
    <w:rsid w:val="001B34D4"/>
    <w:rsid w:val="001B368A"/>
    <w:rsid w:val="001B3AA3"/>
    <w:rsid w:val="001B3DCC"/>
    <w:rsid w:val="001B3E7B"/>
    <w:rsid w:val="001B4330"/>
    <w:rsid w:val="001B4775"/>
    <w:rsid w:val="001B4D1B"/>
    <w:rsid w:val="001B50A8"/>
    <w:rsid w:val="001B52BB"/>
    <w:rsid w:val="001B53D7"/>
    <w:rsid w:val="001B5631"/>
    <w:rsid w:val="001B5731"/>
    <w:rsid w:val="001B58C0"/>
    <w:rsid w:val="001B59E0"/>
    <w:rsid w:val="001B5AD8"/>
    <w:rsid w:val="001B5E6B"/>
    <w:rsid w:val="001B5F1D"/>
    <w:rsid w:val="001B6060"/>
    <w:rsid w:val="001B6301"/>
    <w:rsid w:val="001B67FA"/>
    <w:rsid w:val="001B6A01"/>
    <w:rsid w:val="001B6A14"/>
    <w:rsid w:val="001B6C83"/>
    <w:rsid w:val="001B6C99"/>
    <w:rsid w:val="001B6E68"/>
    <w:rsid w:val="001B7096"/>
    <w:rsid w:val="001B7329"/>
    <w:rsid w:val="001B75D1"/>
    <w:rsid w:val="001B76A1"/>
    <w:rsid w:val="001B7720"/>
    <w:rsid w:val="001B77A0"/>
    <w:rsid w:val="001B7A81"/>
    <w:rsid w:val="001B7BCF"/>
    <w:rsid w:val="001B7EA2"/>
    <w:rsid w:val="001C00C9"/>
    <w:rsid w:val="001C010B"/>
    <w:rsid w:val="001C015E"/>
    <w:rsid w:val="001C01CA"/>
    <w:rsid w:val="001C0414"/>
    <w:rsid w:val="001C0486"/>
    <w:rsid w:val="001C0530"/>
    <w:rsid w:val="001C0554"/>
    <w:rsid w:val="001C06AA"/>
    <w:rsid w:val="001C07B5"/>
    <w:rsid w:val="001C09B0"/>
    <w:rsid w:val="001C0B5B"/>
    <w:rsid w:val="001C0D14"/>
    <w:rsid w:val="001C0F45"/>
    <w:rsid w:val="001C16BD"/>
    <w:rsid w:val="001C174A"/>
    <w:rsid w:val="001C1868"/>
    <w:rsid w:val="001C1D05"/>
    <w:rsid w:val="001C1E95"/>
    <w:rsid w:val="001C28AE"/>
    <w:rsid w:val="001C2A48"/>
    <w:rsid w:val="001C2AB8"/>
    <w:rsid w:val="001C2FC9"/>
    <w:rsid w:val="001C327C"/>
    <w:rsid w:val="001C348F"/>
    <w:rsid w:val="001C34DE"/>
    <w:rsid w:val="001C34F0"/>
    <w:rsid w:val="001C3524"/>
    <w:rsid w:val="001C354C"/>
    <w:rsid w:val="001C38E8"/>
    <w:rsid w:val="001C39EF"/>
    <w:rsid w:val="001C3ACE"/>
    <w:rsid w:val="001C3B95"/>
    <w:rsid w:val="001C3C3D"/>
    <w:rsid w:val="001C4021"/>
    <w:rsid w:val="001C4038"/>
    <w:rsid w:val="001C4303"/>
    <w:rsid w:val="001C432A"/>
    <w:rsid w:val="001C433A"/>
    <w:rsid w:val="001C4467"/>
    <w:rsid w:val="001C45C1"/>
    <w:rsid w:val="001C4822"/>
    <w:rsid w:val="001C4858"/>
    <w:rsid w:val="001C49EB"/>
    <w:rsid w:val="001C4A1F"/>
    <w:rsid w:val="001C4BBE"/>
    <w:rsid w:val="001C511F"/>
    <w:rsid w:val="001C52DB"/>
    <w:rsid w:val="001C52F8"/>
    <w:rsid w:val="001C563B"/>
    <w:rsid w:val="001C5704"/>
    <w:rsid w:val="001C5730"/>
    <w:rsid w:val="001C5994"/>
    <w:rsid w:val="001C5C46"/>
    <w:rsid w:val="001C5EC6"/>
    <w:rsid w:val="001C5F85"/>
    <w:rsid w:val="001C5FC2"/>
    <w:rsid w:val="001C60E5"/>
    <w:rsid w:val="001C6223"/>
    <w:rsid w:val="001C6381"/>
    <w:rsid w:val="001C64E9"/>
    <w:rsid w:val="001C6547"/>
    <w:rsid w:val="001C69E3"/>
    <w:rsid w:val="001C6AFD"/>
    <w:rsid w:val="001C6DFD"/>
    <w:rsid w:val="001C702E"/>
    <w:rsid w:val="001C7702"/>
    <w:rsid w:val="001C7705"/>
    <w:rsid w:val="001C7A27"/>
    <w:rsid w:val="001C7A81"/>
    <w:rsid w:val="001C7A9A"/>
    <w:rsid w:val="001C7CD5"/>
    <w:rsid w:val="001C7E93"/>
    <w:rsid w:val="001D01C6"/>
    <w:rsid w:val="001D021C"/>
    <w:rsid w:val="001D12A5"/>
    <w:rsid w:val="001D14B9"/>
    <w:rsid w:val="001D1DD6"/>
    <w:rsid w:val="001D1E66"/>
    <w:rsid w:val="001D20D3"/>
    <w:rsid w:val="001D2248"/>
    <w:rsid w:val="001D2380"/>
    <w:rsid w:val="001D2645"/>
    <w:rsid w:val="001D29A8"/>
    <w:rsid w:val="001D32C0"/>
    <w:rsid w:val="001D3A64"/>
    <w:rsid w:val="001D3C36"/>
    <w:rsid w:val="001D411D"/>
    <w:rsid w:val="001D4359"/>
    <w:rsid w:val="001D497F"/>
    <w:rsid w:val="001D4C29"/>
    <w:rsid w:val="001D5305"/>
    <w:rsid w:val="001D54E5"/>
    <w:rsid w:val="001D56FC"/>
    <w:rsid w:val="001D5793"/>
    <w:rsid w:val="001D5967"/>
    <w:rsid w:val="001D5AE2"/>
    <w:rsid w:val="001D6375"/>
    <w:rsid w:val="001D6437"/>
    <w:rsid w:val="001D6538"/>
    <w:rsid w:val="001D6604"/>
    <w:rsid w:val="001D67CE"/>
    <w:rsid w:val="001D6852"/>
    <w:rsid w:val="001D6B97"/>
    <w:rsid w:val="001D6FE7"/>
    <w:rsid w:val="001D705D"/>
    <w:rsid w:val="001D7476"/>
    <w:rsid w:val="001D74A7"/>
    <w:rsid w:val="001D74C3"/>
    <w:rsid w:val="001D7535"/>
    <w:rsid w:val="001D78B4"/>
    <w:rsid w:val="001D78C4"/>
    <w:rsid w:val="001D7CA2"/>
    <w:rsid w:val="001E0185"/>
    <w:rsid w:val="001E03A4"/>
    <w:rsid w:val="001E03BF"/>
    <w:rsid w:val="001E0630"/>
    <w:rsid w:val="001E08F0"/>
    <w:rsid w:val="001E0942"/>
    <w:rsid w:val="001E0F10"/>
    <w:rsid w:val="001E0F57"/>
    <w:rsid w:val="001E0F9A"/>
    <w:rsid w:val="001E1108"/>
    <w:rsid w:val="001E12F9"/>
    <w:rsid w:val="001E15F2"/>
    <w:rsid w:val="001E16CE"/>
    <w:rsid w:val="001E1731"/>
    <w:rsid w:val="001E177E"/>
    <w:rsid w:val="001E178D"/>
    <w:rsid w:val="001E1A4B"/>
    <w:rsid w:val="001E1A9A"/>
    <w:rsid w:val="001E1B31"/>
    <w:rsid w:val="001E1DD9"/>
    <w:rsid w:val="001E2073"/>
    <w:rsid w:val="001E20EC"/>
    <w:rsid w:val="001E22F7"/>
    <w:rsid w:val="001E2538"/>
    <w:rsid w:val="001E269B"/>
    <w:rsid w:val="001E28FC"/>
    <w:rsid w:val="001E293F"/>
    <w:rsid w:val="001E2B9A"/>
    <w:rsid w:val="001E2B9F"/>
    <w:rsid w:val="001E2C80"/>
    <w:rsid w:val="001E2F9E"/>
    <w:rsid w:val="001E3596"/>
    <w:rsid w:val="001E35CA"/>
    <w:rsid w:val="001E3731"/>
    <w:rsid w:val="001E378D"/>
    <w:rsid w:val="001E381F"/>
    <w:rsid w:val="001E3C58"/>
    <w:rsid w:val="001E461F"/>
    <w:rsid w:val="001E465F"/>
    <w:rsid w:val="001E4910"/>
    <w:rsid w:val="001E50C7"/>
    <w:rsid w:val="001E5336"/>
    <w:rsid w:val="001E540B"/>
    <w:rsid w:val="001E55A1"/>
    <w:rsid w:val="001E5821"/>
    <w:rsid w:val="001E5862"/>
    <w:rsid w:val="001E5ACF"/>
    <w:rsid w:val="001E5C39"/>
    <w:rsid w:val="001E5EE0"/>
    <w:rsid w:val="001E6088"/>
    <w:rsid w:val="001E61E8"/>
    <w:rsid w:val="001E62A8"/>
    <w:rsid w:val="001E636D"/>
    <w:rsid w:val="001E6B9C"/>
    <w:rsid w:val="001E6BD0"/>
    <w:rsid w:val="001E6BED"/>
    <w:rsid w:val="001E6CE6"/>
    <w:rsid w:val="001E6DC0"/>
    <w:rsid w:val="001E6FC9"/>
    <w:rsid w:val="001E701F"/>
    <w:rsid w:val="001E7365"/>
    <w:rsid w:val="001E75E4"/>
    <w:rsid w:val="001E7862"/>
    <w:rsid w:val="001E7CEA"/>
    <w:rsid w:val="001E7EC3"/>
    <w:rsid w:val="001E7ECB"/>
    <w:rsid w:val="001E7ED3"/>
    <w:rsid w:val="001E7F5E"/>
    <w:rsid w:val="001F0022"/>
    <w:rsid w:val="001F00AF"/>
    <w:rsid w:val="001F0412"/>
    <w:rsid w:val="001F05A2"/>
    <w:rsid w:val="001F071D"/>
    <w:rsid w:val="001F083A"/>
    <w:rsid w:val="001F0C28"/>
    <w:rsid w:val="001F0E9E"/>
    <w:rsid w:val="001F144E"/>
    <w:rsid w:val="001F187A"/>
    <w:rsid w:val="001F1906"/>
    <w:rsid w:val="001F1939"/>
    <w:rsid w:val="001F1990"/>
    <w:rsid w:val="001F19FC"/>
    <w:rsid w:val="001F1AB7"/>
    <w:rsid w:val="001F1E06"/>
    <w:rsid w:val="001F205B"/>
    <w:rsid w:val="001F209F"/>
    <w:rsid w:val="001F21ED"/>
    <w:rsid w:val="001F2287"/>
    <w:rsid w:val="001F2398"/>
    <w:rsid w:val="001F274B"/>
    <w:rsid w:val="001F2755"/>
    <w:rsid w:val="001F2902"/>
    <w:rsid w:val="001F2B07"/>
    <w:rsid w:val="001F2BAB"/>
    <w:rsid w:val="001F2CF8"/>
    <w:rsid w:val="001F2DD7"/>
    <w:rsid w:val="001F2E52"/>
    <w:rsid w:val="001F3DC8"/>
    <w:rsid w:val="001F3E44"/>
    <w:rsid w:val="001F3EFA"/>
    <w:rsid w:val="001F3F36"/>
    <w:rsid w:val="001F3F64"/>
    <w:rsid w:val="001F41FC"/>
    <w:rsid w:val="001F46FA"/>
    <w:rsid w:val="001F48A9"/>
    <w:rsid w:val="001F4D86"/>
    <w:rsid w:val="001F4E3E"/>
    <w:rsid w:val="001F5036"/>
    <w:rsid w:val="001F513D"/>
    <w:rsid w:val="001F51FF"/>
    <w:rsid w:val="001F586A"/>
    <w:rsid w:val="001F5A44"/>
    <w:rsid w:val="001F5A6D"/>
    <w:rsid w:val="001F5C42"/>
    <w:rsid w:val="001F5CC1"/>
    <w:rsid w:val="001F618A"/>
    <w:rsid w:val="001F658C"/>
    <w:rsid w:val="001F65C3"/>
    <w:rsid w:val="001F675C"/>
    <w:rsid w:val="001F67A7"/>
    <w:rsid w:val="001F69E1"/>
    <w:rsid w:val="001F6A11"/>
    <w:rsid w:val="001F6AA7"/>
    <w:rsid w:val="001F6CEB"/>
    <w:rsid w:val="001F6D47"/>
    <w:rsid w:val="001F6D8C"/>
    <w:rsid w:val="001F6F2E"/>
    <w:rsid w:val="001F6F44"/>
    <w:rsid w:val="001F70F2"/>
    <w:rsid w:val="001F7328"/>
    <w:rsid w:val="001F7563"/>
    <w:rsid w:val="001F7730"/>
    <w:rsid w:val="001F7A97"/>
    <w:rsid w:val="001F7AD2"/>
    <w:rsid w:val="001F7C3A"/>
    <w:rsid w:val="001F7F09"/>
    <w:rsid w:val="001F7FE8"/>
    <w:rsid w:val="00200236"/>
    <w:rsid w:val="0020032B"/>
    <w:rsid w:val="002005AA"/>
    <w:rsid w:val="00200E93"/>
    <w:rsid w:val="00200F04"/>
    <w:rsid w:val="002014DB"/>
    <w:rsid w:val="00201775"/>
    <w:rsid w:val="002018A7"/>
    <w:rsid w:val="00201BEF"/>
    <w:rsid w:val="00201EFF"/>
    <w:rsid w:val="002021BC"/>
    <w:rsid w:val="002022E0"/>
    <w:rsid w:val="0020254C"/>
    <w:rsid w:val="002028EB"/>
    <w:rsid w:val="00202D84"/>
    <w:rsid w:val="0020317C"/>
    <w:rsid w:val="00203374"/>
    <w:rsid w:val="0020343F"/>
    <w:rsid w:val="00203445"/>
    <w:rsid w:val="00203594"/>
    <w:rsid w:val="00203CA1"/>
    <w:rsid w:val="00203D66"/>
    <w:rsid w:val="00203DA2"/>
    <w:rsid w:val="00203E0C"/>
    <w:rsid w:val="00203F01"/>
    <w:rsid w:val="00203FD3"/>
    <w:rsid w:val="002044C4"/>
    <w:rsid w:val="0020481A"/>
    <w:rsid w:val="00204A17"/>
    <w:rsid w:val="00204B90"/>
    <w:rsid w:val="00204CB9"/>
    <w:rsid w:val="00204DBA"/>
    <w:rsid w:val="00204F31"/>
    <w:rsid w:val="0020507B"/>
    <w:rsid w:val="00205681"/>
    <w:rsid w:val="0020573E"/>
    <w:rsid w:val="002060E2"/>
    <w:rsid w:val="00206124"/>
    <w:rsid w:val="0020617A"/>
    <w:rsid w:val="00206578"/>
    <w:rsid w:val="00206734"/>
    <w:rsid w:val="00206CE1"/>
    <w:rsid w:val="00207135"/>
    <w:rsid w:val="00207332"/>
    <w:rsid w:val="0020748D"/>
    <w:rsid w:val="00207558"/>
    <w:rsid w:val="0020757A"/>
    <w:rsid w:val="00207746"/>
    <w:rsid w:val="002077B9"/>
    <w:rsid w:val="0020792E"/>
    <w:rsid w:val="00207C75"/>
    <w:rsid w:val="00207D3E"/>
    <w:rsid w:val="00207F59"/>
    <w:rsid w:val="0021074C"/>
    <w:rsid w:val="002109F7"/>
    <w:rsid w:val="00210CE8"/>
    <w:rsid w:val="00210D3A"/>
    <w:rsid w:val="00210E19"/>
    <w:rsid w:val="00210E76"/>
    <w:rsid w:val="0021108D"/>
    <w:rsid w:val="002112B5"/>
    <w:rsid w:val="0021142B"/>
    <w:rsid w:val="002117B9"/>
    <w:rsid w:val="002118B0"/>
    <w:rsid w:val="00211AEF"/>
    <w:rsid w:val="00211B9A"/>
    <w:rsid w:val="00211BFF"/>
    <w:rsid w:val="00211D35"/>
    <w:rsid w:val="00211DC3"/>
    <w:rsid w:val="00211DED"/>
    <w:rsid w:val="00211FE7"/>
    <w:rsid w:val="002120E2"/>
    <w:rsid w:val="00212136"/>
    <w:rsid w:val="00212242"/>
    <w:rsid w:val="002123E7"/>
    <w:rsid w:val="002125C7"/>
    <w:rsid w:val="0021269D"/>
    <w:rsid w:val="002129F4"/>
    <w:rsid w:val="00212BEB"/>
    <w:rsid w:val="00212C25"/>
    <w:rsid w:val="00212C7B"/>
    <w:rsid w:val="00212CA9"/>
    <w:rsid w:val="00212E1D"/>
    <w:rsid w:val="00212E5F"/>
    <w:rsid w:val="002132F3"/>
    <w:rsid w:val="00213576"/>
    <w:rsid w:val="002139D1"/>
    <w:rsid w:val="00213A82"/>
    <w:rsid w:val="00213BF8"/>
    <w:rsid w:val="00213D24"/>
    <w:rsid w:val="00213D8E"/>
    <w:rsid w:val="002140AD"/>
    <w:rsid w:val="00214141"/>
    <w:rsid w:val="002142BF"/>
    <w:rsid w:val="0021433A"/>
    <w:rsid w:val="00214A38"/>
    <w:rsid w:val="00214A6D"/>
    <w:rsid w:val="00214F69"/>
    <w:rsid w:val="002150CB"/>
    <w:rsid w:val="00215112"/>
    <w:rsid w:val="002155B6"/>
    <w:rsid w:val="0021560E"/>
    <w:rsid w:val="002157C3"/>
    <w:rsid w:val="002157E4"/>
    <w:rsid w:val="00215AFB"/>
    <w:rsid w:val="00215DEA"/>
    <w:rsid w:val="00215E94"/>
    <w:rsid w:val="002160DC"/>
    <w:rsid w:val="00216306"/>
    <w:rsid w:val="00216570"/>
    <w:rsid w:val="00217484"/>
    <w:rsid w:val="002174F7"/>
    <w:rsid w:val="002176BA"/>
    <w:rsid w:val="0021773E"/>
    <w:rsid w:val="00217962"/>
    <w:rsid w:val="00217994"/>
    <w:rsid w:val="00217C15"/>
    <w:rsid w:val="00217F57"/>
    <w:rsid w:val="00220057"/>
    <w:rsid w:val="00220072"/>
    <w:rsid w:val="002200D8"/>
    <w:rsid w:val="00220245"/>
    <w:rsid w:val="002207CB"/>
    <w:rsid w:val="00220C72"/>
    <w:rsid w:val="00220D7A"/>
    <w:rsid w:val="00221081"/>
    <w:rsid w:val="002211F2"/>
    <w:rsid w:val="002214F2"/>
    <w:rsid w:val="00221700"/>
    <w:rsid w:val="00221AE5"/>
    <w:rsid w:val="00221C2B"/>
    <w:rsid w:val="00221FA3"/>
    <w:rsid w:val="002221D5"/>
    <w:rsid w:val="00222473"/>
    <w:rsid w:val="002224A1"/>
    <w:rsid w:val="00222525"/>
    <w:rsid w:val="002226A8"/>
    <w:rsid w:val="002226D3"/>
    <w:rsid w:val="002228F6"/>
    <w:rsid w:val="00222BBE"/>
    <w:rsid w:val="00222DC1"/>
    <w:rsid w:val="00222F1D"/>
    <w:rsid w:val="00223058"/>
    <w:rsid w:val="00223078"/>
    <w:rsid w:val="0022354C"/>
    <w:rsid w:val="00223664"/>
    <w:rsid w:val="00223984"/>
    <w:rsid w:val="00223A56"/>
    <w:rsid w:val="00223ADC"/>
    <w:rsid w:val="00223C04"/>
    <w:rsid w:val="00223F34"/>
    <w:rsid w:val="00223F4B"/>
    <w:rsid w:val="00224155"/>
    <w:rsid w:val="0022419D"/>
    <w:rsid w:val="00224467"/>
    <w:rsid w:val="002245EA"/>
    <w:rsid w:val="00224624"/>
    <w:rsid w:val="00224794"/>
    <w:rsid w:val="00224915"/>
    <w:rsid w:val="00224953"/>
    <w:rsid w:val="00224A83"/>
    <w:rsid w:val="00224C20"/>
    <w:rsid w:val="00225363"/>
    <w:rsid w:val="002255D7"/>
    <w:rsid w:val="002257BC"/>
    <w:rsid w:val="002257F0"/>
    <w:rsid w:val="00225833"/>
    <w:rsid w:val="00225A4C"/>
    <w:rsid w:val="00225A67"/>
    <w:rsid w:val="00225D10"/>
    <w:rsid w:val="00225F17"/>
    <w:rsid w:val="00225F73"/>
    <w:rsid w:val="00226095"/>
    <w:rsid w:val="0022618D"/>
    <w:rsid w:val="0022692B"/>
    <w:rsid w:val="00226977"/>
    <w:rsid w:val="00226B16"/>
    <w:rsid w:val="00226DBF"/>
    <w:rsid w:val="00227172"/>
    <w:rsid w:val="002271F6"/>
    <w:rsid w:val="002273AD"/>
    <w:rsid w:val="002274DB"/>
    <w:rsid w:val="0022774B"/>
    <w:rsid w:val="00227756"/>
    <w:rsid w:val="0022776D"/>
    <w:rsid w:val="002279FF"/>
    <w:rsid w:val="00227A1F"/>
    <w:rsid w:val="00227B89"/>
    <w:rsid w:val="00227C4E"/>
    <w:rsid w:val="00227CDE"/>
    <w:rsid w:val="00227F43"/>
    <w:rsid w:val="00227F75"/>
    <w:rsid w:val="002300AB"/>
    <w:rsid w:val="002300AC"/>
    <w:rsid w:val="00230488"/>
    <w:rsid w:val="00230538"/>
    <w:rsid w:val="002307E6"/>
    <w:rsid w:val="00230916"/>
    <w:rsid w:val="00231168"/>
    <w:rsid w:val="0023140A"/>
    <w:rsid w:val="00231583"/>
    <w:rsid w:val="0023164B"/>
    <w:rsid w:val="00231659"/>
    <w:rsid w:val="002318DD"/>
    <w:rsid w:val="002319EB"/>
    <w:rsid w:val="00231F6E"/>
    <w:rsid w:val="0023213E"/>
    <w:rsid w:val="00232364"/>
    <w:rsid w:val="00232696"/>
    <w:rsid w:val="0023271F"/>
    <w:rsid w:val="002327A2"/>
    <w:rsid w:val="0023282A"/>
    <w:rsid w:val="00232B08"/>
    <w:rsid w:val="00232BF5"/>
    <w:rsid w:val="00232F7A"/>
    <w:rsid w:val="00232FB3"/>
    <w:rsid w:val="00233078"/>
    <w:rsid w:val="00233176"/>
    <w:rsid w:val="00233562"/>
    <w:rsid w:val="00233710"/>
    <w:rsid w:val="002338D0"/>
    <w:rsid w:val="00233969"/>
    <w:rsid w:val="00233A2C"/>
    <w:rsid w:val="00233D7F"/>
    <w:rsid w:val="00233E40"/>
    <w:rsid w:val="00234085"/>
    <w:rsid w:val="002345C3"/>
    <w:rsid w:val="00234640"/>
    <w:rsid w:val="0023466F"/>
    <w:rsid w:val="00234848"/>
    <w:rsid w:val="002348A7"/>
    <w:rsid w:val="00234DAD"/>
    <w:rsid w:val="00234DD1"/>
    <w:rsid w:val="00234F27"/>
    <w:rsid w:val="00235001"/>
    <w:rsid w:val="00235266"/>
    <w:rsid w:val="002352A4"/>
    <w:rsid w:val="0023583C"/>
    <w:rsid w:val="002358AF"/>
    <w:rsid w:val="00235946"/>
    <w:rsid w:val="00235AD1"/>
    <w:rsid w:val="00235E7C"/>
    <w:rsid w:val="00235EA9"/>
    <w:rsid w:val="00235F95"/>
    <w:rsid w:val="00236254"/>
    <w:rsid w:val="002362DD"/>
    <w:rsid w:val="002365B1"/>
    <w:rsid w:val="002365D9"/>
    <w:rsid w:val="0023667E"/>
    <w:rsid w:val="002366B3"/>
    <w:rsid w:val="0023689F"/>
    <w:rsid w:val="002375FA"/>
    <w:rsid w:val="002378CB"/>
    <w:rsid w:val="00237C46"/>
    <w:rsid w:val="00237E15"/>
    <w:rsid w:val="00237FAE"/>
    <w:rsid w:val="00240106"/>
    <w:rsid w:val="002404FC"/>
    <w:rsid w:val="00240742"/>
    <w:rsid w:val="00240B60"/>
    <w:rsid w:val="00240D4D"/>
    <w:rsid w:val="00240DDC"/>
    <w:rsid w:val="00240F9F"/>
    <w:rsid w:val="002410FB"/>
    <w:rsid w:val="002411A5"/>
    <w:rsid w:val="002411C7"/>
    <w:rsid w:val="002412EF"/>
    <w:rsid w:val="002413AF"/>
    <w:rsid w:val="002413FE"/>
    <w:rsid w:val="00241595"/>
    <w:rsid w:val="002415E0"/>
    <w:rsid w:val="00241AE0"/>
    <w:rsid w:val="00241B57"/>
    <w:rsid w:val="00241BE8"/>
    <w:rsid w:val="00241DED"/>
    <w:rsid w:val="00242232"/>
    <w:rsid w:val="0024234E"/>
    <w:rsid w:val="002425B4"/>
    <w:rsid w:val="00242605"/>
    <w:rsid w:val="002428B3"/>
    <w:rsid w:val="00242943"/>
    <w:rsid w:val="00242957"/>
    <w:rsid w:val="00242E84"/>
    <w:rsid w:val="00242F4E"/>
    <w:rsid w:val="00243760"/>
    <w:rsid w:val="00243BC2"/>
    <w:rsid w:val="00243F54"/>
    <w:rsid w:val="00244762"/>
    <w:rsid w:val="002449D7"/>
    <w:rsid w:val="00244A25"/>
    <w:rsid w:val="00244A39"/>
    <w:rsid w:val="00244A4D"/>
    <w:rsid w:val="00244CFA"/>
    <w:rsid w:val="0024523D"/>
    <w:rsid w:val="002452A0"/>
    <w:rsid w:val="0024561E"/>
    <w:rsid w:val="002456D0"/>
    <w:rsid w:val="00245769"/>
    <w:rsid w:val="00245781"/>
    <w:rsid w:val="00245A57"/>
    <w:rsid w:val="00245AF0"/>
    <w:rsid w:val="00245D4A"/>
    <w:rsid w:val="00245F15"/>
    <w:rsid w:val="00246095"/>
    <w:rsid w:val="002463A6"/>
    <w:rsid w:val="002463AA"/>
    <w:rsid w:val="0024643A"/>
    <w:rsid w:val="002464EA"/>
    <w:rsid w:val="00246640"/>
    <w:rsid w:val="00246A2F"/>
    <w:rsid w:val="00246ADB"/>
    <w:rsid w:val="00246B77"/>
    <w:rsid w:val="00246E37"/>
    <w:rsid w:val="00246F25"/>
    <w:rsid w:val="00246F5B"/>
    <w:rsid w:val="00246FD1"/>
    <w:rsid w:val="002470B9"/>
    <w:rsid w:val="00247333"/>
    <w:rsid w:val="00247621"/>
    <w:rsid w:val="002476CE"/>
    <w:rsid w:val="00247C2B"/>
    <w:rsid w:val="002506DF"/>
    <w:rsid w:val="00250784"/>
    <w:rsid w:val="00250CA6"/>
    <w:rsid w:val="00250D8D"/>
    <w:rsid w:val="00250D93"/>
    <w:rsid w:val="00250F78"/>
    <w:rsid w:val="00251356"/>
    <w:rsid w:val="0025141C"/>
    <w:rsid w:val="00251464"/>
    <w:rsid w:val="002514F5"/>
    <w:rsid w:val="0025152D"/>
    <w:rsid w:val="0025159F"/>
    <w:rsid w:val="00251692"/>
    <w:rsid w:val="002517A5"/>
    <w:rsid w:val="00251A2A"/>
    <w:rsid w:val="00251D89"/>
    <w:rsid w:val="00251DFB"/>
    <w:rsid w:val="00251F6C"/>
    <w:rsid w:val="0025227E"/>
    <w:rsid w:val="0025249C"/>
    <w:rsid w:val="002527BA"/>
    <w:rsid w:val="0025298B"/>
    <w:rsid w:val="00252BCF"/>
    <w:rsid w:val="00252BF2"/>
    <w:rsid w:val="002530E4"/>
    <w:rsid w:val="00253360"/>
    <w:rsid w:val="00253513"/>
    <w:rsid w:val="002536C1"/>
    <w:rsid w:val="00253705"/>
    <w:rsid w:val="00253961"/>
    <w:rsid w:val="002539ED"/>
    <w:rsid w:val="00253B53"/>
    <w:rsid w:val="00253B7B"/>
    <w:rsid w:val="00253C8E"/>
    <w:rsid w:val="00254136"/>
    <w:rsid w:val="0025440D"/>
    <w:rsid w:val="00254447"/>
    <w:rsid w:val="00254461"/>
    <w:rsid w:val="002544CB"/>
    <w:rsid w:val="0025450E"/>
    <w:rsid w:val="002545AE"/>
    <w:rsid w:val="0025467D"/>
    <w:rsid w:val="002548A5"/>
    <w:rsid w:val="002548BD"/>
    <w:rsid w:val="00254978"/>
    <w:rsid w:val="00254AE2"/>
    <w:rsid w:val="00254AEA"/>
    <w:rsid w:val="00254C2D"/>
    <w:rsid w:val="00254F1C"/>
    <w:rsid w:val="0025501B"/>
    <w:rsid w:val="0025509D"/>
    <w:rsid w:val="00255152"/>
    <w:rsid w:val="00255443"/>
    <w:rsid w:val="00255452"/>
    <w:rsid w:val="0025554E"/>
    <w:rsid w:val="002557F2"/>
    <w:rsid w:val="0025581A"/>
    <w:rsid w:val="002558FA"/>
    <w:rsid w:val="00255B1E"/>
    <w:rsid w:val="00255C2A"/>
    <w:rsid w:val="00255D81"/>
    <w:rsid w:val="00255DAE"/>
    <w:rsid w:val="00255DED"/>
    <w:rsid w:val="00255F41"/>
    <w:rsid w:val="0025602D"/>
    <w:rsid w:val="00256092"/>
    <w:rsid w:val="0025617A"/>
    <w:rsid w:val="0025642E"/>
    <w:rsid w:val="002565DB"/>
    <w:rsid w:val="002565F2"/>
    <w:rsid w:val="0025693F"/>
    <w:rsid w:val="00256993"/>
    <w:rsid w:val="00256AB8"/>
    <w:rsid w:val="00256AF8"/>
    <w:rsid w:val="00256D7C"/>
    <w:rsid w:val="00256DA9"/>
    <w:rsid w:val="00256DE0"/>
    <w:rsid w:val="00256F1C"/>
    <w:rsid w:val="002573D4"/>
    <w:rsid w:val="002576A9"/>
    <w:rsid w:val="00257D1D"/>
    <w:rsid w:val="0026015B"/>
    <w:rsid w:val="00260186"/>
    <w:rsid w:val="00260391"/>
    <w:rsid w:val="002605AE"/>
    <w:rsid w:val="002607EF"/>
    <w:rsid w:val="0026095E"/>
    <w:rsid w:val="00260B65"/>
    <w:rsid w:val="00260C4F"/>
    <w:rsid w:val="00260FAE"/>
    <w:rsid w:val="00261148"/>
    <w:rsid w:val="002613CC"/>
    <w:rsid w:val="002613E7"/>
    <w:rsid w:val="0026141C"/>
    <w:rsid w:val="0026159C"/>
    <w:rsid w:val="0026163C"/>
    <w:rsid w:val="002616B7"/>
    <w:rsid w:val="002617D2"/>
    <w:rsid w:val="0026197B"/>
    <w:rsid w:val="00261D54"/>
    <w:rsid w:val="00261E62"/>
    <w:rsid w:val="00262134"/>
    <w:rsid w:val="00262213"/>
    <w:rsid w:val="00262330"/>
    <w:rsid w:val="002624E2"/>
    <w:rsid w:val="002629F5"/>
    <w:rsid w:val="00262AD2"/>
    <w:rsid w:val="00262D0D"/>
    <w:rsid w:val="00262F57"/>
    <w:rsid w:val="00263112"/>
    <w:rsid w:val="0026319A"/>
    <w:rsid w:val="0026369B"/>
    <w:rsid w:val="002636E0"/>
    <w:rsid w:val="0026375A"/>
    <w:rsid w:val="00263791"/>
    <w:rsid w:val="002638F4"/>
    <w:rsid w:val="002639C0"/>
    <w:rsid w:val="00263BE2"/>
    <w:rsid w:val="00263FB5"/>
    <w:rsid w:val="00263FC8"/>
    <w:rsid w:val="002643FD"/>
    <w:rsid w:val="00264577"/>
    <w:rsid w:val="0026488B"/>
    <w:rsid w:val="002649F9"/>
    <w:rsid w:val="00264B9F"/>
    <w:rsid w:val="00264D46"/>
    <w:rsid w:val="00264E25"/>
    <w:rsid w:val="00264F16"/>
    <w:rsid w:val="00265382"/>
    <w:rsid w:val="0026558B"/>
    <w:rsid w:val="002655FC"/>
    <w:rsid w:val="002656B6"/>
    <w:rsid w:val="002659C6"/>
    <w:rsid w:val="00265B74"/>
    <w:rsid w:val="0026603F"/>
    <w:rsid w:val="002660C4"/>
    <w:rsid w:val="002661E1"/>
    <w:rsid w:val="00266217"/>
    <w:rsid w:val="0026674F"/>
    <w:rsid w:val="00266AB2"/>
    <w:rsid w:val="00266C33"/>
    <w:rsid w:val="00266D0D"/>
    <w:rsid w:val="0026712C"/>
    <w:rsid w:val="002675F6"/>
    <w:rsid w:val="002678F9"/>
    <w:rsid w:val="002679E6"/>
    <w:rsid w:val="00267C10"/>
    <w:rsid w:val="00267E78"/>
    <w:rsid w:val="00267F23"/>
    <w:rsid w:val="00267F5F"/>
    <w:rsid w:val="00270318"/>
    <w:rsid w:val="00270385"/>
    <w:rsid w:val="002703D3"/>
    <w:rsid w:val="00270628"/>
    <w:rsid w:val="0027076D"/>
    <w:rsid w:val="0027098A"/>
    <w:rsid w:val="00270B21"/>
    <w:rsid w:val="00270B27"/>
    <w:rsid w:val="00270C51"/>
    <w:rsid w:val="00270C62"/>
    <w:rsid w:val="00270DB8"/>
    <w:rsid w:val="00270E1C"/>
    <w:rsid w:val="00270F0C"/>
    <w:rsid w:val="00270FC3"/>
    <w:rsid w:val="00270FF7"/>
    <w:rsid w:val="002714C5"/>
    <w:rsid w:val="0027160C"/>
    <w:rsid w:val="00271811"/>
    <w:rsid w:val="00271FBB"/>
    <w:rsid w:val="00272343"/>
    <w:rsid w:val="00272B84"/>
    <w:rsid w:val="00272BBA"/>
    <w:rsid w:val="002731CA"/>
    <w:rsid w:val="002731F2"/>
    <w:rsid w:val="002732C8"/>
    <w:rsid w:val="00273B0F"/>
    <w:rsid w:val="00273B9D"/>
    <w:rsid w:val="00273C3C"/>
    <w:rsid w:val="00273C70"/>
    <w:rsid w:val="00273F5B"/>
    <w:rsid w:val="002743F3"/>
    <w:rsid w:val="00274692"/>
    <w:rsid w:val="00274C3A"/>
    <w:rsid w:val="00274C80"/>
    <w:rsid w:val="00274D05"/>
    <w:rsid w:val="002751C4"/>
    <w:rsid w:val="002751D1"/>
    <w:rsid w:val="00275209"/>
    <w:rsid w:val="002755B8"/>
    <w:rsid w:val="00275924"/>
    <w:rsid w:val="00275CBA"/>
    <w:rsid w:val="0027601F"/>
    <w:rsid w:val="0027612C"/>
    <w:rsid w:val="002764DB"/>
    <w:rsid w:val="002764F0"/>
    <w:rsid w:val="0027658C"/>
    <w:rsid w:val="00276A6A"/>
    <w:rsid w:val="00276D7A"/>
    <w:rsid w:val="00276DE8"/>
    <w:rsid w:val="00276DEF"/>
    <w:rsid w:val="0027711E"/>
    <w:rsid w:val="00277509"/>
    <w:rsid w:val="00277BC4"/>
    <w:rsid w:val="00277BDA"/>
    <w:rsid w:val="00277E3A"/>
    <w:rsid w:val="002801A8"/>
    <w:rsid w:val="00280219"/>
    <w:rsid w:val="002803E6"/>
    <w:rsid w:val="0028040B"/>
    <w:rsid w:val="002805D8"/>
    <w:rsid w:val="002805F4"/>
    <w:rsid w:val="00280713"/>
    <w:rsid w:val="00280B83"/>
    <w:rsid w:val="00280F15"/>
    <w:rsid w:val="00280FB3"/>
    <w:rsid w:val="00281071"/>
    <w:rsid w:val="00281410"/>
    <w:rsid w:val="00281520"/>
    <w:rsid w:val="0028178C"/>
    <w:rsid w:val="00281867"/>
    <w:rsid w:val="002818C4"/>
    <w:rsid w:val="002818EE"/>
    <w:rsid w:val="00281AEB"/>
    <w:rsid w:val="00281D9B"/>
    <w:rsid w:val="002822E5"/>
    <w:rsid w:val="002823A5"/>
    <w:rsid w:val="002824C1"/>
    <w:rsid w:val="00282707"/>
    <w:rsid w:val="002829C7"/>
    <w:rsid w:val="00282D4B"/>
    <w:rsid w:val="00282D90"/>
    <w:rsid w:val="00282E1E"/>
    <w:rsid w:val="00282E41"/>
    <w:rsid w:val="00282EB8"/>
    <w:rsid w:val="002831C8"/>
    <w:rsid w:val="00283226"/>
    <w:rsid w:val="002832F9"/>
    <w:rsid w:val="002832FC"/>
    <w:rsid w:val="00283479"/>
    <w:rsid w:val="00283649"/>
    <w:rsid w:val="0028364D"/>
    <w:rsid w:val="00283680"/>
    <w:rsid w:val="00283A4E"/>
    <w:rsid w:val="00283AE1"/>
    <w:rsid w:val="00283B78"/>
    <w:rsid w:val="00283B9C"/>
    <w:rsid w:val="00283E52"/>
    <w:rsid w:val="00284340"/>
    <w:rsid w:val="00284569"/>
    <w:rsid w:val="002846FB"/>
    <w:rsid w:val="00284C15"/>
    <w:rsid w:val="002850E5"/>
    <w:rsid w:val="00285628"/>
    <w:rsid w:val="00285727"/>
    <w:rsid w:val="00285C34"/>
    <w:rsid w:val="00285D33"/>
    <w:rsid w:val="002863D6"/>
    <w:rsid w:val="00286629"/>
    <w:rsid w:val="0028663F"/>
    <w:rsid w:val="00287213"/>
    <w:rsid w:val="002872AF"/>
    <w:rsid w:val="00287AE8"/>
    <w:rsid w:val="00287BAC"/>
    <w:rsid w:val="00287E24"/>
    <w:rsid w:val="00287E78"/>
    <w:rsid w:val="00287FFE"/>
    <w:rsid w:val="00290426"/>
    <w:rsid w:val="00290526"/>
    <w:rsid w:val="00290616"/>
    <w:rsid w:val="00290676"/>
    <w:rsid w:val="00290B65"/>
    <w:rsid w:val="00290DBB"/>
    <w:rsid w:val="00291049"/>
    <w:rsid w:val="0029104B"/>
    <w:rsid w:val="002911D8"/>
    <w:rsid w:val="0029142F"/>
    <w:rsid w:val="00291462"/>
    <w:rsid w:val="00291512"/>
    <w:rsid w:val="00291572"/>
    <w:rsid w:val="002915F5"/>
    <w:rsid w:val="002918ED"/>
    <w:rsid w:val="00291A68"/>
    <w:rsid w:val="00291B86"/>
    <w:rsid w:val="00291D0B"/>
    <w:rsid w:val="00292385"/>
    <w:rsid w:val="002923CE"/>
    <w:rsid w:val="002924EF"/>
    <w:rsid w:val="00292573"/>
    <w:rsid w:val="00292623"/>
    <w:rsid w:val="00292862"/>
    <w:rsid w:val="00292ABB"/>
    <w:rsid w:val="00292C2F"/>
    <w:rsid w:val="00292C9E"/>
    <w:rsid w:val="00292CD0"/>
    <w:rsid w:val="002932AB"/>
    <w:rsid w:val="002932C9"/>
    <w:rsid w:val="0029341C"/>
    <w:rsid w:val="0029382D"/>
    <w:rsid w:val="00293926"/>
    <w:rsid w:val="00293CEB"/>
    <w:rsid w:val="00293F25"/>
    <w:rsid w:val="0029404D"/>
    <w:rsid w:val="002940E1"/>
    <w:rsid w:val="00294362"/>
    <w:rsid w:val="002943F7"/>
    <w:rsid w:val="00294495"/>
    <w:rsid w:val="00294568"/>
    <w:rsid w:val="0029466A"/>
    <w:rsid w:val="002946A1"/>
    <w:rsid w:val="0029485D"/>
    <w:rsid w:val="00294B63"/>
    <w:rsid w:val="00294C38"/>
    <w:rsid w:val="00294F76"/>
    <w:rsid w:val="00295401"/>
    <w:rsid w:val="00296009"/>
    <w:rsid w:val="002963A8"/>
    <w:rsid w:val="002968A1"/>
    <w:rsid w:val="00296B89"/>
    <w:rsid w:val="00296B96"/>
    <w:rsid w:val="00296F71"/>
    <w:rsid w:val="002971C4"/>
    <w:rsid w:val="0029740A"/>
    <w:rsid w:val="00297843"/>
    <w:rsid w:val="00297976"/>
    <w:rsid w:val="002979B3"/>
    <w:rsid w:val="00297E12"/>
    <w:rsid w:val="00297E58"/>
    <w:rsid w:val="00297F05"/>
    <w:rsid w:val="00297F10"/>
    <w:rsid w:val="002A0099"/>
    <w:rsid w:val="002A016D"/>
    <w:rsid w:val="002A04B4"/>
    <w:rsid w:val="002A06FE"/>
    <w:rsid w:val="002A0A5E"/>
    <w:rsid w:val="002A0C3E"/>
    <w:rsid w:val="002A118C"/>
    <w:rsid w:val="002A1423"/>
    <w:rsid w:val="002A145B"/>
    <w:rsid w:val="002A18BE"/>
    <w:rsid w:val="002A1AD1"/>
    <w:rsid w:val="002A1E8B"/>
    <w:rsid w:val="002A20EB"/>
    <w:rsid w:val="002A210E"/>
    <w:rsid w:val="002A2186"/>
    <w:rsid w:val="002A21EC"/>
    <w:rsid w:val="002A23C9"/>
    <w:rsid w:val="002A2411"/>
    <w:rsid w:val="002A2483"/>
    <w:rsid w:val="002A2768"/>
    <w:rsid w:val="002A2ED5"/>
    <w:rsid w:val="002A33A9"/>
    <w:rsid w:val="002A36F6"/>
    <w:rsid w:val="002A3802"/>
    <w:rsid w:val="002A3954"/>
    <w:rsid w:val="002A39AF"/>
    <w:rsid w:val="002A39D2"/>
    <w:rsid w:val="002A3BDC"/>
    <w:rsid w:val="002A3C57"/>
    <w:rsid w:val="002A3CAD"/>
    <w:rsid w:val="002A3D10"/>
    <w:rsid w:val="002A403E"/>
    <w:rsid w:val="002A4084"/>
    <w:rsid w:val="002A4AD6"/>
    <w:rsid w:val="002A50B4"/>
    <w:rsid w:val="002A51A1"/>
    <w:rsid w:val="002A51AD"/>
    <w:rsid w:val="002A5352"/>
    <w:rsid w:val="002A542E"/>
    <w:rsid w:val="002A5577"/>
    <w:rsid w:val="002A566D"/>
    <w:rsid w:val="002A5839"/>
    <w:rsid w:val="002A5A98"/>
    <w:rsid w:val="002A5C1B"/>
    <w:rsid w:val="002A600F"/>
    <w:rsid w:val="002A6840"/>
    <w:rsid w:val="002A68C9"/>
    <w:rsid w:val="002A6A39"/>
    <w:rsid w:val="002A6B58"/>
    <w:rsid w:val="002A6C17"/>
    <w:rsid w:val="002A6E9F"/>
    <w:rsid w:val="002A6FE3"/>
    <w:rsid w:val="002A7196"/>
    <w:rsid w:val="002A76AE"/>
    <w:rsid w:val="002A777C"/>
    <w:rsid w:val="002A7A09"/>
    <w:rsid w:val="002A7A10"/>
    <w:rsid w:val="002A7AA4"/>
    <w:rsid w:val="002A7B63"/>
    <w:rsid w:val="002A7D66"/>
    <w:rsid w:val="002A7E0C"/>
    <w:rsid w:val="002A7EA6"/>
    <w:rsid w:val="002A7F41"/>
    <w:rsid w:val="002A7F71"/>
    <w:rsid w:val="002A7FDE"/>
    <w:rsid w:val="002B02DC"/>
    <w:rsid w:val="002B02F5"/>
    <w:rsid w:val="002B03BC"/>
    <w:rsid w:val="002B03E4"/>
    <w:rsid w:val="002B0B34"/>
    <w:rsid w:val="002B0D68"/>
    <w:rsid w:val="002B0DC6"/>
    <w:rsid w:val="002B0EA5"/>
    <w:rsid w:val="002B127E"/>
    <w:rsid w:val="002B1384"/>
    <w:rsid w:val="002B14C3"/>
    <w:rsid w:val="002B19F2"/>
    <w:rsid w:val="002B1A10"/>
    <w:rsid w:val="002B1BEF"/>
    <w:rsid w:val="002B1D40"/>
    <w:rsid w:val="002B1DE2"/>
    <w:rsid w:val="002B2016"/>
    <w:rsid w:val="002B2075"/>
    <w:rsid w:val="002B23E4"/>
    <w:rsid w:val="002B24DC"/>
    <w:rsid w:val="002B2591"/>
    <w:rsid w:val="002B25C3"/>
    <w:rsid w:val="002B2623"/>
    <w:rsid w:val="002B2ACB"/>
    <w:rsid w:val="002B2EC5"/>
    <w:rsid w:val="002B2F72"/>
    <w:rsid w:val="002B34E7"/>
    <w:rsid w:val="002B35C2"/>
    <w:rsid w:val="002B3681"/>
    <w:rsid w:val="002B3901"/>
    <w:rsid w:val="002B396A"/>
    <w:rsid w:val="002B3CCA"/>
    <w:rsid w:val="002B3E1E"/>
    <w:rsid w:val="002B3FCE"/>
    <w:rsid w:val="002B459E"/>
    <w:rsid w:val="002B4809"/>
    <w:rsid w:val="002B4A69"/>
    <w:rsid w:val="002B4B15"/>
    <w:rsid w:val="002B4D16"/>
    <w:rsid w:val="002B4DF3"/>
    <w:rsid w:val="002B5567"/>
    <w:rsid w:val="002B55AB"/>
    <w:rsid w:val="002B564C"/>
    <w:rsid w:val="002B57B2"/>
    <w:rsid w:val="002B5B49"/>
    <w:rsid w:val="002B5DA9"/>
    <w:rsid w:val="002B5EFF"/>
    <w:rsid w:val="002B64C0"/>
    <w:rsid w:val="002B65AA"/>
    <w:rsid w:val="002B667C"/>
    <w:rsid w:val="002B681F"/>
    <w:rsid w:val="002B69E3"/>
    <w:rsid w:val="002B6AFE"/>
    <w:rsid w:val="002B6FB7"/>
    <w:rsid w:val="002B70F3"/>
    <w:rsid w:val="002B72F1"/>
    <w:rsid w:val="002B7327"/>
    <w:rsid w:val="002B754B"/>
    <w:rsid w:val="002B79C1"/>
    <w:rsid w:val="002B7E74"/>
    <w:rsid w:val="002B7F1A"/>
    <w:rsid w:val="002B7F34"/>
    <w:rsid w:val="002B7F63"/>
    <w:rsid w:val="002C0039"/>
    <w:rsid w:val="002C0096"/>
    <w:rsid w:val="002C0323"/>
    <w:rsid w:val="002C03FF"/>
    <w:rsid w:val="002C06A5"/>
    <w:rsid w:val="002C06B7"/>
    <w:rsid w:val="002C0835"/>
    <w:rsid w:val="002C08C1"/>
    <w:rsid w:val="002C0905"/>
    <w:rsid w:val="002C0B7E"/>
    <w:rsid w:val="002C101E"/>
    <w:rsid w:val="002C1093"/>
    <w:rsid w:val="002C1162"/>
    <w:rsid w:val="002C11CA"/>
    <w:rsid w:val="002C12D4"/>
    <w:rsid w:val="002C147D"/>
    <w:rsid w:val="002C15B1"/>
    <w:rsid w:val="002C16D5"/>
    <w:rsid w:val="002C18B7"/>
    <w:rsid w:val="002C1BA2"/>
    <w:rsid w:val="002C1CFC"/>
    <w:rsid w:val="002C1E1E"/>
    <w:rsid w:val="002C20B6"/>
    <w:rsid w:val="002C20C1"/>
    <w:rsid w:val="002C211E"/>
    <w:rsid w:val="002C2239"/>
    <w:rsid w:val="002C2979"/>
    <w:rsid w:val="002C2EEE"/>
    <w:rsid w:val="002C3132"/>
    <w:rsid w:val="002C31B5"/>
    <w:rsid w:val="002C3411"/>
    <w:rsid w:val="002C360F"/>
    <w:rsid w:val="002C37F5"/>
    <w:rsid w:val="002C3A6E"/>
    <w:rsid w:val="002C3CD2"/>
    <w:rsid w:val="002C3D45"/>
    <w:rsid w:val="002C3FDA"/>
    <w:rsid w:val="002C45E8"/>
    <w:rsid w:val="002C47EE"/>
    <w:rsid w:val="002C4B5E"/>
    <w:rsid w:val="002C4D3F"/>
    <w:rsid w:val="002C4D7E"/>
    <w:rsid w:val="002C4E58"/>
    <w:rsid w:val="002C50A6"/>
    <w:rsid w:val="002C54B4"/>
    <w:rsid w:val="002C54C1"/>
    <w:rsid w:val="002C569A"/>
    <w:rsid w:val="002C56AF"/>
    <w:rsid w:val="002C5AF4"/>
    <w:rsid w:val="002C5B59"/>
    <w:rsid w:val="002C5BE2"/>
    <w:rsid w:val="002C5CDB"/>
    <w:rsid w:val="002C5D2D"/>
    <w:rsid w:val="002C60BD"/>
    <w:rsid w:val="002C60F7"/>
    <w:rsid w:val="002C6106"/>
    <w:rsid w:val="002C674D"/>
    <w:rsid w:val="002C6A72"/>
    <w:rsid w:val="002C6AB6"/>
    <w:rsid w:val="002C6F18"/>
    <w:rsid w:val="002C6F6B"/>
    <w:rsid w:val="002C702C"/>
    <w:rsid w:val="002C70B7"/>
    <w:rsid w:val="002C70CE"/>
    <w:rsid w:val="002C71DA"/>
    <w:rsid w:val="002C7232"/>
    <w:rsid w:val="002C72D9"/>
    <w:rsid w:val="002C730E"/>
    <w:rsid w:val="002C734E"/>
    <w:rsid w:val="002C7C92"/>
    <w:rsid w:val="002C7CB2"/>
    <w:rsid w:val="002C7CF5"/>
    <w:rsid w:val="002C7E15"/>
    <w:rsid w:val="002C7E2D"/>
    <w:rsid w:val="002C7EB4"/>
    <w:rsid w:val="002C7EE6"/>
    <w:rsid w:val="002D0484"/>
    <w:rsid w:val="002D049D"/>
    <w:rsid w:val="002D0749"/>
    <w:rsid w:val="002D090E"/>
    <w:rsid w:val="002D0C9A"/>
    <w:rsid w:val="002D0CFA"/>
    <w:rsid w:val="002D0F0D"/>
    <w:rsid w:val="002D11C9"/>
    <w:rsid w:val="002D11CF"/>
    <w:rsid w:val="002D15AA"/>
    <w:rsid w:val="002D18C3"/>
    <w:rsid w:val="002D1C42"/>
    <w:rsid w:val="002D1F5B"/>
    <w:rsid w:val="002D21DC"/>
    <w:rsid w:val="002D281E"/>
    <w:rsid w:val="002D323A"/>
    <w:rsid w:val="002D35E7"/>
    <w:rsid w:val="002D4121"/>
    <w:rsid w:val="002D4216"/>
    <w:rsid w:val="002D4262"/>
    <w:rsid w:val="002D4591"/>
    <w:rsid w:val="002D45DB"/>
    <w:rsid w:val="002D4706"/>
    <w:rsid w:val="002D4AF8"/>
    <w:rsid w:val="002D4BDD"/>
    <w:rsid w:val="002D4BE5"/>
    <w:rsid w:val="002D4EA3"/>
    <w:rsid w:val="002D5022"/>
    <w:rsid w:val="002D5097"/>
    <w:rsid w:val="002D50A1"/>
    <w:rsid w:val="002D5157"/>
    <w:rsid w:val="002D5336"/>
    <w:rsid w:val="002D54C8"/>
    <w:rsid w:val="002D55E4"/>
    <w:rsid w:val="002D5866"/>
    <w:rsid w:val="002D5AAC"/>
    <w:rsid w:val="002D6126"/>
    <w:rsid w:val="002D6360"/>
    <w:rsid w:val="002D6551"/>
    <w:rsid w:val="002D6620"/>
    <w:rsid w:val="002D6889"/>
    <w:rsid w:val="002D690D"/>
    <w:rsid w:val="002D6BD9"/>
    <w:rsid w:val="002D6ECC"/>
    <w:rsid w:val="002D7266"/>
    <w:rsid w:val="002D72C9"/>
    <w:rsid w:val="002D7655"/>
    <w:rsid w:val="002D79F7"/>
    <w:rsid w:val="002D7CF6"/>
    <w:rsid w:val="002D7F57"/>
    <w:rsid w:val="002E020C"/>
    <w:rsid w:val="002E0B26"/>
    <w:rsid w:val="002E0BBD"/>
    <w:rsid w:val="002E0D35"/>
    <w:rsid w:val="002E0EFB"/>
    <w:rsid w:val="002E0F8C"/>
    <w:rsid w:val="002E13F1"/>
    <w:rsid w:val="002E16E5"/>
    <w:rsid w:val="002E1DB6"/>
    <w:rsid w:val="002E1DEA"/>
    <w:rsid w:val="002E1ECD"/>
    <w:rsid w:val="002E2014"/>
    <w:rsid w:val="002E23F6"/>
    <w:rsid w:val="002E256C"/>
    <w:rsid w:val="002E25BD"/>
    <w:rsid w:val="002E25D0"/>
    <w:rsid w:val="002E25E8"/>
    <w:rsid w:val="002E2813"/>
    <w:rsid w:val="002E28B9"/>
    <w:rsid w:val="002E28F5"/>
    <w:rsid w:val="002E293A"/>
    <w:rsid w:val="002E2BDB"/>
    <w:rsid w:val="002E2CB8"/>
    <w:rsid w:val="002E2D38"/>
    <w:rsid w:val="002E3212"/>
    <w:rsid w:val="002E3530"/>
    <w:rsid w:val="002E38ED"/>
    <w:rsid w:val="002E3AD3"/>
    <w:rsid w:val="002E3BCD"/>
    <w:rsid w:val="002E3C39"/>
    <w:rsid w:val="002E3FFF"/>
    <w:rsid w:val="002E4012"/>
    <w:rsid w:val="002E4508"/>
    <w:rsid w:val="002E469A"/>
    <w:rsid w:val="002E491A"/>
    <w:rsid w:val="002E4A32"/>
    <w:rsid w:val="002E4A5F"/>
    <w:rsid w:val="002E5128"/>
    <w:rsid w:val="002E55A4"/>
    <w:rsid w:val="002E5607"/>
    <w:rsid w:val="002E5760"/>
    <w:rsid w:val="002E58A5"/>
    <w:rsid w:val="002E59E5"/>
    <w:rsid w:val="002E5D60"/>
    <w:rsid w:val="002E5DDE"/>
    <w:rsid w:val="002E5F9A"/>
    <w:rsid w:val="002E5FE6"/>
    <w:rsid w:val="002E60A1"/>
    <w:rsid w:val="002E61CB"/>
    <w:rsid w:val="002E63BE"/>
    <w:rsid w:val="002E647A"/>
    <w:rsid w:val="002E675C"/>
    <w:rsid w:val="002E6AA4"/>
    <w:rsid w:val="002E6C4E"/>
    <w:rsid w:val="002E6D88"/>
    <w:rsid w:val="002E6DFE"/>
    <w:rsid w:val="002E7203"/>
    <w:rsid w:val="002E7566"/>
    <w:rsid w:val="002E76F6"/>
    <w:rsid w:val="002E7775"/>
    <w:rsid w:val="002E78AB"/>
    <w:rsid w:val="002E79CB"/>
    <w:rsid w:val="002E7A3B"/>
    <w:rsid w:val="002E7AD2"/>
    <w:rsid w:val="002E7B3B"/>
    <w:rsid w:val="002E7B5A"/>
    <w:rsid w:val="002E7BF8"/>
    <w:rsid w:val="002E7DCC"/>
    <w:rsid w:val="002E7F12"/>
    <w:rsid w:val="002F014B"/>
    <w:rsid w:val="002F02D6"/>
    <w:rsid w:val="002F0501"/>
    <w:rsid w:val="002F0591"/>
    <w:rsid w:val="002F05E0"/>
    <w:rsid w:val="002F08F4"/>
    <w:rsid w:val="002F0B6E"/>
    <w:rsid w:val="002F0B95"/>
    <w:rsid w:val="002F0D2C"/>
    <w:rsid w:val="002F0DD7"/>
    <w:rsid w:val="002F0E61"/>
    <w:rsid w:val="002F11BA"/>
    <w:rsid w:val="002F1322"/>
    <w:rsid w:val="002F1399"/>
    <w:rsid w:val="002F140E"/>
    <w:rsid w:val="002F1538"/>
    <w:rsid w:val="002F1686"/>
    <w:rsid w:val="002F1794"/>
    <w:rsid w:val="002F17D3"/>
    <w:rsid w:val="002F1821"/>
    <w:rsid w:val="002F196B"/>
    <w:rsid w:val="002F19E3"/>
    <w:rsid w:val="002F19F5"/>
    <w:rsid w:val="002F1B80"/>
    <w:rsid w:val="002F1CE5"/>
    <w:rsid w:val="002F1D0F"/>
    <w:rsid w:val="002F2426"/>
    <w:rsid w:val="002F2723"/>
    <w:rsid w:val="002F279B"/>
    <w:rsid w:val="002F2930"/>
    <w:rsid w:val="002F29BB"/>
    <w:rsid w:val="002F2A4B"/>
    <w:rsid w:val="002F2C0C"/>
    <w:rsid w:val="002F2C49"/>
    <w:rsid w:val="002F2FF2"/>
    <w:rsid w:val="002F2FF4"/>
    <w:rsid w:val="002F3150"/>
    <w:rsid w:val="002F32FB"/>
    <w:rsid w:val="002F3B81"/>
    <w:rsid w:val="002F3F42"/>
    <w:rsid w:val="002F4072"/>
    <w:rsid w:val="002F43F4"/>
    <w:rsid w:val="002F4935"/>
    <w:rsid w:val="002F4B06"/>
    <w:rsid w:val="002F52CC"/>
    <w:rsid w:val="002F543D"/>
    <w:rsid w:val="002F5557"/>
    <w:rsid w:val="002F5611"/>
    <w:rsid w:val="002F5E01"/>
    <w:rsid w:val="002F5F5E"/>
    <w:rsid w:val="002F5F85"/>
    <w:rsid w:val="002F6169"/>
    <w:rsid w:val="002F617D"/>
    <w:rsid w:val="002F6235"/>
    <w:rsid w:val="002F627C"/>
    <w:rsid w:val="002F647A"/>
    <w:rsid w:val="002F65E2"/>
    <w:rsid w:val="002F670E"/>
    <w:rsid w:val="002F68F8"/>
    <w:rsid w:val="002F693F"/>
    <w:rsid w:val="002F6B4A"/>
    <w:rsid w:val="002F6BDE"/>
    <w:rsid w:val="002F6FCC"/>
    <w:rsid w:val="002F7063"/>
    <w:rsid w:val="002F75A9"/>
    <w:rsid w:val="002F787A"/>
    <w:rsid w:val="002F7976"/>
    <w:rsid w:val="002F7A36"/>
    <w:rsid w:val="002F7AC7"/>
    <w:rsid w:val="002F7C95"/>
    <w:rsid w:val="002F7D6A"/>
    <w:rsid w:val="0030024A"/>
    <w:rsid w:val="003003F1"/>
    <w:rsid w:val="00300482"/>
    <w:rsid w:val="0030057C"/>
    <w:rsid w:val="003008CC"/>
    <w:rsid w:val="003008DA"/>
    <w:rsid w:val="00301245"/>
    <w:rsid w:val="00301348"/>
    <w:rsid w:val="003014AF"/>
    <w:rsid w:val="00301580"/>
    <w:rsid w:val="00301763"/>
    <w:rsid w:val="00301894"/>
    <w:rsid w:val="00301B26"/>
    <w:rsid w:val="00301BE8"/>
    <w:rsid w:val="00301E5B"/>
    <w:rsid w:val="003021A0"/>
    <w:rsid w:val="00302252"/>
    <w:rsid w:val="003022BD"/>
    <w:rsid w:val="0030249A"/>
    <w:rsid w:val="00302521"/>
    <w:rsid w:val="00302667"/>
    <w:rsid w:val="00302999"/>
    <w:rsid w:val="00302BEC"/>
    <w:rsid w:val="00302BF5"/>
    <w:rsid w:val="00302C12"/>
    <w:rsid w:val="00302F77"/>
    <w:rsid w:val="003031F5"/>
    <w:rsid w:val="003035D9"/>
    <w:rsid w:val="00303723"/>
    <w:rsid w:val="00303760"/>
    <w:rsid w:val="0030377C"/>
    <w:rsid w:val="00303798"/>
    <w:rsid w:val="0030379D"/>
    <w:rsid w:val="00303974"/>
    <w:rsid w:val="0030397A"/>
    <w:rsid w:val="00303C60"/>
    <w:rsid w:val="00303DE2"/>
    <w:rsid w:val="00303EC3"/>
    <w:rsid w:val="003041D0"/>
    <w:rsid w:val="003043FD"/>
    <w:rsid w:val="0030453A"/>
    <w:rsid w:val="00304578"/>
    <w:rsid w:val="00304800"/>
    <w:rsid w:val="0030498B"/>
    <w:rsid w:val="00304B19"/>
    <w:rsid w:val="00304DC8"/>
    <w:rsid w:val="00304FB8"/>
    <w:rsid w:val="00304FC8"/>
    <w:rsid w:val="00305094"/>
    <w:rsid w:val="003050E3"/>
    <w:rsid w:val="00305456"/>
    <w:rsid w:val="0030578B"/>
    <w:rsid w:val="00305969"/>
    <w:rsid w:val="00305D51"/>
    <w:rsid w:val="003061E6"/>
    <w:rsid w:val="0030639D"/>
    <w:rsid w:val="00306E31"/>
    <w:rsid w:val="00306EEA"/>
    <w:rsid w:val="00306FB8"/>
    <w:rsid w:val="00306FE6"/>
    <w:rsid w:val="00307299"/>
    <w:rsid w:val="0030730E"/>
    <w:rsid w:val="003073C3"/>
    <w:rsid w:val="003073E3"/>
    <w:rsid w:val="00307465"/>
    <w:rsid w:val="003074EE"/>
    <w:rsid w:val="00307809"/>
    <w:rsid w:val="003078C9"/>
    <w:rsid w:val="00307BE3"/>
    <w:rsid w:val="0031019D"/>
    <w:rsid w:val="0031074A"/>
    <w:rsid w:val="00310938"/>
    <w:rsid w:val="00310B9B"/>
    <w:rsid w:val="00310C3F"/>
    <w:rsid w:val="00310EEA"/>
    <w:rsid w:val="0031141E"/>
    <w:rsid w:val="003114E1"/>
    <w:rsid w:val="0031161A"/>
    <w:rsid w:val="00311B72"/>
    <w:rsid w:val="00311EF6"/>
    <w:rsid w:val="00311F29"/>
    <w:rsid w:val="00311FA4"/>
    <w:rsid w:val="00312195"/>
    <w:rsid w:val="0031237D"/>
    <w:rsid w:val="003126D8"/>
    <w:rsid w:val="0031270A"/>
    <w:rsid w:val="00312979"/>
    <w:rsid w:val="00312C59"/>
    <w:rsid w:val="00312CD6"/>
    <w:rsid w:val="0031308E"/>
    <w:rsid w:val="00313847"/>
    <w:rsid w:val="00313923"/>
    <w:rsid w:val="003139BC"/>
    <w:rsid w:val="00313A8A"/>
    <w:rsid w:val="00313D2F"/>
    <w:rsid w:val="00313F64"/>
    <w:rsid w:val="003140D2"/>
    <w:rsid w:val="0031416C"/>
    <w:rsid w:val="00314291"/>
    <w:rsid w:val="0031485F"/>
    <w:rsid w:val="00314915"/>
    <w:rsid w:val="003149B6"/>
    <w:rsid w:val="00314A51"/>
    <w:rsid w:val="00314C5A"/>
    <w:rsid w:val="0031531E"/>
    <w:rsid w:val="00315529"/>
    <w:rsid w:val="003156A8"/>
    <w:rsid w:val="00315A8B"/>
    <w:rsid w:val="00315F14"/>
    <w:rsid w:val="00316474"/>
    <w:rsid w:val="00316477"/>
    <w:rsid w:val="003166B9"/>
    <w:rsid w:val="003166FF"/>
    <w:rsid w:val="003168B0"/>
    <w:rsid w:val="00316A9F"/>
    <w:rsid w:val="00316EBC"/>
    <w:rsid w:val="00317484"/>
    <w:rsid w:val="00317714"/>
    <w:rsid w:val="003178AC"/>
    <w:rsid w:val="0031793D"/>
    <w:rsid w:val="00317ABA"/>
    <w:rsid w:val="00317F99"/>
    <w:rsid w:val="00320036"/>
    <w:rsid w:val="0032057E"/>
    <w:rsid w:val="0032058A"/>
    <w:rsid w:val="0032061D"/>
    <w:rsid w:val="00320692"/>
    <w:rsid w:val="00320A17"/>
    <w:rsid w:val="00320A2D"/>
    <w:rsid w:val="00320B02"/>
    <w:rsid w:val="00320EE3"/>
    <w:rsid w:val="00321176"/>
    <w:rsid w:val="00321240"/>
    <w:rsid w:val="0032166C"/>
    <w:rsid w:val="003216EB"/>
    <w:rsid w:val="003218A7"/>
    <w:rsid w:val="00321A4B"/>
    <w:rsid w:val="00321ACE"/>
    <w:rsid w:val="00321D50"/>
    <w:rsid w:val="00321E22"/>
    <w:rsid w:val="00321E66"/>
    <w:rsid w:val="003220F3"/>
    <w:rsid w:val="0032216E"/>
    <w:rsid w:val="003224E7"/>
    <w:rsid w:val="003229A3"/>
    <w:rsid w:val="00322B3E"/>
    <w:rsid w:val="00322C32"/>
    <w:rsid w:val="00322C49"/>
    <w:rsid w:val="00322DA9"/>
    <w:rsid w:val="00322E52"/>
    <w:rsid w:val="00323099"/>
    <w:rsid w:val="00323246"/>
    <w:rsid w:val="003232C9"/>
    <w:rsid w:val="00323412"/>
    <w:rsid w:val="00323534"/>
    <w:rsid w:val="00323558"/>
    <w:rsid w:val="003235F2"/>
    <w:rsid w:val="00323731"/>
    <w:rsid w:val="00323A65"/>
    <w:rsid w:val="00323AF6"/>
    <w:rsid w:val="00323E3A"/>
    <w:rsid w:val="00323E4F"/>
    <w:rsid w:val="00323FDB"/>
    <w:rsid w:val="00324187"/>
    <w:rsid w:val="003241CE"/>
    <w:rsid w:val="0032428B"/>
    <w:rsid w:val="00324424"/>
    <w:rsid w:val="003249F2"/>
    <w:rsid w:val="00324C0C"/>
    <w:rsid w:val="00324C91"/>
    <w:rsid w:val="00324E70"/>
    <w:rsid w:val="00324EBE"/>
    <w:rsid w:val="003250B7"/>
    <w:rsid w:val="003251C2"/>
    <w:rsid w:val="003253E8"/>
    <w:rsid w:val="003256A1"/>
    <w:rsid w:val="00325736"/>
    <w:rsid w:val="00325FA0"/>
    <w:rsid w:val="00325FEF"/>
    <w:rsid w:val="003260A1"/>
    <w:rsid w:val="00326115"/>
    <w:rsid w:val="00326494"/>
    <w:rsid w:val="003266A8"/>
    <w:rsid w:val="003268AE"/>
    <w:rsid w:val="00326BC5"/>
    <w:rsid w:val="00326BEF"/>
    <w:rsid w:val="00326F1C"/>
    <w:rsid w:val="00327104"/>
    <w:rsid w:val="00327162"/>
    <w:rsid w:val="003272D6"/>
    <w:rsid w:val="00327390"/>
    <w:rsid w:val="003275B1"/>
    <w:rsid w:val="0032765C"/>
    <w:rsid w:val="003276F6"/>
    <w:rsid w:val="00327B37"/>
    <w:rsid w:val="0033015A"/>
    <w:rsid w:val="00330211"/>
    <w:rsid w:val="00330407"/>
    <w:rsid w:val="00330639"/>
    <w:rsid w:val="00330670"/>
    <w:rsid w:val="0033072E"/>
    <w:rsid w:val="0033098A"/>
    <w:rsid w:val="00330A0A"/>
    <w:rsid w:val="00330C20"/>
    <w:rsid w:val="00330DC7"/>
    <w:rsid w:val="00330FF2"/>
    <w:rsid w:val="00331143"/>
    <w:rsid w:val="003315AA"/>
    <w:rsid w:val="00331930"/>
    <w:rsid w:val="00331C9E"/>
    <w:rsid w:val="00331CD7"/>
    <w:rsid w:val="00332048"/>
    <w:rsid w:val="003320DA"/>
    <w:rsid w:val="003322C6"/>
    <w:rsid w:val="00332473"/>
    <w:rsid w:val="00332584"/>
    <w:rsid w:val="003326C3"/>
    <w:rsid w:val="003328A9"/>
    <w:rsid w:val="00332920"/>
    <w:rsid w:val="00332D6F"/>
    <w:rsid w:val="00332F72"/>
    <w:rsid w:val="003330F3"/>
    <w:rsid w:val="0033318F"/>
    <w:rsid w:val="00334223"/>
    <w:rsid w:val="003342E5"/>
    <w:rsid w:val="0033444D"/>
    <w:rsid w:val="00334459"/>
    <w:rsid w:val="00334632"/>
    <w:rsid w:val="00334777"/>
    <w:rsid w:val="00334D26"/>
    <w:rsid w:val="00334DA0"/>
    <w:rsid w:val="00334E8A"/>
    <w:rsid w:val="00334F13"/>
    <w:rsid w:val="003351D4"/>
    <w:rsid w:val="003353CD"/>
    <w:rsid w:val="0033547D"/>
    <w:rsid w:val="0033585C"/>
    <w:rsid w:val="00335B42"/>
    <w:rsid w:val="00335F67"/>
    <w:rsid w:val="00335F76"/>
    <w:rsid w:val="0033606F"/>
    <w:rsid w:val="003362AE"/>
    <w:rsid w:val="003362FE"/>
    <w:rsid w:val="00336488"/>
    <w:rsid w:val="00336759"/>
    <w:rsid w:val="00336765"/>
    <w:rsid w:val="0033677D"/>
    <w:rsid w:val="003368C3"/>
    <w:rsid w:val="00336924"/>
    <w:rsid w:val="0033695D"/>
    <w:rsid w:val="00336B2A"/>
    <w:rsid w:val="00336C7A"/>
    <w:rsid w:val="00336D4C"/>
    <w:rsid w:val="00336F35"/>
    <w:rsid w:val="003371B5"/>
    <w:rsid w:val="0033782E"/>
    <w:rsid w:val="00337A52"/>
    <w:rsid w:val="00337BAF"/>
    <w:rsid w:val="00337CF3"/>
    <w:rsid w:val="00340080"/>
    <w:rsid w:val="00340257"/>
    <w:rsid w:val="00340341"/>
    <w:rsid w:val="00340842"/>
    <w:rsid w:val="0034089A"/>
    <w:rsid w:val="0034095B"/>
    <w:rsid w:val="00340B4E"/>
    <w:rsid w:val="00340F02"/>
    <w:rsid w:val="00340F75"/>
    <w:rsid w:val="00341051"/>
    <w:rsid w:val="00341468"/>
    <w:rsid w:val="003415EF"/>
    <w:rsid w:val="003417CB"/>
    <w:rsid w:val="00341893"/>
    <w:rsid w:val="003419A8"/>
    <w:rsid w:val="003419F5"/>
    <w:rsid w:val="00341FDC"/>
    <w:rsid w:val="003420A7"/>
    <w:rsid w:val="0034210F"/>
    <w:rsid w:val="00342212"/>
    <w:rsid w:val="0034258D"/>
    <w:rsid w:val="00342596"/>
    <w:rsid w:val="00342713"/>
    <w:rsid w:val="003427DB"/>
    <w:rsid w:val="0034292C"/>
    <w:rsid w:val="00342C69"/>
    <w:rsid w:val="00343316"/>
    <w:rsid w:val="003435A9"/>
    <w:rsid w:val="00343A55"/>
    <w:rsid w:val="00343ADD"/>
    <w:rsid w:val="00343C55"/>
    <w:rsid w:val="00343FA5"/>
    <w:rsid w:val="0034410E"/>
    <w:rsid w:val="003441D1"/>
    <w:rsid w:val="00344277"/>
    <w:rsid w:val="003442F4"/>
    <w:rsid w:val="003443F2"/>
    <w:rsid w:val="00344575"/>
    <w:rsid w:val="00344649"/>
    <w:rsid w:val="00344694"/>
    <w:rsid w:val="00344A5E"/>
    <w:rsid w:val="00344AB9"/>
    <w:rsid w:val="00344C44"/>
    <w:rsid w:val="0034506D"/>
    <w:rsid w:val="0034532E"/>
    <w:rsid w:val="003453D8"/>
    <w:rsid w:val="0034540A"/>
    <w:rsid w:val="00345496"/>
    <w:rsid w:val="00345BCF"/>
    <w:rsid w:val="00345C48"/>
    <w:rsid w:val="00345D89"/>
    <w:rsid w:val="00345E4C"/>
    <w:rsid w:val="0034605B"/>
    <w:rsid w:val="003460C2"/>
    <w:rsid w:val="003460C3"/>
    <w:rsid w:val="0034624C"/>
    <w:rsid w:val="00346293"/>
    <w:rsid w:val="0034640F"/>
    <w:rsid w:val="003466F9"/>
    <w:rsid w:val="0034686D"/>
    <w:rsid w:val="003468F8"/>
    <w:rsid w:val="0034697D"/>
    <w:rsid w:val="00346BD8"/>
    <w:rsid w:val="00346CFF"/>
    <w:rsid w:val="00346ED4"/>
    <w:rsid w:val="00347028"/>
    <w:rsid w:val="00347377"/>
    <w:rsid w:val="00347580"/>
    <w:rsid w:val="0034785C"/>
    <w:rsid w:val="00347DEF"/>
    <w:rsid w:val="00350092"/>
    <w:rsid w:val="00350116"/>
    <w:rsid w:val="00350119"/>
    <w:rsid w:val="003501FC"/>
    <w:rsid w:val="0035034C"/>
    <w:rsid w:val="0035049A"/>
    <w:rsid w:val="003504FC"/>
    <w:rsid w:val="00350660"/>
    <w:rsid w:val="00350850"/>
    <w:rsid w:val="00350A8C"/>
    <w:rsid w:val="00350C04"/>
    <w:rsid w:val="00350C40"/>
    <w:rsid w:val="00350CA4"/>
    <w:rsid w:val="00350DBF"/>
    <w:rsid w:val="00351207"/>
    <w:rsid w:val="00351232"/>
    <w:rsid w:val="003514B9"/>
    <w:rsid w:val="003519AD"/>
    <w:rsid w:val="00351B9A"/>
    <w:rsid w:val="00351D91"/>
    <w:rsid w:val="00351E0E"/>
    <w:rsid w:val="0035202E"/>
    <w:rsid w:val="00352304"/>
    <w:rsid w:val="00352441"/>
    <w:rsid w:val="00352458"/>
    <w:rsid w:val="003524FE"/>
    <w:rsid w:val="00352525"/>
    <w:rsid w:val="003525A8"/>
    <w:rsid w:val="0035276D"/>
    <w:rsid w:val="003527F9"/>
    <w:rsid w:val="00352874"/>
    <w:rsid w:val="00352C9A"/>
    <w:rsid w:val="00352DEB"/>
    <w:rsid w:val="00352E1E"/>
    <w:rsid w:val="0035333E"/>
    <w:rsid w:val="00353585"/>
    <w:rsid w:val="00353CD6"/>
    <w:rsid w:val="00353D31"/>
    <w:rsid w:val="00353F09"/>
    <w:rsid w:val="00354250"/>
    <w:rsid w:val="00354312"/>
    <w:rsid w:val="00354397"/>
    <w:rsid w:val="00354552"/>
    <w:rsid w:val="0035484A"/>
    <w:rsid w:val="00354BCC"/>
    <w:rsid w:val="00354DD5"/>
    <w:rsid w:val="00354EB4"/>
    <w:rsid w:val="00354ED3"/>
    <w:rsid w:val="00354EDF"/>
    <w:rsid w:val="00354FAB"/>
    <w:rsid w:val="00355045"/>
    <w:rsid w:val="00355267"/>
    <w:rsid w:val="003553C2"/>
    <w:rsid w:val="003556EA"/>
    <w:rsid w:val="003556FE"/>
    <w:rsid w:val="003557D3"/>
    <w:rsid w:val="003559B0"/>
    <w:rsid w:val="003559E0"/>
    <w:rsid w:val="00355C01"/>
    <w:rsid w:val="0035622A"/>
    <w:rsid w:val="00356858"/>
    <w:rsid w:val="00356B89"/>
    <w:rsid w:val="00356D29"/>
    <w:rsid w:val="00356EEB"/>
    <w:rsid w:val="003571C2"/>
    <w:rsid w:val="00357204"/>
    <w:rsid w:val="00357245"/>
    <w:rsid w:val="003572D3"/>
    <w:rsid w:val="0035775D"/>
    <w:rsid w:val="003579DE"/>
    <w:rsid w:val="00360086"/>
    <w:rsid w:val="003602F6"/>
    <w:rsid w:val="00360328"/>
    <w:rsid w:val="003606E2"/>
    <w:rsid w:val="00360AAB"/>
    <w:rsid w:val="00360BCB"/>
    <w:rsid w:val="00360CDE"/>
    <w:rsid w:val="00360DF7"/>
    <w:rsid w:val="00360E53"/>
    <w:rsid w:val="00360EA0"/>
    <w:rsid w:val="00361009"/>
    <w:rsid w:val="003610C3"/>
    <w:rsid w:val="003612C7"/>
    <w:rsid w:val="003612F4"/>
    <w:rsid w:val="003613F0"/>
    <w:rsid w:val="0036166E"/>
    <w:rsid w:val="00361C11"/>
    <w:rsid w:val="00362663"/>
    <w:rsid w:val="003626F7"/>
    <w:rsid w:val="00362948"/>
    <w:rsid w:val="00362A5B"/>
    <w:rsid w:val="00362B96"/>
    <w:rsid w:val="00362E1C"/>
    <w:rsid w:val="00362F9B"/>
    <w:rsid w:val="00363087"/>
    <w:rsid w:val="00363304"/>
    <w:rsid w:val="0036336C"/>
    <w:rsid w:val="00363387"/>
    <w:rsid w:val="00363756"/>
    <w:rsid w:val="0036384D"/>
    <w:rsid w:val="003638BB"/>
    <w:rsid w:val="00363AA5"/>
    <w:rsid w:val="00363C65"/>
    <w:rsid w:val="00363CEB"/>
    <w:rsid w:val="00363E47"/>
    <w:rsid w:val="00363FB2"/>
    <w:rsid w:val="0036401F"/>
    <w:rsid w:val="003640A7"/>
    <w:rsid w:val="003642CF"/>
    <w:rsid w:val="00364408"/>
    <w:rsid w:val="00364593"/>
    <w:rsid w:val="003647CB"/>
    <w:rsid w:val="003648B9"/>
    <w:rsid w:val="00364FF2"/>
    <w:rsid w:val="00365069"/>
    <w:rsid w:val="003650A4"/>
    <w:rsid w:val="003651BB"/>
    <w:rsid w:val="00365267"/>
    <w:rsid w:val="003652B6"/>
    <w:rsid w:val="00365316"/>
    <w:rsid w:val="00365447"/>
    <w:rsid w:val="00365A65"/>
    <w:rsid w:val="00365C60"/>
    <w:rsid w:val="00365CDC"/>
    <w:rsid w:val="003661D2"/>
    <w:rsid w:val="00366500"/>
    <w:rsid w:val="0036697F"/>
    <w:rsid w:val="00366DCB"/>
    <w:rsid w:val="00366DCE"/>
    <w:rsid w:val="00366FAA"/>
    <w:rsid w:val="00367188"/>
    <w:rsid w:val="003673D9"/>
    <w:rsid w:val="003673EB"/>
    <w:rsid w:val="00367460"/>
    <w:rsid w:val="003678F6"/>
    <w:rsid w:val="0036794E"/>
    <w:rsid w:val="0036799C"/>
    <w:rsid w:val="00367C69"/>
    <w:rsid w:val="00367F69"/>
    <w:rsid w:val="0037031C"/>
    <w:rsid w:val="00370867"/>
    <w:rsid w:val="003709D8"/>
    <w:rsid w:val="00370D08"/>
    <w:rsid w:val="00370D1A"/>
    <w:rsid w:val="0037100A"/>
    <w:rsid w:val="00371032"/>
    <w:rsid w:val="003714CA"/>
    <w:rsid w:val="003717C6"/>
    <w:rsid w:val="00371B14"/>
    <w:rsid w:val="00371C94"/>
    <w:rsid w:val="00371EB8"/>
    <w:rsid w:val="0037224C"/>
    <w:rsid w:val="00372308"/>
    <w:rsid w:val="0037250F"/>
    <w:rsid w:val="0037282A"/>
    <w:rsid w:val="003729CF"/>
    <w:rsid w:val="00373570"/>
    <w:rsid w:val="003739F9"/>
    <w:rsid w:val="00373A7A"/>
    <w:rsid w:val="00373A91"/>
    <w:rsid w:val="00373F26"/>
    <w:rsid w:val="00373F50"/>
    <w:rsid w:val="003745CD"/>
    <w:rsid w:val="00374C4C"/>
    <w:rsid w:val="00374E27"/>
    <w:rsid w:val="00374E43"/>
    <w:rsid w:val="003751F8"/>
    <w:rsid w:val="003754E6"/>
    <w:rsid w:val="00375826"/>
    <w:rsid w:val="003758A1"/>
    <w:rsid w:val="00375AB3"/>
    <w:rsid w:val="00375B2B"/>
    <w:rsid w:val="00375D13"/>
    <w:rsid w:val="00375F03"/>
    <w:rsid w:val="003764A4"/>
    <w:rsid w:val="00376687"/>
    <w:rsid w:val="0037678C"/>
    <w:rsid w:val="003768E7"/>
    <w:rsid w:val="003769AA"/>
    <w:rsid w:val="00376A26"/>
    <w:rsid w:val="00376D53"/>
    <w:rsid w:val="0037702A"/>
    <w:rsid w:val="00377332"/>
    <w:rsid w:val="003773EB"/>
    <w:rsid w:val="003778CD"/>
    <w:rsid w:val="003779A9"/>
    <w:rsid w:val="00377EC5"/>
    <w:rsid w:val="0038005F"/>
    <w:rsid w:val="00380142"/>
    <w:rsid w:val="00380164"/>
    <w:rsid w:val="003802DF"/>
    <w:rsid w:val="00380542"/>
    <w:rsid w:val="003805E4"/>
    <w:rsid w:val="0038077B"/>
    <w:rsid w:val="00380ABE"/>
    <w:rsid w:val="00380CDA"/>
    <w:rsid w:val="003811B9"/>
    <w:rsid w:val="0038133C"/>
    <w:rsid w:val="0038146C"/>
    <w:rsid w:val="003815A8"/>
    <w:rsid w:val="00381DFC"/>
    <w:rsid w:val="00381ED9"/>
    <w:rsid w:val="00381FCB"/>
    <w:rsid w:val="003822A9"/>
    <w:rsid w:val="003822D5"/>
    <w:rsid w:val="0038248B"/>
    <w:rsid w:val="00382609"/>
    <w:rsid w:val="0038279E"/>
    <w:rsid w:val="00382945"/>
    <w:rsid w:val="00382969"/>
    <w:rsid w:val="00382A25"/>
    <w:rsid w:val="00382BF5"/>
    <w:rsid w:val="00382C18"/>
    <w:rsid w:val="00382C28"/>
    <w:rsid w:val="003832BE"/>
    <w:rsid w:val="00383935"/>
    <w:rsid w:val="00383BDA"/>
    <w:rsid w:val="00383CE4"/>
    <w:rsid w:val="00383CEB"/>
    <w:rsid w:val="00383E36"/>
    <w:rsid w:val="00384219"/>
    <w:rsid w:val="003843E9"/>
    <w:rsid w:val="00384705"/>
    <w:rsid w:val="003848F8"/>
    <w:rsid w:val="00384927"/>
    <w:rsid w:val="00384A2A"/>
    <w:rsid w:val="00384CB5"/>
    <w:rsid w:val="0038502A"/>
    <w:rsid w:val="003850C6"/>
    <w:rsid w:val="00385146"/>
    <w:rsid w:val="0038516D"/>
    <w:rsid w:val="00385272"/>
    <w:rsid w:val="003853D7"/>
    <w:rsid w:val="00385440"/>
    <w:rsid w:val="0038552D"/>
    <w:rsid w:val="00385883"/>
    <w:rsid w:val="00385957"/>
    <w:rsid w:val="00385B81"/>
    <w:rsid w:val="00385E8C"/>
    <w:rsid w:val="00385EB3"/>
    <w:rsid w:val="00385EFC"/>
    <w:rsid w:val="00386124"/>
    <w:rsid w:val="00386324"/>
    <w:rsid w:val="003864CE"/>
    <w:rsid w:val="003864D5"/>
    <w:rsid w:val="00386589"/>
    <w:rsid w:val="00386C1F"/>
    <w:rsid w:val="00386EB1"/>
    <w:rsid w:val="00387062"/>
    <w:rsid w:val="00387124"/>
    <w:rsid w:val="003871F7"/>
    <w:rsid w:val="00387222"/>
    <w:rsid w:val="0038751C"/>
    <w:rsid w:val="00387537"/>
    <w:rsid w:val="00387AF3"/>
    <w:rsid w:val="00387B77"/>
    <w:rsid w:val="00387F7A"/>
    <w:rsid w:val="00390056"/>
    <w:rsid w:val="003904DD"/>
    <w:rsid w:val="00390544"/>
    <w:rsid w:val="00390567"/>
    <w:rsid w:val="0039057D"/>
    <w:rsid w:val="003906BF"/>
    <w:rsid w:val="00390A70"/>
    <w:rsid w:val="00390AAA"/>
    <w:rsid w:val="00390B02"/>
    <w:rsid w:val="00390E3E"/>
    <w:rsid w:val="00390FD7"/>
    <w:rsid w:val="0039112E"/>
    <w:rsid w:val="003913C1"/>
    <w:rsid w:val="00391701"/>
    <w:rsid w:val="0039198C"/>
    <w:rsid w:val="003919D9"/>
    <w:rsid w:val="00391A52"/>
    <w:rsid w:val="00391AED"/>
    <w:rsid w:val="00391DDD"/>
    <w:rsid w:val="00391F6A"/>
    <w:rsid w:val="00391F80"/>
    <w:rsid w:val="00392442"/>
    <w:rsid w:val="00392A0C"/>
    <w:rsid w:val="00392B06"/>
    <w:rsid w:val="00392D25"/>
    <w:rsid w:val="00392D78"/>
    <w:rsid w:val="00392E27"/>
    <w:rsid w:val="00392EF4"/>
    <w:rsid w:val="003930FE"/>
    <w:rsid w:val="003934E4"/>
    <w:rsid w:val="00393782"/>
    <w:rsid w:val="003939AC"/>
    <w:rsid w:val="00393D61"/>
    <w:rsid w:val="00393F3F"/>
    <w:rsid w:val="00394140"/>
    <w:rsid w:val="003941B1"/>
    <w:rsid w:val="003942A7"/>
    <w:rsid w:val="00394493"/>
    <w:rsid w:val="00394680"/>
    <w:rsid w:val="00394AF6"/>
    <w:rsid w:val="00394C21"/>
    <w:rsid w:val="00394C64"/>
    <w:rsid w:val="00394E42"/>
    <w:rsid w:val="0039583A"/>
    <w:rsid w:val="00396047"/>
    <w:rsid w:val="00396090"/>
    <w:rsid w:val="00396482"/>
    <w:rsid w:val="003966F6"/>
    <w:rsid w:val="0039677D"/>
    <w:rsid w:val="00396DB0"/>
    <w:rsid w:val="00396EE2"/>
    <w:rsid w:val="00397214"/>
    <w:rsid w:val="00397396"/>
    <w:rsid w:val="003975EC"/>
    <w:rsid w:val="003979EF"/>
    <w:rsid w:val="00397CC3"/>
    <w:rsid w:val="00397E0C"/>
    <w:rsid w:val="003A038F"/>
    <w:rsid w:val="003A03FE"/>
    <w:rsid w:val="003A0601"/>
    <w:rsid w:val="003A0654"/>
    <w:rsid w:val="003A0660"/>
    <w:rsid w:val="003A08DA"/>
    <w:rsid w:val="003A0A14"/>
    <w:rsid w:val="003A0BCD"/>
    <w:rsid w:val="003A0D52"/>
    <w:rsid w:val="003A0DA9"/>
    <w:rsid w:val="003A0EB0"/>
    <w:rsid w:val="003A0F87"/>
    <w:rsid w:val="003A11E9"/>
    <w:rsid w:val="003A1F6F"/>
    <w:rsid w:val="003A24F0"/>
    <w:rsid w:val="003A2731"/>
    <w:rsid w:val="003A29ED"/>
    <w:rsid w:val="003A2B24"/>
    <w:rsid w:val="003A2DC9"/>
    <w:rsid w:val="003A2ED1"/>
    <w:rsid w:val="003A2F32"/>
    <w:rsid w:val="003A3330"/>
    <w:rsid w:val="003A3A20"/>
    <w:rsid w:val="003A415A"/>
    <w:rsid w:val="003A4575"/>
    <w:rsid w:val="003A477A"/>
    <w:rsid w:val="003A4BC7"/>
    <w:rsid w:val="003A4BCF"/>
    <w:rsid w:val="003A4C47"/>
    <w:rsid w:val="003A4CE3"/>
    <w:rsid w:val="003A4D7D"/>
    <w:rsid w:val="003A4E43"/>
    <w:rsid w:val="003A4E69"/>
    <w:rsid w:val="003A5378"/>
    <w:rsid w:val="003A540E"/>
    <w:rsid w:val="003A5572"/>
    <w:rsid w:val="003A56DB"/>
    <w:rsid w:val="003A581D"/>
    <w:rsid w:val="003A5BD5"/>
    <w:rsid w:val="003A5C8F"/>
    <w:rsid w:val="003A5CE2"/>
    <w:rsid w:val="003A611D"/>
    <w:rsid w:val="003A62A3"/>
    <w:rsid w:val="003A63BD"/>
    <w:rsid w:val="003A64BE"/>
    <w:rsid w:val="003A65C2"/>
    <w:rsid w:val="003A6676"/>
    <w:rsid w:val="003A6717"/>
    <w:rsid w:val="003A6724"/>
    <w:rsid w:val="003A67EA"/>
    <w:rsid w:val="003A681D"/>
    <w:rsid w:val="003A68DB"/>
    <w:rsid w:val="003A694C"/>
    <w:rsid w:val="003A69F1"/>
    <w:rsid w:val="003A6ADF"/>
    <w:rsid w:val="003A6BC7"/>
    <w:rsid w:val="003A6E1A"/>
    <w:rsid w:val="003A77E1"/>
    <w:rsid w:val="003A7C6F"/>
    <w:rsid w:val="003A7DE7"/>
    <w:rsid w:val="003B019A"/>
    <w:rsid w:val="003B0201"/>
    <w:rsid w:val="003B0297"/>
    <w:rsid w:val="003B0393"/>
    <w:rsid w:val="003B04AA"/>
    <w:rsid w:val="003B0572"/>
    <w:rsid w:val="003B0891"/>
    <w:rsid w:val="003B08CC"/>
    <w:rsid w:val="003B09DE"/>
    <w:rsid w:val="003B0A82"/>
    <w:rsid w:val="003B0BA1"/>
    <w:rsid w:val="003B0CE3"/>
    <w:rsid w:val="003B0E8D"/>
    <w:rsid w:val="003B0F80"/>
    <w:rsid w:val="003B11F5"/>
    <w:rsid w:val="003B125A"/>
    <w:rsid w:val="003B16C9"/>
    <w:rsid w:val="003B170A"/>
    <w:rsid w:val="003B1788"/>
    <w:rsid w:val="003B18F7"/>
    <w:rsid w:val="003B1A97"/>
    <w:rsid w:val="003B1CEE"/>
    <w:rsid w:val="003B1F76"/>
    <w:rsid w:val="003B2196"/>
    <w:rsid w:val="003B2489"/>
    <w:rsid w:val="003B24CB"/>
    <w:rsid w:val="003B2702"/>
    <w:rsid w:val="003B2AEA"/>
    <w:rsid w:val="003B2BB0"/>
    <w:rsid w:val="003B2C32"/>
    <w:rsid w:val="003B2EE6"/>
    <w:rsid w:val="003B3732"/>
    <w:rsid w:val="003B39E8"/>
    <w:rsid w:val="003B3ABD"/>
    <w:rsid w:val="003B3BB8"/>
    <w:rsid w:val="003B3F4C"/>
    <w:rsid w:val="003B3FBB"/>
    <w:rsid w:val="003B4024"/>
    <w:rsid w:val="003B4382"/>
    <w:rsid w:val="003B4506"/>
    <w:rsid w:val="003B4599"/>
    <w:rsid w:val="003B4629"/>
    <w:rsid w:val="003B468D"/>
    <w:rsid w:val="003B48BA"/>
    <w:rsid w:val="003B4A66"/>
    <w:rsid w:val="003B4DF9"/>
    <w:rsid w:val="003B4F4A"/>
    <w:rsid w:val="003B5124"/>
    <w:rsid w:val="003B54A9"/>
    <w:rsid w:val="003B595F"/>
    <w:rsid w:val="003B5C94"/>
    <w:rsid w:val="003B5E0F"/>
    <w:rsid w:val="003B5E3A"/>
    <w:rsid w:val="003B5F0A"/>
    <w:rsid w:val="003B60F2"/>
    <w:rsid w:val="003B61B7"/>
    <w:rsid w:val="003B63AE"/>
    <w:rsid w:val="003B6ABA"/>
    <w:rsid w:val="003B6CE6"/>
    <w:rsid w:val="003B6E64"/>
    <w:rsid w:val="003B7047"/>
    <w:rsid w:val="003B72C5"/>
    <w:rsid w:val="003B72E4"/>
    <w:rsid w:val="003B754D"/>
    <w:rsid w:val="003B773C"/>
    <w:rsid w:val="003B776F"/>
    <w:rsid w:val="003B782F"/>
    <w:rsid w:val="003B78B0"/>
    <w:rsid w:val="003B7A2F"/>
    <w:rsid w:val="003B7BFE"/>
    <w:rsid w:val="003B7E90"/>
    <w:rsid w:val="003B7EA8"/>
    <w:rsid w:val="003B7F61"/>
    <w:rsid w:val="003BBA49"/>
    <w:rsid w:val="003C01FE"/>
    <w:rsid w:val="003C02D8"/>
    <w:rsid w:val="003C037F"/>
    <w:rsid w:val="003C0949"/>
    <w:rsid w:val="003C0BE1"/>
    <w:rsid w:val="003C0C9B"/>
    <w:rsid w:val="003C0D8F"/>
    <w:rsid w:val="003C0EE8"/>
    <w:rsid w:val="003C120C"/>
    <w:rsid w:val="003C15A2"/>
    <w:rsid w:val="003C15B0"/>
    <w:rsid w:val="003C160C"/>
    <w:rsid w:val="003C1AE2"/>
    <w:rsid w:val="003C1D19"/>
    <w:rsid w:val="003C1D5C"/>
    <w:rsid w:val="003C232B"/>
    <w:rsid w:val="003C24F8"/>
    <w:rsid w:val="003C283D"/>
    <w:rsid w:val="003C2C43"/>
    <w:rsid w:val="003C2E72"/>
    <w:rsid w:val="003C307A"/>
    <w:rsid w:val="003C3943"/>
    <w:rsid w:val="003C3AFB"/>
    <w:rsid w:val="003C3E31"/>
    <w:rsid w:val="003C43F9"/>
    <w:rsid w:val="003C448A"/>
    <w:rsid w:val="003C4639"/>
    <w:rsid w:val="003C4682"/>
    <w:rsid w:val="003C4881"/>
    <w:rsid w:val="003C4A99"/>
    <w:rsid w:val="003C4D29"/>
    <w:rsid w:val="003C4D3D"/>
    <w:rsid w:val="003C4D97"/>
    <w:rsid w:val="003C4F7A"/>
    <w:rsid w:val="003C4F8F"/>
    <w:rsid w:val="003C51A8"/>
    <w:rsid w:val="003C5211"/>
    <w:rsid w:val="003C5367"/>
    <w:rsid w:val="003C53A3"/>
    <w:rsid w:val="003C53C1"/>
    <w:rsid w:val="003C5540"/>
    <w:rsid w:val="003C567E"/>
    <w:rsid w:val="003C5852"/>
    <w:rsid w:val="003C5A69"/>
    <w:rsid w:val="003C5B6F"/>
    <w:rsid w:val="003C5BA3"/>
    <w:rsid w:val="003C5DD1"/>
    <w:rsid w:val="003C5F94"/>
    <w:rsid w:val="003C6033"/>
    <w:rsid w:val="003C6569"/>
    <w:rsid w:val="003C65E4"/>
    <w:rsid w:val="003C6885"/>
    <w:rsid w:val="003C6AA6"/>
    <w:rsid w:val="003C6B59"/>
    <w:rsid w:val="003C6B6C"/>
    <w:rsid w:val="003C6E0E"/>
    <w:rsid w:val="003C7192"/>
    <w:rsid w:val="003C7762"/>
    <w:rsid w:val="003C7C12"/>
    <w:rsid w:val="003C7F2B"/>
    <w:rsid w:val="003D019E"/>
    <w:rsid w:val="003D055A"/>
    <w:rsid w:val="003D093F"/>
    <w:rsid w:val="003D0CF5"/>
    <w:rsid w:val="003D0F12"/>
    <w:rsid w:val="003D1140"/>
    <w:rsid w:val="003D1255"/>
    <w:rsid w:val="003D162B"/>
    <w:rsid w:val="003D184F"/>
    <w:rsid w:val="003D1C6A"/>
    <w:rsid w:val="003D1D82"/>
    <w:rsid w:val="003D1FF4"/>
    <w:rsid w:val="003D230E"/>
    <w:rsid w:val="003D23DA"/>
    <w:rsid w:val="003D2892"/>
    <w:rsid w:val="003D299E"/>
    <w:rsid w:val="003D2CA5"/>
    <w:rsid w:val="003D2D23"/>
    <w:rsid w:val="003D30D0"/>
    <w:rsid w:val="003D33FE"/>
    <w:rsid w:val="003D3859"/>
    <w:rsid w:val="003D3871"/>
    <w:rsid w:val="003D3873"/>
    <w:rsid w:val="003D3A2B"/>
    <w:rsid w:val="003D3A8D"/>
    <w:rsid w:val="003D3AB1"/>
    <w:rsid w:val="003D3AF2"/>
    <w:rsid w:val="003D4017"/>
    <w:rsid w:val="003D442F"/>
    <w:rsid w:val="003D48D3"/>
    <w:rsid w:val="003D4984"/>
    <w:rsid w:val="003D49BE"/>
    <w:rsid w:val="003D4E90"/>
    <w:rsid w:val="003D5450"/>
    <w:rsid w:val="003D558F"/>
    <w:rsid w:val="003D55E1"/>
    <w:rsid w:val="003D5657"/>
    <w:rsid w:val="003D58B3"/>
    <w:rsid w:val="003D5B58"/>
    <w:rsid w:val="003D5CD3"/>
    <w:rsid w:val="003D6222"/>
    <w:rsid w:val="003D62BF"/>
    <w:rsid w:val="003D6333"/>
    <w:rsid w:val="003D6364"/>
    <w:rsid w:val="003D63EB"/>
    <w:rsid w:val="003D641A"/>
    <w:rsid w:val="003D650B"/>
    <w:rsid w:val="003D65D6"/>
    <w:rsid w:val="003D65F0"/>
    <w:rsid w:val="003D695C"/>
    <w:rsid w:val="003D699B"/>
    <w:rsid w:val="003D69EF"/>
    <w:rsid w:val="003D6A2A"/>
    <w:rsid w:val="003D6B05"/>
    <w:rsid w:val="003D6BB2"/>
    <w:rsid w:val="003D6F92"/>
    <w:rsid w:val="003D709A"/>
    <w:rsid w:val="003D713B"/>
    <w:rsid w:val="003D71EB"/>
    <w:rsid w:val="003D73B3"/>
    <w:rsid w:val="003D7754"/>
    <w:rsid w:val="003D7AAF"/>
    <w:rsid w:val="003E0016"/>
    <w:rsid w:val="003E05C2"/>
    <w:rsid w:val="003E06C1"/>
    <w:rsid w:val="003E0895"/>
    <w:rsid w:val="003E0904"/>
    <w:rsid w:val="003E0966"/>
    <w:rsid w:val="003E09AB"/>
    <w:rsid w:val="003E0D74"/>
    <w:rsid w:val="003E0DD4"/>
    <w:rsid w:val="003E1006"/>
    <w:rsid w:val="003E10B4"/>
    <w:rsid w:val="003E22CB"/>
    <w:rsid w:val="003E2343"/>
    <w:rsid w:val="003E2779"/>
    <w:rsid w:val="003E2D58"/>
    <w:rsid w:val="003E31C2"/>
    <w:rsid w:val="003E35C5"/>
    <w:rsid w:val="003E3BE4"/>
    <w:rsid w:val="003E3CA7"/>
    <w:rsid w:val="003E3CBD"/>
    <w:rsid w:val="003E3D28"/>
    <w:rsid w:val="003E3F81"/>
    <w:rsid w:val="003E406B"/>
    <w:rsid w:val="003E43C0"/>
    <w:rsid w:val="003E49FB"/>
    <w:rsid w:val="003E4F96"/>
    <w:rsid w:val="003E5211"/>
    <w:rsid w:val="003E58DA"/>
    <w:rsid w:val="003E5A3E"/>
    <w:rsid w:val="003E5B93"/>
    <w:rsid w:val="003E5CCA"/>
    <w:rsid w:val="003E5CE8"/>
    <w:rsid w:val="003E5E69"/>
    <w:rsid w:val="003E5FFB"/>
    <w:rsid w:val="003E65B9"/>
    <w:rsid w:val="003E67B7"/>
    <w:rsid w:val="003E6824"/>
    <w:rsid w:val="003E697E"/>
    <w:rsid w:val="003E69AA"/>
    <w:rsid w:val="003E6ABA"/>
    <w:rsid w:val="003E7773"/>
    <w:rsid w:val="003E79E0"/>
    <w:rsid w:val="003E7C80"/>
    <w:rsid w:val="003E7DF7"/>
    <w:rsid w:val="003F011C"/>
    <w:rsid w:val="003F03AD"/>
    <w:rsid w:val="003F03D7"/>
    <w:rsid w:val="003F068B"/>
    <w:rsid w:val="003F10BB"/>
    <w:rsid w:val="003F115E"/>
    <w:rsid w:val="003F1259"/>
    <w:rsid w:val="003F131C"/>
    <w:rsid w:val="003F1328"/>
    <w:rsid w:val="003F1463"/>
    <w:rsid w:val="003F14C2"/>
    <w:rsid w:val="003F16B8"/>
    <w:rsid w:val="003F19FF"/>
    <w:rsid w:val="003F1CBA"/>
    <w:rsid w:val="003F2210"/>
    <w:rsid w:val="003F22E4"/>
    <w:rsid w:val="003F2560"/>
    <w:rsid w:val="003F256B"/>
    <w:rsid w:val="003F261F"/>
    <w:rsid w:val="003F2C4A"/>
    <w:rsid w:val="003F2C99"/>
    <w:rsid w:val="003F3199"/>
    <w:rsid w:val="003F35A2"/>
    <w:rsid w:val="003F3675"/>
    <w:rsid w:val="003F3802"/>
    <w:rsid w:val="003F3812"/>
    <w:rsid w:val="003F38EC"/>
    <w:rsid w:val="003F3CE6"/>
    <w:rsid w:val="003F3D2F"/>
    <w:rsid w:val="003F4084"/>
    <w:rsid w:val="003F40BD"/>
    <w:rsid w:val="003F4267"/>
    <w:rsid w:val="003F4754"/>
    <w:rsid w:val="003F4BFA"/>
    <w:rsid w:val="003F4EF9"/>
    <w:rsid w:val="003F4F7C"/>
    <w:rsid w:val="003F5176"/>
    <w:rsid w:val="003F535C"/>
    <w:rsid w:val="003F592B"/>
    <w:rsid w:val="003F59D5"/>
    <w:rsid w:val="003F5A3D"/>
    <w:rsid w:val="003F5D82"/>
    <w:rsid w:val="003F5ED6"/>
    <w:rsid w:val="003F6569"/>
    <w:rsid w:val="003F6AC6"/>
    <w:rsid w:val="003F6D6F"/>
    <w:rsid w:val="003F6D76"/>
    <w:rsid w:val="003F6D81"/>
    <w:rsid w:val="003F707C"/>
    <w:rsid w:val="003F7083"/>
    <w:rsid w:val="003F7095"/>
    <w:rsid w:val="003F7196"/>
    <w:rsid w:val="003F74AF"/>
    <w:rsid w:val="003F7605"/>
    <w:rsid w:val="003F79F0"/>
    <w:rsid w:val="003F7AC5"/>
    <w:rsid w:val="003F7B37"/>
    <w:rsid w:val="00400090"/>
    <w:rsid w:val="00400099"/>
    <w:rsid w:val="004001A3"/>
    <w:rsid w:val="00400623"/>
    <w:rsid w:val="00400666"/>
    <w:rsid w:val="0040086D"/>
    <w:rsid w:val="004008AF"/>
    <w:rsid w:val="004009AE"/>
    <w:rsid w:val="00400B5F"/>
    <w:rsid w:val="00400E1D"/>
    <w:rsid w:val="00400F36"/>
    <w:rsid w:val="0040119D"/>
    <w:rsid w:val="0040193A"/>
    <w:rsid w:val="00401957"/>
    <w:rsid w:val="004019C4"/>
    <w:rsid w:val="00401A48"/>
    <w:rsid w:val="00401C92"/>
    <w:rsid w:val="00401DBF"/>
    <w:rsid w:val="00401E76"/>
    <w:rsid w:val="00401FC6"/>
    <w:rsid w:val="00402491"/>
    <w:rsid w:val="004025E1"/>
    <w:rsid w:val="00402683"/>
    <w:rsid w:val="004026B3"/>
    <w:rsid w:val="00402701"/>
    <w:rsid w:val="00402C0B"/>
    <w:rsid w:val="00402CEC"/>
    <w:rsid w:val="00402E1E"/>
    <w:rsid w:val="00402F34"/>
    <w:rsid w:val="00402FED"/>
    <w:rsid w:val="00403116"/>
    <w:rsid w:val="004033D9"/>
    <w:rsid w:val="0040384A"/>
    <w:rsid w:val="00403988"/>
    <w:rsid w:val="0040416E"/>
    <w:rsid w:val="004041B3"/>
    <w:rsid w:val="00404888"/>
    <w:rsid w:val="00404A94"/>
    <w:rsid w:val="00404DC5"/>
    <w:rsid w:val="00404EE9"/>
    <w:rsid w:val="00405120"/>
    <w:rsid w:val="004054DF"/>
    <w:rsid w:val="0040551F"/>
    <w:rsid w:val="004055BD"/>
    <w:rsid w:val="0040571B"/>
    <w:rsid w:val="00405729"/>
    <w:rsid w:val="004058DF"/>
    <w:rsid w:val="00405EE8"/>
    <w:rsid w:val="0040602E"/>
    <w:rsid w:val="00406134"/>
    <w:rsid w:val="00406E9F"/>
    <w:rsid w:val="00407019"/>
    <w:rsid w:val="00407077"/>
    <w:rsid w:val="004075B8"/>
    <w:rsid w:val="0040761A"/>
    <w:rsid w:val="0040771F"/>
    <w:rsid w:val="00407B6C"/>
    <w:rsid w:val="00407BF9"/>
    <w:rsid w:val="00407ED8"/>
    <w:rsid w:val="00410186"/>
    <w:rsid w:val="0041019E"/>
    <w:rsid w:val="004105FA"/>
    <w:rsid w:val="004108B1"/>
    <w:rsid w:val="00410AD5"/>
    <w:rsid w:val="004111F7"/>
    <w:rsid w:val="00411399"/>
    <w:rsid w:val="0041151B"/>
    <w:rsid w:val="004115D1"/>
    <w:rsid w:val="00411628"/>
    <w:rsid w:val="00411ACA"/>
    <w:rsid w:val="00411E00"/>
    <w:rsid w:val="004120F4"/>
    <w:rsid w:val="0041217D"/>
    <w:rsid w:val="00412277"/>
    <w:rsid w:val="004122D8"/>
    <w:rsid w:val="004123A4"/>
    <w:rsid w:val="004125C6"/>
    <w:rsid w:val="004125EA"/>
    <w:rsid w:val="00412670"/>
    <w:rsid w:val="0041275F"/>
    <w:rsid w:val="00412825"/>
    <w:rsid w:val="00412860"/>
    <w:rsid w:val="00412EE3"/>
    <w:rsid w:val="004131F3"/>
    <w:rsid w:val="004133E1"/>
    <w:rsid w:val="0041352B"/>
    <w:rsid w:val="00413790"/>
    <w:rsid w:val="00413932"/>
    <w:rsid w:val="00413B2B"/>
    <w:rsid w:val="00413B61"/>
    <w:rsid w:val="00413B99"/>
    <w:rsid w:val="00413E6A"/>
    <w:rsid w:val="00414001"/>
    <w:rsid w:val="0041402A"/>
    <w:rsid w:val="004144E9"/>
    <w:rsid w:val="0041462D"/>
    <w:rsid w:val="004146D6"/>
    <w:rsid w:val="0041473B"/>
    <w:rsid w:val="004148A1"/>
    <w:rsid w:val="004149C2"/>
    <w:rsid w:val="00414A7C"/>
    <w:rsid w:val="00414CA7"/>
    <w:rsid w:val="00414EAF"/>
    <w:rsid w:val="00414F48"/>
    <w:rsid w:val="0041534C"/>
    <w:rsid w:val="004153A6"/>
    <w:rsid w:val="00415687"/>
    <w:rsid w:val="0041585B"/>
    <w:rsid w:val="00415C94"/>
    <w:rsid w:val="00415DC6"/>
    <w:rsid w:val="00415F68"/>
    <w:rsid w:val="00415F79"/>
    <w:rsid w:val="004162D3"/>
    <w:rsid w:val="0041642C"/>
    <w:rsid w:val="00416B40"/>
    <w:rsid w:val="00416BA0"/>
    <w:rsid w:val="00416CBE"/>
    <w:rsid w:val="00416D30"/>
    <w:rsid w:val="00416DB7"/>
    <w:rsid w:val="00416EEB"/>
    <w:rsid w:val="00417520"/>
    <w:rsid w:val="004177C2"/>
    <w:rsid w:val="004178FC"/>
    <w:rsid w:val="0041790B"/>
    <w:rsid w:val="0041796A"/>
    <w:rsid w:val="00417A14"/>
    <w:rsid w:val="00417C92"/>
    <w:rsid w:val="00417D19"/>
    <w:rsid w:val="00417E03"/>
    <w:rsid w:val="00417F7B"/>
    <w:rsid w:val="00417F88"/>
    <w:rsid w:val="0042000D"/>
    <w:rsid w:val="004205D2"/>
    <w:rsid w:val="00420A90"/>
    <w:rsid w:val="00420D24"/>
    <w:rsid w:val="00420F03"/>
    <w:rsid w:val="00420F65"/>
    <w:rsid w:val="00420FC7"/>
    <w:rsid w:val="00420FD0"/>
    <w:rsid w:val="00421015"/>
    <w:rsid w:val="004218CD"/>
    <w:rsid w:val="004218E9"/>
    <w:rsid w:val="00421A89"/>
    <w:rsid w:val="00421BD2"/>
    <w:rsid w:val="00421E3B"/>
    <w:rsid w:val="00421E98"/>
    <w:rsid w:val="00421EBC"/>
    <w:rsid w:val="00421EDF"/>
    <w:rsid w:val="0042209C"/>
    <w:rsid w:val="00422139"/>
    <w:rsid w:val="0042235A"/>
    <w:rsid w:val="00422465"/>
    <w:rsid w:val="00422613"/>
    <w:rsid w:val="004227F0"/>
    <w:rsid w:val="00422869"/>
    <w:rsid w:val="004229FE"/>
    <w:rsid w:val="00422AB3"/>
    <w:rsid w:val="0042304B"/>
    <w:rsid w:val="00423320"/>
    <w:rsid w:val="0042334F"/>
    <w:rsid w:val="0042384B"/>
    <w:rsid w:val="00423867"/>
    <w:rsid w:val="00423881"/>
    <w:rsid w:val="00423A9C"/>
    <w:rsid w:val="00423D06"/>
    <w:rsid w:val="00423F97"/>
    <w:rsid w:val="00423FD6"/>
    <w:rsid w:val="00424084"/>
    <w:rsid w:val="004244AC"/>
    <w:rsid w:val="0042460E"/>
    <w:rsid w:val="004246C9"/>
    <w:rsid w:val="0042476B"/>
    <w:rsid w:val="00424868"/>
    <w:rsid w:val="004248DE"/>
    <w:rsid w:val="00424998"/>
    <w:rsid w:val="004249F7"/>
    <w:rsid w:val="00424A0F"/>
    <w:rsid w:val="00424AE0"/>
    <w:rsid w:val="00424EC0"/>
    <w:rsid w:val="0042539A"/>
    <w:rsid w:val="00425795"/>
    <w:rsid w:val="0042597B"/>
    <w:rsid w:val="00425C6B"/>
    <w:rsid w:val="00425FF0"/>
    <w:rsid w:val="0042656C"/>
    <w:rsid w:val="00426576"/>
    <w:rsid w:val="0042688D"/>
    <w:rsid w:val="004269FB"/>
    <w:rsid w:val="00426A37"/>
    <w:rsid w:val="00426B61"/>
    <w:rsid w:val="00426BB0"/>
    <w:rsid w:val="00426D8F"/>
    <w:rsid w:val="00426DA2"/>
    <w:rsid w:val="00427066"/>
    <w:rsid w:val="004270FF"/>
    <w:rsid w:val="0042718B"/>
    <w:rsid w:val="00427355"/>
    <w:rsid w:val="004273AD"/>
    <w:rsid w:val="00427849"/>
    <w:rsid w:val="00427881"/>
    <w:rsid w:val="00427B50"/>
    <w:rsid w:val="00427EDA"/>
    <w:rsid w:val="00430092"/>
    <w:rsid w:val="004300F8"/>
    <w:rsid w:val="00430328"/>
    <w:rsid w:val="0043055A"/>
    <w:rsid w:val="004305AE"/>
    <w:rsid w:val="00430A12"/>
    <w:rsid w:val="00430CED"/>
    <w:rsid w:val="00430F41"/>
    <w:rsid w:val="00431040"/>
    <w:rsid w:val="0043107F"/>
    <w:rsid w:val="00431198"/>
    <w:rsid w:val="00431257"/>
    <w:rsid w:val="0043175E"/>
    <w:rsid w:val="00431800"/>
    <w:rsid w:val="00431D42"/>
    <w:rsid w:val="004321F4"/>
    <w:rsid w:val="0043264D"/>
    <w:rsid w:val="00432C69"/>
    <w:rsid w:val="00432EE0"/>
    <w:rsid w:val="0043304D"/>
    <w:rsid w:val="00433098"/>
    <w:rsid w:val="004330E9"/>
    <w:rsid w:val="00433541"/>
    <w:rsid w:val="004336B2"/>
    <w:rsid w:val="0043448B"/>
    <w:rsid w:val="0043481F"/>
    <w:rsid w:val="00434939"/>
    <w:rsid w:val="00434A05"/>
    <w:rsid w:val="00434BF3"/>
    <w:rsid w:val="00434C91"/>
    <w:rsid w:val="00434E23"/>
    <w:rsid w:val="004352C0"/>
    <w:rsid w:val="004353FC"/>
    <w:rsid w:val="0043551F"/>
    <w:rsid w:val="00435E63"/>
    <w:rsid w:val="00436514"/>
    <w:rsid w:val="0043655A"/>
    <w:rsid w:val="00436A6B"/>
    <w:rsid w:val="00436B7E"/>
    <w:rsid w:val="00436E56"/>
    <w:rsid w:val="00436ECC"/>
    <w:rsid w:val="004374BD"/>
    <w:rsid w:val="004378A8"/>
    <w:rsid w:val="00437BFB"/>
    <w:rsid w:val="00437C76"/>
    <w:rsid w:val="00437CDF"/>
    <w:rsid w:val="00437D58"/>
    <w:rsid w:val="00437FC2"/>
    <w:rsid w:val="0044057D"/>
    <w:rsid w:val="00440823"/>
    <w:rsid w:val="0044083F"/>
    <w:rsid w:val="004408EA"/>
    <w:rsid w:val="004408ED"/>
    <w:rsid w:val="00440F34"/>
    <w:rsid w:val="004411E6"/>
    <w:rsid w:val="00441327"/>
    <w:rsid w:val="0044141E"/>
    <w:rsid w:val="004414F6"/>
    <w:rsid w:val="00441545"/>
    <w:rsid w:val="00441A6E"/>
    <w:rsid w:val="00441B76"/>
    <w:rsid w:val="00441BE3"/>
    <w:rsid w:val="00441C12"/>
    <w:rsid w:val="00441CB3"/>
    <w:rsid w:val="004420A2"/>
    <w:rsid w:val="004421E1"/>
    <w:rsid w:val="004422B0"/>
    <w:rsid w:val="004423E1"/>
    <w:rsid w:val="004423F7"/>
    <w:rsid w:val="00442650"/>
    <w:rsid w:val="0044288C"/>
    <w:rsid w:val="004428F9"/>
    <w:rsid w:val="00442A49"/>
    <w:rsid w:val="00442BCF"/>
    <w:rsid w:val="00442D9B"/>
    <w:rsid w:val="00442DD7"/>
    <w:rsid w:val="0044369E"/>
    <w:rsid w:val="004436A8"/>
    <w:rsid w:val="004437CD"/>
    <w:rsid w:val="00443E03"/>
    <w:rsid w:val="00444333"/>
    <w:rsid w:val="0044491B"/>
    <w:rsid w:val="00444ADF"/>
    <w:rsid w:val="00444C5B"/>
    <w:rsid w:val="00444CB3"/>
    <w:rsid w:val="00444EE7"/>
    <w:rsid w:val="00445449"/>
    <w:rsid w:val="00445752"/>
    <w:rsid w:val="0044588C"/>
    <w:rsid w:val="00445903"/>
    <w:rsid w:val="00445A9F"/>
    <w:rsid w:val="00445ABF"/>
    <w:rsid w:val="00445BD6"/>
    <w:rsid w:val="00445E62"/>
    <w:rsid w:val="00445E82"/>
    <w:rsid w:val="0044601A"/>
    <w:rsid w:val="004462FF"/>
    <w:rsid w:val="0044690B"/>
    <w:rsid w:val="00446BBE"/>
    <w:rsid w:val="004472FF"/>
    <w:rsid w:val="0044745D"/>
    <w:rsid w:val="0044755E"/>
    <w:rsid w:val="004476C3"/>
    <w:rsid w:val="00447774"/>
    <w:rsid w:val="0044782C"/>
    <w:rsid w:val="00447844"/>
    <w:rsid w:val="00447924"/>
    <w:rsid w:val="00447B21"/>
    <w:rsid w:val="00447FA0"/>
    <w:rsid w:val="00450045"/>
    <w:rsid w:val="0045009D"/>
    <w:rsid w:val="004500F6"/>
    <w:rsid w:val="004501D2"/>
    <w:rsid w:val="00450243"/>
    <w:rsid w:val="00450307"/>
    <w:rsid w:val="004505D8"/>
    <w:rsid w:val="00450767"/>
    <w:rsid w:val="004507E0"/>
    <w:rsid w:val="0045093D"/>
    <w:rsid w:val="00450984"/>
    <w:rsid w:val="004509D6"/>
    <w:rsid w:val="00450B7F"/>
    <w:rsid w:val="00450FA3"/>
    <w:rsid w:val="00450FAE"/>
    <w:rsid w:val="00451062"/>
    <w:rsid w:val="0045129B"/>
    <w:rsid w:val="004513AF"/>
    <w:rsid w:val="00451645"/>
    <w:rsid w:val="004516B0"/>
    <w:rsid w:val="00451B1A"/>
    <w:rsid w:val="00451F22"/>
    <w:rsid w:val="00452173"/>
    <w:rsid w:val="00452C50"/>
    <w:rsid w:val="00452CA5"/>
    <w:rsid w:val="00452CB4"/>
    <w:rsid w:val="00452F6C"/>
    <w:rsid w:val="004530F9"/>
    <w:rsid w:val="00453826"/>
    <w:rsid w:val="00453B58"/>
    <w:rsid w:val="00453C93"/>
    <w:rsid w:val="00453D43"/>
    <w:rsid w:val="00453D64"/>
    <w:rsid w:val="00453DD0"/>
    <w:rsid w:val="00453F30"/>
    <w:rsid w:val="00454095"/>
    <w:rsid w:val="0045417C"/>
    <w:rsid w:val="004545F5"/>
    <w:rsid w:val="00454A24"/>
    <w:rsid w:val="00454AF0"/>
    <w:rsid w:val="00454B52"/>
    <w:rsid w:val="00454DB8"/>
    <w:rsid w:val="00454F8E"/>
    <w:rsid w:val="004552F5"/>
    <w:rsid w:val="004557F2"/>
    <w:rsid w:val="004558BD"/>
    <w:rsid w:val="00455978"/>
    <w:rsid w:val="00455A37"/>
    <w:rsid w:val="00455C81"/>
    <w:rsid w:val="00455D3B"/>
    <w:rsid w:val="00455D50"/>
    <w:rsid w:val="00455EB4"/>
    <w:rsid w:val="00455ECE"/>
    <w:rsid w:val="00455ED4"/>
    <w:rsid w:val="004560F5"/>
    <w:rsid w:val="004562B5"/>
    <w:rsid w:val="00456C81"/>
    <w:rsid w:val="00456E2F"/>
    <w:rsid w:val="004570A6"/>
    <w:rsid w:val="00457117"/>
    <w:rsid w:val="00457364"/>
    <w:rsid w:val="00457726"/>
    <w:rsid w:val="004577D4"/>
    <w:rsid w:val="00457B6F"/>
    <w:rsid w:val="00457D0F"/>
    <w:rsid w:val="004600FC"/>
    <w:rsid w:val="00460D4C"/>
    <w:rsid w:val="00460DE8"/>
    <w:rsid w:val="00460E5B"/>
    <w:rsid w:val="00460F1D"/>
    <w:rsid w:val="00460FE3"/>
    <w:rsid w:val="004611CB"/>
    <w:rsid w:val="004611D3"/>
    <w:rsid w:val="00461526"/>
    <w:rsid w:val="00461848"/>
    <w:rsid w:val="00461D28"/>
    <w:rsid w:val="00461EC8"/>
    <w:rsid w:val="0046219B"/>
    <w:rsid w:val="004621C7"/>
    <w:rsid w:val="004622DA"/>
    <w:rsid w:val="004625BF"/>
    <w:rsid w:val="004625FD"/>
    <w:rsid w:val="004626B7"/>
    <w:rsid w:val="00462778"/>
    <w:rsid w:val="00462B0E"/>
    <w:rsid w:val="00462CDC"/>
    <w:rsid w:val="00462D48"/>
    <w:rsid w:val="00462D7D"/>
    <w:rsid w:val="00462EBD"/>
    <w:rsid w:val="004630BE"/>
    <w:rsid w:val="004634F6"/>
    <w:rsid w:val="00463570"/>
    <w:rsid w:val="004635B3"/>
    <w:rsid w:val="00463627"/>
    <w:rsid w:val="0046366C"/>
    <w:rsid w:val="00463941"/>
    <w:rsid w:val="004639B1"/>
    <w:rsid w:val="004639EA"/>
    <w:rsid w:val="00463D06"/>
    <w:rsid w:val="0046403B"/>
    <w:rsid w:val="00464217"/>
    <w:rsid w:val="004647D5"/>
    <w:rsid w:val="0046498B"/>
    <w:rsid w:val="004649A1"/>
    <w:rsid w:val="004649C9"/>
    <w:rsid w:val="00464A1B"/>
    <w:rsid w:val="00464CA8"/>
    <w:rsid w:val="00464D50"/>
    <w:rsid w:val="00464F6C"/>
    <w:rsid w:val="00464F90"/>
    <w:rsid w:val="004652B5"/>
    <w:rsid w:val="00465306"/>
    <w:rsid w:val="00465751"/>
    <w:rsid w:val="00465834"/>
    <w:rsid w:val="0046593F"/>
    <w:rsid w:val="00465BF6"/>
    <w:rsid w:val="00465C48"/>
    <w:rsid w:val="00465DAA"/>
    <w:rsid w:val="004661FF"/>
    <w:rsid w:val="00466336"/>
    <w:rsid w:val="004666A5"/>
    <w:rsid w:val="004667B6"/>
    <w:rsid w:val="00466875"/>
    <w:rsid w:val="00466B95"/>
    <w:rsid w:val="00466D2C"/>
    <w:rsid w:val="00466E88"/>
    <w:rsid w:val="00466FA8"/>
    <w:rsid w:val="0046721A"/>
    <w:rsid w:val="004674FB"/>
    <w:rsid w:val="00467523"/>
    <w:rsid w:val="00467554"/>
    <w:rsid w:val="004677C1"/>
    <w:rsid w:val="00467A42"/>
    <w:rsid w:val="00467E49"/>
    <w:rsid w:val="00467EC7"/>
    <w:rsid w:val="00467F89"/>
    <w:rsid w:val="0047011F"/>
    <w:rsid w:val="00470352"/>
    <w:rsid w:val="00470700"/>
    <w:rsid w:val="00470838"/>
    <w:rsid w:val="0047098F"/>
    <w:rsid w:val="00470A54"/>
    <w:rsid w:val="00470BDD"/>
    <w:rsid w:val="00470DAD"/>
    <w:rsid w:val="00470DF1"/>
    <w:rsid w:val="004711E3"/>
    <w:rsid w:val="004712A3"/>
    <w:rsid w:val="00471639"/>
    <w:rsid w:val="00471680"/>
    <w:rsid w:val="004716FA"/>
    <w:rsid w:val="00471765"/>
    <w:rsid w:val="004718A5"/>
    <w:rsid w:val="00471D0D"/>
    <w:rsid w:val="00471E34"/>
    <w:rsid w:val="00472038"/>
    <w:rsid w:val="0047209D"/>
    <w:rsid w:val="0047218A"/>
    <w:rsid w:val="004722CB"/>
    <w:rsid w:val="0047272C"/>
    <w:rsid w:val="0047282D"/>
    <w:rsid w:val="004728EA"/>
    <w:rsid w:val="004729C1"/>
    <w:rsid w:val="00472A0F"/>
    <w:rsid w:val="00472D35"/>
    <w:rsid w:val="0047303C"/>
    <w:rsid w:val="00473276"/>
    <w:rsid w:val="004736D1"/>
    <w:rsid w:val="0047376E"/>
    <w:rsid w:val="004737BA"/>
    <w:rsid w:val="00473843"/>
    <w:rsid w:val="00473D2A"/>
    <w:rsid w:val="00473DB8"/>
    <w:rsid w:val="004741D6"/>
    <w:rsid w:val="004742D1"/>
    <w:rsid w:val="0047445B"/>
    <w:rsid w:val="00474AB0"/>
    <w:rsid w:val="00474B24"/>
    <w:rsid w:val="00474C72"/>
    <w:rsid w:val="00474E01"/>
    <w:rsid w:val="00474F6A"/>
    <w:rsid w:val="0047505B"/>
    <w:rsid w:val="00475108"/>
    <w:rsid w:val="00475119"/>
    <w:rsid w:val="00475213"/>
    <w:rsid w:val="004752AC"/>
    <w:rsid w:val="004756AA"/>
    <w:rsid w:val="0047572D"/>
    <w:rsid w:val="00475A8B"/>
    <w:rsid w:val="00475B69"/>
    <w:rsid w:val="00475E90"/>
    <w:rsid w:val="00475ED1"/>
    <w:rsid w:val="00476113"/>
    <w:rsid w:val="004762C5"/>
    <w:rsid w:val="004762EC"/>
    <w:rsid w:val="00476519"/>
    <w:rsid w:val="00476636"/>
    <w:rsid w:val="0047664E"/>
    <w:rsid w:val="0047678A"/>
    <w:rsid w:val="00476A64"/>
    <w:rsid w:val="00476A94"/>
    <w:rsid w:val="00476B22"/>
    <w:rsid w:val="00476F3B"/>
    <w:rsid w:val="00477122"/>
    <w:rsid w:val="004771B9"/>
    <w:rsid w:val="0047723B"/>
    <w:rsid w:val="0047724C"/>
    <w:rsid w:val="00477681"/>
    <w:rsid w:val="00477CA8"/>
    <w:rsid w:val="00477D25"/>
    <w:rsid w:val="00477DFC"/>
    <w:rsid w:val="004800CE"/>
    <w:rsid w:val="00480377"/>
    <w:rsid w:val="004803A5"/>
    <w:rsid w:val="00480605"/>
    <w:rsid w:val="004806E5"/>
    <w:rsid w:val="00480726"/>
    <w:rsid w:val="00480862"/>
    <w:rsid w:val="00480947"/>
    <w:rsid w:val="00480D62"/>
    <w:rsid w:val="00481281"/>
    <w:rsid w:val="00481447"/>
    <w:rsid w:val="00481738"/>
    <w:rsid w:val="004817DE"/>
    <w:rsid w:val="00481EF1"/>
    <w:rsid w:val="004820A4"/>
    <w:rsid w:val="00482804"/>
    <w:rsid w:val="0048291E"/>
    <w:rsid w:val="00482B47"/>
    <w:rsid w:val="00482BEF"/>
    <w:rsid w:val="00482CE7"/>
    <w:rsid w:val="00482D14"/>
    <w:rsid w:val="004830B3"/>
    <w:rsid w:val="0048323E"/>
    <w:rsid w:val="00483592"/>
    <w:rsid w:val="00483793"/>
    <w:rsid w:val="004837A8"/>
    <w:rsid w:val="00483A7F"/>
    <w:rsid w:val="00483B76"/>
    <w:rsid w:val="00483C00"/>
    <w:rsid w:val="00483C1D"/>
    <w:rsid w:val="00483D8B"/>
    <w:rsid w:val="00483F2F"/>
    <w:rsid w:val="00484087"/>
    <w:rsid w:val="00484720"/>
    <w:rsid w:val="0048483C"/>
    <w:rsid w:val="0048484D"/>
    <w:rsid w:val="00484B68"/>
    <w:rsid w:val="00484D46"/>
    <w:rsid w:val="00484D92"/>
    <w:rsid w:val="00484DC5"/>
    <w:rsid w:val="00484F25"/>
    <w:rsid w:val="0048506A"/>
    <w:rsid w:val="0048521C"/>
    <w:rsid w:val="004852C1"/>
    <w:rsid w:val="00485432"/>
    <w:rsid w:val="00485675"/>
    <w:rsid w:val="004856B5"/>
    <w:rsid w:val="0048599A"/>
    <w:rsid w:val="00485AC0"/>
    <w:rsid w:val="00485CD3"/>
    <w:rsid w:val="00485DED"/>
    <w:rsid w:val="0048629B"/>
    <w:rsid w:val="00486353"/>
    <w:rsid w:val="00486583"/>
    <w:rsid w:val="004867E2"/>
    <w:rsid w:val="0048698A"/>
    <w:rsid w:val="004869C9"/>
    <w:rsid w:val="00486ADF"/>
    <w:rsid w:val="00486EF4"/>
    <w:rsid w:val="00486F82"/>
    <w:rsid w:val="00487169"/>
    <w:rsid w:val="004873FD"/>
    <w:rsid w:val="004876AA"/>
    <w:rsid w:val="00487C85"/>
    <w:rsid w:val="00487E9A"/>
    <w:rsid w:val="004902A7"/>
    <w:rsid w:val="004908EC"/>
    <w:rsid w:val="004909D7"/>
    <w:rsid w:val="00490BF4"/>
    <w:rsid w:val="00490D45"/>
    <w:rsid w:val="00490DC0"/>
    <w:rsid w:val="00490DC4"/>
    <w:rsid w:val="00491123"/>
    <w:rsid w:val="00491456"/>
    <w:rsid w:val="004914DD"/>
    <w:rsid w:val="00491AED"/>
    <w:rsid w:val="004920E7"/>
    <w:rsid w:val="00492177"/>
    <w:rsid w:val="00492237"/>
    <w:rsid w:val="00492323"/>
    <w:rsid w:val="00492A08"/>
    <w:rsid w:val="00492CFE"/>
    <w:rsid w:val="00493320"/>
    <w:rsid w:val="00493477"/>
    <w:rsid w:val="00493A73"/>
    <w:rsid w:val="00493A94"/>
    <w:rsid w:val="004941EA"/>
    <w:rsid w:val="00494219"/>
    <w:rsid w:val="0049497C"/>
    <w:rsid w:val="00494A65"/>
    <w:rsid w:val="00494AD1"/>
    <w:rsid w:val="00494F64"/>
    <w:rsid w:val="0049519C"/>
    <w:rsid w:val="004951B2"/>
    <w:rsid w:val="00495382"/>
    <w:rsid w:val="004954B0"/>
    <w:rsid w:val="00495506"/>
    <w:rsid w:val="00495557"/>
    <w:rsid w:val="004955C4"/>
    <w:rsid w:val="00495978"/>
    <w:rsid w:val="00495AD0"/>
    <w:rsid w:val="00495CBD"/>
    <w:rsid w:val="00495EDF"/>
    <w:rsid w:val="004960F6"/>
    <w:rsid w:val="0049649A"/>
    <w:rsid w:val="00496A29"/>
    <w:rsid w:val="00496CE9"/>
    <w:rsid w:val="00496E99"/>
    <w:rsid w:val="00497016"/>
    <w:rsid w:val="004972B9"/>
    <w:rsid w:val="0049739D"/>
    <w:rsid w:val="0049772E"/>
    <w:rsid w:val="00497798"/>
    <w:rsid w:val="004977E0"/>
    <w:rsid w:val="0049790E"/>
    <w:rsid w:val="00497B5F"/>
    <w:rsid w:val="00497B9F"/>
    <w:rsid w:val="00497D1A"/>
    <w:rsid w:val="00497D22"/>
    <w:rsid w:val="004A007E"/>
    <w:rsid w:val="004A032E"/>
    <w:rsid w:val="004A0347"/>
    <w:rsid w:val="004A04D9"/>
    <w:rsid w:val="004A050A"/>
    <w:rsid w:val="004A06EE"/>
    <w:rsid w:val="004A0DE8"/>
    <w:rsid w:val="004A0FBC"/>
    <w:rsid w:val="004A121C"/>
    <w:rsid w:val="004A1642"/>
    <w:rsid w:val="004A18B8"/>
    <w:rsid w:val="004A1DA2"/>
    <w:rsid w:val="004A1DD7"/>
    <w:rsid w:val="004A2084"/>
    <w:rsid w:val="004A2702"/>
    <w:rsid w:val="004A2E0E"/>
    <w:rsid w:val="004A3355"/>
    <w:rsid w:val="004A3617"/>
    <w:rsid w:val="004A3671"/>
    <w:rsid w:val="004A371D"/>
    <w:rsid w:val="004A393B"/>
    <w:rsid w:val="004A3976"/>
    <w:rsid w:val="004A3B52"/>
    <w:rsid w:val="004A4072"/>
    <w:rsid w:val="004A433B"/>
    <w:rsid w:val="004A440D"/>
    <w:rsid w:val="004A4430"/>
    <w:rsid w:val="004A467A"/>
    <w:rsid w:val="004A46EC"/>
    <w:rsid w:val="004A4AA7"/>
    <w:rsid w:val="004A4AE6"/>
    <w:rsid w:val="004A4D22"/>
    <w:rsid w:val="004A4ECD"/>
    <w:rsid w:val="004A4FDF"/>
    <w:rsid w:val="004A5219"/>
    <w:rsid w:val="004A52C9"/>
    <w:rsid w:val="004A5425"/>
    <w:rsid w:val="004A5489"/>
    <w:rsid w:val="004A5873"/>
    <w:rsid w:val="004A5886"/>
    <w:rsid w:val="004A59D8"/>
    <w:rsid w:val="004A5AC0"/>
    <w:rsid w:val="004A5D18"/>
    <w:rsid w:val="004A5E73"/>
    <w:rsid w:val="004A5E78"/>
    <w:rsid w:val="004A608E"/>
    <w:rsid w:val="004A6152"/>
    <w:rsid w:val="004A61ED"/>
    <w:rsid w:val="004A6339"/>
    <w:rsid w:val="004A6517"/>
    <w:rsid w:val="004A6535"/>
    <w:rsid w:val="004A668E"/>
    <w:rsid w:val="004A69CA"/>
    <w:rsid w:val="004A6B82"/>
    <w:rsid w:val="004A6E50"/>
    <w:rsid w:val="004A6F00"/>
    <w:rsid w:val="004A7186"/>
    <w:rsid w:val="004A72BD"/>
    <w:rsid w:val="004A73DC"/>
    <w:rsid w:val="004A74DA"/>
    <w:rsid w:val="004A7A52"/>
    <w:rsid w:val="004B0002"/>
    <w:rsid w:val="004B01F7"/>
    <w:rsid w:val="004B021E"/>
    <w:rsid w:val="004B0249"/>
    <w:rsid w:val="004B02E0"/>
    <w:rsid w:val="004B0365"/>
    <w:rsid w:val="004B051E"/>
    <w:rsid w:val="004B0585"/>
    <w:rsid w:val="004B0CE5"/>
    <w:rsid w:val="004B0E26"/>
    <w:rsid w:val="004B0ED5"/>
    <w:rsid w:val="004B0F44"/>
    <w:rsid w:val="004B157E"/>
    <w:rsid w:val="004B1586"/>
    <w:rsid w:val="004B1704"/>
    <w:rsid w:val="004B171E"/>
    <w:rsid w:val="004B19FE"/>
    <w:rsid w:val="004B1CF6"/>
    <w:rsid w:val="004B21DA"/>
    <w:rsid w:val="004B2338"/>
    <w:rsid w:val="004B288D"/>
    <w:rsid w:val="004B2A4D"/>
    <w:rsid w:val="004B2B0C"/>
    <w:rsid w:val="004B2CE2"/>
    <w:rsid w:val="004B2F45"/>
    <w:rsid w:val="004B32D6"/>
    <w:rsid w:val="004B33C2"/>
    <w:rsid w:val="004B35E1"/>
    <w:rsid w:val="004B3B46"/>
    <w:rsid w:val="004B3B65"/>
    <w:rsid w:val="004B3EF7"/>
    <w:rsid w:val="004B3FB0"/>
    <w:rsid w:val="004B40E9"/>
    <w:rsid w:val="004B4214"/>
    <w:rsid w:val="004B4380"/>
    <w:rsid w:val="004B455E"/>
    <w:rsid w:val="004B4780"/>
    <w:rsid w:val="004B484B"/>
    <w:rsid w:val="004B4ADB"/>
    <w:rsid w:val="004B4CDA"/>
    <w:rsid w:val="004B4DC0"/>
    <w:rsid w:val="004B4E21"/>
    <w:rsid w:val="004B52FD"/>
    <w:rsid w:val="004B57FF"/>
    <w:rsid w:val="004B5B09"/>
    <w:rsid w:val="004B5DA0"/>
    <w:rsid w:val="004B647D"/>
    <w:rsid w:val="004B64E3"/>
    <w:rsid w:val="004B689D"/>
    <w:rsid w:val="004B69C7"/>
    <w:rsid w:val="004B69D3"/>
    <w:rsid w:val="004B6A56"/>
    <w:rsid w:val="004B6E42"/>
    <w:rsid w:val="004B7012"/>
    <w:rsid w:val="004B71FB"/>
    <w:rsid w:val="004B73FF"/>
    <w:rsid w:val="004B7449"/>
    <w:rsid w:val="004B7BF5"/>
    <w:rsid w:val="004B7D67"/>
    <w:rsid w:val="004B7E78"/>
    <w:rsid w:val="004B7EC4"/>
    <w:rsid w:val="004C0210"/>
    <w:rsid w:val="004C03E3"/>
    <w:rsid w:val="004C0426"/>
    <w:rsid w:val="004C06AF"/>
    <w:rsid w:val="004C0B1F"/>
    <w:rsid w:val="004C0CA7"/>
    <w:rsid w:val="004C0E97"/>
    <w:rsid w:val="004C1825"/>
    <w:rsid w:val="004C209F"/>
    <w:rsid w:val="004C25CD"/>
    <w:rsid w:val="004C280B"/>
    <w:rsid w:val="004C2959"/>
    <w:rsid w:val="004C2CA2"/>
    <w:rsid w:val="004C2F8F"/>
    <w:rsid w:val="004C31B3"/>
    <w:rsid w:val="004C32FB"/>
    <w:rsid w:val="004C33C1"/>
    <w:rsid w:val="004C3406"/>
    <w:rsid w:val="004C3696"/>
    <w:rsid w:val="004C38FA"/>
    <w:rsid w:val="004C3FDC"/>
    <w:rsid w:val="004C41BE"/>
    <w:rsid w:val="004C44E5"/>
    <w:rsid w:val="004C467D"/>
    <w:rsid w:val="004C4753"/>
    <w:rsid w:val="004C48C8"/>
    <w:rsid w:val="004C4BE8"/>
    <w:rsid w:val="004C4BEC"/>
    <w:rsid w:val="004C4CDF"/>
    <w:rsid w:val="004C4F29"/>
    <w:rsid w:val="004C4F62"/>
    <w:rsid w:val="004C4FE2"/>
    <w:rsid w:val="004C58D7"/>
    <w:rsid w:val="004C598D"/>
    <w:rsid w:val="004C5D64"/>
    <w:rsid w:val="004C5F38"/>
    <w:rsid w:val="004C5F85"/>
    <w:rsid w:val="004C6256"/>
    <w:rsid w:val="004C6469"/>
    <w:rsid w:val="004C662A"/>
    <w:rsid w:val="004C666D"/>
    <w:rsid w:val="004C6C8C"/>
    <w:rsid w:val="004C6DA7"/>
    <w:rsid w:val="004C6DF4"/>
    <w:rsid w:val="004C6FCD"/>
    <w:rsid w:val="004C71D2"/>
    <w:rsid w:val="004C7316"/>
    <w:rsid w:val="004C7371"/>
    <w:rsid w:val="004C763A"/>
    <w:rsid w:val="004C77DB"/>
    <w:rsid w:val="004C7C88"/>
    <w:rsid w:val="004C7F21"/>
    <w:rsid w:val="004D0246"/>
    <w:rsid w:val="004D075D"/>
    <w:rsid w:val="004D08CD"/>
    <w:rsid w:val="004D08F9"/>
    <w:rsid w:val="004D0A5B"/>
    <w:rsid w:val="004D0EFE"/>
    <w:rsid w:val="004D113B"/>
    <w:rsid w:val="004D129F"/>
    <w:rsid w:val="004D1394"/>
    <w:rsid w:val="004D155B"/>
    <w:rsid w:val="004D15B9"/>
    <w:rsid w:val="004D1C6B"/>
    <w:rsid w:val="004D1F91"/>
    <w:rsid w:val="004D2348"/>
    <w:rsid w:val="004D2350"/>
    <w:rsid w:val="004D23D5"/>
    <w:rsid w:val="004D2467"/>
    <w:rsid w:val="004D24D0"/>
    <w:rsid w:val="004D295A"/>
    <w:rsid w:val="004D2978"/>
    <w:rsid w:val="004D2A71"/>
    <w:rsid w:val="004D2D8E"/>
    <w:rsid w:val="004D3440"/>
    <w:rsid w:val="004D348D"/>
    <w:rsid w:val="004D35F9"/>
    <w:rsid w:val="004D3897"/>
    <w:rsid w:val="004D3D47"/>
    <w:rsid w:val="004D3F88"/>
    <w:rsid w:val="004D3F91"/>
    <w:rsid w:val="004D42FC"/>
    <w:rsid w:val="004D4425"/>
    <w:rsid w:val="004D44CA"/>
    <w:rsid w:val="004D4828"/>
    <w:rsid w:val="004D4857"/>
    <w:rsid w:val="004D49B1"/>
    <w:rsid w:val="004D49DD"/>
    <w:rsid w:val="004D4C5D"/>
    <w:rsid w:val="004D4E0D"/>
    <w:rsid w:val="004D5125"/>
    <w:rsid w:val="004D5355"/>
    <w:rsid w:val="004D550F"/>
    <w:rsid w:val="004D57C0"/>
    <w:rsid w:val="004D5D90"/>
    <w:rsid w:val="004D5F03"/>
    <w:rsid w:val="004D5FFF"/>
    <w:rsid w:val="004D6368"/>
    <w:rsid w:val="004D65F4"/>
    <w:rsid w:val="004D6771"/>
    <w:rsid w:val="004D6963"/>
    <w:rsid w:val="004D6CCF"/>
    <w:rsid w:val="004D70F5"/>
    <w:rsid w:val="004D744A"/>
    <w:rsid w:val="004D74C2"/>
    <w:rsid w:val="004D75F6"/>
    <w:rsid w:val="004D787B"/>
    <w:rsid w:val="004D7A00"/>
    <w:rsid w:val="004D7A8A"/>
    <w:rsid w:val="004D7D52"/>
    <w:rsid w:val="004E072C"/>
    <w:rsid w:val="004E07D9"/>
    <w:rsid w:val="004E0A42"/>
    <w:rsid w:val="004E0BC9"/>
    <w:rsid w:val="004E0DC3"/>
    <w:rsid w:val="004E0EF4"/>
    <w:rsid w:val="004E1011"/>
    <w:rsid w:val="004E10C0"/>
    <w:rsid w:val="004E13FB"/>
    <w:rsid w:val="004E1449"/>
    <w:rsid w:val="004E17DA"/>
    <w:rsid w:val="004E1B3E"/>
    <w:rsid w:val="004E1B66"/>
    <w:rsid w:val="004E1DAC"/>
    <w:rsid w:val="004E21DD"/>
    <w:rsid w:val="004E221E"/>
    <w:rsid w:val="004E24DD"/>
    <w:rsid w:val="004E271F"/>
    <w:rsid w:val="004E278D"/>
    <w:rsid w:val="004E2886"/>
    <w:rsid w:val="004E28B2"/>
    <w:rsid w:val="004E2983"/>
    <w:rsid w:val="004E2998"/>
    <w:rsid w:val="004E2B79"/>
    <w:rsid w:val="004E2BD6"/>
    <w:rsid w:val="004E2DC8"/>
    <w:rsid w:val="004E3347"/>
    <w:rsid w:val="004E3442"/>
    <w:rsid w:val="004E3664"/>
    <w:rsid w:val="004E367B"/>
    <w:rsid w:val="004E368C"/>
    <w:rsid w:val="004E38A0"/>
    <w:rsid w:val="004E39E7"/>
    <w:rsid w:val="004E3C58"/>
    <w:rsid w:val="004E3EEF"/>
    <w:rsid w:val="004E4019"/>
    <w:rsid w:val="004E4052"/>
    <w:rsid w:val="004E41D0"/>
    <w:rsid w:val="004E4591"/>
    <w:rsid w:val="004E462C"/>
    <w:rsid w:val="004E464B"/>
    <w:rsid w:val="004E48A8"/>
    <w:rsid w:val="004E4C7B"/>
    <w:rsid w:val="004E4CD1"/>
    <w:rsid w:val="004E508E"/>
    <w:rsid w:val="004E51B2"/>
    <w:rsid w:val="004E52E8"/>
    <w:rsid w:val="004E52F1"/>
    <w:rsid w:val="004E58B6"/>
    <w:rsid w:val="004E5AB5"/>
    <w:rsid w:val="004E5B60"/>
    <w:rsid w:val="004E5C33"/>
    <w:rsid w:val="004E5C3E"/>
    <w:rsid w:val="004E5DC1"/>
    <w:rsid w:val="004E5EC4"/>
    <w:rsid w:val="004E6593"/>
    <w:rsid w:val="004E691A"/>
    <w:rsid w:val="004E6A7B"/>
    <w:rsid w:val="004E6B9D"/>
    <w:rsid w:val="004E6C85"/>
    <w:rsid w:val="004E6DFE"/>
    <w:rsid w:val="004E72A7"/>
    <w:rsid w:val="004E73A6"/>
    <w:rsid w:val="004E740B"/>
    <w:rsid w:val="004E751C"/>
    <w:rsid w:val="004E7FCA"/>
    <w:rsid w:val="004F0097"/>
    <w:rsid w:val="004F013D"/>
    <w:rsid w:val="004F09AA"/>
    <w:rsid w:val="004F0A72"/>
    <w:rsid w:val="004F0C29"/>
    <w:rsid w:val="004F1615"/>
    <w:rsid w:val="004F1C63"/>
    <w:rsid w:val="004F1DE7"/>
    <w:rsid w:val="004F208A"/>
    <w:rsid w:val="004F2568"/>
    <w:rsid w:val="004F2791"/>
    <w:rsid w:val="004F29C4"/>
    <w:rsid w:val="004F2C82"/>
    <w:rsid w:val="004F3055"/>
    <w:rsid w:val="004F307F"/>
    <w:rsid w:val="004F32B2"/>
    <w:rsid w:val="004F34C0"/>
    <w:rsid w:val="004F34D7"/>
    <w:rsid w:val="004F3C22"/>
    <w:rsid w:val="004F3D7C"/>
    <w:rsid w:val="004F4043"/>
    <w:rsid w:val="004F433C"/>
    <w:rsid w:val="004F45A9"/>
    <w:rsid w:val="004F483A"/>
    <w:rsid w:val="004F4907"/>
    <w:rsid w:val="004F4B8A"/>
    <w:rsid w:val="004F4E54"/>
    <w:rsid w:val="004F500C"/>
    <w:rsid w:val="004F541A"/>
    <w:rsid w:val="004F5665"/>
    <w:rsid w:val="004F5723"/>
    <w:rsid w:val="004F5CA0"/>
    <w:rsid w:val="004F5FF9"/>
    <w:rsid w:val="004F6293"/>
    <w:rsid w:val="004F62B8"/>
    <w:rsid w:val="004F654B"/>
    <w:rsid w:val="004F69AE"/>
    <w:rsid w:val="004F6A5B"/>
    <w:rsid w:val="004F6AD3"/>
    <w:rsid w:val="004F710F"/>
    <w:rsid w:val="004F769D"/>
    <w:rsid w:val="004F7722"/>
    <w:rsid w:val="004F7755"/>
    <w:rsid w:val="004F7AAD"/>
    <w:rsid w:val="004F7B30"/>
    <w:rsid w:val="004F7D92"/>
    <w:rsid w:val="004F7EE6"/>
    <w:rsid w:val="005001CA"/>
    <w:rsid w:val="005001D3"/>
    <w:rsid w:val="005006DB"/>
    <w:rsid w:val="0050070C"/>
    <w:rsid w:val="00500C00"/>
    <w:rsid w:val="005012F4"/>
    <w:rsid w:val="00501386"/>
    <w:rsid w:val="0050143C"/>
    <w:rsid w:val="00501BD9"/>
    <w:rsid w:val="00501C25"/>
    <w:rsid w:val="005021EA"/>
    <w:rsid w:val="0050232B"/>
    <w:rsid w:val="005024A9"/>
    <w:rsid w:val="005027A6"/>
    <w:rsid w:val="0050291E"/>
    <w:rsid w:val="00502AB6"/>
    <w:rsid w:val="00502B43"/>
    <w:rsid w:val="00502B5C"/>
    <w:rsid w:val="00502DAE"/>
    <w:rsid w:val="00502FFB"/>
    <w:rsid w:val="00503540"/>
    <w:rsid w:val="00503796"/>
    <w:rsid w:val="005038A0"/>
    <w:rsid w:val="00503B28"/>
    <w:rsid w:val="00504063"/>
    <w:rsid w:val="0050420C"/>
    <w:rsid w:val="005042E7"/>
    <w:rsid w:val="00504505"/>
    <w:rsid w:val="005045A6"/>
    <w:rsid w:val="00504839"/>
    <w:rsid w:val="00504881"/>
    <w:rsid w:val="005049CF"/>
    <w:rsid w:val="00504A82"/>
    <w:rsid w:val="00504C8C"/>
    <w:rsid w:val="00504D42"/>
    <w:rsid w:val="00504ED0"/>
    <w:rsid w:val="0050507E"/>
    <w:rsid w:val="00505189"/>
    <w:rsid w:val="005053A4"/>
    <w:rsid w:val="0050553B"/>
    <w:rsid w:val="00505A52"/>
    <w:rsid w:val="00505E19"/>
    <w:rsid w:val="0050612B"/>
    <w:rsid w:val="0050615B"/>
    <w:rsid w:val="00506410"/>
    <w:rsid w:val="005065DB"/>
    <w:rsid w:val="005065F3"/>
    <w:rsid w:val="00506852"/>
    <w:rsid w:val="00506D6A"/>
    <w:rsid w:val="00506D7D"/>
    <w:rsid w:val="00507068"/>
    <w:rsid w:val="00507099"/>
    <w:rsid w:val="00507242"/>
    <w:rsid w:val="00507263"/>
    <w:rsid w:val="005072B4"/>
    <w:rsid w:val="00507500"/>
    <w:rsid w:val="005076A5"/>
    <w:rsid w:val="00507B11"/>
    <w:rsid w:val="00507D76"/>
    <w:rsid w:val="005103C5"/>
    <w:rsid w:val="00510417"/>
    <w:rsid w:val="00510464"/>
    <w:rsid w:val="005107EE"/>
    <w:rsid w:val="00510936"/>
    <w:rsid w:val="00510C23"/>
    <w:rsid w:val="00510D9A"/>
    <w:rsid w:val="0051107E"/>
    <w:rsid w:val="005115BA"/>
    <w:rsid w:val="005115F6"/>
    <w:rsid w:val="0051186F"/>
    <w:rsid w:val="00511C85"/>
    <w:rsid w:val="00511E75"/>
    <w:rsid w:val="00512036"/>
    <w:rsid w:val="005120C6"/>
    <w:rsid w:val="00512288"/>
    <w:rsid w:val="00512543"/>
    <w:rsid w:val="0051267A"/>
    <w:rsid w:val="0051275A"/>
    <w:rsid w:val="005127F7"/>
    <w:rsid w:val="00512CF7"/>
    <w:rsid w:val="00512E60"/>
    <w:rsid w:val="00512EA7"/>
    <w:rsid w:val="005131D3"/>
    <w:rsid w:val="005132E2"/>
    <w:rsid w:val="0051352C"/>
    <w:rsid w:val="005138BE"/>
    <w:rsid w:val="005138E5"/>
    <w:rsid w:val="00513B77"/>
    <w:rsid w:val="00513CB7"/>
    <w:rsid w:val="00513D9A"/>
    <w:rsid w:val="00513DAA"/>
    <w:rsid w:val="00513EA7"/>
    <w:rsid w:val="00513F16"/>
    <w:rsid w:val="00513F5F"/>
    <w:rsid w:val="00514089"/>
    <w:rsid w:val="0051447C"/>
    <w:rsid w:val="005145A8"/>
    <w:rsid w:val="00514A7B"/>
    <w:rsid w:val="00514BE0"/>
    <w:rsid w:val="00514CCD"/>
    <w:rsid w:val="00514CF0"/>
    <w:rsid w:val="00514FC2"/>
    <w:rsid w:val="00515212"/>
    <w:rsid w:val="005156FA"/>
    <w:rsid w:val="00515771"/>
    <w:rsid w:val="00515BFA"/>
    <w:rsid w:val="005160E9"/>
    <w:rsid w:val="005165D5"/>
    <w:rsid w:val="00516660"/>
    <w:rsid w:val="005168CE"/>
    <w:rsid w:val="005168F1"/>
    <w:rsid w:val="005169C7"/>
    <w:rsid w:val="00516ADB"/>
    <w:rsid w:val="00516FB7"/>
    <w:rsid w:val="0051725D"/>
    <w:rsid w:val="005173CF"/>
    <w:rsid w:val="005177F8"/>
    <w:rsid w:val="00517A86"/>
    <w:rsid w:val="00517BB5"/>
    <w:rsid w:val="00517CCB"/>
    <w:rsid w:val="00517E3B"/>
    <w:rsid w:val="00517F34"/>
    <w:rsid w:val="00517FE3"/>
    <w:rsid w:val="005200BE"/>
    <w:rsid w:val="005204BA"/>
    <w:rsid w:val="0052050E"/>
    <w:rsid w:val="0052081A"/>
    <w:rsid w:val="00520BB1"/>
    <w:rsid w:val="005212FE"/>
    <w:rsid w:val="005213DC"/>
    <w:rsid w:val="00521559"/>
    <w:rsid w:val="005217C8"/>
    <w:rsid w:val="00521BF5"/>
    <w:rsid w:val="00522038"/>
    <w:rsid w:val="005222AA"/>
    <w:rsid w:val="00522310"/>
    <w:rsid w:val="00522755"/>
    <w:rsid w:val="005229DD"/>
    <w:rsid w:val="00522B5E"/>
    <w:rsid w:val="00522CFE"/>
    <w:rsid w:val="00523288"/>
    <w:rsid w:val="0052349D"/>
    <w:rsid w:val="00523A66"/>
    <w:rsid w:val="00523F8D"/>
    <w:rsid w:val="0052407F"/>
    <w:rsid w:val="00524195"/>
    <w:rsid w:val="005241E8"/>
    <w:rsid w:val="005243FB"/>
    <w:rsid w:val="005244C7"/>
    <w:rsid w:val="00524BE8"/>
    <w:rsid w:val="00524FE8"/>
    <w:rsid w:val="00525123"/>
    <w:rsid w:val="00525141"/>
    <w:rsid w:val="0052514F"/>
    <w:rsid w:val="0052548B"/>
    <w:rsid w:val="0052560D"/>
    <w:rsid w:val="0052575D"/>
    <w:rsid w:val="0052607E"/>
    <w:rsid w:val="005261AC"/>
    <w:rsid w:val="005261CF"/>
    <w:rsid w:val="00526340"/>
    <w:rsid w:val="005266CB"/>
    <w:rsid w:val="00526780"/>
    <w:rsid w:val="005268C0"/>
    <w:rsid w:val="00526C92"/>
    <w:rsid w:val="00526F2D"/>
    <w:rsid w:val="00526FE3"/>
    <w:rsid w:val="0052719E"/>
    <w:rsid w:val="0052724C"/>
    <w:rsid w:val="005273E4"/>
    <w:rsid w:val="005275FC"/>
    <w:rsid w:val="0052768C"/>
    <w:rsid w:val="00527A4B"/>
    <w:rsid w:val="00527CC2"/>
    <w:rsid w:val="00527D70"/>
    <w:rsid w:val="0053010C"/>
    <w:rsid w:val="0053031A"/>
    <w:rsid w:val="0053052A"/>
    <w:rsid w:val="0053083A"/>
    <w:rsid w:val="00530896"/>
    <w:rsid w:val="005308D5"/>
    <w:rsid w:val="005310AF"/>
    <w:rsid w:val="00531163"/>
    <w:rsid w:val="0053116F"/>
    <w:rsid w:val="005311BC"/>
    <w:rsid w:val="00531395"/>
    <w:rsid w:val="0053142B"/>
    <w:rsid w:val="00531471"/>
    <w:rsid w:val="0053173B"/>
    <w:rsid w:val="00531A0F"/>
    <w:rsid w:val="00531BDA"/>
    <w:rsid w:val="00531CA7"/>
    <w:rsid w:val="00531D10"/>
    <w:rsid w:val="00531D6B"/>
    <w:rsid w:val="00531FB5"/>
    <w:rsid w:val="0053200F"/>
    <w:rsid w:val="00532027"/>
    <w:rsid w:val="00532039"/>
    <w:rsid w:val="0053211E"/>
    <w:rsid w:val="0053223E"/>
    <w:rsid w:val="00532240"/>
    <w:rsid w:val="00532571"/>
    <w:rsid w:val="0053262D"/>
    <w:rsid w:val="0053264B"/>
    <w:rsid w:val="00532657"/>
    <w:rsid w:val="00532705"/>
    <w:rsid w:val="00532979"/>
    <w:rsid w:val="00532B43"/>
    <w:rsid w:val="00532CD0"/>
    <w:rsid w:val="00532DF5"/>
    <w:rsid w:val="00532F19"/>
    <w:rsid w:val="00533031"/>
    <w:rsid w:val="00533193"/>
    <w:rsid w:val="005336F8"/>
    <w:rsid w:val="00533C9B"/>
    <w:rsid w:val="00533D89"/>
    <w:rsid w:val="00534257"/>
    <w:rsid w:val="005342C3"/>
    <w:rsid w:val="005343F6"/>
    <w:rsid w:val="00534524"/>
    <w:rsid w:val="00534664"/>
    <w:rsid w:val="00534B45"/>
    <w:rsid w:val="00534C27"/>
    <w:rsid w:val="00534C32"/>
    <w:rsid w:val="00534D24"/>
    <w:rsid w:val="00534E0C"/>
    <w:rsid w:val="0053504E"/>
    <w:rsid w:val="00535346"/>
    <w:rsid w:val="005354A3"/>
    <w:rsid w:val="00535502"/>
    <w:rsid w:val="005356D2"/>
    <w:rsid w:val="005356D3"/>
    <w:rsid w:val="00535D72"/>
    <w:rsid w:val="00535E03"/>
    <w:rsid w:val="00535FA5"/>
    <w:rsid w:val="00535FCA"/>
    <w:rsid w:val="005362F5"/>
    <w:rsid w:val="00536556"/>
    <w:rsid w:val="005367CE"/>
    <w:rsid w:val="005368B7"/>
    <w:rsid w:val="00536B49"/>
    <w:rsid w:val="00536E7E"/>
    <w:rsid w:val="00536F29"/>
    <w:rsid w:val="00537222"/>
    <w:rsid w:val="0053723D"/>
    <w:rsid w:val="0053725B"/>
    <w:rsid w:val="0053736C"/>
    <w:rsid w:val="00537806"/>
    <w:rsid w:val="005401F7"/>
    <w:rsid w:val="00540409"/>
    <w:rsid w:val="005408E4"/>
    <w:rsid w:val="00540C57"/>
    <w:rsid w:val="00540E99"/>
    <w:rsid w:val="00540EF8"/>
    <w:rsid w:val="005410BF"/>
    <w:rsid w:val="005414B3"/>
    <w:rsid w:val="005418A2"/>
    <w:rsid w:val="00541917"/>
    <w:rsid w:val="00541A24"/>
    <w:rsid w:val="00541D07"/>
    <w:rsid w:val="00541D15"/>
    <w:rsid w:val="00541D4A"/>
    <w:rsid w:val="00542235"/>
    <w:rsid w:val="00542750"/>
    <w:rsid w:val="00542794"/>
    <w:rsid w:val="005427DA"/>
    <w:rsid w:val="005427EC"/>
    <w:rsid w:val="005429B2"/>
    <w:rsid w:val="005429BC"/>
    <w:rsid w:val="00542A39"/>
    <w:rsid w:val="00542A3A"/>
    <w:rsid w:val="00542E56"/>
    <w:rsid w:val="00542FBE"/>
    <w:rsid w:val="005430A4"/>
    <w:rsid w:val="005430A6"/>
    <w:rsid w:val="0054316F"/>
    <w:rsid w:val="0054322B"/>
    <w:rsid w:val="00543845"/>
    <w:rsid w:val="00543939"/>
    <w:rsid w:val="00543AE7"/>
    <w:rsid w:val="00543EA7"/>
    <w:rsid w:val="00543F61"/>
    <w:rsid w:val="005440BF"/>
    <w:rsid w:val="005445D1"/>
    <w:rsid w:val="005447C2"/>
    <w:rsid w:val="00544884"/>
    <w:rsid w:val="00544CDD"/>
    <w:rsid w:val="00544D03"/>
    <w:rsid w:val="00544E42"/>
    <w:rsid w:val="005450D7"/>
    <w:rsid w:val="00545286"/>
    <w:rsid w:val="005457D3"/>
    <w:rsid w:val="00545C9E"/>
    <w:rsid w:val="00545D53"/>
    <w:rsid w:val="00545E34"/>
    <w:rsid w:val="00546028"/>
    <w:rsid w:val="00546139"/>
    <w:rsid w:val="005461FD"/>
    <w:rsid w:val="00546313"/>
    <w:rsid w:val="00546651"/>
    <w:rsid w:val="005466B1"/>
    <w:rsid w:val="00546CB1"/>
    <w:rsid w:val="00546F6A"/>
    <w:rsid w:val="005471A0"/>
    <w:rsid w:val="005472A0"/>
    <w:rsid w:val="0054783E"/>
    <w:rsid w:val="00547976"/>
    <w:rsid w:val="005479F0"/>
    <w:rsid w:val="00547AC6"/>
    <w:rsid w:val="00547BAF"/>
    <w:rsid w:val="00547C4D"/>
    <w:rsid w:val="00547E1D"/>
    <w:rsid w:val="005501BB"/>
    <w:rsid w:val="005501EC"/>
    <w:rsid w:val="005503AC"/>
    <w:rsid w:val="00550847"/>
    <w:rsid w:val="00550BD1"/>
    <w:rsid w:val="00550C35"/>
    <w:rsid w:val="00550D68"/>
    <w:rsid w:val="00550DC3"/>
    <w:rsid w:val="0055106A"/>
    <w:rsid w:val="005510D6"/>
    <w:rsid w:val="00551199"/>
    <w:rsid w:val="00551771"/>
    <w:rsid w:val="005522FD"/>
    <w:rsid w:val="00552504"/>
    <w:rsid w:val="00552543"/>
    <w:rsid w:val="005528F8"/>
    <w:rsid w:val="005528FE"/>
    <w:rsid w:val="005529CE"/>
    <w:rsid w:val="00552CE0"/>
    <w:rsid w:val="00552E4E"/>
    <w:rsid w:val="00552F0E"/>
    <w:rsid w:val="0055310D"/>
    <w:rsid w:val="005531BD"/>
    <w:rsid w:val="00553238"/>
    <w:rsid w:val="00553332"/>
    <w:rsid w:val="005535DF"/>
    <w:rsid w:val="00553709"/>
    <w:rsid w:val="005537CA"/>
    <w:rsid w:val="00553DBD"/>
    <w:rsid w:val="00554209"/>
    <w:rsid w:val="00554381"/>
    <w:rsid w:val="0055440B"/>
    <w:rsid w:val="005544E2"/>
    <w:rsid w:val="005545A1"/>
    <w:rsid w:val="00554693"/>
    <w:rsid w:val="005546A5"/>
    <w:rsid w:val="005547BF"/>
    <w:rsid w:val="0055490C"/>
    <w:rsid w:val="00554B85"/>
    <w:rsid w:val="00554BE1"/>
    <w:rsid w:val="00554C2C"/>
    <w:rsid w:val="00555124"/>
    <w:rsid w:val="005551B1"/>
    <w:rsid w:val="0055539E"/>
    <w:rsid w:val="00555FE3"/>
    <w:rsid w:val="005563A9"/>
    <w:rsid w:val="00556566"/>
    <w:rsid w:val="00556615"/>
    <w:rsid w:val="005567B2"/>
    <w:rsid w:val="005567BE"/>
    <w:rsid w:val="00556968"/>
    <w:rsid w:val="00556C47"/>
    <w:rsid w:val="00556EBF"/>
    <w:rsid w:val="005572A1"/>
    <w:rsid w:val="00557726"/>
    <w:rsid w:val="00557870"/>
    <w:rsid w:val="00557A3A"/>
    <w:rsid w:val="00557F3F"/>
    <w:rsid w:val="00557F80"/>
    <w:rsid w:val="00560118"/>
    <w:rsid w:val="00560277"/>
    <w:rsid w:val="005602CE"/>
    <w:rsid w:val="005602FC"/>
    <w:rsid w:val="00560584"/>
    <w:rsid w:val="00560938"/>
    <w:rsid w:val="00560AF1"/>
    <w:rsid w:val="00560D51"/>
    <w:rsid w:val="00561071"/>
    <w:rsid w:val="00561105"/>
    <w:rsid w:val="0056113D"/>
    <w:rsid w:val="005611D7"/>
    <w:rsid w:val="0056121D"/>
    <w:rsid w:val="00561425"/>
    <w:rsid w:val="005614B1"/>
    <w:rsid w:val="005614EA"/>
    <w:rsid w:val="00561562"/>
    <w:rsid w:val="005616BF"/>
    <w:rsid w:val="005619A7"/>
    <w:rsid w:val="00561D55"/>
    <w:rsid w:val="0056202F"/>
    <w:rsid w:val="005621BA"/>
    <w:rsid w:val="005621C3"/>
    <w:rsid w:val="005621E9"/>
    <w:rsid w:val="00562439"/>
    <w:rsid w:val="00562756"/>
    <w:rsid w:val="0056284A"/>
    <w:rsid w:val="005628BD"/>
    <w:rsid w:val="0056294F"/>
    <w:rsid w:val="00562D9E"/>
    <w:rsid w:val="0056347C"/>
    <w:rsid w:val="005636BC"/>
    <w:rsid w:val="00563A2F"/>
    <w:rsid w:val="00563B8E"/>
    <w:rsid w:val="00563D1C"/>
    <w:rsid w:val="00563DA4"/>
    <w:rsid w:val="00563DE6"/>
    <w:rsid w:val="00563E27"/>
    <w:rsid w:val="00563F05"/>
    <w:rsid w:val="00564487"/>
    <w:rsid w:val="0056460E"/>
    <w:rsid w:val="005647FC"/>
    <w:rsid w:val="005648A2"/>
    <w:rsid w:val="00564F70"/>
    <w:rsid w:val="00565115"/>
    <w:rsid w:val="0056528D"/>
    <w:rsid w:val="005654D0"/>
    <w:rsid w:val="005655FA"/>
    <w:rsid w:val="005658C5"/>
    <w:rsid w:val="00565B7D"/>
    <w:rsid w:val="00565BA2"/>
    <w:rsid w:val="00565C9F"/>
    <w:rsid w:val="00565D31"/>
    <w:rsid w:val="00565D7E"/>
    <w:rsid w:val="00565E49"/>
    <w:rsid w:val="00566077"/>
    <w:rsid w:val="005660D4"/>
    <w:rsid w:val="005661E9"/>
    <w:rsid w:val="0056628B"/>
    <w:rsid w:val="00566298"/>
    <w:rsid w:val="005662AB"/>
    <w:rsid w:val="005662C7"/>
    <w:rsid w:val="005665E8"/>
    <w:rsid w:val="0056685A"/>
    <w:rsid w:val="005669FA"/>
    <w:rsid w:val="00566A7A"/>
    <w:rsid w:val="00566C0D"/>
    <w:rsid w:val="00566E9A"/>
    <w:rsid w:val="005671EE"/>
    <w:rsid w:val="005675F2"/>
    <w:rsid w:val="00567997"/>
    <w:rsid w:val="00567E1B"/>
    <w:rsid w:val="00567F31"/>
    <w:rsid w:val="00570118"/>
    <w:rsid w:val="00570149"/>
    <w:rsid w:val="0057014B"/>
    <w:rsid w:val="005702AD"/>
    <w:rsid w:val="005703DC"/>
    <w:rsid w:val="005704FF"/>
    <w:rsid w:val="00570546"/>
    <w:rsid w:val="005707F3"/>
    <w:rsid w:val="005708B7"/>
    <w:rsid w:val="0057091E"/>
    <w:rsid w:val="00570AD6"/>
    <w:rsid w:val="00570E4B"/>
    <w:rsid w:val="00570FA8"/>
    <w:rsid w:val="00571194"/>
    <w:rsid w:val="0057147D"/>
    <w:rsid w:val="005715FB"/>
    <w:rsid w:val="0057172B"/>
    <w:rsid w:val="00571B5D"/>
    <w:rsid w:val="00571BF7"/>
    <w:rsid w:val="00571C72"/>
    <w:rsid w:val="00572017"/>
    <w:rsid w:val="005723D6"/>
    <w:rsid w:val="005726D0"/>
    <w:rsid w:val="00572720"/>
    <w:rsid w:val="005729A7"/>
    <w:rsid w:val="0057301C"/>
    <w:rsid w:val="0057356E"/>
    <w:rsid w:val="005737C7"/>
    <w:rsid w:val="005738AF"/>
    <w:rsid w:val="00573A9E"/>
    <w:rsid w:val="00573AE9"/>
    <w:rsid w:val="00573B9E"/>
    <w:rsid w:val="00573E81"/>
    <w:rsid w:val="00574063"/>
    <w:rsid w:val="00574868"/>
    <w:rsid w:val="00574A66"/>
    <w:rsid w:val="00574A6E"/>
    <w:rsid w:val="00574B02"/>
    <w:rsid w:val="00574BC9"/>
    <w:rsid w:val="00574BEE"/>
    <w:rsid w:val="00574F1D"/>
    <w:rsid w:val="00574F3B"/>
    <w:rsid w:val="005750FF"/>
    <w:rsid w:val="005752CC"/>
    <w:rsid w:val="005757F9"/>
    <w:rsid w:val="00575B93"/>
    <w:rsid w:val="00575EDE"/>
    <w:rsid w:val="005762BE"/>
    <w:rsid w:val="005766FE"/>
    <w:rsid w:val="00576939"/>
    <w:rsid w:val="00577145"/>
    <w:rsid w:val="0057728E"/>
    <w:rsid w:val="005773BE"/>
    <w:rsid w:val="005773CC"/>
    <w:rsid w:val="00577628"/>
    <w:rsid w:val="005777A9"/>
    <w:rsid w:val="00577806"/>
    <w:rsid w:val="00577B1E"/>
    <w:rsid w:val="00577C41"/>
    <w:rsid w:val="00577C82"/>
    <w:rsid w:val="00577DE4"/>
    <w:rsid w:val="00577FA5"/>
    <w:rsid w:val="00577FD8"/>
    <w:rsid w:val="00580355"/>
    <w:rsid w:val="0058071E"/>
    <w:rsid w:val="00580729"/>
    <w:rsid w:val="00580B18"/>
    <w:rsid w:val="00580DC4"/>
    <w:rsid w:val="00580F38"/>
    <w:rsid w:val="0058123F"/>
    <w:rsid w:val="00581396"/>
    <w:rsid w:val="00581518"/>
    <w:rsid w:val="00581652"/>
    <w:rsid w:val="00581927"/>
    <w:rsid w:val="005819EF"/>
    <w:rsid w:val="00581E16"/>
    <w:rsid w:val="00581F4A"/>
    <w:rsid w:val="00582002"/>
    <w:rsid w:val="00582130"/>
    <w:rsid w:val="0058220A"/>
    <w:rsid w:val="00582259"/>
    <w:rsid w:val="00582303"/>
    <w:rsid w:val="00582365"/>
    <w:rsid w:val="0058246F"/>
    <w:rsid w:val="00582591"/>
    <w:rsid w:val="00582B0F"/>
    <w:rsid w:val="00582C52"/>
    <w:rsid w:val="005837B4"/>
    <w:rsid w:val="00583EFB"/>
    <w:rsid w:val="00584000"/>
    <w:rsid w:val="0058486B"/>
    <w:rsid w:val="00584979"/>
    <w:rsid w:val="00584D09"/>
    <w:rsid w:val="005852DB"/>
    <w:rsid w:val="00585481"/>
    <w:rsid w:val="005854B7"/>
    <w:rsid w:val="005856CC"/>
    <w:rsid w:val="0058570D"/>
    <w:rsid w:val="00585869"/>
    <w:rsid w:val="00585A86"/>
    <w:rsid w:val="00585B6F"/>
    <w:rsid w:val="00585BC0"/>
    <w:rsid w:val="00585C1B"/>
    <w:rsid w:val="00585CDF"/>
    <w:rsid w:val="00586113"/>
    <w:rsid w:val="00586329"/>
    <w:rsid w:val="00586591"/>
    <w:rsid w:val="0058659B"/>
    <w:rsid w:val="005865EF"/>
    <w:rsid w:val="00586AE5"/>
    <w:rsid w:val="00586B7F"/>
    <w:rsid w:val="00586E50"/>
    <w:rsid w:val="00587269"/>
    <w:rsid w:val="00587639"/>
    <w:rsid w:val="00587939"/>
    <w:rsid w:val="00587B35"/>
    <w:rsid w:val="00587E0E"/>
    <w:rsid w:val="00587EEA"/>
    <w:rsid w:val="00590158"/>
    <w:rsid w:val="00590194"/>
    <w:rsid w:val="00590786"/>
    <w:rsid w:val="0059080B"/>
    <w:rsid w:val="00590A05"/>
    <w:rsid w:val="00590A1D"/>
    <w:rsid w:val="00590AFD"/>
    <w:rsid w:val="0059120F"/>
    <w:rsid w:val="00591301"/>
    <w:rsid w:val="00591B2A"/>
    <w:rsid w:val="005920BF"/>
    <w:rsid w:val="00592176"/>
    <w:rsid w:val="00592269"/>
    <w:rsid w:val="0059256D"/>
    <w:rsid w:val="00592638"/>
    <w:rsid w:val="005926F7"/>
    <w:rsid w:val="0059276B"/>
    <w:rsid w:val="00592A26"/>
    <w:rsid w:val="00592A4F"/>
    <w:rsid w:val="00592B1C"/>
    <w:rsid w:val="00592F97"/>
    <w:rsid w:val="00593138"/>
    <w:rsid w:val="00593299"/>
    <w:rsid w:val="005934F1"/>
    <w:rsid w:val="00593A33"/>
    <w:rsid w:val="00593C2F"/>
    <w:rsid w:val="00593DF2"/>
    <w:rsid w:val="0059415E"/>
    <w:rsid w:val="00594353"/>
    <w:rsid w:val="005944AA"/>
    <w:rsid w:val="00594698"/>
    <w:rsid w:val="005947B5"/>
    <w:rsid w:val="00594C07"/>
    <w:rsid w:val="00594E37"/>
    <w:rsid w:val="00594E71"/>
    <w:rsid w:val="00594F6F"/>
    <w:rsid w:val="00595145"/>
    <w:rsid w:val="0059529A"/>
    <w:rsid w:val="005953BC"/>
    <w:rsid w:val="00595711"/>
    <w:rsid w:val="005958D5"/>
    <w:rsid w:val="00595B18"/>
    <w:rsid w:val="00595B33"/>
    <w:rsid w:val="00595F00"/>
    <w:rsid w:val="005960BB"/>
    <w:rsid w:val="00596409"/>
    <w:rsid w:val="00596618"/>
    <w:rsid w:val="005972BF"/>
    <w:rsid w:val="00597407"/>
    <w:rsid w:val="00597A6B"/>
    <w:rsid w:val="00597B6D"/>
    <w:rsid w:val="00597BCF"/>
    <w:rsid w:val="00597BD9"/>
    <w:rsid w:val="00597E81"/>
    <w:rsid w:val="00597FDF"/>
    <w:rsid w:val="005A00ED"/>
    <w:rsid w:val="005A0140"/>
    <w:rsid w:val="005A01D3"/>
    <w:rsid w:val="005A03BD"/>
    <w:rsid w:val="005A0496"/>
    <w:rsid w:val="005A08A8"/>
    <w:rsid w:val="005A0A05"/>
    <w:rsid w:val="005A0B31"/>
    <w:rsid w:val="005A1027"/>
    <w:rsid w:val="005A103F"/>
    <w:rsid w:val="005A116D"/>
    <w:rsid w:val="005A1279"/>
    <w:rsid w:val="005A12DD"/>
    <w:rsid w:val="005A152B"/>
    <w:rsid w:val="005A182C"/>
    <w:rsid w:val="005A1C15"/>
    <w:rsid w:val="005A1C9B"/>
    <w:rsid w:val="005A1E49"/>
    <w:rsid w:val="005A2489"/>
    <w:rsid w:val="005A2499"/>
    <w:rsid w:val="005A24A8"/>
    <w:rsid w:val="005A273D"/>
    <w:rsid w:val="005A2830"/>
    <w:rsid w:val="005A29ED"/>
    <w:rsid w:val="005A30DA"/>
    <w:rsid w:val="005A323E"/>
    <w:rsid w:val="005A338B"/>
    <w:rsid w:val="005A33B1"/>
    <w:rsid w:val="005A365E"/>
    <w:rsid w:val="005A36D6"/>
    <w:rsid w:val="005A3779"/>
    <w:rsid w:val="005A37FC"/>
    <w:rsid w:val="005A38E2"/>
    <w:rsid w:val="005A3BEB"/>
    <w:rsid w:val="005A3C25"/>
    <w:rsid w:val="005A3EBE"/>
    <w:rsid w:val="005A3FD5"/>
    <w:rsid w:val="005A4047"/>
    <w:rsid w:val="005A40D6"/>
    <w:rsid w:val="005A4384"/>
    <w:rsid w:val="005A46DD"/>
    <w:rsid w:val="005A4763"/>
    <w:rsid w:val="005A47E4"/>
    <w:rsid w:val="005A47E5"/>
    <w:rsid w:val="005A5210"/>
    <w:rsid w:val="005A5273"/>
    <w:rsid w:val="005A5769"/>
    <w:rsid w:val="005A5814"/>
    <w:rsid w:val="005A5968"/>
    <w:rsid w:val="005A5FA7"/>
    <w:rsid w:val="005A64C0"/>
    <w:rsid w:val="005A65EB"/>
    <w:rsid w:val="005A66B2"/>
    <w:rsid w:val="005A67D5"/>
    <w:rsid w:val="005A69CB"/>
    <w:rsid w:val="005A6A66"/>
    <w:rsid w:val="005A6BFB"/>
    <w:rsid w:val="005A6D85"/>
    <w:rsid w:val="005A6FE3"/>
    <w:rsid w:val="005A6FF6"/>
    <w:rsid w:val="005A7012"/>
    <w:rsid w:val="005A707A"/>
    <w:rsid w:val="005A7274"/>
    <w:rsid w:val="005A74F5"/>
    <w:rsid w:val="005A754D"/>
    <w:rsid w:val="005A7A5E"/>
    <w:rsid w:val="005A7B74"/>
    <w:rsid w:val="005A7C83"/>
    <w:rsid w:val="005A7F70"/>
    <w:rsid w:val="005B00BA"/>
    <w:rsid w:val="005B01A6"/>
    <w:rsid w:val="005B0532"/>
    <w:rsid w:val="005B05BD"/>
    <w:rsid w:val="005B09F4"/>
    <w:rsid w:val="005B0AA9"/>
    <w:rsid w:val="005B0AC3"/>
    <w:rsid w:val="005B0C95"/>
    <w:rsid w:val="005B0E6A"/>
    <w:rsid w:val="005B0F20"/>
    <w:rsid w:val="005B0FAF"/>
    <w:rsid w:val="005B12D1"/>
    <w:rsid w:val="005B13A5"/>
    <w:rsid w:val="005B1798"/>
    <w:rsid w:val="005B1822"/>
    <w:rsid w:val="005B1AA7"/>
    <w:rsid w:val="005B1C07"/>
    <w:rsid w:val="005B1D89"/>
    <w:rsid w:val="005B20FD"/>
    <w:rsid w:val="005B219B"/>
    <w:rsid w:val="005B2221"/>
    <w:rsid w:val="005B283C"/>
    <w:rsid w:val="005B2BFC"/>
    <w:rsid w:val="005B2DC1"/>
    <w:rsid w:val="005B2EF1"/>
    <w:rsid w:val="005B2F50"/>
    <w:rsid w:val="005B3054"/>
    <w:rsid w:val="005B315D"/>
    <w:rsid w:val="005B32D2"/>
    <w:rsid w:val="005B3432"/>
    <w:rsid w:val="005B35E3"/>
    <w:rsid w:val="005B39B8"/>
    <w:rsid w:val="005B3B52"/>
    <w:rsid w:val="005B3BD6"/>
    <w:rsid w:val="005B3BFF"/>
    <w:rsid w:val="005B3FDE"/>
    <w:rsid w:val="005B4140"/>
    <w:rsid w:val="005B42F5"/>
    <w:rsid w:val="005B4943"/>
    <w:rsid w:val="005B4DD4"/>
    <w:rsid w:val="005B4F74"/>
    <w:rsid w:val="005B4F99"/>
    <w:rsid w:val="005B50C6"/>
    <w:rsid w:val="005B510A"/>
    <w:rsid w:val="005B5146"/>
    <w:rsid w:val="005B5167"/>
    <w:rsid w:val="005B551B"/>
    <w:rsid w:val="005B563C"/>
    <w:rsid w:val="005B5727"/>
    <w:rsid w:val="005B57D6"/>
    <w:rsid w:val="005B57E3"/>
    <w:rsid w:val="005B57EB"/>
    <w:rsid w:val="005B58CE"/>
    <w:rsid w:val="005B5942"/>
    <w:rsid w:val="005B5954"/>
    <w:rsid w:val="005B5AE8"/>
    <w:rsid w:val="005B5CFA"/>
    <w:rsid w:val="005B5D35"/>
    <w:rsid w:val="005B64BD"/>
    <w:rsid w:val="005B67CA"/>
    <w:rsid w:val="005B6B45"/>
    <w:rsid w:val="005B6CCC"/>
    <w:rsid w:val="005B6D29"/>
    <w:rsid w:val="005B7666"/>
    <w:rsid w:val="005B7776"/>
    <w:rsid w:val="005B7949"/>
    <w:rsid w:val="005B79E6"/>
    <w:rsid w:val="005B7B79"/>
    <w:rsid w:val="005B7D6C"/>
    <w:rsid w:val="005B7E53"/>
    <w:rsid w:val="005B7F31"/>
    <w:rsid w:val="005C012B"/>
    <w:rsid w:val="005C02C1"/>
    <w:rsid w:val="005C0608"/>
    <w:rsid w:val="005C0C04"/>
    <w:rsid w:val="005C0E3E"/>
    <w:rsid w:val="005C104B"/>
    <w:rsid w:val="005C126D"/>
    <w:rsid w:val="005C139A"/>
    <w:rsid w:val="005C154C"/>
    <w:rsid w:val="005C1592"/>
    <w:rsid w:val="005C17C2"/>
    <w:rsid w:val="005C17C9"/>
    <w:rsid w:val="005C187E"/>
    <w:rsid w:val="005C1A83"/>
    <w:rsid w:val="005C1ABC"/>
    <w:rsid w:val="005C1AD0"/>
    <w:rsid w:val="005C1BEA"/>
    <w:rsid w:val="005C1D38"/>
    <w:rsid w:val="005C1DF1"/>
    <w:rsid w:val="005C1E53"/>
    <w:rsid w:val="005C1F83"/>
    <w:rsid w:val="005C2458"/>
    <w:rsid w:val="005C24E6"/>
    <w:rsid w:val="005C2530"/>
    <w:rsid w:val="005C2D39"/>
    <w:rsid w:val="005C2DBC"/>
    <w:rsid w:val="005C2E0E"/>
    <w:rsid w:val="005C2E13"/>
    <w:rsid w:val="005C2F1F"/>
    <w:rsid w:val="005C2F6B"/>
    <w:rsid w:val="005C30FD"/>
    <w:rsid w:val="005C3179"/>
    <w:rsid w:val="005C34D5"/>
    <w:rsid w:val="005C35F6"/>
    <w:rsid w:val="005C364A"/>
    <w:rsid w:val="005C3680"/>
    <w:rsid w:val="005C3870"/>
    <w:rsid w:val="005C3C1A"/>
    <w:rsid w:val="005C3E8F"/>
    <w:rsid w:val="005C40AF"/>
    <w:rsid w:val="005C413B"/>
    <w:rsid w:val="005C42E8"/>
    <w:rsid w:val="005C4392"/>
    <w:rsid w:val="005C44A9"/>
    <w:rsid w:val="005C44D2"/>
    <w:rsid w:val="005C4614"/>
    <w:rsid w:val="005C463D"/>
    <w:rsid w:val="005C4723"/>
    <w:rsid w:val="005C4A13"/>
    <w:rsid w:val="005C4AA3"/>
    <w:rsid w:val="005C4AD9"/>
    <w:rsid w:val="005C5116"/>
    <w:rsid w:val="005C52CD"/>
    <w:rsid w:val="005C58CA"/>
    <w:rsid w:val="005C59EB"/>
    <w:rsid w:val="005C5A5E"/>
    <w:rsid w:val="005C5C5D"/>
    <w:rsid w:val="005C5C6D"/>
    <w:rsid w:val="005C5F4F"/>
    <w:rsid w:val="005C60C3"/>
    <w:rsid w:val="005C62B8"/>
    <w:rsid w:val="005C6536"/>
    <w:rsid w:val="005C686C"/>
    <w:rsid w:val="005C692B"/>
    <w:rsid w:val="005C6AAE"/>
    <w:rsid w:val="005C6E29"/>
    <w:rsid w:val="005C6EDB"/>
    <w:rsid w:val="005C709C"/>
    <w:rsid w:val="005C7215"/>
    <w:rsid w:val="005C73C4"/>
    <w:rsid w:val="005C7418"/>
    <w:rsid w:val="005C7446"/>
    <w:rsid w:val="005C7465"/>
    <w:rsid w:val="005C74A5"/>
    <w:rsid w:val="005C75F5"/>
    <w:rsid w:val="005C7E28"/>
    <w:rsid w:val="005C7EE7"/>
    <w:rsid w:val="005C7F94"/>
    <w:rsid w:val="005D00EA"/>
    <w:rsid w:val="005D012A"/>
    <w:rsid w:val="005D0199"/>
    <w:rsid w:val="005D023B"/>
    <w:rsid w:val="005D028D"/>
    <w:rsid w:val="005D02C4"/>
    <w:rsid w:val="005D0400"/>
    <w:rsid w:val="005D0874"/>
    <w:rsid w:val="005D08D7"/>
    <w:rsid w:val="005D0AB8"/>
    <w:rsid w:val="005D0C63"/>
    <w:rsid w:val="005D0F94"/>
    <w:rsid w:val="005D1040"/>
    <w:rsid w:val="005D1057"/>
    <w:rsid w:val="005D129E"/>
    <w:rsid w:val="005D12BE"/>
    <w:rsid w:val="005D13DD"/>
    <w:rsid w:val="005D17B1"/>
    <w:rsid w:val="005D1820"/>
    <w:rsid w:val="005D1B2D"/>
    <w:rsid w:val="005D1CAB"/>
    <w:rsid w:val="005D1FF9"/>
    <w:rsid w:val="005D210B"/>
    <w:rsid w:val="005D2114"/>
    <w:rsid w:val="005D2136"/>
    <w:rsid w:val="005D2217"/>
    <w:rsid w:val="005D2304"/>
    <w:rsid w:val="005D2318"/>
    <w:rsid w:val="005D26D5"/>
    <w:rsid w:val="005D27FF"/>
    <w:rsid w:val="005D289F"/>
    <w:rsid w:val="005D28D4"/>
    <w:rsid w:val="005D2C6A"/>
    <w:rsid w:val="005D2C74"/>
    <w:rsid w:val="005D2D74"/>
    <w:rsid w:val="005D2DE2"/>
    <w:rsid w:val="005D2ED4"/>
    <w:rsid w:val="005D2FF8"/>
    <w:rsid w:val="005D3185"/>
    <w:rsid w:val="005D3706"/>
    <w:rsid w:val="005D390B"/>
    <w:rsid w:val="005D3A04"/>
    <w:rsid w:val="005D3C38"/>
    <w:rsid w:val="005D4215"/>
    <w:rsid w:val="005D46ED"/>
    <w:rsid w:val="005D48FE"/>
    <w:rsid w:val="005D4A0A"/>
    <w:rsid w:val="005D4E78"/>
    <w:rsid w:val="005D5089"/>
    <w:rsid w:val="005D50AD"/>
    <w:rsid w:val="005D5195"/>
    <w:rsid w:val="005D5282"/>
    <w:rsid w:val="005D578E"/>
    <w:rsid w:val="005D5994"/>
    <w:rsid w:val="005D5C8A"/>
    <w:rsid w:val="005D5CCD"/>
    <w:rsid w:val="005D5DD7"/>
    <w:rsid w:val="005D61DE"/>
    <w:rsid w:val="005D6234"/>
    <w:rsid w:val="005D6328"/>
    <w:rsid w:val="005D6552"/>
    <w:rsid w:val="005D68C3"/>
    <w:rsid w:val="005D6956"/>
    <w:rsid w:val="005D6AC6"/>
    <w:rsid w:val="005D6B47"/>
    <w:rsid w:val="005D6C3F"/>
    <w:rsid w:val="005D6D6C"/>
    <w:rsid w:val="005D6E7A"/>
    <w:rsid w:val="005D7002"/>
    <w:rsid w:val="005D70CB"/>
    <w:rsid w:val="005D7471"/>
    <w:rsid w:val="005D749D"/>
    <w:rsid w:val="005D74A5"/>
    <w:rsid w:val="005D75F4"/>
    <w:rsid w:val="005D7F62"/>
    <w:rsid w:val="005E068A"/>
    <w:rsid w:val="005E06A1"/>
    <w:rsid w:val="005E0750"/>
    <w:rsid w:val="005E0BBF"/>
    <w:rsid w:val="005E0E07"/>
    <w:rsid w:val="005E1430"/>
    <w:rsid w:val="005E164C"/>
    <w:rsid w:val="005E1B28"/>
    <w:rsid w:val="005E1D6F"/>
    <w:rsid w:val="005E207C"/>
    <w:rsid w:val="005E2173"/>
    <w:rsid w:val="005E221C"/>
    <w:rsid w:val="005E234F"/>
    <w:rsid w:val="005E243D"/>
    <w:rsid w:val="005E245C"/>
    <w:rsid w:val="005E2702"/>
    <w:rsid w:val="005E291A"/>
    <w:rsid w:val="005E29B7"/>
    <w:rsid w:val="005E2BC1"/>
    <w:rsid w:val="005E305B"/>
    <w:rsid w:val="005E34C3"/>
    <w:rsid w:val="005E38E6"/>
    <w:rsid w:val="005E44AE"/>
    <w:rsid w:val="005E46E6"/>
    <w:rsid w:val="005E4710"/>
    <w:rsid w:val="005E488F"/>
    <w:rsid w:val="005E4CA7"/>
    <w:rsid w:val="005E4D65"/>
    <w:rsid w:val="005E5039"/>
    <w:rsid w:val="005E538F"/>
    <w:rsid w:val="005E53F4"/>
    <w:rsid w:val="005E563B"/>
    <w:rsid w:val="005E5773"/>
    <w:rsid w:val="005E5874"/>
    <w:rsid w:val="005E5B27"/>
    <w:rsid w:val="005E616E"/>
    <w:rsid w:val="005E665A"/>
    <w:rsid w:val="005E66F6"/>
    <w:rsid w:val="005E6AEA"/>
    <w:rsid w:val="005E6B20"/>
    <w:rsid w:val="005E6FC3"/>
    <w:rsid w:val="005E7384"/>
    <w:rsid w:val="005E75D5"/>
    <w:rsid w:val="005E77EE"/>
    <w:rsid w:val="005E78AB"/>
    <w:rsid w:val="005E7A46"/>
    <w:rsid w:val="005E7C89"/>
    <w:rsid w:val="005F0539"/>
    <w:rsid w:val="005F07AA"/>
    <w:rsid w:val="005F0803"/>
    <w:rsid w:val="005F0AF5"/>
    <w:rsid w:val="005F0CDE"/>
    <w:rsid w:val="005F0D40"/>
    <w:rsid w:val="005F0E3C"/>
    <w:rsid w:val="005F0EDE"/>
    <w:rsid w:val="005F0F48"/>
    <w:rsid w:val="005F1387"/>
    <w:rsid w:val="005F1479"/>
    <w:rsid w:val="005F1555"/>
    <w:rsid w:val="005F168A"/>
    <w:rsid w:val="005F17FF"/>
    <w:rsid w:val="005F1A0B"/>
    <w:rsid w:val="005F1B62"/>
    <w:rsid w:val="005F249D"/>
    <w:rsid w:val="005F293E"/>
    <w:rsid w:val="005F2978"/>
    <w:rsid w:val="005F2AB4"/>
    <w:rsid w:val="005F2C31"/>
    <w:rsid w:val="005F3087"/>
    <w:rsid w:val="005F387F"/>
    <w:rsid w:val="005F38A4"/>
    <w:rsid w:val="005F392F"/>
    <w:rsid w:val="005F399A"/>
    <w:rsid w:val="005F3B8E"/>
    <w:rsid w:val="005F3C1E"/>
    <w:rsid w:val="005F3DE0"/>
    <w:rsid w:val="005F40DF"/>
    <w:rsid w:val="005F4164"/>
    <w:rsid w:val="005F4259"/>
    <w:rsid w:val="005F4335"/>
    <w:rsid w:val="005F45B3"/>
    <w:rsid w:val="005F4721"/>
    <w:rsid w:val="005F49ED"/>
    <w:rsid w:val="005F4CA6"/>
    <w:rsid w:val="005F4D02"/>
    <w:rsid w:val="005F4F31"/>
    <w:rsid w:val="005F4F92"/>
    <w:rsid w:val="005F5204"/>
    <w:rsid w:val="005F54F9"/>
    <w:rsid w:val="005F5521"/>
    <w:rsid w:val="005F5E02"/>
    <w:rsid w:val="005F5F84"/>
    <w:rsid w:val="005F601C"/>
    <w:rsid w:val="005F60CA"/>
    <w:rsid w:val="005F61B1"/>
    <w:rsid w:val="005F6428"/>
    <w:rsid w:val="005F6484"/>
    <w:rsid w:val="005F648F"/>
    <w:rsid w:val="005F64B7"/>
    <w:rsid w:val="005F6563"/>
    <w:rsid w:val="005F667D"/>
    <w:rsid w:val="005F686E"/>
    <w:rsid w:val="005F69BB"/>
    <w:rsid w:val="005F6ADC"/>
    <w:rsid w:val="005F6BE7"/>
    <w:rsid w:val="005F6C01"/>
    <w:rsid w:val="005F6C9D"/>
    <w:rsid w:val="005F720A"/>
    <w:rsid w:val="005F7308"/>
    <w:rsid w:val="005F7442"/>
    <w:rsid w:val="005F75C8"/>
    <w:rsid w:val="005F76A5"/>
    <w:rsid w:val="005F76ED"/>
    <w:rsid w:val="005F7902"/>
    <w:rsid w:val="005F794A"/>
    <w:rsid w:val="005F7D6D"/>
    <w:rsid w:val="005F7EAE"/>
    <w:rsid w:val="0060005C"/>
    <w:rsid w:val="00600188"/>
    <w:rsid w:val="006001CC"/>
    <w:rsid w:val="00600214"/>
    <w:rsid w:val="00600476"/>
    <w:rsid w:val="00600B64"/>
    <w:rsid w:val="00600C3F"/>
    <w:rsid w:val="00600FD3"/>
    <w:rsid w:val="00600FD5"/>
    <w:rsid w:val="006010D6"/>
    <w:rsid w:val="00601191"/>
    <w:rsid w:val="006013A5"/>
    <w:rsid w:val="006014D4"/>
    <w:rsid w:val="00601649"/>
    <w:rsid w:val="00601A6D"/>
    <w:rsid w:val="00601B0A"/>
    <w:rsid w:val="00601CE7"/>
    <w:rsid w:val="00601E80"/>
    <w:rsid w:val="006025D4"/>
    <w:rsid w:val="00602658"/>
    <w:rsid w:val="0060268E"/>
    <w:rsid w:val="00602A8A"/>
    <w:rsid w:val="00602D99"/>
    <w:rsid w:val="00602F43"/>
    <w:rsid w:val="00603031"/>
    <w:rsid w:val="00603438"/>
    <w:rsid w:val="0060348C"/>
    <w:rsid w:val="00603812"/>
    <w:rsid w:val="0060397C"/>
    <w:rsid w:val="00603A2F"/>
    <w:rsid w:val="00603B08"/>
    <w:rsid w:val="00603B59"/>
    <w:rsid w:val="00603BFA"/>
    <w:rsid w:val="00603EC4"/>
    <w:rsid w:val="00603EDC"/>
    <w:rsid w:val="006041B6"/>
    <w:rsid w:val="0060466B"/>
    <w:rsid w:val="00604705"/>
    <w:rsid w:val="006047F4"/>
    <w:rsid w:val="00604847"/>
    <w:rsid w:val="0060486F"/>
    <w:rsid w:val="00604939"/>
    <w:rsid w:val="00604A51"/>
    <w:rsid w:val="00604C40"/>
    <w:rsid w:val="00604E40"/>
    <w:rsid w:val="00604FFF"/>
    <w:rsid w:val="00605287"/>
    <w:rsid w:val="00605312"/>
    <w:rsid w:val="006053C8"/>
    <w:rsid w:val="0060561F"/>
    <w:rsid w:val="00605776"/>
    <w:rsid w:val="006057FB"/>
    <w:rsid w:val="00605900"/>
    <w:rsid w:val="00605B81"/>
    <w:rsid w:val="00605EC9"/>
    <w:rsid w:val="006066AE"/>
    <w:rsid w:val="0060690A"/>
    <w:rsid w:val="00606C47"/>
    <w:rsid w:val="00606D10"/>
    <w:rsid w:val="00606D39"/>
    <w:rsid w:val="00606DD0"/>
    <w:rsid w:val="0060701E"/>
    <w:rsid w:val="006070A2"/>
    <w:rsid w:val="00607122"/>
    <w:rsid w:val="00607514"/>
    <w:rsid w:val="006075C4"/>
    <w:rsid w:val="00607B91"/>
    <w:rsid w:val="00607F11"/>
    <w:rsid w:val="00610162"/>
    <w:rsid w:val="00610166"/>
    <w:rsid w:val="006109FF"/>
    <w:rsid w:val="00610ABA"/>
    <w:rsid w:val="00610BFC"/>
    <w:rsid w:val="00610CA1"/>
    <w:rsid w:val="00610D6E"/>
    <w:rsid w:val="00610DF6"/>
    <w:rsid w:val="00611242"/>
    <w:rsid w:val="00611362"/>
    <w:rsid w:val="006115D6"/>
    <w:rsid w:val="006118B6"/>
    <w:rsid w:val="00611A67"/>
    <w:rsid w:val="00611EB8"/>
    <w:rsid w:val="006126E2"/>
    <w:rsid w:val="0061280D"/>
    <w:rsid w:val="006128D2"/>
    <w:rsid w:val="0061290F"/>
    <w:rsid w:val="00612A41"/>
    <w:rsid w:val="00612BF6"/>
    <w:rsid w:val="00613037"/>
    <w:rsid w:val="00613325"/>
    <w:rsid w:val="006135AB"/>
    <w:rsid w:val="006135B8"/>
    <w:rsid w:val="006137B2"/>
    <w:rsid w:val="006138E4"/>
    <w:rsid w:val="00613B79"/>
    <w:rsid w:val="00613D02"/>
    <w:rsid w:val="00613D13"/>
    <w:rsid w:val="00613FF3"/>
    <w:rsid w:val="00614442"/>
    <w:rsid w:val="006144F6"/>
    <w:rsid w:val="00614F64"/>
    <w:rsid w:val="0061505B"/>
    <w:rsid w:val="00615149"/>
    <w:rsid w:val="006153D0"/>
    <w:rsid w:val="0061559F"/>
    <w:rsid w:val="00615734"/>
    <w:rsid w:val="0061587B"/>
    <w:rsid w:val="006159CB"/>
    <w:rsid w:val="00615A0A"/>
    <w:rsid w:val="00615E57"/>
    <w:rsid w:val="00615EBA"/>
    <w:rsid w:val="006160BB"/>
    <w:rsid w:val="006163F8"/>
    <w:rsid w:val="00616407"/>
    <w:rsid w:val="00616450"/>
    <w:rsid w:val="0061649C"/>
    <w:rsid w:val="00616527"/>
    <w:rsid w:val="00616581"/>
    <w:rsid w:val="00616B73"/>
    <w:rsid w:val="00616C35"/>
    <w:rsid w:val="00616CA1"/>
    <w:rsid w:val="00616D49"/>
    <w:rsid w:val="00616E48"/>
    <w:rsid w:val="00616F25"/>
    <w:rsid w:val="00616F92"/>
    <w:rsid w:val="00617049"/>
    <w:rsid w:val="006171DA"/>
    <w:rsid w:val="00617350"/>
    <w:rsid w:val="006173F7"/>
    <w:rsid w:val="0061755B"/>
    <w:rsid w:val="0061770D"/>
    <w:rsid w:val="00617AAA"/>
    <w:rsid w:val="00617B14"/>
    <w:rsid w:val="00617B61"/>
    <w:rsid w:val="00617C4F"/>
    <w:rsid w:val="006205D6"/>
    <w:rsid w:val="006208BD"/>
    <w:rsid w:val="00620A77"/>
    <w:rsid w:val="00620E43"/>
    <w:rsid w:val="00620E5A"/>
    <w:rsid w:val="006213E4"/>
    <w:rsid w:val="00621460"/>
    <w:rsid w:val="006215E2"/>
    <w:rsid w:val="006216D5"/>
    <w:rsid w:val="00621761"/>
    <w:rsid w:val="006219E9"/>
    <w:rsid w:val="00621B28"/>
    <w:rsid w:val="00621B62"/>
    <w:rsid w:val="00621BD3"/>
    <w:rsid w:val="00621E68"/>
    <w:rsid w:val="00621EED"/>
    <w:rsid w:val="00622312"/>
    <w:rsid w:val="0062232A"/>
    <w:rsid w:val="00622D94"/>
    <w:rsid w:val="00622DBD"/>
    <w:rsid w:val="0062307A"/>
    <w:rsid w:val="006230BD"/>
    <w:rsid w:val="00623120"/>
    <w:rsid w:val="0062335F"/>
    <w:rsid w:val="0062359E"/>
    <w:rsid w:val="00623803"/>
    <w:rsid w:val="00623B44"/>
    <w:rsid w:val="00623C1C"/>
    <w:rsid w:val="00623D79"/>
    <w:rsid w:val="00623FDD"/>
    <w:rsid w:val="00624210"/>
    <w:rsid w:val="006245EE"/>
    <w:rsid w:val="0062471A"/>
    <w:rsid w:val="006247A5"/>
    <w:rsid w:val="006249D7"/>
    <w:rsid w:val="00624A38"/>
    <w:rsid w:val="00624CAB"/>
    <w:rsid w:val="006250E9"/>
    <w:rsid w:val="006254C2"/>
    <w:rsid w:val="00625720"/>
    <w:rsid w:val="00625983"/>
    <w:rsid w:val="00625AA5"/>
    <w:rsid w:val="00625CE0"/>
    <w:rsid w:val="00625D54"/>
    <w:rsid w:val="00625DD1"/>
    <w:rsid w:val="00625E51"/>
    <w:rsid w:val="00625F01"/>
    <w:rsid w:val="00626102"/>
    <w:rsid w:val="00626151"/>
    <w:rsid w:val="0062620D"/>
    <w:rsid w:val="00626354"/>
    <w:rsid w:val="0062642B"/>
    <w:rsid w:val="006266E0"/>
    <w:rsid w:val="00626B41"/>
    <w:rsid w:val="00626F00"/>
    <w:rsid w:val="006270BB"/>
    <w:rsid w:val="00627165"/>
    <w:rsid w:val="00627543"/>
    <w:rsid w:val="0062770A"/>
    <w:rsid w:val="006277D5"/>
    <w:rsid w:val="006278DF"/>
    <w:rsid w:val="00627AF4"/>
    <w:rsid w:val="00630051"/>
    <w:rsid w:val="0063009C"/>
    <w:rsid w:val="006300A5"/>
    <w:rsid w:val="006300B4"/>
    <w:rsid w:val="00630271"/>
    <w:rsid w:val="0063052A"/>
    <w:rsid w:val="00630A95"/>
    <w:rsid w:val="00630CEB"/>
    <w:rsid w:val="00630E4F"/>
    <w:rsid w:val="00630FF3"/>
    <w:rsid w:val="006312BD"/>
    <w:rsid w:val="006313C2"/>
    <w:rsid w:val="006316BA"/>
    <w:rsid w:val="00631B5D"/>
    <w:rsid w:val="00631D3A"/>
    <w:rsid w:val="006328C2"/>
    <w:rsid w:val="006328D7"/>
    <w:rsid w:val="00632BF9"/>
    <w:rsid w:val="00632FDC"/>
    <w:rsid w:val="0063303F"/>
    <w:rsid w:val="0063306F"/>
    <w:rsid w:val="006331A6"/>
    <w:rsid w:val="00633338"/>
    <w:rsid w:val="00633394"/>
    <w:rsid w:val="00633462"/>
    <w:rsid w:val="006335F5"/>
    <w:rsid w:val="0063374D"/>
    <w:rsid w:val="0063376F"/>
    <w:rsid w:val="00633A12"/>
    <w:rsid w:val="00633B2F"/>
    <w:rsid w:val="00634173"/>
    <w:rsid w:val="006341A4"/>
    <w:rsid w:val="006344E6"/>
    <w:rsid w:val="006348D7"/>
    <w:rsid w:val="00634F08"/>
    <w:rsid w:val="00635405"/>
    <w:rsid w:val="00635518"/>
    <w:rsid w:val="00635AFD"/>
    <w:rsid w:val="00635B8A"/>
    <w:rsid w:val="00635C87"/>
    <w:rsid w:val="00635FBD"/>
    <w:rsid w:val="00636365"/>
    <w:rsid w:val="0063644E"/>
    <w:rsid w:val="006364A5"/>
    <w:rsid w:val="006365A5"/>
    <w:rsid w:val="00636904"/>
    <w:rsid w:val="0063714A"/>
    <w:rsid w:val="006371F8"/>
    <w:rsid w:val="00637829"/>
    <w:rsid w:val="00637A7E"/>
    <w:rsid w:val="00637BD0"/>
    <w:rsid w:val="00637EC9"/>
    <w:rsid w:val="00637FCE"/>
    <w:rsid w:val="00640049"/>
    <w:rsid w:val="006407FF"/>
    <w:rsid w:val="00640C31"/>
    <w:rsid w:val="00640DAE"/>
    <w:rsid w:val="00640E1D"/>
    <w:rsid w:val="0064109D"/>
    <w:rsid w:val="006411C2"/>
    <w:rsid w:val="006411FA"/>
    <w:rsid w:val="00641372"/>
    <w:rsid w:val="00641A14"/>
    <w:rsid w:val="00641B74"/>
    <w:rsid w:val="00641C08"/>
    <w:rsid w:val="00641C9D"/>
    <w:rsid w:val="00641E9E"/>
    <w:rsid w:val="00642033"/>
    <w:rsid w:val="0064214E"/>
    <w:rsid w:val="00642375"/>
    <w:rsid w:val="0064242C"/>
    <w:rsid w:val="00642523"/>
    <w:rsid w:val="0064253D"/>
    <w:rsid w:val="0064278F"/>
    <w:rsid w:val="006427C0"/>
    <w:rsid w:val="00642C7C"/>
    <w:rsid w:val="00642DBC"/>
    <w:rsid w:val="00642F92"/>
    <w:rsid w:val="00642FE8"/>
    <w:rsid w:val="00643226"/>
    <w:rsid w:val="00643288"/>
    <w:rsid w:val="006433E8"/>
    <w:rsid w:val="006435FB"/>
    <w:rsid w:val="006438A2"/>
    <w:rsid w:val="00643929"/>
    <w:rsid w:val="00643CB9"/>
    <w:rsid w:val="00643DE8"/>
    <w:rsid w:val="00643EC8"/>
    <w:rsid w:val="00644114"/>
    <w:rsid w:val="006446D0"/>
    <w:rsid w:val="006447A9"/>
    <w:rsid w:val="00644855"/>
    <w:rsid w:val="0064486E"/>
    <w:rsid w:val="0064498C"/>
    <w:rsid w:val="00644AAF"/>
    <w:rsid w:val="00644CEA"/>
    <w:rsid w:val="00644D33"/>
    <w:rsid w:val="0064509E"/>
    <w:rsid w:val="006451D4"/>
    <w:rsid w:val="0064559B"/>
    <w:rsid w:val="006456A8"/>
    <w:rsid w:val="006459EF"/>
    <w:rsid w:val="00645B94"/>
    <w:rsid w:val="00645C3B"/>
    <w:rsid w:val="006460E2"/>
    <w:rsid w:val="006465F3"/>
    <w:rsid w:val="00646D86"/>
    <w:rsid w:val="00646E39"/>
    <w:rsid w:val="00647563"/>
    <w:rsid w:val="00647583"/>
    <w:rsid w:val="006475BA"/>
    <w:rsid w:val="006476BB"/>
    <w:rsid w:val="006477DA"/>
    <w:rsid w:val="00647B3A"/>
    <w:rsid w:val="00647C1A"/>
    <w:rsid w:val="00647E99"/>
    <w:rsid w:val="00647F0F"/>
    <w:rsid w:val="00647F84"/>
    <w:rsid w:val="00650264"/>
    <w:rsid w:val="006505FF"/>
    <w:rsid w:val="00650748"/>
    <w:rsid w:val="00650835"/>
    <w:rsid w:val="006508C7"/>
    <w:rsid w:val="00650A6F"/>
    <w:rsid w:val="00650CB4"/>
    <w:rsid w:val="00650E1E"/>
    <w:rsid w:val="00650E26"/>
    <w:rsid w:val="00651234"/>
    <w:rsid w:val="0065169A"/>
    <w:rsid w:val="0065180F"/>
    <w:rsid w:val="00651916"/>
    <w:rsid w:val="00651BC0"/>
    <w:rsid w:val="00651C76"/>
    <w:rsid w:val="00651D56"/>
    <w:rsid w:val="0065245C"/>
    <w:rsid w:val="0065256F"/>
    <w:rsid w:val="0065268B"/>
    <w:rsid w:val="006528ED"/>
    <w:rsid w:val="006529C3"/>
    <w:rsid w:val="00652AB6"/>
    <w:rsid w:val="00652BE7"/>
    <w:rsid w:val="00653473"/>
    <w:rsid w:val="006534BF"/>
    <w:rsid w:val="006537D7"/>
    <w:rsid w:val="0065384E"/>
    <w:rsid w:val="00653AEA"/>
    <w:rsid w:val="00653B17"/>
    <w:rsid w:val="00653D46"/>
    <w:rsid w:val="00653D97"/>
    <w:rsid w:val="00653E49"/>
    <w:rsid w:val="00653F85"/>
    <w:rsid w:val="006543A1"/>
    <w:rsid w:val="0065444A"/>
    <w:rsid w:val="006544A4"/>
    <w:rsid w:val="00654626"/>
    <w:rsid w:val="00654648"/>
    <w:rsid w:val="006548F5"/>
    <w:rsid w:val="00654947"/>
    <w:rsid w:val="00654D2D"/>
    <w:rsid w:val="00654E05"/>
    <w:rsid w:val="00654E45"/>
    <w:rsid w:val="00654F3F"/>
    <w:rsid w:val="00654F68"/>
    <w:rsid w:val="00655053"/>
    <w:rsid w:val="0065528C"/>
    <w:rsid w:val="006556FD"/>
    <w:rsid w:val="006557F2"/>
    <w:rsid w:val="00655A15"/>
    <w:rsid w:val="00655CCA"/>
    <w:rsid w:val="00655CF9"/>
    <w:rsid w:val="00655D35"/>
    <w:rsid w:val="00655D45"/>
    <w:rsid w:val="00655D56"/>
    <w:rsid w:val="00655F46"/>
    <w:rsid w:val="0065600D"/>
    <w:rsid w:val="006563CB"/>
    <w:rsid w:val="006565BF"/>
    <w:rsid w:val="006566DF"/>
    <w:rsid w:val="0065672E"/>
    <w:rsid w:val="00656873"/>
    <w:rsid w:val="00656A6D"/>
    <w:rsid w:val="00656C09"/>
    <w:rsid w:val="00656FA3"/>
    <w:rsid w:val="0065714C"/>
    <w:rsid w:val="0065738C"/>
    <w:rsid w:val="00657590"/>
    <w:rsid w:val="0065763B"/>
    <w:rsid w:val="00657668"/>
    <w:rsid w:val="0065769C"/>
    <w:rsid w:val="006578D6"/>
    <w:rsid w:val="006578F1"/>
    <w:rsid w:val="0065796C"/>
    <w:rsid w:val="00657A6C"/>
    <w:rsid w:val="00657FAB"/>
    <w:rsid w:val="00657FCE"/>
    <w:rsid w:val="006601A0"/>
    <w:rsid w:val="006601E4"/>
    <w:rsid w:val="006601E8"/>
    <w:rsid w:val="006601FC"/>
    <w:rsid w:val="006603DF"/>
    <w:rsid w:val="006603E4"/>
    <w:rsid w:val="00660417"/>
    <w:rsid w:val="006604B2"/>
    <w:rsid w:val="00660830"/>
    <w:rsid w:val="00660A74"/>
    <w:rsid w:val="00660B7C"/>
    <w:rsid w:val="00660B90"/>
    <w:rsid w:val="00660BE8"/>
    <w:rsid w:val="00660BFF"/>
    <w:rsid w:val="0066155B"/>
    <w:rsid w:val="006615E7"/>
    <w:rsid w:val="00661A9C"/>
    <w:rsid w:val="00661B77"/>
    <w:rsid w:val="00661BA9"/>
    <w:rsid w:val="00661C20"/>
    <w:rsid w:val="00662460"/>
    <w:rsid w:val="00662B68"/>
    <w:rsid w:val="00662DD0"/>
    <w:rsid w:val="00662E5F"/>
    <w:rsid w:val="00662F2C"/>
    <w:rsid w:val="00662F64"/>
    <w:rsid w:val="00663193"/>
    <w:rsid w:val="006631F6"/>
    <w:rsid w:val="006639B2"/>
    <w:rsid w:val="00663AB3"/>
    <w:rsid w:val="00663BED"/>
    <w:rsid w:val="00663DB4"/>
    <w:rsid w:val="00663E13"/>
    <w:rsid w:val="00663F8A"/>
    <w:rsid w:val="00664434"/>
    <w:rsid w:val="0066459D"/>
    <w:rsid w:val="0066471D"/>
    <w:rsid w:val="006648B8"/>
    <w:rsid w:val="006649FE"/>
    <w:rsid w:val="00664BF5"/>
    <w:rsid w:val="00664C7C"/>
    <w:rsid w:val="00664D55"/>
    <w:rsid w:val="00664FC5"/>
    <w:rsid w:val="00665014"/>
    <w:rsid w:val="00665078"/>
    <w:rsid w:val="0066516A"/>
    <w:rsid w:val="006655EA"/>
    <w:rsid w:val="0066561F"/>
    <w:rsid w:val="006656CD"/>
    <w:rsid w:val="00665D83"/>
    <w:rsid w:val="006660E4"/>
    <w:rsid w:val="006660FE"/>
    <w:rsid w:val="00666139"/>
    <w:rsid w:val="0066678A"/>
    <w:rsid w:val="006667AF"/>
    <w:rsid w:val="006669ED"/>
    <w:rsid w:val="00666A58"/>
    <w:rsid w:val="006671B7"/>
    <w:rsid w:val="0066724E"/>
    <w:rsid w:val="006673FC"/>
    <w:rsid w:val="006705B8"/>
    <w:rsid w:val="00670650"/>
    <w:rsid w:val="00670AD9"/>
    <w:rsid w:val="00670D4A"/>
    <w:rsid w:val="00670D9C"/>
    <w:rsid w:val="0067109D"/>
    <w:rsid w:val="0067115B"/>
    <w:rsid w:val="006712C0"/>
    <w:rsid w:val="006715D2"/>
    <w:rsid w:val="00671C2A"/>
    <w:rsid w:val="00671C4B"/>
    <w:rsid w:val="00671E01"/>
    <w:rsid w:val="00672088"/>
    <w:rsid w:val="00672307"/>
    <w:rsid w:val="00672528"/>
    <w:rsid w:val="006725F5"/>
    <w:rsid w:val="0067293A"/>
    <w:rsid w:val="006729AF"/>
    <w:rsid w:val="0067309C"/>
    <w:rsid w:val="00673431"/>
    <w:rsid w:val="00673448"/>
    <w:rsid w:val="00673586"/>
    <w:rsid w:val="00673C8D"/>
    <w:rsid w:val="00673D3D"/>
    <w:rsid w:val="00673DB5"/>
    <w:rsid w:val="00673E26"/>
    <w:rsid w:val="00673EBB"/>
    <w:rsid w:val="006744AC"/>
    <w:rsid w:val="0067452B"/>
    <w:rsid w:val="006745F5"/>
    <w:rsid w:val="00674648"/>
    <w:rsid w:val="0067482F"/>
    <w:rsid w:val="00674A26"/>
    <w:rsid w:val="00674C7D"/>
    <w:rsid w:val="00674CE8"/>
    <w:rsid w:val="00674D8E"/>
    <w:rsid w:val="0067503E"/>
    <w:rsid w:val="00675230"/>
    <w:rsid w:val="0067524E"/>
    <w:rsid w:val="00675346"/>
    <w:rsid w:val="00675351"/>
    <w:rsid w:val="0067552E"/>
    <w:rsid w:val="006756E8"/>
    <w:rsid w:val="00675739"/>
    <w:rsid w:val="0067581D"/>
    <w:rsid w:val="006758BF"/>
    <w:rsid w:val="00675C80"/>
    <w:rsid w:val="00675CB1"/>
    <w:rsid w:val="00675E26"/>
    <w:rsid w:val="00675F3E"/>
    <w:rsid w:val="00675FBA"/>
    <w:rsid w:val="00675FF0"/>
    <w:rsid w:val="00676145"/>
    <w:rsid w:val="006764DD"/>
    <w:rsid w:val="006766F3"/>
    <w:rsid w:val="0067674A"/>
    <w:rsid w:val="006767BE"/>
    <w:rsid w:val="0067698B"/>
    <w:rsid w:val="00676E19"/>
    <w:rsid w:val="00676FDB"/>
    <w:rsid w:val="00677030"/>
    <w:rsid w:val="00677131"/>
    <w:rsid w:val="0067773B"/>
    <w:rsid w:val="006777CF"/>
    <w:rsid w:val="00677833"/>
    <w:rsid w:val="0067791F"/>
    <w:rsid w:val="00677BDA"/>
    <w:rsid w:val="00677BE8"/>
    <w:rsid w:val="00677D5C"/>
    <w:rsid w:val="006800A4"/>
    <w:rsid w:val="00680946"/>
    <w:rsid w:val="00680A7C"/>
    <w:rsid w:val="00680B40"/>
    <w:rsid w:val="00680F37"/>
    <w:rsid w:val="00681002"/>
    <w:rsid w:val="0068106B"/>
    <w:rsid w:val="0068198F"/>
    <w:rsid w:val="006819D8"/>
    <w:rsid w:val="00681CE7"/>
    <w:rsid w:val="00681E68"/>
    <w:rsid w:val="00681EC9"/>
    <w:rsid w:val="00681F14"/>
    <w:rsid w:val="006822FA"/>
    <w:rsid w:val="00682569"/>
    <w:rsid w:val="006827A0"/>
    <w:rsid w:val="0068283F"/>
    <w:rsid w:val="0068284A"/>
    <w:rsid w:val="0068288C"/>
    <w:rsid w:val="00682F8A"/>
    <w:rsid w:val="00683018"/>
    <w:rsid w:val="006833D5"/>
    <w:rsid w:val="00683593"/>
    <w:rsid w:val="00683891"/>
    <w:rsid w:val="00683BC5"/>
    <w:rsid w:val="00683F36"/>
    <w:rsid w:val="00684081"/>
    <w:rsid w:val="006840B2"/>
    <w:rsid w:val="006840F2"/>
    <w:rsid w:val="00684258"/>
    <w:rsid w:val="00684476"/>
    <w:rsid w:val="006844A3"/>
    <w:rsid w:val="00684564"/>
    <w:rsid w:val="006845AA"/>
    <w:rsid w:val="006847BD"/>
    <w:rsid w:val="0068494C"/>
    <w:rsid w:val="00684D63"/>
    <w:rsid w:val="00684D7D"/>
    <w:rsid w:val="00684E17"/>
    <w:rsid w:val="00684EE2"/>
    <w:rsid w:val="0068503E"/>
    <w:rsid w:val="00685058"/>
    <w:rsid w:val="00685241"/>
    <w:rsid w:val="00685272"/>
    <w:rsid w:val="0068532F"/>
    <w:rsid w:val="006854D3"/>
    <w:rsid w:val="00685589"/>
    <w:rsid w:val="00685849"/>
    <w:rsid w:val="006858D4"/>
    <w:rsid w:val="00685A8B"/>
    <w:rsid w:val="00685DD1"/>
    <w:rsid w:val="00685FC4"/>
    <w:rsid w:val="0068618E"/>
    <w:rsid w:val="006861BA"/>
    <w:rsid w:val="00686313"/>
    <w:rsid w:val="006864E6"/>
    <w:rsid w:val="0068682C"/>
    <w:rsid w:val="00686837"/>
    <w:rsid w:val="006868B7"/>
    <w:rsid w:val="00686955"/>
    <w:rsid w:val="006869B3"/>
    <w:rsid w:val="00686A3E"/>
    <w:rsid w:val="00686A44"/>
    <w:rsid w:val="00686D7A"/>
    <w:rsid w:val="0068723B"/>
    <w:rsid w:val="0068735D"/>
    <w:rsid w:val="00687506"/>
    <w:rsid w:val="00687576"/>
    <w:rsid w:val="006875E3"/>
    <w:rsid w:val="00687900"/>
    <w:rsid w:val="00687A16"/>
    <w:rsid w:val="00687A50"/>
    <w:rsid w:val="00687F89"/>
    <w:rsid w:val="00687FC8"/>
    <w:rsid w:val="006901C8"/>
    <w:rsid w:val="0069032D"/>
    <w:rsid w:val="00690465"/>
    <w:rsid w:val="0069072E"/>
    <w:rsid w:val="0069079C"/>
    <w:rsid w:val="00690933"/>
    <w:rsid w:val="00690AD0"/>
    <w:rsid w:val="00690B47"/>
    <w:rsid w:val="00690ED3"/>
    <w:rsid w:val="0069103C"/>
    <w:rsid w:val="0069127B"/>
    <w:rsid w:val="0069138B"/>
    <w:rsid w:val="006919AF"/>
    <w:rsid w:val="006919BA"/>
    <w:rsid w:val="00691A95"/>
    <w:rsid w:val="00691C7A"/>
    <w:rsid w:val="00691D79"/>
    <w:rsid w:val="00691E9C"/>
    <w:rsid w:val="00692026"/>
    <w:rsid w:val="006920AB"/>
    <w:rsid w:val="0069215B"/>
    <w:rsid w:val="006923E7"/>
    <w:rsid w:val="006924C8"/>
    <w:rsid w:val="006926AE"/>
    <w:rsid w:val="00692734"/>
    <w:rsid w:val="0069284F"/>
    <w:rsid w:val="00692AF9"/>
    <w:rsid w:val="006931B3"/>
    <w:rsid w:val="00693216"/>
    <w:rsid w:val="00693361"/>
    <w:rsid w:val="006933A7"/>
    <w:rsid w:val="0069358C"/>
    <w:rsid w:val="00693641"/>
    <w:rsid w:val="006938AA"/>
    <w:rsid w:val="006939F4"/>
    <w:rsid w:val="00693B2C"/>
    <w:rsid w:val="00693CF9"/>
    <w:rsid w:val="00693DDE"/>
    <w:rsid w:val="00693DF1"/>
    <w:rsid w:val="006943B0"/>
    <w:rsid w:val="00694479"/>
    <w:rsid w:val="00694535"/>
    <w:rsid w:val="0069474B"/>
    <w:rsid w:val="0069475D"/>
    <w:rsid w:val="0069491C"/>
    <w:rsid w:val="00694B7B"/>
    <w:rsid w:val="00694F34"/>
    <w:rsid w:val="00694F6D"/>
    <w:rsid w:val="00695151"/>
    <w:rsid w:val="0069549A"/>
    <w:rsid w:val="006954A2"/>
    <w:rsid w:val="0069552D"/>
    <w:rsid w:val="0069568F"/>
    <w:rsid w:val="006958C6"/>
    <w:rsid w:val="00695905"/>
    <w:rsid w:val="00695C49"/>
    <w:rsid w:val="00695D2D"/>
    <w:rsid w:val="00695D58"/>
    <w:rsid w:val="00695FED"/>
    <w:rsid w:val="006960D0"/>
    <w:rsid w:val="0069620B"/>
    <w:rsid w:val="0069621C"/>
    <w:rsid w:val="00696330"/>
    <w:rsid w:val="00696468"/>
    <w:rsid w:val="0069646D"/>
    <w:rsid w:val="00696553"/>
    <w:rsid w:val="00696B12"/>
    <w:rsid w:val="00696B9D"/>
    <w:rsid w:val="00696FB9"/>
    <w:rsid w:val="00697168"/>
    <w:rsid w:val="0069731A"/>
    <w:rsid w:val="00697525"/>
    <w:rsid w:val="00697966"/>
    <w:rsid w:val="00697A95"/>
    <w:rsid w:val="00697E54"/>
    <w:rsid w:val="006A0536"/>
    <w:rsid w:val="006A05D8"/>
    <w:rsid w:val="006A0665"/>
    <w:rsid w:val="006A095F"/>
    <w:rsid w:val="006A11AE"/>
    <w:rsid w:val="006A17A3"/>
    <w:rsid w:val="006A19EF"/>
    <w:rsid w:val="006A1B4C"/>
    <w:rsid w:val="006A1B6E"/>
    <w:rsid w:val="006A1CDE"/>
    <w:rsid w:val="006A1DD1"/>
    <w:rsid w:val="006A1E57"/>
    <w:rsid w:val="006A2164"/>
    <w:rsid w:val="006A2281"/>
    <w:rsid w:val="006A22A1"/>
    <w:rsid w:val="006A26E4"/>
    <w:rsid w:val="006A2732"/>
    <w:rsid w:val="006A2A59"/>
    <w:rsid w:val="006A2B2E"/>
    <w:rsid w:val="006A2CA5"/>
    <w:rsid w:val="006A2F1F"/>
    <w:rsid w:val="006A316D"/>
    <w:rsid w:val="006A3798"/>
    <w:rsid w:val="006A3966"/>
    <w:rsid w:val="006A3A2B"/>
    <w:rsid w:val="006A3D7D"/>
    <w:rsid w:val="006A404A"/>
    <w:rsid w:val="006A4125"/>
    <w:rsid w:val="006A4539"/>
    <w:rsid w:val="006A4619"/>
    <w:rsid w:val="006A486F"/>
    <w:rsid w:val="006A48F6"/>
    <w:rsid w:val="006A4A05"/>
    <w:rsid w:val="006A4B2D"/>
    <w:rsid w:val="006A4B6A"/>
    <w:rsid w:val="006A51A0"/>
    <w:rsid w:val="006A5282"/>
    <w:rsid w:val="006A5318"/>
    <w:rsid w:val="006A53CB"/>
    <w:rsid w:val="006A5491"/>
    <w:rsid w:val="006A578C"/>
    <w:rsid w:val="006A5F30"/>
    <w:rsid w:val="006A60A8"/>
    <w:rsid w:val="006A60B2"/>
    <w:rsid w:val="006A6710"/>
    <w:rsid w:val="006A694B"/>
    <w:rsid w:val="006A699D"/>
    <w:rsid w:val="006A6BF1"/>
    <w:rsid w:val="006A6C8D"/>
    <w:rsid w:val="006A6D9F"/>
    <w:rsid w:val="006A706F"/>
    <w:rsid w:val="006A70C5"/>
    <w:rsid w:val="006A719E"/>
    <w:rsid w:val="006A72BB"/>
    <w:rsid w:val="006A738F"/>
    <w:rsid w:val="006A7713"/>
    <w:rsid w:val="006A7978"/>
    <w:rsid w:val="006A7DB3"/>
    <w:rsid w:val="006A7E5D"/>
    <w:rsid w:val="006B0186"/>
    <w:rsid w:val="006B01F2"/>
    <w:rsid w:val="006B0653"/>
    <w:rsid w:val="006B0B20"/>
    <w:rsid w:val="006B0C7E"/>
    <w:rsid w:val="006B0C9E"/>
    <w:rsid w:val="006B0CA2"/>
    <w:rsid w:val="006B1053"/>
    <w:rsid w:val="006B13B2"/>
    <w:rsid w:val="006B1503"/>
    <w:rsid w:val="006B1862"/>
    <w:rsid w:val="006B191A"/>
    <w:rsid w:val="006B19EA"/>
    <w:rsid w:val="006B1CF9"/>
    <w:rsid w:val="006B24DC"/>
    <w:rsid w:val="006B2C0A"/>
    <w:rsid w:val="006B2F19"/>
    <w:rsid w:val="006B3032"/>
    <w:rsid w:val="006B305C"/>
    <w:rsid w:val="006B3421"/>
    <w:rsid w:val="006B34A8"/>
    <w:rsid w:val="006B3744"/>
    <w:rsid w:val="006B387D"/>
    <w:rsid w:val="006B3C4A"/>
    <w:rsid w:val="006B3DA8"/>
    <w:rsid w:val="006B3ED9"/>
    <w:rsid w:val="006B43C5"/>
    <w:rsid w:val="006B43E5"/>
    <w:rsid w:val="006B44FF"/>
    <w:rsid w:val="006B4687"/>
    <w:rsid w:val="006B46FB"/>
    <w:rsid w:val="006B4946"/>
    <w:rsid w:val="006B4B4A"/>
    <w:rsid w:val="006B4BB0"/>
    <w:rsid w:val="006B4EE7"/>
    <w:rsid w:val="006B501A"/>
    <w:rsid w:val="006B5202"/>
    <w:rsid w:val="006B5220"/>
    <w:rsid w:val="006B52CF"/>
    <w:rsid w:val="006B5352"/>
    <w:rsid w:val="006B5454"/>
    <w:rsid w:val="006B57BA"/>
    <w:rsid w:val="006B5AA1"/>
    <w:rsid w:val="006B5E97"/>
    <w:rsid w:val="006B5EA1"/>
    <w:rsid w:val="006B5FAD"/>
    <w:rsid w:val="006B5FFE"/>
    <w:rsid w:val="006B6144"/>
    <w:rsid w:val="006B6182"/>
    <w:rsid w:val="006B6676"/>
    <w:rsid w:val="006B67EE"/>
    <w:rsid w:val="006B6CE2"/>
    <w:rsid w:val="006B6CF3"/>
    <w:rsid w:val="006B6D11"/>
    <w:rsid w:val="006B6E2F"/>
    <w:rsid w:val="006B6F60"/>
    <w:rsid w:val="006B7074"/>
    <w:rsid w:val="006B70BE"/>
    <w:rsid w:val="006B72AD"/>
    <w:rsid w:val="006B7431"/>
    <w:rsid w:val="006B75C6"/>
    <w:rsid w:val="006B777C"/>
    <w:rsid w:val="006B77BD"/>
    <w:rsid w:val="006B77C0"/>
    <w:rsid w:val="006B792C"/>
    <w:rsid w:val="006B7958"/>
    <w:rsid w:val="006B7C37"/>
    <w:rsid w:val="006B7C8E"/>
    <w:rsid w:val="006B7D74"/>
    <w:rsid w:val="006B7E0B"/>
    <w:rsid w:val="006C0595"/>
    <w:rsid w:val="006C072E"/>
    <w:rsid w:val="006C0BCD"/>
    <w:rsid w:val="006C0BF3"/>
    <w:rsid w:val="006C0D17"/>
    <w:rsid w:val="006C0DEB"/>
    <w:rsid w:val="006C0E30"/>
    <w:rsid w:val="006C1147"/>
    <w:rsid w:val="006C1232"/>
    <w:rsid w:val="006C146D"/>
    <w:rsid w:val="006C150F"/>
    <w:rsid w:val="006C15DB"/>
    <w:rsid w:val="006C1AAE"/>
    <w:rsid w:val="006C1C37"/>
    <w:rsid w:val="006C210B"/>
    <w:rsid w:val="006C2376"/>
    <w:rsid w:val="006C242B"/>
    <w:rsid w:val="006C2451"/>
    <w:rsid w:val="006C2556"/>
    <w:rsid w:val="006C260F"/>
    <w:rsid w:val="006C26DD"/>
    <w:rsid w:val="006C2732"/>
    <w:rsid w:val="006C28B0"/>
    <w:rsid w:val="006C2D3D"/>
    <w:rsid w:val="006C30B3"/>
    <w:rsid w:val="006C3129"/>
    <w:rsid w:val="006C3166"/>
    <w:rsid w:val="006C3250"/>
    <w:rsid w:val="006C354C"/>
    <w:rsid w:val="006C35B1"/>
    <w:rsid w:val="006C36F4"/>
    <w:rsid w:val="006C3786"/>
    <w:rsid w:val="006C37F5"/>
    <w:rsid w:val="006C3A2B"/>
    <w:rsid w:val="006C3A9B"/>
    <w:rsid w:val="006C3B76"/>
    <w:rsid w:val="006C3E5B"/>
    <w:rsid w:val="006C3EEC"/>
    <w:rsid w:val="006C42C7"/>
    <w:rsid w:val="006C4416"/>
    <w:rsid w:val="006C4572"/>
    <w:rsid w:val="006C47DB"/>
    <w:rsid w:val="006C49D0"/>
    <w:rsid w:val="006C4B85"/>
    <w:rsid w:val="006C5331"/>
    <w:rsid w:val="006C547B"/>
    <w:rsid w:val="006C54E5"/>
    <w:rsid w:val="006C570C"/>
    <w:rsid w:val="006C5BF4"/>
    <w:rsid w:val="006C5DC8"/>
    <w:rsid w:val="006C5FC9"/>
    <w:rsid w:val="006C6248"/>
    <w:rsid w:val="006C648C"/>
    <w:rsid w:val="006C692E"/>
    <w:rsid w:val="006C73CF"/>
    <w:rsid w:val="006C73FF"/>
    <w:rsid w:val="006C7AFC"/>
    <w:rsid w:val="006C7B03"/>
    <w:rsid w:val="006D012F"/>
    <w:rsid w:val="006D0194"/>
    <w:rsid w:val="006D04ED"/>
    <w:rsid w:val="006D0569"/>
    <w:rsid w:val="006D0892"/>
    <w:rsid w:val="006D089B"/>
    <w:rsid w:val="006D08CD"/>
    <w:rsid w:val="006D095C"/>
    <w:rsid w:val="006D0970"/>
    <w:rsid w:val="006D0B97"/>
    <w:rsid w:val="006D0CA2"/>
    <w:rsid w:val="006D0CA6"/>
    <w:rsid w:val="006D0EC2"/>
    <w:rsid w:val="006D100C"/>
    <w:rsid w:val="006D104E"/>
    <w:rsid w:val="006D1058"/>
    <w:rsid w:val="006D1067"/>
    <w:rsid w:val="006D10B3"/>
    <w:rsid w:val="006D131A"/>
    <w:rsid w:val="006D1587"/>
    <w:rsid w:val="006D1A56"/>
    <w:rsid w:val="006D20DC"/>
    <w:rsid w:val="006D23CB"/>
    <w:rsid w:val="006D23D8"/>
    <w:rsid w:val="006D26E3"/>
    <w:rsid w:val="006D27A8"/>
    <w:rsid w:val="006D280A"/>
    <w:rsid w:val="006D28F5"/>
    <w:rsid w:val="006D293C"/>
    <w:rsid w:val="006D293D"/>
    <w:rsid w:val="006D2C3E"/>
    <w:rsid w:val="006D2D9D"/>
    <w:rsid w:val="006D2DC5"/>
    <w:rsid w:val="006D3023"/>
    <w:rsid w:val="006D30F9"/>
    <w:rsid w:val="006D3444"/>
    <w:rsid w:val="006D354B"/>
    <w:rsid w:val="006D3796"/>
    <w:rsid w:val="006D38BC"/>
    <w:rsid w:val="006D3AD6"/>
    <w:rsid w:val="006D3B5D"/>
    <w:rsid w:val="006D3E68"/>
    <w:rsid w:val="006D3F31"/>
    <w:rsid w:val="006D425E"/>
    <w:rsid w:val="006D43B5"/>
    <w:rsid w:val="006D459D"/>
    <w:rsid w:val="006D45AF"/>
    <w:rsid w:val="006D4ACC"/>
    <w:rsid w:val="006D4C72"/>
    <w:rsid w:val="006D4E4C"/>
    <w:rsid w:val="006D537F"/>
    <w:rsid w:val="006D545C"/>
    <w:rsid w:val="006D5490"/>
    <w:rsid w:val="006D5585"/>
    <w:rsid w:val="006D558D"/>
    <w:rsid w:val="006D5593"/>
    <w:rsid w:val="006D5674"/>
    <w:rsid w:val="006D5CA3"/>
    <w:rsid w:val="006D5D33"/>
    <w:rsid w:val="006D5DA4"/>
    <w:rsid w:val="006D5F76"/>
    <w:rsid w:val="006D5FDE"/>
    <w:rsid w:val="006D6058"/>
    <w:rsid w:val="006D6118"/>
    <w:rsid w:val="006D61B4"/>
    <w:rsid w:val="006D65C4"/>
    <w:rsid w:val="006D693C"/>
    <w:rsid w:val="006D6CB6"/>
    <w:rsid w:val="006D6CEB"/>
    <w:rsid w:val="006D6D96"/>
    <w:rsid w:val="006D6E2F"/>
    <w:rsid w:val="006D7211"/>
    <w:rsid w:val="006D75C8"/>
    <w:rsid w:val="006D771A"/>
    <w:rsid w:val="006D7759"/>
    <w:rsid w:val="006D77D4"/>
    <w:rsid w:val="006D79EB"/>
    <w:rsid w:val="006D7FBA"/>
    <w:rsid w:val="006E025A"/>
    <w:rsid w:val="006E02C1"/>
    <w:rsid w:val="006E0609"/>
    <w:rsid w:val="006E0692"/>
    <w:rsid w:val="006E0900"/>
    <w:rsid w:val="006E0C7F"/>
    <w:rsid w:val="006E0D4A"/>
    <w:rsid w:val="006E0E38"/>
    <w:rsid w:val="006E0E53"/>
    <w:rsid w:val="006E0F48"/>
    <w:rsid w:val="006E103C"/>
    <w:rsid w:val="006E14EF"/>
    <w:rsid w:val="006E1D71"/>
    <w:rsid w:val="006E1EA3"/>
    <w:rsid w:val="006E20B9"/>
    <w:rsid w:val="006E24CD"/>
    <w:rsid w:val="006E2635"/>
    <w:rsid w:val="006E28C4"/>
    <w:rsid w:val="006E320C"/>
    <w:rsid w:val="006E32BE"/>
    <w:rsid w:val="006E36A6"/>
    <w:rsid w:val="006E38ED"/>
    <w:rsid w:val="006E3BD1"/>
    <w:rsid w:val="006E3DE2"/>
    <w:rsid w:val="006E403D"/>
    <w:rsid w:val="006E4194"/>
    <w:rsid w:val="006E42EA"/>
    <w:rsid w:val="006E4308"/>
    <w:rsid w:val="006E43BE"/>
    <w:rsid w:val="006E4544"/>
    <w:rsid w:val="006E4A5E"/>
    <w:rsid w:val="006E4A6B"/>
    <w:rsid w:val="006E4B5F"/>
    <w:rsid w:val="006E4C6D"/>
    <w:rsid w:val="006E504A"/>
    <w:rsid w:val="006E5246"/>
    <w:rsid w:val="006E54AE"/>
    <w:rsid w:val="006E5842"/>
    <w:rsid w:val="006E5BD5"/>
    <w:rsid w:val="006E61B3"/>
    <w:rsid w:val="006E634A"/>
    <w:rsid w:val="006E6413"/>
    <w:rsid w:val="006E6436"/>
    <w:rsid w:val="006E66B3"/>
    <w:rsid w:val="006E68CE"/>
    <w:rsid w:val="006E6AFF"/>
    <w:rsid w:val="006E6BB0"/>
    <w:rsid w:val="006E70C1"/>
    <w:rsid w:val="006E7179"/>
    <w:rsid w:val="006E7242"/>
    <w:rsid w:val="006E7348"/>
    <w:rsid w:val="006E7AB4"/>
    <w:rsid w:val="006E7B47"/>
    <w:rsid w:val="006E7BC0"/>
    <w:rsid w:val="006E7D89"/>
    <w:rsid w:val="006E7E2B"/>
    <w:rsid w:val="006E7E7A"/>
    <w:rsid w:val="006F0055"/>
    <w:rsid w:val="006F0267"/>
    <w:rsid w:val="006F0CEA"/>
    <w:rsid w:val="006F0D1A"/>
    <w:rsid w:val="006F0D46"/>
    <w:rsid w:val="006F12DF"/>
    <w:rsid w:val="006F1345"/>
    <w:rsid w:val="006F14A9"/>
    <w:rsid w:val="006F15B5"/>
    <w:rsid w:val="006F16FA"/>
    <w:rsid w:val="006F18F5"/>
    <w:rsid w:val="006F19B2"/>
    <w:rsid w:val="006F1A82"/>
    <w:rsid w:val="006F1AED"/>
    <w:rsid w:val="006F1B65"/>
    <w:rsid w:val="006F1E20"/>
    <w:rsid w:val="006F1F32"/>
    <w:rsid w:val="006F200C"/>
    <w:rsid w:val="006F218A"/>
    <w:rsid w:val="006F23DD"/>
    <w:rsid w:val="006F2470"/>
    <w:rsid w:val="006F3558"/>
    <w:rsid w:val="006F35EC"/>
    <w:rsid w:val="006F35F2"/>
    <w:rsid w:val="006F363A"/>
    <w:rsid w:val="006F380A"/>
    <w:rsid w:val="006F3830"/>
    <w:rsid w:val="006F3853"/>
    <w:rsid w:val="006F3916"/>
    <w:rsid w:val="006F3AA2"/>
    <w:rsid w:val="006F3E43"/>
    <w:rsid w:val="006F4310"/>
    <w:rsid w:val="006F433A"/>
    <w:rsid w:val="006F4770"/>
    <w:rsid w:val="006F4970"/>
    <w:rsid w:val="006F4DA1"/>
    <w:rsid w:val="006F4F7F"/>
    <w:rsid w:val="006F501D"/>
    <w:rsid w:val="006F5158"/>
    <w:rsid w:val="006F52B5"/>
    <w:rsid w:val="006F58B4"/>
    <w:rsid w:val="006F5A72"/>
    <w:rsid w:val="006F6004"/>
    <w:rsid w:val="006F61DC"/>
    <w:rsid w:val="006F6276"/>
    <w:rsid w:val="006F62BA"/>
    <w:rsid w:val="006F645E"/>
    <w:rsid w:val="006F6552"/>
    <w:rsid w:val="006F663E"/>
    <w:rsid w:val="006F682E"/>
    <w:rsid w:val="006F6896"/>
    <w:rsid w:val="006F6C1E"/>
    <w:rsid w:val="006F72E9"/>
    <w:rsid w:val="006F73C1"/>
    <w:rsid w:val="006F7731"/>
    <w:rsid w:val="006F77AF"/>
    <w:rsid w:val="006F7C5B"/>
    <w:rsid w:val="006F7C70"/>
    <w:rsid w:val="00700536"/>
    <w:rsid w:val="007006CF"/>
    <w:rsid w:val="007006DB"/>
    <w:rsid w:val="00700950"/>
    <w:rsid w:val="00700B6D"/>
    <w:rsid w:val="007010FC"/>
    <w:rsid w:val="00701115"/>
    <w:rsid w:val="00701136"/>
    <w:rsid w:val="0070132E"/>
    <w:rsid w:val="00701674"/>
    <w:rsid w:val="0070179B"/>
    <w:rsid w:val="00701982"/>
    <w:rsid w:val="007019FE"/>
    <w:rsid w:val="00701C42"/>
    <w:rsid w:val="00701C74"/>
    <w:rsid w:val="00701D0B"/>
    <w:rsid w:val="00701E36"/>
    <w:rsid w:val="00702001"/>
    <w:rsid w:val="007021E9"/>
    <w:rsid w:val="00702256"/>
    <w:rsid w:val="0070235F"/>
    <w:rsid w:val="0070275C"/>
    <w:rsid w:val="0070279D"/>
    <w:rsid w:val="007027B1"/>
    <w:rsid w:val="00702856"/>
    <w:rsid w:val="0070288C"/>
    <w:rsid w:val="00702AC4"/>
    <w:rsid w:val="00702B26"/>
    <w:rsid w:val="00702B44"/>
    <w:rsid w:val="00702EB1"/>
    <w:rsid w:val="00702EE7"/>
    <w:rsid w:val="00703170"/>
    <w:rsid w:val="0070319A"/>
    <w:rsid w:val="0070340D"/>
    <w:rsid w:val="00703569"/>
    <w:rsid w:val="00703699"/>
    <w:rsid w:val="00703701"/>
    <w:rsid w:val="007038D7"/>
    <w:rsid w:val="007039F7"/>
    <w:rsid w:val="00703A8E"/>
    <w:rsid w:val="00703CB4"/>
    <w:rsid w:val="00703E04"/>
    <w:rsid w:val="00703FD9"/>
    <w:rsid w:val="007042C9"/>
    <w:rsid w:val="007043AD"/>
    <w:rsid w:val="00704643"/>
    <w:rsid w:val="00704E1E"/>
    <w:rsid w:val="00704F10"/>
    <w:rsid w:val="00705A2A"/>
    <w:rsid w:val="00706130"/>
    <w:rsid w:val="0070618A"/>
    <w:rsid w:val="007061C2"/>
    <w:rsid w:val="00706253"/>
    <w:rsid w:val="00706296"/>
    <w:rsid w:val="007062D1"/>
    <w:rsid w:val="0070641A"/>
    <w:rsid w:val="00706559"/>
    <w:rsid w:val="00706BDA"/>
    <w:rsid w:val="00706FEF"/>
    <w:rsid w:val="00707229"/>
    <w:rsid w:val="007074D0"/>
    <w:rsid w:val="007074F8"/>
    <w:rsid w:val="00707777"/>
    <w:rsid w:val="00707983"/>
    <w:rsid w:val="00707AAF"/>
    <w:rsid w:val="00707C18"/>
    <w:rsid w:val="007100FF"/>
    <w:rsid w:val="007101A2"/>
    <w:rsid w:val="007103A9"/>
    <w:rsid w:val="00710485"/>
    <w:rsid w:val="0071049F"/>
    <w:rsid w:val="007105AF"/>
    <w:rsid w:val="0071077B"/>
    <w:rsid w:val="007108FA"/>
    <w:rsid w:val="00710B06"/>
    <w:rsid w:val="00710DB0"/>
    <w:rsid w:val="00710ECC"/>
    <w:rsid w:val="0071103A"/>
    <w:rsid w:val="0071108C"/>
    <w:rsid w:val="00711537"/>
    <w:rsid w:val="00711882"/>
    <w:rsid w:val="00711C83"/>
    <w:rsid w:val="00712221"/>
    <w:rsid w:val="0071226A"/>
    <w:rsid w:val="007123B0"/>
    <w:rsid w:val="00712505"/>
    <w:rsid w:val="00712810"/>
    <w:rsid w:val="007128ED"/>
    <w:rsid w:val="007129FA"/>
    <w:rsid w:val="00712C0D"/>
    <w:rsid w:val="007130D5"/>
    <w:rsid w:val="00713548"/>
    <w:rsid w:val="00713589"/>
    <w:rsid w:val="00713782"/>
    <w:rsid w:val="00713A37"/>
    <w:rsid w:val="00713AE3"/>
    <w:rsid w:val="00713C27"/>
    <w:rsid w:val="00713E14"/>
    <w:rsid w:val="0071414F"/>
    <w:rsid w:val="00714ECF"/>
    <w:rsid w:val="00715584"/>
    <w:rsid w:val="00715726"/>
    <w:rsid w:val="007157DC"/>
    <w:rsid w:val="007158DF"/>
    <w:rsid w:val="00715C11"/>
    <w:rsid w:val="00715CBC"/>
    <w:rsid w:val="00715DF0"/>
    <w:rsid w:val="00715EA1"/>
    <w:rsid w:val="00715FFD"/>
    <w:rsid w:val="00716658"/>
    <w:rsid w:val="0071686E"/>
    <w:rsid w:val="0071689F"/>
    <w:rsid w:val="00716A5C"/>
    <w:rsid w:val="00716AD2"/>
    <w:rsid w:val="00716E17"/>
    <w:rsid w:val="007170A2"/>
    <w:rsid w:val="0071721A"/>
    <w:rsid w:val="0071724F"/>
    <w:rsid w:val="007172B9"/>
    <w:rsid w:val="007203CA"/>
    <w:rsid w:val="007204C7"/>
    <w:rsid w:val="00720638"/>
    <w:rsid w:val="007206FB"/>
    <w:rsid w:val="0072093D"/>
    <w:rsid w:val="00720964"/>
    <w:rsid w:val="00720C6F"/>
    <w:rsid w:val="00720CA7"/>
    <w:rsid w:val="00720DAF"/>
    <w:rsid w:val="00720E6C"/>
    <w:rsid w:val="007211A6"/>
    <w:rsid w:val="00721278"/>
    <w:rsid w:val="0072127E"/>
    <w:rsid w:val="007213D5"/>
    <w:rsid w:val="0072185A"/>
    <w:rsid w:val="0072192F"/>
    <w:rsid w:val="00721995"/>
    <w:rsid w:val="00721BC5"/>
    <w:rsid w:val="00721CA5"/>
    <w:rsid w:val="00721D92"/>
    <w:rsid w:val="00722115"/>
    <w:rsid w:val="007222E9"/>
    <w:rsid w:val="007226F5"/>
    <w:rsid w:val="00722951"/>
    <w:rsid w:val="00722AFF"/>
    <w:rsid w:val="00722B9D"/>
    <w:rsid w:val="00722D7E"/>
    <w:rsid w:val="00723199"/>
    <w:rsid w:val="00723292"/>
    <w:rsid w:val="00723A1B"/>
    <w:rsid w:val="00723B2C"/>
    <w:rsid w:val="00723B4A"/>
    <w:rsid w:val="00723BF2"/>
    <w:rsid w:val="00723DB3"/>
    <w:rsid w:val="00723F51"/>
    <w:rsid w:val="00723FDB"/>
    <w:rsid w:val="0072405C"/>
    <w:rsid w:val="00724067"/>
    <w:rsid w:val="007240DA"/>
    <w:rsid w:val="00724377"/>
    <w:rsid w:val="007246C3"/>
    <w:rsid w:val="007246C8"/>
    <w:rsid w:val="0072473D"/>
    <w:rsid w:val="00724920"/>
    <w:rsid w:val="00724CBE"/>
    <w:rsid w:val="00724ED0"/>
    <w:rsid w:val="00724F92"/>
    <w:rsid w:val="00725025"/>
    <w:rsid w:val="00725037"/>
    <w:rsid w:val="0072512D"/>
    <w:rsid w:val="007251E5"/>
    <w:rsid w:val="007253D6"/>
    <w:rsid w:val="007255DE"/>
    <w:rsid w:val="007256BE"/>
    <w:rsid w:val="0072578A"/>
    <w:rsid w:val="0072597A"/>
    <w:rsid w:val="00725A39"/>
    <w:rsid w:val="00725C63"/>
    <w:rsid w:val="00725F2E"/>
    <w:rsid w:val="00725F30"/>
    <w:rsid w:val="00726412"/>
    <w:rsid w:val="0072642C"/>
    <w:rsid w:val="0072652E"/>
    <w:rsid w:val="0072693E"/>
    <w:rsid w:val="00726A79"/>
    <w:rsid w:val="00726B1E"/>
    <w:rsid w:val="00726C2A"/>
    <w:rsid w:val="007271BA"/>
    <w:rsid w:val="0072727B"/>
    <w:rsid w:val="007273F9"/>
    <w:rsid w:val="007277FA"/>
    <w:rsid w:val="0072785A"/>
    <w:rsid w:val="00727A8E"/>
    <w:rsid w:val="00727CD6"/>
    <w:rsid w:val="00727ECA"/>
    <w:rsid w:val="00727ECE"/>
    <w:rsid w:val="00730233"/>
    <w:rsid w:val="007304A7"/>
    <w:rsid w:val="00730527"/>
    <w:rsid w:val="007307DA"/>
    <w:rsid w:val="00730F39"/>
    <w:rsid w:val="0073120A"/>
    <w:rsid w:val="007319E5"/>
    <w:rsid w:val="00731A71"/>
    <w:rsid w:val="00731AB4"/>
    <w:rsid w:val="00731B33"/>
    <w:rsid w:val="00731EC0"/>
    <w:rsid w:val="00731F27"/>
    <w:rsid w:val="00731F53"/>
    <w:rsid w:val="00731F94"/>
    <w:rsid w:val="00731FA3"/>
    <w:rsid w:val="0073238F"/>
    <w:rsid w:val="0073241E"/>
    <w:rsid w:val="007328BB"/>
    <w:rsid w:val="00733036"/>
    <w:rsid w:val="0073315A"/>
    <w:rsid w:val="0073325D"/>
    <w:rsid w:val="00733379"/>
    <w:rsid w:val="00733929"/>
    <w:rsid w:val="00733D6B"/>
    <w:rsid w:val="007340D0"/>
    <w:rsid w:val="0073467C"/>
    <w:rsid w:val="0073477A"/>
    <w:rsid w:val="00734CC9"/>
    <w:rsid w:val="00734D1A"/>
    <w:rsid w:val="0073513F"/>
    <w:rsid w:val="007351E1"/>
    <w:rsid w:val="00735626"/>
    <w:rsid w:val="00735721"/>
    <w:rsid w:val="00735B00"/>
    <w:rsid w:val="00735B6F"/>
    <w:rsid w:val="00735D16"/>
    <w:rsid w:val="00735F5F"/>
    <w:rsid w:val="007360FA"/>
    <w:rsid w:val="0073629D"/>
    <w:rsid w:val="00736452"/>
    <w:rsid w:val="00736626"/>
    <w:rsid w:val="007367A1"/>
    <w:rsid w:val="007367AA"/>
    <w:rsid w:val="00736ABE"/>
    <w:rsid w:val="00736AFC"/>
    <w:rsid w:val="00736B9A"/>
    <w:rsid w:val="00736BF5"/>
    <w:rsid w:val="007370A7"/>
    <w:rsid w:val="00737269"/>
    <w:rsid w:val="007377D8"/>
    <w:rsid w:val="0073792C"/>
    <w:rsid w:val="00737FB1"/>
    <w:rsid w:val="00737FC5"/>
    <w:rsid w:val="0074017D"/>
    <w:rsid w:val="0074021D"/>
    <w:rsid w:val="007403C5"/>
    <w:rsid w:val="007404CD"/>
    <w:rsid w:val="007405EB"/>
    <w:rsid w:val="00740762"/>
    <w:rsid w:val="0074078E"/>
    <w:rsid w:val="00740A9B"/>
    <w:rsid w:val="00740AE8"/>
    <w:rsid w:val="007414A0"/>
    <w:rsid w:val="007415F6"/>
    <w:rsid w:val="00741CC0"/>
    <w:rsid w:val="00741CF7"/>
    <w:rsid w:val="00741F0B"/>
    <w:rsid w:val="00741F85"/>
    <w:rsid w:val="007420D3"/>
    <w:rsid w:val="007421B3"/>
    <w:rsid w:val="007424CC"/>
    <w:rsid w:val="0074257A"/>
    <w:rsid w:val="007425BD"/>
    <w:rsid w:val="00742AB4"/>
    <w:rsid w:val="00742F42"/>
    <w:rsid w:val="00742F5B"/>
    <w:rsid w:val="007430D6"/>
    <w:rsid w:val="007431FE"/>
    <w:rsid w:val="007437ED"/>
    <w:rsid w:val="007438D3"/>
    <w:rsid w:val="00743AEB"/>
    <w:rsid w:val="00743CCD"/>
    <w:rsid w:val="00743DB8"/>
    <w:rsid w:val="00743E2C"/>
    <w:rsid w:val="00743F6A"/>
    <w:rsid w:val="007441BA"/>
    <w:rsid w:val="00744203"/>
    <w:rsid w:val="00744266"/>
    <w:rsid w:val="007442C6"/>
    <w:rsid w:val="007443CC"/>
    <w:rsid w:val="00744422"/>
    <w:rsid w:val="0074443E"/>
    <w:rsid w:val="00744482"/>
    <w:rsid w:val="007444DA"/>
    <w:rsid w:val="007445F6"/>
    <w:rsid w:val="0074460F"/>
    <w:rsid w:val="00744778"/>
    <w:rsid w:val="0074485F"/>
    <w:rsid w:val="00744AC3"/>
    <w:rsid w:val="00744DFF"/>
    <w:rsid w:val="00745585"/>
    <w:rsid w:val="00745631"/>
    <w:rsid w:val="0074597C"/>
    <w:rsid w:val="00745CEF"/>
    <w:rsid w:val="00745D42"/>
    <w:rsid w:val="00746519"/>
    <w:rsid w:val="00746565"/>
    <w:rsid w:val="00746973"/>
    <w:rsid w:val="00746C1D"/>
    <w:rsid w:val="00746C5C"/>
    <w:rsid w:val="00746EB7"/>
    <w:rsid w:val="00746EFD"/>
    <w:rsid w:val="0074737D"/>
    <w:rsid w:val="0074740A"/>
    <w:rsid w:val="00747434"/>
    <w:rsid w:val="0074743E"/>
    <w:rsid w:val="00747586"/>
    <w:rsid w:val="0074788B"/>
    <w:rsid w:val="00747B7F"/>
    <w:rsid w:val="00747D39"/>
    <w:rsid w:val="007500CE"/>
    <w:rsid w:val="007500F2"/>
    <w:rsid w:val="00750349"/>
    <w:rsid w:val="007504A2"/>
    <w:rsid w:val="0075083D"/>
    <w:rsid w:val="00750FA6"/>
    <w:rsid w:val="00750FD8"/>
    <w:rsid w:val="00751153"/>
    <w:rsid w:val="0075137C"/>
    <w:rsid w:val="00751402"/>
    <w:rsid w:val="00751639"/>
    <w:rsid w:val="0075178C"/>
    <w:rsid w:val="00751886"/>
    <w:rsid w:val="00751A45"/>
    <w:rsid w:val="00751A61"/>
    <w:rsid w:val="00751AE4"/>
    <w:rsid w:val="007521F3"/>
    <w:rsid w:val="00752445"/>
    <w:rsid w:val="007527DD"/>
    <w:rsid w:val="00752D69"/>
    <w:rsid w:val="00752F5F"/>
    <w:rsid w:val="00753293"/>
    <w:rsid w:val="007533FA"/>
    <w:rsid w:val="007538C3"/>
    <w:rsid w:val="00753DDA"/>
    <w:rsid w:val="00754099"/>
    <w:rsid w:val="0075418A"/>
    <w:rsid w:val="007546FE"/>
    <w:rsid w:val="007547AE"/>
    <w:rsid w:val="00754921"/>
    <w:rsid w:val="00754EA0"/>
    <w:rsid w:val="00755142"/>
    <w:rsid w:val="0075531F"/>
    <w:rsid w:val="00755325"/>
    <w:rsid w:val="00755326"/>
    <w:rsid w:val="00755790"/>
    <w:rsid w:val="007558DA"/>
    <w:rsid w:val="00755C91"/>
    <w:rsid w:val="00755D00"/>
    <w:rsid w:val="00755D28"/>
    <w:rsid w:val="00755D57"/>
    <w:rsid w:val="0075615F"/>
    <w:rsid w:val="00756676"/>
    <w:rsid w:val="00756856"/>
    <w:rsid w:val="0075688B"/>
    <w:rsid w:val="00756E68"/>
    <w:rsid w:val="00757047"/>
    <w:rsid w:val="007571EA"/>
    <w:rsid w:val="007578B9"/>
    <w:rsid w:val="007578CB"/>
    <w:rsid w:val="00757BC0"/>
    <w:rsid w:val="00757C4D"/>
    <w:rsid w:val="00757D1E"/>
    <w:rsid w:val="0076015E"/>
    <w:rsid w:val="00760200"/>
    <w:rsid w:val="00760353"/>
    <w:rsid w:val="007608B6"/>
    <w:rsid w:val="00760B7D"/>
    <w:rsid w:val="00760DB5"/>
    <w:rsid w:val="00760DBE"/>
    <w:rsid w:val="00760F08"/>
    <w:rsid w:val="0076119C"/>
    <w:rsid w:val="00761272"/>
    <w:rsid w:val="007615E5"/>
    <w:rsid w:val="007615E6"/>
    <w:rsid w:val="007616C9"/>
    <w:rsid w:val="007616E8"/>
    <w:rsid w:val="007617D4"/>
    <w:rsid w:val="00761BB0"/>
    <w:rsid w:val="00761C8B"/>
    <w:rsid w:val="00761CB9"/>
    <w:rsid w:val="00761D6F"/>
    <w:rsid w:val="00761DCA"/>
    <w:rsid w:val="007621B4"/>
    <w:rsid w:val="0076260D"/>
    <w:rsid w:val="007628FD"/>
    <w:rsid w:val="00762BF7"/>
    <w:rsid w:val="00762F05"/>
    <w:rsid w:val="00762F2C"/>
    <w:rsid w:val="00762F31"/>
    <w:rsid w:val="00763381"/>
    <w:rsid w:val="007637B6"/>
    <w:rsid w:val="007638F7"/>
    <w:rsid w:val="00763B77"/>
    <w:rsid w:val="00763DCA"/>
    <w:rsid w:val="00764091"/>
    <w:rsid w:val="00764151"/>
    <w:rsid w:val="007642CC"/>
    <w:rsid w:val="007644B5"/>
    <w:rsid w:val="007645C8"/>
    <w:rsid w:val="0076499C"/>
    <w:rsid w:val="00765071"/>
    <w:rsid w:val="0076512C"/>
    <w:rsid w:val="007651FA"/>
    <w:rsid w:val="007654D8"/>
    <w:rsid w:val="0076556B"/>
    <w:rsid w:val="007656BA"/>
    <w:rsid w:val="00765823"/>
    <w:rsid w:val="00765C20"/>
    <w:rsid w:val="00765CC3"/>
    <w:rsid w:val="007663B2"/>
    <w:rsid w:val="00766B3F"/>
    <w:rsid w:val="0076702C"/>
    <w:rsid w:val="00767183"/>
    <w:rsid w:val="00767380"/>
    <w:rsid w:val="00767DD9"/>
    <w:rsid w:val="00767F6C"/>
    <w:rsid w:val="00770080"/>
    <w:rsid w:val="007700BB"/>
    <w:rsid w:val="007701DA"/>
    <w:rsid w:val="0077084D"/>
    <w:rsid w:val="0077089F"/>
    <w:rsid w:val="007708FF"/>
    <w:rsid w:val="00770BEB"/>
    <w:rsid w:val="00770CC3"/>
    <w:rsid w:val="00770E5A"/>
    <w:rsid w:val="00770F3C"/>
    <w:rsid w:val="00771053"/>
    <w:rsid w:val="007710DD"/>
    <w:rsid w:val="00771763"/>
    <w:rsid w:val="00771D94"/>
    <w:rsid w:val="00771DF4"/>
    <w:rsid w:val="00771EC7"/>
    <w:rsid w:val="00772143"/>
    <w:rsid w:val="007721F3"/>
    <w:rsid w:val="0077246B"/>
    <w:rsid w:val="00772723"/>
    <w:rsid w:val="00772829"/>
    <w:rsid w:val="00772851"/>
    <w:rsid w:val="007728B3"/>
    <w:rsid w:val="00772934"/>
    <w:rsid w:val="00772972"/>
    <w:rsid w:val="00772CFB"/>
    <w:rsid w:val="00772D39"/>
    <w:rsid w:val="00772EBC"/>
    <w:rsid w:val="00772FD8"/>
    <w:rsid w:val="00773333"/>
    <w:rsid w:val="007735C5"/>
    <w:rsid w:val="0077369F"/>
    <w:rsid w:val="007738F3"/>
    <w:rsid w:val="00773A2D"/>
    <w:rsid w:val="00773B49"/>
    <w:rsid w:val="00773BE4"/>
    <w:rsid w:val="00773C4F"/>
    <w:rsid w:val="00773D7E"/>
    <w:rsid w:val="007742E2"/>
    <w:rsid w:val="00774383"/>
    <w:rsid w:val="007743BE"/>
    <w:rsid w:val="007744D9"/>
    <w:rsid w:val="00774536"/>
    <w:rsid w:val="00774731"/>
    <w:rsid w:val="00774AD7"/>
    <w:rsid w:val="00774B0A"/>
    <w:rsid w:val="00774D5F"/>
    <w:rsid w:val="00774E54"/>
    <w:rsid w:val="00774E8C"/>
    <w:rsid w:val="00775281"/>
    <w:rsid w:val="007755CD"/>
    <w:rsid w:val="007758EF"/>
    <w:rsid w:val="007759CE"/>
    <w:rsid w:val="00775B92"/>
    <w:rsid w:val="00775C2A"/>
    <w:rsid w:val="00775ECD"/>
    <w:rsid w:val="00775EE6"/>
    <w:rsid w:val="007764EA"/>
    <w:rsid w:val="00776A10"/>
    <w:rsid w:val="00776CC5"/>
    <w:rsid w:val="00776EF4"/>
    <w:rsid w:val="00776F46"/>
    <w:rsid w:val="00777238"/>
    <w:rsid w:val="00777358"/>
    <w:rsid w:val="007773C0"/>
    <w:rsid w:val="007774D0"/>
    <w:rsid w:val="007774E8"/>
    <w:rsid w:val="007775C2"/>
    <w:rsid w:val="00777848"/>
    <w:rsid w:val="00777893"/>
    <w:rsid w:val="00777A58"/>
    <w:rsid w:val="00777D51"/>
    <w:rsid w:val="00777F4A"/>
    <w:rsid w:val="00780487"/>
    <w:rsid w:val="0078072B"/>
    <w:rsid w:val="0078078D"/>
    <w:rsid w:val="007807AC"/>
    <w:rsid w:val="007807AD"/>
    <w:rsid w:val="00780A2F"/>
    <w:rsid w:val="00780B4D"/>
    <w:rsid w:val="00780CBD"/>
    <w:rsid w:val="00780CD0"/>
    <w:rsid w:val="007810ED"/>
    <w:rsid w:val="00781103"/>
    <w:rsid w:val="007812D9"/>
    <w:rsid w:val="0078139C"/>
    <w:rsid w:val="007816D8"/>
    <w:rsid w:val="00781926"/>
    <w:rsid w:val="00781FE3"/>
    <w:rsid w:val="00782236"/>
    <w:rsid w:val="00782239"/>
    <w:rsid w:val="0078226B"/>
    <w:rsid w:val="007823E2"/>
    <w:rsid w:val="007824AD"/>
    <w:rsid w:val="0078263D"/>
    <w:rsid w:val="007827EF"/>
    <w:rsid w:val="007829FF"/>
    <w:rsid w:val="00782BFC"/>
    <w:rsid w:val="00782EBA"/>
    <w:rsid w:val="007833B7"/>
    <w:rsid w:val="00783596"/>
    <w:rsid w:val="00783632"/>
    <w:rsid w:val="007836F9"/>
    <w:rsid w:val="007837FC"/>
    <w:rsid w:val="0078391A"/>
    <w:rsid w:val="00783951"/>
    <w:rsid w:val="00783C0D"/>
    <w:rsid w:val="00783CAA"/>
    <w:rsid w:val="00783CAF"/>
    <w:rsid w:val="00783F00"/>
    <w:rsid w:val="00783F24"/>
    <w:rsid w:val="00783F5C"/>
    <w:rsid w:val="007840B6"/>
    <w:rsid w:val="007842D1"/>
    <w:rsid w:val="00784341"/>
    <w:rsid w:val="007846D4"/>
    <w:rsid w:val="0078476A"/>
    <w:rsid w:val="007847E3"/>
    <w:rsid w:val="0078486D"/>
    <w:rsid w:val="00784B00"/>
    <w:rsid w:val="00784BDB"/>
    <w:rsid w:val="0078500E"/>
    <w:rsid w:val="007852E9"/>
    <w:rsid w:val="00785328"/>
    <w:rsid w:val="0078548F"/>
    <w:rsid w:val="00785531"/>
    <w:rsid w:val="00785721"/>
    <w:rsid w:val="007858B1"/>
    <w:rsid w:val="007858BA"/>
    <w:rsid w:val="00785A81"/>
    <w:rsid w:val="00785D14"/>
    <w:rsid w:val="0078607B"/>
    <w:rsid w:val="007860AB"/>
    <w:rsid w:val="0078610A"/>
    <w:rsid w:val="00786491"/>
    <w:rsid w:val="0078651D"/>
    <w:rsid w:val="00786611"/>
    <w:rsid w:val="00786A0A"/>
    <w:rsid w:val="00786A79"/>
    <w:rsid w:val="00786CCA"/>
    <w:rsid w:val="00786D70"/>
    <w:rsid w:val="00786E4F"/>
    <w:rsid w:val="00787174"/>
    <w:rsid w:val="007872FB"/>
    <w:rsid w:val="00787B86"/>
    <w:rsid w:val="00787D09"/>
    <w:rsid w:val="00787FE1"/>
    <w:rsid w:val="0079015B"/>
    <w:rsid w:val="00790278"/>
    <w:rsid w:val="00790460"/>
    <w:rsid w:val="00790478"/>
    <w:rsid w:val="007908AF"/>
    <w:rsid w:val="00790B15"/>
    <w:rsid w:val="00790F49"/>
    <w:rsid w:val="0079100C"/>
    <w:rsid w:val="007910D8"/>
    <w:rsid w:val="0079113E"/>
    <w:rsid w:val="00791306"/>
    <w:rsid w:val="0079169A"/>
    <w:rsid w:val="00791853"/>
    <w:rsid w:val="00791B42"/>
    <w:rsid w:val="00791D9F"/>
    <w:rsid w:val="00791DCE"/>
    <w:rsid w:val="0079201A"/>
    <w:rsid w:val="00792143"/>
    <w:rsid w:val="00792643"/>
    <w:rsid w:val="00792BC0"/>
    <w:rsid w:val="007931CB"/>
    <w:rsid w:val="007933B0"/>
    <w:rsid w:val="0079367A"/>
    <w:rsid w:val="00793A8D"/>
    <w:rsid w:val="00793B23"/>
    <w:rsid w:val="00793BDC"/>
    <w:rsid w:val="00793C8C"/>
    <w:rsid w:val="00793DB6"/>
    <w:rsid w:val="00793F50"/>
    <w:rsid w:val="0079435A"/>
    <w:rsid w:val="00794417"/>
    <w:rsid w:val="00794493"/>
    <w:rsid w:val="007946E3"/>
    <w:rsid w:val="00794F8B"/>
    <w:rsid w:val="007951D4"/>
    <w:rsid w:val="007951EB"/>
    <w:rsid w:val="0079569B"/>
    <w:rsid w:val="00795BFD"/>
    <w:rsid w:val="007960AE"/>
    <w:rsid w:val="00796162"/>
    <w:rsid w:val="007961C5"/>
    <w:rsid w:val="0079676E"/>
    <w:rsid w:val="007967B9"/>
    <w:rsid w:val="007967C2"/>
    <w:rsid w:val="00796BA1"/>
    <w:rsid w:val="00796BF4"/>
    <w:rsid w:val="00796E2C"/>
    <w:rsid w:val="00796E69"/>
    <w:rsid w:val="007978B3"/>
    <w:rsid w:val="00797973"/>
    <w:rsid w:val="00797B06"/>
    <w:rsid w:val="00797B9C"/>
    <w:rsid w:val="00797C46"/>
    <w:rsid w:val="007A0078"/>
    <w:rsid w:val="007A0229"/>
    <w:rsid w:val="007A0305"/>
    <w:rsid w:val="007A04B8"/>
    <w:rsid w:val="007A0723"/>
    <w:rsid w:val="007A0738"/>
    <w:rsid w:val="007A0D68"/>
    <w:rsid w:val="007A0D79"/>
    <w:rsid w:val="007A112C"/>
    <w:rsid w:val="007A1323"/>
    <w:rsid w:val="007A17DB"/>
    <w:rsid w:val="007A1963"/>
    <w:rsid w:val="007A19F6"/>
    <w:rsid w:val="007A1DEA"/>
    <w:rsid w:val="007A1F7C"/>
    <w:rsid w:val="007A21A8"/>
    <w:rsid w:val="007A2203"/>
    <w:rsid w:val="007A2483"/>
    <w:rsid w:val="007A26BA"/>
    <w:rsid w:val="007A2731"/>
    <w:rsid w:val="007A2798"/>
    <w:rsid w:val="007A2B65"/>
    <w:rsid w:val="007A2E35"/>
    <w:rsid w:val="007A3027"/>
    <w:rsid w:val="007A3352"/>
    <w:rsid w:val="007A3492"/>
    <w:rsid w:val="007A362C"/>
    <w:rsid w:val="007A3C5E"/>
    <w:rsid w:val="007A3D89"/>
    <w:rsid w:val="007A3F73"/>
    <w:rsid w:val="007A40A2"/>
    <w:rsid w:val="007A41AF"/>
    <w:rsid w:val="007A4485"/>
    <w:rsid w:val="007A46EB"/>
    <w:rsid w:val="007A475C"/>
    <w:rsid w:val="007A4BCF"/>
    <w:rsid w:val="007A4E9C"/>
    <w:rsid w:val="007A53B5"/>
    <w:rsid w:val="007A5581"/>
    <w:rsid w:val="007A5617"/>
    <w:rsid w:val="007A5A08"/>
    <w:rsid w:val="007A5D62"/>
    <w:rsid w:val="007A5DB5"/>
    <w:rsid w:val="007A619F"/>
    <w:rsid w:val="007A64FE"/>
    <w:rsid w:val="007A67B6"/>
    <w:rsid w:val="007A69B7"/>
    <w:rsid w:val="007A70F8"/>
    <w:rsid w:val="007A7572"/>
    <w:rsid w:val="007A75AE"/>
    <w:rsid w:val="007A77E5"/>
    <w:rsid w:val="007A7883"/>
    <w:rsid w:val="007A79D8"/>
    <w:rsid w:val="007A7B73"/>
    <w:rsid w:val="007B0103"/>
    <w:rsid w:val="007B0116"/>
    <w:rsid w:val="007B0191"/>
    <w:rsid w:val="007B0245"/>
    <w:rsid w:val="007B02F0"/>
    <w:rsid w:val="007B0628"/>
    <w:rsid w:val="007B0679"/>
    <w:rsid w:val="007B083F"/>
    <w:rsid w:val="007B0879"/>
    <w:rsid w:val="007B0880"/>
    <w:rsid w:val="007B0A6B"/>
    <w:rsid w:val="007B0CEA"/>
    <w:rsid w:val="007B0D01"/>
    <w:rsid w:val="007B0D6A"/>
    <w:rsid w:val="007B0F25"/>
    <w:rsid w:val="007B0F3D"/>
    <w:rsid w:val="007B1044"/>
    <w:rsid w:val="007B10D4"/>
    <w:rsid w:val="007B11F0"/>
    <w:rsid w:val="007B127D"/>
    <w:rsid w:val="007B15F6"/>
    <w:rsid w:val="007B1BD8"/>
    <w:rsid w:val="007B1DBC"/>
    <w:rsid w:val="007B2085"/>
    <w:rsid w:val="007B2180"/>
    <w:rsid w:val="007B2364"/>
    <w:rsid w:val="007B2DEB"/>
    <w:rsid w:val="007B2FDC"/>
    <w:rsid w:val="007B32E1"/>
    <w:rsid w:val="007B3701"/>
    <w:rsid w:val="007B38A0"/>
    <w:rsid w:val="007B38B7"/>
    <w:rsid w:val="007B3ABB"/>
    <w:rsid w:val="007B4239"/>
    <w:rsid w:val="007B441D"/>
    <w:rsid w:val="007B45BC"/>
    <w:rsid w:val="007B4685"/>
    <w:rsid w:val="007B493D"/>
    <w:rsid w:val="007B4F7B"/>
    <w:rsid w:val="007B5001"/>
    <w:rsid w:val="007B5050"/>
    <w:rsid w:val="007B51F2"/>
    <w:rsid w:val="007B5230"/>
    <w:rsid w:val="007B583D"/>
    <w:rsid w:val="007B590E"/>
    <w:rsid w:val="007B5F12"/>
    <w:rsid w:val="007B6077"/>
    <w:rsid w:val="007B60EB"/>
    <w:rsid w:val="007B6251"/>
    <w:rsid w:val="007B6332"/>
    <w:rsid w:val="007B63C5"/>
    <w:rsid w:val="007B6684"/>
    <w:rsid w:val="007B6875"/>
    <w:rsid w:val="007B6A5C"/>
    <w:rsid w:val="007B6B21"/>
    <w:rsid w:val="007B6E73"/>
    <w:rsid w:val="007B6F61"/>
    <w:rsid w:val="007B6F79"/>
    <w:rsid w:val="007B7024"/>
    <w:rsid w:val="007B7473"/>
    <w:rsid w:val="007B76A7"/>
    <w:rsid w:val="007B7B56"/>
    <w:rsid w:val="007B7CB2"/>
    <w:rsid w:val="007B7CE4"/>
    <w:rsid w:val="007B7D48"/>
    <w:rsid w:val="007C0183"/>
    <w:rsid w:val="007C02E1"/>
    <w:rsid w:val="007C0390"/>
    <w:rsid w:val="007C06CE"/>
    <w:rsid w:val="007C07D0"/>
    <w:rsid w:val="007C0C1E"/>
    <w:rsid w:val="007C0CF2"/>
    <w:rsid w:val="007C0D06"/>
    <w:rsid w:val="007C0DEC"/>
    <w:rsid w:val="007C0F25"/>
    <w:rsid w:val="007C14A2"/>
    <w:rsid w:val="007C1552"/>
    <w:rsid w:val="007C1C77"/>
    <w:rsid w:val="007C1F01"/>
    <w:rsid w:val="007C2189"/>
    <w:rsid w:val="007C22A3"/>
    <w:rsid w:val="007C2351"/>
    <w:rsid w:val="007C2660"/>
    <w:rsid w:val="007C2737"/>
    <w:rsid w:val="007C27CA"/>
    <w:rsid w:val="007C2A28"/>
    <w:rsid w:val="007C2A9E"/>
    <w:rsid w:val="007C2B54"/>
    <w:rsid w:val="007C2D37"/>
    <w:rsid w:val="007C300E"/>
    <w:rsid w:val="007C3192"/>
    <w:rsid w:val="007C328D"/>
    <w:rsid w:val="007C336F"/>
    <w:rsid w:val="007C3868"/>
    <w:rsid w:val="007C3A96"/>
    <w:rsid w:val="007C3A9B"/>
    <w:rsid w:val="007C3C74"/>
    <w:rsid w:val="007C41B1"/>
    <w:rsid w:val="007C4552"/>
    <w:rsid w:val="007C45CD"/>
    <w:rsid w:val="007C4C34"/>
    <w:rsid w:val="007C4C80"/>
    <w:rsid w:val="007C4E81"/>
    <w:rsid w:val="007C4F21"/>
    <w:rsid w:val="007C507A"/>
    <w:rsid w:val="007C54F0"/>
    <w:rsid w:val="007C571F"/>
    <w:rsid w:val="007C573A"/>
    <w:rsid w:val="007C5AB2"/>
    <w:rsid w:val="007C5CEF"/>
    <w:rsid w:val="007C5E46"/>
    <w:rsid w:val="007C6254"/>
    <w:rsid w:val="007C66CC"/>
    <w:rsid w:val="007C67C2"/>
    <w:rsid w:val="007C68B0"/>
    <w:rsid w:val="007C6A34"/>
    <w:rsid w:val="007C6A39"/>
    <w:rsid w:val="007C6B13"/>
    <w:rsid w:val="007C6BB2"/>
    <w:rsid w:val="007C6C20"/>
    <w:rsid w:val="007C7140"/>
    <w:rsid w:val="007C736E"/>
    <w:rsid w:val="007C7596"/>
    <w:rsid w:val="007C7B32"/>
    <w:rsid w:val="007D000A"/>
    <w:rsid w:val="007D04E9"/>
    <w:rsid w:val="007D0C93"/>
    <w:rsid w:val="007D0E64"/>
    <w:rsid w:val="007D1215"/>
    <w:rsid w:val="007D1433"/>
    <w:rsid w:val="007D1729"/>
    <w:rsid w:val="007D19F0"/>
    <w:rsid w:val="007D1AD6"/>
    <w:rsid w:val="007D1D8F"/>
    <w:rsid w:val="007D1E44"/>
    <w:rsid w:val="007D1E99"/>
    <w:rsid w:val="007D2188"/>
    <w:rsid w:val="007D2569"/>
    <w:rsid w:val="007D26F3"/>
    <w:rsid w:val="007D30B7"/>
    <w:rsid w:val="007D336C"/>
    <w:rsid w:val="007D3476"/>
    <w:rsid w:val="007D351E"/>
    <w:rsid w:val="007D3603"/>
    <w:rsid w:val="007D3819"/>
    <w:rsid w:val="007D38A5"/>
    <w:rsid w:val="007D3A23"/>
    <w:rsid w:val="007D3B7E"/>
    <w:rsid w:val="007D411B"/>
    <w:rsid w:val="007D41DA"/>
    <w:rsid w:val="007D43BA"/>
    <w:rsid w:val="007D4404"/>
    <w:rsid w:val="007D46F7"/>
    <w:rsid w:val="007D4AD1"/>
    <w:rsid w:val="007D4D87"/>
    <w:rsid w:val="007D5F9C"/>
    <w:rsid w:val="007D6144"/>
    <w:rsid w:val="007D6155"/>
    <w:rsid w:val="007D6213"/>
    <w:rsid w:val="007D6262"/>
    <w:rsid w:val="007D63A0"/>
    <w:rsid w:val="007D6410"/>
    <w:rsid w:val="007D673D"/>
    <w:rsid w:val="007D6C10"/>
    <w:rsid w:val="007D6F20"/>
    <w:rsid w:val="007D6F2B"/>
    <w:rsid w:val="007D7093"/>
    <w:rsid w:val="007D71F2"/>
    <w:rsid w:val="007D7567"/>
    <w:rsid w:val="007D7725"/>
    <w:rsid w:val="007D7801"/>
    <w:rsid w:val="007D7882"/>
    <w:rsid w:val="007D7D87"/>
    <w:rsid w:val="007D7F0A"/>
    <w:rsid w:val="007E03EB"/>
    <w:rsid w:val="007E04F9"/>
    <w:rsid w:val="007E0BBB"/>
    <w:rsid w:val="007E0D19"/>
    <w:rsid w:val="007E0D25"/>
    <w:rsid w:val="007E11BD"/>
    <w:rsid w:val="007E1203"/>
    <w:rsid w:val="007E15AD"/>
    <w:rsid w:val="007E1A81"/>
    <w:rsid w:val="007E1DF6"/>
    <w:rsid w:val="007E1FF7"/>
    <w:rsid w:val="007E24EB"/>
    <w:rsid w:val="007E25ED"/>
    <w:rsid w:val="007E26BD"/>
    <w:rsid w:val="007E2703"/>
    <w:rsid w:val="007E2BC0"/>
    <w:rsid w:val="007E2F6F"/>
    <w:rsid w:val="007E3059"/>
    <w:rsid w:val="007E30DE"/>
    <w:rsid w:val="007E346E"/>
    <w:rsid w:val="007E3471"/>
    <w:rsid w:val="007E350F"/>
    <w:rsid w:val="007E3639"/>
    <w:rsid w:val="007E3722"/>
    <w:rsid w:val="007E3CEC"/>
    <w:rsid w:val="007E3CFC"/>
    <w:rsid w:val="007E4450"/>
    <w:rsid w:val="007E4AF0"/>
    <w:rsid w:val="007E4C15"/>
    <w:rsid w:val="007E4E79"/>
    <w:rsid w:val="007E4F85"/>
    <w:rsid w:val="007E50E7"/>
    <w:rsid w:val="007E529E"/>
    <w:rsid w:val="007E5379"/>
    <w:rsid w:val="007E582A"/>
    <w:rsid w:val="007E59AE"/>
    <w:rsid w:val="007E5D52"/>
    <w:rsid w:val="007E5E2B"/>
    <w:rsid w:val="007E5E8D"/>
    <w:rsid w:val="007E62B6"/>
    <w:rsid w:val="007E62F5"/>
    <w:rsid w:val="007E662D"/>
    <w:rsid w:val="007E67AC"/>
    <w:rsid w:val="007E68C6"/>
    <w:rsid w:val="007E69AD"/>
    <w:rsid w:val="007E6A7C"/>
    <w:rsid w:val="007E6B3F"/>
    <w:rsid w:val="007E6C54"/>
    <w:rsid w:val="007E6E11"/>
    <w:rsid w:val="007E6F82"/>
    <w:rsid w:val="007E74BF"/>
    <w:rsid w:val="007E754F"/>
    <w:rsid w:val="007E76DF"/>
    <w:rsid w:val="007E7BA2"/>
    <w:rsid w:val="007F08AF"/>
    <w:rsid w:val="007F093B"/>
    <w:rsid w:val="007F097D"/>
    <w:rsid w:val="007F0C09"/>
    <w:rsid w:val="007F0F39"/>
    <w:rsid w:val="007F130B"/>
    <w:rsid w:val="007F1443"/>
    <w:rsid w:val="007F16B8"/>
    <w:rsid w:val="007F1823"/>
    <w:rsid w:val="007F1835"/>
    <w:rsid w:val="007F19D2"/>
    <w:rsid w:val="007F19DE"/>
    <w:rsid w:val="007F1DEC"/>
    <w:rsid w:val="007F201A"/>
    <w:rsid w:val="007F209B"/>
    <w:rsid w:val="007F20B7"/>
    <w:rsid w:val="007F214F"/>
    <w:rsid w:val="007F21DC"/>
    <w:rsid w:val="007F259B"/>
    <w:rsid w:val="007F28D0"/>
    <w:rsid w:val="007F2BB0"/>
    <w:rsid w:val="007F2E93"/>
    <w:rsid w:val="007F34ED"/>
    <w:rsid w:val="007F3B80"/>
    <w:rsid w:val="007F3C97"/>
    <w:rsid w:val="007F4408"/>
    <w:rsid w:val="007F444B"/>
    <w:rsid w:val="007F478C"/>
    <w:rsid w:val="007F4C15"/>
    <w:rsid w:val="007F4D70"/>
    <w:rsid w:val="007F5529"/>
    <w:rsid w:val="007F5585"/>
    <w:rsid w:val="007F55B8"/>
    <w:rsid w:val="007F578A"/>
    <w:rsid w:val="007F5986"/>
    <w:rsid w:val="007F5BB3"/>
    <w:rsid w:val="007F5C1F"/>
    <w:rsid w:val="007F621B"/>
    <w:rsid w:val="007F63DB"/>
    <w:rsid w:val="007F66E5"/>
    <w:rsid w:val="007F67E9"/>
    <w:rsid w:val="007F68DE"/>
    <w:rsid w:val="007F6937"/>
    <w:rsid w:val="007F6DC5"/>
    <w:rsid w:val="007F6E31"/>
    <w:rsid w:val="007F6F89"/>
    <w:rsid w:val="007F70EA"/>
    <w:rsid w:val="007F7205"/>
    <w:rsid w:val="007F7259"/>
    <w:rsid w:val="007F7274"/>
    <w:rsid w:val="007F73B5"/>
    <w:rsid w:val="007F73F1"/>
    <w:rsid w:val="007F74B9"/>
    <w:rsid w:val="007F7525"/>
    <w:rsid w:val="007F7720"/>
    <w:rsid w:val="007F7BFB"/>
    <w:rsid w:val="007F7C7B"/>
    <w:rsid w:val="007F7CDB"/>
    <w:rsid w:val="007F7CDC"/>
    <w:rsid w:val="007F7EC7"/>
    <w:rsid w:val="007F7FF3"/>
    <w:rsid w:val="00800138"/>
    <w:rsid w:val="00800209"/>
    <w:rsid w:val="00800374"/>
    <w:rsid w:val="00800633"/>
    <w:rsid w:val="00800771"/>
    <w:rsid w:val="008007C4"/>
    <w:rsid w:val="00800C79"/>
    <w:rsid w:val="00800DF7"/>
    <w:rsid w:val="00801030"/>
    <w:rsid w:val="00801221"/>
    <w:rsid w:val="008014B9"/>
    <w:rsid w:val="008015DF"/>
    <w:rsid w:val="008017F6"/>
    <w:rsid w:val="00801A4B"/>
    <w:rsid w:val="00801FFE"/>
    <w:rsid w:val="00802104"/>
    <w:rsid w:val="00802194"/>
    <w:rsid w:val="0080227D"/>
    <w:rsid w:val="0080237E"/>
    <w:rsid w:val="0080269F"/>
    <w:rsid w:val="00802B2D"/>
    <w:rsid w:val="00802B4D"/>
    <w:rsid w:val="00802DA9"/>
    <w:rsid w:val="00802FE2"/>
    <w:rsid w:val="00803057"/>
    <w:rsid w:val="00803120"/>
    <w:rsid w:val="0080326F"/>
    <w:rsid w:val="008037A9"/>
    <w:rsid w:val="008038ED"/>
    <w:rsid w:val="00803F2A"/>
    <w:rsid w:val="00804032"/>
    <w:rsid w:val="008040A2"/>
    <w:rsid w:val="008043A6"/>
    <w:rsid w:val="00804632"/>
    <w:rsid w:val="008046C5"/>
    <w:rsid w:val="00804914"/>
    <w:rsid w:val="00804B9E"/>
    <w:rsid w:val="00804E09"/>
    <w:rsid w:val="00804E33"/>
    <w:rsid w:val="00804ED6"/>
    <w:rsid w:val="00804F7E"/>
    <w:rsid w:val="00804FC0"/>
    <w:rsid w:val="00805175"/>
    <w:rsid w:val="008054D9"/>
    <w:rsid w:val="0080590E"/>
    <w:rsid w:val="00805A5E"/>
    <w:rsid w:val="00805A84"/>
    <w:rsid w:val="0080651B"/>
    <w:rsid w:val="008065A0"/>
    <w:rsid w:val="008065B2"/>
    <w:rsid w:val="00806688"/>
    <w:rsid w:val="00806E7A"/>
    <w:rsid w:val="00807397"/>
    <w:rsid w:val="00807425"/>
    <w:rsid w:val="00807A3E"/>
    <w:rsid w:val="00807A49"/>
    <w:rsid w:val="00807A8E"/>
    <w:rsid w:val="00810338"/>
    <w:rsid w:val="0081050F"/>
    <w:rsid w:val="00810749"/>
    <w:rsid w:val="0081086F"/>
    <w:rsid w:val="0081096A"/>
    <w:rsid w:val="0081099A"/>
    <w:rsid w:val="00810B8F"/>
    <w:rsid w:val="00810F82"/>
    <w:rsid w:val="00811250"/>
    <w:rsid w:val="008118AF"/>
    <w:rsid w:val="00811BC8"/>
    <w:rsid w:val="00812062"/>
    <w:rsid w:val="00812086"/>
    <w:rsid w:val="00812282"/>
    <w:rsid w:val="00812293"/>
    <w:rsid w:val="00812505"/>
    <w:rsid w:val="008125E9"/>
    <w:rsid w:val="0081261D"/>
    <w:rsid w:val="008128CD"/>
    <w:rsid w:val="00812A58"/>
    <w:rsid w:val="00812CE8"/>
    <w:rsid w:val="00812D9E"/>
    <w:rsid w:val="0081301B"/>
    <w:rsid w:val="00813190"/>
    <w:rsid w:val="008134DA"/>
    <w:rsid w:val="00813757"/>
    <w:rsid w:val="00813788"/>
    <w:rsid w:val="00813894"/>
    <w:rsid w:val="00813CF9"/>
    <w:rsid w:val="00813EED"/>
    <w:rsid w:val="00813F70"/>
    <w:rsid w:val="00813F79"/>
    <w:rsid w:val="00813FB4"/>
    <w:rsid w:val="0081431A"/>
    <w:rsid w:val="008144C1"/>
    <w:rsid w:val="0081466F"/>
    <w:rsid w:val="008148A9"/>
    <w:rsid w:val="008148E4"/>
    <w:rsid w:val="00814BA6"/>
    <w:rsid w:val="00814DCB"/>
    <w:rsid w:val="008150A5"/>
    <w:rsid w:val="008157F1"/>
    <w:rsid w:val="0081594E"/>
    <w:rsid w:val="008159AB"/>
    <w:rsid w:val="00815A64"/>
    <w:rsid w:val="00815F60"/>
    <w:rsid w:val="008164C7"/>
    <w:rsid w:val="0081656B"/>
    <w:rsid w:val="00816626"/>
    <w:rsid w:val="00816744"/>
    <w:rsid w:val="00816B71"/>
    <w:rsid w:val="00816D6C"/>
    <w:rsid w:val="00816EC2"/>
    <w:rsid w:val="00816F57"/>
    <w:rsid w:val="008172C0"/>
    <w:rsid w:val="00817387"/>
    <w:rsid w:val="008174C5"/>
    <w:rsid w:val="008177F4"/>
    <w:rsid w:val="0081797C"/>
    <w:rsid w:val="00817AD3"/>
    <w:rsid w:val="00817D3A"/>
    <w:rsid w:val="00817D70"/>
    <w:rsid w:val="00817F96"/>
    <w:rsid w:val="00817FC2"/>
    <w:rsid w:val="00820041"/>
    <w:rsid w:val="00820295"/>
    <w:rsid w:val="008203C0"/>
    <w:rsid w:val="008203D3"/>
    <w:rsid w:val="0082040A"/>
    <w:rsid w:val="008204C2"/>
    <w:rsid w:val="008207D9"/>
    <w:rsid w:val="008207FC"/>
    <w:rsid w:val="008211AA"/>
    <w:rsid w:val="00821246"/>
    <w:rsid w:val="008212FF"/>
    <w:rsid w:val="008214B0"/>
    <w:rsid w:val="0082168B"/>
    <w:rsid w:val="00821737"/>
    <w:rsid w:val="00821765"/>
    <w:rsid w:val="00821813"/>
    <w:rsid w:val="00821881"/>
    <w:rsid w:val="00821CF0"/>
    <w:rsid w:val="00822238"/>
    <w:rsid w:val="0082253F"/>
    <w:rsid w:val="00822647"/>
    <w:rsid w:val="008226F2"/>
    <w:rsid w:val="00822AC9"/>
    <w:rsid w:val="00822BFD"/>
    <w:rsid w:val="00822D92"/>
    <w:rsid w:val="00823014"/>
    <w:rsid w:val="008232F9"/>
    <w:rsid w:val="00823444"/>
    <w:rsid w:val="00823562"/>
    <w:rsid w:val="008235B1"/>
    <w:rsid w:val="008236E1"/>
    <w:rsid w:val="0082389F"/>
    <w:rsid w:val="00823A8A"/>
    <w:rsid w:val="008242FD"/>
    <w:rsid w:val="00824333"/>
    <w:rsid w:val="00824458"/>
    <w:rsid w:val="00824752"/>
    <w:rsid w:val="0082475A"/>
    <w:rsid w:val="00824778"/>
    <w:rsid w:val="008247D3"/>
    <w:rsid w:val="008249F5"/>
    <w:rsid w:val="008249F7"/>
    <w:rsid w:val="00824B74"/>
    <w:rsid w:val="00824DA0"/>
    <w:rsid w:val="00824E8F"/>
    <w:rsid w:val="0082508B"/>
    <w:rsid w:val="00825173"/>
    <w:rsid w:val="0082538D"/>
    <w:rsid w:val="00825598"/>
    <w:rsid w:val="00825675"/>
    <w:rsid w:val="008259DE"/>
    <w:rsid w:val="00825A8A"/>
    <w:rsid w:val="00825B35"/>
    <w:rsid w:val="00825C14"/>
    <w:rsid w:val="00825C82"/>
    <w:rsid w:val="00825DEB"/>
    <w:rsid w:val="00825F14"/>
    <w:rsid w:val="00825F74"/>
    <w:rsid w:val="008261B5"/>
    <w:rsid w:val="00826393"/>
    <w:rsid w:val="00826461"/>
    <w:rsid w:val="00826681"/>
    <w:rsid w:val="0082679C"/>
    <w:rsid w:val="00826DBC"/>
    <w:rsid w:val="00826E8B"/>
    <w:rsid w:val="00826EFB"/>
    <w:rsid w:val="00827027"/>
    <w:rsid w:val="0082702A"/>
    <w:rsid w:val="008270AC"/>
    <w:rsid w:val="0082760C"/>
    <w:rsid w:val="0082790E"/>
    <w:rsid w:val="00827B8D"/>
    <w:rsid w:val="00827E13"/>
    <w:rsid w:val="008302B2"/>
    <w:rsid w:val="00830331"/>
    <w:rsid w:val="0083095D"/>
    <w:rsid w:val="00830AAB"/>
    <w:rsid w:val="00830E16"/>
    <w:rsid w:val="008313E1"/>
    <w:rsid w:val="00831652"/>
    <w:rsid w:val="0083166C"/>
    <w:rsid w:val="0083189D"/>
    <w:rsid w:val="008318BB"/>
    <w:rsid w:val="0083240D"/>
    <w:rsid w:val="008326A5"/>
    <w:rsid w:val="00832798"/>
    <w:rsid w:val="00832A96"/>
    <w:rsid w:val="00832BD5"/>
    <w:rsid w:val="00832BE9"/>
    <w:rsid w:val="00832E5D"/>
    <w:rsid w:val="00832FB1"/>
    <w:rsid w:val="00833161"/>
    <w:rsid w:val="008331B6"/>
    <w:rsid w:val="00833655"/>
    <w:rsid w:val="00833A73"/>
    <w:rsid w:val="00833AB5"/>
    <w:rsid w:val="00833B3B"/>
    <w:rsid w:val="00833C6A"/>
    <w:rsid w:val="00833EF1"/>
    <w:rsid w:val="00834031"/>
    <w:rsid w:val="00834090"/>
    <w:rsid w:val="00834390"/>
    <w:rsid w:val="00834C01"/>
    <w:rsid w:val="00834CCF"/>
    <w:rsid w:val="00834D7E"/>
    <w:rsid w:val="00834EEF"/>
    <w:rsid w:val="008351E7"/>
    <w:rsid w:val="0083576E"/>
    <w:rsid w:val="00835D37"/>
    <w:rsid w:val="00835EC9"/>
    <w:rsid w:val="00835F4F"/>
    <w:rsid w:val="0083617F"/>
    <w:rsid w:val="00836212"/>
    <w:rsid w:val="00836833"/>
    <w:rsid w:val="00836CCC"/>
    <w:rsid w:val="00836DDD"/>
    <w:rsid w:val="00836E29"/>
    <w:rsid w:val="00836E82"/>
    <w:rsid w:val="00837115"/>
    <w:rsid w:val="00837244"/>
    <w:rsid w:val="008375FB"/>
    <w:rsid w:val="00837898"/>
    <w:rsid w:val="00837A13"/>
    <w:rsid w:val="00837E62"/>
    <w:rsid w:val="00837EC9"/>
    <w:rsid w:val="00837EEF"/>
    <w:rsid w:val="0084005D"/>
    <w:rsid w:val="00840286"/>
    <w:rsid w:val="0084090E"/>
    <w:rsid w:val="0084095D"/>
    <w:rsid w:val="00840966"/>
    <w:rsid w:val="00840A1E"/>
    <w:rsid w:val="00840AA2"/>
    <w:rsid w:val="00840B26"/>
    <w:rsid w:val="00840DF6"/>
    <w:rsid w:val="00841317"/>
    <w:rsid w:val="00841388"/>
    <w:rsid w:val="00841614"/>
    <w:rsid w:val="008417F8"/>
    <w:rsid w:val="00841AF0"/>
    <w:rsid w:val="00841B1D"/>
    <w:rsid w:val="00841C9F"/>
    <w:rsid w:val="00841EFB"/>
    <w:rsid w:val="00841F44"/>
    <w:rsid w:val="008423CA"/>
    <w:rsid w:val="00842457"/>
    <w:rsid w:val="0084294A"/>
    <w:rsid w:val="00842B53"/>
    <w:rsid w:val="00842C82"/>
    <w:rsid w:val="00842F2D"/>
    <w:rsid w:val="00842FF8"/>
    <w:rsid w:val="00843092"/>
    <w:rsid w:val="00843168"/>
    <w:rsid w:val="008434BB"/>
    <w:rsid w:val="008436D7"/>
    <w:rsid w:val="008437A0"/>
    <w:rsid w:val="008438C2"/>
    <w:rsid w:val="00843936"/>
    <w:rsid w:val="00843C9E"/>
    <w:rsid w:val="00843FAD"/>
    <w:rsid w:val="008440FE"/>
    <w:rsid w:val="0084425E"/>
    <w:rsid w:val="008442A2"/>
    <w:rsid w:val="008446EF"/>
    <w:rsid w:val="00844750"/>
    <w:rsid w:val="00844CA7"/>
    <w:rsid w:val="00844F96"/>
    <w:rsid w:val="0084516C"/>
    <w:rsid w:val="00845188"/>
    <w:rsid w:val="00845396"/>
    <w:rsid w:val="00845955"/>
    <w:rsid w:val="00845AC3"/>
    <w:rsid w:val="00845FB1"/>
    <w:rsid w:val="00845FB6"/>
    <w:rsid w:val="00846119"/>
    <w:rsid w:val="00846351"/>
    <w:rsid w:val="0084669B"/>
    <w:rsid w:val="008468B8"/>
    <w:rsid w:val="00846C44"/>
    <w:rsid w:val="00846F6F"/>
    <w:rsid w:val="00847052"/>
    <w:rsid w:val="008470F8"/>
    <w:rsid w:val="008470FC"/>
    <w:rsid w:val="008474E3"/>
    <w:rsid w:val="0084793B"/>
    <w:rsid w:val="00847C36"/>
    <w:rsid w:val="00847CD1"/>
    <w:rsid w:val="00847FC8"/>
    <w:rsid w:val="00850069"/>
    <w:rsid w:val="00850276"/>
    <w:rsid w:val="008502D1"/>
    <w:rsid w:val="00850314"/>
    <w:rsid w:val="00850570"/>
    <w:rsid w:val="008507A9"/>
    <w:rsid w:val="0085081B"/>
    <w:rsid w:val="00850825"/>
    <w:rsid w:val="0085090C"/>
    <w:rsid w:val="00850B7B"/>
    <w:rsid w:val="00850BC5"/>
    <w:rsid w:val="00850E83"/>
    <w:rsid w:val="008511E5"/>
    <w:rsid w:val="0085133D"/>
    <w:rsid w:val="00851C69"/>
    <w:rsid w:val="00851D61"/>
    <w:rsid w:val="00851D97"/>
    <w:rsid w:val="00851E3F"/>
    <w:rsid w:val="00851EC5"/>
    <w:rsid w:val="0085214F"/>
    <w:rsid w:val="0085226F"/>
    <w:rsid w:val="008524AC"/>
    <w:rsid w:val="00852559"/>
    <w:rsid w:val="00852757"/>
    <w:rsid w:val="008527ED"/>
    <w:rsid w:val="00852AA0"/>
    <w:rsid w:val="00852D18"/>
    <w:rsid w:val="00852E66"/>
    <w:rsid w:val="008533D8"/>
    <w:rsid w:val="008535FA"/>
    <w:rsid w:val="008537F7"/>
    <w:rsid w:val="00853897"/>
    <w:rsid w:val="008538F0"/>
    <w:rsid w:val="00853DF7"/>
    <w:rsid w:val="00854177"/>
    <w:rsid w:val="00854233"/>
    <w:rsid w:val="00854565"/>
    <w:rsid w:val="0085459D"/>
    <w:rsid w:val="00854619"/>
    <w:rsid w:val="00854638"/>
    <w:rsid w:val="008546BE"/>
    <w:rsid w:val="00854C52"/>
    <w:rsid w:val="00854D3E"/>
    <w:rsid w:val="008550D0"/>
    <w:rsid w:val="00855127"/>
    <w:rsid w:val="00855274"/>
    <w:rsid w:val="008553E7"/>
    <w:rsid w:val="00855534"/>
    <w:rsid w:val="00855840"/>
    <w:rsid w:val="00855CD7"/>
    <w:rsid w:val="00855DFE"/>
    <w:rsid w:val="00856066"/>
    <w:rsid w:val="00856074"/>
    <w:rsid w:val="008560A8"/>
    <w:rsid w:val="0085693F"/>
    <w:rsid w:val="00856A70"/>
    <w:rsid w:val="00856E20"/>
    <w:rsid w:val="00857036"/>
    <w:rsid w:val="008570D4"/>
    <w:rsid w:val="008572B7"/>
    <w:rsid w:val="008572E6"/>
    <w:rsid w:val="00857473"/>
    <w:rsid w:val="00857717"/>
    <w:rsid w:val="008578E1"/>
    <w:rsid w:val="008578FB"/>
    <w:rsid w:val="00857949"/>
    <w:rsid w:val="008601A5"/>
    <w:rsid w:val="00860464"/>
    <w:rsid w:val="008604C6"/>
    <w:rsid w:val="00860835"/>
    <w:rsid w:val="00860874"/>
    <w:rsid w:val="008608AB"/>
    <w:rsid w:val="00860AE3"/>
    <w:rsid w:val="00860B07"/>
    <w:rsid w:val="00860D6F"/>
    <w:rsid w:val="00860F3B"/>
    <w:rsid w:val="00860F54"/>
    <w:rsid w:val="00861063"/>
    <w:rsid w:val="008610AF"/>
    <w:rsid w:val="00861350"/>
    <w:rsid w:val="008616AA"/>
    <w:rsid w:val="00861908"/>
    <w:rsid w:val="00861ACE"/>
    <w:rsid w:val="00861AD7"/>
    <w:rsid w:val="00861BDD"/>
    <w:rsid w:val="00861D5C"/>
    <w:rsid w:val="00861E17"/>
    <w:rsid w:val="00861F2C"/>
    <w:rsid w:val="00861F9E"/>
    <w:rsid w:val="008620A0"/>
    <w:rsid w:val="00862941"/>
    <w:rsid w:val="00862A08"/>
    <w:rsid w:val="00862B84"/>
    <w:rsid w:val="00862C21"/>
    <w:rsid w:val="00862CF0"/>
    <w:rsid w:val="00862D34"/>
    <w:rsid w:val="00863127"/>
    <w:rsid w:val="00863342"/>
    <w:rsid w:val="00863346"/>
    <w:rsid w:val="00863355"/>
    <w:rsid w:val="0086340D"/>
    <w:rsid w:val="0086370B"/>
    <w:rsid w:val="0086386E"/>
    <w:rsid w:val="008638A2"/>
    <w:rsid w:val="008639CF"/>
    <w:rsid w:val="00863B87"/>
    <w:rsid w:val="00863F0B"/>
    <w:rsid w:val="00864106"/>
    <w:rsid w:val="0086410D"/>
    <w:rsid w:val="0086416D"/>
    <w:rsid w:val="00864479"/>
    <w:rsid w:val="008644EA"/>
    <w:rsid w:val="00864986"/>
    <w:rsid w:val="00864C06"/>
    <w:rsid w:val="00865250"/>
    <w:rsid w:val="00865494"/>
    <w:rsid w:val="0086570F"/>
    <w:rsid w:val="0086586E"/>
    <w:rsid w:val="00865C4D"/>
    <w:rsid w:val="00865DCA"/>
    <w:rsid w:val="00865DD7"/>
    <w:rsid w:val="00866248"/>
    <w:rsid w:val="00866384"/>
    <w:rsid w:val="00866468"/>
    <w:rsid w:val="008664FE"/>
    <w:rsid w:val="008665A0"/>
    <w:rsid w:val="008666AC"/>
    <w:rsid w:val="008666C3"/>
    <w:rsid w:val="0086678C"/>
    <w:rsid w:val="008669D7"/>
    <w:rsid w:val="00866C24"/>
    <w:rsid w:val="00866D27"/>
    <w:rsid w:val="00866F85"/>
    <w:rsid w:val="00867031"/>
    <w:rsid w:val="008672E0"/>
    <w:rsid w:val="0086794F"/>
    <w:rsid w:val="008679F9"/>
    <w:rsid w:val="00867A30"/>
    <w:rsid w:val="00867D65"/>
    <w:rsid w:val="00870036"/>
    <w:rsid w:val="008700A1"/>
    <w:rsid w:val="008702FF"/>
    <w:rsid w:val="008705D3"/>
    <w:rsid w:val="00870790"/>
    <w:rsid w:val="00870D7D"/>
    <w:rsid w:val="00870D9A"/>
    <w:rsid w:val="0087126A"/>
    <w:rsid w:val="008717BC"/>
    <w:rsid w:val="00871892"/>
    <w:rsid w:val="008718F3"/>
    <w:rsid w:val="008719C2"/>
    <w:rsid w:val="00871A75"/>
    <w:rsid w:val="00871C93"/>
    <w:rsid w:val="00871DAE"/>
    <w:rsid w:val="008720C1"/>
    <w:rsid w:val="00872148"/>
    <w:rsid w:val="008721A0"/>
    <w:rsid w:val="008721EE"/>
    <w:rsid w:val="0087224D"/>
    <w:rsid w:val="008722E0"/>
    <w:rsid w:val="008724E2"/>
    <w:rsid w:val="00872568"/>
    <w:rsid w:val="0087277A"/>
    <w:rsid w:val="00872953"/>
    <w:rsid w:val="00872A47"/>
    <w:rsid w:val="008730CE"/>
    <w:rsid w:val="0087326E"/>
    <w:rsid w:val="0087338B"/>
    <w:rsid w:val="00873533"/>
    <w:rsid w:val="0087356F"/>
    <w:rsid w:val="008736E2"/>
    <w:rsid w:val="008739E5"/>
    <w:rsid w:val="00873B13"/>
    <w:rsid w:val="00873B26"/>
    <w:rsid w:val="00873FD5"/>
    <w:rsid w:val="00874002"/>
    <w:rsid w:val="008741FB"/>
    <w:rsid w:val="008742CB"/>
    <w:rsid w:val="00874464"/>
    <w:rsid w:val="00874539"/>
    <w:rsid w:val="00874565"/>
    <w:rsid w:val="008745B3"/>
    <w:rsid w:val="008745F7"/>
    <w:rsid w:val="00874707"/>
    <w:rsid w:val="0087479A"/>
    <w:rsid w:val="0087482A"/>
    <w:rsid w:val="00874882"/>
    <w:rsid w:val="0087498D"/>
    <w:rsid w:val="00874BDA"/>
    <w:rsid w:val="00874D81"/>
    <w:rsid w:val="008750A0"/>
    <w:rsid w:val="00875502"/>
    <w:rsid w:val="008755AE"/>
    <w:rsid w:val="00875AAA"/>
    <w:rsid w:val="00875AB2"/>
    <w:rsid w:val="00875B8E"/>
    <w:rsid w:val="00875E60"/>
    <w:rsid w:val="00875F5A"/>
    <w:rsid w:val="00875F60"/>
    <w:rsid w:val="00876876"/>
    <w:rsid w:val="008768D1"/>
    <w:rsid w:val="008769DD"/>
    <w:rsid w:val="00876C84"/>
    <w:rsid w:val="00876EF6"/>
    <w:rsid w:val="00876FD4"/>
    <w:rsid w:val="00877247"/>
    <w:rsid w:val="008772DE"/>
    <w:rsid w:val="008776ED"/>
    <w:rsid w:val="0087779D"/>
    <w:rsid w:val="00877BEF"/>
    <w:rsid w:val="00877C8D"/>
    <w:rsid w:val="008801AE"/>
    <w:rsid w:val="008804AA"/>
    <w:rsid w:val="008804AC"/>
    <w:rsid w:val="00880872"/>
    <w:rsid w:val="0088099D"/>
    <w:rsid w:val="00880A24"/>
    <w:rsid w:val="00880A6F"/>
    <w:rsid w:val="00880AA3"/>
    <w:rsid w:val="00880B1C"/>
    <w:rsid w:val="00880BB7"/>
    <w:rsid w:val="00881294"/>
    <w:rsid w:val="008812A6"/>
    <w:rsid w:val="0088156C"/>
    <w:rsid w:val="008815C9"/>
    <w:rsid w:val="0088164F"/>
    <w:rsid w:val="00881808"/>
    <w:rsid w:val="00881E64"/>
    <w:rsid w:val="00881EAB"/>
    <w:rsid w:val="00881EDA"/>
    <w:rsid w:val="008820CC"/>
    <w:rsid w:val="0088236B"/>
    <w:rsid w:val="00882782"/>
    <w:rsid w:val="008827D6"/>
    <w:rsid w:val="00882803"/>
    <w:rsid w:val="00882935"/>
    <w:rsid w:val="00882B81"/>
    <w:rsid w:val="00882C8C"/>
    <w:rsid w:val="00882CA7"/>
    <w:rsid w:val="00883585"/>
    <w:rsid w:val="008836BF"/>
    <w:rsid w:val="00883A2F"/>
    <w:rsid w:val="00883B38"/>
    <w:rsid w:val="00883C2A"/>
    <w:rsid w:val="008840A6"/>
    <w:rsid w:val="0088418C"/>
    <w:rsid w:val="0088421C"/>
    <w:rsid w:val="0088445B"/>
    <w:rsid w:val="00884F08"/>
    <w:rsid w:val="008853F2"/>
    <w:rsid w:val="008855BA"/>
    <w:rsid w:val="0088562A"/>
    <w:rsid w:val="0088594C"/>
    <w:rsid w:val="00885C60"/>
    <w:rsid w:val="0088695B"/>
    <w:rsid w:val="00886A91"/>
    <w:rsid w:val="00886CCC"/>
    <w:rsid w:val="00886D5F"/>
    <w:rsid w:val="0088710C"/>
    <w:rsid w:val="008876AE"/>
    <w:rsid w:val="008877D4"/>
    <w:rsid w:val="00887CBA"/>
    <w:rsid w:val="00887CD7"/>
    <w:rsid w:val="00887D23"/>
    <w:rsid w:val="008900B9"/>
    <w:rsid w:val="008901B8"/>
    <w:rsid w:val="00890629"/>
    <w:rsid w:val="00890767"/>
    <w:rsid w:val="0089088D"/>
    <w:rsid w:val="008908F9"/>
    <w:rsid w:val="0089099D"/>
    <w:rsid w:val="008911FE"/>
    <w:rsid w:val="00891282"/>
    <w:rsid w:val="008912DB"/>
    <w:rsid w:val="00891468"/>
    <w:rsid w:val="0089162F"/>
    <w:rsid w:val="00891A78"/>
    <w:rsid w:val="00891AF6"/>
    <w:rsid w:val="00891B6B"/>
    <w:rsid w:val="00891BC3"/>
    <w:rsid w:val="00891CFD"/>
    <w:rsid w:val="00891F4D"/>
    <w:rsid w:val="00892078"/>
    <w:rsid w:val="008920A1"/>
    <w:rsid w:val="008921AE"/>
    <w:rsid w:val="00892290"/>
    <w:rsid w:val="008923C4"/>
    <w:rsid w:val="0089254C"/>
    <w:rsid w:val="0089255B"/>
    <w:rsid w:val="00892673"/>
    <w:rsid w:val="008926AA"/>
    <w:rsid w:val="008929FB"/>
    <w:rsid w:val="00892D0C"/>
    <w:rsid w:val="008930B4"/>
    <w:rsid w:val="008930E6"/>
    <w:rsid w:val="008931C6"/>
    <w:rsid w:val="00893456"/>
    <w:rsid w:val="008937C8"/>
    <w:rsid w:val="008937DA"/>
    <w:rsid w:val="00893C8E"/>
    <w:rsid w:val="00893EB7"/>
    <w:rsid w:val="00893FFE"/>
    <w:rsid w:val="008941B2"/>
    <w:rsid w:val="008945C9"/>
    <w:rsid w:val="00894646"/>
    <w:rsid w:val="00894704"/>
    <w:rsid w:val="00894785"/>
    <w:rsid w:val="00894D4E"/>
    <w:rsid w:val="00895521"/>
    <w:rsid w:val="008955DF"/>
    <w:rsid w:val="008956D1"/>
    <w:rsid w:val="008958C1"/>
    <w:rsid w:val="00895A6D"/>
    <w:rsid w:val="00895BC2"/>
    <w:rsid w:val="00895C63"/>
    <w:rsid w:val="00895F2D"/>
    <w:rsid w:val="008960D1"/>
    <w:rsid w:val="0089611C"/>
    <w:rsid w:val="00896232"/>
    <w:rsid w:val="008962FB"/>
    <w:rsid w:val="008963FA"/>
    <w:rsid w:val="00896433"/>
    <w:rsid w:val="008966BB"/>
    <w:rsid w:val="008967C4"/>
    <w:rsid w:val="00896A50"/>
    <w:rsid w:val="00896BE1"/>
    <w:rsid w:val="008970DA"/>
    <w:rsid w:val="0089721D"/>
    <w:rsid w:val="00897436"/>
    <w:rsid w:val="008974A6"/>
    <w:rsid w:val="008975F3"/>
    <w:rsid w:val="00897A12"/>
    <w:rsid w:val="00897CD8"/>
    <w:rsid w:val="00897D6D"/>
    <w:rsid w:val="00897F36"/>
    <w:rsid w:val="00897F7E"/>
    <w:rsid w:val="008A05E0"/>
    <w:rsid w:val="008A09CC"/>
    <w:rsid w:val="008A0AD7"/>
    <w:rsid w:val="008A0B13"/>
    <w:rsid w:val="008A0D2A"/>
    <w:rsid w:val="008A0E70"/>
    <w:rsid w:val="008A0FF5"/>
    <w:rsid w:val="008A1168"/>
    <w:rsid w:val="008A1222"/>
    <w:rsid w:val="008A157E"/>
    <w:rsid w:val="008A1693"/>
    <w:rsid w:val="008A184D"/>
    <w:rsid w:val="008A1C28"/>
    <w:rsid w:val="008A1C45"/>
    <w:rsid w:val="008A1CFF"/>
    <w:rsid w:val="008A1D54"/>
    <w:rsid w:val="008A1EA3"/>
    <w:rsid w:val="008A1F20"/>
    <w:rsid w:val="008A2191"/>
    <w:rsid w:val="008A22B7"/>
    <w:rsid w:val="008A22BE"/>
    <w:rsid w:val="008A237C"/>
    <w:rsid w:val="008A2503"/>
    <w:rsid w:val="008A254F"/>
    <w:rsid w:val="008A25BA"/>
    <w:rsid w:val="008A2630"/>
    <w:rsid w:val="008A2677"/>
    <w:rsid w:val="008A280B"/>
    <w:rsid w:val="008A2CF5"/>
    <w:rsid w:val="008A2DCB"/>
    <w:rsid w:val="008A305E"/>
    <w:rsid w:val="008A30E3"/>
    <w:rsid w:val="008A32B1"/>
    <w:rsid w:val="008A3627"/>
    <w:rsid w:val="008A3945"/>
    <w:rsid w:val="008A3988"/>
    <w:rsid w:val="008A3EB9"/>
    <w:rsid w:val="008A4652"/>
    <w:rsid w:val="008A4730"/>
    <w:rsid w:val="008A48AC"/>
    <w:rsid w:val="008A498B"/>
    <w:rsid w:val="008A49DA"/>
    <w:rsid w:val="008A4A33"/>
    <w:rsid w:val="008A4A79"/>
    <w:rsid w:val="008A4CC2"/>
    <w:rsid w:val="008A4DA0"/>
    <w:rsid w:val="008A50BA"/>
    <w:rsid w:val="008A522A"/>
    <w:rsid w:val="008A5833"/>
    <w:rsid w:val="008A5897"/>
    <w:rsid w:val="008A58AF"/>
    <w:rsid w:val="008A590C"/>
    <w:rsid w:val="008A5928"/>
    <w:rsid w:val="008A5983"/>
    <w:rsid w:val="008A5E99"/>
    <w:rsid w:val="008A5EBC"/>
    <w:rsid w:val="008A5F3E"/>
    <w:rsid w:val="008A61FD"/>
    <w:rsid w:val="008A6206"/>
    <w:rsid w:val="008A66FD"/>
    <w:rsid w:val="008A6875"/>
    <w:rsid w:val="008A6C1F"/>
    <w:rsid w:val="008A6CC4"/>
    <w:rsid w:val="008A6F63"/>
    <w:rsid w:val="008A7400"/>
    <w:rsid w:val="008A762D"/>
    <w:rsid w:val="008A7644"/>
    <w:rsid w:val="008A7690"/>
    <w:rsid w:val="008A7820"/>
    <w:rsid w:val="008A7D47"/>
    <w:rsid w:val="008A7D86"/>
    <w:rsid w:val="008A7E70"/>
    <w:rsid w:val="008A7EF3"/>
    <w:rsid w:val="008A7F6F"/>
    <w:rsid w:val="008B0036"/>
    <w:rsid w:val="008B00E2"/>
    <w:rsid w:val="008B0233"/>
    <w:rsid w:val="008B03B9"/>
    <w:rsid w:val="008B0616"/>
    <w:rsid w:val="008B0677"/>
    <w:rsid w:val="008B06A5"/>
    <w:rsid w:val="008B06B0"/>
    <w:rsid w:val="008B0DE1"/>
    <w:rsid w:val="008B0E61"/>
    <w:rsid w:val="008B2192"/>
    <w:rsid w:val="008B25C7"/>
    <w:rsid w:val="008B3425"/>
    <w:rsid w:val="008B342E"/>
    <w:rsid w:val="008B3638"/>
    <w:rsid w:val="008B3A88"/>
    <w:rsid w:val="008B3CA7"/>
    <w:rsid w:val="008B3F74"/>
    <w:rsid w:val="008B4057"/>
    <w:rsid w:val="008B4167"/>
    <w:rsid w:val="008B4245"/>
    <w:rsid w:val="008B4850"/>
    <w:rsid w:val="008B4A55"/>
    <w:rsid w:val="008B4BC9"/>
    <w:rsid w:val="008B4BD1"/>
    <w:rsid w:val="008B4BEE"/>
    <w:rsid w:val="008B4BFC"/>
    <w:rsid w:val="008B4DD0"/>
    <w:rsid w:val="008B4E82"/>
    <w:rsid w:val="008B4F32"/>
    <w:rsid w:val="008B501C"/>
    <w:rsid w:val="008B507A"/>
    <w:rsid w:val="008B51B4"/>
    <w:rsid w:val="008B5882"/>
    <w:rsid w:val="008B5B67"/>
    <w:rsid w:val="008B5D17"/>
    <w:rsid w:val="008B5D44"/>
    <w:rsid w:val="008B5D7A"/>
    <w:rsid w:val="008B6090"/>
    <w:rsid w:val="008B6098"/>
    <w:rsid w:val="008B626F"/>
    <w:rsid w:val="008B64A9"/>
    <w:rsid w:val="008B66DB"/>
    <w:rsid w:val="008B66E3"/>
    <w:rsid w:val="008B6891"/>
    <w:rsid w:val="008B6DCF"/>
    <w:rsid w:val="008B6FA9"/>
    <w:rsid w:val="008B7122"/>
    <w:rsid w:val="008B7551"/>
    <w:rsid w:val="008B7664"/>
    <w:rsid w:val="008B7695"/>
    <w:rsid w:val="008B7848"/>
    <w:rsid w:val="008B7854"/>
    <w:rsid w:val="008B7B11"/>
    <w:rsid w:val="008B7E23"/>
    <w:rsid w:val="008B7F30"/>
    <w:rsid w:val="008C0622"/>
    <w:rsid w:val="008C0850"/>
    <w:rsid w:val="008C1416"/>
    <w:rsid w:val="008C151F"/>
    <w:rsid w:val="008C1AC4"/>
    <w:rsid w:val="008C1BCF"/>
    <w:rsid w:val="008C1C6C"/>
    <w:rsid w:val="008C1C96"/>
    <w:rsid w:val="008C1DE5"/>
    <w:rsid w:val="008C1E05"/>
    <w:rsid w:val="008C1F13"/>
    <w:rsid w:val="008C21D1"/>
    <w:rsid w:val="008C234D"/>
    <w:rsid w:val="008C2586"/>
    <w:rsid w:val="008C25F4"/>
    <w:rsid w:val="008C286E"/>
    <w:rsid w:val="008C28C2"/>
    <w:rsid w:val="008C290A"/>
    <w:rsid w:val="008C2A57"/>
    <w:rsid w:val="008C2C1A"/>
    <w:rsid w:val="008C34BB"/>
    <w:rsid w:val="008C3984"/>
    <w:rsid w:val="008C3AC1"/>
    <w:rsid w:val="008C3AE8"/>
    <w:rsid w:val="008C4363"/>
    <w:rsid w:val="008C44A2"/>
    <w:rsid w:val="008C45CE"/>
    <w:rsid w:val="008C45E2"/>
    <w:rsid w:val="008C4607"/>
    <w:rsid w:val="008C471F"/>
    <w:rsid w:val="008C4D95"/>
    <w:rsid w:val="008C5135"/>
    <w:rsid w:val="008C5254"/>
    <w:rsid w:val="008C574E"/>
    <w:rsid w:val="008C596E"/>
    <w:rsid w:val="008C5AA4"/>
    <w:rsid w:val="008C5B07"/>
    <w:rsid w:val="008C5CCE"/>
    <w:rsid w:val="008C5DAB"/>
    <w:rsid w:val="008C626C"/>
    <w:rsid w:val="008C63F5"/>
    <w:rsid w:val="008C68FC"/>
    <w:rsid w:val="008C6960"/>
    <w:rsid w:val="008C69B0"/>
    <w:rsid w:val="008C6A90"/>
    <w:rsid w:val="008C6AA2"/>
    <w:rsid w:val="008C6AE1"/>
    <w:rsid w:val="008C6B74"/>
    <w:rsid w:val="008C6C17"/>
    <w:rsid w:val="008C7200"/>
    <w:rsid w:val="008C7360"/>
    <w:rsid w:val="008C75D8"/>
    <w:rsid w:val="008C7683"/>
    <w:rsid w:val="008C77B4"/>
    <w:rsid w:val="008C7841"/>
    <w:rsid w:val="008C7BE2"/>
    <w:rsid w:val="008D0382"/>
    <w:rsid w:val="008D05EA"/>
    <w:rsid w:val="008D075C"/>
    <w:rsid w:val="008D0B39"/>
    <w:rsid w:val="008D0EE8"/>
    <w:rsid w:val="008D1831"/>
    <w:rsid w:val="008D1AB2"/>
    <w:rsid w:val="008D1B79"/>
    <w:rsid w:val="008D1BB6"/>
    <w:rsid w:val="008D1E95"/>
    <w:rsid w:val="008D1F7E"/>
    <w:rsid w:val="008D2048"/>
    <w:rsid w:val="008D2103"/>
    <w:rsid w:val="008D26B1"/>
    <w:rsid w:val="008D2DEB"/>
    <w:rsid w:val="008D2DF5"/>
    <w:rsid w:val="008D2E98"/>
    <w:rsid w:val="008D2FF6"/>
    <w:rsid w:val="008D31D6"/>
    <w:rsid w:val="008D3323"/>
    <w:rsid w:val="008D33FD"/>
    <w:rsid w:val="008D3422"/>
    <w:rsid w:val="008D3671"/>
    <w:rsid w:val="008D3714"/>
    <w:rsid w:val="008D3719"/>
    <w:rsid w:val="008D3726"/>
    <w:rsid w:val="008D382C"/>
    <w:rsid w:val="008D39CE"/>
    <w:rsid w:val="008D3ABB"/>
    <w:rsid w:val="008D3C57"/>
    <w:rsid w:val="008D3D8F"/>
    <w:rsid w:val="008D3E5D"/>
    <w:rsid w:val="008D4110"/>
    <w:rsid w:val="008D4120"/>
    <w:rsid w:val="008D48F5"/>
    <w:rsid w:val="008D4CB0"/>
    <w:rsid w:val="008D4E77"/>
    <w:rsid w:val="008D4F8C"/>
    <w:rsid w:val="008D514C"/>
    <w:rsid w:val="008D521E"/>
    <w:rsid w:val="008D52AE"/>
    <w:rsid w:val="008D544C"/>
    <w:rsid w:val="008D54E4"/>
    <w:rsid w:val="008D5B91"/>
    <w:rsid w:val="008D5E12"/>
    <w:rsid w:val="008D5E27"/>
    <w:rsid w:val="008D603B"/>
    <w:rsid w:val="008D629C"/>
    <w:rsid w:val="008D62EB"/>
    <w:rsid w:val="008D635B"/>
    <w:rsid w:val="008D6397"/>
    <w:rsid w:val="008D69A7"/>
    <w:rsid w:val="008D6A51"/>
    <w:rsid w:val="008D70E1"/>
    <w:rsid w:val="008D73A5"/>
    <w:rsid w:val="008D73C9"/>
    <w:rsid w:val="008D7549"/>
    <w:rsid w:val="008D77A6"/>
    <w:rsid w:val="008D77D6"/>
    <w:rsid w:val="008D77E4"/>
    <w:rsid w:val="008D7A96"/>
    <w:rsid w:val="008D7C46"/>
    <w:rsid w:val="008D7C7B"/>
    <w:rsid w:val="008D7D4F"/>
    <w:rsid w:val="008E0061"/>
    <w:rsid w:val="008E00B6"/>
    <w:rsid w:val="008E0281"/>
    <w:rsid w:val="008E02B2"/>
    <w:rsid w:val="008E02BA"/>
    <w:rsid w:val="008E032E"/>
    <w:rsid w:val="008E0409"/>
    <w:rsid w:val="008E0A82"/>
    <w:rsid w:val="008E0DC1"/>
    <w:rsid w:val="008E0F63"/>
    <w:rsid w:val="008E1080"/>
    <w:rsid w:val="008E10E9"/>
    <w:rsid w:val="008E122E"/>
    <w:rsid w:val="008E1418"/>
    <w:rsid w:val="008E155D"/>
    <w:rsid w:val="008E16BF"/>
    <w:rsid w:val="008E18EE"/>
    <w:rsid w:val="008E1C8B"/>
    <w:rsid w:val="008E2148"/>
    <w:rsid w:val="008E21AA"/>
    <w:rsid w:val="008E22F8"/>
    <w:rsid w:val="008E26D0"/>
    <w:rsid w:val="008E27F8"/>
    <w:rsid w:val="008E3049"/>
    <w:rsid w:val="008E31C4"/>
    <w:rsid w:val="008E332C"/>
    <w:rsid w:val="008E3340"/>
    <w:rsid w:val="008E35A3"/>
    <w:rsid w:val="008E36E5"/>
    <w:rsid w:val="008E3885"/>
    <w:rsid w:val="008E3BE7"/>
    <w:rsid w:val="008E3C0A"/>
    <w:rsid w:val="008E3C6C"/>
    <w:rsid w:val="008E3E54"/>
    <w:rsid w:val="008E40F6"/>
    <w:rsid w:val="008E42AF"/>
    <w:rsid w:val="008E46E2"/>
    <w:rsid w:val="008E46F4"/>
    <w:rsid w:val="008E47E2"/>
    <w:rsid w:val="008E4867"/>
    <w:rsid w:val="008E4A8F"/>
    <w:rsid w:val="008E4AAB"/>
    <w:rsid w:val="008E4FB9"/>
    <w:rsid w:val="008E5005"/>
    <w:rsid w:val="008E5235"/>
    <w:rsid w:val="008E52E7"/>
    <w:rsid w:val="008E54A9"/>
    <w:rsid w:val="008E559C"/>
    <w:rsid w:val="008E5789"/>
    <w:rsid w:val="008E5815"/>
    <w:rsid w:val="008E5A42"/>
    <w:rsid w:val="008E5C5A"/>
    <w:rsid w:val="008E5F6B"/>
    <w:rsid w:val="008E6475"/>
    <w:rsid w:val="008E6546"/>
    <w:rsid w:val="008E661C"/>
    <w:rsid w:val="008E68AF"/>
    <w:rsid w:val="008E6AB0"/>
    <w:rsid w:val="008E6D2C"/>
    <w:rsid w:val="008E7274"/>
    <w:rsid w:val="008E7934"/>
    <w:rsid w:val="008E7AC3"/>
    <w:rsid w:val="008E7AFC"/>
    <w:rsid w:val="008E7E74"/>
    <w:rsid w:val="008F03D6"/>
    <w:rsid w:val="008F03F3"/>
    <w:rsid w:val="008F0562"/>
    <w:rsid w:val="008F072E"/>
    <w:rsid w:val="008F07E3"/>
    <w:rsid w:val="008F080E"/>
    <w:rsid w:val="008F0873"/>
    <w:rsid w:val="008F09DE"/>
    <w:rsid w:val="008F0C49"/>
    <w:rsid w:val="008F0E0C"/>
    <w:rsid w:val="008F0FC1"/>
    <w:rsid w:val="008F0FFB"/>
    <w:rsid w:val="008F10BF"/>
    <w:rsid w:val="008F1658"/>
    <w:rsid w:val="008F1799"/>
    <w:rsid w:val="008F18C7"/>
    <w:rsid w:val="008F1B42"/>
    <w:rsid w:val="008F1B6D"/>
    <w:rsid w:val="008F1CCF"/>
    <w:rsid w:val="008F1CE1"/>
    <w:rsid w:val="008F1ECA"/>
    <w:rsid w:val="008F2078"/>
    <w:rsid w:val="008F2495"/>
    <w:rsid w:val="008F24FF"/>
    <w:rsid w:val="008F25C1"/>
    <w:rsid w:val="008F260B"/>
    <w:rsid w:val="008F27F5"/>
    <w:rsid w:val="008F288B"/>
    <w:rsid w:val="008F2D25"/>
    <w:rsid w:val="008F2D30"/>
    <w:rsid w:val="008F2F07"/>
    <w:rsid w:val="008F2F58"/>
    <w:rsid w:val="008F2FC7"/>
    <w:rsid w:val="008F3267"/>
    <w:rsid w:val="008F3334"/>
    <w:rsid w:val="008F3460"/>
    <w:rsid w:val="008F3676"/>
    <w:rsid w:val="008F3C09"/>
    <w:rsid w:val="008F3EF5"/>
    <w:rsid w:val="008F4083"/>
    <w:rsid w:val="008F4688"/>
    <w:rsid w:val="008F49D4"/>
    <w:rsid w:val="008F4AAF"/>
    <w:rsid w:val="008F4B7A"/>
    <w:rsid w:val="008F4DC3"/>
    <w:rsid w:val="008F4F0F"/>
    <w:rsid w:val="008F529C"/>
    <w:rsid w:val="008F54CA"/>
    <w:rsid w:val="008F559A"/>
    <w:rsid w:val="008F5771"/>
    <w:rsid w:val="008F57F1"/>
    <w:rsid w:val="008F5BCD"/>
    <w:rsid w:val="008F5C6F"/>
    <w:rsid w:val="008F6336"/>
    <w:rsid w:val="008F6429"/>
    <w:rsid w:val="008F68F4"/>
    <w:rsid w:val="008F6BD9"/>
    <w:rsid w:val="008F6C3D"/>
    <w:rsid w:val="008F6CFA"/>
    <w:rsid w:val="008F7220"/>
    <w:rsid w:val="008F722A"/>
    <w:rsid w:val="008F73E7"/>
    <w:rsid w:val="008F7486"/>
    <w:rsid w:val="008F778E"/>
    <w:rsid w:val="008F781E"/>
    <w:rsid w:val="008F7B32"/>
    <w:rsid w:val="008F7B77"/>
    <w:rsid w:val="008F7CED"/>
    <w:rsid w:val="009000D5"/>
    <w:rsid w:val="00900B19"/>
    <w:rsid w:val="00900D99"/>
    <w:rsid w:val="00900E49"/>
    <w:rsid w:val="00900F36"/>
    <w:rsid w:val="00900F42"/>
    <w:rsid w:val="00901098"/>
    <w:rsid w:val="00901295"/>
    <w:rsid w:val="00901331"/>
    <w:rsid w:val="00901345"/>
    <w:rsid w:val="00901477"/>
    <w:rsid w:val="009014F3"/>
    <w:rsid w:val="009015FB"/>
    <w:rsid w:val="00901706"/>
    <w:rsid w:val="009017EE"/>
    <w:rsid w:val="00901C35"/>
    <w:rsid w:val="00901E30"/>
    <w:rsid w:val="00901EA5"/>
    <w:rsid w:val="00901EE0"/>
    <w:rsid w:val="00901EFE"/>
    <w:rsid w:val="0090229B"/>
    <w:rsid w:val="0090241A"/>
    <w:rsid w:val="00902744"/>
    <w:rsid w:val="00902C43"/>
    <w:rsid w:val="00903813"/>
    <w:rsid w:val="009039E8"/>
    <w:rsid w:val="00903ACF"/>
    <w:rsid w:val="00903E31"/>
    <w:rsid w:val="0090457C"/>
    <w:rsid w:val="00904CCE"/>
    <w:rsid w:val="00904DCB"/>
    <w:rsid w:val="009051EB"/>
    <w:rsid w:val="0090535D"/>
    <w:rsid w:val="0090554C"/>
    <w:rsid w:val="00905648"/>
    <w:rsid w:val="009058E8"/>
    <w:rsid w:val="00905D1E"/>
    <w:rsid w:val="00905DB1"/>
    <w:rsid w:val="00905FE6"/>
    <w:rsid w:val="00906212"/>
    <w:rsid w:val="0090641E"/>
    <w:rsid w:val="009064D6"/>
    <w:rsid w:val="00906821"/>
    <w:rsid w:val="00906B37"/>
    <w:rsid w:val="00906C7F"/>
    <w:rsid w:val="00906E65"/>
    <w:rsid w:val="00906F11"/>
    <w:rsid w:val="00906F64"/>
    <w:rsid w:val="00907037"/>
    <w:rsid w:val="009077E4"/>
    <w:rsid w:val="009078CC"/>
    <w:rsid w:val="00907930"/>
    <w:rsid w:val="0090796F"/>
    <w:rsid w:val="009079A4"/>
    <w:rsid w:val="009079E5"/>
    <w:rsid w:val="00907BFB"/>
    <w:rsid w:val="00907C47"/>
    <w:rsid w:val="00910229"/>
    <w:rsid w:val="00910836"/>
    <w:rsid w:val="00910F6E"/>
    <w:rsid w:val="0091112D"/>
    <w:rsid w:val="00911212"/>
    <w:rsid w:val="0091125B"/>
    <w:rsid w:val="00911431"/>
    <w:rsid w:val="009114CD"/>
    <w:rsid w:val="0091158F"/>
    <w:rsid w:val="009117E3"/>
    <w:rsid w:val="009119FD"/>
    <w:rsid w:val="00911A15"/>
    <w:rsid w:val="00911F78"/>
    <w:rsid w:val="00911FDD"/>
    <w:rsid w:val="00912094"/>
    <w:rsid w:val="0091210F"/>
    <w:rsid w:val="00912289"/>
    <w:rsid w:val="009123EB"/>
    <w:rsid w:val="009125E9"/>
    <w:rsid w:val="00912633"/>
    <w:rsid w:val="00912C0A"/>
    <w:rsid w:val="00912CAC"/>
    <w:rsid w:val="00912CE5"/>
    <w:rsid w:val="009131F9"/>
    <w:rsid w:val="009140D7"/>
    <w:rsid w:val="00914246"/>
    <w:rsid w:val="00914326"/>
    <w:rsid w:val="009144D5"/>
    <w:rsid w:val="00914676"/>
    <w:rsid w:val="00914735"/>
    <w:rsid w:val="00914DD6"/>
    <w:rsid w:val="00914E18"/>
    <w:rsid w:val="0091517C"/>
    <w:rsid w:val="0091523A"/>
    <w:rsid w:val="009154BF"/>
    <w:rsid w:val="00915CF2"/>
    <w:rsid w:val="00915F17"/>
    <w:rsid w:val="00915F98"/>
    <w:rsid w:val="00915FA3"/>
    <w:rsid w:val="009164E3"/>
    <w:rsid w:val="009167C5"/>
    <w:rsid w:val="009168FF"/>
    <w:rsid w:val="00916BBE"/>
    <w:rsid w:val="00916F53"/>
    <w:rsid w:val="00916FEC"/>
    <w:rsid w:val="00917367"/>
    <w:rsid w:val="00917454"/>
    <w:rsid w:val="0091768F"/>
    <w:rsid w:val="0091775D"/>
    <w:rsid w:val="00917A51"/>
    <w:rsid w:val="00917E28"/>
    <w:rsid w:val="0092007C"/>
    <w:rsid w:val="00920307"/>
    <w:rsid w:val="00920331"/>
    <w:rsid w:val="009204D3"/>
    <w:rsid w:val="009204FE"/>
    <w:rsid w:val="00920A9E"/>
    <w:rsid w:val="00920C4B"/>
    <w:rsid w:val="00920E84"/>
    <w:rsid w:val="00920EE3"/>
    <w:rsid w:val="009211FE"/>
    <w:rsid w:val="00921432"/>
    <w:rsid w:val="00921522"/>
    <w:rsid w:val="00921631"/>
    <w:rsid w:val="009217F8"/>
    <w:rsid w:val="009219E3"/>
    <w:rsid w:val="00921A4B"/>
    <w:rsid w:val="00921FC5"/>
    <w:rsid w:val="009224B4"/>
    <w:rsid w:val="00922907"/>
    <w:rsid w:val="00922BDC"/>
    <w:rsid w:val="00922CC4"/>
    <w:rsid w:val="00922E2F"/>
    <w:rsid w:val="00922FEA"/>
    <w:rsid w:val="00923167"/>
    <w:rsid w:val="009231FC"/>
    <w:rsid w:val="009232EB"/>
    <w:rsid w:val="009235EC"/>
    <w:rsid w:val="009239AD"/>
    <w:rsid w:val="00923A47"/>
    <w:rsid w:val="00923D77"/>
    <w:rsid w:val="00923DA3"/>
    <w:rsid w:val="00924127"/>
    <w:rsid w:val="0092430A"/>
    <w:rsid w:val="00924320"/>
    <w:rsid w:val="0092440B"/>
    <w:rsid w:val="0092470E"/>
    <w:rsid w:val="009247CD"/>
    <w:rsid w:val="0092482E"/>
    <w:rsid w:val="00924F26"/>
    <w:rsid w:val="00925038"/>
    <w:rsid w:val="00925187"/>
    <w:rsid w:val="0092549D"/>
    <w:rsid w:val="009255A4"/>
    <w:rsid w:val="00925637"/>
    <w:rsid w:val="00925638"/>
    <w:rsid w:val="00925824"/>
    <w:rsid w:val="00925EAE"/>
    <w:rsid w:val="00925F9E"/>
    <w:rsid w:val="0092600B"/>
    <w:rsid w:val="009260A7"/>
    <w:rsid w:val="009268E7"/>
    <w:rsid w:val="0092709C"/>
    <w:rsid w:val="009270A7"/>
    <w:rsid w:val="0092717F"/>
    <w:rsid w:val="00927481"/>
    <w:rsid w:val="0092755E"/>
    <w:rsid w:val="00927744"/>
    <w:rsid w:val="009278D3"/>
    <w:rsid w:val="0092799C"/>
    <w:rsid w:val="00927B05"/>
    <w:rsid w:val="00927EDA"/>
    <w:rsid w:val="00927F61"/>
    <w:rsid w:val="00930039"/>
    <w:rsid w:val="00930224"/>
    <w:rsid w:val="0093022A"/>
    <w:rsid w:val="00930343"/>
    <w:rsid w:val="009303A6"/>
    <w:rsid w:val="00930545"/>
    <w:rsid w:val="009306F9"/>
    <w:rsid w:val="00930A38"/>
    <w:rsid w:val="00930AAD"/>
    <w:rsid w:val="00930C88"/>
    <w:rsid w:val="00930F4E"/>
    <w:rsid w:val="0093108B"/>
    <w:rsid w:val="009310D8"/>
    <w:rsid w:val="0093116B"/>
    <w:rsid w:val="0093136B"/>
    <w:rsid w:val="00931657"/>
    <w:rsid w:val="00931A83"/>
    <w:rsid w:val="00931D99"/>
    <w:rsid w:val="00931EAE"/>
    <w:rsid w:val="00931F20"/>
    <w:rsid w:val="009327EE"/>
    <w:rsid w:val="0093290B"/>
    <w:rsid w:val="009329A2"/>
    <w:rsid w:val="00932A47"/>
    <w:rsid w:val="00933005"/>
    <w:rsid w:val="0093327D"/>
    <w:rsid w:val="00933768"/>
    <w:rsid w:val="00933D98"/>
    <w:rsid w:val="009341AB"/>
    <w:rsid w:val="009342E5"/>
    <w:rsid w:val="0093436F"/>
    <w:rsid w:val="0093437B"/>
    <w:rsid w:val="009345AE"/>
    <w:rsid w:val="009347E1"/>
    <w:rsid w:val="009348CA"/>
    <w:rsid w:val="009348DE"/>
    <w:rsid w:val="009349D5"/>
    <w:rsid w:val="00934C0F"/>
    <w:rsid w:val="00934C69"/>
    <w:rsid w:val="00934C82"/>
    <w:rsid w:val="0093506C"/>
    <w:rsid w:val="0093518F"/>
    <w:rsid w:val="009354D7"/>
    <w:rsid w:val="0093566F"/>
    <w:rsid w:val="00935993"/>
    <w:rsid w:val="00935E43"/>
    <w:rsid w:val="00936062"/>
    <w:rsid w:val="00936588"/>
    <w:rsid w:val="009369D3"/>
    <w:rsid w:val="00936B82"/>
    <w:rsid w:val="00936E8A"/>
    <w:rsid w:val="00937387"/>
    <w:rsid w:val="009374BD"/>
    <w:rsid w:val="00937CBE"/>
    <w:rsid w:val="00937EEC"/>
    <w:rsid w:val="00937F78"/>
    <w:rsid w:val="00937FEC"/>
    <w:rsid w:val="00940186"/>
    <w:rsid w:val="0094021B"/>
    <w:rsid w:val="00940223"/>
    <w:rsid w:val="009402D2"/>
    <w:rsid w:val="009402F3"/>
    <w:rsid w:val="00940A74"/>
    <w:rsid w:val="00941230"/>
    <w:rsid w:val="00941249"/>
    <w:rsid w:val="00941777"/>
    <w:rsid w:val="00941929"/>
    <w:rsid w:val="00941B18"/>
    <w:rsid w:val="00941EF1"/>
    <w:rsid w:val="00941FFB"/>
    <w:rsid w:val="0094208A"/>
    <w:rsid w:val="00942302"/>
    <w:rsid w:val="00942539"/>
    <w:rsid w:val="00942646"/>
    <w:rsid w:val="009426E1"/>
    <w:rsid w:val="00942B09"/>
    <w:rsid w:val="00942B4F"/>
    <w:rsid w:val="00942FF2"/>
    <w:rsid w:val="00943386"/>
    <w:rsid w:val="009438E2"/>
    <w:rsid w:val="00943C64"/>
    <w:rsid w:val="00944087"/>
    <w:rsid w:val="0094418D"/>
    <w:rsid w:val="00944337"/>
    <w:rsid w:val="009444B8"/>
    <w:rsid w:val="009446E0"/>
    <w:rsid w:val="00944922"/>
    <w:rsid w:val="00944A9A"/>
    <w:rsid w:val="00944C22"/>
    <w:rsid w:val="00944E74"/>
    <w:rsid w:val="00944F30"/>
    <w:rsid w:val="0094504B"/>
    <w:rsid w:val="00945147"/>
    <w:rsid w:val="009466C5"/>
    <w:rsid w:val="00946854"/>
    <w:rsid w:val="00946EAB"/>
    <w:rsid w:val="00946F11"/>
    <w:rsid w:val="009470D9"/>
    <w:rsid w:val="00947138"/>
    <w:rsid w:val="00947215"/>
    <w:rsid w:val="00947304"/>
    <w:rsid w:val="0094752A"/>
    <w:rsid w:val="00947799"/>
    <w:rsid w:val="00947854"/>
    <w:rsid w:val="00947CB6"/>
    <w:rsid w:val="0095008A"/>
    <w:rsid w:val="0095012E"/>
    <w:rsid w:val="00950233"/>
    <w:rsid w:val="009503BF"/>
    <w:rsid w:val="009504D6"/>
    <w:rsid w:val="0095059B"/>
    <w:rsid w:val="009505C1"/>
    <w:rsid w:val="00950ACE"/>
    <w:rsid w:val="00950DED"/>
    <w:rsid w:val="00950E13"/>
    <w:rsid w:val="00950FCC"/>
    <w:rsid w:val="00951493"/>
    <w:rsid w:val="00951649"/>
    <w:rsid w:val="00951934"/>
    <w:rsid w:val="0095207B"/>
    <w:rsid w:val="0095216F"/>
    <w:rsid w:val="00952326"/>
    <w:rsid w:val="00952346"/>
    <w:rsid w:val="00952352"/>
    <w:rsid w:val="009524DD"/>
    <w:rsid w:val="009525DB"/>
    <w:rsid w:val="009529FA"/>
    <w:rsid w:val="00952F8A"/>
    <w:rsid w:val="0095312C"/>
    <w:rsid w:val="009536AD"/>
    <w:rsid w:val="00953A5C"/>
    <w:rsid w:val="00953F0C"/>
    <w:rsid w:val="00954065"/>
    <w:rsid w:val="009540B2"/>
    <w:rsid w:val="009541B6"/>
    <w:rsid w:val="009542A6"/>
    <w:rsid w:val="00954342"/>
    <w:rsid w:val="00954635"/>
    <w:rsid w:val="009547DA"/>
    <w:rsid w:val="0095481D"/>
    <w:rsid w:val="009548EB"/>
    <w:rsid w:val="00954B0E"/>
    <w:rsid w:val="00954BED"/>
    <w:rsid w:val="00954C8C"/>
    <w:rsid w:val="00954E88"/>
    <w:rsid w:val="009552E7"/>
    <w:rsid w:val="009557F2"/>
    <w:rsid w:val="00955C24"/>
    <w:rsid w:val="00955F24"/>
    <w:rsid w:val="00955FD7"/>
    <w:rsid w:val="009560FE"/>
    <w:rsid w:val="00956473"/>
    <w:rsid w:val="00956690"/>
    <w:rsid w:val="009569B2"/>
    <w:rsid w:val="00956A69"/>
    <w:rsid w:val="00956ACE"/>
    <w:rsid w:val="00956DCF"/>
    <w:rsid w:val="00956E16"/>
    <w:rsid w:val="00956E33"/>
    <w:rsid w:val="00956F89"/>
    <w:rsid w:val="00957274"/>
    <w:rsid w:val="009572A0"/>
    <w:rsid w:val="00957634"/>
    <w:rsid w:val="00957D24"/>
    <w:rsid w:val="00957D49"/>
    <w:rsid w:val="00957F44"/>
    <w:rsid w:val="009600B5"/>
    <w:rsid w:val="009603AD"/>
    <w:rsid w:val="009608BE"/>
    <w:rsid w:val="00960955"/>
    <w:rsid w:val="00960A25"/>
    <w:rsid w:val="00960A32"/>
    <w:rsid w:val="00960C9D"/>
    <w:rsid w:val="00960D90"/>
    <w:rsid w:val="00960DCF"/>
    <w:rsid w:val="00961295"/>
    <w:rsid w:val="00961427"/>
    <w:rsid w:val="009617F4"/>
    <w:rsid w:val="0096188E"/>
    <w:rsid w:val="00961A51"/>
    <w:rsid w:val="00961A85"/>
    <w:rsid w:val="00961B53"/>
    <w:rsid w:val="00961BDB"/>
    <w:rsid w:val="00961CE7"/>
    <w:rsid w:val="00961D67"/>
    <w:rsid w:val="00961DA5"/>
    <w:rsid w:val="00962125"/>
    <w:rsid w:val="009621B0"/>
    <w:rsid w:val="00962268"/>
    <w:rsid w:val="00962663"/>
    <w:rsid w:val="00962AC6"/>
    <w:rsid w:val="00962B0E"/>
    <w:rsid w:val="00962FD3"/>
    <w:rsid w:val="00963264"/>
    <w:rsid w:val="009632C6"/>
    <w:rsid w:val="00963485"/>
    <w:rsid w:val="00963745"/>
    <w:rsid w:val="0096389D"/>
    <w:rsid w:val="009639CC"/>
    <w:rsid w:val="00963A50"/>
    <w:rsid w:val="00963AD6"/>
    <w:rsid w:val="00963B15"/>
    <w:rsid w:val="00964ABD"/>
    <w:rsid w:val="00964E09"/>
    <w:rsid w:val="00964E59"/>
    <w:rsid w:val="00964EE6"/>
    <w:rsid w:val="009650D8"/>
    <w:rsid w:val="0096511A"/>
    <w:rsid w:val="009652DB"/>
    <w:rsid w:val="00965FC1"/>
    <w:rsid w:val="00966059"/>
    <w:rsid w:val="00966149"/>
    <w:rsid w:val="009661AE"/>
    <w:rsid w:val="00966220"/>
    <w:rsid w:val="00966355"/>
    <w:rsid w:val="00966384"/>
    <w:rsid w:val="0096642D"/>
    <w:rsid w:val="009667BC"/>
    <w:rsid w:val="00966C83"/>
    <w:rsid w:val="009671FC"/>
    <w:rsid w:val="00967252"/>
    <w:rsid w:val="00967306"/>
    <w:rsid w:val="009676C0"/>
    <w:rsid w:val="0096775B"/>
    <w:rsid w:val="00967847"/>
    <w:rsid w:val="0096792B"/>
    <w:rsid w:val="00967932"/>
    <w:rsid w:val="009679CD"/>
    <w:rsid w:val="00967A40"/>
    <w:rsid w:val="00967E00"/>
    <w:rsid w:val="00967E04"/>
    <w:rsid w:val="00967E2A"/>
    <w:rsid w:val="00970034"/>
    <w:rsid w:val="00970D22"/>
    <w:rsid w:val="00970DD6"/>
    <w:rsid w:val="00970EEC"/>
    <w:rsid w:val="0097128B"/>
    <w:rsid w:val="00971598"/>
    <w:rsid w:val="00971610"/>
    <w:rsid w:val="0097165F"/>
    <w:rsid w:val="00971A1E"/>
    <w:rsid w:val="00971A57"/>
    <w:rsid w:val="00971DAF"/>
    <w:rsid w:val="00971E6C"/>
    <w:rsid w:val="009722F8"/>
    <w:rsid w:val="009723A0"/>
    <w:rsid w:val="009725D6"/>
    <w:rsid w:val="0097272C"/>
    <w:rsid w:val="009729EF"/>
    <w:rsid w:val="00972A92"/>
    <w:rsid w:val="00972D3C"/>
    <w:rsid w:val="00972E0A"/>
    <w:rsid w:val="00973082"/>
    <w:rsid w:val="009733F1"/>
    <w:rsid w:val="00973441"/>
    <w:rsid w:val="00973BFD"/>
    <w:rsid w:val="00973F84"/>
    <w:rsid w:val="0097474E"/>
    <w:rsid w:val="00974995"/>
    <w:rsid w:val="00974A1B"/>
    <w:rsid w:val="00974BB5"/>
    <w:rsid w:val="00974F7B"/>
    <w:rsid w:val="009755AE"/>
    <w:rsid w:val="009755EE"/>
    <w:rsid w:val="0097577C"/>
    <w:rsid w:val="0097595E"/>
    <w:rsid w:val="00975AF0"/>
    <w:rsid w:val="00975B26"/>
    <w:rsid w:val="00975B65"/>
    <w:rsid w:val="00975F9A"/>
    <w:rsid w:val="00976226"/>
    <w:rsid w:val="0097632C"/>
    <w:rsid w:val="009765B7"/>
    <w:rsid w:val="00976B67"/>
    <w:rsid w:val="009770F3"/>
    <w:rsid w:val="009772FE"/>
    <w:rsid w:val="009776A0"/>
    <w:rsid w:val="0097794E"/>
    <w:rsid w:val="00977A75"/>
    <w:rsid w:val="00977C34"/>
    <w:rsid w:val="00977CD0"/>
    <w:rsid w:val="00977CF9"/>
    <w:rsid w:val="009803A9"/>
    <w:rsid w:val="009803CB"/>
    <w:rsid w:val="009803D4"/>
    <w:rsid w:val="009804DE"/>
    <w:rsid w:val="00980533"/>
    <w:rsid w:val="00980753"/>
    <w:rsid w:val="009807A2"/>
    <w:rsid w:val="009807C9"/>
    <w:rsid w:val="00980FF0"/>
    <w:rsid w:val="00981086"/>
    <w:rsid w:val="0098122F"/>
    <w:rsid w:val="009814FF"/>
    <w:rsid w:val="00981521"/>
    <w:rsid w:val="00981677"/>
    <w:rsid w:val="00981678"/>
    <w:rsid w:val="0098199C"/>
    <w:rsid w:val="00981BB9"/>
    <w:rsid w:val="00981D0B"/>
    <w:rsid w:val="00981D39"/>
    <w:rsid w:val="00981FF8"/>
    <w:rsid w:val="009820EC"/>
    <w:rsid w:val="0098236F"/>
    <w:rsid w:val="009828CE"/>
    <w:rsid w:val="009828E8"/>
    <w:rsid w:val="009829C5"/>
    <w:rsid w:val="00982ED1"/>
    <w:rsid w:val="00982F11"/>
    <w:rsid w:val="00982F78"/>
    <w:rsid w:val="009831CD"/>
    <w:rsid w:val="0098323D"/>
    <w:rsid w:val="009833CB"/>
    <w:rsid w:val="0098379B"/>
    <w:rsid w:val="009837BA"/>
    <w:rsid w:val="00983836"/>
    <w:rsid w:val="009838A7"/>
    <w:rsid w:val="00983E86"/>
    <w:rsid w:val="00984191"/>
    <w:rsid w:val="0098425C"/>
    <w:rsid w:val="009847B9"/>
    <w:rsid w:val="009849B2"/>
    <w:rsid w:val="009849D7"/>
    <w:rsid w:val="00984B2D"/>
    <w:rsid w:val="00984C29"/>
    <w:rsid w:val="00984E04"/>
    <w:rsid w:val="009851D8"/>
    <w:rsid w:val="00985406"/>
    <w:rsid w:val="00985485"/>
    <w:rsid w:val="00985B5D"/>
    <w:rsid w:val="00985BA5"/>
    <w:rsid w:val="00985CD5"/>
    <w:rsid w:val="00985EC6"/>
    <w:rsid w:val="00985F14"/>
    <w:rsid w:val="009860AA"/>
    <w:rsid w:val="009864CE"/>
    <w:rsid w:val="009866C7"/>
    <w:rsid w:val="0098681E"/>
    <w:rsid w:val="00986A04"/>
    <w:rsid w:val="00986A33"/>
    <w:rsid w:val="00986A93"/>
    <w:rsid w:val="00986F6F"/>
    <w:rsid w:val="00987092"/>
    <w:rsid w:val="00987356"/>
    <w:rsid w:val="009873F3"/>
    <w:rsid w:val="0098750F"/>
    <w:rsid w:val="0098774A"/>
    <w:rsid w:val="00987A34"/>
    <w:rsid w:val="00987A58"/>
    <w:rsid w:val="00987BB7"/>
    <w:rsid w:val="00987CD8"/>
    <w:rsid w:val="009901A7"/>
    <w:rsid w:val="009901D8"/>
    <w:rsid w:val="00990314"/>
    <w:rsid w:val="00990516"/>
    <w:rsid w:val="0099059C"/>
    <w:rsid w:val="00990627"/>
    <w:rsid w:val="00990A9F"/>
    <w:rsid w:val="00990B7F"/>
    <w:rsid w:val="009910B3"/>
    <w:rsid w:val="009913AB"/>
    <w:rsid w:val="009913BE"/>
    <w:rsid w:val="009917AD"/>
    <w:rsid w:val="00991800"/>
    <w:rsid w:val="00991979"/>
    <w:rsid w:val="00991ABC"/>
    <w:rsid w:val="00991AFA"/>
    <w:rsid w:val="00991C0D"/>
    <w:rsid w:val="00991FB3"/>
    <w:rsid w:val="0099217C"/>
    <w:rsid w:val="00992464"/>
    <w:rsid w:val="009926C4"/>
    <w:rsid w:val="00992718"/>
    <w:rsid w:val="00992A60"/>
    <w:rsid w:val="00992FC1"/>
    <w:rsid w:val="00993261"/>
    <w:rsid w:val="0099350C"/>
    <w:rsid w:val="00993742"/>
    <w:rsid w:val="00993F72"/>
    <w:rsid w:val="0099411D"/>
    <w:rsid w:val="00994C22"/>
    <w:rsid w:val="00994D46"/>
    <w:rsid w:val="00994D50"/>
    <w:rsid w:val="00995812"/>
    <w:rsid w:val="00995AD8"/>
    <w:rsid w:val="00995E78"/>
    <w:rsid w:val="00995E98"/>
    <w:rsid w:val="00995F50"/>
    <w:rsid w:val="00996302"/>
    <w:rsid w:val="0099653C"/>
    <w:rsid w:val="00996592"/>
    <w:rsid w:val="0099668A"/>
    <w:rsid w:val="0099686F"/>
    <w:rsid w:val="00996B0B"/>
    <w:rsid w:val="00996CB7"/>
    <w:rsid w:val="00996F0E"/>
    <w:rsid w:val="00996F15"/>
    <w:rsid w:val="0099707E"/>
    <w:rsid w:val="0099728A"/>
    <w:rsid w:val="009977DA"/>
    <w:rsid w:val="00997BA8"/>
    <w:rsid w:val="00997FB8"/>
    <w:rsid w:val="009A01E4"/>
    <w:rsid w:val="009A0282"/>
    <w:rsid w:val="009A0330"/>
    <w:rsid w:val="009A0656"/>
    <w:rsid w:val="009A06F4"/>
    <w:rsid w:val="009A0763"/>
    <w:rsid w:val="009A07D7"/>
    <w:rsid w:val="009A0C02"/>
    <w:rsid w:val="009A0DD4"/>
    <w:rsid w:val="009A1002"/>
    <w:rsid w:val="009A10EB"/>
    <w:rsid w:val="009A1227"/>
    <w:rsid w:val="009A13A1"/>
    <w:rsid w:val="009A15F5"/>
    <w:rsid w:val="009A16C5"/>
    <w:rsid w:val="009A19FD"/>
    <w:rsid w:val="009A1B71"/>
    <w:rsid w:val="009A1B7D"/>
    <w:rsid w:val="009A1D1D"/>
    <w:rsid w:val="009A1D78"/>
    <w:rsid w:val="009A1F36"/>
    <w:rsid w:val="009A2685"/>
    <w:rsid w:val="009A26B1"/>
    <w:rsid w:val="009A26B2"/>
    <w:rsid w:val="009A2A56"/>
    <w:rsid w:val="009A2EAA"/>
    <w:rsid w:val="009A306D"/>
    <w:rsid w:val="009A3253"/>
    <w:rsid w:val="009A32E1"/>
    <w:rsid w:val="009A3778"/>
    <w:rsid w:val="009A3953"/>
    <w:rsid w:val="009A3B77"/>
    <w:rsid w:val="009A3CC9"/>
    <w:rsid w:val="009A3D71"/>
    <w:rsid w:val="009A3DC2"/>
    <w:rsid w:val="009A3E05"/>
    <w:rsid w:val="009A3E2E"/>
    <w:rsid w:val="009A3E6E"/>
    <w:rsid w:val="009A3EED"/>
    <w:rsid w:val="009A4044"/>
    <w:rsid w:val="009A42AB"/>
    <w:rsid w:val="009A4682"/>
    <w:rsid w:val="009A488A"/>
    <w:rsid w:val="009A4A58"/>
    <w:rsid w:val="009A4BAB"/>
    <w:rsid w:val="009A4CF5"/>
    <w:rsid w:val="009A4D0B"/>
    <w:rsid w:val="009A5039"/>
    <w:rsid w:val="009A5193"/>
    <w:rsid w:val="009A52D7"/>
    <w:rsid w:val="009A53CC"/>
    <w:rsid w:val="009A576E"/>
    <w:rsid w:val="009A57B8"/>
    <w:rsid w:val="009A591B"/>
    <w:rsid w:val="009A5B71"/>
    <w:rsid w:val="009A5D44"/>
    <w:rsid w:val="009A5DF6"/>
    <w:rsid w:val="009A63BA"/>
    <w:rsid w:val="009A652E"/>
    <w:rsid w:val="009A65EC"/>
    <w:rsid w:val="009A699C"/>
    <w:rsid w:val="009A6A52"/>
    <w:rsid w:val="009A6D72"/>
    <w:rsid w:val="009A6DF0"/>
    <w:rsid w:val="009A6EFF"/>
    <w:rsid w:val="009A6F7A"/>
    <w:rsid w:val="009A6FC5"/>
    <w:rsid w:val="009A6FDF"/>
    <w:rsid w:val="009A72A0"/>
    <w:rsid w:val="009A74F0"/>
    <w:rsid w:val="009A77B8"/>
    <w:rsid w:val="009A786E"/>
    <w:rsid w:val="009A7B07"/>
    <w:rsid w:val="009A7B7C"/>
    <w:rsid w:val="009A7F34"/>
    <w:rsid w:val="009A7F83"/>
    <w:rsid w:val="009A7FB7"/>
    <w:rsid w:val="009B0156"/>
    <w:rsid w:val="009B03E7"/>
    <w:rsid w:val="009B0784"/>
    <w:rsid w:val="009B0E45"/>
    <w:rsid w:val="009B0F5E"/>
    <w:rsid w:val="009B103C"/>
    <w:rsid w:val="009B124A"/>
    <w:rsid w:val="009B1259"/>
    <w:rsid w:val="009B136C"/>
    <w:rsid w:val="009B13C5"/>
    <w:rsid w:val="009B14DF"/>
    <w:rsid w:val="009B1644"/>
    <w:rsid w:val="009B1B43"/>
    <w:rsid w:val="009B1F5D"/>
    <w:rsid w:val="009B205B"/>
    <w:rsid w:val="009B2245"/>
    <w:rsid w:val="009B2563"/>
    <w:rsid w:val="009B258E"/>
    <w:rsid w:val="009B2590"/>
    <w:rsid w:val="009B27EC"/>
    <w:rsid w:val="009B2C5B"/>
    <w:rsid w:val="009B2CBE"/>
    <w:rsid w:val="009B3324"/>
    <w:rsid w:val="009B35BC"/>
    <w:rsid w:val="009B3813"/>
    <w:rsid w:val="009B3865"/>
    <w:rsid w:val="009B423E"/>
    <w:rsid w:val="009B4629"/>
    <w:rsid w:val="009B47B2"/>
    <w:rsid w:val="009B48C9"/>
    <w:rsid w:val="009B4A49"/>
    <w:rsid w:val="009B4CD1"/>
    <w:rsid w:val="009B4E42"/>
    <w:rsid w:val="009B5007"/>
    <w:rsid w:val="009B5084"/>
    <w:rsid w:val="009B53DC"/>
    <w:rsid w:val="009B5970"/>
    <w:rsid w:val="009B5997"/>
    <w:rsid w:val="009B6947"/>
    <w:rsid w:val="009B6B23"/>
    <w:rsid w:val="009B6C0C"/>
    <w:rsid w:val="009B6D8D"/>
    <w:rsid w:val="009B6DDA"/>
    <w:rsid w:val="009B6ECB"/>
    <w:rsid w:val="009B6F3A"/>
    <w:rsid w:val="009B716A"/>
    <w:rsid w:val="009B717D"/>
    <w:rsid w:val="009B721D"/>
    <w:rsid w:val="009B72BF"/>
    <w:rsid w:val="009B72C3"/>
    <w:rsid w:val="009B73AC"/>
    <w:rsid w:val="009B7ABD"/>
    <w:rsid w:val="009B7B87"/>
    <w:rsid w:val="009B7C48"/>
    <w:rsid w:val="009C01F4"/>
    <w:rsid w:val="009C057E"/>
    <w:rsid w:val="009C05C6"/>
    <w:rsid w:val="009C0767"/>
    <w:rsid w:val="009C07E9"/>
    <w:rsid w:val="009C0A41"/>
    <w:rsid w:val="009C0BE2"/>
    <w:rsid w:val="009C1022"/>
    <w:rsid w:val="009C1093"/>
    <w:rsid w:val="009C13E4"/>
    <w:rsid w:val="009C1402"/>
    <w:rsid w:val="009C163C"/>
    <w:rsid w:val="009C171D"/>
    <w:rsid w:val="009C189C"/>
    <w:rsid w:val="009C1A05"/>
    <w:rsid w:val="009C1D27"/>
    <w:rsid w:val="009C20AD"/>
    <w:rsid w:val="009C2158"/>
    <w:rsid w:val="009C2188"/>
    <w:rsid w:val="009C2210"/>
    <w:rsid w:val="009C334A"/>
    <w:rsid w:val="009C37C7"/>
    <w:rsid w:val="009C39AA"/>
    <w:rsid w:val="009C39FA"/>
    <w:rsid w:val="009C3BD1"/>
    <w:rsid w:val="009C3BD9"/>
    <w:rsid w:val="009C3C8C"/>
    <w:rsid w:val="009C3DFD"/>
    <w:rsid w:val="009C3E98"/>
    <w:rsid w:val="009C3F2E"/>
    <w:rsid w:val="009C4079"/>
    <w:rsid w:val="009C4419"/>
    <w:rsid w:val="009C442F"/>
    <w:rsid w:val="009C4A5D"/>
    <w:rsid w:val="009C4F7C"/>
    <w:rsid w:val="009C511B"/>
    <w:rsid w:val="009C53BD"/>
    <w:rsid w:val="009C5688"/>
    <w:rsid w:val="009C5790"/>
    <w:rsid w:val="009C5A10"/>
    <w:rsid w:val="009C5B82"/>
    <w:rsid w:val="009C5D3D"/>
    <w:rsid w:val="009C5EF2"/>
    <w:rsid w:val="009C5FEE"/>
    <w:rsid w:val="009C64A9"/>
    <w:rsid w:val="009C6E83"/>
    <w:rsid w:val="009C6ECF"/>
    <w:rsid w:val="009C73EC"/>
    <w:rsid w:val="009C756E"/>
    <w:rsid w:val="009C7670"/>
    <w:rsid w:val="009C7820"/>
    <w:rsid w:val="009C78A4"/>
    <w:rsid w:val="009C7D2E"/>
    <w:rsid w:val="009C7F42"/>
    <w:rsid w:val="009C7FE3"/>
    <w:rsid w:val="009D0381"/>
    <w:rsid w:val="009D0670"/>
    <w:rsid w:val="009D0960"/>
    <w:rsid w:val="009D0B00"/>
    <w:rsid w:val="009D0CC6"/>
    <w:rsid w:val="009D1036"/>
    <w:rsid w:val="009D105A"/>
    <w:rsid w:val="009D117F"/>
    <w:rsid w:val="009D145B"/>
    <w:rsid w:val="009D1485"/>
    <w:rsid w:val="009D1627"/>
    <w:rsid w:val="009D174E"/>
    <w:rsid w:val="009D17F8"/>
    <w:rsid w:val="009D1A97"/>
    <w:rsid w:val="009D1AE2"/>
    <w:rsid w:val="009D1B31"/>
    <w:rsid w:val="009D1B44"/>
    <w:rsid w:val="009D1D73"/>
    <w:rsid w:val="009D1DE2"/>
    <w:rsid w:val="009D21BE"/>
    <w:rsid w:val="009D2441"/>
    <w:rsid w:val="009D29C8"/>
    <w:rsid w:val="009D2DE2"/>
    <w:rsid w:val="009D2FAA"/>
    <w:rsid w:val="009D2FD9"/>
    <w:rsid w:val="009D3065"/>
    <w:rsid w:val="009D3117"/>
    <w:rsid w:val="009D32F8"/>
    <w:rsid w:val="009D34BB"/>
    <w:rsid w:val="009D35B2"/>
    <w:rsid w:val="009D3603"/>
    <w:rsid w:val="009D3701"/>
    <w:rsid w:val="009D3737"/>
    <w:rsid w:val="009D3854"/>
    <w:rsid w:val="009D3C3D"/>
    <w:rsid w:val="009D3D20"/>
    <w:rsid w:val="009D3F0B"/>
    <w:rsid w:val="009D4302"/>
    <w:rsid w:val="009D435A"/>
    <w:rsid w:val="009D4713"/>
    <w:rsid w:val="009D49A3"/>
    <w:rsid w:val="009D4A2C"/>
    <w:rsid w:val="009D5243"/>
    <w:rsid w:val="009D5288"/>
    <w:rsid w:val="009D531F"/>
    <w:rsid w:val="009D579B"/>
    <w:rsid w:val="009D58A0"/>
    <w:rsid w:val="009D59CD"/>
    <w:rsid w:val="009D5AFB"/>
    <w:rsid w:val="009D66EC"/>
    <w:rsid w:val="009D689D"/>
    <w:rsid w:val="009D6B2A"/>
    <w:rsid w:val="009D70D0"/>
    <w:rsid w:val="009D7520"/>
    <w:rsid w:val="009D77A9"/>
    <w:rsid w:val="009D78EA"/>
    <w:rsid w:val="009D7C21"/>
    <w:rsid w:val="009D7CE9"/>
    <w:rsid w:val="009E002B"/>
    <w:rsid w:val="009E04C0"/>
    <w:rsid w:val="009E065D"/>
    <w:rsid w:val="009E083E"/>
    <w:rsid w:val="009E08E6"/>
    <w:rsid w:val="009E0917"/>
    <w:rsid w:val="009E0A37"/>
    <w:rsid w:val="009E0AEA"/>
    <w:rsid w:val="009E0EB1"/>
    <w:rsid w:val="009E0F45"/>
    <w:rsid w:val="009E0F5A"/>
    <w:rsid w:val="009E0F9D"/>
    <w:rsid w:val="009E111D"/>
    <w:rsid w:val="009E12CC"/>
    <w:rsid w:val="009E1416"/>
    <w:rsid w:val="009E14A6"/>
    <w:rsid w:val="009E14DC"/>
    <w:rsid w:val="009E1754"/>
    <w:rsid w:val="009E177E"/>
    <w:rsid w:val="009E1CE2"/>
    <w:rsid w:val="009E1E26"/>
    <w:rsid w:val="009E1F46"/>
    <w:rsid w:val="009E2003"/>
    <w:rsid w:val="009E2062"/>
    <w:rsid w:val="009E244C"/>
    <w:rsid w:val="009E2489"/>
    <w:rsid w:val="009E2526"/>
    <w:rsid w:val="009E2799"/>
    <w:rsid w:val="009E27A8"/>
    <w:rsid w:val="009E2AD3"/>
    <w:rsid w:val="009E2B08"/>
    <w:rsid w:val="009E2CAB"/>
    <w:rsid w:val="009E2DAE"/>
    <w:rsid w:val="009E2F95"/>
    <w:rsid w:val="009E347C"/>
    <w:rsid w:val="009E36AE"/>
    <w:rsid w:val="009E3DB0"/>
    <w:rsid w:val="009E3EAA"/>
    <w:rsid w:val="009E4113"/>
    <w:rsid w:val="009E439E"/>
    <w:rsid w:val="009E4454"/>
    <w:rsid w:val="009E448E"/>
    <w:rsid w:val="009E47E5"/>
    <w:rsid w:val="009E48E2"/>
    <w:rsid w:val="009E4CF0"/>
    <w:rsid w:val="009E4DBC"/>
    <w:rsid w:val="009E4F1D"/>
    <w:rsid w:val="009E5072"/>
    <w:rsid w:val="009E51EA"/>
    <w:rsid w:val="009E52C7"/>
    <w:rsid w:val="009E5568"/>
    <w:rsid w:val="009E557D"/>
    <w:rsid w:val="009E593F"/>
    <w:rsid w:val="009E5A4E"/>
    <w:rsid w:val="009E5F4A"/>
    <w:rsid w:val="009E6032"/>
    <w:rsid w:val="009E604C"/>
    <w:rsid w:val="009E6091"/>
    <w:rsid w:val="009E6CF8"/>
    <w:rsid w:val="009E6F90"/>
    <w:rsid w:val="009E7189"/>
    <w:rsid w:val="009E72FC"/>
    <w:rsid w:val="009E7568"/>
    <w:rsid w:val="009E75A0"/>
    <w:rsid w:val="009E7600"/>
    <w:rsid w:val="009E7632"/>
    <w:rsid w:val="009E7707"/>
    <w:rsid w:val="009E77D5"/>
    <w:rsid w:val="009E79D8"/>
    <w:rsid w:val="009E7CC1"/>
    <w:rsid w:val="009E7F98"/>
    <w:rsid w:val="009F01A8"/>
    <w:rsid w:val="009F020B"/>
    <w:rsid w:val="009F057E"/>
    <w:rsid w:val="009F06C4"/>
    <w:rsid w:val="009F0842"/>
    <w:rsid w:val="009F0AE0"/>
    <w:rsid w:val="009F0C3B"/>
    <w:rsid w:val="009F116B"/>
    <w:rsid w:val="009F146F"/>
    <w:rsid w:val="009F149B"/>
    <w:rsid w:val="009F16EB"/>
    <w:rsid w:val="009F20FF"/>
    <w:rsid w:val="009F254B"/>
    <w:rsid w:val="009F26DF"/>
    <w:rsid w:val="009F290B"/>
    <w:rsid w:val="009F2922"/>
    <w:rsid w:val="009F29C9"/>
    <w:rsid w:val="009F2D5A"/>
    <w:rsid w:val="009F3277"/>
    <w:rsid w:val="009F3284"/>
    <w:rsid w:val="009F32FF"/>
    <w:rsid w:val="009F3464"/>
    <w:rsid w:val="009F357F"/>
    <w:rsid w:val="009F35AD"/>
    <w:rsid w:val="009F3686"/>
    <w:rsid w:val="009F37CD"/>
    <w:rsid w:val="009F37FC"/>
    <w:rsid w:val="009F39A3"/>
    <w:rsid w:val="009F3AC9"/>
    <w:rsid w:val="009F3C75"/>
    <w:rsid w:val="009F4146"/>
    <w:rsid w:val="009F434D"/>
    <w:rsid w:val="009F4874"/>
    <w:rsid w:val="009F49A0"/>
    <w:rsid w:val="009F4B9F"/>
    <w:rsid w:val="009F4BD3"/>
    <w:rsid w:val="009F4F5B"/>
    <w:rsid w:val="009F50B2"/>
    <w:rsid w:val="009F5323"/>
    <w:rsid w:val="009F5682"/>
    <w:rsid w:val="009F56B2"/>
    <w:rsid w:val="009F5841"/>
    <w:rsid w:val="009F5A08"/>
    <w:rsid w:val="009F625F"/>
    <w:rsid w:val="009F6378"/>
    <w:rsid w:val="009F6654"/>
    <w:rsid w:val="009F66CE"/>
    <w:rsid w:val="009F6831"/>
    <w:rsid w:val="009F68F7"/>
    <w:rsid w:val="009F6916"/>
    <w:rsid w:val="009F692A"/>
    <w:rsid w:val="009F69FF"/>
    <w:rsid w:val="009F6B7D"/>
    <w:rsid w:val="009F6D46"/>
    <w:rsid w:val="009F6E05"/>
    <w:rsid w:val="009F6F04"/>
    <w:rsid w:val="009F724D"/>
    <w:rsid w:val="009F766A"/>
    <w:rsid w:val="009F77AD"/>
    <w:rsid w:val="009F77D3"/>
    <w:rsid w:val="009F7C38"/>
    <w:rsid w:val="00A000C4"/>
    <w:rsid w:val="00A00146"/>
    <w:rsid w:val="00A001F3"/>
    <w:rsid w:val="00A002AB"/>
    <w:rsid w:val="00A0037E"/>
    <w:rsid w:val="00A00BC0"/>
    <w:rsid w:val="00A00EFC"/>
    <w:rsid w:val="00A01049"/>
    <w:rsid w:val="00A01303"/>
    <w:rsid w:val="00A01467"/>
    <w:rsid w:val="00A01484"/>
    <w:rsid w:val="00A018E6"/>
    <w:rsid w:val="00A01F7C"/>
    <w:rsid w:val="00A021D9"/>
    <w:rsid w:val="00A02916"/>
    <w:rsid w:val="00A02981"/>
    <w:rsid w:val="00A029B7"/>
    <w:rsid w:val="00A02C4F"/>
    <w:rsid w:val="00A02FA2"/>
    <w:rsid w:val="00A03126"/>
    <w:rsid w:val="00A03360"/>
    <w:rsid w:val="00A033F9"/>
    <w:rsid w:val="00A0354B"/>
    <w:rsid w:val="00A03622"/>
    <w:rsid w:val="00A037C3"/>
    <w:rsid w:val="00A037C9"/>
    <w:rsid w:val="00A03ADB"/>
    <w:rsid w:val="00A042D2"/>
    <w:rsid w:val="00A0499B"/>
    <w:rsid w:val="00A04A09"/>
    <w:rsid w:val="00A04A4A"/>
    <w:rsid w:val="00A051F6"/>
    <w:rsid w:val="00A053E3"/>
    <w:rsid w:val="00A054DA"/>
    <w:rsid w:val="00A05689"/>
    <w:rsid w:val="00A05818"/>
    <w:rsid w:val="00A05821"/>
    <w:rsid w:val="00A05837"/>
    <w:rsid w:val="00A0595E"/>
    <w:rsid w:val="00A05A90"/>
    <w:rsid w:val="00A05B31"/>
    <w:rsid w:val="00A05D1D"/>
    <w:rsid w:val="00A05D92"/>
    <w:rsid w:val="00A05DD8"/>
    <w:rsid w:val="00A05E1F"/>
    <w:rsid w:val="00A05E59"/>
    <w:rsid w:val="00A05EA2"/>
    <w:rsid w:val="00A06166"/>
    <w:rsid w:val="00A0620A"/>
    <w:rsid w:val="00A06354"/>
    <w:rsid w:val="00A0643B"/>
    <w:rsid w:val="00A069F3"/>
    <w:rsid w:val="00A06C5D"/>
    <w:rsid w:val="00A06D61"/>
    <w:rsid w:val="00A06E8C"/>
    <w:rsid w:val="00A0722A"/>
    <w:rsid w:val="00A076CC"/>
    <w:rsid w:val="00A07752"/>
    <w:rsid w:val="00A0777D"/>
    <w:rsid w:val="00A0785C"/>
    <w:rsid w:val="00A07933"/>
    <w:rsid w:val="00A07975"/>
    <w:rsid w:val="00A079A0"/>
    <w:rsid w:val="00A07B34"/>
    <w:rsid w:val="00A07BCA"/>
    <w:rsid w:val="00A10812"/>
    <w:rsid w:val="00A10916"/>
    <w:rsid w:val="00A109D1"/>
    <w:rsid w:val="00A1109B"/>
    <w:rsid w:val="00A110D2"/>
    <w:rsid w:val="00A1123E"/>
    <w:rsid w:val="00A1165C"/>
    <w:rsid w:val="00A1197D"/>
    <w:rsid w:val="00A11E47"/>
    <w:rsid w:val="00A125D6"/>
    <w:rsid w:val="00A1280B"/>
    <w:rsid w:val="00A129AD"/>
    <w:rsid w:val="00A12E20"/>
    <w:rsid w:val="00A12EBD"/>
    <w:rsid w:val="00A12ED2"/>
    <w:rsid w:val="00A131DF"/>
    <w:rsid w:val="00A13A18"/>
    <w:rsid w:val="00A13F83"/>
    <w:rsid w:val="00A1443B"/>
    <w:rsid w:val="00A14465"/>
    <w:rsid w:val="00A146CC"/>
    <w:rsid w:val="00A14827"/>
    <w:rsid w:val="00A14A5B"/>
    <w:rsid w:val="00A14AB1"/>
    <w:rsid w:val="00A14D76"/>
    <w:rsid w:val="00A14E53"/>
    <w:rsid w:val="00A15043"/>
    <w:rsid w:val="00A154C9"/>
    <w:rsid w:val="00A15580"/>
    <w:rsid w:val="00A1579B"/>
    <w:rsid w:val="00A158B2"/>
    <w:rsid w:val="00A1598C"/>
    <w:rsid w:val="00A15C0D"/>
    <w:rsid w:val="00A15D91"/>
    <w:rsid w:val="00A15EAE"/>
    <w:rsid w:val="00A160CA"/>
    <w:rsid w:val="00A16178"/>
    <w:rsid w:val="00A161DE"/>
    <w:rsid w:val="00A1620E"/>
    <w:rsid w:val="00A16449"/>
    <w:rsid w:val="00A16480"/>
    <w:rsid w:val="00A164E2"/>
    <w:rsid w:val="00A16525"/>
    <w:rsid w:val="00A168D0"/>
    <w:rsid w:val="00A16BDE"/>
    <w:rsid w:val="00A16C98"/>
    <w:rsid w:val="00A16FC0"/>
    <w:rsid w:val="00A17201"/>
    <w:rsid w:val="00A174F2"/>
    <w:rsid w:val="00A1775F"/>
    <w:rsid w:val="00A178D1"/>
    <w:rsid w:val="00A17966"/>
    <w:rsid w:val="00A17A72"/>
    <w:rsid w:val="00A200AB"/>
    <w:rsid w:val="00A20138"/>
    <w:rsid w:val="00A2016D"/>
    <w:rsid w:val="00A201EA"/>
    <w:rsid w:val="00A2038E"/>
    <w:rsid w:val="00A204B3"/>
    <w:rsid w:val="00A204C2"/>
    <w:rsid w:val="00A20594"/>
    <w:rsid w:val="00A205FC"/>
    <w:rsid w:val="00A20675"/>
    <w:rsid w:val="00A206C3"/>
    <w:rsid w:val="00A20B17"/>
    <w:rsid w:val="00A20C09"/>
    <w:rsid w:val="00A20D53"/>
    <w:rsid w:val="00A212BC"/>
    <w:rsid w:val="00A2139A"/>
    <w:rsid w:val="00A213C2"/>
    <w:rsid w:val="00A213E2"/>
    <w:rsid w:val="00A2175E"/>
    <w:rsid w:val="00A218AB"/>
    <w:rsid w:val="00A218E5"/>
    <w:rsid w:val="00A21BEE"/>
    <w:rsid w:val="00A21C10"/>
    <w:rsid w:val="00A21D31"/>
    <w:rsid w:val="00A220A6"/>
    <w:rsid w:val="00A2255F"/>
    <w:rsid w:val="00A22762"/>
    <w:rsid w:val="00A22864"/>
    <w:rsid w:val="00A22950"/>
    <w:rsid w:val="00A229A0"/>
    <w:rsid w:val="00A22A38"/>
    <w:rsid w:val="00A22C58"/>
    <w:rsid w:val="00A22EFC"/>
    <w:rsid w:val="00A22F10"/>
    <w:rsid w:val="00A23256"/>
    <w:rsid w:val="00A2380A"/>
    <w:rsid w:val="00A238F1"/>
    <w:rsid w:val="00A239E7"/>
    <w:rsid w:val="00A23D22"/>
    <w:rsid w:val="00A23E47"/>
    <w:rsid w:val="00A23FA6"/>
    <w:rsid w:val="00A24170"/>
    <w:rsid w:val="00A241B1"/>
    <w:rsid w:val="00A242DB"/>
    <w:rsid w:val="00A243F7"/>
    <w:rsid w:val="00A246F9"/>
    <w:rsid w:val="00A24751"/>
    <w:rsid w:val="00A2483E"/>
    <w:rsid w:val="00A24911"/>
    <w:rsid w:val="00A24BC6"/>
    <w:rsid w:val="00A24CB7"/>
    <w:rsid w:val="00A24EE5"/>
    <w:rsid w:val="00A2508B"/>
    <w:rsid w:val="00A250C7"/>
    <w:rsid w:val="00A25743"/>
    <w:rsid w:val="00A25A32"/>
    <w:rsid w:val="00A25D25"/>
    <w:rsid w:val="00A260D7"/>
    <w:rsid w:val="00A261D1"/>
    <w:rsid w:val="00A26293"/>
    <w:rsid w:val="00A26389"/>
    <w:rsid w:val="00A263C9"/>
    <w:rsid w:val="00A263E4"/>
    <w:rsid w:val="00A26483"/>
    <w:rsid w:val="00A265F7"/>
    <w:rsid w:val="00A26628"/>
    <w:rsid w:val="00A26B0A"/>
    <w:rsid w:val="00A26D52"/>
    <w:rsid w:val="00A26E52"/>
    <w:rsid w:val="00A26E75"/>
    <w:rsid w:val="00A26E8A"/>
    <w:rsid w:val="00A27017"/>
    <w:rsid w:val="00A271FA"/>
    <w:rsid w:val="00A2720B"/>
    <w:rsid w:val="00A272F7"/>
    <w:rsid w:val="00A273EE"/>
    <w:rsid w:val="00A27A80"/>
    <w:rsid w:val="00A27F2D"/>
    <w:rsid w:val="00A30394"/>
    <w:rsid w:val="00A303B8"/>
    <w:rsid w:val="00A303C7"/>
    <w:rsid w:val="00A30509"/>
    <w:rsid w:val="00A30518"/>
    <w:rsid w:val="00A30591"/>
    <w:rsid w:val="00A307EB"/>
    <w:rsid w:val="00A30AF1"/>
    <w:rsid w:val="00A30EC8"/>
    <w:rsid w:val="00A3113F"/>
    <w:rsid w:val="00A3137A"/>
    <w:rsid w:val="00A313A7"/>
    <w:rsid w:val="00A314BF"/>
    <w:rsid w:val="00A31505"/>
    <w:rsid w:val="00A316AA"/>
    <w:rsid w:val="00A32189"/>
    <w:rsid w:val="00A321CB"/>
    <w:rsid w:val="00A3220C"/>
    <w:rsid w:val="00A323E0"/>
    <w:rsid w:val="00A32629"/>
    <w:rsid w:val="00A32B06"/>
    <w:rsid w:val="00A32B43"/>
    <w:rsid w:val="00A32BED"/>
    <w:rsid w:val="00A32D4A"/>
    <w:rsid w:val="00A32DCB"/>
    <w:rsid w:val="00A32ECE"/>
    <w:rsid w:val="00A330B0"/>
    <w:rsid w:val="00A330CF"/>
    <w:rsid w:val="00A3317B"/>
    <w:rsid w:val="00A33506"/>
    <w:rsid w:val="00A33860"/>
    <w:rsid w:val="00A339B0"/>
    <w:rsid w:val="00A33BDB"/>
    <w:rsid w:val="00A33C7D"/>
    <w:rsid w:val="00A33E80"/>
    <w:rsid w:val="00A33EDE"/>
    <w:rsid w:val="00A33F76"/>
    <w:rsid w:val="00A34104"/>
    <w:rsid w:val="00A3423B"/>
    <w:rsid w:val="00A34559"/>
    <w:rsid w:val="00A3458F"/>
    <w:rsid w:val="00A34682"/>
    <w:rsid w:val="00A34735"/>
    <w:rsid w:val="00A348F6"/>
    <w:rsid w:val="00A34AE8"/>
    <w:rsid w:val="00A34ECE"/>
    <w:rsid w:val="00A35358"/>
    <w:rsid w:val="00A353B9"/>
    <w:rsid w:val="00A35841"/>
    <w:rsid w:val="00A35ED0"/>
    <w:rsid w:val="00A3608B"/>
    <w:rsid w:val="00A361C3"/>
    <w:rsid w:val="00A36581"/>
    <w:rsid w:val="00A3668D"/>
    <w:rsid w:val="00A367B2"/>
    <w:rsid w:val="00A36943"/>
    <w:rsid w:val="00A36C96"/>
    <w:rsid w:val="00A36EFB"/>
    <w:rsid w:val="00A36F0E"/>
    <w:rsid w:val="00A37229"/>
    <w:rsid w:val="00A378A7"/>
    <w:rsid w:val="00A37B9F"/>
    <w:rsid w:val="00A37C06"/>
    <w:rsid w:val="00A37EB2"/>
    <w:rsid w:val="00A40085"/>
    <w:rsid w:val="00A4012E"/>
    <w:rsid w:val="00A402DD"/>
    <w:rsid w:val="00A403BC"/>
    <w:rsid w:val="00A404C6"/>
    <w:rsid w:val="00A404C9"/>
    <w:rsid w:val="00A406E3"/>
    <w:rsid w:val="00A40721"/>
    <w:rsid w:val="00A40BA5"/>
    <w:rsid w:val="00A40F63"/>
    <w:rsid w:val="00A40FE8"/>
    <w:rsid w:val="00A410AA"/>
    <w:rsid w:val="00A411FA"/>
    <w:rsid w:val="00A412B6"/>
    <w:rsid w:val="00A415CC"/>
    <w:rsid w:val="00A417F4"/>
    <w:rsid w:val="00A41AC1"/>
    <w:rsid w:val="00A41C51"/>
    <w:rsid w:val="00A41CFF"/>
    <w:rsid w:val="00A41F10"/>
    <w:rsid w:val="00A41FF9"/>
    <w:rsid w:val="00A4203D"/>
    <w:rsid w:val="00A42045"/>
    <w:rsid w:val="00A4212C"/>
    <w:rsid w:val="00A42359"/>
    <w:rsid w:val="00A423A4"/>
    <w:rsid w:val="00A427DF"/>
    <w:rsid w:val="00A428A9"/>
    <w:rsid w:val="00A42A46"/>
    <w:rsid w:val="00A42BEB"/>
    <w:rsid w:val="00A42D25"/>
    <w:rsid w:val="00A42F1D"/>
    <w:rsid w:val="00A43205"/>
    <w:rsid w:val="00A43487"/>
    <w:rsid w:val="00A434C8"/>
    <w:rsid w:val="00A434D0"/>
    <w:rsid w:val="00A43548"/>
    <w:rsid w:val="00A43774"/>
    <w:rsid w:val="00A4379A"/>
    <w:rsid w:val="00A43952"/>
    <w:rsid w:val="00A43FFC"/>
    <w:rsid w:val="00A443DC"/>
    <w:rsid w:val="00A44496"/>
    <w:rsid w:val="00A44C81"/>
    <w:rsid w:val="00A44CD8"/>
    <w:rsid w:val="00A44D0E"/>
    <w:rsid w:val="00A44E71"/>
    <w:rsid w:val="00A44EC1"/>
    <w:rsid w:val="00A4510E"/>
    <w:rsid w:val="00A454B3"/>
    <w:rsid w:val="00A4566A"/>
    <w:rsid w:val="00A45796"/>
    <w:rsid w:val="00A45B3F"/>
    <w:rsid w:val="00A45E52"/>
    <w:rsid w:val="00A46652"/>
    <w:rsid w:val="00A46744"/>
    <w:rsid w:val="00A468DF"/>
    <w:rsid w:val="00A46D15"/>
    <w:rsid w:val="00A46D5F"/>
    <w:rsid w:val="00A46FDD"/>
    <w:rsid w:val="00A4713D"/>
    <w:rsid w:val="00A47368"/>
    <w:rsid w:val="00A47694"/>
    <w:rsid w:val="00A4771D"/>
    <w:rsid w:val="00A47A7E"/>
    <w:rsid w:val="00A505BE"/>
    <w:rsid w:val="00A50681"/>
    <w:rsid w:val="00A506A0"/>
    <w:rsid w:val="00A50815"/>
    <w:rsid w:val="00A50A8A"/>
    <w:rsid w:val="00A50D62"/>
    <w:rsid w:val="00A50F88"/>
    <w:rsid w:val="00A51280"/>
    <w:rsid w:val="00A513F8"/>
    <w:rsid w:val="00A51431"/>
    <w:rsid w:val="00A514B1"/>
    <w:rsid w:val="00A51B2C"/>
    <w:rsid w:val="00A51FC0"/>
    <w:rsid w:val="00A521D0"/>
    <w:rsid w:val="00A523FD"/>
    <w:rsid w:val="00A52598"/>
    <w:rsid w:val="00A525B7"/>
    <w:rsid w:val="00A528CE"/>
    <w:rsid w:val="00A5295E"/>
    <w:rsid w:val="00A52CE8"/>
    <w:rsid w:val="00A52E57"/>
    <w:rsid w:val="00A52EC7"/>
    <w:rsid w:val="00A52F40"/>
    <w:rsid w:val="00A52F4F"/>
    <w:rsid w:val="00A52F9F"/>
    <w:rsid w:val="00A53090"/>
    <w:rsid w:val="00A5323B"/>
    <w:rsid w:val="00A539A6"/>
    <w:rsid w:val="00A53A26"/>
    <w:rsid w:val="00A53AC2"/>
    <w:rsid w:val="00A53BE2"/>
    <w:rsid w:val="00A53CEB"/>
    <w:rsid w:val="00A53F1C"/>
    <w:rsid w:val="00A53F75"/>
    <w:rsid w:val="00A54141"/>
    <w:rsid w:val="00A54351"/>
    <w:rsid w:val="00A543B1"/>
    <w:rsid w:val="00A54552"/>
    <w:rsid w:val="00A54796"/>
    <w:rsid w:val="00A54DA7"/>
    <w:rsid w:val="00A54DEC"/>
    <w:rsid w:val="00A54FB4"/>
    <w:rsid w:val="00A54FCE"/>
    <w:rsid w:val="00A5516A"/>
    <w:rsid w:val="00A5531F"/>
    <w:rsid w:val="00A55565"/>
    <w:rsid w:val="00A555C8"/>
    <w:rsid w:val="00A557E0"/>
    <w:rsid w:val="00A55A23"/>
    <w:rsid w:val="00A55A6B"/>
    <w:rsid w:val="00A55AF9"/>
    <w:rsid w:val="00A55C75"/>
    <w:rsid w:val="00A561DC"/>
    <w:rsid w:val="00A56475"/>
    <w:rsid w:val="00A56580"/>
    <w:rsid w:val="00A567A2"/>
    <w:rsid w:val="00A56DE0"/>
    <w:rsid w:val="00A571B9"/>
    <w:rsid w:val="00A57231"/>
    <w:rsid w:val="00A5740F"/>
    <w:rsid w:val="00A5742C"/>
    <w:rsid w:val="00A57431"/>
    <w:rsid w:val="00A57542"/>
    <w:rsid w:val="00A575B8"/>
    <w:rsid w:val="00A57673"/>
    <w:rsid w:val="00A579BA"/>
    <w:rsid w:val="00A579E6"/>
    <w:rsid w:val="00A57BA2"/>
    <w:rsid w:val="00A57EEE"/>
    <w:rsid w:val="00A6001B"/>
    <w:rsid w:val="00A6018A"/>
    <w:rsid w:val="00A60272"/>
    <w:rsid w:val="00A60AC1"/>
    <w:rsid w:val="00A60AF7"/>
    <w:rsid w:val="00A60D62"/>
    <w:rsid w:val="00A60FAA"/>
    <w:rsid w:val="00A61363"/>
    <w:rsid w:val="00A61CD8"/>
    <w:rsid w:val="00A61D22"/>
    <w:rsid w:val="00A61D8F"/>
    <w:rsid w:val="00A620DB"/>
    <w:rsid w:val="00A622B3"/>
    <w:rsid w:val="00A629A7"/>
    <w:rsid w:val="00A62A28"/>
    <w:rsid w:val="00A62B34"/>
    <w:rsid w:val="00A62CA9"/>
    <w:rsid w:val="00A62CC5"/>
    <w:rsid w:val="00A6304B"/>
    <w:rsid w:val="00A635A0"/>
    <w:rsid w:val="00A636EF"/>
    <w:rsid w:val="00A6387F"/>
    <w:rsid w:val="00A639DE"/>
    <w:rsid w:val="00A63C07"/>
    <w:rsid w:val="00A63C18"/>
    <w:rsid w:val="00A63C19"/>
    <w:rsid w:val="00A63EF7"/>
    <w:rsid w:val="00A643C7"/>
    <w:rsid w:val="00A644E2"/>
    <w:rsid w:val="00A6473C"/>
    <w:rsid w:val="00A649DA"/>
    <w:rsid w:val="00A64ADF"/>
    <w:rsid w:val="00A64F5B"/>
    <w:rsid w:val="00A655A7"/>
    <w:rsid w:val="00A65A0E"/>
    <w:rsid w:val="00A65A79"/>
    <w:rsid w:val="00A65B14"/>
    <w:rsid w:val="00A65D70"/>
    <w:rsid w:val="00A65DC7"/>
    <w:rsid w:val="00A65F9D"/>
    <w:rsid w:val="00A6611B"/>
    <w:rsid w:val="00A662DC"/>
    <w:rsid w:val="00A66600"/>
    <w:rsid w:val="00A66943"/>
    <w:rsid w:val="00A669F3"/>
    <w:rsid w:val="00A66A00"/>
    <w:rsid w:val="00A66E9D"/>
    <w:rsid w:val="00A6709F"/>
    <w:rsid w:val="00A67194"/>
    <w:rsid w:val="00A671FB"/>
    <w:rsid w:val="00A672E3"/>
    <w:rsid w:val="00A6741B"/>
    <w:rsid w:val="00A67683"/>
    <w:rsid w:val="00A67A64"/>
    <w:rsid w:val="00A67D1F"/>
    <w:rsid w:val="00A67DAF"/>
    <w:rsid w:val="00A701DA"/>
    <w:rsid w:val="00A701DF"/>
    <w:rsid w:val="00A70398"/>
    <w:rsid w:val="00A703D1"/>
    <w:rsid w:val="00A706BD"/>
    <w:rsid w:val="00A706D6"/>
    <w:rsid w:val="00A70C38"/>
    <w:rsid w:val="00A70C78"/>
    <w:rsid w:val="00A70D16"/>
    <w:rsid w:val="00A70EAB"/>
    <w:rsid w:val="00A70F5A"/>
    <w:rsid w:val="00A70F5F"/>
    <w:rsid w:val="00A70F79"/>
    <w:rsid w:val="00A7106B"/>
    <w:rsid w:val="00A711E0"/>
    <w:rsid w:val="00A712ED"/>
    <w:rsid w:val="00A71A83"/>
    <w:rsid w:val="00A71B3F"/>
    <w:rsid w:val="00A71D01"/>
    <w:rsid w:val="00A71D3E"/>
    <w:rsid w:val="00A71D46"/>
    <w:rsid w:val="00A71F75"/>
    <w:rsid w:val="00A72119"/>
    <w:rsid w:val="00A72242"/>
    <w:rsid w:val="00A72AC5"/>
    <w:rsid w:val="00A72CFC"/>
    <w:rsid w:val="00A72E4C"/>
    <w:rsid w:val="00A738DB"/>
    <w:rsid w:val="00A73937"/>
    <w:rsid w:val="00A739D6"/>
    <w:rsid w:val="00A73DA1"/>
    <w:rsid w:val="00A73E81"/>
    <w:rsid w:val="00A74003"/>
    <w:rsid w:val="00A74052"/>
    <w:rsid w:val="00A74181"/>
    <w:rsid w:val="00A74226"/>
    <w:rsid w:val="00A742C4"/>
    <w:rsid w:val="00A746BC"/>
    <w:rsid w:val="00A746CE"/>
    <w:rsid w:val="00A74762"/>
    <w:rsid w:val="00A74764"/>
    <w:rsid w:val="00A747EC"/>
    <w:rsid w:val="00A749EB"/>
    <w:rsid w:val="00A74C82"/>
    <w:rsid w:val="00A75519"/>
    <w:rsid w:val="00A756EE"/>
    <w:rsid w:val="00A757B0"/>
    <w:rsid w:val="00A757EE"/>
    <w:rsid w:val="00A758C8"/>
    <w:rsid w:val="00A75AA4"/>
    <w:rsid w:val="00A75ADD"/>
    <w:rsid w:val="00A75BC8"/>
    <w:rsid w:val="00A75C94"/>
    <w:rsid w:val="00A75CC0"/>
    <w:rsid w:val="00A75CCD"/>
    <w:rsid w:val="00A76190"/>
    <w:rsid w:val="00A763A6"/>
    <w:rsid w:val="00A76586"/>
    <w:rsid w:val="00A7661B"/>
    <w:rsid w:val="00A76669"/>
    <w:rsid w:val="00A76671"/>
    <w:rsid w:val="00A7678A"/>
    <w:rsid w:val="00A7679E"/>
    <w:rsid w:val="00A767BF"/>
    <w:rsid w:val="00A768B7"/>
    <w:rsid w:val="00A76A10"/>
    <w:rsid w:val="00A76A84"/>
    <w:rsid w:val="00A76CD1"/>
    <w:rsid w:val="00A77247"/>
    <w:rsid w:val="00A775A6"/>
    <w:rsid w:val="00A77679"/>
    <w:rsid w:val="00A776A4"/>
    <w:rsid w:val="00A7774E"/>
    <w:rsid w:val="00A77788"/>
    <w:rsid w:val="00A7790B"/>
    <w:rsid w:val="00A77A20"/>
    <w:rsid w:val="00A77BC0"/>
    <w:rsid w:val="00A77E17"/>
    <w:rsid w:val="00A803BA"/>
    <w:rsid w:val="00A8049D"/>
    <w:rsid w:val="00A808DC"/>
    <w:rsid w:val="00A809F6"/>
    <w:rsid w:val="00A80B09"/>
    <w:rsid w:val="00A80C0F"/>
    <w:rsid w:val="00A80DFD"/>
    <w:rsid w:val="00A8139F"/>
    <w:rsid w:val="00A81559"/>
    <w:rsid w:val="00A81A15"/>
    <w:rsid w:val="00A81AC7"/>
    <w:rsid w:val="00A81B0D"/>
    <w:rsid w:val="00A81B40"/>
    <w:rsid w:val="00A81E02"/>
    <w:rsid w:val="00A8222D"/>
    <w:rsid w:val="00A822C2"/>
    <w:rsid w:val="00A824EA"/>
    <w:rsid w:val="00A8267E"/>
    <w:rsid w:val="00A8274D"/>
    <w:rsid w:val="00A82776"/>
    <w:rsid w:val="00A8277F"/>
    <w:rsid w:val="00A82990"/>
    <w:rsid w:val="00A82A1C"/>
    <w:rsid w:val="00A82AC8"/>
    <w:rsid w:val="00A82B38"/>
    <w:rsid w:val="00A82C95"/>
    <w:rsid w:val="00A830D3"/>
    <w:rsid w:val="00A83529"/>
    <w:rsid w:val="00A83B4F"/>
    <w:rsid w:val="00A842BC"/>
    <w:rsid w:val="00A844D2"/>
    <w:rsid w:val="00A844FB"/>
    <w:rsid w:val="00A845AB"/>
    <w:rsid w:val="00A84683"/>
    <w:rsid w:val="00A84880"/>
    <w:rsid w:val="00A84958"/>
    <w:rsid w:val="00A84C41"/>
    <w:rsid w:val="00A84FF5"/>
    <w:rsid w:val="00A85160"/>
    <w:rsid w:val="00A8528F"/>
    <w:rsid w:val="00A855E9"/>
    <w:rsid w:val="00A855F6"/>
    <w:rsid w:val="00A859EA"/>
    <w:rsid w:val="00A85DC0"/>
    <w:rsid w:val="00A85EF9"/>
    <w:rsid w:val="00A8620C"/>
    <w:rsid w:val="00A862C0"/>
    <w:rsid w:val="00A8658D"/>
    <w:rsid w:val="00A868CC"/>
    <w:rsid w:val="00A86A8E"/>
    <w:rsid w:val="00A86AF8"/>
    <w:rsid w:val="00A86BCC"/>
    <w:rsid w:val="00A86CA9"/>
    <w:rsid w:val="00A86CF0"/>
    <w:rsid w:val="00A86DFA"/>
    <w:rsid w:val="00A87213"/>
    <w:rsid w:val="00A873F3"/>
    <w:rsid w:val="00A875A4"/>
    <w:rsid w:val="00A879D3"/>
    <w:rsid w:val="00A87BB5"/>
    <w:rsid w:val="00A87F8A"/>
    <w:rsid w:val="00A90083"/>
    <w:rsid w:val="00A90086"/>
    <w:rsid w:val="00A901B8"/>
    <w:rsid w:val="00A90401"/>
    <w:rsid w:val="00A9045C"/>
    <w:rsid w:val="00A906AF"/>
    <w:rsid w:val="00A9073F"/>
    <w:rsid w:val="00A90CDC"/>
    <w:rsid w:val="00A90E81"/>
    <w:rsid w:val="00A90EDB"/>
    <w:rsid w:val="00A90EE0"/>
    <w:rsid w:val="00A910CC"/>
    <w:rsid w:val="00A911CD"/>
    <w:rsid w:val="00A91542"/>
    <w:rsid w:val="00A91624"/>
    <w:rsid w:val="00A91A23"/>
    <w:rsid w:val="00A91A9C"/>
    <w:rsid w:val="00A91C58"/>
    <w:rsid w:val="00A91DE5"/>
    <w:rsid w:val="00A921E3"/>
    <w:rsid w:val="00A92431"/>
    <w:rsid w:val="00A925BC"/>
    <w:rsid w:val="00A929A7"/>
    <w:rsid w:val="00A92A5B"/>
    <w:rsid w:val="00A92D9E"/>
    <w:rsid w:val="00A93101"/>
    <w:rsid w:val="00A93384"/>
    <w:rsid w:val="00A93B98"/>
    <w:rsid w:val="00A93BE8"/>
    <w:rsid w:val="00A93F1A"/>
    <w:rsid w:val="00A941CD"/>
    <w:rsid w:val="00A9458E"/>
    <w:rsid w:val="00A949D2"/>
    <w:rsid w:val="00A94A1C"/>
    <w:rsid w:val="00A94C01"/>
    <w:rsid w:val="00A94D20"/>
    <w:rsid w:val="00A94FDF"/>
    <w:rsid w:val="00A94FF8"/>
    <w:rsid w:val="00A950BA"/>
    <w:rsid w:val="00A95142"/>
    <w:rsid w:val="00A954A0"/>
    <w:rsid w:val="00A956A2"/>
    <w:rsid w:val="00A95A0C"/>
    <w:rsid w:val="00A95A1F"/>
    <w:rsid w:val="00A95C49"/>
    <w:rsid w:val="00A95CBC"/>
    <w:rsid w:val="00A96274"/>
    <w:rsid w:val="00A9667A"/>
    <w:rsid w:val="00A96729"/>
    <w:rsid w:val="00A96D56"/>
    <w:rsid w:val="00A96DCF"/>
    <w:rsid w:val="00A974AF"/>
    <w:rsid w:val="00A974C9"/>
    <w:rsid w:val="00A974FC"/>
    <w:rsid w:val="00A9752B"/>
    <w:rsid w:val="00A977AC"/>
    <w:rsid w:val="00A97C69"/>
    <w:rsid w:val="00A97F05"/>
    <w:rsid w:val="00A97F08"/>
    <w:rsid w:val="00A97F36"/>
    <w:rsid w:val="00AA0427"/>
    <w:rsid w:val="00AA0494"/>
    <w:rsid w:val="00AA0705"/>
    <w:rsid w:val="00AA0785"/>
    <w:rsid w:val="00AA079A"/>
    <w:rsid w:val="00AA087D"/>
    <w:rsid w:val="00AA0B18"/>
    <w:rsid w:val="00AA105A"/>
    <w:rsid w:val="00AA141F"/>
    <w:rsid w:val="00AA1432"/>
    <w:rsid w:val="00AA181D"/>
    <w:rsid w:val="00AA194C"/>
    <w:rsid w:val="00AA19BF"/>
    <w:rsid w:val="00AA1FF3"/>
    <w:rsid w:val="00AA222D"/>
    <w:rsid w:val="00AA2461"/>
    <w:rsid w:val="00AA2514"/>
    <w:rsid w:val="00AA25A5"/>
    <w:rsid w:val="00AA2865"/>
    <w:rsid w:val="00AA2C03"/>
    <w:rsid w:val="00AA3132"/>
    <w:rsid w:val="00AA315B"/>
    <w:rsid w:val="00AA317E"/>
    <w:rsid w:val="00AA3484"/>
    <w:rsid w:val="00AA34A0"/>
    <w:rsid w:val="00AA34A5"/>
    <w:rsid w:val="00AA39E7"/>
    <w:rsid w:val="00AA3A9B"/>
    <w:rsid w:val="00AA3AE4"/>
    <w:rsid w:val="00AA3B57"/>
    <w:rsid w:val="00AA3BF1"/>
    <w:rsid w:val="00AA3FFB"/>
    <w:rsid w:val="00AA420D"/>
    <w:rsid w:val="00AA48E5"/>
    <w:rsid w:val="00AA4FCD"/>
    <w:rsid w:val="00AA5410"/>
    <w:rsid w:val="00AA5600"/>
    <w:rsid w:val="00AA56CF"/>
    <w:rsid w:val="00AA57A1"/>
    <w:rsid w:val="00AA590D"/>
    <w:rsid w:val="00AA5984"/>
    <w:rsid w:val="00AA5DFF"/>
    <w:rsid w:val="00AA617D"/>
    <w:rsid w:val="00AA6317"/>
    <w:rsid w:val="00AA6A09"/>
    <w:rsid w:val="00AA71DD"/>
    <w:rsid w:val="00AA73CA"/>
    <w:rsid w:val="00AA760A"/>
    <w:rsid w:val="00AA77A5"/>
    <w:rsid w:val="00AA77C7"/>
    <w:rsid w:val="00AA7D74"/>
    <w:rsid w:val="00AA7F0E"/>
    <w:rsid w:val="00AA7F19"/>
    <w:rsid w:val="00AB023E"/>
    <w:rsid w:val="00AB043D"/>
    <w:rsid w:val="00AB0A0A"/>
    <w:rsid w:val="00AB0C35"/>
    <w:rsid w:val="00AB0DC3"/>
    <w:rsid w:val="00AB0EEB"/>
    <w:rsid w:val="00AB0F27"/>
    <w:rsid w:val="00AB10EC"/>
    <w:rsid w:val="00AB1229"/>
    <w:rsid w:val="00AB18DC"/>
    <w:rsid w:val="00AB19E1"/>
    <w:rsid w:val="00AB1AE9"/>
    <w:rsid w:val="00AB1F29"/>
    <w:rsid w:val="00AB1FA4"/>
    <w:rsid w:val="00AB2172"/>
    <w:rsid w:val="00AB21C6"/>
    <w:rsid w:val="00AB23D4"/>
    <w:rsid w:val="00AB23F1"/>
    <w:rsid w:val="00AB2554"/>
    <w:rsid w:val="00AB2599"/>
    <w:rsid w:val="00AB2841"/>
    <w:rsid w:val="00AB2B24"/>
    <w:rsid w:val="00AB2DCB"/>
    <w:rsid w:val="00AB2E3B"/>
    <w:rsid w:val="00AB2F14"/>
    <w:rsid w:val="00AB30A7"/>
    <w:rsid w:val="00AB316F"/>
    <w:rsid w:val="00AB320C"/>
    <w:rsid w:val="00AB3274"/>
    <w:rsid w:val="00AB32EC"/>
    <w:rsid w:val="00AB38BE"/>
    <w:rsid w:val="00AB38E5"/>
    <w:rsid w:val="00AB3DAA"/>
    <w:rsid w:val="00AB4047"/>
    <w:rsid w:val="00AB4238"/>
    <w:rsid w:val="00AB4985"/>
    <w:rsid w:val="00AB4AC8"/>
    <w:rsid w:val="00AB4DD2"/>
    <w:rsid w:val="00AB4E9B"/>
    <w:rsid w:val="00AB4EE2"/>
    <w:rsid w:val="00AB4FB3"/>
    <w:rsid w:val="00AB5425"/>
    <w:rsid w:val="00AB5498"/>
    <w:rsid w:val="00AB5595"/>
    <w:rsid w:val="00AB5881"/>
    <w:rsid w:val="00AB5E64"/>
    <w:rsid w:val="00AB5EB5"/>
    <w:rsid w:val="00AB5F3B"/>
    <w:rsid w:val="00AB61BA"/>
    <w:rsid w:val="00AB661F"/>
    <w:rsid w:val="00AB66A2"/>
    <w:rsid w:val="00AB6892"/>
    <w:rsid w:val="00AB6B40"/>
    <w:rsid w:val="00AB6D30"/>
    <w:rsid w:val="00AB7086"/>
    <w:rsid w:val="00AB7685"/>
    <w:rsid w:val="00AB7A29"/>
    <w:rsid w:val="00AB7B78"/>
    <w:rsid w:val="00AB7C1E"/>
    <w:rsid w:val="00AC0073"/>
    <w:rsid w:val="00AC0526"/>
    <w:rsid w:val="00AC0585"/>
    <w:rsid w:val="00AC0657"/>
    <w:rsid w:val="00AC0B5A"/>
    <w:rsid w:val="00AC0C19"/>
    <w:rsid w:val="00AC0CA8"/>
    <w:rsid w:val="00AC0DC6"/>
    <w:rsid w:val="00AC0EF6"/>
    <w:rsid w:val="00AC1139"/>
    <w:rsid w:val="00AC11AA"/>
    <w:rsid w:val="00AC11F6"/>
    <w:rsid w:val="00AC1350"/>
    <w:rsid w:val="00AC1410"/>
    <w:rsid w:val="00AC1A15"/>
    <w:rsid w:val="00AC1D32"/>
    <w:rsid w:val="00AC1E19"/>
    <w:rsid w:val="00AC2145"/>
    <w:rsid w:val="00AC2494"/>
    <w:rsid w:val="00AC2524"/>
    <w:rsid w:val="00AC25D0"/>
    <w:rsid w:val="00AC2669"/>
    <w:rsid w:val="00AC27F5"/>
    <w:rsid w:val="00AC284C"/>
    <w:rsid w:val="00AC2B97"/>
    <w:rsid w:val="00AC2B9D"/>
    <w:rsid w:val="00AC2EBA"/>
    <w:rsid w:val="00AC3194"/>
    <w:rsid w:val="00AC332D"/>
    <w:rsid w:val="00AC3647"/>
    <w:rsid w:val="00AC373D"/>
    <w:rsid w:val="00AC37B8"/>
    <w:rsid w:val="00AC3843"/>
    <w:rsid w:val="00AC38C9"/>
    <w:rsid w:val="00AC3B6F"/>
    <w:rsid w:val="00AC3B97"/>
    <w:rsid w:val="00AC3BA1"/>
    <w:rsid w:val="00AC3E96"/>
    <w:rsid w:val="00AC417B"/>
    <w:rsid w:val="00AC4613"/>
    <w:rsid w:val="00AC4709"/>
    <w:rsid w:val="00AC4B64"/>
    <w:rsid w:val="00AC4DE7"/>
    <w:rsid w:val="00AC4F6E"/>
    <w:rsid w:val="00AC4F92"/>
    <w:rsid w:val="00AC5155"/>
    <w:rsid w:val="00AC5262"/>
    <w:rsid w:val="00AC5674"/>
    <w:rsid w:val="00AC588C"/>
    <w:rsid w:val="00AC5D8C"/>
    <w:rsid w:val="00AC5DD6"/>
    <w:rsid w:val="00AC5EA7"/>
    <w:rsid w:val="00AC5F66"/>
    <w:rsid w:val="00AC5F8F"/>
    <w:rsid w:val="00AC6178"/>
    <w:rsid w:val="00AC64E8"/>
    <w:rsid w:val="00AC6754"/>
    <w:rsid w:val="00AC6AD7"/>
    <w:rsid w:val="00AC6BF4"/>
    <w:rsid w:val="00AC6BFC"/>
    <w:rsid w:val="00AC6D07"/>
    <w:rsid w:val="00AC6F08"/>
    <w:rsid w:val="00AC6F7D"/>
    <w:rsid w:val="00AC712C"/>
    <w:rsid w:val="00AC720A"/>
    <w:rsid w:val="00AC754B"/>
    <w:rsid w:val="00AC7675"/>
    <w:rsid w:val="00AC784F"/>
    <w:rsid w:val="00AC7945"/>
    <w:rsid w:val="00AC7A21"/>
    <w:rsid w:val="00AC7A79"/>
    <w:rsid w:val="00AC7B0A"/>
    <w:rsid w:val="00AC7C1A"/>
    <w:rsid w:val="00AC7F34"/>
    <w:rsid w:val="00AC7F9C"/>
    <w:rsid w:val="00AD0006"/>
    <w:rsid w:val="00AD044B"/>
    <w:rsid w:val="00AD09BB"/>
    <w:rsid w:val="00AD0B87"/>
    <w:rsid w:val="00AD0C77"/>
    <w:rsid w:val="00AD106D"/>
    <w:rsid w:val="00AD1097"/>
    <w:rsid w:val="00AD10AD"/>
    <w:rsid w:val="00AD11B9"/>
    <w:rsid w:val="00AD1226"/>
    <w:rsid w:val="00AD146A"/>
    <w:rsid w:val="00AD1581"/>
    <w:rsid w:val="00AD15AA"/>
    <w:rsid w:val="00AD19C4"/>
    <w:rsid w:val="00AD19E5"/>
    <w:rsid w:val="00AD1A2F"/>
    <w:rsid w:val="00AD1A41"/>
    <w:rsid w:val="00AD1A6B"/>
    <w:rsid w:val="00AD1BB5"/>
    <w:rsid w:val="00AD1CF9"/>
    <w:rsid w:val="00AD1E60"/>
    <w:rsid w:val="00AD22B1"/>
    <w:rsid w:val="00AD2378"/>
    <w:rsid w:val="00AD27AB"/>
    <w:rsid w:val="00AD2A1C"/>
    <w:rsid w:val="00AD2B97"/>
    <w:rsid w:val="00AD2CDE"/>
    <w:rsid w:val="00AD32A0"/>
    <w:rsid w:val="00AD373F"/>
    <w:rsid w:val="00AD37DC"/>
    <w:rsid w:val="00AD3BFF"/>
    <w:rsid w:val="00AD3CB2"/>
    <w:rsid w:val="00AD3FE4"/>
    <w:rsid w:val="00AD3FEB"/>
    <w:rsid w:val="00AD4105"/>
    <w:rsid w:val="00AD41C0"/>
    <w:rsid w:val="00AD41C8"/>
    <w:rsid w:val="00AD44B3"/>
    <w:rsid w:val="00AD4543"/>
    <w:rsid w:val="00AD45F4"/>
    <w:rsid w:val="00AD4647"/>
    <w:rsid w:val="00AD4700"/>
    <w:rsid w:val="00AD47FE"/>
    <w:rsid w:val="00AD4A9E"/>
    <w:rsid w:val="00AD4C5D"/>
    <w:rsid w:val="00AD4C9F"/>
    <w:rsid w:val="00AD5028"/>
    <w:rsid w:val="00AD52E3"/>
    <w:rsid w:val="00AD5462"/>
    <w:rsid w:val="00AD5939"/>
    <w:rsid w:val="00AD5956"/>
    <w:rsid w:val="00AD5ACA"/>
    <w:rsid w:val="00AD5C24"/>
    <w:rsid w:val="00AD5E22"/>
    <w:rsid w:val="00AD5F95"/>
    <w:rsid w:val="00AD60B5"/>
    <w:rsid w:val="00AD60EA"/>
    <w:rsid w:val="00AD66C5"/>
    <w:rsid w:val="00AD67D4"/>
    <w:rsid w:val="00AD69CE"/>
    <w:rsid w:val="00AD6A7A"/>
    <w:rsid w:val="00AD6CB8"/>
    <w:rsid w:val="00AD70F9"/>
    <w:rsid w:val="00AD719F"/>
    <w:rsid w:val="00AD7433"/>
    <w:rsid w:val="00AD7CD4"/>
    <w:rsid w:val="00AD7D05"/>
    <w:rsid w:val="00AE0372"/>
    <w:rsid w:val="00AE053E"/>
    <w:rsid w:val="00AE0728"/>
    <w:rsid w:val="00AE08F8"/>
    <w:rsid w:val="00AE09CE"/>
    <w:rsid w:val="00AE0D1F"/>
    <w:rsid w:val="00AE0FC3"/>
    <w:rsid w:val="00AE10FE"/>
    <w:rsid w:val="00AE11F4"/>
    <w:rsid w:val="00AE138F"/>
    <w:rsid w:val="00AE1510"/>
    <w:rsid w:val="00AE17F1"/>
    <w:rsid w:val="00AE195E"/>
    <w:rsid w:val="00AE1B40"/>
    <w:rsid w:val="00AE1CBF"/>
    <w:rsid w:val="00AE1E1C"/>
    <w:rsid w:val="00AE214A"/>
    <w:rsid w:val="00AE2157"/>
    <w:rsid w:val="00AE21CE"/>
    <w:rsid w:val="00AE2295"/>
    <w:rsid w:val="00AE239E"/>
    <w:rsid w:val="00AE24F9"/>
    <w:rsid w:val="00AE2693"/>
    <w:rsid w:val="00AE279F"/>
    <w:rsid w:val="00AE28F2"/>
    <w:rsid w:val="00AE2C4C"/>
    <w:rsid w:val="00AE3289"/>
    <w:rsid w:val="00AE3937"/>
    <w:rsid w:val="00AE3A8C"/>
    <w:rsid w:val="00AE3D0A"/>
    <w:rsid w:val="00AE3F57"/>
    <w:rsid w:val="00AE4128"/>
    <w:rsid w:val="00AE423E"/>
    <w:rsid w:val="00AE4331"/>
    <w:rsid w:val="00AE5004"/>
    <w:rsid w:val="00AE52FD"/>
    <w:rsid w:val="00AE577F"/>
    <w:rsid w:val="00AE57E9"/>
    <w:rsid w:val="00AE5C38"/>
    <w:rsid w:val="00AE6073"/>
    <w:rsid w:val="00AE614D"/>
    <w:rsid w:val="00AE660E"/>
    <w:rsid w:val="00AE6680"/>
    <w:rsid w:val="00AE66F8"/>
    <w:rsid w:val="00AE6C67"/>
    <w:rsid w:val="00AE6F28"/>
    <w:rsid w:val="00AE70E0"/>
    <w:rsid w:val="00AE74B3"/>
    <w:rsid w:val="00AE755E"/>
    <w:rsid w:val="00AE7691"/>
    <w:rsid w:val="00AE7849"/>
    <w:rsid w:val="00AE7977"/>
    <w:rsid w:val="00AE7CAF"/>
    <w:rsid w:val="00AF0097"/>
    <w:rsid w:val="00AF0222"/>
    <w:rsid w:val="00AF028E"/>
    <w:rsid w:val="00AF0441"/>
    <w:rsid w:val="00AF0649"/>
    <w:rsid w:val="00AF0E0F"/>
    <w:rsid w:val="00AF11D2"/>
    <w:rsid w:val="00AF1610"/>
    <w:rsid w:val="00AF1771"/>
    <w:rsid w:val="00AF17BC"/>
    <w:rsid w:val="00AF17D6"/>
    <w:rsid w:val="00AF180F"/>
    <w:rsid w:val="00AF18B5"/>
    <w:rsid w:val="00AF1D0A"/>
    <w:rsid w:val="00AF1F10"/>
    <w:rsid w:val="00AF1F1D"/>
    <w:rsid w:val="00AF2049"/>
    <w:rsid w:val="00AF21B2"/>
    <w:rsid w:val="00AF248D"/>
    <w:rsid w:val="00AF250A"/>
    <w:rsid w:val="00AF283B"/>
    <w:rsid w:val="00AF2B09"/>
    <w:rsid w:val="00AF2CD0"/>
    <w:rsid w:val="00AF2DDF"/>
    <w:rsid w:val="00AF2F5D"/>
    <w:rsid w:val="00AF31E2"/>
    <w:rsid w:val="00AF355A"/>
    <w:rsid w:val="00AF37EF"/>
    <w:rsid w:val="00AF3D39"/>
    <w:rsid w:val="00AF3E4E"/>
    <w:rsid w:val="00AF41DB"/>
    <w:rsid w:val="00AF4314"/>
    <w:rsid w:val="00AF4376"/>
    <w:rsid w:val="00AF4734"/>
    <w:rsid w:val="00AF475D"/>
    <w:rsid w:val="00AF4843"/>
    <w:rsid w:val="00AF48D3"/>
    <w:rsid w:val="00AF497B"/>
    <w:rsid w:val="00AF4998"/>
    <w:rsid w:val="00AF4C1E"/>
    <w:rsid w:val="00AF4E01"/>
    <w:rsid w:val="00AF4EF3"/>
    <w:rsid w:val="00AF4FFC"/>
    <w:rsid w:val="00AF5472"/>
    <w:rsid w:val="00AF56E6"/>
    <w:rsid w:val="00AF5711"/>
    <w:rsid w:val="00AF576A"/>
    <w:rsid w:val="00AF581C"/>
    <w:rsid w:val="00AF5A56"/>
    <w:rsid w:val="00AF5AE5"/>
    <w:rsid w:val="00AF5FAB"/>
    <w:rsid w:val="00AF6122"/>
    <w:rsid w:val="00AF62D3"/>
    <w:rsid w:val="00AF69E1"/>
    <w:rsid w:val="00AF6A4C"/>
    <w:rsid w:val="00AF6B94"/>
    <w:rsid w:val="00AF6E71"/>
    <w:rsid w:val="00AF6E78"/>
    <w:rsid w:val="00AF6F26"/>
    <w:rsid w:val="00AF7144"/>
    <w:rsid w:val="00B0034F"/>
    <w:rsid w:val="00B003DF"/>
    <w:rsid w:val="00B004A5"/>
    <w:rsid w:val="00B00589"/>
    <w:rsid w:val="00B0070F"/>
    <w:rsid w:val="00B00E00"/>
    <w:rsid w:val="00B00EEE"/>
    <w:rsid w:val="00B0106A"/>
    <w:rsid w:val="00B0107B"/>
    <w:rsid w:val="00B01310"/>
    <w:rsid w:val="00B013B1"/>
    <w:rsid w:val="00B014D1"/>
    <w:rsid w:val="00B0152F"/>
    <w:rsid w:val="00B0161C"/>
    <w:rsid w:val="00B01A73"/>
    <w:rsid w:val="00B01B81"/>
    <w:rsid w:val="00B01C6A"/>
    <w:rsid w:val="00B01CF4"/>
    <w:rsid w:val="00B01D50"/>
    <w:rsid w:val="00B02176"/>
    <w:rsid w:val="00B02183"/>
    <w:rsid w:val="00B02215"/>
    <w:rsid w:val="00B026DD"/>
    <w:rsid w:val="00B02769"/>
    <w:rsid w:val="00B02898"/>
    <w:rsid w:val="00B02908"/>
    <w:rsid w:val="00B02B0B"/>
    <w:rsid w:val="00B02C53"/>
    <w:rsid w:val="00B0321E"/>
    <w:rsid w:val="00B03242"/>
    <w:rsid w:val="00B032A7"/>
    <w:rsid w:val="00B038DD"/>
    <w:rsid w:val="00B04161"/>
    <w:rsid w:val="00B0462E"/>
    <w:rsid w:val="00B047C2"/>
    <w:rsid w:val="00B04CB1"/>
    <w:rsid w:val="00B04F2D"/>
    <w:rsid w:val="00B051AF"/>
    <w:rsid w:val="00B05486"/>
    <w:rsid w:val="00B055FD"/>
    <w:rsid w:val="00B05635"/>
    <w:rsid w:val="00B058EE"/>
    <w:rsid w:val="00B05A94"/>
    <w:rsid w:val="00B06360"/>
    <w:rsid w:val="00B068D4"/>
    <w:rsid w:val="00B06ADE"/>
    <w:rsid w:val="00B06B2E"/>
    <w:rsid w:val="00B06EB7"/>
    <w:rsid w:val="00B070B6"/>
    <w:rsid w:val="00B07149"/>
    <w:rsid w:val="00B0759A"/>
    <w:rsid w:val="00B075C7"/>
    <w:rsid w:val="00B07620"/>
    <w:rsid w:val="00B07BDE"/>
    <w:rsid w:val="00B07E3D"/>
    <w:rsid w:val="00B1044F"/>
    <w:rsid w:val="00B10454"/>
    <w:rsid w:val="00B105D4"/>
    <w:rsid w:val="00B1151C"/>
    <w:rsid w:val="00B1163E"/>
    <w:rsid w:val="00B11738"/>
    <w:rsid w:val="00B118AB"/>
    <w:rsid w:val="00B11D85"/>
    <w:rsid w:val="00B11ED0"/>
    <w:rsid w:val="00B11EF9"/>
    <w:rsid w:val="00B12084"/>
    <w:rsid w:val="00B120C3"/>
    <w:rsid w:val="00B1249A"/>
    <w:rsid w:val="00B124A3"/>
    <w:rsid w:val="00B12626"/>
    <w:rsid w:val="00B12743"/>
    <w:rsid w:val="00B12B25"/>
    <w:rsid w:val="00B12D80"/>
    <w:rsid w:val="00B13008"/>
    <w:rsid w:val="00B1314F"/>
    <w:rsid w:val="00B131FB"/>
    <w:rsid w:val="00B13313"/>
    <w:rsid w:val="00B13ADE"/>
    <w:rsid w:val="00B13BD6"/>
    <w:rsid w:val="00B140CA"/>
    <w:rsid w:val="00B145A2"/>
    <w:rsid w:val="00B14AD1"/>
    <w:rsid w:val="00B14B2E"/>
    <w:rsid w:val="00B14D08"/>
    <w:rsid w:val="00B14D27"/>
    <w:rsid w:val="00B14DCF"/>
    <w:rsid w:val="00B14E92"/>
    <w:rsid w:val="00B151CF"/>
    <w:rsid w:val="00B151DB"/>
    <w:rsid w:val="00B151DE"/>
    <w:rsid w:val="00B1538B"/>
    <w:rsid w:val="00B15645"/>
    <w:rsid w:val="00B156B5"/>
    <w:rsid w:val="00B1580C"/>
    <w:rsid w:val="00B159EE"/>
    <w:rsid w:val="00B15AB6"/>
    <w:rsid w:val="00B15B51"/>
    <w:rsid w:val="00B15B95"/>
    <w:rsid w:val="00B15D72"/>
    <w:rsid w:val="00B15DFB"/>
    <w:rsid w:val="00B16198"/>
    <w:rsid w:val="00B1623A"/>
    <w:rsid w:val="00B16439"/>
    <w:rsid w:val="00B166BA"/>
    <w:rsid w:val="00B16C14"/>
    <w:rsid w:val="00B170EC"/>
    <w:rsid w:val="00B1722A"/>
    <w:rsid w:val="00B17345"/>
    <w:rsid w:val="00B175E7"/>
    <w:rsid w:val="00B1766E"/>
    <w:rsid w:val="00B17C36"/>
    <w:rsid w:val="00B17C3F"/>
    <w:rsid w:val="00B17C80"/>
    <w:rsid w:val="00B20092"/>
    <w:rsid w:val="00B20189"/>
    <w:rsid w:val="00B203CF"/>
    <w:rsid w:val="00B20445"/>
    <w:rsid w:val="00B2090C"/>
    <w:rsid w:val="00B209C0"/>
    <w:rsid w:val="00B20AED"/>
    <w:rsid w:val="00B20B4F"/>
    <w:rsid w:val="00B20BB7"/>
    <w:rsid w:val="00B21123"/>
    <w:rsid w:val="00B211FF"/>
    <w:rsid w:val="00B212AC"/>
    <w:rsid w:val="00B216DB"/>
    <w:rsid w:val="00B21BAB"/>
    <w:rsid w:val="00B21E3E"/>
    <w:rsid w:val="00B21EA4"/>
    <w:rsid w:val="00B22041"/>
    <w:rsid w:val="00B22613"/>
    <w:rsid w:val="00B22617"/>
    <w:rsid w:val="00B22A89"/>
    <w:rsid w:val="00B22CDE"/>
    <w:rsid w:val="00B22EB8"/>
    <w:rsid w:val="00B2300D"/>
    <w:rsid w:val="00B233D8"/>
    <w:rsid w:val="00B23560"/>
    <w:rsid w:val="00B242B3"/>
    <w:rsid w:val="00B24774"/>
    <w:rsid w:val="00B247AD"/>
    <w:rsid w:val="00B247BF"/>
    <w:rsid w:val="00B249A7"/>
    <w:rsid w:val="00B249EF"/>
    <w:rsid w:val="00B24A2A"/>
    <w:rsid w:val="00B24E1C"/>
    <w:rsid w:val="00B24F01"/>
    <w:rsid w:val="00B2501B"/>
    <w:rsid w:val="00B2512C"/>
    <w:rsid w:val="00B253AE"/>
    <w:rsid w:val="00B25649"/>
    <w:rsid w:val="00B2579D"/>
    <w:rsid w:val="00B25844"/>
    <w:rsid w:val="00B25858"/>
    <w:rsid w:val="00B258FF"/>
    <w:rsid w:val="00B25AE9"/>
    <w:rsid w:val="00B25BAE"/>
    <w:rsid w:val="00B25D05"/>
    <w:rsid w:val="00B25F45"/>
    <w:rsid w:val="00B261B9"/>
    <w:rsid w:val="00B26622"/>
    <w:rsid w:val="00B26637"/>
    <w:rsid w:val="00B26669"/>
    <w:rsid w:val="00B26798"/>
    <w:rsid w:val="00B26977"/>
    <w:rsid w:val="00B26A9A"/>
    <w:rsid w:val="00B26AE5"/>
    <w:rsid w:val="00B26AFB"/>
    <w:rsid w:val="00B26B60"/>
    <w:rsid w:val="00B26BA1"/>
    <w:rsid w:val="00B26E24"/>
    <w:rsid w:val="00B2736A"/>
    <w:rsid w:val="00B27390"/>
    <w:rsid w:val="00B276B4"/>
    <w:rsid w:val="00B27770"/>
    <w:rsid w:val="00B27966"/>
    <w:rsid w:val="00B27CD4"/>
    <w:rsid w:val="00B27E5D"/>
    <w:rsid w:val="00B30052"/>
    <w:rsid w:val="00B30186"/>
    <w:rsid w:val="00B30328"/>
    <w:rsid w:val="00B303F6"/>
    <w:rsid w:val="00B30492"/>
    <w:rsid w:val="00B305FD"/>
    <w:rsid w:val="00B307B7"/>
    <w:rsid w:val="00B30CCD"/>
    <w:rsid w:val="00B30D5F"/>
    <w:rsid w:val="00B30FA8"/>
    <w:rsid w:val="00B3115B"/>
    <w:rsid w:val="00B3121E"/>
    <w:rsid w:val="00B3124A"/>
    <w:rsid w:val="00B312C2"/>
    <w:rsid w:val="00B31636"/>
    <w:rsid w:val="00B31889"/>
    <w:rsid w:val="00B31AED"/>
    <w:rsid w:val="00B31B23"/>
    <w:rsid w:val="00B31E64"/>
    <w:rsid w:val="00B322AB"/>
    <w:rsid w:val="00B3243F"/>
    <w:rsid w:val="00B3258D"/>
    <w:rsid w:val="00B3299D"/>
    <w:rsid w:val="00B329FB"/>
    <w:rsid w:val="00B32A2D"/>
    <w:rsid w:val="00B32A6A"/>
    <w:rsid w:val="00B331D1"/>
    <w:rsid w:val="00B3328B"/>
    <w:rsid w:val="00B333D5"/>
    <w:rsid w:val="00B3365F"/>
    <w:rsid w:val="00B337FC"/>
    <w:rsid w:val="00B339F9"/>
    <w:rsid w:val="00B33AAC"/>
    <w:rsid w:val="00B33D84"/>
    <w:rsid w:val="00B33FE9"/>
    <w:rsid w:val="00B343C2"/>
    <w:rsid w:val="00B3442C"/>
    <w:rsid w:val="00B34967"/>
    <w:rsid w:val="00B34A6C"/>
    <w:rsid w:val="00B34EF9"/>
    <w:rsid w:val="00B352D8"/>
    <w:rsid w:val="00B35354"/>
    <w:rsid w:val="00B35448"/>
    <w:rsid w:val="00B355CB"/>
    <w:rsid w:val="00B35C20"/>
    <w:rsid w:val="00B35CA8"/>
    <w:rsid w:val="00B35F40"/>
    <w:rsid w:val="00B35F42"/>
    <w:rsid w:val="00B3600F"/>
    <w:rsid w:val="00B36028"/>
    <w:rsid w:val="00B36052"/>
    <w:rsid w:val="00B36437"/>
    <w:rsid w:val="00B364F4"/>
    <w:rsid w:val="00B36677"/>
    <w:rsid w:val="00B3667B"/>
    <w:rsid w:val="00B36696"/>
    <w:rsid w:val="00B367A6"/>
    <w:rsid w:val="00B36E00"/>
    <w:rsid w:val="00B36F70"/>
    <w:rsid w:val="00B3716A"/>
    <w:rsid w:val="00B371E0"/>
    <w:rsid w:val="00B37228"/>
    <w:rsid w:val="00B37711"/>
    <w:rsid w:val="00B379FE"/>
    <w:rsid w:val="00B37BBD"/>
    <w:rsid w:val="00B37D3E"/>
    <w:rsid w:val="00B37D72"/>
    <w:rsid w:val="00B40064"/>
    <w:rsid w:val="00B4031D"/>
    <w:rsid w:val="00B4039B"/>
    <w:rsid w:val="00B40625"/>
    <w:rsid w:val="00B40B8B"/>
    <w:rsid w:val="00B40E35"/>
    <w:rsid w:val="00B41135"/>
    <w:rsid w:val="00B4132A"/>
    <w:rsid w:val="00B415E0"/>
    <w:rsid w:val="00B41670"/>
    <w:rsid w:val="00B41764"/>
    <w:rsid w:val="00B41C02"/>
    <w:rsid w:val="00B41C45"/>
    <w:rsid w:val="00B41E73"/>
    <w:rsid w:val="00B41FE9"/>
    <w:rsid w:val="00B421B5"/>
    <w:rsid w:val="00B4253D"/>
    <w:rsid w:val="00B425E6"/>
    <w:rsid w:val="00B425FA"/>
    <w:rsid w:val="00B42607"/>
    <w:rsid w:val="00B42625"/>
    <w:rsid w:val="00B426A4"/>
    <w:rsid w:val="00B42739"/>
    <w:rsid w:val="00B427A1"/>
    <w:rsid w:val="00B42976"/>
    <w:rsid w:val="00B42B33"/>
    <w:rsid w:val="00B42F6E"/>
    <w:rsid w:val="00B4324B"/>
    <w:rsid w:val="00B432BE"/>
    <w:rsid w:val="00B43442"/>
    <w:rsid w:val="00B434AA"/>
    <w:rsid w:val="00B435A9"/>
    <w:rsid w:val="00B44349"/>
    <w:rsid w:val="00B44826"/>
    <w:rsid w:val="00B448A4"/>
    <w:rsid w:val="00B44BCC"/>
    <w:rsid w:val="00B44C9C"/>
    <w:rsid w:val="00B44D97"/>
    <w:rsid w:val="00B45009"/>
    <w:rsid w:val="00B452F9"/>
    <w:rsid w:val="00B45833"/>
    <w:rsid w:val="00B4586F"/>
    <w:rsid w:val="00B45AE6"/>
    <w:rsid w:val="00B45BD3"/>
    <w:rsid w:val="00B45E4C"/>
    <w:rsid w:val="00B45FB3"/>
    <w:rsid w:val="00B46723"/>
    <w:rsid w:val="00B46946"/>
    <w:rsid w:val="00B46BAB"/>
    <w:rsid w:val="00B46C85"/>
    <w:rsid w:val="00B46CDD"/>
    <w:rsid w:val="00B46D47"/>
    <w:rsid w:val="00B46D7D"/>
    <w:rsid w:val="00B46E14"/>
    <w:rsid w:val="00B47093"/>
    <w:rsid w:val="00B47112"/>
    <w:rsid w:val="00B47128"/>
    <w:rsid w:val="00B47185"/>
    <w:rsid w:val="00B47234"/>
    <w:rsid w:val="00B473AF"/>
    <w:rsid w:val="00B47985"/>
    <w:rsid w:val="00B47A5A"/>
    <w:rsid w:val="00B47AAE"/>
    <w:rsid w:val="00B47B0A"/>
    <w:rsid w:val="00B47B50"/>
    <w:rsid w:val="00B47BA7"/>
    <w:rsid w:val="00B47DFC"/>
    <w:rsid w:val="00B50462"/>
    <w:rsid w:val="00B504DD"/>
    <w:rsid w:val="00B50783"/>
    <w:rsid w:val="00B50A44"/>
    <w:rsid w:val="00B50DF3"/>
    <w:rsid w:val="00B512A1"/>
    <w:rsid w:val="00B51469"/>
    <w:rsid w:val="00B5158C"/>
    <w:rsid w:val="00B51AE9"/>
    <w:rsid w:val="00B51BD5"/>
    <w:rsid w:val="00B51ED3"/>
    <w:rsid w:val="00B52282"/>
    <w:rsid w:val="00B527A8"/>
    <w:rsid w:val="00B52847"/>
    <w:rsid w:val="00B529EC"/>
    <w:rsid w:val="00B52B73"/>
    <w:rsid w:val="00B52E8C"/>
    <w:rsid w:val="00B52F02"/>
    <w:rsid w:val="00B530BE"/>
    <w:rsid w:val="00B53146"/>
    <w:rsid w:val="00B531D2"/>
    <w:rsid w:val="00B532B5"/>
    <w:rsid w:val="00B53952"/>
    <w:rsid w:val="00B53B2B"/>
    <w:rsid w:val="00B53CC6"/>
    <w:rsid w:val="00B53F34"/>
    <w:rsid w:val="00B53FDC"/>
    <w:rsid w:val="00B54090"/>
    <w:rsid w:val="00B544CA"/>
    <w:rsid w:val="00B547F6"/>
    <w:rsid w:val="00B54ADB"/>
    <w:rsid w:val="00B54BF6"/>
    <w:rsid w:val="00B54E74"/>
    <w:rsid w:val="00B552A6"/>
    <w:rsid w:val="00B554E2"/>
    <w:rsid w:val="00B55524"/>
    <w:rsid w:val="00B559AD"/>
    <w:rsid w:val="00B55CCD"/>
    <w:rsid w:val="00B55E0A"/>
    <w:rsid w:val="00B55F95"/>
    <w:rsid w:val="00B565E9"/>
    <w:rsid w:val="00B568E8"/>
    <w:rsid w:val="00B56B6E"/>
    <w:rsid w:val="00B56D56"/>
    <w:rsid w:val="00B56E5A"/>
    <w:rsid w:val="00B56F00"/>
    <w:rsid w:val="00B574F4"/>
    <w:rsid w:val="00B575BF"/>
    <w:rsid w:val="00B576F1"/>
    <w:rsid w:val="00B57713"/>
    <w:rsid w:val="00B579D5"/>
    <w:rsid w:val="00B57AF8"/>
    <w:rsid w:val="00B57FB1"/>
    <w:rsid w:val="00B6030A"/>
    <w:rsid w:val="00B6037A"/>
    <w:rsid w:val="00B60A34"/>
    <w:rsid w:val="00B60AD8"/>
    <w:rsid w:val="00B60B49"/>
    <w:rsid w:val="00B60C31"/>
    <w:rsid w:val="00B60D60"/>
    <w:rsid w:val="00B60DB6"/>
    <w:rsid w:val="00B612EA"/>
    <w:rsid w:val="00B613EC"/>
    <w:rsid w:val="00B615B6"/>
    <w:rsid w:val="00B616FC"/>
    <w:rsid w:val="00B61924"/>
    <w:rsid w:val="00B619E9"/>
    <w:rsid w:val="00B61A13"/>
    <w:rsid w:val="00B61BE7"/>
    <w:rsid w:val="00B61C66"/>
    <w:rsid w:val="00B61CA8"/>
    <w:rsid w:val="00B61EFD"/>
    <w:rsid w:val="00B621FE"/>
    <w:rsid w:val="00B6255B"/>
    <w:rsid w:val="00B62604"/>
    <w:rsid w:val="00B62ACF"/>
    <w:rsid w:val="00B62DF2"/>
    <w:rsid w:val="00B63361"/>
    <w:rsid w:val="00B63630"/>
    <w:rsid w:val="00B6370D"/>
    <w:rsid w:val="00B63933"/>
    <w:rsid w:val="00B63C98"/>
    <w:rsid w:val="00B63DB9"/>
    <w:rsid w:val="00B63FEF"/>
    <w:rsid w:val="00B640B1"/>
    <w:rsid w:val="00B64101"/>
    <w:rsid w:val="00B646C9"/>
    <w:rsid w:val="00B64A82"/>
    <w:rsid w:val="00B64B0F"/>
    <w:rsid w:val="00B65155"/>
    <w:rsid w:val="00B65528"/>
    <w:rsid w:val="00B65A67"/>
    <w:rsid w:val="00B65EF5"/>
    <w:rsid w:val="00B6664D"/>
    <w:rsid w:val="00B6688B"/>
    <w:rsid w:val="00B66A42"/>
    <w:rsid w:val="00B66A87"/>
    <w:rsid w:val="00B66ABC"/>
    <w:rsid w:val="00B66B27"/>
    <w:rsid w:val="00B66BF7"/>
    <w:rsid w:val="00B67139"/>
    <w:rsid w:val="00B6723D"/>
    <w:rsid w:val="00B6725F"/>
    <w:rsid w:val="00B6740D"/>
    <w:rsid w:val="00B67551"/>
    <w:rsid w:val="00B67635"/>
    <w:rsid w:val="00B67705"/>
    <w:rsid w:val="00B67957"/>
    <w:rsid w:val="00B67C20"/>
    <w:rsid w:val="00B67DB1"/>
    <w:rsid w:val="00B67F36"/>
    <w:rsid w:val="00B7019F"/>
    <w:rsid w:val="00B7077C"/>
    <w:rsid w:val="00B70881"/>
    <w:rsid w:val="00B709FE"/>
    <w:rsid w:val="00B70D78"/>
    <w:rsid w:val="00B70E4B"/>
    <w:rsid w:val="00B71031"/>
    <w:rsid w:val="00B712D0"/>
    <w:rsid w:val="00B713F9"/>
    <w:rsid w:val="00B7161A"/>
    <w:rsid w:val="00B71670"/>
    <w:rsid w:val="00B716A3"/>
    <w:rsid w:val="00B71BA6"/>
    <w:rsid w:val="00B71C40"/>
    <w:rsid w:val="00B71C42"/>
    <w:rsid w:val="00B71C7C"/>
    <w:rsid w:val="00B71E10"/>
    <w:rsid w:val="00B71F1A"/>
    <w:rsid w:val="00B72438"/>
    <w:rsid w:val="00B72624"/>
    <w:rsid w:val="00B727AB"/>
    <w:rsid w:val="00B72C23"/>
    <w:rsid w:val="00B72C57"/>
    <w:rsid w:val="00B72C75"/>
    <w:rsid w:val="00B72E3D"/>
    <w:rsid w:val="00B731F2"/>
    <w:rsid w:val="00B7336C"/>
    <w:rsid w:val="00B73429"/>
    <w:rsid w:val="00B73795"/>
    <w:rsid w:val="00B737D5"/>
    <w:rsid w:val="00B7382F"/>
    <w:rsid w:val="00B7388B"/>
    <w:rsid w:val="00B739F6"/>
    <w:rsid w:val="00B73AB9"/>
    <w:rsid w:val="00B73C56"/>
    <w:rsid w:val="00B73E16"/>
    <w:rsid w:val="00B73E3C"/>
    <w:rsid w:val="00B73EE2"/>
    <w:rsid w:val="00B740CC"/>
    <w:rsid w:val="00B7417A"/>
    <w:rsid w:val="00B7417C"/>
    <w:rsid w:val="00B742EA"/>
    <w:rsid w:val="00B74751"/>
    <w:rsid w:val="00B7492D"/>
    <w:rsid w:val="00B74AAC"/>
    <w:rsid w:val="00B74AD2"/>
    <w:rsid w:val="00B74CAA"/>
    <w:rsid w:val="00B74CE7"/>
    <w:rsid w:val="00B75179"/>
    <w:rsid w:val="00B75413"/>
    <w:rsid w:val="00B7561A"/>
    <w:rsid w:val="00B756F6"/>
    <w:rsid w:val="00B757E5"/>
    <w:rsid w:val="00B75B33"/>
    <w:rsid w:val="00B75C5A"/>
    <w:rsid w:val="00B75F7A"/>
    <w:rsid w:val="00B76062"/>
    <w:rsid w:val="00B76094"/>
    <w:rsid w:val="00B7642F"/>
    <w:rsid w:val="00B76677"/>
    <w:rsid w:val="00B774AB"/>
    <w:rsid w:val="00B779EE"/>
    <w:rsid w:val="00B77A18"/>
    <w:rsid w:val="00B77BEC"/>
    <w:rsid w:val="00B77C5E"/>
    <w:rsid w:val="00B77D6B"/>
    <w:rsid w:val="00B77F8B"/>
    <w:rsid w:val="00B801E0"/>
    <w:rsid w:val="00B8047B"/>
    <w:rsid w:val="00B805E8"/>
    <w:rsid w:val="00B80787"/>
    <w:rsid w:val="00B80C18"/>
    <w:rsid w:val="00B80D14"/>
    <w:rsid w:val="00B80F36"/>
    <w:rsid w:val="00B811B3"/>
    <w:rsid w:val="00B81478"/>
    <w:rsid w:val="00B814C4"/>
    <w:rsid w:val="00B8175E"/>
    <w:rsid w:val="00B81A16"/>
    <w:rsid w:val="00B81BCB"/>
    <w:rsid w:val="00B81F38"/>
    <w:rsid w:val="00B821BC"/>
    <w:rsid w:val="00B8225B"/>
    <w:rsid w:val="00B82358"/>
    <w:rsid w:val="00B82389"/>
    <w:rsid w:val="00B82417"/>
    <w:rsid w:val="00B825D4"/>
    <w:rsid w:val="00B830F4"/>
    <w:rsid w:val="00B8310D"/>
    <w:rsid w:val="00B83435"/>
    <w:rsid w:val="00B8356A"/>
    <w:rsid w:val="00B83761"/>
    <w:rsid w:val="00B838EB"/>
    <w:rsid w:val="00B83B62"/>
    <w:rsid w:val="00B83C9C"/>
    <w:rsid w:val="00B83FD8"/>
    <w:rsid w:val="00B840F2"/>
    <w:rsid w:val="00B847DC"/>
    <w:rsid w:val="00B84909"/>
    <w:rsid w:val="00B849A3"/>
    <w:rsid w:val="00B84C1B"/>
    <w:rsid w:val="00B84CF1"/>
    <w:rsid w:val="00B84E5B"/>
    <w:rsid w:val="00B85100"/>
    <w:rsid w:val="00B85253"/>
    <w:rsid w:val="00B852AE"/>
    <w:rsid w:val="00B8535F"/>
    <w:rsid w:val="00B857C9"/>
    <w:rsid w:val="00B859FD"/>
    <w:rsid w:val="00B85ABE"/>
    <w:rsid w:val="00B85C37"/>
    <w:rsid w:val="00B85C3E"/>
    <w:rsid w:val="00B85D3D"/>
    <w:rsid w:val="00B861D7"/>
    <w:rsid w:val="00B86513"/>
    <w:rsid w:val="00B868E5"/>
    <w:rsid w:val="00B86D11"/>
    <w:rsid w:val="00B870B7"/>
    <w:rsid w:val="00B8732B"/>
    <w:rsid w:val="00B87549"/>
    <w:rsid w:val="00B87589"/>
    <w:rsid w:val="00B875F1"/>
    <w:rsid w:val="00B877CC"/>
    <w:rsid w:val="00B878CD"/>
    <w:rsid w:val="00B87AB2"/>
    <w:rsid w:val="00B901F0"/>
    <w:rsid w:val="00B90376"/>
    <w:rsid w:val="00B9080E"/>
    <w:rsid w:val="00B90988"/>
    <w:rsid w:val="00B90BC9"/>
    <w:rsid w:val="00B90C09"/>
    <w:rsid w:val="00B90E53"/>
    <w:rsid w:val="00B917EC"/>
    <w:rsid w:val="00B91C21"/>
    <w:rsid w:val="00B91CB1"/>
    <w:rsid w:val="00B91DF1"/>
    <w:rsid w:val="00B91EE8"/>
    <w:rsid w:val="00B9223C"/>
    <w:rsid w:val="00B9246B"/>
    <w:rsid w:val="00B9249B"/>
    <w:rsid w:val="00B92981"/>
    <w:rsid w:val="00B92985"/>
    <w:rsid w:val="00B92CD3"/>
    <w:rsid w:val="00B930AC"/>
    <w:rsid w:val="00B9319C"/>
    <w:rsid w:val="00B93C71"/>
    <w:rsid w:val="00B93C94"/>
    <w:rsid w:val="00B93CF3"/>
    <w:rsid w:val="00B941A3"/>
    <w:rsid w:val="00B94340"/>
    <w:rsid w:val="00B94423"/>
    <w:rsid w:val="00B94588"/>
    <w:rsid w:val="00B94599"/>
    <w:rsid w:val="00B94B24"/>
    <w:rsid w:val="00B94BA8"/>
    <w:rsid w:val="00B94F2A"/>
    <w:rsid w:val="00B94F75"/>
    <w:rsid w:val="00B9536C"/>
    <w:rsid w:val="00B954CC"/>
    <w:rsid w:val="00B954CD"/>
    <w:rsid w:val="00B95A54"/>
    <w:rsid w:val="00B95B3B"/>
    <w:rsid w:val="00B95F2D"/>
    <w:rsid w:val="00B961A5"/>
    <w:rsid w:val="00B963B9"/>
    <w:rsid w:val="00B963FA"/>
    <w:rsid w:val="00B9640D"/>
    <w:rsid w:val="00B964C5"/>
    <w:rsid w:val="00B96843"/>
    <w:rsid w:val="00B96899"/>
    <w:rsid w:val="00B969CD"/>
    <w:rsid w:val="00B96BAC"/>
    <w:rsid w:val="00B96C1D"/>
    <w:rsid w:val="00B96CCA"/>
    <w:rsid w:val="00B971DF"/>
    <w:rsid w:val="00B972D3"/>
    <w:rsid w:val="00B9752C"/>
    <w:rsid w:val="00B975BB"/>
    <w:rsid w:val="00B975BC"/>
    <w:rsid w:val="00B9763A"/>
    <w:rsid w:val="00B9770F"/>
    <w:rsid w:val="00B97829"/>
    <w:rsid w:val="00B97C6B"/>
    <w:rsid w:val="00B97EE0"/>
    <w:rsid w:val="00B97F4E"/>
    <w:rsid w:val="00BA0250"/>
    <w:rsid w:val="00BA09BC"/>
    <w:rsid w:val="00BA0B99"/>
    <w:rsid w:val="00BA0BAF"/>
    <w:rsid w:val="00BA0DC4"/>
    <w:rsid w:val="00BA10B2"/>
    <w:rsid w:val="00BA1B56"/>
    <w:rsid w:val="00BA1BA9"/>
    <w:rsid w:val="00BA1EA4"/>
    <w:rsid w:val="00BA1F3E"/>
    <w:rsid w:val="00BA1FFB"/>
    <w:rsid w:val="00BA202F"/>
    <w:rsid w:val="00BA22AC"/>
    <w:rsid w:val="00BA2633"/>
    <w:rsid w:val="00BA28C5"/>
    <w:rsid w:val="00BA294B"/>
    <w:rsid w:val="00BA2B3F"/>
    <w:rsid w:val="00BA2B9E"/>
    <w:rsid w:val="00BA2C5E"/>
    <w:rsid w:val="00BA2E90"/>
    <w:rsid w:val="00BA2F51"/>
    <w:rsid w:val="00BA375E"/>
    <w:rsid w:val="00BA37C1"/>
    <w:rsid w:val="00BA3833"/>
    <w:rsid w:val="00BA3D61"/>
    <w:rsid w:val="00BA3EAE"/>
    <w:rsid w:val="00BA421C"/>
    <w:rsid w:val="00BA4E45"/>
    <w:rsid w:val="00BA4ED1"/>
    <w:rsid w:val="00BA4FB2"/>
    <w:rsid w:val="00BA5189"/>
    <w:rsid w:val="00BA54BC"/>
    <w:rsid w:val="00BA55C2"/>
    <w:rsid w:val="00BA56EE"/>
    <w:rsid w:val="00BA59BD"/>
    <w:rsid w:val="00BA59FB"/>
    <w:rsid w:val="00BA5B3A"/>
    <w:rsid w:val="00BA5DC5"/>
    <w:rsid w:val="00BA5E47"/>
    <w:rsid w:val="00BA666F"/>
    <w:rsid w:val="00BA6943"/>
    <w:rsid w:val="00BA6BC2"/>
    <w:rsid w:val="00BA7185"/>
    <w:rsid w:val="00BA7369"/>
    <w:rsid w:val="00BA7580"/>
    <w:rsid w:val="00BA7593"/>
    <w:rsid w:val="00BA7887"/>
    <w:rsid w:val="00BA7A61"/>
    <w:rsid w:val="00BA7AFA"/>
    <w:rsid w:val="00BA7B1F"/>
    <w:rsid w:val="00BA7B5B"/>
    <w:rsid w:val="00BB04DF"/>
    <w:rsid w:val="00BB087B"/>
    <w:rsid w:val="00BB0C55"/>
    <w:rsid w:val="00BB0D89"/>
    <w:rsid w:val="00BB127E"/>
    <w:rsid w:val="00BB12DD"/>
    <w:rsid w:val="00BB145D"/>
    <w:rsid w:val="00BB14A3"/>
    <w:rsid w:val="00BB15B1"/>
    <w:rsid w:val="00BB164E"/>
    <w:rsid w:val="00BB172B"/>
    <w:rsid w:val="00BB1983"/>
    <w:rsid w:val="00BB1BF5"/>
    <w:rsid w:val="00BB1D43"/>
    <w:rsid w:val="00BB1F05"/>
    <w:rsid w:val="00BB230E"/>
    <w:rsid w:val="00BB2C0E"/>
    <w:rsid w:val="00BB2C25"/>
    <w:rsid w:val="00BB2DA1"/>
    <w:rsid w:val="00BB2F38"/>
    <w:rsid w:val="00BB2FA9"/>
    <w:rsid w:val="00BB3166"/>
    <w:rsid w:val="00BB3291"/>
    <w:rsid w:val="00BB3C84"/>
    <w:rsid w:val="00BB3DEB"/>
    <w:rsid w:val="00BB3E01"/>
    <w:rsid w:val="00BB3F34"/>
    <w:rsid w:val="00BB3F3B"/>
    <w:rsid w:val="00BB430D"/>
    <w:rsid w:val="00BB45D3"/>
    <w:rsid w:val="00BB4763"/>
    <w:rsid w:val="00BB4785"/>
    <w:rsid w:val="00BB4946"/>
    <w:rsid w:val="00BB49CE"/>
    <w:rsid w:val="00BB4E3F"/>
    <w:rsid w:val="00BB4F8A"/>
    <w:rsid w:val="00BB51EE"/>
    <w:rsid w:val="00BB5350"/>
    <w:rsid w:val="00BB57B9"/>
    <w:rsid w:val="00BB5846"/>
    <w:rsid w:val="00BB5967"/>
    <w:rsid w:val="00BB5A58"/>
    <w:rsid w:val="00BB5B26"/>
    <w:rsid w:val="00BB5DDD"/>
    <w:rsid w:val="00BB66DD"/>
    <w:rsid w:val="00BB68FD"/>
    <w:rsid w:val="00BB6BA2"/>
    <w:rsid w:val="00BB73D3"/>
    <w:rsid w:val="00BB74B5"/>
    <w:rsid w:val="00BB75C4"/>
    <w:rsid w:val="00BB7795"/>
    <w:rsid w:val="00BB7899"/>
    <w:rsid w:val="00BB78DA"/>
    <w:rsid w:val="00BB78EC"/>
    <w:rsid w:val="00BB7FDE"/>
    <w:rsid w:val="00BC005E"/>
    <w:rsid w:val="00BC006B"/>
    <w:rsid w:val="00BC0661"/>
    <w:rsid w:val="00BC0AAA"/>
    <w:rsid w:val="00BC0C6A"/>
    <w:rsid w:val="00BC0E65"/>
    <w:rsid w:val="00BC0F33"/>
    <w:rsid w:val="00BC0F34"/>
    <w:rsid w:val="00BC0FA1"/>
    <w:rsid w:val="00BC1290"/>
    <w:rsid w:val="00BC15DE"/>
    <w:rsid w:val="00BC17C8"/>
    <w:rsid w:val="00BC1A4B"/>
    <w:rsid w:val="00BC1E52"/>
    <w:rsid w:val="00BC2078"/>
    <w:rsid w:val="00BC2241"/>
    <w:rsid w:val="00BC26BF"/>
    <w:rsid w:val="00BC26D1"/>
    <w:rsid w:val="00BC28C2"/>
    <w:rsid w:val="00BC2A23"/>
    <w:rsid w:val="00BC2A5C"/>
    <w:rsid w:val="00BC2C91"/>
    <w:rsid w:val="00BC3074"/>
    <w:rsid w:val="00BC33C7"/>
    <w:rsid w:val="00BC369C"/>
    <w:rsid w:val="00BC375C"/>
    <w:rsid w:val="00BC3B31"/>
    <w:rsid w:val="00BC4007"/>
    <w:rsid w:val="00BC4099"/>
    <w:rsid w:val="00BC42D4"/>
    <w:rsid w:val="00BC4360"/>
    <w:rsid w:val="00BC4378"/>
    <w:rsid w:val="00BC43D6"/>
    <w:rsid w:val="00BC466D"/>
    <w:rsid w:val="00BC4964"/>
    <w:rsid w:val="00BC4972"/>
    <w:rsid w:val="00BC49E4"/>
    <w:rsid w:val="00BC4CE5"/>
    <w:rsid w:val="00BC4D09"/>
    <w:rsid w:val="00BC5139"/>
    <w:rsid w:val="00BC541A"/>
    <w:rsid w:val="00BC58C3"/>
    <w:rsid w:val="00BC5D37"/>
    <w:rsid w:val="00BC5FC4"/>
    <w:rsid w:val="00BC605D"/>
    <w:rsid w:val="00BC613F"/>
    <w:rsid w:val="00BC65C8"/>
    <w:rsid w:val="00BC6897"/>
    <w:rsid w:val="00BC6A0E"/>
    <w:rsid w:val="00BC6A5D"/>
    <w:rsid w:val="00BC6FB3"/>
    <w:rsid w:val="00BC716D"/>
    <w:rsid w:val="00BC7308"/>
    <w:rsid w:val="00BC7495"/>
    <w:rsid w:val="00BC7D7E"/>
    <w:rsid w:val="00BC7E6F"/>
    <w:rsid w:val="00BC7F6A"/>
    <w:rsid w:val="00BD0532"/>
    <w:rsid w:val="00BD0550"/>
    <w:rsid w:val="00BD09AE"/>
    <w:rsid w:val="00BD0D4D"/>
    <w:rsid w:val="00BD0DC3"/>
    <w:rsid w:val="00BD0EC3"/>
    <w:rsid w:val="00BD12DB"/>
    <w:rsid w:val="00BD13AA"/>
    <w:rsid w:val="00BD15AD"/>
    <w:rsid w:val="00BD1758"/>
    <w:rsid w:val="00BD181B"/>
    <w:rsid w:val="00BD19A8"/>
    <w:rsid w:val="00BD1A20"/>
    <w:rsid w:val="00BD1A37"/>
    <w:rsid w:val="00BD1B8D"/>
    <w:rsid w:val="00BD1E5C"/>
    <w:rsid w:val="00BD1E9F"/>
    <w:rsid w:val="00BD207F"/>
    <w:rsid w:val="00BD216E"/>
    <w:rsid w:val="00BD2683"/>
    <w:rsid w:val="00BD2944"/>
    <w:rsid w:val="00BD2AFA"/>
    <w:rsid w:val="00BD2C69"/>
    <w:rsid w:val="00BD2F48"/>
    <w:rsid w:val="00BD33D4"/>
    <w:rsid w:val="00BD388F"/>
    <w:rsid w:val="00BD3D48"/>
    <w:rsid w:val="00BD3ED4"/>
    <w:rsid w:val="00BD40B1"/>
    <w:rsid w:val="00BD4774"/>
    <w:rsid w:val="00BD49D1"/>
    <w:rsid w:val="00BD4B35"/>
    <w:rsid w:val="00BD5253"/>
    <w:rsid w:val="00BD54A4"/>
    <w:rsid w:val="00BD587C"/>
    <w:rsid w:val="00BD5B27"/>
    <w:rsid w:val="00BD5B35"/>
    <w:rsid w:val="00BD5BF9"/>
    <w:rsid w:val="00BD6072"/>
    <w:rsid w:val="00BD6109"/>
    <w:rsid w:val="00BD645C"/>
    <w:rsid w:val="00BD6542"/>
    <w:rsid w:val="00BD679B"/>
    <w:rsid w:val="00BD6A10"/>
    <w:rsid w:val="00BD6B91"/>
    <w:rsid w:val="00BD6DAD"/>
    <w:rsid w:val="00BD6E9C"/>
    <w:rsid w:val="00BD6F6E"/>
    <w:rsid w:val="00BD7037"/>
    <w:rsid w:val="00BD7056"/>
    <w:rsid w:val="00BD7771"/>
    <w:rsid w:val="00BD7826"/>
    <w:rsid w:val="00BD7900"/>
    <w:rsid w:val="00BD7DF0"/>
    <w:rsid w:val="00BE066C"/>
    <w:rsid w:val="00BE099D"/>
    <w:rsid w:val="00BE0A98"/>
    <w:rsid w:val="00BE0B1F"/>
    <w:rsid w:val="00BE0BE4"/>
    <w:rsid w:val="00BE0C92"/>
    <w:rsid w:val="00BE16F4"/>
    <w:rsid w:val="00BE1AD4"/>
    <w:rsid w:val="00BE1AEE"/>
    <w:rsid w:val="00BE1AFD"/>
    <w:rsid w:val="00BE1F44"/>
    <w:rsid w:val="00BE20CA"/>
    <w:rsid w:val="00BE25AD"/>
    <w:rsid w:val="00BE279B"/>
    <w:rsid w:val="00BE27AA"/>
    <w:rsid w:val="00BE2AF8"/>
    <w:rsid w:val="00BE2BAF"/>
    <w:rsid w:val="00BE2C4A"/>
    <w:rsid w:val="00BE3586"/>
    <w:rsid w:val="00BE3795"/>
    <w:rsid w:val="00BE3806"/>
    <w:rsid w:val="00BE3988"/>
    <w:rsid w:val="00BE3B99"/>
    <w:rsid w:val="00BE3BEA"/>
    <w:rsid w:val="00BE3C8C"/>
    <w:rsid w:val="00BE3F1A"/>
    <w:rsid w:val="00BE41D8"/>
    <w:rsid w:val="00BE4277"/>
    <w:rsid w:val="00BE4387"/>
    <w:rsid w:val="00BE47BF"/>
    <w:rsid w:val="00BE4ACC"/>
    <w:rsid w:val="00BE4C55"/>
    <w:rsid w:val="00BE4ECC"/>
    <w:rsid w:val="00BE5374"/>
    <w:rsid w:val="00BE54F7"/>
    <w:rsid w:val="00BE5659"/>
    <w:rsid w:val="00BE5692"/>
    <w:rsid w:val="00BE571E"/>
    <w:rsid w:val="00BE59D6"/>
    <w:rsid w:val="00BE5ADD"/>
    <w:rsid w:val="00BE5B61"/>
    <w:rsid w:val="00BE5BB5"/>
    <w:rsid w:val="00BE5BF0"/>
    <w:rsid w:val="00BE5C2D"/>
    <w:rsid w:val="00BE5C7A"/>
    <w:rsid w:val="00BE5D0D"/>
    <w:rsid w:val="00BE5E4D"/>
    <w:rsid w:val="00BE6052"/>
    <w:rsid w:val="00BE6152"/>
    <w:rsid w:val="00BE627A"/>
    <w:rsid w:val="00BE683C"/>
    <w:rsid w:val="00BE69C9"/>
    <w:rsid w:val="00BE6CE8"/>
    <w:rsid w:val="00BE6E2B"/>
    <w:rsid w:val="00BE6F42"/>
    <w:rsid w:val="00BE704F"/>
    <w:rsid w:val="00BE77E1"/>
    <w:rsid w:val="00BE78E1"/>
    <w:rsid w:val="00BE7B77"/>
    <w:rsid w:val="00BE7EBC"/>
    <w:rsid w:val="00BF01F8"/>
    <w:rsid w:val="00BF0450"/>
    <w:rsid w:val="00BF0987"/>
    <w:rsid w:val="00BF0A97"/>
    <w:rsid w:val="00BF0B5C"/>
    <w:rsid w:val="00BF0DCC"/>
    <w:rsid w:val="00BF0E69"/>
    <w:rsid w:val="00BF1116"/>
    <w:rsid w:val="00BF12B1"/>
    <w:rsid w:val="00BF12E9"/>
    <w:rsid w:val="00BF135D"/>
    <w:rsid w:val="00BF1389"/>
    <w:rsid w:val="00BF13EB"/>
    <w:rsid w:val="00BF189E"/>
    <w:rsid w:val="00BF1A50"/>
    <w:rsid w:val="00BF1A7A"/>
    <w:rsid w:val="00BF1AD0"/>
    <w:rsid w:val="00BF1CAD"/>
    <w:rsid w:val="00BF20CF"/>
    <w:rsid w:val="00BF2271"/>
    <w:rsid w:val="00BF22D2"/>
    <w:rsid w:val="00BF230D"/>
    <w:rsid w:val="00BF2670"/>
    <w:rsid w:val="00BF2E96"/>
    <w:rsid w:val="00BF32BD"/>
    <w:rsid w:val="00BF3305"/>
    <w:rsid w:val="00BF332E"/>
    <w:rsid w:val="00BF3361"/>
    <w:rsid w:val="00BF385C"/>
    <w:rsid w:val="00BF3C34"/>
    <w:rsid w:val="00BF419F"/>
    <w:rsid w:val="00BF45DC"/>
    <w:rsid w:val="00BF4C79"/>
    <w:rsid w:val="00BF4FAB"/>
    <w:rsid w:val="00BF4FAC"/>
    <w:rsid w:val="00BF513D"/>
    <w:rsid w:val="00BF5207"/>
    <w:rsid w:val="00BF5619"/>
    <w:rsid w:val="00BF582F"/>
    <w:rsid w:val="00BF5927"/>
    <w:rsid w:val="00BF5B65"/>
    <w:rsid w:val="00BF61DF"/>
    <w:rsid w:val="00BF6394"/>
    <w:rsid w:val="00BF642F"/>
    <w:rsid w:val="00BF660E"/>
    <w:rsid w:val="00BF6900"/>
    <w:rsid w:val="00BF6906"/>
    <w:rsid w:val="00BF6A14"/>
    <w:rsid w:val="00BF6A73"/>
    <w:rsid w:val="00BF6E89"/>
    <w:rsid w:val="00BF76CC"/>
    <w:rsid w:val="00BF7A39"/>
    <w:rsid w:val="00BF7C54"/>
    <w:rsid w:val="00BF7D8C"/>
    <w:rsid w:val="00BF7F97"/>
    <w:rsid w:val="00C00083"/>
    <w:rsid w:val="00C002C3"/>
    <w:rsid w:val="00C003BD"/>
    <w:rsid w:val="00C004C9"/>
    <w:rsid w:val="00C0069A"/>
    <w:rsid w:val="00C0074A"/>
    <w:rsid w:val="00C00C3B"/>
    <w:rsid w:val="00C00FF9"/>
    <w:rsid w:val="00C013A1"/>
    <w:rsid w:val="00C013DA"/>
    <w:rsid w:val="00C0161A"/>
    <w:rsid w:val="00C0161C"/>
    <w:rsid w:val="00C018A2"/>
    <w:rsid w:val="00C0190B"/>
    <w:rsid w:val="00C0191E"/>
    <w:rsid w:val="00C01937"/>
    <w:rsid w:val="00C019BF"/>
    <w:rsid w:val="00C01D5F"/>
    <w:rsid w:val="00C01F26"/>
    <w:rsid w:val="00C021DA"/>
    <w:rsid w:val="00C02B58"/>
    <w:rsid w:val="00C02DFC"/>
    <w:rsid w:val="00C02EC3"/>
    <w:rsid w:val="00C03153"/>
    <w:rsid w:val="00C0323E"/>
    <w:rsid w:val="00C033B3"/>
    <w:rsid w:val="00C0345A"/>
    <w:rsid w:val="00C03511"/>
    <w:rsid w:val="00C035B3"/>
    <w:rsid w:val="00C03768"/>
    <w:rsid w:val="00C0388C"/>
    <w:rsid w:val="00C03942"/>
    <w:rsid w:val="00C03A61"/>
    <w:rsid w:val="00C04348"/>
    <w:rsid w:val="00C044C6"/>
    <w:rsid w:val="00C04779"/>
    <w:rsid w:val="00C04A12"/>
    <w:rsid w:val="00C04B4A"/>
    <w:rsid w:val="00C04C3A"/>
    <w:rsid w:val="00C04D4F"/>
    <w:rsid w:val="00C04E6B"/>
    <w:rsid w:val="00C05097"/>
    <w:rsid w:val="00C05460"/>
    <w:rsid w:val="00C05583"/>
    <w:rsid w:val="00C05625"/>
    <w:rsid w:val="00C056BA"/>
    <w:rsid w:val="00C05700"/>
    <w:rsid w:val="00C0576C"/>
    <w:rsid w:val="00C0588B"/>
    <w:rsid w:val="00C05CD6"/>
    <w:rsid w:val="00C05F25"/>
    <w:rsid w:val="00C05FD4"/>
    <w:rsid w:val="00C060AD"/>
    <w:rsid w:val="00C06285"/>
    <w:rsid w:val="00C063AA"/>
    <w:rsid w:val="00C0649D"/>
    <w:rsid w:val="00C06940"/>
    <w:rsid w:val="00C06D35"/>
    <w:rsid w:val="00C070F3"/>
    <w:rsid w:val="00C072E3"/>
    <w:rsid w:val="00C074CD"/>
    <w:rsid w:val="00C074F3"/>
    <w:rsid w:val="00C0768B"/>
    <w:rsid w:val="00C07728"/>
    <w:rsid w:val="00C07798"/>
    <w:rsid w:val="00C07949"/>
    <w:rsid w:val="00C0795D"/>
    <w:rsid w:val="00C07D3A"/>
    <w:rsid w:val="00C07E77"/>
    <w:rsid w:val="00C10012"/>
    <w:rsid w:val="00C1015C"/>
    <w:rsid w:val="00C10290"/>
    <w:rsid w:val="00C10325"/>
    <w:rsid w:val="00C10422"/>
    <w:rsid w:val="00C1050A"/>
    <w:rsid w:val="00C10726"/>
    <w:rsid w:val="00C107C3"/>
    <w:rsid w:val="00C10A9F"/>
    <w:rsid w:val="00C10C52"/>
    <w:rsid w:val="00C10CAF"/>
    <w:rsid w:val="00C10D60"/>
    <w:rsid w:val="00C10E56"/>
    <w:rsid w:val="00C10F17"/>
    <w:rsid w:val="00C1121E"/>
    <w:rsid w:val="00C11380"/>
    <w:rsid w:val="00C113E1"/>
    <w:rsid w:val="00C11484"/>
    <w:rsid w:val="00C115E1"/>
    <w:rsid w:val="00C11604"/>
    <w:rsid w:val="00C1178B"/>
    <w:rsid w:val="00C117A7"/>
    <w:rsid w:val="00C11A05"/>
    <w:rsid w:val="00C11F5B"/>
    <w:rsid w:val="00C12648"/>
    <w:rsid w:val="00C127A0"/>
    <w:rsid w:val="00C1280E"/>
    <w:rsid w:val="00C128E2"/>
    <w:rsid w:val="00C12F9F"/>
    <w:rsid w:val="00C12FCF"/>
    <w:rsid w:val="00C13089"/>
    <w:rsid w:val="00C13103"/>
    <w:rsid w:val="00C13520"/>
    <w:rsid w:val="00C13594"/>
    <w:rsid w:val="00C135B6"/>
    <w:rsid w:val="00C13C22"/>
    <w:rsid w:val="00C13FB2"/>
    <w:rsid w:val="00C1410E"/>
    <w:rsid w:val="00C14555"/>
    <w:rsid w:val="00C14592"/>
    <w:rsid w:val="00C145DF"/>
    <w:rsid w:val="00C14682"/>
    <w:rsid w:val="00C147F1"/>
    <w:rsid w:val="00C14F9B"/>
    <w:rsid w:val="00C14FAB"/>
    <w:rsid w:val="00C15282"/>
    <w:rsid w:val="00C15490"/>
    <w:rsid w:val="00C156AC"/>
    <w:rsid w:val="00C1596C"/>
    <w:rsid w:val="00C15D2F"/>
    <w:rsid w:val="00C15F06"/>
    <w:rsid w:val="00C15F42"/>
    <w:rsid w:val="00C1601A"/>
    <w:rsid w:val="00C1610B"/>
    <w:rsid w:val="00C1611D"/>
    <w:rsid w:val="00C16464"/>
    <w:rsid w:val="00C16472"/>
    <w:rsid w:val="00C16484"/>
    <w:rsid w:val="00C16654"/>
    <w:rsid w:val="00C166C5"/>
    <w:rsid w:val="00C16B3F"/>
    <w:rsid w:val="00C16C9A"/>
    <w:rsid w:val="00C16E5D"/>
    <w:rsid w:val="00C16ED9"/>
    <w:rsid w:val="00C16F4B"/>
    <w:rsid w:val="00C16F52"/>
    <w:rsid w:val="00C17012"/>
    <w:rsid w:val="00C17155"/>
    <w:rsid w:val="00C17253"/>
    <w:rsid w:val="00C175E4"/>
    <w:rsid w:val="00C1799B"/>
    <w:rsid w:val="00C17C72"/>
    <w:rsid w:val="00C17CF7"/>
    <w:rsid w:val="00C17CFB"/>
    <w:rsid w:val="00C17D0E"/>
    <w:rsid w:val="00C17EAB"/>
    <w:rsid w:val="00C17EB4"/>
    <w:rsid w:val="00C2009A"/>
    <w:rsid w:val="00C2021D"/>
    <w:rsid w:val="00C204CB"/>
    <w:rsid w:val="00C204E4"/>
    <w:rsid w:val="00C20B5B"/>
    <w:rsid w:val="00C20D93"/>
    <w:rsid w:val="00C20E86"/>
    <w:rsid w:val="00C20F06"/>
    <w:rsid w:val="00C21297"/>
    <w:rsid w:val="00C216E8"/>
    <w:rsid w:val="00C21A4E"/>
    <w:rsid w:val="00C21BC9"/>
    <w:rsid w:val="00C21BE2"/>
    <w:rsid w:val="00C21CEA"/>
    <w:rsid w:val="00C21F5D"/>
    <w:rsid w:val="00C22210"/>
    <w:rsid w:val="00C22931"/>
    <w:rsid w:val="00C22AC5"/>
    <w:rsid w:val="00C22E02"/>
    <w:rsid w:val="00C22EA6"/>
    <w:rsid w:val="00C231E2"/>
    <w:rsid w:val="00C232E0"/>
    <w:rsid w:val="00C23BF9"/>
    <w:rsid w:val="00C23FC5"/>
    <w:rsid w:val="00C24058"/>
    <w:rsid w:val="00C2409E"/>
    <w:rsid w:val="00C24458"/>
    <w:rsid w:val="00C247E0"/>
    <w:rsid w:val="00C24B5E"/>
    <w:rsid w:val="00C24DFB"/>
    <w:rsid w:val="00C251AD"/>
    <w:rsid w:val="00C2534F"/>
    <w:rsid w:val="00C254A6"/>
    <w:rsid w:val="00C2556E"/>
    <w:rsid w:val="00C25591"/>
    <w:rsid w:val="00C25A4F"/>
    <w:rsid w:val="00C25ADE"/>
    <w:rsid w:val="00C25C9C"/>
    <w:rsid w:val="00C25DB7"/>
    <w:rsid w:val="00C25F1D"/>
    <w:rsid w:val="00C26164"/>
    <w:rsid w:val="00C262DD"/>
    <w:rsid w:val="00C2693B"/>
    <w:rsid w:val="00C26985"/>
    <w:rsid w:val="00C26B4A"/>
    <w:rsid w:val="00C26DC8"/>
    <w:rsid w:val="00C27194"/>
    <w:rsid w:val="00C27460"/>
    <w:rsid w:val="00C27A0A"/>
    <w:rsid w:val="00C27F74"/>
    <w:rsid w:val="00C27FCF"/>
    <w:rsid w:val="00C30058"/>
    <w:rsid w:val="00C300D5"/>
    <w:rsid w:val="00C31009"/>
    <w:rsid w:val="00C310EE"/>
    <w:rsid w:val="00C31564"/>
    <w:rsid w:val="00C31571"/>
    <w:rsid w:val="00C3168A"/>
    <w:rsid w:val="00C317A2"/>
    <w:rsid w:val="00C31D05"/>
    <w:rsid w:val="00C321C9"/>
    <w:rsid w:val="00C3236E"/>
    <w:rsid w:val="00C32371"/>
    <w:rsid w:val="00C325FA"/>
    <w:rsid w:val="00C325FB"/>
    <w:rsid w:val="00C33712"/>
    <w:rsid w:val="00C337B3"/>
    <w:rsid w:val="00C33C01"/>
    <w:rsid w:val="00C33DC3"/>
    <w:rsid w:val="00C33FBC"/>
    <w:rsid w:val="00C343FC"/>
    <w:rsid w:val="00C34405"/>
    <w:rsid w:val="00C3442F"/>
    <w:rsid w:val="00C34620"/>
    <w:rsid w:val="00C34ABB"/>
    <w:rsid w:val="00C34CC9"/>
    <w:rsid w:val="00C34DBE"/>
    <w:rsid w:val="00C34EB8"/>
    <w:rsid w:val="00C35144"/>
    <w:rsid w:val="00C351D4"/>
    <w:rsid w:val="00C353FB"/>
    <w:rsid w:val="00C355CD"/>
    <w:rsid w:val="00C3568C"/>
    <w:rsid w:val="00C356E0"/>
    <w:rsid w:val="00C3574C"/>
    <w:rsid w:val="00C357A2"/>
    <w:rsid w:val="00C35926"/>
    <w:rsid w:val="00C3598C"/>
    <w:rsid w:val="00C35A07"/>
    <w:rsid w:val="00C35C43"/>
    <w:rsid w:val="00C35D22"/>
    <w:rsid w:val="00C3607E"/>
    <w:rsid w:val="00C36159"/>
    <w:rsid w:val="00C361A8"/>
    <w:rsid w:val="00C3651F"/>
    <w:rsid w:val="00C36633"/>
    <w:rsid w:val="00C36725"/>
    <w:rsid w:val="00C36869"/>
    <w:rsid w:val="00C368EC"/>
    <w:rsid w:val="00C36E9D"/>
    <w:rsid w:val="00C3735B"/>
    <w:rsid w:val="00C373EF"/>
    <w:rsid w:val="00C375ED"/>
    <w:rsid w:val="00C37699"/>
    <w:rsid w:val="00C3775D"/>
    <w:rsid w:val="00C37954"/>
    <w:rsid w:val="00C37A50"/>
    <w:rsid w:val="00C37A93"/>
    <w:rsid w:val="00C37C86"/>
    <w:rsid w:val="00C37D20"/>
    <w:rsid w:val="00C4013F"/>
    <w:rsid w:val="00C40174"/>
    <w:rsid w:val="00C4026A"/>
    <w:rsid w:val="00C40436"/>
    <w:rsid w:val="00C40637"/>
    <w:rsid w:val="00C406B4"/>
    <w:rsid w:val="00C4074D"/>
    <w:rsid w:val="00C407EA"/>
    <w:rsid w:val="00C40910"/>
    <w:rsid w:val="00C4093F"/>
    <w:rsid w:val="00C40AF0"/>
    <w:rsid w:val="00C40B48"/>
    <w:rsid w:val="00C40ECC"/>
    <w:rsid w:val="00C40F19"/>
    <w:rsid w:val="00C4122A"/>
    <w:rsid w:val="00C412B1"/>
    <w:rsid w:val="00C41508"/>
    <w:rsid w:val="00C4156B"/>
    <w:rsid w:val="00C41602"/>
    <w:rsid w:val="00C417E6"/>
    <w:rsid w:val="00C417F4"/>
    <w:rsid w:val="00C41BFB"/>
    <w:rsid w:val="00C41C78"/>
    <w:rsid w:val="00C42173"/>
    <w:rsid w:val="00C4227F"/>
    <w:rsid w:val="00C422B4"/>
    <w:rsid w:val="00C4258C"/>
    <w:rsid w:val="00C4261F"/>
    <w:rsid w:val="00C42C5F"/>
    <w:rsid w:val="00C42F25"/>
    <w:rsid w:val="00C4324E"/>
    <w:rsid w:val="00C4332E"/>
    <w:rsid w:val="00C43362"/>
    <w:rsid w:val="00C43411"/>
    <w:rsid w:val="00C4377B"/>
    <w:rsid w:val="00C438F5"/>
    <w:rsid w:val="00C43A84"/>
    <w:rsid w:val="00C43D61"/>
    <w:rsid w:val="00C43F40"/>
    <w:rsid w:val="00C43F9F"/>
    <w:rsid w:val="00C440D8"/>
    <w:rsid w:val="00C442DD"/>
    <w:rsid w:val="00C4436C"/>
    <w:rsid w:val="00C44978"/>
    <w:rsid w:val="00C44AAE"/>
    <w:rsid w:val="00C44DFB"/>
    <w:rsid w:val="00C44F17"/>
    <w:rsid w:val="00C4561E"/>
    <w:rsid w:val="00C457EA"/>
    <w:rsid w:val="00C4584B"/>
    <w:rsid w:val="00C459EE"/>
    <w:rsid w:val="00C45BD2"/>
    <w:rsid w:val="00C45CC1"/>
    <w:rsid w:val="00C45CE6"/>
    <w:rsid w:val="00C45E4A"/>
    <w:rsid w:val="00C45E7A"/>
    <w:rsid w:val="00C45F04"/>
    <w:rsid w:val="00C460F3"/>
    <w:rsid w:val="00C461B2"/>
    <w:rsid w:val="00C4621D"/>
    <w:rsid w:val="00C46426"/>
    <w:rsid w:val="00C466EC"/>
    <w:rsid w:val="00C4680C"/>
    <w:rsid w:val="00C46868"/>
    <w:rsid w:val="00C46A12"/>
    <w:rsid w:val="00C46B0B"/>
    <w:rsid w:val="00C46BA2"/>
    <w:rsid w:val="00C46F52"/>
    <w:rsid w:val="00C47182"/>
    <w:rsid w:val="00C473AE"/>
    <w:rsid w:val="00C47B96"/>
    <w:rsid w:val="00C47C8E"/>
    <w:rsid w:val="00C5015F"/>
    <w:rsid w:val="00C502C6"/>
    <w:rsid w:val="00C50304"/>
    <w:rsid w:val="00C50348"/>
    <w:rsid w:val="00C505AB"/>
    <w:rsid w:val="00C50B38"/>
    <w:rsid w:val="00C50B59"/>
    <w:rsid w:val="00C50D82"/>
    <w:rsid w:val="00C50F5C"/>
    <w:rsid w:val="00C5140E"/>
    <w:rsid w:val="00C51524"/>
    <w:rsid w:val="00C519BB"/>
    <w:rsid w:val="00C51BD5"/>
    <w:rsid w:val="00C51F49"/>
    <w:rsid w:val="00C52020"/>
    <w:rsid w:val="00C520AF"/>
    <w:rsid w:val="00C52914"/>
    <w:rsid w:val="00C52CF2"/>
    <w:rsid w:val="00C52E40"/>
    <w:rsid w:val="00C52FD1"/>
    <w:rsid w:val="00C5310D"/>
    <w:rsid w:val="00C53211"/>
    <w:rsid w:val="00C5346C"/>
    <w:rsid w:val="00C53528"/>
    <w:rsid w:val="00C5359B"/>
    <w:rsid w:val="00C535F4"/>
    <w:rsid w:val="00C5364D"/>
    <w:rsid w:val="00C5366B"/>
    <w:rsid w:val="00C53967"/>
    <w:rsid w:val="00C53AF7"/>
    <w:rsid w:val="00C53BAF"/>
    <w:rsid w:val="00C53CE9"/>
    <w:rsid w:val="00C53E92"/>
    <w:rsid w:val="00C53FE2"/>
    <w:rsid w:val="00C5404C"/>
    <w:rsid w:val="00C540D4"/>
    <w:rsid w:val="00C5436A"/>
    <w:rsid w:val="00C54793"/>
    <w:rsid w:val="00C548F0"/>
    <w:rsid w:val="00C54B97"/>
    <w:rsid w:val="00C54D63"/>
    <w:rsid w:val="00C550EA"/>
    <w:rsid w:val="00C55286"/>
    <w:rsid w:val="00C554B5"/>
    <w:rsid w:val="00C554FA"/>
    <w:rsid w:val="00C55715"/>
    <w:rsid w:val="00C55827"/>
    <w:rsid w:val="00C55CD2"/>
    <w:rsid w:val="00C560CE"/>
    <w:rsid w:val="00C5612B"/>
    <w:rsid w:val="00C56154"/>
    <w:rsid w:val="00C56323"/>
    <w:rsid w:val="00C569A3"/>
    <w:rsid w:val="00C56D31"/>
    <w:rsid w:val="00C56DE9"/>
    <w:rsid w:val="00C56E45"/>
    <w:rsid w:val="00C56EF2"/>
    <w:rsid w:val="00C570A6"/>
    <w:rsid w:val="00C57164"/>
    <w:rsid w:val="00C5726B"/>
    <w:rsid w:val="00C5737B"/>
    <w:rsid w:val="00C57603"/>
    <w:rsid w:val="00C57844"/>
    <w:rsid w:val="00C579F3"/>
    <w:rsid w:val="00C57AE1"/>
    <w:rsid w:val="00C57BFD"/>
    <w:rsid w:val="00C57CBE"/>
    <w:rsid w:val="00C57E05"/>
    <w:rsid w:val="00C57E44"/>
    <w:rsid w:val="00C57E84"/>
    <w:rsid w:val="00C60020"/>
    <w:rsid w:val="00C60096"/>
    <w:rsid w:val="00C600B3"/>
    <w:rsid w:val="00C60157"/>
    <w:rsid w:val="00C60439"/>
    <w:rsid w:val="00C604B8"/>
    <w:rsid w:val="00C608E5"/>
    <w:rsid w:val="00C6094C"/>
    <w:rsid w:val="00C60A1F"/>
    <w:rsid w:val="00C60DE1"/>
    <w:rsid w:val="00C60F30"/>
    <w:rsid w:val="00C61177"/>
    <w:rsid w:val="00C611F2"/>
    <w:rsid w:val="00C6139D"/>
    <w:rsid w:val="00C613DE"/>
    <w:rsid w:val="00C61464"/>
    <w:rsid w:val="00C61D8D"/>
    <w:rsid w:val="00C61DB8"/>
    <w:rsid w:val="00C61EFA"/>
    <w:rsid w:val="00C61FEF"/>
    <w:rsid w:val="00C62013"/>
    <w:rsid w:val="00C62207"/>
    <w:rsid w:val="00C622FC"/>
    <w:rsid w:val="00C6282A"/>
    <w:rsid w:val="00C62A64"/>
    <w:rsid w:val="00C62CB8"/>
    <w:rsid w:val="00C62EBE"/>
    <w:rsid w:val="00C630E2"/>
    <w:rsid w:val="00C63187"/>
    <w:rsid w:val="00C63189"/>
    <w:rsid w:val="00C63989"/>
    <w:rsid w:val="00C63AB1"/>
    <w:rsid w:val="00C63F3B"/>
    <w:rsid w:val="00C6409D"/>
    <w:rsid w:val="00C64569"/>
    <w:rsid w:val="00C6463A"/>
    <w:rsid w:val="00C64670"/>
    <w:rsid w:val="00C646B2"/>
    <w:rsid w:val="00C64995"/>
    <w:rsid w:val="00C6499C"/>
    <w:rsid w:val="00C64A72"/>
    <w:rsid w:val="00C64A82"/>
    <w:rsid w:val="00C64D1B"/>
    <w:rsid w:val="00C64DC9"/>
    <w:rsid w:val="00C6525F"/>
    <w:rsid w:val="00C654A5"/>
    <w:rsid w:val="00C654DC"/>
    <w:rsid w:val="00C656E0"/>
    <w:rsid w:val="00C65895"/>
    <w:rsid w:val="00C658D1"/>
    <w:rsid w:val="00C65A05"/>
    <w:rsid w:val="00C65C93"/>
    <w:rsid w:val="00C66349"/>
    <w:rsid w:val="00C66382"/>
    <w:rsid w:val="00C66A08"/>
    <w:rsid w:val="00C66F15"/>
    <w:rsid w:val="00C671A3"/>
    <w:rsid w:val="00C673E9"/>
    <w:rsid w:val="00C675D9"/>
    <w:rsid w:val="00C677BD"/>
    <w:rsid w:val="00C67BAB"/>
    <w:rsid w:val="00C67E8E"/>
    <w:rsid w:val="00C67F49"/>
    <w:rsid w:val="00C67F83"/>
    <w:rsid w:val="00C67FE7"/>
    <w:rsid w:val="00C7069B"/>
    <w:rsid w:val="00C708D9"/>
    <w:rsid w:val="00C70D4E"/>
    <w:rsid w:val="00C70E34"/>
    <w:rsid w:val="00C7143F"/>
    <w:rsid w:val="00C715C9"/>
    <w:rsid w:val="00C716AA"/>
    <w:rsid w:val="00C71910"/>
    <w:rsid w:val="00C71ADE"/>
    <w:rsid w:val="00C7201A"/>
    <w:rsid w:val="00C7215C"/>
    <w:rsid w:val="00C72177"/>
    <w:rsid w:val="00C722A4"/>
    <w:rsid w:val="00C7235C"/>
    <w:rsid w:val="00C72401"/>
    <w:rsid w:val="00C72826"/>
    <w:rsid w:val="00C72A1D"/>
    <w:rsid w:val="00C7329D"/>
    <w:rsid w:val="00C73538"/>
    <w:rsid w:val="00C736CD"/>
    <w:rsid w:val="00C73768"/>
    <w:rsid w:val="00C73852"/>
    <w:rsid w:val="00C73968"/>
    <w:rsid w:val="00C7399D"/>
    <w:rsid w:val="00C73B12"/>
    <w:rsid w:val="00C73FC9"/>
    <w:rsid w:val="00C745B0"/>
    <w:rsid w:val="00C745F7"/>
    <w:rsid w:val="00C74780"/>
    <w:rsid w:val="00C74867"/>
    <w:rsid w:val="00C74B0E"/>
    <w:rsid w:val="00C74B2A"/>
    <w:rsid w:val="00C74B8C"/>
    <w:rsid w:val="00C74C2C"/>
    <w:rsid w:val="00C74E3F"/>
    <w:rsid w:val="00C750FA"/>
    <w:rsid w:val="00C752AF"/>
    <w:rsid w:val="00C753E3"/>
    <w:rsid w:val="00C7545E"/>
    <w:rsid w:val="00C758D3"/>
    <w:rsid w:val="00C75C62"/>
    <w:rsid w:val="00C75E7E"/>
    <w:rsid w:val="00C7626F"/>
    <w:rsid w:val="00C7631D"/>
    <w:rsid w:val="00C76401"/>
    <w:rsid w:val="00C7695E"/>
    <w:rsid w:val="00C76D10"/>
    <w:rsid w:val="00C76D70"/>
    <w:rsid w:val="00C76E29"/>
    <w:rsid w:val="00C76E87"/>
    <w:rsid w:val="00C77517"/>
    <w:rsid w:val="00C776F5"/>
    <w:rsid w:val="00C77EFC"/>
    <w:rsid w:val="00C800E9"/>
    <w:rsid w:val="00C802A7"/>
    <w:rsid w:val="00C802F8"/>
    <w:rsid w:val="00C80637"/>
    <w:rsid w:val="00C808A8"/>
    <w:rsid w:val="00C80DB3"/>
    <w:rsid w:val="00C8142D"/>
    <w:rsid w:val="00C814D5"/>
    <w:rsid w:val="00C816D1"/>
    <w:rsid w:val="00C819B6"/>
    <w:rsid w:val="00C81A29"/>
    <w:rsid w:val="00C81C89"/>
    <w:rsid w:val="00C81DF1"/>
    <w:rsid w:val="00C81FF0"/>
    <w:rsid w:val="00C81FF6"/>
    <w:rsid w:val="00C82558"/>
    <w:rsid w:val="00C82590"/>
    <w:rsid w:val="00C8268F"/>
    <w:rsid w:val="00C8280C"/>
    <w:rsid w:val="00C82CC9"/>
    <w:rsid w:val="00C82E31"/>
    <w:rsid w:val="00C82EA3"/>
    <w:rsid w:val="00C8300E"/>
    <w:rsid w:val="00C83090"/>
    <w:rsid w:val="00C830CD"/>
    <w:rsid w:val="00C83252"/>
    <w:rsid w:val="00C83535"/>
    <w:rsid w:val="00C83825"/>
    <w:rsid w:val="00C838BC"/>
    <w:rsid w:val="00C83D00"/>
    <w:rsid w:val="00C83D84"/>
    <w:rsid w:val="00C8419A"/>
    <w:rsid w:val="00C841EF"/>
    <w:rsid w:val="00C843BD"/>
    <w:rsid w:val="00C84A06"/>
    <w:rsid w:val="00C84B57"/>
    <w:rsid w:val="00C84C5E"/>
    <w:rsid w:val="00C84E06"/>
    <w:rsid w:val="00C8508D"/>
    <w:rsid w:val="00C852CD"/>
    <w:rsid w:val="00C856C7"/>
    <w:rsid w:val="00C85ABE"/>
    <w:rsid w:val="00C85FA4"/>
    <w:rsid w:val="00C865AE"/>
    <w:rsid w:val="00C8684F"/>
    <w:rsid w:val="00C86B88"/>
    <w:rsid w:val="00C86FF5"/>
    <w:rsid w:val="00C87436"/>
    <w:rsid w:val="00C879A1"/>
    <w:rsid w:val="00C87E05"/>
    <w:rsid w:val="00C87FFA"/>
    <w:rsid w:val="00C9001E"/>
    <w:rsid w:val="00C903A3"/>
    <w:rsid w:val="00C905AB"/>
    <w:rsid w:val="00C90879"/>
    <w:rsid w:val="00C90912"/>
    <w:rsid w:val="00C90B04"/>
    <w:rsid w:val="00C90C73"/>
    <w:rsid w:val="00C90EEA"/>
    <w:rsid w:val="00C91095"/>
    <w:rsid w:val="00C910C1"/>
    <w:rsid w:val="00C910E7"/>
    <w:rsid w:val="00C9119F"/>
    <w:rsid w:val="00C911AC"/>
    <w:rsid w:val="00C911C5"/>
    <w:rsid w:val="00C9120C"/>
    <w:rsid w:val="00C914B6"/>
    <w:rsid w:val="00C91607"/>
    <w:rsid w:val="00C91651"/>
    <w:rsid w:val="00C917A4"/>
    <w:rsid w:val="00C91B32"/>
    <w:rsid w:val="00C92265"/>
    <w:rsid w:val="00C922A2"/>
    <w:rsid w:val="00C92388"/>
    <w:rsid w:val="00C9268C"/>
    <w:rsid w:val="00C92976"/>
    <w:rsid w:val="00C92B06"/>
    <w:rsid w:val="00C92C07"/>
    <w:rsid w:val="00C92C83"/>
    <w:rsid w:val="00C92DA8"/>
    <w:rsid w:val="00C92FD2"/>
    <w:rsid w:val="00C93864"/>
    <w:rsid w:val="00C938F7"/>
    <w:rsid w:val="00C93B8F"/>
    <w:rsid w:val="00C93C2B"/>
    <w:rsid w:val="00C93E2C"/>
    <w:rsid w:val="00C93EFD"/>
    <w:rsid w:val="00C94094"/>
    <w:rsid w:val="00C944D1"/>
    <w:rsid w:val="00C945DB"/>
    <w:rsid w:val="00C948EA"/>
    <w:rsid w:val="00C94AFA"/>
    <w:rsid w:val="00C94E1C"/>
    <w:rsid w:val="00C94F0A"/>
    <w:rsid w:val="00C9557D"/>
    <w:rsid w:val="00C957D3"/>
    <w:rsid w:val="00C9594F"/>
    <w:rsid w:val="00C9598F"/>
    <w:rsid w:val="00C95B7D"/>
    <w:rsid w:val="00C95B7F"/>
    <w:rsid w:val="00C95BD8"/>
    <w:rsid w:val="00C95D93"/>
    <w:rsid w:val="00C9624B"/>
    <w:rsid w:val="00C9625C"/>
    <w:rsid w:val="00C9626C"/>
    <w:rsid w:val="00C96A56"/>
    <w:rsid w:val="00C96A9B"/>
    <w:rsid w:val="00C96FE6"/>
    <w:rsid w:val="00C97042"/>
    <w:rsid w:val="00C971C0"/>
    <w:rsid w:val="00C971F4"/>
    <w:rsid w:val="00C97262"/>
    <w:rsid w:val="00C97A74"/>
    <w:rsid w:val="00C97A89"/>
    <w:rsid w:val="00C97CEE"/>
    <w:rsid w:val="00C97E34"/>
    <w:rsid w:val="00C97F10"/>
    <w:rsid w:val="00CA01FB"/>
    <w:rsid w:val="00CA082B"/>
    <w:rsid w:val="00CA08AB"/>
    <w:rsid w:val="00CA0C2B"/>
    <w:rsid w:val="00CA0DB3"/>
    <w:rsid w:val="00CA0F1F"/>
    <w:rsid w:val="00CA10BE"/>
    <w:rsid w:val="00CA10C6"/>
    <w:rsid w:val="00CA1150"/>
    <w:rsid w:val="00CA11E8"/>
    <w:rsid w:val="00CA127C"/>
    <w:rsid w:val="00CA128D"/>
    <w:rsid w:val="00CA1358"/>
    <w:rsid w:val="00CA161B"/>
    <w:rsid w:val="00CA1982"/>
    <w:rsid w:val="00CA233D"/>
    <w:rsid w:val="00CA26EA"/>
    <w:rsid w:val="00CA2700"/>
    <w:rsid w:val="00CA2ABD"/>
    <w:rsid w:val="00CA2B05"/>
    <w:rsid w:val="00CA2FB2"/>
    <w:rsid w:val="00CA306C"/>
    <w:rsid w:val="00CA30B8"/>
    <w:rsid w:val="00CA3112"/>
    <w:rsid w:val="00CA3206"/>
    <w:rsid w:val="00CA3760"/>
    <w:rsid w:val="00CA3A62"/>
    <w:rsid w:val="00CA3AFC"/>
    <w:rsid w:val="00CA3D3A"/>
    <w:rsid w:val="00CA3E2C"/>
    <w:rsid w:val="00CA4299"/>
    <w:rsid w:val="00CA42D6"/>
    <w:rsid w:val="00CA4547"/>
    <w:rsid w:val="00CA45D7"/>
    <w:rsid w:val="00CA499B"/>
    <w:rsid w:val="00CA4C32"/>
    <w:rsid w:val="00CA4DCC"/>
    <w:rsid w:val="00CA50E6"/>
    <w:rsid w:val="00CA5253"/>
    <w:rsid w:val="00CA528A"/>
    <w:rsid w:val="00CA53CC"/>
    <w:rsid w:val="00CA57B8"/>
    <w:rsid w:val="00CA60B8"/>
    <w:rsid w:val="00CA63FB"/>
    <w:rsid w:val="00CA6521"/>
    <w:rsid w:val="00CA655F"/>
    <w:rsid w:val="00CA6599"/>
    <w:rsid w:val="00CA65AE"/>
    <w:rsid w:val="00CA65B7"/>
    <w:rsid w:val="00CA660A"/>
    <w:rsid w:val="00CA67F0"/>
    <w:rsid w:val="00CA68DD"/>
    <w:rsid w:val="00CA6965"/>
    <w:rsid w:val="00CA6A4F"/>
    <w:rsid w:val="00CA6C49"/>
    <w:rsid w:val="00CA701E"/>
    <w:rsid w:val="00CA70B7"/>
    <w:rsid w:val="00CA7265"/>
    <w:rsid w:val="00CA749D"/>
    <w:rsid w:val="00CA7A66"/>
    <w:rsid w:val="00CA7B4F"/>
    <w:rsid w:val="00CA7F71"/>
    <w:rsid w:val="00CB0113"/>
    <w:rsid w:val="00CB0160"/>
    <w:rsid w:val="00CB0932"/>
    <w:rsid w:val="00CB0AB4"/>
    <w:rsid w:val="00CB0E52"/>
    <w:rsid w:val="00CB12A3"/>
    <w:rsid w:val="00CB1421"/>
    <w:rsid w:val="00CB1429"/>
    <w:rsid w:val="00CB15E9"/>
    <w:rsid w:val="00CB1735"/>
    <w:rsid w:val="00CB176D"/>
    <w:rsid w:val="00CB18C4"/>
    <w:rsid w:val="00CB1B8F"/>
    <w:rsid w:val="00CB1C35"/>
    <w:rsid w:val="00CB1E50"/>
    <w:rsid w:val="00CB1F20"/>
    <w:rsid w:val="00CB21C4"/>
    <w:rsid w:val="00CB21E7"/>
    <w:rsid w:val="00CB256E"/>
    <w:rsid w:val="00CB28A4"/>
    <w:rsid w:val="00CB2A01"/>
    <w:rsid w:val="00CB2AB2"/>
    <w:rsid w:val="00CB2BD2"/>
    <w:rsid w:val="00CB2BD5"/>
    <w:rsid w:val="00CB2C07"/>
    <w:rsid w:val="00CB2FB4"/>
    <w:rsid w:val="00CB30BD"/>
    <w:rsid w:val="00CB318E"/>
    <w:rsid w:val="00CB3356"/>
    <w:rsid w:val="00CB3425"/>
    <w:rsid w:val="00CB34F6"/>
    <w:rsid w:val="00CB362D"/>
    <w:rsid w:val="00CB37B8"/>
    <w:rsid w:val="00CB3898"/>
    <w:rsid w:val="00CB3B2A"/>
    <w:rsid w:val="00CB4084"/>
    <w:rsid w:val="00CB40E5"/>
    <w:rsid w:val="00CB433B"/>
    <w:rsid w:val="00CB4656"/>
    <w:rsid w:val="00CB472B"/>
    <w:rsid w:val="00CB49EE"/>
    <w:rsid w:val="00CB4C1A"/>
    <w:rsid w:val="00CB4D95"/>
    <w:rsid w:val="00CB4FD5"/>
    <w:rsid w:val="00CB5108"/>
    <w:rsid w:val="00CB5651"/>
    <w:rsid w:val="00CB56F4"/>
    <w:rsid w:val="00CB5779"/>
    <w:rsid w:val="00CB580F"/>
    <w:rsid w:val="00CB5ADB"/>
    <w:rsid w:val="00CB5BD9"/>
    <w:rsid w:val="00CB5C0F"/>
    <w:rsid w:val="00CB5C55"/>
    <w:rsid w:val="00CB6078"/>
    <w:rsid w:val="00CB60C3"/>
    <w:rsid w:val="00CB62C0"/>
    <w:rsid w:val="00CB654A"/>
    <w:rsid w:val="00CB68DC"/>
    <w:rsid w:val="00CB69AE"/>
    <w:rsid w:val="00CB6AE6"/>
    <w:rsid w:val="00CB6CEB"/>
    <w:rsid w:val="00CB7090"/>
    <w:rsid w:val="00CB7132"/>
    <w:rsid w:val="00CB753F"/>
    <w:rsid w:val="00CB7602"/>
    <w:rsid w:val="00CB7801"/>
    <w:rsid w:val="00CB7A16"/>
    <w:rsid w:val="00CB7D8F"/>
    <w:rsid w:val="00CB7F63"/>
    <w:rsid w:val="00CBA17C"/>
    <w:rsid w:val="00CC020E"/>
    <w:rsid w:val="00CC023D"/>
    <w:rsid w:val="00CC0515"/>
    <w:rsid w:val="00CC0583"/>
    <w:rsid w:val="00CC0727"/>
    <w:rsid w:val="00CC0729"/>
    <w:rsid w:val="00CC0916"/>
    <w:rsid w:val="00CC0AD5"/>
    <w:rsid w:val="00CC0BEA"/>
    <w:rsid w:val="00CC0E58"/>
    <w:rsid w:val="00CC1368"/>
    <w:rsid w:val="00CC15AE"/>
    <w:rsid w:val="00CC177B"/>
    <w:rsid w:val="00CC18C4"/>
    <w:rsid w:val="00CC1B0C"/>
    <w:rsid w:val="00CC1D1A"/>
    <w:rsid w:val="00CC1D83"/>
    <w:rsid w:val="00CC1E1D"/>
    <w:rsid w:val="00CC219B"/>
    <w:rsid w:val="00CC2403"/>
    <w:rsid w:val="00CC2B17"/>
    <w:rsid w:val="00CC2D11"/>
    <w:rsid w:val="00CC3035"/>
    <w:rsid w:val="00CC3289"/>
    <w:rsid w:val="00CC35B6"/>
    <w:rsid w:val="00CC35CB"/>
    <w:rsid w:val="00CC3BF7"/>
    <w:rsid w:val="00CC3C94"/>
    <w:rsid w:val="00CC3EAE"/>
    <w:rsid w:val="00CC3F51"/>
    <w:rsid w:val="00CC3F9D"/>
    <w:rsid w:val="00CC411D"/>
    <w:rsid w:val="00CC45CB"/>
    <w:rsid w:val="00CC48F9"/>
    <w:rsid w:val="00CC4AFF"/>
    <w:rsid w:val="00CC4EAF"/>
    <w:rsid w:val="00CC4EC4"/>
    <w:rsid w:val="00CC50FA"/>
    <w:rsid w:val="00CC511A"/>
    <w:rsid w:val="00CC52FA"/>
    <w:rsid w:val="00CC548E"/>
    <w:rsid w:val="00CC5682"/>
    <w:rsid w:val="00CC593A"/>
    <w:rsid w:val="00CC5956"/>
    <w:rsid w:val="00CC5E3A"/>
    <w:rsid w:val="00CC5F2F"/>
    <w:rsid w:val="00CC5FB2"/>
    <w:rsid w:val="00CC6260"/>
    <w:rsid w:val="00CC631C"/>
    <w:rsid w:val="00CC6332"/>
    <w:rsid w:val="00CC66B0"/>
    <w:rsid w:val="00CC7000"/>
    <w:rsid w:val="00CC7344"/>
    <w:rsid w:val="00CC77C2"/>
    <w:rsid w:val="00CC77EE"/>
    <w:rsid w:val="00CC78B1"/>
    <w:rsid w:val="00CC7D12"/>
    <w:rsid w:val="00CC7F97"/>
    <w:rsid w:val="00CC7FA4"/>
    <w:rsid w:val="00CD0104"/>
    <w:rsid w:val="00CD0149"/>
    <w:rsid w:val="00CD0214"/>
    <w:rsid w:val="00CD021A"/>
    <w:rsid w:val="00CD06DD"/>
    <w:rsid w:val="00CD094D"/>
    <w:rsid w:val="00CD120E"/>
    <w:rsid w:val="00CD122D"/>
    <w:rsid w:val="00CD12E7"/>
    <w:rsid w:val="00CD1378"/>
    <w:rsid w:val="00CD1404"/>
    <w:rsid w:val="00CD14F6"/>
    <w:rsid w:val="00CD15B6"/>
    <w:rsid w:val="00CD1B2A"/>
    <w:rsid w:val="00CD1F84"/>
    <w:rsid w:val="00CD20EF"/>
    <w:rsid w:val="00CD236B"/>
    <w:rsid w:val="00CD26BF"/>
    <w:rsid w:val="00CD2ADA"/>
    <w:rsid w:val="00CD2C12"/>
    <w:rsid w:val="00CD30DD"/>
    <w:rsid w:val="00CD33E7"/>
    <w:rsid w:val="00CD3679"/>
    <w:rsid w:val="00CD3A2B"/>
    <w:rsid w:val="00CD3A44"/>
    <w:rsid w:val="00CD3C9F"/>
    <w:rsid w:val="00CD3D84"/>
    <w:rsid w:val="00CD3FC6"/>
    <w:rsid w:val="00CD40C2"/>
    <w:rsid w:val="00CD4190"/>
    <w:rsid w:val="00CD4359"/>
    <w:rsid w:val="00CD43AA"/>
    <w:rsid w:val="00CD43FE"/>
    <w:rsid w:val="00CD4575"/>
    <w:rsid w:val="00CD45AC"/>
    <w:rsid w:val="00CD47F1"/>
    <w:rsid w:val="00CD4C89"/>
    <w:rsid w:val="00CD4CF2"/>
    <w:rsid w:val="00CD4F0A"/>
    <w:rsid w:val="00CD5226"/>
    <w:rsid w:val="00CD528F"/>
    <w:rsid w:val="00CD58A2"/>
    <w:rsid w:val="00CD5A22"/>
    <w:rsid w:val="00CD5B22"/>
    <w:rsid w:val="00CD5B3A"/>
    <w:rsid w:val="00CD5B4F"/>
    <w:rsid w:val="00CD5C8E"/>
    <w:rsid w:val="00CD5DAB"/>
    <w:rsid w:val="00CD5DD6"/>
    <w:rsid w:val="00CD5EC5"/>
    <w:rsid w:val="00CD5F85"/>
    <w:rsid w:val="00CD644F"/>
    <w:rsid w:val="00CD65FB"/>
    <w:rsid w:val="00CD6B05"/>
    <w:rsid w:val="00CD6B57"/>
    <w:rsid w:val="00CD6BB0"/>
    <w:rsid w:val="00CD6C40"/>
    <w:rsid w:val="00CD6DCB"/>
    <w:rsid w:val="00CD6E1C"/>
    <w:rsid w:val="00CD6E86"/>
    <w:rsid w:val="00CD6EC6"/>
    <w:rsid w:val="00CD6F1D"/>
    <w:rsid w:val="00CD7276"/>
    <w:rsid w:val="00CD73D0"/>
    <w:rsid w:val="00CD7502"/>
    <w:rsid w:val="00CD789E"/>
    <w:rsid w:val="00CD7AF7"/>
    <w:rsid w:val="00CD7E91"/>
    <w:rsid w:val="00CD7ED9"/>
    <w:rsid w:val="00CE01F1"/>
    <w:rsid w:val="00CE0321"/>
    <w:rsid w:val="00CE045A"/>
    <w:rsid w:val="00CE084B"/>
    <w:rsid w:val="00CE08E5"/>
    <w:rsid w:val="00CE0B7C"/>
    <w:rsid w:val="00CE0C62"/>
    <w:rsid w:val="00CE0D90"/>
    <w:rsid w:val="00CE0DDD"/>
    <w:rsid w:val="00CE0EF8"/>
    <w:rsid w:val="00CE14EB"/>
    <w:rsid w:val="00CE1693"/>
    <w:rsid w:val="00CE182B"/>
    <w:rsid w:val="00CE1B99"/>
    <w:rsid w:val="00CE1C47"/>
    <w:rsid w:val="00CE1D06"/>
    <w:rsid w:val="00CE1DA5"/>
    <w:rsid w:val="00CE1F96"/>
    <w:rsid w:val="00CE1FEF"/>
    <w:rsid w:val="00CE2113"/>
    <w:rsid w:val="00CE2398"/>
    <w:rsid w:val="00CE247A"/>
    <w:rsid w:val="00CE2853"/>
    <w:rsid w:val="00CE28E3"/>
    <w:rsid w:val="00CE2A45"/>
    <w:rsid w:val="00CE3274"/>
    <w:rsid w:val="00CE3445"/>
    <w:rsid w:val="00CE34B6"/>
    <w:rsid w:val="00CE3A9D"/>
    <w:rsid w:val="00CE3FED"/>
    <w:rsid w:val="00CE4005"/>
    <w:rsid w:val="00CE4041"/>
    <w:rsid w:val="00CE477A"/>
    <w:rsid w:val="00CE4785"/>
    <w:rsid w:val="00CE47CB"/>
    <w:rsid w:val="00CE4870"/>
    <w:rsid w:val="00CE48A6"/>
    <w:rsid w:val="00CE49A2"/>
    <w:rsid w:val="00CE4EA8"/>
    <w:rsid w:val="00CE4F07"/>
    <w:rsid w:val="00CE4F26"/>
    <w:rsid w:val="00CE4FF7"/>
    <w:rsid w:val="00CE525B"/>
    <w:rsid w:val="00CE5590"/>
    <w:rsid w:val="00CE5817"/>
    <w:rsid w:val="00CE5A0B"/>
    <w:rsid w:val="00CE5C8A"/>
    <w:rsid w:val="00CE5EDE"/>
    <w:rsid w:val="00CE5FB8"/>
    <w:rsid w:val="00CE5FC9"/>
    <w:rsid w:val="00CE6156"/>
    <w:rsid w:val="00CE63FB"/>
    <w:rsid w:val="00CE6831"/>
    <w:rsid w:val="00CE6DA2"/>
    <w:rsid w:val="00CE6DC6"/>
    <w:rsid w:val="00CE6F24"/>
    <w:rsid w:val="00CE75BB"/>
    <w:rsid w:val="00CE75F0"/>
    <w:rsid w:val="00CE763C"/>
    <w:rsid w:val="00CE784A"/>
    <w:rsid w:val="00CE786D"/>
    <w:rsid w:val="00CE78C2"/>
    <w:rsid w:val="00CE79C2"/>
    <w:rsid w:val="00CE7B64"/>
    <w:rsid w:val="00CE7BDD"/>
    <w:rsid w:val="00CE7CDD"/>
    <w:rsid w:val="00CE7F28"/>
    <w:rsid w:val="00CF037B"/>
    <w:rsid w:val="00CF04CB"/>
    <w:rsid w:val="00CF04D1"/>
    <w:rsid w:val="00CF0847"/>
    <w:rsid w:val="00CF087F"/>
    <w:rsid w:val="00CF0B36"/>
    <w:rsid w:val="00CF0D5A"/>
    <w:rsid w:val="00CF0FEB"/>
    <w:rsid w:val="00CF122E"/>
    <w:rsid w:val="00CF13C8"/>
    <w:rsid w:val="00CF1A2D"/>
    <w:rsid w:val="00CF1B67"/>
    <w:rsid w:val="00CF1DDE"/>
    <w:rsid w:val="00CF21DE"/>
    <w:rsid w:val="00CF221B"/>
    <w:rsid w:val="00CF2276"/>
    <w:rsid w:val="00CF22CD"/>
    <w:rsid w:val="00CF23F4"/>
    <w:rsid w:val="00CF2421"/>
    <w:rsid w:val="00CF259D"/>
    <w:rsid w:val="00CF2913"/>
    <w:rsid w:val="00CF2A6E"/>
    <w:rsid w:val="00CF36B6"/>
    <w:rsid w:val="00CF3AF4"/>
    <w:rsid w:val="00CF3FDA"/>
    <w:rsid w:val="00CF4166"/>
    <w:rsid w:val="00CF420B"/>
    <w:rsid w:val="00CF42E3"/>
    <w:rsid w:val="00CF439F"/>
    <w:rsid w:val="00CF4731"/>
    <w:rsid w:val="00CF4847"/>
    <w:rsid w:val="00CF4A14"/>
    <w:rsid w:val="00CF4A2B"/>
    <w:rsid w:val="00CF4B97"/>
    <w:rsid w:val="00CF51ED"/>
    <w:rsid w:val="00CF5306"/>
    <w:rsid w:val="00CF554A"/>
    <w:rsid w:val="00CF560A"/>
    <w:rsid w:val="00CF57B4"/>
    <w:rsid w:val="00CF57FE"/>
    <w:rsid w:val="00CF59FC"/>
    <w:rsid w:val="00CF5B45"/>
    <w:rsid w:val="00CF5CE3"/>
    <w:rsid w:val="00CF5E5F"/>
    <w:rsid w:val="00CF5EA2"/>
    <w:rsid w:val="00CF60A1"/>
    <w:rsid w:val="00CF60EE"/>
    <w:rsid w:val="00CF654D"/>
    <w:rsid w:val="00CF6CB7"/>
    <w:rsid w:val="00CF6D40"/>
    <w:rsid w:val="00CF7025"/>
    <w:rsid w:val="00CF70D8"/>
    <w:rsid w:val="00CF7120"/>
    <w:rsid w:val="00CF7237"/>
    <w:rsid w:val="00CF724C"/>
    <w:rsid w:val="00CF7478"/>
    <w:rsid w:val="00CF74A5"/>
    <w:rsid w:val="00CF7529"/>
    <w:rsid w:val="00CF7637"/>
    <w:rsid w:val="00CF7670"/>
    <w:rsid w:val="00CF76D0"/>
    <w:rsid w:val="00CF792C"/>
    <w:rsid w:val="00CF79F1"/>
    <w:rsid w:val="00D001B4"/>
    <w:rsid w:val="00D00243"/>
    <w:rsid w:val="00D003B7"/>
    <w:rsid w:val="00D00461"/>
    <w:rsid w:val="00D00A03"/>
    <w:rsid w:val="00D00DBB"/>
    <w:rsid w:val="00D00E36"/>
    <w:rsid w:val="00D015FF"/>
    <w:rsid w:val="00D017CD"/>
    <w:rsid w:val="00D01AE3"/>
    <w:rsid w:val="00D01FFB"/>
    <w:rsid w:val="00D020B1"/>
    <w:rsid w:val="00D023E4"/>
    <w:rsid w:val="00D02663"/>
    <w:rsid w:val="00D02854"/>
    <w:rsid w:val="00D02B9E"/>
    <w:rsid w:val="00D02E79"/>
    <w:rsid w:val="00D02F4F"/>
    <w:rsid w:val="00D03CA0"/>
    <w:rsid w:val="00D0409B"/>
    <w:rsid w:val="00D0426B"/>
    <w:rsid w:val="00D043B0"/>
    <w:rsid w:val="00D044C7"/>
    <w:rsid w:val="00D046A2"/>
    <w:rsid w:val="00D046E0"/>
    <w:rsid w:val="00D04793"/>
    <w:rsid w:val="00D04B38"/>
    <w:rsid w:val="00D04C42"/>
    <w:rsid w:val="00D04CB3"/>
    <w:rsid w:val="00D05188"/>
    <w:rsid w:val="00D05460"/>
    <w:rsid w:val="00D05484"/>
    <w:rsid w:val="00D05560"/>
    <w:rsid w:val="00D055FD"/>
    <w:rsid w:val="00D056D1"/>
    <w:rsid w:val="00D05AB7"/>
    <w:rsid w:val="00D05CDF"/>
    <w:rsid w:val="00D05DB5"/>
    <w:rsid w:val="00D05EEA"/>
    <w:rsid w:val="00D06403"/>
    <w:rsid w:val="00D06750"/>
    <w:rsid w:val="00D068DD"/>
    <w:rsid w:val="00D0693A"/>
    <w:rsid w:val="00D06985"/>
    <w:rsid w:val="00D069E3"/>
    <w:rsid w:val="00D06C25"/>
    <w:rsid w:val="00D06D16"/>
    <w:rsid w:val="00D07044"/>
    <w:rsid w:val="00D070D6"/>
    <w:rsid w:val="00D0738D"/>
    <w:rsid w:val="00D074BF"/>
    <w:rsid w:val="00D076C7"/>
    <w:rsid w:val="00D076D6"/>
    <w:rsid w:val="00D07EE1"/>
    <w:rsid w:val="00D10011"/>
    <w:rsid w:val="00D100F7"/>
    <w:rsid w:val="00D10310"/>
    <w:rsid w:val="00D104DE"/>
    <w:rsid w:val="00D1067D"/>
    <w:rsid w:val="00D10694"/>
    <w:rsid w:val="00D1071D"/>
    <w:rsid w:val="00D1081A"/>
    <w:rsid w:val="00D1092E"/>
    <w:rsid w:val="00D10B41"/>
    <w:rsid w:val="00D10B60"/>
    <w:rsid w:val="00D10FBC"/>
    <w:rsid w:val="00D11181"/>
    <w:rsid w:val="00D114CF"/>
    <w:rsid w:val="00D116A1"/>
    <w:rsid w:val="00D116B1"/>
    <w:rsid w:val="00D11CDD"/>
    <w:rsid w:val="00D11D0C"/>
    <w:rsid w:val="00D1200B"/>
    <w:rsid w:val="00D120F6"/>
    <w:rsid w:val="00D12635"/>
    <w:rsid w:val="00D129B6"/>
    <w:rsid w:val="00D12AFB"/>
    <w:rsid w:val="00D13B0A"/>
    <w:rsid w:val="00D13FD1"/>
    <w:rsid w:val="00D140A9"/>
    <w:rsid w:val="00D1464F"/>
    <w:rsid w:val="00D14744"/>
    <w:rsid w:val="00D14E59"/>
    <w:rsid w:val="00D15465"/>
    <w:rsid w:val="00D156CB"/>
    <w:rsid w:val="00D158A8"/>
    <w:rsid w:val="00D15A21"/>
    <w:rsid w:val="00D15B34"/>
    <w:rsid w:val="00D15BB7"/>
    <w:rsid w:val="00D15E04"/>
    <w:rsid w:val="00D15F05"/>
    <w:rsid w:val="00D161C1"/>
    <w:rsid w:val="00D1627A"/>
    <w:rsid w:val="00D165B3"/>
    <w:rsid w:val="00D16782"/>
    <w:rsid w:val="00D167AE"/>
    <w:rsid w:val="00D1686C"/>
    <w:rsid w:val="00D169E5"/>
    <w:rsid w:val="00D16B34"/>
    <w:rsid w:val="00D16D03"/>
    <w:rsid w:val="00D16D04"/>
    <w:rsid w:val="00D16EDF"/>
    <w:rsid w:val="00D17A02"/>
    <w:rsid w:val="00D17BC0"/>
    <w:rsid w:val="00D17DA1"/>
    <w:rsid w:val="00D20031"/>
    <w:rsid w:val="00D2061E"/>
    <w:rsid w:val="00D20A8F"/>
    <w:rsid w:val="00D20A99"/>
    <w:rsid w:val="00D20BCA"/>
    <w:rsid w:val="00D20FCD"/>
    <w:rsid w:val="00D20FF7"/>
    <w:rsid w:val="00D212A3"/>
    <w:rsid w:val="00D212E2"/>
    <w:rsid w:val="00D215E4"/>
    <w:rsid w:val="00D218EE"/>
    <w:rsid w:val="00D21A26"/>
    <w:rsid w:val="00D21A85"/>
    <w:rsid w:val="00D21AE6"/>
    <w:rsid w:val="00D21AF1"/>
    <w:rsid w:val="00D21B3A"/>
    <w:rsid w:val="00D21E4F"/>
    <w:rsid w:val="00D21FD8"/>
    <w:rsid w:val="00D2239C"/>
    <w:rsid w:val="00D225CE"/>
    <w:rsid w:val="00D22671"/>
    <w:rsid w:val="00D22931"/>
    <w:rsid w:val="00D22933"/>
    <w:rsid w:val="00D22977"/>
    <w:rsid w:val="00D22AF6"/>
    <w:rsid w:val="00D22F2A"/>
    <w:rsid w:val="00D234E9"/>
    <w:rsid w:val="00D23666"/>
    <w:rsid w:val="00D238E1"/>
    <w:rsid w:val="00D239D0"/>
    <w:rsid w:val="00D23A5D"/>
    <w:rsid w:val="00D23C8E"/>
    <w:rsid w:val="00D23CA4"/>
    <w:rsid w:val="00D23F09"/>
    <w:rsid w:val="00D24110"/>
    <w:rsid w:val="00D24153"/>
    <w:rsid w:val="00D24268"/>
    <w:rsid w:val="00D24292"/>
    <w:rsid w:val="00D24426"/>
    <w:rsid w:val="00D24553"/>
    <w:rsid w:val="00D248DE"/>
    <w:rsid w:val="00D24B19"/>
    <w:rsid w:val="00D25250"/>
    <w:rsid w:val="00D25799"/>
    <w:rsid w:val="00D2580D"/>
    <w:rsid w:val="00D25C06"/>
    <w:rsid w:val="00D25EF3"/>
    <w:rsid w:val="00D26011"/>
    <w:rsid w:val="00D26091"/>
    <w:rsid w:val="00D26193"/>
    <w:rsid w:val="00D2652C"/>
    <w:rsid w:val="00D2687A"/>
    <w:rsid w:val="00D26977"/>
    <w:rsid w:val="00D26F0F"/>
    <w:rsid w:val="00D270A1"/>
    <w:rsid w:val="00D271CA"/>
    <w:rsid w:val="00D27300"/>
    <w:rsid w:val="00D27582"/>
    <w:rsid w:val="00D27803"/>
    <w:rsid w:val="00D27CA7"/>
    <w:rsid w:val="00D27DE2"/>
    <w:rsid w:val="00D27ED1"/>
    <w:rsid w:val="00D3001F"/>
    <w:rsid w:val="00D30035"/>
    <w:rsid w:val="00D30450"/>
    <w:rsid w:val="00D30673"/>
    <w:rsid w:val="00D306F6"/>
    <w:rsid w:val="00D312CB"/>
    <w:rsid w:val="00D313B3"/>
    <w:rsid w:val="00D31458"/>
    <w:rsid w:val="00D31518"/>
    <w:rsid w:val="00D31540"/>
    <w:rsid w:val="00D31628"/>
    <w:rsid w:val="00D31704"/>
    <w:rsid w:val="00D31828"/>
    <w:rsid w:val="00D31AD8"/>
    <w:rsid w:val="00D31DD2"/>
    <w:rsid w:val="00D31DDE"/>
    <w:rsid w:val="00D31DDF"/>
    <w:rsid w:val="00D31E63"/>
    <w:rsid w:val="00D31F09"/>
    <w:rsid w:val="00D323D4"/>
    <w:rsid w:val="00D32473"/>
    <w:rsid w:val="00D32495"/>
    <w:rsid w:val="00D324CC"/>
    <w:rsid w:val="00D3278C"/>
    <w:rsid w:val="00D32848"/>
    <w:rsid w:val="00D32879"/>
    <w:rsid w:val="00D3292B"/>
    <w:rsid w:val="00D32AA3"/>
    <w:rsid w:val="00D32D5C"/>
    <w:rsid w:val="00D32DB0"/>
    <w:rsid w:val="00D33616"/>
    <w:rsid w:val="00D33BED"/>
    <w:rsid w:val="00D33CF3"/>
    <w:rsid w:val="00D33DCB"/>
    <w:rsid w:val="00D33F02"/>
    <w:rsid w:val="00D33FB4"/>
    <w:rsid w:val="00D340D4"/>
    <w:rsid w:val="00D340F3"/>
    <w:rsid w:val="00D341AF"/>
    <w:rsid w:val="00D3447B"/>
    <w:rsid w:val="00D344BE"/>
    <w:rsid w:val="00D34779"/>
    <w:rsid w:val="00D347E2"/>
    <w:rsid w:val="00D34AAF"/>
    <w:rsid w:val="00D34CB4"/>
    <w:rsid w:val="00D34D19"/>
    <w:rsid w:val="00D34E1E"/>
    <w:rsid w:val="00D354B8"/>
    <w:rsid w:val="00D35524"/>
    <w:rsid w:val="00D3581B"/>
    <w:rsid w:val="00D358F7"/>
    <w:rsid w:val="00D359D4"/>
    <w:rsid w:val="00D35D41"/>
    <w:rsid w:val="00D35F57"/>
    <w:rsid w:val="00D36005"/>
    <w:rsid w:val="00D3626B"/>
    <w:rsid w:val="00D36376"/>
    <w:rsid w:val="00D36B0C"/>
    <w:rsid w:val="00D36B97"/>
    <w:rsid w:val="00D36DBC"/>
    <w:rsid w:val="00D36E67"/>
    <w:rsid w:val="00D37146"/>
    <w:rsid w:val="00D372B0"/>
    <w:rsid w:val="00D375F7"/>
    <w:rsid w:val="00D377C8"/>
    <w:rsid w:val="00D37897"/>
    <w:rsid w:val="00D378D6"/>
    <w:rsid w:val="00D37A8D"/>
    <w:rsid w:val="00D37BAB"/>
    <w:rsid w:val="00D37D44"/>
    <w:rsid w:val="00D37EF3"/>
    <w:rsid w:val="00D37EF5"/>
    <w:rsid w:val="00D401AA"/>
    <w:rsid w:val="00D401C5"/>
    <w:rsid w:val="00D4036F"/>
    <w:rsid w:val="00D40499"/>
    <w:rsid w:val="00D405D8"/>
    <w:rsid w:val="00D40602"/>
    <w:rsid w:val="00D409EB"/>
    <w:rsid w:val="00D40AA5"/>
    <w:rsid w:val="00D40AE1"/>
    <w:rsid w:val="00D40D28"/>
    <w:rsid w:val="00D40DEA"/>
    <w:rsid w:val="00D411BC"/>
    <w:rsid w:val="00D4126A"/>
    <w:rsid w:val="00D4165A"/>
    <w:rsid w:val="00D418D3"/>
    <w:rsid w:val="00D419C9"/>
    <w:rsid w:val="00D41B02"/>
    <w:rsid w:val="00D41C13"/>
    <w:rsid w:val="00D41E7B"/>
    <w:rsid w:val="00D4218A"/>
    <w:rsid w:val="00D4233E"/>
    <w:rsid w:val="00D4273C"/>
    <w:rsid w:val="00D42871"/>
    <w:rsid w:val="00D428B9"/>
    <w:rsid w:val="00D42DF3"/>
    <w:rsid w:val="00D42FA0"/>
    <w:rsid w:val="00D43246"/>
    <w:rsid w:val="00D43502"/>
    <w:rsid w:val="00D43891"/>
    <w:rsid w:val="00D43C52"/>
    <w:rsid w:val="00D43E2C"/>
    <w:rsid w:val="00D43E8C"/>
    <w:rsid w:val="00D43F8F"/>
    <w:rsid w:val="00D43FEC"/>
    <w:rsid w:val="00D44359"/>
    <w:rsid w:val="00D44630"/>
    <w:rsid w:val="00D4469C"/>
    <w:rsid w:val="00D44A6D"/>
    <w:rsid w:val="00D44D82"/>
    <w:rsid w:val="00D44E79"/>
    <w:rsid w:val="00D45095"/>
    <w:rsid w:val="00D45320"/>
    <w:rsid w:val="00D455E8"/>
    <w:rsid w:val="00D45750"/>
    <w:rsid w:val="00D457EA"/>
    <w:rsid w:val="00D4586E"/>
    <w:rsid w:val="00D45C42"/>
    <w:rsid w:val="00D45E39"/>
    <w:rsid w:val="00D45EEB"/>
    <w:rsid w:val="00D46112"/>
    <w:rsid w:val="00D46193"/>
    <w:rsid w:val="00D461C6"/>
    <w:rsid w:val="00D46271"/>
    <w:rsid w:val="00D46968"/>
    <w:rsid w:val="00D472C2"/>
    <w:rsid w:val="00D473E3"/>
    <w:rsid w:val="00D476E0"/>
    <w:rsid w:val="00D47D16"/>
    <w:rsid w:val="00D47EBC"/>
    <w:rsid w:val="00D50024"/>
    <w:rsid w:val="00D501D6"/>
    <w:rsid w:val="00D502D8"/>
    <w:rsid w:val="00D50400"/>
    <w:rsid w:val="00D50472"/>
    <w:rsid w:val="00D508A7"/>
    <w:rsid w:val="00D50993"/>
    <w:rsid w:val="00D509C2"/>
    <w:rsid w:val="00D50B96"/>
    <w:rsid w:val="00D50C61"/>
    <w:rsid w:val="00D50D7E"/>
    <w:rsid w:val="00D50EEA"/>
    <w:rsid w:val="00D51597"/>
    <w:rsid w:val="00D5163B"/>
    <w:rsid w:val="00D5183E"/>
    <w:rsid w:val="00D51C31"/>
    <w:rsid w:val="00D520A7"/>
    <w:rsid w:val="00D52561"/>
    <w:rsid w:val="00D5275B"/>
    <w:rsid w:val="00D527F8"/>
    <w:rsid w:val="00D52A9A"/>
    <w:rsid w:val="00D52E54"/>
    <w:rsid w:val="00D52FBC"/>
    <w:rsid w:val="00D52FF5"/>
    <w:rsid w:val="00D53108"/>
    <w:rsid w:val="00D531C4"/>
    <w:rsid w:val="00D531D9"/>
    <w:rsid w:val="00D53321"/>
    <w:rsid w:val="00D53D22"/>
    <w:rsid w:val="00D53FBF"/>
    <w:rsid w:val="00D54173"/>
    <w:rsid w:val="00D5431F"/>
    <w:rsid w:val="00D546D3"/>
    <w:rsid w:val="00D547BA"/>
    <w:rsid w:val="00D54992"/>
    <w:rsid w:val="00D54CAF"/>
    <w:rsid w:val="00D54CC5"/>
    <w:rsid w:val="00D54D5A"/>
    <w:rsid w:val="00D54E57"/>
    <w:rsid w:val="00D55209"/>
    <w:rsid w:val="00D5573D"/>
    <w:rsid w:val="00D558B0"/>
    <w:rsid w:val="00D559D7"/>
    <w:rsid w:val="00D559DE"/>
    <w:rsid w:val="00D55EEC"/>
    <w:rsid w:val="00D55FEB"/>
    <w:rsid w:val="00D56458"/>
    <w:rsid w:val="00D56C97"/>
    <w:rsid w:val="00D56DFA"/>
    <w:rsid w:val="00D57149"/>
    <w:rsid w:val="00D57313"/>
    <w:rsid w:val="00D5745C"/>
    <w:rsid w:val="00D57EE4"/>
    <w:rsid w:val="00D57EF3"/>
    <w:rsid w:val="00D60558"/>
    <w:rsid w:val="00D60E22"/>
    <w:rsid w:val="00D61060"/>
    <w:rsid w:val="00D61075"/>
    <w:rsid w:val="00D61302"/>
    <w:rsid w:val="00D61763"/>
    <w:rsid w:val="00D61854"/>
    <w:rsid w:val="00D623AF"/>
    <w:rsid w:val="00D6255F"/>
    <w:rsid w:val="00D625CE"/>
    <w:rsid w:val="00D62649"/>
    <w:rsid w:val="00D626B1"/>
    <w:rsid w:val="00D62DAA"/>
    <w:rsid w:val="00D62EFA"/>
    <w:rsid w:val="00D62F4D"/>
    <w:rsid w:val="00D6305E"/>
    <w:rsid w:val="00D631A4"/>
    <w:rsid w:val="00D632D7"/>
    <w:rsid w:val="00D633D9"/>
    <w:rsid w:val="00D635B8"/>
    <w:rsid w:val="00D636CB"/>
    <w:rsid w:val="00D6373A"/>
    <w:rsid w:val="00D63851"/>
    <w:rsid w:val="00D63BB6"/>
    <w:rsid w:val="00D63E0A"/>
    <w:rsid w:val="00D63FEC"/>
    <w:rsid w:val="00D64268"/>
    <w:rsid w:val="00D64906"/>
    <w:rsid w:val="00D64EE4"/>
    <w:rsid w:val="00D652D9"/>
    <w:rsid w:val="00D654EE"/>
    <w:rsid w:val="00D65799"/>
    <w:rsid w:val="00D65A64"/>
    <w:rsid w:val="00D65B32"/>
    <w:rsid w:val="00D65C4A"/>
    <w:rsid w:val="00D65CCC"/>
    <w:rsid w:val="00D66097"/>
    <w:rsid w:val="00D660B2"/>
    <w:rsid w:val="00D66142"/>
    <w:rsid w:val="00D667A0"/>
    <w:rsid w:val="00D667B6"/>
    <w:rsid w:val="00D667EF"/>
    <w:rsid w:val="00D66CB2"/>
    <w:rsid w:val="00D671D2"/>
    <w:rsid w:val="00D673A3"/>
    <w:rsid w:val="00D6748D"/>
    <w:rsid w:val="00D67D38"/>
    <w:rsid w:val="00D67D45"/>
    <w:rsid w:val="00D67E54"/>
    <w:rsid w:val="00D7000D"/>
    <w:rsid w:val="00D7040E"/>
    <w:rsid w:val="00D704E7"/>
    <w:rsid w:val="00D708E9"/>
    <w:rsid w:val="00D7095A"/>
    <w:rsid w:val="00D70A1F"/>
    <w:rsid w:val="00D70C50"/>
    <w:rsid w:val="00D70CAC"/>
    <w:rsid w:val="00D70DDA"/>
    <w:rsid w:val="00D714EE"/>
    <w:rsid w:val="00D71D6C"/>
    <w:rsid w:val="00D728E9"/>
    <w:rsid w:val="00D72986"/>
    <w:rsid w:val="00D72B28"/>
    <w:rsid w:val="00D72BD8"/>
    <w:rsid w:val="00D72EDF"/>
    <w:rsid w:val="00D733DE"/>
    <w:rsid w:val="00D7343F"/>
    <w:rsid w:val="00D7349B"/>
    <w:rsid w:val="00D7354F"/>
    <w:rsid w:val="00D736F9"/>
    <w:rsid w:val="00D739EC"/>
    <w:rsid w:val="00D73A0A"/>
    <w:rsid w:val="00D73A64"/>
    <w:rsid w:val="00D73AD9"/>
    <w:rsid w:val="00D73FE9"/>
    <w:rsid w:val="00D7409E"/>
    <w:rsid w:val="00D744F3"/>
    <w:rsid w:val="00D74588"/>
    <w:rsid w:val="00D74A99"/>
    <w:rsid w:val="00D74D3B"/>
    <w:rsid w:val="00D74FF7"/>
    <w:rsid w:val="00D75670"/>
    <w:rsid w:val="00D75ABC"/>
    <w:rsid w:val="00D75B50"/>
    <w:rsid w:val="00D75DF9"/>
    <w:rsid w:val="00D75EBF"/>
    <w:rsid w:val="00D75EDC"/>
    <w:rsid w:val="00D76026"/>
    <w:rsid w:val="00D760A3"/>
    <w:rsid w:val="00D760E5"/>
    <w:rsid w:val="00D762A0"/>
    <w:rsid w:val="00D763A8"/>
    <w:rsid w:val="00D7640C"/>
    <w:rsid w:val="00D7658F"/>
    <w:rsid w:val="00D77054"/>
    <w:rsid w:val="00D77428"/>
    <w:rsid w:val="00D77664"/>
    <w:rsid w:val="00D77762"/>
    <w:rsid w:val="00D7782E"/>
    <w:rsid w:val="00D7787A"/>
    <w:rsid w:val="00D77935"/>
    <w:rsid w:val="00D779CB"/>
    <w:rsid w:val="00D77B4A"/>
    <w:rsid w:val="00D77D54"/>
    <w:rsid w:val="00D80548"/>
    <w:rsid w:val="00D80635"/>
    <w:rsid w:val="00D80776"/>
    <w:rsid w:val="00D8083B"/>
    <w:rsid w:val="00D80BEE"/>
    <w:rsid w:val="00D80C29"/>
    <w:rsid w:val="00D80D0B"/>
    <w:rsid w:val="00D80DDF"/>
    <w:rsid w:val="00D80F20"/>
    <w:rsid w:val="00D811E2"/>
    <w:rsid w:val="00D8124B"/>
    <w:rsid w:val="00D81254"/>
    <w:rsid w:val="00D81398"/>
    <w:rsid w:val="00D817A8"/>
    <w:rsid w:val="00D81BEE"/>
    <w:rsid w:val="00D81F8E"/>
    <w:rsid w:val="00D82068"/>
    <w:rsid w:val="00D820FB"/>
    <w:rsid w:val="00D82275"/>
    <w:rsid w:val="00D822AB"/>
    <w:rsid w:val="00D82433"/>
    <w:rsid w:val="00D82AF4"/>
    <w:rsid w:val="00D82B69"/>
    <w:rsid w:val="00D82EE6"/>
    <w:rsid w:val="00D83022"/>
    <w:rsid w:val="00D8316D"/>
    <w:rsid w:val="00D83616"/>
    <w:rsid w:val="00D83994"/>
    <w:rsid w:val="00D83B51"/>
    <w:rsid w:val="00D84054"/>
    <w:rsid w:val="00D845E1"/>
    <w:rsid w:val="00D84606"/>
    <w:rsid w:val="00D8475E"/>
    <w:rsid w:val="00D84876"/>
    <w:rsid w:val="00D84885"/>
    <w:rsid w:val="00D8496E"/>
    <w:rsid w:val="00D849BE"/>
    <w:rsid w:val="00D84A2E"/>
    <w:rsid w:val="00D84ECA"/>
    <w:rsid w:val="00D84F74"/>
    <w:rsid w:val="00D85012"/>
    <w:rsid w:val="00D85148"/>
    <w:rsid w:val="00D8525E"/>
    <w:rsid w:val="00D852C1"/>
    <w:rsid w:val="00D85405"/>
    <w:rsid w:val="00D8543D"/>
    <w:rsid w:val="00D8576D"/>
    <w:rsid w:val="00D85C9A"/>
    <w:rsid w:val="00D85E6E"/>
    <w:rsid w:val="00D85EAF"/>
    <w:rsid w:val="00D866B8"/>
    <w:rsid w:val="00D866CF"/>
    <w:rsid w:val="00D868F8"/>
    <w:rsid w:val="00D86946"/>
    <w:rsid w:val="00D86A23"/>
    <w:rsid w:val="00D86A29"/>
    <w:rsid w:val="00D86B09"/>
    <w:rsid w:val="00D86CA7"/>
    <w:rsid w:val="00D86E13"/>
    <w:rsid w:val="00D86EF7"/>
    <w:rsid w:val="00D870AF"/>
    <w:rsid w:val="00D870C2"/>
    <w:rsid w:val="00D875CA"/>
    <w:rsid w:val="00D875D4"/>
    <w:rsid w:val="00D876BB"/>
    <w:rsid w:val="00D8786F"/>
    <w:rsid w:val="00D8792B"/>
    <w:rsid w:val="00D87D0D"/>
    <w:rsid w:val="00D90316"/>
    <w:rsid w:val="00D9037D"/>
    <w:rsid w:val="00D9041B"/>
    <w:rsid w:val="00D908E8"/>
    <w:rsid w:val="00D90DBB"/>
    <w:rsid w:val="00D90DD9"/>
    <w:rsid w:val="00D90E2F"/>
    <w:rsid w:val="00D90EF5"/>
    <w:rsid w:val="00D90F15"/>
    <w:rsid w:val="00D90FCE"/>
    <w:rsid w:val="00D911ED"/>
    <w:rsid w:val="00D91304"/>
    <w:rsid w:val="00D9141D"/>
    <w:rsid w:val="00D915F2"/>
    <w:rsid w:val="00D917AE"/>
    <w:rsid w:val="00D92059"/>
    <w:rsid w:val="00D921E5"/>
    <w:rsid w:val="00D92213"/>
    <w:rsid w:val="00D922D2"/>
    <w:rsid w:val="00D9234A"/>
    <w:rsid w:val="00D92364"/>
    <w:rsid w:val="00D923B6"/>
    <w:rsid w:val="00D923D5"/>
    <w:rsid w:val="00D927C5"/>
    <w:rsid w:val="00D929CE"/>
    <w:rsid w:val="00D92A36"/>
    <w:rsid w:val="00D92DC3"/>
    <w:rsid w:val="00D92F52"/>
    <w:rsid w:val="00D93745"/>
    <w:rsid w:val="00D937CC"/>
    <w:rsid w:val="00D93A21"/>
    <w:rsid w:val="00D93E4F"/>
    <w:rsid w:val="00D94064"/>
    <w:rsid w:val="00D94458"/>
    <w:rsid w:val="00D94500"/>
    <w:rsid w:val="00D94567"/>
    <w:rsid w:val="00D946C9"/>
    <w:rsid w:val="00D9474F"/>
    <w:rsid w:val="00D94834"/>
    <w:rsid w:val="00D94858"/>
    <w:rsid w:val="00D94991"/>
    <w:rsid w:val="00D94A68"/>
    <w:rsid w:val="00D94CF3"/>
    <w:rsid w:val="00D94D92"/>
    <w:rsid w:val="00D94DD4"/>
    <w:rsid w:val="00D94EE3"/>
    <w:rsid w:val="00D95117"/>
    <w:rsid w:val="00D953DA"/>
    <w:rsid w:val="00D95563"/>
    <w:rsid w:val="00D95700"/>
    <w:rsid w:val="00D95872"/>
    <w:rsid w:val="00D95A59"/>
    <w:rsid w:val="00D9650B"/>
    <w:rsid w:val="00D966D5"/>
    <w:rsid w:val="00D967A8"/>
    <w:rsid w:val="00D96849"/>
    <w:rsid w:val="00D96C29"/>
    <w:rsid w:val="00D96DE4"/>
    <w:rsid w:val="00D97045"/>
    <w:rsid w:val="00D971AF"/>
    <w:rsid w:val="00D97230"/>
    <w:rsid w:val="00D975D4"/>
    <w:rsid w:val="00D9779D"/>
    <w:rsid w:val="00D977A8"/>
    <w:rsid w:val="00D97864"/>
    <w:rsid w:val="00D9795A"/>
    <w:rsid w:val="00D97B26"/>
    <w:rsid w:val="00D97C79"/>
    <w:rsid w:val="00D97EDA"/>
    <w:rsid w:val="00D97F02"/>
    <w:rsid w:val="00DA0189"/>
    <w:rsid w:val="00DA0479"/>
    <w:rsid w:val="00DA058E"/>
    <w:rsid w:val="00DA0686"/>
    <w:rsid w:val="00DA0EDB"/>
    <w:rsid w:val="00DA1161"/>
    <w:rsid w:val="00DA121B"/>
    <w:rsid w:val="00DA1303"/>
    <w:rsid w:val="00DA13F1"/>
    <w:rsid w:val="00DA17EC"/>
    <w:rsid w:val="00DA190B"/>
    <w:rsid w:val="00DA1A27"/>
    <w:rsid w:val="00DA2365"/>
    <w:rsid w:val="00DA2432"/>
    <w:rsid w:val="00DA2479"/>
    <w:rsid w:val="00DA25CB"/>
    <w:rsid w:val="00DA2685"/>
    <w:rsid w:val="00DA26FB"/>
    <w:rsid w:val="00DA2A47"/>
    <w:rsid w:val="00DA2E03"/>
    <w:rsid w:val="00DA30EA"/>
    <w:rsid w:val="00DA347A"/>
    <w:rsid w:val="00DA35D8"/>
    <w:rsid w:val="00DA39F9"/>
    <w:rsid w:val="00DA3D8A"/>
    <w:rsid w:val="00DA3DFD"/>
    <w:rsid w:val="00DA40FE"/>
    <w:rsid w:val="00DA42B2"/>
    <w:rsid w:val="00DA440A"/>
    <w:rsid w:val="00DA45DB"/>
    <w:rsid w:val="00DA4B60"/>
    <w:rsid w:val="00DA4F46"/>
    <w:rsid w:val="00DA512C"/>
    <w:rsid w:val="00DA53CB"/>
    <w:rsid w:val="00DA5413"/>
    <w:rsid w:val="00DA5529"/>
    <w:rsid w:val="00DA575A"/>
    <w:rsid w:val="00DA593B"/>
    <w:rsid w:val="00DA59A7"/>
    <w:rsid w:val="00DA5B31"/>
    <w:rsid w:val="00DA5B66"/>
    <w:rsid w:val="00DA5CBF"/>
    <w:rsid w:val="00DA5D9C"/>
    <w:rsid w:val="00DA6524"/>
    <w:rsid w:val="00DA66E5"/>
    <w:rsid w:val="00DA6765"/>
    <w:rsid w:val="00DA692F"/>
    <w:rsid w:val="00DA6B82"/>
    <w:rsid w:val="00DA6C78"/>
    <w:rsid w:val="00DA6C80"/>
    <w:rsid w:val="00DA6CAE"/>
    <w:rsid w:val="00DA6E57"/>
    <w:rsid w:val="00DA7202"/>
    <w:rsid w:val="00DA786F"/>
    <w:rsid w:val="00DA79F2"/>
    <w:rsid w:val="00DA7AC2"/>
    <w:rsid w:val="00DA7B8E"/>
    <w:rsid w:val="00DA7E22"/>
    <w:rsid w:val="00DA7EF4"/>
    <w:rsid w:val="00DB003C"/>
    <w:rsid w:val="00DB0190"/>
    <w:rsid w:val="00DB02A1"/>
    <w:rsid w:val="00DB0396"/>
    <w:rsid w:val="00DB046B"/>
    <w:rsid w:val="00DB0861"/>
    <w:rsid w:val="00DB097C"/>
    <w:rsid w:val="00DB0BE8"/>
    <w:rsid w:val="00DB0D2F"/>
    <w:rsid w:val="00DB0D35"/>
    <w:rsid w:val="00DB0EE4"/>
    <w:rsid w:val="00DB0FB1"/>
    <w:rsid w:val="00DB105D"/>
    <w:rsid w:val="00DB11BD"/>
    <w:rsid w:val="00DB13E9"/>
    <w:rsid w:val="00DB1CE9"/>
    <w:rsid w:val="00DB1D9B"/>
    <w:rsid w:val="00DB1DAE"/>
    <w:rsid w:val="00DB1E91"/>
    <w:rsid w:val="00DB2309"/>
    <w:rsid w:val="00DB26B2"/>
    <w:rsid w:val="00DB2C2E"/>
    <w:rsid w:val="00DB2D84"/>
    <w:rsid w:val="00DB303D"/>
    <w:rsid w:val="00DB30E3"/>
    <w:rsid w:val="00DB3340"/>
    <w:rsid w:val="00DB386F"/>
    <w:rsid w:val="00DB3B14"/>
    <w:rsid w:val="00DB3C45"/>
    <w:rsid w:val="00DB3F3E"/>
    <w:rsid w:val="00DB4410"/>
    <w:rsid w:val="00DB444F"/>
    <w:rsid w:val="00DB464A"/>
    <w:rsid w:val="00DB4691"/>
    <w:rsid w:val="00DB4724"/>
    <w:rsid w:val="00DB4770"/>
    <w:rsid w:val="00DB4EF2"/>
    <w:rsid w:val="00DB4FB0"/>
    <w:rsid w:val="00DB5117"/>
    <w:rsid w:val="00DB5144"/>
    <w:rsid w:val="00DB5262"/>
    <w:rsid w:val="00DB5629"/>
    <w:rsid w:val="00DB5775"/>
    <w:rsid w:val="00DB5797"/>
    <w:rsid w:val="00DB587A"/>
    <w:rsid w:val="00DB59C6"/>
    <w:rsid w:val="00DB5A9B"/>
    <w:rsid w:val="00DB5AB3"/>
    <w:rsid w:val="00DB6031"/>
    <w:rsid w:val="00DB62BE"/>
    <w:rsid w:val="00DB6479"/>
    <w:rsid w:val="00DB65BC"/>
    <w:rsid w:val="00DB65D7"/>
    <w:rsid w:val="00DB664A"/>
    <w:rsid w:val="00DB6767"/>
    <w:rsid w:val="00DB6784"/>
    <w:rsid w:val="00DB67D1"/>
    <w:rsid w:val="00DB6D20"/>
    <w:rsid w:val="00DB6D6D"/>
    <w:rsid w:val="00DB6D73"/>
    <w:rsid w:val="00DB6EA2"/>
    <w:rsid w:val="00DB6EEE"/>
    <w:rsid w:val="00DB727D"/>
    <w:rsid w:val="00DB7463"/>
    <w:rsid w:val="00DB77C7"/>
    <w:rsid w:val="00DB7A11"/>
    <w:rsid w:val="00DB7A84"/>
    <w:rsid w:val="00DB7C08"/>
    <w:rsid w:val="00DB7DEC"/>
    <w:rsid w:val="00DC077A"/>
    <w:rsid w:val="00DC0C35"/>
    <w:rsid w:val="00DC0CCC"/>
    <w:rsid w:val="00DC0CD8"/>
    <w:rsid w:val="00DC11A8"/>
    <w:rsid w:val="00DC11EE"/>
    <w:rsid w:val="00DC14AF"/>
    <w:rsid w:val="00DC1720"/>
    <w:rsid w:val="00DC175C"/>
    <w:rsid w:val="00DC1A0B"/>
    <w:rsid w:val="00DC1C53"/>
    <w:rsid w:val="00DC1DD6"/>
    <w:rsid w:val="00DC1DF9"/>
    <w:rsid w:val="00DC1E11"/>
    <w:rsid w:val="00DC1FF0"/>
    <w:rsid w:val="00DC202B"/>
    <w:rsid w:val="00DC22AC"/>
    <w:rsid w:val="00DC234A"/>
    <w:rsid w:val="00DC264F"/>
    <w:rsid w:val="00DC27B6"/>
    <w:rsid w:val="00DC28A2"/>
    <w:rsid w:val="00DC299D"/>
    <w:rsid w:val="00DC29C3"/>
    <w:rsid w:val="00DC2F7F"/>
    <w:rsid w:val="00DC311A"/>
    <w:rsid w:val="00DC329D"/>
    <w:rsid w:val="00DC3376"/>
    <w:rsid w:val="00DC3633"/>
    <w:rsid w:val="00DC3643"/>
    <w:rsid w:val="00DC3A07"/>
    <w:rsid w:val="00DC3AEE"/>
    <w:rsid w:val="00DC3B7A"/>
    <w:rsid w:val="00DC3E47"/>
    <w:rsid w:val="00DC40A9"/>
    <w:rsid w:val="00DC4108"/>
    <w:rsid w:val="00DC437E"/>
    <w:rsid w:val="00DC43DF"/>
    <w:rsid w:val="00DC44EE"/>
    <w:rsid w:val="00DC4633"/>
    <w:rsid w:val="00DC4B78"/>
    <w:rsid w:val="00DC4EC7"/>
    <w:rsid w:val="00DC4F1B"/>
    <w:rsid w:val="00DC4F64"/>
    <w:rsid w:val="00DC4F82"/>
    <w:rsid w:val="00DC50C5"/>
    <w:rsid w:val="00DC5126"/>
    <w:rsid w:val="00DC526B"/>
    <w:rsid w:val="00DC5527"/>
    <w:rsid w:val="00DC55DC"/>
    <w:rsid w:val="00DC5617"/>
    <w:rsid w:val="00DC56F7"/>
    <w:rsid w:val="00DC5BFB"/>
    <w:rsid w:val="00DC601F"/>
    <w:rsid w:val="00DC63A1"/>
    <w:rsid w:val="00DC63F8"/>
    <w:rsid w:val="00DC64A7"/>
    <w:rsid w:val="00DC6903"/>
    <w:rsid w:val="00DC6CE2"/>
    <w:rsid w:val="00DC6E6A"/>
    <w:rsid w:val="00DC7D9A"/>
    <w:rsid w:val="00DC7F09"/>
    <w:rsid w:val="00DC7F64"/>
    <w:rsid w:val="00DD002A"/>
    <w:rsid w:val="00DD01E0"/>
    <w:rsid w:val="00DD044A"/>
    <w:rsid w:val="00DD0554"/>
    <w:rsid w:val="00DD0734"/>
    <w:rsid w:val="00DD0953"/>
    <w:rsid w:val="00DD09DE"/>
    <w:rsid w:val="00DD0BBE"/>
    <w:rsid w:val="00DD0DBF"/>
    <w:rsid w:val="00DD13EA"/>
    <w:rsid w:val="00DD1A95"/>
    <w:rsid w:val="00DD1CBB"/>
    <w:rsid w:val="00DD1D66"/>
    <w:rsid w:val="00DD1DC2"/>
    <w:rsid w:val="00DD1DF5"/>
    <w:rsid w:val="00DD20E2"/>
    <w:rsid w:val="00DD2390"/>
    <w:rsid w:val="00DD2404"/>
    <w:rsid w:val="00DD26DB"/>
    <w:rsid w:val="00DD2C81"/>
    <w:rsid w:val="00DD2DE5"/>
    <w:rsid w:val="00DD2EE1"/>
    <w:rsid w:val="00DD31FC"/>
    <w:rsid w:val="00DD3220"/>
    <w:rsid w:val="00DD3284"/>
    <w:rsid w:val="00DD34F1"/>
    <w:rsid w:val="00DD361A"/>
    <w:rsid w:val="00DD3718"/>
    <w:rsid w:val="00DD3973"/>
    <w:rsid w:val="00DD39DB"/>
    <w:rsid w:val="00DD3D6F"/>
    <w:rsid w:val="00DD401A"/>
    <w:rsid w:val="00DD43FA"/>
    <w:rsid w:val="00DD4433"/>
    <w:rsid w:val="00DD4483"/>
    <w:rsid w:val="00DD492A"/>
    <w:rsid w:val="00DD4F0F"/>
    <w:rsid w:val="00DD554F"/>
    <w:rsid w:val="00DD557B"/>
    <w:rsid w:val="00DD5C81"/>
    <w:rsid w:val="00DD5EA4"/>
    <w:rsid w:val="00DD611D"/>
    <w:rsid w:val="00DD6289"/>
    <w:rsid w:val="00DD6294"/>
    <w:rsid w:val="00DD66D3"/>
    <w:rsid w:val="00DD66DF"/>
    <w:rsid w:val="00DD6713"/>
    <w:rsid w:val="00DD6A37"/>
    <w:rsid w:val="00DD6B7B"/>
    <w:rsid w:val="00DD72E2"/>
    <w:rsid w:val="00DD7665"/>
    <w:rsid w:val="00DD778C"/>
    <w:rsid w:val="00DD77DB"/>
    <w:rsid w:val="00DD78A7"/>
    <w:rsid w:val="00DD7A2D"/>
    <w:rsid w:val="00DD7E21"/>
    <w:rsid w:val="00DD7F14"/>
    <w:rsid w:val="00DE03A5"/>
    <w:rsid w:val="00DE03F0"/>
    <w:rsid w:val="00DE0510"/>
    <w:rsid w:val="00DE0973"/>
    <w:rsid w:val="00DE0C37"/>
    <w:rsid w:val="00DE0E5A"/>
    <w:rsid w:val="00DE13A3"/>
    <w:rsid w:val="00DE14FB"/>
    <w:rsid w:val="00DE1AF9"/>
    <w:rsid w:val="00DE1C32"/>
    <w:rsid w:val="00DE1E17"/>
    <w:rsid w:val="00DE1E5C"/>
    <w:rsid w:val="00DE1F11"/>
    <w:rsid w:val="00DE2492"/>
    <w:rsid w:val="00DE2496"/>
    <w:rsid w:val="00DE254F"/>
    <w:rsid w:val="00DE25D0"/>
    <w:rsid w:val="00DE323E"/>
    <w:rsid w:val="00DE337C"/>
    <w:rsid w:val="00DE3484"/>
    <w:rsid w:val="00DE34AF"/>
    <w:rsid w:val="00DE3513"/>
    <w:rsid w:val="00DE39F6"/>
    <w:rsid w:val="00DE3D00"/>
    <w:rsid w:val="00DE3FBA"/>
    <w:rsid w:val="00DE445E"/>
    <w:rsid w:val="00DE44C0"/>
    <w:rsid w:val="00DE459E"/>
    <w:rsid w:val="00DE465A"/>
    <w:rsid w:val="00DE4865"/>
    <w:rsid w:val="00DE4967"/>
    <w:rsid w:val="00DE4A8B"/>
    <w:rsid w:val="00DE4B01"/>
    <w:rsid w:val="00DE4B87"/>
    <w:rsid w:val="00DE4E95"/>
    <w:rsid w:val="00DE4EC6"/>
    <w:rsid w:val="00DE4F78"/>
    <w:rsid w:val="00DE50BA"/>
    <w:rsid w:val="00DE5150"/>
    <w:rsid w:val="00DE573E"/>
    <w:rsid w:val="00DE5811"/>
    <w:rsid w:val="00DE585A"/>
    <w:rsid w:val="00DE5A5A"/>
    <w:rsid w:val="00DE61B5"/>
    <w:rsid w:val="00DE61EA"/>
    <w:rsid w:val="00DE62F1"/>
    <w:rsid w:val="00DE643C"/>
    <w:rsid w:val="00DE643E"/>
    <w:rsid w:val="00DE666C"/>
    <w:rsid w:val="00DE66FC"/>
    <w:rsid w:val="00DE6CFC"/>
    <w:rsid w:val="00DE6DFA"/>
    <w:rsid w:val="00DE6E0D"/>
    <w:rsid w:val="00DE6E7F"/>
    <w:rsid w:val="00DE7099"/>
    <w:rsid w:val="00DE70E8"/>
    <w:rsid w:val="00DE71B9"/>
    <w:rsid w:val="00DE7302"/>
    <w:rsid w:val="00DE7493"/>
    <w:rsid w:val="00DE75AB"/>
    <w:rsid w:val="00DE7675"/>
    <w:rsid w:val="00DE772C"/>
    <w:rsid w:val="00DE77F9"/>
    <w:rsid w:val="00DE7D41"/>
    <w:rsid w:val="00DE7DC1"/>
    <w:rsid w:val="00DE7E36"/>
    <w:rsid w:val="00DF0130"/>
    <w:rsid w:val="00DF075D"/>
    <w:rsid w:val="00DF07A5"/>
    <w:rsid w:val="00DF08FC"/>
    <w:rsid w:val="00DF0DC9"/>
    <w:rsid w:val="00DF0FAA"/>
    <w:rsid w:val="00DF14BE"/>
    <w:rsid w:val="00DF1B5F"/>
    <w:rsid w:val="00DF1DB6"/>
    <w:rsid w:val="00DF1DEF"/>
    <w:rsid w:val="00DF20A4"/>
    <w:rsid w:val="00DF25A5"/>
    <w:rsid w:val="00DF277E"/>
    <w:rsid w:val="00DF2E73"/>
    <w:rsid w:val="00DF2EF9"/>
    <w:rsid w:val="00DF2F5D"/>
    <w:rsid w:val="00DF341B"/>
    <w:rsid w:val="00DF349F"/>
    <w:rsid w:val="00DF3951"/>
    <w:rsid w:val="00DF39BC"/>
    <w:rsid w:val="00DF39E9"/>
    <w:rsid w:val="00DF3BC6"/>
    <w:rsid w:val="00DF3D3F"/>
    <w:rsid w:val="00DF3FDC"/>
    <w:rsid w:val="00DF41DE"/>
    <w:rsid w:val="00DF431B"/>
    <w:rsid w:val="00DF4376"/>
    <w:rsid w:val="00DF464F"/>
    <w:rsid w:val="00DF465C"/>
    <w:rsid w:val="00DF4733"/>
    <w:rsid w:val="00DF4799"/>
    <w:rsid w:val="00DF4D91"/>
    <w:rsid w:val="00DF4E1A"/>
    <w:rsid w:val="00DF5763"/>
    <w:rsid w:val="00DF5821"/>
    <w:rsid w:val="00DF585E"/>
    <w:rsid w:val="00DF5CD7"/>
    <w:rsid w:val="00DF5E00"/>
    <w:rsid w:val="00DF620D"/>
    <w:rsid w:val="00DF62E9"/>
    <w:rsid w:val="00DF6580"/>
    <w:rsid w:val="00DF6972"/>
    <w:rsid w:val="00DF6A59"/>
    <w:rsid w:val="00DF6ACB"/>
    <w:rsid w:val="00DF6C21"/>
    <w:rsid w:val="00DF6DF6"/>
    <w:rsid w:val="00DF71CD"/>
    <w:rsid w:val="00DF7254"/>
    <w:rsid w:val="00DF740F"/>
    <w:rsid w:val="00DF7454"/>
    <w:rsid w:val="00DF74D9"/>
    <w:rsid w:val="00DF75C7"/>
    <w:rsid w:val="00DF7645"/>
    <w:rsid w:val="00DF7678"/>
    <w:rsid w:val="00DF7860"/>
    <w:rsid w:val="00DF7E8A"/>
    <w:rsid w:val="00E00094"/>
    <w:rsid w:val="00E0050D"/>
    <w:rsid w:val="00E008C9"/>
    <w:rsid w:val="00E008CA"/>
    <w:rsid w:val="00E008E8"/>
    <w:rsid w:val="00E00C03"/>
    <w:rsid w:val="00E00D1E"/>
    <w:rsid w:val="00E00F26"/>
    <w:rsid w:val="00E0115A"/>
    <w:rsid w:val="00E0116A"/>
    <w:rsid w:val="00E011CF"/>
    <w:rsid w:val="00E0130E"/>
    <w:rsid w:val="00E01465"/>
    <w:rsid w:val="00E01AE0"/>
    <w:rsid w:val="00E01C7A"/>
    <w:rsid w:val="00E021B1"/>
    <w:rsid w:val="00E02266"/>
    <w:rsid w:val="00E0226C"/>
    <w:rsid w:val="00E022D0"/>
    <w:rsid w:val="00E026AA"/>
    <w:rsid w:val="00E02A3B"/>
    <w:rsid w:val="00E02A5F"/>
    <w:rsid w:val="00E02C07"/>
    <w:rsid w:val="00E02C1E"/>
    <w:rsid w:val="00E0337E"/>
    <w:rsid w:val="00E03448"/>
    <w:rsid w:val="00E0360B"/>
    <w:rsid w:val="00E037FE"/>
    <w:rsid w:val="00E039CA"/>
    <w:rsid w:val="00E03A96"/>
    <w:rsid w:val="00E040B3"/>
    <w:rsid w:val="00E04783"/>
    <w:rsid w:val="00E04C4B"/>
    <w:rsid w:val="00E04F1A"/>
    <w:rsid w:val="00E05182"/>
    <w:rsid w:val="00E056B9"/>
    <w:rsid w:val="00E056FB"/>
    <w:rsid w:val="00E05B01"/>
    <w:rsid w:val="00E05D56"/>
    <w:rsid w:val="00E062F2"/>
    <w:rsid w:val="00E063BB"/>
    <w:rsid w:val="00E06A92"/>
    <w:rsid w:val="00E06B16"/>
    <w:rsid w:val="00E06BAA"/>
    <w:rsid w:val="00E070AF"/>
    <w:rsid w:val="00E0745B"/>
    <w:rsid w:val="00E074BD"/>
    <w:rsid w:val="00E074D7"/>
    <w:rsid w:val="00E07537"/>
    <w:rsid w:val="00E076A3"/>
    <w:rsid w:val="00E077BF"/>
    <w:rsid w:val="00E077D4"/>
    <w:rsid w:val="00E079B8"/>
    <w:rsid w:val="00E07C64"/>
    <w:rsid w:val="00E07D09"/>
    <w:rsid w:val="00E07D55"/>
    <w:rsid w:val="00E10082"/>
    <w:rsid w:val="00E101F6"/>
    <w:rsid w:val="00E104C7"/>
    <w:rsid w:val="00E104DB"/>
    <w:rsid w:val="00E105A9"/>
    <w:rsid w:val="00E1079D"/>
    <w:rsid w:val="00E107F5"/>
    <w:rsid w:val="00E10AF4"/>
    <w:rsid w:val="00E10DCC"/>
    <w:rsid w:val="00E10FBD"/>
    <w:rsid w:val="00E1100E"/>
    <w:rsid w:val="00E111AD"/>
    <w:rsid w:val="00E112B2"/>
    <w:rsid w:val="00E11482"/>
    <w:rsid w:val="00E11492"/>
    <w:rsid w:val="00E114E1"/>
    <w:rsid w:val="00E1151A"/>
    <w:rsid w:val="00E115F5"/>
    <w:rsid w:val="00E118AE"/>
    <w:rsid w:val="00E11AB4"/>
    <w:rsid w:val="00E11AEC"/>
    <w:rsid w:val="00E11B5E"/>
    <w:rsid w:val="00E12369"/>
    <w:rsid w:val="00E1284E"/>
    <w:rsid w:val="00E129E8"/>
    <w:rsid w:val="00E12D70"/>
    <w:rsid w:val="00E12F84"/>
    <w:rsid w:val="00E1396D"/>
    <w:rsid w:val="00E139A0"/>
    <w:rsid w:val="00E13A64"/>
    <w:rsid w:val="00E1426A"/>
    <w:rsid w:val="00E143FF"/>
    <w:rsid w:val="00E14439"/>
    <w:rsid w:val="00E14536"/>
    <w:rsid w:val="00E14749"/>
    <w:rsid w:val="00E1483C"/>
    <w:rsid w:val="00E14857"/>
    <w:rsid w:val="00E1488E"/>
    <w:rsid w:val="00E14A4F"/>
    <w:rsid w:val="00E14A94"/>
    <w:rsid w:val="00E14ABB"/>
    <w:rsid w:val="00E14C83"/>
    <w:rsid w:val="00E14F25"/>
    <w:rsid w:val="00E15056"/>
    <w:rsid w:val="00E1573C"/>
    <w:rsid w:val="00E15945"/>
    <w:rsid w:val="00E15B1A"/>
    <w:rsid w:val="00E15CB2"/>
    <w:rsid w:val="00E15D47"/>
    <w:rsid w:val="00E15DB1"/>
    <w:rsid w:val="00E15E15"/>
    <w:rsid w:val="00E15EF0"/>
    <w:rsid w:val="00E160B2"/>
    <w:rsid w:val="00E160E6"/>
    <w:rsid w:val="00E160EC"/>
    <w:rsid w:val="00E16305"/>
    <w:rsid w:val="00E165C3"/>
    <w:rsid w:val="00E16607"/>
    <w:rsid w:val="00E166CE"/>
    <w:rsid w:val="00E1686F"/>
    <w:rsid w:val="00E16AC0"/>
    <w:rsid w:val="00E16B31"/>
    <w:rsid w:val="00E16B83"/>
    <w:rsid w:val="00E1706C"/>
    <w:rsid w:val="00E17165"/>
    <w:rsid w:val="00E17234"/>
    <w:rsid w:val="00E173DC"/>
    <w:rsid w:val="00E17552"/>
    <w:rsid w:val="00E175A8"/>
    <w:rsid w:val="00E17687"/>
    <w:rsid w:val="00E17857"/>
    <w:rsid w:val="00E1790E"/>
    <w:rsid w:val="00E17BD1"/>
    <w:rsid w:val="00E17DD6"/>
    <w:rsid w:val="00E17DD9"/>
    <w:rsid w:val="00E17F75"/>
    <w:rsid w:val="00E20001"/>
    <w:rsid w:val="00E201AE"/>
    <w:rsid w:val="00E207E1"/>
    <w:rsid w:val="00E20830"/>
    <w:rsid w:val="00E209CD"/>
    <w:rsid w:val="00E20B12"/>
    <w:rsid w:val="00E20B98"/>
    <w:rsid w:val="00E2199C"/>
    <w:rsid w:val="00E21A70"/>
    <w:rsid w:val="00E21B03"/>
    <w:rsid w:val="00E21C39"/>
    <w:rsid w:val="00E21DAC"/>
    <w:rsid w:val="00E21E04"/>
    <w:rsid w:val="00E21F9C"/>
    <w:rsid w:val="00E22445"/>
    <w:rsid w:val="00E2247A"/>
    <w:rsid w:val="00E224C0"/>
    <w:rsid w:val="00E22BED"/>
    <w:rsid w:val="00E22CDA"/>
    <w:rsid w:val="00E22D0B"/>
    <w:rsid w:val="00E22F4A"/>
    <w:rsid w:val="00E2331D"/>
    <w:rsid w:val="00E2348C"/>
    <w:rsid w:val="00E234A2"/>
    <w:rsid w:val="00E2362C"/>
    <w:rsid w:val="00E237F6"/>
    <w:rsid w:val="00E23BE7"/>
    <w:rsid w:val="00E23CC1"/>
    <w:rsid w:val="00E23E29"/>
    <w:rsid w:val="00E241D7"/>
    <w:rsid w:val="00E24594"/>
    <w:rsid w:val="00E245EE"/>
    <w:rsid w:val="00E24C5E"/>
    <w:rsid w:val="00E24F38"/>
    <w:rsid w:val="00E24F51"/>
    <w:rsid w:val="00E25256"/>
    <w:rsid w:val="00E25BCF"/>
    <w:rsid w:val="00E25CAD"/>
    <w:rsid w:val="00E25DF0"/>
    <w:rsid w:val="00E25F42"/>
    <w:rsid w:val="00E25F7C"/>
    <w:rsid w:val="00E260A3"/>
    <w:rsid w:val="00E263F0"/>
    <w:rsid w:val="00E2644E"/>
    <w:rsid w:val="00E26684"/>
    <w:rsid w:val="00E2699D"/>
    <w:rsid w:val="00E269FF"/>
    <w:rsid w:val="00E26B72"/>
    <w:rsid w:val="00E26D15"/>
    <w:rsid w:val="00E26D3E"/>
    <w:rsid w:val="00E26FCA"/>
    <w:rsid w:val="00E27017"/>
    <w:rsid w:val="00E2709F"/>
    <w:rsid w:val="00E27126"/>
    <w:rsid w:val="00E271D9"/>
    <w:rsid w:val="00E271F3"/>
    <w:rsid w:val="00E27511"/>
    <w:rsid w:val="00E27805"/>
    <w:rsid w:val="00E27904"/>
    <w:rsid w:val="00E27B3D"/>
    <w:rsid w:val="00E27B57"/>
    <w:rsid w:val="00E27C71"/>
    <w:rsid w:val="00E27C9A"/>
    <w:rsid w:val="00E27DDB"/>
    <w:rsid w:val="00E300C7"/>
    <w:rsid w:val="00E30A0C"/>
    <w:rsid w:val="00E30BF1"/>
    <w:rsid w:val="00E30C18"/>
    <w:rsid w:val="00E30C51"/>
    <w:rsid w:val="00E30C7A"/>
    <w:rsid w:val="00E310B3"/>
    <w:rsid w:val="00E3118E"/>
    <w:rsid w:val="00E31702"/>
    <w:rsid w:val="00E31910"/>
    <w:rsid w:val="00E31973"/>
    <w:rsid w:val="00E31986"/>
    <w:rsid w:val="00E31A7C"/>
    <w:rsid w:val="00E31B75"/>
    <w:rsid w:val="00E31B94"/>
    <w:rsid w:val="00E31BF3"/>
    <w:rsid w:val="00E31BF9"/>
    <w:rsid w:val="00E31D02"/>
    <w:rsid w:val="00E31ECD"/>
    <w:rsid w:val="00E321DE"/>
    <w:rsid w:val="00E323DF"/>
    <w:rsid w:val="00E3242E"/>
    <w:rsid w:val="00E326AA"/>
    <w:rsid w:val="00E326D0"/>
    <w:rsid w:val="00E3297F"/>
    <w:rsid w:val="00E32D7C"/>
    <w:rsid w:val="00E330C9"/>
    <w:rsid w:val="00E332F6"/>
    <w:rsid w:val="00E3330E"/>
    <w:rsid w:val="00E333E6"/>
    <w:rsid w:val="00E3351F"/>
    <w:rsid w:val="00E335E1"/>
    <w:rsid w:val="00E33666"/>
    <w:rsid w:val="00E337C9"/>
    <w:rsid w:val="00E33838"/>
    <w:rsid w:val="00E33992"/>
    <w:rsid w:val="00E339FE"/>
    <w:rsid w:val="00E33B3C"/>
    <w:rsid w:val="00E33C95"/>
    <w:rsid w:val="00E33D07"/>
    <w:rsid w:val="00E3428D"/>
    <w:rsid w:val="00E3441C"/>
    <w:rsid w:val="00E348FE"/>
    <w:rsid w:val="00E34937"/>
    <w:rsid w:val="00E3495C"/>
    <w:rsid w:val="00E34B02"/>
    <w:rsid w:val="00E34B41"/>
    <w:rsid w:val="00E34CD8"/>
    <w:rsid w:val="00E34CF0"/>
    <w:rsid w:val="00E34D3B"/>
    <w:rsid w:val="00E34F44"/>
    <w:rsid w:val="00E35C42"/>
    <w:rsid w:val="00E35D5C"/>
    <w:rsid w:val="00E35E0F"/>
    <w:rsid w:val="00E3615C"/>
    <w:rsid w:val="00E363EC"/>
    <w:rsid w:val="00E36D2C"/>
    <w:rsid w:val="00E36D56"/>
    <w:rsid w:val="00E36EB9"/>
    <w:rsid w:val="00E36F8C"/>
    <w:rsid w:val="00E36FB1"/>
    <w:rsid w:val="00E36FB8"/>
    <w:rsid w:val="00E3747B"/>
    <w:rsid w:val="00E374B8"/>
    <w:rsid w:val="00E37622"/>
    <w:rsid w:val="00E37654"/>
    <w:rsid w:val="00E3788A"/>
    <w:rsid w:val="00E37A3C"/>
    <w:rsid w:val="00E37C09"/>
    <w:rsid w:val="00E37DBE"/>
    <w:rsid w:val="00E403C7"/>
    <w:rsid w:val="00E4062B"/>
    <w:rsid w:val="00E4089B"/>
    <w:rsid w:val="00E408CB"/>
    <w:rsid w:val="00E40DAE"/>
    <w:rsid w:val="00E40F62"/>
    <w:rsid w:val="00E41049"/>
    <w:rsid w:val="00E412E7"/>
    <w:rsid w:val="00E413DC"/>
    <w:rsid w:val="00E41435"/>
    <w:rsid w:val="00E417B3"/>
    <w:rsid w:val="00E41826"/>
    <w:rsid w:val="00E4191E"/>
    <w:rsid w:val="00E41C1C"/>
    <w:rsid w:val="00E42808"/>
    <w:rsid w:val="00E428F2"/>
    <w:rsid w:val="00E429E4"/>
    <w:rsid w:val="00E42A59"/>
    <w:rsid w:val="00E42BA0"/>
    <w:rsid w:val="00E42C65"/>
    <w:rsid w:val="00E42F1E"/>
    <w:rsid w:val="00E4301D"/>
    <w:rsid w:val="00E4316A"/>
    <w:rsid w:val="00E4316C"/>
    <w:rsid w:val="00E43249"/>
    <w:rsid w:val="00E43355"/>
    <w:rsid w:val="00E436A2"/>
    <w:rsid w:val="00E43A9B"/>
    <w:rsid w:val="00E43B0D"/>
    <w:rsid w:val="00E43B81"/>
    <w:rsid w:val="00E43CA6"/>
    <w:rsid w:val="00E43DD3"/>
    <w:rsid w:val="00E44344"/>
    <w:rsid w:val="00E443D6"/>
    <w:rsid w:val="00E4441D"/>
    <w:rsid w:val="00E447E9"/>
    <w:rsid w:val="00E44B04"/>
    <w:rsid w:val="00E44E15"/>
    <w:rsid w:val="00E4535C"/>
    <w:rsid w:val="00E454DD"/>
    <w:rsid w:val="00E45614"/>
    <w:rsid w:val="00E45775"/>
    <w:rsid w:val="00E45865"/>
    <w:rsid w:val="00E458D6"/>
    <w:rsid w:val="00E458D8"/>
    <w:rsid w:val="00E45AF2"/>
    <w:rsid w:val="00E45DFD"/>
    <w:rsid w:val="00E461C5"/>
    <w:rsid w:val="00E461D4"/>
    <w:rsid w:val="00E461FA"/>
    <w:rsid w:val="00E46315"/>
    <w:rsid w:val="00E47824"/>
    <w:rsid w:val="00E4785F"/>
    <w:rsid w:val="00E479E3"/>
    <w:rsid w:val="00E47DD2"/>
    <w:rsid w:val="00E50320"/>
    <w:rsid w:val="00E507F8"/>
    <w:rsid w:val="00E50807"/>
    <w:rsid w:val="00E50958"/>
    <w:rsid w:val="00E50968"/>
    <w:rsid w:val="00E50CB4"/>
    <w:rsid w:val="00E50DD9"/>
    <w:rsid w:val="00E50EFA"/>
    <w:rsid w:val="00E50FC6"/>
    <w:rsid w:val="00E51024"/>
    <w:rsid w:val="00E5127D"/>
    <w:rsid w:val="00E5134D"/>
    <w:rsid w:val="00E51512"/>
    <w:rsid w:val="00E515F5"/>
    <w:rsid w:val="00E515FE"/>
    <w:rsid w:val="00E5172D"/>
    <w:rsid w:val="00E518A7"/>
    <w:rsid w:val="00E51FB1"/>
    <w:rsid w:val="00E52000"/>
    <w:rsid w:val="00E520E6"/>
    <w:rsid w:val="00E52164"/>
    <w:rsid w:val="00E5283F"/>
    <w:rsid w:val="00E529F5"/>
    <w:rsid w:val="00E52A18"/>
    <w:rsid w:val="00E5356B"/>
    <w:rsid w:val="00E53601"/>
    <w:rsid w:val="00E537BF"/>
    <w:rsid w:val="00E5381F"/>
    <w:rsid w:val="00E5383D"/>
    <w:rsid w:val="00E539C2"/>
    <w:rsid w:val="00E53AAC"/>
    <w:rsid w:val="00E53B31"/>
    <w:rsid w:val="00E53D97"/>
    <w:rsid w:val="00E53E00"/>
    <w:rsid w:val="00E54221"/>
    <w:rsid w:val="00E54246"/>
    <w:rsid w:val="00E5434A"/>
    <w:rsid w:val="00E54801"/>
    <w:rsid w:val="00E54815"/>
    <w:rsid w:val="00E54E92"/>
    <w:rsid w:val="00E55191"/>
    <w:rsid w:val="00E5519A"/>
    <w:rsid w:val="00E5539F"/>
    <w:rsid w:val="00E55472"/>
    <w:rsid w:val="00E559A8"/>
    <w:rsid w:val="00E55C3B"/>
    <w:rsid w:val="00E55C6D"/>
    <w:rsid w:val="00E55EB8"/>
    <w:rsid w:val="00E560A9"/>
    <w:rsid w:val="00E564B9"/>
    <w:rsid w:val="00E564E8"/>
    <w:rsid w:val="00E5650A"/>
    <w:rsid w:val="00E5653C"/>
    <w:rsid w:val="00E56B5B"/>
    <w:rsid w:val="00E56BF8"/>
    <w:rsid w:val="00E56CDC"/>
    <w:rsid w:val="00E56FF5"/>
    <w:rsid w:val="00E571C7"/>
    <w:rsid w:val="00E57221"/>
    <w:rsid w:val="00E57339"/>
    <w:rsid w:val="00E573E8"/>
    <w:rsid w:val="00E574EC"/>
    <w:rsid w:val="00E576E6"/>
    <w:rsid w:val="00E57777"/>
    <w:rsid w:val="00E578BF"/>
    <w:rsid w:val="00E57A7A"/>
    <w:rsid w:val="00E57F5F"/>
    <w:rsid w:val="00E57F9B"/>
    <w:rsid w:val="00E57F9C"/>
    <w:rsid w:val="00E6043E"/>
    <w:rsid w:val="00E6051A"/>
    <w:rsid w:val="00E6086B"/>
    <w:rsid w:val="00E60D80"/>
    <w:rsid w:val="00E60F21"/>
    <w:rsid w:val="00E60FC6"/>
    <w:rsid w:val="00E6106A"/>
    <w:rsid w:val="00E6122E"/>
    <w:rsid w:val="00E61515"/>
    <w:rsid w:val="00E615F9"/>
    <w:rsid w:val="00E6161D"/>
    <w:rsid w:val="00E61657"/>
    <w:rsid w:val="00E616BA"/>
    <w:rsid w:val="00E617AC"/>
    <w:rsid w:val="00E618F5"/>
    <w:rsid w:val="00E6193C"/>
    <w:rsid w:val="00E61AD7"/>
    <w:rsid w:val="00E61ADB"/>
    <w:rsid w:val="00E61D78"/>
    <w:rsid w:val="00E62BC2"/>
    <w:rsid w:val="00E62DBC"/>
    <w:rsid w:val="00E6332D"/>
    <w:rsid w:val="00E63434"/>
    <w:rsid w:val="00E63522"/>
    <w:rsid w:val="00E639E3"/>
    <w:rsid w:val="00E63B09"/>
    <w:rsid w:val="00E63DAA"/>
    <w:rsid w:val="00E640AA"/>
    <w:rsid w:val="00E642F2"/>
    <w:rsid w:val="00E64326"/>
    <w:rsid w:val="00E6458E"/>
    <w:rsid w:val="00E647DE"/>
    <w:rsid w:val="00E64929"/>
    <w:rsid w:val="00E64AA1"/>
    <w:rsid w:val="00E655B3"/>
    <w:rsid w:val="00E65867"/>
    <w:rsid w:val="00E65A1F"/>
    <w:rsid w:val="00E65B8D"/>
    <w:rsid w:val="00E65DA1"/>
    <w:rsid w:val="00E66B09"/>
    <w:rsid w:val="00E66C54"/>
    <w:rsid w:val="00E66C6E"/>
    <w:rsid w:val="00E66EB0"/>
    <w:rsid w:val="00E67395"/>
    <w:rsid w:val="00E67655"/>
    <w:rsid w:val="00E67864"/>
    <w:rsid w:val="00E6788F"/>
    <w:rsid w:val="00E67ABD"/>
    <w:rsid w:val="00E67DA9"/>
    <w:rsid w:val="00E67F46"/>
    <w:rsid w:val="00E67FEF"/>
    <w:rsid w:val="00E703A9"/>
    <w:rsid w:val="00E7062F"/>
    <w:rsid w:val="00E70717"/>
    <w:rsid w:val="00E707BF"/>
    <w:rsid w:val="00E7099E"/>
    <w:rsid w:val="00E709A3"/>
    <w:rsid w:val="00E70DF4"/>
    <w:rsid w:val="00E70E45"/>
    <w:rsid w:val="00E7102A"/>
    <w:rsid w:val="00E71473"/>
    <w:rsid w:val="00E7155F"/>
    <w:rsid w:val="00E716F1"/>
    <w:rsid w:val="00E7175E"/>
    <w:rsid w:val="00E719A0"/>
    <w:rsid w:val="00E71C26"/>
    <w:rsid w:val="00E71E11"/>
    <w:rsid w:val="00E7221D"/>
    <w:rsid w:val="00E7266F"/>
    <w:rsid w:val="00E72779"/>
    <w:rsid w:val="00E72C9A"/>
    <w:rsid w:val="00E72CBC"/>
    <w:rsid w:val="00E72F2F"/>
    <w:rsid w:val="00E730EB"/>
    <w:rsid w:val="00E7318A"/>
    <w:rsid w:val="00E731DC"/>
    <w:rsid w:val="00E7323E"/>
    <w:rsid w:val="00E73296"/>
    <w:rsid w:val="00E7396C"/>
    <w:rsid w:val="00E73B1B"/>
    <w:rsid w:val="00E73C72"/>
    <w:rsid w:val="00E73CAF"/>
    <w:rsid w:val="00E73CB1"/>
    <w:rsid w:val="00E73F41"/>
    <w:rsid w:val="00E741B9"/>
    <w:rsid w:val="00E74286"/>
    <w:rsid w:val="00E7455C"/>
    <w:rsid w:val="00E74645"/>
    <w:rsid w:val="00E74653"/>
    <w:rsid w:val="00E746B4"/>
    <w:rsid w:val="00E74843"/>
    <w:rsid w:val="00E74E50"/>
    <w:rsid w:val="00E74F44"/>
    <w:rsid w:val="00E7526B"/>
    <w:rsid w:val="00E7527D"/>
    <w:rsid w:val="00E75472"/>
    <w:rsid w:val="00E75493"/>
    <w:rsid w:val="00E7588A"/>
    <w:rsid w:val="00E7590C"/>
    <w:rsid w:val="00E75A8F"/>
    <w:rsid w:val="00E75DF7"/>
    <w:rsid w:val="00E75F07"/>
    <w:rsid w:val="00E75F8B"/>
    <w:rsid w:val="00E76078"/>
    <w:rsid w:val="00E7615F"/>
    <w:rsid w:val="00E76340"/>
    <w:rsid w:val="00E763B2"/>
    <w:rsid w:val="00E763EA"/>
    <w:rsid w:val="00E768C4"/>
    <w:rsid w:val="00E769B7"/>
    <w:rsid w:val="00E76AE0"/>
    <w:rsid w:val="00E76AF8"/>
    <w:rsid w:val="00E76CE9"/>
    <w:rsid w:val="00E76EA7"/>
    <w:rsid w:val="00E76EF1"/>
    <w:rsid w:val="00E76EFC"/>
    <w:rsid w:val="00E771AC"/>
    <w:rsid w:val="00E77315"/>
    <w:rsid w:val="00E77643"/>
    <w:rsid w:val="00E77719"/>
    <w:rsid w:val="00E77753"/>
    <w:rsid w:val="00E77C79"/>
    <w:rsid w:val="00E77E78"/>
    <w:rsid w:val="00E77F8E"/>
    <w:rsid w:val="00E80232"/>
    <w:rsid w:val="00E80579"/>
    <w:rsid w:val="00E8081C"/>
    <w:rsid w:val="00E80D65"/>
    <w:rsid w:val="00E8174D"/>
    <w:rsid w:val="00E81877"/>
    <w:rsid w:val="00E81939"/>
    <w:rsid w:val="00E81A87"/>
    <w:rsid w:val="00E81AD4"/>
    <w:rsid w:val="00E81BA0"/>
    <w:rsid w:val="00E81BE5"/>
    <w:rsid w:val="00E821EF"/>
    <w:rsid w:val="00E82420"/>
    <w:rsid w:val="00E82670"/>
    <w:rsid w:val="00E82CD7"/>
    <w:rsid w:val="00E82DE5"/>
    <w:rsid w:val="00E83257"/>
    <w:rsid w:val="00E833D1"/>
    <w:rsid w:val="00E834C2"/>
    <w:rsid w:val="00E8353F"/>
    <w:rsid w:val="00E836BF"/>
    <w:rsid w:val="00E837DB"/>
    <w:rsid w:val="00E83948"/>
    <w:rsid w:val="00E83A40"/>
    <w:rsid w:val="00E83BFB"/>
    <w:rsid w:val="00E83CF9"/>
    <w:rsid w:val="00E83D43"/>
    <w:rsid w:val="00E83E9E"/>
    <w:rsid w:val="00E84013"/>
    <w:rsid w:val="00E84184"/>
    <w:rsid w:val="00E84515"/>
    <w:rsid w:val="00E846E3"/>
    <w:rsid w:val="00E8471E"/>
    <w:rsid w:val="00E849F1"/>
    <w:rsid w:val="00E84C57"/>
    <w:rsid w:val="00E84D76"/>
    <w:rsid w:val="00E84E63"/>
    <w:rsid w:val="00E85292"/>
    <w:rsid w:val="00E8562A"/>
    <w:rsid w:val="00E856CB"/>
    <w:rsid w:val="00E857AD"/>
    <w:rsid w:val="00E85AB8"/>
    <w:rsid w:val="00E85C9E"/>
    <w:rsid w:val="00E860AF"/>
    <w:rsid w:val="00E8621D"/>
    <w:rsid w:val="00E863E0"/>
    <w:rsid w:val="00E864BD"/>
    <w:rsid w:val="00E865B8"/>
    <w:rsid w:val="00E8666D"/>
    <w:rsid w:val="00E86976"/>
    <w:rsid w:val="00E86BEE"/>
    <w:rsid w:val="00E871FF"/>
    <w:rsid w:val="00E874ED"/>
    <w:rsid w:val="00E87671"/>
    <w:rsid w:val="00E8771D"/>
    <w:rsid w:val="00E87873"/>
    <w:rsid w:val="00E87942"/>
    <w:rsid w:val="00E902D8"/>
    <w:rsid w:val="00E9047B"/>
    <w:rsid w:val="00E90662"/>
    <w:rsid w:val="00E9071B"/>
    <w:rsid w:val="00E907FE"/>
    <w:rsid w:val="00E9085A"/>
    <w:rsid w:val="00E90892"/>
    <w:rsid w:val="00E90934"/>
    <w:rsid w:val="00E90AAF"/>
    <w:rsid w:val="00E90AE9"/>
    <w:rsid w:val="00E90B94"/>
    <w:rsid w:val="00E910A0"/>
    <w:rsid w:val="00E9139F"/>
    <w:rsid w:val="00E914BF"/>
    <w:rsid w:val="00E91AE9"/>
    <w:rsid w:val="00E91FE4"/>
    <w:rsid w:val="00E92260"/>
    <w:rsid w:val="00E92592"/>
    <w:rsid w:val="00E92704"/>
    <w:rsid w:val="00E927C6"/>
    <w:rsid w:val="00E9282D"/>
    <w:rsid w:val="00E92974"/>
    <w:rsid w:val="00E92CC3"/>
    <w:rsid w:val="00E92D42"/>
    <w:rsid w:val="00E92E6C"/>
    <w:rsid w:val="00E92F2D"/>
    <w:rsid w:val="00E92F98"/>
    <w:rsid w:val="00E9331D"/>
    <w:rsid w:val="00E933A3"/>
    <w:rsid w:val="00E935F1"/>
    <w:rsid w:val="00E936ED"/>
    <w:rsid w:val="00E938E4"/>
    <w:rsid w:val="00E93997"/>
    <w:rsid w:val="00E93B73"/>
    <w:rsid w:val="00E93C95"/>
    <w:rsid w:val="00E94049"/>
    <w:rsid w:val="00E9415B"/>
    <w:rsid w:val="00E9464E"/>
    <w:rsid w:val="00E946A8"/>
    <w:rsid w:val="00E947F8"/>
    <w:rsid w:val="00E948CB"/>
    <w:rsid w:val="00E949AC"/>
    <w:rsid w:val="00E94A85"/>
    <w:rsid w:val="00E95000"/>
    <w:rsid w:val="00E9522B"/>
    <w:rsid w:val="00E95322"/>
    <w:rsid w:val="00E95490"/>
    <w:rsid w:val="00E95774"/>
    <w:rsid w:val="00E958A5"/>
    <w:rsid w:val="00E9599B"/>
    <w:rsid w:val="00E95CFE"/>
    <w:rsid w:val="00E95D33"/>
    <w:rsid w:val="00E95EE5"/>
    <w:rsid w:val="00E9660B"/>
    <w:rsid w:val="00E968C1"/>
    <w:rsid w:val="00E96AA4"/>
    <w:rsid w:val="00E96B5C"/>
    <w:rsid w:val="00E96DF2"/>
    <w:rsid w:val="00E96E33"/>
    <w:rsid w:val="00E96E74"/>
    <w:rsid w:val="00E96F27"/>
    <w:rsid w:val="00E96FCA"/>
    <w:rsid w:val="00E97004"/>
    <w:rsid w:val="00E971CE"/>
    <w:rsid w:val="00E971F6"/>
    <w:rsid w:val="00E97400"/>
    <w:rsid w:val="00E9746C"/>
    <w:rsid w:val="00E9760D"/>
    <w:rsid w:val="00E97710"/>
    <w:rsid w:val="00E977C9"/>
    <w:rsid w:val="00E97BAD"/>
    <w:rsid w:val="00E97CB6"/>
    <w:rsid w:val="00E97CBF"/>
    <w:rsid w:val="00E97DA9"/>
    <w:rsid w:val="00EA019E"/>
    <w:rsid w:val="00EA041D"/>
    <w:rsid w:val="00EA05AC"/>
    <w:rsid w:val="00EA06BC"/>
    <w:rsid w:val="00EA077B"/>
    <w:rsid w:val="00EA0CBA"/>
    <w:rsid w:val="00EA0E54"/>
    <w:rsid w:val="00EA0FFA"/>
    <w:rsid w:val="00EA1302"/>
    <w:rsid w:val="00EA1769"/>
    <w:rsid w:val="00EA1A40"/>
    <w:rsid w:val="00EA1CF0"/>
    <w:rsid w:val="00EA1E2B"/>
    <w:rsid w:val="00EA1FA8"/>
    <w:rsid w:val="00EA202A"/>
    <w:rsid w:val="00EA2138"/>
    <w:rsid w:val="00EA214A"/>
    <w:rsid w:val="00EA24B2"/>
    <w:rsid w:val="00EA2694"/>
    <w:rsid w:val="00EA2C34"/>
    <w:rsid w:val="00EA2EA8"/>
    <w:rsid w:val="00EA2EC0"/>
    <w:rsid w:val="00EA2F91"/>
    <w:rsid w:val="00EA329B"/>
    <w:rsid w:val="00EA3488"/>
    <w:rsid w:val="00EA354A"/>
    <w:rsid w:val="00EA3671"/>
    <w:rsid w:val="00EA3A7F"/>
    <w:rsid w:val="00EA3ADC"/>
    <w:rsid w:val="00EA3B07"/>
    <w:rsid w:val="00EA3CE8"/>
    <w:rsid w:val="00EA4240"/>
    <w:rsid w:val="00EA4545"/>
    <w:rsid w:val="00EA4996"/>
    <w:rsid w:val="00EA4AF1"/>
    <w:rsid w:val="00EA4B36"/>
    <w:rsid w:val="00EA4BBB"/>
    <w:rsid w:val="00EA4E1E"/>
    <w:rsid w:val="00EA4EA0"/>
    <w:rsid w:val="00EA5035"/>
    <w:rsid w:val="00EA518C"/>
    <w:rsid w:val="00EA53B3"/>
    <w:rsid w:val="00EA5519"/>
    <w:rsid w:val="00EA5586"/>
    <w:rsid w:val="00EA561E"/>
    <w:rsid w:val="00EA56F3"/>
    <w:rsid w:val="00EA605B"/>
    <w:rsid w:val="00EA6166"/>
    <w:rsid w:val="00EA651A"/>
    <w:rsid w:val="00EA65C8"/>
    <w:rsid w:val="00EA67E9"/>
    <w:rsid w:val="00EA6887"/>
    <w:rsid w:val="00EA69EF"/>
    <w:rsid w:val="00EA7691"/>
    <w:rsid w:val="00EA77EC"/>
    <w:rsid w:val="00EA7818"/>
    <w:rsid w:val="00EA7BEC"/>
    <w:rsid w:val="00EA7F80"/>
    <w:rsid w:val="00EB0451"/>
    <w:rsid w:val="00EB05B9"/>
    <w:rsid w:val="00EB070B"/>
    <w:rsid w:val="00EB08E7"/>
    <w:rsid w:val="00EB0DEA"/>
    <w:rsid w:val="00EB0E0C"/>
    <w:rsid w:val="00EB0ECA"/>
    <w:rsid w:val="00EB16B7"/>
    <w:rsid w:val="00EB1891"/>
    <w:rsid w:val="00EB18AC"/>
    <w:rsid w:val="00EB1A1A"/>
    <w:rsid w:val="00EB1B41"/>
    <w:rsid w:val="00EB1CD9"/>
    <w:rsid w:val="00EB1F3D"/>
    <w:rsid w:val="00EB1F63"/>
    <w:rsid w:val="00EB1FFC"/>
    <w:rsid w:val="00EB2474"/>
    <w:rsid w:val="00EB27BC"/>
    <w:rsid w:val="00EB29F8"/>
    <w:rsid w:val="00EB2B0E"/>
    <w:rsid w:val="00EB2DB8"/>
    <w:rsid w:val="00EB2F1F"/>
    <w:rsid w:val="00EB2FC1"/>
    <w:rsid w:val="00EB35F2"/>
    <w:rsid w:val="00EB3841"/>
    <w:rsid w:val="00EB3BD8"/>
    <w:rsid w:val="00EB3D70"/>
    <w:rsid w:val="00EB40E4"/>
    <w:rsid w:val="00EB45C3"/>
    <w:rsid w:val="00EB4707"/>
    <w:rsid w:val="00EB4859"/>
    <w:rsid w:val="00EB487B"/>
    <w:rsid w:val="00EB49E6"/>
    <w:rsid w:val="00EB4A14"/>
    <w:rsid w:val="00EB4C60"/>
    <w:rsid w:val="00EB5045"/>
    <w:rsid w:val="00EB5226"/>
    <w:rsid w:val="00EB5404"/>
    <w:rsid w:val="00EB554E"/>
    <w:rsid w:val="00EB56DC"/>
    <w:rsid w:val="00EB59E6"/>
    <w:rsid w:val="00EB5A2D"/>
    <w:rsid w:val="00EB5AC2"/>
    <w:rsid w:val="00EB5BDE"/>
    <w:rsid w:val="00EB5CFF"/>
    <w:rsid w:val="00EB5E3F"/>
    <w:rsid w:val="00EB5EA8"/>
    <w:rsid w:val="00EB5F40"/>
    <w:rsid w:val="00EB5F4F"/>
    <w:rsid w:val="00EB5FAD"/>
    <w:rsid w:val="00EB603F"/>
    <w:rsid w:val="00EB63FD"/>
    <w:rsid w:val="00EB6411"/>
    <w:rsid w:val="00EB6575"/>
    <w:rsid w:val="00EB65C2"/>
    <w:rsid w:val="00EB6A32"/>
    <w:rsid w:val="00EB6D50"/>
    <w:rsid w:val="00EB6D82"/>
    <w:rsid w:val="00EB6D89"/>
    <w:rsid w:val="00EB719E"/>
    <w:rsid w:val="00EB7459"/>
    <w:rsid w:val="00EB76F6"/>
    <w:rsid w:val="00EB7BF4"/>
    <w:rsid w:val="00EB7D46"/>
    <w:rsid w:val="00EB7D79"/>
    <w:rsid w:val="00EB7E2F"/>
    <w:rsid w:val="00EB7E8D"/>
    <w:rsid w:val="00EC0010"/>
    <w:rsid w:val="00EC0420"/>
    <w:rsid w:val="00EC0468"/>
    <w:rsid w:val="00EC0970"/>
    <w:rsid w:val="00EC0ABB"/>
    <w:rsid w:val="00EC0B15"/>
    <w:rsid w:val="00EC11D6"/>
    <w:rsid w:val="00EC18F6"/>
    <w:rsid w:val="00EC1955"/>
    <w:rsid w:val="00EC1C19"/>
    <w:rsid w:val="00EC1C8C"/>
    <w:rsid w:val="00EC1C92"/>
    <w:rsid w:val="00EC1EA2"/>
    <w:rsid w:val="00EC20A8"/>
    <w:rsid w:val="00EC20EA"/>
    <w:rsid w:val="00EC2279"/>
    <w:rsid w:val="00EC22F2"/>
    <w:rsid w:val="00EC23AA"/>
    <w:rsid w:val="00EC2719"/>
    <w:rsid w:val="00EC2BD3"/>
    <w:rsid w:val="00EC2C01"/>
    <w:rsid w:val="00EC2C34"/>
    <w:rsid w:val="00EC2E49"/>
    <w:rsid w:val="00EC33A0"/>
    <w:rsid w:val="00EC368C"/>
    <w:rsid w:val="00EC370B"/>
    <w:rsid w:val="00EC3BB9"/>
    <w:rsid w:val="00EC3E02"/>
    <w:rsid w:val="00EC4177"/>
    <w:rsid w:val="00EC422D"/>
    <w:rsid w:val="00EC42AC"/>
    <w:rsid w:val="00EC4543"/>
    <w:rsid w:val="00EC45AB"/>
    <w:rsid w:val="00EC45C6"/>
    <w:rsid w:val="00EC4836"/>
    <w:rsid w:val="00EC4AC8"/>
    <w:rsid w:val="00EC4B15"/>
    <w:rsid w:val="00EC4E79"/>
    <w:rsid w:val="00EC5088"/>
    <w:rsid w:val="00EC5187"/>
    <w:rsid w:val="00EC52F2"/>
    <w:rsid w:val="00EC5477"/>
    <w:rsid w:val="00EC558D"/>
    <w:rsid w:val="00EC57A6"/>
    <w:rsid w:val="00EC59A5"/>
    <w:rsid w:val="00EC5BC4"/>
    <w:rsid w:val="00EC5CAD"/>
    <w:rsid w:val="00EC5CAF"/>
    <w:rsid w:val="00EC61BD"/>
    <w:rsid w:val="00EC62BD"/>
    <w:rsid w:val="00EC62F1"/>
    <w:rsid w:val="00EC638A"/>
    <w:rsid w:val="00EC66DB"/>
    <w:rsid w:val="00EC69F1"/>
    <w:rsid w:val="00EC7127"/>
    <w:rsid w:val="00EC7216"/>
    <w:rsid w:val="00EC75A8"/>
    <w:rsid w:val="00EC76F1"/>
    <w:rsid w:val="00EC7710"/>
    <w:rsid w:val="00EC78ED"/>
    <w:rsid w:val="00EC79EE"/>
    <w:rsid w:val="00EC7BA5"/>
    <w:rsid w:val="00EC7D26"/>
    <w:rsid w:val="00EC7D28"/>
    <w:rsid w:val="00ED009A"/>
    <w:rsid w:val="00ED02E7"/>
    <w:rsid w:val="00ED053C"/>
    <w:rsid w:val="00ED0915"/>
    <w:rsid w:val="00ED0B45"/>
    <w:rsid w:val="00ED0E1C"/>
    <w:rsid w:val="00ED10EE"/>
    <w:rsid w:val="00ED115D"/>
    <w:rsid w:val="00ED11FA"/>
    <w:rsid w:val="00ED1222"/>
    <w:rsid w:val="00ED129A"/>
    <w:rsid w:val="00ED1673"/>
    <w:rsid w:val="00ED18B1"/>
    <w:rsid w:val="00ED1B1F"/>
    <w:rsid w:val="00ED1BE1"/>
    <w:rsid w:val="00ED1EE8"/>
    <w:rsid w:val="00ED20E1"/>
    <w:rsid w:val="00ED20ED"/>
    <w:rsid w:val="00ED2390"/>
    <w:rsid w:val="00ED24A6"/>
    <w:rsid w:val="00ED2569"/>
    <w:rsid w:val="00ED2A7A"/>
    <w:rsid w:val="00ED303B"/>
    <w:rsid w:val="00ED3123"/>
    <w:rsid w:val="00ED3213"/>
    <w:rsid w:val="00ED32A7"/>
    <w:rsid w:val="00ED3546"/>
    <w:rsid w:val="00ED3730"/>
    <w:rsid w:val="00ED3A74"/>
    <w:rsid w:val="00ED3BFF"/>
    <w:rsid w:val="00ED419B"/>
    <w:rsid w:val="00ED4217"/>
    <w:rsid w:val="00ED4534"/>
    <w:rsid w:val="00ED47E4"/>
    <w:rsid w:val="00ED4917"/>
    <w:rsid w:val="00ED4980"/>
    <w:rsid w:val="00ED4A11"/>
    <w:rsid w:val="00ED4A19"/>
    <w:rsid w:val="00ED4BD9"/>
    <w:rsid w:val="00ED5056"/>
    <w:rsid w:val="00ED524E"/>
    <w:rsid w:val="00ED5379"/>
    <w:rsid w:val="00ED53A4"/>
    <w:rsid w:val="00ED54B8"/>
    <w:rsid w:val="00ED5978"/>
    <w:rsid w:val="00ED59DF"/>
    <w:rsid w:val="00ED5CC1"/>
    <w:rsid w:val="00ED5D8E"/>
    <w:rsid w:val="00ED5E38"/>
    <w:rsid w:val="00ED5F50"/>
    <w:rsid w:val="00ED630F"/>
    <w:rsid w:val="00ED64D9"/>
    <w:rsid w:val="00ED6558"/>
    <w:rsid w:val="00ED6894"/>
    <w:rsid w:val="00ED6922"/>
    <w:rsid w:val="00ED6A7F"/>
    <w:rsid w:val="00ED6B90"/>
    <w:rsid w:val="00ED6BBA"/>
    <w:rsid w:val="00ED79BB"/>
    <w:rsid w:val="00ED7D87"/>
    <w:rsid w:val="00ED7E32"/>
    <w:rsid w:val="00ED7FE3"/>
    <w:rsid w:val="00ED7FE9"/>
    <w:rsid w:val="00EE0068"/>
    <w:rsid w:val="00EE02A4"/>
    <w:rsid w:val="00EE031D"/>
    <w:rsid w:val="00EE0947"/>
    <w:rsid w:val="00EE0960"/>
    <w:rsid w:val="00EE0A3F"/>
    <w:rsid w:val="00EE0B25"/>
    <w:rsid w:val="00EE0DD6"/>
    <w:rsid w:val="00EE10D9"/>
    <w:rsid w:val="00EE17CD"/>
    <w:rsid w:val="00EE1814"/>
    <w:rsid w:val="00EE184F"/>
    <w:rsid w:val="00EE1865"/>
    <w:rsid w:val="00EE1C32"/>
    <w:rsid w:val="00EE1FC2"/>
    <w:rsid w:val="00EE22AD"/>
    <w:rsid w:val="00EE2343"/>
    <w:rsid w:val="00EE2703"/>
    <w:rsid w:val="00EE29E5"/>
    <w:rsid w:val="00EE314F"/>
    <w:rsid w:val="00EE3291"/>
    <w:rsid w:val="00EE3B4C"/>
    <w:rsid w:val="00EE3ED5"/>
    <w:rsid w:val="00EE4137"/>
    <w:rsid w:val="00EE4490"/>
    <w:rsid w:val="00EE4B9A"/>
    <w:rsid w:val="00EE4D90"/>
    <w:rsid w:val="00EE4EEF"/>
    <w:rsid w:val="00EE4FE6"/>
    <w:rsid w:val="00EE50D0"/>
    <w:rsid w:val="00EE5379"/>
    <w:rsid w:val="00EE54C0"/>
    <w:rsid w:val="00EE559A"/>
    <w:rsid w:val="00EE5683"/>
    <w:rsid w:val="00EE58C9"/>
    <w:rsid w:val="00EE5CA1"/>
    <w:rsid w:val="00EE5DF0"/>
    <w:rsid w:val="00EE5EA0"/>
    <w:rsid w:val="00EE643D"/>
    <w:rsid w:val="00EE64C6"/>
    <w:rsid w:val="00EE67AA"/>
    <w:rsid w:val="00EE6832"/>
    <w:rsid w:val="00EE6A13"/>
    <w:rsid w:val="00EE6B99"/>
    <w:rsid w:val="00EE6BB4"/>
    <w:rsid w:val="00EE6C01"/>
    <w:rsid w:val="00EE6DAD"/>
    <w:rsid w:val="00EE6E6A"/>
    <w:rsid w:val="00EE71D1"/>
    <w:rsid w:val="00EE76E9"/>
    <w:rsid w:val="00EE7AC4"/>
    <w:rsid w:val="00EF02C2"/>
    <w:rsid w:val="00EF0393"/>
    <w:rsid w:val="00EF03B8"/>
    <w:rsid w:val="00EF04C9"/>
    <w:rsid w:val="00EF0625"/>
    <w:rsid w:val="00EF0941"/>
    <w:rsid w:val="00EF1755"/>
    <w:rsid w:val="00EF176E"/>
    <w:rsid w:val="00EF17E2"/>
    <w:rsid w:val="00EF1A75"/>
    <w:rsid w:val="00EF1DD6"/>
    <w:rsid w:val="00EF1EA3"/>
    <w:rsid w:val="00EF1F37"/>
    <w:rsid w:val="00EF20A4"/>
    <w:rsid w:val="00EF246A"/>
    <w:rsid w:val="00EF28D0"/>
    <w:rsid w:val="00EF2F5A"/>
    <w:rsid w:val="00EF2F77"/>
    <w:rsid w:val="00EF329C"/>
    <w:rsid w:val="00EF331F"/>
    <w:rsid w:val="00EF364D"/>
    <w:rsid w:val="00EF397F"/>
    <w:rsid w:val="00EF3C8A"/>
    <w:rsid w:val="00EF3D58"/>
    <w:rsid w:val="00EF3E60"/>
    <w:rsid w:val="00EF3EFF"/>
    <w:rsid w:val="00EF44C3"/>
    <w:rsid w:val="00EF4507"/>
    <w:rsid w:val="00EF48A3"/>
    <w:rsid w:val="00EF53A4"/>
    <w:rsid w:val="00EF568F"/>
    <w:rsid w:val="00EF5D8F"/>
    <w:rsid w:val="00EF61D0"/>
    <w:rsid w:val="00EF63C6"/>
    <w:rsid w:val="00EF657A"/>
    <w:rsid w:val="00EF65D6"/>
    <w:rsid w:val="00EF6B67"/>
    <w:rsid w:val="00EF6B76"/>
    <w:rsid w:val="00EF6CFF"/>
    <w:rsid w:val="00EF6D76"/>
    <w:rsid w:val="00EF6D9F"/>
    <w:rsid w:val="00EF6F52"/>
    <w:rsid w:val="00EF7063"/>
    <w:rsid w:val="00EF7084"/>
    <w:rsid w:val="00EF70F2"/>
    <w:rsid w:val="00EF71E4"/>
    <w:rsid w:val="00EF73D0"/>
    <w:rsid w:val="00EF74E4"/>
    <w:rsid w:val="00EF752E"/>
    <w:rsid w:val="00EF7A7F"/>
    <w:rsid w:val="00EF7AE9"/>
    <w:rsid w:val="00EF7C34"/>
    <w:rsid w:val="00EF7FA7"/>
    <w:rsid w:val="00F00314"/>
    <w:rsid w:val="00F005B3"/>
    <w:rsid w:val="00F00784"/>
    <w:rsid w:val="00F0085E"/>
    <w:rsid w:val="00F00BAE"/>
    <w:rsid w:val="00F00C1E"/>
    <w:rsid w:val="00F00DF1"/>
    <w:rsid w:val="00F00E31"/>
    <w:rsid w:val="00F00F58"/>
    <w:rsid w:val="00F00FD5"/>
    <w:rsid w:val="00F01150"/>
    <w:rsid w:val="00F01172"/>
    <w:rsid w:val="00F012B6"/>
    <w:rsid w:val="00F012EA"/>
    <w:rsid w:val="00F013CC"/>
    <w:rsid w:val="00F0148F"/>
    <w:rsid w:val="00F019AE"/>
    <w:rsid w:val="00F0273C"/>
    <w:rsid w:val="00F0305E"/>
    <w:rsid w:val="00F0325A"/>
    <w:rsid w:val="00F03B39"/>
    <w:rsid w:val="00F03DFC"/>
    <w:rsid w:val="00F03E92"/>
    <w:rsid w:val="00F03EA0"/>
    <w:rsid w:val="00F0404D"/>
    <w:rsid w:val="00F04052"/>
    <w:rsid w:val="00F041DC"/>
    <w:rsid w:val="00F04451"/>
    <w:rsid w:val="00F04732"/>
    <w:rsid w:val="00F04963"/>
    <w:rsid w:val="00F04977"/>
    <w:rsid w:val="00F04CD8"/>
    <w:rsid w:val="00F04D49"/>
    <w:rsid w:val="00F04FED"/>
    <w:rsid w:val="00F0515E"/>
    <w:rsid w:val="00F0548E"/>
    <w:rsid w:val="00F059F5"/>
    <w:rsid w:val="00F05C0A"/>
    <w:rsid w:val="00F05C5B"/>
    <w:rsid w:val="00F05C65"/>
    <w:rsid w:val="00F06196"/>
    <w:rsid w:val="00F061C4"/>
    <w:rsid w:val="00F062C4"/>
    <w:rsid w:val="00F06673"/>
    <w:rsid w:val="00F068AC"/>
    <w:rsid w:val="00F06961"/>
    <w:rsid w:val="00F06A10"/>
    <w:rsid w:val="00F06B6C"/>
    <w:rsid w:val="00F06BD7"/>
    <w:rsid w:val="00F070AD"/>
    <w:rsid w:val="00F0722D"/>
    <w:rsid w:val="00F07508"/>
    <w:rsid w:val="00F07CA4"/>
    <w:rsid w:val="00F07DD6"/>
    <w:rsid w:val="00F07F3F"/>
    <w:rsid w:val="00F07F59"/>
    <w:rsid w:val="00F07F6C"/>
    <w:rsid w:val="00F100EA"/>
    <w:rsid w:val="00F102BD"/>
    <w:rsid w:val="00F10409"/>
    <w:rsid w:val="00F1066F"/>
    <w:rsid w:val="00F1076B"/>
    <w:rsid w:val="00F10A73"/>
    <w:rsid w:val="00F10D1A"/>
    <w:rsid w:val="00F10D63"/>
    <w:rsid w:val="00F10D76"/>
    <w:rsid w:val="00F111EE"/>
    <w:rsid w:val="00F1149E"/>
    <w:rsid w:val="00F1163F"/>
    <w:rsid w:val="00F11651"/>
    <w:rsid w:val="00F11717"/>
    <w:rsid w:val="00F11826"/>
    <w:rsid w:val="00F11875"/>
    <w:rsid w:val="00F11A72"/>
    <w:rsid w:val="00F11CA6"/>
    <w:rsid w:val="00F12423"/>
    <w:rsid w:val="00F12550"/>
    <w:rsid w:val="00F125E3"/>
    <w:rsid w:val="00F12843"/>
    <w:rsid w:val="00F128AB"/>
    <w:rsid w:val="00F128EE"/>
    <w:rsid w:val="00F129CE"/>
    <w:rsid w:val="00F129EF"/>
    <w:rsid w:val="00F12A70"/>
    <w:rsid w:val="00F12B13"/>
    <w:rsid w:val="00F12DC7"/>
    <w:rsid w:val="00F12E7A"/>
    <w:rsid w:val="00F13270"/>
    <w:rsid w:val="00F13692"/>
    <w:rsid w:val="00F13D2D"/>
    <w:rsid w:val="00F13D82"/>
    <w:rsid w:val="00F13ECC"/>
    <w:rsid w:val="00F1415F"/>
    <w:rsid w:val="00F14201"/>
    <w:rsid w:val="00F14635"/>
    <w:rsid w:val="00F14EB5"/>
    <w:rsid w:val="00F14F87"/>
    <w:rsid w:val="00F15010"/>
    <w:rsid w:val="00F1508C"/>
    <w:rsid w:val="00F150BE"/>
    <w:rsid w:val="00F153F3"/>
    <w:rsid w:val="00F15589"/>
    <w:rsid w:val="00F1578E"/>
    <w:rsid w:val="00F15CC4"/>
    <w:rsid w:val="00F15D50"/>
    <w:rsid w:val="00F15D88"/>
    <w:rsid w:val="00F15DB5"/>
    <w:rsid w:val="00F15F08"/>
    <w:rsid w:val="00F16085"/>
    <w:rsid w:val="00F165EE"/>
    <w:rsid w:val="00F16726"/>
    <w:rsid w:val="00F16A53"/>
    <w:rsid w:val="00F16BB0"/>
    <w:rsid w:val="00F16C3C"/>
    <w:rsid w:val="00F16D67"/>
    <w:rsid w:val="00F17240"/>
    <w:rsid w:val="00F1725D"/>
    <w:rsid w:val="00F172A2"/>
    <w:rsid w:val="00F1749C"/>
    <w:rsid w:val="00F1761D"/>
    <w:rsid w:val="00F179E5"/>
    <w:rsid w:val="00F17A57"/>
    <w:rsid w:val="00F17AC6"/>
    <w:rsid w:val="00F17C64"/>
    <w:rsid w:val="00F17C67"/>
    <w:rsid w:val="00F17E20"/>
    <w:rsid w:val="00F2009C"/>
    <w:rsid w:val="00F20154"/>
    <w:rsid w:val="00F202F3"/>
    <w:rsid w:val="00F20455"/>
    <w:rsid w:val="00F2061D"/>
    <w:rsid w:val="00F20763"/>
    <w:rsid w:val="00F20ACC"/>
    <w:rsid w:val="00F20D8B"/>
    <w:rsid w:val="00F214B0"/>
    <w:rsid w:val="00F21790"/>
    <w:rsid w:val="00F21B9D"/>
    <w:rsid w:val="00F21DF1"/>
    <w:rsid w:val="00F21EA8"/>
    <w:rsid w:val="00F22166"/>
    <w:rsid w:val="00F227C8"/>
    <w:rsid w:val="00F22A4F"/>
    <w:rsid w:val="00F22CC0"/>
    <w:rsid w:val="00F22D20"/>
    <w:rsid w:val="00F22EC3"/>
    <w:rsid w:val="00F22F6B"/>
    <w:rsid w:val="00F22F99"/>
    <w:rsid w:val="00F22FEB"/>
    <w:rsid w:val="00F2338B"/>
    <w:rsid w:val="00F2339F"/>
    <w:rsid w:val="00F233F6"/>
    <w:rsid w:val="00F23432"/>
    <w:rsid w:val="00F234A8"/>
    <w:rsid w:val="00F2383D"/>
    <w:rsid w:val="00F23CB7"/>
    <w:rsid w:val="00F23F4D"/>
    <w:rsid w:val="00F23FF9"/>
    <w:rsid w:val="00F2413F"/>
    <w:rsid w:val="00F24182"/>
    <w:rsid w:val="00F2432B"/>
    <w:rsid w:val="00F244DB"/>
    <w:rsid w:val="00F24BBC"/>
    <w:rsid w:val="00F24C22"/>
    <w:rsid w:val="00F24FF4"/>
    <w:rsid w:val="00F250C6"/>
    <w:rsid w:val="00F250EC"/>
    <w:rsid w:val="00F25151"/>
    <w:rsid w:val="00F252BD"/>
    <w:rsid w:val="00F25564"/>
    <w:rsid w:val="00F257B5"/>
    <w:rsid w:val="00F2594B"/>
    <w:rsid w:val="00F25ADA"/>
    <w:rsid w:val="00F25C54"/>
    <w:rsid w:val="00F25E45"/>
    <w:rsid w:val="00F25ECB"/>
    <w:rsid w:val="00F25FF9"/>
    <w:rsid w:val="00F2641B"/>
    <w:rsid w:val="00F267B9"/>
    <w:rsid w:val="00F269C5"/>
    <w:rsid w:val="00F26E1B"/>
    <w:rsid w:val="00F27126"/>
    <w:rsid w:val="00F2720E"/>
    <w:rsid w:val="00F272D9"/>
    <w:rsid w:val="00F2731E"/>
    <w:rsid w:val="00F27415"/>
    <w:rsid w:val="00F2776D"/>
    <w:rsid w:val="00F27A2C"/>
    <w:rsid w:val="00F27BA8"/>
    <w:rsid w:val="00F27F5C"/>
    <w:rsid w:val="00F306FF"/>
    <w:rsid w:val="00F30C75"/>
    <w:rsid w:val="00F30E36"/>
    <w:rsid w:val="00F3109C"/>
    <w:rsid w:val="00F31248"/>
    <w:rsid w:val="00F312F3"/>
    <w:rsid w:val="00F31333"/>
    <w:rsid w:val="00F31582"/>
    <w:rsid w:val="00F315B2"/>
    <w:rsid w:val="00F316E2"/>
    <w:rsid w:val="00F31B71"/>
    <w:rsid w:val="00F31F53"/>
    <w:rsid w:val="00F3243A"/>
    <w:rsid w:val="00F3247E"/>
    <w:rsid w:val="00F3271C"/>
    <w:rsid w:val="00F3278A"/>
    <w:rsid w:val="00F3278F"/>
    <w:rsid w:val="00F32859"/>
    <w:rsid w:val="00F3291C"/>
    <w:rsid w:val="00F32925"/>
    <w:rsid w:val="00F3298B"/>
    <w:rsid w:val="00F329D8"/>
    <w:rsid w:val="00F32A45"/>
    <w:rsid w:val="00F32E10"/>
    <w:rsid w:val="00F32F9E"/>
    <w:rsid w:val="00F32FD4"/>
    <w:rsid w:val="00F33023"/>
    <w:rsid w:val="00F3310A"/>
    <w:rsid w:val="00F331DA"/>
    <w:rsid w:val="00F3344D"/>
    <w:rsid w:val="00F3356B"/>
    <w:rsid w:val="00F336CD"/>
    <w:rsid w:val="00F3371B"/>
    <w:rsid w:val="00F33A10"/>
    <w:rsid w:val="00F33A37"/>
    <w:rsid w:val="00F33AD1"/>
    <w:rsid w:val="00F33CC5"/>
    <w:rsid w:val="00F340D0"/>
    <w:rsid w:val="00F34287"/>
    <w:rsid w:val="00F34357"/>
    <w:rsid w:val="00F3449B"/>
    <w:rsid w:val="00F346E6"/>
    <w:rsid w:val="00F34707"/>
    <w:rsid w:val="00F348D5"/>
    <w:rsid w:val="00F349A4"/>
    <w:rsid w:val="00F34A42"/>
    <w:rsid w:val="00F34C3D"/>
    <w:rsid w:val="00F35007"/>
    <w:rsid w:val="00F351A2"/>
    <w:rsid w:val="00F354D4"/>
    <w:rsid w:val="00F358E0"/>
    <w:rsid w:val="00F358EE"/>
    <w:rsid w:val="00F3594B"/>
    <w:rsid w:val="00F35AA9"/>
    <w:rsid w:val="00F35ADB"/>
    <w:rsid w:val="00F35CA6"/>
    <w:rsid w:val="00F35EFB"/>
    <w:rsid w:val="00F3615D"/>
    <w:rsid w:val="00F36556"/>
    <w:rsid w:val="00F36878"/>
    <w:rsid w:val="00F36B02"/>
    <w:rsid w:val="00F36B6A"/>
    <w:rsid w:val="00F36BE9"/>
    <w:rsid w:val="00F36CB2"/>
    <w:rsid w:val="00F36E7F"/>
    <w:rsid w:val="00F36FC3"/>
    <w:rsid w:val="00F36FEA"/>
    <w:rsid w:val="00F37794"/>
    <w:rsid w:val="00F37E91"/>
    <w:rsid w:val="00F40085"/>
    <w:rsid w:val="00F401C0"/>
    <w:rsid w:val="00F401F3"/>
    <w:rsid w:val="00F40215"/>
    <w:rsid w:val="00F405A8"/>
    <w:rsid w:val="00F4066D"/>
    <w:rsid w:val="00F40864"/>
    <w:rsid w:val="00F40E33"/>
    <w:rsid w:val="00F40EBD"/>
    <w:rsid w:val="00F411ED"/>
    <w:rsid w:val="00F41319"/>
    <w:rsid w:val="00F413D8"/>
    <w:rsid w:val="00F414E3"/>
    <w:rsid w:val="00F41B0F"/>
    <w:rsid w:val="00F41CA0"/>
    <w:rsid w:val="00F41D38"/>
    <w:rsid w:val="00F41E02"/>
    <w:rsid w:val="00F42032"/>
    <w:rsid w:val="00F421DF"/>
    <w:rsid w:val="00F42530"/>
    <w:rsid w:val="00F42654"/>
    <w:rsid w:val="00F4286C"/>
    <w:rsid w:val="00F42B76"/>
    <w:rsid w:val="00F42C2D"/>
    <w:rsid w:val="00F43053"/>
    <w:rsid w:val="00F432FB"/>
    <w:rsid w:val="00F4336E"/>
    <w:rsid w:val="00F43552"/>
    <w:rsid w:val="00F4355F"/>
    <w:rsid w:val="00F439D4"/>
    <w:rsid w:val="00F439D7"/>
    <w:rsid w:val="00F43A1A"/>
    <w:rsid w:val="00F43A47"/>
    <w:rsid w:val="00F43D58"/>
    <w:rsid w:val="00F43F10"/>
    <w:rsid w:val="00F44041"/>
    <w:rsid w:val="00F444BC"/>
    <w:rsid w:val="00F444C7"/>
    <w:rsid w:val="00F44895"/>
    <w:rsid w:val="00F44DD8"/>
    <w:rsid w:val="00F45091"/>
    <w:rsid w:val="00F456E1"/>
    <w:rsid w:val="00F45DFD"/>
    <w:rsid w:val="00F45E2B"/>
    <w:rsid w:val="00F45EE4"/>
    <w:rsid w:val="00F45F77"/>
    <w:rsid w:val="00F4621A"/>
    <w:rsid w:val="00F46409"/>
    <w:rsid w:val="00F4685A"/>
    <w:rsid w:val="00F469A2"/>
    <w:rsid w:val="00F46B89"/>
    <w:rsid w:val="00F46CB8"/>
    <w:rsid w:val="00F46D28"/>
    <w:rsid w:val="00F46E3E"/>
    <w:rsid w:val="00F46E7B"/>
    <w:rsid w:val="00F47215"/>
    <w:rsid w:val="00F47694"/>
    <w:rsid w:val="00F47C57"/>
    <w:rsid w:val="00F47C5E"/>
    <w:rsid w:val="00F47FF1"/>
    <w:rsid w:val="00F501B9"/>
    <w:rsid w:val="00F503AB"/>
    <w:rsid w:val="00F50585"/>
    <w:rsid w:val="00F50BC0"/>
    <w:rsid w:val="00F50DE7"/>
    <w:rsid w:val="00F5115C"/>
    <w:rsid w:val="00F511A1"/>
    <w:rsid w:val="00F512D8"/>
    <w:rsid w:val="00F5132B"/>
    <w:rsid w:val="00F516E3"/>
    <w:rsid w:val="00F517C8"/>
    <w:rsid w:val="00F51954"/>
    <w:rsid w:val="00F519C0"/>
    <w:rsid w:val="00F51BDD"/>
    <w:rsid w:val="00F51FEE"/>
    <w:rsid w:val="00F5215B"/>
    <w:rsid w:val="00F5256B"/>
    <w:rsid w:val="00F52652"/>
    <w:rsid w:val="00F52E67"/>
    <w:rsid w:val="00F532F3"/>
    <w:rsid w:val="00F53545"/>
    <w:rsid w:val="00F53BD7"/>
    <w:rsid w:val="00F53D5A"/>
    <w:rsid w:val="00F53F3D"/>
    <w:rsid w:val="00F54084"/>
    <w:rsid w:val="00F5413C"/>
    <w:rsid w:val="00F541F1"/>
    <w:rsid w:val="00F54256"/>
    <w:rsid w:val="00F543D1"/>
    <w:rsid w:val="00F544A4"/>
    <w:rsid w:val="00F544D5"/>
    <w:rsid w:val="00F5457A"/>
    <w:rsid w:val="00F5460D"/>
    <w:rsid w:val="00F54819"/>
    <w:rsid w:val="00F54832"/>
    <w:rsid w:val="00F54B7D"/>
    <w:rsid w:val="00F54F39"/>
    <w:rsid w:val="00F5528C"/>
    <w:rsid w:val="00F552A9"/>
    <w:rsid w:val="00F55362"/>
    <w:rsid w:val="00F55405"/>
    <w:rsid w:val="00F5542A"/>
    <w:rsid w:val="00F55574"/>
    <w:rsid w:val="00F559A0"/>
    <w:rsid w:val="00F55C2B"/>
    <w:rsid w:val="00F55CCD"/>
    <w:rsid w:val="00F55CE3"/>
    <w:rsid w:val="00F55F08"/>
    <w:rsid w:val="00F55FE0"/>
    <w:rsid w:val="00F56093"/>
    <w:rsid w:val="00F562E2"/>
    <w:rsid w:val="00F564E3"/>
    <w:rsid w:val="00F567E0"/>
    <w:rsid w:val="00F56839"/>
    <w:rsid w:val="00F569E6"/>
    <w:rsid w:val="00F56BBE"/>
    <w:rsid w:val="00F56E17"/>
    <w:rsid w:val="00F570EB"/>
    <w:rsid w:val="00F57374"/>
    <w:rsid w:val="00F5747B"/>
    <w:rsid w:val="00F57885"/>
    <w:rsid w:val="00F57899"/>
    <w:rsid w:val="00F578EE"/>
    <w:rsid w:val="00F5797F"/>
    <w:rsid w:val="00F57B50"/>
    <w:rsid w:val="00F57E59"/>
    <w:rsid w:val="00F60491"/>
    <w:rsid w:val="00F607F7"/>
    <w:rsid w:val="00F607FA"/>
    <w:rsid w:val="00F60DA3"/>
    <w:rsid w:val="00F60EB5"/>
    <w:rsid w:val="00F612A4"/>
    <w:rsid w:val="00F613C9"/>
    <w:rsid w:val="00F61529"/>
    <w:rsid w:val="00F61560"/>
    <w:rsid w:val="00F6172E"/>
    <w:rsid w:val="00F61735"/>
    <w:rsid w:val="00F617EE"/>
    <w:rsid w:val="00F61D9F"/>
    <w:rsid w:val="00F61FA9"/>
    <w:rsid w:val="00F6222C"/>
    <w:rsid w:val="00F622AB"/>
    <w:rsid w:val="00F62554"/>
    <w:rsid w:val="00F628FE"/>
    <w:rsid w:val="00F62B73"/>
    <w:rsid w:val="00F62D20"/>
    <w:rsid w:val="00F63176"/>
    <w:rsid w:val="00F63386"/>
    <w:rsid w:val="00F63399"/>
    <w:rsid w:val="00F637CC"/>
    <w:rsid w:val="00F63B41"/>
    <w:rsid w:val="00F63D83"/>
    <w:rsid w:val="00F64277"/>
    <w:rsid w:val="00F64683"/>
    <w:rsid w:val="00F64B03"/>
    <w:rsid w:val="00F64D3A"/>
    <w:rsid w:val="00F65241"/>
    <w:rsid w:val="00F653F3"/>
    <w:rsid w:val="00F6548E"/>
    <w:rsid w:val="00F654E3"/>
    <w:rsid w:val="00F6587A"/>
    <w:rsid w:val="00F658B9"/>
    <w:rsid w:val="00F65DA6"/>
    <w:rsid w:val="00F660BF"/>
    <w:rsid w:val="00F66144"/>
    <w:rsid w:val="00F66327"/>
    <w:rsid w:val="00F667B8"/>
    <w:rsid w:val="00F668E6"/>
    <w:rsid w:val="00F66FD8"/>
    <w:rsid w:val="00F6713F"/>
    <w:rsid w:val="00F67185"/>
    <w:rsid w:val="00F6722C"/>
    <w:rsid w:val="00F677AB"/>
    <w:rsid w:val="00F678BF"/>
    <w:rsid w:val="00F67B45"/>
    <w:rsid w:val="00F702D7"/>
    <w:rsid w:val="00F70373"/>
    <w:rsid w:val="00F703B1"/>
    <w:rsid w:val="00F703B7"/>
    <w:rsid w:val="00F7065C"/>
    <w:rsid w:val="00F70E3E"/>
    <w:rsid w:val="00F70FE2"/>
    <w:rsid w:val="00F71078"/>
    <w:rsid w:val="00F71553"/>
    <w:rsid w:val="00F71C2E"/>
    <w:rsid w:val="00F71CFF"/>
    <w:rsid w:val="00F72260"/>
    <w:rsid w:val="00F72353"/>
    <w:rsid w:val="00F72871"/>
    <w:rsid w:val="00F728AD"/>
    <w:rsid w:val="00F73193"/>
    <w:rsid w:val="00F731BB"/>
    <w:rsid w:val="00F731BC"/>
    <w:rsid w:val="00F7340C"/>
    <w:rsid w:val="00F73765"/>
    <w:rsid w:val="00F737E0"/>
    <w:rsid w:val="00F73A60"/>
    <w:rsid w:val="00F73C06"/>
    <w:rsid w:val="00F73D67"/>
    <w:rsid w:val="00F73F7D"/>
    <w:rsid w:val="00F743DC"/>
    <w:rsid w:val="00F74607"/>
    <w:rsid w:val="00F7478D"/>
    <w:rsid w:val="00F747D6"/>
    <w:rsid w:val="00F74993"/>
    <w:rsid w:val="00F749C1"/>
    <w:rsid w:val="00F749EF"/>
    <w:rsid w:val="00F74B51"/>
    <w:rsid w:val="00F74BE3"/>
    <w:rsid w:val="00F7515E"/>
    <w:rsid w:val="00F751FA"/>
    <w:rsid w:val="00F752FC"/>
    <w:rsid w:val="00F75423"/>
    <w:rsid w:val="00F7544A"/>
    <w:rsid w:val="00F7575B"/>
    <w:rsid w:val="00F757FE"/>
    <w:rsid w:val="00F758F8"/>
    <w:rsid w:val="00F75904"/>
    <w:rsid w:val="00F75B66"/>
    <w:rsid w:val="00F75E6B"/>
    <w:rsid w:val="00F76016"/>
    <w:rsid w:val="00F76087"/>
    <w:rsid w:val="00F761EC"/>
    <w:rsid w:val="00F768C9"/>
    <w:rsid w:val="00F7691B"/>
    <w:rsid w:val="00F76A2D"/>
    <w:rsid w:val="00F76DD9"/>
    <w:rsid w:val="00F77392"/>
    <w:rsid w:val="00F77A1C"/>
    <w:rsid w:val="00F77CA4"/>
    <w:rsid w:val="00F77D79"/>
    <w:rsid w:val="00F77E2E"/>
    <w:rsid w:val="00F77E4A"/>
    <w:rsid w:val="00F804C7"/>
    <w:rsid w:val="00F805C8"/>
    <w:rsid w:val="00F8061C"/>
    <w:rsid w:val="00F80D24"/>
    <w:rsid w:val="00F80D26"/>
    <w:rsid w:val="00F80DA9"/>
    <w:rsid w:val="00F80E09"/>
    <w:rsid w:val="00F80E9F"/>
    <w:rsid w:val="00F81362"/>
    <w:rsid w:val="00F813B7"/>
    <w:rsid w:val="00F814C6"/>
    <w:rsid w:val="00F81547"/>
    <w:rsid w:val="00F81D00"/>
    <w:rsid w:val="00F8200F"/>
    <w:rsid w:val="00F823CD"/>
    <w:rsid w:val="00F8252A"/>
    <w:rsid w:val="00F8265B"/>
    <w:rsid w:val="00F828E5"/>
    <w:rsid w:val="00F8291E"/>
    <w:rsid w:val="00F82AE2"/>
    <w:rsid w:val="00F82EF8"/>
    <w:rsid w:val="00F834A7"/>
    <w:rsid w:val="00F83744"/>
    <w:rsid w:val="00F838A5"/>
    <w:rsid w:val="00F83916"/>
    <w:rsid w:val="00F83C3B"/>
    <w:rsid w:val="00F83E53"/>
    <w:rsid w:val="00F83FF6"/>
    <w:rsid w:val="00F84299"/>
    <w:rsid w:val="00F8432F"/>
    <w:rsid w:val="00F843EB"/>
    <w:rsid w:val="00F84883"/>
    <w:rsid w:val="00F8488A"/>
    <w:rsid w:val="00F84A5B"/>
    <w:rsid w:val="00F84C70"/>
    <w:rsid w:val="00F84D26"/>
    <w:rsid w:val="00F84D6C"/>
    <w:rsid w:val="00F84FA2"/>
    <w:rsid w:val="00F8514E"/>
    <w:rsid w:val="00F8532D"/>
    <w:rsid w:val="00F854EE"/>
    <w:rsid w:val="00F85B0C"/>
    <w:rsid w:val="00F85F16"/>
    <w:rsid w:val="00F86EA0"/>
    <w:rsid w:val="00F87039"/>
    <w:rsid w:val="00F87098"/>
    <w:rsid w:val="00F875A2"/>
    <w:rsid w:val="00F8761B"/>
    <w:rsid w:val="00F87655"/>
    <w:rsid w:val="00F8786F"/>
    <w:rsid w:val="00F879A4"/>
    <w:rsid w:val="00F87FAA"/>
    <w:rsid w:val="00F909A4"/>
    <w:rsid w:val="00F90C89"/>
    <w:rsid w:val="00F90EEF"/>
    <w:rsid w:val="00F911A6"/>
    <w:rsid w:val="00F91202"/>
    <w:rsid w:val="00F91217"/>
    <w:rsid w:val="00F91331"/>
    <w:rsid w:val="00F91353"/>
    <w:rsid w:val="00F9147B"/>
    <w:rsid w:val="00F91C5C"/>
    <w:rsid w:val="00F9206F"/>
    <w:rsid w:val="00F920DF"/>
    <w:rsid w:val="00F9214F"/>
    <w:rsid w:val="00F921F8"/>
    <w:rsid w:val="00F922F1"/>
    <w:rsid w:val="00F92A51"/>
    <w:rsid w:val="00F92C29"/>
    <w:rsid w:val="00F92E7B"/>
    <w:rsid w:val="00F92E95"/>
    <w:rsid w:val="00F92F1C"/>
    <w:rsid w:val="00F933E5"/>
    <w:rsid w:val="00F936D7"/>
    <w:rsid w:val="00F93772"/>
    <w:rsid w:val="00F93787"/>
    <w:rsid w:val="00F93A8B"/>
    <w:rsid w:val="00F93C5F"/>
    <w:rsid w:val="00F9427E"/>
    <w:rsid w:val="00F94673"/>
    <w:rsid w:val="00F94713"/>
    <w:rsid w:val="00F9499A"/>
    <w:rsid w:val="00F94A87"/>
    <w:rsid w:val="00F94C20"/>
    <w:rsid w:val="00F94E05"/>
    <w:rsid w:val="00F94EE1"/>
    <w:rsid w:val="00F94F0E"/>
    <w:rsid w:val="00F94F57"/>
    <w:rsid w:val="00F95290"/>
    <w:rsid w:val="00F952AD"/>
    <w:rsid w:val="00F957D9"/>
    <w:rsid w:val="00F95969"/>
    <w:rsid w:val="00F95998"/>
    <w:rsid w:val="00F95DF8"/>
    <w:rsid w:val="00F95E33"/>
    <w:rsid w:val="00F9669F"/>
    <w:rsid w:val="00F967A9"/>
    <w:rsid w:val="00F9684A"/>
    <w:rsid w:val="00F968AF"/>
    <w:rsid w:val="00F96D37"/>
    <w:rsid w:val="00F96D79"/>
    <w:rsid w:val="00F96DEA"/>
    <w:rsid w:val="00F96FE6"/>
    <w:rsid w:val="00F97020"/>
    <w:rsid w:val="00F97412"/>
    <w:rsid w:val="00F97B94"/>
    <w:rsid w:val="00F97B96"/>
    <w:rsid w:val="00F97CA8"/>
    <w:rsid w:val="00F97F35"/>
    <w:rsid w:val="00FA00EA"/>
    <w:rsid w:val="00FA016C"/>
    <w:rsid w:val="00FA045F"/>
    <w:rsid w:val="00FA04E8"/>
    <w:rsid w:val="00FA0559"/>
    <w:rsid w:val="00FA05C8"/>
    <w:rsid w:val="00FA0613"/>
    <w:rsid w:val="00FA070F"/>
    <w:rsid w:val="00FA0784"/>
    <w:rsid w:val="00FA0825"/>
    <w:rsid w:val="00FA08AD"/>
    <w:rsid w:val="00FA0A51"/>
    <w:rsid w:val="00FA0EB8"/>
    <w:rsid w:val="00FA0ED4"/>
    <w:rsid w:val="00FA130C"/>
    <w:rsid w:val="00FA150E"/>
    <w:rsid w:val="00FA1574"/>
    <w:rsid w:val="00FA17AC"/>
    <w:rsid w:val="00FA1A68"/>
    <w:rsid w:val="00FA1AD6"/>
    <w:rsid w:val="00FA1BB4"/>
    <w:rsid w:val="00FA1D20"/>
    <w:rsid w:val="00FA1EA1"/>
    <w:rsid w:val="00FA2307"/>
    <w:rsid w:val="00FA2999"/>
    <w:rsid w:val="00FA2CE5"/>
    <w:rsid w:val="00FA2DA4"/>
    <w:rsid w:val="00FA2E38"/>
    <w:rsid w:val="00FA2E9E"/>
    <w:rsid w:val="00FA2F27"/>
    <w:rsid w:val="00FA2F57"/>
    <w:rsid w:val="00FA325B"/>
    <w:rsid w:val="00FA33DE"/>
    <w:rsid w:val="00FA3732"/>
    <w:rsid w:val="00FA382E"/>
    <w:rsid w:val="00FA391C"/>
    <w:rsid w:val="00FA3972"/>
    <w:rsid w:val="00FA3D48"/>
    <w:rsid w:val="00FA3F4D"/>
    <w:rsid w:val="00FA40A8"/>
    <w:rsid w:val="00FA4150"/>
    <w:rsid w:val="00FA42CF"/>
    <w:rsid w:val="00FA4AA3"/>
    <w:rsid w:val="00FA4E74"/>
    <w:rsid w:val="00FA5277"/>
    <w:rsid w:val="00FA53AD"/>
    <w:rsid w:val="00FA5766"/>
    <w:rsid w:val="00FA5C20"/>
    <w:rsid w:val="00FA5C78"/>
    <w:rsid w:val="00FA5EE9"/>
    <w:rsid w:val="00FA649A"/>
    <w:rsid w:val="00FA6950"/>
    <w:rsid w:val="00FA6A3B"/>
    <w:rsid w:val="00FA6C0F"/>
    <w:rsid w:val="00FA6DDB"/>
    <w:rsid w:val="00FA6ED1"/>
    <w:rsid w:val="00FA70E6"/>
    <w:rsid w:val="00FA71AD"/>
    <w:rsid w:val="00FA72CB"/>
    <w:rsid w:val="00FA73BA"/>
    <w:rsid w:val="00FA7CFE"/>
    <w:rsid w:val="00FA7D7D"/>
    <w:rsid w:val="00FA7EB9"/>
    <w:rsid w:val="00FA7FB5"/>
    <w:rsid w:val="00FB042F"/>
    <w:rsid w:val="00FB0697"/>
    <w:rsid w:val="00FB087C"/>
    <w:rsid w:val="00FB088B"/>
    <w:rsid w:val="00FB0DBE"/>
    <w:rsid w:val="00FB1243"/>
    <w:rsid w:val="00FB143D"/>
    <w:rsid w:val="00FB1458"/>
    <w:rsid w:val="00FB1A2A"/>
    <w:rsid w:val="00FB1A70"/>
    <w:rsid w:val="00FB1AD7"/>
    <w:rsid w:val="00FB1D0A"/>
    <w:rsid w:val="00FB1DA9"/>
    <w:rsid w:val="00FB2023"/>
    <w:rsid w:val="00FB20DF"/>
    <w:rsid w:val="00FB2586"/>
    <w:rsid w:val="00FB288C"/>
    <w:rsid w:val="00FB28F7"/>
    <w:rsid w:val="00FB290F"/>
    <w:rsid w:val="00FB297F"/>
    <w:rsid w:val="00FB2A23"/>
    <w:rsid w:val="00FB2C50"/>
    <w:rsid w:val="00FB3131"/>
    <w:rsid w:val="00FB33F1"/>
    <w:rsid w:val="00FB3C20"/>
    <w:rsid w:val="00FB3DEC"/>
    <w:rsid w:val="00FB3E61"/>
    <w:rsid w:val="00FB4196"/>
    <w:rsid w:val="00FB42E0"/>
    <w:rsid w:val="00FB457C"/>
    <w:rsid w:val="00FB46DD"/>
    <w:rsid w:val="00FB4705"/>
    <w:rsid w:val="00FB4A29"/>
    <w:rsid w:val="00FB4E2F"/>
    <w:rsid w:val="00FB52E2"/>
    <w:rsid w:val="00FB546A"/>
    <w:rsid w:val="00FB54EC"/>
    <w:rsid w:val="00FB587D"/>
    <w:rsid w:val="00FB5939"/>
    <w:rsid w:val="00FB5BB6"/>
    <w:rsid w:val="00FB5D87"/>
    <w:rsid w:val="00FB60A2"/>
    <w:rsid w:val="00FB620D"/>
    <w:rsid w:val="00FB6454"/>
    <w:rsid w:val="00FB683A"/>
    <w:rsid w:val="00FB6C65"/>
    <w:rsid w:val="00FB6D24"/>
    <w:rsid w:val="00FB6DCF"/>
    <w:rsid w:val="00FB6F4A"/>
    <w:rsid w:val="00FB6F5E"/>
    <w:rsid w:val="00FB6F67"/>
    <w:rsid w:val="00FB70EE"/>
    <w:rsid w:val="00FB730C"/>
    <w:rsid w:val="00FB7710"/>
    <w:rsid w:val="00FB7810"/>
    <w:rsid w:val="00FB7B0E"/>
    <w:rsid w:val="00FB7D58"/>
    <w:rsid w:val="00FB7FD1"/>
    <w:rsid w:val="00FC004F"/>
    <w:rsid w:val="00FC0067"/>
    <w:rsid w:val="00FC0513"/>
    <w:rsid w:val="00FC05D9"/>
    <w:rsid w:val="00FC09E8"/>
    <w:rsid w:val="00FC0AB6"/>
    <w:rsid w:val="00FC0AD7"/>
    <w:rsid w:val="00FC10DE"/>
    <w:rsid w:val="00FC1255"/>
    <w:rsid w:val="00FC12EC"/>
    <w:rsid w:val="00FC135A"/>
    <w:rsid w:val="00FC1FB6"/>
    <w:rsid w:val="00FC1FE0"/>
    <w:rsid w:val="00FC231C"/>
    <w:rsid w:val="00FC23BE"/>
    <w:rsid w:val="00FC28B5"/>
    <w:rsid w:val="00FC29D2"/>
    <w:rsid w:val="00FC29D9"/>
    <w:rsid w:val="00FC2B55"/>
    <w:rsid w:val="00FC2CF9"/>
    <w:rsid w:val="00FC2D5F"/>
    <w:rsid w:val="00FC2DAB"/>
    <w:rsid w:val="00FC2E19"/>
    <w:rsid w:val="00FC3BE7"/>
    <w:rsid w:val="00FC3D3D"/>
    <w:rsid w:val="00FC3D51"/>
    <w:rsid w:val="00FC3D9B"/>
    <w:rsid w:val="00FC3DE1"/>
    <w:rsid w:val="00FC3E1F"/>
    <w:rsid w:val="00FC3E9F"/>
    <w:rsid w:val="00FC3F32"/>
    <w:rsid w:val="00FC406B"/>
    <w:rsid w:val="00FC407D"/>
    <w:rsid w:val="00FC4088"/>
    <w:rsid w:val="00FC4266"/>
    <w:rsid w:val="00FC4384"/>
    <w:rsid w:val="00FC43CB"/>
    <w:rsid w:val="00FC448D"/>
    <w:rsid w:val="00FC4558"/>
    <w:rsid w:val="00FC464E"/>
    <w:rsid w:val="00FC49D4"/>
    <w:rsid w:val="00FC4D9E"/>
    <w:rsid w:val="00FC506F"/>
    <w:rsid w:val="00FC5109"/>
    <w:rsid w:val="00FC541E"/>
    <w:rsid w:val="00FC54BC"/>
    <w:rsid w:val="00FC5603"/>
    <w:rsid w:val="00FC568A"/>
    <w:rsid w:val="00FC5A29"/>
    <w:rsid w:val="00FC5DFF"/>
    <w:rsid w:val="00FC5EF5"/>
    <w:rsid w:val="00FC6245"/>
    <w:rsid w:val="00FC6260"/>
    <w:rsid w:val="00FC6A71"/>
    <w:rsid w:val="00FC6CCA"/>
    <w:rsid w:val="00FC6EF1"/>
    <w:rsid w:val="00FC7058"/>
    <w:rsid w:val="00FC7133"/>
    <w:rsid w:val="00FC7186"/>
    <w:rsid w:val="00FC7449"/>
    <w:rsid w:val="00FC750F"/>
    <w:rsid w:val="00FC7834"/>
    <w:rsid w:val="00FC7998"/>
    <w:rsid w:val="00FC7AD6"/>
    <w:rsid w:val="00FC7DB1"/>
    <w:rsid w:val="00FC7DEF"/>
    <w:rsid w:val="00FD006E"/>
    <w:rsid w:val="00FD0372"/>
    <w:rsid w:val="00FD0646"/>
    <w:rsid w:val="00FD0686"/>
    <w:rsid w:val="00FD07B5"/>
    <w:rsid w:val="00FD0B28"/>
    <w:rsid w:val="00FD0BD7"/>
    <w:rsid w:val="00FD0D99"/>
    <w:rsid w:val="00FD1047"/>
    <w:rsid w:val="00FD1187"/>
    <w:rsid w:val="00FD1331"/>
    <w:rsid w:val="00FD141A"/>
    <w:rsid w:val="00FD1493"/>
    <w:rsid w:val="00FD152C"/>
    <w:rsid w:val="00FD1684"/>
    <w:rsid w:val="00FD17BA"/>
    <w:rsid w:val="00FD18DA"/>
    <w:rsid w:val="00FD1EE7"/>
    <w:rsid w:val="00FD263C"/>
    <w:rsid w:val="00FD264E"/>
    <w:rsid w:val="00FD2972"/>
    <w:rsid w:val="00FD2A17"/>
    <w:rsid w:val="00FD2C9D"/>
    <w:rsid w:val="00FD2F74"/>
    <w:rsid w:val="00FD31D7"/>
    <w:rsid w:val="00FD3238"/>
    <w:rsid w:val="00FD358F"/>
    <w:rsid w:val="00FD3B0B"/>
    <w:rsid w:val="00FD3B94"/>
    <w:rsid w:val="00FD3E9A"/>
    <w:rsid w:val="00FD40DD"/>
    <w:rsid w:val="00FD422A"/>
    <w:rsid w:val="00FD43B3"/>
    <w:rsid w:val="00FD47E2"/>
    <w:rsid w:val="00FD47EF"/>
    <w:rsid w:val="00FD4A95"/>
    <w:rsid w:val="00FD4AFA"/>
    <w:rsid w:val="00FD4C02"/>
    <w:rsid w:val="00FD4C9C"/>
    <w:rsid w:val="00FD4D58"/>
    <w:rsid w:val="00FD565E"/>
    <w:rsid w:val="00FD56A3"/>
    <w:rsid w:val="00FD58AA"/>
    <w:rsid w:val="00FD5FEE"/>
    <w:rsid w:val="00FD604C"/>
    <w:rsid w:val="00FD6295"/>
    <w:rsid w:val="00FD6EE9"/>
    <w:rsid w:val="00FD733E"/>
    <w:rsid w:val="00FD7C87"/>
    <w:rsid w:val="00FD7ECC"/>
    <w:rsid w:val="00FD7EFA"/>
    <w:rsid w:val="00FD7F2E"/>
    <w:rsid w:val="00FE02C6"/>
    <w:rsid w:val="00FE0992"/>
    <w:rsid w:val="00FE0A89"/>
    <w:rsid w:val="00FE0DE4"/>
    <w:rsid w:val="00FE1111"/>
    <w:rsid w:val="00FE1118"/>
    <w:rsid w:val="00FE1131"/>
    <w:rsid w:val="00FE150C"/>
    <w:rsid w:val="00FE1903"/>
    <w:rsid w:val="00FE1A50"/>
    <w:rsid w:val="00FE1AC8"/>
    <w:rsid w:val="00FE1B76"/>
    <w:rsid w:val="00FE1C54"/>
    <w:rsid w:val="00FE1E84"/>
    <w:rsid w:val="00FE1EBA"/>
    <w:rsid w:val="00FE20C3"/>
    <w:rsid w:val="00FE20D5"/>
    <w:rsid w:val="00FE22D8"/>
    <w:rsid w:val="00FE2344"/>
    <w:rsid w:val="00FE24DC"/>
    <w:rsid w:val="00FE26A5"/>
    <w:rsid w:val="00FE26FA"/>
    <w:rsid w:val="00FE279F"/>
    <w:rsid w:val="00FE2C66"/>
    <w:rsid w:val="00FE2FB9"/>
    <w:rsid w:val="00FE37CB"/>
    <w:rsid w:val="00FE38AB"/>
    <w:rsid w:val="00FE39F4"/>
    <w:rsid w:val="00FE3E99"/>
    <w:rsid w:val="00FE40E5"/>
    <w:rsid w:val="00FE4739"/>
    <w:rsid w:val="00FE49B9"/>
    <w:rsid w:val="00FE4D8F"/>
    <w:rsid w:val="00FE4DB2"/>
    <w:rsid w:val="00FE4EF7"/>
    <w:rsid w:val="00FE518F"/>
    <w:rsid w:val="00FE51A6"/>
    <w:rsid w:val="00FE5288"/>
    <w:rsid w:val="00FE5439"/>
    <w:rsid w:val="00FE5559"/>
    <w:rsid w:val="00FE57F8"/>
    <w:rsid w:val="00FE5885"/>
    <w:rsid w:val="00FE5929"/>
    <w:rsid w:val="00FE5C9B"/>
    <w:rsid w:val="00FE5D12"/>
    <w:rsid w:val="00FE5D60"/>
    <w:rsid w:val="00FE60D1"/>
    <w:rsid w:val="00FE61D2"/>
    <w:rsid w:val="00FE62E0"/>
    <w:rsid w:val="00FE67A2"/>
    <w:rsid w:val="00FE681D"/>
    <w:rsid w:val="00FE6A55"/>
    <w:rsid w:val="00FE6A93"/>
    <w:rsid w:val="00FE6D44"/>
    <w:rsid w:val="00FE6E5B"/>
    <w:rsid w:val="00FE6E99"/>
    <w:rsid w:val="00FE6ECE"/>
    <w:rsid w:val="00FE7008"/>
    <w:rsid w:val="00FE70A9"/>
    <w:rsid w:val="00FE74DF"/>
    <w:rsid w:val="00FE7635"/>
    <w:rsid w:val="00FE7649"/>
    <w:rsid w:val="00FE7739"/>
    <w:rsid w:val="00FE7BD4"/>
    <w:rsid w:val="00FE7E92"/>
    <w:rsid w:val="00FF05DB"/>
    <w:rsid w:val="00FF0DBD"/>
    <w:rsid w:val="00FF0DDD"/>
    <w:rsid w:val="00FF17C3"/>
    <w:rsid w:val="00FF17F9"/>
    <w:rsid w:val="00FF19A2"/>
    <w:rsid w:val="00FF1B2E"/>
    <w:rsid w:val="00FF1BD7"/>
    <w:rsid w:val="00FF1C3D"/>
    <w:rsid w:val="00FF2059"/>
    <w:rsid w:val="00FF2100"/>
    <w:rsid w:val="00FF24F6"/>
    <w:rsid w:val="00FF2637"/>
    <w:rsid w:val="00FF268B"/>
    <w:rsid w:val="00FF26EE"/>
    <w:rsid w:val="00FF2AA7"/>
    <w:rsid w:val="00FF2F0A"/>
    <w:rsid w:val="00FF30E4"/>
    <w:rsid w:val="00FF3122"/>
    <w:rsid w:val="00FF340D"/>
    <w:rsid w:val="00FF370E"/>
    <w:rsid w:val="00FF37A4"/>
    <w:rsid w:val="00FF39A6"/>
    <w:rsid w:val="00FF39B0"/>
    <w:rsid w:val="00FF39D9"/>
    <w:rsid w:val="00FF3A07"/>
    <w:rsid w:val="00FF3E4E"/>
    <w:rsid w:val="00FF3FEA"/>
    <w:rsid w:val="00FF467C"/>
    <w:rsid w:val="00FF46EF"/>
    <w:rsid w:val="00FF4983"/>
    <w:rsid w:val="00FF4C68"/>
    <w:rsid w:val="00FF4ECF"/>
    <w:rsid w:val="00FF4FBC"/>
    <w:rsid w:val="00FF52C0"/>
    <w:rsid w:val="00FF52D0"/>
    <w:rsid w:val="00FF55BD"/>
    <w:rsid w:val="00FF55E4"/>
    <w:rsid w:val="00FF5736"/>
    <w:rsid w:val="00FF5A72"/>
    <w:rsid w:val="00FF5D48"/>
    <w:rsid w:val="00FF5F91"/>
    <w:rsid w:val="00FF606D"/>
    <w:rsid w:val="00FF622C"/>
    <w:rsid w:val="00FF623A"/>
    <w:rsid w:val="00FF68EE"/>
    <w:rsid w:val="00FF6AE2"/>
    <w:rsid w:val="00FF6C04"/>
    <w:rsid w:val="00FF6F64"/>
    <w:rsid w:val="00FF717C"/>
    <w:rsid w:val="00FF72C3"/>
    <w:rsid w:val="00FF74F0"/>
    <w:rsid w:val="00FF7640"/>
    <w:rsid w:val="00FF790D"/>
    <w:rsid w:val="00FF7C96"/>
    <w:rsid w:val="00FF7D4D"/>
    <w:rsid w:val="00FF7FD5"/>
    <w:rsid w:val="01AB97BB"/>
    <w:rsid w:val="01AFEDB7"/>
    <w:rsid w:val="01DCF3BF"/>
    <w:rsid w:val="020FC1CA"/>
    <w:rsid w:val="025CC270"/>
    <w:rsid w:val="027C6484"/>
    <w:rsid w:val="028E181E"/>
    <w:rsid w:val="02A9F641"/>
    <w:rsid w:val="02CDE9A6"/>
    <w:rsid w:val="03060A48"/>
    <w:rsid w:val="030C8F8A"/>
    <w:rsid w:val="035629B3"/>
    <w:rsid w:val="03565222"/>
    <w:rsid w:val="036349D3"/>
    <w:rsid w:val="03AB922B"/>
    <w:rsid w:val="0420BD48"/>
    <w:rsid w:val="046063F6"/>
    <w:rsid w:val="04E37CE7"/>
    <w:rsid w:val="051164CD"/>
    <w:rsid w:val="054ED4CB"/>
    <w:rsid w:val="0616969E"/>
    <w:rsid w:val="0670B222"/>
    <w:rsid w:val="0740CC5A"/>
    <w:rsid w:val="0755275E"/>
    <w:rsid w:val="077D7AC1"/>
    <w:rsid w:val="07B431C9"/>
    <w:rsid w:val="083DC58E"/>
    <w:rsid w:val="09112B44"/>
    <w:rsid w:val="09361F02"/>
    <w:rsid w:val="099A720C"/>
    <w:rsid w:val="099B6E2B"/>
    <w:rsid w:val="0A52598B"/>
    <w:rsid w:val="0A673CDD"/>
    <w:rsid w:val="0A92820D"/>
    <w:rsid w:val="0AA25CBB"/>
    <w:rsid w:val="0AEBBBD8"/>
    <w:rsid w:val="0AEFAF53"/>
    <w:rsid w:val="0B056EE2"/>
    <w:rsid w:val="0BA2B4AA"/>
    <w:rsid w:val="0BC4B7B9"/>
    <w:rsid w:val="0C4E845F"/>
    <w:rsid w:val="0D48480A"/>
    <w:rsid w:val="0D54DA82"/>
    <w:rsid w:val="0E11170A"/>
    <w:rsid w:val="0E17DBE1"/>
    <w:rsid w:val="0E285B43"/>
    <w:rsid w:val="0F076428"/>
    <w:rsid w:val="0F1D9DA6"/>
    <w:rsid w:val="0F37D333"/>
    <w:rsid w:val="0F7B5B9D"/>
    <w:rsid w:val="0F86A886"/>
    <w:rsid w:val="0F95B64F"/>
    <w:rsid w:val="10065C2F"/>
    <w:rsid w:val="102F4F74"/>
    <w:rsid w:val="1088F7DC"/>
    <w:rsid w:val="10A884C0"/>
    <w:rsid w:val="10C0E7D1"/>
    <w:rsid w:val="11342E0D"/>
    <w:rsid w:val="11DF335B"/>
    <w:rsid w:val="12C68AB8"/>
    <w:rsid w:val="1304B12A"/>
    <w:rsid w:val="138379BE"/>
    <w:rsid w:val="139A971B"/>
    <w:rsid w:val="13D2CEDD"/>
    <w:rsid w:val="13DB4FF6"/>
    <w:rsid w:val="140F46F8"/>
    <w:rsid w:val="142C0CDD"/>
    <w:rsid w:val="1499D877"/>
    <w:rsid w:val="14BD7091"/>
    <w:rsid w:val="15444854"/>
    <w:rsid w:val="1580A987"/>
    <w:rsid w:val="15A99687"/>
    <w:rsid w:val="16539E91"/>
    <w:rsid w:val="16C65CD7"/>
    <w:rsid w:val="16E3C648"/>
    <w:rsid w:val="16F78C39"/>
    <w:rsid w:val="1742F39B"/>
    <w:rsid w:val="17BBCCAE"/>
    <w:rsid w:val="17FC01BF"/>
    <w:rsid w:val="18A5D9F5"/>
    <w:rsid w:val="18B6C835"/>
    <w:rsid w:val="18C7D071"/>
    <w:rsid w:val="1905C0C2"/>
    <w:rsid w:val="1949FA3B"/>
    <w:rsid w:val="19A91D80"/>
    <w:rsid w:val="19D5D8A3"/>
    <w:rsid w:val="1A472858"/>
    <w:rsid w:val="1ABBFC06"/>
    <w:rsid w:val="1B49A7F6"/>
    <w:rsid w:val="1BE54E04"/>
    <w:rsid w:val="1C1705F9"/>
    <w:rsid w:val="1C7304CE"/>
    <w:rsid w:val="1C7A700C"/>
    <w:rsid w:val="1C906511"/>
    <w:rsid w:val="1CB3EF72"/>
    <w:rsid w:val="1D007925"/>
    <w:rsid w:val="1DFE8968"/>
    <w:rsid w:val="1E0644A6"/>
    <w:rsid w:val="1E104C20"/>
    <w:rsid w:val="1E74C460"/>
    <w:rsid w:val="1E93F127"/>
    <w:rsid w:val="1FAC6065"/>
    <w:rsid w:val="200AECCE"/>
    <w:rsid w:val="202BF1CA"/>
    <w:rsid w:val="208EE693"/>
    <w:rsid w:val="20E2EF38"/>
    <w:rsid w:val="2100D4F9"/>
    <w:rsid w:val="2145F2B6"/>
    <w:rsid w:val="215862C1"/>
    <w:rsid w:val="21A359C7"/>
    <w:rsid w:val="22B53C4A"/>
    <w:rsid w:val="22C6632E"/>
    <w:rsid w:val="2495D2FA"/>
    <w:rsid w:val="24FE330A"/>
    <w:rsid w:val="25AED877"/>
    <w:rsid w:val="25FC3F42"/>
    <w:rsid w:val="26B242AA"/>
    <w:rsid w:val="26C95ECD"/>
    <w:rsid w:val="26DCA46F"/>
    <w:rsid w:val="26FDA832"/>
    <w:rsid w:val="27B50E9D"/>
    <w:rsid w:val="2848DA4D"/>
    <w:rsid w:val="28589B01"/>
    <w:rsid w:val="285CBC3E"/>
    <w:rsid w:val="2876720D"/>
    <w:rsid w:val="289DE1DF"/>
    <w:rsid w:val="28F53044"/>
    <w:rsid w:val="295B036A"/>
    <w:rsid w:val="29728828"/>
    <w:rsid w:val="297DD13A"/>
    <w:rsid w:val="298FB48F"/>
    <w:rsid w:val="29CC2788"/>
    <w:rsid w:val="2A07BF18"/>
    <w:rsid w:val="2A39E54B"/>
    <w:rsid w:val="2A479D16"/>
    <w:rsid w:val="2A5B592A"/>
    <w:rsid w:val="2A7718A0"/>
    <w:rsid w:val="2B01876B"/>
    <w:rsid w:val="2C0BCD1D"/>
    <w:rsid w:val="2CDD559A"/>
    <w:rsid w:val="2E0810A2"/>
    <w:rsid w:val="2E37CC9E"/>
    <w:rsid w:val="2E4AE969"/>
    <w:rsid w:val="2E96BF13"/>
    <w:rsid w:val="2F520ABF"/>
    <w:rsid w:val="2F72DD3B"/>
    <w:rsid w:val="2F9F97CC"/>
    <w:rsid w:val="2FA09A66"/>
    <w:rsid w:val="310F5950"/>
    <w:rsid w:val="3180B069"/>
    <w:rsid w:val="32D7A3B0"/>
    <w:rsid w:val="33889448"/>
    <w:rsid w:val="33FA9AC7"/>
    <w:rsid w:val="340F6C0B"/>
    <w:rsid w:val="3413D979"/>
    <w:rsid w:val="345EA2E7"/>
    <w:rsid w:val="34AB8FEC"/>
    <w:rsid w:val="34DFC758"/>
    <w:rsid w:val="34EF1D0A"/>
    <w:rsid w:val="353F9FFC"/>
    <w:rsid w:val="35590BF0"/>
    <w:rsid w:val="359CC41C"/>
    <w:rsid w:val="35D0873C"/>
    <w:rsid w:val="360327C9"/>
    <w:rsid w:val="36C72576"/>
    <w:rsid w:val="36ECAD22"/>
    <w:rsid w:val="377E22E4"/>
    <w:rsid w:val="37ABD358"/>
    <w:rsid w:val="37E2BBE7"/>
    <w:rsid w:val="37E424C9"/>
    <w:rsid w:val="386339BB"/>
    <w:rsid w:val="38846EE0"/>
    <w:rsid w:val="38965E5B"/>
    <w:rsid w:val="3955105A"/>
    <w:rsid w:val="3A35DC4F"/>
    <w:rsid w:val="3A70353F"/>
    <w:rsid w:val="3A80CE06"/>
    <w:rsid w:val="3ACC8E0A"/>
    <w:rsid w:val="3B4E17C6"/>
    <w:rsid w:val="3B502291"/>
    <w:rsid w:val="3C050326"/>
    <w:rsid w:val="3C051534"/>
    <w:rsid w:val="3C86CD89"/>
    <w:rsid w:val="3D4916E4"/>
    <w:rsid w:val="3DB430FB"/>
    <w:rsid w:val="3E704FCC"/>
    <w:rsid w:val="3E91BA62"/>
    <w:rsid w:val="3F691C00"/>
    <w:rsid w:val="3F6BD8ED"/>
    <w:rsid w:val="401818E7"/>
    <w:rsid w:val="403F88B1"/>
    <w:rsid w:val="4053FA25"/>
    <w:rsid w:val="409CA04B"/>
    <w:rsid w:val="41050C31"/>
    <w:rsid w:val="412886EC"/>
    <w:rsid w:val="41626227"/>
    <w:rsid w:val="4191D9B8"/>
    <w:rsid w:val="41C6DA67"/>
    <w:rsid w:val="41FE53A4"/>
    <w:rsid w:val="42100BB3"/>
    <w:rsid w:val="425B2E5B"/>
    <w:rsid w:val="43029C9B"/>
    <w:rsid w:val="432320CE"/>
    <w:rsid w:val="43481F74"/>
    <w:rsid w:val="434F244A"/>
    <w:rsid w:val="435FEB63"/>
    <w:rsid w:val="439AF96C"/>
    <w:rsid w:val="43B7C911"/>
    <w:rsid w:val="43CA1B1C"/>
    <w:rsid w:val="43EA8884"/>
    <w:rsid w:val="4402C04B"/>
    <w:rsid w:val="4435053F"/>
    <w:rsid w:val="444EDA69"/>
    <w:rsid w:val="44C67B01"/>
    <w:rsid w:val="459CD5A4"/>
    <w:rsid w:val="45DBE79C"/>
    <w:rsid w:val="461015B7"/>
    <w:rsid w:val="4675073C"/>
    <w:rsid w:val="46847C63"/>
    <w:rsid w:val="4698DCE6"/>
    <w:rsid w:val="46BADB36"/>
    <w:rsid w:val="47190203"/>
    <w:rsid w:val="4727179A"/>
    <w:rsid w:val="473198E8"/>
    <w:rsid w:val="47832C9A"/>
    <w:rsid w:val="485E5315"/>
    <w:rsid w:val="48B51F90"/>
    <w:rsid w:val="48E75F8C"/>
    <w:rsid w:val="48E7B320"/>
    <w:rsid w:val="494D5B43"/>
    <w:rsid w:val="49D15BBF"/>
    <w:rsid w:val="4A029C92"/>
    <w:rsid w:val="4A2C2B34"/>
    <w:rsid w:val="4BB7ABCA"/>
    <w:rsid w:val="4C741046"/>
    <w:rsid w:val="4C81E4F7"/>
    <w:rsid w:val="4CD0E360"/>
    <w:rsid w:val="4CD20876"/>
    <w:rsid w:val="4D04945A"/>
    <w:rsid w:val="4DB44AC4"/>
    <w:rsid w:val="4DCCD7BD"/>
    <w:rsid w:val="4DD09464"/>
    <w:rsid w:val="4EAAED15"/>
    <w:rsid w:val="4EADA3F0"/>
    <w:rsid w:val="4F4A7770"/>
    <w:rsid w:val="4F66DFC8"/>
    <w:rsid w:val="4FC307C9"/>
    <w:rsid w:val="4FE1F32F"/>
    <w:rsid w:val="50443CE4"/>
    <w:rsid w:val="50455BB5"/>
    <w:rsid w:val="50889C5C"/>
    <w:rsid w:val="50D04DC2"/>
    <w:rsid w:val="510B68EB"/>
    <w:rsid w:val="51251604"/>
    <w:rsid w:val="514F24BC"/>
    <w:rsid w:val="5157D5B0"/>
    <w:rsid w:val="5171CC42"/>
    <w:rsid w:val="51EF463A"/>
    <w:rsid w:val="520ED31E"/>
    <w:rsid w:val="52709488"/>
    <w:rsid w:val="52825B69"/>
    <w:rsid w:val="529598D3"/>
    <w:rsid w:val="53193905"/>
    <w:rsid w:val="53270E95"/>
    <w:rsid w:val="532E9753"/>
    <w:rsid w:val="5396C033"/>
    <w:rsid w:val="53C17953"/>
    <w:rsid w:val="53E897F4"/>
    <w:rsid w:val="54024E59"/>
    <w:rsid w:val="554BFF22"/>
    <w:rsid w:val="55567ED4"/>
    <w:rsid w:val="55A7601C"/>
    <w:rsid w:val="569468D6"/>
    <w:rsid w:val="56DAAA4F"/>
    <w:rsid w:val="5702600C"/>
    <w:rsid w:val="57AE00E5"/>
    <w:rsid w:val="5809734F"/>
    <w:rsid w:val="584D087D"/>
    <w:rsid w:val="588B2EE5"/>
    <w:rsid w:val="58AEC31C"/>
    <w:rsid w:val="58E9816B"/>
    <w:rsid w:val="5933D112"/>
    <w:rsid w:val="5A193B7D"/>
    <w:rsid w:val="5A3EC329"/>
    <w:rsid w:val="5B126B65"/>
    <w:rsid w:val="5B318902"/>
    <w:rsid w:val="5BE87462"/>
    <w:rsid w:val="5C2A03D9"/>
    <w:rsid w:val="5D3B7383"/>
    <w:rsid w:val="5D6A8C88"/>
    <w:rsid w:val="5DA51D4A"/>
    <w:rsid w:val="5DA97DCC"/>
    <w:rsid w:val="5E3D0285"/>
    <w:rsid w:val="5F2A4E7C"/>
    <w:rsid w:val="5F3CC3CA"/>
    <w:rsid w:val="5F4E41D9"/>
    <w:rsid w:val="5FB5E2E0"/>
    <w:rsid w:val="5FFD9304"/>
    <w:rsid w:val="603C0C3D"/>
    <w:rsid w:val="60740809"/>
    <w:rsid w:val="60B45DA1"/>
    <w:rsid w:val="611399CD"/>
    <w:rsid w:val="6174517B"/>
    <w:rsid w:val="625FE278"/>
    <w:rsid w:val="63919EB8"/>
    <w:rsid w:val="63EBCDE6"/>
    <w:rsid w:val="64099D1B"/>
    <w:rsid w:val="6423147A"/>
    <w:rsid w:val="64836E5F"/>
    <w:rsid w:val="6487B869"/>
    <w:rsid w:val="64F35657"/>
    <w:rsid w:val="6518F06E"/>
    <w:rsid w:val="651D31AC"/>
    <w:rsid w:val="652C9B45"/>
    <w:rsid w:val="65E372AD"/>
    <w:rsid w:val="66033E20"/>
    <w:rsid w:val="66312BE5"/>
    <w:rsid w:val="66B6657D"/>
    <w:rsid w:val="66D18FB9"/>
    <w:rsid w:val="6748ECFF"/>
    <w:rsid w:val="6770129D"/>
    <w:rsid w:val="67E37E3C"/>
    <w:rsid w:val="680CD141"/>
    <w:rsid w:val="681A95F3"/>
    <w:rsid w:val="68CBA92C"/>
    <w:rsid w:val="68FC6E57"/>
    <w:rsid w:val="69264ABC"/>
    <w:rsid w:val="69416546"/>
    <w:rsid w:val="6A02DA76"/>
    <w:rsid w:val="6A98CFB5"/>
    <w:rsid w:val="6B445BE0"/>
    <w:rsid w:val="6BA83AD0"/>
    <w:rsid w:val="6BC9DF02"/>
    <w:rsid w:val="6BFDE4EE"/>
    <w:rsid w:val="6C11563A"/>
    <w:rsid w:val="6D2FEAED"/>
    <w:rsid w:val="6D36E1D4"/>
    <w:rsid w:val="6D5D1E89"/>
    <w:rsid w:val="6D657EB9"/>
    <w:rsid w:val="6DC3382A"/>
    <w:rsid w:val="6E54B363"/>
    <w:rsid w:val="6E6EAA2F"/>
    <w:rsid w:val="6F5410E0"/>
    <w:rsid w:val="6F628BA3"/>
    <w:rsid w:val="701B59E1"/>
    <w:rsid w:val="70281445"/>
    <w:rsid w:val="713E6D27"/>
    <w:rsid w:val="715F57A3"/>
    <w:rsid w:val="716B5A89"/>
    <w:rsid w:val="71ACEC5B"/>
    <w:rsid w:val="720194B5"/>
    <w:rsid w:val="7283A80E"/>
    <w:rsid w:val="72D41858"/>
    <w:rsid w:val="72F35444"/>
    <w:rsid w:val="730D3CBF"/>
    <w:rsid w:val="732D3578"/>
    <w:rsid w:val="7345316D"/>
    <w:rsid w:val="73DCA1F7"/>
    <w:rsid w:val="741875F5"/>
    <w:rsid w:val="747640BA"/>
    <w:rsid w:val="75314D5A"/>
    <w:rsid w:val="7560E925"/>
    <w:rsid w:val="75E7AEDA"/>
    <w:rsid w:val="760750EE"/>
    <w:rsid w:val="7679249C"/>
    <w:rsid w:val="7695F90B"/>
    <w:rsid w:val="76B20DF5"/>
    <w:rsid w:val="76BF7B5E"/>
    <w:rsid w:val="774470DC"/>
    <w:rsid w:val="7755BC8E"/>
    <w:rsid w:val="7786AC3F"/>
    <w:rsid w:val="7796E335"/>
    <w:rsid w:val="77CB279E"/>
    <w:rsid w:val="77CF32D2"/>
    <w:rsid w:val="7897E061"/>
    <w:rsid w:val="78DBB880"/>
    <w:rsid w:val="79919D46"/>
    <w:rsid w:val="79BADC05"/>
    <w:rsid w:val="7A8F33CF"/>
    <w:rsid w:val="7ABD39F9"/>
    <w:rsid w:val="7AD6196A"/>
    <w:rsid w:val="7B55A45C"/>
    <w:rsid w:val="7B6A991E"/>
    <w:rsid w:val="7B6FD3D0"/>
    <w:rsid w:val="7B9F1E84"/>
    <w:rsid w:val="7BAB03A2"/>
    <w:rsid w:val="7D505F48"/>
    <w:rsid w:val="7D6A0CDE"/>
    <w:rsid w:val="7D741068"/>
    <w:rsid w:val="7D90D930"/>
    <w:rsid w:val="7DAA7A33"/>
    <w:rsid w:val="7DADC4F7"/>
    <w:rsid w:val="7E75CDFE"/>
    <w:rsid w:val="7E839F09"/>
    <w:rsid w:val="7E969F55"/>
    <w:rsid w:val="7EE5EB47"/>
    <w:rsid w:val="7F948258"/>
    <w:rsid w:val="7F97A203"/>
    <w:rsid w:val="7F9F236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657"/>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uiPriority w:val="99"/>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aliases w:val="- H19,Commentaire,Comment Text Char Char,Comment Text Char1 Char Char,Comment Text Char Char Char Char,Comment Text Char Char1"/>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aliases w:val="- H19 Char,Commentaire Char,Comment Text Char Char Char,Comment Text Char1 Char Char Char,Comment Text Char Char Char Char Char,Comment Text Char Char1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uiPriority w:val="99"/>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uiPriority w:val="59"/>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CMA Table Template,PBAC table,Conclusion box,Table Grid nm,HTAtableplain,Dossier table,Section 3- footnotes,MSD Table Grid,Lash Style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ody Text Bullet Points,Figure_name,List Paragraph1,Numbered Indented Text,Bullet- First level,List NUmber,Listenabsatz1,lp1,List Paragraph11,Style 2,TOC style,List Paragraph2,List Paragraph Char Char,Number_1,SGLText List Paragraph,new"/>
    <w:basedOn w:val="Normal"/>
    <w:link w:val="ListParagraphChar"/>
    <w:uiPriority w:val="34"/>
    <w:qFormat/>
    <w:rsid w:val="00EC7D28"/>
    <w:pPr>
      <w:numPr>
        <w:numId w:val="10"/>
      </w:numPr>
      <w:spacing w:after="0" w:line="240" w:lineRule="auto"/>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link w:val="TableHeadingChar0"/>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ody Text Bullet Points Char,Figure_name Char,List Paragraph1 Char,Numbered Indented Text Char,Bullet- First level Char,List NUmber Char,Listenabsatz1 Char,lp1 Char,List Paragraph11 Char,Style 2 Char,TOC style Char,Number_1 Char"/>
    <w:basedOn w:val="DefaultParagraphFont"/>
    <w:link w:val="ListParagraph"/>
    <w:uiPriority w:val="34"/>
    <w:qFormat/>
    <w:rsid w:val="00EC7D28"/>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NZ"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Cambria" w:hAnsi="Cambria"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Cambria" w:hAnsi="Cambria"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Cambria" w:hAnsi="Cambria" w:hint="default"/>
        <w:i/>
        <w:iCs/>
        <w:sz w:val="20"/>
        <w:szCs w:val="20"/>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unhideWhenUsed/>
    <w:rsid w:val="00503796"/>
    <w:rPr>
      <w:color w:val="605E5C"/>
      <w:shd w:val="clear" w:color="auto" w:fill="E1DFDD"/>
    </w:rPr>
  </w:style>
  <w:style w:type="character" w:styleId="Mention">
    <w:name w:val="Mention"/>
    <w:basedOn w:val="DefaultParagraphFont"/>
    <w:uiPriority w:val="99"/>
    <w:unhideWhenUsed/>
    <w:rsid w:val="00A83B4F"/>
    <w:rPr>
      <w:color w:val="2B579A"/>
      <w:shd w:val="clear" w:color="auto" w:fill="E1DFDD"/>
    </w:rPr>
  </w:style>
  <w:style w:type="paragraph" w:customStyle="1" w:styleId="Notes-TableFigure">
    <w:name w:val="Notes - Table/Figure"/>
    <w:basedOn w:val="Normal"/>
    <w:link w:val="Notes-TableFigureChar"/>
    <w:qFormat/>
    <w:rsid w:val="00AE279F"/>
    <w:pPr>
      <w:spacing w:after="360" w:line="240" w:lineRule="auto"/>
      <w:contextualSpacing/>
    </w:pPr>
    <w:rPr>
      <w:rFonts w:ascii="Arial Narrow" w:hAnsi="Arial Narrow"/>
      <w:sz w:val="18"/>
      <w:lang w:val="en-US"/>
    </w:rPr>
  </w:style>
  <w:style w:type="character" w:customStyle="1" w:styleId="Notes-TableFigureChar">
    <w:name w:val="Notes - Table/Figure Char"/>
    <w:basedOn w:val="DefaultParagraphFont"/>
    <w:link w:val="Notes-TableFigure"/>
    <w:rsid w:val="00AE279F"/>
    <w:rPr>
      <w:rFonts w:ascii="Arial Narrow" w:hAnsi="Arial Narrow"/>
      <w:sz w:val="18"/>
      <w:lang w:val="en-US"/>
    </w:rPr>
  </w:style>
  <w:style w:type="paragraph" w:customStyle="1" w:styleId="Heading2execsummary">
    <w:name w:val="Heading 2 exec summary"/>
    <w:basedOn w:val="Heading2"/>
    <w:next w:val="Normal"/>
    <w:link w:val="Heading2execsummaryChar"/>
    <w:qFormat/>
    <w:rsid w:val="00AE279F"/>
    <w:pPr>
      <w:numPr>
        <w:ilvl w:val="0"/>
        <w:numId w:val="11"/>
      </w:numPr>
      <w:spacing w:before="0"/>
    </w:pPr>
    <w:rPr>
      <w:lang w:val="en-US"/>
    </w:rPr>
  </w:style>
  <w:style w:type="character" w:customStyle="1" w:styleId="Heading2execsummaryChar">
    <w:name w:val="Heading 2 exec summary Char"/>
    <w:basedOn w:val="Heading2Char"/>
    <w:link w:val="Heading2execsummary"/>
    <w:rsid w:val="00AE279F"/>
    <w:rPr>
      <w:rFonts w:ascii="Franklin Gothic Medium" w:eastAsiaTheme="majorEastAsia" w:hAnsi="Franklin Gothic Medium" w:cstheme="majorBidi"/>
      <w:color w:val="000000" w:themeColor="text1"/>
      <w:sz w:val="32"/>
      <w:szCs w:val="26"/>
      <w:lang w:val="en-US"/>
    </w:rPr>
  </w:style>
  <w:style w:type="paragraph" w:customStyle="1" w:styleId="Heading3nonumbers">
    <w:name w:val="Heading 3 no numbers"/>
    <w:basedOn w:val="Heading3"/>
    <w:next w:val="Normal"/>
    <w:link w:val="Heading3nonumbersChar"/>
    <w:qFormat/>
    <w:rsid w:val="00AE279F"/>
    <w:pPr>
      <w:tabs>
        <w:tab w:val="clear" w:pos="851"/>
      </w:tabs>
    </w:pPr>
    <w:rPr>
      <w:color w:val="000000" w:themeColor="text1"/>
      <w:lang w:val="en-US"/>
    </w:rPr>
  </w:style>
  <w:style w:type="character" w:customStyle="1" w:styleId="Heading3nonumbersChar">
    <w:name w:val="Heading 3 no numbers Char"/>
    <w:basedOn w:val="Heading3Char"/>
    <w:link w:val="Heading3nonumbers"/>
    <w:rsid w:val="00AE279F"/>
    <w:rPr>
      <w:rFonts w:ascii="Franklin Gothic Medium" w:eastAsiaTheme="majorEastAsia" w:hAnsi="Franklin Gothic Medium" w:cstheme="majorBidi"/>
      <w:color w:val="000000" w:themeColor="text1"/>
      <w:sz w:val="24"/>
      <w:szCs w:val="24"/>
      <w:lang w:val="en-US"/>
    </w:rPr>
  </w:style>
  <w:style w:type="paragraph" w:customStyle="1" w:styleId="BodyTextSTD">
    <w:name w:val="Body Text STD"/>
    <w:basedOn w:val="Normal"/>
    <w:link w:val="BodyTextSTDChar"/>
    <w:rsid w:val="00AE279F"/>
    <w:pPr>
      <w:spacing w:before="0" w:after="240" w:line="312" w:lineRule="auto"/>
      <w:jc w:val="both"/>
    </w:pPr>
    <w:rPr>
      <w:rFonts w:ascii="Calibri" w:eastAsia="Times New Roman" w:hAnsi="Calibri" w:cs="Tahoma"/>
      <w:lang w:eastAsia="en-AU"/>
    </w:rPr>
  </w:style>
  <w:style w:type="character" w:customStyle="1" w:styleId="BodyTextSTDChar">
    <w:name w:val="Body Text STD Char"/>
    <w:basedOn w:val="DefaultParagraphFont"/>
    <w:link w:val="BodyTextSTD"/>
    <w:rsid w:val="00AE279F"/>
    <w:rPr>
      <w:rFonts w:ascii="Calibri" w:eastAsia="Times New Roman" w:hAnsi="Calibri" w:cs="Tahoma"/>
      <w:lang w:eastAsia="en-AU"/>
    </w:rPr>
  </w:style>
  <w:style w:type="paragraph" w:customStyle="1" w:styleId="Rosscomments">
    <w:name w:val="Ross comments"/>
    <w:basedOn w:val="Normal"/>
    <w:qFormat/>
    <w:rsid w:val="00AE279F"/>
    <w:rPr>
      <w:i/>
      <w:iCs/>
      <w:color w:val="FF0000"/>
    </w:rPr>
  </w:style>
  <w:style w:type="paragraph" w:customStyle="1" w:styleId="Style1">
    <w:name w:val="Style1"/>
    <w:basedOn w:val="Instructionaltext"/>
    <w:qFormat/>
    <w:rsid w:val="00AE279F"/>
    <w:pPr>
      <w:jc w:val="both"/>
    </w:pPr>
    <w:rPr>
      <w:color w:val="auto"/>
    </w:rPr>
  </w:style>
  <w:style w:type="character" w:customStyle="1" w:styleId="ilfuvd">
    <w:name w:val="ilfuvd"/>
    <w:basedOn w:val="DefaultParagraphFont"/>
    <w:rsid w:val="006A1CDE"/>
  </w:style>
  <w:style w:type="character" w:customStyle="1" w:styleId="TableHeadingChar0">
    <w:name w:val="Table Heading Char"/>
    <w:basedOn w:val="DefaultParagraphFont"/>
    <w:link w:val="TableHeading0"/>
    <w:rsid w:val="00E1396D"/>
    <w:rPr>
      <w:rFonts w:ascii="Arial Narrow" w:hAnsi="Arial Narrow"/>
      <w:b/>
      <w:sz w:val="20"/>
    </w:rPr>
  </w:style>
  <w:style w:type="table" w:styleId="TableGridLight">
    <w:name w:val="Grid Table Light"/>
    <w:basedOn w:val="TableNormal"/>
    <w:uiPriority w:val="40"/>
    <w:rsid w:val="00101F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B852AE"/>
    <w:pPr>
      <w:widowControl w:val="0"/>
      <w:autoSpaceDE w:val="0"/>
      <w:autoSpaceDN w:val="0"/>
      <w:spacing w:after="120" w:line="276" w:lineRule="auto"/>
    </w:pPr>
    <w:rPr>
      <w:lang w:val="en-US"/>
    </w:rPr>
  </w:style>
  <w:style w:type="character" w:customStyle="1" w:styleId="BodyTextChar">
    <w:name w:val="Body Text Char"/>
    <w:basedOn w:val="DefaultParagraphFont"/>
    <w:link w:val="BodyText"/>
    <w:uiPriority w:val="1"/>
    <w:rsid w:val="00B852AE"/>
    <w:rPr>
      <w:rFonts w:ascii="Franklin Gothic Book" w:hAnsi="Franklin Gothic Book"/>
      <w:lang w:val="en-US"/>
    </w:rPr>
  </w:style>
  <w:style w:type="character" w:customStyle="1" w:styleId="normaltextrun">
    <w:name w:val="normaltextrun"/>
    <w:basedOn w:val="DefaultParagraphFont"/>
    <w:rsid w:val="00B852AE"/>
  </w:style>
  <w:style w:type="paragraph" w:styleId="NormalWeb">
    <w:name w:val="Normal (Web)"/>
    <w:basedOn w:val="Normal"/>
    <w:uiPriority w:val="99"/>
    <w:semiHidden/>
    <w:unhideWhenUsed/>
    <w:rsid w:val="00B852AE"/>
    <w:rPr>
      <w:rFonts w:ascii="Times New Roman" w:hAnsi="Times New Roman" w:cs="Times New Roman"/>
      <w:sz w:val="24"/>
      <w:szCs w:val="24"/>
    </w:rPr>
  </w:style>
  <w:style w:type="paragraph" w:customStyle="1" w:styleId="EndNoteBibliographyTitle">
    <w:name w:val="EndNote Bibliography Title"/>
    <w:basedOn w:val="Normal"/>
    <w:link w:val="EndNoteBibliographyTitleChar"/>
    <w:rsid w:val="0029382D"/>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29382D"/>
    <w:rPr>
      <w:rFonts w:ascii="Franklin Gothic Book" w:hAnsi="Franklin Gothic Book"/>
      <w:noProof/>
      <w:lang w:val="en-US"/>
    </w:rPr>
  </w:style>
  <w:style w:type="paragraph" w:customStyle="1" w:styleId="EndNoteBibliography">
    <w:name w:val="EndNote Bibliography"/>
    <w:basedOn w:val="Normal"/>
    <w:link w:val="EndNoteBibliographyChar"/>
    <w:rsid w:val="0029382D"/>
    <w:pPr>
      <w:spacing w:line="240" w:lineRule="auto"/>
    </w:pPr>
    <w:rPr>
      <w:noProof/>
      <w:lang w:val="en-US"/>
    </w:rPr>
  </w:style>
  <w:style w:type="character" w:customStyle="1" w:styleId="EndNoteBibliographyChar">
    <w:name w:val="EndNote Bibliography Char"/>
    <w:basedOn w:val="DefaultParagraphFont"/>
    <w:link w:val="EndNoteBibliography"/>
    <w:rsid w:val="0029382D"/>
    <w:rPr>
      <w:rFonts w:ascii="Franklin Gothic Book" w:hAnsi="Franklin Gothic Book"/>
      <w:noProof/>
      <w:lang w:val="en-US"/>
    </w:rPr>
  </w:style>
  <w:style w:type="character" w:styleId="IntenseEmphasis">
    <w:name w:val="Intense Emphasis"/>
    <w:basedOn w:val="DefaultParagraphFont"/>
    <w:uiPriority w:val="21"/>
    <w:qFormat/>
    <w:rsid w:val="003D0CF5"/>
    <w:rPr>
      <w:rFonts w:ascii="Arial" w:hAnsi="Arial"/>
      <w:i/>
      <w:iCs/>
      <w:color w:val="5B9BD5" w:themeColor="accent1"/>
      <w:sz w:val="20"/>
    </w:rPr>
  </w:style>
  <w:style w:type="character" w:customStyle="1" w:styleId="cf01">
    <w:name w:val="cf01"/>
    <w:basedOn w:val="DefaultParagraphFont"/>
    <w:rsid w:val="00C45CC1"/>
    <w:rPr>
      <w:rFonts w:ascii="Segoe UI" w:hAnsi="Segoe UI" w:cs="Segoe UI" w:hint="default"/>
      <w:sz w:val="18"/>
      <w:szCs w:val="18"/>
    </w:rPr>
  </w:style>
  <w:style w:type="paragraph" w:customStyle="1" w:styleId="BoxBullet">
    <w:name w:val="BoxBullet"/>
    <w:basedOn w:val="Normal"/>
    <w:rsid w:val="00510464"/>
    <w:pPr>
      <w:numPr>
        <w:numId w:val="17"/>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BoxName0">
    <w:name w:val="BoxName"/>
    <w:basedOn w:val="Normal"/>
    <w:rsid w:val="00CF654D"/>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CF654D"/>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TableDash">
    <w:name w:val="TableDash"/>
    <w:basedOn w:val="TableText1"/>
    <w:rsid w:val="00632FDC"/>
    <w:pPr>
      <w:numPr>
        <w:numId w:val="18"/>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ulletBeforeDash">
    <w:name w:val="BulletBeforeDash"/>
    <w:basedOn w:val="Normal"/>
    <w:rsid w:val="00516FB7"/>
    <w:pPr>
      <w:numPr>
        <w:numId w:val="19"/>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516FB7"/>
    <w:pPr>
      <w:tabs>
        <w:tab w:val="num" w:pos="360"/>
      </w:tabs>
      <w:spacing w:before="0" w:after="240"/>
      <w:ind w:left="36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516FB7"/>
    <w:pPr>
      <w:keepNext/>
      <w:spacing w:before="0" w:after="120" w:line="240" w:lineRule="auto"/>
    </w:pPr>
    <w:rPr>
      <w:rFonts w:eastAsia="Times New Roman" w:cs="Times New Roman"/>
      <w:color w:val="000000"/>
      <w:szCs w:val="20"/>
      <w:lang w:eastAsia="en-AU"/>
    </w:rPr>
  </w:style>
  <w:style w:type="character" w:customStyle="1" w:styleId="eop">
    <w:name w:val="eop"/>
    <w:basedOn w:val="DefaultParagraphFont"/>
    <w:rsid w:val="00422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88502243">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39407382">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2236184">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3916618">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8512302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232548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63025131">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26184549">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89833365">
      <w:bodyDiv w:val="1"/>
      <w:marLeft w:val="0"/>
      <w:marRight w:val="0"/>
      <w:marTop w:val="0"/>
      <w:marBottom w:val="0"/>
      <w:divBdr>
        <w:top w:val="none" w:sz="0" w:space="0" w:color="auto"/>
        <w:left w:val="none" w:sz="0" w:space="0" w:color="auto"/>
        <w:bottom w:val="none" w:sz="0" w:space="0" w:color="auto"/>
        <w:right w:val="none" w:sz="0" w:space="0" w:color="auto"/>
      </w:divBdr>
    </w:div>
    <w:div w:id="1204556399">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14219182">
      <w:bodyDiv w:val="1"/>
      <w:marLeft w:val="0"/>
      <w:marRight w:val="0"/>
      <w:marTop w:val="0"/>
      <w:marBottom w:val="0"/>
      <w:divBdr>
        <w:top w:val="none" w:sz="0" w:space="0" w:color="auto"/>
        <w:left w:val="none" w:sz="0" w:space="0" w:color="auto"/>
        <w:bottom w:val="none" w:sz="0" w:space="0" w:color="auto"/>
        <w:right w:val="none" w:sz="0" w:space="0" w:color="auto"/>
      </w:divBdr>
      <w:divsChild>
        <w:div w:id="367880905">
          <w:marLeft w:val="0"/>
          <w:marRight w:val="0"/>
          <w:marTop w:val="0"/>
          <w:marBottom w:val="0"/>
          <w:divBdr>
            <w:top w:val="single" w:sz="2" w:space="0" w:color="auto"/>
            <w:left w:val="single" w:sz="2" w:space="0" w:color="auto"/>
            <w:bottom w:val="single" w:sz="6" w:space="0" w:color="auto"/>
            <w:right w:val="single" w:sz="2" w:space="0" w:color="auto"/>
          </w:divBdr>
          <w:divsChild>
            <w:div w:id="145636704">
              <w:marLeft w:val="0"/>
              <w:marRight w:val="0"/>
              <w:marTop w:val="100"/>
              <w:marBottom w:val="100"/>
              <w:divBdr>
                <w:top w:val="single" w:sz="2" w:space="0" w:color="D9D9E3"/>
                <w:left w:val="single" w:sz="2" w:space="0" w:color="D9D9E3"/>
                <w:bottom w:val="single" w:sz="2" w:space="0" w:color="D9D9E3"/>
                <w:right w:val="single" w:sz="2" w:space="0" w:color="D9D9E3"/>
              </w:divBdr>
              <w:divsChild>
                <w:div w:id="1558861206">
                  <w:marLeft w:val="0"/>
                  <w:marRight w:val="0"/>
                  <w:marTop w:val="0"/>
                  <w:marBottom w:val="0"/>
                  <w:divBdr>
                    <w:top w:val="single" w:sz="2" w:space="0" w:color="D9D9E3"/>
                    <w:left w:val="single" w:sz="2" w:space="0" w:color="D9D9E3"/>
                    <w:bottom w:val="single" w:sz="2" w:space="0" w:color="D9D9E3"/>
                    <w:right w:val="single" w:sz="2" w:space="0" w:color="D9D9E3"/>
                  </w:divBdr>
                  <w:divsChild>
                    <w:div w:id="1016078904">
                      <w:marLeft w:val="0"/>
                      <w:marRight w:val="0"/>
                      <w:marTop w:val="0"/>
                      <w:marBottom w:val="0"/>
                      <w:divBdr>
                        <w:top w:val="single" w:sz="2" w:space="0" w:color="D9D9E3"/>
                        <w:left w:val="single" w:sz="2" w:space="0" w:color="D9D9E3"/>
                        <w:bottom w:val="single" w:sz="2" w:space="0" w:color="D9D9E3"/>
                        <w:right w:val="single" w:sz="2" w:space="0" w:color="D9D9E3"/>
                      </w:divBdr>
                      <w:divsChild>
                        <w:div w:id="391468740">
                          <w:marLeft w:val="0"/>
                          <w:marRight w:val="0"/>
                          <w:marTop w:val="0"/>
                          <w:marBottom w:val="0"/>
                          <w:divBdr>
                            <w:top w:val="single" w:sz="2" w:space="0" w:color="D9D9E3"/>
                            <w:left w:val="single" w:sz="2" w:space="0" w:color="D9D9E3"/>
                            <w:bottom w:val="single" w:sz="2" w:space="0" w:color="D9D9E3"/>
                            <w:right w:val="single" w:sz="2" w:space="0" w:color="D9D9E3"/>
                          </w:divBdr>
                          <w:divsChild>
                            <w:div w:id="676273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48113803">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1962834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25864776">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 TargetMode="External"/><Relationship Id="rId5" Type="http://schemas.openxmlformats.org/officeDocument/2006/relationships/numbering" Target="numbering.xml"/><Relationship Id="rId15" Type="http://schemas.openxmlformats.org/officeDocument/2006/relationships/hyperlink" Target="http://msac.gov.au/internet/msac/publishing.nsf/Content/Home-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msac.gov.au/internet/msac/publishing.nsf/Content/1705-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2" ma:contentTypeDescription="Create a new document." ma:contentTypeScope="" ma:versionID="933b000f9d569faa8fdc669583079b5c">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f227d2bbbbbbd82e7d606a90928f29c4"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2C029-B685-4D47-AB0C-1A7DBF9B8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3b557-581c-46d3-8cc7-77c65017dc6f"/>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D6B9D-A79A-49B8-87B0-4F29AE60CBC6}">
  <ds:schemaRefs>
    <ds:schemaRef ds:uri="http://schemas.microsoft.com/office/infopath/2007/PartnerControls"/>
    <ds:schemaRef ds:uri="e7d54a9e-4aca-451b-99db-b94fe438e987"/>
    <ds:schemaRef ds:uri="7513b557-581c-46d3-8cc7-77c65017dc6f"/>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141D717-F201-48EC-A5F6-19D2D842949D}">
  <ds:schemaRefs>
    <ds:schemaRef ds:uri="http://schemas.openxmlformats.org/officeDocument/2006/bibliography"/>
  </ds:schemaRefs>
</ds:datastoreItem>
</file>

<file path=customXml/itemProps4.xml><?xml version="1.0" encoding="utf-8"?>
<ds:datastoreItem xmlns:ds="http://schemas.openxmlformats.org/officeDocument/2006/customXml" ds:itemID="{24FEF0D2-59BC-49A2-8241-E65973653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16084</Words>
  <Characters>91683</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107552</CharactersWithSpaces>
  <SharedDoc>false</SharedDoc>
  <HyperlinkBase/>
  <HLinks>
    <vt:vector size="18" baseType="variant">
      <vt:variant>
        <vt:i4>6684716</vt:i4>
      </vt:variant>
      <vt:variant>
        <vt:i4>161</vt:i4>
      </vt:variant>
      <vt:variant>
        <vt:i4>0</vt:i4>
      </vt:variant>
      <vt:variant>
        <vt:i4>5</vt:i4>
      </vt:variant>
      <vt:variant>
        <vt:lpwstr>http://msac.gov.au/internet/msac/publishing.nsf/Content/Home-1</vt:lpwstr>
      </vt:variant>
      <vt:variant>
        <vt:lpwstr/>
      </vt:variant>
      <vt:variant>
        <vt:i4>3997744</vt:i4>
      </vt:variant>
      <vt:variant>
        <vt:i4>0</vt:i4>
      </vt:variant>
      <vt:variant>
        <vt:i4>0</vt:i4>
      </vt:variant>
      <vt:variant>
        <vt:i4>5</vt:i4>
      </vt:variant>
      <vt:variant>
        <vt:lpwstr>http://www.msac.gov.au/</vt:lpwstr>
      </vt:variant>
      <vt:variant>
        <vt:lpwstr/>
      </vt:variant>
      <vt:variant>
        <vt:i4>2359400</vt:i4>
      </vt:variant>
      <vt:variant>
        <vt:i4>0</vt:i4>
      </vt:variant>
      <vt:variant>
        <vt:i4>0</vt:i4>
      </vt:variant>
      <vt:variant>
        <vt:i4>5</vt:i4>
      </vt:variant>
      <vt:variant>
        <vt:lpwstr>http://www.msac.gov.au/internet/msac/publishing.nsf/Content/1705-public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2024-01-19T01:11:00Z</dcterms:created>
  <dcterms:modified xsi:type="dcterms:W3CDTF">2024-02-06T21:22:00Z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0x0101005E4A37BE997BE34FBB7D5057D341D123</vt:lpwstr>
  </property>
  <property fmtid="{D5CDD505-2E9C-101B-9397-08002B2CF9AE}" pid="3" name="MediaServiceImageTags">
    <vt:lpwstr/>
  </property>
</Properties>
</file>