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EE0123" w14:textId="01EA4A81" w:rsidR="00E75882" w:rsidRPr="001958F9" w:rsidRDefault="00E75882" w:rsidP="00EF551E">
      <w:pPr>
        <w:shd w:val="clear" w:color="auto" w:fill="FFFFFF" w:themeFill="background1"/>
        <w:spacing w:before="120" w:after="120" w:line="312" w:lineRule="auto"/>
        <w:jc w:val="center"/>
        <w:rPr>
          <w:color w:val="000000" w:themeColor="text1"/>
        </w:rPr>
      </w:pPr>
      <w:r w:rsidRPr="001958F9">
        <w:rPr>
          <w:b/>
          <w:noProof/>
          <w:color w:val="000000" w:themeColor="text1"/>
          <w:lang w:eastAsia="en-AU"/>
        </w:rPr>
        <w:drawing>
          <wp:inline distT="0" distB="0" distL="0" distR="0" wp14:anchorId="443B38C4" wp14:editId="2EFD9A56">
            <wp:extent cx="1891665" cy="1229995"/>
            <wp:effectExtent l="0" t="0" r="0" b="0"/>
            <wp:docPr id="1" name="Picture 1" title="Department of Health Logo"/>
            <wp:cNvGraphicFramePr/>
            <a:graphic xmlns:a="http://schemas.openxmlformats.org/drawingml/2006/main">
              <a:graphicData uri="http://schemas.openxmlformats.org/drawingml/2006/picture">
                <pic:pic xmlns:pic="http://schemas.openxmlformats.org/drawingml/2006/picture">
                  <pic:nvPicPr>
                    <pic:cNvPr id="1" name="Picture 2" title="Department of Health Logo"/>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1226820"/>
                    </a:xfrm>
                    <a:prstGeom prst="rect">
                      <a:avLst/>
                    </a:prstGeom>
                    <a:noFill/>
                    <a:ln>
                      <a:noFill/>
                    </a:ln>
                  </pic:spPr>
                </pic:pic>
              </a:graphicData>
            </a:graphic>
          </wp:inline>
        </w:drawing>
      </w:r>
    </w:p>
    <w:p w14:paraId="4AAE76C1" w14:textId="151D2BA9" w:rsidR="00E75882" w:rsidRPr="001958F9" w:rsidRDefault="006B47FB" w:rsidP="00EF551E">
      <w:pPr>
        <w:pStyle w:val="Heading10"/>
        <w:shd w:val="clear" w:color="auto" w:fill="FFFFFF" w:themeFill="background1"/>
        <w:spacing w:before="1800"/>
        <w:jc w:val="center"/>
        <w:rPr>
          <w:color w:val="000000" w:themeColor="text1"/>
          <w:sz w:val="48"/>
          <w:szCs w:val="48"/>
        </w:rPr>
      </w:pPr>
      <w:bookmarkStart w:id="0" w:name="_Hlk97302225"/>
      <w:r>
        <w:rPr>
          <w:color w:val="000000" w:themeColor="text1"/>
          <w:sz w:val="48"/>
          <w:szCs w:val="48"/>
        </w:rPr>
        <w:t xml:space="preserve">MSAC </w:t>
      </w:r>
      <w:r w:rsidR="00E75882" w:rsidRPr="001958F9">
        <w:rPr>
          <w:color w:val="000000" w:themeColor="text1"/>
          <w:sz w:val="48"/>
          <w:szCs w:val="48"/>
        </w:rPr>
        <w:t>Application 1706</w:t>
      </w:r>
    </w:p>
    <w:p w14:paraId="220E9831" w14:textId="77777777" w:rsidR="00E75882" w:rsidRPr="006B47FB" w:rsidRDefault="00E75882" w:rsidP="00486551">
      <w:pPr>
        <w:pStyle w:val="Heading10"/>
        <w:shd w:val="clear" w:color="auto" w:fill="FFFFFF" w:themeFill="background1"/>
        <w:spacing w:before="600"/>
        <w:jc w:val="center"/>
        <w:rPr>
          <w:color w:val="0070C0"/>
          <w:sz w:val="48"/>
          <w:szCs w:val="48"/>
        </w:rPr>
      </w:pPr>
      <w:r w:rsidRPr="006B47FB">
        <w:rPr>
          <w:color w:val="0070C0"/>
          <w:sz w:val="48"/>
          <w:szCs w:val="48"/>
        </w:rPr>
        <w:t>Angiogenic and anti-angiogenic markers for identification and management of preeclampsia</w:t>
      </w:r>
    </w:p>
    <w:bookmarkEnd w:id="0"/>
    <w:p w14:paraId="583B7A9E" w14:textId="248625B6" w:rsidR="00E75882" w:rsidRPr="001958F9" w:rsidRDefault="00AF3AAC" w:rsidP="00486551">
      <w:pPr>
        <w:pStyle w:val="Heading1"/>
        <w:shd w:val="clear" w:color="auto" w:fill="FFFFFF" w:themeFill="background1"/>
        <w:spacing w:before="1200"/>
        <w:rPr>
          <w:color w:val="000000" w:themeColor="text1"/>
        </w:rPr>
      </w:pPr>
      <w:r>
        <w:rPr>
          <w:color w:val="000000" w:themeColor="text1"/>
        </w:rPr>
        <w:t>Ratified</w:t>
      </w:r>
      <w:r w:rsidR="00486551">
        <w:rPr>
          <w:color w:val="000000" w:themeColor="text1"/>
        </w:rPr>
        <w:br/>
      </w:r>
      <w:r w:rsidR="00E75882" w:rsidRPr="001958F9">
        <w:rPr>
          <w:color w:val="000000" w:themeColor="text1"/>
        </w:rPr>
        <w:t>PICO Confirmation</w:t>
      </w:r>
    </w:p>
    <w:p w14:paraId="1A1B3FF9" w14:textId="77777777" w:rsidR="00E75882" w:rsidRPr="001958F9" w:rsidRDefault="00E75882" w:rsidP="00EF551E">
      <w:pPr>
        <w:shd w:val="clear" w:color="auto" w:fill="FFFFFF" w:themeFill="background1"/>
        <w:jc w:val="center"/>
        <w:rPr>
          <w:color w:val="000000" w:themeColor="text1"/>
        </w:rPr>
      </w:pPr>
      <w:r w:rsidRPr="001958F9">
        <w:rPr>
          <w:color w:val="000000" w:themeColor="text1"/>
        </w:rPr>
        <w:br w:type="page"/>
      </w:r>
    </w:p>
    <w:p w14:paraId="2271E5BC" w14:textId="77777777" w:rsidR="00E75882" w:rsidRPr="001958F9" w:rsidRDefault="00E75882" w:rsidP="00EF551E">
      <w:pPr>
        <w:shd w:val="clear" w:color="auto" w:fill="FFFFFF" w:themeFill="background1"/>
        <w:spacing w:after="160" w:line="259" w:lineRule="auto"/>
        <w:rPr>
          <w:color w:val="000000" w:themeColor="text1"/>
        </w:rPr>
      </w:pPr>
      <w:r w:rsidRPr="001958F9">
        <w:rPr>
          <w:b/>
          <w:bCs/>
          <w:i/>
          <w:iCs/>
          <w:color w:val="000000" w:themeColor="text1"/>
        </w:rPr>
        <w:lastRenderedPageBreak/>
        <w:t>Summary of PICO/PPICO criteria to define question(s) to be addressed in an Assessment Report to the Medical Services Advisory Committee (MSAC).</w:t>
      </w:r>
    </w:p>
    <w:p w14:paraId="06873292" w14:textId="0F68EB0D" w:rsidR="00E75882" w:rsidRPr="001958F9" w:rsidRDefault="00E75882" w:rsidP="005A7250">
      <w:pPr>
        <w:pStyle w:val="TableHeading"/>
      </w:pPr>
      <w:bookmarkStart w:id="1" w:name="Title_Table1"/>
      <w:r w:rsidRPr="001958F9">
        <w:t xml:space="preserve">Table </w:t>
      </w:r>
      <w:fldSimple w:instr=" SEQ Table \* ARABIC ">
        <w:r w:rsidR="004D69E7">
          <w:rPr>
            <w:noProof/>
          </w:rPr>
          <w:t>1</w:t>
        </w:r>
      </w:fldSimple>
      <w:bookmarkEnd w:id="1"/>
      <w:r w:rsidR="00921315">
        <w:t>:</w:t>
      </w:r>
      <w:r w:rsidR="00BD1D7B">
        <w:tab/>
      </w:r>
      <w:r w:rsidRPr="001958F9">
        <w:t>PICO for angiogenic and anti-angiogenic markers for the identification and management of preeclampsia</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0A0" w:firstRow="1" w:lastRow="0" w:firstColumn="1" w:lastColumn="0" w:noHBand="0" w:noVBand="0"/>
      </w:tblPr>
      <w:tblGrid>
        <w:gridCol w:w="1810"/>
        <w:gridCol w:w="7196"/>
      </w:tblGrid>
      <w:tr w:rsidR="00E75882" w:rsidRPr="001958F9" w14:paraId="668E8AEA" w14:textId="77777777" w:rsidTr="00F01AEE">
        <w:trPr>
          <w:trHeight w:val="372"/>
          <w:tblHeader/>
        </w:trPr>
        <w:tc>
          <w:tcPr>
            <w:tcW w:w="1005" w:type="pct"/>
            <w:tcBorders>
              <w:top w:val="single" w:sz="8" w:space="0" w:color="auto"/>
              <w:bottom w:val="single" w:sz="8" w:space="0" w:color="auto"/>
            </w:tcBorders>
            <w:shd w:val="clear" w:color="auto" w:fill="D9D9D9"/>
            <w:vAlign w:val="center"/>
            <w:hideMark/>
          </w:tcPr>
          <w:p w14:paraId="0BABB347" w14:textId="77777777" w:rsidR="00E75882" w:rsidRPr="00BD1D7B" w:rsidRDefault="00E75882" w:rsidP="00BD1D7B">
            <w:pPr>
              <w:spacing w:before="20" w:after="20" w:line="240" w:lineRule="auto"/>
              <w:rPr>
                <w:b/>
              </w:rPr>
            </w:pPr>
            <w:r w:rsidRPr="00BD1D7B">
              <w:rPr>
                <w:b/>
              </w:rPr>
              <w:t>Component</w:t>
            </w:r>
          </w:p>
        </w:tc>
        <w:tc>
          <w:tcPr>
            <w:tcW w:w="3995" w:type="pct"/>
            <w:tcBorders>
              <w:top w:val="single" w:sz="8" w:space="0" w:color="auto"/>
              <w:bottom w:val="single" w:sz="8" w:space="0" w:color="auto"/>
            </w:tcBorders>
            <w:shd w:val="clear" w:color="auto" w:fill="D9D9D9"/>
            <w:vAlign w:val="center"/>
            <w:hideMark/>
          </w:tcPr>
          <w:p w14:paraId="55097306" w14:textId="77777777" w:rsidR="00E75882" w:rsidRPr="00BD1D7B" w:rsidRDefault="00E75882" w:rsidP="00BD1D7B">
            <w:pPr>
              <w:spacing w:before="20" w:after="20" w:line="240" w:lineRule="auto"/>
              <w:rPr>
                <w:b/>
              </w:rPr>
            </w:pPr>
            <w:r w:rsidRPr="00BD1D7B">
              <w:rPr>
                <w:b/>
              </w:rPr>
              <w:t>Description</w:t>
            </w:r>
          </w:p>
        </w:tc>
      </w:tr>
      <w:tr w:rsidR="00E75882" w:rsidRPr="001958F9" w14:paraId="4DFAEBD1" w14:textId="77777777" w:rsidTr="00F01AEE">
        <w:tc>
          <w:tcPr>
            <w:tcW w:w="1005" w:type="pct"/>
            <w:tcBorders>
              <w:top w:val="single" w:sz="8" w:space="0" w:color="auto"/>
            </w:tcBorders>
            <w:hideMark/>
          </w:tcPr>
          <w:p w14:paraId="057415C4" w14:textId="77777777" w:rsidR="00E75882" w:rsidRPr="001958F9" w:rsidRDefault="00E75882" w:rsidP="000F03E1">
            <w:pPr>
              <w:shd w:val="clear" w:color="auto" w:fill="FFFFFF" w:themeFill="background1"/>
              <w:spacing w:after="0" w:line="240" w:lineRule="auto"/>
              <w:rPr>
                <w:rFonts w:asciiTheme="minorHAnsi" w:hAnsiTheme="minorHAnsi" w:cstheme="minorHAnsi"/>
                <w:color w:val="000000" w:themeColor="text1"/>
              </w:rPr>
            </w:pPr>
            <w:r w:rsidRPr="001958F9">
              <w:rPr>
                <w:rFonts w:asciiTheme="minorHAnsi" w:hAnsiTheme="minorHAnsi" w:cstheme="minorHAnsi"/>
                <w:color w:val="000000" w:themeColor="text1"/>
              </w:rPr>
              <w:t>Population</w:t>
            </w:r>
          </w:p>
        </w:tc>
        <w:tc>
          <w:tcPr>
            <w:tcW w:w="3995" w:type="pct"/>
            <w:tcBorders>
              <w:top w:val="single" w:sz="8" w:space="0" w:color="auto"/>
            </w:tcBorders>
          </w:tcPr>
          <w:p w14:paraId="09601A69" w14:textId="4ED2633D" w:rsidR="004B6F6D" w:rsidRDefault="00E75882" w:rsidP="006B47FB">
            <w:pPr>
              <w:pStyle w:val="Instructionaltext"/>
              <w:numPr>
                <w:ilvl w:val="0"/>
                <w:numId w:val="25"/>
              </w:numPr>
              <w:shd w:val="clear" w:color="auto" w:fill="FFFFFF" w:themeFill="background1"/>
              <w:spacing w:before="0" w:after="0" w:line="240" w:lineRule="auto"/>
              <w:ind w:left="618" w:hanging="425"/>
              <w:rPr>
                <w:rFonts w:asciiTheme="minorHAnsi" w:hAnsiTheme="minorHAnsi" w:cstheme="minorHAnsi"/>
                <w:color w:val="000000" w:themeColor="text1"/>
              </w:rPr>
            </w:pPr>
            <w:r w:rsidRPr="001958F9">
              <w:rPr>
                <w:rFonts w:asciiTheme="minorHAnsi" w:hAnsiTheme="minorHAnsi" w:cstheme="minorHAnsi"/>
                <w:color w:val="000000" w:themeColor="text1"/>
              </w:rPr>
              <w:t xml:space="preserve">Pregnant women </w:t>
            </w:r>
            <w:r>
              <w:rPr>
                <w:rFonts w:asciiTheme="minorHAnsi" w:hAnsiTheme="minorHAnsi" w:cstheme="minorHAnsi"/>
                <w:color w:val="000000" w:themeColor="text1"/>
              </w:rPr>
              <w:t>presenting from 24</w:t>
            </w:r>
            <w:r w:rsidR="00F01AEE" w:rsidRPr="00D62019">
              <w:rPr>
                <w:rFonts w:asciiTheme="minorHAnsi" w:hAnsiTheme="minorHAnsi" w:cstheme="minorHAnsi"/>
                <w:color w:val="000000" w:themeColor="text1"/>
                <w:vertAlign w:val="superscript"/>
              </w:rPr>
              <w:t>+0</w:t>
            </w:r>
            <w:r>
              <w:rPr>
                <w:rFonts w:asciiTheme="minorHAnsi" w:hAnsiTheme="minorHAnsi" w:cstheme="minorHAnsi"/>
                <w:color w:val="000000" w:themeColor="text1"/>
              </w:rPr>
              <w:t xml:space="preserve"> weeks’ gestation</w:t>
            </w:r>
            <w:r w:rsidR="006F58CD">
              <w:rPr>
                <w:rFonts w:asciiTheme="minorHAnsi" w:hAnsiTheme="minorHAnsi" w:cstheme="minorHAnsi"/>
                <w:color w:val="000000" w:themeColor="text1"/>
              </w:rPr>
              <w:t xml:space="preserve"> </w:t>
            </w:r>
            <w:r w:rsidR="006F58CD" w:rsidRPr="00AA5ACD">
              <w:rPr>
                <w:rFonts w:asciiTheme="minorHAnsi" w:hAnsiTheme="minorHAnsi" w:cstheme="minorHAnsi"/>
                <w:color w:val="000000" w:themeColor="text1"/>
              </w:rPr>
              <w:t>(</w:t>
            </w:r>
            <w:r w:rsidR="006F58CD">
              <w:rPr>
                <w:rFonts w:asciiTheme="minorHAnsi" w:hAnsiTheme="minorHAnsi" w:cstheme="minorHAnsi"/>
                <w:color w:val="000000" w:themeColor="text1"/>
              </w:rPr>
              <w:t>triage</w:t>
            </w:r>
            <w:r w:rsidR="006F58CD" w:rsidRPr="00AA5ACD">
              <w:rPr>
                <w:rFonts w:asciiTheme="minorHAnsi" w:hAnsiTheme="minorHAnsi" w:cstheme="minorHAnsi"/>
                <w:color w:val="000000" w:themeColor="text1"/>
              </w:rPr>
              <w:t xml:space="preserve"> testing population)</w:t>
            </w:r>
            <w:r w:rsidR="00C00B40">
              <w:rPr>
                <w:rFonts w:asciiTheme="minorHAnsi" w:hAnsiTheme="minorHAnsi" w:cstheme="minorHAnsi"/>
                <w:color w:val="000000" w:themeColor="text1"/>
              </w:rPr>
              <w:t xml:space="preserve">: </w:t>
            </w:r>
          </w:p>
          <w:p w14:paraId="3EE46488" w14:textId="759D269E" w:rsidR="004B6F6D" w:rsidRDefault="00E75882" w:rsidP="006B47FB">
            <w:pPr>
              <w:pStyle w:val="Instructionaltext"/>
              <w:numPr>
                <w:ilvl w:val="0"/>
                <w:numId w:val="44"/>
              </w:numPr>
              <w:shd w:val="clear" w:color="auto" w:fill="FFFFFF" w:themeFill="background1"/>
              <w:spacing w:after="120" w:line="240" w:lineRule="auto"/>
              <w:ind w:left="1043" w:hanging="425"/>
              <w:rPr>
                <w:rFonts w:asciiTheme="minorHAnsi" w:hAnsiTheme="minorHAnsi" w:cstheme="minorHAnsi"/>
                <w:color w:val="000000" w:themeColor="text1"/>
              </w:rPr>
            </w:pPr>
            <w:r>
              <w:rPr>
                <w:rFonts w:asciiTheme="minorHAnsi" w:hAnsiTheme="minorHAnsi" w:cstheme="minorHAnsi"/>
                <w:color w:val="000000" w:themeColor="text1"/>
              </w:rPr>
              <w:t>with</w:t>
            </w:r>
            <w:r w:rsidR="00B72435">
              <w:rPr>
                <w:rFonts w:asciiTheme="minorHAnsi" w:hAnsiTheme="minorHAnsi" w:cstheme="minorHAnsi"/>
                <w:color w:val="000000" w:themeColor="text1"/>
              </w:rPr>
              <w:t xml:space="preserve"> </w:t>
            </w:r>
            <w:r w:rsidRPr="00AA5ACD">
              <w:rPr>
                <w:rFonts w:asciiTheme="minorHAnsi" w:hAnsiTheme="minorHAnsi" w:cstheme="minorHAnsi"/>
                <w:color w:val="000000" w:themeColor="text1"/>
              </w:rPr>
              <w:t xml:space="preserve">signs and symptoms </w:t>
            </w:r>
            <w:r w:rsidR="00935900">
              <w:rPr>
                <w:rFonts w:asciiTheme="minorHAnsi" w:hAnsiTheme="minorHAnsi" w:cstheme="minorHAnsi"/>
                <w:color w:val="000000" w:themeColor="text1"/>
              </w:rPr>
              <w:t xml:space="preserve">suggestive </w:t>
            </w:r>
            <w:r w:rsidRPr="00AA5ACD">
              <w:rPr>
                <w:rFonts w:asciiTheme="minorHAnsi" w:hAnsiTheme="minorHAnsi" w:cstheme="minorHAnsi"/>
                <w:color w:val="000000" w:themeColor="text1"/>
              </w:rPr>
              <w:t>of preeclampsia (PE)</w:t>
            </w:r>
            <w:r w:rsidR="006B47FB">
              <w:rPr>
                <w:rFonts w:asciiTheme="minorHAnsi" w:hAnsiTheme="minorHAnsi" w:cstheme="minorHAnsi"/>
                <w:color w:val="000000" w:themeColor="text1"/>
              </w:rPr>
              <w:t>;</w:t>
            </w:r>
            <w:r w:rsidR="00B72435">
              <w:rPr>
                <w:rFonts w:asciiTheme="minorHAnsi" w:hAnsiTheme="minorHAnsi" w:cstheme="minorHAnsi"/>
                <w:color w:val="000000" w:themeColor="text1"/>
              </w:rPr>
              <w:t xml:space="preserve"> or</w:t>
            </w:r>
          </w:p>
          <w:p w14:paraId="317DEC59" w14:textId="0254DADC" w:rsidR="006F58CD" w:rsidRDefault="006F58CD" w:rsidP="006B47FB">
            <w:pPr>
              <w:pStyle w:val="Instructionaltext"/>
              <w:numPr>
                <w:ilvl w:val="0"/>
                <w:numId w:val="44"/>
              </w:numPr>
              <w:shd w:val="clear" w:color="auto" w:fill="FFFFFF" w:themeFill="background1"/>
              <w:spacing w:after="120" w:line="240" w:lineRule="auto"/>
              <w:ind w:left="1043" w:hanging="425"/>
              <w:rPr>
                <w:rFonts w:asciiTheme="minorHAnsi" w:hAnsiTheme="minorHAnsi" w:cstheme="minorHAnsi"/>
                <w:color w:val="000000" w:themeColor="text1"/>
              </w:rPr>
            </w:pPr>
            <w:r>
              <w:rPr>
                <w:rFonts w:asciiTheme="minorHAnsi" w:hAnsiTheme="minorHAnsi" w:cstheme="minorHAnsi"/>
                <w:color w:val="000000" w:themeColor="text1"/>
              </w:rPr>
              <w:t xml:space="preserve">at increased risk of PE, due to maternal, </w:t>
            </w:r>
            <w:proofErr w:type="gramStart"/>
            <w:r>
              <w:rPr>
                <w:rFonts w:asciiTheme="minorHAnsi" w:hAnsiTheme="minorHAnsi" w:cstheme="minorHAnsi"/>
                <w:color w:val="000000" w:themeColor="text1"/>
              </w:rPr>
              <w:t>gestational</w:t>
            </w:r>
            <w:proofErr w:type="gramEnd"/>
            <w:r>
              <w:rPr>
                <w:rFonts w:asciiTheme="minorHAnsi" w:hAnsiTheme="minorHAnsi" w:cstheme="minorHAnsi"/>
                <w:color w:val="000000" w:themeColor="text1"/>
              </w:rPr>
              <w:t xml:space="preserve"> or other factors, in the absence of signs and symptoms suggestive of PE</w:t>
            </w:r>
            <w:r w:rsidR="00385591">
              <w:rPr>
                <w:rFonts w:asciiTheme="minorHAnsi" w:hAnsiTheme="minorHAnsi" w:cstheme="minorHAnsi"/>
                <w:color w:val="000000" w:themeColor="text1"/>
              </w:rPr>
              <w:t>.</w:t>
            </w:r>
          </w:p>
          <w:p w14:paraId="1F424FC5" w14:textId="0D60345A" w:rsidR="00E75882" w:rsidRPr="00E52A56" w:rsidRDefault="0054344F" w:rsidP="006B47FB">
            <w:pPr>
              <w:pStyle w:val="Instructionaltext"/>
              <w:numPr>
                <w:ilvl w:val="0"/>
                <w:numId w:val="25"/>
              </w:numPr>
              <w:shd w:val="clear" w:color="auto" w:fill="FFFFFF" w:themeFill="background1"/>
              <w:spacing w:after="60" w:line="240" w:lineRule="auto"/>
              <w:ind w:left="618" w:hanging="425"/>
              <w:rPr>
                <w:rFonts w:asciiTheme="minorHAnsi" w:hAnsiTheme="minorHAnsi" w:cstheme="minorHAnsi"/>
                <w:color w:val="000000" w:themeColor="text1"/>
              </w:rPr>
            </w:pPr>
            <w:bookmarkStart w:id="2" w:name="_Hlk98859766"/>
            <w:r>
              <w:rPr>
                <w:rFonts w:asciiTheme="minorHAnsi" w:hAnsiTheme="minorHAnsi" w:cstheme="minorHAnsi"/>
                <w:color w:val="000000" w:themeColor="text1"/>
              </w:rPr>
              <w:t>Pregnant w</w:t>
            </w:r>
            <w:r w:rsidR="00E75882">
              <w:rPr>
                <w:rFonts w:asciiTheme="minorHAnsi" w:hAnsiTheme="minorHAnsi" w:cstheme="minorHAnsi"/>
                <w:color w:val="000000" w:themeColor="text1"/>
              </w:rPr>
              <w:t xml:space="preserve">omen </w:t>
            </w:r>
            <w:r w:rsidR="00D079F7">
              <w:rPr>
                <w:rFonts w:asciiTheme="minorHAnsi" w:hAnsiTheme="minorHAnsi" w:cstheme="minorHAnsi"/>
                <w:color w:val="000000" w:themeColor="text1"/>
              </w:rPr>
              <w:t>from 24</w:t>
            </w:r>
            <w:r w:rsidR="00F01AEE" w:rsidRPr="00D62019">
              <w:rPr>
                <w:rFonts w:asciiTheme="minorHAnsi" w:hAnsiTheme="minorHAnsi" w:cstheme="minorHAnsi"/>
                <w:color w:val="000000" w:themeColor="text1"/>
                <w:vertAlign w:val="superscript"/>
              </w:rPr>
              <w:t>+0</w:t>
            </w:r>
            <w:r w:rsidR="00D079F7">
              <w:rPr>
                <w:rFonts w:asciiTheme="minorHAnsi" w:hAnsiTheme="minorHAnsi" w:cstheme="minorHAnsi"/>
                <w:color w:val="000000" w:themeColor="text1"/>
              </w:rPr>
              <w:t xml:space="preserve"> weeks’ gestation</w:t>
            </w:r>
            <w:r w:rsidR="00D079F7" w:rsidRPr="001958F9">
              <w:rPr>
                <w:rFonts w:asciiTheme="minorHAnsi" w:hAnsiTheme="minorHAnsi" w:cstheme="minorHAnsi"/>
                <w:color w:val="000000" w:themeColor="text1"/>
              </w:rPr>
              <w:t xml:space="preserve"> </w:t>
            </w:r>
            <w:r w:rsidR="00B907CE">
              <w:rPr>
                <w:rFonts w:asciiTheme="minorHAnsi" w:hAnsiTheme="minorHAnsi" w:cstheme="minorHAnsi"/>
                <w:color w:val="000000" w:themeColor="text1"/>
              </w:rPr>
              <w:t xml:space="preserve">with a </w:t>
            </w:r>
            <w:r w:rsidR="0089199F">
              <w:rPr>
                <w:rFonts w:asciiTheme="minorHAnsi" w:hAnsiTheme="minorHAnsi" w:cstheme="minorHAnsi"/>
                <w:color w:val="000000" w:themeColor="text1"/>
              </w:rPr>
              <w:t xml:space="preserve">confirmed </w:t>
            </w:r>
            <w:r w:rsidR="00E75882">
              <w:rPr>
                <w:rFonts w:asciiTheme="minorHAnsi" w:hAnsiTheme="minorHAnsi" w:cstheme="minorHAnsi"/>
                <w:color w:val="000000" w:themeColor="text1"/>
              </w:rPr>
              <w:t>diagnos</w:t>
            </w:r>
            <w:r w:rsidR="00B907CE">
              <w:rPr>
                <w:rFonts w:asciiTheme="minorHAnsi" w:hAnsiTheme="minorHAnsi" w:cstheme="minorHAnsi"/>
                <w:color w:val="000000" w:themeColor="text1"/>
              </w:rPr>
              <w:t>is of</w:t>
            </w:r>
            <w:r w:rsidR="00E75882">
              <w:rPr>
                <w:rFonts w:asciiTheme="minorHAnsi" w:hAnsiTheme="minorHAnsi" w:cstheme="minorHAnsi"/>
                <w:color w:val="000000" w:themeColor="text1"/>
              </w:rPr>
              <w:t xml:space="preserve"> PE</w:t>
            </w:r>
            <w:r w:rsidR="00D93AE6">
              <w:rPr>
                <w:rFonts w:asciiTheme="minorHAnsi" w:hAnsiTheme="minorHAnsi" w:cstheme="minorHAnsi"/>
                <w:color w:val="000000" w:themeColor="text1"/>
              </w:rPr>
              <w:t xml:space="preserve"> </w:t>
            </w:r>
            <w:r w:rsidR="00187068">
              <w:rPr>
                <w:rFonts w:asciiTheme="minorHAnsi" w:hAnsiTheme="minorHAnsi" w:cstheme="minorHAnsi"/>
                <w:color w:val="000000" w:themeColor="text1"/>
              </w:rPr>
              <w:t xml:space="preserve">using current </w:t>
            </w:r>
            <w:r w:rsidR="0036122A">
              <w:rPr>
                <w:rFonts w:asciiTheme="minorHAnsi" w:hAnsiTheme="minorHAnsi" w:cstheme="minorHAnsi"/>
                <w:color w:val="000000" w:themeColor="text1"/>
              </w:rPr>
              <w:t xml:space="preserve">standard </w:t>
            </w:r>
            <w:r w:rsidR="00187068">
              <w:rPr>
                <w:rFonts w:asciiTheme="minorHAnsi" w:hAnsiTheme="minorHAnsi" w:cstheme="minorHAnsi"/>
                <w:color w:val="000000" w:themeColor="text1"/>
              </w:rPr>
              <w:t xml:space="preserve">tests </w:t>
            </w:r>
            <w:r w:rsidR="00E75882">
              <w:rPr>
                <w:rFonts w:asciiTheme="minorHAnsi" w:hAnsiTheme="minorHAnsi" w:cstheme="minorHAnsi"/>
                <w:color w:val="000000" w:themeColor="text1"/>
              </w:rPr>
              <w:t>(prognostic testing population</w:t>
            </w:r>
            <w:r w:rsidR="001768D1">
              <w:rPr>
                <w:rFonts w:asciiTheme="minorHAnsi" w:hAnsiTheme="minorHAnsi" w:cstheme="minorHAnsi"/>
                <w:color w:val="000000" w:themeColor="text1"/>
              </w:rPr>
              <w:t xml:space="preserve"> for severity assessment</w:t>
            </w:r>
            <w:r w:rsidR="00E75882">
              <w:rPr>
                <w:rFonts w:asciiTheme="minorHAnsi" w:hAnsiTheme="minorHAnsi" w:cstheme="minorHAnsi"/>
                <w:color w:val="000000" w:themeColor="text1"/>
              </w:rPr>
              <w:t>)</w:t>
            </w:r>
            <w:r w:rsidR="00774F79">
              <w:rPr>
                <w:rFonts w:asciiTheme="minorHAnsi" w:hAnsiTheme="minorHAnsi" w:cstheme="minorHAnsi"/>
                <w:color w:val="000000" w:themeColor="text1"/>
              </w:rPr>
              <w:t>.</w:t>
            </w:r>
            <w:bookmarkEnd w:id="2"/>
          </w:p>
        </w:tc>
      </w:tr>
      <w:tr w:rsidR="00E75882" w:rsidRPr="001958F9" w14:paraId="4BBECDF3" w14:textId="77777777" w:rsidTr="00F01AEE">
        <w:tc>
          <w:tcPr>
            <w:tcW w:w="1005" w:type="pct"/>
            <w:hideMark/>
          </w:tcPr>
          <w:p w14:paraId="2E35940F" w14:textId="77777777" w:rsidR="00E75882" w:rsidRPr="001958F9" w:rsidRDefault="00E75882" w:rsidP="000F03E1">
            <w:pPr>
              <w:shd w:val="clear" w:color="auto" w:fill="FFFFFF" w:themeFill="background1"/>
              <w:spacing w:after="0" w:line="240" w:lineRule="auto"/>
              <w:rPr>
                <w:rFonts w:asciiTheme="minorHAnsi" w:hAnsiTheme="minorHAnsi" w:cstheme="minorHAnsi"/>
                <w:color w:val="000000" w:themeColor="text1"/>
              </w:rPr>
            </w:pPr>
            <w:r w:rsidRPr="001958F9">
              <w:rPr>
                <w:rFonts w:asciiTheme="minorHAnsi" w:hAnsiTheme="minorHAnsi" w:cstheme="minorHAnsi"/>
                <w:color w:val="000000" w:themeColor="text1"/>
              </w:rPr>
              <w:t xml:space="preserve">Prior tests </w:t>
            </w:r>
          </w:p>
        </w:tc>
        <w:tc>
          <w:tcPr>
            <w:tcW w:w="3995" w:type="pct"/>
          </w:tcPr>
          <w:p w14:paraId="587DC2D6" w14:textId="77777777" w:rsidR="00E75882" w:rsidRPr="001958F9" w:rsidRDefault="00E75882" w:rsidP="000F03E1">
            <w:pPr>
              <w:pStyle w:val="Instructionaltext"/>
              <w:shd w:val="clear" w:color="auto" w:fill="FFFFFF" w:themeFill="background1"/>
              <w:spacing w:before="0" w:after="0" w:line="240" w:lineRule="auto"/>
              <w:rPr>
                <w:rFonts w:asciiTheme="minorHAnsi" w:hAnsiTheme="minorHAnsi" w:cstheme="minorHAnsi"/>
                <w:color w:val="000000" w:themeColor="text1"/>
              </w:rPr>
            </w:pPr>
            <w:r w:rsidRPr="001958F9">
              <w:rPr>
                <w:rFonts w:asciiTheme="minorHAnsi" w:hAnsiTheme="minorHAnsi" w:cstheme="minorHAnsi"/>
                <w:color w:val="000000" w:themeColor="text1"/>
              </w:rPr>
              <w:t>Antenatal clinic BP checks:</w:t>
            </w:r>
          </w:p>
          <w:p w14:paraId="6BA87F34" w14:textId="09A6C03B" w:rsidR="00E75882" w:rsidRPr="001958F9" w:rsidRDefault="00E75882" w:rsidP="000F03E1">
            <w:pPr>
              <w:pStyle w:val="ListParagraph"/>
              <w:numPr>
                <w:ilvl w:val="0"/>
                <w:numId w:val="16"/>
              </w:numPr>
              <w:shd w:val="clear" w:color="auto" w:fill="FFFFFF" w:themeFill="background1"/>
              <w:spacing w:after="0" w:line="240" w:lineRule="auto"/>
              <w:rPr>
                <w:rFonts w:asciiTheme="minorHAnsi" w:hAnsiTheme="minorHAnsi" w:cstheme="minorHAnsi"/>
                <w:color w:val="000000" w:themeColor="text1"/>
              </w:rPr>
            </w:pPr>
            <w:r>
              <w:rPr>
                <w:rFonts w:asciiTheme="minorHAnsi" w:hAnsiTheme="minorHAnsi" w:cstheme="minorHAnsi"/>
                <w:color w:val="000000" w:themeColor="text1"/>
              </w:rPr>
              <w:t xml:space="preserve">New onset </w:t>
            </w:r>
            <w:r w:rsidRPr="001958F9">
              <w:rPr>
                <w:rFonts w:asciiTheme="minorHAnsi" w:hAnsiTheme="minorHAnsi" w:cstheme="minorHAnsi"/>
                <w:color w:val="000000" w:themeColor="text1"/>
              </w:rPr>
              <w:t>Hypertension (systolic blood pressure, &gt;140 mm Hg, or diastolic blood pressure, &gt;90 mmHg, on at least two occasions 4 hours apart, experienced after 20</w:t>
            </w:r>
            <w:r w:rsidR="007B6937">
              <w:rPr>
                <w:rFonts w:asciiTheme="minorHAnsi" w:hAnsiTheme="minorHAnsi" w:cstheme="minorHAnsi"/>
                <w:color w:val="000000" w:themeColor="text1"/>
                <w:vertAlign w:val="superscript"/>
              </w:rPr>
              <w:t>+0</w:t>
            </w:r>
            <w:r w:rsidRPr="001958F9">
              <w:rPr>
                <w:rFonts w:asciiTheme="minorHAnsi" w:hAnsiTheme="minorHAnsi" w:cstheme="minorHAnsi"/>
                <w:color w:val="000000" w:themeColor="text1"/>
              </w:rPr>
              <w:t xml:space="preserve"> weeks gestation in previously normotensive women</w:t>
            </w:r>
            <w:r>
              <w:rPr>
                <w:rFonts w:asciiTheme="minorHAnsi" w:hAnsiTheme="minorHAnsi" w:cstheme="minorHAnsi"/>
                <w:color w:val="000000" w:themeColor="text1"/>
              </w:rPr>
              <w:t>)</w:t>
            </w:r>
            <w:r w:rsidRPr="001958F9">
              <w:rPr>
                <w:rFonts w:asciiTheme="minorHAnsi" w:hAnsiTheme="minorHAnsi" w:cstheme="minorHAnsi"/>
                <w:color w:val="000000" w:themeColor="text1"/>
              </w:rPr>
              <w:t>.</w:t>
            </w:r>
          </w:p>
          <w:p w14:paraId="3A24EA92" w14:textId="7AA2C562" w:rsidR="00E75882" w:rsidRDefault="00E75882" w:rsidP="000F03E1">
            <w:pPr>
              <w:pStyle w:val="Instructionaltext"/>
              <w:numPr>
                <w:ilvl w:val="0"/>
                <w:numId w:val="16"/>
              </w:numPr>
              <w:shd w:val="clear" w:color="auto" w:fill="FFFFFF" w:themeFill="background1"/>
              <w:spacing w:before="0" w:after="0" w:line="240" w:lineRule="auto"/>
              <w:rPr>
                <w:rFonts w:asciiTheme="minorHAnsi" w:hAnsiTheme="minorHAnsi" w:cstheme="minorHAnsi"/>
                <w:color w:val="000000" w:themeColor="text1"/>
              </w:rPr>
            </w:pPr>
            <w:r w:rsidRPr="001958F9">
              <w:rPr>
                <w:rFonts w:asciiTheme="minorHAnsi" w:hAnsiTheme="minorHAnsi" w:cstheme="minorHAnsi"/>
                <w:color w:val="000000" w:themeColor="text1"/>
              </w:rPr>
              <w:t xml:space="preserve">Severe hypertension: </w:t>
            </w:r>
            <w:r w:rsidRPr="00865389">
              <w:rPr>
                <w:rFonts w:asciiTheme="minorHAnsi" w:hAnsiTheme="minorHAnsi" w:cstheme="minorHAnsi"/>
                <w:color w:val="000000" w:themeColor="text1"/>
              </w:rPr>
              <w:t>systolic blood pressure ≥160 mm Hg or diastolic blood pressure ≥110 mm Hg on at least 2 occasions 6 hours apart</w:t>
            </w:r>
            <w:r w:rsidRPr="001958F9">
              <w:rPr>
                <w:rFonts w:asciiTheme="minorHAnsi" w:hAnsiTheme="minorHAnsi" w:cstheme="minorHAnsi"/>
                <w:color w:val="000000" w:themeColor="text1"/>
              </w:rPr>
              <w:t>.</w:t>
            </w:r>
          </w:p>
          <w:p w14:paraId="3547C678" w14:textId="77777777" w:rsidR="00E75882" w:rsidRPr="001958F9" w:rsidRDefault="00E75882" w:rsidP="007E72BE">
            <w:pPr>
              <w:pStyle w:val="Instructionaltext"/>
              <w:shd w:val="clear" w:color="auto" w:fill="FFFFFF" w:themeFill="background1"/>
              <w:spacing w:after="0" w:line="240" w:lineRule="auto"/>
              <w:rPr>
                <w:rFonts w:asciiTheme="minorHAnsi" w:hAnsiTheme="minorHAnsi" w:cstheme="minorHAnsi"/>
                <w:color w:val="000000" w:themeColor="text1"/>
              </w:rPr>
            </w:pPr>
            <w:r>
              <w:rPr>
                <w:rFonts w:asciiTheme="minorHAnsi" w:hAnsiTheme="minorHAnsi" w:cstheme="minorHAnsi"/>
                <w:color w:val="000000" w:themeColor="text1"/>
              </w:rPr>
              <w:t>Assessment of proteinuria</w:t>
            </w:r>
          </w:p>
          <w:p w14:paraId="15ADE88B" w14:textId="51D37573" w:rsidR="00E75882" w:rsidRPr="00E52A56" w:rsidRDefault="00E75882" w:rsidP="00E52A56">
            <w:pPr>
              <w:pStyle w:val="Instructionaltext"/>
              <w:numPr>
                <w:ilvl w:val="0"/>
                <w:numId w:val="16"/>
              </w:numPr>
              <w:shd w:val="clear" w:color="auto" w:fill="FFFFFF" w:themeFill="background1"/>
              <w:spacing w:before="0" w:after="60" w:line="240" w:lineRule="auto"/>
              <w:ind w:left="714" w:hanging="357"/>
              <w:rPr>
                <w:rFonts w:asciiTheme="minorHAnsi" w:hAnsiTheme="minorHAnsi" w:cstheme="minorHAnsi"/>
                <w:color w:val="000000" w:themeColor="text1"/>
              </w:rPr>
            </w:pPr>
            <w:r w:rsidRPr="001958F9">
              <w:rPr>
                <w:rFonts w:asciiTheme="minorHAnsi" w:hAnsiTheme="minorHAnsi" w:cstheme="minorHAnsi"/>
                <w:color w:val="000000" w:themeColor="text1"/>
              </w:rPr>
              <w:t xml:space="preserve">spot urinalysis: If </w:t>
            </w:r>
            <w:r>
              <w:rPr>
                <w:rFonts w:asciiTheme="minorHAnsi" w:hAnsiTheme="minorHAnsi" w:cstheme="minorHAnsi"/>
                <w:color w:val="000000" w:themeColor="text1"/>
              </w:rPr>
              <w:t xml:space="preserve">urine </w:t>
            </w:r>
            <w:r w:rsidRPr="001958F9">
              <w:rPr>
                <w:rFonts w:asciiTheme="minorHAnsi" w:hAnsiTheme="minorHAnsi" w:cstheme="minorHAnsi"/>
                <w:color w:val="000000" w:themeColor="text1"/>
              </w:rPr>
              <w:t>dipstick is positive (≥1+)</w:t>
            </w:r>
            <w:r>
              <w:rPr>
                <w:rFonts w:asciiTheme="minorHAnsi" w:hAnsiTheme="minorHAnsi" w:cstheme="minorHAnsi"/>
                <w:color w:val="000000" w:themeColor="text1"/>
              </w:rPr>
              <w:t xml:space="preserve"> then confirm </w:t>
            </w:r>
            <w:r w:rsidRPr="001958F9">
              <w:rPr>
                <w:rFonts w:asciiTheme="minorHAnsi" w:hAnsiTheme="minorHAnsi" w:cstheme="minorHAnsi"/>
                <w:color w:val="000000" w:themeColor="text1"/>
              </w:rPr>
              <w:t>with spot urine</w:t>
            </w:r>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protein:creatinine</w:t>
            </w:r>
            <w:proofErr w:type="spellEnd"/>
            <w:r>
              <w:rPr>
                <w:rFonts w:asciiTheme="minorHAnsi" w:hAnsiTheme="minorHAnsi" w:cstheme="minorHAnsi"/>
                <w:color w:val="000000" w:themeColor="text1"/>
              </w:rPr>
              <w:t xml:space="preserve"> ratio, which is a</w:t>
            </w:r>
            <w:r w:rsidRPr="001958F9">
              <w:rPr>
                <w:rFonts w:asciiTheme="minorHAnsi" w:hAnsiTheme="minorHAnsi" w:cstheme="minorHAnsi"/>
                <w:color w:val="000000" w:themeColor="text1"/>
              </w:rPr>
              <w:t xml:space="preserve">bnormal if </w:t>
            </w:r>
            <w:r w:rsidRPr="001958F9">
              <w:rPr>
                <w:color w:val="000000" w:themeColor="text1"/>
              </w:rPr>
              <w:t xml:space="preserve">protein: creatinine ratio </w:t>
            </w:r>
            <w:r w:rsidRPr="001958F9">
              <w:rPr>
                <w:rFonts w:asciiTheme="minorHAnsi" w:hAnsiTheme="minorHAnsi" w:cstheme="minorHAnsi"/>
                <w:color w:val="000000" w:themeColor="text1"/>
              </w:rPr>
              <w:t>≥ 30 mg/mmol or albumin:</w:t>
            </w:r>
            <w:r w:rsidRPr="001958F9">
              <w:rPr>
                <w:color w:val="000000" w:themeColor="text1"/>
              </w:rPr>
              <w:t xml:space="preserve"> creatinine</w:t>
            </w:r>
            <w:r w:rsidRPr="001958F9">
              <w:rPr>
                <w:rFonts w:asciiTheme="minorHAnsi" w:hAnsiTheme="minorHAnsi" w:cstheme="minorHAnsi"/>
                <w:color w:val="000000" w:themeColor="text1"/>
              </w:rPr>
              <w:t xml:space="preserve"> ≥ 8 </w:t>
            </w:r>
            <w:bookmarkStart w:id="3" w:name="_Hlk97197478"/>
            <w:r w:rsidRPr="001958F9">
              <w:rPr>
                <w:rFonts w:asciiTheme="minorHAnsi" w:hAnsiTheme="minorHAnsi" w:cstheme="minorHAnsi"/>
                <w:color w:val="000000" w:themeColor="text1"/>
              </w:rPr>
              <w:t>mg/mmol</w:t>
            </w:r>
            <w:bookmarkEnd w:id="3"/>
            <w:r w:rsidRPr="001958F9">
              <w:rPr>
                <w:rFonts w:asciiTheme="minorHAnsi" w:hAnsiTheme="minorHAnsi" w:cstheme="minorHAnsi"/>
                <w:color w:val="000000" w:themeColor="text1"/>
              </w:rPr>
              <w:t>.</w:t>
            </w:r>
          </w:p>
        </w:tc>
      </w:tr>
      <w:tr w:rsidR="00E75882" w:rsidRPr="001958F9" w14:paraId="6BBF1FD4" w14:textId="77777777" w:rsidTr="00F01AEE">
        <w:tc>
          <w:tcPr>
            <w:tcW w:w="1005" w:type="pct"/>
            <w:hideMark/>
          </w:tcPr>
          <w:p w14:paraId="71EFB89E" w14:textId="77777777" w:rsidR="00E75882" w:rsidRPr="001958F9" w:rsidRDefault="00E75882" w:rsidP="000F03E1">
            <w:pPr>
              <w:shd w:val="clear" w:color="auto" w:fill="FFFFFF" w:themeFill="background1"/>
              <w:spacing w:after="0" w:line="240" w:lineRule="auto"/>
              <w:rPr>
                <w:rFonts w:asciiTheme="minorHAnsi" w:hAnsiTheme="minorHAnsi" w:cstheme="minorHAnsi"/>
                <w:color w:val="000000" w:themeColor="text1"/>
              </w:rPr>
            </w:pPr>
            <w:r w:rsidRPr="001958F9">
              <w:rPr>
                <w:rFonts w:asciiTheme="minorHAnsi" w:hAnsiTheme="minorHAnsi" w:cstheme="minorHAnsi"/>
                <w:color w:val="000000" w:themeColor="text1"/>
              </w:rPr>
              <w:t>Intervention</w:t>
            </w:r>
          </w:p>
        </w:tc>
        <w:tc>
          <w:tcPr>
            <w:tcW w:w="3995" w:type="pct"/>
          </w:tcPr>
          <w:p w14:paraId="02468F3F" w14:textId="7CC45C5A" w:rsidR="0008419D" w:rsidRDefault="00E75882" w:rsidP="00CA79CA">
            <w:pPr>
              <w:autoSpaceDE w:val="0"/>
              <w:autoSpaceDN w:val="0"/>
              <w:adjustRightInd w:val="0"/>
              <w:spacing w:line="23" w:lineRule="atLeast"/>
              <w:rPr>
                <w:iCs/>
                <w:color w:val="000000" w:themeColor="text1"/>
              </w:rPr>
            </w:pPr>
            <w:bookmarkStart w:id="4" w:name="_Hlk97637223"/>
            <w:r w:rsidRPr="001958F9">
              <w:rPr>
                <w:iCs/>
                <w:color w:val="000000" w:themeColor="text1"/>
              </w:rPr>
              <w:t>sFlt-1/</w:t>
            </w:r>
            <w:proofErr w:type="spellStart"/>
            <w:r w:rsidRPr="001958F9">
              <w:rPr>
                <w:iCs/>
                <w:color w:val="000000" w:themeColor="text1"/>
              </w:rPr>
              <w:t>PlGF</w:t>
            </w:r>
            <w:proofErr w:type="spellEnd"/>
            <w:r w:rsidRPr="001958F9">
              <w:rPr>
                <w:iCs/>
                <w:color w:val="000000" w:themeColor="text1"/>
              </w:rPr>
              <w:t xml:space="preserve"> ratio test, also known as the PE ratio test (PERT)</w:t>
            </w:r>
            <w:r w:rsidR="00AA5ACD">
              <w:rPr>
                <w:iCs/>
                <w:color w:val="000000" w:themeColor="text1"/>
              </w:rPr>
              <w:t>,</w:t>
            </w:r>
            <w:r>
              <w:rPr>
                <w:iCs/>
                <w:color w:val="000000" w:themeColor="text1"/>
              </w:rPr>
              <w:t xml:space="preserve"> to</w:t>
            </w:r>
            <w:r w:rsidR="0008419D">
              <w:rPr>
                <w:iCs/>
                <w:color w:val="000000" w:themeColor="text1"/>
              </w:rPr>
              <w:t>:</w:t>
            </w:r>
          </w:p>
          <w:p w14:paraId="20905E24" w14:textId="480E57AD" w:rsidR="00E75882" w:rsidRDefault="0008419D" w:rsidP="00F438ED">
            <w:pPr>
              <w:spacing w:after="120"/>
              <w:rPr>
                <w:rFonts w:asciiTheme="minorHAnsi" w:hAnsiTheme="minorHAnsi" w:cstheme="minorHAnsi"/>
                <w:color w:val="000000" w:themeColor="text1"/>
              </w:rPr>
            </w:pPr>
            <w:r>
              <w:rPr>
                <w:iCs/>
                <w:color w:val="000000" w:themeColor="text1"/>
              </w:rPr>
              <w:t>Population 1</w:t>
            </w:r>
            <w:r w:rsidR="006B47FB">
              <w:rPr>
                <w:rFonts w:asciiTheme="minorHAnsi" w:hAnsiTheme="minorHAnsi" w:cstheme="minorHAnsi"/>
                <w:color w:val="000000" w:themeColor="text1"/>
              </w:rPr>
              <w:t xml:space="preserve"> </w:t>
            </w:r>
            <w:r w:rsidR="00F438ED">
              <w:rPr>
                <w:rFonts w:asciiTheme="minorHAnsi" w:hAnsiTheme="minorHAnsi" w:cstheme="minorHAnsi"/>
                <w:color w:val="000000" w:themeColor="text1"/>
              </w:rPr>
              <w:br/>
            </w:r>
            <w:r w:rsidR="00CA79CA" w:rsidRPr="00AF3AAC">
              <w:rPr>
                <w:rFonts w:asciiTheme="minorHAnsi" w:hAnsiTheme="minorHAnsi" w:cstheme="minorHAnsi"/>
                <w:iCs/>
              </w:rPr>
              <w:t>categorise</w:t>
            </w:r>
            <w:r w:rsidRPr="00AF3AAC">
              <w:rPr>
                <w:rFonts w:asciiTheme="minorHAnsi" w:hAnsiTheme="minorHAnsi" w:cstheme="minorHAnsi"/>
                <w:iCs/>
              </w:rPr>
              <w:t xml:space="preserve"> the </w:t>
            </w:r>
            <w:r w:rsidRPr="0008419D">
              <w:rPr>
                <w:rFonts w:asciiTheme="minorHAnsi" w:hAnsiTheme="minorHAnsi" w:cstheme="minorHAnsi"/>
                <w:i/>
              </w:rPr>
              <w:t>likelihood</w:t>
            </w:r>
            <w:r w:rsidRPr="00AF3AAC">
              <w:rPr>
                <w:rFonts w:asciiTheme="minorHAnsi" w:hAnsiTheme="minorHAnsi" w:cstheme="minorHAnsi"/>
                <w:iCs/>
              </w:rPr>
              <w:t xml:space="preserve"> of PE in</w:t>
            </w:r>
            <w:r w:rsidR="00CA79CA" w:rsidRPr="00AF3AAC">
              <w:rPr>
                <w:rFonts w:asciiTheme="minorHAnsi" w:hAnsiTheme="minorHAnsi" w:cstheme="minorHAnsi"/>
                <w:iCs/>
              </w:rPr>
              <w:t>: (</w:t>
            </w:r>
            <w:proofErr w:type="spellStart"/>
            <w:r w:rsidR="00CA79CA" w:rsidRPr="00AF3AAC">
              <w:rPr>
                <w:rFonts w:asciiTheme="minorHAnsi" w:hAnsiTheme="minorHAnsi" w:cstheme="minorHAnsi"/>
                <w:iCs/>
              </w:rPr>
              <w:t>i</w:t>
            </w:r>
            <w:proofErr w:type="spellEnd"/>
            <w:r w:rsidR="00CA79CA" w:rsidRPr="00AF3AAC">
              <w:rPr>
                <w:rFonts w:asciiTheme="minorHAnsi" w:hAnsiTheme="minorHAnsi" w:cstheme="minorHAnsi"/>
                <w:iCs/>
              </w:rPr>
              <w:t xml:space="preserve">) women with signs and symptoms </w:t>
            </w:r>
            <w:r w:rsidR="009842CB">
              <w:rPr>
                <w:rFonts w:asciiTheme="minorHAnsi" w:hAnsiTheme="minorHAnsi" w:cstheme="minorHAnsi"/>
                <w:iCs/>
              </w:rPr>
              <w:t xml:space="preserve">suggestive </w:t>
            </w:r>
            <w:r w:rsidR="00CA79CA" w:rsidRPr="00AF3AAC">
              <w:rPr>
                <w:rFonts w:asciiTheme="minorHAnsi" w:hAnsiTheme="minorHAnsi" w:cstheme="minorHAnsi"/>
                <w:iCs/>
              </w:rPr>
              <w:t xml:space="preserve">of PE, or (ii) asymptomatic women at </w:t>
            </w:r>
            <w:r w:rsidRPr="00AF3AAC">
              <w:rPr>
                <w:rFonts w:asciiTheme="minorHAnsi" w:hAnsiTheme="minorHAnsi" w:cstheme="minorHAnsi"/>
                <w:iCs/>
              </w:rPr>
              <w:t>increased</w:t>
            </w:r>
            <w:r w:rsidR="00CA79CA" w:rsidRPr="00AF3AAC">
              <w:rPr>
                <w:rFonts w:asciiTheme="minorHAnsi" w:hAnsiTheme="minorHAnsi" w:cstheme="minorHAnsi"/>
                <w:iCs/>
              </w:rPr>
              <w:t xml:space="preserve"> risk </w:t>
            </w:r>
            <w:r w:rsidRPr="00AF3AAC">
              <w:rPr>
                <w:rFonts w:asciiTheme="minorHAnsi" w:hAnsiTheme="minorHAnsi" w:cstheme="minorHAnsi"/>
                <w:iCs/>
              </w:rPr>
              <w:t>of</w:t>
            </w:r>
            <w:r w:rsidR="00CA79CA" w:rsidRPr="00AF3AAC">
              <w:rPr>
                <w:rFonts w:asciiTheme="minorHAnsi" w:hAnsiTheme="minorHAnsi" w:cstheme="minorHAnsi"/>
                <w:iCs/>
              </w:rPr>
              <w:t xml:space="preserve"> PE</w:t>
            </w:r>
            <w:r>
              <w:rPr>
                <w:rFonts w:eastAsiaTheme="minorHAnsi" w:cstheme="minorBidi"/>
                <w:iCs/>
                <w:color w:val="000000" w:themeColor="text1"/>
              </w:rPr>
              <w:t>.</w:t>
            </w:r>
            <w:bookmarkEnd w:id="4"/>
          </w:p>
          <w:p w14:paraId="5D7850C3" w14:textId="69A9F076" w:rsidR="0008419D" w:rsidRPr="001958F9" w:rsidRDefault="00B33C0F" w:rsidP="00F438ED">
            <w:pPr>
              <w:pStyle w:val="Instructionaltext"/>
              <w:shd w:val="clear" w:color="auto" w:fill="FFFFFF" w:themeFill="background1"/>
              <w:spacing w:before="0" w:after="60" w:line="240" w:lineRule="auto"/>
              <w:rPr>
                <w:rFonts w:asciiTheme="minorHAnsi" w:hAnsiTheme="minorHAnsi" w:cstheme="minorHAnsi"/>
                <w:color w:val="000000" w:themeColor="text1"/>
              </w:rPr>
            </w:pPr>
            <w:r>
              <w:rPr>
                <w:rFonts w:asciiTheme="minorHAnsi" w:hAnsiTheme="minorHAnsi" w:cstheme="minorHAnsi"/>
                <w:color w:val="000000" w:themeColor="text1"/>
              </w:rPr>
              <w:t>Population 2</w:t>
            </w:r>
            <w:r w:rsidR="00F438ED">
              <w:rPr>
                <w:rFonts w:asciiTheme="minorHAnsi" w:hAnsiTheme="minorHAnsi" w:cstheme="minorHAnsi"/>
                <w:color w:val="000000" w:themeColor="text1"/>
              </w:rPr>
              <w:br/>
            </w:r>
            <w:r w:rsidR="0008419D">
              <w:rPr>
                <w:rFonts w:asciiTheme="minorHAnsi" w:hAnsiTheme="minorHAnsi" w:cstheme="minorHAnsi"/>
                <w:color w:val="000000" w:themeColor="text1"/>
              </w:rPr>
              <w:t xml:space="preserve">categorise the </w:t>
            </w:r>
            <w:r w:rsidR="0008419D" w:rsidRPr="00AF3AAC">
              <w:rPr>
                <w:rFonts w:asciiTheme="minorHAnsi" w:hAnsiTheme="minorHAnsi" w:cstheme="minorHAnsi"/>
                <w:i/>
                <w:iCs/>
                <w:color w:val="000000" w:themeColor="text1"/>
              </w:rPr>
              <w:t>severity</w:t>
            </w:r>
            <w:r w:rsidR="0008419D">
              <w:rPr>
                <w:rFonts w:asciiTheme="minorHAnsi" w:hAnsiTheme="minorHAnsi" w:cstheme="minorHAnsi"/>
                <w:color w:val="000000" w:themeColor="text1"/>
              </w:rPr>
              <w:t xml:space="preserve"> of PE</w:t>
            </w:r>
            <w:r w:rsidR="00E75882">
              <w:rPr>
                <w:rFonts w:asciiTheme="minorHAnsi" w:hAnsiTheme="minorHAnsi" w:cstheme="minorHAnsi"/>
                <w:color w:val="000000" w:themeColor="text1"/>
              </w:rPr>
              <w:t xml:space="preserve"> in women with a</w:t>
            </w:r>
            <w:r w:rsidR="0089199F">
              <w:rPr>
                <w:rFonts w:asciiTheme="minorHAnsi" w:hAnsiTheme="minorHAnsi" w:cstheme="minorHAnsi"/>
                <w:color w:val="000000" w:themeColor="text1"/>
              </w:rPr>
              <w:t xml:space="preserve"> confirmed </w:t>
            </w:r>
            <w:r w:rsidR="00E75882">
              <w:rPr>
                <w:rFonts w:asciiTheme="minorHAnsi" w:hAnsiTheme="minorHAnsi" w:cstheme="minorHAnsi"/>
                <w:color w:val="000000" w:themeColor="text1"/>
              </w:rPr>
              <w:t>diagnosis of PE</w:t>
            </w:r>
            <w:r w:rsidR="00413877">
              <w:rPr>
                <w:rFonts w:asciiTheme="minorHAnsi" w:hAnsiTheme="minorHAnsi" w:cstheme="minorHAnsi"/>
                <w:color w:val="000000" w:themeColor="text1"/>
              </w:rPr>
              <w:t xml:space="preserve"> </w:t>
            </w:r>
            <w:r w:rsidR="001612BC">
              <w:rPr>
                <w:rFonts w:asciiTheme="minorHAnsi" w:hAnsiTheme="minorHAnsi" w:cstheme="minorHAnsi"/>
                <w:color w:val="000000" w:themeColor="text1"/>
              </w:rPr>
              <w:t xml:space="preserve">made </w:t>
            </w:r>
            <w:r w:rsidR="00413877">
              <w:rPr>
                <w:rFonts w:asciiTheme="minorHAnsi" w:hAnsiTheme="minorHAnsi" w:cstheme="minorHAnsi"/>
                <w:color w:val="000000" w:themeColor="text1"/>
              </w:rPr>
              <w:t>using the current standard</w:t>
            </w:r>
            <w:r w:rsidR="0036122A">
              <w:rPr>
                <w:rFonts w:asciiTheme="minorHAnsi" w:hAnsiTheme="minorHAnsi" w:cstheme="minorHAnsi"/>
                <w:color w:val="000000" w:themeColor="text1"/>
              </w:rPr>
              <w:t xml:space="preserve"> </w:t>
            </w:r>
            <w:r w:rsidR="00413877">
              <w:rPr>
                <w:rFonts w:asciiTheme="minorHAnsi" w:hAnsiTheme="minorHAnsi" w:cstheme="minorHAnsi"/>
                <w:color w:val="000000" w:themeColor="text1"/>
              </w:rPr>
              <w:t>tests</w:t>
            </w:r>
            <w:r w:rsidR="00774F79">
              <w:rPr>
                <w:rFonts w:asciiTheme="minorHAnsi" w:hAnsiTheme="minorHAnsi" w:cstheme="minorHAnsi"/>
                <w:color w:val="000000" w:themeColor="text1"/>
              </w:rPr>
              <w:t>.</w:t>
            </w:r>
          </w:p>
        </w:tc>
      </w:tr>
      <w:tr w:rsidR="00E75882" w:rsidRPr="001958F9" w14:paraId="25280579" w14:textId="77777777" w:rsidTr="00F01AEE">
        <w:tc>
          <w:tcPr>
            <w:tcW w:w="1005" w:type="pct"/>
            <w:hideMark/>
          </w:tcPr>
          <w:p w14:paraId="1E3503CD" w14:textId="77777777" w:rsidR="00E75882" w:rsidRPr="001958F9" w:rsidRDefault="00E75882" w:rsidP="000F03E1">
            <w:pPr>
              <w:shd w:val="clear" w:color="auto" w:fill="FFFFFF" w:themeFill="background1"/>
              <w:spacing w:after="0" w:line="240" w:lineRule="auto"/>
              <w:rPr>
                <w:rFonts w:asciiTheme="minorHAnsi" w:hAnsiTheme="minorHAnsi" w:cstheme="minorHAnsi"/>
                <w:color w:val="000000" w:themeColor="text1"/>
              </w:rPr>
            </w:pPr>
            <w:r w:rsidRPr="001958F9">
              <w:rPr>
                <w:rFonts w:asciiTheme="minorHAnsi" w:hAnsiTheme="minorHAnsi" w:cstheme="minorHAnsi"/>
                <w:color w:val="000000" w:themeColor="text1"/>
              </w:rPr>
              <w:t>Comparator</w:t>
            </w:r>
          </w:p>
        </w:tc>
        <w:tc>
          <w:tcPr>
            <w:tcW w:w="3995" w:type="pct"/>
          </w:tcPr>
          <w:p w14:paraId="1F48EC56" w14:textId="5E550D15" w:rsidR="00F438ED" w:rsidRDefault="00E75882" w:rsidP="00F438ED">
            <w:pPr>
              <w:pStyle w:val="Instructionaltext"/>
              <w:shd w:val="clear" w:color="auto" w:fill="FFFFFF" w:themeFill="background1"/>
              <w:spacing w:after="0" w:line="240" w:lineRule="auto"/>
              <w:rPr>
                <w:rFonts w:asciiTheme="minorHAnsi" w:hAnsiTheme="minorHAnsi" w:cstheme="minorHAnsi"/>
                <w:color w:val="000000" w:themeColor="text1"/>
              </w:rPr>
            </w:pPr>
            <w:bookmarkStart w:id="5" w:name="_Hlk97637333"/>
            <w:r>
              <w:rPr>
                <w:rFonts w:asciiTheme="minorHAnsi" w:hAnsiTheme="minorHAnsi" w:cstheme="minorHAnsi"/>
                <w:color w:val="000000" w:themeColor="text1"/>
              </w:rPr>
              <w:t xml:space="preserve">Population 1 </w:t>
            </w:r>
          </w:p>
          <w:p w14:paraId="72DF85A5" w14:textId="4D0DA392" w:rsidR="00E75882" w:rsidRPr="001958F9" w:rsidRDefault="00E75882" w:rsidP="000F03E1">
            <w:pPr>
              <w:pStyle w:val="Instructionaltext"/>
              <w:shd w:val="clear" w:color="auto" w:fill="FFFFFF" w:themeFill="background1"/>
              <w:spacing w:before="0" w:after="0" w:line="240" w:lineRule="auto"/>
              <w:rPr>
                <w:rFonts w:asciiTheme="minorHAnsi" w:hAnsiTheme="minorHAnsi" w:cstheme="minorHAnsi"/>
                <w:color w:val="000000" w:themeColor="text1"/>
              </w:rPr>
            </w:pPr>
            <w:r>
              <w:rPr>
                <w:rFonts w:asciiTheme="minorHAnsi" w:hAnsiTheme="minorHAnsi" w:cstheme="minorHAnsi"/>
                <w:color w:val="000000" w:themeColor="text1"/>
              </w:rPr>
              <w:t xml:space="preserve">No </w:t>
            </w:r>
            <w:r w:rsidR="00DF0F88">
              <w:rPr>
                <w:rFonts w:asciiTheme="minorHAnsi" w:hAnsiTheme="minorHAnsi" w:cstheme="minorHAnsi"/>
                <w:color w:val="000000" w:themeColor="text1"/>
              </w:rPr>
              <w:t xml:space="preserve">triage </w:t>
            </w:r>
            <w:r>
              <w:rPr>
                <w:rFonts w:asciiTheme="minorHAnsi" w:hAnsiTheme="minorHAnsi" w:cstheme="minorHAnsi"/>
                <w:color w:val="000000" w:themeColor="text1"/>
              </w:rPr>
              <w:t xml:space="preserve">testing </w:t>
            </w:r>
            <w:r w:rsidR="00EF551E">
              <w:rPr>
                <w:rFonts w:asciiTheme="minorHAnsi" w:hAnsiTheme="minorHAnsi" w:cstheme="minorHAnsi"/>
                <w:color w:val="000000" w:themeColor="text1"/>
              </w:rPr>
              <w:t>±</w:t>
            </w:r>
            <w:r>
              <w:rPr>
                <w:rFonts w:asciiTheme="minorHAnsi" w:hAnsiTheme="minorHAnsi" w:cstheme="minorHAnsi"/>
                <w:color w:val="000000" w:themeColor="text1"/>
              </w:rPr>
              <w:t xml:space="preserve"> c</w:t>
            </w:r>
            <w:r w:rsidRPr="001958F9">
              <w:rPr>
                <w:rFonts w:asciiTheme="minorHAnsi" w:hAnsiTheme="minorHAnsi" w:cstheme="minorHAnsi"/>
                <w:color w:val="000000" w:themeColor="text1"/>
              </w:rPr>
              <w:t>urrent standard tests</w:t>
            </w:r>
            <w:r w:rsidR="00413877">
              <w:rPr>
                <w:rFonts w:asciiTheme="minorHAnsi" w:hAnsiTheme="minorHAnsi" w:cstheme="minorHAnsi"/>
                <w:color w:val="000000" w:themeColor="text1"/>
              </w:rPr>
              <w:t xml:space="preserve"> that are repeated</w:t>
            </w:r>
            <w:r w:rsidRPr="001958F9">
              <w:rPr>
                <w:rFonts w:asciiTheme="minorHAnsi" w:hAnsiTheme="minorHAnsi" w:cstheme="minorHAnsi"/>
                <w:color w:val="000000" w:themeColor="text1"/>
              </w:rPr>
              <w:t xml:space="preserve"> for diagnosing PE at 24</w:t>
            </w:r>
            <w:r w:rsidR="00F01AEE" w:rsidRPr="00D62019">
              <w:rPr>
                <w:rFonts w:asciiTheme="minorHAnsi" w:hAnsiTheme="minorHAnsi" w:cstheme="minorHAnsi"/>
                <w:color w:val="000000" w:themeColor="text1"/>
                <w:vertAlign w:val="superscript"/>
              </w:rPr>
              <w:t>+0</w:t>
            </w:r>
            <w:r w:rsidR="00F01AEE">
              <w:rPr>
                <w:rFonts w:asciiTheme="minorHAnsi" w:hAnsiTheme="minorHAnsi" w:cstheme="minorHAnsi"/>
                <w:color w:val="000000" w:themeColor="text1"/>
              </w:rPr>
              <w:t xml:space="preserve"> to </w:t>
            </w:r>
            <w:r w:rsidRPr="001958F9">
              <w:rPr>
                <w:rFonts w:asciiTheme="minorHAnsi" w:hAnsiTheme="minorHAnsi" w:cstheme="minorHAnsi"/>
                <w:color w:val="000000" w:themeColor="text1"/>
              </w:rPr>
              <w:t>36</w:t>
            </w:r>
            <w:r w:rsidR="00F01AEE" w:rsidRPr="00D62019">
              <w:rPr>
                <w:rFonts w:asciiTheme="minorHAnsi" w:hAnsiTheme="minorHAnsi" w:cstheme="minorHAnsi"/>
                <w:color w:val="000000" w:themeColor="text1"/>
                <w:vertAlign w:val="superscript"/>
              </w:rPr>
              <w:t>+6</w:t>
            </w:r>
            <w:r w:rsidRPr="001958F9">
              <w:rPr>
                <w:rFonts w:asciiTheme="minorHAnsi" w:hAnsiTheme="minorHAnsi" w:cstheme="minorHAnsi"/>
                <w:color w:val="000000" w:themeColor="text1"/>
              </w:rPr>
              <w:t xml:space="preserve"> weeks gestation, </w:t>
            </w:r>
            <w:bookmarkEnd w:id="5"/>
            <w:r w:rsidRPr="001958F9">
              <w:rPr>
                <w:rFonts w:asciiTheme="minorHAnsi" w:hAnsiTheme="minorHAnsi" w:cstheme="minorHAnsi"/>
                <w:color w:val="000000" w:themeColor="text1"/>
              </w:rPr>
              <w:t>including</w:t>
            </w:r>
          </w:p>
          <w:p w14:paraId="0416F14C" w14:textId="77777777" w:rsidR="00E75882" w:rsidRPr="006B47FB" w:rsidRDefault="00E75882" w:rsidP="006B47FB">
            <w:pPr>
              <w:pStyle w:val="ListParagraph"/>
              <w:numPr>
                <w:ilvl w:val="0"/>
                <w:numId w:val="16"/>
              </w:numPr>
              <w:pBdr>
                <w:top w:val="nil"/>
                <w:left w:val="nil"/>
                <w:bottom w:val="nil"/>
                <w:right w:val="nil"/>
                <w:between w:val="nil"/>
              </w:pBdr>
              <w:shd w:val="clear" w:color="auto" w:fill="FFFFFF" w:themeFill="background1"/>
              <w:spacing w:after="0" w:line="240" w:lineRule="auto"/>
              <w:rPr>
                <w:rFonts w:asciiTheme="minorHAnsi" w:hAnsiTheme="minorHAnsi" w:cstheme="minorHAnsi"/>
                <w:color w:val="000000" w:themeColor="text1"/>
              </w:rPr>
            </w:pPr>
            <w:bookmarkStart w:id="6" w:name="_Hlk97655318"/>
            <w:r w:rsidRPr="006B47FB">
              <w:rPr>
                <w:rFonts w:asciiTheme="minorHAnsi" w:hAnsiTheme="minorHAnsi" w:cstheme="minorHAnsi"/>
                <w:color w:val="000000" w:themeColor="text1"/>
              </w:rPr>
              <w:t>Urine protein: creatinine ratio test</w:t>
            </w:r>
          </w:p>
          <w:p w14:paraId="7F33A8E1" w14:textId="77777777" w:rsidR="00E75882" w:rsidRPr="006B47FB" w:rsidRDefault="00E75882" w:rsidP="006B47FB">
            <w:pPr>
              <w:pStyle w:val="ListParagraph"/>
              <w:numPr>
                <w:ilvl w:val="0"/>
                <w:numId w:val="16"/>
              </w:numPr>
              <w:pBdr>
                <w:top w:val="nil"/>
                <w:left w:val="nil"/>
                <w:bottom w:val="nil"/>
                <w:right w:val="nil"/>
                <w:between w:val="nil"/>
              </w:pBdr>
              <w:shd w:val="clear" w:color="auto" w:fill="FFFFFF" w:themeFill="background1"/>
              <w:spacing w:after="0" w:line="240" w:lineRule="auto"/>
              <w:rPr>
                <w:rFonts w:asciiTheme="minorHAnsi" w:hAnsiTheme="minorHAnsi" w:cstheme="minorHAnsi"/>
                <w:color w:val="000000" w:themeColor="text1"/>
              </w:rPr>
            </w:pPr>
            <w:r w:rsidRPr="006B47FB">
              <w:rPr>
                <w:rFonts w:asciiTheme="minorHAnsi" w:hAnsiTheme="minorHAnsi" w:cstheme="minorHAnsi"/>
                <w:color w:val="000000" w:themeColor="text1"/>
              </w:rPr>
              <w:t>Proteinuria reagent strip test</w:t>
            </w:r>
          </w:p>
          <w:p w14:paraId="7BE2A962" w14:textId="1FCD676E" w:rsidR="00E75882" w:rsidRPr="006B47FB" w:rsidRDefault="00E75882" w:rsidP="006B47FB">
            <w:pPr>
              <w:pStyle w:val="ListParagraph"/>
              <w:numPr>
                <w:ilvl w:val="0"/>
                <w:numId w:val="16"/>
              </w:numPr>
              <w:pBdr>
                <w:top w:val="nil"/>
                <w:left w:val="nil"/>
                <w:bottom w:val="nil"/>
                <w:right w:val="nil"/>
                <w:between w:val="nil"/>
              </w:pBdr>
              <w:shd w:val="clear" w:color="auto" w:fill="FFFFFF" w:themeFill="background1"/>
              <w:spacing w:after="0" w:line="240" w:lineRule="auto"/>
              <w:rPr>
                <w:rFonts w:asciiTheme="minorHAnsi" w:hAnsiTheme="minorHAnsi" w:cstheme="minorHAnsi"/>
                <w:color w:val="000000" w:themeColor="text1"/>
              </w:rPr>
            </w:pPr>
            <w:r w:rsidRPr="006B47FB">
              <w:rPr>
                <w:rFonts w:asciiTheme="minorHAnsi" w:hAnsiTheme="minorHAnsi" w:cstheme="minorHAnsi"/>
                <w:color w:val="000000" w:themeColor="text1"/>
              </w:rPr>
              <w:t>Full blood count</w:t>
            </w:r>
          </w:p>
          <w:p w14:paraId="4189194D" w14:textId="65D10C2F" w:rsidR="00E75882" w:rsidRPr="006B47FB" w:rsidRDefault="00E75882" w:rsidP="006B47FB">
            <w:pPr>
              <w:pStyle w:val="ListParagraph"/>
              <w:numPr>
                <w:ilvl w:val="0"/>
                <w:numId w:val="16"/>
              </w:numPr>
              <w:pBdr>
                <w:top w:val="nil"/>
                <w:left w:val="nil"/>
                <w:bottom w:val="nil"/>
                <w:right w:val="nil"/>
                <w:between w:val="nil"/>
              </w:pBdr>
              <w:shd w:val="clear" w:color="auto" w:fill="FFFFFF" w:themeFill="background1"/>
              <w:spacing w:after="0" w:line="240" w:lineRule="auto"/>
              <w:rPr>
                <w:rFonts w:asciiTheme="minorHAnsi" w:hAnsiTheme="minorHAnsi" w:cstheme="minorHAnsi"/>
                <w:color w:val="000000" w:themeColor="text1"/>
              </w:rPr>
            </w:pPr>
            <w:r w:rsidRPr="006B47FB">
              <w:rPr>
                <w:rFonts w:asciiTheme="minorHAnsi" w:hAnsiTheme="minorHAnsi" w:cstheme="minorHAnsi"/>
                <w:color w:val="000000" w:themeColor="text1"/>
              </w:rPr>
              <w:t>Renal function test</w:t>
            </w:r>
          </w:p>
          <w:p w14:paraId="439C6CD3" w14:textId="47A37BCC" w:rsidR="00E75882" w:rsidRPr="006B47FB" w:rsidRDefault="00E75882" w:rsidP="006B47FB">
            <w:pPr>
              <w:pStyle w:val="ListParagraph"/>
              <w:numPr>
                <w:ilvl w:val="0"/>
                <w:numId w:val="16"/>
              </w:numPr>
              <w:pBdr>
                <w:top w:val="nil"/>
                <w:left w:val="nil"/>
                <w:bottom w:val="nil"/>
                <w:right w:val="nil"/>
                <w:between w:val="nil"/>
              </w:pBdr>
              <w:shd w:val="clear" w:color="auto" w:fill="FFFFFF" w:themeFill="background1"/>
              <w:spacing w:after="0" w:line="240" w:lineRule="auto"/>
              <w:rPr>
                <w:rFonts w:asciiTheme="minorHAnsi" w:hAnsiTheme="minorHAnsi" w:cstheme="minorHAnsi"/>
                <w:color w:val="000000" w:themeColor="text1"/>
              </w:rPr>
            </w:pPr>
            <w:r w:rsidRPr="006B47FB">
              <w:rPr>
                <w:rFonts w:asciiTheme="minorHAnsi" w:hAnsiTheme="minorHAnsi" w:cstheme="minorHAnsi"/>
                <w:color w:val="000000" w:themeColor="text1"/>
              </w:rPr>
              <w:t>Serum electrolytes</w:t>
            </w:r>
          </w:p>
          <w:p w14:paraId="380EC9AE" w14:textId="0250B18A" w:rsidR="00E75882" w:rsidRPr="006B47FB" w:rsidRDefault="00E75882" w:rsidP="006B47FB">
            <w:pPr>
              <w:pStyle w:val="ListParagraph"/>
              <w:numPr>
                <w:ilvl w:val="0"/>
                <w:numId w:val="16"/>
              </w:numPr>
              <w:pBdr>
                <w:top w:val="nil"/>
                <w:left w:val="nil"/>
                <w:bottom w:val="nil"/>
                <w:right w:val="nil"/>
                <w:between w:val="nil"/>
              </w:pBdr>
              <w:shd w:val="clear" w:color="auto" w:fill="FFFFFF" w:themeFill="background1"/>
              <w:spacing w:after="0" w:line="240" w:lineRule="auto"/>
              <w:rPr>
                <w:rFonts w:asciiTheme="minorHAnsi" w:hAnsiTheme="minorHAnsi" w:cstheme="minorHAnsi"/>
                <w:color w:val="000000" w:themeColor="text1"/>
              </w:rPr>
            </w:pPr>
            <w:r w:rsidRPr="006B47FB">
              <w:rPr>
                <w:rFonts w:asciiTheme="minorHAnsi" w:hAnsiTheme="minorHAnsi" w:cstheme="minorHAnsi"/>
                <w:color w:val="000000" w:themeColor="text1"/>
              </w:rPr>
              <w:t>Hepatic transaminases</w:t>
            </w:r>
            <w:bookmarkEnd w:id="6"/>
          </w:p>
          <w:p w14:paraId="2A5BF739" w14:textId="1233A8F3" w:rsidR="00B33C0F" w:rsidRPr="001958F9" w:rsidRDefault="00E75882" w:rsidP="00F438ED">
            <w:pPr>
              <w:pStyle w:val="Instructionaltext"/>
              <w:shd w:val="clear" w:color="auto" w:fill="FFFFFF" w:themeFill="background1"/>
              <w:spacing w:after="120" w:line="240" w:lineRule="auto"/>
              <w:rPr>
                <w:rFonts w:asciiTheme="minorHAnsi" w:hAnsiTheme="minorHAnsi" w:cstheme="minorHAnsi"/>
                <w:color w:val="000000" w:themeColor="text1"/>
              </w:rPr>
            </w:pPr>
            <w:r>
              <w:rPr>
                <w:rFonts w:asciiTheme="minorHAnsi" w:hAnsiTheme="minorHAnsi" w:cstheme="minorHAnsi"/>
                <w:color w:val="000000" w:themeColor="text1"/>
              </w:rPr>
              <w:t>Population 2</w:t>
            </w:r>
            <w:r w:rsidR="00F438ED">
              <w:rPr>
                <w:rFonts w:asciiTheme="minorHAnsi" w:hAnsiTheme="minorHAnsi" w:cstheme="minorHAnsi"/>
                <w:color w:val="000000" w:themeColor="text1"/>
              </w:rPr>
              <w:br/>
            </w:r>
            <w:r>
              <w:rPr>
                <w:rFonts w:asciiTheme="minorHAnsi" w:hAnsiTheme="minorHAnsi" w:cstheme="minorHAnsi"/>
                <w:color w:val="000000" w:themeColor="text1"/>
              </w:rPr>
              <w:t>No prognostic testing plus standard medical management of PE</w:t>
            </w:r>
            <w:r w:rsidR="00880E69">
              <w:rPr>
                <w:rFonts w:asciiTheme="minorHAnsi" w:hAnsiTheme="minorHAnsi" w:cstheme="minorHAnsi"/>
                <w:color w:val="000000" w:themeColor="text1"/>
              </w:rPr>
              <w:t xml:space="preserve"> (which may include repeat</w:t>
            </w:r>
            <w:r w:rsidR="00943C0B">
              <w:rPr>
                <w:rFonts w:asciiTheme="minorHAnsi" w:hAnsiTheme="minorHAnsi" w:cstheme="minorHAnsi"/>
                <w:color w:val="000000" w:themeColor="text1"/>
              </w:rPr>
              <w:t xml:space="preserve"> current standard</w:t>
            </w:r>
            <w:r w:rsidR="00880E69">
              <w:rPr>
                <w:rFonts w:asciiTheme="minorHAnsi" w:hAnsiTheme="minorHAnsi" w:cstheme="minorHAnsi"/>
                <w:color w:val="000000" w:themeColor="text1"/>
              </w:rPr>
              <w:t xml:space="preserve"> tests for </w:t>
            </w:r>
            <w:r w:rsidR="00D71FF0">
              <w:rPr>
                <w:rFonts w:asciiTheme="minorHAnsi" w:hAnsiTheme="minorHAnsi" w:cstheme="minorHAnsi"/>
                <w:color w:val="000000" w:themeColor="text1"/>
              </w:rPr>
              <w:t>monitoring</w:t>
            </w:r>
            <w:r w:rsidR="00880E69">
              <w:rPr>
                <w:rFonts w:asciiTheme="minorHAnsi" w:hAnsiTheme="minorHAnsi" w:cstheme="minorHAnsi"/>
                <w:color w:val="000000" w:themeColor="text1"/>
              </w:rPr>
              <w:t xml:space="preserve"> PE</w:t>
            </w:r>
            <w:r w:rsidR="00D71FF0">
              <w:rPr>
                <w:rFonts w:asciiTheme="minorHAnsi" w:hAnsiTheme="minorHAnsi" w:cstheme="minorHAnsi"/>
                <w:color w:val="000000" w:themeColor="text1"/>
              </w:rPr>
              <w:t xml:space="preserve"> severity</w:t>
            </w:r>
            <w:r w:rsidR="00880E69">
              <w:rPr>
                <w:rFonts w:asciiTheme="minorHAnsi" w:hAnsiTheme="minorHAnsi" w:cstheme="minorHAnsi"/>
                <w:color w:val="000000" w:themeColor="text1"/>
              </w:rPr>
              <w:t>)</w:t>
            </w:r>
            <w:r w:rsidR="00494F1D">
              <w:rPr>
                <w:rFonts w:asciiTheme="minorHAnsi" w:hAnsiTheme="minorHAnsi" w:cstheme="minorHAnsi"/>
                <w:color w:val="000000" w:themeColor="text1"/>
              </w:rPr>
              <w:t>.</w:t>
            </w:r>
          </w:p>
        </w:tc>
      </w:tr>
    </w:tbl>
    <w:p w14:paraId="60911E01" w14:textId="77777777" w:rsidR="00385591" w:rsidRDefault="00385591">
      <w:r>
        <w:br w:type="page"/>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0A0" w:firstRow="1" w:lastRow="0" w:firstColumn="1" w:lastColumn="0" w:noHBand="0" w:noVBand="0"/>
      </w:tblPr>
      <w:tblGrid>
        <w:gridCol w:w="1810"/>
        <w:gridCol w:w="7196"/>
      </w:tblGrid>
      <w:tr w:rsidR="00E75882" w:rsidRPr="001958F9" w14:paraId="2F2412C7" w14:textId="77777777" w:rsidTr="00F01AEE">
        <w:tc>
          <w:tcPr>
            <w:tcW w:w="1005" w:type="pct"/>
          </w:tcPr>
          <w:p w14:paraId="0B66BC8A" w14:textId="5916F3BA" w:rsidR="00E75882" w:rsidRPr="001958F9" w:rsidRDefault="00E75882" w:rsidP="000F03E1">
            <w:pPr>
              <w:shd w:val="clear" w:color="auto" w:fill="FFFFFF" w:themeFill="background1"/>
              <w:spacing w:after="0" w:line="240" w:lineRule="auto"/>
              <w:rPr>
                <w:rFonts w:asciiTheme="minorHAnsi" w:hAnsiTheme="minorHAnsi" w:cstheme="minorHAnsi"/>
                <w:color w:val="000000" w:themeColor="text1"/>
              </w:rPr>
            </w:pPr>
            <w:r w:rsidRPr="001958F9">
              <w:rPr>
                <w:rFonts w:asciiTheme="minorHAnsi" w:hAnsiTheme="minorHAnsi" w:cstheme="minorHAnsi"/>
                <w:color w:val="000000" w:themeColor="text1"/>
              </w:rPr>
              <w:lastRenderedPageBreak/>
              <w:t>Reference standard</w:t>
            </w:r>
          </w:p>
        </w:tc>
        <w:tc>
          <w:tcPr>
            <w:tcW w:w="3995" w:type="pct"/>
          </w:tcPr>
          <w:p w14:paraId="7F5BBBD7" w14:textId="77777777" w:rsidR="00E75882" w:rsidRDefault="00E75882" w:rsidP="000F03E1">
            <w:pPr>
              <w:pStyle w:val="Instructionaltext"/>
              <w:shd w:val="clear" w:color="auto" w:fill="FFFFFF" w:themeFill="background1"/>
              <w:spacing w:before="0" w:after="0" w:line="240" w:lineRule="auto"/>
              <w:rPr>
                <w:rFonts w:asciiTheme="minorHAnsi" w:hAnsiTheme="minorHAnsi" w:cstheme="minorHAnsi"/>
                <w:color w:val="000000" w:themeColor="text1"/>
              </w:rPr>
            </w:pPr>
            <w:r>
              <w:rPr>
                <w:rFonts w:asciiTheme="minorHAnsi" w:hAnsiTheme="minorHAnsi" w:cstheme="minorHAnsi"/>
                <w:color w:val="000000" w:themeColor="text1"/>
              </w:rPr>
              <w:t>The diagnosis of PE, defined as:</w:t>
            </w:r>
          </w:p>
          <w:p w14:paraId="6FA29F95" w14:textId="0C014E96" w:rsidR="00E75882" w:rsidRPr="001958F9" w:rsidRDefault="00E75882" w:rsidP="007E72BE">
            <w:pPr>
              <w:pStyle w:val="Instructionaltext"/>
              <w:shd w:val="clear" w:color="auto" w:fill="FFFFFF" w:themeFill="background1"/>
              <w:spacing w:before="0" w:after="0" w:line="240" w:lineRule="auto"/>
              <w:rPr>
                <w:rFonts w:asciiTheme="minorHAnsi" w:hAnsiTheme="minorHAnsi" w:cstheme="minorHAnsi"/>
                <w:color w:val="000000" w:themeColor="text1"/>
              </w:rPr>
            </w:pPr>
            <w:r w:rsidRPr="001958F9">
              <w:rPr>
                <w:rFonts w:asciiTheme="minorHAnsi" w:hAnsiTheme="minorHAnsi" w:cstheme="minorHAnsi"/>
                <w:color w:val="000000" w:themeColor="text1"/>
              </w:rPr>
              <w:t>Maternal hypertension (</w:t>
            </w:r>
            <w:r w:rsidRPr="00B33C0F">
              <w:rPr>
                <w:rStyle w:val="cf01"/>
                <w:rFonts w:asciiTheme="minorHAnsi" w:hAnsiTheme="minorHAnsi" w:cstheme="minorHAnsi"/>
                <w:color w:val="000000" w:themeColor="text1"/>
                <w:sz w:val="22"/>
                <w:szCs w:val="22"/>
              </w:rPr>
              <w:t>systolic blood pressure is 140</w:t>
            </w:r>
            <w:r w:rsidR="00954515">
              <w:rPr>
                <w:rStyle w:val="cf01"/>
                <w:rFonts w:asciiTheme="minorHAnsi" w:hAnsiTheme="minorHAnsi" w:cstheme="minorHAnsi"/>
                <w:color w:val="000000" w:themeColor="text1"/>
                <w:sz w:val="22"/>
                <w:szCs w:val="22"/>
              </w:rPr>
              <w:t xml:space="preserve"> </w:t>
            </w:r>
            <w:r w:rsidR="00954515">
              <w:rPr>
                <w:color w:val="000000" w:themeColor="text1"/>
              </w:rPr>
              <w:t>mmHg</w:t>
            </w:r>
            <w:r w:rsidRPr="00B33C0F">
              <w:rPr>
                <w:rStyle w:val="cf01"/>
                <w:rFonts w:asciiTheme="minorHAnsi" w:hAnsiTheme="minorHAnsi" w:cstheme="minorHAnsi"/>
                <w:color w:val="000000" w:themeColor="text1"/>
                <w:sz w:val="22"/>
                <w:szCs w:val="22"/>
              </w:rPr>
              <w:t xml:space="preserve"> or more OR diastolic blood pressure is 90 </w:t>
            </w:r>
            <w:r w:rsidR="00954515">
              <w:rPr>
                <w:color w:val="000000" w:themeColor="text1"/>
              </w:rPr>
              <w:t>mmHg</w:t>
            </w:r>
            <w:r w:rsidR="00954515" w:rsidRPr="00B33C0F">
              <w:rPr>
                <w:rStyle w:val="cf01"/>
                <w:rFonts w:asciiTheme="minorHAnsi" w:hAnsiTheme="minorHAnsi" w:cstheme="minorHAnsi"/>
                <w:color w:val="000000" w:themeColor="text1"/>
                <w:sz w:val="22"/>
                <w:szCs w:val="22"/>
              </w:rPr>
              <w:t xml:space="preserve"> </w:t>
            </w:r>
            <w:r w:rsidRPr="00B33C0F">
              <w:rPr>
                <w:rStyle w:val="cf01"/>
                <w:rFonts w:asciiTheme="minorHAnsi" w:hAnsiTheme="minorHAnsi" w:cstheme="minorHAnsi"/>
                <w:color w:val="000000" w:themeColor="text1"/>
                <w:sz w:val="22"/>
                <w:szCs w:val="22"/>
              </w:rPr>
              <w:t>or more</w:t>
            </w:r>
            <w:r w:rsidRPr="001958F9">
              <w:rPr>
                <w:rFonts w:asciiTheme="minorHAnsi" w:hAnsiTheme="minorHAnsi" w:cstheme="minorHAnsi"/>
                <w:color w:val="000000" w:themeColor="text1"/>
              </w:rPr>
              <w:t xml:space="preserve">) developing after 20 weeks </w:t>
            </w:r>
            <w:r w:rsidR="00954515">
              <w:rPr>
                <w:rFonts w:asciiTheme="minorHAnsi" w:hAnsiTheme="minorHAnsi" w:cstheme="minorHAnsi"/>
                <w:color w:val="000000" w:themeColor="text1"/>
              </w:rPr>
              <w:t xml:space="preserve">of </w:t>
            </w:r>
            <w:r w:rsidRPr="001958F9">
              <w:rPr>
                <w:rFonts w:asciiTheme="minorHAnsi" w:hAnsiTheme="minorHAnsi" w:cstheme="minorHAnsi"/>
                <w:color w:val="000000" w:themeColor="text1"/>
              </w:rPr>
              <w:t>gestation and the co-existence of one or more of the following new-onset conditions:</w:t>
            </w:r>
          </w:p>
          <w:p w14:paraId="4CD1063F" w14:textId="77777777" w:rsidR="00E75882" w:rsidRPr="001958F9" w:rsidRDefault="00E75882" w:rsidP="007E72BE">
            <w:pPr>
              <w:pStyle w:val="Instructionaltext"/>
              <w:numPr>
                <w:ilvl w:val="0"/>
                <w:numId w:val="12"/>
              </w:numPr>
              <w:shd w:val="clear" w:color="auto" w:fill="FFFFFF" w:themeFill="background1"/>
              <w:spacing w:before="0" w:after="0" w:line="240" w:lineRule="auto"/>
              <w:rPr>
                <w:rFonts w:asciiTheme="minorHAnsi" w:hAnsiTheme="minorHAnsi" w:cstheme="minorHAnsi"/>
                <w:color w:val="000000" w:themeColor="text1"/>
              </w:rPr>
            </w:pPr>
            <w:r w:rsidRPr="001958F9">
              <w:rPr>
                <w:rFonts w:asciiTheme="minorHAnsi" w:hAnsiTheme="minorHAnsi" w:cstheme="minorHAnsi"/>
                <w:color w:val="000000" w:themeColor="text1"/>
              </w:rPr>
              <w:t>Proteinuria</w:t>
            </w:r>
          </w:p>
          <w:p w14:paraId="09E9871E" w14:textId="1B9A6560" w:rsidR="00E75882" w:rsidRPr="001958F9" w:rsidRDefault="00E75882" w:rsidP="007E72BE">
            <w:pPr>
              <w:pStyle w:val="Instructionaltext"/>
              <w:numPr>
                <w:ilvl w:val="0"/>
                <w:numId w:val="12"/>
              </w:numPr>
              <w:shd w:val="clear" w:color="auto" w:fill="FFFFFF" w:themeFill="background1"/>
              <w:spacing w:before="0" w:after="0" w:line="240" w:lineRule="auto"/>
              <w:rPr>
                <w:rFonts w:asciiTheme="minorHAnsi" w:hAnsiTheme="minorHAnsi" w:cstheme="minorHAnsi"/>
                <w:color w:val="000000" w:themeColor="text1"/>
              </w:rPr>
            </w:pPr>
            <w:r w:rsidRPr="001958F9">
              <w:rPr>
                <w:rFonts w:asciiTheme="minorHAnsi" w:hAnsiTheme="minorHAnsi" w:cstheme="minorHAnsi"/>
                <w:color w:val="000000" w:themeColor="text1"/>
              </w:rPr>
              <w:t xml:space="preserve">Other maternal organ dysfunction, including </w:t>
            </w:r>
            <w:r w:rsidR="006D3432">
              <w:rPr>
                <w:rFonts w:asciiTheme="minorHAnsi" w:hAnsiTheme="minorHAnsi" w:cstheme="minorHAnsi"/>
                <w:color w:val="000000" w:themeColor="text1"/>
              </w:rPr>
              <w:t>at least one of the following:</w:t>
            </w:r>
          </w:p>
          <w:p w14:paraId="5EF13069" w14:textId="77777777" w:rsidR="00E75882" w:rsidRPr="001958F9" w:rsidRDefault="00E75882" w:rsidP="007E72BE">
            <w:pPr>
              <w:pStyle w:val="Instructionaltext"/>
              <w:shd w:val="clear" w:color="auto" w:fill="FFFFFF" w:themeFill="background1"/>
              <w:spacing w:before="0" w:after="0" w:line="240" w:lineRule="auto"/>
              <w:ind w:left="720"/>
              <w:rPr>
                <w:rFonts w:asciiTheme="minorHAnsi" w:hAnsiTheme="minorHAnsi" w:cstheme="minorHAnsi"/>
                <w:color w:val="000000" w:themeColor="text1"/>
              </w:rPr>
            </w:pPr>
            <w:r w:rsidRPr="001958F9">
              <w:rPr>
                <w:rFonts w:asciiTheme="minorHAnsi" w:hAnsiTheme="minorHAnsi" w:cstheme="minorHAnsi"/>
                <w:color w:val="000000" w:themeColor="text1"/>
              </w:rPr>
              <w:t>a) Renal insufficiency (creatinine ≥ 90 µmol/L)</w:t>
            </w:r>
          </w:p>
          <w:p w14:paraId="20980E2B" w14:textId="20BBD545" w:rsidR="00E75882" w:rsidRPr="001958F9" w:rsidRDefault="00E75882" w:rsidP="007E72BE">
            <w:pPr>
              <w:pStyle w:val="Instructionaltext"/>
              <w:shd w:val="clear" w:color="auto" w:fill="FFFFFF" w:themeFill="background1"/>
              <w:spacing w:before="0" w:after="0" w:line="240" w:lineRule="auto"/>
              <w:ind w:left="720"/>
              <w:rPr>
                <w:rFonts w:asciiTheme="minorHAnsi" w:hAnsiTheme="minorHAnsi" w:cstheme="minorHAnsi"/>
                <w:color w:val="000000" w:themeColor="text1"/>
              </w:rPr>
            </w:pPr>
            <w:r w:rsidRPr="001958F9">
              <w:rPr>
                <w:rFonts w:asciiTheme="minorHAnsi" w:hAnsiTheme="minorHAnsi" w:cstheme="minorHAnsi"/>
                <w:color w:val="000000" w:themeColor="text1"/>
              </w:rPr>
              <w:t>b) Liver involvement (elevated transaminases and/or</w:t>
            </w:r>
            <w:r w:rsidR="00E20F75">
              <w:rPr>
                <w:rFonts w:asciiTheme="minorHAnsi" w:hAnsiTheme="minorHAnsi" w:cstheme="minorHAnsi"/>
                <w:color w:val="000000" w:themeColor="text1"/>
              </w:rPr>
              <w:t xml:space="preserve"> </w:t>
            </w:r>
            <w:r w:rsidRPr="001958F9">
              <w:rPr>
                <w:rFonts w:asciiTheme="minorHAnsi" w:hAnsiTheme="minorHAnsi" w:cstheme="minorHAnsi"/>
                <w:color w:val="000000" w:themeColor="text1"/>
              </w:rPr>
              <w:t>severe right upper quadrant or epigastric pain)</w:t>
            </w:r>
          </w:p>
          <w:p w14:paraId="14477F3D" w14:textId="64F18DD4" w:rsidR="00E75882" w:rsidRPr="001958F9" w:rsidRDefault="00E75882" w:rsidP="007E72BE">
            <w:pPr>
              <w:pStyle w:val="Instructionaltext"/>
              <w:shd w:val="clear" w:color="auto" w:fill="FFFFFF" w:themeFill="background1"/>
              <w:spacing w:before="0" w:after="0" w:line="240" w:lineRule="auto"/>
              <w:ind w:left="720"/>
              <w:rPr>
                <w:rFonts w:asciiTheme="minorHAnsi" w:hAnsiTheme="minorHAnsi" w:cstheme="minorHAnsi"/>
                <w:color w:val="000000" w:themeColor="text1"/>
              </w:rPr>
            </w:pPr>
            <w:r w:rsidRPr="001958F9">
              <w:rPr>
                <w:rFonts w:asciiTheme="minorHAnsi" w:hAnsiTheme="minorHAnsi" w:cstheme="minorHAnsi"/>
                <w:color w:val="000000" w:themeColor="text1"/>
              </w:rPr>
              <w:t>c) Neurological complications (e.g., hyperreflexia and/or clonus, eclampsia, visual disturbance, blindness, stroke)</w:t>
            </w:r>
          </w:p>
          <w:p w14:paraId="15E91011" w14:textId="77777777" w:rsidR="00E75882" w:rsidRPr="001958F9" w:rsidRDefault="00E75882" w:rsidP="007E72BE">
            <w:pPr>
              <w:pStyle w:val="Instructionaltext"/>
              <w:shd w:val="clear" w:color="auto" w:fill="FFFFFF" w:themeFill="background1"/>
              <w:spacing w:before="0" w:after="0" w:line="240" w:lineRule="auto"/>
              <w:ind w:left="720"/>
              <w:rPr>
                <w:rFonts w:asciiTheme="minorHAnsi" w:hAnsiTheme="minorHAnsi" w:cstheme="minorHAnsi"/>
                <w:color w:val="000000" w:themeColor="text1"/>
              </w:rPr>
            </w:pPr>
            <w:r w:rsidRPr="001958F9">
              <w:rPr>
                <w:rFonts w:asciiTheme="minorHAnsi" w:hAnsiTheme="minorHAnsi" w:cstheme="minorHAnsi"/>
                <w:color w:val="000000" w:themeColor="text1"/>
              </w:rPr>
              <w:t>d) Haematological complications (thrombocytopenia, DIC, haemolysis)</w:t>
            </w:r>
          </w:p>
          <w:p w14:paraId="6C12FA95" w14:textId="732D03B3" w:rsidR="00E52A56" w:rsidRPr="001958F9" w:rsidRDefault="00E75882" w:rsidP="0070658F">
            <w:pPr>
              <w:pStyle w:val="Instructionaltext"/>
              <w:shd w:val="clear" w:color="auto" w:fill="FFFFFF" w:themeFill="background1"/>
              <w:spacing w:before="0" w:after="60" w:line="240" w:lineRule="auto"/>
              <w:ind w:left="720"/>
              <w:rPr>
                <w:rFonts w:asciiTheme="minorHAnsi" w:hAnsiTheme="minorHAnsi" w:cstheme="minorHAnsi"/>
                <w:color w:val="000000" w:themeColor="text1"/>
              </w:rPr>
            </w:pPr>
            <w:r w:rsidRPr="001958F9">
              <w:rPr>
                <w:rFonts w:asciiTheme="minorHAnsi" w:hAnsiTheme="minorHAnsi" w:cstheme="minorHAnsi"/>
                <w:color w:val="000000" w:themeColor="text1"/>
              </w:rPr>
              <w:t xml:space="preserve">e) Uteroplacental dysfunction (such as </w:t>
            </w:r>
            <w:proofErr w:type="spellStart"/>
            <w:r w:rsidRPr="001958F9">
              <w:rPr>
                <w:rFonts w:asciiTheme="minorHAnsi" w:hAnsiTheme="minorHAnsi" w:cstheme="minorHAnsi"/>
                <w:color w:val="000000" w:themeColor="text1"/>
              </w:rPr>
              <w:t>fetal</w:t>
            </w:r>
            <w:proofErr w:type="spellEnd"/>
            <w:r w:rsidRPr="001958F9">
              <w:rPr>
                <w:rFonts w:asciiTheme="minorHAnsi" w:hAnsiTheme="minorHAnsi" w:cstheme="minorHAnsi"/>
                <w:color w:val="000000" w:themeColor="text1"/>
              </w:rPr>
              <w:t xml:space="preserve"> growth restriction, abnormal umbilical artery Doppler</w:t>
            </w:r>
            <w:r>
              <w:rPr>
                <w:rFonts w:asciiTheme="minorHAnsi" w:hAnsiTheme="minorHAnsi" w:cstheme="minorHAnsi"/>
                <w:color w:val="000000" w:themeColor="text1"/>
              </w:rPr>
              <w:t xml:space="preserve"> ultrasound</w:t>
            </w:r>
            <w:r w:rsidRPr="001958F9">
              <w:rPr>
                <w:rFonts w:asciiTheme="minorHAnsi" w:hAnsiTheme="minorHAnsi" w:cstheme="minorHAnsi"/>
                <w:color w:val="000000" w:themeColor="text1"/>
              </w:rPr>
              <w:t>)</w:t>
            </w:r>
          </w:p>
        </w:tc>
      </w:tr>
      <w:tr w:rsidR="00E75882" w:rsidRPr="001958F9" w14:paraId="48D8E5B2" w14:textId="77777777" w:rsidTr="00F01AEE">
        <w:tc>
          <w:tcPr>
            <w:tcW w:w="1005" w:type="pct"/>
            <w:hideMark/>
          </w:tcPr>
          <w:p w14:paraId="15F11E75" w14:textId="77777777" w:rsidR="00E75882" w:rsidRPr="001958F9" w:rsidRDefault="00E75882" w:rsidP="000F03E1">
            <w:pPr>
              <w:shd w:val="clear" w:color="auto" w:fill="FFFFFF" w:themeFill="background1"/>
              <w:spacing w:after="0" w:line="240" w:lineRule="auto"/>
              <w:rPr>
                <w:rFonts w:asciiTheme="minorHAnsi" w:hAnsiTheme="minorHAnsi" w:cstheme="minorHAnsi"/>
                <w:color w:val="000000" w:themeColor="text1"/>
              </w:rPr>
            </w:pPr>
            <w:bookmarkStart w:id="7" w:name="_Hlk86928666"/>
            <w:r w:rsidRPr="001958F9">
              <w:rPr>
                <w:rFonts w:asciiTheme="minorHAnsi" w:hAnsiTheme="minorHAnsi" w:cstheme="minorHAnsi"/>
                <w:color w:val="000000" w:themeColor="text1"/>
              </w:rPr>
              <w:t>Outcomes</w:t>
            </w:r>
          </w:p>
        </w:tc>
        <w:tc>
          <w:tcPr>
            <w:tcW w:w="3995" w:type="pct"/>
          </w:tcPr>
          <w:p w14:paraId="5E2A30E4" w14:textId="2605A035" w:rsidR="00E75882" w:rsidRPr="001958F9" w:rsidRDefault="00E75882" w:rsidP="007E72BE">
            <w:pPr>
              <w:pStyle w:val="Instructionaltext-bullet"/>
              <w:shd w:val="clear" w:color="auto" w:fill="FFFFFF" w:themeFill="background1"/>
              <w:tabs>
                <w:tab w:val="clear" w:pos="360"/>
              </w:tabs>
              <w:spacing w:after="60"/>
              <w:ind w:left="697" w:hanging="357"/>
              <w:rPr>
                <w:color w:val="000000" w:themeColor="text1"/>
              </w:rPr>
            </w:pPr>
            <w:bookmarkStart w:id="8" w:name="_Hlk97642910"/>
            <w:r w:rsidRPr="001958F9">
              <w:rPr>
                <w:b/>
                <w:bCs/>
                <w:color w:val="000000" w:themeColor="text1"/>
              </w:rPr>
              <w:t>Diagnostic performance</w:t>
            </w:r>
            <w:r w:rsidRPr="001958F9">
              <w:rPr>
                <w:color w:val="000000" w:themeColor="text1"/>
              </w:rPr>
              <w:t>: sensitivity, specificity, positive and negative predictive values. Assessment of the extent and implications of discordance between Australian PE testing guidelines/practices</w:t>
            </w:r>
            <w:r>
              <w:rPr>
                <w:color w:val="000000" w:themeColor="text1"/>
              </w:rPr>
              <w:t xml:space="preserve">, </w:t>
            </w:r>
            <w:r w:rsidRPr="001958F9">
              <w:rPr>
                <w:color w:val="000000" w:themeColor="text1"/>
              </w:rPr>
              <w:t>test-retest reliability, test failure rate.</w:t>
            </w:r>
          </w:p>
          <w:p w14:paraId="5A00DA30" w14:textId="40DFE267" w:rsidR="00E75882" w:rsidRPr="00E20F75" w:rsidRDefault="00E75882" w:rsidP="007E72BE">
            <w:pPr>
              <w:pStyle w:val="Instructionaltext-bullet"/>
              <w:shd w:val="clear" w:color="auto" w:fill="FFFFFF" w:themeFill="background1"/>
              <w:tabs>
                <w:tab w:val="clear" w:pos="360"/>
              </w:tabs>
              <w:spacing w:after="60"/>
              <w:ind w:left="697" w:hanging="357"/>
              <w:rPr>
                <w:b/>
                <w:bCs/>
                <w:color w:val="000000" w:themeColor="text1"/>
              </w:rPr>
            </w:pPr>
            <w:r w:rsidRPr="00E20F75">
              <w:rPr>
                <w:b/>
                <w:bCs/>
                <w:color w:val="000000" w:themeColor="text1"/>
              </w:rPr>
              <w:t>Prognosis</w:t>
            </w:r>
            <w:r w:rsidRPr="00E20F75">
              <w:rPr>
                <w:color w:val="000000" w:themeColor="text1"/>
              </w:rPr>
              <w:t>: prognostic utility of tests.</w:t>
            </w:r>
            <w:bookmarkStart w:id="9" w:name="_Hlk86925083"/>
          </w:p>
          <w:p w14:paraId="721A683C" w14:textId="6900B7E7" w:rsidR="00E75882" w:rsidRPr="001958F9" w:rsidRDefault="00E75882" w:rsidP="007E72BE">
            <w:pPr>
              <w:pStyle w:val="Instructionaltext-bullet"/>
              <w:shd w:val="clear" w:color="auto" w:fill="FFFFFF" w:themeFill="background1"/>
              <w:tabs>
                <w:tab w:val="clear" w:pos="360"/>
              </w:tabs>
              <w:spacing w:after="60"/>
              <w:ind w:left="697" w:hanging="357"/>
              <w:rPr>
                <w:color w:val="000000" w:themeColor="text1"/>
              </w:rPr>
            </w:pPr>
            <w:r>
              <w:rPr>
                <w:b/>
                <w:bCs/>
                <w:color w:val="000000" w:themeColor="text1"/>
              </w:rPr>
              <w:t>Clinical effectiveness outcomes</w:t>
            </w:r>
            <w:r w:rsidRPr="001958F9">
              <w:rPr>
                <w:b/>
                <w:bCs/>
                <w:color w:val="000000" w:themeColor="text1"/>
              </w:rPr>
              <w:t>:</w:t>
            </w:r>
            <w:r w:rsidRPr="001958F9">
              <w:rPr>
                <w:color w:val="000000" w:themeColor="text1"/>
              </w:rPr>
              <w:t xml:space="preserve"> </w:t>
            </w:r>
            <w:r w:rsidRPr="0009122E">
              <w:rPr>
                <w:color w:val="000000" w:themeColor="text1"/>
              </w:rPr>
              <w:t xml:space="preserve">Reduction in incidence and severity of preterm </w:t>
            </w:r>
            <w:r w:rsidR="001076B9">
              <w:rPr>
                <w:color w:val="000000" w:themeColor="text1"/>
              </w:rPr>
              <w:t>PE</w:t>
            </w:r>
            <w:r>
              <w:rPr>
                <w:color w:val="000000" w:themeColor="text1"/>
              </w:rPr>
              <w:t xml:space="preserve">; </w:t>
            </w:r>
            <w:r w:rsidRPr="0009122E">
              <w:rPr>
                <w:color w:val="000000" w:themeColor="text1"/>
              </w:rPr>
              <w:t xml:space="preserve">Uptake of </w:t>
            </w:r>
            <w:r w:rsidR="001076B9">
              <w:rPr>
                <w:color w:val="000000" w:themeColor="text1"/>
              </w:rPr>
              <w:t>PE</w:t>
            </w:r>
            <w:r w:rsidRPr="0009122E">
              <w:rPr>
                <w:color w:val="000000" w:themeColor="text1"/>
              </w:rPr>
              <w:t xml:space="preserve"> prophylaxis treatment based on risk assessment</w:t>
            </w:r>
            <w:r>
              <w:rPr>
                <w:color w:val="000000" w:themeColor="text1"/>
              </w:rPr>
              <w:t xml:space="preserve">; </w:t>
            </w:r>
            <w:r w:rsidR="001076B9">
              <w:rPr>
                <w:color w:val="000000" w:themeColor="text1"/>
              </w:rPr>
              <w:t>PE</w:t>
            </w:r>
            <w:r w:rsidRPr="0009122E">
              <w:rPr>
                <w:color w:val="000000" w:themeColor="text1"/>
              </w:rPr>
              <w:t xml:space="preserve"> related maternal outcomes (</w:t>
            </w:r>
            <w:r w:rsidR="00954515" w:rsidRPr="0009122E">
              <w:rPr>
                <w:color w:val="000000" w:themeColor="text1"/>
              </w:rPr>
              <w:t>e.g.,</w:t>
            </w:r>
            <w:r w:rsidRPr="0009122E">
              <w:rPr>
                <w:color w:val="000000" w:themeColor="text1"/>
              </w:rPr>
              <w:t xml:space="preserve"> eclamptic fit, renal and hepatic impairment, HELLP syndrome, placental abruption, etc)</w:t>
            </w:r>
            <w:r>
              <w:rPr>
                <w:color w:val="000000" w:themeColor="text1"/>
              </w:rPr>
              <w:t xml:space="preserve">; </w:t>
            </w:r>
            <w:r w:rsidRPr="0009122E">
              <w:rPr>
                <w:color w:val="000000" w:themeColor="text1"/>
              </w:rPr>
              <w:t>Preterm birth/gestational age</w:t>
            </w:r>
            <w:r>
              <w:rPr>
                <w:color w:val="000000" w:themeColor="text1"/>
              </w:rPr>
              <w:t xml:space="preserve">; </w:t>
            </w:r>
            <w:r w:rsidRPr="0009122E">
              <w:rPr>
                <w:color w:val="000000" w:themeColor="text1"/>
              </w:rPr>
              <w:t>P</w:t>
            </w:r>
            <w:r w:rsidR="001076B9">
              <w:rPr>
                <w:color w:val="000000" w:themeColor="text1"/>
              </w:rPr>
              <w:t>E</w:t>
            </w:r>
            <w:r w:rsidRPr="0009122E">
              <w:rPr>
                <w:color w:val="000000" w:themeColor="text1"/>
              </w:rPr>
              <w:t xml:space="preserve"> related adverse neonatal outcomes (morbidity and mortality)</w:t>
            </w:r>
            <w:r w:rsidR="004A7BE6">
              <w:rPr>
                <w:color w:val="000000" w:themeColor="text1"/>
              </w:rPr>
              <w:t xml:space="preserve">, </w:t>
            </w:r>
            <w:bookmarkStart w:id="10" w:name="_Hlk102398375"/>
            <w:r w:rsidR="004A7BE6">
              <w:rPr>
                <w:color w:val="000000" w:themeColor="text1"/>
              </w:rPr>
              <w:t>reduction in hospital admission</w:t>
            </w:r>
            <w:r w:rsidR="00F35763">
              <w:rPr>
                <w:color w:val="000000" w:themeColor="text1"/>
              </w:rPr>
              <w:t xml:space="preserve"> and over treatment</w:t>
            </w:r>
            <w:bookmarkEnd w:id="10"/>
            <w:r w:rsidR="008C7D11">
              <w:rPr>
                <w:color w:val="000000" w:themeColor="text1"/>
              </w:rPr>
              <w:t>.</w:t>
            </w:r>
          </w:p>
          <w:bookmarkEnd w:id="9"/>
          <w:p w14:paraId="7A1DAB79" w14:textId="3AF3A7E0" w:rsidR="00E75882" w:rsidRPr="001958F9" w:rsidRDefault="00E75882" w:rsidP="007E72BE">
            <w:pPr>
              <w:pStyle w:val="Instructionaltext-bullet"/>
              <w:shd w:val="clear" w:color="auto" w:fill="FFFFFF" w:themeFill="background1"/>
              <w:tabs>
                <w:tab w:val="clear" w:pos="360"/>
              </w:tabs>
              <w:spacing w:after="60"/>
              <w:ind w:left="697" w:hanging="357"/>
              <w:rPr>
                <w:color w:val="000000" w:themeColor="text1"/>
              </w:rPr>
            </w:pPr>
            <w:r w:rsidRPr="001958F9">
              <w:rPr>
                <w:b/>
                <w:bCs/>
                <w:color w:val="000000" w:themeColor="text1"/>
              </w:rPr>
              <w:t>Safety</w:t>
            </w:r>
            <w:r w:rsidRPr="001958F9">
              <w:rPr>
                <w:color w:val="000000" w:themeColor="text1"/>
              </w:rPr>
              <w:t xml:space="preserve">: </w:t>
            </w:r>
            <w:r>
              <w:rPr>
                <w:color w:val="000000" w:themeColor="text1"/>
              </w:rPr>
              <w:t xml:space="preserve">misclassification of </w:t>
            </w:r>
            <w:r w:rsidR="00E628B6">
              <w:rPr>
                <w:color w:val="000000" w:themeColor="text1"/>
              </w:rPr>
              <w:t xml:space="preserve">the </w:t>
            </w:r>
            <w:r>
              <w:rPr>
                <w:color w:val="000000" w:themeColor="text1"/>
              </w:rPr>
              <w:t xml:space="preserve">risk </w:t>
            </w:r>
            <w:r w:rsidR="00DF0F88">
              <w:rPr>
                <w:color w:val="000000" w:themeColor="text1"/>
              </w:rPr>
              <w:t xml:space="preserve">of </w:t>
            </w:r>
            <w:r>
              <w:rPr>
                <w:color w:val="000000" w:themeColor="text1"/>
              </w:rPr>
              <w:t>PE; adverse events associated with</w:t>
            </w:r>
            <w:r w:rsidRPr="001958F9">
              <w:rPr>
                <w:color w:val="000000" w:themeColor="text1"/>
              </w:rPr>
              <w:t xml:space="preserve"> </w:t>
            </w:r>
            <w:r>
              <w:rPr>
                <w:color w:val="000000" w:themeColor="text1"/>
              </w:rPr>
              <w:t>incorrect risk stratification</w:t>
            </w:r>
            <w:r w:rsidR="001076B9">
              <w:rPr>
                <w:color w:val="000000" w:themeColor="text1"/>
              </w:rPr>
              <w:t xml:space="preserve"> and the follow-up diagnostic and treatment work ups.</w:t>
            </w:r>
          </w:p>
          <w:p w14:paraId="5F482D87" w14:textId="26DF4F14" w:rsidR="00E75882" w:rsidRPr="001958F9" w:rsidRDefault="00E75882" w:rsidP="007E72BE">
            <w:pPr>
              <w:pStyle w:val="Instructionaltext-bullet"/>
              <w:shd w:val="clear" w:color="auto" w:fill="FFFFFF" w:themeFill="background1"/>
              <w:tabs>
                <w:tab w:val="clear" w:pos="360"/>
              </w:tabs>
              <w:spacing w:after="60"/>
              <w:ind w:left="697" w:hanging="357"/>
              <w:rPr>
                <w:color w:val="000000" w:themeColor="text1"/>
              </w:rPr>
            </w:pPr>
            <w:r w:rsidRPr="001958F9">
              <w:rPr>
                <w:b/>
                <w:bCs/>
                <w:color w:val="000000" w:themeColor="text1"/>
              </w:rPr>
              <w:t>Costs</w:t>
            </w:r>
            <w:r w:rsidRPr="001958F9">
              <w:rPr>
                <w:color w:val="000000" w:themeColor="text1"/>
              </w:rPr>
              <w:t xml:space="preserve">: </w:t>
            </w:r>
            <w:r>
              <w:rPr>
                <w:color w:val="000000" w:themeColor="text1"/>
              </w:rPr>
              <w:t xml:space="preserve">cost of </w:t>
            </w:r>
            <w:r w:rsidRPr="001958F9">
              <w:rPr>
                <w:color w:val="000000" w:themeColor="text1"/>
              </w:rPr>
              <w:t xml:space="preserve">testing and any cost offsets, costs associated with hospitalisation, outpatient appointments, antihypertensive medication, </w:t>
            </w:r>
            <w:r>
              <w:rPr>
                <w:color w:val="000000" w:themeColor="text1"/>
              </w:rPr>
              <w:t>therapeutic intervention prior to delivery</w:t>
            </w:r>
            <w:r w:rsidRPr="001958F9">
              <w:rPr>
                <w:color w:val="000000" w:themeColor="text1"/>
              </w:rPr>
              <w:t xml:space="preserve"> and treating complications</w:t>
            </w:r>
            <w:r>
              <w:rPr>
                <w:color w:val="000000" w:themeColor="text1"/>
              </w:rPr>
              <w:t xml:space="preserve"> in the mother and infant</w:t>
            </w:r>
            <w:r w:rsidRPr="001958F9">
              <w:rPr>
                <w:color w:val="000000" w:themeColor="text1"/>
              </w:rPr>
              <w:t xml:space="preserve">. </w:t>
            </w:r>
          </w:p>
          <w:p w14:paraId="6F077586" w14:textId="7D34DF66" w:rsidR="00E75882" w:rsidRPr="001958F9" w:rsidRDefault="00E75882" w:rsidP="007E72BE">
            <w:pPr>
              <w:pStyle w:val="Instructionaltext-bullet"/>
              <w:shd w:val="clear" w:color="auto" w:fill="FFFFFF" w:themeFill="background1"/>
              <w:tabs>
                <w:tab w:val="clear" w:pos="360"/>
              </w:tabs>
              <w:spacing w:after="60"/>
              <w:ind w:left="697" w:hanging="357"/>
              <w:rPr>
                <w:color w:val="000000" w:themeColor="text1"/>
              </w:rPr>
            </w:pPr>
            <w:r w:rsidRPr="001958F9">
              <w:rPr>
                <w:b/>
                <w:bCs/>
                <w:color w:val="000000" w:themeColor="text1"/>
              </w:rPr>
              <w:t>Cost-utilit</w:t>
            </w:r>
            <w:r w:rsidRPr="008272F3">
              <w:rPr>
                <w:b/>
                <w:bCs/>
                <w:color w:val="000000" w:themeColor="text1"/>
              </w:rPr>
              <w:t>y</w:t>
            </w:r>
            <w:r>
              <w:rPr>
                <w:color w:val="000000" w:themeColor="text1"/>
              </w:rPr>
              <w:t>: cost per quality-adjusted life year</w:t>
            </w:r>
            <w:r w:rsidR="008C7D11">
              <w:rPr>
                <w:color w:val="000000" w:themeColor="text1"/>
              </w:rPr>
              <w:t>.</w:t>
            </w:r>
          </w:p>
          <w:p w14:paraId="5475DE2A" w14:textId="05469237" w:rsidR="00E75882" w:rsidRPr="007E72BE" w:rsidRDefault="00E75882" w:rsidP="00385591">
            <w:pPr>
              <w:pStyle w:val="Instructionaltext-bullet"/>
              <w:numPr>
                <w:ilvl w:val="0"/>
                <w:numId w:val="11"/>
              </w:numPr>
              <w:shd w:val="clear" w:color="auto" w:fill="FFFFFF" w:themeFill="background1"/>
              <w:spacing w:after="60" w:line="240" w:lineRule="auto"/>
              <w:ind w:left="714" w:hanging="357"/>
              <w:rPr>
                <w:rFonts w:asciiTheme="minorHAnsi" w:hAnsiTheme="minorHAnsi" w:cstheme="minorHAnsi"/>
                <w:color w:val="000000" w:themeColor="text1"/>
              </w:rPr>
            </w:pPr>
            <w:r w:rsidRPr="001958F9">
              <w:rPr>
                <w:b/>
                <w:bCs/>
                <w:color w:val="000000" w:themeColor="text1"/>
              </w:rPr>
              <w:t>Financial implications</w:t>
            </w:r>
            <w:r w:rsidRPr="001958F9">
              <w:rPr>
                <w:color w:val="000000" w:themeColor="text1"/>
              </w:rPr>
              <w:t>: number and cost of patients tested.</w:t>
            </w:r>
            <w:bookmarkEnd w:id="8"/>
          </w:p>
        </w:tc>
      </w:tr>
      <w:bookmarkEnd w:id="7"/>
      <w:tr w:rsidR="00E75882" w:rsidRPr="001958F9" w14:paraId="4582F312" w14:textId="77777777" w:rsidTr="00F01AEE">
        <w:tc>
          <w:tcPr>
            <w:tcW w:w="1005" w:type="pct"/>
          </w:tcPr>
          <w:p w14:paraId="43F0C1D8" w14:textId="20F3F1CD" w:rsidR="00E75882" w:rsidRPr="001958F9" w:rsidRDefault="00E75882" w:rsidP="000F03E1">
            <w:pPr>
              <w:shd w:val="clear" w:color="auto" w:fill="FFFFFF" w:themeFill="background1"/>
              <w:spacing w:after="0" w:line="240" w:lineRule="auto"/>
              <w:rPr>
                <w:rFonts w:asciiTheme="minorHAnsi" w:hAnsiTheme="minorHAnsi" w:cstheme="minorHAnsi"/>
                <w:color w:val="000000" w:themeColor="text1"/>
              </w:rPr>
            </w:pPr>
            <w:r w:rsidRPr="001958F9">
              <w:rPr>
                <w:rFonts w:asciiTheme="minorHAnsi" w:hAnsiTheme="minorHAnsi" w:cstheme="minorHAnsi"/>
                <w:color w:val="000000" w:themeColor="text1"/>
              </w:rPr>
              <w:t>Assessment questions</w:t>
            </w:r>
          </w:p>
        </w:tc>
        <w:tc>
          <w:tcPr>
            <w:tcW w:w="3995" w:type="pct"/>
          </w:tcPr>
          <w:p w14:paraId="0BFA435E" w14:textId="26DFD877" w:rsidR="006F58CD" w:rsidRDefault="00E75882" w:rsidP="000F03E1">
            <w:pPr>
              <w:pStyle w:val="Instructionaltext"/>
              <w:shd w:val="clear" w:color="auto" w:fill="FFFFFF" w:themeFill="background1"/>
              <w:spacing w:before="0" w:after="0" w:line="240" w:lineRule="auto"/>
              <w:rPr>
                <w:rFonts w:asciiTheme="minorHAnsi" w:hAnsiTheme="minorHAnsi" w:cstheme="minorHAnsi"/>
                <w:color w:val="000000" w:themeColor="text1"/>
              </w:rPr>
            </w:pPr>
            <w:r w:rsidRPr="001958F9">
              <w:rPr>
                <w:rFonts w:asciiTheme="minorHAnsi" w:hAnsiTheme="minorHAnsi" w:cstheme="minorHAnsi"/>
                <w:color w:val="000000" w:themeColor="text1"/>
              </w:rPr>
              <w:t xml:space="preserve">What is the safety, cost and clinical effectiveness of </w:t>
            </w:r>
            <w:r w:rsidR="006F58CD" w:rsidRPr="00AF3AAC">
              <w:rPr>
                <w:color w:val="auto"/>
              </w:rPr>
              <w:t xml:space="preserve">the </w:t>
            </w:r>
            <w:r w:rsidR="006F58CD">
              <w:rPr>
                <w:color w:val="000000"/>
              </w:rPr>
              <w:t>sFlt-1/</w:t>
            </w:r>
            <w:proofErr w:type="spellStart"/>
            <w:r w:rsidR="006F58CD">
              <w:rPr>
                <w:color w:val="000000"/>
              </w:rPr>
              <w:t>PlGF</w:t>
            </w:r>
            <w:proofErr w:type="spellEnd"/>
            <w:r w:rsidR="006F58CD">
              <w:rPr>
                <w:color w:val="000000"/>
              </w:rPr>
              <w:t xml:space="preserve"> ratio test in women at </w:t>
            </w:r>
            <w:r w:rsidR="006F58CD" w:rsidRPr="001958F9">
              <w:rPr>
                <w:rFonts w:asciiTheme="minorHAnsi" w:hAnsiTheme="minorHAnsi" w:cstheme="minorHAnsi"/>
                <w:color w:val="000000" w:themeColor="text1"/>
              </w:rPr>
              <w:t>24</w:t>
            </w:r>
            <w:r w:rsidR="006F58CD" w:rsidRPr="00D62019">
              <w:rPr>
                <w:rFonts w:asciiTheme="minorHAnsi" w:hAnsiTheme="minorHAnsi" w:cstheme="minorHAnsi"/>
                <w:color w:val="000000" w:themeColor="text1"/>
                <w:vertAlign w:val="superscript"/>
              </w:rPr>
              <w:t>+0</w:t>
            </w:r>
            <w:r w:rsidR="006F58CD">
              <w:rPr>
                <w:rFonts w:asciiTheme="minorHAnsi" w:hAnsiTheme="minorHAnsi" w:cstheme="minorHAnsi"/>
                <w:color w:val="000000" w:themeColor="text1"/>
              </w:rPr>
              <w:t xml:space="preserve"> weeks gestation </w:t>
            </w:r>
            <w:proofErr w:type="gramStart"/>
            <w:r w:rsidR="006F58CD">
              <w:rPr>
                <w:rFonts w:asciiTheme="minorHAnsi" w:hAnsiTheme="minorHAnsi" w:cstheme="minorHAnsi"/>
                <w:color w:val="000000" w:themeColor="text1"/>
              </w:rPr>
              <w:t>to:</w:t>
            </w:r>
            <w:proofErr w:type="gramEnd"/>
            <w:r w:rsidR="006F58CD">
              <w:rPr>
                <w:rFonts w:asciiTheme="minorHAnsi" w:hAnsiTheme="minorHAnsi" w:cstheme="minorHAnsi"/>
                <w:color w:val="000000" w:themeColor="text1"/>
              </w:rPr>
              <w:t xml:space="preserve"> </w:t>
            </w:r>
          </w:p>
          <w:p w14:paraId="74801DC7" w14:textId="234B39EC" w:rsidR="006F58CD" w:rsidRPr="00AF3AAC" w:rsidRDefault="006F58CD" w:rsidP="006F58CD">
            <w:pPr>
              <w:pStyle w:val="Instructionaltext"/>
              <w:numPr>
                <w:ilvl w:val="0"/>
                <w:numId w:val="45"/>
              </w:numPr>
              <w:shd w:val="clear" w:color="auto" w:fill="FFFFFF" w:themeFill="background1"/>
              <w:spacing w:before="0" w:after="0" w:line="240" w:lineRule="auto"/>
              <w:rPr>
                <w:rFonts w:asciiTheme="minorHAnsi" w:hAnsiTheme="minorHAnsi" w:cstheme="minorHAnsi"/>
                <w:iCs/>
                <w:color w:val="auto"/>
              </w:rPr>
            </w:pPr>
            <w:r w:rsidRPr="00AF3AAC">
              <w:rPr>
                <w:rFonts w:asciiTheme="minorHAnsi" w:hAnsiTheme="minorHAnsi" w:cstheme="minorHAnsi"/>
                <w:iCs/>
                <w:color w:val="auto"/>
              </w:rPr>
              <w:t xml:space="preserve">categorise the </w:t>
            </w:r>
            <w:r w:rsidRPr="00AF3AAC">
              <w:rPr>
                <w:rFonts w:asciiTheme="minorHAnsi" w:hAnsiTheme="minorHAnsi" w:cstheme="minorHAnsi"/>
                <w:i/>
                <w:color w:val="auto"/>
              </w:rPr>
              <w:t>likelihood</w:t>
            </w:r>
            <w:r w:rsidRPr="00AF3AAC">
              <w:rPr>
                <w:rFonts w:asciiTheme="minorHAnsi" w:hAnsiTheme="minorHAnsi" w:cstheme="minorHAnsi"/>
                <w:iCs/>
                <w:color w:val="auto"/>
              </w:rPr>
              <w:t xml:space="preserve"> of PE in: (</w:t>
            </w:r>
            <w:proofErr w:type="spellStart"/>
            <w:r w:rsidRPr="00AF3AAC">
              <w:rPr>
                <w:rFonts w:asciiTheme="minorHAnsi" w:hAnsiTheme="minorHAnsi" w:cstheme="minorHAnsi"/>
                <w:iCs/>
                <w:color w:val="auto"/>
              </w:rPr>
              <w:t>i</w:t>
            </w:r>
            <w:proofErr w:type="spellEnd"/>
            <w:r w:rsidRPr="00AF3AAC">
              <w:rPr>
                <w:rFonts w:asciiTheme="minorHAnsi" w:hAnsiTheme="minorHAnsi" w:cstheme="minorHAnsi"/>
                <w:iCs/>
                <w:color w:val="auto"/>
              </w:rPr>
              <w:t>) women with signs and symptoms of PE, or (ii) asymptomatic women at increased risk of PE</w:t>
            </w:r>
          </w:p>
          <w:p w14:paraId="06494FB1" w14:textId="5BA56DA5" w:rsidR="00E75882" w:rsidRPr="00385591" w:rsidRDefault="006F58CD" w:rsidP="00385591">
            <w:pPr>
              <w:pStyle w:val="Instructionaltext"/>
              <w:numPr>
                <w:ilvl w:val="0"/>
                <w:numId w:val="45"/>
              </w:numPr>
              <w:shd w:val="clear" w:color="auto" w:fill="FFFFFF" w:themeFill="background1"/>
              <w:spacing w:before="0" w:after="60" w:line="240" w:lineRule="auto"/>
              <w:ind w:left="714" w:hanging="357"/>
              <w:rPr>
                <w:rFonts w:asciiTheme="minorHAnsi" w:hAnsiTheme="minorHAnsi" w:cstheme="minorHAnsi"/>
                <w:iCs/>
                <w:color w:val="auto"/>
              </w:rPr>
            </w:pPr>
            <w:r w:rsidRPr="00AF3AAC">
              <w:rPr>
                <w:rFonts w:asciiTheme="minorHAnsi" w:hAnsiTheme="minorHAnsi" w:cstheme="minorHAnsi"/>
                <w:color w:val="auto"/>
              </w:rPr>
              <w:t xml:space="preserve">categorise the </w:t>
            </w:r>
            <w:r w:rsidRPr="00AF3AAC">
              <w:rPr>
                <w:rFonts w:asciiTheme="minorHAnsi" w:hAnsiTheme="minorHAnsi" w:cstheme="minorHAnsi"/>
                <w:i/>
                <w:iCs/>
                <w:color w:val="auto"/>
              </w:rPr>
              <w:t>severity</w:t>
            </w:r>
            <w:r w:rsidRPr="00AF3AAC">
              <w:rPr>
                <w:rFonts w:asciiTheme="minorHAnsi" w:hAnsiTheme="minorHAnsi" w:cstheme="minorHAnsi"/>
                <w:color w:val="auto"/>
              </w:rPr>
              <w:t xml:space="preserve"> of PE in women with a confirmed diagnosis of PE made using the current standard tests</w:t>
            </w:r>
          </w:p>
        </w:tc>
      </w:tr>
    </w:tbl>
    <w:p w14:paraId="7147E926" w14:textId="188377BB" w:rsidR="008C7D11" w:rsidRPr="00385591" w:rsidRDefault="00E75882" w:rsidP="00385591">
      <w:pPr>
        <w:shd w:val="clear" w:color="auto" w:fill="FFFFFF" w:themeFill="background1"/>
        <w:spacing w:after="0"/>
        <w:rPr>
          <w:rFonts w:ascii="Arial Narrow" w:hAnsi="Arial Narrow"/>
          <w:color w:val="000000" w:themeColor="text1"/>
          <w:sz w:val="18"/>
          <w:szCs w:val="18"/>
        </w:rPr>
      </w:pPr>
      <w:r w:rsidRPr="0070720B">
        <w:rPr>
          <w:rFonts w:ascii="Arial Narrow" w:hAnsi="Arial Narrow"/>
          <w:color w:val="000000" w:themeColor="text1"/>
          <w:sz w:val="18"/>
          <w:szCs w:val="18"/>
        </w:rPr>
        <w:t xml:space="preserve">PE= preeclampsia; BP= blood pressure; </w:t>
      </w:r>
      <w:r w:rsidRPr="0070720B">
        <w:rPr>
          <w:rFonts w:ascii="Arial Narrow" w:hAnsi="Arial Narrow"/>
          <w:iCs/>
          <w:color w:val="000000" w:themeColor="text1"/>
          <w:sz w:val="18"/>
          <w:szCs w:val="18"/>
        </w:rPr>
        <w:t xml:space="preserve">sFlt-1= </w:t>
      </w:r>
      <w:r w:rsidRPr="0070720B">
        <w:rPr>
          <w:rFonts w:ascii="Arial Narrow" w:hAnsi="Arial Narrow"/>
          <w:color w:val="000000" w:themeColor="text1"/>
          <w:sz w:val="18"/>
          <w:szCs w:val="18"/>
        </w:rPr>
        <w:t xml:space="preserve">soluble </w:t>
      </w:r>
      <w:proofErr w:type="spellStart"/>
      <w:r w:rsidRPr="0070720B">
        <w:rPr>
          <w:rFonts w:ascii="Arial Narrow" w:hAnsi="Arial Narrow"/>
          <w:color w:val="000000" w:themeColor="text1"/>
          <w:sz w:val="18"/>
          <w:szCs w:val="18"/>
        </w:rPr>
        <w:t>fms</w:t>
      </w:r>
      <w:proofErr w:type="spellEnd"/>
      <w:r w:rsidRPr="0070720B">
        <w:rPr>
          <w:rFonts w:ascii="Arial Narrow" w:hAnsi="Arial Narrow"/>
          <w:color w:val="000000" w:themeColor="text1"/>
          <w:sz w:val="18"/>
          <w:szCs w:val="18"/>
        </w:rPr>
        <w:t>-like tyrosine kinase-1;</w:t>
      </w:r>
      <w:r w:rsidRPr="0070720B">
        <w:rPr>
          <w:rFonts w:ascii="Arial Narrow" w:hAnsi="Arial Narrow"/>
          <w:iCs/>
          <w:color w:val="000000" w:themeColor="text1"/>
          <w:sz w:val="18"/>
          <w:szCs w:val="18"/>
        </w:rPr>
        <w:t xml:space="preserve"> </w:t>
      </w:r>
      <w:proofErr w:type="spellStart"/>
      <w:r w:rsidRPr="0070720B">
        <w:rPr>
          <w:rFonts w:ascii="Arial Narrow" w:hAnsi="Arial Narrow"/>
          <w:iCs/>
          <w:color w:val="000000" w:themeColor="text1"/>
          <w:sz w:val="18"/>
          <w:szCs w:val="18"/>
        </w:rPr>
        <w:t>PlGF</w:t>
      </w:r>
      <w:proofErr w:type="spellEnd"/>
      <w:r w:rsidRPr="0070720B">
        <w:rPr>
          <w:rFonts w:ascii="Arial Narrow" w:hAnsi="Arial Narrow"/>
          <w:iCs/>
          <w:color w:val="000000" w:themeColor="text1"/>
          <w:sz w:val="18"/>
          <w:szCs w:val="18"/>
        </w:rPr>
        <w:t xml:space="preserve">= </w:t>
      </w:r>
      <w:r w:rsidRPr="0070720B">
        <w:rPr>
          <w:rFonts w:ascii="Arial Narrow" w:hAnsi="Arial Narrow"/>
          <w:color w:val="000000" w:themeColor="text1"/>
          <w:sz w:val="18"/>
          <w:szCs w:val="18"/>
        </w:rPr>
        <w:t xml:space="preserve">placental growth factor; mg/mmol = micrograms per millimole; mmHg = millimetres of mercury; µmol/L= </w:t>
      </w:r>
      <w:r w:rsidR="00954515" w:rsidRPr="0070720B">
        <w:rPr>
          <w:rFonts w:ascii="Arial Narrow" w:hAnsi="Arial Narrow"/>
          <w:color w:val="000000" w:themeColor="text1"/>
          <w:sz w:val="18"/>
          <w:szCs w:val="18"/>
        </w:rPr>
        <w:t>m</w:t>
      </w:r>
      <w:r w:rsidRPr="0070720B">
        <w:rPr>
          <w:rFonts w:ascii="Arial Narrow" w:hAnsi="Arial Narrow"/>
          <w:color w:val="000000" w:themeColor="text1"/>
          <w:sz w:val="18"/>
          <w:szCs w:val="18"/>
        </w:rPr>
        <w:t>icromoles per litre; DIC = Disseminated intravascular coagulation</w:t>
      </w:r>
      <w:r w:rsidR="00187068" w:rsidRPr="0070720B">
        <w:rPr>
          <w:rFonts w:ascii="Arial Narrow" w:hAnsi="Arial Narrow"/>
          <w:color w:val="000000" w:themeColor="text1"/>
          <w:sz w:val="18"/>
          <w:szCs w:val="18"/>
        </w:rPr>
        <w:t>; HELLP=</w:t>
      </w:r>
      <w:proofErr w:type="spellStart"/>
      <w:r w:rsidR="00187068" w:rsidRPr="0070720B">
        <w:rPr>
          <w:rFonts w:ascii="Arial Narrow" w:hAnsi="Arial Narrow"/>
          <w:color w:val="000000" w:themeColor="text1"/>
          <w:sz w:val="18"/>
          <w:szCs w:val="18"/>
        </w:rPr>
        <w:t>Hemolysis</w:t>
      </w:r>
      <w:proofErr w:type="spellEnd"/>
      <w:r w:rsidR="00187068" w:rsidRPr="0070720B">
        <w:rPr>
          <w:rFonts w:ascii="Arial Narrow" w:hAnsi="Arial Narrow"/>
          <w:color w:val="000000" w:themeColor="text1"/>
          <w:sz w:val="18"/>
          <w:szCs w:val="18"/>
        </w:rPr>
        <w:t>, Elevated Liver enzymes and Low Platelets</w:t>
      </w:r>
      <w:r w:rsidR="003A14AA">
        <w:rPr>
          <w:rFonts w:ascii="Arial Narrow" w:hAnsi="Arial Narrow"/>
          <w:color w:val="000000" w:themeColor="text1"/>
          <w:sz w:val="18"/>
          <w:szCs w:val="18"/>
        </w:rPr>
        <w:t xml:space="preserve">; </w:t>
      </w:r>
      <w:r w:rsidR="003A14AA" w:rsidRPr="006A4CF6">
        <w:rPr>
          <w:rFonts w:ascii="Arial Narrow" w:hAnsi="Arial Narrow"/>
          <w:color w:val="000000" w:themeColor="text1"/>
          <w:sz w:val="18"/>
          <w:szCs w:val="18"/>
        </w:rPr>
        <w:t>±= in addition/ replace.</w:t>
      </w:r>
      <w:r w:rsidR="003A14AA">
        <w:rPr>
          <w:rFonts w:asciiTheme="minorHAnsi" w:hAnsiTheme="minorHAnsi" w:cstheme="minorHAnsi"/>
          <w:color w:val="000000" w:themeColor="text1"/>
        </w:rPr>
        <w:t xml:space="preserve"> </w:t>
      </w:r>
      <w:r w:rsidR="008C7D11">
        <w:rPr>
          <w:rFonts w:ascii="Franklin Gothic Medium" w:hAnsi="Franklin Gothic Medium" w:cstheme="minorHAnsi"/>
          <w:color w:val="000000" w:themeColor="text1"/>
          <w:sz w:val="32"/>
          <w:szCs w:val="32"/>
        </w:rPr>
        <w:br w:type="page"/>
      </w:r>
    </w:p>
    <w:p w14:paraId="5EA25928" w14:textId="5CD84E7D" w:rsidR="00E75882" w:rsidRPr="001958F9" w:rsidRDefault="00E75882" w:rsidP="000F03E1">
      <w:pPr>
        <w:pStyle w:val="Heading2"/>
        <w:shd w:val="clear" w:color="auto" w:fill="FFFFFF" w:themeFill="background1"/>
        <w:rPr>
          <w:rFonts w:ascii="Franklin Gothic Medium" w:hAnsi="Franklin Gothic Medium" w:cstheme="minorHAnsi"/>
          <w:color w:val="000000" w:themeColor="text1"/>
          <w:sz w:val="32"/>
          <w:szCs w:val="32"/>
        </w:rPr>
      </w:pPr>
      <w:r w:rsidRPr="001958F9">
        <w:rPr>
          <w:rFonts w:ascii="Franklin Gothic Medium" w:hAnsi="Franklin Gothic Medium" w:cstheme="minorHAnsi"/>
          <w:color w:val="000000" w:themeColor="text1"/>
          <w:sz w:val="32"/>
          <w:szCs w:val="32"/>
        </w:rPr>
        <w:lastRenderedPageBreak/>
        <w:t>Purpose of application</w:t>
      </w:r>
    </w:p>
    <w:p w14:paraId="15434161" w14:textId="243A782F" w:rsidR="00E75882" w:rsidRPr="001958F9" w:rsidRDefault="00E75882" w:rsidP="002C1EA9">
      <w:pPr>
        <w:shd w:val="clear" w:color="auto" w:fill="FFFFFF" w:themeFill="background1"/>
        <w:rPr>
          <w:b/>
          <w:color w:val="000000" w:themeColor="text1"/>
        </w:rPr>
      </w:pPr>
      <w:r w:rsidRPr="001958F9">
        <w:rPr>
          <w:iCs/>
          <w:color w:val="000000" w:themeColor="text1"/>
        </w:rPr>
        <w:t xml:space="preserve">An application requesting Medicare Benefits Schedule (MBS) listing of the </w:t>
      </w:r>
      <w:r w:rsidRPr="001958F9">
        <w:rPr>
          <w:color w:val="000000" w:themeColor="text1"/>
        </w:rPr>
        <w:t xml:space="preserve">placental soluble </w:t>
      </w:r>
      <w:proofErr w:type="spellStart"/>
      <w:r w:rsidRPr="001958F9">
        <w:rPr>
          <w:color w:val="000000" w:themeColor="text1"/>
        </w:rPr>
        <w:t>fms</w:t>
      </w:r>
      <w:proofErr w:type="spellEnd"/>
      <w:r w:rsidRPr="001958F9">
        <w:rPr>
          <w:color w:val="000000" w:themeColor="text1"/>
        </w:rPr>
        <w:t>-like tyrosine kinase-1 (</w:t>
      </w:r>
      <w:r w:rsidRPr="001958F9">
        <w:rPr>
          <w:iCs/>
          <w:color w:val="000000" w:themeColor="text1"/>
        </w:rPr>
        <w:t xml:space="preserve">sFlt-1) / </w:t>
      </w:r>
      <w:r w:rsidRPr="001958F9">
        <w:rPr>
          <w:color w:val="000000" w:themeColor="text1"/>
        </w:rPr>
        <w:t>placental growth factor (</w:t>
      </w:r>
      <w:proofErr w:type="spellStart"/>
      <w:r w:rsidRPr="001958F9">
        <w:rPr>
          <w:iCs/>
          <w:color w:val="000000" w:themeColor="text1"/>
        </w:rPr>
        <w:t>PlGF</w:t>
      </w:r>
      <w:proofErr w:type="spellEnd"/>
      <w:r w:rsidRPr="001958F9">
        <w:rPr>
          <w:iCs/>
          <w:color w:val="000000" w:themeColor="text1"/>
        </w:rPr>
        <w:t xml:space="preserve">) ratio test </w:t>
      </w:r>
      <w:r w:rsidR="0050356A">
        <w:rPr>
          <w:iCs/>
          <w:color w:val="000000" w:themeColor="text1"/>
        </w:rPr>
        <w:t xml:space="preserve">which was described as </w:t>
      </w:r>
      <w:r w:rsidRPr="001958F9">
        <w:rPr>
          <w:iCs/>
          <w:color w:val="000000" w:themeColor="text1"/>
        </w:rPr>
        <w:t xml:space="preserve">to be used </w:t>
      </w:r>
      <w:r w:rsidR="002D461A">
        <w:rPr>
          <w:iCs/>
          <w:color w:val="000000" w:themeColor="text1"/>
        </w:rPr>
        <w:t>to determine the likelihood</w:t>
      </w:r>
      <w:r>
        <w:rPr>
          <w:iCs/>
          <w:color w:val="000000" w:themeColor="text1"/>
        </w:rPr>
        <w:t xml:space="preserve"> of the onset</w:t>
      </w:r>
      <w:r w:rsidRPr="001958F9">
        <w:rPr>
          <w:iCs/>
          <w:color w:val="000000" w:themeColor="text1"/>
        </w:rPr>
        <w:t xml:space="preserve"> of </w:t>
      </w:r>
      <w:r w:rsidR="001459A8" w:rsidRPr="004A7D22">
        <w:rPr>
          <w:rFonts w:asciiTheme="minorHAnsi" w:hAnsiTheme="minorHAnsi" w:cstheme="minorHAnsi"/>
          <w:color w:val="000000" w:themeColor="text1"/>
        </w:rPr>
        <w:t>preeclampsia</w:t>
      </w:r>
      <w:r w:rsidR="001459A8" w:rsidRPr="001958F9">
        <w:rPr>
          <w:iCs/>
          <w:color w:val="000000" w:themeColor="text1"/>
        </w:rPr>
        <w:t xml:space="preserve"> </w:t>
      </w:r>
      <w:r w:rsidR="001459A8">
        <w:rPr>
          <w:iCs/>
          <w:color w:val="000000" w:themeColor="text1"/>
        </w:rPr>
        <w:t>(</w:t>
      </w:r>
      <w:r w:rsidRPr="001958F9">
        <w:rPr>
          <w:iCs/>
          <w:color w:val="000000" w:themeColor="text1"/>
        </w:rPr>
        <w:t>PE</w:t>
      </w:r>
      <w:r w:rsidR="001459A8">
        <w:rPr>
          <w:iCs/>
          <w:color w:val="000000" w:themeColor="text1"/>
        </w:rPr>
        <w:t>)</w:t>
      </w:r>
      <w:r w:rsidRPr="001958F9">
        <w:rPr>
          <w:iCs/>
          <w:color w:val="000000" w:themeColor="text1"/>
        </w:rPr>
        <w:t xml:space="preserve"> in pregnancies from 24</w:t>
      </w:r>
      <w:r w:rsidR="00F01AEE" w:rsidRPr="00D62019">
        <w:rPr>
          <w:rFonts w:asciiTheme="minorHAnsi" w:hAnsiTheme="minorHAnsi" w:cstheme="minorHAnsi"/>
          <w:color w:val="000000" w:themeColor="text1"/>
          <w:vertAlign w:val="superscript"/>
        </w:rPr>
        <w:t>+0</w:t>
      </w:r>
      <w:r w:rsidRPr="001958F9">
        <w:rPr>
          <w:iCs/>
          <w:color w:val="000000" w:themeColor="text1"/>
        </w:rPr>
        <w:t xml:space="preserve"> weeks gestation</w:t>
      </w:r>
      <w:r>
        <w:rPr>
          <w:iCs/>
          <w:color w:val="000000" w:themeColor="text1"/>
        </w:rPr>
        <w:t xml:space="preserve"> and the prognosis of the disease for women with </w:t>
      </w:r>
      <w:r w:rsidR="002D461A">
        <w:rPr>
          <w:iCs/>
          <w:color w:val="000000" w:themeColor="text1"/>
        </w:rPr>
        <w:t xml:space="preserve">a </w:t>
      </w:r>
      <w:r w:rsidR="00392C7D">
        <w:rPr>
          <w:iCs/>
          <w:color w:val="000000" w:themeColor="text1"/>
        </w:rPr>
        <w:t xml:space="preserve">confirmed </w:t>
      </w:r>
      <w:r>
        <w:rPr>
          <w:iCs/>
          <w:color w:val="000000" w:themeColor="text1"/>
        </w:rPr>
        <w:t>PE diagnosis</w:t>
      </w:r>
      <w:r w:rsidRPr="001958F9">
        <w:rPr>
          <w:iCs/>
          <w:color w:val="000000" w:themeColor="text1"/>
        </w:rPr>
        <w:t xml:space="preserve"> w</w:t>
      </w:r>
      <w:r w:rsidR="00337881">
        <w:rPr>
          <w:iCs/>
          <w:color w:val="000000" w:themeColor="text1"/>
        </w:rPr>
        <w:t>as</w:t>
      </w:r>
      <w:r w:rsidRPr="001958F9">
        <w:rPr>
          <w:iCs/>
          <w:color w:val="000000" w:themeColor="text1"/>
        </w:rPr>
        <w:t xml:space="preserve"> received from </w:t>
      </w:r>
      <w:r w:rsidRPr="001958F9">
        <w:rPr>
          <w:color w:val="000000" w:themeColor="text1"/>
        </w:rPr>
        <w:t xml:space="preserve">Professor </w:t>
      </w:r>
      <w:r w:rsidR="002D0D70" w:rsidRPr="006B47FB">
        <w:rPr>
          <w:b/>
          <w:bCs/>
          <w:color w:val="000000" w:themeColor="text1"/>
        </w:rPr>
        <w:t>REDACTED</w:t>
      </w:r>
      <w:r>
        <w:rPr>
          <w:color w:val="000000" w:themeColor="text1"/>
        </w:rPr>
        <w:t>/Roche</w:t>
      </w:r>
      <w:r w:rsidRPr="001958F9">
        <w:rPr>
          <w:b/>
          <w:color w:val="000000" w:themeColor="text1"/>
        </w:rPr>
        <w:t xml:space="preserve"> </w:t>
      </w:r>
      <w:r w:rsidRPr="001958F9">
        <w:rPr>
          <w:iCs/>
          <w:color w:val="000000" w:themeColor="text1"/>
        </w:rPr>
        <w:t xml:space="preserve">by the Department of Health. </w:t>
      </w:r>
    </w:p>
    <w:p w14:paraId="502FE4A7" w14:textId="12D0B3BD" w:rsidR="00E75882" w:rsidRPr="001958F9" w:rsidRDefault="00E75882" w:rsidP="002C1EA9">
      <w:pPr>
        <w:shd w:val="clear" w:color="auto" w:fill="FFFFFF" w:themeFill="background1"/>
        <w:spacing w:after="240"/>
        <w:rPr>
          <w:iCs/>
          <w:color w:val="000000" w:themeColor="text1"/>
          <w:szCs w:val="24"/>
        </w:rPr>
      </w:pPr>
      <w:r w:rsidRPr="001958F9">
        <w:rPr>
          <w:iCs/>
          <w:color w:val="000000" w:themeColor="text1"/>
          <w:szCs w:val="24"/>
        </w:rPr>
        <w:t>The use of the proposed technology is claimed to result in superior health outcomes</w:t>
      </w:r>
      <w:r>
        <w:rPr>
          <w:iCs/>
          <w:color w:val="000000" w:themeColor="text1"/>
          <w:szCs w:val="24"/>
        </w:rPr>
        <w:t xml:space="preserve"> </w:t>
      </w:r>
      <w:r w:rsidRPr="001958F9">
        <w:rPr>
          <w:iCs/>
          <w:color w:val="000000" w:themeColor="text1"/>
          <w:szCs w:val="24"/>
        </w:rPr>
        <w:t>compared to the nominated comparators.</w:t>
      </w:r>
    </w:p>
    <w:p w14:paraId="5863C045" w14:textId="77777777" w:rsidR="00E75882" w:rsidRPr="001958F9" w:rsidRDefault="00E75882" w:rsidP="00BD1D7B">
      <w:pPr>
        <w:keepNext/>
        <w:keepLines/>
        <w:shd w:val="clear" w:color="auto" w:fill="FFFFFF" w:themeFill="background1"/>
        <w:tabs>
          <w:tab w:val="left" w:pos="1701"/>
        </w:tabs>
        <w:spacing w:before="360" w:after="120" w:line="240" w:lineRule="auto"/>
        <w:outlineLvl w:val="1"/>
        <w:rPr>
          <w:rFonts w:ascii="Franklin Gothic Medium" w:eastAsia="Times New Roman" w:hAnsi="Franklin Gothic Medium"/>
          <w:color w:val="000000" w:themeColor="text1"/>
          <w:sz w:val="32"/>
          <w:szCs w:val="26"/>
        </w:rPr>
      </w:pPr>
      <w:r w:rsidRPr="001958F9">
        <w:rPr>
          <w:rFonts w:ascii="Franklin Gothic Medium" w:eastAsia="Times New Roman" w:hAnsi="Franklin Gothic Medium"/>
          <w:color w:val="000000" w:themeColor="text1"/>
          <w:sz w:val="32"/>
          <w:szCs w:val="26"/>
        </w:rPr>
        <w:t>PICO criteria- angiogenic and anti-angiogenic markers for the diagnosis of PE</w:t>
      </w:r>
    </w:p>
    <w:p w14:paraId="05D3FC99" w14:textId="77777777" w:rsidR="00E75882" w:rsidRPr="001958F9" w:rsidRDefault="00E75882" w:rsidP="00EF551E">
      <w:pPr>
        <w:keepNext/>
        <w:keepLines/>
        <w:shd w:val="clear" w:color="auto" w:fill="FFFFFF" w:themeFill="background1"/>
        <w:spacing w:before="360" w:after="120"/>
        <w:outlineLvl w:val="2"/>
        <w:rPr>
          <w:rFonts w:eastAsia="MS Gothic"/>
          <w:b/>
          <w:bCs/>
          <w:i/>
          <w:color w:val="000000" w:themeColor="text1"/>
          <w:sz w:val="24"/>
          <w:szCs w:val="24"/>
        </w:rPr>
      </w:pPr>
      <w:r w:rsidRPr="001958F9">
        <w:rPr>
          <w:rFonts w:eastAsia="MS Gothic"/>
          <w:b/>
          <w:bCs/>
          <w:i/>
          <w:color w:val="000000" w:themeColor="text1"/>
          <w:sz w:val="24"/>
          <w:szCs w:val="24"/>
        </w:rPr>
        <w:t xml:space="preserve">Population </w:t>
      </w:r>
    </w:p>
    <w:p w14:paraId="308E31C8" w14:textId="41FAAE47" w:rsidR="00E75882" w:rsidRDefault="00E75882" w:rsidP="00BD1D7B">
      <w:pPr>
        <w:shd w:val="clear" w:color="auto" w:fill="FFFFFF" w:themeFill="background1"/>
        <w:rPr>
          <w:rFonts w:asciiTheme="minorHAnsi" w:hAnsiTheme="minorHAnsi" w:cstheme="minorHAnsi"/>
          <w:color w:val="000000" w:themeColor="text1"/>
        </w:rPr>
      </w:pPr>
      <w:r>
        <w:rPr>
          <w:rFonts w:asciiTheme="minorHAnsi" w:hAnsiTheme="minorHAnsi" w:cstheme="minorHAnsi"/>
          <w:color w:val="000000" w:themeColor="text1"/>
        </w:rPr>
        <w:t>The proposed population</w:t>
      </w:r>
      <w:r w:rsidR="00321FE1">
        <w:rPr>
          <w:rFonts w:asciiTheme="minorHAnsi" w:hAnsiTheme="minorHAnsi" w:cstheme="minorHAnsi"/>
          <w:color w:val="000000" w:themeColor="text1"/>
        </w:rPr>
        <w:t>s are</w:t>
      </w:r>
      <w:r>
        <w:rPr>
          <w:rFonts w:asciiTheme="minorHAnsi" w:hAnsiTheme="minorHAnsi" w:cstheme="minorHAnsi"/>
          <w:color w:val="000000" w:themeColor="text1"/>
        </w:rPr>
        <w:t>:</w:t>
      </w:r>
    </w:p>
    <w:p w14:paraId="5A1881F9" w14:textId="03EDBA7B" w:rsidR="00E75882" w:rsidRDefault="00E75882" w:rsidP="00BD1D7B">
      <w:pPr>
        <w:pStyle w:val="ListParagraph"/>
        <w:numPr>
          <w:ilvl w:val="0"/>
          <w:numId w:val="27"/>
        </w:numPr>
        <w:shd w:val="clear" w:color="auto" w:fill="FFFFFF" w:themeFill="background1"/>
        <w:rPr>
          <w:rFonts w:asciiTheme="minorHAnsi" w:hAnsiTheme="minorHAnsi" w:cstheme="minorHAnsi"/>
          <w:color w:val="000000" w:themeColor="text1"/>
        </w:rPr>
      </w:pPr>
      <w:r w:rsidRPr="004A7D22">
        <w:rPr>
          <w:rFonts w:asciiTheme="minorHAnsi" w:hAnsiTheme="minorHAnsi" w:cstheme="minorHAnsi"/>
          <w:color w:val="000000" w:themeColor="text1"/>
        </w:rPr>
        <w:t xml:space="preserve">Pregnant women </w:t>
      </w:r>
      <w:r w:rsidR="00AF4D2D">
        <w:rPr>
          <w:rFonts w:asciiTheme="minorHAnsi" w:hAnsiTheme="minorHAnsi" w:cstheme="minorHAnsi"/>
          <w:iCs/>
          <w:color w:val="000000" w:themeColor="text1"/>
        </w:rPr>
        <w:t xml:space="preserve">presenting </w:t>
      </w:r>
      <w:r w:rsidRPr="004A7D22">
        <w:rPr>
          <w:rFonts w:asciiTheme="minorHAnsi" w:hAnsiTheme="minorHAnsi" w:cstheme="minorHAnsi"/>
          <w:color w:val="000000" w:themeColor="text1"/>
        </w:rPr>
        <w:t>from 24</w:t>
      </w:r>
      <w:r w:rsidR="00F01AEE" w:rsidRPr="00D62019">
        <w:rPr>
          <w:rFonts w:asciiTheme="minorHAnsi" w:hAnsiTheme="minorHAnsi" w:cstheme="minorHAnsi"/>
          <w:color w:val="000000" w:themeColor="text1"/>
          <w:vertAlign w:val="superscript"/>
        </w:rPr>
        <w:t>+0</w:t>
      </w:r>
      <w:r w:rsidRPr="004A7D22">
        <w:rPr>
          <w:rFonts w:asciiTheme="minorHAnsi" w:hAnsiTheme="minorHAnsi" w:cstheme="minorHAnsi"/>
          <w:color w:val="000000" w:themeColor="text1"/>
        </w:rPr>
        <w:t xml:space="preserve"> weeks</w:t>
      </w:r>
      <w:r w:rsidR="00AF4D2D">
        <w:rPr>
          <w:rFonts w:asciiTheme="minorHAnsi" w:hAnsiTheme="minorHAnsi" w:cstheme="minorHAnsi"/>
          <w:color w:val="000000" w:themeColor="text1"/>
        </w:rPr>
        <w:t xml:space="preserve"> of</w:t>
      </w:r>
      <w:r w:rsidRPr="004A7D22">
        <w:rPr>
          <w:rFonts w:asciiTheme="minorHAnsi" w:hAnsiTheme="minorHAnsi" w:cstheme="minorHAnsi"/>
          <w:color w:val="000000" w:themeColor="text1"/>
        </w:rPr>
        <w:t xml:space="preserve"> gestation with </w:t>
      </w:r>
      <w:r w:rsidR="00B72435">
        <w:rPr>
          <w:rFonts w:asciiTheme="minorHAnsi" w:hAnsiTheme="minorHAnsi" w:cstheme="minorHAnsi"/>
          <w:color w:val="000000" w:themeColor="text1"/>
        </w:rPr>
        <w:t>(</w:t>
      </w:r>
      <w:proofErr w:type="spellStart"/>
      <w:r w:rsidR="00B72435">
        <w:rPr>
          <w:rFonts w:asciiTheme="minorHAnsi" w:hAnsiTheme="minorHAnsi" w:cstheme="minorHAnsi"/>
          <w:color w:val="000000" w:themeColor="text1"/>
        </w:rPr>
        <w:t>i</w:t>
      </w:r>
      <w:proofErr w:type="spellEnd"/>
      <w:r w:rsidR="00B72435">
        <w:rPr>
          <w:rFonts w:asciiTheme="minorHAnsi" w:hAnsiTheme="minorHAnsi" w:cstheme="minorHAnsi"/>
          <w:color w:val="000000" w:themeColor="text1"/>
        </w:rPr>
        <w:t xml:space="preserve">) </w:t>
      </w:r>
      <w:r w:rsidRPr="004A7D22">
        <w:rPr>
          <w:rFonts w:asciiTheme="minorHAnsi" w:hAnsiTheme="minorHAnsi" w:cstheme="minorHAnsi"/>
          <w:color w:val="000000" w:themeColor="text1"/>
        </w:rPr>
        <w:t xml:space="preserve">signs and symptoms </w:t>
      </w:r>
      <w:r w:rsidR="00531CE2">
        <w:rPr>
          <w:rFonts w:asciiTheme="minorHAnsi" w:hAnsiTheme="minorHAnsi" w:cstheme="minorHAnsi"/>
          <w:color w:val="000000" w:themeColor="text1"/>
        </w:rPr>
        <w:t xml:space="preserve">suggestive </w:t>
      </w:r>
      <w:r w:rsidR="00187068" w:rsidRPr="00AA5ACD">
        <w:rPr>
          <w:rFonts w:asciiTheme="minorHAnsi" w:hAnsiTheme="minorHAnsi" w:cstheme="minorHAnsi"/>
          <w:color w:val="000000" w:themeColor="text1"/>
        </w:rPr>
        <w:t>of</w:t>
      </w:r>
      <w:r w:rsidR="00EC7B58">
        <w:rPr>
          <w:rFonts w:asciiTheme="minorHAnsi" w:hAnsiTheme="minorHAnsi" w:cstheme="minorHAnsi"/>
          <w:color w:val="000000" w:themeColor="text1"/>
        </w:rPr>
        <w:t xml:space="preserve"> </w:t>
      </w:r>
      <w:r w:rsidRPr="004A7D22">
        <w:rPr>
          <w:rFonts w:asciiTheme="minorHAnsi" w:hAnsiTheme="minorHAnsi" w:cstheme="minorHAnsi"/>
          <w:color w:val="000000" w:themeColor="text1"/>
        </w:rPr>
        <w:t>PE</w:t>
      </w:r>
      <w:r w:rsidR="00B72435">
        <w:rPr>
          <w:rFonts w:asciiTheme="minorHAnsi" w:hAnsiTheme="minorHAnsi" w:cstheme="minorHAnsi"/>
          <w:color w:val="000000" w:themeColor="text1"/>
        </w:rPr>
        <w:t xml:space="preserve"> or (ii) at increased risk </w:t>
      </w:r>
      <w:r w:rsidR="00196B9D">
        <w:rPr>
          <w:rFonts w:asciiTheme="minorHAnsi" w:hAnsiTheme="minorHAnsi" w:cstheme="minorHAnsi"/>
          <w:color w:val="000000" w:themeColor="text1"/>
        </w:rPr>
        <w:t>of</w:t>
      </w:r>
      <w:r w:rsidR="00B72435">
        <w:rPr>
          <w:rFonts w:asciiTheme="minorHAnsi" w:hAnsiTheme="minorHAnsi" w:cstheme="minorHAnsi"/>
          <w:color w:val="000000" w:themeColor="text1"/>
        </w:rPr>
        <w:t xml:space="preserve"> PE</w:t>
      </w:r>
      <w:r w:rsidR="0050356A" w:rsidRPr="00196B9D">
        <w:rPr>
          <w:rFonts w:asciiTheme="minorHAnsi" w:hAnsiTheme="minorHAnsi" w:cstheme="minorHAnsi"/>
          <w:i/>
          <w:color w:val="000000" w:themeColor="text1"/>
        </w:rPr>
        <w:t xml:space="preserve">, </w:t>
      </w:r>
      <w:r w:rsidR="0050356A" w:rsidRPr="00AF3AAC">
        <w:rPr>
          <w:rFonts w:asciiTheme="minorHAnsi" w:hAnsiTheme="minorHAnsi" w:cstheme="minorHAnsi"/>
          <w:iCs/>
          <w:color w:val="000000" w:themeColor="text1"/>
        </w:rPr>
        <w:t xml:space="preserve">due to maternal, </w:t>
      </w:r>
      <w:proofErr w:type="gramStart"/>
      <w:r w:rsidR="0050356A" w:rsidRPr="00AF3AAC">
        <w:rPr>
          <w:rFonts w:asciiTheme="minorHAnsi" w:hAnsiTheme="minorHAnsi" w:cstheme="minorHAnsi"/>
          <w:iCs/>
          <w:color w:val="000000" w:themeColor="text1"/>
        </w:rPr>
        <w:t>gestational</w:t>
      </w:r>
      <w:proofErr w:type="gramEnd"/>
      <w:r w:rsidR="0050356A" w:rsidRPr="00AF3AAC">
        <w:rPr>
          <w:rFonts w:asciiTheme="minorHAnsi" w:hAnsiTheme="minorHAnsi" w:cstheme="minorHAnsi"/>
          <w:iCs/>
          <w:color w:val="000000" w:themeColor="text1"/>
        </w:rPr>
        <w:t xml:space="preserve"> or other factors</w:t>
      </w:r>
      <w:r w:rsidR="0050356A">
        <w:rPr>
          <w:rFonts w:asciiTheme="minorHAnsi" w:hAnsiTheme="minorHAnsi" w:cstheme="minorHAnsi"/>
          <w:iCs/>
          <w:color w:val="000000" w:themeColor="text1"/>
        </w:rPr>
        <w:t>,</w:t>
      </w:r>
      <w:r w:rsidR="00CA42C5">
        <w:rPr>
          <w:rFonts w:asciiTheme="minorHAnsi" w:hAnsiTheme="minorHAnsi" w:cstheme="minorHAnsi"/>
          <w:color w:val="000000" w:themeColor="text1"/>
        </w:rPr>
        <w:t xml:space="preserve"> in the absence of signs and symptoms suggestive of PE</w:t>
      </w:r>
      <w:r>
        <w:rPr>
          <w:rFonts w:asciiTheme="minorHAnsi" w:hAnsiTheme="minorHAnsi" w:cstheme="minorHAnsi"/>
          <w:color w:val="000000" w:themeColor="text1"/>
        </w:rPr>
        <w:t xml:space="preserve"> (</w:t>
      </w:r>
      <w:r w:rsidR="00CA42C5">
        <w:rPr>
          <w:rFonts w:asciiTheme="minorHAnsi" w:hAnsiTheme="minorHAnsi" w:cstheme="minorHAnsi"/>
          <w:color w:val="000000" w:themeColor="text1"/>
        </w:rPr>
        <w:t>triage</w:t>
      </w:r>
      <w:r w:rsidR="00C50E63">
        <w:rPr>
          <w:rFonts w:asciiTheme="minorHAnsi" w:hAnsiTheme="minorHAnsi" w:cstheme="minorHAnsi"/>
          <w:color w:val="000000" w:themeColor="text1"/>
        </w:rPr>
        <w:t xml:space="preserve"> </w:t>
      </w:r>
      <w:r>
        <w:rPr>
          <w:rFonts w:asciiTheme="minorHAnsi" w:hAnsiTheme="minorHAnsi" w:cstheme="minorHAnsi"/>
          <w:color w:val="000000" w:themeColor="text1"/>
        </w:rPr>
        <w:t>testing population)</w:t>
      </w:r>
      <w:r w:rsidR="00AF4D2D">
        <w:rPr>
          <w:rFonts w:asciiTheme="minorHAnsi" w:hAnsiTheme="minorHAnsi" w:cstheme="minorHAnsi"/>
          <w:color w:val="000000" w:themeColor="text1"/>
        </w:rPr>
        <w:t>.</w:t>
      </w:r>
    </w:p>
    <w:p w14:paraId="5B811C84" w14:textId="70BB0DD5" w:rsidR="0054344F" w:rsidRPr="0054344F" w:rsidRDefault="0054344F" w:rsidP="00BD1D7B">
      <w:pPr>
        <w:pStyle w:val="ListParagraph"/>
        <w:numPr>
          <w:ilvl w:val="0"/>
          <w:numId w:val="27"/>
        </w:numPr>
        <w:rPr>
          <w:rFonts w:asciiTheme="minorHAnsi" w:hAnsiTheme="minorHAnsi" w:cstheme="minorHAnsi"/>
          <w:color w:val="000000" w:themeColor="text1"/>
        </w:rPr>
      </w:pPr>
      <w:r w:rsidRPr="0054344F">
        <w:rPr>
          <w:rFonts w:asciiTheme="minorHAnsi" w:hAnsiTheme="minorHAnsi" w:cstheme="minorHAnsi"/>
          <w:color w:val="000000" w:themeColor="text1"/>
        </w:rPr>
        <w:t xml:space="preserve">Pregnant women </w:t>
      </w:r>
      <w:r w:rsidR="00AF4D2D">
        <w:rPr>
          <w:rFonts w:asciiTheme="minorHAnsi" w:hAnsiTheme="minorHAnsi" w:cstheme="minorHAnsi"/>
          <w:iCs/>
          <w:color w:val="000000" w:themeColor="text1"/>
        </w:rPr>
        <w:t xml:space="preserve">presenting </w:t>
      </w:r>
      <w:r w:rsidR="00B1307C" w:rsidRPr="004A7D22">
        <w:rPr>
          <w:rFonts w:asciiTheme="minorHAnsi" w:hAnsiTheme="minorHAnsi" w:cstheme="minorHAnsi"/>
          <w:color w:val="000000" w:themeColor="text1"/>
        </w:rPr>
        <w:t>from 24</w:t>
      </w:r>
      <w:r w:rsidR="00F01AEE" w:rsidRPr="00D62019">
        <w:rPr>
          <w:rFonts w:asciiTheme="minorHAnsi" w:hAnsiTheme="minorHAnsi" w:cstheme="minorHAnsi"/>
          <w:color w:val="000000" w:themeColor="text1"/>
          <w:vertAlign w:val="superscript"/>
        </w:rPr>
        <w:t>+0</w:t>
      </w:r>
      <w:r w:rsidR="00B1307C" w:rsidRPr="004A7D22">
        <w:rPr>
          <w:rFonts w:asciiTheme="minorHAnsi" w:hAnsiTheme="minorHAnsi" w:cstheme="minorHAnsi"/>
          <w:color w:val="000000" w:themeColor="text1"/>
        </w:rPr>
        <w:t xml:space="preserve"> weeks</w:t>
      </w:r>
      <w:r w:rsidR="00AF4D2D">
        <w:rPr>
          <w:rFonts w:asciiTheme="minorHAnsi" w:hAnsiTheme="minorHAnsi" w:cstheme="minorHAnsi"/>
          <w:color w:val="000000" w:themeColor="text1"/>
        </w:rPr>
        <w:t xml:space="preserve"> of</w:t>
      </w:r>
      <w:r w:rsidR="00B1307C" w:rsidRPr="004A7D22">
        <w:rPr>
          <w:rFonts w:asciiTheme="minorHAnsi" w:hAnsiTheme="minorHAnsi" w:cstheme="minorHAnsi"/>
          <w:color w:val="000000" w:themeColor="text1"/>
        </w:rPr>
        <w:t xml:space="preserve"> gestation </w:t>
      </w:r>
      <w:r w:rsidR="00B907CE">
        <w:rPr>
          <w:rFonts w:asciiTheme="minorHAnsi" w:hAnsiTheme="minorHAnsi" w:cstheme="minorHAnsi"/>
          <w:color w:val="000000" w:themeColor="text1"/>
        </w:rPr>
        <w:t xml:space="preserve">with a </w:t>
      </w:r>
      <w:r w:rsidR="00512FB9">
        <w:rPr>
          <w:rFonts w:asciiTheme="minorHAnsi" w:hAnsiTheme="minorHAnsi" w:cstheme="minorHAnsi"/>
          <w:color w:val="000000" w:themeColor="text1"/>
        </w:rPr>
        <w:t xml:space="preserve">confirmed </w:t>
      </w:r>
      <w:r w:rsidRPr="0054344F">
        <w:rPr>
          <w:rFonts w:asciiTheme="minorHAnsi" w:hAnsiTheme="minorHAnsi" w:cstheme="minorHAnsi"/>
          <w:color w:val="000000" w:themeColor="text1"/>
        </w:rPr>
        <w:t>diagnos</w:t>
      </w:r>
      <w:r w:rsidR="00B907CE">
        <w:rPr>
          <w:rFonts w:asciiTheme="minorHAnsi" w:hAnsiTheme="minorHAnsi" w:cstheme="minorHAnsi"/>
          <w:color w:val="000000" w:themeColor="text1"/>
        </w:rPr>
        <w:t>is of</w:t>
      </w:r>
      <w:r w:rsidRPr="0054344F">
        <w:rPr>
          <w:rFonts w:asciiTheme="minorHAnsi" w:hAnsiTheme="minorHAnsi" w:cstheme="minorHAnsi"/>
          <w:color w:val="000000" w:themeColor="text1"/>
        </w:rPr>
        <w:t xml:space="preserve"> PE</w:t>
      </w:r>
      <w:r w:rsidR="008B4F49">
        <w:rPr>
          <w:rFonts w:asciiTheme="minorHAnsi" w:hAnsiTheme="minorHAnsi" w:cstheme="minorHAnsi"/>
          <w:color w:val="000000" w:themeColor="text1"/>
        </w:rPr>
        <w:t xml:space="preserve"> using current </w:t>
      </w:r>
      <w:r w:rsidR="007400E5">
        <w:rPr>
          <w:rFonts w:asciiTheme="minorHAnsi" w:hAnsiTheme="minorHAnsi" w:cstheme="minorHAnsi"/>
          <w:color w:val="000000" w:themeColor="text1"/>
        </w:rPr>
        <w:t>standard</w:t>
      </w:r>
      <w:r w:rsidR="008B4F49">
        <w:rPr>
          <w:rFonts w:asciiTheme="minorHAnsi" w:hAnsiTheme="minorHAnsi" w:cstheme="minorHAnsi"/>
          <w:color w:val="000000" w:themeColor="text1"/>
        </w:rPr>
        <w:t xml:space="preserve"> tests</w:t>
      </w:r>
      <w:r w:rsidRPr="0054344F">
        <w:rPr>
          <w:rFonts w:asciiTheme="minorHAnsi" w:hAnsiTheme="minorHAnsi" w:cstheme="minorHAnsi"/>
          <w:color w:val="000000" w:themeColor="text1"/>
        </w:rPr>
        <w:t xml:space="preserve"> (prognostic testing population</w:t>
      </w:r>
      <w:r w:rsidR="00531CE2">
        <w:rPr>
          <w:rFonts w:asciiTheme="minorHAnsi" w:hAnsiTheme="minorHAnsi" w:cstheme="minorHAnsi"/>
          <w:color w:val="000000" w:themeColor="text1"/>
        </w:rPr>
        <w:t xml:space="preserve"> for </w:t>
      </w:r>
      <w:r w:rsidR="00196B9D">
        <w:rPr>
          <w:rFonts w:asciiTheme="minorHAnsi" w:hAnsiTheme="minorHAnsi" w:cstheme="minorHAnsi"/>
          <w:color w:val="000000" w:themeColor="text1"/>
        </w:rPr>
        <w:t xml:space="preserve">severity </w:t>
      </w:r>
      <w:r w:rsidR="00531CE2">
        <w:rPr>
          <w:rFonts w:asciiTheme="minorHAnsi" w:hAnsiTheme="minorHAnsi" w:cstheme="minorHAnsi"/>
          <w:color w:val="000000" w:themeColor="text1"/>
        </w:rPr>
        <w:t>assessment</w:t>
      </w:r>
      <w:r w:rsidRPr="0054344F">
        <w:rPr>
          <w:rFonts w:asciiTheme="minorHAnsi" w:hAnsiTheme="minorHAnsi" w:cstheme="minorHAnsi"/>
          <w:color w:val="000000" w:themeColor="text1"/>
        </w:rPr>
        <w:t>)</w:t>
      </w:r>
      <w:r w:rsidR="0080792B">
        <w:rPr>
          <w:rFonts w:asciiTheme="minorHAnsi" w:hAnsiTheme="minorHAnsi" w:cstheme="minorHAnsi"/>
          <w:color w:val="000000" w:themeColor="text1"/>
        </w:rPr>
        <w:t>.</w:t>
      </w:r>
    </w:p>
    <w:p w14:paraId="034C91AC" w14:textId="0C361DBF" w:rsidR="00E75882" w:rsidRPr="001958F9" w:rsidRDefault="00E75882" w:rsidP="0080792B">
      <w:pPr>
        <w:shd w:val="clear" w:color="auto" w:fill="FFFFFF" w:themeFill="background1"/>
        <w:rPr>
          <w:color w:val="000000" w:themeColor="text1"/>
        </w:rPr>
      </w:pPr>
      <w:r w:rsidRPr="001958F9">
        <w:rPr>
          <w:color w:val="000000" w:themeColor="text1"/>
        </w:rPr>
        <w:t xml:space="preserve">PE is a multisystem pregnancy disorder characterised by variable degrees of placental </w:t>
      </w:r>
      <w:proofErr w:type="spellStart"/>
      <w:r w:rsidRPr="001958F9">
        <w:rPr>
          <w:color w:val="000000" w:themeColor="text1"/>
        </w:rPr>
        <w:t>malperfusion</w:t>
      </w:r>
      <w:proofErr w:type="spellEnd"/>
      <w:r w:rsidRPr="001958F9">
        <w:rPr>
          <w:color w:val="000000" w:themeColor="text1"/>
        </w:rPr>
        <w:t xml:space="preserve">. The release of soluble factors into the circulation causes maternal vascular endothelial injury leading to hypertension and multi-organ injury </w:t>
      </w:r>
      <w:r>
        <w:rPr>
          <w:noProof/>
          <w:color w:val="000000" w:themeColor="text1"/>
        </w:rPr>
        <w:t>[1]</w:t>
      </w:r>
      <w:r w:rsidRPr="001958F9">
        <w:rPr>
          <w:color w:val="000000" w:themeColor="text1"/>
        </w:rPr>
        <w:t xml:space="preserve">. The Task Force on Hypertension in Pregnancy considers the diagnosis of PE as </w:t>
      </w:r>
      <w:r>
        <w:rPr>
          <w:color w:val="000000" w:themeColor="text1"/>
        </w:rPr>
        <w:t xml:space="preserve">new onset </w:t>
      </w:r>
      <w:r w:rsidRPr="001958F9">
        <w:rPr>
          <w:color w:val="000000" w:themeColor="text1"/>
        </w:rPr>
        <w:t>blood pressure &gt;140/90</w:t>
      </w:r>
      <w:r>
        <w:rPr>
          <w:color w:val="000000" w:themeColor="text1"/>
        </w:rPr>
        <w:t xml:space="preserve"> mmHg</w:t>
      </w:r>
      <w:r w:rsidRPr="001958F9">
        <w:rPr>
          <w:color w:val="000000" w:themeColor="text1"/>
        </w:rPr>
        <w:t xml:space="preserve"> after 20 weeks of pregnancy and either proteinuria ≥300 mg/24 hour</w:t>
      </w:r>
      <w:r w:rsidR="00921315">
        <w:rPr>
          <w:color w:val="000000" w:themeColor="text1"/>
        </w:rPr>
        <w:t>s</w:t>
      </w:r>
      <w:r w:rsidRPr="001958F9">
        <w:rPr>
          <w:color w:val="000000" w:themeColor="text1"/>
        </w:rPr>
        <w:t xml:space="preserve"> or protein: creatinine ratio ≥0.3</w:t>
      </w:r>
      <w:r>
        <w:rPr>
          <w:color w:val="000000" w:themeColor="text1"/>
        </w:rPr>
        <w:t xml:space="preserve"> mg/24 hour</w:t>
      </w:r>
      <w:r w:rsidR="00921315">
        <w:rPr>
          <w:color w:val="000000" w:themeColor="text1"/>
        </w:rPr>
        <w:t>s</w:t>
      </w:r>
      <w:r w:rsidRPr="001958F9">
        <w:rPr>
          <w:color w:val="000000" w:themeColor="text1"/>
        </w:rPr>
        <w:t xml:space="preserve"> or one of the following: thrombocytopenia, elevated liver transaminases, pulmonary </w:t>
      </w:r>
      <w:r>
        <w:rPr>
          <w:color w:val="000000" w:themeColor="text1"/>
        </w:rPr>
        <w:t>o</w:t>
      </w:r>
      <w:r w:rsidRPr="001958F9">
        <w:rPr>
          <w:color w:val="000000" w:themeColor="text1"/>
        </w:rPr>
        <w:t xml:space="preserve">edema, new-onset renal insufficiency, or cerebral or visual disturbances </w:t>
      </w:r>
      <w:r>
        <w:rPr>
          <w:noProof/>
          <w:color w:val="000000" w:themeColor="text1"/>
        </w:rPr>
        <w:t>[2]</w:t>
      </w:r>
      <w:r w:rsidRPr="001958F9">
        <w:rPr>
          <w:color w:val="000000" w:themeColor="text1"/>
        </w:rPr>
        <w:t>.</w:t>
      </w:r>
    </w:p>
    <w:p w14:paraId="2B7D2144" w14:textId="566B1081" w:rsidR="00E75882" w:rsidRPr="001958F9" w:rsidRDefault="00E75882" w:rsidP="00EF551E">
      <w:pPr>
        <w:shd w:val="clear" w:color="auto" w:fill="FFFFFF" w:themeFill="background1"/>
        <w:spacing w:after="0"/>
        <w:jc w:val="both"/>
        <w:rPr>
          <w:color w:val="000000" w:themeColor="text1"/>
        </w:rPr>
      </w:pPr>
      <w:r w:rsidRPr="001958F9">
        <w:rPr>
          <w:color w:val="000000" w:themeColor="text1"/>
        </w:rPr>
        <w:t>PE can be subclassified</w:t>
      </w:r>
      <w:r>
        <w:rPr>
          <w:color w:val="000000" w:themeColor="text1"/>
        </w:rPr>
        <w:t xml:space="preserve"> (</w:t>
      </w:r>
      <w:r w:rsidR="00BA786F">
        <w:rPr>
          <w:color w:val="000000" w:themeColor="text1"/>
        </w:rPr>
        <w:t xml:space="preserve">not </w:t>
      </w:r>
      <w:r w:rsidRPr="004A7D22">
        <w:rPr>
          <w:color w:val="000000" w:themeColor="text1"/>
        </w:rPr>
        <w:t>mutually exclusive)</w:t>
      </w:r>
      <w:r w:rsidRPr="001958F9">
        <w:rPr>
          <w:color w:val="000000" w:themeColor="text1"/>
        </w:rPr>
        <w:t xml:space="preserve"> into </w:t>
      </w:r>
      <w:r>
        <w:rPr>
          <w:noProof/>
          <w:color w:val="000000" w:themeColor="text1"/>
        </w:rPr>
        <w:t>[3]</w:t>
      </w:r>
      <w:r w:rsidRPr="001958F9">
        <w:rPr>
          <w:color w:val="000000" w:themeColor="text1"/>
        </w:rPr>
        <w:t>:</w:t>
      </w:r>
    </w:p>
    <w:p w14:paraId="7A7206DE" w14:textId="77777777" w:rsidR="00E75882" w:rsidRPr="001958F9" w:rsidRDefault="00E75882" w:rsidP="00EF551E">
      <w:pPr>
        <w:shd w:val="clear" w:color="auto" w:fill="FFFFFF" w:themeFill="background1"/>
        <w:spacing w:after="0"/>
        <w:jc w:val="both"/>
        <w:rPr>
          <w:color w:val="000000" w:themeColor="text1"/>
        </w:rPr>
      </w:pPr>
      <w:r w:rsidRPr="001958F9">
        <w:rPr>
          <w:color w:val="000000" w:themeColor="text1"/>
        </w:rPr>
        <w:t>1. Early-onset PE (with delivery at &lt;34</w:t>
      </w:r>
      <w:r w:rsidRPr="00D62019">
        <w:rPr>
          <w:color w:val="000000" w:themeColor="text1"/>
          <w:vertAlign w:val="superscript"/>
        </w:rPr>
        <w:t xml:space="preserve">+0 </w:t>
      </w:r>
      <w:r w:rsidRPr="001958F9">
        <w:rPr>
          <w:color w:val="000000" w:themeColor="text1"/>
        </w:rPr>
        <w:t>weeks of gestation).</w:t>
      </w:r>
    </w:p>
    <w:p w14:paraId="037E6957" w14:textId="20AF6911" w:rsidR="00E75882" w:rsidRPr="001958F9" w:rsidRDefault="00E75882" w:rsidP="00EF551E">
      <w:pPr>
        <w:shd w:val="clear" w:color="auto" w:fill="FFFFFF" w:themeFill="background1"/>
        <w:spacing w:after="0"/>
        <w:jc w:val="both"/>
        <w:rPr>
          <w:color w:val="000000" w:themeColor="text1"/>
        </w:rPr>
      </w:pPr>
      <w:r w:rsidRPr="001958F9">
        <w:rPr>
          <w:color w:val="000000" w:themeColor="text1"/>
        </w:rPr>
        <w:t>2. Preterm PE (with delivery at &lt;37</w:t>
      </w:r>
      <w:r w:rsidRPr="00D62019">
        <w:rPr>
          <w:color w:val="000000" w:themeColor="text1"/>
          <w:vertAlign w:val="superscript"/>
        </w:rPr>
        <w:t>+0</w:t>
      </w:r>
      <w:r w:rsidRPr="001958F9">
        <w:rPr>
          <w:color w:val="000000" w:themeColor="text1"/>
        </w:rPr>
        <w:t xml:space="preserve"> weeks of gestation).</w:t>
      </w:r>
    </w:p>
    <w:p w14:paraId="239BD74B" w14:textId="77777777" w:rsidR="00E75882" w:rsidRPr="001958F9" w:rsidRDefault="00E75882" w:rsidP="00EF551E">
      <w:pPr>
        <w:shd w:val="clear" w:color="auto" w:fill="FFFFFF" w:themeFill="background1"/>
        <w:spacing w:after="0"/>
        <w:jc w:val="both"/>
        <w:rPr>
          <w:color w:val="000000" w:themeColor="text1"/>
        </w:rPr>
      </w:pPr>
      <w:r w:rsidRPr="001958F9">
        <w:rPr>
          <w:color w:val="000000" w:themeColor="text1"/>
        </w:rPr>
        <w:t>3. Late-onset PE (with delivery at ≥34</w:t>
      </w:r>
      <w:r w:rsidRPr="00D62019">
        <w:rPr>
          <w:color w:val="000000" w:themeColor="text1"/>
          <w:vertAlign w:val="superscript"/>
        </w:rPr>
        <w:t>+0</w:t>
      </w:r>
      <w:r w:rsidRPr="001958F9">
        <w:rPr>
          <w:color w:val="000000" w:themeColor="text1"/>
        </w:rPr>
        <w:t xml:space="preserve"> weeks of gestation).</w:t>
      </w:r>
    </w:p>
    <w:p w14:paraId="2C9F23ED" w14:textId="77777777" w:rsidR="00E75882" w:rsidRPr="001958F9" w:rsidRDefault="00E75882" w:rsidP="00EF551E">
      <w:pPr>
        <w:shd w:val="clear" w:color="auto" w:fill="FFFFFF" w:themeFill="background1"/>
        <w:spacing w:after="0"/>
        <w:jc w:val="both"/>
        <w:rPr>
          <w:color w:val="000000" w:themeColor="text1"/>
        </w:rPr>
      </w:pPr>
      <w:r w:rsidRPr="001958F9">
        <w:rPr>
          <w:color w:val="000000" w:themeColor="text1"/>
        </w:rPr>
        <w:t>4. Term PE (with delivery at ≥37</w:t>
      </w:r>
      <w:r w:rsidRPr="00D62019">
        <w:rPr>
          <w:color w:val="000000" w:themeColor="text1"/>
          <w:vertAlign w:val="superscript"/>
        </w:rPr>
        <w:t>+0</w:t>
      </w:r>
      <w:r w:rsidRPr="001958F9">
        <w:rPr>
          <w:color w:val="000000" w:themeColor="text1"/>
        </w:rPr>
        <w:t xml:space="preserve"> weeks of gestation).</w:t>
      </w:r>
    </w:p>
    <w:p w14:paraId="7032001B" w14:textId="77777777" w:rsidR="00E75882" w:rsidRPr="001958F9" w:rsidRDefault="00E75882" w:rsidP="00EF551E">
      <w:pPr>
        <w:shd w:val="clear" w:color="auto" w:fill="FFFFFF" w:themeFill="background1"/>
        <w:spacing w:after="0" w:line="240" w:lineRule="auto"/>
        <w:jc w:val="both"/>
        <w:rPr>
          <w:color w:val="000000" w:themeColor="text1"/>
        </w:rPr>
      </w:pPr>
    </w:p>
    <w:p w14:paraId="493AF0D0" w14:textId="2A28E1B4" w:rsidR="00E75882" w:rsidRPr="001958F9" w:rsidRDefault="00E75882" w:rsidP="0080792B">
      <w:pPr>
        <w:shd w:val="clear" w:color="auto" w:fill="FFFFFF" w:themeFill="background1"/>
        <w:rPr>
          <w:color w:val="000000" w:themeColor="text1"/>
        </w:rPr>
      </w:pPr>
      <w:r w:rsidRPr="001958F9">
        <w:rPr>
          <w:color w:val="000000" w:themeColor="text1"/>
        </w:rPr>
        <w:t xml:space="preserve">The placental disease can trigger </w:t>
      </w:r>
      <w:proofErr w:type="spellStart"/>
      <w:r w:rsidRPr="001958F9">
        <w:rPr>
          <w:color w:val="000000" w:themeColor="text1"/>
        </w:rPr>
        <w:t>fetal</w:t>
      </w:r>
      <w:proofErr w:type="spellEnd"/>
      <w:r w:rsidRPr="001958F9">
        <w:rPr>
          <w:color w:val="000000" w:themeColor="text1"/>
        </w:rPr>
        <w:t xml:space="preserve"> growth restriction and stillbirth. PE is a significant cause of maternal and perinatal mortality and morbidity, especially in low-income and middle-income countries </w:t>
      </w:r>
      <w:r>
        <w:rPr>
          <w:noProof/>
          <w:color w:val="000000" w:themeColor="text1"/>
        </w:rPr>
        <w:t>[3, 4]</w:t>
      </w:r>
      <w:r w:rsidRPr="001958F9">
        <w:rPr>
          <w:color w:val="000000" w:themeColor="text1"/>
        </w:rPr>
        <w:t xml:space="preserve">. For the mother, PE is associated with a two- to four-fold increased risk of long-term hypertension, a doubling of cardiovascular mortality and major adverse cardiovascular events, and an increased risk of stroke </w:t>
      </w:r>
      <w:r>
        <w:rPr>
          <w:noProof/>
          <w:color w:val="000000" w:themeColor="text1"/>
        </w:rPr>
        <w:t>[3, 5]</w:t>
      </w:r>
      <w:r w:rsidRPr="001958F9">
        <w:rPr>
          <w:color w:val="000000" w:themeColor="text1"/>
        </w:rPr>
        <w:t xml:space="preserve">. For the </w:t>
      </w:r>
      <w:proofErr w:type="spellStart"/>
      <w:r w:rsidRPr="001958F9">
        <w:rPr>
          <w:color w:val="000000" w:themeColor="text1"/>
        </w:rPr>
        <w:t>fetus</w:t>
      </w:r>
      <w:proofErr w:type="spellEnd"/>
      <w:r w:rsidRPr="001958F9">
        <w:rPr>
          <w:color w:val="000000" w:themeColor="text1"/>
        </w:rPr>
        <w:t xml:space="preserve">, this means </w:t>
      </w:r>
      <w:r>
        <w:rPr>
          <w:color w:val="000000" w:themeColor="text1"/>
        </w:rPr>
        <w:t xml:space="preserve">there is an increased risk </w:t>
      </w:r>
      <w:r w:rsidRPr="001958F9">
        <w:rPr>
          <w:color w:val="000000" w:themeColor="text1"/>
        </w:rPr>
        <w:t>antenata</w:t>
      </w:r>
      <w:r>
        <w:rPr>
          <w:color w:val="000000" w:themeColor="text1"/>
        </w:rPr>
        <w:t>l</w:t>
      </w:r>
      <w:r w:rsidRPr="001958F9">
        <w:rPr>
          <w:color w:val="000000" w:themeColor="text1"/>
        </w:rPr>
        <w:t>l</w:t>
      </w:r>
      <w:r>
        <w:rPr>
          <w:color w:val="000000" w:themeColor="text1"/>
        </w:rPr>
        <w:t>y</w:t>
      </w:r>
      <w:r w:rsidRPr="001958F9">
        <w:rPr>
          <w:color w:val="000000" w:themeColor="text1"/>
        </w:rPr>
        <w:t xml:space="preserve"> of intra-uterine growth restriction, preterm birth (most commonly iatrogenic), oligohydramnios, placental abruption, </w:t>
      </w:r>
      <w:proofErr w:type="spellStart"/>
      <w:r>
        <w:rPr>
          <w:color w:val="000000" w:themeColor="text1"/>
        </w:rPr>
        <w:t>fetal</w:t>
      </w:r>
      <w:proofErr w:type="spellEnd"/>
      <w:r w:rsidRPr="001958F9">
        <w:rPr>
          <w:color w:val="000000" w:themeColor="text1"/>
        </w:rPr>
        <w:t xml:space="preserve"> distress, and </w:t>
      </w:r>
      <w:proofErr w:type="spellStart"/>
      <w:r>
        <w:rPr>
          <w:color w:val="000000" w:themeColor="text1"/>
        </w:rPr>
        <w:t>fetal</w:t>
      </w:r>
      <w:proofErr w:type="spellEnd"/>
      <w:r w:rsidRPr="001958F9">
        <w:rPr>
          <w:color w:val="000000" w:themeColor="text1"/>
        </w:rPr>
        <w:t xml:space="preserve"> death in utero </w:t>
      </w:r>
      <w:r>
        <w:rPr>
          <w:noProof/>
          <w:color w:val="000000" w:themeColor="text1"/>
        </w:rPr>
        <w:t>[1, 3, 5, 6]</w:t>
      </w:r>
      <w:r w:rsidRPr="001958F9">
        <w:rPr>
          <w:color w:val="000000" w:themeColor="text1"/>
        </w:rPr>
        <w:t>.</w:t>
      </w:r>
    </w:p>
    <w:p w14:paraId="75352FB4" w14:textId="77777777" w:rsidR="00E75882" w:rsidRPr="001958F9" w:rsidRDefault="00E75882" w:rsidP="00EF551E">
      <w:pPr>
        <w:shd w:val="clear" w:color="auto" w:fill="FFFFFF" w:themeFill="background1"/>
        <w:jc w:val="both"/>
        <w:rPr>
          <w:i/>
          <w:iCs/>
          <w:color w:val="000000" w:themeColor="text1"/>
          <w:u w:val="single"/>
        </w:rPr>
      </w:pPr>
      <w:r w:rsidRPr="001958F9">
        <w:rPr>
          <w:i/>
          <w:iCs/>
          <w:color w:val="000000" w:themeColor="text1"/>
          <w:u w:val="single"/>
        </w:rPr>
        <w:t>Incidence of PE</w:t>
      </w:r>
    </w:p>
    <w:p w14:paraId="14740BEC" w14:textId="045E74FE" w:rsidR="00E75882" w:rsidRPr="001958F9" w:rsidRDefault="00E75882" w:rsidP="0080792B">
      <w:pPr>
        <w:shd w:val="clear" w:color="auto" w:fill="FFFFFF" w:themeFill="background1"/>
        <w:rPr>
          <w:color w:val="000000" w:themeColor="text1"/>
        </w:rPr>
      </w:pPr>
      <w:r w:rsidRPr="001958F9">
        <w:rPr>
          <w:color w:val="000000" w:themeColor="text1"/>
        </w:rPr>
        <w:lastRenderedPageBreak/>
        <w:t xml:space="preserve">The incidence of PE in the general population is 2% to 3% in </w:t>
      </w:r>
      <w:r>
        <w:rPr>
          <w:color w:val="000000" w:themeColor="text1"/>
        </w:rPr>
        <w:t>developed countries</w:t>
      </w:r>
      <w:r w:rsidRPr="001958F9">
        <w:rPr>
          <w:color w:val="000000" w:themeColor="text1"/>
        </w:rPr>
        <w:t xml:space="preserve">, which rises to almost 20% in high-risk pregnant women </w:t>
      </w:r>
      <w:r>
        <w:rPr>
          <w:noProof/>
          <w:color w:val="000000" w:themeColor="text1"/>
        </w:rPr>
        <w:t>[7, 8]</w:t>
      </w:r>
      <w:r w:rsidRPr="001958F9">
        <w:rPr>
          <w:color w:val="000000" w:themeColor="text1"/>
        </w:rPr>
        <w:t xml:space="preserve">). Others have stated that PE affects 3–8% </w:t>
      </w:r>
      <w:r>
        <w:rPr>
          <w:noProof/>
          <w:color w:val="000000" w:themeColor="text1"/>
        </w:rPr>
        <w:t>[9]</w:t>
      </w:r>
      <w:r w:rsidRPr="001958F9">
        <w:rPr>
          <w:color w:val="000000" w:themeColor="text1"/>
        </w:rPr>
        <w:t xml:space="preserve"> and ≈2% to 10% </w:t>
      </w:r>
      <w:r>
        <w:rPr>
          <w:noProof/>
          <w:color w:val="000000" w:themeColor="text1"/>
        </w:rPr>
        <w:t>[10]</w:t>
      </w:r>
      <w:r w:rsidRPr="001958F9">
        <w:rPr>
          <w:color w:val="000000" w:themeColor="text1"/>
        </w:rPr>
        <w:t xml:space="preserve"> of pregnant women. </w:t>
      </w:r>
      <w:r>
        <w:rPr>
          <w:noProof/>
          <w:color w:val="000000" w:themeColor="text1"/>
        </w:rPr>
        <w:t>Thornton et al. [11]</w:t>
      </w:r>
      <w:r w:rsidRPr="001958F9">
        <w:rPr>
          <w:color w:val="000000" w:themeColor="text1"/>
        </w:rPr>
        <w:t xml:space="preserve"> found an overall prevalence of PE between 2000 and 2008 of around 3% with datasets of singleton births in New South Wales.</w:t>
      </w:r>
    </w:p>
    <w:p w14:paraId="1F28A5CE" w14:textId="3989474F" w:rsidR="00B25F03" w:rsidRDefault="00E75882" w:rsidP="0080792B">
      <w:pPr>
        <w:shd w:val="clear" w:color="auto" w:fill="FFFFFF" w:themeFill="background1"/>
        <w:rPr>
          <w:color w:val="000000" w:themeColor="text1"/>
        </w:rPr>
      </w:pPr>
      <w:r w:rsidRPr="00CE65A4">
        <w:rPr>
          <w:color w:val="000000" w:themeColor="text1"/>
        </w:rPr>
        <w:t xml:space="preserve">Existing chronic hypertension is a risk factor for </w:t>
      </w:r>
      <w:r w:rsidR="002B2F56" w:rsidRPr="00CE65A4">
        <w:rPr>
          <w:color w:val="000000" w:themeColor="text1"/>
        </w:rPr>
        <w:t>PE,</w:t>
      </w:r>
      <w:r>
        <w:rPr>
          <w:color w:val="000000" w:themeColor="text1"/>
        </w:rPr>
        <w:t xml:space="preserve"> and </w:t>
      </w:r>
      <w:r w:rsidR="00BA786F">
        <w:rPr>
          <w:color w:val="000000" w:themeColor="text1"/>
        </w:rPr>
        <w:t xml:space="preserve">it is </w:t>
      </w:r>
      <w:r w:rsidRPr="001958F9">
        <w:rPr>
          <w:color w:val="000000" w:themeColor="text1"/>
        </w:rPr>
        <w:t xml:space="preserve">becoming more prevalent in women of childbearing age and the Indigenous population in Australia. Between 2008 and 2012, complications from PE accounted for 18.4% (9 out of 49) of direct maternal deaths in Australia </w:t>
      </w:r>
      <w:r>
        <w:rPr>
          <w:noProof/>
          <w:color w:val="000000" w:themeColor="text1"/>
        </w:rPr>
        <w:t>[12]</w:t>
      </w:r>
      <w:r w:rsidRPr="001958F9">
        <w:rPr>
          <w:color w:val="000000" w:themeColor="text1"/>
        </w:rPr>
        <w:t>. According to the Maternity and Neonatal Clinical Guideline of Queensland, there were 364,194 pregnancies between 2014–2019 and among them</w:t>
      </w:r>
      <w:r>
        <w:rPr>
          <w:color w:val="000000" w:themeColor="text1"/>
        </w:rPr>
        <w:t>,</w:t>
      </w:r>
      <w:r w:rsidRPr="001958F9">
        <w:rPr>
          <w:color w:val="000000" w:themeColor="text1"/>
        </w:rPr>
        <w:t xml:space="preserve"> gestational hypertension affected 9,692 women, and PE affected 8,463 women (2.3%) </w:t>
      </w:r>
      <w:r>
        <w:rPr>
          <w:noProof/>
          <w:color w:val="000000" w:themeColor="text1"/>
        </w:rPr>
        <w:t>[13]</w:t>
      </w:r>
      <w:r w:rsidRPr="001958F9">
        <w:rPr>
          <w:color w:val="000000" w:themeColor="text1"/>
        </w:rPr>
        <w:t>.</w:t>
      </w:r>
    </w:p>
    <w:p w14:paraId="42FA1634" w14:textId="4281C8F2" w:rsidR="00E75882" w:rsidRDefault="00E75882" w:rsidP="0080792B">
      <w:pPr>
        <w:shd w:val="clear" w:color="auto" w:fill="FFFFFF" w:themeFill="background1"/>
        <w:rPr>
          <w:color w:val="000000" w:themeColor="text1"/>
        </w:rPr>
      </w:pPr>
      <w:r w:rsidRPr="001958F9">
        <w:rPr>
          <w:color w:val="000000" w:themeColor="text1"/>
        </w:rPr>
        <w:t>The application indicated that approximately 1,200 infants are born prematurely (&lt;34 weeks) in Australia because of maternal PE each year</w:t>
      </w:r>
      <w:r>
        <w:rPr>
          <w:color w:val="000000" w:themeColor="text1"/>
        </w:rPr>
        <w:t xml:space="preserve"> (p18 of the application)</w:t>
      </w:r>
      <w:r w:rsidRPr="001958F9">
        <w:rPr>
          <w:color w:val="000000" w:themeColor="text1"/>
        </w:rPr>
        <w:t>.</w:t>
      </w:r>
      <w:r w:rsidR="00B25F03">
        <w:rPr>
          <w:color w:val="000000" w:themeColor="text1"/>
        </w:rPr>
        <w:t xml:space="preserve"> </w:t>
      </w:r>
      <w:r w:rsidR="00B25F03" w:rsidRPr="00B25F03">
        <w:rPr>
          <w:color w:val="000000" w:themeColor="text1"/>
        </w:rPr>
        <w:t>According to the Australian preterm birth prevention alliance</w:t>
      </w:r>
      <w:r w:rsidR="00B25F03">
        <w:rPr>
          <w:rStyle w:val="FootnoteReference"/>
          <w:color w:val="000000" w:themeColor="text1"/>
        </w:rPr>
        <w:footnoteReference w:id="1"/>
      </w:r>
      <w:r w:rsidR="00B25F03" w:rsidRPr="00B25F03">
        <w:rPr>
          <w:color w:val="000000" w:themeColor="text1"/>
        </w:rPr>
        <w:t xml:space="preserve">, more than 26,000 Australian babies are born preterm each year. </w:t>
      </w:r>
      <w:r w:rsidR="00495A5F" w:rsidRPr="00996206">
        <w:rPr>
          <w:color w:val="000000" w:themeColor="text1"/>
        </w:rPr>
        <w:t>The l</w:t>
      </w:r>
      <w:r w:rsidR="00495A5F">
        <w:rPr>
          <w:color w:val="000000" w:themeColor="text1"/>
        </w:rPr>
        <w:t>atest</w:t>
      </w:r>
      <w:r w:rsidR="00495A5F" w:rsidRPr="00996206">
        <w:rPr>
          <w:color w:val="000000" w:themeColor="text1"/>
        </w:rPr>
        <w:t xml:space="preserve"> annual report from the Australian and New Zealand Neonatal </w:t>
      </w:r>
      <w:r w:rsidR="00495A5F">
        <w:rPr>
          <w:color w:val="000000" w:themeColor="text1"/>
        </w:rPr>
        <w:t>N</w:t>
      </w:r>
      <w:r w:rsidR="00495A5F" w:rsidRPr="00996206">
        <w:rPr>
          <w:color w:val="000000" w:themeColor="text1"/>
        </w:rPr>
        <w:t>etwork</w:t>
      </w:r>
      <w:r w:rsidR="00CC64EF">
        <w:rPr>
          <w:rStyle w:val="FootnoteReference"/>
          <w:color w:val="000000" w:themeColor="text1"/>
        </w:rPr>
        <w:footnoteReference w:id="2"/>
      </w:r>
      <w:r w:rsidR="00495A5F" w:rsidRPr="00996206">
        <w:rPr>
          <w:color w:val="000000" w:themeColor="text1"/>
        </w:rPr>
        <w:t xml:space="preserve"> </w:t>
      </w:r>
      <w:r w:rsidR="001C6072">
        <w:rPr>
          <w:color w:val="000000" w:themeColor="text1"/>
        </w:rPr>
        <w:t>indicated</w:t>
      </w:r>
      <w:r w:rsidR="00495A5F" w:rsidRPr="00996206">
        <w:rPr>
          <w:color w:val="000000" w:themeColor="text1"/>
        </w:rPr>
        <w:t xml:space="preserve"> that in 2019, there were 947 infants liveborn &lt;34 weeks to mothers with hypertension in pregnancy, and 518 with intrauterine growth retardation</w:t>
      </w:r>
      <w:r w:rsidR="00495A5F">
        <w:rPr>
          <w:color w:val="000000" w:themeColor="text1"/>
        </w:rPr>
        <w:t xml:space="preserve"> (among 11,195 infants liveborn &lt;34 weeks’ gestation)</w:t>
      </w:r>
      <w:r w:rsidR="00495A5F" w:rsidRPr="00996206">
        <w:rPr>
          <w:color w:val="000000" w:themeColor="text1"/>
        </w:rPr>
        <w:t>.</w:t>
      </w:r>
    </w:p>
    <w:p w14:paraId="62C06783" w14:textId="0694FB15" w:rsidR="00531200" w:rsidRPr="00102FB5" w:rsidRDefault="00531200" w:rsidP="00531200">
      <w:pPr>
        <w:shd w:val="clear" w:color="auto" w:fill="FFFFFF" w:themeFill="background1"/>
        <w:rPr>
          <w:rFonts w:asciiTheme="minorHAnsi" w:hAnsiTheme="minorHAnsi" w:cstheme="minorHAnsi"/>
          <w:i/>
          <w:color w:val="000000" w:themeColor="text1"/>
        </w:rPr>
      </w:pPr>
      <w:r w:rsidRPr="00102FB5">
        <w:rPr>
          <w:rFonts w:asciiTheme="minorHAnsi" w:hAnsiTheme="minorHAnsi" w:cstheme="minorHAnsi"/>
          <w:i/>
          <w:color w:val="000000" w:themeColor="text1"/>
        </w:rPr>
        <w:t xml:space="preserve">PASC confirmed that the </w:t>
      </w:r>
      <w:r w:rsidR="00CA42C5">
        <w:rPr>
          <w:rFonts w:asciiTheme="minorHAnsi" w:hAnsiTheme="minorHAnsi" w:cstheme="minorHAnsi"/>
          <w:i/>
          <w:color w:val="000000" w:themeColor="text1"/>
        </w:rPr>
        <w:t>triage</w:t>
      </w:r>
      <w:r w:rsidR="00CA42C5" w:rsidRPr="00102FB5">
        <w:rPr>
          <w:rFonts w:asciiTheme="minorHAnsi" w:hAnsiTheme="minorHAnsi" w:cstheme="minorHAnsi"/>
          <w:i/>
          <w:color w:val="000000" w:themeColor="text1"/>
        </w:rPr>
        <w:t xml:space="preserve"> </w:t>
      </w:r>
      <w:r w:rsidRPr="00102FB5">
        <w:rPr>
          <w:rFonts w:asciiTheme="minorHAnsi" w:hAnsiTheme="minorHAnsi" w:cstheme="minorHAnsi"/>
          <w:i/>
          <w:color w:val="000000" w:themeColor="text1"/>
        </w:rPr>
        <w:t>testing population</w:t>
      </w:r>
      <w:r w:rsidR="00F27B7B">
        <w:rPr>
          <w:rFonts w:asciiTheme="minorHAnsi" w:hAnsiTheme="minorHAnsi" w:cstheme="minorHAnsi"/>
          <w:i/>
          <w:color w:val="000000" w:themeColor="text1"/>
        </w:rPr>
        <w:t xml:space="preserve"> (Population 1)</w:t>
      </w:r>
      <w:r w:rsidRPr="00102FB5">
        <w:rPr>
          <w:rFonts w:asciiTheme="minorHAnsi" w:hAnsiTheme="minorHAnsi" w:cstheme="minorHAnsi"/>
          <w:i/>
          <w:color w:val="000000" w:themeColor="text1"/>
        </w:rPr>
        <w:t xml:space="preserve"> is women presenting from 24</w:t>
      </w:r>
      <w:r w:rsidRPr="00D62019">
        <w:rPr>
          <w:rFonts w:asciiTheme="minorHAnsi" w:hAnsiTheme="minorHAnsi" w:cstheme="minorHAnsi"/>
          <w:i/>
          <w:color w:val="000000" w:themeColor="text1"/>
          <w:vertAlign w:val="superscript"/>
        </w:rPr>
        <w:t>+0</w:t>
      </w:r>
      <w:r w:rsidRPr="00102FB5">
        <w:rPr>
          <w:rFonts w:asciiTheme="minorHAnsi" w:hAnsiTheme="minorHAnsi" w:cstheme="minorHAnsi"/>
          <w:i/>
          <w:color w:val="000000" w:themeColor="text1"/>
        </w:rPr>
        <w:t xml:space="preserve"> weeks of gestation</w:t>
      </w:r>
      <w:r w:rsidR="00C00B40">
        <w:rPr>
          <w:rFonts w:asciiTheme="minorHAnsi" w:hAnsiTheme="minorHAnsi" w:cstheme="minorHAnsi"/>
          <w:i/>
          <w:color w:val="000000" w:themeColor="text1"/>
        </w:rPr>
        <w:t>: (</w:t>
      </w:r>
      <w:proofErr w:type="spellStart"/>
      <w:r w:rsidR="00C00B40">
        <w:rPr>
          <w:rFonts w:asciiTheme="minorHAnsi" w:hAnsiTheme="minorHAnsi" w:cstheme="minorHAnsi"/>
          <w:i/>
          <w:color w:val="000000" w:themeColor="text1"/>
        </w:rPr>
        <w:t>i</w:t>
      </w:r>
      <w:proofErr w:type="spellEnd"/>
      <w:r w:rsidR="00C00B40">
        <w:rPr>
          <w:rFonts w:asciiTheme="minorHAnsi" w:hAnsiTheme="minorHAnsi" w:cstheme="minorHAnsi"/>
          <w:i/>
          <w:color w:val="000000" w:themeColor="text1"/>
        </w:rPr>
        <w:t>)</w:t>
      </w:r>
      <w:r w:rsidRPr="00102FB5">
        <w:rPr>
          <w:rFonts w:asciiTheme="minorHAnsi" w:hAnsiTheme="minorHAnsi" w:cstheme="minorHAnsi"/>
          <w:i/>
          <w:color w:val="000000" w:themeColor="text1"/>
        </w:rPr>
        <w:t xml:space="preserve"> with signs and symptoms suggestive of</w:t>
      </w:r>
      <w:r>
        <w:rPr>
          <w:rFonts w:asciiTheme="minorHAnsi" w:hAnsiTheme="minorHAnsi" w:cstheme="minorHAnsi"/>
          <w:i/>
          <w:color w:val="000000" w:themeColor="text1"/>
        </w:rPr>
        <w:t xml:space="preserve"> </w:t>
      </w:r>
      <w:r w:rsidRPr="00102FB5">
        <w:rPr>
          <w:rFonts w:asciiTheme="minorHAnsi" w:hAnsiTheme="minorHAnsi" w:cstheme="minorHAnsi"/>
          <w:i/>
          <w:color w:val="000000" w:themeColor="text1"/>
        </w:rPr>
        <w:t>PE</w:t>
      </w:r>
      <w:r w:rsidR="00B72435">
        <w:rPr>
          <w:rFonts w:asciiTheme="minorHAnsi" w:hAnsiTheme="minorHAnsi" w:cstheme="minorHAnsi"/>
          <w:i/>
          <w:color w:val="000000" w:themeColor="text1"/>
        </w:rPr>
        <w:t xml:space="preserve">, or (ii) at increased risk </w:t>
      </w:r>
      <w:r w:rsidR="00334137">
        <w:rPr>
          <w:rFonts w:asciiTheme="minorHAnsi" w:hAnsiTheme="minorHAnsi" w:cstheme="minorHAnsi"/>
          <w:i/>
          <w:color w:val="000000" w:themeColor="text1"/>
        </w:rPr>
        <w:t>of</w:t>
      </w:r>
      <w:r w:rsidR="00B72435">
        <w:rPr>
          <w:rFonts w:asciiTheme="minorHAnsi" w:hAnsiTheme="minorHAnsi" w:cstheme="minorHAnsi"/>
          <w:i/>
          <w:color w:val="000000" w:themeColor="text1"/>
        </w:rPr>
        <w:t xml:space="preserve"> PE</w:t>
      </w:r>
      <w:r w:rsidR="00334137">
        <w:rPr>
          <w:rFonts w:asciiTheme="minorHAnsi" w:hAnsiTheme="minorHAnsi" w:cstheme="minorHAnsi"/>
          <w:i/>
          <w:color w:val="000000" w:themeColor="text1"/>
        </w:rPr>
        <w:t>,</w:t>
      </w:r>
      <w:r w:rsidR="00334137" w:rsidRPr="00334137">
        <w:rPr>
          <w:rFonts w:asciiTheme="minorHAnsi" w:hAnsiTheme="minorHAnsi" w:cstheme="minorHAnsi"/>
          <w:i/>
          <w:color w:val="000000" w:themeColor="text1"/>
        </w:rPr>
        <w:t xml:space="preserve"> </w:t>
      </w:r>
      <w:r w:rsidR="00334137" w:rsidRPr="00196B9D">
        <w:rPr>
          <w:rFonts w:asciiTheme="minorHAnsi" w:hAnsiTheme="minorHAnsi" w:cstheme="minorHAnsi"/>
          <w:i/>
          <w:color w:val="000000" w:themeColor="text1"/>
        </w:rPr>
        <w:t xml:space="preserve">due to maternal, </w:t>
      </w:r>
      <w:proofErr w:type="gramStart"/>
      <w:r w:rsidR="00334137" w:rsidRPr="00196B9D">
        <w:rPr>
          <w:rFonts w:asciiTheme="minorHAnsi" w:hAnsiTheme="minorHAnsi" w:cstheme="minorHAnsi"/>
          <w:i/>
          <w:color w:val="000000" w:themeColor="text1"/>
        </w:rPr>
        <w:t>gestational</w:t>
      </w:r>
      <w:proofErr w:type="gramEnd"/>
      <w:r w:rsidR="00334137" w:rsidRPr="00196B9D">
        <w:rPr>
          <w:rFonts w:asciiTheme="minorHAnsi" w:hAnsiTheme="minorHAnsi" w:cstheme="minorHAnsi"/>
          <w:i/>
          <w:color w:val="000000" w:themeColor="text1"/>
        </w:rPr>
        <w:t xml:space="preserve"> or other factors,</w:t>
      </w:r>
      <w:r w:rsidRPr="00102FB5">
        <w:rPr>
          <w:rFonts w:asciiTheme="minorHAnsi" w:hAnsiTheme="minorHAnsi" w:cstheme="minorHAnsi"/>
          <w:i/>
          <w:color w:val="000000" w:themeColor="text1"/>
        </w:rPr>
        <w:t xml:space="preserve"> </w:t>
      </w:r>
      <w:r w:rsidR="00C00B40">
        <w:rPr>
          <w:rFonts w:asciiTheme="minorHAnsi" w:hAnsiTheme="minorHAnsi" w:cstheme="minorHAnsi"/>
          <w:i/>
          <w:color w:val="000000" w:themeColor="text1"/>
        </w:rPr>
        <w:t>in the absence of signs and symptoms suggestive of PE</w:t>
      </w:r>
      <w:r w:rsidRPr="00102FB5">
        <w:rPr>
          <w:rFonts w:asciiTheme="minorHAnsi" w:hAnsiTheme="minorHAnsi" w:cstheme="minorHAnsi"/>
          <w:i/>
          <w:color w:val="000000" w:themeColor="text1"/>
        </w:rPr>
        <w:t>.</w:t>
      </w:r>
    </w:p>
    <w:p w14:paraId="0A500634" w14:textId="72803D1B" w:rsidR="00531200" w:rsidRPr="00102FB5" w:rsidRDefault="00531200" w:rsidP="00531200">
      <w:pPr>
        <w:shd w:val="clear" w:color="auto" w:fill="FFFFFF" w:themeFill="background1"/>
        <w:rPr>
          <w:rFonts w:asciiTheme="minorHAnsi" w:hAnsiTheme="minorHAnsi" w:cstheme="minorHAnsi"/>
          <w:i/>
          <w:color w:val="000000" w:themeColor="text1"/>
        </w:rPr>
      </w:pPr>
      <w:r w:rsidRPr="00102FB5">
        <w:rPr>
          <w:rFonts w:asciiTheme="minorHAnsi" w:hAnsiTheme="minorHAnsi" w:cstheme="minorHAnsi"/>
          <w:i/>
          <w:color w:val="000000" w:themeColor="text1"/>
        </w:rPr>
        <w:t>PASC confirmed that the prognostic testing population</w:t>
      </w:r>
      <w:r w:rsidR="00F27B7B">
        <w:rPr>
          <w:rFonts w:asciiTheme="minorHAnsi" w:hAnsiTheme="minorHAnsi" w:cstheme="minorHAnsi"/>
          <w:i/>
          <w:color w:val="000000" w:themeColor="text1"/>
        </w:rPr>
        <w:t xml:space="preserve"> (Population 2)</w:t>
      </w:r>
      <w:r w:rsidRPr="00102FB5">
        <w:rPr>
          <w:rFonts w:asciiTheme="minorHAnsi" w:hAnsiTheme="minorHAnsi" w:cstheme="minorHAnsi"/>
          <w:i/>
          <w:color w:val="000000" w:themeColor="text1"/>
        </w:rPr>
        <w:t xml:space="preserve"> is women presenting from 24</w:t>
      </w:r>
      <w:r w:rsidRPr="00D62019">
        <w:rPr>
          <w:rFonts w:asciiTheme="minorHAnsi" w:hAnsiTheme="minorHAnsi" w:cstheme="minorHAnsi"/>
          <w:i/>
          <w:color w:val="000000" w:themeColor="text1"/>
          <w:vertAlign w:val="superscript"/>
        </w:rPr>
        <w:t>+0</w:t>
      </w:r>
      <w:r w:rsidRPr="00102FB5">
        <w:rPr>
          <w:rFonts w:asciiTheme="minorHAnsi" w:hAnsiTheme="minorHAnsi" w:cstheme="minorHAnsi"/>
          <w:i/>
          <w:color w:val="000000" w:themeColor="text1"/>
        </w:rPr>
        <w:t xml:space="preserve"> weeks of gestation with a confirmed diagnosis of PE </w:t>
      </w:r>
      <w:r w:rsidR="00F27B7B" w:rsidRPr="006C6456">
        <w:rPr>
          <w:rFonts w:asciiTheme="minorHAnsi" w:hAnsiTheme="minorHAnsi" w:cstheme="minorHAnsi"/>
          <w:i/>
          <w:iCs/>
          <w:color w:val="000000" w:themeColor="text1"/>
        </w:rPr>
        <w:t xml:space="preserve">using current </w:t>
      </w:r>
      <w:r w:rsidR="007400E5">
        <w:rPr>
          <w:rFonts w:asciiTheme="minorHAnsi" w:hAnsiTheme="minorHAnsi" w:cstheme="minorHAnsi"/>
          <w:i/>
          <w:iCs/>
          <w:color w:val="000000" w:themeColor="text1"/>
        </w:rPr>
        <w:t>standard</w:t>
      </w:r>
      <w:r w:rsidR="00F27B7B" w:rsidRPr="006C6456">
        <w:rPr>
          <w:rFonts w:asciiTheme="minorHAnsi" w:hAnsiTheme="minorHAnsi" w:cstheme="minorHAnsi"/>
          <w:i/>
          <w:iCs/>
          <w:color w:val="000000" w:themeColor="text1"/>
        </w:rPr>
        <w:t xml:space="preserve"> tests</w:t>
      </w:r>
      <w:r w:rsidRPr="00102FB5">
        <w:rPr>
          <w:rFonts w:asciiTheme="minorHAnsi" w:hAnsiTheme="minorHAnsi" w:cstheme="minorHAnsi"/>
          <w:i/>
          <w:color w:val="000000" w:themeColor="text1"/>
        </w:rPr>
        <w:t>.</w:t>
      </w:r>
    </w:p>
    <w:p w14:paraId="0F32AEF2" w14:textId="77777777" w:rsidR="00E75882" w:rsidRPr="001958F9" w:rsidRDefault="00E75882" w:rsidP="00EF551E">
      <w:pPr>
        <w:shd w:val="clear" w:color="auto" w:fill="FFFFFF" w:themeFill="background1"/>
        <w:jc w:val="both"/>
        <w:rPr>
          <w:i/>
          <w:iCs/>
          <w:color w:val="000000" w:themeColor="text1"/>
          <w:u w:val="single"/>
        </w:rPr>
      </w:pPr>
      <w:r w:rsidRPr="001958F9">
        <w:rPr>
          <w:i/>
          <w:iCs/>
          <w:color w:val="000000" w:themeColor="text1"/>
          <w:u w:val="single"/>
        </w:rPr>
        <w:t>Causes and symptoms of PE</w:t>
      </w:r>
    </w:p>
    <w:p w14:paraId="266E3C87" w14:textId="28E22088" w:rsidR="00E75882" w:rsidRPr="001958F9" w:rsidRDefault="00E75882" w:rsidP="0080792B">
      <w:pPr>
        <w:shd w:val="clear" w:color="auto" w:fill="FFFFFF" w:themeFill="background1"/>
        <w:rPr>
          <w:color w:val="000000" w:themeColor="text1"/>
        </w:rPr>
      </w:pPr>
      <w:r w:rsidRPr="001958F9">
        <w:rPr>
          <w:color w:val="000000" w:themeColor="text1"/>
        </w:rPr>
        <w:t xml:space="preserve">The cause of PE remains unclear </w:t>
      </w:r>
      <w:r>
        <w:rPr>
          <w:noProof/>
          <w:color w:val="000000" w:themeColor="text1"/>
        </w:rPr>
        <w:t>[14, 15]</w:t>
      </w:r>
      <w:r w:rsidRPr="001958F9">
        <w:rPr>
          <w:color w:val="000000" w:themeColor="text1"/>
        </w:rPr>
        <w:t xml:space="preserve">. Nonetheless, </w:t>
      </w:r>
      <w:bookmarkStart w:id="11" w:name="_Hlk104195398"/>
      <w:r w:rsidRPr="001958F9">
        <w:rPr>
          <w:color w:val="000000" w:themeColor="text1"/>
        </w:rPr>
        <w:t xml:space="preserve">women at high risk of developing PE </w:t>
      </w:r>
      <w:r w:rsidR="00CE7D8B">
        <w:rPr>
          <w:color w:val="000000" w:themeColor="text1"/>
        </w:rPr>
        <w:t xml:space="preserve">are </w:t>
      </w:r>
      <w:r w:rsidR="004A7BE6">
        <w:rPr>
          <w:color w:val="000000" w:themeColor="text1"/>
        </w:rPr>
        <w:t>more likely</w:t>
      </w:r>
      <w:r w:rsidR="004A7BE6" w:rsidRPr="001958F9">
        <w:rPr>
          <w:color w:val="000000" w:themeColor="text1"/>
        </w:rPr>
        <w:t xml:space="preserve"> </w:t>
      </w:r>
      <w:r w:rsidRPr="001958F9">
        <w:rPr>
          <w:color w:val="000000" w:themeColor="text1"/>
        </w:rPr>
        <w:t xml:space="preserve">to have the </w:t>
      </w:r>
      <w:bookmarkStart w:id="12" w:name="_Hlk96614169"/>
      <w:r w:rsidRPr="001958F9">
        <w:rPr>
          <w:color w:val="000000" w:themeColor="text1"/>
        </w:rPr>
        <w:t xml:space="preserve">following characteristics: hypertensive disease during a previous pregnancy, chronic kidney disease, autoimmune diseases such as systemic lupus erythematosus or antiphospholipid syndrome, type 1 or type 2 diabetes, age &gt;40, pre-pregnancy body mass index (BMI) </w:t>
      </w:r>
      <w:bookmarkEnd w:id="12"/>
      <w:r w:rsidRPr="001958F9">
        <w:rPr>
          <w:color w:val="000000" w:themeColor="text1"/>
        </w:rPr>
        <w:t xml:space="preserve">&gt;30, use of assisted reproductive technology and existing chronic hypertension </w:t>
      </w:r>
      <w:r>
        <w:rPr>
          <w:noProof/>
          <w:color w:val="000000" w:themeColor="text1"/>
        </w:rPr>
        <w:t>[16, 17]</w:t>
      </w:r>
      <w:r w:rsidRPr="001958F9">
        <w:rPr>
          <w:color w:val="000000" w:themeColor="text1"/>
        </w:rPr>
        <w:t xml:space="preserve">. Moderate risk factors are first pregnancy, a pregnancy interval greater than ten years, body-mass index of 35 kg/m² or more, polycystic ovarian syndrome, family history of PE, and multiple pregnancies </w:t>
      </w:r>
      <w:r>
        <w:rPr>
          <w:noProof/>
          <w:color w:val="000000" w:themeColor="text1"/>
        </w:rPr>
        <w:t>[1, 18]</w:t>
      </w:r>
      <w:r w:rsidRPr="001958F9">
        <w:rPr>
          <w:color w:val="000000" w:themeColor="text1"/>
        </w:rPr>
        <w:t>. In addition, a diagnosis of schizophrenia or bipolar disorder increases the likelihood of having PE by five-fold</w:t>
      </w:r>
      <w:bookmarkEnd w:id="11"/>
      <w:r w:rsidRPr="001958F9">
        <w:rPr>
          <w:color w:val="000000" w:themeColor="text1"/>
        </w:rPr>
        <w:t xml:space="preserve"> </w:t>
      </w:r>
      <w:r>
        <w:rPr>
          <w:noProof/>
          <w:color w:val="000000" w:themeColor="text1"/>
        </w:rPr>
        <w:t>[19]</w:t>
      </w:r>
      <w:r w:rsidRPr="001958F9">
        <w:rPr>
          <w:color w:val="000000" w:themeColor="text1"/>
        </w:rPr>
        <w:t>.</w:t>
      </w:r>
    </w:p>
    <w:p w14:paraId="6E14CCE0" w14:textId="72C846D4" w:rsidR="00E75882" w:rsidRPr="001958F9" w:rsidRDefault="00E75882" w:rsidP="0080792B">
      <w:pPr>
        <w:shd w:val="clear" w:color="auto" w:fill="FFFFFF" w:themeFill="background1"/>
        <w:rPr>
          <w:color w:val="000000" w:themeColor="text1"/>
        </w:rPr>
      </w:pPr>
      <w:bookmarkStart w:id="13" w:name="_Hlk96614193"/>
      <w:r w:rsidRPr="001958F9">
        <w:rPr>
          <w:color w:val="000000" w:themeColor="text1"/>
        </w:rPr>
        <w:t xml:space="preserve">The symptoms of PE include severe headache, sudden blindness, drowsiness, severe pain just below the ribs, vomiting, </w:t>
      </w:r>
      <w:r w:rsidR="00921315">
        <w:rPr>
          <w:color w:val="000000" w:themeColor="text1"/>
        </w:rPr>
        <w:t xml:space="preserve">and </w:t>
      </w:r>
      <w:r w:rsidRPr="001958F9">
        <w:rPr>
          <w:color w:val="000000" w:themeColor="text1"/>
        </w:rPr>
        <w:t xml:space="preserve">sudden swelling of the face and hands or feet </w:t>
      </w:r>
      <w:bookmarkEnd w:id="13"/>
      <w:r>
        <w:rPr>
          <w:noProof/>
          <w:color w:val="000000" w:themeColor="text1"/>
        </w:rPr>
        <w:t>[20, 21]</w:t>
      </w:r>
      <w:r w:rsidRPr="001958F9">
        <w:rPr>
          <w:color w:val="000000" w:themeColor="text1"/>
        </w:rPr>
        <w:t xml:space="preserve">. </w:t>
      </w:r>
      <w:bookmarkStart w:id="14" w:name="_Hlk96614210"/>
      <w:r w:rsidRPr="001958F9">
        <w:rPr>
          <w:color w:val="000000" w:themeColor="text1"/>
        </w:rPr>
        <w:t xml:space="preserve">The key signs of </w:t>
      </w:r>
      <w:r w:rsidR="00232880">
        <w:rPr>
          <w:color w:val="000000" w:themeColor="text1"/>
        </w:rPr>
        <w:t xml:space="preserve">evolving </w:t>
      </w:r>
      <w:r w:rsidRPr="001958F9">
        <w:rPr>
          <w:color w:val="000000" w:themeColor="text1"/>
        </w:rPr>
        <w:t xml:space="preserve">PE are proteinuria, </w:t>
      </w:r>
      <w:r>
        <w:rPr>
          <w:color w:val="000000" w:themeColor="text1"/>
        </w:rPr>
        <w:t>elevated</w:t>
      </w:r>
      <w:r w:rsidRPr="001958F9">
        <w:rPr>
          <w:color w:val="000000" w:themeColor="text1"/>
        </w:rPr>
        <w:t xml:space="preserve"> blood pressure (≥140 mmHg systolic or ≥90 mmHg diastolic), </w:t>
      </w:r>
      <w:r w:rsidR="006B47FB">
        <w:rPr>
          <w:color w:val="000000" w:themeColor="text1"/>
        </w:rPr>
        <w:lastRenderedPageBreak/>
        <w:t>d</w:t>
      </w:r>
      <w:r>
        <w:rPr>
          <w:color w:val="000000" w:themeColor="text1"/>
        </w:rPr>
        <w:t>erangement in</w:t>
      </w:r>
      <w:r w:rsidRPr="001958F9">
        <w:rPr>
          <w:color w:val="000000" w:themeColor="text1"/>
        </w:rPr>
        <w:t xml:space="preserve"> biochemistry</w:t>
      </w:r>
      <w:r>
        <w:rPr>
          <w:color w:val="000000" w:themeColor="text1"/>
        </w:rPr>
        <w:t xml:space="preserve"> or haematology</w:t>
      </w:r>
      <w:r w:rsidRPr="001958F9">
        <w:rPr>
          <w:color w:val="000000" w:themeColor="text1"/>
        </w:rPr>
        <w:t xml:space="preserve"> (e.g., solitary thrombocytopenia), </w:t>
      </w:r>
      <w:proofErr w:type="spellStart"/>
      <w:r w:rsidRPr="001958F9">
        <w:rPr>
          <w:color w:val="000000" w:themeColor="text1"/>
        </w:rPr>
        <w:t>fetal</w:t>
      </w:r>
      <w:proofErr w:type="spellEnd"/>
      <w:r w:rsidRPr="001958F9">
        <w:rPr>
          <w:color w:val="000000" w:themeColor="text1"/>
        </w:rPr>
        <w:t xml:space="preserve"> growth restriction</w:t>
      </w:r>
      <w:r>
        <w:rPr>
          <w:color w:val="000000" w:themeColor="text1"/>
        </w:rPr>
        <w:t xml:space="preserve"> or abnormal </w:t>
      </w:r>
      <w:proofErr w:type="spellStart"/>
      <w:r>
        <w:rPr>
          <w:color w:val="000000" w:themeColor="text1"/>
        </w:rPr>
        <w:t>fetal</w:t>
      </w:r>
      <w:proofErr w:type="spellEnd"/>
      <w:r>
        <w:rPr>
          <w:color w:val="000000" w:themeColor="text1"/>
        </w:rPr>
        <w:t xml:space="preserve"> biophysical profile</w:t>
      </w:r>
      <w:r w:rsidRPr="001958F9">
        <w:rPr>
          <w:color w:val="000000" w:themeColor="text1"/>
        </w:rPr>
        <w:t xml:space="preserve"> </w:t>
      </w:r>
      <w:bookmarkEnd w:id="14"/>
      <w:r>
        <w:rPr>
          <w:noProof/>
          <w:color w:val="000000" w:themeColor="text1"/>
        </w:rPr>
        <w:t>[21, 22]</w:t>
      </w:r>
      <w:r w:rsidRPr="001958F9">
        <w:rPr>
          <w:color w:val="000000" w:themeColor="text1"/>
        </w:rPr>
        <w:t>.</w:t>
      </w:r>
    </w:p>
    <w:p w14:paraId="2F04924E" w14:textId="1C71064F" w:rsidR="00E75882" w:rsidRPr="001958F9" w:rsidRDefault="00E75882" w:rsidP="0080792B">
      <w:pPr>
        <w:shd w:val="clear" w:color="auto" w:fill="FFFFFF" w:themeFill="background1"/>
        <w:rPr>
          <w:color w:val="000000" w:themeColor="text1"/>
        </w:rPr>
      </w:pPr>
      <w:r w:rsidRPr="001958F9">
        <w:rPr>
          <w:color w:val="000000" w:themeColor="text1"/>
        </w:rPr>
        <w:t xml:space="preserve">Some clinical and lifestyle factors assist in </w:t>
      </w:r>
      <w:r>
        <w:rPr>
          <w:color w:val="000000" w:themeColor="text1"/>
        </w:rPr>
        <w:t>predictin</w:t>
      </w:r>
      <w:r w:rsidR="00EB736B">
        <w:rPr>
          <w:color w:val="000000" w:themeColor="text1"/>
        </w:rPr>
        <w:t>g</w:t>
      </w:r>
      <w:r w:rsidRPr="001958F9">
        <w:rPr>
          <w:color w:val="000000" w:themeColor="text1"/>
        </w:rPr>
        <w:t xml:space="preserve"> PE in early pregnancy. These include </w:t>
      </w:r>
      <w:r>
        <w:rPr>
          <w:color w:val="000000" w:themeColor="text1"/>
        </w:rPr>
        <w:t xml:space="preserve">elevated </w:t>
      </w:r>
      <w:r w:rsidRPr="001958F9">
        <w:rPr>
          <w:color w:val="000000" w:themeColor="text1"/>
        </w:rPr>
        <w:t xml:space="preserve">mean arterial pressure at 15 weeks of gestation, family history of coronary heart disease or PE, and vaginal bleeding for more than five days in the current pregnancy </w:t>
      </w:r>
      <w:r>
        <w:rPr>
          <w:noProof/>
          <w:color w:val="000000" w:themeColor="text1"/>
        </w:rPr>
        <w:t>[23]</w:t>
      </w:r>
      <w:r w:rsidRPr="001958F9">
        <w:rPr>
          <w:color w:val="000000" w:themeColor="text1"/>
        </w:rPr>
        <w:t xml:space="preserve">. </w:t>
      </w:r>
      <w:r w:rsidR="005E524B">
        <w:rPr>
          <w:color w:val="000000" w:themeColor="text1"/>
        </w:rPr>
        <w:t xml:space="preserve">This study </w:t>
      </w:r>
      <w:r w:rsidR="009842AB">
        <w:rPr>
          <w:color w:val="000000" w:themeColor="text1"/>
        </w:rPr>
        <w:t xml:space="preserve">also </w:t>
      </w:r>
      <w:r w:rsidR="005E524B">
        <w:rPr>
          <w:color w:val="000000" w:themeColor="text1"/>
        </w:rPr>
        <w:t xml:space="preserve">stated that </w:t>
      </w:r>
      <w:r w:rsidRPr="001958F9">
        <w:rPr>
          <w:color w:val="000000" w:themeColor="text1"/>
        </w:rPr>
        <w:t>previous single miscarriage with the same partner, time to conception of at least 12 months, and high fruit consumption reduced the risk of PE</w:t>
      </w:r>
      <w:r w:rsidR="00174E06">
        <w:rPr>
          <w:color w:val="000000" w:themeColor="text1"/>
        </w:rPr>
        <w:t xml:space="preserve"> [23]</w:t>
      </w:r>
      <w:r w:rsidR="007E727D">
        <w:rPr>
          <w:noProof/>
          <w:color w:val="000000" w:themeColor="text1"/>
        </w:rPr>
        <w:t>.</w:t>
      </w:r>
    </w:p>
    <w:p w14:paraId="5D6D8796" w14:textId="77777777" w:rsidR="00E75882" w:rsidRPr="001958F9" w:rsidRDefault="00E75882" w:rsidP="00EF551E">
      <w:pPr>
        <w:shd w:val="clear" w:color="auto" w:fill="FFFFFF" w:themeFill="background1"/>
        <w:jc w:val="both"/>
        <w:rPr>
          <w:color w:val="000000" w:themeColor="text1"/>
          <w:u w:val="single"/>
        </w:rPr>
      </w:pPr>
      <w:bookmarkStart w:id="15" w:name="_Hlk96953547"/>
      <w:r w:rsidRPr="001958F9">
        <w:rPr>
          <w:i/>
          <w:iCs/>
          <w:color w:val="000000" w:themeColor="text1"/>
          <w:u w:val="single"/>
        </w:rPr>
        <w:t>The utilisation of the proposed test</w:t>
      </w:r>
    </w:p>
    <w:bookmarkEnd w:id="15"/>
    <w:p w14:paraId="36DE9BEA" w14:textId="370BC896" w:rsidR="0090774C" w:rsidRDefault="00E75882" w:rsidP="0080792B">
      <w:pPr>
        <w:shd w:val="clear" w:color="auto" w:fill="FFFFFF" w:themeFill="background1"/>
        <w:rPr>
          <w:color w:val="000000" w:themeColor="text1"/>
        </w:rPr>
      </w:pPr>
      <w:r w:rsidRPr="001958F9">
        <w:rPr>
          <w:color w:val="000000" w:themeColor="text1"/>
        </w:rPr>
        <w:t xml:space="preserve">The application estimated the number of patients at risk </w:t>
      </w:r>
      <w:r w:rsidR="00DF0F88">
        <w:rPr>
          <w:color w:val="000000" w:themeColor="text1"/>
        </w:rPr>
        <w:t>of</w:t>
      </w:r>
      <w:r w:rsidR="00DF0F88" w:rsidRPr="001958F9">
        <w:rPr>
          <w:color w:val="000000" w:themeColor="text1"/>
        </w:rPr>
        <w:t xml:space="preserve"> </w:t>
      </w:r>
      <w:r w:rsidRPr="001958F9">
        <w:rPr>
          <w:color w:val="000000" w:themeColor="text1"/>
        </w:rPr>
        <w:t xml:space="preserve">clinical and/or biochemical symptoms and signs </w:t>
      </w:r>
      <w:r>
        <w:rPr>
          <w:color w:val="000000" w:themeColor="text1"/>
        </w:rPr>
        <w:t>suggestive</w:t>
      </w:r>
      <w:r w:rsidRPr="001958F9">
        <w:rPr>
          <w:color w:val="000000" w:themeColor="text1"/>
        </w:rPr>
        <w:t xml:space="preserve"> of PE, eligible for </w:t>
      </w:r>
      <w:bookmarkStart w:id="16" w:name="_Hlk96953091"/>
      <w:r w:rsidRPr="001958F9">
        <w:rPr>
          <w:color w:val="000000" w:themeColor="text1"/>
        </w:rPr>
        <w:t>a</w:t>
      </w:r>
      <w:r>
        <w:rPr>
          <w:color w:val="000000" w:themeColor="text1"/>
        </w:rPr>
        <w:t>n</w:t>
      </w:r>
      <w:r w:rsidRPr="001958F9">
        <w:rPr>
          <w:color w:val="000000" w:themeColor="text1"/>
        </w:rPr>
        <w:t xml:space="preserve"> sFlt-1/</w:t>
      </w:r>
      <w:proofErr w:type="spellStart"/>
      <w:r w:rsidRPr="001958F9">
        <w:rPr>
          <w:color w:val="000000" w:themeColor="text1"/>
        </w:rPr>
        <w:t>PlGF</w:t>
      </w:r>
      <w:proofErr w:type="spellEnd"/>
      <w:r w:rsidRPr="001958F9">
        <w:rPr>
          <w:color w:val="000000" w:themeColor="text1"/>
        </w:rPr>
        <w:t xml:space="preserve"> test </w:t>
      </w:r>
      <w:bookmarkEnd w:id="16"/>
      <w:r w:rsidRPr="001958F9">
        <w:rPr>
          <w:color w:val="000000" w:themeColor="text1"/>
        </w:rPr>
        <w:t>in Year 1 as 30,583 (p26 of the application). The average number of sFlt-1/</w:t>
      </w:r>
      <w:proofErr w:type="spellStart"/>
      <w:r w:rsidRPr="001958F9">
        <w:rPr>
          <w:color w:val="000000" w:themeColor="text1"/>
        </w:rPr>
        <w:t>PlGF</w:t>
      </w:r>
      <w:proofErr w:type="spellEnd"/>
      <w:r w:rsidRPr="001958F9">
        <w:rPr>
          <w:color w:val="000000" w:themeColor="text1"/>
        </w:rPr>
        <w:t xml:space="preserve"> tests performed per eligible patient will be two, and the total utilisation of the test is estimated to be 61,166 per year </w:t>
      </w:r>
      <w:r w:rsidRPr="00556395">
        <w:rPr>
          <w:color w:val="000000" w:themeColor="text1"/>
        </w:rPr>
        <w:t>(</w:t>
      </w:r>
      <w:hyperlink w:anchor="Title_Table2" w:history="1">
        <w:r w:rsidRPr="00556395">
          <w:rPr>
            <w:rStyle w:val="Hyperlink"/>
            <w:color w:val="000000" w:themeColor="text1"/>
            <w:u w:val="none"/>
          </w:rPr>
          <w:t xml:space="preserve">Table </w:t>
        </w:r>
        <w:r w:rsidR="002C5085" w:rsidRPr="00556395">
          <w:rPr>
            <w:rStyle w:val="Hyperlink"/>
            <w:color w:val="000000" w:themeColor="text1"/>
            <w:u w:val="none"/>
          </w:rPr>
          <w:t>2</w:t>
        </w:r>
      </w:hyperlink>
      <w:r w:rsidRPr="00556395">
        <w:rPr>
          <w:color w:val="000000" w:themeColor="text1"/>
        </w:rPr>
        <w:t xml:space="preserve">) </w:t>
      </w:r>
      <w:r w:rsidRPr="001958F9">
        <w:rPr>
          <w:color w:val="000000" w:themeColor="text1"/>
        </w:rPr>
        <w:t>(p19 of the application).</w:t>
      </w:r>
      <w:r>
        <w:rPr>
          <w:color w:val="000000" w:themeColor="text1"/>
        </w:rPr>
        <w:t xml:space="preserve"> </w:t>
      </w:r>
      <w:r w:rsidRPr="001958F9">
        <w:rPr>
          <w:color w:val="000000" w:themeColor="text1"/>
        </w:rPr>
        <w:t>The application also assumed that the number of births, and hence the number of tests per year</w:t>
      </w:r>
      <w:r>
        <w:rPr>
          <w:color w:val="000000" w:themeColor="text1"/>
        </w:rPr>
        <w:t>,</w:t>
      </w:r>
      <w:r w:rsidRPr="001958F9">
        <w:rPr>
          <w:color w:val="000000" w:themeColor="text1"/>
        </w:rPr>
        <w:t xml:space="preserve"> would remain identical in Years 1, 2 and 3. The number of births per year is taken from the Australian Bureau of Statistics (ABS). Noticeably, the application has used </w:t>
      </w:r>
      <w:r>
        <w:rPr>
          <w:color w:val="000000" w:themeColor="text1"/>
        </w:rPr>
        <w:t xml:space="preserve">the </w:t>
      </w:r>
      <w:r w:rsidRPr="001958F9">
        <w:rPr>
          <w:color w:val="000000" w:themeColor="text1"/>
        </w:rPr>
        <w:t>total number of births per year</w:t>
      </w:r>
      <w:r>
        <w:rPr>
          <w:color w:val="000000" w:themeColor="text1"/>
        </w:rPr>
        <w:t xml:space="preserve"> as a proxy for</w:t>
      </w:r>
      <w:r w:rsidRPr="001958F9">
        <w:rPr>
          <w:color w:val="000000" w:themeColor="text1"/>
        </w:rPr>
        <w:t xml:space="preserve"> </w:t>
      </w:r>
      <w:r>
        <w:rPr>
          <w:color w:val="000000" w:themeColor="text1"/>
        </w:rPr>
        <w:t xml:space="preserve">the </w:t>
      </w:r>
      <w:r w:rsidRPr="001958F9">
        <w:rPr>
          <w:color w:val="000000" w:themeColor="text1"/>
        </w:rPr>
        <w:t>total number of pregnancies per year. The ABS data indicated that the total number of births registered in Australia was 305,832 in 2019 and 294,369 in 2020. In 2020, there were 4,202 confinements resulting in multiple birth</w:t>
      </w:r>
      <w:r>
        <w:rPr>
          <w:color w:val="000000" w:themeColor="text1"/>
        </w:rPr>
        <w:t>s</w:t>
      </w:r>
      <w:r w:rsidRPr="001958F9">
        <w:rPr>
          <w:color w:val="000000" w:themeColor="text1"/>
        </w:rPr>
        <w:t>. Of these, 4,148 were twins, and 54 were triplets and higher-order births.</w:t>
      </w:r>
    </w:p>
    <w:p w14:paraId="7CB41CD3" w14:textId="24C2C251" w:rsidR="00FB2A50" w:rsidRPr="00824123" w:rsidRDefault="00FB2A50" w:rsidP="0080792B">
      <w:pPr>
        <w:shd w:val="clear" w:color="auto" w:fill="FFFFFF" w:themeFill="background1"/>
        <w:rPr>
          <w:color w:val="000000" w:themeColor="text1"/>
        </w:rPr>
      </w:pPr>
      <w:r w:rsidRPr="00225F6B">
        <w:rPr>
          <w:rFonts w:asciiTheme="minorHAnsi" w:hAnsiTheme="minorHAnsi" w:cstheme="minorHAnsi"/>
          <w:i/>
          <w:iCs/>
          <w:color w:val="000000" w:themeColor="text1"/>
        </w:rPr>
        <w:t>PASC noted that the assessment will need to define the number of pregnancies beyond 24</w:t>
      </w:r>
      <w:r w:rsidRPr="00225F6B">
        <w:rPr>
          <w:rFonts w:asciiTheme="minorHAnsi" w:hAnsiTheme="minorHAnsi" w:cstheme="minorHAnsi"/>
          <w:i/>
          <w:iCs/>
          <w:color w:val="000000" w:themeColor="text1"/>
          <w:vertAlign w:val="superscript"/>
        </w:rPr>
        <w:t>+0</w:t>
      </w:r>
      <w:r w:rsidRPr="00225F6B">
        <w:rPr>
          <w:rFonts w:asciiTheme="minorHAnsi" w:hAnsiTheme="minorHAnsi" w:cstheme="minorHAnsi"/>
          <w:i/>
          <w:iCs/>
          <w:color w:val="000000" w:themeColor="text1"/>
        </w:rPr>
        <w:t xml:space="preserve"> weeks in scope based on the proportion of </w:t>
      </w:r>
      <w:proofErr w:type="spellStart"/>
      <w:proofErr w:type="gramStart"/>
      <w:r w:rsidRPr="00225F6B">
        <w:rPr>
          <w:rFonts w:asciiTheme="minorHAnsi" w:hAnsiTheme="minorHAnsi" w:cstheme="minorHAnsi"/>
          <w:i/>
          <w:iCs/>
          <w:color w:val="000000" w:themeColor="text1"/>
        </w:rPr>
        <w:t>pregnancies:births</w:t>
      </w:r>
      <w:proofErr w:type="spellEnd"/>
      <w:proofErr w:type="gramEnd"/>
      <w:r w:rsidRPr="00225F6B">
        <w:rPr>
          <w:rFonts w:asciiTheme="minorHAnsi" w:hAnsiTheme="minorHAnsi" w:cstheme="minorHAnsi"/>
          <w:i/>
          <w:iCs/>
          <w:color w:val="000000" w:themeColor="text1"/>
        </w:rPr>
        <w:t xml:space="preserve"> beyond 24</w:t>
      </w:r>
      <w:r w:rsidRPr="00225F6B">
        <w:rPr>
          <w:rFonts w:asciiTheme="minorHAnsi" w:hAnsiTheme="minorHAnsi" w:cstheme="minorHAnsi"/>
          <w:i/>
          <w:iCs/>
          <w:color w:val="000000" w:themeColor="text1"/>
          <w:vertAlign w:val="superscript"/>
        </w:rPr>
        <w:t>+0</w:t>
      </w:r>
      <w:r w:rsidRPr="00225F6B">
        <w:rPr>
          <w:rFonts w:asciiTheme="minorHAnsi" w:hAnsiTheme="minorHAnsi" w:cstheme="minorHAnsi"/>
          <w:i/>
          <w:iCs/>
          <w:color w:val="000000" w:themeColor="text1"/>
        </w:rPr>
        <w:t xml:space="preserve"> weeks gestation. This data should be available given that ABS statistics capture all registered births beyond 20</w:t>
      </w:r>
      <w:r w:rsidRPr="00225F6B">
        <w:rPr>
          <w:rFonts w:asciiTheme="minorHAnsi" w:hAnsiTheme="minorHAnsi" w:cstheme="minorHAnsi"/>
          <w:i/>
          <w:iCs/>
          <w:color w:val="000000" w:themeColor="text1"/>
          <w:vertAlign w:val="superscript"/>
        </w:rPr>
        <w:t>+0</w:t>
      </w:r>
      <w:r w:rsidRPr="00225F6B">
        <w:rPr>
          <w:rFonts w:asciiTheme="minorHAnsi" w:hAnsiTheme="minorHAnsi" w:cstheme="minorHAnsi"/>
          <w:i/>
          <w:iCs/>
          <w:color w:val="000000" w:themeColor="text1"/>
        </w:rPr>
        <w:t xml:space="preserve"> weeks gestation.</w:t>
      </w:r>
    </w:p>
    <w:p w14:paraId="27A09F94" w14:textId="3978C3D3" w:rsidR="00E75882" w:rsidRPr="001958F9" w:rsidRDefault="00E75882" w:rsidP="005A7250">
      <w:pPr>
        <w:pStyle w:val="TableHeading"/>
      </w:pPr>
      <w:bookmarkStart w:id="17" w:name="Title_Table2"/>
      <w:r w:rsidRPr="001958F9">
        <w:t xml:space="preserve">Table </w:t>
      </w:r>
      <w:fldSimple w:instr=" SEQ Table \* ARABIC ">
        <w:r w:rsidR="004D69E7">
          <w:rPr>
            <w:noProof/>
          </w:rPr>
          <w:t>2</w:t>
        </w:r>
      </w:fldSimple>
      <w:r w:rsidRPr="001958F9">
        <w:t>:</w:t>
      </w:r>
      <w:r w:rsidR="0080792B">
        <w:t xml:space="preserve"> </w:t>
      </w:r>
      <w:r w:rsidRPr="001958F9">
        <w:t>Estimated utilisation of sFlt-1/</w:t>
      </w:r>
      <w:proofErr w:type="spellStart"/>
      <w:r w:rsidRPr="001958F9">
        <w:t>PlGF</w:t>
      </w:r>
      <w:proofErr w:type="spellEnd"/>
      <w:r w:rsidRPr="001958F9">
        <w:t xml:space="preserve"> tests in Australia (suspected PE)</w:t>
      </w:r>
    </w:p>
    <w:tbl>
      <w:tblPr>
        <w:tblStyle w:val="TableGrid"/>
        <w:tblW w:w="8918" w:type="dxa"/>
        <w:tblLook w:val="04A0" w:firstRow="1" w:lastRow="0" w:firstColumn="1" w:lastColumn="0" w:noHBand="0" w:noVBand="1"/>
      </w:tblPr>
      <w:tblGrid>
        <w:gridCol w:w="6338"/>
        <w:gridCol w:w="860"/>
        <w:gridCol w:w="860"/>
        <w:gridCol w:w="860"/>
      </w:tblGrid>
      <w:tr w:rsidR="00E75882" w:rsidRPr="001958F9" w14:paraId="5DE37CD5" w14:textId="77777777" w:rsidTr="00EF551E">
        <w:trPr>
          <w:trHeight w:val="237"/>
          <w:tblHeader/>
        </w:trPr>
        <w:tc>
          <w:tcPr>
            <w:tcW w:w="6338" w:type="dxa"/>
            <w:noWrap/>
            <w:vAlign w:val="center"/>
            <w:hideMark/>
          </w:tcPr>
          <w:bookmarkEnd w:id="17"/>
          <w:p w14:paraId="5816A66A" w14:textId="77777777" w:rsidR="00E75882" w:rsidRPr="001958F9" w:rsidRDefault="00E75882" w:rsidP="005A7250">
            <w:pPr>
              <w:pStyle w:val="TableHeading"/>
              <w:rPr>
                <w:bCs/>
              </w:rPr>
            </w:pPr>
            <w:r w:rsidRPr="001958F9">
              <w:rPr>
                <w:bCs/>
              </w:rPr>
              <w:t>Three-year estimates for utilisation</w:t>
            </w:r>
          </w:p>
        </w:tc>
        <w:tc>
          <w:tcPr>
            <w:tcW w:w="860" w:type="dxa"/>
            <w:noWrap/>
            <w:vAlign w:val="center"/>
            <w:hideMark/>
          </w:tcPr>
          <w:p w14:paraId="77FB0C71" w14:textId="77777777" w:rsidR="00E75882" w:rsidRPr="001958F9" w:rsidRDefault="00E75882" w:rsidP="005A7250">
            <w:pPr>
              <w:pStyle w:val="TableHeading"/>
              <w:rPr>
                <w:bCs/>
              </w:rPr>
            </w:pPr>
            <w:r w:rsidRPr="001958F9">
              <w:rPr>
                <w:bCs/>
              </w:rPr>
              <w:t>Year 1</w:t>
            </w:r>
          </w:p>
        </w:tc>
        <w:tc>
          <w:tcPr>
            <w:tcW w:w="860" w:type="dxa"/>
            <w:noWrap/>
            <w:vAlign w:val="center"/>
            <w:hideMark/>
          </w:tcPr>
          <w:p w14:paraId="75194661" w14:textId="77777777" w:rsidR="00E75882" w:rsidRPr="001958F9" w:rsidRDefault="00E75882" w:rsidP="005A7250">
            <w:pPr>
              <w:pStyle w:val="TableHeading"/>
              <w:rPr>
                <w:bCs/>
              </w:rPr>
            </w:pPr>
            <w:r w:rsidRPr="001958F9">
              <w:rPr>
                <w:bCs/>
              </w:rPr>
              <w:t>Year 2</w:t>
            </w:r>
          </w:p>
        </w:tc>
        <w:tc>
          <w:tcPr>
            <w:tcW w:w="860" w:type="dxa"/>
            <w:noWrap/>
            <w:vAlign w:val="center"/>
            <w:hideMark/>
          </w:tcPr>
          <w:p w14:paraId="65ADF6D7" w14:textId="77777777" w:rsidR="00E75882" w:rsidRPr="001958F9" w:rsidRDefault="00E75882" w:rsidP="005A7250">
            <w:pPr>
              <w:pStyle w:val="TableHeading"/>
              <w:rPr>
                <w:bCs/>
              </w:rPr>
            </w:pPr>
            <w:r w:rsidRPr="001958F9">
              <w:rPr>
                <w:bCs/>
              </w:rPr>
              <w:t>Year 3</w:t>
            </w:r>
          </w:p>
        </w:tc>
      </w:tr>
      <w:tr w:rsidR="00E75882" w:rsidRPr="001958F9" w14:paraId="6A97ADD7" w14:textId="77777777" w:rsidTr="00EF551E">
        <w:trPr>
          <w:trHeight w:val="237"/>
        </w:trPr>
        <w:tc>
          <w:tcPr>
            <w:tcW w:w="6338" w:type="dxa"/>
            <w:noWrap/>
            <w:vAlign w:val="center"/>
            <w:hideMark/>
          </w:tcPr>
          <w:p w14:paraId="7B38D257" w14:textId="077DB2C3" w:rsidR="00E75882" w:rsidRPr="001958F9" w:rsidRDefault="00E75882" w:rsidP="00EF551E">
            <w:pPr>
              <w:shd w:val="clear" w:color="auto" w:fill="FFFFFF" w:themeFill="background1"/>
              <w:spacing w:after="0"/>
              <w:rPr>
                <w:rFonts w:ascii="Arial Narrow" w:hAnsi="Arial Narrow"/>
                <w:color w:val="000000" w:themeColor="text1"/>
                <w:sz w:val="20"/>
                <w:szCs w:val="20"/>
              </w:rPr>
            </w:pPr>
            <w:r w:rsidRPr="001958F9">
              <w:rPr>
                <w:rFonts w:ascii="Arial Narrow" w:hAnsi="Arial Narrow"/>
                <w:color w:val="000000" w:themeColor="text1"/>
                <w:sz w:val="20"/>
                <w:szCs w:val="20"/>
              </w:rPr>
              <w:t>Births per year (ABS)</w:t>
            </w:r>
            <w:r w:rsidR="008B4B7A">
              <w:rPr>
                <w:rFonts w:ascii="Arial Narrow" w:hAnsi="Arial Narrow"/>
                <w:color w:val="000000" w:themeColor="text1"/>
                <w:sz w:val="20"/>
                <w:szCs w:val="20"/>
              </w:rPr>
              <w:t xml:space="preserve"> (gestation &gt;20 weeks)</w:t>
            </w:r>
          </w:p>
        </w:tc>
        <w:tc>
          <w:tcPr>
            <w:tcW w:w="860" w:type="dxa"/>
            <w:noWrap/>
            <w:vAlign w:val="center"/>
            <w:hideMark/>
          </w:tcPr>
          <w:p w14:paraId="4DEA4113" w14:textId="77777777" w:rsidR="00E75882" w:rsidRPr="001958F9" w:rsidRDefault="00E75882" w:rsidP="00EF551E">
            <w:pPr>
              <w:shd w:val="clear" w:color="auto" w:fill="FFFFFF" w:themeFill="background1"/>
              <w:spacing w:after="0"/>
              <w:jc w:val="right"/>
              <w:rPr>
                <w:rFonts w:ascii="Arial Narrow" w:hAnsi="Arial Narrow"/>
                <w:color w:val="000000" w:themeColor="text1"/>
                <w:sz w:val="20"/>
                <w:szCs w:val="20"/>
              </w:rPr>
            </w:pPr>
            <w:r w:rsidRPr="001958F9">
              <w:rPr>
                <w:rFonts w:ascii="Arial Narrow" w:hAnsi="Arial Narrow"/>
                <w:color w:val="000000" w:themeColor="text1"/>
                <w:sz w:val="20"/>
                <w:szCs w:val="20"/>
              </w:rPr>
              <w:t>305,832</w:t>
            </w:r>
          </w:p>
        </w:tc>
        <w:tc>
          <w:tcPr>
            <w:tcW w:w="860" w:type="dxa"/>
            <w:noWrap/>
            <w:vAlign w:val="center"/>
            <w:hideMark/>
          </w:tcPr>
          <w:p w14:paraId="2ECF5E47" w14:textId="77777777" w:rsidR="00E75882" w:rsidRPr="001958F9" w:rsidRDefault="00E75882" w:rsidP="00EF551E">
            <w:pPr>
              <w:shd w:val="clear" w:color="auto" w:fill="FFFFFF" w:themeFill="background1"/>
              <w:spacing w:after="0"/>
              <w:jc w:val="right"/>
              <w:rPr>
                <w:rFonts w:ascii="Arial Narrow" w:hAnsi="Arial Narrow"/>
                <w:color w:val="000000" w:themeColor="text1"/>
                <w:sz w:val="20"/>
                <w:szCs w:val="20"/>
              </w:rPr>
            </w:pPr>
            <w:r w:rsidRPr="001958F9">
              <w:rPr>
                <w:rFonts w:ascii="Arial Narrow" w:hAnsi="Arial Narrow"/>
                <w:color w:val="000000" w:themeColor="text1"/>
                <w:sz w:val="20"/>
                <w:szCs w:val="20"/>
              </w:rPr>
              <w:t>305,832</w:t>
            </w:r>
          </w:p>
        </w:tc>
        <w:tc>
          <w:tcPr>
            <w:tcW w:w="860" w:type="dxa"/>
            <w:noWrap/>
            <w:vAlign w:val="center"/>
            <w:hideMark/>
          </w:tcPr>
          <w:p w14:paraId="6460A49B" w14:textId="77777777" w:rsidR="00E75882" w:rsidRPr="001958F9" w:rsidRDefault="00E75882" w:rsidP="00EF551E">
            <w:pPr>
              <w:shd w:val="clear" w:color="auto" w:fill="FFFFFF" w:themeFill="background1"/>
              <w:spacing w:after="0"/>
              <w:jc w:val="right"/>
              <w:rPr>
                <w:rFonts w:ascii="Arial Narrow" w:hAnsi="Arial Narrow"/>
                <w:color w:val="000000" w:themeColor="text1"/>
                <w:sz w:val="20"/>
                <w:szCs w:val="20"/>
              </w:rPr>
            </w:pPr>
            <w:r w:rsidRPr="001958F9">
              <w:rPr>
                <w:rFonts w:ascii="Arial Narrow" w:hAnsi="Arial Narrow"/>
                <w:color w:val="000000" w:themeColor="text1"/>
                <w:sz w:val="20"/>
                <w:szCs w:val="20"/>
              </w:rPr>
              <w:t>305,832</w:t>
            </w:r>
          </w:p>
        </w:tc>
      </w:tr>
      <w:tr w:rsidR="00E75882" w:rsidRPr="001958F9" w14:paraId="596E6513" w14:textId="77777777" w:rsidTr="00EF551E">
        <w:trPr>
          <w:trHeight w:val="451"/>
        </w:trPr>
        <w:tc>
          <w:tcPr>
            <w:tcW w:w="6338" w:type="dxa"/>
            <w:vAlign w:val="center"/>
            <w:hideMark/>
          </w:tcPr>
          <w:p w14:paraId="57F501A6" w14:textId="77777777" w:rsidR="00E75882" w:rsidRPr="001958F9" w:rsidRDefault="00E75882" w:rsidP="00EF551E">
            <w:pPr>
              <w:shd w:val="clear" w:color="auto" w:fill="FFFFFF" w:themeFill="background1"/>
              <w:spacing w:after="0"/>
              <w:rPr>
                <w:rFonts w:ascii="Arial Narrow" w:hAnsi="Arial Narrow"/>
                <w:color w:val="000000" w:themeColor="text1"/>
                <w:sz w:val="20"/>
                <w:szCs w:val="20"/>
              </w:rPr>
            </w:pPr>
            <w:r w:rsidRPr="001958F9">
              <w:rPr>
                <w:rFonts w:ascii="Arial Narrow" w:hAnsi="Arial Narrow"/>
                <w:color w:val="000000" w:themeColor="text1"/>
                <w:sz w:val="20"/>
                <w:szCs w:val="20"/>
              </w:rPr>
              <w:t>Percentage of pregnancies estimated to become eligible for sFlt-1/</w:t>
            </w:r>
            <w:proofErr w:type="spellStart"/>
            <w:r w:rsidRPr="001958F9">
              <w:rPr>
                <w:rFonts w:ascii="Arial Narrow" w:hAnsi="Arial Narrow"/>
                <w:color w:val="000000" w:themeColor="text1"/>
                <w:sz w:val="20"/>
                <w:szCs w:val="20"/>
              </w:rPr>
              <w:t>PlGF</w:t>
            </w:r>
            <w:proofErr w:type="spellEnd"/>
            <w:r w:rsidRPr="001958F9">
              <w:rPr>
                <w:rFonts w:ascii="Arial Narrow" w:hAnsi="Arial Narrow"/>
                <w:color w:val="000000" w:themeColor="text1"/>
                <w:sz w:val="20"/>
                <w:szCs w:val="20"/>
              </w:rPr>
              <w:t xml:space="preserve"> testing due to clinical signs and symptoms indicative of PE. </w:t>
            </w:r>
          </w:p>
        </w:tc>
        <w:tc>
          <w:tcPr>
            <w:tcW w:w="860" w:type="dxa"/>
            <w:noWrap/>
            <w:vAlign w:val="center"/>
            <w:hideMark/>
          </w:tcPr>
          <w:p w14:paraId="6D4D1066" w14:textId="77777777" w:rsidR="00E75882" w:rsidRPr="001958F9" w:rsidRDefault="00E75882" w:rsidP="00EF551E">
            <w:pPr>
              <w:shd w:val="clear" w:color="auto" w:fill="FFFFFF" w:themeFill="background1"/>
              <w:spacing w:after="0"/>
              <w:jc w:val="right"/>
              <w:rPr>
                <w:rFonts w:ascii="Arial Narrow" w:hAnsi="Arial Narrow"/>
                <w:color w:val="000000" w:themeColor="text1"/>
                <w:sz w:val="20"/>
                <w:szCs w:val="20"/>
              </w:rPr>
            </w:pPr>
            <w:r w:rsidRPr="001958F9">
              <w:rPr>
                <w:rFonts w:ascii="Arial Narrow" w:hAnsi="Arial Narrow"/>
                <w:color w:val="000000" w:themeColor="text1"/>
                <w:sz w:val="20"/>
                <w:szCs w:val="20"/>
              </w:rPr>
              <w:t>10%</w:t>
            </w:r>
          </w:p>
        </w:tc>
        <w:tc>
          <w:tcPr>
            <w:tcW w:w="860" w:type="dxa"/>
            <w:noWrap/>
            <w:vAlign w:val="center"/>
            <w:hideMark/>
          </w:tcPr>
          <w:p w14:paraId="407B03C1" w14:textId="77777777" w:rsidR="00E75882" w:rsidRPr="001958F9" w:rsidRDefault="00E75882" w:rsidP="00EF551E">
            <w:pPr>
              <w:shd w:val="clear" w:color="auto" w:fill="FFFFFF" w:themeFill="background1"/>
              <w:spacing w:after="0"/>
              <w:jc w:val="right"/>
              <w:rPr>
                <w:rFonts w:ascii="Arial Narrow" w:hAnsi="Arial Narrow"/>
                <w:color w:val="000000" w:themeColor="text1"/>
                <w:sz w:val="20"/>
                <w:szCs w:val="20"/>
              </w:rPr>
            </w:pPr>
            <w:r w:rsidRPr="001958F9">
              <w:rPr>
                <w:rFonts w:ascii="Arial Narrow" w:hAnsi="Arial Narrow"/>
                <w:color w:val="000000" w:themeColor="text1"/>
                <w:sz w:val="20"/>
                <w:szCs w:val="20"/>
              </w:rPr>
              <w:t>10%</w:t>
            </w:r>
          </w:p>
        </w:tc>
        <w:tc>
          <w:tcPr>
            <w:tcW w:w="860" w:type="dxa"/>
            <w:noWrap/>
            <w:vAlign w:val="center"/>
            <w:hideMark/>
          </w:tcPr>
          <w:p w14:paraId="4A4BCFC4" w14:textId="77777777" w:rsidR="00E75882" w:rsidRPr="001958F9" w:rsidRDefault="00E75882" w:rsidP="00EF551E">
            <w:pPr>
              <w:shd w:val="clear" w:color="auto" w:fill="FFFFFF" w:themeFill="background1"/>
              <w:spacing w:after="0"/>
              <w:jc w:val="right"/>
              <w:rPr>
                <w:rFonts w:ascii="Arial Narrow" w:hAnsi="Arial Narrow"/>
                <w:color w:val="000000" w:themeColor="text1"/>
                <w:sz w:val="20"/>
                <w:szCs w:val="20"/>
              </w:rPr>
            </w:pPr>
            <w:r w:rsidRPr="001958F9">
              <w:rPr>
                <w:rFonts w:ascii="Arial Narrow" w:hAnsi="Arial Narrow"/>
                <w:color w:val="000000" w:themeColor="text1"/>
                <w:sz w:val="20"/>
                <w:szCs w:val="20"/>
              </w:rPr>
              <w:t>10%</w:t>
            </w:r>
          </w:p>
        </w:tc>
      </w:tr>
      <w:tr w:rsidR="00E75882" w:rsidRPr="001958F9" w14:paraId="2D41C0E4" w14:textId="77777777" w:rsidTr="00EF551E">
        <w:trPr>
          <w:trHeight w:val="225"/>
        </w:trPr>
        <w:tc>
          <w:tcPr>
            <w:tcW w:w="6338" w:type="dxa"/>
            <w:vAlign w:val="center"/>
            <w:hideMark/>
          </w:tcPr>
          <w:p w14:paraId="7B285FB1" w14:textId="77777777" w:rsidR="00E75882" w:rsidRPr="001958F9" w:rsidRDefault="00E75882" w:rsidP="00EF551E">
            <w:pPr>
              <w:shd w:val="clear" w:color="auto" w:fill="FFFFFF" w:themeFill="background1"/>
              <w:spacing w:after="0"/>
              <w:rPr>
                <w:rFonts w:ascii="Arial Narrow" w:hAnsi="Arial Narrow"/>
                <w:color w:val="000000" w:themeColor="text1"/>
                <w:sz w:val="20"/>
                <w:szCs w:val="20"/>
              </w:rPr>
            </w:pPr>
            <w:r w:rsidRPr="001958F9">
              <w:rPr>
                <w:rFonts w:ascii="Arial Narrow" w:hAnsi="Arial Narrow"/>
                <w:color w:val="000000" w:themeColor="text1"/>
                <w:sz w:val="20"/>
                <w:szCs w:val="20"/>
              </w:rPr>
              <w:t>Total eligible patient population</w:t>
            </w:r>
          </w:p>
        </w:tc>
        <w:tc>
          <w:tcPr>
            <w:tcW w:w="860" w:type="dxa"/>
            <w:noWrap/>
            <w:vAlign w:val="center"/>
          </w:tcPr>
          <w:p w14:paraId="56EC08AE" w14:textId="77777777" w:rsidR="00E75882" w:rsidRPr="001958F9" w:rsidRDefault="00E75882" w:rsidP="00EF551E">
            <w:pPr>
              <w:shd w:val="clear" w:color="auto" w:fill="FFFFFF" w:themeFill="background1"/>
              <w:spacing w:after="0"/>
              <w:jc w:val="right"/>
              <w:rPr>
                <w:rFonts w:ascii="Arial Narrow" w:hAnsi="Arial Narrow"/>
                <w:color w:val="000000" w:themeColor="text1"/>
                <w:sz w:val="20"/>
                <w:szCs w:val="20"/>
              </w:rPr>
            </w:pPr>
            <w:r w:rsidRPr="001958F9">
              <w:rPr>
                <w:rFonts w:ascii="Arial Narrow" w:hAnsi="Arial Narrow"/>
                <w:color w:val="000000" w:themeColor="text1"/>
                <w:sz w:val="20"/>
                <w:szCs w:val="20"/>
              </w:rPr>
              <w:t>30,583</w:t>
            </w:r>
          </w:p>
        </w:tc>
        <w:tc>
          <w:tcPr>
            <w:tcW w:w="860" w:type="dxa"/>
            <w:noWrap/>
            <w:vAlign w:val="center"/>
          </w:tcPr>
          <w:p w14:paraId="3815CCF5" w14:textId="77777777" w:rsidR="00E75882" w:rsidRPr="001958F9" w:rsidRDefault="00E75882" w:rsidP="00EF551E">
            <w:pPr>
              <w:shd w:val="clear" w:color="auto" w:fill="FFFFFF" w:themeFill="background1"/>
              <w:spacing w:after="0"/>
              <w:jc w:val="right"/>
              <w:rPr>
                <w:rFonts w:ascii="Arial Narrow" w:hAnsi="Arial Narrow"/>
                <w:color w:val="000000" w:themeColor="text1"/>
                <w:sz w:val="20"/>
                <w:szCs w:val="20"/>
              </w:rPr>
            </w:pPr>
            <w:r w:rsidRPr="001958F9">
              <w:rPr>
                <w:rFonts w:ascii="Arial Narrow" w:hAnsi="Arial Narrow"/>
                <w:color w:val="000000" w:themeColor="text1"/>
                <w:sz w:val="20"/>
                <w:szCs w:val="20"/>
              </w:rPr>
              <w:t>30,583</w:t>
            </w:r>
          </w:p>
        </w:tc>
        <w:tc>
          <w:tcPr>
            <w:tcW w:w="860" w:type="dxa"/>
            <w:noWrap/>
            <w:vAlign w:val="center"/>
          </w:tcPr>
          <w:p w14:paraId="3764B35D" w14:textId="77777777" w:rsidR="00E75882" w:rsidRPr="001958F9" w:rsidRDefault="00E75882" w:rsidP="00EF551E">
            <w:pPr>
              <w:shd w:val="clear" w:color="auto" w:fill="FFFFFF" w:themeFill="background1"/>
              <w:spacing w:after="0"/>
              <w:jc w:val="right"/>
              <w:rPr>
                <w:rFonts w:ascii="Arial Narrow" w:hAnsi="Arial Narrow"/>
                <w:color w:val="000000" w:themeColor="text1"/>
                <w:sz w:val="20"/>
                <w:szCs w:val="20"/>
              </w:rPr>
            </w:pPr>
            <w:r w:rsidRPr="001958F9">
              <w:rPr>
                <w:rFonts w:ascii="Arial Narrow" w:hAnsi="Arial Narrow"/>
                <w:color w:val="000000" w:themeColor="text1"/>
                <w:sz w:val="20"/>
                <w:szCs w:val="20"/>
              </w:rPr>
              <w:t>30,583</w:t>
            </w:r>
          </w:p>
        </w:tc>
      </w:tr>
      <w:tr w:rsidR="00E75882" w:rsidRPr="001958F9" w14:paraId="215CB6C7" w14:textId="77777777" w:rsidTr="00EF551E">
        <w:trPr>
          <w:trHeight w:val="237"/>
        </w:trPr>
        <w:tc>
          <w:tcPr>
            <w:tcW w:w="6338" w:type="dxa"/>
            <w:noWrap/>
            <w:vAlign w:val="center"/>
            <w:hideMark/>
          </w:tcPr>
          <w:p w14:paraId="4E91B6F4" w14:textId="77777777" w:rsidR="00E75882" w:rsidRPr="001958F9" w:rsidRDefault="00E75882" w:rsidP="00EF551E">
            <w:pPr>
              <w:shd w:val="clear" w:color="auto" w:fill="FFFFFF" w:themeFill="background1"/>
              <w:spacing w:after="0"/>
              <w:rPr>
                <w:rFonts w:ascii="Arial Narrow" w:hAnsi="Arial Narrow"/>
                <w:color w:val="000000" w:themeColor="text1"/>
                <w:sz w:val="20"/>
                <w:szCs w:val="20"/>
              </w:rPr>
            </w:pPr>
            <w:r w:rsidRPr="001958F9">
              <w:rPr>
                <w:rFonts w:ascii="Arial Narrow" w:hAnsi="Arial Narrow"/>
                <w:color w:val="000000" w:themeColor="text1"/>
                <w:sz w:val="20"/>
                <w:szCs w:val="20"/>
              </w:rPr>
              <w:t>The average number of sFlt-1/</w:t>
            </w:r>
            <w:proofErr w:type="spellStart"/>
            <w:r w:rsidRPr="001958F9">
              <w:rPr>
                <w:rFonts w:ascii="Arial Narrow" w:hAnsi="Arial Narrow"/>
                <w:color w:val="000000" w:themeColor="text1"/>
                <w:sz w:val="20"/>
                <w:szCs w:val="20"/>
              </w:rPr>
              <w:t>PlGF</w:t>
            </w:r>
            <w:proofErr w:type="spellEnd"/>
            <w:r w:rsidRPr="001958F9">
              <w:rPr>
                <w:rFonts w:ascii="Arial Narrow" w:hAnsi="Arial Narrow"/>
                <w:color w:val="000000" w:themeColor="text1"/>
                <w:sz w:val="20"/>
                <w:szCs w:val="20"/>
              </w:rPr>
              <w:t xml:space="preserve"> tests performed per eligible patient</w:t>
            </w:r>
          </w:p>
        </w:tc>
        <w:tc>
          <w:tcPr>
            <w:tcW w:w="860" w:type="dxa"/>
            <w:noWrap/>
            <w:vAlign w:val="center"/>
            <w:hideMark/>
          </w:tcPr>
          <w:p w14:paraId="47249D76" w14:textId="77777777" w:rsidR="00E75882" w:rsidRPr="001958F9" w:rsidRDefault="00E75882" w:rsidP="00EF551E">
            <w:pPr>
              <w:shd w:val="clear" w:color="auto" w:fill="FFFFFF" w:themeFill="background1"/>
              <w:spacing w:after="0"/>
              <w:jc w:val="right"/>
              <w:rPr>
                <w:rFonts w:ascii="Arial Narrow" w:hAnsi="Arial Narrow"/>
                <w:color w:val="000000" w:themeColor="text1"/>
                <w:sz w:val="20"/>
                <w:szCs w:val="20"/>
              </w:rPr>
            </w:pPr>
            <w:r w:rsidRPr="001958F9">
              <w:rPr>
                <w:rFonts w:ascii="Arial Narrow" w:hAnsi="Arial Narrow"/>
                <w:color w:val="000000" w:themeColor="text1"/>
                <w:sz w:val="20"/>
                <w:szCs w:val="20"/>
              </w:rPr>
              <w:t>2</w:t>
            </w:r>
          </w:p>
        </w:tc>
        <w:tc>
          <w:tcPr>
            <w:tcW w:w="860" w:type="dxa"/>
            <w:noWrap/>
            <w:vAlign w:val="center"/>
            <w:hideMark/>
          </w:tcPr>
          <w:p w14:paraId="62B98424" w14:textId="77777777" w:rsidR="00E75882" w:rsidRPr="001958F9" w:rsidRDefault="00E75882" w:rsidP="00EF551E">
            <w:pPr>
              <w:shd w:val="clear" w:color="auto" w:fill="FFFFFF" w:themeFill="background1"/>
              <w:spacing w:after="0"/>
              <w:jc w:val="right"/>
              <w:rPr>
                <w:rFonts w:ascii="Arial Narrow" w:hAnsi="Arial Narrow"/>
                <w:color w:val="000000" w:themeColor="text1"/>
                <w:sz w:val="20"/>
                <w:szCs w:val="20"/>
              </w:rPr>
            </w:pPr>
            <w:r w:rsidRPr="001958F9">
              <w:rPr>
                <w:rFonts w:ascii="Arial Narrow" w:hAnsi="Arial Narrow"/>
                <w:color w:val="000000" w:themeColor="text1"/>
                <w:sz w:val="20"/>
                <w:szCs w:val="20"/>
              </w:rPr>
              <w:t>2</w:t>
            </w:r>
          </w:p>
        </w:tc>
        <w:tc>
          <w:tcPr>
            <w:tcW w:w="860" w:type="dxa"/>
            <w:noWrap/>
            <w:vAlign w:val="center"/>
            <w:hideMark/>
          </w:tcPr>
          <w:p w14:paraId="020F55D6" w14:textId="77777777" w:rsidR="00E75882" w:rsidRPr="001958F9" w:rsidRDefault="00E75882" w:rsidP="00EF551E">
            <w:pPr>
              <w:shd w:val="clear" w:color="auto" w:fill="FFFFFF" w:themeFill="background1"/>
              <w:spacing w:after="0"/>
              <w:jc w:val="right"/>
              <w:rPr>
                <w:rFonts w:ascii="Arial Narrow" w:hAnsi="Arial Narrow"/>
                <w:color w:val="000000" w:themeColor="text1"/>
                <w:sz w:val="20"/>
                <w:szCs w:val="20"/>
              </w:rPr>
            </w:pPr>
            <w:r w:rsidRPr="001958F9">
              <w:rPr>
                <w:rFonts w:ascii="Arial Narrow" w:hAnsi="Arial Narrow"/>
                <w:color w:val="000000" w:themeColor="text1"/>
                <w:sz w:val="20"/>
                <w:szCs w:val="20"/>
              </w:rPr>
              <w:t>2</w:t>
            </w:r>
          </w:p>
        </w:tc>
      </w:tr>
      <w:tr w:rsidR="00E75882" w:rsidRPr="001958F9" w14:paraId="5F55514F" w14:textId="77777777" w:rsidTr="00EF551E">
        <w:trPr>
          <w:trHeight w:val="237"/>
        </w:trPr>
        <w:tc>
          <w:tcPr>
            <w:tcW w:w="6338" w:type="dxa"/>
            <w:noWrap/>
            <w:vAlign w:val="center"/>
            <w:hideMark/>
          </w:tcPr>
          <w:p w14:paraId="7CDCC76F" w14:textId="77777777" w:rsidR="00E75882" w:rsidRPr="001958F9" w:rsidRDefault="00E75882" w:rsidP="00EF551E">
            <w:pPr>
              <w:shd w:val="clear" w:color="auto" w:fill="FFFFFF" w:themeFill="background1"/>
              <w:spacing w:after="0"/>
              <w:rPr>
                <w:rFonts w:ascii="Arial Narrow" w:hAnsi="Arial Narrow"/>
                <w:color w:val="000000" w:themeColor="text1"/>
                <w:sz w:val="20"/>
                <w:szCs w:val="20"/>
              </w:rPr>
            </w:pPr>
            <w:r w:rsidRPr="001958F9">
              <w:rPr>
                <w:rFonts w:ascii="Arial Narrow" w:hAnsi="Arial Narrow"/>
                <w:color w:val="000000" w:themeColor="text1"/>
                <w:sz w:val="20"/>
                <w:szCs w:val="20"/>
              </w:rPr>
              <w:t>sFlt-1/</w:t>
            </w:r>
            <w:proofErr w:type="spellStart"/>
            <w:r w:rsidRPr="001958F9">
              <w:rPr>
                <w:rFonts w:ascii="Arial Narrow" w:hAnsi="Arial Narrow"/>
                <w:color w:val="000000" w:themeColor="text1"/>
                <w:sz w:val="20"/>
                <w:szCs w:val="20"/>
              </w:rPr>
              <w:t>PlGF</w:t>
            </w:r>
            <w:proofErr w:type="spellEnd"/>
            <w:r w:rsidRPr="001958F9">
              <w:rPr>
                <w:rFonts w:ascii="Arial Narrow" w:hAnsi="Arial Narrow"/>
                <w:color w:val="000000" w:themeColor="text1"/>
                <w:sz w:val="20"/>
                <w:szCs w:val="20"/>
              </w:rPr>
              <w:t xml:space="preserve"> utilisation per year</w:t>
            </w:r>
          </w:p>
        </w:tc>
        <w:tc>
          <w:tcPr>
            <w:tcW w:w="860" w:type="dxa"/>
            <w:noWrap/>
            <w:vAlign w:val="center"/>
          </w:tcPr>
          <w:p w14:paraId="3CDBE7AF" w14:textId="77777777" w:rsidR="00E75882" w:rsidRPr="001958F9" w:rsidRDefault="00E75882" w:rsidP="00EF551E">
            <w:pPr>
              <w:shd w:val="clear" w:color="auto" w:fill="FFFFFF" w:themeFill="background1"/>
              <w:spacing w:after="0"/>
              <w:jc w:val="right"/>
              <w:rPr>
                <w:rFonts w:ascii="Arial Narrow" w:hAnsi="Arial Narrow"/>
                <w:color w:val="000000" w:themeColor="text1"/>
                <w:sz w:val="20"/>
                <w:szCs w:val="20"/>
              </w:rPr>
            </w:pPr>
            <w:r w:rsidRPr="001958F9">
              <w:rPr>
                <w:rFonts w:ascii="Arial Narrow" w:hAnsi="Arial Narrow"/>
                <w:color w:val="000000" w:themeColor="text1"/>
                <w:sz w:val="20"/>
                <w:szCs w:val="20"/>
              </w:rPr>
              <w:t>61,166</w:t>
            </w:r>
          </w:p>
        </w:tc>
        <w:tc>
          <w:tcPr>
            <w:tcW w:w="860" w:type="dxa"/>
            <w:noWrap/>
            <w:vAlign w:val="center"/>
          </w:tcPr>
          <w:p w14:paraId="5B53EFE0" w14:textId="77777777" w:rsidR="00E75882" w:rsidRPr="001958F9" w:rsidRDefault="00E75882" w:rsidP="00EF551E">
            <w:pPr>
              <w:shd w:val="clear" w:color="auto" w:fill="FFFFFF" w:themeFill="background1"/>
              <w:spacing w:after="0"/>
              <w:jc w:val="right"/>
              <w:rPr>
                <w:rFonts w:ascii="Arial Narrow" w:hAnsi="Arial Narrow"/>
                <w:color w:val="000000" w:themeColor="text1"/>
                <w:sz w:val="20"/>
                <w:szCs w:val="20"/>
              </w:rPr>
            </w:pPr>
            <w:r w:rsidRPr="001958F9">
              <w:rPr>
                <w:rFonts w:ascii="Arial Narrow" w:hAnsi="Arial Narrow"/>
                <w:color w:val="000000" w:themeColor="text1"/>
                <w:sz w:val="20"/>
                <w:szCs w:val="20"/>
              </w:rPr>
              <w:t>61,166</w:t>
            </w:r>
          </w:p>
        </w:tc>
        <w:tc>
          <w:tcPr>
            <w:tcW w:w="860" w:type="dxa"/>
            <w:noWrap/>
            <w:vAlign w:val="center"/>
          </w:tcPr>
          <w:p w14:paraId="3E265345" w14:textId="77777777" w:rsidR="00E75882" w:rsidRPr="001958F9" w:rsidRDefault="00E75882" w:rsidP="00EF551E">
            <w:pPr>
              <w:shd w:val="clear" w:color="auto" w:fill="FFFFFF" w:themeFill="background1"/>
              <w:spacing w:after="0"/>
              <w:jc w:val="right"/>
              <w:rPr>
                <w:rFonts w:ascii="Arial Narrow" w:hAnsi="Arial Narrow"/>
                <w:color w:val="000000" w:themeColor="text1"/>
                <w:sz w:val="20"/>
                <w:szCs w:val="20"/>
              </w:rPr>
            </w:pPr>
            <w:r w:rsidRPr="001958F9">
              <w:rPr>
                <w:rFonts w:ascii="Arial Narrow" w:hAnsi="Arial Narrow"/>
                <w:color w:val="000000" w:themeColor="text1"/>
                <w:sz w:val="20"/>
                <w:szCs w:val="20"/>
              </w:rPr>
              <w:t>61,166</w:t>
            </w:r>
          </w:p>
        </w:tc>
      </w:tr>
      <w:tr w:rsidR="00E75882" w:rsidRPr="001958F9" w14:paraId="1075B706" w14:textId="77777777" w:rsidTr="00EF551E">
        <w:trPr>
          <w:trHeight w:val="237"/>
        </w:trPr>
        <w:tc>
          <w:tcPr>
            <w:tcW w:w="6338" w:type="dxa"/>
            <w:noWrap/>
            <w:vAlign w:val="center"/>
            <w:hideMark/>
          </w:tcPr>
          <w:p w14:paraId="671D3C55" w14:textId="77777777" w:rsidR="00E75882" w:rsidRPr="001958F9" w:rsidRDefault="00E75882" w:rsidP="00EF551E">
            <w:pPr>
              <w:shd w:val="clear" w:color="auto" w:fill="FFFFFF" w:themeFill="background1"/>
              <w:spacing w:after="0"/>
              <w:rPr>
                <w:rFonts w:ascii="Arial Narrow" w:hAnsi="Arial Narrow"/>
                <w:color w:val="000000" w:themeColor="text1"/>
                <w:sz w:val="20"/>
                <w:szCs w:val="20"/>
              </w:rPr>
            </w:pPr>
            <w:r w:rsidRPr="001958F9">
              <w:rPr>
                <w:rFonts w:ascii="Arial Narrow" w:hAnsi="Arial Narrow"/>
                <w:color w:val="000000" w:themeColor="text1"/>
                <w:sz w:val="20"/>
                <w:szCs w:val="20"/>
              </w:rPr>
              <w:t>Cumulative utilisation</w:t>
            </w:r>
          </w:p>
        </w:tc>
        <w:tc>
          <w:tcPr>
            <w:tcW w:w="860" w:type="dxa"/>
            <w:noWrap/>
            <w:vAlign w:val="center"/>
          </w:tcPr>
          <w:p w14:paraId="67A073A6" w14:textId="77777777" w:rsidR="00E75882" w:rsidRPr="001958F9" w:rsidRDefault="00E75882" w:rsidP="00EF551E">
            <w:pPr>
              <w:shd w:val="clear" w:color="auto" w:fill="FFFFFF" w:themeFill="background1"/>
              <w:spacing w:after="0"/>
              <w:jc w:val="right"/>
              <w:rPr>
                <w:rFonts w:ascii="Arial Narrow" w:hAnsi="Arial Narrow"/>
                <w:color w:val="000000" w:themeColor="text1"/>
                <w:sz w:val="20"/>
                <w:szCs w:val="20"/>
              </w:rPr>
            </w:pPr>
            <w:r w:rsidRPr="001958F9">
              <w:rPr>
                <w:rFonts w:ascii="Arial Narrow" w:hAnsi="Arial Narrow"/>
                <w:color w:val="000000" w:themeColor="text1"/>
                <w:sz w:val="20"/>
                <w:szCs w:val="20"/>
              </w:rPr>
              <w:t>61,166</w:t>
            </w:r>
          </w:p>
        </w:tc>
        <w:tc>
          <w:tcPr>
            <w:tcW w:w="860" w:type="dxa"/>
            <w:noWrap/>
            <w:vAlign w:val="center"/>
          </w:tcPr>
          <w:p w14:paraId="1181A14B" w14:textId="77777777" w:rsidR="00E75882" w:rsidRPr="001958F9" w:rsidRDefault="00E75882" w:rsidP="00EF551E">
            <w:pPr>
              <w:shd w:val="clear" w:color="auto" w:fill="FFFFFF" w:themeFill="background1"/>
              <w:spacing w:after="0"/>
              <w:jc w:val="right"/>
              <w:rPr>
                <w:rFonts w:ascii="Arial Narrow" w:hAnsi="Arial Narrow"/>
                <w:color w:val="000000" w:themeColor="text1"/>
                <w:sz w:val="20"/>
                <w:szCs w:val="20"/>
              </w:rPr>
            </w:pPr>
            <w:r w:rsidRPr="001958F9">
              <w:rPr>
                <w:rFonts w:ascii="Arial Narrow" w:hAnsi="Arial Narrow"/>
                <w:color w:val="000000" w:themeColor="text1"/>
                <w:sz w:val="20"/>
                <w:szCs w:val="20"/>
              </w:rPr>
              <w:t>122,333</w:t>
            </w:r>
          </w:p>
        </w:tc>
        <w:tc>
          <w:tcPr>
            <w:tcW w:w="860" w:type="dxa"/>
            <w:noWrap/>
            <w:vAlign w:val="center"/>
          </w:tcPr>
          <w:p w14:paraId="351562A2" w14:textId="77777777" w:rsidR="00E75882" w:rsidRPr="001958F9" w:rsidRDefault="00E75882" w:rsidP="00EF551E">
            <w:pPr>
              <w:shd w:val="clear" w:color="auto" w:fill="FFFFFF" w:themeFill="background1"/>
              <w:spacing w:after="0"/>
              <w:jc w:val="right"/>
              <w:rPr>
                <w:rFonts w:ascii="Arial Narrow" w:hAnsi="Arial Narrow"/>
                <w:color w:val="000000" w:themeColor="text1"/>
                <w:sz w:val="20"/>
                <w:szCs w:val="20"/>
              </w:rPr>
            </w:pPr>
            <w:r w:rsidRPr="001958F9">
              <w:rPr>
                <w:rFonts w:ascii="Arial Narrow" w:hAnsi="Arial Narrow"/>
                <w:color w:val="000000" w:themeColor="text1"/>
                <w:sz w:val="20"/>
                <w:szCs w:val="20"/>
              </w:rPr>
              <w:t>183,499</w:t>
            </w:r>
          </w:p>
        </w:tc>
      </w:tr>
    </w:tbl>
    <w:p w14:paraId="50AD8A34" w14:textId="7DBCD9AB" w:rsidR="00E75882" w:rsidRPr="001958F9" w:rsidRDefault="00E75882" w:rsidP="00EF551E">
      <w:pPr>
        <w:shd w:val="clear" w:color="auto" w:fill="FFFFFF" w:themeFill="background1"/>
        <w:spacing w:after="0"/>
        <w:rPr>
          <w:rFonts w:ascii="Arial Narrow" w:hAnsi="Arial Narrow"/>
          <w:color w:val="000000" w:themeColor="text1"/>
          <w:sz w:val="18"/>
          <w:szCs w:val="18"/>
        </w:rPr>
      </w:pPr>
      <w:r w:rsidRPr="001958F9">
        <w:rPr>
          <w:rFonts w:ascii="Arial Narrow" w:hAnsi="Arial Narrow"/>
          <w:color w:val="000000" w:themeColor="text1"/>
          <w:sz w:val="18"/>
          <w:szCs w:val="18"/>
        </w:rPr>
        <w:t xml:space="preserve">ABS = Australian Bureau of Statistics, PE = preeclampsia; </w:t>
      </w:r>
      <w:r w:rsidRPr="001958F9">
        <w:rPr>
          <w:rFonts w:ascii="Arial Narrow" w:hAnsi="Arial Narrow"/>
          <w:iCs/>
          <w:color w:val="000000" w:themeColor="text1"/>
          <w:sz w:val="18"/>
          <w:szCs w:val="18"/>
        </w:rPr>
        <w:t xml:space="preserve">sFlt-1= </w:t>
      </w:r>
      <w:r w:rsidRPr="001958F9">
        <w:rPr>
          <w:rFonts w:ascii="Arial Narrow" w:hAnsi="Arial Narrow"/>
          <w:color w:val="000000" w:themeColor="text1"/>
          <w:sz w:val="18"/>
          <w:szCs w:val="18"/>
        </w:rPr>
        <w:t xml:space="preserve">soluble </w:t>
      </w:r>
      <w:proofErr w:type="spellStart"/>
      <w:r w:rsidRPr="001958F9">
        <w:rPr>
          <w:rFonts w:ascii="Arial Narrow" w:hAnsi="Arial Narrow"/>
          <w:color w:val="000000" w:themeColor="text1"/>
          <w:sz w:val="18"/>
          <w:szCs w:val="18"/>
        </w:rPr>
        <w:t>fms</w:t>
      </w:r>
      <w:proofErr w:type="spellEnd"/>
      <w:r w:rsidRPr="001958F9">
        <w:rPr>
          <w:rFonts w:ascii="Arial Narrow" w:hAnsi="Arial Narrow"/>
          <w:color w:val="000000" w:themeColor="text1"/>
          <w:sz w:val="18"/>
          <w:szCs w:val="18"/>
        </w:rPr>
        <w:t>-like tyrosine kinase-1;</w:t>
      </w:r>
      <w:r w:rsidRPr="001958F9">
        <w:rPr>
          <w:rFonts w:ascii="Arial Narrow" w:hAnsi="Arial Narrow"/>
          <w:iCs/>
          <w:color w:val="000000" w:themeColor="text1"/>
          <w:sz w:val="18"/>
          <w:szCs w:val="18"/>
        </w:rPr>
        <w:t xml:space="preserve"> </w:t>
      </w:r>
      <w:proofErr w:type="spellStart"/>
      <w:r w:rsidRPr="001958F9">
        <w:rPr>
          <w:rFonts w:ascii="Arial Narrow" w:hAnsi="Arial Narrow"/>
          <w:iCs/>
          <w:color w:val="000000" w:themeColor="text1"/>
          <w:sz w:val="18"/>
          <w:szCs w:val="18"/>
        </w:rPr>
        <w:t>PlGF</w:t>
      </w:r>
      <w:proofErr w:type="spellEnd"/>
      <w:r w:rsidRPr="001958F9">
        <w:rPr>
          <w:rFonts w:ascii="Arial Narrow" w:hAnsi="Arial Narrow"/>
          <w:iCs/>
          <w:color w:val="000000" w:themeColor="text1"/>
          <w:sz w:val="18"/>
          <w:szCs w:val="18"/>
        </w:rPr>
        <w:t xml:space="preserve">= </w:t>
      </w:r>
      <w:r w:rsidRPr="001958F9">
        <w:rPr>
          <w:rFonts w:ascii="Arial Narrow" w:hAnsi="Arial Narrow"/>
          <w:color w:val="000000" w:themeColor="text1"/>
          <w:sz w:val="18"/>
          <w:szCs w:val="18"/>
        </w:rPr>
        <w:t xml:space="preserve">placental growth factor. </w:t>
      </w:r>
    </w:p>
    <w:p w14:paraId="1EEC2DB1" w14:textId="77777777" w:rsidR="00E854E0" w:rsidRPr="001958F9" w:rsidRDefault="00E854E0" w:rsidP="00E854E0">
      <w:pPr>
        <w:shd w:val="clear" w:color="auto" w:fill="FFFFFF" w:themeFill="background1"/>
        <w:spacing w:after="0"/>
        <w:rPr>
          <w:rFonts w:ascii="Arial Narrow" w:hAnsi="Arial Narrow"/>
          <w:color w:val="000000" w:themeColor="text1"/>
          <w:sz w:val="18"/>
          <w:szCs w:val="18"/>
        </w:rPr>
      </w:pPr>
      <w:r w:rsidRPr="001958F9">
        <w:rPr>
          <w:rFonts w:ascii="Arial Narrow" w:hAnsi="Arial Narrow"/>
          <w:color w:val="000000" w:themeColor="text1"/>
          <w:sz w:val="18"/>
          <w:szCs w:val="18"/>
        </w:rPr>
        <w:t>Source: p26 of the application.</w:t>
      </w:r>
    </w:p>
    <w:p w14:paraId="2C9BCF20" w14:textId="77777777" w:rsidR="00E75882" w:rsidRPr="001958F9" w:rsidRDefault="00E75882" w:rsidP="00EF551E">
      <w:pPr>
        <w:shd w:val="clear" w:color="auto" w:fill="FFFFFF" w:themeFill="background1"/>
        <w:spacing w:after="0"/>
        <w:rPr>
          <w:rFonts w:ascii="Arial Narrow" w:hAnsi="Arial Narrow"/>
          <w:color w:val="000000" w:themeColor="text1"/>
          <w:sz w:val="18"/>
          <w:szCs w:val="18"/>
        </w:rPr>
      </w:pPr>
    </w:p>
    <w:p w14:paraId="7065B71E" w14:textId="5A1AEBB2" w:rsidR="00E75882" w:rsidRPr="002A47DC" w:rsidRDefault="00E75882" w:rsidP="0080792B">
      <w:pPr>
        <w:shd w:val="clear" w:color="auto" w:fill="FFFFFF" w:themeFill="background1"/>
        <w:rPr>
          <w:i/>
          <w:iCs/>
          <w:color w:val="000000" w:themeColor="text1"/>
        </w:rPr>
      </w:pPr>
      <w:r w:rsidRPr="001958F9">
        <w:rPr>
          <w:color w:val="000000" w:themeColor="text1"/>
        </w:rPr>
        <w:t>The application also estimated that 10% of pregnancies would become eligible for sFlt-1/</w:t>
      </w:r>
      <w:proofErr w:type="spellStart"/>
      <w:r w:rsidRPr="001958F9">
        <w:rPr>
          <w:color w:val="000000" w:themeColor="text1"/>
        </w:rPr>
        <w:t>PlGF</w:t>
      </w:r>
      <w:proofErr w:type="spellEnd"/>
      <w:r w:rsidRPr="001958F9">
        <w:rPr>
          <w:color w:val="000000" w:themeColor="text1"/>
        </w:rPr>
        <w:t xml:space="preserve"> testing due to clinical signs and symptoms of PE. This figure was based on data from the Royal Women`s Hospital Melbourne.</w:t>
      </w:r>
      <w:r>
        <w:rPr>
          <w:i/>
          <w:iCs/>
          <w:color w:val="000000" w:themeColor="text1"/>
        </w:rPr>
        <w:t xml:space="preserve"> </w:t>
      </w:r>
      <w:r w:rsidRPr="001958F9">
        <w:rPr>
          <w:color w:val="000000" w:themeColor="text1"/>
        </w:rPr>
        <w:t xml:space="preserve">Several previous studies also concluded that hypertensive disorders </w:t>
      </w:r>
      <w:r>
        <w:rPr>
          <w:color w:val="000000" w:themeColor="text1"/>
        </w:rPr>
        <w:t>occur</w:t>
      </w:r>
      <w:r w:rsidRPr="001958F9">
        <w:rPr>
          <w:color w:val="000000" w:themeColor="text1"/>
        </w:rPr>
        <w:t xml:space="preserve"> in 10% of all pregnancies </w:t>
      </w:r>
      <w:r>
        <w:rPr>
          <w:noProof/>
          <w:color w:val="000000" w:themeColor="text1"/>
        </w:rPr>
        <w:t>[5, 8, 16, 22, 24]</w:t>
      </w:r>
      <w:r w:rsidRPr="001958F9">
        <w:rPr>
          <w:color w:val="000000" w:themeColor="text1"/>
        </w:rPr>
        <w:t>.</w:t>
      </w:r>
      <w:r w:rsidR="000C13B6">
        <w:rPr>
          <w:color w:val="000000" w:themeColor="text1"/>
        </w:rPr>
        <w:t xml:space="preserve"> However, the estimation is </w:t>
      </w:r>
      <w:r w:rsidR="000C13B6" w:rsidRPr="000C13B6">
        <w:rPr>
          <w:color w:val="000000" w:themeColor="text1"/>
        </w:rPr>
        <w:t>likely to be underestimate</w:t>
      </w:r>
      <w:r w:rsidR="000C13B6">
        <w:rPr>
          <w:color w:val="000000" w:themeColor="text1"/>
        </w:rPr>
        <w:t xml:space="preserve">d. </w:t>
      </w:r>
      <w:r w:rsidR="000C13B6" w:rsidRPr="000C13B6">
        <w:rPr>
          <w:color w:val="000000" w:themeColor="text1"/>
        </w:rPr>
        <w:t xml:space="preserve">Depending on </w:t>
      </w:r>
      <w:r w:rsidR="00921315">
        <w:rPr>
          <w:color w:val="000000" w:themeColor="text1"/>
        </w:rPr>
        <w:t xml:space="preserve">the </w:t>
      </w:r>
      <w:r w:rsidR="000C13B6" w:rsidRPr="000C13B6">
        <w:rPr>
          <w:color w:val="000000" w:themeColor="text1"/>
        </w:rPr>
        <w:t>clinician’s interpretation of the test indication and defensive practice, education may be required around appropriate use</w:t>
      </w:r>
      <w:r w:rsidR="000C13B6">
        <w:rPr>
          <w:color w:val="000000" w:themeColor="text1"/>
        </w:rPr>
        <w:t>.</w:t>
      </w:r>
    </w:p>
    <w:p w14:paraId="0AF5B541" w14:textId="4078F558" w:rsidR="00BD1D7B" w:rsidRPr="005A7250" w:rsidRDefault="00E75882" w:rsidP="0080792B">
      <w:pPr>
        <w:shd w:val="clear" w:color="auto" w:fill="FFFFFF" w:themeFill="background1"/>
      </w:pPr>
      <w:r>
        <w:t>During the pre-PASC meeting</w:t>
      </w:r>
      <w:r w:rsidR="00E854E0">
        <w:t>,</w:t>
      </w:r>
      <w:r>
        <w:t xml:space="preserve"> it was discussed that </w:t>
      </w:r>
      <w:r w:rsidR="00495A5F">
        <w:t xml:space="preserve">MSAC application 1705 - </w:t>
      </w:r>
      <w:r w:rsidR="00495A5F" w:rsidRPr="00544C14">
        <w:t xml:space="preserve">Structured prenatal risk assessment for preterm </w:t>
      </w:r>
      <w:r w:rsidR="00F87D38">
        <w:t>PE</w:t>
      </w:r>
      <w:r w:rsidR="00495A5F">
        <w:t xml:space="preserve"> </w:t>
      </w:r>
      <w:r w:rsidR="00DF176E">
        <w:t>will</w:t>
      </w:r>
      <w:r w:rsidR="00495A5F">
        <w:t xml:space="preserve"> also </w:t>
      </w:r>
      <w:r w:rsidR="00DF176E">
        <w:t xml:space="preserve">be </w:t>
      </w:r>
      <w:r w:rsidR="00495A5F">
        <w:t>submitted for assessment. The listing of the test</w:t>
      </w:r>
      <w:r w:rsidR="00DF176E">
        <w:t xml:space="preserve"> proposed</w:t>
      </w:r>
      <w:r w:rsidR="00495A5F">
        <w:t xml:space="preserve"> in </w:t>
      </w:r>
      <w:r w:rsidR="00495A5F">
        <w:lastRenderedPageBreak/>
        <w:t xml:space="preserve">1705 may </w:t>
      </w:r>
      <w:r w:rsidR="0079097F">
        <w:t xml:space="preserve">impact the </w:t>
      </w:r>
      <w:r w:rsidR="00495A5F">
        <w:t xml:space="preserve">proportion of women </w:t>
      </w:r>
      <w:r w:rsidR="0079097F">
        <w:t xml:space="preserve">who are </w:t>
      </w:r>
      <w:r w:rsidR="00495A5F">
        <w:t>eligible for 1706 (</w:t>
      </w:r>
      <w:r w:rsidR="00D81750">
        <w:t>i.e.,</w:t>
      </w:r>
      <w:r w:rsidR="00495A5F">
        <w:t xml:space="preserve"> </w:t>
      </w:r>
      <w:bookmarkStart w:id="18" w:name="_Hlk104203080"/>
      <w:r w:rsidR="00495A5F">
        <w:t xml:space="preserve">those identified before 14 weeks’ gestation at high risk </w:t>
      </w:r>
      <w:r w:rsidR="00DF0F88">
        <w:t xml:space="preserve">of </w:t>
      </w:r>
      <w:r w:rsidR="004A65F8">
        <w:t>PE</w:t>
      </w:r>
      <w:r w:rsidR="00495A5F">
        <w:t xml:space="preserve"> </w:t>
      </w:r>
      <w:r w:rsidR="006B2532">
        <w:t>and who are</w:t>
      </w:r>
      <w:r w:rsidR="00C50E63">
        <w:t xml:space="preserve"> </w:t>
      </w:r>
      <w:r w:rsidR="00495A5F">
        <w:t>treated with prophylactic aspirin</w:t>
      </w:r>
      <w:r w:rsidR="006B2532">
        <w:t xml:space="preserve"> to lower their PE risk</w:t>
      </w:r>
      <w:r w:rsidR="00495A5F">
        <w:t xml:space="preserve"> </w:t>
      </w:r>
      <w:r w:rsidR="00DF176E">
        <w:t xml:space="preserve">may </w:t>
      </w:r>
      <w:r w:rsidR="00206A09">
        <w:t xml:space="preserve">have an altered </w:t>
      </w:r>
      <w:r w:rsidR="00495A5F">
        <w:t xml:space="preserve">risk </w:t>
      </w:r>
      <w:r w:rsidR="00DF0F88">
        <w:t xml:space="preserve">of </w:t>
      </w:r>
      <w:r w:rsidR="00495A5F">
        <w:t xml:space="preserve">PE </w:t>
      </w:r>
      <w:r w:rsidR="00495A5F" w:rsidRPr="005A7250">
        <w:t>beyond 24</w:t>
      </w:r>
      <w:r w:rsidR="00F01AEE" w:rsidRPr="007B6937">
        <w:rPr>
          <w:vertAlign w:val="superscript"/>
        </w:rPr>
        <w:t>+0</w:t>
      </w:r>
      <w:r w:rsidR="00495A5F" w:rsidRPr="005A7250">
        <w:t xml:space="preserve"> weeks’ gestation</w:t>
      </w:r>
      <w:bookmarkEnd w:id="18"/>
      <w:r w:rsidR="00495A5F" w:rsidRPr="005A7250">
        <w:t>).</w:t>
      </w:r>
    </w:p>
    <w:p w14:paraId="467CB2C3" w14:textId="55D0F743" w:rsidR="000C13B6" w:rsidRPr="005A7250" w:rsidRDefault="000C13B6" w:rsidP="005A7250">
      <w:pPr>
        <w:spacing w:before="100" w:beforeAutospacing="1" w:after="100" w:afterAutospacing="1"/>
      </w:pPr>
      <w:r w:rsidRPr="005A7250">
        <w:t xml:space="preserve">It seems unlikely that </w:t>
      </w:r>
      <w:r w:rsidR="00DF176E" w:rsidRPr="005A7250">
        <w:t xml:space="preserve">every </w:t>
      </w:r>
      <w:r w:rsidRPr="005A7250">
        <w:t xml:space="preserve">woman </w:t>
      </w:r>
      <w:r w:rsidR="00921315" w:rsidRPr="005A7250">
        <w:t xml:space="preserve">who </w:t>
      </w:r>
      <w:r w:rsidR="00B1484E">
        <w:t xml:space="preserve">is </w:t>
      </w:r>
      <w:r w:rsidRPr="005A7250">
        <w:t xml:space="preserve">started on aspirin because of elevated risk of PE as determined by </w:t>
      </w:r>
      <w:r w:rsidR="00DF176E" w:rsidRPr="005A7250">
        <w:t xml:space="preserve">the test proposed in </w:t>
      </w:r>
      <w:r w:rsidRPr="005A7250">
        <w:t xml:space="preserve">1705 would </w:t>
      </w:r>
      <w:r w:rsidR="00774F79" w:rsidRPr="005A7250">
        <w:t>not</w:t>
      </w:r>
      <w:r w:rsidRPr="005A7250">
        <w:t xml:space="preserve"> have a</w:t>
      </w:r>
      <w:r w:rsidR="00921315" w:rsidRPr="005A7250">
        <w:t>n</w:t>
      </w:r>
      <w:r w:rsidRPr="005A7250">
        <w:t xml:space="preserve"> </w:t>
      </w:r>
      <w:r w:rsidR="00774F79" w:rsidRPr="005A7250">
        <w:t>sFlt-1/</w:t>
      </w:r>
      <w:proofErr w:type="spellStart"/>
      <w:r w:rsidR="00774F79" w:rsidRPr="005A7250">
        <w:t>PlGF</w:t>
      </w:r>
      <w:proofErr w:type="spellEnd"/>
      <w:r w:rsidR="00774F79" w:rsidRPr="005A7250">
        <w:t xml:space="preserve"> ratio</w:t>
      </w:r>
      <w:r w:rsidRPr="005A7250">
        <w:t xml:space="preserve"> test </w:t>
      </w:r>
      <w:r w:rsidR="00DF176E" w:rsidRPr="005A7250">
        <w:t>from</w:t>
      </w:r>
      <w:r w:rsidRPr="005A7250">
        <w:t xml:space="preserve"> </w:t>
      </w:r>
      <w:r w:rsidR="00DF176E" w:rsidRPr="005A7250">
        <w:t>24</w:t>
      </w:r>
      <w:r w:rsidR="00D62019" w:rsidRPr="00D62019">
        <w:rPr>
          <w:vertAlign w:val="superscript"/>
        </w:rPr>
        <w:t>+0</w:t>
      </w:r>
      <w:r w:rsidR="00DF176E" w:rsidRPr="005A7250">
        <w:t xml:space="preserve"> </w:t>
      </w:r>
      <w:r w:rsidRPr="005A7250">
        <w:t>week</w:t>
      </w:r>
      <w:r w:rsidR="00DF176E" w:rsidRPr="005A7250">
        <w:t>s’ gestation</w:t>
      </w:r>
      <w:r w:rsidRPr="005A7250">
        <w:t xml:space="preserve"> given that aspirin will not prevent 100% of PE</w:t>
      </w:r>
      <w:r w:rsidR="00DF176E" w:rsidRPr="005A7250">
        <w:t xml:space="preserve"> cases</w:t>
      </w:r>
      <w:r w:rsidRPr="005A7250">
        <w:t>.</w:t>
      </w:r>
      <w:r w:rsidR="00C264A6">
        <w:t xml:space="preserve"> This means that some share of the high-risk population identified by 1705 may still be considered eligible for </w:t>
      </w:r>
      <w:r w:rsidR="00C264A6" w:rsidRPr="001958F9">
        <w:rPr>
          <w:color w:val="000000" w:themeColor="text1"/>
        </w:rPr>
        <w:t>a</w:t>
      </w:r>
      <w:r w:rsidR="00C264A6">
        <w:rPr>
          <w:color w:val="000000" w:themeColor="text1"/>
        </w:rPr>
        <w:t>n</w:t>
      </w:r>
      <w:r w:rsidR="00C264A6" w:rsidRPr="001958F9">
        <w:rPr>
          <w:color w:val="000000" w:themeColor="text1"/>
        </w:rPr>
        <w:t xml:space="preserve"> sFlt-1/</w:t>
      </w:r>
      <w:proofErr w:type="spellStart"/>
      <w:r w:rsidR="00C264A6" w:rsidRPr="001958F9">
        <w:rPr>
          <w:color w:val="000000" w:themeColor="text1"/>
        </w:rPr>
        <w:t>PlGF</w:t>
      </w:r>
      <w:proofErr w:type="spellEnd"/>
      <w:r w:rsidR="00C264A6" w:rsidRPr="001958F9">
        <w:rPr>
          <w:color w:val="000000" w:themeColor="text1"/>
        </w:rPr>
        <w:t xml:space="preserve"> test</w:t>
      </w:r>
      <w:r w:rsidR="00C264A6">
        <w:rPr>
          <w:color w:val="000000" w:themeColor="text1"/>
        </w:rPr>
        <w:t xml:space="preserve"> so it is not necessarily the case that the size of the relevant patient population in the current application would drop.</w:t>
      </w:r>
    </w:p>
    <w:p w14:paraId="38A1F38A" w14:textId="7B6912D2" w:rsidR="00E75882" w:rsidRDefault="00531200" w:rsidP="0080792B">
      <w:pPr>
        <w:shd w:val="clear" w:color="auto" w:fill="FFFFFF" w:themeFill="background1"/>
        <w:rPr>
          <w:i/>
          <w:iCs/>
          <w:color w:val="000000" w:themeColor="text1"/>
        </w:rPr>
      </w:pPr>
      <w:r w:rsidRPr="00102FB5">
        <w:rPr>
          <w:rFonts w:asciiTheme="minorHAnsi" w:hAnsiTheme="minorHAnsi" w:cstheme="minorHAnsi"/>
          <w:i/>
          <w:color w:val="000000" w:themeColor="text1"/>
        </w:rPr>
        <w:t xml:space="preserve">PASC noted that if MSAC application 1705 is successful, the size of the relevant patient population in the current application may </w:t>
      </w:r>
      <w:r w:rsidR="00B72435">
        <w:rPr>
          <w:rFonts w:asciiTheme="minorHAnsi" w:hAnsiTheme="minorHAnsi" w:cstheme="minorHAnsi"/>
          <w:i/>
          <w:color w:val="000000" w:themeColor="text1"/>
        </w:rPr>
        <w:t>be impacted (in either direction)</w:t>
      </w:r>
      <w:r w:rsidRPr="00102FB5">
        <w:rPr>
          <w:rFonts w:asciiTheme="minorHAnsi" w:hAnsiTheme="minorHAnsi" w:cstheme="minorHAnsi"/>
          <w:i/>
          <w:color w:val="000000" w:themeColor="text1"/>
        </w:rPr>
        <w:t>. This should be investigated in the assessment report.</w:t>
      </w:r>
    </w:p>
    <w:p w14:paraId="19DB63E8" w14:textId="23D81E70" w:rsidR="00E75882" w:rsidRPr="001958F9" w:rsidRDefault="00E75882" w:rsidP="0080792B">
      <w:pPr>
        <w:shd w:val="clear" w:color="auto" w:fill="FFFFFF" w:themeFill="background1"/>
        <w:rPr>
          <w:rFonts w:asciiTheme="minorHAnsi" w:hAnsiTheme="minorHAnsi" w:cstheme="minorHAnsi"/>
          <w:color w:val="000000" w:themeColor="text1"/>
        </w:rPr>
      </w:pPr>
      <w:r>
        <w:rPr>
          <w:rFonts w:asciiTheme="minorHAnsi" w:hAnsiTheme="minorHAnsi" w:cstheme="minorHAnsi"/>
          <w:color w:val="000000" w:themeColor="text1"/>
        </w:rPr>
        <w:t>T</w:t>
      </w:r>
      <w:r w:rsidRPr="001958F9">
        <w:rPr>
          <w:color w:val="000000" w:themeColor="text1"/>
        </w:rPr>
        <w:t>he application stated that clear clinical signs (disease progression and severity) indicate a need to admit</w:t>
      </w:r>
      <w:r>
        <w:rPr>
          <w:color w:val="000000" w:themeColor="text1"/>
        </w:rPr>
        <w:t xml:space="preserve"> the woman for monitoring</w:t>
      </w:r>
      <w:r w:rsidRPr="001958F9">
        <w:rPr>
          <w:color w:val="000000" w:themeColor="text1"/>
        </w:rPr>
        <w:t xml:space="preserve"> regardless of the sFlt-1/</w:t>
      </w:r>
      <w:proofErr w:type="spellStart"/>
      <w:r w:rsidRPr="001958F9">
        <w:rPr>
          <w:color w:val="000000" w:themeColor="text1"/>
        </w:rPr>
        <w:t>PlGF</w:t>
      </w:r>
      <w:proofErr w:type="spellEnd"/>
      <w:r w:rsidRPr="001958F9">
        <w:rPr>
          <w:color w:val="000000" w:themeColor="text1"/>
        </w:rPr>
        <w:t xml:space="preserve"> ratio (p20 of the application). </w:t>
      </w:r>
      <w:r w:rsidRPr="008272F3">
        <w:rPr>
          <w:color w:val="000000" w:themeColor="text1"/>
        </w:rPr>
        <w:t>Based on the feedback provided by the applicant to the questions after the pre-PASC meeting</w:t>
      </w:r>
      <w:r w:rsidR="0017150C">
        <w:rPr>
          <w:color w:val="000000" w:themeColor="text1"/>
        </w:rPr>
        <w:t>,</w:t>
      </w:r>
      <w:r w:rsidRPr="00603DC2">
        <w:t xml:space="preserve"> </w:t>
      </w:r>
      <w:r>
        <w:rPr>
          <w:rFonts w:asciiTheme="minorHAnsi" w:hAnsiTheme="minorHAnsi" w:cstheme="minorHAnsi"/>
          <w:color w:val="000000" w:themeColor="text1"/>
        </w:rPr>
        <w:t>i</w:t>
      </w:r>
      <w:r w:rsidRPr="00603DC2">
        <w:rPr>
          <w:rFonts w:asciiTheme="minorHAnsi" w:hAnsiTheme="minorHAnsi" w:cstheme="minorHAnsi"/>
          <w:color w:val="000000" w:themeColor="text1"/>
        </w:rPr>
        <w:t>f the ratio test is low (&lt;38),</w:t>
      </w:r>
      <w:r w:rsidR="00402F9B">
        <w:rPr>
          <w:rFonts w:asciiTheme="minorHAnsi" w:hAnsiTheme="minorHAnsi" w:cstheme="minorHAnsi"/>
          <w:color w:val="000000" w:themeColor="text1"/>
        </w:rPr>
        <w:t xml:space="preserve"> then a repeat ratio test may be required in 2-4 weeks</w:t>
      </w:r>
      <w:r w:rsidRPr="00603DC2">
        <w:rPr>
          <w:rFonts w:asciiTheme="minorHAnsi" w:hAnsiTheme="minorHAnsi" w:cstheme="minorHAnsi"/>
          <w:color w:val="000000" w:themeColor="text1"/>
        </w:rPr>
        <w:t>. If it is high (&gt;38)</w:t>
      </w:r>
      <w:r w:rsidR="00E4389D">
        <w:rPr>
          <w:rFonts w:asciiTheme="minorHAnsi" w:hAnsiTheme="minorHAnsi" w:cstheme="minorHAnsi"/>
          <w:color w:val="000000" w:themeColor="text1"/>
        </w:rPr>
        <w:t>,</w:t>
      </w:r>
      <w:r w:rsidRPr="00603DC2">
        <w:rPr>
          <w:rFonts w:asciiTheme="minorHAnsi" w:hAnsiTheme="minorHAnsi" w:cstheme="minorHAnsi"/>
          <w:color w:val="000000" w:themeColor="text1"/>
        </w:rPr>
        <w:t xml:space="preserve"> then the subsequent sequence will depend on the result/level of the ratio test and </w:t>
      </w:r>
      <w:r w:rsidR="0035661D">
        <w:rPr>
          <w:rFonts w:asciiTheme="minorHAnsi" w:hAnsiTheme="minorHAnsi" w:cstheme="minorHAnsi"/>
          <w:color w:val="000000" w:themeColor="text1"/>
        </w:rPr>
        <w:t xml:space="preserve">the </w:t>
      </w:r>
      <w:r w:rsidRPr="00603DC2">
        <w:rPr>
          <w:rFonts w:asciiTheme="minorHAnsi" w:hAnsiTheme="minorHAnsi" w:cstheme="minorHAnsi"/>
          <w:color w:val="000000" w:themeColor="text1"/>
        </w:rPr>
        <w:t>gestation of the pregnancy</w:t>
      </w:r>
      <w:r>
        <w:rPr>
          <w:rFonts w:asciiTheme="minorHAnsi" w:hAnsiTheme="minorHAnsi" w:cstheme="minorHAnsi"/>
          <w:color w:val="000000" w:themeColor="text1"/>
        </w:rPr>
        <w:t xml:space="preserve"> </w:t>
      </w:r>
      <w:r>
        <w:rPr>
          <w:rFonts w:asciiTheme="minorHAnsi" w:hAnsiTheme="minorHAnsi" w:cstheme="minorHAnsi"/>
          <w:noProof/>
          <w:color w:val="000000" w:themeColor="text1"/>
        </w:rPr>
        <w:t>[28]</w:t>
      </w:r>
      <w:r>
        <w:rPr>
          <w:rFonts w:asciiTheme="minorHAnsi" w:hAnsiTheme="minorHAnsi" w:cstheme="minorHAnsi"/>
          <w:color w:val="000000" w:themeColor="text1"/>
        </w:rPr>
        <w:t xml:space="preserve">. The </w:t>
      </w:r>
      <w:r w:rsidR="00E4389D">
        <w:rPr>
          <w:rFonts w:asciiTheme="minorHAnsi" w:hAnsiTheme="minorHAnsi" w:cstheme="minorHAnsi"/>
          <w:color w:val="000000" w:themeColor="text1"/>
        </w:rPr>
        <w:t>applicant</w:t>
      </w:r>
      <w:r>
        <w:rPr>
          <w:rFonts w:asciiTheme="minorHAnsi" w:hAnsiTheme="minorHAnsi" w:cstheme="minorHAnsi"/>
          <w:color w:val="000000" w:themeColor="text1"/>
        </w:rPr>
        <w:t xml:space="preserve"> also stated that </w:t>
      </w:r>
      <w:r w:rsidRPr="008272F3">
        <w:rPr>
          <w:color w:val="000000" w:themeColor="text1"/>
        </w:rPr>
        <w:t xml:space="preserve">as </w:t>
      </w:r>
      <w:r>
        <w:rPr>
          <w:color w:val="000000" w:themeColor="text1"/>
        </w:rPr>
        <w:t>PE</w:t>
      </w:r>
      <w:r w:rsidRPr="008272F3">
        <w:rPr>
          <w:color w:val="000000" w:themeColor="text1"/>
        </w:rPr>
        <w:t xml:space="preserve"> develops, there is a significant correlation between the ratio test result and other key markers of </w:t>
      </w:r>
      <w:r w:rsidR="00F87D38">
        <w:rPr>
          <w:color w:val="000000" w:themeColor="text1"/>
        </w:rPr>
        <w:t>PE</w:t>
      </w:r>
      <w:r w:rsidRPr="008272F3">
        <w:rPr>
          <w:color w:val="000000" w:themeColor="text1"/>
        </w:rPr>
        <w:t xml:space="preserve">, in so far as the higher the ratio result, the higher the risk of </w:t>
      </w:r>
      <w:r w:rsidR="00F87D38">
        <w:rPr>
          <w:color w:val="000000" w:themeColor="text1"/>
        </w:rPr>
        <w:t>PE</w:t>
      </w:r>
      <w:r w:rsidR="00D81750">
        <w:rPr>
          <w:color w:val="000000" w:themeColor="text1"/>
        </w:rPr>
        <w:t xml:space="preserve"> </w:t>
      </w:r>
      <w:r w:rsidRPr="008272F3">
        <w:rPr>
          <w:color w:val="000000" w:themeColor="text1"/>
        </w:rPr>
        <w:t xml:space="preserve">associated adverse maternal and </w:t>
      </w:r>
      <w:proofErr w:type="spellStart"/>
      <w:r w:rsidRPr="008272F3">
        <w:rPr>
          <w:color w:val="000000" w:themeColor="text1"/>
        </w:rPr>
        <w:t>fetal</w:t>
      </w:r>
      <w:proofErr w:type="spellEnd"/>
      <w:r w:rsidRPr="008272F3">
        <w:rPr>
          <w:color w:val="000000" w:themeColor="text1"/>
        </w:rPr>
        <w:t xml:space="preserve"> complications (such as </w:t>
      </w:r>
      <w:r w:rsidR="008901B1" w:rsidRPr="001710E9">
        <w:rPr>
          <w:color w:val="000000" w:themeColor="text1"/>
        </w:rPr>
        <w:t>H</w:t>
      </w:r>
      <w:r w:rsidR="0042133D">
        <w:rPr>
          <w:color w:val="000000" w:themeColor="text1"/>
        </w:rPr>
        <w:t>a</w:t>
      </w:r>
      <w:r w:rsidR="008901B1" w:rsidRPr="001710E9">
        <w:rPr>
          <w:color w:val="000000" w:themeColor="text1"/>
        </w:rPr>
        <w:t>emolysis, Elevated Liver enzymes and Low Platelets</w:t>
      </w:r>
      <w:r w:rsidRPr="008272F3">
        <w:rPr>
          <w:color w:val="000000" w:themeColor="text1"/>
        </w:rPr>
        <w:t xml:space="preserve"> syndrome, renal failure, placental abruption, refractory hypertension and eclampsia in the mother, and </w:t>
      </w:r>
      <w:proofErr w:type="spellStart"/>
      <w:r w:rsidRPr="008272F3">
        <w:rPr>
          <w:color w:val="000000" w:themeColor="text1"/>
        </w:rPr>
        <w:t>fetal</w:t>
      </w:r>
      <w:proofErr w:type="spellEnd"/>
      <w:r w:rsidRPr="008272F3">
        <w:rPr>
          <w:color w:val="000000" w:themeColor="text1"/>
        </w:rPr>
        <w:t xml:space="preserve"> growth restriction and prematurity in the baby)</w:t>
      </w:r>
      <w:r>
        <w:rPr>
          <w:rFonts w:asciiTheme="minorHAnsi" w:hAnsiTheme="minorHAnsi" w:cstheme="minorHAnsi"/>
          <w:color w:val="000000" w:themeColor="text1"/>
        </w:rPr>
        <w:t>.</w:t>
      </w:r>
    </w:p>
    <w:p w14:paraId="2A445052" w14:textId="247631E3" w:rsidR="00E75882" w:rsidRDefault="00E75882" w:rsidP="00EF551E">
      <w:pPr>
        <w:pStyle w:val="Heading3"/>
        <w:shd w:val="clear" w:color="auto" w:fill="FFFFFF" w:themeFill="background1"/>
        <w:rPr>
          <w:rFonts w:asciiTheme="minorHAnsi" w:hAnsiTheme="minorHAnsi" w:cstheme="minorHAnsi"/>
          <w:b/>
          <w:bCs/>
          <w:i/>
          <w:iCs/>
          <w:color w:val="000000" w:themeColor="text1"/>
        </w:rPr>
      </w:pPr>
      <w:bookmarkStart w:id="19" w:name="_Hlk97728622"/>
      <w:r w:rsidRPr="001958F9">
        <w:rPr>
          <w:rFonts w:asciiTheme="minorHAnsi" w:hAnsiTheme="minorHAnsi" w:cstheme="minorHAnsi"/>
          <w:b/>
          <w:bCs/>
          <w:i/>
          <w:iCs/>
          <w:color w:val="000000" w:themeColor="text1"/>
        </w:rPr>
        <w:t>Intervention</w:t>
      </w:r>
    </w:p>
    <w:p w14:paraId="19CA2CE3" w14:textId="70C445C9" w:rsidR="00E75882" w:rsidRPr="001958F9" w:rsidRDefault="00E75882" w:rsidP="002C1EA9">
      <w:pPr>
        <w:shd w:val="clear" w:color="auto" w:fill="FFFFFF" w:themeFill="background1"/>
        <w:jc w:val="both"/>
        <w:rPr>
          <w:color w:val="000000" w:themeColor="text1"/>
        </w:rPr>
      </w:pPr>
      <w:r>
        <w:rPr>
          <w:color w:val="000000" w:themeColor="text1"/>
        </w:rPr>
        <w:t xml:space="preserve">In </w:t>
      </w:r>
      <w:r w:rsidR="00647A80">
        <w:rPr>
          <w:color w:val="000000" w:themeColor="text1"/>
        </w:rPr>
        <w:t>Population 1</w:t>
      </w:r>
      <w:r>
        <w:rPr>
          <w:color w:val="000000" w:themeColor="text1"/>
        </w:rPr>
        <w:t xml:space="preserve">, women </w:t>
      </w:r>
      <w:r w:rsidR="00A359B9">
        <w:rPr>
          <w:color w:val="000000" w:themeColor="text1"/>
        </w:rPr>
        <w:t xml:space="preserve">with signs and symptoms </w:t>
      </w:r>
      <w:r w:rsidR="00EC5EE1">
        <w:rPr>
          <w:color w:val="000000" w:themeColor="text1"/>
        </w:rPr>
        <w:t xml:space="preserve">suggestive </w:t>
      </w:r>
      <w:r w:rsidR="00A359B9">
        <w:rPr>
          <w:color w:val="000000" w:themeColor="text1"/>
        </w:rPr>
        <w:t>of</w:t>
      </w:r>
      <w:r>
        <w:rPr>
          <w:color w:val="000000" w:themeColor="text1"/>
        </w:rPr>
        <w:t xml:space="preserve"> PE</w:t>
      </w:r>
      <w:r w:rsidR="00491AA0">
        <w:rPr>
          <w:color w:val="000000" w:themeColor="text1"/>
        </w:rPr>
        <w:t xml:space="preserve"> and asymptomatic women at </w:t>
      </w:r>
      <w:r w:rsidR="00CD206B">
        <w:rPr>
          <w:color w:val="000000" w:themeColor="text1"/>
        </w:rPr>
        <w:t>increased</w:t>
      </w:r>
      <w:r w:rsidR="00491AA0">
        <w:rPr>
          <w:color w:val="000000" w:themeColor="text1"/>
        </w:rPr>
        <w:t xml:space="preserve"> risk of PE</w:t>
      </w:r>
      <w:r>
        <w:rPr>
          <w:color w:val="000000" w:themeColor="text1"/>
        </w:rPr>
        <w:t>, t</w:t>
      </w:r>
      <w:r w:rsidRPr="001958F9">
        <w:rPr>
          <w:color w:val="000000" w:themeColor="text1"/>
        </w:rPr>
        <w:t xml:space="preserve">he proposed intervention is </w:t>
      </w:r>
      <w:r w:rsidR="009827E8">
        <w:rPr>
          <w:color w:val="000000" w:themeColor="text1"/>
        </w:rPr>
        <w:t xml:space="preserve">as a </w:t>
      </w:r>
      <w:r w:rsidR="00EF18F5">
        <w:rPr>
          <w:color w:val="000000" w:themeColor="text1"/>
        </w:rPr>
        <w:t>triage test</w:t>
      </w:r>
      <w:r>
        <w:rPr>
          <w:color w:val="000000" w:themeColor="text1"/>
        </w:rPr>
        <w:t xml:space="preserve"> </w:t>
      </w:r>
      <w:r w:rsidR="001612BC">
        <w:rPr>
          <w:color w:val="000000" w:themeColor="text1"/>
        </w:rPr>
        <w:t>to consider the need for</w:t>
      </w:r>
      <w:r w:rsidR="00EF18F5">
        <w:rPr>
          <w:color w:val="000000" w:themeColor="text1"/>
        </w:rPr>
        <w:t xml:space="preserve"> current</w:t>
      </w:r>
      <w:r w:rsidR="00EF18F5" w:rsidRPr="001958F9">
        <w:rPr>
          <w:color w:val="000000" w:themeColor="text1"/>
        </w:rPr>
        <w:t xml:space="preserve"> </w:t>
      </w:r>
      <w:r w:rsidRPr="001958F9">
        <w:rPr>
          <w:color w:val="000000" w:themeColor="text1"/>
        </w:rPr>
        <w:t xml:space="preserve">standard diagnostic tests </w:t>
      </w:r>
      <w:r w:rsidR="00EC5EE1">
        <w:rPr>
          <w:color w:val="000000" w:themeColor="text1"/>
        </w:rPr>
        <w:t xml:space="preserve">(and repeat </w:t>
      </w:r>
      <w:r w:rsidR="00155144" w:rsidRPr="00155144">
        <w:rPr>
          <w:color w:val="000000" w:themeColor="text1"/>
        </w:rPr>
        <w:t>sFlt-1/</w:t>
      </w:r>
      <w:proofErr w:type="spellStart"/>
      <w:r w:rsidR="00155144" w:rsidRPr="00155144">
        <w:rPr>
          <w:color w:val="000000" w:themeColor="text1"/>
        </w:rPr>
        <w:t>PlGF</w:t>
      </w:r>
      <w:proofErr w:type="spellEnd"/>
      <w:r w:rsidR="00155144" w:rsidRPr="00155144">
        <w:rPr>
          <w:color w:val="000000" w:themeColor="text1"/>
        </w:rPr>
        <w:t xml:space="preserve"> ratio test</w:t>
      </w:r>
      <w:r w:rsidR="00EC5EE1">
        <w:rPr>
          <w:iCs/>
          <w:color w:val="000000" w:themeColor="text1"/>
        </w:rPr>
        <w:t xml:space="preserve"> after </w:t>
      </w:r>
      <w:r w:rsidR="004A79AE">
        <w:rPr>
          <w:iCs/>
          <w:color w:val="000000" w:themeColor="text1"/>
        </w:rPr>
        <w:t>2-</w:t>
      </w:r>
      <w:r w:rsidR="00EC5EE1">
        <w:rPr>
          <w:iCs/>
          <w:color w:val="000000" w:themeColor="text1"/>
        </w:rPr>
        <w:t>4 weeks</w:t>
      </w:r>
      <w:r w:rsidR="00CE2946" w:rsidRPr="00CE2946">
        <w:rPr>
          <w:iCs/>
          <w:color w:val="000000" w:themeColor="text1"/>
        </w:rPr>
        <w:t xml:space="preserve"> </w:t>
      </w:r>
      <w:r w:rsidR="00CE2946">
        <w:rPr>
          <w:iCs/>
          <w:color w:val="000000" w:themeColor="text1"/>
        </w:rPr>
        <w:t>if the ratio is &lt;38</w:t>
      </w:r>
      <w:r w:rsidR="00EC5EE1">
        <w:rPr>
          <w:iCs/>
          <w:color w:val="000000" w:themeColor="text1"/>
        </w:rPr>
        <w:t>, if required</w:t>
      </w:r>
      <w:r w:rsidR="00EC5EE1">
        <w:rPr>
          <w:color w:val="000000" w:themeColor="text1"/>
        </w:rPr>
        <w:t xml:space="preserve">) </w:t>
      </w:r>
      <w:r w:rsidRPr="001958F9">
        <w:rPr>
          <w:color w:val="000000" w:themeColor="text1"/>
        </w:rPr>
        <w:t xml:space="preserve">for PE in </w:t>
      </w:r>
      <w:r w:rsidR="002B2F56" w:rsidRPr="001958F9">
        <w:rPr>
          <w:color w:val="000000" w:themeColor="text1"/>
        </w:rPr>
        <w:t xml:space="preserve">pregnancies </w:t>
      </w:r>
      <w:r w:rsidR="002B2F56" w:rsidRPr="001958F9">
        <w:rPr>
          <w:rFonts w:asciiTheme="minorHAnsi" w:hAnsiTheme="minorHAnsi" w:cstheme="minorHAnsi"/>
          <w:color w:val="000000" w:themeColor="text1"/>
        </w:rPr>
        <w:t>from</w:t>
      </w:r>
      <w:r w:rsidRPr="001958F9">
        <w:rPr>
          <w:color w:val="000000" w:themeColor="text1"/>
        </w:rPr>
        <w:t xml:space="preserve"> 24</w:t>
      </w:r>
      <w:r w:rsidR="00F01AEE" w:rsidRPr="00D62019">
        <w:rPr>
          <w:rFonts w:asciiTheme="minorHAnsi" w:hAnsiTheme="minorHAnsi" w:cstheme="minorHAnsi"/>
          <w:color w:val="000000" w:themeColor="text1"/>
          <w:vertAlign w:val="superscript"/>
        </w:rPr>
        <w:t>+0</w:t>
      </w:r>
      <w:r w:rsidRPr="001958F9">
        <w:rPr>
          <w:color w:val="000000" w:themeColor="text1"/>
        </w:rPr>
        <w:t xml:space="preserve"> weeks gestation.</w:t>
      </w:r>
    </w:p>
    <w:p w14:paraId="7C28C4CC" w14:textId="7E3EDD9C" w:rsidR="00E75882" w:rsidRDefault="00E75882" w:rsidP="002C1EA9">
      <w:pPr>
        <w:shd w:val="clear" w:color="auto" w:fill="FFFFFF" w:themeFill="background1"/>
        <w:jc w:val="both"/>
        <w:rPr>
          <w:color w:val="000000" w:themeColor="text1"/>
        </w:rPr>
      </w:pPr>
      <w:r w:rsidRPr="001958F9">
        <w:rPr>
          <w:color w:val="000000" w:themeColor="text1"/>
        </w:rPr>
        <w:t xml:space="preserve">Recently, numerous studies have concluded that angiogenic factors (specifically sFlt-1 and/or </w:t>
      </w:r>
      <w:proofErr w:type="spellStart"/>
      <w:r w:rsidRPr="001958F9">
        <w:rPr>
          <w:color w:val="000000" w:themeColor="text1"/>
        </w:rPr>
        <w:t>PlGF</w:t>
      </w:r>
      <w:proofErr w:type="spellEnd"/>
      <w:r w:rsidRPr="001958F9">
        <w:rPr>
          <w:color w:val="000000" w:themeColor="text1"/>
        </w:rPr>
        <w:t>) a</w:t>
      </w:r>
      <w:r w:rsidR="00B75E3A">
        <w:rPr>
          <w:color w:val="000000" w:themeColor="text1"/>
        </w:rPr>
        <w:t>re</w:t>
      </w:r>
      <w:r w:rsidRPr="001958F9">
        <w:rPr>
          <w:color w:val="000000" w:themeColor="text1"/>
        </w:rPr>
        <w:t xml:space="preserve"> good candidate biomarkers for </w:t>
      </w:r>
      <w:r w:rsidR="001612BC">
        <w:rPr>
          <w:color w:val="000000" w:themeColor="text1"/>
        </w:rPr>
        <w:t xml:space="preserve">predicting (or refuting) </w:t>
      </w:r>
      <w:r w:rsidRPr="001958F9">
        <w:rPr>
          <w:color w:val="000000" w:themeColor="text1"/>
        </w:rPr>
        <w:t xml:space="preserve">the </w:t>
      </w:r>
      <w:r>
        <w:rPr>
          <w:color w:val="000000" w:themeColor="text1"/>
        </w:rPr>
        <w:t>diagnosis</w:t>
      </w:r>
      <w:r w:rsidRPr="001958F9">
        <w:rPr>
          <w:color w:val="000000" w:themeColor="text1"/>
        </w:rPr>
        <w:t xml:space="preserve"> of PE occurring in the short term </w:t>
      </w:r>
      <w:r>
        <w:rPr>
          <w:noProof/>
          <w:color w:val="000000" w:themeColor="text1"/>
        </w:rPr>
        <w:t>[21, 29-31]</w:t>
      </w:r>
      <w:r w:rsidRPr="001958F9">
        <w:rPr>
          <w:color w:val="000000" w:themeColor="text1"/>
        </w:rPr>
        <w:t xml:space="preserve">. </w:t>
      </w:r>
      <w:r w:rsidR="00B173AF" w:rsidRPr="00B173AF">
        <w:rPr>
          <w:color w:val="000000" w:themeColor="text1"/>
        </w:rPr>
        <w:t>Hence,</w:t>
      </w:r>
      <w:r w:rsidR="00B75E3A">
        <w:rPr>
          <w:color w:val="000000" w:themeColor="text1"/>
        </w:rPr>
        <w:t xml:space="preserve"> in </w:t>
      </w:r>
      <w:r w:rsidR="00647A80">
        <w:rPr>
          <w:color w:val="000000" w:themeColor="text1"/>
        </w:rPr>
        <w:t>Population 1</w:t>
      </w:r>
      <w:r w:rsidR="00A4501B">
        <w:rPr>
          <w:color w:val="000000" w:themeColor="text1"/>
        </w:rPr>
        <w:t>,</w:t>
      </w:r>
      <w:r w:rsidR="00B173AF" w:rsidRPr="00B173AF">
        <w:rPr>
          <w:color w:val="000000" w:themeColor="text1"/>
        </w:rPr>
        <w:t xml:space="preserve"> the sFlt-1/</w:t>
      </w:r>
      <w:proofErr w:type="spellStart"/>
      <w:r w:rsidR="00B173AF" w:rsidRPr="00B173AF">
        <w:rPr>
          <w:color w:val="000000" w:themeColor="text1"/>
        </w:rPr>
        <w:t>PlGF</w:t>
      </w:r>
      <w:proofErr w:type="spellEnd"/>
      <w:r w:rsidR="00B173AF" w:rsidRPr="00B173AF">
        <w:rPr>
          <w:color w:val="000000" w:themeColor="text1"/>
        </w:rPr>
        <w:t xml:space="preserve"> ratio test is proposed to be</w:t>
      </w:r>
      <w:r w:rsidR="00CB0EC4">
        <w:rPr>
          <w:color w:val="000000" w:themeColor="text1"/>
        </w:rPr>
        <w:t xml:space="preserve"> used</w:t>
      </w:r>
      <w:r w:rsidR="00B173AF" w:rsidRPr="00B173AF">
        <w:rPr>
          <w:color w:val="000000" w:themeColor="text1"/>
        </w:rPr>
        <w:t xml:space="preserve"> in addition to the current standard tests for diagnosing PE (in the </w:t>
      </w:r>
      <w:r w:rsidR="00491AA0">
        <w:rPr>
          <w:color w:val="000000" w:themeColor="text1"/>
        </w:rPr>
        <w:t>triage</w:t>
      </w:r>
      <w:r w:rsidR="009C6958">
        <w:rPr>
          <w:color w:val="000000" w:themeColor="text1"/>
        </w:rPr>
        <w:t xml:space="preserve"> </w:t>
      </w:r>
      <w:r w:rsidR="00B173AF" w:rsidRPr="00B173AF">
        <w:rPr>
          <w:color w:val="000000" w:themeColor="text1"/>
        </w:rPr>
        <w:t>test</w:t>
      </w:r>
      <w:r w:rsidR="00491AA0">
        <w:rPr>
          <w:color w:val="000000" w:themeColor="text1"/>
        </w:rPr>
        <w:t>ing</w:t>
      </w:r>
      <w:r w:rsidR="00B173AF" w:rsidRPr="00B173AF">
        <w:rPr>
          <w:color w:val="000000" w:themeColor="text1"/>
        </w:rPr>
        <w:t xml:space="preserve"> population that are repeated </w:t>
      </w:r>
      <w:r w:rsidR="00FA3912">
        <w:rPr>
          <w:color w:val="000000" w:themeColor="text1"/>
        </w:rPr>
        <w:t>to</w:t>
      </w:r>
      <w:r w:rsidR="009C6958">
        <w:rPr>
          <w:color w:val="000000" w:themeColor="text1"/>
        </w:rPr>
        <w:t xml:space="preserve"> </w:t>
      </w:r>
      <w:r w:rsidR="00B173AF" w:rsidRPr="00B173AF">
        <w:rPr>
          <w:color w:val="000000" w:themeColor="text1"/>
        </w:rPr>
        <w:t>diagnos</w:t>
      </w:r>
      <w:r w:rsidR="00FA3912">
        <w:rPr>
          <w:color w:val="000000" w:themeColor="text1"/>
        </w:rPr>
        <w:t>e</w:t>
      </w:r>
      <w:r w:rsidR="00B173AF" w:rsidRPr="00B173AF">
        <w:rPr>
          <w:color w:val="000000" w:themeColor="text1"/>
        </w:rPr>
        <w:t xml:space="preserve"> PE) at 24</w:t>
      </w:r>
      <w:r w:rsidR="00F01AEE" w:rsidRPr="00D62019">
        <w:rPr>
          <w:color w:val="000000" w:themeColor="text1"/>
          <w:vertAlign w:val="superscript"/>
        </w:rPr>
        <w:t>+0</w:t>
      </w:r>
      <w:r w:rsidR="00F01AEE">
        <w:rPr>
          <w:color w:val="000000" w:themeColor="text1"/>
        </w:rPr>
        <w:t xml:space="preserve"> to </w:t>
      </w:r>
      <w:r w:rsidR="00B173AF" w:rsidRPr="00B173AF">
        <w:rPr>
          <w:color w:val="000000" w:themeColor="text1"/>
        </w:rPr>
        <w:t>36</w:t>
      </w:r>
      <w:r w:rsidR="00F01AEE" w:rsidRPr="00D62019">
        <w:rPr>
          <w:color w:val="000000" w:themeColor="text1"/>
          <w:vertAlign w:val="superscript"/>
        </w:rPr>
        <w:t>+6</w:t>
      </w:r>
      <w:r w:rsidR="00B173AF" w:rsidRPr="00B173AF">
        <w:rPr>
          <w:color w:val="000000" w:themeColor="text1"/>
        </w:rPr>
        <w:t xml:space="preserve"> weeks gestation</w:t>
      </w:r>
      <w:r w:rsidR="00DE0CCB">
        <w:rPr>
          <w:color w:val="000000" w:themeColor="text1"/>
        </w:rPr>
        <w:t xml:space="preserve"> (p19</w:t>
      </w:r>
      <w:r w:rsidR="00BB57E6">
        <w:rPr>
          <w:color w:val="000000" w:themeColor="text1"/>
        </w:rPr>
        <w:t>-23</w:t>
      </w:r>
      <w:r w:rsidR="00DE0CCB">
        <w:rPr>
          <w:color w:val="000000" w:themeColor="text1"/>
        </w:rPr>
        <w:t xml:space="preserve"> of the application)</w:t>
      </w:r>
      <w:r w:rsidR="00B173AF" w:rsidRPr="00B173AF">
        <w:rPr>
          <w:color w:val="000000" w:themeColor="text1"/>
        </w:rPr>
        <w:t>.</w:t>
      </w:r>
    </w:p>
    <w:p w14:paraId="4312B920" w14:textId="41E8E6EA" w:rsidR="00E75882" w:rsidRDefault="00E75882" w:rsidP="002C1EA9">
      <w:pPr>
        <w:shd w:val="clear" w:color="auto" w:fill="FFFFFF" w:themeFill="background1"/>
        <w:jc w:val="both"/>
        <w:rPr>
          <w:color w:val="000000" w:themeColor="text1"/>
        </w:rPr>
      </w:pPr>
      <w:r>
        <w:rPr>
          <w:color w:val="000000" w:themeColor="text1"/>
        </w:rPr>
        <w:t xml:space="preserve">In </w:t>
      </w:r>
      <w:r w:rsidR="00647A80">
        <w:rPr>
          <w:color w:val="000000" w:themeColor="text1"/>
        </w:rPr>
        <w:t>P</w:t>
      </w:r>
      <w:r>
        <w:rPr>
          <w:color w:val="000000" w:themeColor="text1"/>
        </w:rPr>
        <w:t xml:space="preserve">opulation 2, the applicant </w:t>
      </w:r>
      <w:r w:rsidR="00494F1D">
        <w:rPr>
          <w:color w:val="000000" w:themeColor="text1"/>
        </w:rPr>
        <w:t xml:space="preserve">proposed the </w:t>
      </w:r>
      <w:r w:rsidR="00494F1D" w:rsidRPr="001958F9">
        <w:rPr>
          <w:color w:val="000000" w:themeColor="text1"/>
        </w:rPr>
        <w:t>sFlt-1/</w:t>
      </w:r>
      <w:proofErr w:type="spellStart"/>
      <w:r w:rsidR="00494F1D" w:rsidRPr="001958F9">
        <w:rPr>
          <w:color w:val="000000" w:themeColor="text1"/>
        </w:rPr>
        <w:t>PlGF</w:t>
      </w:r>
      <w:proofErr w:type="spellEnd"/>
      <w:r w:rsidR="00494F1D" w:rsidRPr="001958F9">
        <w:rPr>
          <w:color w:val="000000" w:themeColor="text1"/>
        </w:rPr>
        <w:t xml:space="preserve"> ratio test </w:t>
      </w:r>
      <w:r w:rsidR="00494F1D">
        <w:rPr>
          <w:color w:val="000000" w:themeColor="text1"/>
        </w:rPr>
        <w:t xml:space="preserve">as </w:t>
      </w:r>
      <w:r>
        <w:rPr>
          <w:color w:val="000000" w:themeColor="text1"/>
        </w:rPr>
        <w:t xml:space="preserve">prognostic testing for </w:t>
      </w:r>
      <w:r w:rsidR="001612BC">
        <w:rPr>
          <w:color w:val="000000" w:themeColor="text1"/>
        </w:rPr>
        <w:t xml:space="preserve">assessing </w:t>
      </w:r>
      <w:r>
        <w:rPr>
          <w:color w:val="000000" w:themeColor="text1"/>
        </w:rPr>
        <w:t xml:space="preserve">the severity </w:t>
      </w:r>
      <w:r w:rsidR="001612BC">
        <w:rPr>
          <w:color w:val="000000" w:themeColor="text1"/>
        </w:rPr>
        <w:t xml:space="preserve">(trajectory) </w:t>
      </w:r>
      <w:r>
        <w:rPr>
          <w:color w:val="000000" w:themeColor="text1"/>
        </w:rPr>
        <w:t>of PE in women with an established diagnosis of PE</w:t>
      </w:r>
      <w:r w:rsidR="00EF18F5">
        <w:rPr>
          <w:color w:val="000000" w:themeColor="text1"/>
        </w:rPr>
        <w:t xml:space="preserve"> </w:t>
      </w:r>
      <w:r w:rsidR="00494F1D">
        <w:rPr>
          <w:color w:val="000000" w:themeColor="text1"/>
        </w:rPr>
        <w:t>(</w:t>
      </w:r>
      <w:r w:rsidR="00B75E3A">
        <w:rPr>
          <w:color w:val="000000" w:themeColor="text1"/>
        </w:rPr>
        <w:t xml:space="preserve">diagnosis </w:t>
      </w:r>
      <w:r w:rsidR="001612BC">
        <w:rPr>
          <w:color w:val="000000" w:themeColor="text1"/>
        </w:rPr>
        <w:t xml:space="preserve">made </w:t>
      </w:r>
      <w:r w:rsidR="00EF18F5">
        <w:rPr>
          <w:color w:val="000000" w:themeColor="text1"/>
        </w:rPr>
        <w:t>using the current standard tests</w:t>
      </w:r>
      <w:r w:rsidR="00494F1D">
        <w:rPr>
          <w:color w:val="000000" w:themeColor="text1"/>
        </w:rPr>
        <w:t>)</w:t>
      </w:r>
      <w:r w:rsidR="00DE0CCB">
        <w:rPr>
          <w:color w:val="000000" w:themeColor="text1"/>
        </w:rPr>
        <w:t xml:space="preserve"> (p20 of the application)</w:t>
      </w:r>
      <w:r>
        <w:rPr>
          <w:color w:val="000000" w:themeColor="text1"/>
        </w:rPr>
        <w:t xml:space="preserve">. </w:t>
      </w:r>
      <w:r w:rsidR="00B173AF">
        <w:rPr>
          <w:color w:val="000000" w:themeColor="text1"/>
        </w:rPr>
        <w:t xml:space="preserve">Therefore, </w:t>
      </w:r>
      <w:r w:rsidR="00B173AF" w:rsidRPr="004426B1">
        <w:rPr>
          <w:rFonts w:asciiTheme="minorHAnsi" w:hAnsiTheme="minorHAnsi" w:cstheme="minorHAnsi"/>
          <w:color w:val="000000" w:themeColor="text1"/>
        </w:rPr>
        <w:t>the sFlt-1/</w:t>
      </w:r>
      <w:proofErr w:type="spellStart"/>
      <w:r w:rsidR="00B173AF" w:rsidRPr="004426B1">
        <w:rPr>
          <w:rFonts w:asciiTheme="minorHAnsi" w:hAnsiTheme="minorHAnsi" w:cstheme="minorHAnsi"/>
          <w:color w:val="000000" w:themeColor="text1"/>
        </w:rPr>
        <w:t>PlGF</w:t>
      </w:r>
      <w:proofErr w:type="spellEnd"/>
      <w:r w:rsidR="00B173AF" w:rsidRPr="004426B1">
        <w:rPr>
          <w:rFonts w:asciiTheme="minorHAnsi" w:hAnsiTheme="minorHAnsi" w:cstheme="minorHAnsi"/>
          <w:color w:val="000000" w:themeColor="text1"/>
        </w:rPr>
        <w:t xml:space="preserve"> ratio test </w:t>
      </w:r>
      <w:r w:rsidR="00B173AF">
        <w:rPr>
          <w:rFonts w:asciiTheme="minorHAnsi" w:hAnsiTheme="minorHAnsi" w:cstheme="minorHAnsi"/>
          <w:color w:val="000000" w:themeColor="text1"/>
        </w:rPr>
        <w:t>is proposed to</w:t>
      </w:r>
      <w:r w:rsidR="00B173AF" w:rsidRPr="004426B1">
        <w:rPr>
          <w:rFonts w:asciiTheme="minorHAnsi" w:hAnsiTheme="minorHAnsi" w:cstheme="minorHAnsi"/>
          <w:color w:val="000000" w:themeColor="text1"/>
        </w:rPr>
        <w:t xml:space="preserve"> be used</w:t>
      </w:r>
      <w:r w:rsidR="00B173AF">
        <w:rPr>
          <w:rFonts w:asciiTheme="minorHAnsi" w:hAnsiTheme="minorHAnsi" w:cstheme="minorHAnsi"/>
          <w:color w:val="000000" w:themeColor="text1"/>
        </w:rPr>
        <w:t xml:space="preserve"> in</w:t>
      </w:r>
      <w:r w:rsidR="00B173AF" w:rsidRPr="00CC64EF">
        <w:rPr>
          <w:color w:val="000000" w:themeColor="text1"/>
        </w:rPr>
        <w:t xml:space="preserve"> addition to tests used to diagnose and monitor PE in the prognostic test population</w:t>
      </w:r>
      <w:r w:rsidR="00B173AF">
        <w:rPr>
          <w:color w:val="000000" w:themeColor="text1"/>
        </w:rPr>
        <w:t>.</w:t>
      </w:r>
    </w:p>
    <w:p w14:paraId="4054D392" w14:textId="1EEF7062" w:rsidR="00E75882" w:rsidRPr="001958F9" w:rsidRDefault="00E75882" w:rsidP="002C1EA9">
      <w:pPr>
        <w:shd w:val="clear" w:color="auto" w:fill="FFFFFF" w:themeFill="background1"/>
        <w:jc w:val="both"/>
        <w:rPr>
          <w:color w:val="000000" w:themeColor="text1"/>
        </w:rPr>
      </w:pPr>
      <w:r>
        <w:rPr>
          <w:color w:val="000000" w:themeColor="text1"/>
        </w:rPr>
        <w:t xml:space="preserve">Based on the applicant’s feedback to the questions after the </w:t>
      </w:r>
      <w:r>
        <w:t>pre-PASC meeting, once a woman is diagnosed with PE</w:t>
      </w:r>
      <w:r w:rsidR="005F4048">
        <w:t xml:space="preserve"> (before term)</w:t>
      </w:r>
      <w:r w:rsidR="00754AA1">
        <w:t>,</w:t>
      </w:r>
      <w:r>
        <w:t xml:space="preserve"> </w:t>
      </w:r>
      <w:r w:rsidRPr="001E57D0">
        <w:t>the rate of change of the ratio result (e.g.</w:t>
      </w:r>
      <w:r>
        <w:t>,</w:t>
      </w:r>
      <w:r w:rsidRPr="001E57D0">
        <w:t xml:space="preserve"> the results of </w:t>
      </w:r>
      <w:r>
        <w:t>two</w:t>
      </w:r>
      <w:r w:rsidRPr="001E57D0">
        <w:t xml:space="preserve"> ratio </w:t>
      </w:r>
      <w:r w:rsidRPr="001E57D0">
        <w:lastRenderedPageBreak/>
        <w:t xml:space="preserve">tests a week or so apart) indicates the rate of progression of the disease and hence its severity. </w:t>
      </w:r>
      <w:r>
        <w:t>The ratio test results</w:t>
      </w:r>
      <w:r w:rsidRPr="001E57D0">
        <w:t xml:space="preserve"> can help the clinician in deciding when to deliver, that is</w:t>
      </w:r>
      <w:r w:rsidR="00754AA1">
        <w:t>,</w:t>
      </w:r>
      <w:r w:rsidRPr="001E57D0">
        <w:t xml:space="preserve"> in weighing up the balance between the risks to the mother and </w:t>
      </w:r>
      <w:proofErr w:type="spellStart"/>
      <w:r w:rsidRPr="001E57D0">
        <w:t>fetus</w:t>
      </w:r>
      <w:proofErr w:type="spellEnd"/>
      <w:r w:rsidRPr="001E57D0">
        <w:t xml:space="preserve"> of continuing the pregnancy (because the complications of </w:t>
      </w:r>
      <w:r w:rsidR="00F87D38">
        <w:t>PE</w:t>
      </w:r>
      <w:r w:rsidR="00F87D38" w:rsidRPr="001E57D0">
        <w:t xml:space="preserve"> </w:t>
      </w:r>
      <w:r w:rsidRPr="001E57D0">
        <w:t>for both increase the longer the pregnancy continues) versus the risks of iatrogenic prematurity complications for the baby when the pregnancy is ended preterm to cure the condition</w:t>
      </w:r>
      <w:r>
        <w:t xml:space="preserve"> </w:t>
      </w:r>
      <w:r>
        <w:rPr>
          <w:noProof/>
        </w:rPr>
        <w:t>[32]</w:t>
      </w:r>
      <w:r>
        <w:t>.</w:t>
      </w:r>
    </w:p>
    <w:p w14:paraId="114564CE" w14:textId="77777777" w:rsidR="00E75882" w:rsidRPr="001958F9" w:rsidRDefault="00E75882" w:rsidP="008C7D11">
      <w:pPr>
        <w:keepNext/>
        <w:shd w:val="clear" w:color="auto" w:fill="FFFFFF" w:themeFill="background1"/>
        <w:rPr>
          <w:i/>
          <w:iCs/>
          <w:color w:val="000000" w:themeColor="text1"/>
          <w:u w:val="single"/>
        </w:rPr>
      </w:pPr>
      <w:r w:rsidRPr="001958F9">
        <w:rPr>
          <w:i/>
          <w:iCs/>
          <w:color w:val="000000" w:themeColor="text1"/>
          <w:u w:val="single"/>
        </w:rPr>
        <w:t xml:space="preserve">The role of antiangiogenic factors in </w:t>
      </w:r>
      <w:r>
        <w:rPr>
          <w:i/>
          <w:iCs/>
          <w:color w:val="000000" w:themeColor="text1"/>
          <w:u w:val="single"/>
        </w:rPr>
        <w:t>the diagnosis of</w:t>
      </w:r>
      <w:r w:rsidRPr="001958F9">
        <w:rPr>
          <w:i/>
          <w:iCs/>
          <w:color w:val="000000" w:themeColor="text1"/>
          <w:u w:val="single"/>
        </w:rPr>
        <w:t xml:space="preserve"> PE</w:t>
      </w:r>
    </w:p>
    <w:p w14:paraId="2E38E15E" w14:textId="4BB0C97C" w:rsidR="00E75882" w:rsidRPr="001958F9" w:rsidRDefault="001612BC" w:rsidP="0080792B">
      <w:pPr>
        <w:shd w:val="clear" w:color="auto" w:fill="FFFFFF" w:themeFill="background1"/>
        <w:rPr>
          <w:color w:val="000000" w:themeColor="text1"/>
        </w:rPr>
      </w:pPr>
      <w:r>
        <w:rPr>
          <w:color w:val="000000" w:themeColor="text1"/>
        </w:rPr>
        <w:t>P</w:t>
      </w:r>
      <w:r w:rsidRPr="001958F9">
        <w:rPr>
          <w:color w:val="000000" w:themeColor="text1"/>
        </w:rPr>
        <w:t>reeclamptic pregnancies</w:t>
      </w:r>
      <w:r>
        <w:rPr>
          <w:color w:val="000000" w:themeColor="text1"/>
        </w:rPr>
        <w:t xml:space="preserve"> are characterised by</w:t>
      </w:r>
      <w:r w:rsidRPr="001958F9">
        <w:rPr>
          <w:color w:val="000000" w:themeColor="text1"/>
        </w:rPr>
        <w:t xml:space="preserve"> </w:t>
      </w:r>
      <w:r>
        <w:rPr>
          <w:color w:val="000000" w:themeColor="text1"/>
        </w:rPr>
        <w:t>i</w:t>
      </w:r>
      <w:r w:rsidR="00E75882" w:rsidRPr="001958F9">
        <w:rPr>
          <w:color w:val="000000" w:themeColor="text1"/>
        </w:rPr>
        <w:t>schemi</w:t>
      </w:r>
      <w:r>
        <w:rPr>
          <w:color w:val="000000" w:themeColor="text1"/>
        </w:rPr>
        <w:t>a</w:t>
      </w:r>
      <w:r w:rsidR="00E75882" w:rsidRPr="001958F9">
        <w:rPr>
          <w:color w:val="000000" w:themeColor="text1"/>
        </w:rPr>
        <w:t xml:space="preserve"> and </w:t>
      </w:r>
      <w:r w:rsidR="00CA04CE" w:rsidRPr="001958F9">
        <w:rPr>
          <w:color w:val="000000" w:themeColor="text1"/>
        </w:rPr>
        <w:t>hypoperfusi</w:t>
      </w:r>
      <w:r w:rsidR="00CA04CE">
        <w:rPr>
          <w:color w:val="000000" w:themeColor="text1"/>
        </w:rPr>
        <w:t>on</w:t>
      </w:r>
      <w:r>
        <w:rPr>
          <w:color w:val="000000" w:themeColor="text1"/>
        </w:rPr>
        <w:t xml:space="preserve"> of the</w:t>
      </w:r>
      <w:r w:rsidR="00E75882" w:rsidRPr="001958F9">
        <w:rPr>
          <w:color w:val="000000" w:themeColor="text1"/>
        </w:rPr>
        <w:t xml:space="preserve"> placenta (as demonstrated by abnormal uterine artery Doppler</w:t>
      </w:r>
      <w:r w:rsidR="00E75882">
        <w:rPr>
          <w:color w:val="000000" w:themeColor="text1"/>
        </w:rPr>
        <w:t xml:space="preserve"> ultrasound</w:t>
      </w:r>
      <w:r>
        <w:rPr>
          <w:color w:val="000000" w:themeColor="text1"/>
        </w:rPr>
        <w:t xml:space="preserve"> and</w:t>
      </w:r>
      <w:r w:rsidR="008F72DB">
        <w:rPr>
          <w:color w:val="000000" w:themeColor="text1"/>
        </w:rPr>
        <w:t>/</w:t>
      </w:r>
      <w:r>
        <w:rPr>
          <w:color w:val="000000" w:themeColor="text1"/>
        </w:rPr>
        <w:t xml:space="preserve"> or abnormal </w:t>
      </w:r>
      <w:proofErr w:type="spellStart"/>
      <w:r>
        <w:rPr>
          <w:color w:val="000000" w:themeColor="text1"/>
        </w:rPr>
        <w:t>fetal</w:t>
      </w:r>
      <w:proofErr w:type="spellEnd"/>
      <w:r>
        <w:rPr>
          <w:color w:val="000000" w:themeColor="text1"/>
        </w:rPr>
        <w:t xml:space="preserve"> growth/activity</w:t>
      </w:r>
      <w:r w:rsidR="00E75882" w:rsidRPr="001958F9">
        <w:rPr>
          <w:color w:val="000000" w:themeColor="text1"/>
        </w:rPr>
        <w:t xml:space="preserve">). These changes are accompanied by histologic markers of ischemia, including fibrin deposition, necrosis, </w:t>
      </w:r>
      <w:proofErr w:type="spellStart"/>
      <w:r w:rsidR="00E75882" w:rsidRPr="001958F9">
        <w:rPr>
          <w:color w:val="000000" w:themeColor="text1"/>
        </w:rPr>
        <w:t>atherosis</w:t>
      </w:r>
      <w:proofErr w:type="spellEnd"/>
      <w:r w:rsidR="00E75882" w:rsidRPr="001958F9">
        <w:rPr>
          <w:color w:val="000000" w:themeColor="text1"/>
        </w:rPr>
        <w:t xml:space="preserve">, placental infarcts, and signs of endothelial damage </w:t>
      </w:r>
      <w:r w:rsidR="00E75882">
        <w:rPr>
          <w:noProof/>
          <w:color w:val="000000" w:themeColor="text1"/>
        </w:rPr>
        <w:t>[33]</w:t>
      </w:r>
      <w:r w:rsidR="00E75882" w:rsidRPr="001958F9">
        <w:rPr>
          <w:color w:val="000000" w:themeColor="text1"/>
        </w:rPr>
        <w:t>. Hypoperfusion of the placenta eventually results in placental production of the soluble factors such as sFlt</w:t>
      </w:r>
      <w:r w:rsidR="00D93AE6">
        <w:rPr>
          <w:color w:val="000000" w:themeColor="text1"/>
        </w:rPr>
        <w:t>-</w:t>
      </w:r>
      <w:r w:rsidR="00E75882" w:rsidRPr="001958F9">
        <w:rPr>
          <w:color w:val="000000" w:themeColor="text1"/>
        </w:rPr>
        <w:t xml:space="preserve">1 and </w:t>
      </w:r>
      <w:proofErr w:type="spellStart"/>
      <w:r w:rsidR="00E75882" w:rsidRPr="001958F9">
        <w:rPr>
          <w:color w:val="000000" w:themeColor="text1"/>
        </w:rPr>
        <w:t>sEng</w:t>
      </w:r>
      <w:proofErr w:type="spellEnd"/>
      <w:r w:rsidR="00E75882" w:rsidRPr="001958F9">
        <w:rPr>
          <w:color w:val="000000" w:themeColor="text1"/>
        </w:rPr>
        <w:t xml:space="preserve"> (</w:t>
      </w:r>
      <w:r w:rsidR="00E75882">
        <w:rPr>
          <w:color w:val="000000" w:themeColor="text1"/>
        </w:rPr>
        <w:t>two</w:t>
      </w:r>
      <w:r w:rsidR="00E75882" w:rsidRPr="001958F9">
        <w:rPr>
          <w:color w:val="000000" w:themeColor="text1"/>
        </w:rPr>
        <w:t xml:space="preserve"> endogenous circulating antiangiogenic proteins) (see below), both of which have been implicated in maternal endothelial dysfunction </w:t>
      </w:r>
      <w:r w:rsidR="00E75882">
        <w:rPr>
          <w:noProof/>
          <w:color w:val="000000" w:themeColor="text1"/>
        </w:rPr>
        <w:t>[33]</w:t>
      </w:r>
      <w:r w:rsidR="00E75882" w:rsidRPr="001958F9">
        <w:rPr>
          <w:color w:val="000000" w:themeColor="text1"/>
        </w:rPr>
        <w:t xml:space="preserve">. The application indicated that both the placenta and the maternal vascular endothelium are centrally involved in the pathophysiology of the disease. Most severe cases that lead to early/preterm (&lt;34 weeks’ gestation) delivery </w:t>
      </w:r>
      <w:r w:rsidR="008F72DB">
        <w:rPr>
          <w:color w:val="000000" w:themeColor="text1"/>
        </w:rPr>
        <w:t>are</w:t>
      </w:r>
      <w:r w:rsidR="0077347F">
        <w:rPr>
          <w:color w:val="000000" w:themeColor="text1"/>
        </w:rPr>
        <w:t xml:space="preserve"> </w:t>
      </w:r>
      <w:r w:rsidR="00E75882" w:rsidRPr="001958F9">
        <w:rPr>
          <w:color w:val="000000" w:themeColor="text1"/>
        </w:rPr>
        <w:t xml:space="preserve">associated with placental insufficiency (p17 of the application). Poor placental </w:t>
      </w:r>
      <w:r w:rsidR="008F72DB">
        <w:rPr>
          <w:color w:val="000000" w:themeColor="text1"/>
        </w:rPr>
        <w:t>perfusion</w:t>
      </w:r>
      <w:r w:rsidR="00E75882" w:rsidRPr="001958F9">
        <w:rPr>
          <w:color w:val="000000" w:themeColor="text1"/>
        </w:rPr>
        <w:t xml:space="preserve"> causes placental hypoxia, altering the release of angiogenic factors that impact placental development and the maternal endothelium. Vascular endothelial dysfunction results in the end-stage features (vasoconstriction, hypertension, and organ dysfunction) seen in a woman who is symptomatic for the disease. The development of clinical symptoms and signs indicative of PE is associated with further angiogenic dysregulation and exacerbation of the disease (p17 of the application). The health and wellbeing of the patient will continue to decline until the pregnancy is delivered, including </w:t>
      </w:r>
      <w:r w:rsidR="0035661D">
        <w:rPr>
          <w:color w:val="000000" w:themeColor="text1"/>
        </w:rPr>
        <w:t xml:space="preserve">the </w:t>
      </w:r>
      <w:r w:rsidR="00E75882" w:rsidRPr="001958F9">
        <w:rPr>
          <w:color w:val="000000" w:themeColor="text1"/>
        </w:rPr>
        <w:t>delivery of the placenta.</w:t>
      </w:r>
    </w:p>
    <w:p w14:paraId="572AA545" w14:textId="44209AA9" w:rsidR="00E75882" w:rsidRPr="001958F9" w:rsidRDefault="00E75882" w:rsidP="0080792B">
      <w:pPr>
        <w:shd w:val="clear" w:color="auto" w:fill="FFFFFF" w:themeFill="background1"/>
        <w:rPr>
          <w:color w:val="000000" w:themeColor="text1"/>
        </w:rPr>
      </w:pPr>
      <w:r w:rsidRPr="001958F9">
        <w:rPr>
          <w:color w:val="000000" w:themeColor="text1"/>
        </w:rPr>
        <w:t>Placental expression of sFlt</w:t>
      </w:r>
      <w:r w:rsidR="00D93AE6">
        <w:rPr>
          <w:color w:val="000000" w:themeColor="text1"/>
        </w:rPr>
        <w:t>-</w:t>
      </w:r>
      <w:r w:rsidRPr="001958F9">
        <w:rPr>
          <w:color w:val="000000" w:themeColor="text1"/>
        </w:rPr>
        <w:t>1 is increased in PE, and it is associated with a marked increase in the levels of maternal circulating sFlt</w:t>
      </w:r>
      <w:r w:rsidR="00D93AE6">
        <w:rPr>
          <w:color w:val="000000" w:themeColor="text1"/>
        </w:rPr>
        <w:t>-</w:t>
      </w:r>
      <w:r w:rsidRPr="001958F9">
        <w:rPr>
          <w:color w:val="000000" w:themeColor="text1"/>
        </w:rPr>
        <w:t xml:space="preserve">1 </w:t>
      </w:r>
      <w:r>
        <w:rPr>
          <w:noProof/>
          <w:color w:val="000000" w:themeColor="text1"/>
        </w:rPr>
        <w:t>[34]</w:t>
      </w:r>
      <w:r w:rsidRPr="001958F9">
        <w:rPr>
          <w:color w:val="000000" w:themeColor="text1"/>
        </w:rPr>
        <w:t>. Circulating levels of sFlt</w:t>
      </w:r>
      <w:r w:rsidR="00D93AE6">
        <w:rPr>
          <w:color w:val="000000" w:themeColor="text1"/>
        </w:rPr>
        <w:t>-</w:t>
      </w:r>
      <w:r w:rsidRPr="001958F9">
        <w:rPr>
          <w:color w:val="000000" w:themeColor="text1"/>
        </w:rPr>
        <w:t xml:space="preserve">1 and </w:t>
      </w:r>
      <w:proofErr w:type="spellStart"/>
      <w:r w:rsidRPr="001958F9">
        <w:rPr>
          <w:color w:val="000000" w:themeColor="text1"/>
        </w:rPr>
        <w:t>PlGF</w:t>
      </w:r>
      <w:proofErr w:type="spellEnd"/>
      <w:r w:rsidRPr="001958F9">
        <w:rPr>
          <w:color w:val="000000" w:themeColor="text1"/>
        </w:rPr>
        <w:t xml:space="preserve"> are altered several weeks before the onset of clinical disease and correlate with the disease’s severity </w:t>
      </w:r>
      <w:r>
        <w:rPr>
          <w:noProof/>
          <w:color w:val="000000" w:themeColor="text1"/>
        </w:rPr>
        <w:t>[14]</w:t>
      </w:r>
      <w:r w:rsidRPr="001958F9">
        <w:rPr>
          <w:color w:val="000000" w:themeColor="text1"/>
        </w:rPr>
        <w:t>. sFlt</w:t>
      </w:r>
      <w:r w:rsidR="00D93AE6">
        <w:rPr>
          <w:color w:val="000000" w:themeColor="text1"/>
        </w:rPr>
        <w:t>-</w:t>
      </w:r>
      <w:r w:rsidRPr="001958F9">
        <w:rPr>
          <w:color w:val="000000" w:themeColor="text1"/>
        </w:rPr>
        <w:t xml:space="preserve">1 levels normalise within several days after delivery, coinciding with improvement in proteinuria and hypertension </w:t>
      </w:r>
      <w:r>
        <w:rPr>
          <w:noProof/>
          <w:color w:val="000000" w:themeColor="text1"/>
        </w:rPr>
        <w:t>[35]</w:t>
      </w:r>
      <w:r w:rsidRPr="001958F9">
        <w:rPr>
          <w:color w:val="000000" w:themeColor="text1"/>
        </w:rPr>
        <w:t>.</w:t>
      </w:r>
    </w:p>
    <w:p w14:paraId="6B7B8DC7" w14:textId="77777777" w:rsidR="00E75882" w:rsidRPr="001958F9" w:rsidRDefault="00E75882" w:rsidP="008272F3">
      <w:pPr>
        <w:keepNext/>
        <w:shd w:val="clear" w:color="auto" w:fill="FFFFFF" w:themeFill="background1"/>
        <w:jc w:val="center"/>
        <w:rPr>
          <w:color w:val="000000" w:themeColor="text1"/>
        </w:rPr>
      </w:pPr>
      <w:r w:rsidRPr="001958F9">
        <w:rPr>
          <w:noProof/>
          <w:color w:val="000000" w:themeColor="text1"/>
        </w:rPr>
        <w:lastRenderedPageBreak/>
        <w:drawing>
          <wp:inline distT="0" distB="0" distL="0" distR="0" wp14:anchorId="7A3D31A3" wp14:editId="5B5313EE">
            <wp:extent cx="4564048" cy="2520315"/>
            <wp:effectExtent l="0" t="0" r="8255" b="0"/>
            <wp:docPr id="2" name="Picture 2" descr="Figure 1: sFlt1 and soluble endoglin (sEng) cause endothelial dysfunction by antagonising vascular endothelial growth factor and transforming growth factor-1 signa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sFlt1 and soluble endoglin (sEng) cause endothelial dysfunction by antagonising vascular endothelial growth factor and transforming growth factor-1 signalling"/>
                    <pic:cNvPicPr/>
                  </pic:nvPicPr>
                  <pic:blipFill rotWithShape="1">
                    <a:blip r:embed="rId9"/>
                    <a:srcRect l="29337" t="43316" r="51954" b="25571"/>
                    <a:stretch/>
                  </pic:blipFill>
                  <pic:spPr bwMode="auto">
                    <a:xfrm>
                      <a:off x="0" y="0"/>
                      <a:ext cx="4667644" cy="2577522"/>
                    </a:xfrm>
                    <a:prstGeom prst="rect">
                      <a:avLst/>
                    </a:prstGeom>
                    <a:ln>
                      <a:noFill/>
                    </a:ln>
                    <a:extLst>
                      <a:ext uri="{53640926-AAD7-44D8-BBD7-CCE9431645EC}">
                        <a14:shadowObscured xmlns:a14="http://schemas.microsoft.com/office/drawing/2010/main"/>
                      </a:ext>
                    </a:extLst>
                  </pic:spPr>
                </pic:pic>
              </a:graphicData>
            </a:graphic>
          </wp:inline>
        </w:drawing>
      </w:r>
    </w:p>
    <w:p w14:paraId="3EDAB767" w14:textId="388EEDD9" w:rsidR="00250694" w:rsidRPr="001958F9" w:rsidRDefault="00250694" w:rsidP="00250694">
      <w:pPr>
        <w:keepNext/>
        <w:shd w:val="clear" w:color="auto" w:fill="FFFFFF" w:themeFill="background1"/>
        <w:spacing w:after="120"/>
        <w:rPr>
          <w:color w:val="000000" w:themeColor="text1"/>
        </w:rPr>
      </w:pPr>
      <w:bookmarkStart w:id="20" w:name="Title_Figure1"/>
      <w:r w:rsidRPr="001958F9">
        <w:rPr>
          <w:rFonts w:ascii="Arial Narrow" w:hAnsi="Arial Narrow"/>
          <w:b/>
          <w:bCs/>
          <w:color w:val="000000" w:themeColor="text1"/>
          <w:sz w:val="20"/>
          <w:szCs w:val="20"/>
        </w:rPr>
        <w:t>Figure 1: sFlt</w:t>
      </w:r>
      <w:r w:rsidR="00D93AE6">
        <w:rPr>
          <w:rFonts w:ascii="Arial Narrow" w:hAnsi="Arial Narrow"/>
          <w:b/>
          <w:bCs/>
          <w:color w:val="000000" w:themeColor="text1"/>
          <w:sz w:val="20"/>
          <w:szCs w:val="20"/>
        </w:rPr>
        <w:t>-</w:t>
      </w:r>
      <w:r w:rsidRPr="001958F9">
        <w:rPr>
          <w:rFonts w:ascii="Arial Narrow" w:hAnsi="Arial Narrow"/>
          <w:b/>
          <w:bCs/>
          <w:color w:val="000000" w:themeColor="text1"/>
          <w:sz w:val="20"/>
          <w:szCs w:val="20"/>
        </w:rPr>
        <w:t>1 and soluble endoglin (</w:t>
      </w:r>
      <w:proofErr w:type="spellStart"/>
      <w:r w:rsidRPr="001958F9">
        <w:rPr>
          <w:rFonts w:ascii="Arial Narrow" w:hAnsi="Arial Narrow"/>
          <w:b/>
          <w:bCs/>
          <w:color w:val="000000" w:themeColor="text1"/>
          <w:sz w:val="20"/>
          <w:szCs w:val="20"/>
        </w:rPr>
        <w:t>sEng</w:t>
      </w:r>
      <w:proofErr w:type="spellEnd"/>
      <w:r w:rsidRPr="001958F9">
        <w:rPr>
          <w:rFonts w:ascii="Arial Narrow" w:hAnsi="Arial Narrow"/>
          <w:b/>
          <w:bCs/>
          <w:color w:val="000000" w:themeColor="text1"/>
          <w:sz w:val="20"/>
          <w:szCs w:val="20"/>
        </w:rPr>
        <w:t>) cause endothelial dysfunction by antagonising vascular endothelial growth factor and transforming growth factor-1 signalling</w:t>
      </w:r>
      <w:bookmarkEnd w:id="20"/>
      <w:r w:rsidRPr="001958F9">
        <w:rPr>
          <w:rFonts w:ascii="Arial Narrow" w:hAnsi="Arial Narrow"/>
          <w:b/>
          <w:bCs/>
          <w:color w:val="000000" w:themeColor="text1"/>
          <w:sz w:val="20"/>
          <w:szCs w:val="20"/>
        </w:rPr>
        <w:t xml:space="preserve">. </w:t>
      </w:r>
    </w:p>
    <w:p w14:paraId="7DFAFFA7" w14:textId="77777777" w:rsidR="00E75882" w:rsidRPr="008272F3" w:rsidRDefault="00E75882" w:rsidP="008272F3">
      <w:pPr>
        <w:keepNext/>
        <w:shd w:val="clear" w:color="auto" w:fill="FFFFFF" w:themeFill="background1"/>
        <w:spacing w:after="0"/>
        <w:rPr>
          <w:rFonts w:ascii="Arial Narrow" w:hAnsi="Arial Narrow"/>
          <w:color w:val="000000" w:themeColor="text1"/>
          <w:sz w:val="18"/>
          <w:szCs w:val="18"/>
        </w:rPr>
      </w:pPr>
      <w:r w:rsidRPr="008272F3">
        <w:rPr>
          <w:rFonts w:ascii="Arial Narrow" w:hAnsi="Arial Narrow"/>
          <w:color w:val="000000" w:themeColor="text1"/>
          <w:sz w:val="18"/>
          <w:szCs w:val="18"/>
        </w:rPr>
        <w:t xml:space="preserve">Source: Image adapted from </w:t>
      </w:r>
      <w:r w:rsidRPr="008272F3">
        <w:rPr>
          <w:rFonts w:ascii="Arial Narrow" w:hAnsi="Arial Narrow"/>
          <w:noProof/>
          <w:color w:val="000000" w:themeColor="text1"/>
          <w:sz w:val="18"/>
          <w:szCs w:val="18"/>
        </w:rPr>
        <w:t>[36]</w:t>
      </w:r>
      <w:r w:rsidRPr="008272F3">
        <w:rPr>
          <w:rFonts w:ascii="Arial Narrow" w:hAnsi="Arial Narrow"/>
          <w:color w:val="000000" w:themeColor="text1"/>
          <w:sz w:val="18"/>
          <w:szCs w:val="18"/>
        </w:rPr>
        <w:t xml:space="preserve">. </w:t>
      </w:r>
    </w:p>
    <w:p w14:paraId="212EAD52" w14:textId="77777777" w:rsidR="00E75882" w:rsidRPr="001958F9" w:rsidRDefault="00E75882" w:rsidP="008272F3">
      <w:pPr>
        <w:keepNext/>
        <w:shd w:val="clear" w:color="auto" w:fill="FFFFFF" w:themeFill="background1"/>
        <w:spacing w:after="0"/>
        <w:rPr>
          <w:color w:val="000000" w:themeColor="text1"/>
          <w:sz w:val="20"/>
          <w:szCs w:val="20"/>
        </w:rPr>
      </w:pPr>
    </w:p>
    <w:p w14:paraId="16BBDBD0" w14:textId="0CF3166F" w:rsidR="00E75882" w:rsidRPr="001958F9" w:rsidRDefault="008F72DB" w:rsidP="0080792B">
      <w:pPr>
        <w:shd w:val="clear" w:color="auto" w:fill="FFFFFF" w:themeFill="background1"/>
        <w:rPr>
          <w:color w:val="000000" w:themeColor="text1"/>
        </w:rPr>
      </w:pPr>
      <w:r>
        <w:rPr>
          <w:color w:val="000000" w:themeColor="text1"/>
        </w:rPr>
        <w:t>L</w:t>
      </w:r>
      <w:r w:rsidR="00E75882" w:rsidRPr="001958F9">
        <w:rPr>
          <w:color w:val="000000" w:themeColor="text1"/>
        </w:rPr>
        <w:t xml:space="preserve">iterature </w:t>
      </w:r>
      <w:r w:rsidR="00EB736B" w:rsidRPr="001958F9">
        <w:rPr>
          <w:color w:val="000000" w:themeColor="text1"/>
        </w:rPr>
        <w:t>ha</w:t>
      </w:r>
      <w:r w:rsidR="00EB736B">
        <w:rPr>
          <w:color w:val="000000" w:themeColor="text1"/>
        </w:rPr>
        <w:t>s</w:t>
      </w:r>
      <w:r w:rsidR="00EB736B" w:rsidRPr="001958F9">
        <w:rPr>
          <w:color w:val="000000" w:themeColor="text1"/>
        </w:rPr>
        <w:t xml:space="preserve"> </w:t>
      </w:r>
      <w:r w:rsidR="00E75882" w:rsidRPr="001958F9">
        <w:rPr>
          <w:color w:val="000000" w:themeColor="text1"/>
        </w:rPr>
        <w:t xml:space="preserve">suggested that vascular endothelial growth factor (VEGF) and transforming growth factor-1 (TGF-β1) are required to maintain endothelial health in several tissues, including the kidney and other vascular beds. During normal pregnancy, vascular homeostasis is maintained by physiological levels of VEGF and TGF-β1 signalling in the vasculature </w:t>
      </w:r>
      <w:r w:rsidR="00E75882" w:rsidRPr="00833F58">
        <w:rPr>
          <w:color w:val="000000" w:themeColor="text1"/>
        </w:rPr>
        <w:t>(</w:t>
      </w:r>
      <w:hyperlink w:anchor="Title_Figure1" w:history="1">
        <w:r w:rsidR="00E75882" w:rsidRPr="008272F3">
          <w:rPr>
            <w:rStyle w:val="Hyperlink"/>
            <w:color w:val="000000" w:themeColor="text1"/>
            <w:u w:val="none"/>
          </w:rPr>
          <w:t>Figure 1</w:t>
        </w:r>
      </w:hyperlink>
      <w:r w:rsidR="00E75882" w:rsidRPr="00833F58">
        <w:rPr>
          <w:color w:val="000000" w:themeColor="text1"/>
        </w:rPr>
        <w:t>)</w:t>
      </w:r>
      <w:r w:rsidR="00E75882" w:rsidRPr="001958F9">
        <w:rPr>
          <w:color w:val="000000" w:themeColor="text1"/>
        </w:rPr>
        <w:t xml:space="preserve"> </w:t>
      </w:r>
      <w:r w:rsidR="00E75882">
        <w:rPr>
          <w:noProof/>
          <w:color w:val="000000" w:themeColor="text1"/>
        </w:rPr>
        <w:t>[36]</w:t>
      </w:r>
      <w:r w:rsidR="00E75882" w:rsidRPr="001958F9">
        <w:rPr>
          <w:color w:val="000000" w:themeColor="text1"/>
        </w:rPr>
        <w:t xml:space="preserve">. In PE, </w:t>
      </w:r>
      <w:r>
        <w:rPr>
          <w:color w:val="000000" w:themeColor="text1"/>
        </w:rPr>
        <w:t xml:space="preserve">there is </w:t>
      </w:r>
      <w:r w:rsidR="00E75882" w:rsidRPr="001958F9">
        <w:rPr>
          <w:color w:val="000000" w:themeColor="text1"/>
        </w:rPr>
        <w:t>excess placental secretion of sFlt</w:t>
      </w:r>
      <w:r w:rsidR="00D93AE6">
        <w:rPr>
          <w:color w:val="000000" w:themeColor="text1"/>
        </w:rPr>
        <w:t>-</w:t>
      </w:r>
      <w:r w:rsidR="00E75882" w:rsidRPr="001958F9">
        <w:rPr>
          <w:color w:val="000000" w:themeColor="text1"/>
        </w:rPr>
        <w:t xml:space="preserve">1 and </w:t>
      </w:r>
      <w:proofErr w:type="spellStart"/>
      <w:r w:rsidR="00E75882" w:rsidRPr="001958F9">
        <w:rPr>
          <w:color w:val="000000" w:themeColor="text1"/>
        </w:rPr>
        <w:t>sEng</w:t>
      </w:r>
      <w:proofErr w:type="spellEnd"/>
      <w:r w:rsidR="00E75882" w:rsidRPr="001958F9">
        <w:rPr>
          <w:color w:val="000000" w:themeColor="text1"/>
        </w:rPr>
        <w:t xml:space="preserve"> inhibits VEGF and TGF-β1 signalling, respectively, in the vasculature. This results in endothelial cell dysfunction, including decreased prostacyclin, nitric oxide production, and release of procoagulant proteins </w:t>
      </w:r>
      <w:r w:rsidR="00E75882">
        <w:rPr>
          <w:noProof/>
          <w:color w:val="000000" w:themeColor="text1"/>
        </w:rPr>
        <w:t>[30]</w:t>
      </w:r>
      <w:r w:rsidR="00E75882" w:rsidRPr="001958F9">
        <w:rPr>
          <w:color w:val="000000" w:themeColor="text1"/>
        </w:rPr>
        <w:t>.</w:t>
      </w:r>
    </w:p>
    <w:p w14:paraId="3FEC76CE" w14:textId="77777777" w:rsidR="00E75882" w:rsidRPr="001958F9" w:rsidRDefault="00E75882" w:rsidP="0080792B">
      <w:pPr>
        <w:pBdr>
          <w:top w:val="nil"/>
          <w:left w:val="nil"/>
          <w:bottom w:val="nil"/>
          <w:right w:val="nil"/>
          <w:between w:val="nil"/>
        </w:pBdr>
        <w:shd w:val="clear" w:color="auto" w:fill="FFFFFF" w:themeFill="background1"/>
        <w:spacing w:after="120"/>
        <w:rPr>
          <w:color w:val="000000" w:themeColor="text1"/>
        </w:rPr>
      </w:pPr>
      <w:r w:rsidRPr="001958F9">
        <w:rPr>
          <w:color w:val="000000" w:themeColor="text1"/>
        </w:rPr>
        <w:t>The rate of change of the sFlt-1/</w:t>
      </w:r>
      <w:proofErr w:type="spellStart"/>
      <w:r w:rsidRPr="001958F9">
        <w:rPr>
          <w:color w:val="000000" w:themeColor="text1"/>
        </w:rPr>
        <w:t>PlGF</w:t>
      </w:r>
      <w:proofErr w:type="spellEnd"/>
      <w:r w:rsidRPr="001958F9">
        <w:rPr>
          <w:color w:val="000000" w:themeColor="text1"/>
        </w:rPr>
        <w:t xml:space="preserve"> ratio in consecutive tests indicates the severity of PE and the rate of progression of the disease, including earlier onset disease and placental dysfunction.</w:t>
      </w:r>
    </w:p>
    <w:p w14:paraId="6D96982C" w14:textId="5D849482" w:rsidR="00E75882" w:rsidRPr="001958F9" w:rsidRDefault="00E75882" w:rsidP="0080792B">
      <w:pPr>
        <w:shd w:val="clear" w:color="auto" w:fill="FFFFFF" w:themeFill="background1"/>
        <w:rPr>
          <w:color w:val="000000" w:themeColor="text1"/>
        </w:rPr>
      </w:pPr>
      <w:r w:rsidRPr="001958F9">
        <w:rPr>
          <w:color w:val="000000" w:themeColor="text1"/>
        </w:rPr>
        <w:t xml:space="preserve">The application stated that the results of the sFlt-1 / </w:t>
      </w:r>
      <w:proofErr w:type="spellStart"/>
      <w:r w:rsidRPr="001958F9">
        <w:rPr>
          <w:color w:val="000000" w:themeColor="text1"/>
        </w:rPr>
        <w:t>PlGF</w:t>
      </w:r>
      <w:proofErr w:type="spellEnd"/>
      <w:r w:rsidRPr="001958F9">
        <w:rPr>
          <w:color w:val="000000" w:themeColor="text1"/>
        </w:rPr>
        <w:t xml:space="preserve"> test could be used </w:t>
      </w:r>
      <w:r>
        <w:rPr>
          <w:color w:val="000000" w:themeColor="text1"/>
        </w:rPr>
        <w:t>to</w:t>
      </w:r>
      <w:r w:rsidRPr="001958F9">
        <w:rPr>
          <w:color w:val="000000" w:themeColor="text1"/>
        </w:rPr>
        <w:t xml:space="preserve"> (p2 of the application):</w:t>
      </w:r>
    </w:p>
    <w:p w14:paraId="4558B9EF" w14:textId="245A2D29" w:rsidR="00E75882" w:rsidRPr="001958F9" w:rsidRDefault="00E75882" w:rsidP="00EF551E">
      <w:pPr>
        <w:numPr>
          <w:ilvl w:val="0"/>
          <w:numId w:val="4"/>
        </w:numPr>
        <w:pBdr>
          <w:top w:val="nil"/>
          <w:left w:val="nil"/>
          <w:bottom w:val="nil"/>
          <w:right w:val="nil"/>
          <w:between w:val="nil"/>
        </w:pBdr>
        <w:shd w:val="clear" w:color="auto" w:fill="FFFFFF" w:themeFill="background1"/>
        <w:spacing w:before="120" w:after="0"/>
        <w:ind w:hanging="360"/>
        <w:jc w:val="both"/>
        <w:rPr>
          <w:color w:val="000000" w:themeColor="text1"/>
        </w:rPr>
      </w:pPr>
      <w:r w:rsidRPr="001958F9">
        <w:rPr>
          <w:color w:val="000000" w:themeColor="text1"/>
        </w:rPr>
        <w:t xml:space="preserve">Identify a cohort of women who have </w:t>
      </w:r>
      <w:r>
        <w:rPr>
          <w:color w:val="000000" w:themeColor="text1"/>
        </w:rPr>
        <w:t xml:space="preserve">a low risk </w:t>
      </w:r>
      <w:r w:rsidR="00DF0F88">
        <w:rPr>
          <w:color w:val="000000" w:themeColor="text1"/>
        </w:rPr>
        <w:t xml:space="preserve">of </w:t>
      </w:r>
      <w:r>
        <w:rPr>
          <w:color w:val="000000" w:themeColor="text1"/>
        </w:rPr>
        <w:t xml:space="preserve">the onset of </w:t>
      </w:r>
      <w:r w:rsidRPr="001958F9">
        <w:rPr>
          <w:color w:val="000000" w:themeColor="text1"/>
        </w:rPr>
        <w:t xml:space="preserve">PE and who can be managed along the normal antenatal </w:t>
      </w:r>
      <w:r w:rsidR="002B2F56" w:rsidRPr="001958F9">
        <w:rPr>
          <w:color w:val="000000" w:themeColor="text1"/>
        </w:rPr>
        <w:t>pathway (</w:t>
      </w:r>
      <w:r w:rsidR="00B62197" w:rsidRPr="00B62197">
        <w:rPr>
          <w:color w:val="000000" w:themeColor="text1"/>
        </w:rPr>
        <w:t>the sFlt-1/</w:t>
      </w:r>
      <w:proofErr w:type="spellStart"/>
      <w:r w:rsidR="00B62197" w:rsidRPr="00B62197">
        <w:rPr>
          <w:color w:val="000000" w:themeColor="text1"/>
        </w:rPr>
        <w:t>PlGF</w:t>
      </w:r>
      <w:proofErr w:type="spellEnd"/>
      <w:r>
        <w:rPr>
          <w:color w:val="000000" w:themeColor="text1"/>
        </w:rPr>
        <w:t xml:space="preserve"> test ratio &lt;38)</w:t>
      </w:r>
      <w:r w:rsidR="00A11FE5">
        <w:rPr>
          <w:color w:val="000000" w:themeColor="text1"/>
        </w:rPr>
        <w:t>.</w:t>
      </w:r>
    </w:p>
    <w:p w14:paraId="77E1D9AA" w14:textId="09345298" w:rsidR="00E75882" w:rsidRPr="001958F9" w:rsidRDefault="00E75882" w:rsidP="00EF551E">
      <w:pPr>
        <w:numPr>
          <w:ilvl w:val="0"/>
          <w:numId w:val="4"/>
        </w:numPr>
        <w:pBdr>
          <w:top w:val="nil"/>
          <w:left w:val="nil"/>
          <w:bottom w:val="nil"/>
          <w:right w:val="nil"/>
          <w:between w:val="nil"/>
        </w:pBdr>
        <w:shd w:val="clear" w:color="auto" w:fill="FFFFFF" w:themeFill="background1"/>
        <w:spacing w:after="0"/>
        <w:ind w:hanging="360"/>
        <w:jc w:val="both"/>
        <w:rPr>
          <w:color w:val="000000" w:themeColor="text1"/>
        </w:rPr>
      </w:pPr>
      <w:r w:rsidRPr="001958F9">
        <w:rPr>
          <w:color w:val="000000" w:themeColor="text1"/>
        </w:rPr>
        <w:t xml:space="preserve">Identify a cohort of women at intermediate risk of </w:t>
      </w:r>
      <w:r>
        <w:rPr>
          <w:color w:val="000000" w:themeColor="text1"/>
        </w:rPr>
        <w:t xml:space="preserve">the onset of </w:t>
      </w:r>
      <w:r w:rsidRPr="001958F9">
        <w:rPr>
          <w:color w:val="000000" w:themeColor="text1"/>
        </w:rPr>
        <w:t>PE who would benefit from an increased level of outpatient assessment. This may include repeat sFlt-1/</w:t>
      </w:r>
      <w:proofErr w:type="spellStart"/>
      <w:r w:rsidRPr="001958F9">
        <w:rPr>
          <w:color w:val="000000" w:themeColor="text1"/>
        </w:rPr>
        <w:t>PlGF</w:t>
      </w:r>
      <w:proofErr w:type="spellEnd"/>
      <w:r w:rsidRPr="001958F9">
        <w:rPr>
          <w:color w:val="000000" w:themeColor="text1"/>
        </w:rPr>
        <w:t xml:space="preserve"> ratio testing later in the pregnancy</w:t>
      </w:r>
      <w:r>
        <w:rPr>
          <w:color w:val="000000" w:themeColor="text1"/>
        </w:rPr>
        <w:t xml:space="preserve"> (</w:t>
      </w:r>
      <w:r w:rsidR="00B62197" w:rsidRPr="00B62197">
        <w:rPr>
          <w:color w:val="000000" w:themeColor="text1"/>
        </w:rPr>
        <w:t>the sFlt-1/</w:t>
      </w:r>
      <w:proofErr w:type="spellStart"/>
      <w:r w:rsidR="00B62197" w:rsidRPr="00B62197">
        <w:rPr>
          <w:color w:val="000000" w:themeColor="text1"/>
        </w:rPr>
        <w:t>PlGF</w:t>
      </w:r>
      <w:proofErr w:type="spellEnd"/>
      <w:r w:rsidR="00B62197" w:rsidRPr="00B62197">
        <w:rPr>
          <w:color w:val="000000" w:themeColor="text1"/>
        </w:rPr>
        <w:t xml:space="preserve"> </w:t>
      </w:r>
      <w:r>
        <w:rPr>
          <w:color w:val="000000" w:themeColor="text1"/>
        </w:rPr>
        <w:t>test ratio 38-85)</w:t>
      </w:r>
      <w:r w:rsidR="00A11FE5">
        <w:rPr>
          <w:color w:val="000000" w:themeColor="text1"/>
        </w:rPr>
        <w:t>.</w:t>
      </w:r>
    </w:p>
    <w:p w14:paraId="7422943F" w14:textId="37514525" w:rsidR="00E75882" w:rsidRPr="00A947B7" w:rsidRDefault="00E75882" w:rsidP="00A11FE5">
      <w:pPr>
        <w:numPr>
          <w:ilvl w:val="0"/>
          <w:numId w:val="4"/>
        </w:numPr>
        <w:pBdr>
          <w:top w:val="nil"/>
          <w:left w:val="nil"/>
          <w:bottom w:val="nil"/>
          <w:right w:val="nil"/>
          <w:between w:val="nil"/>
        </w:pBdr>
        <w:shd w:val="clear" w:color="auto" w:fill="FFFFFF" w:themeFill="background1"/>
        <w:spacing w:after="120"/>
        <w:ind w:hanging="360"/>
        <w:jc w:val="both"/>
        <w:rPr>
          <w:color w:val="000000" w:themeColor="text1"/>
        </w:rPr>
      </w:pPr>
      <w:r w:rsidRPr="001958F9">
        <w:rPr>
          <w:color w:val="000000" w:themeColor="text1"/>
        </w:rPr>
        <w:t>Identify a cohort of women at high risk of imminent PE (</w:t>
      </w:r>
      <w:r w:rsidR="00B62197" w:rsidRPr="00B62197">
        <w:rPr>
          <w:color w:val="000000" w:themeColor="text1"/>
        </w:rPr>
        <w:t>the sFlt-1/</w:t>
      </w:r>
      <w:proofErr w:type="spellStart"/>
      <w:r w:rsidR="00B62197" w:rsidRPr="00B62197">
        <w:rPr>
          <w:color w:val="000000" w:themeColor="text1"/>
        </w:rPr>
        <w:t>PlGF</w:t>
      </w:r>
      <w:proofErr w:type="spellEnd"/>
      <w:r>
        <w:rPr>
          <w:color w:val="000000" w:themeColor="text1"/>
        </w:rPr>
        <w:t xml:space="preserve"> test </w:t>
      </w:r>
      <w:r w:rsidRPr="001958F9">
        <w:rPr>
          <w:color w:val="000000" w:themeColor="text1"/>
        </w:rPr>
        <w:t>ratio &gt;</w:t>
      </w:r>
      <w:r>
        <w:rPr>
          <w:color w:val="000000" w:themeColor="text1"/>
        </w:rPr>
        <w:t>85</w:t>
      </w:r>
      <w:r w:rsidRPr="001958F9">
        <w:rPr>
          <w:color w:val="000000" w:themeColor="text1"/>
        </w:rPr>
        <w:t xml:space="preserve"> before 37</w:t>
      </w:r>
      <w:r w:rsidRPr="007B6937">
        <w:rPr>
          <w:color w:val="000000" w:themeColor="text1"/>
          <w:vertAlign w:val="superscript"/>
        </w:rPr>
        <w:t>+0</w:t>
      </w:r>
      <w:r w:rsidRPr="001958F9">
        <w:rPr>
          <w:color w:val="000000" w:themeColor="text1"/>
        </w:rPr>
        <w:t xml:space="preserve"> weeks’ gestation) </w:t>
      </w:r>
      <w:r w:rsidR="008F72DB">
        <w:rPr>
          <w:color w:val="000000" w:themeColor="text1"/>
        </w:rPr>
        <w:t xml:space="preserve">and </w:t>
      </w:r>
      <w:r w:rsidRPr="001958F9">
        <w:rPr>
          <w:color w:val="000000" w:themeColor="text1"/>
        </w:rPr>
        <w:t xml:space="preserve">related adverse outcomes who can be managed through timely admission and preparation for delivery to mitigate these risks to maternal and </w:t>
      </w:r>
      <w:proofErr w:type="spellStart"/>
      <w:r w:rsidRPr="001958F9">
        <w:rPr>
          <w:color w:val="000000" w:themeColor="text1"/>
        </w:rPr>
        <w:t>fetal</w:t>
      </w:r>
      <w:proofErr w:type="spellEnd"/>
      <w:r w:rsidRPr="001958F9">
        <w:rPr>
          <w:color w:val="000000" w:themeColor="text1"/>
        </w:rPr>
        <w:t xml:space="preserve"> outcomes.</w:t>
      </w:r>
    </w:p>
    <w:p w14:paraId="6D9E1970" w14:textId="0D747071" w:rsidR="00E75882" w:rsidRPr="001958F9" w:rsidRDefault="00E75882" w:rsidP="0080792B">
      <w:pPr>
        <w:shd w:val="clear" w:color="auto" w:fill="FFFFFF" w:themeFill="background1"/>
        <w:rPr>
          <w:color w:val="000000" w:themeColor="text1"/>
        </w:rPr>
      </w:pPr>
      <w:r w:rsidRPr="001958F9">
        <w:rPr>
          <w:color w:val="000000" w:themeColor="text1"/>
        </w:rPr>
        <w:t xml:space="preserve">Some issues have been identified in previous studies related to the </w:t>
      </w:r>
      <w:r w:rsidRPr="0038107B">
        <w:rPr>
          <w:color w:val="000000" w:themeColor="text1"/>
        </w:rPr>
        <w:t xml:space="preserve">sFlt-1 / </w:t>
      </w:r>
      <w:proofErr w:type="spellStart"/>
      <w:r w:rsidRPr="0038107B">
        <w:rPr>
          <w:color w:val="000000" w:themeColor="text1"/>
        </w:rPr>
        <w:t>PlGF</w:t>
      </w:r>
      <w:proofErr w:type="spellEnd"/>
      <w:r w:rsidRPr="0038107B">
        <w:rPr>
          <w:color w:val="000000" w:themeColor="text1"/>
        </w:rPr>
        <w:t xml:space="preserve"> ratio test.</w:t>
      </w:r>
    </w:p>
    <w:p w14:paraId="6542D4E5" w14:textId="6D657BD3" w:rsidR="00E75882" w:rsidRPr="001958F9" w:rsidRDefault="00E75882" w:rsidP="0080792B">
      <w:pPr>
        <w:shd w:val="clear" w:color="auto" w:fill="FFFFFF" w:themeFill="background1"/>
        <w:rPr>
          <w:i/>
          <w:iCs/>
          <w:color w:val="000000" w:themeColor="text1"/>
        </w:rPr>
      </w:pPr>
      <w:r>
        <w:rPr>
          <w:noProof/>
          <w:color w:val="000000" w:themeColor="text1"/>
        </w:rPr>
        <w:t>Widmer</w:t>
      </w:r>
      <w:r w:rsidR="009E318D">
        <w:rPr>
          <w:noProof/>
          <w:color w:val="000000" w:themeColor="text1"/>
        </w:rPr>
        <w:t xml:space="preserve"> et al. </w:t>
      </w:r>
      <w:r>
        <w:rPr>
          <w:noProof/>
          <w:color w:val="000000" w:themeColor="text1"/>
        </w:rPr>
        <w:t>[37]</w:t>
      </w:r>
      <w:r w:rsidRPr="001958F9">
        <w:rPr>
          <w:color w:val="000000" w:themeColor="text1"/>
        </w:rPr>
        <w:t xml:space="preserve"> found that the sensitivity, </w:t>
      </w:r>
      <w:proofErr w:type="gramStart"/>
      <w:r w:rsidRPr="001958F9">
        <w:rPr>
          <w:color w:val="000000" w:themeColor="text1"/>
        </w:rPr>
        <w:t>specificity</w:t>
      </w:r>
      <w:proofErr w:type="gramEnd"/>
      <w:r w:rsidRPr="001958F9">
        <w:rPr>
          <w:color w:val="000000" w:themeColor="text1"/>
        </w:rPr>
        <w:t xml:space="preserve"> and likelihood ratios of the sFlt-1/</w:t>
      </w:r>
      <w:proofErr w:type="spellStart"/>
      <w:r w:rsidRPr="001958F9">
        <w:rPr>
          <w:color w:val="000000" w:themeColor="text1"/>
        </w:rPr>
        <w:t>PlGF</w:t>
      </w:r>
      <w:proofErr w:type="spellEnd"/>
      <w:r w:rsidRPr="001958F9">
        <w:rPr>
          <w:color w:val="000000" w:themeColor="text1"/>
        </w:rPr>
        <w:t xml:space="preserve"> ratio test were poor. Hence, the authors concluded that angiogenic biomarkers in the first half of pregnancy do not perform well enough in predicting the later development of PE. </w:t>
      </w:r>
      <w:r>
        <w:rPr>
          <w:noProof/>
          <w:color w:val="000000" w:themeColor="text1"/>
        </w:rPr>
        <w:t>Honigberg</w:t>
      </w:r>
      <w:r w:rsidR="009E318D">
        <w:rPr>
          <w:noProof/>
          <w:color w:val="000000" w:themeColor="text1"/>
        </w:rPr>
        <w:t xml:space="preserve"> et al. </w:t>
      </w:r>
      <w:r>
        <w:rPr>
          <w:noProof/>
          <w:color w:val="000000" w:themeColor="text1"/>
        </w:rPr>
        <w:t>[38]</w:t>
      </w:r>
      <w:r w:rsidR="00665963">
        <w:rPr>
          <w:noProof/>
          <w:color w:val="000000" w:themeColor="text1"/>
        </w:rPr>
        <w:t xml:space="preserve"> </w:t>
      </w:r>
      <w:r w:rsidR="005162EF">
        <w:rPr>
          <w:noProof/>
          <w:color w:val="000000" w:themeColor="text1"/>
        </w:rPr>
        <w:t>found</w:t>
      </w:r>
      <w:r w:rsidRPr="001958F9">
        <w:rPr>
          <w:color w:val="000000" w:themeColor="text1"/>
        </w:rPr>
        <w:t xml:space="preserve"> that measuring the trend in </w:t>
      </w:r>
      <w:proofErr w:type="spellStart"/>
      <w:r w:rsidRPr="001958F9">
        <w:rPr>
          <w:color w:val="000000" w:themeColor="text1"/>
        </w:rPr>
        <w:t>PlGF</w:t>
      </w:r>
      <w:proofErr w:type="spellEnd"/>
      <w:r w:rsidRPr="001958F9">
        <w:rPr>
          <w:color w:val="000000" w:themeColor="text1"/>
        </w:rPr>
        <w:t xml:space="preserve"> and sFlt-1 throughout pregnancy lacks clinically useful </w:t>
      </w:r>
      <w:r w:rsidRPr="001958F9">
        <w:rPr>
          <w:color w:val="000000" w:themeColor="text1"/>
        </w:rPr>
        <w:lastRenderedPageBreak/>
        <w:t xml:space="preserve">predictive power. </w:t>
      </w:r>
      <w:r>
        <w:rPr>
          <w:noProof/>
          <w:color w:val="000000" w:themeColor="text1"/>
        </w:rPr>
        <w:t>Honigberg</w:t>
      </w:r>
      <w:r w:rsidR="00437636">
        <w:rPr>
          <w:noProof/>
          <w:color w:val="000000" w:themeColor="text1"/>
        </w:rPr>
        <w:t xml:space="preserve"> et al. </w:t>
      </w:r>
      <w:r>
        <w:rPr>
          <w:noProof/>
          <w:color w:val="000000" w:themeColor="text1"/>
        </w:rPr>
        <w:t>[38]</w:t>
      </w:r>
      <w:r w:rsidRPr="001958F9">
        <w:rPr>
          <w:color w:val="000000" w:themeColor="text1"/>
        </w:rPr>
        <w:t xml:space="preserve"> suggested that </w:t>
      </w:r>
      <w:proofErr w:type="spellStart"/>
      <w:r w:rsidRPr="001958F9">
        <w:rPr>
          <w:color w:val="000000" w:themeColor="text1"/>
        </w:rPr>
        <w:t>PlGF</w:t>
      </w:r>
      <w:proofErr w:type="spellEnd"/>
      <w:r w:rsidRPr="001958F9">
        <w:rPr>
          <w:color w:val="000000" w:themeColor="text1"/>
        </w:rPr>
        <w:t xml:space="preserve"> and sFlt-1 levels have not been shown to predict the development of PE with acceptable accuracy. </w:t>
      </w:r>
      <w:r>
        <w:rPr>
          <w:noProof/>
          <w:color w:val="000000" w:themeColor="text1"/>
        </w:rPr>
        <w:t>Honigberg</w:t>
      </w:r>
      <w:r w:rsidR="009E318D">
        <w:rPr>
          <w:noProof/>
          <w:color w:val="000000" w:themeColor="text1"/>
        </w:rPr>
        <w:t xml:space="preserve"> et al. </w:t>
      </w:r>
      <w:r>
        <w:rPr>
          <w:noProof/>
          <w:color w:val="000000" w:themeColor="text1"/>
        </w:rPr>
        <w:t>[38]</w:t>
      </w:r>
      <w:r w:rsidRPr="001958F9">
        <w:rPr>
          <w:color w:val="000000" w:themeColor="text1"/>
        </w:rPr>
        <w:t xml:space="preserve"> yielded positive predictive values of 9 to 19% and negative predictive values of 93 to 97%; hence, the study concluded that changes in angiogenic factors throughout pregnancy lack clinically useful predictive power due to the low positive predictive values. In another study, </w:t>
      </w:r>
      <w:r>
        <w:rPr>
          <w:noProof/>
          <w:color w:val="000000" w:themeColor="text1"/>
        </w:rPr>
        <w:t>McElrath</w:t>
      </w:r>
      <w:r w:rsidR="009E318D">
        <w:rPr>
          <w:noProof/>
          <w:color w:val="000000" w:themeColor="text1"/>
        </w:rPr>
        <w:t xml:space="preserve"> et al. </w:t>
      </w:r>
      <w:r>
        <w:rPr>
          <w:noProof/>
          <w:color w:val="000000" w:themeColor="text1"/>
        </w:rPr>
        <w:t>[39]</w:t>
      </w:r>
      <w:r w:rsidRPr="001958F9">
        <w:rPr>
          <w:color w:val="000000" w:themeColor="text1"/>
        </w:rPr>
        <w:t xml:space="preserve"> concluded that </w:t>
      </w:r>
      <w:r>
        <w:rPr>
          <w:color w:val="000000" w:themeColor="text1"/>
        </w:rPr>
        <w:t xml:space="preserve">the diagnosis </w:t>
      </w:r>
      <w:r w:rsidRPr="001958F9">
        <w:rPr>
          <w:color w:val="000000" w:themeColor="text1"/>
        </w:rPr>
        <w:t xml:space="preserve">of PE in early pregnancy was not possible using maternal angiogenic protein concentrations. Similarly, </w:t>
      </w:r>
      <w:r>
        <w:rPr>
          <w:noProof/>
          <w:color w:val="000000" w:themeColor="text1"/>
        </w:rPr>
        <w:t>Malshe and Sibai [40]</w:t>
      </w:r>
      <w:r w:rsidRPr="001958F9">
        <w:rPr>
          <w:color w:val="000000" w:themeColor="text1"/>
        </w:rPr>
        <w:t xml:space="preserve"> found that angiogenic factors’ ability to diagnose PE </w:t>
      </w:r>
      <w:r w:rsidR="00283C9B">
        <w:rPr>
          <w:color w:val="000000" w:themeColor="text1"/>
        </w:rPr>
        <w:t>is</w:t>
      </w:r>
      <w:r w:rsidR="00283C9B" w:rsidRPr="001958F9">
        <w:rPr>
          <w:color w:val="000000" w:themeColor="text1"/>
        </w:rPr>
        <w:t xml:space="preserve"> </w:t>
      </w:r>
      <w:r w:rsidR="00EB736B">
        <w:rPr>
          <w:color w:val="000000" w:themeColor="text1"/>
        </w:rPr>
        <w:t>un</w:t>
      </w:r>
      <w:r w:rsidRPr="001958F9">
        <w:rPr>
          <w:color w:val="000000" w:themeColor="text1"/>
        </w:rPr>
        <w:t>clear. Past findings indicated that the ratio test has very high negative predictive values but low positive predictive value</w:t>
      </w:r>
      <w:r>
        <w:rPr>
          <w:color w:val="000000" w:themeColor="text1"/>
        </w:rPr>
        <w:t>s</w:t>
      </w:r>
      <w:r w:rsidRPr="001958F9">
        <w:rPr>
          <w:color w:val="000000" w:themeColor="text1"/>
        </w:rPr>
        <w:t xml:space="preserve">. </w:t>
      </w:r>
      <w:r w:rsidRPr="00A947B7">
        <w:rPr>
          <w:color w:val="000000" w:themeColor="text1"/>
        </w:rPr>
        <w:t>The applicant may address these findings in the assessment report.</w:t>
      </w:r>
    </w:p>
    <w:p w14:paraId="4FEE5518" w14:textId="77777777" w:rsidR="00E75882" w:rsidRPr="001958F9" w:rsidRDefault="00E75882" w:rsidP="0080792B">
      <w:pPr>
        <w:shd w:val="clear" w:color="auto" w:fill="FFFFFF" w:themeFill="background1"/>
        <w:rPr>
          <w:color w:val="000000" w:themeColor="text1"/>
        </w:rPr>
      </w:pPr>
      <w:r w:rsidRPr="001958F9">
        <w:rPr>
          <w:color w:val="000000" w:themeColor="text1"/>
        </w:rPr>
        <w:t>Several other studies have raised questions about the utility of the sFlt-1/</w:t>
      </w:r>
      <w:proofErr w:type="spellStart"/>
      <w:r w:rsidRPr="001958F9">
        <w:rPr>
          <w:color w:val="000000" w:themeColor="text1"/>
        </w:rPr>
        <w:t>PlGF</w:t>
      </w:r>
      <w:proofErr w:type="spellEnd"/>
      <w:r w:rsidRPr="001958F9">
        <w:rPr>
          <w:color w:val="000000" w:themeColor="text1"/>
        </w:rPr>
        <w:t xml:space="preserve"> ratio as a predictive marker in women with suspected PE:</w:t>
      </w:r>
    </w:p>
    <w:p w14:paraId="76A656FA" w14:textId="77777777" w:rsidR="00486551" w:rsidRDefault="00E75882" w:rsidP="00486551">
      <w:pPr>
        <w:pStyle w:val="ListParagraph"/>
        <w:numPr>
          <w:ilvl w:val="0"/>
          <w:numId w:val="2"/>
        </w:numPr>
        <w:shd w:val="clear" w:color="auto" w:fill="FFFFFF" w:themeFill="background1"/>
        <w:spacing w:before="200"/>
        <w:ind w:left="499" w:hanging="357"/>
        <w:rPr>
          <w:color w:val="000000" w:themeColor="text1"/>
        </w:rPr>
      </w:pPr>
      <w:r w:rsidRPr="001958F9">
        <w:rPr>
          <w:color w:val="000000" w:themeColor="text1"/>
        </w:rPr>
        <w:t>All studies investigated the sFlt-1/</w:t>
      </w:r>
      <w:proofErr w:type="spellStart"/>
      <w:r w:rsidRPr="001958F9">
        <w:rPr>
          <w:color w:val="000000" w:themeColor="text1"/>
        </w:rPr>
        <w:t>PlGF</w:t>
      </w:r>
      <w:proofErr w:type="spellEnd"/>
      <w:r w:rsidRPr="001958F9">
        <w:rPr>
          <w:color w:val="000000" w:themeColor="text1"/>
        </w:rPr>
        <w:t xml:space="preserve"> ratio as a predictive marker focused on singleton pregnancies. There is a lack of test accuracy evidence for twin or non-singleton pregnancies </w:t>
      </w:r>
      <w:r>
        <w:rPr>
          <w:noProof/>
          <w:color w:val="000000" w:themeColor="text1"/>
        </w:rPr>
        <w:t>[40-42]</w:t>
      </w:r>
      <w:r w:rsidRPr="001958F9">
        <w:rPr>
          <w:color w:val="000000" w:themeColor="text1"/>
        </w:rPr>
        <w:t>.</w:t>
      </w:r>
    </w:p>
    <w:p w14:paraId="054355E2" w14:textId="3B84F48B" w:rsidR="00E75882" w:rsidRPr="00F659F3" w:rsidRDefault="001E32BC" w:rsidP="00486551">
      <w:pPr>
        <w:pStyle w:val="ListParagraph"/>
        <w:shd w:val="clear" w:color="auto" w:fill="FFFFFF" w:themeFill="background1"/>
        <w:spacing w:before="200"/>
        <w:ind w:left="499"/>
        <w:rPr>
          <w:color w:val="000000" w:themeColor="text1"/>
        </w:rPr>
      </w:pPr>
      <w:r w:rsidRPr="009B1B69">
        <w:rPr>
          <w:i/>
          <w:iCs/>
          <w:color w:val="000000" w:themeColor="text1"/>
        </w:rPr>
        <w:t>During the PASC meeting, the applicant stated that</w:t>
      </w:r>
      <w:r>
        <w:rPr>
          <w:color w:val="000000" w:themeColor="text1"/>
        </w:rPr>
        <w:t xml:space="preserve"> </w:t>
      </w:r>
      <w:r>
        <w:rPr>
          <w:i/>
          <w:iCs/>
          <w:color w:val="000000" w:themeColor="text1"/>
        </w:rPr>
        <w:t>the ratio test is effective in predicting PE for multi</w:t>
      </w:r>
      <w:r w:rsidR="00AA2052">
        <w:rPr>
          <w:i/>
          <w:iCs/>
          <w:color w:val="000000" w:themeColor="text1"/>
        </w:rPr>
        <w:t>fetal gestation</w:t>
      </w:r>
      <w:r>
        <w:rPr>
          <w:i/>
          <w:iCs/>
          <w:color w:val="000000" w:themeColor="text1"/>
        </w:rPr>
        <w:t xml:space="preserve"> </w:t>
      </w:r>
      <w:r w:rsidRPr="0001054D">
        <w:rPr>
          <w:i/>
          <w:iCs/>
          <w:color w:val="000000" w:themeColor="text1"/>
        </w:rPr>
        <w:t>(as the</w:t>
      </w:r>
      <w:r w:rsidR="00DB6B16">
        <w:rPr>
          <w:i/>
          <w:iCs/>
          <w:color w:val="000000" w:themeColor="text1"/>
        </w:rPr>
        <w:t xml:space="preserve"> results of the</w:t>
      </w:r>
      <w:r w:rsidRPr="0001054D">
        <w:rPr>
          <w:i/>
          <w:iCs/>
          <w:color w:val="000000" w:themeColor="text1"/>
        </w:rPr>
        <w:t xml:space="preserve"> two components of the test are derived from the </w:t>
      </w:r>
      <w:r w:rsidR="00DB6B16">
        <w:rPr>
          <w:i/>
          <w:iCs/>
          <w:color w:val="000000" w:themeColor="text1"/>
        </w:rPr>
        <w:t xml:space="preserve">activity of </w:t>
      </w:r>
      <w:proofErr w:type="spellStart"/>
      <w:r w:rsidRPr="0001054D">
        <w:rPr>
          <w:i/>
          <w:iCs/>
          <w:color w:val="000000" w:themeColor="text1"/>
        </w:rPr>
        <w:t>syncytiotrophobla</w:t>
      </w:r>
      <w:r w:rsidR="00DB6B16">
        <w:rPr>
          <w:i/>
          <w:iCs/>
          <w:color w:val="000000" w:themeColor="text1"/>
        </w:rPr>
        <w:t>s</w:t>
      </w:r>
      <w:r w:rsidRPr="0001054D">
        <w:rPr>
          <w:i/>
          <w:iCs/>
          <w:color w:val="000000" w:themeColor="text1"/>
        </w:rPr>
        <w:t>t</w:t>
      </w:r>
      <w:proofErr w:type="spellEnd"/>
      <w:r w:rsidRPr="0001054D">
        <w:rPr>
          <w:i/>
          <w:iCs/>
          <w:color w:val="000000" w:themeColor="text1"/>
        </w:rPr>
        <w:t xml:space="preserve">, not the </w:t>
      </w:r>
      <w:proofErr w:type="spellStart"/>
      <w:r w:rsidRPr="0001054D">
        <w:rPr>
          <w:i/>
          <w:iCs/>
          <w:color w:val="000000" w:themeColor="text1"/>
        </w:rPr>
        <w:t>fetus</w:t>
      </w:r>
      <w:proofErr w:type="spellEnd"/>
      <w:r w:rsidRPr="0001054D">
        <w:rPr>
          <w:i/>
          <w:iCs/>
          <w:color w:val="000000" w:themeColor="text1"/>
        </w:rPr>
        <w:t>(es))</w:t>
      </w:r>
      <w:r>
        <w:rPr>
          <w:i/>
          <w:iCs/>
          <w:color w:val="000000" w:themeColor="text1"/>
        </w:rPr>
        <w:t xml:space="preserve"> until the third trimester. However, the applicant acknowledged that there is a lack of data to support this claim.</w:t>
      </w:r>
    </w:p>
    <w:p w14:paraId="418FC68B" w14:textId="019D7533" w:rsidR="00C12761" w:rsidRPr="00F659F3" w:rsidRDefault="00C12761" w:rsidP="002C1EA9">
      <w:pPr>
        <w:pStyle w:val="ListParagraph"/>
        <w:numPr>
          <w:ilvl w:val="0"/>
          <w:numId w:val="2"/>
        </w:numPr>
        <w:shd w:val="clear" w:color="auto" w:fill="FFFFFF" w:themeFill="background1"/>
        <w:rPr>
          <w:color w:val="000000" w:themeColor="text1"/>
        </w:rPr>
      </w:pPr>
      <w:r w:rsidRPr="001958F9">
        <w:rPr>
          <w:color w:val="000000" w:themeColor="text1"/>
        </w:rPr>
        <w:t>sFlt-1/</w:t>
      </w:r>
      <w:proofErr w:type="spellStart"/>
      <w:r w:rsidRPr="001958F9">
        <w:rPr>
          <w:color w:val="000000" w:themeColor="text1"/>
        </w:rPr>
        <w:t>PlGF</w:t>
      </w:r>
      <w:proofErr w:type="spellEnd"/>
      <w:r w:rsidRPr="001958F9">
        <w:rPr>
          <w:color w:val="000000" w:themeColor="text1"/>
        </w:rPr>
        <w:t xml:space="preserve"> ratio results are uncertain for twin pregnancies, obese and diabetic patients </w:t>
      </w:r>
      <w:r w:rsidR="00FF292B">
        <w:rPr>
          <w:noProof/>
          <w:color w:val="000000" w:themeColor="text1"/>
        </w:rPr>
        <w:t xml:space="preserve">[35, </w:t>
      </w:r>
      <w:r>
        <w:rPr>
          <w:noProof/>
          <w:color w:val="000000" w:themeColor="text1"/>
        </w:rPr>
        <w:t>43]</w:t>
      </w:r>
      <w:r w:rsidRPr="001958F9">
        <w:rPr>
          <w:color w:val="000000" w:themeColor="text1"/>
        </w:rPr>
        <w:t xml:space="preserve">. </w:t>
      </w:r>
    </w:p>
    <w:p w14:paraId="29998DC3" w14:textId="43D6718F" w:rsidR="00E75882" w:rsidRPr="001958F9" w:rsidRDefault="00E75882" w:rsidP="002C1EA9">
      <w:pPr>
        <w:pStyle w:val="ListParagraph"/>
        <w:numPr>
          <w:ilvl w:val="0"/>
          <w:numId w:val="2"/>
        </w:numPr>
        <w:shd w:val="clear" w:color="auto" w:fill="FFFFFF" w:themeFill="background1"/>
        <w:rPr>
          <w:color w:val="000000" w:themeColor="text1"/>
        </w:rPr>
      </w:pPr>
      <w:r>
        <w:rPr>
          <w:noProof/>
          <w:color w:val="000000" w:themeColor="text1"/>
        </w:rPr>
        <w:t>Levine</w:t>
      </w:r>
      <w:r w:rsidR="00684B2F">
        <w:rPr>
          <w:noProof/>
          <w:color w:val="000000" w:themeColor="text1"/>
        </w:rPr>
        <w:t xml:space="preserve"> et al.</w:t>
      </w:r>
      <w:r>
        <w:rPr>
          <w:noProof/>
          <w:color w:val="000000" w:themeColor="text1"/>
        </w:rPr>
        <w:t xml:space="preserve"> [44]</w:t>
      </w:r>
      <w:r w:rsidRPr="001958F9">
        <w:rPr>
          <w:color w:val="000000" w:themeColor="text1"/>
        </w:rPr>
        <w:t xml:space="preserve"> found that serum sFlt</w:t>
      </w:r>
      <w:r w:rsidR="00D93AE6">
        <w:rPr>
          <w:color w:val="000000" w:themeColor="text1"/>
        </w:rPr>
        <w:t>-</w:t>
      </w:r>
      <w:r w:rsidRPr="001958F9">
        <w:rPr>
          <w:color w:val="000000" w:themeColor="text1"/>
        </w:rPr>
        <w:t xml:space="preserve">1 levels were lower in smokers than in non-smokers throughout normal pregnancy, and levels of soluble endoglin were lower and </w:t>
      </w:r>
      <w:proofErr w:type="spellStart"/>
      <w:r w:rsidRPr="001958F9">
        <w:rPr>
          <w:color w:val="000000" w:themeColor="text1"/>
        </w:rPr>
        <w:t>PlGF</w:t>
      </w:r>
      <w:proofErr w:type="spellEnd"/>
      <w:r w:rsidRPr="001958F9">
        <w:rPr>
          <w:color w:val="000000" w:themeColor="text1"/>
        </w:rPr>
        <w:t xml:space="preserve"> higher at 10 through 20 weeks.</w:t>
      </w:r>
    </w:p>
    <w:p w14:paraId="02E04BAF" w14:textId="25A58325" w:rsidR="00E75882" w:rsidRPr="001958F9" w:rsidRDefault="00E75882" w:rsidP="00EF551E">
      <w:pPr>
        <w:pStyle w:val="ListParagraph"/>
        <w:numPr>
          <w:ilvl w:val="0"/>
          <w:numId w:val="2"/>
        </w:numPr>
        <w:shd w:val="clear" w:color="auto" w:fill="FFFFFF" w:themeFill="background1"/>
        <w:jc w:val="both"/>
        <w:rPr>
          <w:color w:val="000000" w:themeColor="text1"/>
        </w:rPr>
      </w:pPr>
      <w:r w:rsidRPr="001958F9">
        <w:rPr>
          <w:color w:val="000000" w:themeColor="text1"/>
        </w:rPr>
        <w:t>The ’optimal’ time interval for a follow-up test (sFlt-1/</w:t>
      </w:r>
      <w:proofErr w:type="spellStart"/>
      <w:r w:rsidRPr="001958F9">
        <w:rPr>
          <w:color w:val="000000" w:themeColor="text1"/>
        </w:rPr>
        <w:t>PlGF</w:t>
      </w:r>
      <w:proofErr w:type="spellEnd"/>
      <w:r w:rsidRPr="001958F9">
        <w:rPr>
          <w:color w:val="000000" w:themeColor="text1"/>
        </w:rPr>
        <w:t xml:space="preserve"> ratio) remains unclear </w:t>
      </w:r>
      <w:r>
        <w:rPr>
          <w:noProof/>
          <w:color w:val="000000" w:themeColor="text1"/>
        </w:rPr>
        <w:t>[28]</w:t>
      </w:r>
      <w:r w:rsidR="00B45BC9">
        <w:rPr>
          <w:noProof/>
          <w:color w:val="000000" w:themeColor="text1"/>
        </w:rPr>
        <w:t>.</w:t>
      </w:r>
    </w:p>
    <w:p w14:paraId="1013E6CB" w14:textId="51CFD7BA" w:rsidR="00E75882" w:rsidRPr="001958F9" w:rsidRDefault="00E75882" w:rsidP="002C1EA9">
      <w:pPr>
        <w:pStyle w:val="ListParagraph"/>
        <w:numPr>
          <w:ilvl w:val="0"/>
          <w:numId w:val="2"/>
        </w:numPr>
        <w:shd w:val="clear" w:color="auto" w:fill="FFFFFF" w:themeFill="background1"/>
        <w:rPr>
          <w:color w:val="000000" w:themeColor="text1"/>
        </w:rPr>
      </w:pPr>
      <w:r>
        <w:rPr>
          <w:noProof/>
          <w:color w:val="000000" w:themeColor="text1"/>
        </w:rPr>
        <w:t>Klein</w:t>
      </w:r>
      <w:r w:rsidR="00437636">
        <w:rPr>
          <w:noProof/>
          <w:color w:val="000000" w:themeColor="text1"/>
        </w:rPr>
        <w:t xml:space="preserve"> et al. </w:t>
      </w:r>
      <w:r>
        <w:rPr>
          <w:noProof/>
          <w:color w:val="000000" w:themeColor="text1"/>
        </w:rPr>
        <w:t>[45]</w:t>
      </w:r>
      <w:r w:rsidRPr="001958F9">
        <w:rPr>
          <w:color w:val="000000" w:themeColor="text1"/>
        </w:rPr>
        <w:t xml:space="preserve"> concluded that the optimal cut-off ratio (sFlt-1/</w:t>
      </w:r>
      <w:proofErr w:type="spellStart"/>
      <w:r w:rsidRPr="001958F9">
        <w:rPr>
          <w:color w:val="000000" w:themeColor="text1"/>
        </w:rPr>
        <w:t>PlGF</w:t>
      </w:r>
      <w:proofErr w:type="spellEnd"/>
      <w:r w:rsidRPr="001958F9">
        <w:rPr>
          <w:color w:val="000000" w:themeColor="text1"/>
        </w:rPr>
        <w:t xml:space="preserve"> ratio cut-off of 85) to aid </w:t>
      </w:r>
      <w:r w:rsidR="0035661D">
        <w:rPr>
          <w:color w:val="000000" w:themeColor="text1"/>
        </w:rPr>
        <w:t xml:space="preserve">the </w:t>
      </w:r>
      <w:r w:rsidRPr="001958F9">
        <w:rPr>
          <w:color w:val="000000" w:themeColor="text1"/>
        </w:rPr>
        <w:t xml:space="preserve">diagnosis of PE might differ </w:t>
      </w:r>
      <w:r>
        <w:rPr>
          <w:color w:val="000000" w:themeColor="text1"/>
        </w:rPr>
        <w:t xml:space="preserve">depending on which </w:t>
      </w:r>
      <w:r w:rsidRPr="001958F9">
        <w:rPr>
          <w:color w:val="000000" w:themeColor="text1"/>
        </w:rPr>
        <w:t>assays are used.</w:t>
      </w:r>
    </w:p>
    <w:p w14:paraId="6689B982" w14:textId="576CD74E" w:rsidR="00E75882" w:rsidRPr="001958F9" w:rsidRDefault="00E75882" w:rsidP="002C1EA9">
      <w:pPr>
        <w:pStyle w:val="ListParagraph"/>
        <w:numPr>
          <w:ilvl w:val="0"/>
          <w:numId w:val="2"/>
        </w:numPr>
        <w:shd w:val="clear" w:color="auto" w:fill="FFFFFF" w:themeFill="background1"/>
        <w:rPr>
          <w:color w:val="000000" w:themeColor="text1"/>
        </w:rPr>
      </w:pPr>
      <w:r w:rsidRPr="001958F9">
        <w:rPr>
          <w:color w:val="000000" w:themeColor="text1"/>
        </w:rPr>
        <w:t xml:space="preserve">The use of cut-offs </w:t>
      </w:r>
      <w:r>
        <w:rPr>
          <w:color w:val="000000" w:themeColor="text1"/>
        </w:rPr>
        <w:t>for</w:t>
      </w:r>
      <w:r w:rsidRPr="001958F9">
        <w:rPr>
          <w:color w:val="000000" w:themeColor="text1"/>
        </w:rPr>
        <w:t xml:space="preserve"> the concentration of </w:t>
      </w:r>
      <w:proofErr w:type="spellStart"/>
      <w:r w:rsidRPr="001958F9">
        <w:rPr>
          <w:color w:val="000000" w:themeColor="text1"/>
        </w:rPr>
        <w:t>PlGF</w:t>
      </w:r>
      <w:proofErr w:type="spellEnd"/>
      <w:r w:rsidRPr="001958F9">
        <w:rPr>
          <w:color w:val="000000" w:themeColor="text1"/>
        </w:rPr>
        <w:t xml:space="preserve"> or the ratio of the concentrations of </w:t>
      </w:r>
      <w:r w:rsidR="00EF0817" w:rsidRPr="001958F9">
        <w:rPr>
          <w:color w:val="000000" w:themeColor="text1"/>
        </w:rPr>
        <w:t>sF</w:t>
      </w:r>
      <w:r w:rsidR="00EF0817">
        <w:rPr>
          <w:color w:val="000000" w:themeColor="text1"/>
        </w:rPr>
        <w:t>lt</w:t>
      </w:r>
      <w:r w:rsidRPr="001958F9">
        <w:rPr>
          <w:color w:val="000000" w:themeColor="text1"/>
        </w:rPr>
        <w:t xml:space="preserve">-1 and </w:t>
      </w:r>
      <w:proofErr w:type="spellStart"/>
      <w:r w:rsidRPr="001958F9">
        <w:rPr>
          <w:color w:val="000000" w:themeColor="text1"/>
        </w:rPr>
        <w:t>PlGF</w:t>
      </w:r>
      <w:proofErr w:type="spellEnd"/>
      <w:r w:rsidRPr="001958F9">
        <w:rPr>
          <w:color w:val="000000" w:themeColor="text1"/>
        </w:rPr>
        <w:t xml:space="preserve"> in </w:t>
      </w:r>
      <w:r>
        <w:rPr>
          <w:color w:val="000000" w:themeColor="text1"/>
        </w:rPr>
        <w:t>predicting</w:t>
      </w:r>
      <w:r w:rsidRPr="001958F9">
        <w:rPr>
          <w:color w:val="000000" w:themeColor="text1"/>
        </w:rPr>
        <w:t xml:space="preserve"> PE does not allow the flexibility of selecting different gestational age cut-offs for the categorisation of the severity of PE; they do not </w:t>
      </w:r>
      <w:proofErr w:type="gramStart"/>
      <w:r w:rsidRPr="001958F9">
        <w:rPr>
          <w:color w:val="000000" w:themeColor="text1"/>
        </w:rPr>
        <w:t>take into account</w:t>
      </w:r>
      <w:proofErr w:type="gramEnd"/>
      <w:r w:rsidRPr="001958F9">
        <w:rPr>
          <w:color w:val="000000" w:themeColor="text1"/>
        </w:rPr>
        <w:t xml:space="preserve"> the increasing effect size on biomarkers with the severity of the disease, and they cannot be expanded easily to include additional biomarkers that are measured at different stages in pregnancy </w:t>
      </w:r>
      <w:r>
        <w:rPr>
          <w:noProof/>
          <w:color w:val="000000" w:themeColor="text1"/>
        </w:rPr>
        <w:t>[46]</w:t>
      </w:r>
      <w:r w:rsidRPr="001958F9">
        <w:rPr>
          <w:color w:val="000000" w:themeColor="text1"/>
        </w:rPr>
        <w:t>.</w:t>
      </w:r>
    </w:p>
    <w:p w14:paraId="4C9EA02B" w14:textId="12B9E878" w:rsidR="00E75882" w:rsidRDefault="00E75882" w:rsidP="002C1EA9">
      <w:pPr>
        <w:pStyle w:val="ListParagraph"/>
        <w:numPr>
          <w:ilvl w:val="0"/>
          <w:numId w:val="2"/>
        </w:numPr>
        <w:shd w:val="clear" w:color="auto" w:fill="FFFFFF" w:themeFill="background1"/>
        <w:rPr>
          <w:color w:val="000000" w:themeColor="text1"/>
        </w:rPr>
      </w:pPr>
      <w:r w:rsidRPr="001958F9">
        <w:rPr>
          <w:color w:val="000000" w:themeColor="text1"/>
        </w:rPr>
        <w:t>The sFlt-1/</w:t>
      </w:r>
      <w:proofErr w:type="spellStart"/>
      <w:r w:rsidRPr="001958F9">
        <w:rPr>
          <w:color w:val="000000" w:themeColor="text1"/>
        </w:rPr>
        <w:t>PlGF</w:t>
      </w:r>
      <w:proofErr w:type="spellEnd"/>
      <w:r w:rsidRPr="001958F9">
        <w:rPr>
          <w:color w:val="000000" w:themeColor="text1"/>
        </w:rPr>
        <w:t xml:space="preserve"> ratio has also been shown to be useful for </w:t>
      </w:r>
      <w:r>
        <w:rPr>
          <w:color w:val="000000" w:themeColor="text1"/>
        </w:rPr>
        <w:t>predicting a</w:t>
      </w:r>
      <w:r w:rsidRPr="001958F9">
        <w:rPr>
          <w:color w:val="000000" w:themeColor="text1"/>
        </w:rPr>
        <w:t xml:space="preserve"> diagnosis of PE at a cut-off &gt;85 for early-onset PE and &gt;110 for late-onset PE. At ≥34 weeks, a significant increase in the sFlt-1/</w:t>
      </w:r>
      <w:proofErr w:type="spellStart"/>
      <w:r w:rsidRPr="001958F9">
        <w:rPr>
          <w:color w:val="000000" w:themeColor="text1"/>
        </w:rPr>
        <w:t>PlGF</w:t>
      </w:r>
      <w:proofErr w:type="spellEnd"/>
      <w:r w:rsidRPr="001958F9">
        <w:rPr>
          <w:color w:val="000000" w:themeColor="text1"/>
        </w:rPr>
        <w:t xml:space="preserve"> ratio is observed in hypertensive pregnant women without PE, but only in a minority of cases (&lt;10%) values &gt;110 are reached.</w:t>
      </w:r>
    </w:p>
    <w:p w14:paraId="7C7379B1" w14:textId="7B59A934" w:rsidR="00E75882" w:rsidRPr="00531200" w:rsidRDefault="00E75882" w:rsidP="002C1EA9">
      <w:pPr>
        <w:keepNext/>
        <w:shd w:val="clear" w:color="auto" w:fill="FFFFFF" w:themeFill="background1"/>
        <w:rPr>
          <w:color w:val="000000" w:themeColor="text1"/>
        </w:rPr>
      </w:pPr>
      <w:r w:rsidRPr="00531200">
        <w:rPr>
          <w:color w:val="000000" w:themeColor="text1"/>
        </w:rPr>
        <w:t>The applicant is advised to address the concerns above in the assessment report.</w:t>
      </w:r>
    </w:p>
    <w:p w14:paraId="751086F7" w14:textId="3DE5AB2F" w:rsidR="00E75882" w:rsidRPr="00531200" w:rsidRDefault="00E75882" w:rsidP="002C1EA9">
      <w:pPr>
        <w:keepNext/>
        <w:shd w:val="clear" w:color="auto" w:fill="FFFFFF" w:themeFill="background1"/>
        <w:rPr>
          <w:color w:val="000000" w:themeColor="text1"/>
        </w:rPr>
      </w:pPr>
      <w:r w:rsidRPr="00531200">
        <w:rPr>
          <w:color w:val="000000" w:themeColor="text1"/>
        </w:rPr>
        <w:t>The applicant should also address the issue of heterogeneity of the accuracy of the ratio test based on patient characteristics and the necessities of different cut-off rates based on gestation age and the assay type used.</w:t>
      </w:r>
    </w:p>
    <w:p w14:paraId="3C045406" w14:textId="2EE5081C" w:rsidR="009E4E6C" w:rsidRPr="00824123" w:rsidRDefault="00E75882" w:rsidP="002C1EA9">
      <w:pPr>
        <w:shd w:val="clear" w:color="auto" w:fill="FFFFFF" w:themeFill="background1"/>
        <w:rPr>
          <w:color w:val="000000" w:themeColor="text1"/>
        </w:rPr>
      </w:pPr>
      <w:r w:rsidRPr="00531200">
        <w:rPr>
          <w:color w:val="000000" w:themeColor="text1"/>
        </w:rPr>
        <w:t xml:space="preserve">The application should clarify which assay types (e.g., </w:t>
      </w:r>
      <w:proofErr w:type="spellStart"/>
      <w:r w:rsidRPr="00531200">
        <w:rPr>
          <w:color w:val="000000" w:themeColor="text1"/>
        </w:rPr>
        <w:t>Elecsys</w:t>
      </w:r>
      <w:proofErr w:type="spellEnd"/>
      <w:r w:rsidRPr="00531200">
        <w:rPr>
          <w:color w:val="000000" w:themeColor="text1"/>
        </w:rPr>
        <w:t xml:space="preserve">, </w:t>
      </w:r>
      <w:proofErr w:type="spellStart"/>
      <w:r w:rsidRPr="00531200">
        <w:rPr>
          <w:color w:val="000000" w:themeColor="text1"/>
        </w:rPr>
        <w:t>Kryptor</w:t>
      </w:r>
      <w:proofErr w:type="spellEnd"/>
      <w:r w:rsidRPr="00531200">
        <w:rPr>
          <w:color w:val="000000" w:themeColor="text1"/>
        </w:rPr>
        <w:t>) are likely to be used in Australian practice in the assessment report.</w:t>
      </w:r>
      <w:r w:rsidR="002B7158" w:rsidRPr="00531200">
        <w:rPr>
          <w:color w:val="000000" w:themeColor="text1"/>
        </w:rPr>
        <w:t xml:space="preserve"> During the PASC meeting, the applicant clarified that </w:t>
      </w:r>
      <w:r w:rsidR="002B7158" w:rsidRPr="00531200">
        <w:rPr>
          <w:color w:val="000000" w:themeColor="text1"/>
        </w:rPr>
        <w:lastRenderedPageBreak/>
        <w:t>the R</w:t>
      </w:r>
      <w:r w:rsidR="001E2B58" w:rsidRPr="00531200">
        <w:rPr>
          <w:color w:val="000000" w:themeColor="text1"/>
        </w:rPr>
        <w:t>oche</w:t>
      </w:r>
      <w:r w:rsidR="002B7158" w:rsidRPr="00531200">
        <w:rPr>
          <w:color w:val="000000" w:themeColor="text1"/>
        </w:rPr>
        <w:t xml:space="preserve"> assay platform is widely used in Australia, and it is the most likely assay to be used for the ratio test.</w:t>
      </w:r>
    </w:p>
    <w:p w14:paraId="7D480B81" w14:textId="49347CB9" w:rsidR="00E75882" w:rsidRPr="001958F9" w:rsidRDefault="00E75882" w:rsidP="002C1EA9">
      <w:pPr>
        <w:shd w:val="clear" w:color="auto" w:fill="FFFFFF" w:themeFill="background1"/>
        <w:rPr>
          <w:color w:val="000000" w:themeColor="text1"/>
        </w:rPr>
      </w:pPr>
      <w:r w:rsidRPr="001958F9">
        <w:rPr>
          <w:color w:val="000000" w:themeColor="text1"/>
        </w:rPr>
        <w:t xml:space="preserve">Lastly, </w:t>
      </w:r>
      <w:r>
        <w:rPr>
          <w:noProof/>
          <w:color w:val="000000" w:themeColor="text1"/>
        </w:rPr>
        <w:t>Klein</w:t>
      </w:r>
      <w:r w:rsidR="00437636">
        <w:rPr>
          <w:noProof/>
          <w:color w:val="000000" w:themeColor="text1"/>
        </w:rPr>
        <w:t xml:space="preserve"> et al. </w:t>
      </w:r>
      <w:r>
        <w:rPr>
          <w:noProof/>
          <w:color w:val="000000" w:themeColor="text1"/>
        </w:rPr>
        <w:t>[45]</w:t>
      </w:r>
      <w:r w:rsidRPr="001958F9">
        <w:rPr>
          <w:color w:val="000000" w:themeColor="text1"/>
        </w:rPr>
        <w:t xml:space="preserve"> concluded that the sFlt-1/ </w:t>
      </w:r>
      <w:proofErr w:type="spellStart"/>
      <w:r w:rsidRPr="001958F9">
        <w:rPr>
          <w:color w:val="000000" w:themeColor="text1"/>
        </w:rPr>
        <w:t>PlGF</w:t>
      </w:r>
      <w:proofErr w:type="spellEnd"/>
      <w:r w:rsidRPr="001958F9">
        <w:rPr>
          <w:color w:val="000000" w:themeColor="text1"/>
        </w:rPr>
        <w:t xml:space="preserve"> ratio </w:t>
      </w:r>
      <w:r w:rsidR="00B708D0">
        <w:rPr>
          <w:color w:val="000000" w:themeColor="text1"/>
        </w:rPr>
        <w:t xml:space="preserve">test </w:t>
      </w:r>
      <w:r w:rsidRPr="001958F9">
        <w:rPr>
          <w:color w:val="000000" w:themeColor="text1"/>
        </w:rPr>
        <w:t xml:space="preserve">has not been evaluated as a universal screening test and is not intended to replace other techniques for </w:t>
      </w:r>
      <w:r>
        <w:rPr>
          <w:color w:val="000000" w:themeColor="text1"/>
        </w:rPr>
        <w:t>assessing</w:t>
      </w:r>
      <w:r w:rsidRPr="001958F9">
        <w:rPr>
          <w:color w:val="000000" w:themeColor="text1"/>
        </w:rPr>
        <w:t xml:space="preserve"> patients at risk of </w:t>
      </w:r>
      <w:r>
        <w:rPr>
          <w:color w:val="000000" w:themeColor="text1"/>
        </w:rPr>
        <w:t>PE</w:t>
      </w:r>
      <w:r w:rsidRPr="001958F9">
        <w:rPr>
          <w:color w:val="000000" w:themeColor="text1"/>
        </w:rPr>
        <w:t xml:space="preserve">; the </w:t>
      </w:r>
      <w:r w:rsidR="00DF0F88">
        <w:rPr>
          <w:color w:val="000000" w:themeColor="text1"/>
        </w:rPr>
        <w:t xml:space="preserve">triage </w:t>
      </w:r>
      <w:r w:rsidRPr="001958F9">
        <w:rPr>
          <w:color w:val="000000" w:themeColor="text1"/>
        </w:rPr>
        <w:t xml:space="preserve">test should only be offered to women who </w:t>
      </w:r>
      <w:r w:rsidR="009842CB">
        <w:rPr>
          <w:color w:val="000000" w:themeColor="text1"/>
        </w:rPr>
        <w:t xml:space="preserve">have </w:t>
      </w:r>
      <w:r>
        <w:rPr>
          <w:color w:val="000000" w:themeColor="text1"/>
        </w:rPr>
        <w:t>signs and symptoms suggestive of</w:t>
      </w:r>
      <w:r w:rsidR="00EC7B58" w:rsidRPr="00EC7B58">
        <w:rPr>
          <w:color w:val="000000" w:themeColor="text1"/>
        </w:rPr>
        <w:t xml:space="preserve"> </w:t>
      </w:r>
      <w:r>
        <w:rPr>
          <w:color w:val="000000" w:themeColor="text1"/>
        </w:rPr>
        <w:t>PE</w:t>
      </w:r>
      <w:r w:rsidRPr="001958F9">
        <w:rPr>
          <w:color w:val="000000" w:themeColor="text1"/>
        </w:rPr>
        <w:t xml:space="preserve"> </w:t>
      </w:r>
      <w:r w:rsidR="009842CB">
        <w:rPr>
          <w:color w:val="000000" w:themeColor="text1"/>
        </w:rPr>
        <w:t xml:space="preserve">or </w:t>
      </w:r>
      <w:r w:rsidR="009842CB" w:rsidRPr="001958F9">
        <w:rPr>
          <w:color w:val="000000" w:themeColor="text1"/>
        </w:rPr>
        <w:t xml:space="preserve">are considered at </w:t>
      </w:r>
      <w:r w:rsidR="009842CB">
        <w:rPr>
          <w:color w:val="000000" w:themeColor="text1"/>
        </w:rPr>
        <w:t xml:space="preserve">an increased risk of PE </w:t>
      </w:r>
      <w:r w:rsidRPr="001958F9">
        <w:rPr>
          <w:color w:val="000000" w:themeColor="text1"/>
        </w:rPr>
        <w:t>and should be used in the context of other established diagnostic tools.</w:t>
      </w:r>
    </w:p>
    <w:p w14:paraId="4FEE3C03" w14:textId="058CBE6E" w:rsidR="00E75882" w:rsidRPr="00A947B7" w:rsidRDefault="00E75882" w:rsidP="0080792B">
      <w:pPr>
        <w:keepNext/>
        <w:shd w:val="clear" w:color="auto" w:fill="FFFFFF" w:themeFill="background1"/>
        <w:rPr>
          <w:color w:val="000000" w:themeColor="text1"/>
          <w:u w:val="single"/>
        </w:rPr>
      </w:pPr>
      <w:r>
        <w:rPr>
          <w:color w:val="000000" w:themeColor="text1"/>
        </w:rPr>
        <w:t>In contrast, s</w:t>
      </w:r>
      <w:r w:rsidRPr="001958F9">
        <w:rPr>
          <w:color w:val="000000" w:themeColor="text1"/>
        </w:rPr>
        <w:t>everal other studies have concluded that the sFlt-1/</w:t>
      </w:r>
      <w:proofErr w:type="spellStart"/>
      <w:r w:rsidRPr="001958F9">
        <w:rPr>
          <w:color w:val="000000" w:themeColor="text1"/>
        </w:rPr>
        <w:t>PlGF</w:t>
      </w:r>
      <w:proofErr w:type="spellEnd"/>
      <w:r w:rsidRPr="001958F9">
        <w:rPr>
          <w:color w:val="000000" w:themeColor="text1"/>
        </w:rPr>
        <w:t xml:space="preserve"> ratio is a useful predictive marker in women with suspected PE</w:t>
      </w:r>
      <w:r w:rsidR="008256D5">
        <w:rPr>
          <w:color w:val="000000" w:themeColor="text1"/>
        </w:rPr>
        <w:t>.</w:t>
      </w:r>
    </w:p>
    <w:p w14:paraId="01812B84" w14:textId="39BD272D" w:rsidR="00E75882" w:rsidRPr="001958F9" w:rsidRDefault="00E75882" w:rsidP="0080792B">
      <w:pPr>
        <w:keepNext/>
        <w:shd w:val="clear" w:color="auto" w:fill="FFFFFF" w:themeFill="background1"/>
        <w:rPr>
          <w:color w:val="000000" w:themeColor="text1"/>
        </w:rPr>
      </w:pPr>
      <w:r w:rsidRPr="001958F9">
        <w:rPr>
          <w:color w:val="000000" w:themeColor="text1"/>
        </w:rPr>
        <w:t xml:space="preserve">The application stated that women with PE have abnormal levels of angiogenic and anti-angiogenic factors with low levels of </w:t>
      </w:r>
      <w:proofErr w:type="spellStart"/>
      <w:r w:rsidRPr="001958F9">
        <w:rPr>
          <w:color w:val="000000" w:themeColor="text1"/>
        </w:rPr>
        <w:t>PlGF</w:t>
      </w:r>
      <w:proofErr w:type="spellEnd"/>
      <w:r w:rsidRPr="001958F9">
        <w:rPr>
          <w:color w:val="000000" w:themeColor="text1"/>
        </w:rPr>
        <w:t xml:space="preserve"> and high levels of sFlt-1 (p2 of the application). The sFlt-1/</w:t>
      </w:r>
      <w:proofErr w:type="spellStart"/>
      <w:r w:rsidRPr="001958F9">
        <w:rPr>
          <w:color w:val="000000" w:themeColor="text1"/>
        </w:rPr>
        <w:t>PlGF</w:t>
      </w:r>
      <w:proofErr w:type="spellEnd"/>
      <w:r w:rsidRPr="001958F9">
        <w:rPr>
          <w:color w:val="000000" w:themeColor="text1"/>
        </w:rPr>
        <w:t xml:space="preserve"> ratio increases several weeks before the onset of clinical symptoms and signs of PE and is more marked in cases of early-onset and severe disease and can be used to improve recognition and management of this disease and reduce costs of health care (p2 of the application).</w:t>
      </w:r>
    </w:p>
    <w:p w14:paraId="536F140F" w14:textId="2894C9C8" w:rsidR="00E75882" w:rsidRPr="001958F9" w:rsidRDefault="00E75882" w:rsidP="0080792B">
      <w:pPr>
        <w:shd w:val="clear" w:color="auto" w:fill="FFFFFF" w:themeFill="background1"/>
        <w:rPr>
          <w:color w:val="000000" w:themeColor="text1"/>
        </w:rPr>
      </w:pPr>
      <w:r w:rsidRPr="001958F9">
        <w:rPr>
          <w:color w:val="000000" w:themeColor="text1"/>
        </w:rPr>
        <w:t xml:space="preserve">The application also stated that in the absence of </w:t>
      </w:r>
      <w:r w:rsidR="00B708D0">
        <w:rPr>
          <w:color w:val="000000" w:themeColor="text1"/>
        </w:rPr>
        <w:t xml:space="preserve">the </w:t>
      </w:r>
      <w:r w:rsidRPr="001958F9">
        <w:rPr>
          <w:color w:val="000000" w:themeColor="text1"/>
        </w:rPr>
        <w:t>sFlt-1/</w:t>
      </w:r>
      <w:proofErr w:type="spellStart"/>
      <w:r w:rsidRPr="001958F9">
        <w:rPr>
          <w:color w:val="000000" w:themeColor="text1"/>
        </w:rPr>
        <w:t>PlGF</w:t>
      </w:r>
      <w:proofErr w:type="spellEnd"/>
      <w:r w:rsidRPr="001958F9">
        <w:rPr>
          <w:color w:val="000000" w:themeColor="text1"/>
        </w:rPr>
        <w:t xml:space="preserve"> ratio testing, </w:t>
      </w:r>
      <w:r w:rsidRPr="001958F9">
        <w:rPr>
          <w:rFonts w:asciiTheme="minorHAnsi" w:hAnsiTheme="minorHAnsi" w:cstheme="minorHAnsi"/>
          <w:color w:val="000000" w:themeColor="text1"/>
        </w:rPr>
        <w:t>pregnant women with suspected PE</w:t>
      </w:r>
      <w:r w:rsidRPr="001958F9" w:rsidDel="00772A80">
        <w:rPr>
          <w:color w:val="000000" w:themeColor="text1"/>
        </w:rPr>
        <w:t xml:space="preserve"> </w:t>
      </w:r>
      <w:r w:rsidRPr="001958F9">
        <w:rPr>
          <w:color w:val="000000" w:themeColor="text1"/>
        </w:rPr>
        <w:t>would be managed through increased monitoring, including repeat diagnostic testing, clinical assessments, pregnancy day-care monitoring, and pre-emptive hospitalisations. While the biochemical comparators (e.g., urine protein/creatinine ratio test, Proteinuria reagent strip test) help diagnose PE, the applicant claimed that none of them has the predictive capacity of the sFlt-1/</w:t>
      </w:r>
      <w:proofErr w:type="spellStart"/>
      <w:r w:rsidRPr="001958F9">
        <w:rPr>
          <w:color w:val="000000" w:themeColor="text1"/>
        </w:rPr>
        <w:t>PlGF</w:t>
      </w:r>
      <w:proofErr w:type="spellEnd"/>
      <w:r w:rsidRPr="001958F9">
        <w:rPr>
          <w:color w:val="000000" w:themeColor="text1"/>
        </w:rPr>
        <w:t xml:space="preserve"> ratio test (p23 of the application).</w:t>
      </w:r>
    </w:p>
    <w:p w14:paraId="67616AA0" w14:textId="106768CB" w:rsidR="00E75882" w:rsidRPr="001958F9" w:rsidRDefault="00E75882" w:rsidP="00A947B7">
      <w:pPr>
        <w:shd w:val="clear" w:color="auto" w:fill="FFFFFF" w:themeFill="background1"/>
        <w:rPr>
          <w:color w:val="000000" w:themeColor="text1"/>
        </w:rPr>
      </w:pPr>
      <w:r>
        <w:rPr>
          <w:noProof/>
          <w:color w:val="000000" w:themeColor="text1"/>
        </w:rPr>
        <w:t>Agrawal</w:t>
      </w:r>
      <w:r w:rsidR="00437636">
        <w:rPr>
          <w:noProof/>
          <w:color w:val="000000" w:themeColor="text1"/>
        </w:rPr>
        <w:t xml:space="preserve"> et al. </w:t>
      </w:r>
      <w:r>
        <w:rPr>
          <w:noProof/>
          <w:color w:val="000000" w:themeColor="text1"/>
        </w:rPr>
        <w:t>[7]</w:t>
      </w:r>
      <w:r w:rsidRPr="001958F9">
        <w:rPr>
          <w:color w:val="000000" w:themeColor="text1"/>
        </w:rPr>
        <w:t xml:space="preserve"> conducted a meta-analysis and systematic review that included 15 studies, 534 cases with PE and 19,587 controls. The study found that the sFlt-1/</w:t>
      </w:r>
      <w:proofErr w:type="spellStart"/>
      <w:r w:rsidRPr="001958F9">
        <w:rPr>
          <w:color w:val="000000" w:themeColor="text1"/>
        </w:rPr>
        <w:t>PlGF</w:t>
      </w:r>
      <w:proofErr w:type="spellEnd"/>
      <w:r w:rsidRPr="001958F9">
        <w:rPr>
          <w:color w:val="000000" w:themeColor="text1"/>
        </w:rPr>
        <w:t xml:space="preserve"> ratio has a pooled sensitivity of 80% (95% confidence interval, 0.68–0.88), specificity of 92% (95% confidence interval, 0.87–0.96), </w:t>
      </w:r>
      <w:r w:rsidR="00283C9B">
        <w:rPr>
          <w:color w:val="000000" w:themeColor="text1"/>
        </w:rPr>
        <w:t xml:space="preserve">the </w:t>
      </w:r>
      <w:r w:rsidRPr="001958F9">
        <w:rPr>
          <w:color w:val="000000" w:themeColor="text1"/>
        </w:rPr>
        <w:t>positive likelihood ratio of 10.5 (95% confidence interval, 6.2–18.0), and negative likelihood ratio of 0.22 (95% confidence interval, 0.13–0.35) in predicting PE in both high- and low-risk patients. Hence, the study concluded that the sFlt-1/</w:t>
      </w:r>
      <w:proofErr w:type="spellStart"/>
      <w:r w:rsidRPr="001958F9">
        <w:rPr>
          <w:color w:val="000000" w:themeColor="text1"/>
        </w:rPr>
        <w:t>PlGF</w:t>
      </w:r>
      <w:proofErr w:type="spellEnd"/>
      <w:r w:rsidRPr="001958F9">
        <w:rPr>
          <w:color w:val="000000" w:themeColor="text1"/>
        </w:rPr>
        <w:t xml:space="preserve"> ratio could be a valuable screening tool for PE and may also help in decision-making, treatment stratification, and better resource allocation. Another meta-analysis </w:t>
      </w:r>
      <w:r w:rsidRPr="001958F9">
        <w:rPr>
          <w:noProof/>
          <w:color w:val="000000" w:themeColor="text1"/>
        </w:rPr>
        <w:t>included 15 relevant studies</w:t>
      </w:r>
      <w:r w:rsidRPr="001958F9">
        <w:rPr>
          <w:color w:val="000000" w:themeColor="text1"/>
        </w:rPr>
        <w:t xml:space="preserve"> to conclude that the pooled odds ratios for the association between the high level of sFlt-1 and low level of </w:t>
      </w:r>
      <w:proofErr w:type="spellStart"/>
      <w:r w:rsidRPr="001958F9">
        <w:rPr>
          <w:color w:val="000000" w:themeColor="text1"/>
        </w:rPr>
        <w:t>PlGF</w:t>
      </w:r>
      <w:proofErr w:type="spellEnd"/>
      <w:r w:rsidRPr="001958F9">
        <w:rPr>
          <w:color w:val="000000" w:themeColor="text1"/>
        </w:rPr>
        <w:t xml:space="preserve"> and subsequent development of PE among women were 5.20 (95% CI: 1.24–9.16) and 2.53 (95% CI: 1.33– 3.75), respectively</w:t>
      </w:r>
      <w:r w:rsidR="00B708D0">
        <w:rPr>
          <w:color w:val="000000" w:themeColor="text1"/>
        </w:rPr>
        <w:t xml:space="preserve"> </w:t>
      </w:r>
      <w:r w:rsidR="00B708D0">
        <w:rPr>
          <w:noProof/>
          <w:color w:val="000000" w:themeColor="text1"/>
        </w:rPr>
        <w:t>[47]</w:t>
      </w:r>
      <w:r w:rsidRPr="001958F9">
        <w:rPr>
          <w:color w:val="000000" w:themeColor="text1"/>
        </w:rPr>
        <w:t xml:space="preserve">. Hence, it concluded that increased levels of sFlt-1 and reduced levels of </w:t>
      </w:r>
      <w:proofErr w:type="spellStart"/>
      <w:r w:rsidRPr="001958F9">
        <w:rPr>
          <w:color w:val="000000" w:themeColor="text1"/>
        </w:rPr>
        <w:t>PlGF</w:t>
      </w:r>
      <w:proofErr w:type="spellEnd"/>
      <w:r w:rsidRPr="001958F9">
        <w:rPr>
          <w:color w:val="000000" w:themeColor="text1"/>
        </w:rPr>
        <w:t xml:space="preserve"> might predict the subsequent development of PE </w:t>
      </w:r>
      <w:r>
        <w:rPr>
          <w:noProof/>
          <w:color w:val="000000" w:themeColor="text1"/>
        </w:rPr>
        <w:t>[47]</w:t>
      </w:r>
      <w:r w:rsidRPr="001958F9">
        <w:rPr>
          <w:color w:val="000000" w:themeColor="text1"/>
        </w:rPr>
        <w:t>.</w:t>
      </w:r>
    </w:p>
    <w:p w14:paraId="1E09DABB" w14:textId="7DA191A1" w:rsidR="00E75882" w:rsidRDefault="00E75882" w:rsidP="0080792B">
      <w:pPr>
        <w:shd w:val="clear" w:color="auto" w:fill="FFFFFF" w:themeFill="background1"/>
        <w:rPr>
          <w:color w:val="000000" w:themeColor="text1"/>
        </w:rPr>
      </w:pPr>
      <w:r w:rsidRPr="001958F9">
        <w:rPr>
          <w:color w:val="000000" w:themeColor="text1"/>
        </w:rPr>
        <w:t xml:space="preserve">In an observational study with a cohort of 500 women, </w:t>
      </w:r>
      <w:r>
        <w:rPr>
          <w:noProof/>
          <w:color w:val="000000" w:themeColor="text1"/>
        </w:rPr>
        <w:t>Zeisler</w:t>
      </w:r>
      <w:r w:rsidR="00B834FE">
        <w:rPr>
          <w:noProof/>
          <w:color w:val="000000" w:themeColor="text1"/>
        </w:rPr>
        <w:t xml:space="preserve"> et al.</w:t>
      </w:r>
      <w:r>
        <w:rPr>
          <w:noProof/>
          <w:color w:val="000000" w:themeColor="text1"/>
        </w:rPr>
        <w:t xml:space="preserve"> [48]</w:t>
      </w:r>
      <w:r w:rsidRPr="001958F9">
        <w:rPr>
          <w:color w:val="000000" w:themeColor="text1"/>
        </w:rPr>
        <w:t xml:space="preserve"> evaluated the performance of the sFlt-1/</w:t>
      </w:r>
      <w:proofErr w:type="spellStart"/>
      <w:r w:rsidRPr="001958F9">
        <w:rPr>
          <w:color w:val="000000" w:themeColor="text1"/>
        </w:rPr>
        <w:t>PlGF</w:t>
      </w:r>
      <w:proofErr w:type="spellEnd"/>
      <w:r w:rsidRPr="001958F9">
        <w:rPr>
          <w:color w:val="000000" w:themeColor="text1"/>
        </w:rPr>
        <w:t xml:space="preserve"> ratio in women who presented with suspected PE. The study showed that a ratio ≤38 conferred a negative predictive value of 99.3% (95% CI, 97.9–99.9) for developing PE within seven days, whereas a ratio &gt;38 conferred a positive predictive value of 36.7% (95% CI, 28.4–45.7) for developing PE within four weeks. Similarly, </w:t>
      </w:r>
      <w:r>
        <w:rPr>
          <w:noProof/>
          <w:color w:val="000000" w:themeColor="text1"/>
        </w:rPr>
        <w:t>Caillon</w:t>
      </w:r>
      <w:r w:rsidR="00B834FE">
        <w:rPr>
          <w:noProof/>
          <w:color w:val="000000" w:themeColor="text1"/>
        </w:rPr>
        <w:t xml:space="preserve"> et al. </w:t>
      </w:r>
      <w:r>
        <w:rPr>
          <w:noProof/>
          <w:color w:val="000000" w:themeColor="text1"/>
        </w:rPr>
        <w:t>[41]</w:t>
      </w:r>
      <w:r w:rsidRPr="001958F9">
        <w:rPr>
          <w:color w:val="000000" w:themeColor="text1"/>
        </w:rPr>
        <w:t xml:space="preserve"> also found that the test had high predictive performances for ruling out PE</w:t>
      </w:r>
      <w:r w:rsidR="00356701">
        <w:rPr>
          <w:color w:val="000000" w:themeColor="text1"/>
        </w:rPr>
        <w:t xml:space="preserve"> for</w:t>
      </w:r>
      <w:r w:rsidR="00356701" w:rsidRPr="00356701">
        <w:t xml:space="preserve"> </w:t>
      </w:r>
      <w:r w:rsidR="00356701" w:rsidRPr="00356701">
        <w:rPr>
          <w:color w:val="000000" w:themeColor="text1"/>
        </w:rPr>
        <w:t>patients with ongoing pregnanc</w:t>
      </w:r>
      <w:r w:rsidR="00DB6B16">
        <w:rPr>
          <w:color w:val="000000" w:themeColor="text1"/>
        </w:rPr>
        <w:t>ies</w:t>
      </w:r>
      <w:r w:rsidR="00356701" w:rsidRPr="00356701">
        <w:rPr>
          <w:color w:val="000000" w:themeColor="text1"/>
        </w:rPr>
        <w:t xml:space="preserve"> between </w:t>
      </w:r>
      <w:proofErr w:type="gramStart"/>
      <w:r w:rsidR="00356701" w:rsidRPr="00356701">
        <w:rPr>
          <w:color w:val="000000" w:themeColor="text1"/>
        </w:rPr>
        <w:t xml:space="preserve">20 and 37 </w:t>
      </w:r>
      <w:r w:rsidR="00DB6B16">
        <w:rPr>
          <w:color w:val="000000" w:themeColor="text1"/>
        </w:rPr>
        <w:t>weeks</w:t>
      </w:r>
      <w:proofErr w:type="gramEnd"/>
      <w:r w:rsidR="00DB6B16">
        <w:rPr>
          <w:color w:val="000000" w:themeColor="text1"/>
        </w:rPr>
        <w:t xml:space="preserve"> </w:t>
      </w:r>
      <w:r w:rsidR="00356701" w:rsidRPr="00356701">
        <w:rPr>
          <w:color w:val="000000" w:themeColor="text1"/>
        </w:rPr>
        <w:t>gestation with prespecified risk factors (e.g., abnormal uterine artery Doppler, multiple pregnanc</w:t>
      </w:r>
      <w:r w:rsidR="0035661D">
        <w:rPr>
          <w:color w:val="000000" w:themeColor="text1"/>
        </w:rPr>
        <w:t>ies</w:t>
      </w:r>
      <w:r w:rsidR="00356701" w:rsidRPr="00356701">
        <w:rPr>
          <w:color w:val="000000" w:themeColor="text1"/>
        </w:rPr>
        <w:t>, previous pre-eclampsia, BMI &gt;30 kg/m², vascular intra-uterine growth restriction, Thrombophilia etc</w:t>
      </w:r>
      <w:r w:rsidR="0035661D">
        <w:rPr>
          <w:color w:val="000000" w:themeColor="text1"/>
        </w:rPr>
        <w:t>.</w:t>
      </w:r>
      <w:r w:rsidR="00356701" w:rsidRPr="00356701">
        <w:rPr>
          <w:color w:val="000000" w:themeColor="text1"/>
        </w:rPr>
        <w:t>).</w:t>
      </w:r>
      <w:r w:rsidRPr="001958F9">
        <w:rPr>
          <w:color w:val="000000" w:themeColor="text1"/>
        </w:rPr>
        <w:t xml:space="preserve"> Among the 67 patients included, 53 had </w:t>
      </w:r>
      <w:r>
        <w:rPr>
          <w:color w:val="000000" w:themeColor="text1"/>
        </w:rPr>
        <w:t>the</w:t>
      </w:r>
      <w:r w:rsidRPr="001958F9">
        <w:rPr>
          <w:color w:val="000000" w:themeColor="text1"/>
        </w:rPr>
        <w:t xml:space="preserve"> sFlt-1/</w:t>
      </w:r>
      <w:proofErr w:type="spellStart"/>
      <w:r w:rsidRPr="001958F9">
        <w:rPr>
          <w:color w:val="000000" w:themeColor="text1"/>
        </w:rPr>
        <w:t>PlGF</w:t>
      </w:r>
      <w:proofErr w:type="spellEnd"/>
      <w:r w:rsidRPr="001958F9">
        <w:rPr>
          <w:color w:val="000000" w:themeColor="text1"/>
        </w:rPr>
        <w:t xml:space="preserve"> ratio lower than 38; </w:t>
      </w:r>
      <w:r w:rsidRPr="001958F9">
        <w:rPr>
          <w:color w:val="000000" w:themeColor="text1"/>
        </w:rPr>
        <w:lastRenderedPageBreak/>
        <w:t>none developed subsequent PE, leading to a negative predictive value of 100%. The positive predictive value was 21% at one week and 18% at four weeks</w:t>
      </w:r>
      <w:r w:rsidR="00B114B0">
        <w:rPr>
          <w:color w:val="000000" w:themeColor="text1"/>
        </w:rPr>
        <w:t xml:space="preserve"> </w:t>
      </w:r>
      <w:r w:rsidRPr="001958F9">
        <w:rPr>
          <w:color w:val="000000" w:themeColor="text1"/>
        </w:rPr>
        <w:t xml:space="preserve">using the same threshold (sensitivity was 100%, and specificity was 85%). The study concluded that using the ratio in the routine management of PE may improve clinical care and avoid inappropriate hospitalisation. </w:t>
      </w:r>
      <w:r>
        <w:rPr>
          <w:noProof/>
          <w:color w:val="000000" w:themeColor="text1"/>
        </w:rPr>
        <w:t>Rana</w:t>
      </w:r>
      <w:r w:rsidR="00B834FE">
        <w:rPr>
          <w:noProof/>
          <w:color w:val="000000" w:themeColor="text1"/>
        </w:rPr>
        <w:t xml:space="preserve"> et al. </w:t>
      </w:r>
      <w:r>
        <w:rPr>
          <w:noProof/>
          <w:color w:val="000000" w:themeColor="text1"/>
        </w:rPr>
        <w:t>[42]</w:t>
      </w:r>
      <w:r w:rsidRPr="001958F9">
        <w:rPr>
          <w:color w:val="000000" w:themeColor="text1"/>
        </w:rPr>
        <w:t xml:space="preserve"> demonstrated that among women with suspected PE presenting at </w:t>
      </w:r>
      <w:r w:rsidR="0070720B">
        <w:rPr>
          <w:rFonts w:ascii="Cambria Math" w:hAnsi="Cambria Math" w:cs="Cambria Math"/>
          <w:color w:val="000000" w:themeColor="text1"/>
        </w:rPr>
        <w:t>&lt;</w:t>
      </w:r>
      <w:r w:rsidRPr="001958F9">
        <w:rPr>
          <w:color w:val="000000" w:themeColor="text1"/>
        </w:rPr>
        <w:t xml:space="preserve">34 weeks, </w:t>
      </w:r>
      <w:r w:rsidR="0035661D">
        <w:rPr>
          <w:color w:val="000000" w:themeColor="text1"/>
        </w:rPr>
        <w:t xml:space="preserve">the </w:t>
      </w:r>
      <w:r w:rsidRPr="001958F9">
        <w:rPr>
          <w:color w:val="000000" w:themeColor="text1"/>
        </w:rPr>
        <w:t>circulating sFlt1/</w:t>
      </w:r>
      <w:proofErr w:type="spellStart"/>
      <w:r w:rsidRPr="001958F9">
        <w:rPr>
          <w:color w:val="000000" w:themeColor="text1"/>
        </w:rPr>
        <w:t>PlGF</w:t>
      </w:r>
      <w:proofErr w:type="spellEnd"/>
      <w:r w:rsidRPr="001958F9">
        <w:rPr>
          <w:color w:val="000000" w:themeColor="text1"/>
        </w:rPr>
        <w:t xml:space="preserve"> ratio predicts adverse outcomes occurring within two weeks. The authors suggested that the accuracy of this test is substantially better than that of current approaches and may be helpful in risk stratification and management.</w:t>
      </w:r>
    </w:p>
    <w:p w14:paraId="13920008" w14:textId="77777777" w:rsidR="00722BA6" w:rsidRDefault="00722BA6" w:rsidP="00722BA6">
      <w:pPr>
        <w:autoSpaceDE w:val="0"/>
        <w:autoSpaceDN w:val="0"/>
        <w:adjustRightInd w:val="0"/>
        <w:spacing w:line="23" w:lineRule="atLeast"/>
        <w:rPr>
          <w:rFonts w:asciiTheme="minorHAnsi" w:hAnsiTheme="minorHAnsi" w:cstheme="minorHAnsi"/>
          <w:i/>
        </w:rPr>
      </w:pPr>
      <w:r w:rsidRPr="00647A80">
        <w:rPr>
          <w:rFonts w:asciiTheme="minorHAnsi" w:hAnsiTheme="minorHAnsi" w:cstheme="minorHAnsi"/>
          <w:i/>
        </w:rPr>
        <w:t xml:space="preserve">PASC noted that the intervention for </w:t>
      </w:r>
      <w:r>
        <w:rPr>
          <w:rFonts w:asciiTheme="minorHAnsi" w:hAnsiTheme="minorHAnsi" w:cstheme="minorHAnsi"/>
          <w:i/>
        </w:rPr>
        <w:t xml:space="preserve">both populations is the </w:t>
      </w:r>
      <w:r w:rsidRPr="00647A80">
        <w:rPr>
          <w:rFonts w:asciiTheme="minorHAnsi" w:hAnsiTheme="minorHAnsi" w:cstheme="minorHAnsi"/>
          <w:i/>
        </w:rPr>
        <w:t>sFlt-1/</w:t>
      </w:r>
      <w:proofErr w:type="spellStart"/>
      <w:r w:rsidRPr="00647A80">
        <w:rPr>
          <w:rFonts w:asciiTheme="minorHAnsi" w:hAnsiTheme="minorHAnsi" w:cstheme="minorHAnsi"/>
          <w:i/>
        </w:rPr>
        <w:t>PlGF</w:t>
      </w:r>
      <w:proofErr w:type="spellEnd"/>
      <w:r w:rsidRPr="00647A80">
        <w:rPr>
          <w:rFonts w:asciiTheme="minorHAnsi" w:hAnsiTheme="minorHAnsi" w:cstheme="minorHAnsi"/>
          <w:i/>
        </w:rPr>
        <w:t xml:space="preserve"> ratio test</w:t>
      </w:r>
      <w:r>
        <w:rPr>
          <w:rFonts w:asciiTheme="minorHAnsi" w:hAnsiTheme="minorHAnsi" w:cstheme="minorHAnsi"/>
          <w:i/>
        </w:rPr>
        <w:t xml:space="preserve"> (PERT).</w:t>
      </w:r>
    </w:p>
    <w:p w14:paraId="0E77A4B3" w14:textId="67218268" w:rsidR="00722BA6" w:rsidRPr="00437EB1" w:rsidRDefault="006D2B65" w:rsidP="00722BA6">
      <w:pPr>
        <w:autoSpaceDE w:val="0"/>
        <w:autoSpaceDN w:val="0"/>
        <w:adjustRightInd w:val="0"/>
        <w:spacing w:line="23" w:lineRule="atLeast"/>
        <w:rPr>
          <w:rFonts w:asciiTheme="minorHAnsi" w:hAnsiTheme="minorHAnsi" w:cstheme="minorHAnsi"/>
          <w:i/>
        </w:rPr>
      </w:pPr>
      <w:r>
        <w:rPr>
          <w:rFonts w:asciiTheme="minorHAnsi" w:hAnsiTheme="minorHAnsi" w:cstheme="minorHAnsi"/>
          <w:i/>
        </w:rPr>
        <w:t xml:space="preserve">PASC clarified that </w:t>
      </w:r>
      <w:r w:rsidR="00742EED">
        <w:rPr>
          <w:rFonts w:asciiTheme="minorHAnsi" w:hAnsiTheme="minorHAnsi" w:cstheme="minorHAnsi"/>
          <w:i/>
        </w:rPr>
        <w:t>i</w:t>
      </w:r>
      <w:r>
        <w:rPr>
          <w:rFonts w:asciiTheme="minorHAnsi" w:hAnsiTheme="minorHAnsi" w:cstheme="minorHAnsi"/>
          <w:i/>
        </w:rPr>
        <w:t xml:space="preserve">n </w:t>
      </w:r>
      <w:r w:rsidRPr="00647A80">
        <w:rPr>
          <w:rFonts w:asciiTheme="minorHAnsi" w:hAnsiTheme="minorHAnsi" w:cstheme="minorHAnsi"/>
          <w:i/>
        </w:rPr>
        <w:t>Population 1</w:t>
      </w:r>
      <w:r>
        <w:rPr>
          <w:rFonts w:asciiTheme="minorHAnsi" w:hAnsiTheme="minorHAnsi" w:cstheme="minorHAnsi"/>
          <w:i/>
        </w:rPr>
        <w:t>,</w:t>
      </w:r>
      <w:r w:rsidRPr="00647A80">
        <w:rPr>
          <w:rFonts w:asciiTheme="minorHAnsi" w:hAnsiTheme="minorHAnsi" w:cstheme="minorHAnsi"/>
          <w:i/>
        </w:rPr>
        <w:t xml:space="preserve"> </w:t>
      </w:r>
      <w:r>
        <w:rPr>
          <w:rFonts w:asciiTheme="minorHAnsi" w:hAnsiTheme="minorHAnsi" w:cstheme="minorHAnsi"/>
          <w:i/>
        </w:rPr>
        <w:t xml:space="preserve">the </w:t>
      </w:r>
      <w:r w:rsidR="00155144" w:rsidRPr="00155144">
        <w:rPr>
          <w:rFonts w:asciiTheme="minorHAnsi" w:hAnsiTheme="minorHAnsi" w:cstheme="minorHAnsi"/>
          <w:i/>
        </w:rPr>
        <w:t>sFlt-1/</w:t>
      </w:r>
      <w:proofErr w:type="spellStart"/>
      <w:r w:rsidR="00155144" w:rsidRPr="00155144">
        <w:rPr>
          <w:rFonts w:asciiTheme="minorHAnsi" w:hAnsiTheme="minorHAnsi" w:cstheme="minorHAnsi"/>
          <w:i/>
        </w:rPr>
        <w:t>PlGF</w:t>
      </w:r>
      <w:proofErr w:type="spellEnd"/>
      <w:r w:rsidR="00155144" w:rsidRPr="00155144">
        <w:rPr>
          <w:rFonts w:asciiTheme="minorHAnsi" w:hAnsiTheme="minorHAnsi" w:cstheme="minorHAnsi"/>
          <w:i/>
        </w:rPr>
        <w:t xml:space="preserve"> ratio test</w:t>
      </w:r>
      <w:r>
        <w:rPr>
          <w:rFonts w:asciiTheme="minorHAnsi" w:hAnsiTheme="minorHAnsi" w:cstheme="minorHAnsi"/>
          <w:i/>
        </w:rPr>
        <w:t xml:space="preserve"> is not a predictive test but is used</w:t>
      </w:r>
      <w:r w:rsidRPr="00647A80">
        <w:rPr>
          <w:rFonts w:asciiTheme="minorHAnsi" w:hAnsiTheme="minorHAnsi" w:cstheme="minorHAnsi"/>
          <w:i/>
        </w:rPr>
        <w:t xml:space="preserve"> to </w:t>
      </w:r>
      <w:r w:rsidRPr="00A55446">
        <w:rPr>
          <w:rFonts w:asciiTheme="minorHAnsi" w:hAnsiTheme="minorHAnsi" w:cstheme="minorHAnsi"/>
          <w:i/>
        </w:rPr>
        <w:t>categorise</w:t>
      </w:r>
      <w:r w:rsidR="0049171B">
        <w:rPr>
          <w:rFonts w:asciiTheme="minorHAnsi" w:hAnsiTheme="minorHAnsi" w:cstheme="minorHAnsi"/>
          <w:i/>
        </w:rPr>
        <w:t xml:space="preserve"> the </w:t>
      </w:r>
      <w:r w:rsidR="00F46A86">
        <w:rPr>
          <w:rFonts w:asciiTheme="minorHAnsi" w:hAnsiTheme="minorHAnsi" w:cstheme="minorHAnsi"/>
          <w:i/>
        </w:rPr>
        <w:t xml:space="preserve">likelihood </w:t>
      </w:r>
      <w:r w:rsidR="00DF0F88">
        <w:rPr>
          <w:rFonts w:asciiTheme="minorHAnsi" w:hAnsiTheme="minorHAnsi" w:cstheme="minorHAnsi"/>
          <w:i/>
        </w:rPr>
        <w:t>of</w:t>
      </w:r>
      <w:r w:rsidR="0049171B">
        <w:rPr>
          <w:rFonts w:asciiTheme="minorHAnsi" w:hAnsiTheme="minorHAnsi" w:cstheme="minorHAnsi"/>
          <w:i/>
        </w:rPr>
        <w:t xml:space="preserve"> PE in</w:t>
      </w:r>
      <w:r>
        <w:rPr>
          <w:rFonts w:asciiTheme="minorHAnsi" w:hAnsiTheme="minorHAnsi" w:cstheme="minorHAnsi"/>
          <w:i/>
        </w:rPr>
        <w:t xml:space="preserve"> (</w:t>
      </w:r>
      <w:proofErr w:type="spellStart"/>
      <w:r>
        <w:rPr>
          <w:rFonts w:asciiTheme="minorHAnsi" w:hAnsiTheme="minorHAnsi" w:cstheme="minorHAnsi"/>
          <w:i/>
        </w:rPr>
        <w:t>i</w:t>
      </w:r>
      <w:proofErr w:type="spellEnd"/>
      <w:r>
        <w:rPr>
          <w:rFonts w:asciiTheme="minorHAnsi" w:hAnsiTheme="minorHAnsi" w:cstheme="minorHAnsi"/>
          <w:i/>
        </w:rPr>
        <w:t>)</w:t>
      </w:r>
      <w:r w:rsidRPr="00A55446">
        <w:rPr>
          <w:rFonts w:asciiTheme="minorHAnsi" w:hAnsiTheme="minorHAnsi" w:cstheme="minorHAnsi"/>
          <w:i/>
        </w:rPr>
        <w:t xml:space="preserve"> women with signs and symptoms suggestive of PE</w:t>
      </w:r>
      <w:r>
        <w:rPr>
          <w:rFonts w:asciiTheme="minorHAnsi" w:hAnsiTheme="minorHAnsi" w:cstheme="minorHAnsi"/>
          <w:i/>
        </w:rPr>
        <w:t xml:space="preserve">, or (ii) asymptomatic women at increased </w:t>
      </w:r>
      <w:r w:rsidR="00742EED">
        <w:rPr>
          <w:rFonts w:asciiTheme="minorHAnsi" w:hAnsiTheme="minorHAnsi" w:cstheme="minorHAnsi"/>
          <w:i/>
        </w:rPr>
        <w:t xml:space="preserve">risk </w:t>
      </w:r>
      <w:r>
        <w:rPr>
          <w:rFonts w:asciiTheme="minorHAnsi" w:hAnsiTheme="minorHAnsi" w:cstheme="minorHAnsi"/>
          <w:i/>
        </w:rPr>
        <w:t xml:space="preserve">of PE; </w:t>
      </w:r>
      <w:r w:rsidRPr="00A55446">
        <w:rPr>
          <w:rFonts w:asciiTheme="minorHAnsi" w:hAnsiTheme="minorHAnsi" w:cstheme="minorHAnsi"/>
          <w:i/>
        </w:rPr>
        <w:t>a ratio &lt; 38 makes PE highly unlikely at the time of testing</w:t>
      </w:r>
      <w:r>
        <w:rPr>
          <w:rFonts w:asciiTheme="minorHAnsi" w:hAnsiTheme="minorHAnsi" w:cstheme="minorHAnsi"/>
          <w:i/>
        </w:rPr>
        <w:t>, and PE is unlikely to develop in the subsequent 2-4 weeks</w:t>
      </w:r>
      <w:r w:rsidR="007C12DD">
        <w:rPr>
          <w:rFonts w:asciiTheme="minorHAnsi" w:hAnsiTheme="minorHAnsi" w:cstheme="minorHAnsi"/>
          <w:i/>
        </w:rPr>
        <w:t xml:space="preserve">. </w:t>
      </w:r>
    </w:p>
    <w:p w14:paraId="73FDF656" w14:textId="1AF79A0D" w:rsidR="006D2B65" w:rsidRDefault="006D2B65" w:rsidP="006D2B65">
      <w:pPr>
        <w:autoSpaceDE w:val="0"/>
        <w:autoSpaceDN w:val="0"/>
        <w:adjustRightInd w:val="0"/>
        <w:spacing w:line="23" w:lineRule="atLeast"/>
        <w:rPr>
          <w:rFonts w:asciiTheme="minorHAnsi" w:hAnsiTheme="minorHAnsi" w:cstheme="minorHAnsi"/>
          <w:i/>
        </w:rPr>
      </w:pPr>
      <w:r w:rsidRPr="00AF3AAC">
        <w:rPr>
          <w:rFonts w:asciiTheme="minorHAnsi" w:hAnsiTheme="minorHAnsi" w:cstheme="minorHAnsi"/>
          <w:i/>
        </w:rPr>
        <w:t>In</w:t>
      </w:r>
      <w:r w:rsidRPr="006D2B65">
        <w:rPr>
          <w:rFonts w:asciiTheme="minorHAnsi" w:hAnsiTheme="minorHAnsi" w:cstheme="minorHAnsi"/>
          <w:i/>
        </w:rPr>
        <w:t xml:space="preserve"> </w:t>
      </w:r>
      <w:r w:rsidRPr="00647A80">
        <w:rPr>
          <w:rFonts w:asciiTheme="minorHAnsi" w:hAnsiTheme="minorHAnsi" w:cstheme="minorHAnsi"/>
          <w:i/>
        </w:rPr>
        <w:t>Population 2</w:t>
      </w:r>
      <w:r>
        <w:rPr>
          <w:rFonts w:asciiTheme="minorHAnsi" w:hAnsiTheme="minorHAnsi" w:cstheme="minorHAnsi"/>
          <w:i/>
        </w:rPr>
        <w:t>,</w:t>
      </w:r>
      <w:r w:rsidRPr="00647A80">
        <w:rPr>
          <w:rFonts w:asciiTheme="minorHAnsi" w:hAnsiTheme="minorHAnsi" w:cstheme="minorHAnsi"/>
          <w:i/>
        </w:rPr>
        <w:t xml:space="preserve"> </w:t>
      </w:r>
      <w:r w:rsidR="00155144">
        <w:rPr>
          <w:rFonts w:asciiTheme="minorHAnsi" w:hAnsiTheme="minorHAnsi" w:cstheme="minorHAnsi"/>
          <w:i/>
        </w:rPr>
        <w:t>s</w:t>
      </w:r>
      <w:r w:rsidR="00155144" w:rsidRPr="001D5E14">
        <w:rPr>
          <w:rFonts w:asciiTheme="minorHAnsi" w:hAnsiTheme="minorHAnsi" w:cstheme="minorHAnsi"/>
          <w:i/>
        </w:rPr>
        <w:t>Flt-1/</w:t>
      </w:r>
      <w:proofErr w:type="spellStart"/>
      <w:r w:rsidR="00155144" w:rsidRPr="001D5E14">
        <w:rPr>
          <w:rFonts w:asciiTheme="minorHAnsi" w:hAnsiTheme="minorHAnsi" w:cstheme="minorHAnsi"/>
          <w:i/>
        </w:rPr>
        <w:t>PlGF</w:t>
      </w:r>
      <w:proofErr w:type="spellEnd"/>
      <w:r w:rsidR="00155144" w:rsidRPr="001D5E14">
        <w:rPr>
          <w:rFonts w:asciiTheme="minorHAnsi" w:hAnsiTheme="minorHAnsi" w:cstheme="minorHAnsi"/>
          <w:i/>
        </w:rPr>
        <w:t xml:space="preserve"> ratio test</w:t>
      </w:r>
      <w:r>
        <w:rPr>
          <w:rFonts w:asciiTheme="minorHAnsi" w:hAnsiTheme="minorHAnsi" w:cstheme="minorHAnsi"/>
          <w:i/>
        </w:rPr>
        <w:t xml:space="preserve"> is used</w:t>
      </w:r>
      <w:r w:rsidRPr="00647A80">
        <w:rPr>
          <w:rFonts w:asciiTheme="minorHAnsi" w:hAnsiTheme="minorHAnsi" w:cstheme="minorHAnsi"/>
          <w:i/>
        </w:rPr>
        <w:t xml:space="preserve"> for </w:t>
      </w:r>
      <w:r w:rsidRPr="00AF3AAC">
        <w:rPr>
          <w:rFonts w:asciiTheme="minorHAnsi" w:hAnsiTheme="minorHAnsi" w:cstheme="minorHAnsi"/>
          <w:i/>
        </w:rPr>
        <w:t>prognostication</w:t>
      </w:r>
      <w:r w:rsidRPr="00647A80">
        <w:rPr>
          <w:rFonts w:asciiTheme="minorHAnsi" w:hAnsiTheme="minorHAnsi" w:cstheme="minorHAnsi"/>
          <w:b/>
          <w:bCs/>
          <w:i/>
        </w:rPr>
        <w:t xml:space="preserve"> </w:t>
      </w:r>
      <w:r w:rsidRPr="00647A80">
        <w:rPr>
          <w:rFonts w:asciiTheme="minorHAnsi" w:hAnsiTheme="minorHAnsi" w:cstheme="minorHAnsi"/>
          <w:i/>
        </w:rPr>
        <w:t>in women with a confirmed diagnosis of PE</w:t>
      </w:r>
      <w:r>
        <w:rPr>
          <w:rFonts w:asciiTheme="minorHAnsi" w:hAnsiTheme="minorHAnsi" w:cstheme="minorHAnsi"/>
          <w:i/>
        </w:rPr>
        <w:t>:</w:t>
      </w:r>
    </w:p>
    <w:p w14:paraId="70E0318F" w14:textId="77777777" w:rsidR="006D2B65" w:rsidRPr="00A55446" w:rsidRDefault="006D2B65" w:rsidP="006D2B65">
      <w:pPr>
        <w:autoSpaceDE w:val="0"/>
        <w:autoSpaceDN w:val="0"/>
        <w:adjustRightInd w:val="0"/>
        <w:spacing w:line="23" w:lineRule="atLeast"/>
        <w:rPr>
          <w:rFonts w:asciiTheme="minorHAnsi" w:hAnsiTheme="minorHAnsi" w:cstheme="minorHAnsi"/>
          <w:i/>
        </w:rPr>
      </w:pPr>
      <w:r>
        <w:rPr>
          <w:rFonts w:asciiTheme="minorHAnsi" w:hAnsiTheme="minorHAnsi" w:cstheme="minorHAnsi"/>
          <w:i/>
        </w:rPr>
        <w:t>1</w:t>
      </w:r>
      <w:r w:rsidRPr="00A55446">
        <w:rPr>
          <w:rFonts w:asciiTheme="minorHAnsi" w:hAnsiTheme="minorHAnsi" w:cstheme="minorHAnsi"/>
          <w:i/>
        </w:rPr>
        <w:t xml:space="preserve">. a ratio &gt; 85 </w:t>
      </w:r>
      <w:r>
        <w:rPr>
          <w:rFonts w:asciiTheme="minorHAnsi" w:hAnsiTheme="minorHAnsi" w:cstheme="minorHAnsi"/>
          <w:i/>
        </w:rPr>
        <w:t>indicates severe</w:t>
      </w:r>
      <w:r w:rsidRPr="00A55446">
        <w:rPr>
          <w:rFonts w:asciiTheme="minorHAnsi" w:hAnsiTheme="minorHAnsi" w:cstheme="minorHAnsi"/>
          <w:i/>
        </w:rPr>
        <w:t xml:space="preserve"> PE and flags the need for </w:t>
      </w:r>
      <w:r>
        <w:rPr>
          <w:rFonts w:asciiTheme="minorHAnsi" w:hAnsiTheme="minorHAnsi" w:cstheme="minorHAnsi"/>
          <w:i/>
        </w:rPr>
        <w:t xml:space="preserve">urgent </w:t>
      </w:r>
      <w:r w:rsidRPr="00A55446">
        <w:rPr>
          <w:rFonts w:asciiTheme="minorHAnsi" w:hAnsiTheme="minorHAnsi" w:cstheme="minorHAnsi"/>
          <w:i/>
        </w:rPr>
        <w:t xml:space="preserve">admission +/- </w:t>
      </w:r>
      <w:proofErr w:type="gramStart"/>
      <w:r w:rsidRPr="00A55446">
        <w:rPr>
          <w:rFonts w:asciiTheme="minorHAnsi" w:hAnsiTheme="minorHAnsi" w:cstheme="minorHAnsi"/>
          <w:i/>
        </w:rPr>
        <w:t>delivery;</w:t>
      </w:r>
      <w:proofErr w:type="gramEnd"/>
      <w:r w:rsidRPr="00A55446">
        <w:rPr>
          <w:rFonts w:asciiTheme="minorHAnsi" w:hAnsiTheme="minorHAnsi" w:cstheme="minorHAnsi"/>
          <w:i/>
        </w:rPr>
        <w:t xml:space="preserve"> </w:t>
      </w:r>
    </w:p>
    <w:p w14:paraId="63DA1F93" w14:textId="77777777" w:rsidR="006D2B65" w:rsidRPr="00437EB1" w:rsidRDefault="006D2B65" w:rsidP="006D2B65">
      <w:pPr>
        <w:autoSpaceDE w:val="0"/>
        <w:autoSpaceDN w:val="0"/>
        <w:adjustRightInd w:val="0"/>
        <w:spacing w:line="23" w:lineRule="atLeast"/>
        <w:rPr>
          <w:rFonts w:asciiTheme="minorHAnsi" w:hAnsiTheme="minorHAnsi" w:cstheme="minorHAnsi"/>
          <w:i/>
        </w:rPr>
      </w:pPr>
      <w:r>
        <w:rPr>
          <w:rFonts w:asciiTheme="minorHAnsi" w:hAnsiTheme="minorHAnsi" w:cstheme="minorHAnsi"/>
          <w:i/>
        </w:rPr>
        <w:t>2.</w:t>
      </w:r>
      <w:r w:rsidRPr="00A55446">
        <w:rPr>
          <w:rFonts w:asciiTheme="minorHAnsi" w:hAnsiTheme="minorHAnsi" w:cstheme="minorHAnsi"/>
          <w:i/>
        </w:rPr>
        <w:t xml:space="preserve"> a ratio 38-85 </w:t>
      </w:r>
      <w:r>
        <w:rPr>
          <w:rFonts w:asciiTheme="minorHAnsi" w:hAnsiTheme="minorHAnsi" w:cstheme="minorHAnsi"/>
          <w:i/>
        </w:rPr>
        <w:t>indicates</w:t>
      </w:r>
      <w:r w:rsidRPr="00A55446">
        <w:rPr>
          <w:rFonts w:asciiTheme="minorHAnsi" w:hAnsiTheme="minorHAnsi" w:cstheme="minorHAnsi"/>
          <w:i/>
        </w:rPr>
        <w:t xml:space="preserve"> the need for more intensive </w:t>
      </w:r>
      <w:r>
        <w:rPr>
          <w:rFonts w:asciiTheme="minorHAnsi" w:hAnsiTheme="minorHAnsi" w:cstheme="minorHAnsi"/>
          <w:i/>
        </w:rPr>
        <w:t>monitoring and management</w:t>
      </w:r>
      <w:r w:rsidRPr="00A55446">
        <w:rPr>
          <w:rFonts w:asciiTheme="minorHAnsi" w:hAnsiTheme="minorHAnsi" w:cstheme="minorHAnsi"/>
          <w:i/>
        </w:rPr>
        <w:t xml:space="preserve"> </w:t>
      </w:r>
      <w:r>
        <w:rPr>
          <w:rFonts w:asciiTheme="minorHAnsi" w:hAnsiTheme="minorHAnsi" w:cstheme="minorHAnsi"/>
          <w:i/>
        </w:rPr>
        <w:t>of the pregnancy</w:t>
      </w:r>
      <w:r w:rsidRPr="00A55446">
        <w:rPr>
          <w:rFonts w:asciiTheme="minorHAnsi" w:hAnsiTheme="minorHAnsi" w:cstheme="minorHAnsi"/>
          <w:i/>
        </w:rPr>
        <w:t>.</w:t>
      </w:r>
    </w:p>
    <w:p w14:paraId="6F55A624" w14:textId="1AE6E88F" w:rsidR="00226836" w:rsidRPr="00226836" w:rsidRDefault="00226836" w:rsidP="00226836">
      <w:pPr>
        <w:shd w:val="clear" w:color="auto" w:fill="FFFFFF" w:themeFill="background1"/>
        <w:rPr>
          <w:i/>
          <w:iCs/>
          <w:color w:val="000000" w:themeColor="text1"/>
        </w:rPr>
      </w:pPr>
      <w:r w:rsidRPr="00226836">
        <w:rPr>
          <w:i/>
          <w:iCs/>
          <w:color w:val="000000" w:themeColor="text1"/>
        </w:rPr>
        <w:t>PASC noted</w:t>
      </w:r>
      <w:r w:rsidR="00987C84">
        <w:rPr>
          <w:i/>
          <w:iCs/>
          <w:color w:val="000000" w:themeColor="text1"/>
        </w:rPr>
        <w:t xml:space="preserve"> the possibility</w:t>
      </w:r>
      <w:r w:rsidRPr="00226836">
        <w:rPr>
          <w:i/>
          <w:iCs/>
          <w:color w:val="000000" w:themeColor="text1"/>
        </w:rPr>
        <w:t xml:space="preserve"> that more than one ratio test</w:t>
      </w:r>
      <w:r w:rsidR="00987C84">
        <w:rPr>
          <w:i/>
          <w:iCs/>
          <w:color w:val="000000" w:themeColor="text1"/>
        </w:rPr>
        <w:t xml:space="preserve"> may be</w:t>
      </w:r>
      <w:r w:rsidRPr="00226836">
        <w:rPr>
          <w:i/>
          <w:iCs/>
          <w:color w:val="000000" w:themeColor="text1"/>
        </w:rPr>
        <w:t xml:space="preserve"> required for Populations 1 and 2 based on the patient’s gestational age and clinical presentation. PASC confirmed that once a patient is judged to be at low risk of developing PE (sFlt-1/</w:t>
      </w:r>
      <w:proofErr w:type="spellStart"/>
      <w:r w:rsidRPr="00226836">
        <w:rPr>
          <w:i/>
          <w:iCs/>
          <w:color w:val="000000" w:themeColor="text1"/>
        </w:rPr>
        <w:t>PlGF</w:t>
      </w:r>
      <w:proofErr w:type="spellEnd"/>
      <w:r w:rsidRPr="00226836">
        <w:rPr>
          <w:i/>
          <w:iCs/>
          <w:color w:val="000000" w:themeColor="text1"/>
        </w:rPr>
        <w:t xml:space="preserve"> ratio&lt;38), no ratio test is required for at least the next </w:t>
      </w:r>
      <w:r w:rsidR="00CC0779">
        <w:rPr>
          <w:i/>
          <w:iCs/>
          <w:color w:val="000000" w:themeColor="text1"/>
        </w:rPr>
        <w:t>2-4</w:t>
      </w:r>
      <w:r w:rsidRPr="00226836">
        <w:rPr>
          <w:i/>
          <w:iCs/>
          <w:color w:val="000000" w:themeColor="text1"/>
        </w:rPr>
        <w:t xml:space="preserve"> weeks</w:t>
      </w:r>
      <w:r w:rsidR="00FB2A50">
        <w:rPr>
          <w:i/>
          <w:iCs/>
          <w:color w:val="000000" w:themeColor="text1"/>
        </w:rPr>
        <w:t xml:space="preserve"> </w:t>
      </w:r>
      <w:r w:rsidR="00FB2A50" w:rsidRPr="00625B8F">
        <w:rPr>
          <w:rFonts w:asciiTheme="minorHAnsi" w:hAnsiTheme="minorHAnsi" w:cstheme="minorHAnsi"/>
          <w:i/>
        </w:rPr>
        <w:t>(Population 1)</w:t>
      </w:r>
      <w:r w:rsidRPr="00226836">
        <w:rPr>
          <w:i/>
          <w:iCs/>
          <w:color w:val="000000" w:themeColor="text1"/>
        </w:rPr>
        <w:t xml:space="preserve">. </w:t>
      </w:r>
      <w:r w:rsidR="00CC0779">
        <w:rPr>
          <w:i/>
          <w:iCs/>
          <w:color w:val="000000" w:themeColor="text1"/>
        </w:rPr>
        <w:t>Nonetheless,</w:t>
      </w:r>
      <w:r w:rsidRPr="00226836">
        <w:rPr>
          <w:i/>
          <w:iCs/>
          <w:color w:val="000000" w:themeColor="text1"/>
        </w:rPr>
        <w:t xml:space="preserve"> a low ratio on the proposed test does not </w:t>
      </w:r>
      <w:r w:rsidR="00742EED" w:rsidRPr="00742EED">
        <w:rPr>
          <w:i/>
          <w:iCs/>
          <w:color w:val="000000" w:themeColor="text1"/>
        </w:rPr>
        <w:t xml:space="preserve">categorically exclude a diagnosis of PE for the entirety of the pregnancy for an individual patient </w:t>
      </w:r>
      <w:r w:rsidRPr="00226836">
        <w:rPr>
          <w:i/>
          <w:iCs/>
          <w:color w:val="000000" w:themeColor="text1"/>
        </w:rPr>
        <w:t>and therefore</w:t>
      </w:r>
      <w:r w:rsidR="0035661D">
        <w:rPr>
          <w:i/>
          <w:iCs/>
          <w:color w:val="000000" w:themeColor="text1"/>
        </w:rPr>
        <w:t>,</w:t>
      </w:r>
      <w:r w:rsidRPr="00226836">
        <w:rPr>
          <w:i/>
          <w:iCs/>
          <w:color w:val="000000" w:themeColor="text1"/>
        </w:rPr>
        <w:t xml:space="preserve"> serial testing may still be likely.</w:t>
      </w:r>
    </w:p>
    <w:p w14:paraId="43D3A6D8" w14:textId="1C2F20FB" w:rsidR="00226836" w:rsidRPr="00226836" w:rsidRDefault="00226836" w:rsidP="00226836">
      <w:pPr>
        <w:shd w:val="clear" w:color="auto" w:fill="FFFFFF" w:themeFill="background1"/>
        <w:rPr>
          <w:i/>
          <w:iCs/>
          <w:color w:val="000000" w:themeColor="text1"/>
        </w:rPr>
      </w:pPr>
      <w:r w:rsidRPr="00226836">
        <w:rPr>
          <w:i/>
          <w:iCs/>
          <w:color w:val="000000" w:themeColor="text1"/>
        </w:rPr>
        <w:t>PASC noted that the frequency of ratio testing was an important clinical question to resolve and in particular:</w:t>
      </w:r>
    </w:p>
    <w:p w14:paraId="29B4785F" w14:textId="74CBC53D" w:rsidR="00226836" w:rsidRPr="00226836" w:rsidRDefault="00226836" w:rsidP="006B47FB">
      <w:pPr>
        <w:shd w:val="clear" w:color="auto" w:fill="FFFFFF" w:themeFill="background1"/>
        <w:spacing w:after="0"/>
        <w:ind w:firstLine="426"/>
        <w:rPr>
          <w:i/>
          <w:iCs/>
          <w:color w:val="000000" w:themeColor="text1"/>
        </w:rPr>
      </w:pPr>
      <w:r w:rsidRPr="00226836">
        <w:rPr>
          <w:i/>
          <w:iCs/>
          <w:color w:val="000000" w:themeColor="text1"/>
        </w:rPr>
        <w:t>-</w:t>
      </w:r>
      <w:r w:rsidRPr="00226836">
        <w:rPr>
          <w:i/>
          <w:iCs/>
          <w:color w:val="000000" w:themeColor="text1"/>
        </w:rPr>
        <w:tab/>
        <w:t>The usefulness of very frequent testing (if</w:t>
      </w:r>
      <w:r w:rsidR="0035661D">
        <w:rPr>
          <w:i/>
          <w:iCs/>
          <w:color w:val="000000" w:themeColor="text1"/>
        </w:rPr>
        <w:t xml:space="preserve"> a</w:t>
      </w:r>
      <w:r w:rsidRPr="00226836">
        <w:rPr>
          <w:i/>
          <w:iCs/>
          <w:color w:val="000000" w:themeColor="text1"/>
        </w:rPr>
        <w:t xml:space="preserve"> change in ratio is indicative of immediacy of risk)</w:t>
      </w:r>
      <w:r w:rsidR="00C638DD">
        <w:rPr>
          <w:i/>
          <w:iCs/>
          <w:color w:val="000000" w:themeColor="text1"/>
        </w:rPr>
        <w:t>.</w:t>
      </w:r>
    </w:p>
    <w:p w14:paraId="0B7AAE6E" w14:textId="23C26C6C" w:rsidR="00226836" w:rsidRPr="00226836" w:rsidRDefault="00226836" w:rsidP="006B47FB">
      <w:pPr>
        <w:shd w:val="clear" w:color="auto" w:fill="FFFFFF" w:themeFill="background1"/>
        <w:spacing w:after="0"/>
        <w:ind w:firstLine="426"/>
        <w:rPr>
          <w:i/>
          <w:iCs/>
          <w:color w:val="000000" w:themeColor="text1"/>
        </w:rPr>
      </w:pPr>
      <w:r w:rsidRPr="00226836">
        <w:rPr>
          <w:i/>
          <w:iCs/>
          <w:color w:val="000000" w:themeColor="text1"/>
        </w:rPr>
        <w:t>-</w:t>
      </w:r>
      <w:r w:rsidRPr="00226836">
        <w:rPr>
          <w:i/>
          <w:iCs/>
          <w:color w:val="000000" w:themeColor="text1"/>
        </w:rPr>
        <w:tab/>
      </w:r>
      <w:r w:rsidR="00987C84">
        <w:rPr>
          <w:i/>
          <w:iCs/>
          <w:color w:val="000000" w:themeColor="text1"/>
        </w:rPr>
        <w:t>The l</w:t>
      </w:r>
      <w:r w:rsidRPr="00226836">
        <w:rPr>
          <w:i/>
          <w:iCs/>
          <w:color w:val="000000" w:themeColor="text1"/>
        </w:rPr>
        <w:t>ikelihood of serial testing given the incremental value of knowing</w:t>
      </w:r>
      <w:r w:rsidR="00C638DD">
        <w:rPr>
          <w:i/>
          <w:iCs/>
          <w:color w:val="000000" w:themeColor="text1"/>
        </w:rPr>
        <w:t>.</w:t>
      </w:r>
    </w:p>
    <w:p w14:paraId="7C82643C" w14:textId="2F75ADC5" w:rsidR="00226836" w:rsidRPr="00226836" w:rsidRDefault="00226836" w:rsidP="006B47FB">
      <w:pPr>
        <w:shd w:val="clear" w:color="auto" w:fill="FFFFFF" w:themeFill="background1"/>
        <w:ind w:firstLine="426"/>
        <w:rPr>
          <w:i/>
          <w:iCs/>
          <w:color w:val="000000" w:themeColor="text1"/>
        </w:rPr>
      </w:pPr>
      <w:r w:rsidRPr="00226836">
        <w:rPr>
          <w:i/>
          <w:iCs/>
          <w:color w:val="000000" w:themeColor="text1"/>
        </w:rPr>
        <w:t>-</w:t>
      </w:r>
      <w:r w:rsidRPr="00226836">
        <w:rPr>
          <w:i/>
          <w:iCs/>
          <w:color w:val="000000" w:themeColor="text1"/>
        </w:rPr>
        <w:tab/>
      </w:r>
      <w:r w:rsidR="00C638DD">
        <w:rPr>
          <w:i/>
          <w:iCs/>
          <w:color w:val="000000" w:themeColor="text1"/>
        </w:rPr>
        <w:t>T</w:t>
      </w:r>
      <w:r w:rsidRPr="00226836">
        <w:rPr>
          <w:i/>
          <w:iCs/>
          <w:color w:val="000000" w:themeColor="text1"/>
        </w:rPr>
        <w:t>he implications for frequency of use in multiple pregnancies compared to singletons.</w:t>
      </w:r>
    </w:p>
    <w:p w14:paraId="314C4D6E" w14:textId="339F788B" w:rsidR="00226836" w:rsidRDefault="00226836" w:rsidP="00226836">
      <w:pPr>
        <w:shd w:val="clear" w:color="auto" w:fill="FFFFFF" w:themeFill="background1"/>
        <w:rPr>
          <w:i/>
          <w:iCs/>
          <w:color w:val="000000" w:themeColor="text1"/>
        </w:rPr>
      </w:pPr>
      <w:r w:rsidRPr="00226836">
        <w:rPr>
          <w:i/>
          <w:iCs/>
          <w:color w:val="000000" w:themeColor="text1"/>
        </w:rPr>
        <w:t xml:space="preserve">PASC noted that the Roche assay platform is widely used in Australia, and it is the most likely assay to be used for the ratio test. </w:t>
      </w:r>
    </w:p>
    <w:p w14:paraId="7C581E94" w14:textId="27747C29" w:rsidR="00FB2A50" w:rsidRDefault="00226836" w:rsidP="00226836">
      <w:pPr>
        <w:shd w:val="clear" w:color="auto" w:fill="FFFFFF" w:themeFill="background1"/>
        <w:rPr>
          <w:i/>
          <w:iCs/>
          <w:color w:val="000000" w:themeColor="text1"/>
        </w:rPr>
      </w:pPr>
      <w:r w:rsidRPr="00226836">
        <w:rPr>
          <w:i/>
          <w:iCs/>
          <w:color w:val="000000" w:themeColor="text1"/>
        </w:rPr>
        <w:t xml:space="preserve">PASC noted that the ratio test may be effective for multiple pregnancies (as the </w:t>
      </w:r>
      <w:r w:rsidR="00464EA4">
        <w:rPr>
          <w:i/>
          <w:iCs/>
          <w:color w:val="000000" w:themeColor="text1"/>
        </w:rPr>
        <w:t xml:space="preserve">results of the </w:t>
      </w:r>
      <w:r w:rsidRPr="00226836">
        <w:rPr>
          <w:i/>
          <w:iCs/>
          <w:color w:val="000000" w:themeColor="text1"/>
        </w:rPr>
        <w:t>two components of the test are derived from the</w:t>
      </w:r>
      <w:r w:rsidR="00987C84">
        <w:rPr>
          <w:i/>
          <w:iCs/>
          <w:color w:val="000000" w:themeColor="text1"/>
        </w:rPr>
        <w:t xml:space="preserve"> activity of</w:t>
      </w:r>
      <w:r w:rsidRPr="00226836">
        <w:rPr>
          <w:i/>
          <w:iCs/>
          <w:color w:val="000000" w:themeColor="text1"/>
        </w:rPr>
        <w:t xml:space="preserve"> </w:t>
      </w:r>
      <w:proofErr w:type="spellStart"/>
      <w:r w:rsidRPr="00226836">
        <w:rPr>
          <w:i/>
          <w:iCs/>
          <w:color w:val="000000" w:themeColor="text1"/>
        </w:rPr>
        <w:t>syncytiotrophoblast</w:t>
      </w:r>
      <w:r w:rsidR="00464EA4">
        <w:rPr>
          <w:i/>
          <w:iCs/>
          <w:color w:val="000000" w:themeColor="text1"/>
        </w:rPr>
        <w:t>s</w:t>
      </w:r>
      <w:proofErr w:type="spellEnd"/>
      <w:r w:rsidRPr="00226836">
        <w:rPr>
          <w:i/>
          <w:iCs/>
          <w:color w:val="000000" w:themeColor="text1"/>
        </w:rPr>
        <w:t xml:space="preserve">, not the </w:t>
      </w:r>
      <w:proofErr w:type="spellStart"/>
      <w:r w:rsidRPr="00226836">
        <w:rPr>
          <w:i/>
          <w:iCs/>
          <w:color w:val="000000" w:themeColor="text1"/>
        </w:rPr>
        <w:t>fetus</w:t>
      </w:r>
      <w:proofErr w:type="spellEnd"/>
      <w:r w:rsidRPr="00226836">
        <w:rPr>
          <w:i/>
          <w:iCs/>
          <w:color w:val="000000" w:themeColor="text1"/>
        </w:rPr>
        <w:t xml:space="preserve">(es)) up to the third trimester of pregnancy. However, evidence supporting the use of </w:t>
      </w:r>
      <w:r w:rsidR="00C03C0C" w:rsidRPr="00C03C0C">
        <w:rPr>
          <w:i/>
          <w:iCs/>
          <w:color w:val="000000" w:themeColor="text1"/>
        </w:rPr>
        <w:t>sFlt-1/</w:t>
      </w:r>
      <w:proofErr w:type="spellStart"/>
      <w:r w:rsidR="00C03C0C" w:rsidRPr="00C03C0C">
        <w:rPr>
          <w:i/>
          <w:iCs/>
          <w:color w:val="000000" w:themeColor="text1"/>
        </w:rPr>
        <w:t>PlGF</w:t>
      </w:r>
      <w:proofErr w:type="spellEnd"/>
      <w:r w:rsidR="00C03C0C" w:rsidRPr="00C03C0C">
        <w:rPr>
          <w:i/>
          <w:iCs/>
          <w:color w:val="000000" w:themeColor="text1"/>
        </w:rPr>
        <w:t xml:space="preserve"> ratio tests</w:t>
      </w:r>
      <w:r w:rsidRPr="00226836">
        <w:rPr>
          <w:i/>
          <w:iCs/>
          <w:color w:val="000000" w:themeColor="text1"/>
        </w:rPr>
        <w:t xml:space="preserve"> in multi</w:t>
      </w:r>
      <w:r w:rsidR="00DF40C1">
        <w:rPr>
          <w:i/>
          <w:iCs/>
          <w:color w:val="000000" w:themeColor="text1"/>
        </w:rPr>
        <w:t xml:space="preserve">fetal gestation </w:t>
      </w:r>
      <w:r w:rsidRPr="00226836">
        <w:rPr>
          <w:i/>
          <w:iCs/>
          <w:color w:val="000000" w:themeColor="text1"/>
        </w:rPr>
        <w:t>is limited</w:t>
      </w:r>
      <w:r w:rsidR="00A6057B" w:rsidRPr="00A6057B">
        <w:rPr>
          <w:i/>
          <w:color w:val="000000" w:themeColor="text1"/>
        </w:rPr>
        <w:t xml:space="preserve"> </w:t>
      </w:r>
      <w:r w:rsidR="00A6057B">
        <w:rPr>
          <w:i/>
          <w:color w:val="000000" w:themeColor="text1"/>
        </w:rPr>
        <w:t>and should be presented separately from the evidence in singleton pregnancies in the assessment report</w:t>
      </w:r>
      <w:r w:rsidRPr="00226836">
        <w:rPr>
          <w:i/>
          <w:iCs/>
          <w:color w:val="000000" w:themeColor="text1"/>
        </w:rPr>
        <w:t>.</w:t>
      </w:r>
    </w:p>
    <w:p w14:paraId="7B18EB68" w14:textId="77777777" w:rsidR="00E75882" w:rsidRDefault="00E75882" w:rsidP="0080792B">
      <w:pPr>
        <w:keepNext/>
        <w:shd w:val="clear" w:color="auto" w:fill="FFFFFF" w:themeFill="background1"/>
        <w:rPr>
          <w:i/>
          <w:iCs/>
          <w:color w:val="000000" w:themeColor="text1"/>
          <w:u w:val="single"/>
        </w:rPr>
      </w:pPr>
      <w:r>
        <w:rPr>
          <w:i/>
          <w:iCs/>
          <w:color w:val="000000" w:themeColor="text1"/>
          <w:u w:val="single"/>
        </w:rPr>
        <w:t>Regulatory information</w:t>
      </w:r>
    </w:p>
    <w:p w14:paraId="060BECD2" w14:textId="0DEC021E" w:rsidR="00E75882" w:rsidRPr="001958F9" w:rsidRDefault="00E75882" w:rsidP="0080792B">
      <w:pPr>
        <w:shd w:val="clear" w:color="auto" w:fill="FFFFFF" w:themeFill="background1"/>
        <w:rPr>
          <w:color w:val="000000" w:themeColor="text1"/>
        </w:rPr>
      </w:pPr>
      <w:r w:rsidRPr="001958F9">
        <w:rPr>
          <w:color w:val="000000" w:themeColor="text1"/>
        </w:rPr>
        <w:t xml:space="preserve">The table below presents commercial tests registered on the Australian Register of Therapeutic Goods (ARTG) </w:t>
      </w:r>
      <w:r w:rsidRPr="00833F58">
        <w:rPr>
          <w:color w:val="000000" w:themeColor="text1"/>
        </w:rPr>
        <w:t>(</w:t>
      </w:r>
      <w:hyperlink w:anchor="Title_Table3" w:history="1">
        <w:r w:rsidRPr="008272F3">
          <w:rPr>
            <w:rStyle w:val="Hyperlink"/>
            <w:color w:val="000000" w:themeColor="text1"/>
            <w:u w:val="none"/>
          </w:rPr>
          <w:t xml:space="preserve">Table </w:t>
        </w:r>
        <w:r w:rsidR="009C3FDA" w:rsidRPr="008272F3">
          <w:rPr>
            <w:rStyle w:val="Hyperlink"/>
            <w:color w:val="000000" w:themeColor="text1"/>
            <w:u w:val="none"/>
          </w:rPr>
          <w:t>3</w:t>
        </w:r>
      </w:hyperlink>
      <w:r w:rsidRPr="00833F58">
        <w:rPr>
          <w:color w:val="000000" w:themeColor="text1"/>
        </w:rPr>
        <w:t>).</w:t>
      </w:r>
    </w:p>
    <w:p w14:paraId="1288E778" w14:textId="08AB375E" w:rsidR="00E75882" w:rsidRDefault="00E75882" w:rsidP="005A7250">
      <w:pPr>
        <w:pStyle w:val="TableHeading"/>
      </w:pPr>
      <w:bookmarkStart w:id="21" w:name="Title_Table3"/>
      <w:r w:rsidRPr="001958F9">
        <w:lastRenderedPageBreak/>
        <w:t xml:space="preserve">Table </w:t>
      </w:r>
      <w:r w:rsidR="009C3FDA">
        <w:t>3</w:t>
      </w:r>
      <w:r>
        <w:t>:</w:t>
      </w:r>
      <w:r w:rsidRPr="001958F9">
        <w:t xml:space="preserve"> </w:t>
      </w:r>
      <w:r w:rsidR="00EF0817">
        <w:t>s</w:t>
      </w:r>
      <w:r w:rsidRPr="001958F9">
        <w:t xml:space="preserve">Flt-1 and </w:t>
      </w:r>
      <w:proofErr w:type="spellStart"/>
      <w:r w:rsidRPr="001958F9">
        <w:t>PlGF</w:t>
      </w:r>
      <w:proofErr w:type="spellEnd"/>
      <w:r w:rsidRPr="001958F9">
        <w:t xml:space="preserve"> tests on the Australian Register of Therapeutic Goods</w:t>
      </w:r>
    </w:p>
    <w:tbl>
      <w:tblPr>
        <w:tblW w:w="5000" w:type="pct"/>
        <w:tblCellMar>
          <w:left w:w="0" w:type="dxa"/>
          <w:right w:w="0" w:type="dxa"/>
        </w:tblCellMar>
        <w:tblLook w:val="04A0" w:firstRow="1" w:lastRow="0" w:firstColumn="1" w:lastColumn="0" w:noHBand="0" w:noVBand="1"/>
      </w:tblPr>
      <w:tblGrid>
        <w:gridCol w:w="4195"/>
        <w:gridCol w:w="4811"/>
      </w:tblGrid>
      <w:tr w:rsidR="00802B26" w:rsidRPr="001958F9" w14:paraId="7BFDF65B" w14:textId="77777777" w:rsidTr="00D62019">
        <w:trPr>
          <w:trHeight w:val="278"/>
          <w:tblHeader/>
        </w:trPr>
        <w:tc>
          <w:tcPr>
            <w:tcW w:w="232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CC0726" w14:textId="77777777" w:rsidR="00802B26" w:rsidRPr="001958F9" w:rsidRDefault="00802B26" w:rsidP="00D62019">
            <w:pPr>
              <w:pStyle w:val="TableHeading"/>
              <w:shd w:val="clear" w:color="auto" w:fill="FFFFFF" w:themeFill="background1"/>
              <w:rPr>
                <w:color w:val="000000" w:themeColor="text1"/>
                <w:shd w:val="clear" w:color="auto" w:fill="FFFFFF"/>
              </w:rPr>
            </w:pPr>
            <w:r w:rsidRPr="001958F9">
              <w:rPr>
                <w:color w:val="000000" w:themeColor="text1"/>
                <w:shd w:val="clear" w:color="auto" w:fill="FFFFFF"/>
              </w:rPr>
              <w:t>Test</w:t>
            </w:r>
          </w:p>
        </w:tc>
        <w:tc>
          <w:tcPr>
            <w:tcW w:w="267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3AFCB9" w14:textId="77777777" w:rsidR="00802B26" w:rsidRPr="001958F9" w:rsidRDefault="00802B26" w:rsidP="00D62019">
            <w:pPr>
              <w:pStyle w:val="TableHeading"/>
              <w:shd w:val="clear" w:color="auto" w:fill="FFFFFF" w:themeFill="background1"/>
              <w:rPr>
                <w:color w:val="000000" w:themeColor="text1"/>
                <w:shd w:val="clear" w:color="auto" w:fill="FFFFFF"/>
              </w:rPr>
            </w:pPr>
            <w:r w:rsidRPr="001958F9">
              <w:rPr>
                <w:color w:val="000000" w:themeColor="text1"/>
                <w:shd w:val="clear" w:color="auto" w:fill="FFFFFF"/>
              </w:rPr>
              <w:t>Laboratory-based test</w:t>
            </w:r>
          </w:p>
        </w:tc>
      </w:tr>
      <w:tr w:rsidR="00802B26" w:rsidRPr="001958F9" w14:paraId="67B9F3DC" w14:textId="77777777" w:rsidTr="00D62019">
        <w:trPr>
          <w:trHeight w:val="280"/>
        </w:trPr>
        <w:tc>
          <w:tcPr>
            <w:tcW w:w="23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E10741" w14:textId="77777777" w:rsidR="00802B26" w:rsidRPr="001958F9" w:rsidRDefault="00802B26" w:rsidP="00D62019">
            <w:pPr>
              <w:pStyle w:val="TableText0"/>
              <w:shd w:val="clear" w:color="auto" w:fill="FFFFFF" w:themeFill="background1"/>
              <w:rPr>
                <w:color w:val="000000" w:themeColor="text1"/>
                <w:shd w:val="clear" w:color="auto" w:fill="FFFFFF"/>
              </w:rPr>
            </w:pPr>
            <w:r w:rsidRPr="001958F9">
              <w:rPr>
                <w:color w:val="000000" w:themeColor="text1"/>
                <w:shd w:val="clear" w:color="auto" w:fill="FFFFFF"/>
              </w:rPr>
              <w:t>sFlt-1</w:t>
            </w:r>
          </w:p>
          <w:p w14:paraId="4BE02EBD" w14:textId="77777777" w:rsidR="00802B26" w:rsidRPr="001958F9" w:rsidRDefault="00802B26" w:rsidP="00D62019">
            <w:pPr>
              <w:pStyle w:val="TableText0"/>
              <w:shd w:val="clear" w:color="auto" w:fill="FFFFFF" w:themeFill="background1"/>
              <w:rPr>
                <w:color w:val="000000" w:themeColor="text1"/>
              </w:rPr>
            </w:pPr>
          </w:p>
          <w:p w14:paraId="726DF89A" w14:textId="77777777" w:rsidR="00802B26" w:rsidRPr="001958F9" w:rsidRDefault="00802B26" w:rsidP="00D62019">
            <w:pPr>
              <w:pStyle w:val="TableText0"/>
              <w:shd w:val="clear" w:color="auto" w:fill="FFFFFF" w:themeFill="background1"/>
              <w:rPr>
                <w:color w:val="000000" w:themeColor="text1"/>
                <w:shd w:val="clear" w:color="auto" w:fill="FFFFFF"/>
              </w:rPr>
            </w:pPr>
            <w:r w:rsidRPr="001958F9">
              <w:rPr>
                <w:color w:val="000000" w:themeColor="text1"/>
              </w:rPr>
              <w:t>Roche Diagnostics Australia Pty Limited</w:t>
            </w:r>
          </w:p>
        </w:tc>
        <w:tc>
          <w:tcPr>
            <w:tcW w:w="2671" w:type="pct"/>
            <w:tcBorders>
              <w:top w:val="nil"/>
              <w:left w:val="nil"/>
              <w:bottom w:val="single" w:sz="8" w:space="0" w:color="auto"/>
              <w:right w:val="single" w:sz="8" w:space="0" w:color="auto"/>
            </w:tcBorders>
            <w:tcMar>
              <w:top w:w="0" w:type="dxa"/>
              <w:left w:w="108" w:type="dxa"/>
              <w:bottom w:w="0" w:type="dxa"/>
              <w:right w:w="108" w:type="dxa"/>
            </w:tcMar>
            <w:hideMark/>
          </w:tcPr>
          <w:p w14:paraId="7FE71404" w14:textId="77777777" w:rsidR="00802B26" w:rsidRPr="001958F9" w:rsidRDefault="00802B26" w:rsidP="00D62019">
            <w:pPr>
              <w:pStyle w:val="TableText0"/>
              <w:shd w:val="clear" w:color="auto" w:fill="FFFFFF" w:themeFill="background1"/>
              <w:rPr>
                <w:color w:val="000000" w:themeColor="text1"/>
                <w:shd w:val="clear" w:color="auto" w:fill="FFFFFF"/>
              </w:rPr>
            </w:pPr>
            <w:r w:rsidRPr="001958F9">
              <w:rPr>
                <w:color w:val="000000" w:themeColor="text1"/>
                <w:shd w:val="clear" w:color="auto" w:fill="FFFFFF"/>
              </w:rPr>
              <w:t xml:space="preserve">ARTG 181222, Class 3 IVD, Specific Protein IVDs. </w:t>
            </w:r>
          </w:p>
          <w:p w14:paraId="5EF7E931" w14:textId="77777777" w:rsidR="00802B26" w:rsidRPr="001958F9" w:rsidRDefault="00802B26" w:rsidP="00D62019">
            <w:pPr>
              <w:pStyle w:val="TableText0"/>
              <w:shd w:val="clear" w:color="auto" w:fill="FFFFFF" w:themeFill="background1"/>
              <w:rPr>
                <w:color w:val="000000" w:themeColor="text1"/>
                <w:shd w:val="clear" w:color="auto" w:fill="FFFFFF"/>
              </w:rPr>
            </w:pPr>
          </w:p>
        </w:tc>
      </w:tr>
      <w:tr w:rsidR="00802B26" w:rsidRPr="001958F9" w14:paraId="314A0859" w14:textId="77777777" w:rsidTr="00D62019">
        <w:trPr>
          <w:trHeight w:val="844"/>
        </w:trPr>
        <w:tc>
          <w:tcPr>
            <w:tcW w:w="23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CD30D0" w14:textId="77777777" w:rsidR="00802B26" w:rsidRPr="001958F9" w:rsidRDefault="00802B26" w:rsidP="00D62019">
            <w:pPr>
              <w:pStyle w:val="TableText0"/>
              <w:shd w:val="clear" w:color="auto" w:fill="FFFFFF" w:themeFill="background1"/>
              <w:rPr>
                <w:color w:val="000000" w:themeColor="text1"/>
                <w:shd w:val="clear" w:color="auto" w:fill="FFFFFF"/>
              </w:rPr>
            </w:pPr>
            <w:proofErr w:type="spellStart"/>
            <w:r w:rsidRPr="001958F9">
              <w:rPr>
                <w:color w:val="000000" w:themeColor="text1"/>
                <w:shd w:val="clear" w:color="auto" w:fill="FFFFFF"/>
              </w:rPr>
              <w:t>PlGF</w:t>
            </w:r>
            <w:proofErr w:type="spellEnd"/>
            <w:r w:rsidRPr="001958F9">
              <w:rPr>
                <w:color w:val="000000" w:themeColor="text1"/>
                <w:shd w:val="clear" w:color="auto" w:fill="FFFFFF"/>
              </w:rPr>
              <w:t xml:space="preserve"> </w:t>
            </w:r>
          </w:p>
          <w:p w14:paraId="51D678FF" w14:textId="77777777" w:rsidR="00802B26" w:rsidRPr="001958F9" w:rsidRDefault="00802B26" w:rsidP="00D62019">
            <w:pPr>
              <w:pStyle w:val="TableText0"/>
              <w:shd w:val="clear" w:color="auto" w:fill="FFFFFF" w:themeFill="background1"/>
              <w:rPr>
                <w:color w:val="000000" w:themeColor="text1"/>
                <w:shd w:val="clear" w:color="auto" w:fill="FFFFFF"/>
              </w:rPr>
            </w:pPr>
          </w:p>
          <w:p w14:paraId="2BECBBE2" w14:textId="77777777" w:rsidR="00802B26" w:rsidRPr="001958F9" w:rsidRDefault="00802B26" w:rsidP="00D62019">
            <w:pPr>
              <w:pStyle w:val="TableText0"/>
              <w:shd w:val="clear" w:color="auto" w:fill="FFFFFF" w:themeFill="background1"/>
              <w:rPr>
                <w:color w:val="000000" w:themeColor="text1"/>
                <w:shd w:val="clear" w:color="auto" w:fill="FFFFFF"/>
              </w:rPr>
            </w:pPr>
            <w:r w:rsidRPr="001958F9">
              <w:rPr>
                <w:color w:val="000000" w:themeColor="text1"/>
              </w:rPr>
              <w:t>Roche Diagnostics Australia Pty Limited</w:t>
            </w:r>
          </w:p>
        </w:tc>
        <w:tc>
          <w:tcPr>
            <w:tcW w:w="2671" w:type="pct"/>
            <w:tcBorders>
              <w:top w:val="nil"/>
              <w:left w:val="nil"/>
              <w:bottom w:val="single" w:sz="8" w:space="0" w:color="auto"/>
              <w:right w:val="single" w:sz="8" w:space="0" w:color="auto"/>
            </w:tcBorders>
            <w:tcMar>
              <w:top w:w="0" w:type="dxa"/>
              <w:left w:w="108" w:type="dxa"/>
              <w:bottom w:w="0" w:type="dxa"/>
              <w:right w:w="108" w:type="dxa"/>
            </w:tcMar>
            <w:hideMark/>
          </w:tcPr>
          <w:p w14:paraId="33F0A07F" w14:textId="77777777" w:rsidR="00802B26" w:rsidRPr="001958F9" w:rsidRDefault="00802B26" w:rsidP="00D62019">
            <w:pPr>
              <w:pStyle w:val="TableText0"/>
              <w:shd w:val="clear" w:color="auto" w:fill="FFFFFF" w:themeFill="background1"/>
              <w:rPr>
                <w:color w:val="000000" w:themeColor="text1"/>
              </w:rPr>
            </w:pPr>
            <w:r w:rsidRPr="001958F9">
              <w:rPr>
                <w:color w:val="000000" w:themeColor="text1"/>
                <w:shd w:val="clear" w:color="auto" w:fill="FFFFFF"/>
              </w:rPr>
              <w:t xml:space="preserve">ARTG 181221, Class 3 IVD, </w:t>
            </w:r>
            <w:r w:rsidRPr="001958F9">
              <w:rPr>
                <w:color w:val="000000" w:themeColor="text1"/>
              </w:rPr>
              <w:t>Clinical chemistry hormone IVDs</w:t>
            </w:r>
          </w:p>
        </w:tc>
      </w:tr>
    </w:tbl>
    <w:bookmarkEnd w:id="21"/>
    <w:p w14:paraId="30FA102D" w14:textId="3AE13733" w:rsidR="00E75882" w:rsidRPr="001958F9" w:rsidRDefault="00E75882" w:rsidP="00EF551E">
      <w:pPr>
        <w:pStyle w:val="Tablenotes"/>
        <w:shd w:val="clear" w:color="auto" w:fill="FFFFFF" w:themeFill="background1"/>
        <w:spacing w:after="0"/>
        <w:jc w:val="left"/>
        <w:rPr>
          <w:color w:val="000000" w:themeColor="text1"/>
        </w:rPr>
      </w:pPr>
      <w:r w:rsidRPr="001958F9">
        <w:rPr>
          <w:color w:val="000000" w:themeColor="text1"/>
        </w:rPr>
        <w:t>ARTG = Australian Register of Therapeutic Goods; IVD = in vitro diagnostic medical device.</w:t>
      </w:r>
    </w:p>
    <w:p w14:paraId="48CF07D4" w14:textId="6A5F2F09" w:rsidR="009C0ED3" w:rsidRPr="001958F9" w:rsidRDefault="009C0ED3" w:rsidP="009C0ED3">
      <w:pPr>
        <w:pStyle w:val="Tablenotes"/>
        <w:shd w:val="clear" w:color="auto" w:fill="FFFFFF" w:themeFill="background1"/>
        <w:spacing w:after="0"/>
        <w:jc w:val="left"/>
        <w:rPr>
          <w:color w:val="000000" w:themeColor="text1"/>
        </w:rPr>
      </w:pPr>
      <w:r w:rsidRPr="001958F9">
        <w:rPr>
          <w:color w:val="000000" w:themeColor="text1"/>
        </w:rPr>
        <w:t>Source: Provided to the Department by the Therapeutic Goods Administration.</w:t>
      </w:r>
      <w:r w:rsidR="0080792B">
        <w:rPr>
          <w:color w:val="000000" w:themeColor="text1"/>
        </w:rPr>
        <w:t xml:space="preserve"> </w:t>
      </w:r>
    </w:p>
    <w:p w14:paraId="044B63FF" w14:textId="77777777" w:rsidR="00E75882" w:rsidRDefault="00E75882" w:rsidP="008272F3">
      <w:pPr>
        <w:pStyle w:val="Tablenotes"/>
        <w:shd w:val="clear" w:color="auto" w:fill="FFFFFF" w:themeFill="background1"/>
        <w:spacing w:after="0"/>
        <w:jc w:val="left"/>
      </w:pPr>
    </w:p>
    <w:bookmarkEnd w:id="19"/>
    <w:p w14:paraId="36DFD666" w14:textId="4CABF627" w:rsidR="00E75882" w:rsidRPr="001958F9" w:rsidRDefault="00E75882" w:rsidP="00EF551E">
      <w:pPr>
        <w:pStyle w:val="Heading3"/>
        <w:shd w:val="clear" w:color="auto" w:fill="FFFFFF" w:themeFill="background1"/>
        <w:rPr>
          <w:rFonts w:asciiTheme="minorHAnsi" w:hAnsiTheme="minorHAnsi" w:cstheme="minorHAnsi"/>
          <w:b/>
          <w:bCs/>
          <w:i/>
          <w:iCs/>
          <w:color w:val="000000" w:themeColor="text1"/>
        </w:rPr>
      </w:pPr>
      <w:r w:rsidRPr="001958F9">
        <w:rPr>
          <w:rFonts w:asciiTheme="minorHAnsi" w:hAnsiTheme="minorHAnsi" w:cstheme="minorHAnsi"/>
          <w:b/>
          <w:bCs/>
          <w:i/>
          <w:iCs/>
          <w:color w:val="000000" w:themeColor="text1"/>
        </w:rPr>
        <w:t>Comparator</w:t>
      </w:r>
    </w:p>
    <w:p w14:paraId="3ED64214" w14:textId="3ACBEBF0" w:rsidR="007E72BE" w:rsidRDefault="00E75882" w:rsidP="0080792B">
      <w:pPr>
        <w:shd w:val="clear" w:color="auto" w:fill="FFFFFF" w:themeFill="background1"/>
        <w:rPr>
          <w:color w:val="000000" w:themeColor="text1"/>
        </w:rPr>
      </w:pPr>
      <w:r w:rsidRPr="001958F9">
        <w:rPr>
          <w:color w:val="000000" w:themeColor="text1"/>
        </w:rPr>
        <w:t xml:space="preserve">There are no universally accepted tests with sufficiently strong performance characteristics to reliably </w:t>
      </w:r>
      <w:r>
        <w:rPr>
          <w:color w:val="000000" w:themeColor="text1"/>
        </w:rPr>
        <w:t xml:space="preserve">predict </w:t>
      </w:r>
      <w:r w:rsidR="0028765D">
        <w:rPr>
          <w:color w:val="000000" w:themeColor="text1"/>
        </w:rPr>
        <w:t>PE</w:t>
      </w:r>
      <w:r>
        <w:rPr>
          <w:color w:val="000000" w:themeColor="text1"/>
        </w:rPr>
        <w:t xml:space="preserve"> in</w:t>
      </w:r>
      <w:r w:rsidRPr="001958F9">
        <w:rPr>
          <w:color w:val="000000" w:themeColor="text1"/>
        </w:rPr>
        <w:t xml:space="preserve"> pregnant women</w:t>
      </w:r>
      <w:r w:rsidR="00C1057F">
        <w:rPr>
          <w:color w:val="000000" w:themeColor="text1"/>
        </w:rPr>
        <w:t>,</w:t>
      </w:r>
      <w:r w:rsidRPr="001958F9">
        <w:rPr>
          <w:color w:val="000000" w:themeColor="text1"/>
        </w:rPr>
        <w:t xml:space="preserve"> especially at term gestations (37 to 42 weeks)</w:t>
      </w:r>
      <w:r>
        <w:rPr>
          <w:color w:val="000000" w:themeColor="text1"/>
        </w:rPr>
        <w:t>,</w:t>
      </w:r>
      <w:r w:rsidRPr="001958F9">
        <w:rPr>
          <w:color w:val="000000" w:themeColor="text1"/>
        </w:rPr>
        <w:t xml:space="preserve"> where the most significant disease burden exists </w:t>
      </w:r>
      <w:r>
        <w:rPr>
          <w:noProof/>
          <w:color w:val="000000" w:themeColor="text1"/>
        </w:rPr>
        <w:t>[49]</w:t>
      </w:r>
      <w:r w:rsidRPr="001958F9">
        <w:rPr>
          <w:color w:val="000000" w:themeColor="text1"/>
        </w:rPr>
        <w:t>.</w:t>
      </w:r>
    </w:p>
    <w:p w14:paraId="509D1BE6" w14:textId="3C27351F" w:rsidR="001E32BC" w:rsidRDefault="001E32BC" w:rsidP="0080792B">
      <w:pPr>
        <w:shd w:val="clear" w:color="auto" w:fill="FFFFFF" w:themeFill="background1"/>
        <w:rPr>
          <w:i/>
          <w:iCs/>
          <w:color w:val="000000" w:themeColor="text1"/>
        </w:rPr>
      </w:pPr>
      <w:r w:rsidRPr="00B4653B">
        <w:rPr>
          <w:i/>
          <w:iCs/>
          <w:color w:val="000000" w:themeColor="text1"/>
        </w:rPr>
        <w:t>During the PASC meeting</w:t>
      </w:r>
      <w:r>
        <w:rPr>
          <w:i/>
          <w:iCs/>
          <w:color w:val="000000" w:themeColor="text1"/>
        </w:rPr>
        <w:t>,</w:t>
      </w:r>
      <w:r w:rsidRPr="00B4653B">
        <w:rPr>
          <w:i/>
          <w:iCs/>
          <w:color w:val="000000" w:themeColor="text1"/>
        </w:rPr>
        <w:t xml:space="preserve"> the applicant stated that the </w:t>
      </w:r>
      <w:r w:rsidRPr="00613B6F">
        <w:rPr>
          <w:i/>
          <w:iCs/>
          <w:color w:val="000000" w:themeColor="text1"/>
        </w:rPr>
        <w:t>sFlt-1/</w:t>
      </w:r>
      <w:proofErr w:type="spellStart"/>
      <w:r w:rsidRPr="00875A92">
        <w:rPr>
          <w:i/>
          <w:iCs/>
          <w:color w:val="000000" w:themeColor="text1"/>
        </w:rPr>
        <w:t>PlGF</w:t>
      </w:r>
      <w:proofErr w:type="spellEnd"/>
      <w:r w:rsidRPr="00875A92">
        <w:rPr>
          <w:i/>
          <w:iCs/>
          <w:color w:val="000000" w:themeColor="text1"/>
        </w:rPr>
        <w:t xml:space="preserve"> ratio</w:t>
      </w:r>
      <w:r w:rsidRPr="00D913A7">
        <w:rPr>
          <w:i/>
          <w:iCs/>
          <w:color w:val="000000" w:themeColor="text1"/>
        </w:rPr>
        <w:t xml:space="preserve"> test </w:t>
      </w:r>
      <w:r>
        <w:rPr>
          <w:i/>
          <w:iCs/>
          <w:color w:val="000000" w:themeColor="text1"/>
        </w:rPr>
        <w:t xml:space="preserve">may </w:t>
      </w:r>
      <w:r w:rsidRPr="00D913A7">
        <w:rPr>
          <w:i/>
          <w:iCs/>
          <w:color w:val="000000" w:themeColor="text1"/>
        </w:rPr>
        <w:t xml:space="preserve">not </w:t>
      </w:r>
      <w:r>
        <w:rPr>
          <w:i/>
          <w:iCs/>
          <w:color w:val="000000" w:themeColor="text1"/>
        </w:rPr>
        <w:t>be necessary</w:t>
      </w:r>
      <w:r w:rsidRPr="00613B6F">
        <w:rPr>
          <w:i/>
          <w:iCs/>
          <w:color w:val="000000" w:themeColor="text1"/>
        </w:rPr>
        <w:t xml:space="preserve"> for </w:t>
      </w:r>
      <w:r w:rsidRPr="00875A92">
        <w:rPr>
          <w:i/>
          <w:iCs/>
          <w:color w:val="000000" w:themeColor="text1"/>
        </w:rPr>
        <w:t>pregnant wo</w:t>
      </w:r>
      <w:r w:rsidRPr="00D913A7">
        <w:rPr>
          <w:i/>
          <w:iCs/>
          <w:color w:val="000000" w:themeColor="text1"/>
        </w:rPr>
        <w:t>men after 37 wee</w:t>
      </w:r>
      <w:r w:rsidRPr="002F2BE9">
        <w:rPr>
          <w:i/>
          <w:iCs/>
          <w:color w:val="000000" w:themeColor="text1"/>
        </w:rPr>
        <w:t>ks of gestation</w:t>
      </w:r>
      <w:r w:rsidR="00437EB1">
        <w:rPr>
          <w:i/>
          <w:iCs/>
          <w:color w:val="000000" w:themeColor="text1"/>
        </w:rPr>
        <w:t xml:space="preserve"> as curative delivery of the baby and placenta is associated with less risk than before 37 weeks</w:t>
      </w:r>
      <w:r>
        <w:rPr>
          <w:i/>
          <w:iCs/>
          <w:color w:val="000000" w:themeColor="text1"/>
        </w:rPr>
        <w:t>.</w:t>
      </w:r>
    </w:p>
    <w:p w14:paraId="22FF798E" w14:textId="7EE382BB" w:rsidR="00E75882" w:rsidRPr="001958F9" w:rsidRDefault="00E75882" w:rsidP="0080792B">
      <w:pPr>
        <w:shd w:val="clear" w:color="auto" w:fill="FFFFFF" w:themeFill="background1"/>
        <w:rPr>
          <w:color w:val="000000" w:themeColor="text1"/>
        </w:rPr>
      </w:pPr>
      <w:r w:rsidRPr="001958F9">
        <w:rPr>
          <w:color w:val="000000" w:themeColor="text1"/>
        </w:rPr>
        <w:t xml:space="preserve">Past literature indicated that tests for </w:t>
      </w:r>
      <w:r w:rsidR="0028765D">
        <w:rPr>
          <w:color w:val="000000" w:themeColor="text1"/>
        </w:rPr>
        <w:t>diagnosis of</w:t>
      </w:r>
      <w:r w:rsidR="0028765D" w:rsidRPr="001958F9">
        <w:rPr>
          <w:color w:val="000000" w:themeColor="text1"/>
        </w:rPr>
        <w:t xml:space="preserve"> </w:t>
      </w:r>
      <w:r w:rsidRPr="001958F9">
        <w:rPr>
          <w:color w:val="000000" w:themeColor="text1"/>
        </w:rPr>
        <w:t xml:space="preserve">PE involve an initial assessment of blood pressure, proteinuria (first by urine dipstick and then </w:t>
      </w:r>
      <w:r>
        <w:rPr>
          <w:color w:val="000000" w:themeColor="text1"/>
        </w:rPr>
        <w:t xml:space="preserve">confirmed </w:t>
      </w:r>
      <w:r w:rsidRPr="001958F9">
        <w:rPr>
          <w:color w:val="000000" w:themeColor="text1"/>
        </w:rPr>
        <w:t xml:space="preserve">by urine </w:t>
      </w:r>
      <w:proofErr w:type="spellStart"/>
      <w:r w:rsidRPr="001958F9">
        <w:rPr>
          <w:color w:val="000000" w:themeColor="text1"/>
        </w:rPr>
        <w:t>protein:creatinine</w:t>
      </w:r>
      <w:proofErr w:type="spellEnd"/>
      <w:r w:rsidRPr="001958F9">
        <w:rPr>
          <w:color w:val="000000" w:themeColor="text1"/>
        </w:rPr>
        <w:t xml:space="preserve"> ratio if </w:t>
      </w:r>
      <w:r w:rsidR="00B834FE">
        <w:rPr>
          <w:color w:val="000000" w:themeColor="text1"/>
        </w:rPr>
        <w:t xml:space="preserve">the </w:t>
      </w:r>
      <w:r w:rsidRPr="001958F9">
        <w:rPr>
          <w:color w:val="000000" w:themeColor="text1"/>
        </w:rPr>
        <w:t xml:space="preserve">dipstick </w:t>
      </w:r>
      <w:r>
        <w:rPr>
          <w:color w:val="000000" w:themeColor="text1"/>
        </w:rPr>
        <w:t xml:space="preserve">is </w:t>
      </w:r>
      <w:r w:rsidRPr="001958F9">
        <w:rPr>
          <w:color w:val="000000" w:themeColor="text1"/>
        </w:rPr>
        <w:t xml:space="preserve">positive), urine microscopy and culture, baseline blood tests (complete blood count, urea and electrolytes, liver function tests, and clotting), as well as physical examination and cardiotocography </w:t>
      </w:r>
      <w:r>
        <w:rPr>
          <w:noProof/>
          <w:color w:val="000000" w:themeColor="text1"/>
        </w:rPr>
        <w:t>[26, 29]</w:t>
      </w:r>
      <w:r w:rsidRPr="001958F9">
        <w:rPr>
          <w:color w:val="000000" w:themeColor="text1"/>
        </w:rPr>
        <w:t xml:space="preserve">. Another study concluded that the combination of </w:t>
      </w:r>
      <w:r w:rsidR="00722BA6">
        <w:rPr>
          <w:color w:val="000000" w:themeColor="text1"/>
        </w:rPr>
        <w:t>maternal characteristics, mean ar</w:t>
      </w:r>
      <w:r w:rsidR="00AD4F93">
        <w:rPr>
          <w:color w:val="000000" w:themeColor="text1"/>
        </w:rPr>
        <w:t xml:space="preserve">terial pressure, </w:t>
      </w:r>
      <w:r w:rsidRPr="001958F9">
        <w:rPr>
          <w:color w:val="000000" w:themeColor="text1"/>
        </w:rPr>
        <w:t xml:space="preserve">late first-trimester uterine artery Doppler </w:t>
      </w:r>
      <w:proofErr w:type="spellStart"/>
      <w:r w:rsidR="00AD4F93">
        <w:rPr>
          <w:color w:val="000000" w:themeColor="text1"/>
        </w:rPr>
        <w:t>pulsatility</w:t>
      </w:r>
      <w:proofErr w:type="spellEnd"/>
      <w:r w:rsidR="00AD4F93">
        <w:rPr>
          <w:color w:val="000000" w:themeColor="text1"/>
        </w:rPr>
        <w:t xml:space="preserve"> index</w:t>
      </w:r>
      <w:r w:rsidRPr="001958F9">
        <w:rPr>
          <w:color w:val="000000" w:themeColor="text1"/>
        </w:rPr>
        <w:t xml:space="preserve">, placental growth factor, and pregnancy-associated plasma protein-A in maternal blood was successful in predicting about 95% of cases of early-onset PE </w:t>
      </w:r>
      <w:r w:rsidR="00495CF5">
        <w:rPr>
          <w:color w:val="000000" w:themeColor="text1"/>
        </w:rPr>
        <w:t>and had a</w:t>
      </w:r>
      <w:r w:rsidRPr="001958F9">
        <w:rPr>
          <w:color w:val="000000" w:themeColor="text1"/>
        </w:rPr>
        <w:t xml:space="preserve"> false-positive rate of 10% (sensitivity 93% [95% CI 76–98%]; specificity 95% [94–96%]) </w:t>
      </w:r>
      <w:r>
        <w:rPr>
          <w:noProof/>
          <w:color w:val="000000" w:themeColor="text1"/>
        </w:rPr>
        <w:t>[50]</w:t>
      </w:r>
      <w:r w:rsidRPr="001958F9">
        <w:rPr>
          <w:color w:val="000000" w:themeColor="text1"/>
        </w:rPr>
        <w:t>.</w:t>
      </w:r>
    </w:p>
    <w:p w14:paraId="3DE6F9CE" w14:textId="472DC56C" w:rsidR="00E75882" w:rsidRPr="001958F9" w:rsidRDefault="006B47FB" w:rsidP="0080792B">
      <w:pPr>
        <w:shd w:val="clear" w:color="auto" w:fill="FFFFFF" w:themeFill="background1"/>
        <w:spacing w:after="0"/>
        <w:rPr>
          <w:rFonts w:ascii="Arial Narrow" w:hAnsi="Arial Narrow"/>
          <w:b/>
          <w:bCs/>
          <w:color w:val="000000" w:themeColor="text1"/>
          <w:sz w:val="20"/>
          <w:szCs w:val="20"/>
        </w:rPr>
      </w:pPr>
      <w:hyperlink w:anchor="Title_Table4" w:history="1">
        <w:r w:rsidR="00E75882" w:rsidRPr="00C1057F">
          <w:rPr>
            <w:rStyle w:val="Hyperlink"/>
            <w:color w:val="000000" w:themeColor="text1"/>
            <w:u w:val="none"/>
          </w:rPr>
          <w:t xml:space="preserve">Table </w:t>
        </w:r>
        <w:r w:rsidR="00C1057F" w:rsidRPr="00C1057F">
          <w:rPr>
            <w:rStyle w:val="Hyperlink"/>
            <w:color w:val="000000" w:themeColor="text1"/>
            <w:u w:val="none"/>
          </w:rPr>
          <w:t>4</w:t>
        </w:r>
      </w:hyperlink>
      <w:r w:rsidR="00E75882" w:rsidRPr="001958F9">
        <w:rPr>
          <w:color w:val="000000" w:themeColor="text1"/>
        </w:rPr>
        <w:t xml:space="preserve"> represents various diagnostic criteria </w:t>
      </w:r>
      <w:r w:rsidR="00E75882">
        <w:rPr>
          <w:color w:val="000000" w:themeColor="text1"/>
        </w:rPr>
        <w:t xml:space="preserve">for </w:t>
      </w:r>
      <w:r w:rsidR="00EB736B">
        <w:rPr>
          <w:color w:val="000000" w:themeColor="text1"/>
        </w:rPr>
        <w:t>diagnosing</w:t>
      </w:r>
      <w:r w:rsidR="00E75882" w:rsidRPr="001958F9">
        <w:rPr>
          <w:color w:val="000000" w:themeColor="text1"/>
        </w:rPr>
        <w:t xml:space="preserve"> PE based on the Society of Obstetric Medicine of Australia and New Zealand (SOMANZ) guidelines for managing hypertensive disorders of pregnancy </w:t>
      </w:r>
      <w:r w:rsidR="00E75882">
        <w:rPr>
          <w:noProof/>
          <w:color w:val="000000" w:themeColor="text1"/>
        </w:rPr>
        <w:t>[6]</w:t>
      </w:r>
      <w:r w:rsidR="00E75882" w:rsidRPr="001958F9">
        <w:rPr>
          <w:color w:val="000000" w:themeColor="text1"/>
        </w:rPr>
        <w:t>.</w:t>
      </w:r>
    </w:p>
    <w:p w14:paraId="610A16AC" w14:textId="6994DE04" w:rsidR="00E75882" w:rsidRPr="001958F9" w:rsidRDefault="00E75882" w:rsidP="005A7250">
      <w:pPr>
        <w:pStyle w:val="TableHeading"/>
      </w:pPr>
      <w:bookmarkStart w:id="22" w:name="Title_Table4"/>
      <w:r w:rsidRPr="001958F9">
        <w:t xml:space="preserve">Table </w:t>
      </w:r>
      <w:r w:rsidR="002F51C7">
        <w:t>4</w:t>
      </w:r>
      <w:r w:rsidRPr="001958F9">
        <w:t>:</w:t>
      </w:r>
      <w:r w:rsidR="0080792B">
        <w:t xml:space="preserve"> </w:t>
      </w:r>
      <w:r w:rsidRPr="001958F9">
        <w:t>General diagnostic criteria for PE (SOMANZ guidelines)</w:t>
      </w:r>
    </w:p>
    <w:tbl>
      <w:tblPr>
        <w:tblStyle w:val="TableGrid"/>
        <w:tblW w:w="0" w:type="auto"/>
        <w:tblLook w:val="04A0" w:firstRow="1" w:lastRow="0" w:firstColumn="1" w:lastColumn="0" w:noHBand="0" w:noVBand="1"/>
      </w:tblPr>
      <w:tblGrid>
        <w:gridCol w:w="2689"/>
        <w:gridCol w:w="6327"/>
      </w:tblGrid>
      <w:tr w:rsidR="00E75882" w:rsidRPr="001958F9" w14:paraId="7C2219BA" w14:textId="77777777" w:rsidTr="00EF551E">
        <w:trPr>
          <w:trHeight w:val="219"/>
          <w:tblHeader/>
        </w:trPr>
        <w:tc>
          <w:tcPr>
            <w:tcW w:w="2689" w:type="dxa"/>
          </w:tcPr>
          <w:bookmarkEnd w:id="22"/>
          <w:p w14:paraId="5B149F39" w14:textId="77777777" w:rsidR="00E75882" w:rsidRPr="001958F9" w:rsidRDefault="00E75882" w:rsidP="00EF551E">
            <w:pPr>
              <w:keepNext/>
              <w:shd w:val="clear" w:color="auto" w:fill="FFFFFF" w:themeFill="background1"/>
              <w:spacing w:after="0" w:line="240" w:lineRule="auto"/>
              <w:jc w:val="both"/>
              <w:rPr>
                <w:rFonts w:ascii="Arial Narrow" w:hAnsi="Arial Narrow"/>
                <w:b/>
                <w:bCs/>
                <w:color w:val="000000" w:themeColor="text1"/>
                <w:sz w:val="20"/>
                <w:szCs w:val="20"/>
              </w:rPr>
            </w:pPr>
            <w:r w:rsidRPr="001958F9">
              <w:rPr>
                <w:rFonts w:ascii="Arial Narrow" w:hAnsi="Arial Narrow"/>
                <w:b/>
                <w:bCs/>
                <w:color w:val="000000" w:themeColor="text1"/>
                <w:sz w:val="20"/>
                <w:szCs w:val="20"/>
              </w:rPr>
              <w:t>Factor (dysfunction)</w:t>
            </w:r>
          </w:p>
        </w:tc>
        <w:tc>
          <w:tcPr>
            <w:tcW w:w="6327" w:type="dxa"/>
          </w:tcPr>
          <w:p w14:paraId="412D2646" w14:textId="77777777" w:rsidR="00E75882" w:rsidRPr="001958F9" w:rsidRDefault="00E75882" w:rsidP="00EF551E">
            <w:pPr>
              <w:keepNext/>
              <w:shd w:val="clear" w:color="auto" w:fill="FFFFFF" w:themeFill="background1"/>
              <w:spacing w:after="0" w:line="240" w:lineRule="auto"/>
              <w:jc w:val="both"/>
              <w:rPr>
                <w:rFonts w:ascii="Arial Narrow" w:hAnsi="Arial Narrow"/>
                <w:b/>
                <w:bCs/>
                <w:color w:val="000000" w:themeColor="text1"/>
                <w:sz w:val="20"/>
                <w:szCs w:val="20"/>
              </w:rPr>
            </w:pPr>
            <w:r w:rsidRPr="001958F9">
              <w:rPr>
                <w:rFonts w:ascii="Arial Narrow" w:hAnsi="Arial Narrow"/>
                <w:b/>
                <w:bCs/>
                <w:color w:val="000000" w:themeColor="text1"/>
                <w:sz w:val="20"/>
                <w:szCs w:val="20"/>
              </w:rPr>
              <w:t>Outcome measures</w:t>
            </w:r>
          </w:p>
        </w:tc>
      </w:tr>
      <w:tr w:rsidR="00E75882" w:rsidRPr="001958F9" w14:paraId="7B91F034" w14:textId="77777777" w:rsidTr="00EF551E">
        <w:tc>
          <w:tcPr>
            <w:tcW w:w="2689" w:type="dxa"/>
          </w:tcPr>
          <w:p w14:paraId="4341EDA8" w14:textId="77777777" w:rsidR="00E75882" w:rsidRPr="001958F9" w:rsidRDefault="00E75882" w:rsidP="00EF551E">
            <w:pPr>
              <w:keepNext/>
              <w:shd w:val="clear" w:color="auto" w:fill="FFFFFF" w:themeFill="background1"/>
              <w:tabs>
                <w:tab w:val="left" w:pos="1365"/>
              </w:tabs>
              <w:spacing w:after="0"/>
              <w:jc w:val="both"/>
              <w:rPr>
                <w:rFonts w:ascii="Arial Narrow" w:hAnsi="Arial Narrow"/>
                <w:color w:val="000000" w:themeColor="text1"/>
                <w:sz w:val="20"/>
                <w:szCs w:val="20"/>
              </w:rPr>
            </w:pPr>
            <w:r w:rsidRPr="001958F9">
              <w:rPr>
                <w:rFonts w:ascii="Arial Narrow" w:hAnsi="Arial Narrow"/>
                <w:color w:val="000000" w:themeColor="text1"/>
                <w:sz w:val="20"/>
                <w:szCs w:val="20"/>
              </w:rPr>
              <w:t>Gestational hypertension</w:t>
            </w:r>
          </w:p>
        </w:tc>
        <w:tc>
          <w:tcPr>
            <w:tcW w:w="6327" w:type="dxa"/>
          </w:tcPr>
          <w:p w14:paraId="53470DE3" w14:textId="444AD5EE" w:rsidR="00E75882" w:rsidRPr="001958F9" w:rsidRDefault="00E75882" w:rsidP="00EF551E">
            <w:pPr>
              <w:keepNext/>
              <w:shd w:val="clear" w:color="auto" w:fill="FFFFFF" w:themeFill="background1"/>
              <w:spacing w:after="0"/>
              <w:jc w:val="both"/>
              <w:rPr>
                <w:rFonts w:ascii="Arial Narrow" w:hAnsi="Arial Narrow"/>
                <w:color w:val="000000" w:themeColor="text1"/>
                <w:sz w:val="20"/>
                <w:szCs w:val="20"/>
              </w:rPr>
            </w:pPr>
            <w:r w:rsidRPr="001958F9">
              <w:rPr>
                <w:rFonts w:ascii="Arial Narrow" w:hAnsi="Arial Narrow"/>
                <w:color w:val="000000" w:themeColor="text1"/>
                <w:sz w:val="20"/>
                <w:szCs w:val="20"/>
              </w:rPr>
              <w:t>Hypertension (systolic blood pressure, &gt;140 mmHg, or diastolic blood pressure, &gt;90 mmHg, on at least two occasions 4 hours apart, was experienced after 20 weeks gestation in previously normotensive women.</w:t>
            </w:r>
          </w:p>
          <w:p w14:paraId="67EC9EB8" w14:textId="77777777" w:rsidR="00E75882" w:rsidRPr="001958F9" w:rsidRDefault="00E75882" w:rsidP="00EF551E">
            <w:pPr>
              <w:keepNext/>
              <w:shd w:val="clear" w:color="auto" w:fill="FFFFFF" w:themeFill="background1"/>
              <w:spacing w:after="0"/>
              <w:jc w:val="both"/>
              <w:rPr>
                <w:rFonts w:ascii="Arial Narrow" w:hAnsi="Arial Narrow"/>
                <w:color w:val="000000" w:themeColor="text1"/>
                <w:sz w:val="20"/>
                <w:szCs w:val="20"/>
              </w:rPr>
            </w:pPr>
            <w:r w:rsidRPr="001958F9">
              <w:rPr>
                <w:rFonts w:ascii="Arial Narrow" w:hAnsi="Arial Narrow"/>
                <w:color w:val="000000" w:themeColor="text1"/>
                <w:sz w:val="20"/>
                <w:szCs w:val="20"/>
              </w:rPr>
              <w:t>Severe hypertension: blood pressure of 160/110 mmHg or more</w:t>
            </w:r>
          </w:p>
        </w:tc>
      </w:tr>
      <w:tr w:rsidR="00E75882" w:rsidRPr="001958F9" w14:paraId="57CE2432" w14:textId="77777777" w:rsidTr="00EF551E">
        <w:tc>
          <w:tcPr>
            <w:tcW w:w="9016" w:type="dxa"/>
            <w:gridSpan w:val="2"/>
          </w:tcPr>
          <w:p w14:paraId="28B8E24B" w14:textId="77777777" w:rsidR="00E75882" w:rsidRPr="001958F9" w:rsidRDefault="00E75882" w:rsidP="00EF551E">
            <w:pPr>
              <w:shd w:val="clear" w:color="auto" w:fill="FFFFFF" w:themeFill="background1"/>
              <w:spacing w:after="0"/>
              <w:jc w:val="both"/>
              <w:rPr>
                <w:rFonts w:ascii="Arial Narrow" w:hAnsi="Arial Narrow"/>
                <w:b/>
                <w:bCs/>
                <w:color w:val="000000" w:themeColor="text1"/>
                <w:sz w:val="20"/>
                <w:szCs w:val="20"/>
              </w:rPr>
            </w:pPr>
            <w:r w:rsidRPr="001958F9">
              <w:rPr>
                <w:rFonts w:ascii="Arial Narrow" w:hAnsi="Arial Narrow"/>
                <w:b/>
                <w:bCs/>
                <w:color w:val="000000" w:themeColor="text1"/>
                <w:sz w:val="20"/>
                <w:szCs w:val="20"/>
              </w:rPr>
              <w:t>Plus, one or more of the following signs of organ involvement.</w:t>
            </w:r>
          </w:p>
        </w:tc>
      </w:tr>
      <w:tr w:rsidR="00E75882" w:rsidRPr="001958F9" w14:paraId="618A9A76" w14:textId="77777777" w:rsidTr="00EF551E">
        <w:tc>
          <w:tcPr>
            <w:tcW w:w="2689" w:type="dxa"/>
          </w:tcPr>
          <w:p w14:paraId="1A4F80E9" w14:textId="77777777" w:rsidR="00E75882" w:rsidRPr="001958F9" w:rsidRDefault="00E75882" w:rsidP="00EF551E">
            <w:pPr>
              <w:shd w:val="clear" w:color="auto" w:fill="FFFFFF" w:themeFill="background1"/>
              <w:tabs>
                <w:tab w:val="left" w:pos="1365"/>
              </w:tabs>
              <w:spacing w:after="0"/>
              <w:jc w:val="both"/>
              <w:rPr>
                <w:rFonts w:ascii="Arial Narrow" w:hAnsi="Arial Narrow"/>
                <w:color w:val="000000" w:themeColor="text1"/>
                <w:sz w:val="20"/>
                <w:szCs w:val="20"/>
              </w:rPr>
            </w:pPr>
            <w:r w:rsidRPr="001958F9">
              <w:rPr>
                <w:rFonts w:ascii="Arial Narrow" w:hAnsi="Arial Narrow"/>
                <w:color w:val="000000" w:themeColor="text1"/>
                <w:sz w:val="20"/>
                <w:szCs w:val="20"/>
              </w:rPr>
              <w:t>Renal involvement</w:t>
            </w:r>
          </w:p>
        </w:tc>
        <w:tc>
          <w:tcPr>
            <w:tcW w:w="6327" w:type="dxa"/>
          </w:tcPr>
          <w:p w14:paraId="77112FF3" w14:textId="21FE7109" w:rsidR="00E75882" w:rsidRDefault="00E75882" w:rsidP="00EF551E">
            <w:pPr>
              <w:shd w:val="clear" w:color="auto" w:fill="FFFFFF" w:themeFill="background1"/>
              <w:spacing w:after="0"/>
              <w:jc w:val="both"/>
              <w:rPr>
                <w:rFonts w:ascii="Arial Narrow" w:hAnsi="Arial Narrow"/>
                <w:color w:val="000000" w:themeColor="text1"/>
                <w:sz w:val="20"/>
                <w:szCs w:val="20"/>
              </w:rPr>
            </w:pPr>
            <w:r w:rsidRPr="001958F9">
              <w:rPr>
                <w:rFonts w:ascii="Arial Narrow" w:hAnsi="Arial Narrow"/>
                <w:color w:val="000000" w:themeColor="text1"/>
                <w:sz w:val="20"/>
                <w:szCs w:val="20"/>
              </w:rPr>
              <w:t xml:space="preserve">Significant proteinuria – a spot urine protein/creatinine ratio ≥ 30 mg/mmol </w:t>
            </w:r>
          </w:p>
          <w:p w14:paraId="69697E27" w14:textId="5F49FC28" w:rsidR="00E75882" w:rsidRDefault="00E75882" w:rsidP="00EF551E">
            <w:pPr>
              <w:shd w:val="clear" w:color="auto" w:fill="FFFFFF" w:themeFill="background1"/>
              <w:spacing w:after="0"/>
              <w:jc w:val="both"/>
              <w:rPr>
                <w:rFonts w:ascii="Arial Narrow" w:hAnsi="Arial Narrow"/>
                <w:color w:val="000000" w:themeColor="text1"/>
                <w:sz w:val="20"/>
                <w:szCs w:val="20"/>
              </w:rPr>
            </w:pPr>
            <w:r w:rsidRPr="001958F9">
              <w:rPr>
                <w:rFonts w:ascii="Arial Narrow" w:hAnsi="Arial Narrow"/>
                <w:color w:val="000000" w:themeColor="text1"/>
                <w:sz w:val="20"/>
                <w:szCs w:val="20"/>
              </w:rPr>
              <w:t xml:space="preserve">Serum or plasma creatinine &gt;90 </w:t>
            </w:r>
            <w:r>
              <w:rPr>
                <w:rFonts w:ascii="Arial Narrow" w:hAnsi="Arial Narrow"/>
                <w:color w:val="000000" w:themeColor="text1"/>
                <w:sz w:val="20"/>
                <w:szCs w:val="20"/>
              </w:rPr>
              <w:t>µ</w:t>
            </w:r>
            <w:r w:rsidRPr="001958F9">
              <w:rPr>
                <w:rFonts w:ascii="Arial Narrow" w:hAnsi="Arial Narrow"/>
                <w:color w:val="000000" w:themeColor="text1"/>
                <w:sz w:val="20"/>
                <w:szCs w:val="20"/>
              </w:rPr>
              <w:t>mol/</w:t>
            </w:r>
            <w:proofErr w:type="spellStart"/>
            <w:r w:rsidRPr="001958F9">
              <w:rPr>
                <w:rFonts w:ascii="Arial Narrow" w:hAnsi="Arial Narrow"/>
                <w:color w:val="000000" w:themeColor="text1"/>
                <w:sz w:val="20"/>
                <w:szCs w:val="20"/>
              </w:rPr>
              <w:t>Ld</w:t>
            </w:r>
            <w:proofErr w:type="spellEnd"/>
          </w:p>
          <w:p w14:paraId="0F198832" w14:textId="15B40516" w:rsidR="00E75882" w:rsidRPr="001958F9" w:rsidRDefault="00E75882" w:rsidP="00EF551E">
            <w:pPr>
              <w:shd w:val="clear" w:color="auto" w:fill="FFFFFF" w:themeFill="background1"/>
              <w:spacing w:after="0"/>
              <w:jc w:val="both"/>
              <w:rPr>
                <w:rFonts w:ascii="Arial Narrow" w:hAnsi="Arial Narrow"/>
                <w:color w:val="000000" w:themeColor="text1"/>
                <w:sz w:val="20"/>
                <w:szCs w:val="20"/>
              </w:rPr>
            </w:pPr>
            <w:r w:rsidRPr="001958F9">
              <w:rPr>
                <w:rFonts w:ascii="Arial Narrow" w:hAnsi="Arial Narrow"/>
                <w:color w:val="000000" w:themeColor="text1"/>
                <w:sz w:val="20"/>
                <w:szCs w:val="20"/>
              </w:rPr>
              <w:t>Oliguria: &lt;80 mL/4 h</w:t>
            </w:r>
            <w:r w:rsidR="0028765D">
              <w:rPr>
                <w:rFonts w:ascii="Arial Narrow" w:hAnsi="Arial Narrow"/>
                <w:color w:val="000000" w:themeColor="text1"/>
                <w:sz w:val="20"/>
                <w:szCs w:val="20"/>
              </w:rPr>
              <w:t>ou</w:t>
            </w:r>
            <w:r>
              <w:rPr>
                <w:rFonts w:ascii="Arial Narrow" w:hAnsi="Arial Narrow"/>
                <w:color w:val="000000" w:themeColor="text1"/>
                <w:sz w:val="20"/>
                <w:szCs w:val="20"/>
              </w:rPr>
              <w:t>r</w:t>
            </w:r>
          </w:p>
        </w:tc>
      </w:tr>
      <w:tr w:rsidR="00E75882" w:rsidRPr="001958F9" w14:paraId="35B5FAA6" w14:textId="77777777" w:rsidTr="00EF551E">
        <w:tc>
          <w:tcPr>
            <w:tcW w:w="2689" w:type="dxa"/>
          </w:tcPr>
          <w:p w14:paraId="1D5498D4" w14:textId="77777777" w:rsidR="00E75882" w:rsidRPr="001958F9" w:rsidRDefault="00E75882" w:rsidP="00EF551E">
            <w:pPr>
              <w:shd w:val="clear" w:color="auto" w:fill="FFFFFF" w:themeFill="background1"/>
              <w:tabs>
                <w:tab w:val="left" w:pos="1365"/>
              </w:tabs>
              <w:spacing w:after="0"/>
              <w:jc w:val="both"/>
              <w:rPr>
                <w:rFonts w:ascii="Arial Narrow" w:hAnsi="Arial Narrow"/>
                <w:color w:val="000000" w:themeColor="text1"/>
                <w:sz w:val="20"/>
                <w:szCs w:val="20"/>
              </w:rPr>
            </w:pPr>
            <w:r w:rsidRPr="001958F9">
              <w:rPr>
                <w:rFonts w:ascii="Arial Narrow" w:hAnsi="Arial Narrow"/>
                <w:color w:val="000000" w:themeColor="text1"/>
                <w:sz w:val="20"/>
                <w:szCs w:val="20"/>
              </w:rPr>
              <w:t>Proteinuria</w:t>
            </w:r>
          </w:p>
        </w:tc>
        <w:tc>
          <w:tcPr>
            <w:tcW w:w="6327" w:type="dxa"/>
          </w:tcPr>
          <w:p w14:paraId="5177CF70" w14:textId="77777777" w:rsidR="00E75882" w:rsidRPr="001958F9" w:rsidRDefault="00E75882" w:rsidP="00EF551E">
            <w:pPr>
              <w:shd w:val="clear" w:color="auto" w:fill="FFFFFF" w:themeFill="background1"/>
              <w:spacing w:after="0"/>
              <w:jc w:val="both"/>
              <w:rPr>
                <w:rFonts w:ascii="Arial Narrow" w:hAnsi="Arial Narrow"/>
                <w:color w:val="000000" w:themeColor="text1"/>
                <w:sz w:val="20"/>
                <w:szCs w:val="20"/>
              </w:rPr>
            </w:pPr>
            <w:r w:rsidRPr="001958F9">
              <w:rPr>
                <w:rFonts w:ascii="Arial Narrow" w:hAnsi="Arial Narrow"/>
                <w:color w:val="000000" w:themeColor="text1"/>
                <w:sz w:val="20"/>
                <w:szCs w:val="20"/>
              </w:rPr>
              <w:t>Initial assessment with automated dipstick urinalysis. If unavailable, visual analysis can be used.</w:t>
            </w:r>
          </w:p>
          <w:p w14:paraId="7C5DCE08" w14:textId="0B0B8A43" w:rsidR="00E75882" w:rsidRPr="001958F9" w:rsidRDefault="00E75882" w:rsidP="00EF551E">
            <w:pPr>
              <w:shd w:val="clear" w:color="auto" w:fill="FFFFFF" w:themeFill="background1"/>
              <w:spacing w:after="0"/>
              <w:jc w:val="both"/>
              <w:rPr>
                <w:rFonts w:ascii="Arial Narrow" w:hAnsi="Arial Narrow"/>
                <w:color w:val="000000" w:themeColor="text1"/>
                <w:sz w:val="20"/>
                <w:szCs w:val="20"/>
              </w:rPr>
            </w:pPr>
            <w:r w:rsidRPr="001958F9">
              <w:rPr>
                <w:rFonts w:ascii="Arial Narrow" w:hAnsi="Arial Narrow"/>
                <w:color w:val="000000" w:themeColor="text1"/>
                <w:sz w:val="20"/>
                <w:szCs w:val="20"/>
              </w:rPr>
              <w:t>If dipstick is positive (≥1+), confirmed with spot urine</w:t>
            </w:r>
            <w:r w:rsidR="00EB736B">
              <w:rPr>
                <w:rFonts w:ascii="Arial Narrow" w:hAnsi="Arial Narrow"/>
                <w:color w:val="000000" w:themeColor="text1"/>
                <w:sz w:val="20"/>
                <w:szCs w:val="20"/>
              </w:rPr>
              <w:t>,</w:t>
            </w:r>
            <w:r>
              <w:rPr>
                <w:rFonts w:ascii="Arial Narrow" w:hAnsi="Arial Narrow"/>
                <w:color w:val="000000" w:themeColor="text1"/>
                <w:sz w:val="20"/>
                <w:szCs w:val="20"/>
              </w:rPr>
              <w:t xml:space="preserve"> which is</w:t>
            </w:r>
            <w:r w:rsidRPr="001958F9">
              <w:rPr>
                <w:rFonts w:ascii="Arial Narrow" w:hAnsi="Arial Narrow"/>
                <w:color w:val="000000" w:themeColor="text1"/>
                <w:sz w:val="20"/>
                <w:szCs w:val="20"/>
              </w:rPr>
              <w:t xml:space="preserve"> </w:t>
            </w:r>
            <w:r>
              <w:rPr>
                <w:rFonts w:ascii="Arial Narrow" w:hAnsi="Arial Narrow"/>
                <w:color w:val="000000" w:themeColor="text1"/>
                <w:sz w:val="20"/>
                <w:szCs w:val="20"/>
              </w:rPr>
              <w:t>a</w:t>
            </w:r>
            <w:r w:rsidRPr="001958F9">
              <w:rPr>
                <w:rFonts w:ascii="Arial Narrow" w:hAnsi="Arial Narrow"/>
                <w:color w:val="000000" w:themeColor="text1"/>
                <w:sz w:val="20"/>
                <w:szCs w:val="20"/>
              </w:rPr>
              <w:t xml:space="preserve">bnormal if </w:t>
            </w:r>
            <w:proofErr w:type="spellStart"/>
            <w:proofErr w:type="gramStart"/>
            <w:r w:rsidRPr="001958F9">
              <w:rPr>
                <w:rFonts w:ascii="Arial Narrow" w:hAnsi="Arial Narrow"/>
                <w:color w:val="000000" w:themeColor="text1"/>
                <w:sz w:val="20"/>
                <w:szCs w:val="20"/>
              </w:rPr>
              <w:t>P</w:t>
            </w:r>
            <w:r>
              <w:rPr>
                <w:rFonts w:ascii="Arial Narrow" w:hAnsi="Arial Narrow"/>
                <w:color w:val="000000" w:themeColor="text1"/>
                <w:sz w:val="20"/>
                <w:szCs w:val="20"/>
              </w:rPr>
              <w:t>rotein</w:t>
            </w:r>
            <w:r w:rsidRPr="001958F9">
              <w:rPr>
                <w:rFonts w:ascii="Arial Narrow" w:hAnsi="Arial Narrow"/>
                <w:color w:val="000000" w:themeColor="text1"/>
                <w:sz w:val="20"/>
                <w:szCs w:val="20"/>
              </w:rPr>
              <w:t>:Cr</w:t>
            </w:r>
            <w:proofErr w:type="spellEnd"/>
            <w:proofErr w:type="gramEnd"/>
            <w:r w:rsidRPr="001958F9">
              <w:rPr>
                <w:rFonts w:ascii="Arial Narrow" w:hAnsi="Arial Narrow"/>
                <w:color w:val="000000" w:themeColor="text1"/>
                <w:sz w:val="20"/>
                <w:szCs w:val="20"/>
              </w:rPr>
              <w:t xml:space="preserve"> ≥ 30 mg/mmol or </w:t>
            </w:r>
            <w:proofErr w:type="spellStart"/>
            <w:r w:rsidRPr="001958F9">
              <w:rPr>
                <w:rFonts w:ascii="Arial Narrow" w:hAnsi="Arial Narrow"/>
                <w:color w:val="000000" w:themeColor="text1"/>
                <w:sz w:val="20"/>
                <w:szCs w:val="20"/>
              </w:rPr>
              <w:t>A</w:t>
            </w:r>
            <w:r>
              <w:rPr>
                <w:rFonts w:ascii="Arial Narrow" w:hAnsi="Arial Narrow"/>
                <w:color w:val="000000" w:themeColor="text1"/>
                <w:sz w:val="20"/>
                <w:szCs w:val="20"/>
              </w:rPr>
              <w:t>lbumin</w:t>
            </w:r>
            <w:r w:rsidRPr="001958F9">
              <w:rPr>
                <w:rFonts w:ascii="Arial Narrow" w:hAnsi="Arial Narrow"/>
                <w:color w:val="000000" w:themeColor="text1"/>
                <w:sz w:val="20"/>
                <w:szCs w:val="20"/>
              </w:rPr>
              <w:t>:Cr</w:t>
            </w:r>
            <w:proofErr w:type="spellEnd"/>
            <w:r w:rsidRPr="001958F9">
              <w:rPr>
                <w:rFonts w:ascii="Arial Narrow" w:hAnsi="Arial Narrow"/>
                <w:color w:val="000000" w:themeColor="text1"/>
                <w:sz w:val="20"/>
                <w:szCs w:val="20"/>
              </w:rPr>
              <w:t xml:space="preserve"> ≥ 8 mg/mmol</w:t>
            </w:r>
          </w:p>
        </w:tc>
      </w:tr>
      <w:tr w:rsidR="00E75882" w:rsidRPr="001958F9" w14:paraId="4BF1A5CB" w14:textId="77777777" w:rsidTr="00EF551E">
        <w:tc>
          <w:tcPr>
            <w:tcW w:w="2689" w:type="dxa"/>
          </w:tcPr>
          <w:p w14:paraId="215D81F5" w14:textId="77777777" w:rsidR="00E75882" w:rsidRPr="001958F9" w:rsidRDefault="00E75882" w:rsidP="00EF551E">
            <w:pPr>
              <w:shd w:val="clear" w:color="auto" w:fill="FFFFFF" w:themeFill="background1"/>
              <w:tabs>
                <w:tab w:val="left" w:pos="1365"/>
              </w:tabs>
              <w:spacing w:after="0"/>
              <w:jc w:val="both"/>
              <w:rPr>
                <w:rFonts w:ascii="Arial Narrow" w:hAnsi="Arial Narrow"/>
                <w:color w:val="000000" w:themeColor="text1"/>
                <w:sz w:val="20"/>
                <w:szCs w:val="20"/>
              </w:rPr>
            </w:pPr>
            <w:r w:rsidRPr="001958F9">
              <w:rPr>
                <w:rFonts w:ascii="Arial Narrow" w:hAnsi="Arial Narrow"/>
                <w:color w:val="000000" w:themeColor="text1"/>
                <w:sz w:val="20"/>
                <w:szCs w:val="20"/>
              </w:rPr>
              <w:lastRenderedPageBreak/>
              <w:t>Haematological involvement</w:t>
            </w:r>
          </w:p>
        </w:tc>
        <w:tc>
          <w:tcPr>
            <w:tcW w:w="6327" w:type="dxa"/>
          </w:tcPr>
          <w:p w14:paraId="1B4F4AB4" w14:textId="5EA141A9" w:rsidR="00E75882" w:rsidRPr="001958F9" w:rsidRDefault="00E75882" w:rsidP="00EF551E">
            <w:pPr>
              <w:shd w:val="clear" w:color="auto" w:fill="FFFFFF" w:themeFill="background1"/>
              <w:spacing w:after="0"/>
              <w:jc w:val="both"/>
              <w:rPr>
                <w:rFonts w:ascii="Arial Narrow" w:hAnsi="Arial Narrow"/>
                <w:color w:val="000000" w:themeColor="text1"/>
                <w:sz w:val="20"/>
                <w:szCs w:val="20"/>
              </w:rPr>
            </w:pPr>
            <w:r w:rsidRPr="001958F9">
              <w:rPr>
                <w:rFonts w:ascii="Arial Narrow" w:hAnsi="Arial Narrow"/>
                <w:color w:val="000000" w:themeColor="text1"/>
                <w:sz w:val="20"/>
                <w:szCs w:val="20"/>
              </w:rPr>
              <w:t>Thrombocytopenia &lt;100 000/</w:t>
            </w:r>
            <w:r>
              <w:rPr>
                <w:rFonts w:ascii="Arial Narrow" w:hAnsi="Arial Narrow"/>
                <w:color w:val="000000" w:themeColor="text1"/>
                <w:sz w:val="20"/>
                <w:szCs w:val="20"/>
              </w:rPr>
              <w:t>µ</w:t>
            </w:r>
            <w:r w:rsidRPr="001958F9">
              <w:rPr>
                <w:rFonts w:ascii="Arial Narrow" w:hAnsi="Arial Narrow"/>
                <w:color w:val="000000" w:themeColor="text1"/>
                <w:sz w:val="20"/>
                <w:szCs w:val="20"/>
              </w:rPr>
              <w:t xml:space="preserve">L Haemolysis: schistocytes or red cell fragments on the blood film, raised bilirubin, raised lactate dehydrogenase &gt;600 </w:t>
            </w:r>
            <w:proofErr w:type="spellStart"/>
            <w:r w:rsidRPr="001958F9">
              <w:rPr>
                <w:rFonts w:ascii="Arial Narrow" w:hAnsi="Arial Narrow"/>
                <w:color w:val="000000" w:themeColor="text1"/>
                <w:sz w:val="20"/>
                <w:szCs w:val="20"/>
              </w:rPr>
              <w:t>mIU</w:t>
            </w:r>
            <w:proofErr w:type="spellEnd"/>
            <w:r w:rsidRPr="001958F9">
              <w:rPr>
                <w:rFonts w:ascii="Arial Narrow" w:hAnsi="Arial Narrow"/>
                <w:color w:val="000000" w:themeColor="text1"/>
                <w:sz w:val="20"/>
                <w:szCs w:val="20"/>
              </w:rPr>
              <w:t>/L, decreased haptoglobin</w:t>
            </w:r>
          </w:p>
        </w:tc>
      </w:tr>
      <w:tr w:rsidR="00E75882" w:rsidRPr="001958F9" w14:paraId="5806B2DA" w14:textId="77777777" w:rsidTr="00EF551E">
        <w:tc>
          <w:tcPr>
            <w:tcW w:w="2689" w:type="dxa"/>
          </w:tcPr>
          <w:p w14:paraId="107244C0" w14:textId="77777777" w:rsidR="00E75882" w:rsidRPr="001958F9" w:rsidRDefault="00E75882" w:rsidP="00EF551E">
            <w:pPr>
              <w:shd w:val="clear" w:color="auto" w:fill="FFFFFF" w:themeFill="background1"/>
              <w:tabs>
                <w:tab w:val="left" w:pos="1365"/>
              </w:tabs>
              <w:spacing w:after="0"/>
              <w:jc w:val="both"/>
              <w:rPr>
                <w:rFonts w:ascii="Arial Narrow" w:hAnsi="Arial Narrow"/>
                <w:color w:val="000000" w:themeColor="text1"/>
                <w:sz w:val="20"/>
                <w:szCs w:val="20"/>
              </w:rPr>
            </w:pPr>
            <w:r w:rsidRPr="001958F9">
              <w:rPr>
                <w:rFonts w:ascii="Arial Narrow" w:hAnsi="Arial Narrow"/>
                <w:color w:val="000000" w:themeColor="text1"/>
                <w:sz w:val="20"/>
                <w:szCs w:val="20"/>
              </w:rPr>
              <w:t>Liver involvement</w:t>
            </w:r>
          </w:p>
        </w:tc>
        <w:tc>
          <w:tcPr>
            <w:tcW w:w="6327" w:type="dxa"/>
          </w:tcPr>
          <w:p w14:paraId="0AC431BA" w14:textId="30DE856B" w:rsidR="00E75882" w:rsidRDefault="00E75882" w:rsidP="00EF551E">
            <w:pPr>
              <w:shd w:val="clear" w:color="auto" w:fill="FFFFFF" w:themeFill="background1"/>
              <w:spacing w:after="0"/>
              <w:jc w:val="both"/>
              <w:rPr>
                <w:rFonts w:ascii="Arial Narrow" w:hAnsi="Arial Narrow"/>
                <w:color w:val="000000" w:themeColor="text1"/>
                <w:sz w:val="20"/>
                <w:szCs w:val="20"/>
              </w:rPr>
            </w:pPr>
            <w:r w:rsidRPr="001958F9">
              <w:rPr>
                <w:rFonts w:ascii="Arial Narrow" w:hAnsi="Arial Narrow"/>
                <w:color w:val="000000" w:themeColor="text1"/>
                <w:sz w:val="20"/>
                <w:szCs w:val="20"/>
              </w:rPr>
              <w:t xml:space="preserve">Raised serum transaminases </w:t>
            </w:r>
          </w:p>
          <w:p w14:paraId="23B453FC" w14:textId="77777777" w:rsidR="00E75882" w:rsidRPr="001958F9" w:rsidRDefault="00E75882" w:rsidP="00EF551E">
            <w:pPr>
              <w:shd w:val="clear" w:color="auto" w:fill="FFFFFF" w:themeFill="background1"/>
              <w:spacing w:after="0"/>
              <w:jc w:val="both"/>
              <w:rPr>
                <w:rFonts w:ascii="Arial Narrow" w:hAnsi="Arial Narrow"/>
                <w:color w:val="000000" w:themeColor="text1"/>
                <w:sz w:val="20"/>
                <w:szCs w:val="20"/>
              </w:rPr>
            </w:pPr>
            <w:r w:rsidRPr="001958F9">
              <w:rPr>
                <w:rFonts w:ascii="Arial Narrow" w:hAnsi="Arial Narrow"/>
                <w:color w:val="000000" w:themeColor="text1"/>
                <w:sz w:val="20"/>
                <w:szCs w:val="20"/>
              </w:rPr>
              <w:t>Severe epigastric and/or right upper quadrant pain.</w:t>
            </w:r>
          </w:p>
        </w:tc>
      </w:tr>
      <w:tr w:rsidR="00E75882" w:rsidRPr="001958F9" w14:paraId="1944C686" w14:textId="77777777" w:rsidTr="00EF551E">
        <w:tc>
          <w:tcPr>
            <w:tcW w:w="2689" w:type="dxa"/>
          </w:tcPr>
          <w:p w14:paraId="140839E7" w14:textId="77777777" w:rsidR="00E75882" w:rsidRPr="001958F9" w:rsidRDefault="00E75882" w:rsidP="00EF551E">
            <w:pPr>
              <w:shd w:val="clear" w:color="auto" w:fill="FFFFFF" w:themeFill="background1"/>
              <w:tabs>
                <w:tab w:val="left" w:pos="1365"/>
              </w:tabs>
              <w:spacing w:after="0"/>
              <w:jc w:val="both"/>
              <w:rPr>
                <w:rFonts w:ascii="Arial Narrow" w:hAnsi="Arial Narrow"/>
                <w:color w:val="000000" w:themeColor="text1"/>
                <w:sz w:val="20"/>
                <w:szCs w:val="20"/>
              </w:rPr>
            </w:pPr>
            <w:r w:rsidRPr="001958F9">
              <w:rPr>
                <w:rFonts w:ascii="Arial Narrow" w:hAnsi="Arial Narrow"/>
                <w:color w:val="000000" w:themeColor="text1"/>
                <w:sz w:val="20"/>
                <w:szCs w:val="20"/>
              </w:rPr>
              <w:t>Neurological involvement</w:t>
            </w:r>
          </w:p>
        </w:tc>
        <w:tc>
          <w:tcPr>
            <w:tcW w:w="6327" w:type="dxa"/>
          </w:tcPr>
          <w:p w14:paraId="1AA20B31" w14:textId="77777777" w:rsidR="00E75882" w:rsidRDefault="00E75882" w:rsidP="00EF551E">
            <w:pPr>
              <w:shd w:val="clear" w:color="auto" w:fill="FFFFFF" w:themeFill="background1"/>
              <w:spacing w:after="0"/>
              <w:jc w:val="both"/>
              <w:rPr>
                <w:rFonts w:ascii="Arial Narrow" w:hAnsi="Arial Narrow"/>
                <w:color w:val="000000" w:themeColor="text1"/>
                <w:sz w:val="20"/>
                <w:szCs w:val="20"/>
              </w:rPr>
            </w:pPr>
            <w:r w:rsidRPr="001958F9">
              <w:rPr>
                <w:rFonts w:ascii="Arial Narrow" w:hAnsi="Arial Narrow"/>
                <w:color w:val="000000" w:themeColor="text1"/>
                <w:sz w:val="20"/>
                <w:szCs w:val="20"/>
              </w:rPr>
              <w:t xml:space="preserve">Convulsions (eclampsia) </w:t>
            </w:r>
          </w:p>
          <w:p w14:paraId="55941A16" w14:textId="59C6290B" w:rsidR="00E75882" w:rsidRDefault="00E75882" w:rsidP="00EF551E">
            <w:pPr>
              <w:shd w:val="clear" w:color="auto" w:fill="FFFFFF" w:themeFill="background1"/>
              <w:spacing w:after="0"/>
              <w:jc w:val="both"/>
              <w:rPr>
                <w:rFonts w:ascii="Arial Narrow" w:hAnsi="Arial Narrow"/>
                <w:color w:val="000000" w:themeColor="text1"/>
                <w:sz w:val="20"/>
                <w:szCs w:val="20"/>
              </w:rPr>
            </w:pPr>
            <w:r w:rsidRPr="001958F9">
              <w:rPr>
                <w:rFonts w:ascii="Arial Narrow" w:hAnsi="Arial Narrow"/>
                <w:color w:val="000000" w:themeColor="text1"/>
                <w:sz w:val="20"/>
                <w:szCs w:val="20"/>
              </w:rPr>
              <w:t>Hype</w:t>
            </w:r>
            <w:r w:rsidR="00E53C1F">
              <w:rPr>
                <w:rFonts w:ascii="Arial Narrow" w:hAnsi="Arial Narrow"/>
                <w:color w:val="000000" w:themeColor="text1"/>
                <w:sz w:val="20"/>
                <w:szCs w:val="20"/>
              </w:rPr>
              <w:t>r</w:t>
            </w:r>
            <w:r w:rsidRPr="001958F9">
              <w:rPr>
                <w:rFonts w:ascii="Arial Narrow" w:hAnsi="Arial Narrow"/>
                <w:color w:val="000000" w:themeColor="text1"/>
                <w:sz w:val="20"/>
                <w:szCs w:val="20"/>
              </w:rPr>
              <w:t xml:space="preserve">reflexia with sustained clonus </w:t>
            </w:r>
          </w:p>
          <w:p w14:paraId="2DB99C2E" w14:textId="6B60D71E" w:rsidR="00E75882" w:rsidRDefault="00E75882" w:rsidP="00EF551E">
            <w:pPr>
              <w:shd w:val="clear" w:color="auto" w:fill="FFFFFF" w:themeFill="background1"/>
              <w:spacing w:after="0"/>
              <w:jc w:val="both"/>
              <w:rPr>
                <w:rFonts w:ascii="Arial Narrow" w:hAnsi="Arial Narrow"/>
                <w:color w:val="000000" w:themeColor="text1"/>
                <w:sz w:val="20"/>
                <w:szCs w:val="20"/>
              </w:rPr>
            </w:pPr>
            <w:r w:rsidRPr="001958F9">
              <w:rPr>
                <w:rFonts w:ascii="Arial Narrow" w:hAnsi="Arial Narrow"/>
                <w:color w:val="000000" w:themeColor="text1"/>
                <w:sz w:val="20"/>
                <w:szCs w:val="20"/>
              </w:rPr>
              <w:t xml:space="preserve">Persistent new headache </w:t>
            </w:r>
          </w:p>
          <w:p w14:paraId="44A9508D" w14:textId="77777777" w:rsidR="00E75882" w:rsidRDefault="00E75882" w:rsidP="00EF551E">
            <w:pPr>
              <w:shd w:val="clear" w:color="auto" w:fill="FFFFFF" w:themeFill="background1"/>
              <w:spacing w:after="0"/>
              <w:jc w:val="both"/>
              <w:rPr>
                <w:rFonts w:ascii="Arial Narrow" w:hAnsi="Arial Narrow"/>
                <w:color w:val="000000" w:themeColor="text1"/>
                <w:sz w:val="20"/>
                <w:szCs w:val="20"/>
              </w:rPr>
            </w:pPr>
            <w:r w:rsidRPr="001958F9">
              <w:rPr>
                <w:rFonts w:ascii="Arial Narrow" w:hAnsi="Arial Narrow"/>
                <w:color w:val="000000" w:themeColor="text1"/>
                <w:sz w:val="20"/>
                <w:szCs w:val="20"/>
              </w:rPr>
              <w:t xml:space="preserve">Persistent visual disturbances (photopsia, scotomata, cortical blindness, posterior reversible encephalopathy syndrome and retinal vasospasm) </w:t>
            </w:r>
          </w:p>
          <w:p w14:paraId="2E8401C6" w14:textId="77777777" w:rsidR="00E75882" w:rsidRPr="001958F9" w:rsidRDefault="00E75882" w:rsidP="00EF551E">
            <w:pPr>
              <w:shd w:val="clear" w:color="auto" w:fill="FFFFFF" w:themeFill="background1"/>
              <w:spacing w:after="0"/>
              <w:jc w:val="both"/>
              <w:rPr>
                <w:rFonts w:ascii="Arial Narrow" w:hAnsi="Arial Narrow"/>
                <w:color w:val="000000" w:themeColor="text1"/>
                <w:sz w:val="20"/>
                <w:szCs w:val="20"/>
              </w:rPr>
            </w:pPr>
            <w:r w:rsidRPr="001958F9">
              <w:rPr>
                <w:rFonts w:ascii="Arial Narrow" w:hAnsi="Arial Narrow"/>
                <w:color w:val="000000" w:themeColor="text1"/>
                <w:sz w:val="20"/>
                <w:szCs w:val="20"/>
              </w:rPr>
              <w:t>Stroke</w:t>
            </w:r>
          </w:p>
        </w:tc>
      </w:tr>
      <w:tr w:rsidR="00E75882" w:rsidRPr="001958F9" w14:paraId="69118A6B" w14:textId="77777777" w:rsidTr="00EF551E">
        <w:tc>
          <w:tcPr>
            <w:tcW w:w="2689" w:type="dxa"/>
          </w:tcPr>
          <w:p w14:paraId="7E80C1FE" w14:textId="77777777" w:rsidR="00E75882" w:rsidRPr="001958F9" w:rsidRDefault="00E75882" w:rsidP="00EF551E">
            <w:pPr>
              <w:shd w:val="clear" w:color="auto" w:fill="FFFFFF" w:themeFill="background1"/>
              <w:tabs>
                <w:tab w:val="left" w:pos="1365"/>
              </w:tabs>
              <w:spacing w:after="0"/>
              <w:jc w:val="both"/>
              <w:rPr>
                <w:rFonts w:ascii="Arial Narrow" w:hAnsi="Arial Narrow"/>
                <w:color w:val="000000" w:themeColor="text1"/>
                <w:sz w:val="20"/>
                <w:szCs w:val="20"/>
              </w:rPr>
            </w:pPr>
            <w:r w:rsidRPr="001958F9">
              <w:rPr>
                <w:rFonts w:ascii="Arial Narrow" w:hAnsi="Arial Narrow"/>
                <w:color w:val="000000" w:themeColor="text1"/>
                <w:sz w:val="20"/>
                <w:szCs w:val="20"/>
              </w:rPr>
              <w:t>Uteroplacental dysfunction</w:t>
            </w:r>
          </w:p>
        </w:tc>
        <w:tc>
          <w:tcPr>
            <w:tcW w:w="6327" w:type="dxa"/>
          </w:tcPr>
          <w:p w14:paraId="2C9F19C5" w14:textId="7D299B39" w:rsidR="00E75882" w:rsidRDefault="00E75882" w:rsidP="00EF551E">
            <w:pPr>
              <w:shd w:val="clear" w:color="auto" w:fill="FFFFFF" w:themeFill="background1"/>
              <w:spacing w:after="0"/>
              <w:jc w:val="both"/>
              <w:rPr>
                <w:rFonts w:ascii="Arial Narrow" w:hAnsi="Arial Narrow"/>
                <w:color w:val="000000" w:themeColor="text1"/>
                <w:sz w:val="20"/>
                <w:szCs w:val="20"/>
              </w:rPr>
            </w:pPr>
            <w:proofErr w:type="spellStart"/>
            <w:r>
              <w:rPr>
                <w:rFonts w:ascii="Arial Narrow" w:hAnsi="Arial Narrow"/>
                <w:color w:val="000000" w:themeColor="text1"/>
                <w:sz w:val="20"/>
                <w:szCs w:val="20"/>
              </w:rPr>
              <w:t>Fetal</w:t>
            </w:r>
            <w:proofErr w:type="spellEnd"/>
            <w:r w:rsidRPr="001958F9">
              <w:rPr>
                <w:rFonts w:ascii="Arial Narrow" w:hAnsi="Arial Narrow"/>
                <w:color w:val="000000" w:themeColor="text1"/>
                <w:sz w:val="20"/>
                <w:szCs w:val="20"/>
              </w:rPr>
              <w:t xml:space="preserve"> growth restriction, abnormal umbilical artery </w:t>
            </w:r>
          </w:p>
          <w:p w14:paraId="6EAC7501" w14:textId="77777777" w:rsidR="00E75882" w:rsidRPr="001958F9" w:rsidRDefault="00E75882" w:rsidP="00EF551E">
            <w:pPr>
              <w:shd w:val="clear" w:color="auto" w:fill="FFFFFF" w:themeFill="background1"/>
              <w:spacing w:after="0"/>
              <w:jc w:val="both"/>
              <w:rPr>
                <w:rFonts w:ascii="Arial Narrow" w:hAnsi="Arial Narrow"/>
                <w:color w:val="000000" w:themeColor="text1"/>
                <w:sz w:val="20"/>
                <w:szCs w:val="20"/>
              </w:rPr>
            </w:pPr>
            <w:r w:rsidRPr="001958F9">
              <w:rPr>
                <w:rFonts w:ascii="Arial Narrow" w:hAnsi="Arial Narrow"/>
                <w:color w:val="000000" w:themeColor="text1"/>
                <w:sz w:val="20"/>
                <w:szCs w:val="20"/>
              </w:rPr>
              <w:t>Doppler wave form analysis, stillbirth</w:t>
            </w:r>
          </w:p>
        </w:tc>
      </w:tr>
    </w:tbl>
    <w:p w14:paraId="60F809CE" w14:textId="7823DB87" w:rsidR="00E75882" w:rsidRDefault="001B76B5" w:rsidP="008272F3">
      <w:pPr>
        <w:shd w:val="clear" w:color="auto" w:fill="FFFFFF" w:themeFill="background1"/>
        <w:spacing w:after="0"/>
        <w:jc w:val="both"/>
        <w:rPr>
          <w:rFonts w:ascii="Arial Narrow" w:hAnsi="Arial Narrow"/>
          <w:color w:val="000000" w:themeColor="text1"/>
          <w:sz w:val="18"/>
          <w:szCs w:val="18"/>
        </w:rPr>
      </w:pPr>
      <w:r>
        <w:rPr>
          <w:rFonts w:ascii="Arial Narrow" w:hAnsi="Arial Narrow"/>
          <w:color w:val="000000" w:themeColor="text1"/>
          <w:sz w:val="18"/>
          <w:szCs w:val="18"/>
        </w:rPr>
        <w:t xml:space="preserve">PE= preeclampsia; </w:t>
      </w:r>
      <w:r w:rsidR="00E75882" w:rsidRPr="00833F58">
        <w:rPr>
          <w:rFonts w:ascii="Arial Narrow" w:hAnsi="Arial Narrow"/>
          <w:color w:val="000000" w:themeColor="text1"/>
          <w:sz w:val="18"/>
          <w:szCs w:val="18"/>
        </w:rPr>
        <w:t>SOMANZ= Society of Obstetric Medicine of Australia and New Zealand</w:t>
      </w:r>
      <w:r w:rsidR="0028765D" w:rsidRPr="0028765D">
        <w:rPr>
          <w:rFonts w:ascii="Arial Narrow" w:hAnsi="Arial Narrow"/>
          <w:color w:val="000000" w:themeColor="text1"/>
          <w:sz w:val="18"/>
          <w:szCs w:val="18"/>
        </w:rPr>
        <w:t xml:space="preserve">; </w:t>
      </w:r>
      <w:r w:rsidR="0028765D" w:rsidRPr="008272F3">
        <w:rPr>
          <w:rFonts w:ascii="Arial Narrow" w:hAnsi="Arial Narrow"/>
          <w:color w:val="000000" w:themeColor="text1"/>
          <w:sz w:val="18"/>
          <w:szCs w:val="18"/>
        </w:rPr>
        <w:t>mg/mmol = micrograms per millimole; mmHg = millimetres of mercury; µmol/L= micromoles per litre</w:t>
      </w:r>
      <w:r w:rsidR="00E75882" w:rsidRPr="00833F58">
        <w:rPr>
          <w:rFonts w:ascii="Arial Narrow" w:hAnsi="Arial Narrow"/>
          <w:color w:val="000000" w:themeColor="text1"/>
          <w:sz w:val="18"/>
          <w:szCs w:val="18"/>
        </w:rPr>
        <w:t xml:space="preserve">. </w:t>
      </w:r>
    </w:p>
    <w:p w14:paraId="178EAA42" w14:textId="77777777" w:rsidR="00CC2D49" w:rsidRPr="0028765D" w:rsidRDefault="00CC2D49" w:rsidP="00CC2D49">
      <w:pPr>
        <w:shd w:val="clear" w:color="auto" w:fill="FFFFFF" w:themeFill="background1"/>
        <w:spacing w:after="0"/>
        <w:jc w:val="both"/>
        <w:rPr>
          <w:rFonts w:ascii="Arial Narrow" w:hAnsi="Arial Narrow"/>
          <w:color w:val="000000" w:themeColor="text1"/>
          <w:sz w:val="18"/>
          <w:szCs w:val="18"/>
        </w:rPr>
      </w:pPr>
      <w:r w:rsidRPr="00833F58">
        <w:rPr>
          <w:rFonts w:ascii="Arial Narrow" w:hAnsi="Arial Narrow"/>
          <w:color w:val="000000" w:themeColor="text1"/>
          <w:sz w:val="18"/>
          <w:szCs w:val="18"/>
        </w:rPr>
        <w:t xml:space="preserve">Source: </w:t>
      </w:r>
      <w:r w:rsidRPr="00833F58">
        <w:rPr>
          <w:rFonts w:ascii="Arial Narrow" w:hAnsi="Arial Narrow"/>
          <w:noProof/>
          <w:color w:val="000000" w:themeColor="text1"/>
          <w:sz w:val="18"/>
          <w:szCs w:val="18"/>
        </w:rPr>
        <w:t>Fox</w:t>
      </w:r>
      <w:r w:rsidRPr="0028765D">
        <w:rPr>
          <w:rFonts w:ascii="Arial Narrow" w:hAnsi="Arial Narrow"/>
          <w:noProof/>
          <w:color w:val="000000" w:themeColor="text1"/>
          <w:sz w:val="18"/>
          <w:szCs w:val="18"/>
        </w:rPr>
        <w:t xml:space="preserve"> et al., [5], Lowe et al., [6]</w:t>
      </w:r>
      <w:r w:rsidRPr="0028765D">
        <w:rPr>
          <w:rFonts w:ascii="Arial Narrow" w:hAnsi="Arial Narrow"/>
          <w:color w:val="000000" w:themeColor="text1"/>
          <w:sz w:val="18"/>
          <w:szCs w:val="18"/>
        </w:rPr>
        <w:t xml:space="preserve">. SOMANZ guidelines for the management of hypertensive disorders of pregnancy 2014. </w:t>
      </w:r>
    </w:p>
    <w:p w14:paraId="1E2BF625" w14:textId="77777777" w:rsidR="00CC2D49" w:rsidRPr="0028765D" w:rsidRDefault="00CC2D49" w:rsidP="008272F3">
      <w:pPr>
        <w:shd w:val="clear" w:color="auto" w:fill="FFFFFF" w:themeFill="background1"/>
        <w:spacing w:after="0"/>
        <w:jc w:val="both"/>
        <w:rPr>
          <w:rFonts w:ascii="Arial Narrow" w:hAnsi="Arial Narrow"/>
          <w:color w:val="000000" w:themeColor="text1"/>
          <w:sz w:val="18"/>
          <w:szCs w:val="18"/>
        </w:rPr>
      </w:pPr>
    </w:p>
    <w:p w14:paraId="269D02FF" w14:textId="0E1A33B2" w:rsidR="00E75882" w:rsidRDefault="00E75882" w:rsidP="0080792B">
      <w:pPr>
        <w:keepNext/>
        <w:shd w:val="clear" w:color="auto" w:fill="FFFFFF" w:themeFill="background1"/>
        <w:rPr>
          <w:color w:val="000000" w:themeColor="text1"/>
        </w:rPr>
      </w:pPr>
      <w:r w:rsidRPr="001958F9">
        <w:rPr>
          <w:color w:val="000000" w:themeColor="text1"/>
        </w:rPr>
        <w:t xml:space="preserve">Past studies have attempted to identify which features are predictive. Several problems have been identified with standard diagnostic testing for PE. </w:t>
      </w:r>
      <w:r>
        <w:rPr>
          <w:color w:val="000000" w:themeColor="text1"/>
        </w:rPr>
        <w:t xml:space="preserve">The </w:t>
      </w:r>
      <w:r w:rsidRPr="001958F9">
        <w:rPr>
          <w:color w:val="000000" w:themeColor="text1"/>
        </w:rPr>
        <w:t xml:space="preserve">International Society for the Study of Hypertension in Pregnancy (ISSHP) suggested a consensus that factors determining the severity of PE include difficulty in controlling blood pressure and deteriorating clinical condition, impending eclampsia, </w:t>
      </w:r>
      <w:r w:rsidR="0035661D">
        <w:rPr>
          <w:color w:val="000000" w:themeColor="text1"/>
        </w:rPr>
        <w:t xml:space="preserve">and </w:t>
      </w:r>
      <w:r w:rsidRPr="001958F9">
        <w:rPr>
          <w:color w:val="000000" w:themeColor="text1"/>
        </w:rPr>
        <w:t xml:space="preserve">worsening thrombocytopenia or worsening </w:t>
      </w:r>
      <w:proofErr w:type="spellStart"/>
      <w:r>
        <w:rPr>
          <w:color w:val="000000" w:themeColor="text1"/>
        </w:rPr>
        <w:t>fetal</w:t>
      </w:r>
      <w:proofErr w:type="spellEnd"/>
      <w:r w:rsidRPr="001958F9">
        <w:rPr>
          <w:color w:val="000000" w:themeColor="text1"/>
        </w:rPr>
        <w:t xml:space="preserve"> growth restriction. However, there is less concern regarding increasing proteinuria </w:t>
      </w:r>
      <w:r>
        <w:rPr>
          <w:noProof/>
          <w:color w:val="000000" w:themeColor="text1"/>
        </w:rPr>
        <w:t>[51]</w:t>
      </w:r>
      <w:r w:rsidRPr="001958F9">
        <w:rPr>
          <w:color w:val="000000" w:themeColor="text1"/>
        </w:rPr>
        <w:t xml:space="preserve">. Previous research indicated that dipstick testing is not accurate </w:t>
      </w:r>
      <w:r>
        <w:rPr>
          <w:color w:val="000000" w:themeColor="text1"/>
        </w:rPr>
        <w:t>in</w:t>
      </w:r>
      <w:r w:rsidRPr="001958F9">
        <w:rPr>
          <w:color w:val="000000" w:themeColor="text1"/>
        </w:rPr>
        <w:t xml:space="preserve"> confirm</w:t>
      </w:r>
      <w:r>
        <w:rPr>
          <w:color w:val="000000" w:themeColor="text1"/>
        </w:rPr>
        <w:t>ing</w:t>
      </w:r>
      <w:r w:rsidRPr="001958F9">
        <w:rPr>
          <w:color w:val="000000" w:themeColor="text1"/>
        </w:rPr>
        <w:t xml:space="preserve"> or exclud</w:t>
      </w:r>
      <w:r>
        <w:rPr>
          <w:color w:val="000000" w:themeColor="text1"/>
        </w:rPr>
        <w:t>ing</w:t>
      </w:r>
      <w:r w:rsidRPr="001958F9">
        <w:rPr>
          <w:color w:val="000000" w:themeColor="text1"/>
        </w:rPr>
        <w:t xml:space="preserve"> significant proteinuria (≥300 mg/24 h): sensitivities of 22–82% have been reported; hence, a spot urine</w:t>
      </w:r>
      <w:r>
        <w:rPr>
          <w:color w:val="000000" w:themeColor="text1"/>
        </w:rPr>
        <w:t xml:space="preserve"> </w:t>
      </w:r>
      <w:proofErr w:type="spellStart"/>
      <w:r>
        <w:rPr>
          <w:color w:val="000000" w:themeColor="text1"/>
        </w:rPr>
        <w:t>protein:creatinine</w:t>
      </w:r>
      <w:proofErr w:type="spellEnd"/>
      <w:r>
        <w:rPr>
          <w:color w:val="000000" w:themeColor="text1"/>
        </w:rPr>
        <w:t xml:space="preserve"> ratio</w:t>
      </w:r>
      <w:r w:rsidRPr="001958F9">
        <w:rPr>
          <w:color w:val="000000" w:themeColor="text1"/>
        </w:rPr>
        <w:t xml:space="preserve"> is recommended for confirmation or exclusion of proteinuria when PE is suspected </w:t>
      </w:r>
      <w:r>
        <w:rPr>
          <w:noProof/>
          <w:color w:val="000000" w:themeColor="text1"/>
        </w:rPr>
        <w:t>[52]</w:t>
      </w:r>
      <w:r w:rsidRPr="001958F9">
        <w:rPr>
          <w:color w:val="000000" w:themeColor="text1"/>
        </w:rPr>
        <w:t xml:space="preserve">. Serum/plasma creatinine </w:t>
      </w:r>
      <w:r>
        <w:rPr>
          <w:color w:val="000000" w:themeColor="text1"/>
        </w:rPr>
        <w:t xml:space="preserve">usually falls </w:t>
      </w:r>
      <w:r w:rsidRPr="001958F9">
        <w:rPr>
          <w:color w:val="000000" w:themeColor="text1"/>
        </w:rPr>
        <w:t xml:space="preserve">in normal pregnancy and levels even at the upper end of the normal range (70–100 </w:t>
      </w:r>
      <w:r>
        <w:rPr>
          <w:color w:val="000000" w:themeColor="text1"/>
        </w:rPr>
        <w:t>m</w:t>
      </w:r>
      <w:r w:rsidRPr="001958F9">
        <w:rPr>
          <w:color w:val="000000" w:themeColor="text1"/>
        </w:rPr>
        <w:t>mol/L)</w:t>
      </w:r>
      <w:r w:rsidR="00FE0ED9">
        <w:rPr>
          <w:color w:val="000000" w:themeColor="text1"/>
        </w:rPr>
        <w:t>,</w:t>
      </w:r>
      <w:r>
        <w:rPr>
          <w:color w:val="000000" w:themeColor="text1"/>
        </w:rPr>
        <w:t xml:space="preserve"> </w:t>
      </w:r>
      <w:r w:rsidR="00EB736B">
        <w:rPr>
          <w:color w:val="000000" w:themeColor="text1"/>
        </w:rPr>
        <w:t>indicat</w:t>
      </w:r>
      <w:r w:rsidR="00F84962">
        <w:rPr>
          <w:color w:val="000000" w:themeColor="text1"/>
        </w:rPr>
        <w:t>e</w:t>
      </w:r>
      <w:r>
        <w:rPr>
          <w:color w:val="000000" w:themeColor="text1"/>
        </w:rPr>
        <w:t xml:space="preserve"> impaired renal function.</w:t>
      </w:r>
      <w:r w:rsidRPr="001958F9">
        <w:rPr>
          <w:color w:val="000000" w:themeColor="text1"/>
        </w:rPr>
        <w:t xml:space="preserve"> Therefore, some guidelines have used cut-offs up to &gt;100– 110 </w:t>
      </w:r>
      <w:r>
        <w:rPr>
          <w:color w:val="000000" w:themeColor="text1"/>
        </w:rPr>
        <w:t>m</w:t>
      </w:r>
      <w:r w:rsidRPr="001958F9">
        <w:rPr>
          <w:color w:val="000000" w:themeColor="text1"/>
        </w:rPr>
        <w:t xml:space="preserve">mol/L to indicate renal impairment in PE </w:t>
      </w:r>
      <w:r>
        <w:rPr>
          <w:noProof/>
          <w:color w:val="000000" w:themeColor="text1"/>
        </w:rPr>
        <w:t>[51, 53]</w:t>
      </w:r>
      <w:r w:rsidRPr="001958F9">
        <w:rPr>
          <w:color w:val="000000" w:themeColor="text1"/>
        </w:rPr>
        <w:t xml:space="preserve">. Lastly, a reduction in platelet count is typical in pregnancy. However, a platelet count of &lt;100 000/µL is reported in 4.5% of women with </w:t>
      </w:r>
      <w:proofErr w:type="spellStart"/>
      <w:r w:rsidRPr="001958F9">
        <w:rPr>
          <w:color w:val="000000" w:themeColor="text1"/>
        </w:rPr>
        <w:t>proteinuric</w:t>
      </w:r>
      <w:proofErr w:type="spellEnd"/>
      <w:r w:rsidRPr="001958F9">
        <w:rPr>
          <w:color w:val="000000" w:themeColor="text1"/>
        </w:rPr>
        <w:t xml:space="preserve"> and 9.9% with non-</w:t>
      </w:r>
      <w:proofErr w:type="spellStart"/>
      <w:r w:rsidRPr="001958F9">
        <w:rPr>
          <w:color w:val="000000" w:themeColor="text1"/>
        </w:rPr>
        <w:t>proteinuric</w:t>
      </w:r>
      <w:proofErr w:type="spellEnd"/>
      <w:r w:rsidRPr="001958F9">
        <w:rPr>
          <w:color w:val="000000" w:themeColor="text1"/>
        </w:rPr>
        <w:t xml:space="preserve"> PE and only 1% of normal pregnant women </w:t>
      </w:r>
      <w:r>
        <w:rPr>
          <w:noProof/>
          <w:color w:val="000000" w:themeColor="text1"/>
        </w:rPr>
        <w:t>[54]</w:t>
      </w:r>
      <w:r w:rsidRPr="001958F9">
        <w:rPr>
          <w:color w:val="000000" w:themeColor="text1"/>
        </w:rPr>
        <w:t>.</w:t>
      </w:r>
    </w:p>
    <w:p w14:paraId="60A20A81" w14:textId="691703EE" w:rsidR="00AB1AE0" w:rsidRPr="00CC2D49" w:rsidRDefault="00AB1AE0" w:rsidP="0080792B">
      <w:pPr>
        <w:shd w:val="clear" w:color="auto" w:fill="FFFFFF" w:themeFill="background1"/>
        <w:rPr>
          <w:rFonts w:asciiTheme="minorHAnsi" w:hAnsiTheme="minorHAnsi" w:cstheme="minorHAnsi"/>
          <w:color w:val="000000" w:themeColor="text1"/>
        </w:rPr>
      </w:pPr>
      <w:r>
        <w:rPr>
          <w:noProof/>
          <w:color w:val="000000" w:themeColor="text1"/>
        </w:rPr>
        <w:t>Chappell et al. [1]</w:t>
      </w:r>
      <w:r w:rsidRPr="001958F9">
        <w:rPr>
          <w:color w:val="000000" w:themeColor="text1"/>
        </w:rPr>
        <w:t xml:space="preserve"> stated that once diagnosed, PE is often a progressive condition and maternal organ function deteriorates with time. No drug has been discovered that clearly slows disease progression</w:t>
      </w:r>
      <w:r>
        <w:rPr>
          <w:color w:val="000000" w:themeColor="text1"/>
        </w:rPr>
        <w:t>,</w:t>
      </w:r>
      <w:r w:rsidRPr="001958F9">
        <w:rPr>
          <w:color w:val="000000" w:themeColor="text1"/>
        </w:rPr>
        <w:t xml:space="preserve"> and the only option to stop the disease is to deliver the </w:t>
      </w:r>
      <w:proofErr w:type="spellStart"/>
      <w:r w:rsidRPr="001958F9">
        <w:rPr>
          <w:color w:val="000000" w:themeColor="text1"/>
        </w:rPr>
        <w:t>fetus</w:t>
      </w:r>
      <w:proofErr w:type="spellEnd"/>
      <w:r w:rsidRPr="001958F9">
        <w:rPr>
          <w:color w:val="000000" w:themeColor="text1"/>
        </w:rPr>
        <w:t xml:space="preserve"> and placenta. Therefore, the overall approach to management is to deliver the baby and placenta at term, or, if preterm </w:t>
      </w:r>
      <w:r w:rsidR="00C2524B">
        <w:rPr>
          <w:color w:val="000000" w:themeColor="text1"/>
        </w:rPr>
        <w:t>PE</w:t>
      </w:r>
      <w:r w:rsidR="00C2524B" w:rsidRPr="001958F9">
        <w:rPr>
          <w:color w:val="000000" w:themeColor="text1"/>
        </w:rPr>
        <w:t xml:space="preserve"> </w:t>
      </w:r>
      <w:r w:rsidRPr="001958F9">
        <w:rPr>
          <w:color w:val="000000" w:themeColor="text1"/>
        </w:rPr>
        <w:t xml:space="preserve">is diagnosed, to </w:t>
      </w:r>
      <w:r>
        <w:rPr>
          <w:color w:val="000000" w:themeColor="text1"/>
        </w:rPr>
        <w:t>individualise the active</w:t>
      </w:r>
      <w:r w:rsidRPr="001958F9">
        <w:rPr>
          <w:color w:val="000000" w:themeColor="text1"/>
        </w:rPr>
        <w:t xml:space="preserve"> management of the pregnancy </w:t>
      </w:r>
      <w:r>
        <w:rPr>
          <w:color w:val="000000" w:themeColor="text1"/>
        </w:rPr>
        <w:t xml:space="preserve">(antenatal antihypertensives, steroids, magnesium infusion, support organ dysfunction, delivery in an appropriate centre) </w:t>
      </w:r>
      <w:r w:rsidRPr="001958F9">
        <w:rPr>
          <w:color w:val="000000" w:themeColor="text1"/>
        </w:rPr>
        <w:t xml:space="preserve">until a more advanced gestation is reached. The </w:t>
      </w:r>
      <w:r>
        <w:rPr>
          <w:noProof/>
          <w:color w:val="000000" w:themeColor="text1"/>
        </w:rPr>
        <w:t>National Institute for Health and Care Excellence [25]</w:t>
      </w:r>
      <w:r w:rsidRPr="001958F9">
        <w:rPr>
          <w:color w:val="000000" w:themeColor="text1"/>
        </w:rPr>
        <w:t xml:space="preserve"> suggested monitoring </w:t>
      </w:r>
      <w:r>
        <w:rPr>
          <w:color w:val="000000" w:themeColor="text1"/>
        </w:rPr>
        <w:t>maternal</w:t>
      </w:r>
      <w:r w:rsidRPr="001958F9">
        <w:rPr>
          <w:color w:val="000000" w:themeColor="text1"/>
        </w:rPr>
        <w:t xml:space="preserve"> kidney function, bilirubin, electrolytes, full blood count, and transaminases several times a week after a PE diagnosis. Other studies which reported management and tests for women diagnosed with PE did not include the sFlt-1/</w:t>
      </w:r>
      <w:proofErr w:type="spellStart"/>
      <w:r w:rsidRPr="001958F9">
        <w:rPr>
          <w:color w:val="000000" w:themeColor="text1"/>
        </w:rPr>
        <w:t>PlGF</w:t>
      </w:r>
      <w:proofErr w:type="spellEnd"/>
      <w:r w:rsidRPr="001958F9">
        <w:rPr>
          <w:color w:val="000000" w:themeColor="text1"/>
        </w:rPr>
        <w:t xml:space="preserve"> ratio test </w:t>
      </w:r>
      <w:r>
        <w:rPr>
          <w:color w:val="000000" w:themeColor="text1"/>
        </w:rPr>
        <w:t xml:space="preserve">are </w:t>
      </w:r>
      <w:r>
        <w:rPr>
          <w:noProof/>
          <w:color w:val="000000" w:themeColor="text1"/>
        </w:rPr>
        <w:t>[4]</w:t>
      </w:r>
      <w:r w:rsidRPr="001958F9">
        <w:rPr>
          <w:color w:val="000000" w:themeColor="text1"/>
        </w:rPr>
        <w:t xml:space="preserve">; </w:t>
      </w:r>
      <w:r>
        <w:rPr>
          <w:noProof/>
          <w:color w:val="000000" w:themeColor="text1"/>
        </w:rPr>
        <w:t>[1]</w:t>
      </w:r>
      <w:r w:rsidRPr="001958F9">
        <w:rPr>
          <w:color w:val="000000" w:themeColor="text1"/>
        </w:rPr>
        <w:t xml:space="preserve">; </w:t>
      </w:r>
      <w:r>
        <w:rPr>
          <w:noProof/>
          <w:color w:val="000000" w:themeColor="text1"/>
        </w:rPr>
        <w:t>[26]</w:t>
      </w:r>
      <w:r w:rsidRPr="001958F9">
        <w:rPr>
          <w:color w:val="000000" w:themeColor="text1"/>
        </w:rPr>
        <w:t xml:space="preserve">; </w:t>
      </w:r>
      <w:r>
        <w:rPr>
          <w:noProof/>
          <w:color w:val="000000" w:themeColor="text1"/>
        </w:rPr>
        <w:t>[16]</w:t>
      </w:r>
      <w:r w:rsidRPr="001958F9">
        <w:rPr>
          <w:color w:val="000000" w:themeColor="text1"/>
        </w:rPr>
        <w:t xml:space="preserve">; </w:t>
      </w:r>
      <w:r>
        <w:rPr>
          <w:noProof/>
          <w:color w:val="000000" w:themeColor="text1"/>
        </w:rPr>
        <w:t>[13]</w:t>
      </w:r>
      <w:r w:rsidRPr="001958F9">
        <w:rPr>
          <w:color w:val="000000" w:themeColor="text1"/>
        </w:rPr>
        <w:t xml:space="preserve"> and </w:t>
      </w:r>
      <w:r>
        <w:rPr>
          <w:noProof/>
          <w:color w:val="000000" w:themeColor="text1"/>
        </w:rPr>
        <w:t>[27]</w:t>
      </w:r>
      <w:r w:rsidRPr="001958F9">
        <w:rPr>
          <w:color w:val="000000" w:themeColor="text1"/>
        </w:rPr>
        <w:t>.</w:t>
      </w:r>
    </w:p>
    <w:p w14:paraId="7751DA1D" w14:textId="374FC17B" w:rsidR="001E32BC" w:rsidRPr="001E32BC" w:rsidRDefault="001E32BC" w:rsidP="007E72BE">
      <w:pPr>
        <w:shd w:val="clear" w:color="auto" w:fill="FFFFFF" w:themeFill="background1"/>
        <w:rPr>
          <w:i/>
          <w:iCs/>
          <w:color w:val="000000" w:themeColor="text1"/>
        </w:rPr>
      </w:pPr>
      <w:r w:rsidRPr="001E32BC">
        <w:rPr>
          <w:i/>
          <w:iCs/>
          <w:color w:val="000000" w:themeColor="text1"/>
        </w:rPr>
        <w:t xml:space="preserve">PASC noted that the comparator of the ratio test for Population 1 is no </w:t>
      </w:r>
      <w:r w:rsidR="00DF0F88">
        <w:rPr>
          <w:i/>
          <w:iCs/>
          <w:color w:val="000000" w:themeColor="text1"/>
        </w:rPr>
        <w:t>triage</w:t>
      </w:r>
      <w:r w:rsidR="00DF0F88" w:rsidRPr="001E32BC">
        <w:rPr>
          <w:i/>
          <w:iCs/>
          <w:color w:val="000000" w:themeColor="text1"/>
        </w:rPr>
        <w:t xml:space="preserve"> </w:t>
      </w:r>
      <w:r w:rsidRPr="001E32BC">
        <w:rPr>
          <w:i/>
          <w:iCs/>
          <w:color w:val="000000" w:themeColor="text1"/>
        </w:rPr>
        <w:t xml:space="preserve">testing </w:t>
      </w:r>
      <w:r w:rsidR="00634194" w:rsidRPr="00634194">
        <w:rPr>
          <w:i/>
          <w:iCs/>
          <w:color w:val="000000" w:themeColor="text1"/>
        </w:rPr>
        <w:t>±</w:t>
      </w:r>
      <w:r w:rsidRPr="001E32BC">
        <w:rPr>
          <w:i/>
          <w:iCs/>
          <w:color w:val="000000" w:themeColor="text1"/>
        </w:rPr>
        <w:t xml:space="preserve"> current standard tests that may be repeated for diagnosing PE at 24</w:t>
      </w:r>
      <w:r w:rsidRPr="00002CA8">
        <w:rPr>
          <w:i/>
          <w:iCs/>
          <w:color w:val="000000" w:themeColor="text1"/>
          <w:vertAlign w:val="superscript"/>
        </w:rPr>
        <w:t>+0</w:t>
      </w:r>
      <w:r w:rsidRPr="001E32BC">
        <w:rPr>
          <w:i/>
          <w:iCs/>
          <w:color w:val="000000" w:themeColor="text1"/>
        </w:rPr>
        <w:t xml:space="preserve"> to 36</w:t>
      </w:r>
      <w:r w:rsidRPr="00002CA8">
        <w:rPr>
          <w:i/>
          <w:iCs/>
          <w:color w:val="000000" w:themeColor="text1"/>
          <w:vertAlign w:val="superscript"/>
        </w:rPr>
        <w:t>+6</w:t>
      </w:r>
      <w:r w:rsidRPr="001E32BC">
        <w:rPr>
          <w:i/>
          <w:iCs/>
          <w:color w:val="000000" w:themeColor="text1"/>
        </w:rPr>
        <w:t xml:space="preserve"> weeks</w:t>
      </w:r>
      <w:r w:rsidR="0035661D">
        <w:rPr>
          <w:i/>
          <w:iCs/>
          <w:color w:val="000000" w:themeColor="text1"/>
        </w:rPr>
        <w:t>,</w:t>
      </w:r>
      <w:r w:rsidRPr="001E32BC">
        <w:rPr>
          <w:i/>
          <w:iCs/>
          <w:color w:val="000000" w:themeColor="text1"/>
        </w:rPr>
        <w:t xml:space="preserve"> including the urine protein: creatinine ratio test, proteinuria reagent strip test, full blood count, renal function test, </w:t>
      </w:r>
      <w:r w:rsidRPr="001E32BC">
        <w:rPr>
          <w:i/>
          <w:iCs/>
          <w:color w:val="000000" w:themeColor="text1"/>
        </w:rPr>
        <w:lastRenderedPageBreak/>
        <w:t>serum electrolytes and hepatic transaminases; and for Population 2 it is no prognostic testing and standard medical management of PE (which may include repeat standard diagnostic tests for monitoring PE severity).</w:t>
      </w:r>
    </w:p>
    <w:p w14:paraId="04B4935F" w14:textId="35E748EB" w:rsidR="001E32BC" w:rsidRPr="001E32BC" w:rsidRDefault="001E32BC" w:rsidP="007E72BE">
      <w:pPr>
        <w:shd w:val="clear" w:color="auto" w:fill="FFFFFF" w:themeFill="background1"/>
        <w:rPr>
          <w:i/>
          <w:iCs/>
          <w:color w:val="000000" w:themeColor="text1"/>
        </w:rPr>
      </w:pPr>
      <w:r w:rsidRPr="001E32BC">
        <w:rPr>
          <w:i/>
          <w:iCs/>
          <w:color w:val="000000" w:themeColor="text1"/>
        </w:rPr>
        <w:t xml:space="preserve">PASC noted that whether the ratio test is a substitute or in addition to the current standard (diagnostic) tests will depend in part on the </w:t>
      </w:r>
      <w:r w:rsidR="00987C84">
        <w:rPr>
          <w:i/>
          <w:iCs/>
          <w:color w:val="000000" w:themeColor="text1"/>
        </w:rPr>
        <w:t xml:space="preserve">patient’s </w:t>
      </w:r>
      <w:r w:rsidRPr="001E32BC">
        <w:rPr>
          <w:i/>
          <w:iCs/>
          <w:color w:val="000000" w:themeColor="text1"/>
        </w:rPr>
        <w:t>gestational age, and without this information, the pathologist will have difficulty in interpreting the ratio test results. The applicant was advised to clarify this in the assessment report.</w:t>
      </w:r>
    </w:p>
    <w:p w14:paraId="7088BE56" w14:textId="5C7AE127" w:rsidR="00E75882" w:rsidRPr="001958F9" w:rsidRDefault="00E75882" w:rsidP="0080792B">
      <w:pPr>
        <w:pStyle w:val="Heading3"/>
        <w:shd w:val="clear" w:color="auto" w:fill="FFFFFF" w:themeFill="background1"/>
        <w:rPr>
          <w:rFonts w:asciiTheme="minorHAnsi" w:hAnsiTheme="minorHAnsi" w:cstheme="minorHAnsi"/>
          <w:b/>
          <w:bCs/>
          <w:i/>
          <w:iCs/>
          <w:color w:val="000000" w:themeColor="text1"/>
        </w:rPr>
      </w:pPr>
      <w:r w:rsidRPr="001958F9">
        <w:rPr>
          <w:rFonts w:asciiTheme="minorHAnsi" w:hAnsiTheme="minorHAnsi" w:cstheme="minorHAnsi"/>
          <w:b/>
          <w:bCs/>
          <w:i/>
          <w:iCs/>
          <w:color w:val="000000" w:themeColor="text1"/>
        </w:rPr>
        <w:t>Reference standard</w:t>
      </w:r>
    </w:p>
    <w:p w14:paraId="48FAD0F1" w14:textId="4382946A" w:rsidR="00E75882" w:rsidRPr="005A7250" w:rsidRDefault="00E75882" w:rsidP="002C1EA9">
      <w:pPr>
        <w:shd w:val="clear" w:color="auto" w:fill="FFFFFF" w:themeFill="background1"/>
        <w:rPr>
          <w:rFonts w:asciiTheme="minorHAnsi" w:hAnsiTheme="minorHAnsi" w:cstheme="minorHAnsi"/>
          <w:color w:val="000000" w:themeColor="text1"/>
        </w:rPr>
      </w:pPr>
      <w:r w:rsidRPr="005A7250">
        <w:rPr>
          <w:rFonts w:asciiTheme="minorHAnsi" w:hAnsiTheme="minorHAnsi" w:cstheme="minorHAnsi"/>
          <w:color w:val="000000" w:themeColor="text1"/>
        </w:rPr>
        <w:t>The ISSHP defines PE as new onset hypertension present after 20</w:t>
      </w:r>
      <w:r w:rsidR="00D62019" w:rsidRPr="00D62019">
        <w:rPr>
          <w:rFonts w:asciiTheme="minorHAnsi" w:hAnsiTheme="minorHAnsi" w:cstheme="minorHAnsi"/>
          <w:color w:val="000000" w:themeColor="text1"/>
          <w:vertAlign w:val="superscript"/>
        </w:rPr>
        <w:t>+0</w:t>
      </w:r>
      <w:r w:rsidRPr="005A7250">
        <w:rPr>
          <w:rFonts w:asciiTheme="minorHAnsi" w:hAnsiTheme="minorHAnsi" w:cstheme="minorHAnsi"/>
          <w:color w:val="000000" w:themeColor="text1"/>
        </w:rPr>
        <w:t xml:space="preserve"> weeks of gestation combined with proteinuria (&gt;300 mg/day), other maternal organ dysfunction, such as renal insufficiency, liver involvement, neurological or haematological complications, uteroplacental dysfunction, or </w:t>
      </w:r>
      <w:proofErr w:type="spellStart"/>
      <w:r w:rsidRPr="005A7250">
        <w:rPr>
          <w:rFonts w:asciiTheme="minorHAnsi" w:hAnsiTheme="minorHAnsi" w:cstheme="minorHAnsi"/>
          <w:color w:val="000000" w:themeColor="text1"/>
        </w:rPr>
        <w:t>fetal</w:t>
      </w:r>
      <w:proofErr w:type="spellEnd"/>
      <w:r w:rsidRPr="005A7250">
        <w:rPr>
          <w:rFonts w:asciiTheme="minorHAnsi" w:hAnsiTheme="minorHAnsi" w:cstheme="minorHAnsi"/>
          <w:color w:val="000000" w:themeColor="text1"/>
        </w:rPr>
        <w:t xml:space="preserve"> growth restriction </w:t>
      </w:r>
      <w:r w:rsidRPr="005A7250">
        <w:rPr>
          <w:rFonts w:asciiTheme="minorHAnsi" w:hAnsiTheme="minorHAnsi" w:cstheme="minorHAnsi"/>
          <w:noProof/>
          <w:color w:val="000000" w:themeColor="text1"/>
        </w:rPr>
        <w:t>[27]</w:t>
      </w:r>
      <w:r w:rsidRPr="005A7250">
        <w:rPr>
          <w:rFonts w:asciiTheme="minorHAnsi" w:hAnsiTheme="minorHAnsi" w:cstheme="minorHAnsi"/>
          <w:color w:val="000000" w:themeColor="text1"/>
        </w:rPr>
        <w:t>.</w:t>
      </w:r>
    </w:p>
    <w:p w14:paraId="592E9660" w14:textId="6C5FA468" w:rsidR="00E75882" w:rsidRPr="005A7250" w:rsidRDefault="00E75882" w:rsidP="0080792B">
      <w:pPr>
        <w:shd w:val="clear" w:color="auto" w:fill="FFFFFF" w:themeFill="background1"/>
        <w:rPr>
          <w:rFonts w:asciiTheme="minorHAnsi" w:hAnsiTheme="minorHAnsi" w:cstheme="minorHAnsi"/>
          <w:noProof/>
          <w:color w:val="000000" w:themeColor="text1"/>
        </w:rPr>
      </w:pPr>
      <w:r w:rsidRPr="005A7250">
        <w:rPr>
          <w:rFonts w:asciiTheme="minorHAnsi" w:hAnsiTheme="minorHAnsi" w:cstheme="minorHAnsi"/>
          <w:noProof/>
          <w:color w:val="000000" w:themeColor="text1"/>
        </w:rPr>
        <w:t xml:space="preserve">Acceptable reference standards for PE were persistently high systolic (≥ 140 mm Hg) or diastolic (≥ 90 mm Hg) blood pressure and proteinuria (≥ 0.3 g of protein in 24-hour urine collection, or dipstick test result of ≥ 1+ [equivalent to 30 mg/dL in single urine sample]) of new-onset after 20 weeks of gestation [55]. PE is defined as a systolic blood pressure of 160 mm Hg or greater or a diastolic blood pressure of 110 mm Hg or greater plus a high level of proteinuria (≥ 2.0 g of protein in 24-hour urine collection or dipstick test result of ≥ 3+), before 34 weeks’ gestation in </w:t>
      </w:r>
      <w:r w:rsidR="00EB736B" w:rsidRPr="005A7250">
        <w:rPr>
          <w:rFonts w:asciiTheme="minorHAnsi" w:hAnsiTheme="minorHAnsi" w:cstheme="minorHAnsi"/>
          <w:noProof/>
          <w:color w:val="000000" w:themeColor="text1"/>
        </w:rPr>
        <w:t xml:space="preserve">a </w:t>
      </w:r>
      <w:r w:rsidRPr="005A7250">
        <w:rPr>
          <w:rFonts w:asciiTheme="minorHAnsi" w:hAnsiTheme="minorHAnsi" w:cstheme="minorHAnsi"/>
          <w:noProof/>
          <w:color w:val="000000" w:themeColor="text1"/>
        </w:rPr>
        <w:t>patient with chronic hypertension [55]. On the other hand, superimposed PE is defined as proteinuria (≥ 0.3 g of protein in 24-hour urine collection or dipstick test result ≥ 1+) developing after 20 weeks of gestation in patients with chronic hypertension. Other signs of PE are: liver involvement (blood concentration of transaminases to twice the normal level), neurological complications (e.g. cerebral or visual symptoms), thrombocytopenia (platelet count &lt;100 000/μL), pulmonary oedema [6, 56] and</w:t>
      </w:r>
      <w:r w:rsidR="00C66501" w:rsidRPr="005A7250">
        <w:rPr>
          <w:rFonts w:asciiTheme="minorHAnsi" w:hAnsiTheme="minorHAnsi" w:cstheme="minorHAnsi"/>
          <w:noProof/>
          <w:color w:val="000000" w:themeColor="text1"/>
        </w:rPr>
        <w:t xml:space="preserve"> </w:t>
      </w:r>
      <w:r w:rsidRPr="005A7250">
        <w:rPr>
          <w:rFonts w:asciiTheme="minorHAnsi" w:hAnsiTheme="minorHAnsi" w:cstheme="minorHAnsi"/>
          <w:noProof/>
          <w:color w:val="000000" w:themeColor="text1"/>
        </w:rPr>
        <w:t>CNS symptoms (e.g., altered mental status, blurred vision, or blindness [57].</w:t>
      </w:r>
      <w:r w:rsidR="00E53C1F" w:rsidRPr="005A7250">
        <w:rPr>
          <w:rFonts w:asciiTheme="minorHAnsi" w:hAnsiTheme="minorHAnsi" w:cstheme="minorHAnsi"/>
          <w:noProof/>
          <w:color w:val="000000" w:themeColor="text1"/>
        </w:rPr>
        <w:t>)</w:t>
      </w:r>
    </w:p>
    <w:p w14:paraId="6B4BBF22" w14:textId="77777777" w:rsidR="00E75882" w:rsidRPr="005A7250" w:rsidRDefault="00E75882" w:rsidP="0080792B">
      <w:pPr>
        <w:shd w:val="clear" w:color="auto" w:fill="FFFFFF" w:themeFill="background1"/>
        <w:rPr>
          <w:rFonts w:asciiTheme="minorHAnsi" w:hAnsiTheme="minorHAnsi" w:cstheme="minorHAnsi"/>
          <w:noProof/>
          <w:color w:val="000000" w:themeColor="text1"/>
        </w:rPr>
      </w:pPr>
      <w:r w:rsidRPr="005A7250">
        <w:rPr>
          <w:rFonts w:asciiTheme="minorHAnsi" w:hAnsiTheme="minorHAnsi" w:cstheme="minorHAnsi"/>
          <w:noProof/>
          <w:color w:val="000000" w:themeColor="text1"/>
        </w:rPr>
        <w:t>Maternal hypertension and/or proteinuria with or without clinical symptoms may be sufficient to diagnose PE, or these signs may also occur in combination with fetal growth restriction and/or signs of biochemical or haematological impairment [25].</w:t>
      </w:r>
    </w:p>
    <w:p w14:paraId="53F06885" w14:textId="7C7BC7C1" w:rsidR="00E75882" w:rsidRPr="005A7250" w:rsidRDefault="00E75882" w:rsidP="0080792B">
      <w:pPr>
        <w:shd w:val="clear" w:color="auto" w:fill="FFFFFF" w:themeFill="background1"/>
        <w:rPr>
          <w:rFonts w:asciiTheme="minorHAnsi" w:hAnsiTheme="minorHAnsi" w:cstheme="minorHAnsi"/>
          <w:noProof/>
          <w:color w:val="000000" w:themeColor="text1"/>
        </w:rPr>
      </w:pPr>
      <w:r w:rsidRPr="005A7250">
        <w:rPr>
          <w:rFonts w:asciiTheme="minorHAnsi" w:hAnsiTheme="minorHAnsi" w:cstheme="minorHAnsi"/>
          <w:noProof/>
          <w:color w:val="000000" w:themeColor="text1"/>
        </w:rPr>
        <w:t xml:space="preserve">The SOMANZ study stated that a diagnosis of PE </w:t>
      </w:r>
      <w:r w:rsidR="00FE0ED9" w:rsidRPr="005A7250">
        <w:rPr>
          <w:rFonts w:asciiTheme="minorHAnsi" w:hAnsiTheme="minorHAnsi" w:cstheme="minorHAnsi"/>
          <w:noProof/>
          <w:color w:val="000000" w:themeColor="text1"/>
        </w:rPr>
        <w:t>could</w:t>
      </w:r>
      <w:r w:rsidRPr="005A7250">
        <w:rPr>
          <w:rFonts w:asciiTheme="minorHAnsi" w:hAnsiTheme="minorHAnsi" w:cstheme="minorHAnsi"/>
          <w:noProof/>
          <w:color w:val="000000" w:themeColor="text1"/>
        </w:rPr>
        <w:t xml:space="preserve"> be made when hypertension arises after 20 weeks of gestation and is accompanied by one or more of the signs of renal involvement, haematological involvement, liver involvement </w:t>
      </w:r>
      <w:r w:rsidR="00E53C1F" w:rsidRPr="005A7250">
        <w:rPr>
          <w:rFonts w:asciiTheme="minorHAnsi" w:hAnsiTheme="minorHAnsi" w:cstheme="minorHAnsi"/>
          <w:noProof/>
          <w:color w:val="000000" w:themeColor="text1"/>
        </w:rPr>
        <w:t>or</w:t>
      </w:r>
      <w:r w:rsidRPr="005A7250">
        <w:rPr>
          <w:rFonts w:asciiTheme="minorHAnsi" w:hAnsiTheme="minorHAnsi" w:cstheme="minorHAnsi"/>
          <w:noProof/>
          <w:color w:val="000000" w:themeColor="text1"/>
        </w:rPr>
        <w:t xml:space="preserve"> neurological involvement [6].</w:t>
      </w:r>
    </w:p>
    <w:p w14:paraId="6DCEEC2F" w14:textId="35B09926" w:rsidR="001B76B5" w:rsidRPr="005A7250" w:rsidRDefault="00E75882" w:rsidP="0080792B">
      <w:pPr>
        <w:shd w:val="clear" w:color="auto" w:fill="FFFFFF" w:themeFill="background1"/>
        <w:rPr>
          <w:rFonts w:asciiTheme="minorHAnsi" w:hAnsiTheme="minorHAnsi" w:cstheme="minorHAnsi"/>
          <w:noProof/>
          <w:color w:val="000000" w:themeColor="text1"/>
        </w:rPr>
      </w:pPr>
      <w:r w:rsidRPr="005A7250">
        <w:rPr>
          <w:rFonts w:asciiTheme="minorHAnsi" w:hAnsiTheme="minorHAnsi" w:cstheme="minorHAnsi"/>
          <w:noProof/>
          <w:color w:val="000000" w:themeColor="text1"/>
        </w:rPr>
        <w:t>Another study stated that the reference standard for the diagnosis of PE is clinical assessment, guided by a combination of the following clinical information: a) maternal hypertension (categorised as mild, moderate or severe); b) quantitative proteinuria test; c) clinical symptoms suggestive of PE (e.g. headache, oedema or visual disturbances); d) fetal growth restriction [58].</w:t>
      </w:r>
    </w:p>
    <w:p w14:paraId="48E6A92E" w14:textId="1C9CB294" w:rsidR="00E75882" w:rsidRPr="005A7250" w:rsidRDefault="00E94264" w:rsidP="0080792B">
      <w:pPr>
        <w:shd w:val="clear" w:color="auto" w:fill="FFFFFF" w:themeFill="background1"/>
        <w:rPr>
          <w:rFonts w:asciiTheme="minorHAnsi" w:hAnsiTheme="minorHAnsi" w:cstheme="minorHAnsi"/>
          <w:noProof/>
          <w:color w:val="000000" w:themeColor="text1"/>
        </w:rPr>
      </w:pPr>
      <w:r w:rsidRPr="005A7250">
        <w:rPr>
          <w:rFonts w:asciiTheme="minorHAnsi" w:hAnsiTheme="minorHAnsi" w:cstheme="minorHAnsi"/>
          <w:noProof/>
          <w:color w:val="000000" w:themeColor="text1"/>
        </w:rPr>
        <w:t>The National Institute for Health and Care Excellence</w:t>
      </w:r>
      <w:r w:rsidR="00E75882" w:rsidRPr="005A7250">
        <w:rPr>
          <w:rFonts w:asciiTheme="minorHAnsi" w:hAnsiTheme="minorHAnsi" w:cstheme="minorHAnsi"/>
          <w:noProof/>
          <w:color w:val="000000" w:themeColor="text1"/>
        </w:rPr>
        <w:t xml:space="preserve"> [16] recommended that women diagnosed with PE should have regular fetal monitoring</w:t>
      </w:r>
      <w:r w:rsidR="00FE0ED9" w:rsidRPr="005A7250">
        <w:rPr>
          <w:rFonts w:asciiTheme="minorHAnsi" w:hAnsiTheme="minorHAnsi" w:cstheme="minorHAnsi"/>
          <w:noProof/>
          <w:color w:val="000000" w:themeColor="text1"/>
        </w:rPr>
        <w:t>,</w:t>
      </w:r>
      <w:r w:rsidR="00E75882" w:rsidRPr="005A7250">
        <w:rPr>
          <w:rFonts w:asciiTheme="minorHAnsi" w:hAnsiTheme="minorHAnsi" w:cstheme="minorHAnsi"/>
          <w:noProof/>
          <w:color w:val="000000" w:themeColor="text1"/>
        </w:rPr>
        <w:t xml:space="preserve"> including an initial assessment to confirm fetal well-being. In the presence of fetal growth restriction, a recommended schedule for serial fetal surveillance with ultrasound is detailed within these recommendations. The study also suggested continuous maternal monitoring to assess risk (e.g., BP monitoring, repeated assessments for </w:t>
      </w:r>
      <w:r w:rsidR="00E75882" w:rsidRPr="005A7250">
        <w:rPr>
          <w:rFonts w:asciiTheme="minorHAnsi" w:hAnsiTheme="minorHAnsi" w:cstheme="minorHAnsi"/>
          <w:noProof/>
          <w:color w:val="000000" w:themeColor="text1"/>
        </w:rPr>
        <w:lastRenderedPageBreak/>
        <w:t>proteinuria if it is not already present, clinical assessment including clonus, and a minimum of twice</w:t>
      </w:r>
      <w:r w:rsidR="00FE0ED9" w:rsidRPr="005A7250">
        <w:rPr>
          <w:rFonts w:asciiTheme="minorHAnsi" w:hAnsiTheme="minorHAnsi" w:cstheme="minorHAnsi"/>
          <w:noProof/>
          <w:color w:val="000000" w:themeColor="text1"/>
        </w:rPr>
        <w:t>-</w:t>
      </w:r>
      <w:r w:rsidR="00E75882" w:rsidRPr="005A7250">
        <w:rPr>
          <w:rFonts w:asciiTheme="minorHAnsi" w:hAnsiTheme="minorHAnsi" w:cstheme="minorHAnsi"/>
          <w:noProof/>
          <w:color w:val="000000" w:themeColor="text1"/>
        </w:rPr>
        <w:t>weekly blood tests for hemoglobin, platelet count, and tests of liver and renal function</w:t>
      </w:r>
      <w:r w:rsidR="00B26864" w:rsidRPr="005A7250">
        <w:rPr>
          <w:rFonts w:asciiTheme="minorHAnsi" w:hAnsiTheme="minorHAnsi" w:cstheme="minorHAnsi"/>
          <w:noProof/>
          <w:color w:val="000000" w:themeColor="text1"/>
        </w:rPr>
        <w:t>)</w:t>
      </w:r>
      <w:r w:rsidR="00E75882" w:rsidRPr="005A7250">
        <w:rPr>
          <w:rFonts w:asciiTheme="minorHAnsi" w:hAnsiTheme="minorHAnsi" w:cstheme="minorHAnsi"/>
          <w:noProof/>
          <w:color w:val="000000" w:themeColor="text1"/>
        </w:rPr>
        <w:t>.</w:t>
      </w:r>
    </w:p>
    <w:p w14:paraId="61D5F01B" w14:textId="199869E0" w:rsidR="00E75882" w:rsidRPr="005A7250" w:rsidRDefault="00E75882" w:rsidP="0080792B">
      <w:pPr>
        <w:shd w:val="clear" w:color="auto" w:fill="FFFFFF" w:themeFill="background1"/>
        <w:rPr>
          <w:rFonts w:asciiTheme="minorHAnsi" w:hAnsiTheme="minorHAnsi" w:cstheme="minorHAnsi"/>
          <w:i/>
          <w:iCs/>
          <w:noProof/>
          <w:color w:val="000000" w:themeColor="text1"/>
        </w:rPr>
      </w:pPr>
      <w:r w:rsidRPr="005A7250">
        <w:rPr>
          <w:rFonts w:asciiTheme="minorHAnsi" w:hAnsiTheme="minorHAnsi" w:cstheme="minorHAnsi"/>
          <w:i/>
          <w:iCs/>
          <w:noProof/>
          <w:color w:val="000000" w:themeColor="text1"/>
        </w:rPr>
        <w:t>The applicant may confirm what is the most relevant reference standard</w:t>
      </w:r>
      <w:r w:rsidR="001B76B5" w:rsidRPr="005A7250">
        <w:rPr>
          <w:rFonts w:asciiTheme="minorHAnsi" w:hAnsiTheme="minorHAnsi" w:cstheme="minorHAnsi"/>
          <w:i/>
          <w:iCs/>
          <w:noProof/>
          <w:color w:val="000000" w:themeColor="text1"/>
        </w:rPr>
        <w:t xml:space="preserve"> for Population 1 and Population 2</w:t>
      </w:r>
      <w:r w:rsidRPr="005A7250">
        <w:rPr>
          <w:rStyle w:val="cf01"/>
          <w:rFonts w:asciiTheme="minorHAnsi" w:hAnsiTheme="minorHAnsi" w:cstheme="minorHAnsi"/>
          <w:i/>
          <w:iCs/>
          <w:color w:val="000000" w:themeColor="text1"/>
          <w:sz w:val="22"/>
          <w:szCs w:val="22"/>
        </w:rPr>
        <w:t>.</w:t>
      </w:r>
    </w:p>
    <w:p w14:paraId="67691499" w14:textId="6A075714" w:rsidR="00E75882" w:rsidRPr="001958F9" w:rsidRDefault="00E75882" w:rsidP="0080792B">
      <w:pPr>
        <w:pStyle w:val="Heading3"/>
        <w:shd w:val="clear" w:color="auto" w:fill="FFFFFF" w:themeFill="background1"/>
        <w:rPr>
          <w:rFonts w:asciiTheme="minorHAnsi" w:hAnsiTheme="minorHAnsi" w:cstheme="minorHAnsi"/>
          <w:b/>
          <w:bCs/>
          <w:i/>
          <w:iCs/>
          <w:color w:val="000000" w:themeColor="text1"/>
        </w:rPr>
      </w:pPr>
      <w:bookmarkStart w:id="23" w:name="_Hlk96956791"/>
      <w:r w:rsidRPr="001958F9">
        <w:rPr>
          <w:rFonts w:asciiTheme="minorHAnsi" w:hAnsiTheme="minorHAnsi" w:cstheme="minorHAnsi"/>
          <w:b/>
          <w:bCs/>
          <w:i/>
          <w:iCs/>
          <w:color w:val="000000" w:themeColor="text1"/>
        </w:rPr>
        <w:t>Outcomes</w:t>
      </w:r>
    </w:p>
    <w:p w14:paraId="45482040" w14:textId="41FB8DEF" w:rsidR="00E75882" w:rsidRPr="001958F9" w:rsidRDefault="00E75882" w:rsidP="0080792B">
      <w:pPr>
        <w:pStyle w:val="Instructionaltext"/>
        <w:shd w:val="clear" w:color="auto" w:fill="FFFFFF" w:themeFill="background1"/>
        <w:rPr>
          <w:color w:val="000000" w:themeColor="text1"/>
        </w:rPr>
      </w:pPr>
      <w:r w:rsidRPr="001958F9">
        <w:rPr>
          <w:color w:val="000000" w:themeColor="text1"/>
        </w:rPr>
        <w:t xml:space="preserve">The evidence base for </w:t>
      </w:r>
      <w:bookmarkStart w:id="24" w:name="_Hlk96959475"/>
      <w:r w:rsidRPr="001958F9">
        <w:rPr>
          <w:color w:val="000000" w:themeColor="text1"/>
        </w:rPr>
        <w:t>the sFlt-1/</w:t>
      </w:r>
      <w:proofErr w:type="spellStart"/>
      <w:r w:rsidRPr="001958F9">
        <w:rPr>
          <w:color w:val="000000" w:themeColor="text1"/>
        </w:rPr>
        <w:t>PlGF</w:t>
      </w:r>
      <w:proofErr w:type="spellEnd"/>
      <w:r w:rsidRPr="001958F9">
        <w:rPr>
          <w:color w:val="000000" w:themeColor="text1"/>
        </w:rPr>
        <w:t xml:space="preserve"> </w:t>
      </w:r>
      <w:bookmarkEnd w:id="24"/>
      <w:r w:rsidRPr="001958F9">
        <w:rPr>
          <w:color w:val="000000" w:themeColor="text1"/>
        </w:rPr>
        <w:t>ratio testing (</w:t>
      </w:r>
      <w:r w:rsidRPr="001958F9">
        <w:rPr>
          <w:rFonts w:asciiTheme="minorHAnsi" w:hAnsiTheme="minorHAnsi" w:cstheme="minorHAnsi"/>
          <w:color w:val="000000" w:themeColor="text1"/>
        </w:rPr>
        <w:t>women with suspected PE</w:t>
      </w:r>
      <w:r w:rsidRPr="001958F9">
        <w:rPr>
          <w:color w:val="000000" w:themeColor="text1"/>
        </w:rPr>
        <w:t>) mainly consists of observational studies, which are discussed briefly below.</w:t>
      </w:r>
    </w:p>
    <w:p w14:paraId="7B0A1BF3" w14:textId="77777777" w:rsidR="00E75882" w:rsidRPr="001958F9" w:rsidRDefault="00E75882" w:rsidP="00EF551E">
      <w:pPr>
        <w:pStyle w:val="Instructionaltext"/>
        <w:shd w:val="clear" w:color="auto" w:fill="FFFFFF" w:themeFill="background1"/>
        <w:rPr>
          <w:color w:val="000000" w:themeColor="text1"/>
          <w:u w:val="single"/>
        </w:rPr>
      </w:pPr>
      <w:r w:rsidRPr="001958F9">
        <w:rPr>
          <w:color w:val="000000" w:themeColor="text1"/>
          <w:u w:val="single"/>
        </w:rPr>
        <w:t>Patient relevant</w:t>
      </w:r>
    </w:p>
    <w:p w14:paraId="245CDFF0" w14:textId="77777777" w:rsidR="006B47FB" w:rsidRDefault="00E75882" w:rsidP="00E52A56">
      <w:pPr>
        <w:pStyle w:val="Instructionaltext"/>
        <w:shd w:val="clear" w:color="auto" w:fill="FFFFFF" w:themeFill="background1"/>
        <w:ind w:left="2552" w:hanging="2552"/>
        <w:rPr>
          <w:color w:val="000000" w:themeColor="text1"/>
        </w:rPr>
      </w:pPr>
      <w:r w:rsidRPr="001958F9">
        <w:rPr>
          <w:color w:val="000000" w:themeColor="text1"/>
        </w:rPr>
        <w:t>Diagnostic performance</w:t>
      </w:r>
      <w:r w:rsidRPr="001958F9">
        <w:rPr>
          <w:color w:val="000000" w:themeColor="text1"/>
        </w:rPr>
        <w:tab/>
      </w:r>
    </w:p>
    <w:p w14:paraId="4DDF3E46" w14:textId="41D85C61" w:rsidR="00E75882" w:rsidRPr="001958F9" w:rsidRDefault="00E75882" w:rsidP="006B47FB">
      <w:pPr>
        <w:pStyle w:val="Instructionaltext"/>
        <w:shd w:val="clear" w:color="auto" w:fill="FFFFFF" w:themeFill="background1"/>
        <w:rPr>
          <w:color w:val="000000" w:themeColor="text1"/>
        </w:rPr>
      </w:pPr>
      <w:r w:rsidRPr="001958F9">
        <w:rPr>
          <w:color w:val="000000" w:themeColor="text1"/>
        </w:rPr>
        <w:t xml:space="preserve">Sensitivity, specificity, positive predictive value, and negative predictive value compared to the reference standard in women with </w:t>
      </w:r>
      <w:r w:rsidR="00110D01">
        <w:rPr>
          <w:color w:val="000000" w:themeColor="text1"/>
        </w:rPr>
        <w:t>likelihood of</w:t>
      </w:r>
      <w:r w:rsidR="0090154A">
        <w:rPr>
          <w:color w:val="000000" w:themeColor="text1"/>
        </w:rPr>
        <w:t xml:space="preserve"> </w:t>
      </w:r>
      <w:r w:rsidRPr="001958F9">
        <w:rPr>
          <w:color w:val="000000" w:themeColor="text1"/>
        </w:rPr>
        <w:t>PE</w:t>
      </w:r>
      <w:r w:rsidRPr="001958F9">
        <w:rPr>
          <w:rFonts w:eastAsia="SimSun"/>
          <w:iCs/>
          <w:color w:val="000000" w:themeColor="text1"/>
          <w:szCs w:val="20"/>
        </w:rPr>
        <w:t xml:space="preserve">, </w:t>
      </w:r>
      <w:r w:rsidRPr="001958F9">
        <w:rPr>
          <w:rFonts w:eastAsia="SimSun"/>
          <w:color w:val="000000" w:themeColor="text1"/>
          <w:szCs w:val="20"/>
        </w:rPr>
        <w:t>test-retest reliability (confirmation or ruling out of PE)</w:t>
      </w:r>
      <w:r w:rsidRPr="001958F9">
        <w:rPr>
          <w:color w:val="000000" w:themeColor="text1"/>
        </w:rPr>
        <w:t>, evidence of stability in risk level (diagnostic measurement for risk), test failure rate (unsatisfactory or uninterpretable results).</w:t>
      </w:r>
    </w:p>
    <w:p w14:paraId="22EAD653" w14:textId="70EDAF41" w:rsidR="00E75882" w:rsidRPr="00012F0F" w:rsidRDefault="00E75882" w:rsidP="00E52A56">
      <w:pPr>
        <w:pStyle w:val="Instructionaltext"/>
        <w:shd w:val="clear" w:color="auto" w:fill="FFFFFF" w:themeFill="background1"/>
        <w:ind w:left="2552" w:hanging="2552"/>
        <w:rPr>
          <w:color w:val="000000" w:themeColor="text1"/>
        </w:rPr>
      </w:pPr>
      <w:r w:rsidRPr="00012F0F">
        <w:rPr>
          <w:color w:val="000000" w:themeColor="text1"/>
        </w:rPr>
        <w:t xml:space="preserve">Clinical outcomes associated with </w:t>
      </w:r>
      <w:r w:rsidR="00C2524B">
        <w:rPr>
          <w:color w:val="000000" w:themeColor="text1"/>
        </w:rPr>
        <w:t>PE</w:t>
      </w:r>
      <w:r w:rsidRPr="00012F0F">
        <w:rPr>
          <w:color w:val="000000" w:themeColor="text1"/>
        </w:rPr>
        <w:t xml:space="preserve">. </w:t>
      </w:r>
    </w:p>
    <w:p w14:paraId="262CE9DF" w14:textId="2C332C62" w:rsidR="00E75882" w:rsidRPr="00012F0F" w:rsidRDefault="00E75882" w:rsidP="006B47FB">
      <w:pPr>
        <w:pStyle w:val="Instructionaltext"/>
        <w:shd w:val="clear" w:color="auto" w:fill="FFFFFF" w:themeFill="background1"/>
        <w:rPr>
          <w:color w:val="000000" w:themeColor="text1"/>
        </w:rPr>
      </w:pPr>
      <w:r w:rsidRPr="00012F0F">
        <w:rPr>
          <w:color w:val="000000" w:themeColor="text1"/>
        </w:rPr>
        <w:t xml:space="preserve">Structured prenatal risk assessment for preterm </w:t>
      </w:r>
      <w:r w:rsidR="00C2524B">
        <w:rPr>
          <w:color w:val="000000" w:themeColor="text1"/>
        </w:rPr>
        <w:t>PE</w:t>
      </w:r>
      <w:r w:rsidR="00C2524B" w:rsidRPr="00012F0F">
        <w:rPr>
          <w:color w:val="000000" w:themeColor="text1"/>
        </w:rPr>
        <w:t xml:space="preserve"> </w:t>
      </w:r>
      <w:r w:rsidRPr="00012F0F">
        <w:rPr>
          <w:color w:val="000000" w:themeColor="text1"/>
        </w:rPr>
        <w:t xml:space="preserve">facilitates improved clinical management of pregnancies identified as high-risk, or symptomatic of </w:t>
      </w:r>
      <w:r w:rsidR="00EB736B">
        <w:rPr>
          <w:color w:val="000000" w:themeColor="text1"/>
        </w:rPr>
        <w:t>PE</w:t>
      </w:r>
      <w:r w:rsidRPr="00012F0F">
        <w:rPr>
          <w:color w:val="000000" w:themeColor="text1"/>
        </w:rPr>
        <w:t xml:space="preserve">. </w:t>
      </w:r>
      <w:r w:rsidR="005466C2">
        <w:rPr>
          <w:color w:val="000000" w:themeColor="text1"/>
        </w:rPr>
        <w:t>H</w:t>
      </w:r>
      <w:r w:rsidR="005466C2" w:rsidRPr="005466C2">
        <w:rPr>
          <w:color w:val="000000" w:themeColor="text1"/>
        </w:rPr>
        <w:t>ospital admission and over treatment</w:t>
      </w:r>
      <w:r w:rsidR="005466C2">
        <w:rPr>
          <w:color w:val="000000" w:themeColor="text1"/>
        </w:rPr>
        <w:t>.</w:t>
      </w:r>
      <w:r w:rsidR="005466C2" w:rsidRPr="00012F0F">
        <w:rPr>
          <w:color w:val="000000" w:themeColor="text1"/>
        </w:rPr>
        <w:t xml:space="preserve"> </w:t>
      </w:r>
      <w:r w:rsidRPr="00012F0F">
        <w:rPr>
          <w:color w:val="000000" w:themeColor="text1"/>
        </w:rPr>
        <w:t xml:space="preserve">There are </w:t>
      </w:r>
      <w:proofErr w:type="gramStart"/>
      <w:r w:rsidRPr="00012F0F">
        <w:rPr>
          <w:color w:val="000000" w:themeColor="text1"/>
        </w:rPr>
        <w:t>a number of</w:t>
      </w:r>
      <w:proofErr w:type="gramEnd"/>
      <w:r w:rsidRPr="00012F0F">
        <w:rPr>
          <w:color w:val="000000" w:themeColor="text1"/>
        </w:rPr>
        <w:t xml:space="preserve"> adverse maternal outcomes associated with </w:t>
      </w:r>
      <w:r w:rsidR="00C2524B">
        <w:rPr>
          <w:color w:val="000000" w:themeColor="text1"/>
        </w:rPr>
        <w:t>PE</w:t>
      </w:r>
      <w:r w:rsidR="00C2524B" w:rsidRPr="00012F0F">
        <w:rPr>
          <w:color w:val="000000" w:themeColor="text1"/>
        </w:rPr>
        <w:t xml:space="preserve"> </w:t>
      </w:r>
      <w:r w:rsidRPr="00012F0F">
        <w:rPr>
          <w:color w:val="000000" w:themeColor="text1"/>
        </w:rPr>
        <w:t>that should be explored, these include:</w:t>
      </w:r>
    </w:p>
    <w:p w14:paraId="2414E0F0" w14:textId="0A9B2FBD" w:rsidR="00E75882" w:rsidRPr="00012F0F" w:rsidRDefault="00E75882" w:rsidP="006B47FB">
      <w:pPr>
        <w:pStyle w:val="Instructionaltext"/>
        <w:shd w:val="clear" w:color="auto" w:fill="FFFFFF" w:themeFill="background1"/>
        <w:spacing w:line="240" w:lineRule="auto"/>
        <w:ind w:left="850" w:hanging="425"/>
        <w:rPr>
          <w:color w:val="000000" w:themeColor="text1"/>
        </w:rPr>
      </w:pPr>
      <w:r w:rsidRPr="00012F0F">
        <w:rPr>
          <w:color w:val="000000" w:themeColor="text1"/>
        </w:rPr>
        <w:t>•</w:t>
      </w:r>
      <w:r w:rsidRPr="00012F0F">
        <w:rPr>
          <w:color w:val="000000" w:themeColor="text1"/>
        </w:rPr>
        <w:tab/>
        <w:t>eclamptic fit and/or other neurological sequelae (such as a cerebrovascular accident)</w:t>
      </w:r>
    </w:p>
    <w:p w14:paraId="50061142" w14:textId="77777777" w:rsidR="00E75882" w:rsidRPr="00012F0F" w:rsidRDefault="00E75882" w:rsidP="006B47FB">
      <w:pPr>
        <w:pStyle w:val="Instructionaltext"/>
        <w:shd w:val="clear" w:color="auto" w:fill="FFFFFF" w:themeFill="background1"/>
        <w:spacing w:line="240" w:lineRule="auto"/>
        <w:ind w:left="850" w:hanging="425"/>
        <w:rPr>
          <w:color w:val="000000" w:themeColor="text1"/>
        </w:rPr>
      </w:pPr>
      <w:r w:rsidRPr="00012F0F">
        <w:rPr>
          <w:color w:val="000000" w:themeColor="text1"/>
        </w:rPr>
        <w:t>•</w:t>
      </w:r>
      <w:r w:rsidRPr="00012F0F">
        <w:rPr>
          <w:color w:val="000000" w:themeColor="text1"/>
        </w:rPr>
        <w:tab/>
        <w:t>renal and hepatic impairment</w:t>
      </w:r>
    </w:p>
    <w:p w14:paraId="13D0E20D" w14:textId="77777777" w:rsidR="00E75882" w:rsidRPr="00012F0F" w:rsidRDefault="00E75882" w:rsidP="006B47FB">
      <w:pPr>
        <w:pStyle w:val="Instructionaltext"/>
        <w:shd w:val="clear" w:color="auto" w:fill="FFFFFF" w:themeFill="background1"/>
        <w:spacing w:line="240" w:lineRule="auto"/>
        <w:ind w:left="850" w:hanging="425"/>
        <w:rPr>
          <w:color w:val="000000" w:themeColor="text1"/>
        </w:rPr>
      </w:pPr>
      <w:r w:rsidRPr="00012F0F">
        <w:rPr>
          <w:color w:val="000000" w:themeColor="text1"/>
        </w:rPr>
        <w:t>•</w:t>
      </w:r>
      <w:r w:rsidRPr="00012F0F">
        <w:rPr>
          <w:color w:val="000000" w:themeColor="text1"/>
        </w:rPr>
        <w:tab/>
        <w:t>haematological dysfunction and postpartum haemorrhage</w:t>
      </w:r>
    </w:p>
    <w:p w14:paraId="4F7CD4BA" w14:textId="77777777" w:rsidR="00E75882" w:rsidRPr="00012F0F" w:rsidRDefault="00E75882" w:rsidP="006B47FB">
      <w:pPr>
        <w:pStyle w:val="Instructionaltext"/>
        <w:shd w:val="clear" w:color="auto" w:fill="FFFFFF" w:themeFill="background1"/>
        <w:spacing w:line="240" w:lineRule="auto"/>
        <w:ind w:left="850" w:hanging="425"/>
        <w:rPr>
          <w:color w:val="000000" w:themeColor="text1"/>
        </w:rPr>
      </w:pPr>
      <w:r w:rsidRPr="00012F0F">
        <w:rPr>
          <w:color w:val="000000" w:themeColor="text1"/>
        </w:rPr>
        <w:t>•</w:t>
      </w:r>
      <w:r w:rsidRPr="00012F0F">
        <w:rPr>
          <w:color w:val="000000" w:themeColor="text1"/>
        </w:rPr>
        <w:tab/>
        <w:t>HELLP syndrome (H</w:t>
      </w:r>
      <w:r>
        <w:rPr>
          <w:color w:val="000000" w:themeColor="text1"/>
        </w:rPr>
        <w:t>a</w:t>
      </w:r>
      <w:r w:rsidRPr="00012F0F">
        <w:rPr>
          <w:color w:val="000000" w:themeColor="text1"/>
        </w:rPr>
        <w:t>emolysis, Elevated Liver enzymes and Low Platelets)</w:t>
      </w:r>
    </w:p>
    <w:p w14:paraId="02F9D2C5" w14:textId="77777777" w:rsidR="00E75882" w:rsidRPr="00012F0F" w:rsidRDefault="00E75882" w:rsidP="006B47FB">
      <w:pPr>
        <w:pStyle w:val="Instructionaltext"/>
        <w:shd w:val="clear" w:color="auto" w:fill="FFFFFF" w:themeFill="background1"/>
        <w:spacing w:line="240" w:lineRule="auto"/>
        <w:ind w:left="850" w:hanging="425"/>
        <w:rPr>
          <w:color w:val="000000" w:themeColor="text1"/>
        </w:rPr>
      </w:pPr>
      <w:r w:rsidRPr="00012F0F">
        <w:rPr>
          <w:color w:val="000000" w:themeColor="text1"/>
        </w:rPr>
        <w:t>•</w:t>
      </w:r>
      <w:r w:rsidRPr="00012F0F">
        <w:rPr>
          <w:color w:val="000000" w:themeColor="text1"/>
        </w:rPr>
        <w:tab/>
        <w:t>placental abruption</w:t>
      </w:r>
    </w:p>
    <w:p w14:paraId="451771F5" w14:textId="6A80F186" w:rsidR="00E75882" w:rsidRPr="00012F0F" w:rsidRDefault="00C2524B" w:rsidP="006B47FB">
      <w:pPr>
        <w:pStyle w:val="Instructionaltext"/>
        <w:shd w:val="clear" w:color="auto" w:fill="FFFFFF" w:themeFill="background1"/>
        <w:rPr>
          <w:color w:val="000000" w:themeColor="text1"/>
        </w:rPr>
      </w:pPr>
      <w:r>
        <w:rPr>
          <w:color w:val="000000" w:themeColor="text1"/>
        </w:rPr>
        <w:t>PE</w:t>
      </w:r>
      <w:r w:rsidRPr="00012F0F">
        <w:rPr>
          <w:color w:val="000000" w:themeColor="text1"/>
        </w:rPr>
        <w:t xml:space="preserve"> </w:t>
      </w:r>
      <w:r w:rsidR="00E75882" w:rsidRPr="00012F0F">
        <w:rPr>
          <w:color w:val="000000" w:themeColor="text1"/>
        </w:rPr>
        <w:t>is also associated with preterm birth</w:t>
      </w:r>
      <w:r w:rsidR="00EB736B">
        <w:rPr>
          <w:color w:val="000000" w:themeColor="text1"/>
        </w:rPr>
        <w:t>,</w:t>
      </w:r>
      <w:r w:rsidR="00E75882" w:rsidRPr="00012F0F">
        <w:rPr>
          <w:color w:val="000000" w:themeColor="text1"/>
        </w:rPr>
        <w:t xml:space="preserve"> which increases risks of numerous </w:t>
      </w:r>
      <w:r w:rsidR="00E53C1F">
        <w:rPr>
          <w:color w:val="000000" w:themeColor="text1"/>
        </w:rPr>
        <w:t xml:space="preserve">adverse </w:t>
      </w:r>
      <w:r w:rsidR="00E75882" w:rsidRPr="00012F0F">
        <w:rPr>
          <w:color w:val="000000" w:themeColor="text1"/>
        </w:rPr>
        <w:t>neonatal outcomes that should also be explored.</w:t>
      </w:r>
    </w:p>
    <w:p w14:paraId="2F7BAC28" w14:textId="41DA8F92" w:rsidR="00E75882" w:rsidRPr="00012F0F" w:rsidRDefault="00E75882" w:rsidP="006B47FB">
      <w:pPr>
        <w:pStyle w:val="Instructionaltext"/>
        <w:shd w:val="clear" w:color="auto" w:fill="FFFFFF" w:themeFill="background1"/>
        <w:rPr>
          <w:color w:val="000000" w:themeColor="text1"/>
        </w:rPr>
      </w:pPr>
      <w:r w:rsidRPr="00012F0F">
        <w:rPr>
          <w:color w:val="000000" w:themeColor="text1"/>
        </w:rPr>
        <w:t xml:space="preserve">The </w:t>
      </w:r>
      <w:proofErr w:type="gramStart"/>
      <w:r w:rsidRPr="00012F0F">
        <w:rPr>
          <w:color w:val="000000" w:themeColor="text1"/>
        </w:rPr>
        <w:t>most commonly reported</w:t>
      </w:r>
      <w:proofErr w:type="gramEnd"/>
      <w:r w:rsidRPr="00012F0F">
        <w:rPr>
          <w:color w:val="000000" w:themeColor="text1"/>
        </w:rPr>
        <w:t xml:space="preserve"> adverse outcomes, which predominately affect babies &lt; 32 weeks gestation when </w:t>
      </w:r>
      <w:r w:rsidR="00C2524B">
        <w:rPr>
          <w:color w:val="000000" w:themeColor="text1"/>
        </w:rPr>
        <w:t>PE</w:t>
      </w:r>
      <w:r w:rsidR="00C2524B" w:rsidRPr="00012F0F">
        <w:rPr>
          <w:color w:val="000000" w:themeColor="text1"/>
        </w:rPr>
        <w:t xml:space="preserve"> </w:t>
      </w:r>
      <w:r w:rsidR="00E53C1F">
        <w:rPr>
          <w:color w:val="000000" w:themeColor="text1"/>
        </w:rPr>
        <w:t>is</w:t>
      </w:r>
      <w:r w:rsidRPr="00012F0F">
        <w:rPr>
          <w:color w:val="000000" w:themeColor="text1"/>
        </w:rPr>
        <w:t xml:space="preserve"> not identified and properly managed are:</w:t>
      </w:r>
    </w:p>
    <w:p w14:paraId="36885771" w14:textId="77777777" w:rsidR="00E75882" w:rsidRPr="00012F0F" w:rsidRDefault="00E75882" w:rsidP="006B47FB">
      <w:pPr>
        <w:pStyle w:val="Instructionaltext"/>
        <w:shd w:val="clear" w:color="auto" w:fill="FFFFFF" w:themeFill="background1"/>
        <w:spacing w:after="120" w:line="240" w:lineRule="auto"/>
        <w:ind w:left="709" w:hanging="425"/>
        <w:rPr>
          <w:color w:val="000000" w:themeColor="text1"/>
        </w:rPr>
      </w:pPr>
      <w:r w:rsidRPr="00012F0F">
        <w:rPr>
          <w:color w:val="000000" w:themeColor="text1"/>
        </w:rPr>
        <w:t>•</w:t>
      </w:r>
      <w:r w:rsidRPr="00012F0F">
        <w:rPr>
          <w:color w:val="000000" w:themeColor="text1"/>
        </w:rPr>
        <w:tab/>
        <w:t>Early onset sepsis (starting &lt;48 hours after delivery)</w:t>
      </w:r>
    </w:p>
    <w:p w14:paraId="278F6CE2" w14:textId="77777777" w:rsidR="00E75882" w:rsidRPr="00012F0F" w:rsidRDefault="00E75882" w:rsidP="006B47FB">
      <w:pPr>
        <w:pStyle w:val="Instructionaltext"/>
        <w:shd w:val="clear" w:color="auto" w:fill="FFFFFF" w:themeFill="background1"/>
        <w:spacing w:after="120" w:line="240" w:lineRule="auto"/>
        <w:ind w:left="709" w:hanging="425"/>
        <w:rPr>
          <w:color w:val="000000" w:themeColor="text1"/>
        </w:rPr>
      </w:pPr>
      <w:r w:rsidRPr="00012F0F">
        <w:rPr>
          <w:color w:val="000000" w:themeColor="text1"/>
        </w:rPr>
        <w:t>•</w:t>
      </w:r>
      <w:r w:rsidRPr="00012F0F">
        <w:rPr>
          <w:color w:val="000000" w:themeColor="text1"/>
        </w:rPr>
        <w:tab/>
        <w:t>Late onset sepsis (starting &gt;48 hours after delivery)</w:t>
      </w:r>
    </w:p>
    <w:p w14:paraId="4450E3FB" w14:textId="77777777" w:rsidR="00E75882" w:rsidRPr="00012F0F" w:rsidRDefault="00E75882" w:rsidP="006B47FB">
      <w:pPr>
        <w:pStyle w:val="Instructionaltext"/>
        <w:shd w:val="clear" w:color="auto" w:fill="FFFFFF" w:themeFill="background1"/>
        <w:spacing w:after="120" w:line="240" w:lineRule="auto"/>
        <w:ind w:left="709" w:hanging="425"/>
        <w:rPr>
          <w:color w:val="000000" w:themeColor="text1"/>
        </w:rPr>
      </w:pPr>
      <w:r w:rsidRPr="00012F0F">
        <w:rPr>
          <w:color w:val="000000" w:themeColor="text1"/>
        </w:rPr>
        <w:t>•</w:t>
      </w:r>
      <w:r w:rsidRPr="00012F0F">
        <w:rPr>
          <w:color w:val="000000" w:themeColor="text1"/>
        </w:rPr>
        <w:tab/>
        <w:t>Hyaline membrane disease – lung immaturity requiring ventilation (the incidence of which is significantly reduced by administration of antenatal steroids)</w:t>
      </w:r>
    </w:p>
    <w:p w14:paraId="6E46F1C4" w14:textId="77777777" w:rsidR="00E75882" w:rsidRPr="00012F0F" w:rsidRDefault="00E75882" w:rsidP="006B47FB">
      <w:pPr>
        <w:pStyle w:val="Instructionaltext"/>
        <w:shd w:val="clear" w:color="auto" w:fill="FFFFFF" w:themeFill="background1"/>
        <w:spacing w:after="120" w:line="240" w:lineRule="auto"/>
        <w:ind w:left="709" w:hanging="425"/>
        <w:rPr>
          <w:color w:val="000000" w:themeColor="text1"/>
        </w:rPr>
      </w:pPr>
      <w:r w:rsidRPr="00012F0F">
        <w:rPr>
          <w:color w:val="000000" w:themeColor="text1"/>
        </w:rPr>
        <w:t>•</w:t>
      </w:r>
      <w:r w:rsidRPr="00012F0F">
        <w:rPr>
          <w:color w:val="000000" w:themeColor="text1"/>
        </w:rPr>
        <w:tab/>
        <w:t xml:space="preserve">Chronic lung disease (CLD) (also called bronchopulmonary dysplasia) – long term lung disease occurring </w:t>
      </w:r>
      <w:proofErr w:type="gramStart"/>
      <w:r w:rsidRPr="00012F0F">
        <w:rPr>
          <w:color w:val="000000" w:themeColor="text1"/>
        </w:rPr>
        <w:t>as a result of</w:t>
      </w:r>
      <w:proofErr w:type="gramEnd"/>
      <w:r w:rsidRPr="00012F0F">
        <w:rPr>
          <w:color w:val="000000" w:themeColor="text1"/>
        </w:rPr>
        <w:t xml:space="preserve"> prematurity and adverse effects of requiring ventilation</w:t>
      </w:r>
    </w:p>
    <w:p w14:paraId="32B5E763" w14:textId="77777777" w:rsidR="00E75882" w:rsidRPr="00012F0F" w:rsidRDefault="00E75882" w:rsidP="006B47FB">
      <w:pPr>
        <w:pStyle w:val="Instructionaltext"/>
        <w:shd w:val="clear" w:color="auto" w:fill="FFFFFF" w:themeFill="background1"/>
        <w:spacing w:after="120" w:line="240" w:lineRule="auto"/>
        <w:ind w:left="709" w:hanging="425"/>
        <w:rPr>
          <w:color w:val="000000" w:themeColor="text1"/>
        </w:rPr>
      </w:pPr>
      <w:r w:rsidRPr="00012F0F">
        <w:rPr>
          <w:color w:val="000000" w:themeColor="text1"/>
        </w:rPr>
        <w:t>•</w:t>
      </w:r>
      <w:r w:rsidRPr="00012F0F">
        <w:rPr>
          <w:color w:val="000000" w:themeColor="text1"/>
        </w:rPr>
        <w:tab/>
        <w:t>Intracerebral haemorrhage (IVH) – acute bleeding in the brain (the incidence of which is ameliorated by antenatal magnesium sulphate administration to the mother)</w:t>
      </w:r>
    </w:p>
    <w:p w14:paraId="077A8C1F" w14:textId="3294D9C7" w:rsidR="00E75882" w:rsidRPr="00012F0F" w:rsidRDefault="00E75882" w:rsidP="006B47FB">
      <w:pPr>
        <w:pStyle w:val="Instructionaltext"/>
        <w:shd w:val="clear" w:color="auto" w:fill="FFFFFF" w:themeFill="background1"/>
        <w:spacing w:after="120" w:line="240" w:lineRule="auto"/>
        <w:ind w:left="709" w:hanging="425"/>
        <w:rPr>
          <w:color w:val="000000" w:themeColor="text1"/>
        </w:rPr>
      </w:pPr>
      <w:r w:rsidRPr="00012F0F">
        <w:rPr>
          <w:color w:val="000000" w:themeColor="text1"/>
        </w:rPr>
        <w:t>•</w:t>
      </w:r>
      <w:r w:rsidRPr="00012F0F">
        <w:rPr>
          <w:color w:val="000000" w:themeColor="text1"/>
        </w:rPr>
        <w:tab/>
        <w:t xml:space="preserve">Periventricular leukomalacia – persistent brain </w:t>
      </w:r>
      <w:r w:rsidR="00E53C1F">
        <w:rPr>
          <w:color w:val="000000" w:themeColor="text1"/>
        </w:rPr>
        <w:t xml:space="preserve">abnormality </w:t>
      </w:r>
      <w:r w:rsidRPr="00012F0F">
        <w:rPr>
          <w:color w:val="000000" w:themeColor="text1"/>
        </w:rPr>
        <w:t>typically arising from IVH</w:t>
      </w:r>
    </w:p>
    <w:p w14:paraId="035E3BDC" w14:textId="77777777" w:rsidR="00E75882" w:rsidRPr="00012F0F" w:rsidRDefault="00E75882" w:rsidP="00F438ED">
      <w:pPr>
        <w:pStyle w:val="Instructionaltext"/>
        <w:shd w:val="clear" w:color="auto" w:fill="FFFFFF" w:themeFill="background1"/>
        <w:spacing w:after="120" w:line="240" w:lineRule="auto"/>
        <w:ind w:left="709" w:hanging="425"/>
        <w:rPr>
          <w:color w:val="000000" w:themeColor="text1"/>
        </w:rPr>
      </w:pPr>
      <w:r w:rsidRPr="00012F0F">
        <w:rPr>
          <w:color w:val="000000" w:themeColor="text1"/>
        </w:rPr>
        <w:lastRenderedPageBreak/>
        <w:t>•</w:t>
      </w:r>
      <w:r w:rsidRPr="00012F0F">
        <w:rPr>
          <w:color w:val="000000" w:themeColor="text1"/>
        </w:rPr>
        <w:tab/>
        <w:t>Necrotising enteroc</w:t>
      </w:r>
      <w:r>
        <w:rPr>
          <w:color w:val="000000" w:themeColor="text1"/>
        </w:rPr>
        <w:t>o</w:t>
      </w:r>
      <w:r w:rsidRPr="00012F0F">
        <w:rPr>
          <w:color w:val="000000" w:themeColor="text1"/>
        </w:rPr>
        <w:t>litis – infection of the lining of the bowel that may require antibiotics and or surgical resection</w:t>
      </w:r>
    </w:p>
    <w:p w14:paraId="512B1C0C" w14:textId="77777777" w:rsidR="00E75882" w:rsidRPr="00012F0F" w:rsidRDefault="00E75882" w:rsidP="00F438ED">
      <w:pPr>
        <w:pStyle w:val="Instructionaltext"/>
        <w:shd w:val="clear" w:color="auto" w:fill="FFFFFF" w:themeFill="background1"/>
        <w:spacing w:after="120" w:line="240" w:lineRule="auto"/>
        <w:ind w:left="709" w:hanging="425"/>
        <w:rPr>
          <w:color w:val="000000" w:themeColor="text1"/>
        </w:rPr>
      </w:pPr>
      <w:r w:rsidRPr="00012F0F">
        <w:rPr>
          <w:color w:val="000000" w:themeColor="text1"/>
        </w:rPr>
        <w:t>•</w:t>
      </w:r>
      <w:r w:rsidRPr="00012F0F">
        <w:rPr>
          <w:color w:val="000000" w:themeColor="text1"/>
        </w:rPr>
        <w:tab/>
        <w:t>Persistent patent ductus arteriosus – this is where a vessel that is required in utero between the two main outflow vessels of the heart fails to shut once the baby is born, requiring medical or surgical closure</w:t>
      </w:r>
    </w:p>
    <w:p w14:paraId="7DDFC9E1" w14:textId="78C2A4A9" w:rsidR="00E75882" w:rsidRPr="001958F9" w:rsidRDefault="00E75882" w:rsidP="00F438ED">
      <w:pPr>
        <w:pStyle w:val="Instructionaltext"/>
        <w:shd w:val="clear" w:color="auto" w:fill="FFFFFF" w:themeFill="background1"/>
        <w:spacing w:after="120" w:line="240" w:lineRule="auto"/>
        <w:ind w:left="709" w:hanging="425"/>
        <w:rPr>
          <w:color w:val="000000" w:themeColor="text1"/>
        </w:rPr>
      </w:pPr>
      <w:r w:rsidRPr="00012F0F">
        <w:rPr>
          <w:color w:val="000000" w:themeColor="text1"/>
        </w:rPr>
        <w:t>•</w:t>
      </w:r>
      <w:r w:rsidRPr="00012F0F">
        <w:rPr>
          <w:color w:val="000000" w:themeColor="text1"/>
        </w:rPr>
        <w:tab/>
      </w:r>
      <w:r w:rsidR="00E53C1F">
        <w:rPr>
          <w:color w:val="000000" w:themeColor="text1"/>
        </w:rPr>
        <w:t>Poor n</w:t>
      </w:r>
      <w:r w:rsidRPr="00012F0F">
        <w:rPr>
          <w:color w:val="000000" w:themeColor="text1"/>
        </w:rPr>
        <w:t>eurodevelopment as assessed at 2 years of age</w:t>
      </w:r>
    </w:p>
    <w:p w14:paraId="0D50AE8F" w14:textId="5442E8E7" w:rsidR="00E75882" w:rsidRPr="001958F9" w:rsidRDefault="00E75882" w:rsidP="00E52A56">
      <w:pPr>
        <w:pStyle w:val="Instructionaltext"/>
        <w:shd w:val="clear" w:color="auto" w:fill="FFFFFF" w:themeFill="background1"/>
        <w:ind w:left="2552" w:hanging="2552"/>
        <w:rPr>
          <w:color w:val="000000" w:themeColor="text1"/>
        </w:rPr>
      </w:pPr>
      <w:r w:rsidRPr="001958F9">
        <w:rPr>
          <w:color w:val="000000" w:themeColor="text1"/>
        </w:rPr>
        <w:t>Prognosis</w:t>
      </w:r>
      <w:r w:rsidR="00F438ED">
        <w:rPr>
          <w:color w:val="000000" w:themeColor="text1"/>
        </w:rPr>
        <w:tab/>
      </w:r>
      <w:r w:rsidRPr="001958F9">
        <w:rPr>
          <w:color w:val="000000" w:themeColor="text1"/>
        </w:rPr>
        <w:t>Prognostic utility of test</w:t>
      </w:r>
      <w:r>
        <w:rPr>
          <w:color w:val="000000" w:themeColor="text1"/>
        </w:rPr>
        <w:t>ing in women with PE</w:t>
      </w:r>
      <w:r w:rsidR="001B76B5">
        <w:rPr>
          <w:color w:val="000000" w:themeColor="text1"/>
        </w:rPr>
        <w:t>.</w:t>
      </w:r>
    </w:p>
    <w:p w14:paraId="6B455420" w14:textId="020FD164" w:rsidR="00E75882" w:rsidRPr="001958F9" w:rsidRDefault="00E75882" w:rsidP="00E52A56">
      <w:pPr>
        <w:pStyle w:val="Instructionaltext"/>
        <w:shd w:val="clear" w:color="auto" w:fill="FFFFFF" w:themeFill="background1"/>
        <w:ind w:left="2552" w:hanging="2552"/>
        <w:rPr>
          <w:color w:val="000000" w:themeColor="text1"/>
        </w:rPr>
      </w:pPr>
      <w:r w:rsidRPr="001958F9">
        <w:rPr>
          <w:color w:val="000000" w:themeColor="text1"/>
        </w:rPr>
        <w:t>Safety</w:t>
      </w:r>
      <w:r w:rsidRPr="001958F9">
        <w:rPr>
          <w:color w:val="000000" w:themeColor="text1"/>
        </w:rPr>
        <w:tab/>
      </w:r>
      <w:r w:rsidR="003E1091">
        <w:rPr>
          <w:color w:val="000000" w:themeColor="text1"/>
        </w:rPr>
        <w:t>M</w:t>
      </w:r>
      <w:r w:rsidR="003E1091" w:rsidRPr="003E1091">
        <w:rPr>
          <w:color w:val="000000" w:themeColor="text1"/>
        </w:rPr>
        <w:t xml:space="preserve">isclassification of the risk </w:t>
      </w:r>
      <w:r w:rsidR="00DF0F88">
        <w:rPr>
          <w:color w:val="000000" w:themeColor="text1"/>
        </w:rPr>
        <w:t>of</w:t>
      </w:r>
      <w:r w:rsidR="00DF0F88" w:rsidRPr="003E1091">
        <w:rPr>
          <w:color w:val="000000" w:themeColor="text1"/>
        </w:rPr>
        <w:t xml:space="preserve"> </w:t>
      </w:r>
      <w:r w:rsidR="003E1091" w:rsidRPr="003E1091">
        <w:rPr>
          <w:color w:val="000000" w:themeColor="text1"/>
        </w:rPr>
        <w:t>PE; adverse events associated with incorrect risk stratification and the follow-up diagnostic and treatment work ups</w:t>
      </w:r>
      <w:r>
        <w:rPr>
          <w:color w:val="000000" w:themeColor="text1"/>
        </w:rPr>
        <w:t>.</w:t>
      </w:r>
    </w:p>
    <w:p w14:paraId="5DB947F5" w14:textId="77777777" w:rsidR="00E75882" w:rsidRPr="001958F9" w:rsidRDefault="00E75882" w:rsidP="002C1EA9">
      <w:pPr>
        <w:pStyle w:val="Instructionaltext"/>
        <w:keepNext/>
        <w:shd w:val="clear" w:color="auto" w:fill="FFFFFF" w:themeFill="background1"/>
        <w:ind w:left="2552" w:hanging="2552"/>
        <w:rPr>
          <w:color w:val="000000" w:themeColor="text1"/>
          <w:u w:val="single"/>
        </w:rPr>
      </w:pPr>
      <w:r w:rsidRPr="001958F9">
        <w:rPr>
          <w:color w:val="000000" w:themeColor="text1"/>
          <w:u w:val="single"/>
        </w:rPr>
        <w:t>Healthcare system</w:t>
      </w:r>
    </w:p>
    <w:p w14:paraId="280A776B" w14:textId="370EBA64" w:rsidR="00E75882" w:rsidRPr="001958F9" w:rsidRDefault="00E75882" w:rsidP="00E52A56">
      <w:pPr>
        <w:pStyle w:val="Instructionaltext"/>
        <w:shd w:val="clear" w:color="auto" w:fill="FFFFFF" w:themeFill="background1"/>
        <w:ind w:left="2552" w:hanging="2552"/>
        <w:rPr>
          <w:color w:val="000000" w:themeColor="text1"/>
        </w:rPr>
      </w:pPr>
      <w:r w:rsidRPr="001958F9">
        <w:rPr>
          <w:color w:val="000000" w:themeColor="text1"/>
        </w:rPr>
        <w:t>Costs</w:t>
      </w:r>
      <w:r w:rsidRPr="001958F9">
        <w:rPr>
          <w:color w:val="000000" w:themeColor="text1"/>
        </w:rPr>
        <w:tab/>
      </w:r>
      <w:r>
        <w:rPr>
          <w:color w:val="000000" w:themeColor="text1"/>
        </w:rPr>
        <w:t>Cost of t</w:t>
      </w:r>
      <w:r w:rsidRPr="001958F9">
        <w:rPr>
          <w:color w:val="000000" w:themeColor="text1"/>
        </w:rPr>
        <w:t>esting and any cost offsets</w:t>
      </w:r>
      <w:r w:rsidR="00EB736B">
        <w:rPr>
          <w:color w:val="000000" w:themeColor="text1"/>
        </w:rPr>
        <w:t>;</w:t>
      </w:r>
      <w:r w:rsidRPr="001958F9">
        <w:rPr>
          <w:color w:val="000000" w:themeColor="text1"/>
        </w:rPr>
        <w:t xml:space="preserve"> costs associated with</w:t>
      </w:r>
      <w:r w:rsidR="00EB736B">
        <w:rPr>
          <w:color w:val="000000" w:themeColor="text1"/>
        </w:rPr>
        <w:t>-</w:t>
      </w:r>
      <w:r w:rsidRPr="001958F9">
        <w:rPr>
          <w:color w:val="000000" w:themeColor="text1"/>
        </w:rPr>
        <w:t xml:space="preserve"> hospitalisation, outpatient appointments, antihypertensive medication,</w:t>
      </w:r>
      <w:r w:rsidR="00EB736B">
        <w:rPr>
          <w:color w:val="000000" w:themeColor="text1"/>
        </w:rPr>
        <w:t xml:space="preserve"> and</w:t>
      </w:r>
      <w:r w:rsidRPr="001958F9">
        <w:rPr>
          <w:color w:val="000000" w:themeColor="text1"/>
        </w:rPr>
        <w:t xml:space="preserve"> preventing and treating complications</w:t>
      </w:r>
      <w:r w:rsidR="001B76B5">
        <w:rPr>
          <w:color w:val="000000" w:themeColor="text1"/>
        </w:rPr>
        <w:t>.</w:t>
      </w:r>
    </w:p>
    <w:p w14:paraId="34940F8D" w14:textId="15861274" w:rsidR="00E75882" w:rsidRPr="001958F9" w:rsidRDefault="00E75882" w:rsidP="00CC2D49">
      <w:pPr>
        <w:pStyle w:val="Instructionaltext"/>
        <w:shd w:val="clear" w:color="auto" w:fill="FFFFFF" w:themeFill="background1"/>
        <w:ind w:left="2552" w:hanging="2552"/>
        <w:jc w:val="both"/>
        <w:rPr>
          <w:color w:val="000000" w:themeColor="text1"/>
        </w:rPr>
      </w:pPr>
      <w:r w:rsidRPr="001958F9">
        <w:rPr>
          <w:color w:val="000000" w:themeColor="text1"/>
        </w:rPr>
        <w:t>Cost-utility</w:t>
      </w:r>
      <w:r w:rsidRPr="001958F9">
        <w:rPr>
          <w:color w:val="000000" w:themeColor="text1"/>
        </w:rPr>
        <w:tab/>
      </w:r>
      <w:r w:rsidRPr="001958F9">
        <w:rPr>
          <w:rFonts w:eastAsia="SimSun" w:cs="Tahoma"/>
          <w:color w:val="000000" w:themeColor="text1"/>
          <w:szCs w:val="20"/>
          <w:lang w:eastAsia="zh-CN"/>
        </w:rPr>
        <w:t xml:space="preserve">Incremental cost per life-year gained, </w:t>
      </w:r>
      <w:r w:rsidR="00017503">
        <w:rPr>
          <w:rFonts w:eastAsia="SimSun" w:cs="Tahoma"/>
          <w:color w:val="000000" w:themeColor="text1"/>
          <w:szCs w:val="20"/>
          <w:lang w:eastAsia="zh-CN"/>
        </w:rPr>
        <w:t xml:space="preserve">the </w:t>
      </w:r>
      <w:r w:rsidRPr="001958F9">
        <w:rPr>
          <w:rFonts w:eastAsia="SimSun" w:cs="Tahoma"/>
          <w:color w:val="000000" w:themeColor="text1"/>
          <w:szCs w:val="20"/>
          <w:lang w:eastAsia="zh-CN"/>
        </w:rPr>
        <w:t>incremental cost per quality-adjusted life-year.</w:t>
      </w:r>
    </w:p>
    <w:p w14:paraId="2F25593C" w14:textId="77777777" w:rsidR="00E75882" w:rsidRPr="001958F9" w:rsidRDefault="00E75882" w:rsidP="00CC2D49">
      <w:pPr>
        <w:pStyle w:val="Instructionaltext"/>
        <w:shd w:val="clear" w:color="auto" w:fill="FFFFFF" w:themeFill="background1"/>
        <w:ind w:left="2552" w:hanging="2552"/>
        <w:jc w:val="both"/>
        <w:rPr>
          <w:color w:val="000000" w:themeColor="text1"/>
        </w:rPr>
      </w:pPr>
      <w:r w:rsidRPr="001958F9">
        <w:rPr>
          <w:color w:val="000000" w:themeColor="text1"/>
        </w:rPr>
        <w:t>Financial implications</w:t>
      </w:r>
      <w:r w:rsidRPr="001958F9">
        <w:rPr>
          <w:color w:val="000000" w:themeColor="text1"/>
        </w:rPr>
        <w:tab/>
        <w:t>Number and cost of patients tested.</w:t>
      </w:r>
    </w:p>
    <w:bookmarkEnd w:id="23"/>
    <w:p w14:paraId="46DD1170" w14:textId="77777777" w:rsidR="00E75882" w:rsidRPr="00292385" w:rsidRDefault="00E75882" w:rsidP="00292385">
      <w:pPr>
        <w:pStyle w:val="Heading3"/>
        <w:shd w:val="clear" w:color="auto" w:fill="FFFFFF" w:themeFill="background1"/>
        <w:rPr>
          <w:rFonts w:asciiTheme="minorHAnsi" w:hAnsiTheme="minorHAnsi" w:cstheme="minorHAnsi"/>
          <w:b/>
          <w:bCs/>
          <w:i/>
          <w:iCs/>
          <w:color w:val="000000" w:themeColor="text1"/>
        </w:rPr>
      </w:pPr>
      <w:r w:rsidRPr="00292385">
        <w:rPr>
          <w:rFonts w:asciiTheme="minorHAnsi" w:hAnsiTheme="minorHAnsi" w:cstheme="minorHAnsi"/>
          <w:b/>
          <w:bCs/>
          <w:i/>
          <w:iCs/>
          <w:color w:val="000000" w:themeColor="text1"/>
        </w:rPr>
        <w:t>Value of Knowing</w:t>
      </w:r>
    </w:p>
    <w:p w14:paraId="0A7EE7B9" w14:textId="6FBE8A80" w:rsidR="001E32BC" w:rsidRDefault="00E75882" w:rsidP="0080792B">
      <w:pPr>
        <w:shd w:val="clear" w:color="auto" w:fill="FFFFFF" w:themeFill="background1"/>
        <w:rPr>
          <w:color w:val="000000" w:themeColor="text1"/>
        </w:rPr>
      </w:pPr>
      <w:r w:rsidRPr="001958F9">
        <w:rPr>
          <w:color w:val="000000" w:themeColor="text1"/>
        </w:rPr>
        <w:t xml:space="preserve">There could be several potential benefits and harms associated with a knowledge of </w:t>
      </w:r>
      <w:r w:rsidR="000730E2">
        <w:rPr>
          <w:color w:val="000000" w:themeColor="text1"/>
        </w:rPr>
        <w:t xml:space="preserve">the </w:t>
      </w:r>
      <w:r w:rsidRPr="001958F9">
        <w:rPr>
          <w:color w:val="000000" w:themeColor="text1"/>
        </w:rPr>
        <w:t xml:space="preserve">diagnosis of PE. The application did not present any analysis of the value of knowing test results. Many studies have explained the value of additional information generated by the ratio test and its positive impact on the health outcome of women with </w:t>
      </w:r>
      <w:r w:rsidR="00110D01">
        <w:rPr>
          <w:color w:val="000000" w:themeColor="text1"/>
        </w:rPr>
        <w:t>likelihood of</w:t>
      </w:r>
      <w:r w:rsidRPr="001958F9">
        <w:rPr>
          <w:color w:val="000000" w:themeColor="text1"/>
        </w:rPr>
        <w:t xml:space="preserve"> PE </w:t>
      </w:r>
      <w:r>
        <w:rPr>
          <w:noProof/>
          <w:color w:val="000000" w:themeColor="text1"/>
        </w:rPr>
        <w:t>[34, 50, 56]</w:t>
      </w:r>
      <w:r w:rsidRPr="001958F9">
        <w:rPr>
          <w:color w:val="000000" w:themeColor="text1"/>
        </w:rPr>
        <w:t xml:space="preserve">. </w:t>
      </w:r>
      <w:r>
        <w:rPr>
          <w:color w:val="000000" w:themeColor="text1"/>
        </w:rPr>
        <w:t>The ratio test also provides valuable information on disease progression or severity for women diagnosed with PE.</w:t>
      </w:r>
    </w:p>
    <w:p w14:paraId="29F2C9D5" w14:textId="3B4CC06D" w:rsidR="00E75882" w:rsidRPr="002934CC" w:rsidRDefault="00E75882" w:rsidP="0080792B">
      <w:pPr>
        <w:shd w:val="clear" w:color="auto" w:fill="FFFFFF" w:themeFill="background1"/>
        <w:rPr>
          <w:color w:val="000000" w:themeColor="text1"/>
        </w:rPr>
      </w:pPr>
      <w:r w:rsidRPr="002934CC">
        <w:rPr>
          <w:color w:val="000000" w:themeColor="text1"/>
        </w:rPr>
        <w:t>The applicant should comment on any potential value of knowing issues in the assessment report</w:t>
      </w:r>
      <w:r w:rsidR="008228C2" w:rsidRPr="002934CC">
        <w:rPr>
          <w:color w:val="000000" w:themeColor="text1"/>
        </w:rPr>
        <w:t xml:space="preserve"> for Population 1 and Population 2</w:t>
      </w:r>
      <w:r w:rsidRPr="002934CC">
        <w:rPr>
          <w:color w:val="000000" w:themeColor="text1"/>
        </w:rPr>
        <w:t>.</w:t>
      </w:r>
    </w:p>
    <w:p w14:paraId="749A1A45" w14:textId="77777777" w:rsidR="001E32BC" w:rsidRDefault="001E32BC" w:rsidP="001E32BC">
      <w:pPr>
        <w:autoSpaceDE w:val="0"/>
        <w:autoSpaceDN w:val="0"/>
        <w:adjustRightInd w:val="0"/>
        <w:spacing w:line="23" w:lineRule="atLeast"/>
        <w:rPr>
          <w:rFonts w:asciiTheme="minorHAnsi" w:hAnsiTheme="minorHAnsi" w:cstheme="minorHAnsi"/>
          <w:i/>
          <w:iCs/>
        </w:rPr>
      </w:pPr>
      <w:r>
        <w:rPr>
          <w:rFonts w:asciiTheme="minorHAnsi" w:hAnsiTheme="minorHAnsi" w:cstheme="minorHAnsi"/>
          <w:i/>
          <w:iCs/>
        </w:rPr>
        <w:t xml:space="preserve">PASC advised that clinical outcomes related to both mother and </w:t>
      </w:r>
      <w:proofErr w:type="spellStart"/>
      <w:r>
        <w:rPr>
          <w:rFonts w:asciiTheme="minorHAnsi" w:hAnsiTheme="minorHAnsi" w:cstheme="minorHAnsi"/>
          <w:i/>
          <w:iCs/>
        </w:rPr>
        <w:t>fetus</w:t>
      </w:r>
      <w:proofErr w:type="spellEnd"/>
      <w:r>
        <w:rPr>
          <w:rFonts w:asciiTheme="minorHAnsi" w:hAnsiTheme="minorHAnsi" w:cstheme="minorHAnsi"/>
          <w:i/>
          <w:iCs/>
        </w:rPr>
        <w:t xml:space="preserve"> should be addressed in the assessment report.</w:t>
      </w:r>
    </w:p>
    <w:p w14:paraId="6235C98B" w14:textId="52F01E18" w:rsidR="00E75882" w:rsidRPr="001958F9" w:rsidRDefault="00E75882" w:rsidP="00EF551E">
      <w:pPr>
        <w:pStyle w:val="Heading2"/>
        <w:shd w:val="clear" w:color="auto" w:fill="FFFFFF" w:themeFill="background1"/>
        <w:rPr>
          <w:rFonts w:ascii="Franklin Gothic Medium" w:hAnsi="Franklin Gothic Medium"/>
          <w:color w:val="000000" w:themeColor="text1"/>
          <w:sz w:val="32"/>
          <w:szCs w:val="32"/>
        </w:rPr>
      </w:pPr>
      <w:r w:rsidRPr="001958F9">
        <w:rPr>
          <w:rFonts w:ascii="Franklin Gothic Medium" w:hAnsi="Franklin Gothic Medium"/>
          <w:color w:val="000000" w:themeColor="text1"/>
          <w:sz w:val="32"/>
          <w:szCs w:val="32"/>
        </w:rPr>
        <w:t>Assessment framework</w:t>
      </w:r>
    </w:p>
    <w:p w14:paraId="3FA9F1D4" w14:textId="3A36FEB7" w:rsidR="00E75882" w:rsidRPr="001958F9" w:rsidRDefault="008228C2" w:rsidP="00EF551E">
      <w:pPr>
        <w:shd w:val="clear" w:color="auto" w:fill="FFFFFF" w:themeFill="background1"/>
        <w:jc w:val="both"/>
        <w:rPr>
          <w:color w:val="000000" w:themeColor="text1"/>
        </w:rPr>
      </w:pPr>
      <w:bookmarkStart w:id="25" w:name="_Hlk97018813"/>
      <w:r>
        <w:rPr>
          <w:bCs/>
          <w:color w:val="000000" w:themeColor="text1"/>
        </w:rPr>
        <w:t>Two</w:t>
      </w:r>
      <w:r w:rsidR="00E75882" w:rsidRPr="001958F9">
        <w:rPr>
          <w:color w:val="000000" w:themeColor="text1"/>
        </w:rPr>
        <w:t xml:space="preserve"> assessment framework</w:t>
      </w:r>
      <w:r>
        <w:rPr>
          <w:color w:val="000000" w:themeColor="text1"/>
        </w:rPr>
        <w:t>s</w:t>
      </w:r>
      <w:r w:rsidR="00E75882" w:rsidRPr="001958F9">
        <w:rPr>
          <w:color w:val="000000" w:themeColor="text1"/>
        </w:rPr>
        <w:t xml:space="preserve"> linking the </w:t>
      </w:r>
      <w:bookmarkStart w:id="26" w:name="_Hlk96342808"/>
      <w:r w:rsidR="00E75882" w:rsidRPr="001958F9">
        <w:rPr>
          <w:color w:val="000000" w:themeColor="text1"/>
        </w:rPr>
        <w:t>sFlt-1/</w:t>
      </w:r>
      <w:proofErr w:type="spellStart"/>
      <w:r w:rsidR="00E75882" w:rsidRPr="001958F9">
        <w:rPr>
          <w:color w:val="000000" w:themeColor="text1"/>
        </w:rPr>
        <w:t>PlGF</w:t>
      </w:r>
      <w:proofErr w:type="spellEnd"/>
      <w:r w:rsidR="00E75882" w:rsidRPr="001958F9">
        <w:rPr>
          <w:color w:val="000000" w:themeColor="text1"/>
        </w:rPr>
        <w:t xml:space="preserve"> ratio test </w:t>
      </w:r>
      <w:bookmarkEnd w:id="26"/>
      <w:r w:rsidR="00E75882" w:rsidRPr="001958F9">
        <w:rPr>
          <w:color w:val="000000" w:themeColor="text1"/>
        </w:rPr>
        <w:t xml:space="preserve">to relevant health outcomes </w:t>
      </w:r>
      <w:r w:rsidR="00743119">
        <w:rPr>
          <w:color w:val="000000" w:themeColor="text1"/>
        </w:rPr>
        <w:t>are</w:t>
      </w:r>
      <w:r w:rsidR="00E75882" w:rsidRPr="001958F9">
        <w:rPr>
          <w:color w:val="000000" w:themeColor="text1"/>
        </w:rPr>
        <w:t xml:space="preserve"> presented in </w:t>
      </w:r>
      <w:hyperlink w:anchor="Title_figure2" w:history="1">
        <w:r w:rsidR="00E75882" w:rsidRPr="008272F3">
          <w:rPr>
            <w:rStyle w:val="Hyperlink"/>
            <w:color w:val="000000" w:themeColor="text1"/>
            <w:u w:val="none"/>
          </w:rPr>
          <w:t>Figure 2</w:t>
        </w:r>
      </w:hyperlink>
      <w:r w:rsidR="00E75882" w:rsidRPr="008272F3">
        <w:rPr>
          <w:rStyle w:val="Hyperlink"/>
          <w:color w:val="000000" w:themeColor="text1"/>
          <w:u w:val="none"/>
        </w:rPr>
        <w:t xml:space="preserve"> </w:t>
      </w:r>
      <w:r>
        <w:rPr>
          <w:rStyle w:val="Hyperlink"/>
          <w:color w:val="000000" w:themeColor="text1"/>
          <w:u w:val="none"/>
        </w:rPr>
        <w:t xml:space="preserve">(Population 1) </w:t>
      </w:r>
      <w:r w:rsidR="00E75882" w:rsidRPr="008272F3">
        <w:rPr>
          <w:rStyle w:val="Hyperlink"/>
          <w:color w:val="000000" w:themeColor="text1"/>
          <w:u w:val="none"/>
        </w:rPr>
        <w:t xml:space="preserve">and </w:t>
      </w:r>
      <w:hyperlink w:anchor="Title_Figure3" w:history="1">
        <w:r w:rsidR="00E75882" w:rsidRPr="008272F3">
          <w:rPr>
            <w:rStyle w:val="Hyperlink"/>
            <w:color w:val="000000" w:themeColor="text1"/>
            <w:u w:val="none"/>
          </w:rPr>
          <w:t>Figure 3</w:t>
        </w:r>
      </w:hyperlink>
      <w:r>
        <w:rPr>
          <w:rStyle w:val="Hyperlink"/>
          <w:color w:val="000000" w:themeColor="text1"/>
          <w:u w:val="none"/>
        </w:rPr>
        <w:t xml:space="preserve"> (Population 2)</w:t>
      </w:r>
      <w:r w:rsidR="00E75882" w:rsidRPr="001B26A4">
        <w:rPr>
          <w:color w:val="000000" w:themeColor="text1"/>
        </w:rPr>
        <w:t xml:space="preserve">. </w:t>
      </w:r>
    </w:p>
    <w:bookmarkEnd w:id="25"/>
    <w:p w14:paraId="59F35C18" w14:textId="0490455F" w:rsidR="00E75882" w:rsidRPr="001958F9" w:rsidRDefault="00093630" w:rsidP="00BA2D27">
      <w:pPr>
        <w:keepNext/>
        <w:shd w:val="clear" w:color="auto" w:fill="FFFFFF" w:themeFill="background1"/>
        <w:spacing w:after="0"/>
        <w:jc w:val="both"/>
        <w:rPr>
          <w:color w:val="000000" w:themeColor="text1"/>
        </w:rPr>
      </w:pPr>
      <w:r w:rsidRPr="00093630">
        <w:rPr>
          <w:noProof/>
        </w:rPr>
        <w:lastRenderedPageBreak/>
        <w:drawing>
          <wp:inline distT="0" distB="0" distL="0" distR="0" wp14:anchorId="4E52CB0E" wp14:editId="44E51969">
            <wp:extent cx="5512735" cy="2176609"/>
            <wp:effectExtent l="0" t="0" r="0" b="0"/>
            <wp:docPr id="5" name="Picture 5" descr="Figure 2: Assessment framework showing the links from the test population to health outcomes (Popul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Assessment framework showing the links from the test population to health outcomes (Population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1509" b="20606"/>
                    <a:stretch/>
                  </pic:blipFill>
                  <pic:spPr bwMode="auto">
                    <a:xfrm>
                      <a:off x="0" y="0"/>
                      <a:ext cx="5545928" cy="2189715"/>
                    </a:xfrm>
                    <a:prstGeom prst="rect">
                      <a:avLst/>
                    </a:prstGeom>
                    <a:noFill/>
                    <a:ln>
                      <a:noFill/>
                    </a:ln>
                    <a:extLst>
                      <a:ext uri="{53640926-AAD7-44D8-BBD7-CCE9431645EC}">
                        <a14:shadowObscured xmlns:a14="http://schemas.microsoft.com/office/drawing/2010/main"/>
                      </a:ext>
                    </a:extLst>
                  </pic:spPr>
                </pic:pic>
              </a:graphicData>
            </a:graphic>
          </wp:inline>
        </w:drawing>
      </w:r>
    </w:p>
    <w:p w14:paraId="5121BDA9" w14:textId="77777777" w:rsidR="00BA2D27" w:rsidRPr="001958F9" w:rsidRDefault="00BA2D27" w:rsidP="00BA2D27">
      <w:pPr>
        <w:pStyle w:val="Caption"/>
        <w:shd w:val="clear" w:color="auto" w:fill="FFFFFF" w:themeFill="background1"/>
        <w:spacing w:before="0" w:after="0"/>
        <w:ind w:left="0" w:firstLine="0"/>
        <w:rPr>
          <w:color w:val="000000" w:themeColor="text1"/>
        </w:rPr>
      </w:pPr>
      <w:bookmarkStart w:id="27" w:name="_Ref68327593"/>
      <w:bookmarkStart w:id="28" w:name="_Ref68327680"/>
      <w:bookmarkStart w:id="29" w:name="Title_figure2"/>
      <w:r w:rsidRPr="001958F9">
        <w:rPr>
          <w:rFonts w:cs="Arial"/>
          <w:bCs/>
          <w:snapToGrid w:val="0"/>
          <w:color w:val="000000" w:themeColor="text1"/>
          <w:lang w:val="en-AU" w:eastAsia="en-US"/>
        </w:rPr>
        <w:t>Figure</w:t>
      </w:r>
      <w:bookmarkEnd w:id="27"/>
      <w:r w:rsidRPr="001958F9">
        <w:rPr>
          <w:rFonts w:cs="Arial"/>
          <w:bCs/>
          <w:snapToGrid w:val="0"/>
          <w:color w:val="000000" w:themeColor="text1"/>
          <w:lang w:val="en-AU" w:eastAsia="en-US"/>
        </w:rPr>
        <w:t> </w:t>
      </w:r>
      <w:bookmarkEnd w:id="28"/>
      <w:r w:rsidRPr="001958F9">
        <w:rPr>
          <w:rFonts w:cs="Arial"/>
          <w:bCs/>
          <w:snapToGrid w:val="0"/>
          <w:color w:val="000000" w:themeColor="text1"/>
          <w:lang w:val="en-AU" w:eastAsia="en-US"/>
        </w:rPr>
        <w:t>2:</w:t>
      </w:r>
      <w:r w:rsidRPr="001958F9">
        <w:rPr>
          <w:rFonts w:cs="Arial"/>
          <w:bCs/>
          <w:snapToGrid w:val="0"/>
          <w:color w:val="000000" w:themeColor="text1"/>
          <w:lang w:val="en-AU" w:eastAsia="en-US"/>
        </w:rPr>
        <w:tab/>
        <w:t>Assessment framework showing the links from the test population to health outcomes</w:t>
      </w:r>
      <w:r>
        <w:rPr>
          <w:rFonts w:cs="Arial"/>
          <w:bCs/>
          <w:snapToGrid w:val="0"/>
          <w:color w:val="000000" w:themeColor="text1"/>
          <w:lang w:val="en-AU" w:eastAsia="en-US"/>
        </w:rPr>
        <w:t xml:space="preserve"> (Population 1)</w:t>
      </w:r>
    </w:p>
    <w:bookmarkEnd w:id="29"/>
    <w:p w14:paraId="52C44611" w14:textId="01B5B965" w:rsidR="00E75882" w:rsidRPr="001958F9" w:rsidRDefault="00EF0817" w:rsidP="00BA2D27">
      <w:pPr>
        <w:pStyle w:val="Tablenotes"/>
        <w:keepLines/>
        <w:shd w:val="clear" w:color="auto" w:fill="FFFFFF" w:themeFill="background1"/>
        <w:spacing w:before="120" w:after="0"/>
        <w:jc w:val="left"/>
        <w:rPr>
          <w:color w:val="000000" w:themeColor="text1"/>
          <w:szCs w:val="18"/>
        </w:rPr>
      </w:pPr>
      <w:r>
        <w:rPr>
          <w:color w:val="000000" w:themeColor="text1"/>
          <w:szCs w:val="18"/>
        </w:rPr>
        <w:t>s</w:t>
      </w:r>
      <w:r w:rsidRPr="001958F9">
        <w:rPr>
          <w:color w:val="000000" w:themeColor="text1"/>
          <w:szCs w:val="18"/>
        </w:rPr>
        <w:t>Flt</w:t>
      </w:r>
      <w:r w:rsidR="00E75882" w:rsidRPr="001958F9">
        <w:rPr>
          <w:color w:val="000000" w:themeColor="text1"/>
          <w:szCs w:val="18"/>
        </w:rPr>
        <w:t xml:space="preserve">-1= soluble </w:t>
      </w:r>
      <w:proofErr w:type="spellStart"/>
      <w:r w:rsidR="00E75882" w:rsidRPr="001958F9">
        <w:rPr>
          <w:color w:val="000000" w:themeColor="text1"/>
          <w:szCs w:val="18"/>
        </w:rPr>
        <w:t>fms</w:t>
      </w:r>
      <w:proofErr w:type="spellEnd"/>
      <w:r w:rsidR="00E75882" w:rsidRPr="001958F9">
        <w:rPr>
          <w:color w:val="000000" w:themeColor="text1"/>
          <w:szCs w:val="18"/>
        </w:rPr>
        <w:t xml:space="preserve">-like tyrosine kinase-1; </w:t>
      </w:r>
      <w:proofErr w:type="spellStart"/>
      <w:r w:rsidR="00E75882" w:rsidRPr="001958F9">
        <w:rPr>
          <w:color w:val="000000" w:themeColor="text1"/>
          <w:szCs w:val="18"/>
        </w:rPr>
        <w:t>PlGF</w:t>
      </w:r>
      <w:proofErr w:type="spellEnd"/>
      <w:r w:rsidR="00E75882" w:rsidRPr="001958F9">
        <w:rPr>
          <w:color w:val="000000" w:themeColor="text1"/>
          <w:szCs w:val="18"/>
        </w:rPr>
        <w:t xml:space="preserve">= placental growth factor; OMFS = overall maternal and </w:t>
      </w:r>
      <w:proofErr w:type="spellStart"/>
      <w:r w:rsidR="00E75882" w:rsidRPr="001958F9">
        <w:rPr>
          <w:color w:val="000000" w:themeColor="text1"/>
          <w:szCs w:val="18"/>
        </w:rPr>
        <w:t>fetal</w:t>
      </w:r>
      <w:proofErr w:type="spellEnd"/>
      <w:r w:rsidR="00E75882" w:rsidRPr="001958F9">
        <w:rPr>
          <w:color w:val="000000" w:themeColor="text1"/>
          <w:szCs w:val="18"/>
        </w:rPr>
        <w:t xml:space="preserve"> survival; DRS = disease-related survival (maternal and </w:t>
      </w:r>
      <w:proofErr w:type="spellStart"/>
      <w:r w:rsidR="00F7736F">
        <w:rPr>
          <w:color w:val="000000" w:themeColor="text1"/>
          <w:szCs w:val="18"/>
        </w:rPr>
        <w:t>fetal</w:t>
      </w:r>
      <w:proofErr w:type="spellEnd"/>
      <w:r w:rsidR="00E75882" w:rsidRPr="001958F9">
        <w:rPr>
          <w:color w:val="000000" w:themeColor="text1"/>
          <w:szCs w:val="18"/>
        </w:rPr>
        <w:t>); QoL = quality of life.</w:t>
      </w:r>
    </w:p>
    <w:p w14:paraId="4EC0CB79" w14:textId="658C014D" w:rsidR="00E75882" w:rsidRPr="001958F9" w:rsidRDefault="00E75882" w:rsidP="00EF551E">
      <w:pPr>
        <w:pStyle w:val="Tablenotes"/>
        <w:keepLines/>
        <w:shd w:val="clear" w:color="auto" w:fill="FFFFFF" w:themeFill="background1"/>
        <w:spacing w:after="0"/>
        <w:jc w:val="left"/>
        <w:rPr>
          <w:color w:val="000000" w:themeColor="text1"/>
          <w:szCs w:val="18"/>
        </w:rPr>
      </w:pPr>
      <w:r w:rsidRPr="001958F9">
        <w:rPr>
          <w:color w:val="000000" w:themeColor="text1"/>
          <w:szCs w:val="18"/>
        </w:rPr>
        <w:t>1: direct from test to health outcomes evidence; 2: concordance of sFlt-1/</w:t>
      </w:r>
      <w:proofErr w:type="spellStart"/>
      <w:r w:rsidRPr="001958F9">
        <w:rPr>
          <w:color w:val="000000" w:themeColor="text1"/>
          <w:szCs w:val="18"/>
        </w:rPr>
        <w:t>PlGF</w:t>
      </w:r>
      <w:proofErr w:type="spellEnd"/>
      <w:r w:rsidRPr="001958F9">
        <w:rPr>
          <w:color w:val="000000" w:themeColor="text1"/>
          <w:szCs w:val="18"/>
        </w:rPr>
        <w:t xml:space="preserve"> ratio testing with pregnant women with symptoms of PE; 3: change in diagnosis/treatment/management; 4: influence of the change in management on health outcomes; 5: adverse events due to testing; </w:t>
      </w:r>
      <w:r w:rsidR="005A1959">
        <w:rPr>
          <w:color w:val="000000" w:themeColor="text1"/>
          <w:szCs w:val="18"/>
        </w:rPr>
        <w:t>6</w:t>
      </w:r>
      <w:r w:rsidRPr="001958F9">
        <w:rPr>
          <w:color w:val="000000" w:themeColor="text1"/>
          <w:szCs w:val="18"/>
        </w:rPr>
        <w:t>: adverse events due to treatment</w:t>
      </w:r>
    </w:p>
    <w:p w14:paraId="787D1642" w14:textId="5DD0F055" w:rsidR="00E75882" w:rsidRDefault="00E75882" w:rsidP="00743119">
      <w:pPr>
        <w:pStyle w:val="Tablenotes"/>
        <w:keepLines/>
        <w:shd w:val="clear" w:color="auto" w:fill="FFFFFF" w:themeFill="background1"/>
        <w:spacing w:after="0"/>
        <w:jc w:val="left"/>
        <w:rPr>
          <w:color w:val="000000" w:themeColor="text1"/>
        </w:rPr>
      </w:pPr>
      <w:r w:rsidRPr="001958F9">
        <w:rPr>
          <w:color w:val="000000" w:themeColor="text1"/>
        </w:rPr>
        <w:t>Source: Adapted from p80, Figure 8, MSAC Guidelines for preparing assessments for the Medical Services Advisory Committee 2021.</w:t>
      </w:r>
    </w:p>
    <w:p w14:paraId="33A0D7E1" w14:textId="77777777" w:rsidR="00743119" w:rsidRDefault="00743119" w:rsidP="00743119">
      <w:pPr>
        <w:pStyle w:val="Tablenotes"/>
        <w:keepLines/>
        <w:shd w:val="clear" w:color="auto" w:fill="FFFFFF" w:themeFill="background1"/>
        <w:spacing w:after="0"/>
        <w:jc w:val="left"/>
        <w:rPr>
          <w:color w:val="000000" w:themeColor="text1"/>
        </w:rPr>
      </w:pPr>
    </w:p>
    <w:p w14:paraId="35605414" w14:textId="663CF704" w:rsidR="00E75882" w:rsidRDefault="00630A11" w:rsidP="00EF551E">
      <w:r w:rsidRPr="00630A11">
        <w:rPr>
          <w:noProof/>
        </w:rPr>
        <w:drawing>
          <wp:inline distT="0" distB="0" distL="0" distR="0" wp14:anchorId="54FAFB02" wp14:editId="6E786212">
            <wp:extent cx="5445692" cy="2109291"/>
            <wp:effectExtent l="0" t="0" r="0" b="5715"/>
            <wp:docPr id="8" name="Picture 8" descr="Figure 3: Assessment framework showing the links from the test population to health outcomes (Popul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3: Assessment framework showing the links from the test population to health outcomes (Population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4064"/>
                    <a:stretch/>
                  </pic:blipFill>
                  <pic:spPr bwMode="auto">
                    <a:xfrm>
                      <a:off x="0" y="0"/>
                      <a:ext cx="5483954" cy="2124111"/>
                    </a:xfrm>
                    <a:prstGeom prst="rect">
                      <a:avLst/>
                    </a:prstGeom>
                    <a:noFill/>
                    <a:ln>
                      <a:noFill/>
                    </a:ln>
                    <a:extLst>
                      <a:ext uri="{53640926-AAD7-44D8-BBD7-CCE9431645EC}">
                        <a14:shadowObscured xmlns:a14="http://schemas.microsoft.com/office/drawing/2010/main"/>
                      </a:ext>
                    </a:extLst>
                  </pic:spPr>
                </pic:pic>
              </a:graphicData>
            </a:graphic>
          </wp:inline>
        </w:drawing>
      </w:r>
    </w:p>
    <w:p w14:paraId="6E877464" w14:textId="77777777" w:rsidR="00BA2D27" w:rsidRPr="008272F3" w:rsidRDefault="00BA2D27" w:rsidP="00BA2D27">
      <w:pPr>
        <w:pStyle w:val="Caption"/>
        <w:shd w:val="clear" w:color="auto" w:fill="FFFFFF" w:themeFill="background1"/>
        <w:spacing w:before="0"/>
        <w:ind w:left="0" w:firstLine="0"/>
        <w:rPr>
          <w:color w:val="000000" w:themeColor="text1"/>
        </w:rPr>
      </w:pPr>
      <w:bookmarkStart w:id="30" w:name="Title_Figure3"/>
      <w:r w:rsidRPr="001958F9">
        <w:rPr>
          <w:rFonts w:cs="Arial"/>
          <w:bCs/>
          <w:snapToGrid w:val="0"/>
          <w:color w:val="000000" w:themeColor="text1"/>
          <w:lang w:val="en-AU" w:eastAsia="en-US"/>
        </w:rPr>
        <w:t>Figure </w:t>
      </w:r>
      <w:r>
        <w:rPr>
          <w:rFonts w:cs="Arial"/>
          <w:bCs/>
          <w:snapToGrid w:val="0"/>
          <w:color w:val="000000" w:themeColor="text1"/>
          <w:lang w:val="en-AU" w:eastAsia="en-US"/>
        </w:rPr>
        <w:t>3</w:t>
      </w:r>
      <w:r w:rsidRPr="001958F9">
        <w:rPr>
          <w:rFonts w:cs="Arial"/>
          <w:bCs/>
          <w:snapToGrid w:val="0"/>
          <w:color w:val="000000" w:themeColor="text1"/>
          <w:lang w:val="en-AU" w:eastAsia="en-US"/>
        </w:rPr>
        <w:t>:</w:t>
      </w:r>
      <w:r w:rsidRPr="001958F9">
        <w:rPr>
          <w:rFonts w:cs="Arial"/>
          <w:bCs/>
          <w:snapToGrid w:val="0"/>
          <w:color w:val="000000" w:themeColor="text1"/>
          <w:lang w:val="en-AU" w:eastAsia="en-US"/>
        </w:rPr>
        <w:tab/>
        <w:t>Assessment framework showing the links from the test population to health outcomes</w:t>
      </w:r>
      <w:r>
        <w:rPr>
          <w:rFonts w:cs="Arial"/>
          <w:bCs/>
          <w:snapToGrid w:val="0"/>
          <w:color w:val="000000" w:themeColor="text1"/>
          <w:lang w:val="en-AU" w:eastAsia="en-US"/>
        </w:rPr>
        <w:t xml:space="preserve"> (Population 2)</w:t>
      </w:r>
    </w:p>
    <w:bookmarkEnd w:id="30"/>
    <w:p w14:paraId="5C27187C" w14:textId="3396143C" w:rsidR="00F7736F" w:rsidRPr="001958F9" w:rsidRDefault="00EF0817" w:rsidP="00F7736F">
      <w:pPr>
        <w:pStyle w:val="Tablenotes"/>
        <w:keepLines/>
        <w:shd w:val="clear" w:color="auto" w:fill="FFFFFF" w:themeFill="background1"/>
        <w:spacing w:after="0"/>
        <w:jc w:val="left"/>
        <w:rPr>
          <w:color w:val="000000" w:themeColor="text1"/>
          <w:szCs w:val="18"/>
        </w:rPr>
      </w:pPr>
      <w:r>
        <w:rPr>
          <w:color w:val="000000" w:themeColor="text1"/>
          <w:szCs w:val="18"/>
        </w:rPr>
        <w:t>s</w:t>
      </w:r>
      <w:r w:rsidR="00F7736F" w:rsidRPr="001958F9">
        <w:rPr>
          <w:color w:val="000000" w:themeColor="text1"/>
          <w:szCs w:val="18"/>
        </w:rPr>
        <w:t xml:space="preserve">Flt-1= soluble </w:t>
      </w:r>
      <w:proofErr w:type="spellStart"/>
      <w:r w:rsidR="00F7736F" w:rsidRPr="001958F9">
        <w:rPr>
          <w:color w:val="000000" w:themeColor="text1"/>
          <w:szCs w:val="18"/>
        </w:rPr>
        <w:t>fms</w:t>
      </w:r>
      <w:proofErr w:type="spellEnd"/>
      <w:r w:rsidR="00F7736F" w:rsidRPr="001958F9">
        <w:rPr>
          <w:color w:val="000000" w:themeColor="text1"/>
          <w:szCs w:val="18"/>
        </w:rPr>
        <w:t xml:space="preserve">-like tyrosine kinase-1; </w:t>
      </w:r>
      <w:proofErr w:type="spellStart"/>
      <w:r w:rsidR="00F7736F" w:rsidRPr="001958F9">
        <w:rPr>
          <w:color w:val="000000" w:themeColor="text1"/>
          <w:szCs w:val="18"/>
        </w:rPr>
        <w:t>PlGF</w:t>
      </w:r>
      <w:proofErr w:type="spellEnd"/>
      <w:r w:rsidR="00F7736F" w:rsidRPr="001958F9">
        <w:rPr>
          <w:color w:val="000000" w:themeColor="text1"/>
          <w:szCs w:val="18"/>
        </w:rPr>
        <w:t xml:space="preserve">= placental growth factor; OMFS = overall maternal and </w:t>
      </w:r>
      <w:proofErr w:type="spellStart"/>
      <w:r w:rsidR="00F7736F" w:rsidRPr="001958F9">
        <w:rPr>
          <w:color w:val="000000" w:themeColor="text1"/>
          <w:szCs w:val="18"/>
        </w:rPr>
        <w:t>fetal</w:t>
      </w:r>
      <w:proofErr w:type="spellEnd"/>
      <w:r w:rsidR="00F7736F" w:rsidRPr="001958F9">
        <w:rPr>
          <w:color w:val="000000" w:themeColor="text1"/>
          <w:szCs w:val="18"/>
        </w:rPr>
        <w:t xml:space="preserve"> survival; DRS = disease-related survival (maternal and </w:t>
      </w:r>
      <w:proofErr w:type="spellStart"/>
      <w:r w:rsidR="00F7736F">
        <w:rPr>
          <w:color w:val="000000" w:themeColor="text1"/>
          <w:szCs w:val="18"/>
        </w:rPr>
        <w:t>fetal</w:t>
      </w:r>
      <w:proofErr w:type="spellEnd"/>
      <w:r w:rsidR="00F7736F" w:rsidRPr="001958F9">
        <w:rPr>
          <w:color w:val="000000" w:themeColor="text1"/>
          <w:szCs w:val="18"/>
        </w:rPr>
        <w:t>); QoL = quality of life.</w:t>
      </w:r>
    </w:p>
    <w:p w14:paraId="1F81DF53" w14:textId="77777777" w:rsidR="005A1959" w:rsidRPr="001958F9" w:rsidRDefault="005A1959" w:rsidP="005A1959">
      <w:pPr>
        <w:pStyle w:val="Tablenotes"/>
        <w:keepLines/>
        <w:shd w:val="clear" w:color="auto" w:fill="FFFFFF" w:themeFill="background1"/>
        <w:spacing w:after="0"/>
        <w:jc w:val="left"/>
        <w:rPr>
          <w:color w:val="000000" w:themeColor="text1"/>
          <w:szCs w:val="18"/>
        </w:rPr>
      </w:pPr>
      <w:r w:rsidRPr="001958F9">
        <w:rPr>
          <w:color w:val="000000" w:themeColor="text1"/>
          <w:szCs w:val="18"/>
        </w:rPr>
        <w:t>1: direct from test to health outcomes evidence; 2: concordance of sFlt-1/</w:t>
      </w:r>
      <w:proofErr w:type="spellStart"/>
      <w:r w:rsidRPr="001958F9">
        <w:rPr>
          <w:color w:val="000000" w:themeColor="text1"/>
          <w:szCs w:val="18"/>
        </w:rPr>
        <w:t>PlGF</w:t>
      </w:r>
      <w:proofErr w:type="spellEnd"/>
      <w:r w:rsidRPr="001958F9">
        <w:rPr>
          <w:color w:val="000000" w:themeColor="text1"/>
          <w:szCs w:val="18"/>
        </w:rPr>
        <w:t xml:space="preserve"> ratio testing with pregnant women with symptoms of PE; 3: change in diagnosis/treatment/management; 4: influence of the change in management on health outcomes; 5: adverse events due to testing; </w:t>
      </w:r>
      <w:r>
        <w:rPr>
          <w:color w:val="000000" w:themeColor="text1"/>
          <w:szCs w:val="18"/>
        </w:rPr>
        <w:t>6</w:t>
      </w:r>
      <w:r w:rsidRPr="001958F9">
        <w:rPr>
          <w:color w:val="000000" w:themeColor="text1"/>
          <w:szCs w:val="18"/>
        </w:rPr>
        <w:t>: adverse events due to treatment</w:t>
      </w:r>
    </w:p>
    <w:p w14:paraId="411ABB0C" w14:textId="77777777" w:rsidR="001A7813" w:rsidRDefault="001A7813" w:rsidP="001A7813">
      <w:pPr>
        <w:pStyle w:val="Tablenotes"/>
        <w:keepLines/>
        <w:shd w:val="clear" w:color="auto" w:fill="FFFFFF" w:themeFill="background1"/>
        <w:spacing w:after="0"/>
        <w:jc w:val="left"/>
        <w:rPr>
          <w:color w:val="000000" w:themeColor="text1"/>
        </w:rPr>
      </w:pPr>
      <w:r w:rsidRPr="001958F9">
        <w:rPr>
          <w:color w:val="000000" w:themeColor="text1"/>
        </w:rPr>
        <w:t>Source: Adapted from p80, Figure 8, MSAC Guidelines for preparing assessments for the Medical Services Advisory Committee 2021.</w:t>
      </w:r>
    </w:p>
    <w:p w14:paraId="7DB71A94" w14:textId="4F23D396" w:rsidR="00E75882" w:rsidRPr="002934CC" w:rsidRDefault="00E75882" w:rsidP="00EF551E">
      <w:pPr>
        <w:pStyle w:val="Instructionaltext-afterfiguretable"/>
        <w:keepNext/>
        <w:shd w:val="clear" w:color="auto" w:fill="FFFFFF" w:themeFill="background1"/>
        <w:rPr>
          <w:color w:val="000000" w:themeColor="text1"/>
        </w:rPr>
      </w:pPr>
      <w:r w:rsidRPr="002934CC">
        <w:rPr>
          <w:color w:val="000000" w:themeColor="text1"/>
        </w:rPr>
        <w:t>The main assessment question for a claim of superiority is whether the addition of the sFlt-1/</w:t>
      </w:r>
      <w:proofErr w:type="spellStart"/>
      <w:r w:rsidRPr="002934CC">
        <w:rPr>
          <w:color w:val="000000" w:themeColor="text1"/>
        </w:rPr>
        <w:t>PlGF</w:t>
      </w:r>
      <w:proofErr w:type="spellEnd"/>
      <w:r w:rsidRPr="002934CC">
        <w:rPr>
          <w:color w:val="000000" w:themeColor="text1"/>
        </w:rPr>
        <w:t xml:space="preserve"> ratio test to </w:t>
      </w:r>
      <w:r w:rsidR="00743119" w:rsidRPr="002934CC">
        <w:rPr>
          <w:color w:val="000000" w:themeColor="text1"/>
        </w:rPr>
        <w:t xml:space="preserve">the </w:t>
      </w:r>
      <w:r w:rsidRPr="002934CC">
        <w:rPr>
          <w:color w:val="000000" w:themeColor="text1"/>
        </w:rPr>
        <w:t>current testing regimen results in the claimed superior health outcomes?</w:t>
      </w:r>
    </w:p>
    <w:p w14:paraId="7483A403" w14:textId="05AFD3E1" w:rsidR="00E75882" w:rsidRPr="001958F9" w:rsidRDefault="00E75882" w:rsidP="00292385">
      <w:pPr>
        <w:pStyle w:val="Heading2"/>
        <w:shd w:val="clear" w:color="auto" w:fill="FFFFFF" w:themeFill="background1"/>
        <w:spacing w:after="240"/>
        <w:rPr>
          <w:rFonts w:ascii="Franklin Gothic Medium" w:hAnsi="Franklin Gothic Medium"/>
          <w:color w:val="000000" w:themeColor="text1"/>
          <w:sz w:val="32"/>
          <w:szCs w:val="32"/>
        </w:rPr>
      </w:pPr>
      <w:bookmarkStart w:id="31" w:name="_Hlk97018932"/>
      <w:r w:rsidRPr="001958F9">
        <w:rPr>
          <w:rFonts w:ascii="Franklin Gothic Medium" w:hAnsi="Franklin Gothic Medium"/>
          <w:color w:val="000000" w:themeColor="text1"/>
          <w:sz w:val="32"/>
          <w:szCs w:val="32"/>
        </w:rPr>
        <w:t>Clinical management algorithm</w:t>
      </w:r>
    </w:p>
    <w:p w14:paraId="13554C17" w14:textId="386DDF96" w:rsidR="00464EA4" w:rsidRDefault="00464EA4" w:rsidP="002C46E7">
      <w:r w:rsidRPr="001E32BC">
        <w:rPr>
          <w:rFonts w:asciiTheme="minorHAnsi" w:hAnsiTheme="minorHAnsi" w:cstheme="minorHAnsi"/>
          <w:i/>
          <w:iCs/>
        </w:rPr>
        <w:t>PASC advised developing one clinical management algorithm for Population 1 and another algorithm for Population 2</w:t>
      </w:r>
      <w:r>
        <w:rPr>
          <w:rFonts w:asciiTheme="minorHAnsi" w:hAnsiTheme="minorHAnsi" w:cstheme="minorHAnsi"/>
          <w:i/>
          <w:iCs/>
        </w:rPr>
        <w:t xml:space="preserve">. </w:t>
      </w:r>
    </w:p>
    <w:p w14:paraId="7937F7DB" w14:textId="77777777" w:rsidR="00E75882" w:rsidRPr="001958F9" w:rsidRDefault="00E75882" w:rsidP="00EF551E">
      <w:pPr>
        <w:pStyle w:val="Heading3"/>
        <w:shd w:val="clear" w:color="auto" w:fill="FFFFFF" w:themeFill="background1"/>
        <w:rPr>
          <w:rFonts w:asciiTheme="minorHAnsi" w:hAnsiTheme="minorHAnsi" w:cstheme="minorHAnsi"/>
          <w:b/>
          <w:bCs/>
          <w:i/>
          <w:iCs/>
          <w:color w:val="000000" w:themeColor="text1"/>
          <w:sz w:val="22"/>
          <w:szCs w:val="22"/>
        </w:rPr>
      </w:pPr>
      <w:r w:rsidRPr="001958F9">
        <w:rPr>
          <w:rFonts w:asciiTheme="minorHAnsi" w:hAnsiTheme="minorHAnsi" w:cstheme="minorHAnsi"/>
          <w:b/>
          <w:bCs/>
          <w:i/>
          <w:iCs/>
          <w:color w:val="000000" w:themeColor="text1"/>
          <w:sz w:val="22"/>
          <w:szCs w:val="22"/>
        </w:rPr>
        <w:t>Current clinical management algorithms</w:t>
      </w:r>
    </w:p>
    <w:p w14:paraId="1EE01C19" w14:textId="7BD4551F" w:rsidR="00BB57E6" w:rsidRPr="0080792B" w:rsidRDefault="006C3F2A" w:rsidP="0080792B">
      <w:pPr>
        <w:shd w:val="clear" w:color="auto" w:fill="FFFFFF" w:themeFill="background1"/>
        <w:rPr>
          <w:rFonts w:asciiTheme="minorHAnsi" w:hAnsiTheme="minorHAnsi" w:cstheme="minorHAnsi"/>
          <w:color w:val="000000" w:themeColor="text1"/>
        </w:rPr>
      </w:pPr>
      <w:r>
        <w:rPr>
          <w:color w:val="000000" w:themeColor="text1"/>
        </w:rPr>
        <w:t>M</w:t>
      </w:r>
      <w:r w:rsidR="00E75882">
        <w:rPr>
          <w:color w:val="000000" w:themeColor="text1"/>
        </w:rPr>
        <w:t>odified version</w:t>
      </w:r>
      <w:r>
        <w:rPr>
          <w:color w:val="000000" w:themeColor="text1"/>
        </w:rPr>
        <w:t>s</w:t>
      </w:r>
      <w:r w:rsidR="00E75882">
        <w:rPr>
          <w:color w:val="000000" w:themeColor="text1"/>
        </w:rPr>
        <w:t xml:space="preserve"> of the</w:t>
      </w:r>
      <w:r w:rsidR="00E75882" w:rsidRPr="001958F9">
        <w:rPr>
          <w:color w:val="000000" w:themeColor="text1"/>
        </w:rPr>
        <w:t xml:space="preserve"> current management algorithm </w:t>
      </w:r>
      <w:r w:rsidR="004367B8">
        <w:rPr>
          <w:color w:val="000000" w:themeColor="text1"/>
        </w:rPr>
        <w:t>including</w:t>
      </w:r>
      <w:r w:rsidR="00602684">
        <w:rPr>
          <w:color w:val="000000" w:themeColor="text1"/>
        </w:rPr>
        <w:t xml:space="preserve"> </w:t>
      </w:r>
      <w:r w:rsidR="00E75882" w:rsidRPr="001958F9">
        <w:rPr>
          <w:color w:val="000000" w:themeColor="text1"/>
        </w:rPr>
        <w:t xml:space="preserve">for women with </w:t>
      </w:r>
      <w:r w:rsidR="00E75882">
        <w:rPr>
          <w:color w:val="000000" w:themeColor="text1"/>
        </w:rPr>
        <w:t xml:space="preserve">signs and symptoms </w:t>
      </w:r>
      <w:r w:rsidRPr="006C3F2A">
        <w:rPr>
          <w:color w:val="000000" w:themeColor="text1"/>
        </w:rPr>
        <w:t xml:space="preserve">suggestive of </w:t>
      </w:r>
      <w:r w:rsidR="00E75882" w:rsidRPr="001958F9">
        <w:rPr>
          <w:color w:val="000000" w:themeColor="text1"/>
        </w:rPr>
        <w:t>PE</w:t>
      </w:r>
      <w:r w:rsidR="00803EA5">
        <w:rPr>
          <w:color w:val="000000" w:themeColor="text1"/>
        </w:rPr>
        <w:t xml:space="preserve"> </w:t>
      </w:r>
      <w:r w:rsidR="00960B50">
        <w:rPr>
          <w:color w:val="000000" w:themeColor="text1"/>
        </w:rPr>
        <w:t>along with</w:t>
      </w:r>
      <w:r w:rsidR="00803EA5">
        <w:rPr>
          <w:color w:val="000000" w:themeColor="text1"/>
        </w:rPr>
        <w:t xml:space="preserve"> asymptomatic women with an elevated risk of PE</w:t>
      </w:r>
      <w:r>
        <w:rPr>
          <w:color w:val="000000" w:themeColor="text1"/>
        </w:rPr>
        <w:t xml:space="preserve"> (Population </w:t>
      </w:r>
      <w:r>
        <w:rPr>
          <w:color w:val="000000" w:themeColor="text1"/>
        </w:rPr>
        <w:lastRenderedPageBreak/>
        <w:t>1)</w:t>
      </w:r>
      <w:r w:rsidR="00E75882">
        <w:rPr>
          <w:color w:val="000000" w:themeColor="text1"/>
        </w:rPr>
        <w:t xml:space="preserve"> and women </w:t>
      </w:r>
      <w:r w:rsidR="00B907CE">
        <w:rPr>
          <w:color w:val="000000" w:themeColor="text1"/>
        </w:rPr>
        <w:t xml:space="preserve">with a </w:t>
      </w:r>
      <w:r w:rsidR="00257D3A">
        <w:rPr>
          <w:color w:val="000000" w:themeColor="text1"/>
        </w:rPr>
        <w:t xml:space="preserve">confirmed </w:t>
      </w:r>
      <w:r w:rsidR="00E75882">
        <w:rPr>
          <w:color w:val="000000" w:themeColor="text1"/>
        </w:rPr>
        <w:t>diagnos</w:t>
      </w:r>
      <w:r w:rsidR="00B907CE">
        <w:rPr>
          <w:color w:val="000000" w:themeColor="text1"/>
        </w:rPr>
        <w:t>is of</w:t>
      </w:r>
      <w:r w:rsidR="00E75882">
        <w:rPr>
          <w:color w:val="000000" w:themeColor="text1"/>
        </w:rPr>
        <w:t xml:space="preserve"> PE</w:t>
      </w:r>
      <w:r>
        <w:rPr>
          <w:color w:val="000000" w:themeColor="text1"/>
        </w:rPr>
        <w:t xml:space="preserve"> (Population 2</w:t>
      </w:r>
      <w:r w:rsidR="00E75882" w:rsidRPr="001958F9">
        <w:rPr>
          <w:color w:val="000000" w:themeColor="text1"/>
        </w:rPr>
        <w:t xml:space="preserve">) </w:t>
      </w:r>
      <w:r w:rsidR="00120A59">
        <w:rPr>
          <w:color w:val="000000" w:themeColor="text1"/>
        </w:rPr>
        <w:t>prepared during the PICO development</w:t>
      </w:r>
      <w:r w:rsidR="00E75882" w:rsidRPr="001958F9">
        <w:rPr>
          <w:color w:val="000000" w:themeColor="text1"/>
        </w:rPr>
        <w:t xml:space="preserve"> </w:t>
      </w:r>
      <w:r>
        <w:rPr>
          <w:color w:val="000000" w:themeColor="text1"/>
        </w:rPr>
        <w:t>are</w:t>
      </w:r>
      <w:r w:rsidR="00E75882" w:rsidRPr="001958F9">
        <w:rPr>
          <w:color w:val="000000" w:themeColor="text1"/>
        </w:rPr>
        <w:t xml:space="preserve"> shown in</w:t>
      </w:r>
      <w:r w:rsidR="00E75882">
        <w:rPr>
          <w:color w:val="000000" w:themeColor="text1"/>
        </w:rPr>
        <w:t xml:space="preserve"> </w:t>
      </w:r>
      <w:hyperlink w:anchor="Title_Figure4" w:history="1">
        <w:r w:rsidR="00E75882" w:rsidRPr="008272F3">
          <w:rPr>
            <w:rStyle w:val="Hyperlink"/>
            <w:color w:val="000000" w:themeColor="text1"/>
            <w:u w:val="none"/>
          </w:rPr>
          <w:t>Figure</w:t>
        </w:r>
        <w:r>
          <w:rPr>
            <w:rStyle w:val="Hyperlink"/>
            <w:color w:val="000000" w:themeColor="text1"/>
            <w:u w:val="none"/>
          </w:rPr>
          <w:t>s</w:t>
        </w:r>
        <w:r w:rsidR="00E75882" w:rsidRPr="008272F3">
          <w:rPr>
            <w:rStyle w:val="Hyperlink"/>
            <w:color w:val="000000" w:themeColor="text1"/>
            <w:u w:val="none"/>
          </w:rPr>
          <w:t xml:space="preserve"> </w:t>
        </w:r>
        <w:r w:rsidR="00CB2C0D" w:rsidRPr="008272F3">
          <w:rPr>
            <w:rStyle w:val="Hyperlink"/>
            <w:color w:val="000000" w:themeColor="text1"/>
            <w:u w:val="none"/>
          </w:rPr>
          <w:t>4</w:t>
        </w:r>
      </w:hyperlink>
      <w:bookmarkEnd w:id="31"/>
      <w:r>
        <w:rPr>
          <w:rStyle w:val="Hyperlink"/>
          <w:color w:val="000000" w:themeColor="text1"/>
          <w:u w:val="none"/>
        </w:rPr>
        <w:t xml:space="preserve"> and</w:t>
      </w:r>
      <w:r w:rsidRPr="007622EE">
        <w:rPr>
          <w:rStyle w:val="Hyperlink"/>
          <w:color w:val="000000" w:themeColor="text1"/>
          <w:u w:val="none"/>
        </w:rPr>
        <w:t xml:space="preserve"> </w:t>
      </w:r>
      <w:hyperlink w:anchor="Title_Figure5" w:history="1">
        <w:r w:rsidRPr="00F659F3">
          <w:t>5</w:t>
        </w:r>
      </w:hyperlink>
      <w:r w:rsidR="00054026">
        <w:t>,</w:t>
      </w:r>
      <w:r w:rsidRPr="007622EE">
        <w:rPr>
          <w:rStyle w:val="Hyperlink"/>
          <w:color w:val="000000" w:themeColor="text1"/>
          <w:u w:val="none"/>
        </w:rPr>
        <w:t xml:space="preserve"> </w:t>
      </w:r>
      <w:r>
        <w:rPr>
          <w:rStyle w:val="Hyperlink"/>
          <w:color w:val="000000" w:themeColor="text1"/>
          <w:u w:val="none"/>
        </w:rPr>
        <w:t>respectively</w:t>
      </w:r>
      <w:r w:rsidR="00E75882" w:rsidRPr="003B3A58">
        <w:rPr>
          <w:color w:val="000000" w:themeColor="text1"/>
        </w:rPr>
        <w:t>.</w:t>
      </w:r>
      <w:bookmarkStart w:id="32" w:name="_Hlk97019011"/>
      <w:r w:rsidR="00E75882" w:rsidRPr="001958F9">
        <w:rPr>
          <w:color w:val="000000" w:themeColor="text1"/>
        </w:rPr>
        <w:t xml:space="preserve"> Patients with the following maternal characteristics are at high risk: hypertensive disease during a previous pregnancy, chronic kidney disease, autoimmune diseases such as systemic lupus erythematosus or antiphospholipid syndrome, type 1 or type 2 diabetes, age &gt;40, pre-pregnancy body mass index (BMI) </w:t>
      </w:r>
      <w:r w:rsidR="00E75882">
        <w:rPr>
          <w:noProof/>
          <w:color w:val="000000" w:themeColor="text1"/>
        </w:rPr>
        <w:t>[58]</w:t>
      </w:r>
      <w:r w:rsidR="00E75882" w:rsidRPr="001958F9">
        <w:rPr>
          <w:color w:val="000000" w:themeColor="text1"/>
        </w:rPr>
        <w:t xml:space="preserve">. The symptoms of PE include severe headache, sudden blindness, drowsiness, severe pain just below the ribs, vomiting, sudden swelling of the face and hands or feet. In addition, the key signs are proteinuria, marginally increased blood pressure (≥140 mmHg systolic or ≥90 mmHg diastolic), white coat hypertension, adverse biochemistry (e.g., solitary thrombocytopenia), or </w:t>
      </w:r>
      <w:proofErr w:type="spellStart"/>
      <w:r w:rsidR="00E75882">
        <w:rPr>
          <w:color w:val="000000" w:themeColor="text1"/>
        </w:rPr>
        <w:t>fetal</w:t>
      </w:r>
      <w:proofErr w:type="spellEnd"/>
      <w:r w:rsidR="00E75882" w:rsidRPr="001958F9">
        <w:rPr>
          <w:color w:val="000000" w:themeColor="text1"/>
        </w:rPr>
        <w:t xml:space="preserve"> growth restriction</w:t>
      </w:r>
      <w:r w:rsidR="00226836">
        <w:rPr>
          <w:color w:val="000000" w:themeColor="text1"/>
        </w:rPr>
        <w:t xml:space="preserve"> </w:t>
      </w:r>
      <w:r w:rsidR="00226836">
        <w:rPr>
          <w:color w:val="000000" w:themeColor="text1"/>
        </w:rPr>
        <w:fldChar w:fldCharType="begin">
          <w:fldData xml:space="preserve">PEVuZE5vdGU+PENpdGU+PEF1dGhvcj5BbmRlcnNlbjwvQXV0aG9yPjxZZWFyPjIwMjE8L1llYXI+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</w:fldData>
        </w:fldChar>
      </w:r>
      <w:r w:rsidR="00BC77E1">
        <w:rPr>
          <w:color w:val="000000" w:themeColor="text1"/>
        </w:rPr>
        <w:instrText xml:space="preserve"> ADDIN EN.CITE </w:instrText>
      </w:r>
      <w:r w:rsidR="00BC77E1">
        <w:rPr>
          <w:color w:val="000000" w:themeColor="text1"/>
        </w:rPr>
        <w:fldChar w:fldCharType="begin">
          <w:fldData xml:space="preserve">PEVuZE5vdGU+PENpdGU+PEF1dGhvcj5BbmRlcnNlbjwvQXV0aG9yPjxZZWFyPjIwMjE8L1llYXI+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</w:fldData>
        </w:fldChar>
      </w:r>
      <w:r w:rsidR="00BC77E1">
        <w:rPr>
          <w:color w:val="000000" w:themeColor="text1"/>
        </w:rPr>
        <w:instrText xml:space="preserve"> ADDIN EN.CITE.DATA </w:instrText>
      </w:r>
      <w:r w:rsidR="00BC77E1">
        <w:rPr>
          <w:color w:val="000000" w:themeColor="text1"/>
        </w:rPr>
      </w:r>
      <w:r w:rsidR="00BC77E1">
        <w:rPr>
          <w:color w:val="000000" w:themeColor="text1"/>
        </w:rPr>
        <w:fldChar w:fldCharType="end"/>
      </w:r>
      <w:r w:rsidR="00226836">
        <w:rPr>
          <w:color w:val="000000" w:themeColor="text1"/>
        </w:rPr>
      </w:r>
      <w:r w:rsidR="00226836">
        <w:rPr>
          <w:color w:val="000000" w:themeColor="text1"/>
        </w:rPr>
        <w:fldChar w:fldCharType="separate"/>
      </w:r>
      <w:r w:rsidR="00BC77E1">
        <w:rPr>
          <w:noProof/>
          <w:color w:val="000000" w:themeColor="text1"/>
        </w:rPr>
        <w:t>[</w:t>
      </w:r>
      <w:hyperlink w:anchor="_ENREF_6" w:tooltip="Andersen, 2021 #8256" w:history="1">
        <w:r w:rsidR="00BC77E1">
          <w:rPr>
            <w:noProof/>
            <w:color w:val="000000" w:themeColor="text1"/>
          </w:rPr>
          <w:t>6-8</w:t>
        </w:r>
      </w:hyperlink>
      <w:r w:rsidR="00BC77E1">
        <w:rPr>
          <w:noProof/>
          <w:color w:val="000000" w:themeColor="text1"/>
        </w:rPr>
        <w:t>]</w:t>
      </w:r>
      <w:r w:rsidR="00226836">
        <w:rPr>
          <w:color w:val="000000" w:themeColor="text1"/>
        </w:rPr>
        <w:fldChar w:fldCharType="end"/>
      </w:r>
      <w:r w:rsidR="00E75882" w:rsidRPr="001958F9">
        <w:rPr>
          <w:color w:val="000000" w:themeColor="text1"/>
        </w:rPr>
        <w:t>.</w:t>
      </w:r>
      <w:r w:rsidR="00E75882">
        <w:rPr>
          <w:color w:val="000000" w:themeColor="text1"/>
        </w:rPr>
        <w:t xml:space="preserve"> Lastly, women diagnosed with PE are cared </w:t>
      </w:r>
      <w:r w:rsidR="008228C2">
        <w:rPr>
          <w:color w:val="000000" w:themeColor="text1"/>
        </w:rPr>
        <w:t xml:space="preserve">for </w:t>
      </w:r>
      <w:r w:rsidR="00E75882">
        <w:rPr>
          <w:color w:val="000000" w:themeColor="text1"/>
        </w:rPr>
        <w:t>using s</w:t>
      </w:r>
      <w:r w:rsidR="00E75882" w:rsidRPr="000A06AE">
        <w:rPr>
          <w:color w:val="000000" w:themeColor="text1"/>
        </w:rPr>
        <w:t xml:space="preserve">tandard </w:t>
      </w:r>
      <w:r w:rsidR="008228C2">
        <w:rPr>
          <w:color w:val="000000" w:themeColor="text1"/>
        </w:rPr>
        <w:t>clinical</w:t>
      </w:r>
      <w:r w:rsidR="00E75882" w:rsidRPr="000A06AE">
        <w:rPr>
          <w:color w:val="000000" w:themeColor="text1"/>
        </w:rPr>
        <w:t xml:space="preserve"> management for the risk assessed and disease severity</w:t>
      </w:r>
      <w:r w:rsidR="008228C2">
        <w:rPr>
          <w:color w:val="000000" w:themeColor="text1"/>
        </w:rPr>
        <w:t>,</w:t>
      </w:r>
      <w:r w:rsidR="00E75882" w:rsidRPr="000A06AE">
        <w:rPr>
          <w:color w:val="000000" w:themeColor="text1"/>
        </w:rPr>
        <w:t xml:space="preserve"> based on the current prognostic tests</w:t>
      </w:r>
      <w:r w:rsidR="00E75882">
        <w:rPr>
          <w:color w:val="000000" w:themeColor="text1"/>
        </w:rPr>
        <w:t xml:space="preserve">. </w:t>
      </w:r>
      <w:r w:rsidR="008F6C37">
        <w:rPr>
          <w:color w:val="000000" w:themeColor="text1"/>
        </w:rPr>
        <w:t xml:space="preserve">For women with </w:t>
      </w:r>
      <w:r w:rsidR="00E75882">
        <w:rPr>
          <w:color w:val="000000" w:themeColor="text1"/>
        </w:rPr>
        <w:t>PE diagnosed at 24-28 gestational age</w:t>
      </w:r>
      <w:r w:rsidR="00987EC3">
        <w:rPr>
          <w:color w:val="000000" w:themeColor="text1"/>
        </w:rPr>
        <w:t>,</w:t>
      </w:r>
      <w:r w:rsidR="00E75882">
        <w:rPr>
          <w:color w:val="000000" w:themeColor="text1"/>
        </w:rPr>
        <w:t xml:space="preserve"> </w:t>
      </w:r>
      <w:r w:rsidR="008F6C37">
        <w:rPr>
          <w:color w:val="000000" w:themeColor="text1"/>
        </w:rPr>
        <w:t xml:space="preserve">care </w:t>
      </w:r>
      <w:r w:rsidR="00E75882">
        <w:rPr>
          <w:color w:val="000000" w:themeColor="text1"/>
        </w:rPr>
        <w:t>includes r</w:t>
      </w:r>
      <w:r w:rsidR="00E75882" w:rsidRPr="008272F3">
        <w:rPr>
          <w:color w:val="000000" w:themeColor="text1"/>
        </w:rPr>
        <w:t>egular blood tests (1–2 a week)</w:t>
      </w:r>
      <w:r w:rsidR="00E75882">
        <w:rPr>
          <w:color w:val="000000" w:themeColor="text1"/>
        </w:rPr>
        <w:t>, u</w:t>
      </w:r>
      <w:r w:rsidR="00E75882" w:rsidRPr="008272F3">
        <w:rPr>
          <w:color w:val="000000" w:themeColor="text1"/>
        </w:rPr>
        <w:t>ltrasound every 2 weeks or more frequently if indicated (e</w:t>
      </w:r>
      <w:r w:rsidR="002B58A0">
        <w:rPr>
          <w:color w:val="000000" w:themeColor="text1"/>
        </w:rPr>
        <w:t>.</w:t>
      </w:r>
      <w:r w:rsidR="00E75882" w:rsidRPr="008272F3">
        <w:rPr>
          <w:color w:val="000000" w:themeColor="text1"/>
        </w:rPr>
        <w:t>g</w:t>
      </w:r>
      <w:r w:rsidR="002B58A0">
        <w:rPr>
          <w:color w:val="000000" w:themeColor="text1"/>
        </w:rPr>
        <w:t>.</w:t>
      </w:r>
      <w:r w:rsidR="00E75882" w:rsidRPr="008272F3">
        <w:rPr>
          <w:color w:val="000000" w:themeColor="text1"/>
        </w:rPr>
        <w:t xml:space="preserve">, the presence of coexisting </w:t>
      </w:r>
      <w:proofErr w:type="spellStart"/>
      <w:r w:rsidR="00E75882" w:rsidRPr="008272F3">
        <w:rPr>
          <w:color w:val="000000" w:themeColor="text1"/>
        </w:rPr>
        <w:t>fetal</w:t>
      </w:r>
      <w:proofErr w:type="spellEnd"/>
      <w:r w:rsidR="00E75882" w:rsidRPr="008272F3">
        <w:rPr>
          <w:color w:val="000000" w:themeColor="text1"/>
        </w:rPr>
        <w:t xml:space="preserve"> growth restriction)</w:t>
      </w:r>
      <w:r w:rsidR="00E75882">
        <w:rPr>
          <w:color w:val="000000" w:themeColor="text1"/>
        </w:rPr>
        <w:t xml:space="preserve">, </w:t>
      </w:r>
      <w:r w:rsidR="008F6C37">
        <w:rPr>
          <w:color w:val="000000" w:themeColor="text1"/>
        </w:rPr>
        <w:t xml:space="preserve">and </w:t>
      </w:r>
      <w:r w:rsidR="00E75882" w:rsidRPr="008272F3">
        <w:rPr>
          <w:color w:val="000000" w:themeColor="text1"/>
        </w:rPr>
        <w:t>regular cardiotocograph</w:t>
      </w:r>
      <w:r w:rsidR="00E75882">
        <w:rPr>
          <w:color w:val="000000" w:themeColor="text1"/>
        </w:rPr>
        <w:t xml:space="preserve">. On the other hand, severe PE diagnosis after week 37 should include </w:t>
      </w:r>
      <w:r w:rsidR="00E75882" w:rsidRPr="008272F3">
        <w:rPr>
          <w:color w:val="000000" w:themeColor="text1"/>
        </w:rPr>
        <w:t>planned birth within 24–48 hour</w:t>
      </w:r>
      <w:r w:rsidR="00EB736B">
        <w:rPr>
          <w:color w:val="000000" w:themeColor="text1"/>
        </w:rPr>
        <w:t>s</w:t>
      </w:r>
      <w:r w:rsidR="00E75882" w:rsidRPr="008272F3">
        <w:rPr>
          <w:rFonts w:asciiTheme="minorHAnsi" w:hAnsiTheme="minorHAnsi" w:cstheme="minorHAnsi"/>
          <w:color w:val="000000" w:themeColor="text1"/>
        </w:rPr>
        <w:t xml:space="preserve"> </w:t>
      </w:r>
      <w:r w:rsidR="008F6C37" w:rsidRPr="008272F3">
        <w:rPr>
          <w:rFonts w:asciiTheme="minorHAnsi" w:hAnsiTheme="minorHAnsi" w:cstheme="minorHAnsi"/>
          <w:color w:val="000000" w:themeColor="text1"/>
        </w:rPr>
        <w:t>[4]; [1]; [26];[16] and [27].</w:t>
      </w:r>
      <w:r w:rsidR="004C18EF">
        <w:rPr>
          <w:rFonts w:asciiTheme="minorHAnsi" w:hAnsiTheme="minorHAnsi" w:cstheme="minorHAnsi"/>
          <w:color w:val="000000" w:themeColor="text1"/>
        </w:rPr>
        <w:t xml:space="preserve"> Further information on the current c</w:t>
      </w:r>
      <w:r w:rsidR="004C18EF" w:rsidRPr="004C18EF">
        <w:rPr>
          <w:rFonts w:asciiTheme="minorHAnsi" w:hAnsiTheme="minorHAnsi" w:cstheme="minorHAnsi"/>
          <w:color w:val="000000" w:themeColor="text1"/>
        </w:rPr>
        <w:t>linical management practices for women diagnosed with PE</w:t>
      </w:r>
      <w:r w:rsidR="004C18EF">
        <w:rPr>
          <w:rFonts w:asciiTheme="minorHAnsi" w:hAnsiTheme="minorHAnsi" w:cstheme="minorHAnsi"/>
          <w:color w:val="000000" w:themeColor="text1"/>
        </w:rPr>
        <w:t xml:space="preserve"> is presented in the </w:t>
      </w:r>
      <w:hyperlink w:anchor="Appendix" w:history="1">
        <w:r w:rsidR="004C18EF" w:rsidRPr="008272F3">
          <w:rPr>
            <w:rStyle w:val="Hyperlink"/>
            <w:rFonts w:asciiTheme="minorHAnsi" w:hAnsiTheme="minorHAnsi" w:cstheme="minorHAnsi"/>
            <w:color w:val="000000" w:themeColor="text1"/>
            <w:u w:val="none"/>
          </w:rPr>
          <w:t>appendix</w:t>
        </w:r>
      </w:hyperlink>
      <w:r w:rsidR="004C18EF" w:rsidRPr="00833F58">
        <w:rPr>
          <w:rFonts w:asciiTheme="minorHAnsi" w:hAnsiTheme="minorHAnsi" w:cstheme="minorHAnsi"/>
          <w:color w:val="000000" w:themeColor="text1"/>
        </w:rPr>
        <w:t>.</w:t>
      </w:r>
    </w:p>
    <w:p w14:paraId="6A7EEF74" w14:textId="5C489D9A" w:rsidR="00BB57E6" w:rsidRPr="00BB57E6" w:rsidRDefault="00D258B5" w:rsidP="00BB57E6">
      <w:pPr>
        <w:shd w:val="clear" w:color="auto" w:fill="FFFFFF" w:themeFill="background1"/>
        <w:spacing w:after="0"/>
        <w:jc w:val="both"/>
        <w:rPr>
          <w:rFonts w:ascii="Arial Narrow" w:hAnsi="Arial Narrow"/>
          <w:color w:val="000000" w:themeColor="text1"/>
          <w:sz w:val="18"/>
          <w:szCs w:val="18"/>
        </w:rPr>
      </w:pPr>
      <w:r>
        <w:rPr>
          <w:rFonts w:ascii="Arial Narrow" w:hAnsi="Arial Narrow"/>
          <w:noProof/>
          <w:color w:val="000000" w:themeColor="text1"/>
          <w:sz w:val="18"/>
          <w:szCs w:val="18"/>
        </w:rPr>
        <w:lastRenderedPageBreak/>
        <w:drawing>
          <wp:inline distT="0" distB="0" distL="0" distR="0" wp14:anchorId="26363B8A" wp14:editId="1DFFFAF6">
            <wp:extent cx="5731510" cy="5574665"/>
            <wp:effectExtent l="0" t="0" r="2540" b="6985"/>
            <wp:docPr id="13" name="Picture 13" descr="Figure 4: Current clinical management algorithm for Population 1 prepared during the PICO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4: Current clinical management algorithm for Population 1 prepared during the PICO develop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574665"/>
                    </a:xfrm>
                    <a:prstGeom prst="rect">
                      <a:avLst/>
                    </a:prstGeom>
                  </pic:spPr>
                </pic:pic>
              </a:graphicData>
            </a:graphic>
          </wp:inline>
        </w:drawing>
      </w:r>
    </w:p>
    <w:p w14:paraId="1EAC0408" w14:textId="67E6531F" w:rsidR="00250694" w:rsidRDefault="00250694" w:rsidP="00250694">
      <w:pPr>
        <w:shd w:val="clear" w:color="auto" w:fill="FFFFFF" w:themeFill="background1"/>
        <w:spacing w:before="120" w:after="120"/>
        <w:jc w:val="both"/>
        <w:rPr>
          <w:rFonts w:ascii="Arial Narrow" w:hAnsi="Arial Narrow"/>
          <w:color w:val="000000" w:themeColor="text1"/>
          <w:sz w:val="18"/>
          <w:szCs w:val="18"/>
        </w:rPr>
      </w:pPr>
      <w:bookmarkStart w:id="33" w:name="Title_Figure4"/>
      <w:bookmarkStart w:id="34" w:name="_Hlk97020429"/>
      <w:bookmarkEnd w:id="32"/>
      <w:r w:rsidRPr="001958F9">
        <w:rPr>
          <w:rFonts w:ascii="Arial Narrow" w:hAnsi="Arial Narrow"/>
          <w:b/>
          <w:bCs/>
          <w:color w:val="000000" w:themeColor="text1"/>
          <w:sz w:val="20"/>
          <w:szCs w:val="20"/>
        </w:rPr>
        <w:t xml:space="preserve">Figure </w:t>
      </w:r>
      <w:r>
        <w:rPr>
          <w:rFonts w:ascii="Arial Narrow" w:hAnsi="Arial Narrow"/>
          <w:b/>
          <w:bCs/>
          <w:color w:val="000000" w:themeColor="text1"/>
          <w:sz w:val="20"/>
          <w:szCs w:val="20"/>
        </w:rPr>
        <w:t>4</w:t>
      </w:r>
      <w:r w:rsidRPr="001958F9">
        <w:rPr>
          <w:rFonts w:ascii="Arial Narrow" w:hAnsi="Arial Narrow"/>
          <w:b/>
          <w:bCs/>
          <w:color w:val="000000" w:themeColor="text1"/>
          <w:sz w:val="20"/>
          <w:szCs w:val="20"/>
        </w:rPr>
        <w:t>: Current clinical management algorithm</w:t>
      </w:r>
      <w:r w:rsidR="006C3F2A">
        <w:rPr>
          <w:rFonts w:ascii="Arial Narrow" w:hAnsi="Arial Narrow"/>
          <w:b/>
          <w:bCs/>
          <w:color w:val="000000" w:themeColor="text1"/>
          <w:sz w:val="20"/>
          <w:szCs w:val="20"/>
        </w:rPr>
        <w:t xml:space="preserve"> for Population 1</w:t>
      </w:r>
      <w:r w:rsidRPr="001958F9">
        <w:rPr>
          <w:rFonts w:ascii="Arial Narrow" w:hAnsi="Arial Narrow"/>
          <w:b/>
          <w:bCs/>
          <w:color w:val="000000" w:themeColor="text1"/>
          <w:sz w:val="20"/>
          <w:szCs w:val="20"/>
        </w:rPr>
        <w:t xml:space="preserve"> </w:t>
      </w:r>
      <w:r>
        <w:rPr>
          <w:rFonts w:ascii="Arial Narrow" w:hAnsi="Arial Narrow"/>
          <w:b/>
          <w:bCs/>
          <w:color w:val="000000" w:themeColor="text1"/>
          <w:sz w:val="20"/>
          <w:szCs w:val="20"/>
        </w:rPr>
        <w:t>prepared during the PICO development</w:t>
      </w:r>
    </w:p>
    <w:bookmarkEnd w:id="33"/>
    <w:p w14:paraId="025127F8" w14:textId="3B0B332C" w:rsidR="00E75882" w:rsidRPr="001958F9" w:rsidRDefault="00E75882" w:rsidP="00EF551E">
      <w:pPr>
        <w:shd w:val="clear" w:color="auto" w:fill="FFFFFF" w:themeFill="background1"/>
        <w:spacing w:after="0"/>
        <w:jc w:val="both"/>
        <w:rPr>
          <w:rFonts w:ascii="Arial Narrow" w:hAnsi="Arial Narrow"/>
          <w:color w:val="000000" w:themeColor="text1"/>
          <w:sz w:val="18"/>
          <w:szCs w:val="18"/>
        </w:rPr>
      </w:pPr>
      <w:r w:rsidRPr="001958F9">
        <w:rPr>
          <w:rFonts w:ascii="Arial Narrow" w:hAnsi="Arial Narrow"/>
          <w:color w:val="000000" w:themeColor="text1"/>
          <w:sz w:val="18"/>
          <w:szCs w:val="18"/>
        </w:rPr>
        <w:t>PE = Preeclampsia</w:t>
      </w:r>
      <w:bookmarkEnd w:id="34"/>
      <w:r w:rsidRPr="001958F9">
        <w:rPr>
          <w:rFonts w:ascii="Arial Narrow" w:hAnsi="Arial Narrow"/>
          <w:color w:val="000000" w:themeColor="text1"/>
          <w:sz w:val="18"/>
          <w:szCs w:val="18"/>
        </w:rPr>
        <w:t>.</w:t>
      </w:r>
    </w:p>
    <w:p w14:paraId="46DEC72A" w14:textId="104E32CE" w:rsidR="009538F9" w:rsidRPr="00E735DB" w:rsidRDefault="00E75882" w:rsidP="00D258B5">
      <w:pPr>
        <w:shd w:val="clear" w:color="auto" w:fill="FFFFFF" w:themeFill="background1"/>
        <w:spacing w:after="0"/>
        <w:jc w:val="both"/>
        <w:rPr>
          <w:rFonts w:ascii="Arial Narrow" w:hAnsi="Arial Narrow"/>
          <w:sz w:val="18"/>
          <w:szCs w:val="18"/>
        </w:rPr>
      </w:pPr>
      <w:r w:rsidRPr="001958F9">
        <w:rPr>
          <w:rFonts w:ascii="Arial Narrow" w:hAnsi="Arial Narrow"/>
          <w:color w:val="000000" w:themeColor="text1"/>
          <w:sz w:val="18"/>
          <w:szCs w:val="18"/>
        </w:rPr>
        <w:t>Source:</w:t>
      </w:r>
      <w:r>
        <w:rPr>
          <w:rFonts w:ascii="Arial Narrow" w:hAnsi="Arial Narrow"/>
          <w:color w:val="000000" w:themeColor="text1"/>
          <w:sz w:val="18"/>
          <w:szCs w:val="18"/>
        </w:rPr>
        <w:t xml:space="preserve"> Modified </w:t>
      </w:r>
      <w:r w:rsidR="00A40C33">
        <w:rPr>
          <w:rFonts w:ascii="Arial Narrow" w:hAnsi="Arial Narrow"/>
          <w:color w:val="000000" w:themeColor="text1"/>
          <w:sz w:val="18"/>
          <w:szCs w:val="18"/>
        </w:rPr>
        <w:t xml:space="preserve">version of the current clinical management algorithm developed </w:t>
      </w:r>
      <w:r>
        <w:rPr>
          <w:rFonts w:ascii="Arial Narrow" w:hAnsi="Arial Narrow"/>
          <w:color w:val="000000" w:themeColor="text1"/>
          <w:sz w:val="18"/>
          <w:szCs w:val="18"/>
        </w:rPr>
        <w:t>during the PICO preparation based on the</w:t>
      </w:r>
      <w:r w:rsidR="00A40C33">
        <w:rPr>
          <w:rFonts w:ascii="Arial Narrow" w:hAnsi="Arial Narrow"/>
          <w:color w:val="000000" w:themeColor="text1"/>
          <w:sz w:val="18"/>
          <w:szCs w:val="18"/>
        </w:rPr>
        <w:t xml:space="preserve"> PASC</w:t>
      </w:r>
      <w:r w:rsidR="00D258B5">
        <w:rPr>
          <w:rFonts w:ascii="Arial Narrow" w:hAnsi="Arial Narrow"/>
          <w:color w:val="000000" w:themeColor="text1"/>
          <w:sz w:val="18"/>
          <w:szCs w:val="18"/>
        </w:rPr>
        <w:t xml:space="preserve"> and Department of Health</w:t>
      </w:r>
      <w:r w:rsidR="00A40C33">
        <w:rPr>
          <w:rFonts w:ascii="Arial Narrow" w:hAnsi="Arial Narrow"/>
          <w:color w:val="000000" w:themeColor="text1"/>
          <w:sz w:val="18"/>
          <w:szCs w:val="18"/>
        </w:rPr>
        <w:t xml:space="preserve"> feedback and</w:t>
      </w:r>
      <w:r w:rsidRPr="001958F9">
        <w:rPr>
          <w:rFonts w:ascii="Arial Narrow" w:hAnsi="Arial Narrow"/>
          <w:color w:val="000000" w:themeColor="text1"/>
          <w:sz w:val="18"/>
          <w:szCs w:val="18"/>
        </w:rPr>
        <w:t xml:space="preserve"> </w:t>
      </w:r>
      <w:r>
        <w:rPr>
          <w:rFonts w:ascii="Arial Narrow" w:hAnsi="Arial Narrow"/>
          <w:color w:val="000000" w:themeColor="text1"/>
          <w:sz w:val="18"/>
          <w:szCs w:val="18"/>
        </w:rPr>
        <w:t>f</w:t>
      </w:r>
      <w:r w:rsidRPr="001958F9">
        <w:rPr>
          <w:rFonts w:ascii="Arial Narrow" w:hAnsi="Arial Narrow"/>
          <w:color w:val="000000" w:themeColor="text1"/>
          <w:sz w:val="18"/>
          <w:szCs w:val="18"/>
        </w:rPr>
        <w:t xml:space="preserve">igure (Attachment: sFlt-1_PlGF ratio clinical pathway diagram) provided </w:t>
      </w:r>
      <w:r>
        <w:rPr>
          <w:rFonts w:ascii="Arial Narrow" w:hAnsi="Arial Narrow"/>
          <w:color w:val="000000" w:themeColor="text1"/>
          <w:sz w:val="18"/>
          <w:szCs w:val="18"/>
        </w:rPr>
        <w:t>in</w:t>
      </w:r>
      <w:r w:rsidRPr="001958F9">
        <w:rPr>
          <w:rFonts w:ascii="Arial Narrow" w:hAnsi="Arial Narrow"/>
          <w:color w:val="000000" w:themeColor="text1"/>
          <w:sz w:val="18"/>
          <w:szCs w:val="18"/>
        </w:rPr>
        <w:t xml:space="preserve"> the application. </w:t>
      </w:r>
    </w:p>
    <w:p w14:paraId="02FD5B0D" w14:textId="77777777" w:rsidR="009538F9" w:rsidRPr="00E735DB" w:rsidRDefault="009538F9" w:rsidP="00E735DB">
      <w:pPr>
        <w:rPr>
          <w:rFonts w:ascii="Arial Narrow" w:hAnsi="Arial Narrow"/>
          <w:sz w:val="18"/>
          <w:szCs w:val="18"/>
        </w:rPr>
      </w:pPr>
    </w:p>
    <w:p w14:paraId="56238C92" w14:textId="4A5C31A0" w:rsidR="006C3F2A" w:rsidRDefault="00BB2B63" w:rsidP="00EF551E">
      <w:pPr>
        <w:shd w:val="clear" w:color="auto" w:fill="FFFFFF" w:themeFill="background1"/>
        <w:spacing w:after="0"/>
        <w:jc w:val="both"/>
        <w:rPr>
          <w:rFonts w:ascii="Arial Narrow" w:hAnsi="Arial Narrow"/>
          <w:color w:val="000000" w:themeColor="text1"/>
          <w:sz w:val="18"/>
          <w:szCs w:val="18"/>
        </w:rPr>
      </w:pPr>
      <w:r>
        <w:rPr>
          <w:noProof/>
        </w:rPr>
        <w:lastRenderedPageBreak/>
        <w:drawing>
          <wp:inline distT="0" distB="0" distL="0" distR="0" wp14:anchorId="4DE8975F" wp14:editId="535B9279">
            <wp:extent cx="5731510" cy="3835400"/>
            <wp:effectExtent l="0" t="0" r="2540" b="0"/>
            <wp:docPr id="4" name="Picture 4" descr="Figure 5: Current clinical management algorithm for Population 2 prepared during the PICO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5: Current clinical management algorithm for Population 2 prepared during the PICO develop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35400"/>
                    </a:xfrm>
                    <a:prstGeom prst="rect">
                      <a:avLst/>
                    </a:prstGeom>
                  </pic:spPr>
                </pic:pic>
              </a:graphicData>
            </a:graphic>
          </wp:inline>
        </w:drawing>
      </w:r>
      <w:r w:rsidR="00AC486D">
        <w:fldChar w:fldCharType="begin"/>
      </w:r>
      <w:r w:rsidR="00AC486D">
        <w:fldChar w:fldCharType="end"/>
      </w:r>
    </w:p>
    <w:p w14:paraId="4ADFE77F" w14:textId="717D3158" w:rsidR="006C3F2A" w:rsidRDefault="006C3F2A" w:rsidP="006C3F2A">
      <w:pPr>
        <w:shd w:val="clear" w:color="auto" w:fill="FFFFFF" w:themeFill="background1"/>
        <w:spacing w:before="120" w:after="120"/>
        <w:jc w:val="both"/>
        <w:rPr>
          <w:rFonts w:ascii="Arial Narrow" w:hAnsi="Arial Narrow"/>
          <w:color w:val="000000" w:themeColor="text1"/>
          <w:sz w:val="18"/>
          <w:szCs w:val="18"/>
        </w:rPr>
      </w:pPr>
      <w:bookmarkStart w:id="35" w:name="Title_Figure"/>
      <w:bookmarkStart w:id="36" w:name="Title_Figure6"/>
      <w:r w:rsidRPr="001958F9">
        <w:rPr>
          <w:rFonts w:ascii="Arial Narrow" w:hAnsi="Arial Narrow"/>
          <w:b/>
          <w:bCs/>
          <w:color w:val="000000" w:themeColor="text1"/>
          <w:sz w:val="20"/>
          <w:szCs w:val="20"/>
        </w:rPr>
        <w:t xml:space="preserve">Figure </w:t>
      </w:r>
      <w:r>
        <w:rPr>
          <w:rFonts w:ascii="Arial Narrow" w:hAnsi="Arial Narrow"/>
          <w:b/>
          <w:bCs/>
          <w:color w:val="000000" w:themeColor="text1"/>
          <w:sz w:val="20"/>
          <w:szCs w:val="20"/>
        </w:rPr>
        <w:t>5</w:t>
      </w:r>
      <w:r w:rsidRPr="001958F9">
        <w:rPr>
          <w:rFonts w:ascii="Arial Narrow" w:hAnsi="Arial Narrow"/>
          <w:b/>
          <w:bCs/>
          <w:color w:val="000000" w:themeColor="text1"/>
          <w:sz w:val="20"/>
          <w:szCs w:val="20"/>
        </w:rPr>
        <w:t>: Current clinical management algorithm</w:t>
      </w:r>
      <w:r>
        <w:rPr>
          <w:rFonts w:ascii="Arial Narrow" w:hAnsi="Arial Narrow"/>
          <w:b/>
          <w:bCs/>
          <w:color w:val="000000" w:themeColor="text1"/>
          <w:sz w:val="20"/>
          <w:szCs w:val="20"/>
        </w:rPr>
        <w:t xml:space="preserve"> for Population 2</w:t>
      </w:r>
      <w:r w:rsidRPr="001958F9">
        <w:rPr>
          <w:rFonts w:ascii="Arial Narrow" w:hAnsi="Arial Narrow"/>
          <w:b/>
          <w:bCs/>
          <w:color w:val="000000" w:themeColor="text1"/>
          <w:sz w:val="20"/>
          <w:szCs w:val="20"/>
        </w:rPr>
        <w:t xml:space="preserve"> </w:t>
      </w:r>
      <w:r>
        <w:rPr>
          <w:rFonts w:ascii="Arial Narrow" w:hAnsi="Arial Narrow"/>
          <w:b/>
          <w:bCs/>
          <w:color w:val="000000" w:themeColor="text1"/>
          <w:sz w:val="20"/>
          <w:szCs w:val="20"/>
        </w:rPr>
        <w:t>prepared during the PICO development</w:t>
      </w:r>
    </w:p>
    <w:bookmarkEnd w:id="35"/>
    <w:bookmarkEnd w:id="36"/>
    <w:p w14:paraId="0AC0C915" w14:textId="396367CD" w:rsidR="006C3F2A" w:rsidRPr="001958F9" w:rsidRDefault="006C3F2A" w:rsidP="006C3F2A">
      <w:pPr>
        <w:shd w:val="clear" w:color="auto" w:fill="FFFFFF" w:themeFill="background1"/>
        <w:spacing w:after="0"/>
        <w:jc w:val="both"/>
        <w:rPr>
          <w:rFonts w:ascii="Arial Narrow" w:hAnsi="Arial Narrow"/>
          <w:color w:val="000000" w:themeColor="text1"/>
          <w:sz w:val="18"/>
          <w:szCs w:val="18"/>
        </w:rPr>
      </w:pPr>
      <w:r w:rsidRPr="001958F9">
        <w:rPr>
          <w:rFonts w:ascii="Arial Narrow" w:hAnsi="Arial Narrow"/>
          <w:color w:val="000000" w:themeColor="text1"/>
          <w:sz w:val="18"/>
          <w:szCs w:val="18"/>
        </w:rPr>
        <w:t>PE = Preeclampsia.</w:t>
      </w:r>
    </w:p>
    <w:p w14:paraId="20EEEB38" w14:textId="3D3B7437" w:rsidR="006C3F2A" w:rsidRPr="001958F9" w:rsidRDefault="006C3F2A" w:rsidP="00A947B7">
      <w:pPr>
        <w:shd w:val="clear" w:color="auto" w:fill="FFFFFF" w:themeFill="background1"/>
        <w:spacing w:after="240"/>
        <w:jc w:val="both"/>
        <w:rPr>
          <w:rFonts w:ascii="Arial Narrow" w:hAnsi="Arial Narrow"/>
          <w:color w:val="000000" w:themeColor="text1"/>
          <w:sz w:val="18"/>
          <w:szCs w:val="18"/>
        </w:rPr>
      </w:pPr>
      <w:r w:rsidRPr="001958F9">
        <w:rPr>
          <w:rFonts w:ascii="Arial Narrow" w:hAnsi="Arial Narrow"/>
          <w:color w:val="000000" w:themeColor="text1"/>
          <w:sz w:val="18"/>
          <w:szCs w:val="18"/>
        </w:rPr>
        <w:t>Source:</w:t>
      </w:r>
      <w:r>
        <w:rPr>
          <w:rFonts w:ascii="Arial Narrow" w:hAnsi="Arial Narrow"/>
          <w:color w:val="000000" w:themeColor="text1"/>
          <w:sz w:val="18"/>
          <w:szCs w:val="18"/>
        </w:rPr>
        <w:t xml:space="preserve"> Modified version of the current clinical management algorithm developed during the PICO preparation based on the </w:t>
      </w:r>
      <w:r w:rsidR="00C20DE2">
        <w:rPr>
          <w:rFonts w:ascii="Arial Narrow" w:hAnsi="Arial Narrow"/>
          <w:color w:val="000000" w:themeColor="text1"/>
          <w:sz w:val="18"/>
          <w:szCs w:val="18"/>
        </w:rPr>
        <w:t>PASC and Department of Health</w:t>
      </w:r>
      <w:r>
        <w:rPr>
          <w:rFonts w:ascii="Arial Narrow" w:hAnsi="Arial Narrow"/>
          <w:color w:val="000000" w:themeColor="text1"/>
          <w:sz w:val="18"/>
          <w:szCs w:val="18"/>
        </w:rPr>
        <w:t xml:space="preserve"> feedback and</w:t>
      </w:r>
      <w:r w:rsidRPr="001958F9">
        <w:rPr>
          <w:rFonts w:ascii="Arial Narrow" w:hAnsi="Arial Narrow"/>
          <w:color w:val="000000" w:themeColor="text1"/>
          <w:sz w:val="18"/>
          <w:szCs w:val="18"/>
        </w:rPr>
        <w:t xml:space="preserve"> </w:t>
      </w:r>
      <w:r>
        <w:rPr>
          <w:rFonts w:ascii="Arial Narrow" w:hAnsi="Arial Narrow"/>
          <w:color w:val="000000" w:themeColor="text1"/>
          <w:sz w:val="18"/>
          <w:szCs w:val="18"/>
        </w:rPr>
        <w:t>f</w:t>
      </w:r>
      <w:r w:rsidRPr="001958F9">
        <w:rPr>
          <w:rFonts w:ascii="Arial Narrow" w:hAnsi="Arial Narrow"/>
          <w:color w:val="000000" w:themeColor="text1"/>
          <w:sz w:val="18"/>
          <w:szCs w:val="18"/>
        </w:rPr>
        <w:t xml:space="preserve">igure (Attachment: sFlt-1_PlGF ratio clinical pathway diagram) provided </w:t>
      </w:r>
      <w:r>
        <w:rPr>
          <w:rFonts w:ascii="Arial Narrow" w:hAnsi="Arial Narrow"/>
          <w:color w:val="000000" w:themeColor="text1"/>
          <w:sz w:val="18"/>
          <w:szCs w:val="18"/>
        </w:rPr>
        <w:t>in</w:t>
      </w:r>
      <w:r w:rsidRPr="001958F9">
        <w:rPr>
          <w:rFonts w:ascii="Arial Narrow" w:hAnsi="Arial Narrow"/>
          <w:color w:val="000000" w:themeColor="text1"/>
          <w:sz w:val="18"/>
          <w:szCs w:val="18"/>
        </w:rPr>
        <w:t xml:space="preserve"> the application. </w:t>
      </w:r>
    </w:p>
    <w:p w14:paraId="6B4C2C0F" w14:textId="77777777" w:rsidR="00E75882" w:rsidRPr="001958F9" w:rsidRDefault="00E75882" w:rsidP="00250694">
      <w:pPr>
        <w:pStyle w:val="Heading3"/>
        <w:keepLines w:val="0"/>
        <w:shd w:val="clear" w:color="auto" w:fill="FFFFFF" w:themeFill="background1"/>
        <w:rPr>
          <w:rFonts w:asciiTheme="minorHAnsi" w:hAnsiTheme="minorHAnsi" w:cstheme="minorHAnsi"/>
          <w:b/>
          <w:bCs/>
          <w:i/>
          <w:iCs/>
          <w:color w:val="000000" w:themeColor="text1"/>
          <w:sz w:val="22"/>
          <w:szCs w:val="22"/>
        </w:rPr>
      </w:pPr>
      <w:r w:rsidRPr="001958F9">
        <w:rPr>
          <w:rFonts w:asciiTheme="minorHAnsi" w:hAnsiTheme="minorHAnsi" w:cstheme="minorHAnsi"/>
          <w:b/>
          <w:bCs/>
          <w:i/>
          <w:iCs/>
          <w:color w:val="000000" w:themeColor="text1"/>
          <w:sz w:val="22"/>
          <w:szCs w:val="22"/>
        </w:rPr>
        <w:t>Proposed clinical management algorithm</w:t>
      </w:r>
    </w:p>
    <w:p w14:paraId="64431D14" w14:textId="6B7D2094" w:rsidR="00E75882" w:rsidRPr="008272F3" w:rsidRDefault="00E75882" w:rsidP="0080792B">
      <w:pPr>
        <w:keepNext/>
        <w:shd w:val="clear" w:color="auto" w:fill="FFFFFF" w:themeFill="background1"/>
        <w:spacing w:after="0"/>
        <w:rPr>
          <w:color w:val="000000" w:themeColor="text1"/>
          <w:lang w:val="en-US"/>
        </w:rPr>
      </w:pPr>
      <w:r w:rsidRPr="001958F9">
        <w:rPr>
          <w:color w:val="000000" w:themeColor="text1"/>
        </w:rPr>
        <w:t xml:space="preserve">The application proposed the </w:t>
      </w:r>
      <w:bookmarkStart w:id="37" w:name="_Hlk98319533"/>
      <w:r w:rsidRPr="001958F9">
        <w:rPr>
          <w:color w:val="000000" w:themeColor="text1"/>
        </w:rPr>
        <w:t>sFlt-1/</w:t>
      </w:r>
      <w:proofErr w:type="spellStart"/>
      <w:r w:rsidRPr="001958F9">
        <w:rPr>
          <w:color w:val="000000" w:themeColor="text1"/>
        </w:rPr>
        <w:t>PlGF</w:t>
      </w:r>
      <w:proofErr w:type="spellEnd"/>
      <w:r w:rsidRPr="001958F9">
        <w:rPr>
          <w:color w:val="000000" w:themeColor="text1"/>
        </w:rPr>
        <w:t xml:space="preserve"> </w:t>
      </w:r>
      <w:bookmarkEnd w:id="37"/>
      <w:r w:rsidRPr="001958F9">
        <w:rPr>
          <w:color w:val="000000" w:themeColor="text1"/>
        </w:rPr>
        <w:t xml:space="preserve">ratio test to be used to </w:t>
      </w:r>
      <w:r>
        <w:rPr>
          <w:color w:val="000000" w:themeColor="text1"/>
        </w:rPr>
        <w:t>predict the onset of</w:t>
      </w:r>
      <w:r w:rsidRPr="001958F9">
        <w:rPr>
          <w:color w:val="000000" w:themeColor="text1"/>
        </w:rPr>
        <w:t xml:space="preserve"> PE in pregnancies from 24</w:t>
      </w:r>
      <w:r w:rsidR="00F01AEE" w:rsidRPr="007B6937">
        <w:rPr>
          <w:rFonts w:asciiTheme="minorHAnsi" w:hAnsiTheme="minorHAnsi" w:cstheme="minorHAnsi"/>
          <w:color w:val="000000" w:themeColor="text1"/>
          <w:vertAlign w:val="superscript"/>
        </w:rPr>
        <w:t>+0</w:t>
      </w:r>
      <w:r w:rsidRPr="001958F9">
        <w:rPr>
          <w:color w:val="000000" w:themeColor="text1"/>
        </w:rPr>
        <w:t xml:space="preserve"> weeks gestation</w:t>
      </w:r>
      <w:r w:rsidR="002A5B3C" w:rsidRPr="00FF1F56">
        <w:rPr>
          <w:color w:val="000000" w:themeColor="text1"/>
        </w:rPr>
        <w:t>.</w:t>
      </w:r>
      <w:r w:rsidR="002A5B3C" w:rsidRPr="001E32BC">
        <w:rPr>
          <w:color w:val="000000" w:themeColor="text1"/>
        </w:rPr>
        <w:t xml:space="preserve"> Based on the discussion during the pre-PASC teleconference</w:t>
      </w:r>
      <w:r w:rsidR="00376EDB" w:rsidRPr="001E32BC">
        <w:rPr>
          <w:color w:val="000000" w:themeColor="text1"/>
        </w:rPr>
        <w:t xml:space="preserve"> and PASC meeting</w:t>
      </w:r>
      <w:r w:rsidR="002A5B3C" w:rsidRPr="001E32BC">
        <w:rPr>
          <w:color w:val="000000" w:themeColor="text1"/>
        </w:rPr>
        <w:t>, modified version</w:t>
      </w:r>
      <w:r w:rsidR="00376EDB" w:rsidRPr="001E32BC">
        <w:rPr>
          <w:color w:val="000000" w:themeColor="text1"/>
        </w:rPr>
        <w:t>s</w:t>
      </w:r>
      <w:r w:rsidR="002A5B3C" w:rsidRPr="001E32BC">
        <w:rPr>
          <w:color w:val="000000" w:themeColor="text1"/>
        </w:rPr>
        <w:t xml:space="preserve"> of the proposed clinical management</w:t>
      </w:r>
      <w:r w:rsidR="00686FAD" w:rsidRPr="001E32BC">
        <w:rPr>
          <w:color w:val="000000" w:themeColor="text1"/>
        </w:rPr>
        <w:t xml:space="preserve"> algorithms</w:t>
      </w:r>
      <w:r w:rsidR="002A5B3C" w:rsidRPr="001E32BC">
        <w:rPr>
          <w:color w:val="000000" w:themeColor="text1"/>
        </w:rPr>
        <w:t xml:space="preserve"> </w:t>
      </w:r>
      <w:r w:rsidR="00376EDB" w:rsidRPr="001E32BC">
        <w:rPr>
          <w:color w:val="000000" w:themeColor="text1"/>
        </w:rPr>
        <w:t xml:space="preserve">were </w:t>
      </w:r>
      <w:r w:rsidR="002A5B3C" w:rsidRPr="001E32BC">
        <w:rPr>
          <w:color w:val="000000" w:themeColor="text1"/>
        </w:rPr>
        <w:t>developed during the PICO preparation</w:t>
      </w:r>
      <w:r w:rsidR="002A5B3C" w:rsidRPr="00833F58">
        <w:rPr>
          <w:i/>
          <w:iCs/>
          <w:color w:val="000000" w:themeColor="text1"/>
        </w:rPr>
        <w:t xml:space="preserve"> </w:t>
      </w:r>
      <w:r w:rsidRPr="00975E48">
        <w:rPr>
          <w:color w:val="000000" w:themeColor="text1"/>
        </w:rPr>
        <w:t>(</w:t>
      </w:r>
      <w:r w:rsidR="00C20DE2">
        <w:rPr>
          <w:color w:val="000000" w:themeColor="text1"/>
        </w:rPr>
        <w:t>Figures 6</w:t>
      </w:r>
      <w:r w:rsidR="003E4606" w:rsidRPr="00C20DE2">
        <w:rPr>
          <w:rStyle w:val="Hyperlink"/>
          <w:color w:val="000000" w:themeColor="text1"/>
          <w:u w:val="none"/>
        </w:rPr>
        <w:t xml:space="preserve"> </w:t>
      </w:r>
      <w:r w:rsidR="00875A92" w:rsidRPr="00C20DE2">
        <w:rPr>
          <w:rStyle w:val="Hyperlink"/>
          <w:color w:val="000000" w:themeColor="text1"/>
          <w:u w:val="none"/>
        </w:rPr>
        <w:t>and</w:t>
      </w:r>
      <w:r w:rsidR="00C20DE2">
        <w:rPr>
          <w:rStyle w:val="Hyperlink"/>
          <w:color w:val="000000" w:themeColor="text1"/>
          <w:u w:val="none"/>
        </w:rPr>
        <w:t xml:space="preserve"> 7)</w:t>
      </w:r>
      <w:r w:rsidRPr="00D913A7">
        <w:rPr>
          <w:color w:val="000000" w:themeColor="text1"/>
        </w:rPr>
        <w:t xml:space="preserve">. </w:t>
      </w:r>
      <w:r w:rsidRPr="001958F9">
        <w:rPr>
          <w:color w:val="000000" w:themeColor="text1"/>
        </w:rPr>
        <w:t xml:space="preserve">The test is aimed at </w:t>
      </w:r>
      <w:r w:rsidRPr="001958F9">
        <w:rPr>
          <w:rFonts w:asciiTheme="minorHAnsi" w:hAnsiTheme="minorHAnsi" w:cstheme="minorHAnsi"/>
          <w:color w:val="000000" w:themeColor="text1"/>
        </w:rPr>
        <w:t xml:space="preserve">pregnant women with </w:t>
      </w:r>
      <w:r w:rsidRPr="001958F9">
        <w:rPr>
          <w:color w:val="000000" w:themeColor="text1"/>
        </w:rPr>
        <w:t xml:space="preserve">signs and symptoms </w:t>
      </w:r>
      <w:r w:rsidR="00376EDB">
        <w:rPr>
          <w:color w:val="000000" w:themeColor="text1"/>
        </w:rPr>
        <w:t xml:space="preserve">suggestive </w:t>
      </w:r>
      <w:r w:rsidRPr="001958F9">
        <w:rPr>
          <w:color w:val="000000" w:themeColor="text1"/>
        </w:rPr>
        <w:t xml:space="preserve">of PE </w:t>
      </w:r>
      <w:r>
        <w:rPr>
          <w:color w:val="000000" w:themeColor="text1"/>
        </w:rPr>
        <w:t xml:space="preserve">(but </w:t>
      </w:r>
      <w:r w:rsidRPr="001958F9">
        <w:rPr>
          <w:color w:val="000000" w:themeColor="text1"/>
        </w:rPr>
        <w:t>in whom PE is not already diagnosed)</w:t>
      </w:r>
      <w:r w:rsidR="004367B8">
        <w:rPr>
          <w:color w:val="000000" w:themeColor="text1"/>
        </w:rPr>
        <w:t xml:space="preserve">, along with </w:t>
      </w:r>
      <w:r w:rsidR="00E1000F">
        <w:rPr>
          <w:color w:val="000000" w:themeColor="text1"/>
        </w:rPr>
        <w:t xml:space="preserve">asymptomatic </w:t>
      </w:r>
      <w:r w:rsidR="004367B8">
        <w:rPr>
          <w:color w:val="000000" w:themeColor="text1"/>
        </w:rPr>
        <w:t xml:space="preserve">women </w:t>
      </w:r>
      <w:r w:rsidR="00E1000F">
        <w:rPr>
          <w:color w:val="000000" w:themeColor="text1"/>
        </w:rPr>
        <w:t>at</w:t>
      </w:r>
      <w:r w:rsidR="004367B8">
        <w:rPr>
          <w:color w:val="000000" w:themeColor="text1"/>
        </w:rPr>
        <w:t xml:space="preserve"> </w:t>
      </w:r>
      <w:r w:rsidR="008003E9">
        <w:rPr>
          <w:color w:val="000000" w:themeColor="text1"/>
        </w:rPr>
        <w:t xml:space="preserve">increased </w:t>
      </w:r>
      <w:r w:rsidR="004367B8">
        <w:rPr>
          <w:color w:val="000000" w:themeColor="text1"/>
        </w:rPr>
        <w:t>risk of PE</w:t>
      </w:r>
      <w:r>
        <w:rPr>
          <w:color w:val="000000" w:themeColor="text1"/>
        </w:rPr>
        <w:t xml:space="preserve"> and women with </w:t>
      </w:r>
      <w:r w:rsidR="00376EDB">
        <w:rPr>
          <w:color w:val="000000" w:themeColor="text1"/>
        </w:rPr>
        <w:t xml:space="preserve">an </w:t>
      </w:r>
      <w:r w:rsidR="00562F99">
        <w:rPr>
          <w:color w:val="000000" w:themeColor="text1"/>
        </w:rPr>
        <w:t xml:space="preserve">established </w:t>
      </w:r>
      <w:r>
        <w:rPr>
          <w:color w:val="000000" w:themeColor="text1"/>
        </w:rPr>
        <w:t>diagnosis</w:t>
      </w:r>
      <w:r w:rsidR="00376EDB">
        <w:rPr>
          <w:color w:val="000000" w:themeColor="text1"/>
        </w:rPr>
        <w:t xml:space="preserve"> of PE</w:t>
      </w:r>
      <w:r w:rsidRPr="001958F9">
        <w:rPr>
          <w:color w:val="000000" w:themeColor="text1"/>
        </w:rPr>
        <w:t xml:space="preserve">. The application indicated that </w:t>
      </w:r>
      <w:r w:rsidR="00376EDB">
        <w:rPr>
          <w:color w:val="000000" w:themeColor="text1"/>
        </w:rPr>
        <w:t xml:space="preserve">clinical </w:t>
      </w:r>
      <w:r w:rsidRPr="001958F9">
        <w:rPr>
          <w:color w:val="000000" w:themeColor="text1"/>
        </w:rPr>
        <w:t xml:space="preserve">suspicion of PE </w:t>
      </w:r>
      <w:r>
        <w:rPr>
          <w:color w:val="000000" w:themeColor="text1"/>
        </w:rPr>
        <w:t>could</w:t>
      </w:r>
      <w:r w:rsidRPr="001958F9">
        <w:rPr>
          <w:color w:val="000000" w:themeColor="text1"/>
        </w:rPr>
        <w:t xml:space="preserve"> be due to the following reasons (p18 of the application):</w:t>
      </w:r>
    </w:p>
    <w:p w14:paraId="7DBF7C2D" w14:textId="77777777" w:rsidR="00E75882" w:rsidRPr="001958F9" w:rsidRDefault="00E75882" w:rsidP="00EF551E">
      <w:pPr>
        <w:pStyle w:val="ListParagraph"/>
        <w:numPr>
          <w:ilvl w:val="0"/>
          <w:numId w:val="8"/>
        </w:numPr>
        <w:pBdr>
          <w:top w:val="nil"/>
          <w:left w:val="nil"/>
          <w:bottom w:val="nil"/>
          <w:right w:val="nil"/>
          <w:between w:val="nil"/>
        </w:pBdr>
        <w:shd w:val="clear" w:color="auto" w:fill="FFFFFF" w:themeFill="background1"/>
        <w:spacing w:before="120" w:after="120"/>
        <w:jc w:val="both"/>
        <w:rPr>
          <w:color w:val="000000" w:themeColor="text1"/>
        </w:rPr>
      </w:pPr>
      <w:r w:rsidRPr="001958F9">
        <w:rPr>
          <w:color w:val="000000" w:themeColor="text1"/>
        </w:rPr>
        <w:t>New onset of increased blood pressure</w:t>
      </w:r>
    </w:p>
    <w:p w14:paraId="360BCA7A" w14:textId="77777777" w:rsidR="00E75882" w:rsidRPr="001958F9" w:rsidRDefault="00E75882" w:rsidP="00EF551E">
      <w:pPr>
        <w:pStyle w:val="ListParagraph"/>
        <w:numPr>
          <w:ilvl w:val="0"/>
          <w:numId w:val="8"/>
        </w:numPr>
        <w:pBdr>
          <w:top w:val="nil"/>
          <w:left w:val="nil"/>
          <w:bottom w:val="nil"/>
          <w:right w:val="nil"/>
          <w:between w:val="nil"/>
        </w:pBdr>
        <w:shd w:val="clear" w:color="auto" w:fill="FFFFFF" w:themeFill="background1"/>
        <w:spacing w:before="120" w:after="120"/>
        <w:jc w:val="both"/>
        <w:rPr>
          <w:color w:val="000000" w:themeColor="text1"/>
        </w:rPr>
      </w:pPr>
      <w:r w:rsidRPr="001958F9">
        <w:rPr>
          <w:color w:val="000000" w:themeColor="text1"/>
        </w:rPr>
        <w:t>Exacerbation of pre-existing hypertension</w:t>
      </w:r>
    </w:p>
    <w:p w14:paraId="7D63752C" w14:textId="77777777" w:rsidR="00E75882" w:rsidRPr="001958F9" w:rsidRDefault="00E75882" w:rsidP="00EF551E">
      <w:pPr>
        <w:pStyle w:val="ListParagraph"/>
        <w:numPr>
          <w:ilvl w:val="0"/>
          <w:numId w:val="8"/>
        </w:numPr>
        <w:pBdr>
          <w:top w:val="nil"/>
          <w:left w:val="nil"/>
          <w:bottom w:val="nil"/>
          <w:right w:val="nil"/>
          <w:between w:val="nil"/>
        </w:pBdr>
        <w:shd w:val="clear" w:color="auto" w:fill="FFFFFF" w:themeFill="background1"/>
        <w:spacing w:before="120" w:after="120"/>
        <w:jc w:val="both"/>
        <w:rPr>
          <w:color w:val="000000" w:themeColor="text1"/>
        </w:rPr>
      </w:pPr>
      <w:r w:rsidRPr="001958F9">
        <w:rPr>
          <w:color w:val="000000" w:themeColor="text1"/>
        </w:rPr>
        <w:t>New onset proteinuria</w:t>
      </w:r>
      <w:r w:rsidRPr="001958F9" w:rsidDel="000E5B59">
        <w:rPr>
          <w:color w:val="000000" w:themeColor="text1"/>
        </w:rPr>
        <w:t xml:space="preserve"> </w:t>
      </w:r>
    </w:p>
    <w:p w14:paraId="6B93046E" w14:textId="77777777" w:rsidR="00E75882" w:rsidRPr="001958F9" w:rsidRDefault="00E75882" w:rsidP="00EF551E">
      <w:pPr>
        <w:pStyle w:val="ListParagraph"/>
        <w:numPr>
          <w:ilvl w:val="0"/>
          <w:numId w:val="8"/>
        </w:numPr>
        <w:pBdr>
          <w:top w:val="nil"/>
          <w:left w:val="nil"/>
          <w:bottom w:val="nil"/>
          <w:right w:val="nil"/>
          <w:between w:val="nil"/>
        </w:pBdr>
        <w:shd w:val="clear" w:color="auto" w:fill="FFFFFF" w:themeFill="background1"/>
        <w:spacing w:before="120" w:after="120"/>
        <w:jc w:val="both"/>
        <w:rPr>
          <w:color w:val="000000" w:themeColor="text1"/>
        </w:rPr>
      </w:pPr>
      <w:r w:rsidRPr="001958F9">
        <w:rPr>
          <w:color w:val="000000" w:themeColor="text1"/>
        </w:rPr>
        <w:t>Exacerbation</w:t>
      </w:r>
      <w:r w:rsidRPr="001958F9" w:rsidDel="000E5B59">
        <w:rPr>
          <w:color w:val="000000" w:themeColor="text1"/>
        </w:rPr>
        <w:t xml:space="preserve"> </w:t>
      </w:r>
      <w:r w:rsidRPr="001958F9">
        <w:rPr>
          <w:color w:val="000000" w:themeColor="text1"/>
        </w:rPr>
        <w:t>of pre-existing proteinuria</w:t>
      </w:r>
    </w:p>
    <w:p w14:paraId="021DDC16" w14:textId="77777777" w:rsidR="00E75882" w:rsidRPr="001958F9" w:rsidRDefault="00E75882" w:rsidP="00EF551E">
      <w:pPr>
        <w:pStyle w:val="ListParagraph"/>
        <w:numPr>
          <w:ilvl w:val="0"/>
          <w:numId w:val="8"/>
        </w:numPr>
        <w:pBdr>
          <w:top w:val="nil"/>
          <w:left w:val="nil"/>
          <w:bottom w:val="nil"/>
          <w:right w:val="nil"/>
          <w:between w:val="nil"/>
        </w:pBdr>
        <w:shd w:val="clear" w:color="auto" w:fill="FFFFFF" w:themeFill="background1"/>
        <w:spacing w:before="120" w:after="120"/>
        <w:jc w:val="both"/>
        <w:rPr>
          <w:color w:val="000000" w:themeColor="text1"/>
        </w:rPr>
      </w:pPr>
      <w:r w:rsidRPr="001958F9">
        <w:rPr>
          <w:color w:val="000000" w:themeColor="text1"/>
        </w:rPr>
        <w:t>PE related clinical features (epigastric pain, excessive oedema, headache, visual disturbances, sudden weight gain)</w:t>
      </w:r>
    </w:p>
    <w:p w14:paraId="4E90EFAA" w14:textId="77777777" w:rsidR="00E75882" w:rsidRPr="001958F9" w:rsidRDefault="00E75882" w:rsidP="00EF551E">
      <w:pPr>
        <w:pStyle w:val="ListParagraph"/>
        <w:numPr>
          <w:ilvl w:val="0"/>
          <w:numId w:val="8"/>
        </w:numPr>
        <w:pBdr>
          <w:top w:val="nil"/>
          <w:left w:val="nil"/>
          <w:bottom w:val="nil"/>
          <w:right w:val="nil"/>
          <w:between w:val="nil"/>
        </w:pBdr>
        <w:shd w:val="clear" w:color="auto" w:fill="FFFFFF" w:themeFill="background1"/>
        <w:spacing w:before="120" w:after="120"/>
        <w:jc w:val="both"/>
        <w:rPr>
          <w:color w:val="000000" w:themeColor="text1"/>
        </w:rPr>
      </w:pPr>
      <w:r w:rsidRPr="001958F9">
        <w:rPr>
          <w:color w:val="000000" w:themeColor="text1"/>
        </w:rPr>
        <w:t>Abnormal uterine artery Doppler sonography</w:t>
      </w:r>
    </w:p>
    <w:p w14:paraId="29472507" w14:textId="0642485F" w:rsidR="00E75882" w:rsidRDefault="00E75882" w:rsidP="00EF551E">
      <w:pPr>
        <w:pStyle w:val="ListParagraph"/>
        <w:numPr>
          <w:ilvl w:val="0"/>
          <w:numId w:val="8"/>
        </w:numPr>
        <w:pBdr>
          <w:top w:val="nil"/>
          <w:left w:val="nil"/>
          <w:bottom w:val="nil"/>
          <w:right w:val="nil"/>
          <w:between w:val="nil"/>
        </w:pBdr>
        <w:shd w:val="clear" w:color="auto" w:fill="FFFFFF" w:themeFill="background1"/>
        <w:spacing w:before="120" w:after="120"/>
        <w:jc w:val="both"/>
        <w:rPr>
          <w:color w:val="000000" w:themeColor="text1"/>
        </w:rPr>
      </w:pPr>
      <w:proofErr w:type="spellStart"/>
      <w:r w:rsidRPr="001958F9">
        <w:rPr>
          <w:color w:val="000000" w:themeColor="text1"/>
        </w:rPr>
        <w:t>Fetal</w:t>
      </w:r>
      <w:proofErr w:type="spellEnd"/>
      <w:r w:rsidRPr="001958F9">
        <w:rPr>
          <w:color w:val="000000" w:themeColor="text1"/>
        </w:rPr>
        <w:t xml:space="preserve"> growth restriction</w:t>
      </w:r>
      <w:r w:rsidR="0056692C">
        <w:rPr>
          <w:color w:val="000000" w:themeColor="text1"/>
        </w:rPr>
        <w:t>.</w:t>
      </w:r>
    </w:p>
    <w:p w14:paraId="52A916FF" w14:textId="77C703AF" w:rsidR="00FC4A3C" w:rsidRDefault="009667A9" w:rsidP="0080792B">
      <w:pPr>
        <w:shd w:val="clear" w:color="auto" w:fill="FFFFFF" w:themeFill="background1"/>
        <w:rPr>
          <w:color w:val="000000" w:themeColor="text1"/>
        </w:rPr>
      </w:pPr>
      <w:r>
        <w:rPr>
          <w:color w:val="000000" w:themeColor="text1"/>
        </w:rPr>
        <w:t>T</w:t>
      </w:r>
      <w:r w:rsidR="00E75882" w:rsidRPr="008272F3">
        <w:rPr>
          <w:color w:val="000000" w:themeColor="text1"/>
        </w:rPr>
        <w:t>he applicant</w:t>
      </w:r>
      <w:r w:rsidR="00A40C33">
        <w:rPr>
          <w:color w:val="000000" w:themeColor="text1"/>
        </w:rPr>
        <w:t>’s response to</w:t>
      </w:r>
      <w:r w:rsidR="00E75882" w:rsidRPr="008272F3">
        <w:rPr>
          <w:color w:val="000000" w:themeColor="text1"/>
        </w:rPr>
        <w:t xml:space="preserve"> questions after </w:t>
      </w:r>
      <w:r w:rsidR="009D5F70">
        <w:rPr>
          <w:color w:val="000000" w:themeColor="text1"/>
        </w:rPr>
        <w:t xml:space="preserve">the </w:t>
      </w:r>
      <w:r w:rsidR="00E75882" w:rsidRPr="008272F3">
        <w:rPr>
          <w:color w:val="000000" w:themeColor="text1"/>
        </w:rPr>
        <w:t>pre-PASC meeting</w:t>
      </w:r>
      <w:r>
        <w:rPr>
          <w:color w:val="000000" w:themeColor="text1"/>
        </w:rPr>
        <w:t xml:space="preserve"> stated that</w:t>
      </w:r>
      <w:r w:rsidR="00E75882" w:rsidRPr="008272F3">
        <w:rPr>
          <w:color w:val="000000" w:themeColor="text1"/>
        </w:rPr>
        <w:t xml:space="preserve"> the ratio test is primarily a prediction test for </w:t>
      </w:r>
      <w:r w:rsidR="00C2524B">
        <w:rPr>
          <w:color w:val="000000" w:themeColor="text1"/>
        </w:rPr>
        <w:t>PE</w:t>
      </w:r>
      <w:r w:rsidR="00C2524B" w:rsidRPr="008272F3">
        <w:rPr>
          <w:color w:val="000000" w:themeColor="text1"/>
        </w:rPr>
        <w:t xml:space="preserve"> </w:t>
      </w:r>
      <w:r w:rsidR="00E75882" w:rsidRPr="008272F3">
        <w:rPr>
          <w:color w:val="000000" w:themeColor="text1"/>
        </w:rPr>
        <w:t xml:space="preserve">in so far as its excellent NPV and reasonable (and better than any </w:t>
      </w:r>
      <w:r w:rsidR="00E75882" w:rsidRPr="008272F3">
        <w:rPr>
          <w:color w:val="000000" w:themeColor="text1"/>
        </w:rPr>
        <w:lastRenderedPageBreak/>
        <w:t>comparator) PPV help clarify the likelihood of a wom</w:t>
      </w:r>
      <w:r w:rsidR="0050465D">
        <w:rPr>
          <w:color w:val="000000" w:themeColor="text1"/>
        </w:rPr>
        <w:t>a</w:t>
      </w:r>
      <w:r w:rsidR="00E75882" w:rsidRPr="008272F3">
        <w:rPr>
          <w:color w:val="000000" w:themeColor="text1"/>
        </w:rPr>
        <w:t xml:space="preserve">n with clinical features suggestive but not diagnostic of </w:t>
      </w:r>
      <w:r w:rsidR="00C2524B">
        <w:rPr>
          <w:color w:val="000000" w:themeColor="text1"/>
        </w:rPr>
        <w:t>PE</w:t>
      </w:r>
      <w:r w:rsidR="00C2524B" w:rsidRPr="008272F3">
        <w:rPr>
          <w:color w:val="000000" w:themeColor="text1"/>
        </w:rPr>
        <w:t xml:space="preserve"> </w:t>
      </w:r>
      <w:r w:rsidR="00E75882" w:rsidRPr="008272F3">
        <w:rPr>
          <w:color w:val="000000" w:themeColor="text1"/>
        </w:rPr>
        <w:t xml:space="preserve">going on to develop actual </w:t>
      </w:r>
      <w:r w:rsidR="00F87D38">
        <w:rPr>
          <w:color w:val="000000" w:themeColor="text1"/>
        </w:rPr>
        <w:t>PE</w:t>
      </w:r>
      <w:r w:rsidR="00F87D38" w:rsidRPr="008272F3">
        <w:rPr>
          <w:color w:val="000000" w:themeColor="text1"/>
        </w:rPr>
        <w:t xml:space="preserve"> </w:t>
      </w:r>
      <w:r w:rsidR="00E75882" w:rsidRPr="008272F3">
        <w:rPr>
          <w:color w:val="000000" w:themeColor="text1"/>
        </w:rPr>
        <w:t>in the following month</w:t>
      </w:r>
      <w:r w:rsidR="00CF3AE3">
        <w:rPr>
          <w:color w:val="000000" w:themeColor="text1"/>
        </w:rPr>
        <w:t xml:space="preserve"> [43]</w:t>
      </w:r>
      <w:r w:rsidR="00E75882" w:rsidRPr="008272F3">
        <w:rPr>
          <w:color w:val="000000" w:themeColor="text1"/>
        </w:rPr>
        <w:t>. Therefore, if the ratio test is low (&lt;38), then no subsequent diagnostic testing is required</w:t>
      </w:r>
      <w:r w:rsidR="00E75882">
        <w:rPr>
          <w:color w:val="000000" w:themeColor="text1"/>
        </w:rPr>
        <w:t xml:space="preserve"> within </w:t>
      </w:r>
      <w:r>
        <w:rPr>
          <w:color w:val="000000" w:themeColor="text1"/>
        </w:rPr>
        <w:t xml:space="preserve">the </w:t>
      </w:r>
      <w:r w:rsidR="00E75882">
        <w:rPr>
          <w:color w:val="000000" w:themeColor="text1"/>
        </w:rPr>
        <w:t>next 2-4 weeks</w:t>
      </w:r>
      <w:r w:rsidR="00E75882" w:rsidRPr="008272F3">
        <w:rPr>
          <w:color w:val="000000" w:themeColor="text1"/>
        </w:rPr>
        <w:t>. If it is high (&gt;38)</w:t>
      </w:r>
      <w:r w:rsidR="0050465D">
        <w:rPr>
          <w:color w:val="000000" w:themeColor="text1"/>
        </w:rPr>
        <w:t>,</w:t>
      </w:r>
      <w:r w:rsidR="00E75882" w:rsidRPr="008272F3">
        <w:rPr>
          <w:color w:val="000000" w:themeColor="text1"/>
        </w:rPr>
        <w:t xml:space="preserve"> then the subsequent sequence will depend on the result/level of the ratio test and the gestation of the pregnancy. </w:t>
      </w:r>
      <w:r w:rsidR="00E75882">
        <w:rPr>
          <w:color w:val="000000" w:themeColor="text1"/>
        </w:rPr>
        <w:t>On the other hand, for women diagnosed with PE</w:t>
      </w:r>
      <w:r>
        <w:rPr>
          <w:color w:val="000000" w:themeColor="text1"/>
        </w:rPr>
        <w:t>,</w:t>
      </w:r>
      <w:r w:rsidR="00E75882">
        <w:rPr>
          <w:color w:val="000000" w:themeColor="text1"/>
        </w:rPr>
        <w:t xml:space="preserve"> the test result will indicate </w:t>
      </w:r>
      <w:r w:rsidR="00E75882" w:rsidRPr="00A51D3A">
        <w:rPr>
          <w:color w:val="000000" w:themeColor="text1"/>
        </w:rPr>
        <w:t>the rate of progression of the disease and hence</w:t>
      </w:r>
      <w:r w:rsidR="00E75882">
        <w:rPr>
          <w:color w:val="000000" w:themeColor="text1"/>
        </w:rPr>
        <w:t>,</w:t>
      </w:r>
      <w:r w:rsidR="00E75882" w:rsidRPr="00A51D3A">
        <w:rPr>
          <w:color w:val="000000" w:themeColor="text1"/>
        </w:rPr>
        <w:t xml:space="preserve"> its severity</w:t>
      </w:r>
      <w:r w:rsidR="00E75882">
        <w:rPr>
          <w:color w:val="000000" w:themeColor="text1"/>
        </w:rPr>
        <w:t xml:space="preserve">. </w:t>
      </w:r>
    </w:p>
    <w:p w14:paraId="3AF482FD" w14:textId="3AAC05CF" w:rsidR="00FC4A3C" w:rsidRPr="008272F3" w:rsidRDefault="00FC4A3C" w:rsidP="00EF551E">
      <w:pPr>
        <w:shd w:val="clear" w:color="auto" w:fill="FFFFFF" w:themeFill="background1"/>
        <w:jc w:val="both"/>
        <w:rPr>
          <w:i/>
          <w:iCs/>
          <w:color w:val="000000" w:themeColor="text1"/>
        </w:rPr>
      </w:pPr>
      <w:r w:rsidRPr="001E32BC">
        <w:rPr>
          <w:color w:val="000000" w:themeColor="text1"/>
        </w:rPr>
        <w:t>For both Population</w:t>
      </w:r>
      <w:r w:rsidR="00376EDB" w:rsidRPr="001E32BC">
        <w:rPr>
          <w:color w:val="000000" w:themeColor="text1"/>
        </w:rPr>
        <w:t>s</w:t>
      </w:r>
      <w:r w:rsidRPr="001E32BC">
        <w:rPr>
          <w:color w:val="000000" w:themeColor="text1"/>
        </w:rPr>
        <w:t xml:space="preserve"> 1 and 2</w:t>
      </w:r>
      <w:r w:rsidR="00EB736B" w:rsidRPr="001E32BC">
        <w:rPr>
          <w:color w:val="000000" w:themeColor="text1"/>
        </w:rPr>
        <w:t>,</w:t>
      </w:r>
      <w:r w:rsidRPr="001E32BC">
        <w:rPr>
          <w:color w:val="000000" w:themeColor="text1"/>
        </w:rPr>
        <w:t xml:space="preserve"> repeated </w:t>
      </w:r>
      <w:bookmarkStart w:id="38" w:name="_Hlk101883558"/>
      <w:r w:rsidRPr="001E32BC">
        <w:rPr>
          <w:color w:val="000000" w:themeColor="text1"/>
        </w:rPr>
        <w:t>sFlt-1/</w:t>
      </w:r>
      <w:proofErr w:type="spellStart"/>
      <w:r w:rsidRPr="001E32BC">
        <w:rPr>
          <w:color w:val="000000" w:themeColor="text1"/>
        </w:rPr>
        <w:t>PlGF</w:t>
      </w:r>
      <w:proofErr w:type="spellEnd"/>
      <w:r w:rsidRPr="001E32BC">
        <w:rPr>
          <w:color w:val="000000" w:themeColor="text1"/>
        </w:rPr>
        <w:t xml:space="preserve"> ratio </w:t>
      </w:r>
      <w:bookmarkEnd w:id="38"/>
      <w:r w:rsidRPr="001E32BC">
        <w:rPr>
          <w:color w:val="000000" w:themeColor="text1"/>
        </w:rPr>
        <w:t>tests might be required subject to disease severity and gestational age</w:t>
      </w:r>
      <w:r w:rsidRPr="008272F3">
        <w:rPr>
          <w:i/>
          <w:iCs/>
          <w:color w:val="000000" w:themeColor="text1"/>
        </w:rPr>
        <w:t xml:space="preserve">. </w:t>
      </w:r>
      <w:r w:rsidR="00D26B2B" w:rsidRPr="00C20DE2">
        <w:t>Figure 6</w:t>
      </w:r>
      <w:r w:rsidR="00FD0530" w:rsidRPr="00C65D34">
        <w:rPr>
          <w:rStyle w:val="Hyperlink"/>
          <w:color w:val="auto"/>
          <w:u w:val="none"/>
        </w:rPr>
        <w:t xml:space="preserve"> </w:t>
      </w:r>
      <w:r w:rsidR="0025250C" w:rsidRPr="00AC249F">
        <w:rPr>
          <w:color w:val="000000" w:themeColor="text1"/>
        </w:rPr>
        <w:t xml:space="preserve">presents the clinical management algorithm for </w:t>
      </w:r>
      <w:r w:rsidR="00686FAD">
        <w:rPr>
          <w:color w:val="000000" w:themeColor="text1"/>
        </w:rPr>
        <w:t>P</w:t>
      </w:r>
      <w:r w:rsidR="0025250C" w:rsidRPr="00AC249F">
        <w:rPr>
          <w:color w:val="000000" w:themeColor="text1"/>
        </w:rPr>
        <w:t>opulation 1</w:t>
      </w:r>
      <w:r w:rsidR="00376EDB">
        <w:rPr>
          <w:color w:val="000000" w:themeColor="text1"/>
        </w:rPr>
        <w:t>, as developed during the PICO preparation</w:t>
      </w:r>
      <w:r w:rsidR="0025250C" w:rsidRPr="00AC249F">
        <w:rPr>
          <w:color w:val="000000" w:themeColor="text1"/>
        </w:rPr>
        <w:t>.</w:t>
      </w:r>
    </w:p>
    <w:p w14:paraId="6A33100A" w14:textId="45F45CC7" w:rsidR="003E6237" w:rsidRPr="00486551" w:rsidRDefault="003E6237" w:rsidP="00486551">
      <w:pPr>
        <w:keepNext/>
        <w:spacing w:after="0" w:line="240" w:lineRule="auto"/>
        <w:rPr>
          <w:rFonts w:ascii="Times New Roman" w:eastAsia="Times New Roman" w:hAnsi="Times New Roman"/>
          <w:sz w:val="24"/>
          <w:szCs w:val="24"/>
          <w:lang w:eastAsia="en-AU"/>
        </w:rPr>
      </w:pPr>
    </w:p>
    <w:p w14:paraId="538978BB" w14:textId="4BC73E33" w:rsidR="003E6237" w:rsidRDefault="00206BB9" w:rsidP="008272F3">
      <w:pPr>
        <w:keepNext/>
        <w:shd w:val="clear" w:color="auto" w:fill="FFFFFF" w:themeFill="background1"/>
        <w:spacing w:after="0"/>
        <w:jc w:val="both"/>
        <w:rPr>
          <w:rFonts w:ascii="Arial Narrow" w:hAnsi="Arial Narrow"/>
          <w:color w:val="000000" w:themeColor="text1"/>
          <w:sz w:val="18"/>
          <w:szCs w:val="18"/>
        </w:rPr>
      </w:pPr>
      <w:r>
        <w:rPr>
          <w:rFonts w:ascii="Arial Narrow" w:hAnsi="Arial Narrow"/>
          <w:noProof/>
          <w:color w:val="000000" w:themeColor="text1"/>
          <w:sz w:val="18"/>
          <w:szCs w:val="18"/>
        </w:rPr>
        <w:drawing>
          <wp:inline distT="0" distB="0" distL="0" distR="0" wp14:anchorId="35AA009F" wp14:editId="6E7DF614">
            <wp:extent cx="5731510" cy="4001135"/>
            <wp:effectExtent l="0" t="0" r="2540" b="0"/>
            <wp:docPr id="17" name="Picture 17" descr="Figure 6: Proposed clinical management algorithm for Population 1 developed during the PICO pre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6: Proposed clinical management algorithm for Population 1 developed during the PICO preparati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001135"/>
                    </a:xfrm>
                    <a:prstGeom prst="rect">
                      <a:avLst/>
                    </a:prstGeom>
                  </pic:spPr>
                </pic:pic>
              </a:graphicData>
            </a:graphic>
          </wp:inline>
        </w:drawing>
      </w:r>
    </w:p>
    <w:p w14:paraId="09F8B8E5" w14:textId="251D902A" w:rsidR="00250694" w:rsidRPr="00B94589" w:rsidRDefault="00250694" w:rsidP="00292385">
      <w:pPr>
        <w:keepNext/>
        <w:shd w:val="clear" w:color="auto" w:fill="FFFFFF" w:themeFill="background1"/>
        <w:spacing w:before="120" w:after="0"/>
        <w:jc w:val="both"/>
        <w:rPr>
          <w:rFonts w:ascii="Arial Narrow" w:hAnsi="Arial Narrow"/>
          <w:b/>
          <w:bCs/>
          <w:color w:val="000000" w:themeColor="text1"/>
          <w:sz w:val="20"/>
          <w:szCs w:val="20"/>
        </w:rPr>
      </w:pPr>
      <w:bookmarkStart w:id="39" w:name="Title_Figure7"/>
      <w:r w:rsidRPr="00B94589">
        <w:rPr>
          <w:rFonts w:ascii="Arial Narrow" w:hAnsi="Arial Narrow"/>
          <w:b/>
          <w:bCs/>
          <w:color w:val="000000" w:themeColor="text1"/>
          <w:sz w:val="20"/>
          <w:szCs w:val="20"/>
        </w:rPr>
        <w:t xml:space="preserve">Figure </w:t>
      </w:r>
      <w:r w:rsidR="007622EE">
        <w:rPr>
          <w:rFonts w:ascii="Arial Narrow" w:hAnsi="Arial Narrow"/>
          <w:b/>
          <w:bCs/>
          <w:color w:val="000000" w:themeColor="text1"/>
          <w:sz w:val="20"/>
          <w:szCs w:val="20"/>
        </w:rPr>
        <w:t>6</w:t>
      </w:r>
      <w:r w:rsidRPr="00B94589">
        <w:rPr>
          <w:rFonts w:ascii="Arial Narrow" w:hAnsi="Arial Narrow"/>
          <w:b/>
          <w:bCs/>
          <w:color w:val="000000" w:themeColor="text1"/>
          <w:sz w:val="20"/>
          <w:szCs w:val="20"/>
        </w:rPr>
        <w:t xml:space="preserve">: Proposed clinical management algorithm </w:t>
      </w:r>
      <w:r w:rsidR="00686FAD" w:rsidRPr="00686FAD">
        <w:rPr>
          <w:rFonts w:ascii="Arial Narrow" w:hAnsi="Arial Narrow"/>
          <w:b/>
          <w:bCs/>
          <w:color w:val="000000" w:themeColor="text1"/>
          <w:sz w:val="20"/>
          <w:szCs w:val="20"/>
        </w:rPr>
        <w:t xml:space="preserve">for </w:t>
      </w:r>
      <w:r w:rsidR="00686FAD">
        <w:rPr>
          <w:rFonts w:ascii="Arial Narrow" w:hAnsi="Arial Narrow"/>
          <w:b/>
          <w:bCs/>
          <w:color w:val="000000" w:themeColor="text1"/>
          <w:sz w:val="20"/>
          <w:szCs w:val="20"/>
        </w:rPr>
        <w:t>P</w:t>
      </w:r>
      <w:r w:rsidR="00686FAD" w:rsidRPr="00686FAD">
        <w:rPr>
          <w:rFonts w:ascii="Arial Narrow" w:hAnsi="Arial Narrow"/>
          <w:b/>
          <w:bCs/>
          <w:color w:val="000000" w:themeColor="text1"/>
          <w:sz w:val="20"/>
          <w:szCs w:val="20"/>
        </w:rPr>
        <w:t>opulation 1</w:t>
      </w:r>
      <w:r w:rsidR="00686FAD">
        <w:rPr>
          <w:rFonts w:ascii="Arial Narrow" w:hAnsi="Arial Narrow"/>
          <w:b/>
          <w:bCs/>
          <w:color w:val="000000" w:themeColor="text1"/>
          <w:sz w:val="20"/>
          <w:szCs w:val="20"/>
        </w:rPr>
        <w:t xml:space="preserve"> </w:t>
      </w:r>
      <w:r w:rsidRPr="00B94589">
        <w:rPr>
          <w:rFonts w:ascii="Arial Narrow" w:hAnsi="Arial Narrow"/>
          <w:b/>
          <w:bCs/>
          <w:color w:val="000000" w:themeColor="text1"/>
          <w:sz w:val="20"/>
          <w:szCs w:val="20"/>
        </w:rPr>
        <w:t xml:space="preserve">developed during </w:t>
      </w:r>
      <w:r>
        <w:rPr>
          <w:rFonts w:ascii="Arial Narrow" w:hAnsi="Arial Narrow"/>
          <w:b/>
          <w:bCs/>
          <w:color w:val="000000" w:themeColor="text1"/>
          <w:sz w:val="20"/>
          <w:szCs w:val="20"/>
        </w:rPr>
        <w:t xml:space="preserve">the </w:t>
      </w:r>
      <w:r w:rsidRPr="00B94589">
        <w:rPr>
          <w:rFonts w:ascii="Arial Narrow" w:hAnsi="Arial Narrow"/>
          <w:b/>
          <w:bCs/>
          <w:color w:val="000000" w:themeColor="text1"/>
          <w:sz w:val="20"/>
          <w:szCs w:val="20"/>
        </w:rPr>
        <w:t>PICO preparation</w:t>
      </w:r>
    </w:p>
    <w:bookmarkEnd w:id="39"/>
    <w:p w14:paraId="70C8CF10" w14:textId="1D4642CF" w:rsidR="00E75882" w:rsidRPr="001958F9" w:rsidRDefault="00E75882" w:rsidP="008E7255">
      <w:pPr>
        <w:keepNext/>
        <w:shd w:val="clear" w:color="auto" w:fill="FFFFFF" w:themeFill="background1"/>
        <w:spacing w:after="0" w:line="240" w:lineRule="auto"/>
        <w:jc w:val="both"/>
        <w:rPr>
          <w:rFonts w:ascii="Arial Narrow" w:hAnsi="Arial Narrow"/>
          <w:color w:val="000000" w:themeColor="text1"/>
          <w:sz w:val="18"/>
          <w:szCs w:val="18"/>
        </w:rPr>
      </w:pPr>
      <w:r w:rsidRPr="001958F9">
        <w:rPr>
          <w:rFonts w:ascii="Arial Narrow" w:hAnsi="Arial Narrow"/>
          <w:color w:val="000000" w:themeColor="text1"/>
          <w:sz w:val="18"/>
          <w:szCs w:val="18"/>
        </w:rPr>
        <w:t>PE = Preeclampsia</w:t>
      </w:r>
      <w:r w:rsidR="003873E7">
        <w:rPr>
          <w:rFonts w:ascii="Arial Narrow" w:hAnsi="Arial Narrow"/>
          <w:color w:val="000000" w:themeColor="text1"/>
          <w:sz w:val="18"/>
          <w:szCs w:val="18"/>
        </w:rPr>
        <w:t xml:space="preserve">; </w:t>
      </w:r>
      <w:r w:rsidR="003873E7" w:rsidRPr="003873E7">
        <w:rPr>
          <w:rFonts w:ascii="Arial Narrow" w:hAnsi="Arial Narrow"/>
          <w:color w:val="000000" w:themeColor="text1"/>
          <w:sz w:val="18"/>
          <w:szCs w:val="18"/>
        </w:rPr>
        <w:t xml:space="preserve">sFlt-1= soluble </w:t>
      </w:r>
      <w:proofErr w:type="spellStart"/>
      <w:r w:rsidR="003873E7" w:rsidRPr="003873E7">
        <w:rPr>
          <w:rFonts w:ascii="Arial Narrow" w:hAnsi="Arial Narrow"/>
          <w:color w:val="000000" w:themeColor="text1"/>
          <w:sz w:val="18"/>
          <w:szCs w:val="18"/>
        </w:rPr>
        <w:t>fms</w:t>
      </w:r>
      <w:proofErr w:type="spellEnd"/>
      <w:r w:rsidR="003873E7" w:rsidRPr="003873E7">
        <w:rPr>
          <w:rFonts w:ascii="Arial Narrow" w:hAnsi="Arial Narrow"/>
          <w:color w:val="000000" w:themeColor="text1"/>
          <w:sz w:val="18"/>
          <w:szCs w:val="18"/>
        </w:rPr>
        <w:t xml:space="preserve">-like tyrosine kinase-1; </w:t>
      </w:r>
      <w:proofErr w:type="spellStart"/>
      <w:r w:rsidR="003873E7" w:rsidRPr="003873E7">
        <w:rPr>
          <w:rFonts w:ascii="Arial Narrow" w:hAnsi="Arial Narrow"/>
          <w:color w:val="000000" w:themeColor="text1"/>
          <w:sz w:val="18"/>
          <w:szCs w:val="18"/>
        </w:rPr>
        <w:t>PlGF</w:t>
      </w:r>
      <w:proofErr w:type="spellEnd"/>
      <w:r w:rsidR="003873E7" w:rsidRPr="003873E7">
        <w:rPr>
          <w:rFonts w:ascii="Arial Narrow" w:hAnsi="Arial Narrow"/>
          <w:color w:val="000000" w:themeColor="text1"/>
          <w:sz w:val="18"/>
          <w:szCs w:val="18"/>
        </w:rPr>
        <w:t>= placental growth factor</w:t>
      </w:r>
      <w:r w:rsidR="003873E7">
        <w:rPr>
          <w:rFonts w:ascii="Arial Narrow" w:hAnsi="Arial Narrow"/>
          <w:color w:val="000000" w:themeColor="text1"/>
          <w:sz w:val="18"/>
          <w:szCs w:val="18"/>
        </w:rPr>
        <w:t xml:space="preserve">. </w:t>
      </w:r>
    </w:p>
    <w:p w14:paraId="0741A595" w14:textId="0BB71E50" w:rsidR="00382AA1" w:rsidRDefault="00E75882" w:rsidP="00D86AB0">
      <w:pPr>
        <w:keepNext/>
        <w:shd w:val="clear" w:color="auto" w:fill="FFFFFF" w:themeFill="background1"/>
        <w:spacing w:after="0" w:line="240" w:lineRule="auto"/>
        <w:jc w:val="both"/>
        <w:rPr>
          <w:color w:val="000000" w:themeColor="text1"/>
        </w:rPr>
      </w:pPr>
      <w:r w:rsidRPr="001958F9">
        <w:rPr>
          <w:rFonts w:ascii="Arial Narrow" w:hAnsi="Arial Narrow"/>
          <w:color w:val="000000" w:themeColor="text1"/>
          <w:sz w:val="18"/>
          <w:szCs w:val="18"/>
        </w:rPr>
        <w:t xml:space="preserve">Source: </w:t>
      </w:r>
      <w:r>
        <w:rPr>
          <w:rFonts w:ascii="Arial Narrow" w:hAnsi="Arial Narrow"/>
          <w:color w:val="000000" w:themeColor="text1"/>
          <w:sz w:val="18"/>
          <w:szCs w:val="18"/>
        </w:rPr>
        <w:t>Developed during PICO preparation based on the</w:t>
      </w:r>
      <w:r w:rsidR="00CF1B12">
        <w:rPr>
          <w:rFonts w:ascii="Arial Narrow" w:hAnsi="Arial Narrow"/>
          <w:color w:val="000000" w:themeColor="text1"/>
          <w:sz w:val="18"/>
          <w:szCs w:val="18"/>
        </w:rPr>
        <w:t xml:space="preserve"> algorithm provided in the applica</w:t>
      </w:r>
      <w:r w:rsidR="00840547">
        <w:rPr>
          <w:rFonts w:ascii="Arial Narrow" w:hAnsi="Arial Narrow"/>
          <w:color w:val="000000" w:themeColor="text1"/>
          <w:sz w:val="18"/>
          <w:szCs w:val="18"/>
        </w:rPr>
        <w:t>tion</w:t>
      </w:r>
      <w:r w:rsidR="00CF1B12">
        <w:rPr>
          <w:rFonts w:ascii="Arial Narrow" w:hAnsi="Arial Narrow"/>
          <w:color w:val="000000" w:themeColor="text1"/>
          <w:sz w:val="18"/>
          <w:szCs w:val="18"/>
        </w:rPr>
        <w:t xml:space="preserve"> </w:t>
      </w:r>
      <w:r w:rsidRPr="001958F9">
        <w:rPr>
          <w:rFonts w:ascii="Arial Narrow" w:hAnsi="Arial Narrow"/>
          <w:color w:val="000000" w:themeColor="text1"/>
          <w:sz w:val="18"/>
          <w:szCs w:val="18"/>
        </w:rPr>
        <w:t>(Attachment: sFlt-1_PlGF ratio clinical pathway diagram)</w:t>
      </w:r>
      <w:r w:rsidR="00CF1B12" w:rsidRPr="00CF1B12">
        <w:rPr>
          <w:rFonts w:ascii="Arial Narrow" w:hAnsi="Arial Narrow"/>
          <w:color w:val="000000" w:themeColor="text1"/>
          <w:sz w:val="18"/>
          <w:szCs w:val="18"/>
        </w:rPr>
        <w:t xml:space="preserve"> </w:t>
      </w:r>
      <w:r w:rsidR="00CF1B12">
        <w:rPr>
          <w:rFonts w:ascii="Arial Narrow" w:hAnsi="Arial Narrow"/>
          <w:color w:val="000000" w:themeColor="text1"/>
          <w:sz w:val="18"/>
          <w:szCs w:val="18"/>
        </w:rPr>
        <w:t>and departmental feedback</w:t>
      </w:r>
      <w:r w:rsidRPr="001958F9">
        <w:rPr>
          <w:rFonts w:ascii="Arial Narrow" w:hAnsi="Arial Narrow"/>
          <w:color w:val="000000" w:themeColor="text1"/>
          <w:sz w:val="18"/>
          <w:szCs w:val="18"/>
        </w:rPr>
        <w:t xml:space="preserve">. </w:t>
      </w:r>
    </w:p>
    <w:p w14:paraId="77FFD3A2" w14:textId="77777777" w:rsidR="008E7255" w:rsidRDefault="008E7255" w:rsidP="008E7255">
      <w:pPr>
        <w:shd w:val="clear" w:color="auto" w:fill="FFFFFF" w:themeFill="background1"/>
        <w:spacing w:after="0"/>
        <w:rPr>
          <w:color w:val="000000" w:themeColor="text1"/>
        </w:rPr>
      </w:pPr>
    </w:p>
    <w:p w14:paraId="3E1EEFA5" w14:textId="7581F3A4" w:rsidR="00382AA1" w:rsidRPr="00F438ED" w:rsidRDefault="00263DA0" w:rsidP="00486551">
      <w:pPr>
        <w:keepNext/>
        <w:shd w:val="clear" w:color="auto" w:fill="FFFFFF" w:themeFill="background1"/>
        <w:spacing w:after="0"/>
        <w:rPr>
          <w:rFonts w:asciiTheme="minorHAnsi" w:hAnsiTheme="minorHAnsi" w:cstheme="minorHAnsi"/>
          <w:color w:val="000000" w:themeColor="text1"/>
        </w:rPr>
      </w:pPr>
      <w:r w:rsidRPr="00F438ED">
        <w:rPr>
          <w:rFonts w:asciiTheme="minorHAnsi" w:hAnsiTheme="minorHAnsi" w:cstheme="minorHAnsi"/>
        </w:rPr>
        <w:lastRenderedPageBreak/>
        <w:t xml:space="preserve">Figure </w:t>
      </w:r>
      <w:r w:rsidR="00D86AB0" w:rsidRPr="00F438ED">
        <w:rPr>
          <w:rFonts w:asciiTheme="minorHAnsi" w:hAnsiTheme="minorHAnsi" w:cstheme="minorHAnsi"/>
          <w:color w:val="000000" w:themeColor="text1"/>
        </w:rPr>
        <w:t>7</w:t>
      </w:r>
      <w:r w:rsidR="008E7255" w:rsidRPr="00F438ED">
        <w:rPr>
          <w:rFonts w:asciiTheme="minorHAnsi" w:hAnsiTheme="minorHAnsi" w:cstheme="minorHAnsi"/>
          <w:color w:val="000000" w:themeColor="text1"/>
        </w:rPr>
        <w:t xml:space="preserve"> </w:t>
      </w:r>
      <w:r w:rsidR="00382AA1" w:rsidRPr="00F438ED">
        <w:rPr>
          <w:rFonts w:asciiTheme="minorHAnsi" w:hAnsiTheme="minorHAnsi" w:cstheme="minorHAnsi"/>
          <w:color w:val="000000" w:themeColor="text1"/>
        </w:rPr>
        <w:t xml:space="preserve">presents the clinical management algorithm for </w:t>
      </w:r>
      <w:r w:rsidR="00686FAD" w:rsidRPr="00F438ED">
        <w:rPr>
          <w:rFonts w:asciiTheme="minorHAnsi" w:hAnsiTheme="minorHAnsi" w:cstheme="minorHAnsi"/>
          <w:color w:val="000000" w:themeColor="text1"/>
        </w:rPr>
        <w:t>P</w:t>
      </w:r>
      <w:r w:rsidR="00382AA1" w:rsidRPr="00F438ED">
        <w:rPr>
          <w:rFonts w:asciiTheme="minorHAnsi" w:hAnsiTheme="minorHAnsi" w:cstheme="minorHAnsi"/>
          <w:color w:val="000000" w:themeColor="text1"/>
        </w:rPr>
        <w:t>opulation 2</w:t>
      </w:r>
      <w:r w:rsidR="00936EAC" w:rsidRPr="00F438ED">
        <w:rPr>
          <w:rFonts w:asciiTheme="minorHAnsi" w:hAnsiTheme="minorHAnsi" w:cstheme="minorHAnsi"/>
          <w:color w:val="000000" w:themeColor="text1"/>
        </w:rPr>
        <w:t>, developed during PICO evaluation</w:t>
      </w:r>
      <w:r w:rsidR="00382AA1" w:rsidRPr="00F438ED">
        <w:rPr>
          <w:rFonts w:asciiTheme="minorHAnsi" w:hAnsiTheme="minorHAnsi" w:cstheme="minorHAnsi"/>
          <w:color w:val="000000" w:themeColor="text1"/>
        </w:rPr>
        <w:t>.</w:t>
      </w:r>
    </w:p>
    <w:p w14:paraId="156CC3EE" w14:textId="77777777" w:rsidR="00486551" w:rsidRDefault="00486551" w:rsidP="00486551">
      <w:pPr>
        <w:keepNext/>
        <w:shd w:val="clear" w:color="auto" w:fill="FFFFFF" w:themeFill="background1"/>
        <w:spacing w:after="0"/>
        <w:rPr>
          <w:color w:val="000000" w:themeColor="text1"/>
        </w:rPr>
      </w:pPr>
    </w:p>
    <w:p w14:paraId="18A367C4" w14:textId="6C35401F" w:rsidR="00986D47" w:rsidRDefault="00986D47" w:rsidP="00614F4C">
      <w:pPr>
        <w:shd w:val="clear" w:color="auto" w:fill="FFFFFF" w:themeFill="background1"/>
        <w:spacing w:after="0"/>
        <w:rPr>
          <w:color w:val="000000" w:themeColor="text1"/>
        </w:rPr>
      </w:pPr>
      <w:r>
        <w:rPr>
          <w:noProof/>
          <w:color w:val="000000" w:themeColor="text1"/>
        </w:rPr>
        <w:drawing>
          <wp:inline distT="0" distB="0" distL="0" distR="0" wp14:anchorId="51E9E8C3" wp14:editId="3C695272">
            <wp:extent cx="5731510" cy="4871085"/>
            <wp:effectExtent l="0" t="0" r="2540" b="5715"/>
            <wp:docPr id="9" name="Picture 9" descr="Figure 7: Proposed clinical management algorithm for Population 2 developed during the PICO pre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7: Proposed clinical management algorithm for Population 2 developed during the PICO preparatio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871085"/>
                    </a:xfrm>
                    <a:prstGeom prst="rect">
                      <a:avLst/>
                    </a:prstGeom>
                  </pic:spPr>
                </pic:pic>
              </a:graphicData>
            </a:graphic>
          </wp:inline>
        </w:drawing>
      </w:r>
    </w:p>
    <w:p w14:paraId="60F5FDFC" w14:textId="36AB9D96" w:rsidR="00382AA1" w:rsidRPr="00B94589" w:rsidRDefault="00382AA1" w:rsidP="00292385">
      <w:pPr>
        <w:keepNext/>
        <w:shd w:val="clear" w:color="auto" w:fill="FFFFFF" w:themeFill="background1"/>
        <w:spacing w:before="120"/>
        <w:jc w:val="both"/>
        <w:rPr>
          <w:rFonts w:ascii="Arial Narrow" w:hAnsi="Arial Narrow"/>
          <w:b/>
          <w:bCs/>
          <w:color w:val="000000" w:themeColor="text1"/>
          <w:sz w:val="20"/>
          <w:szCs w:val="20"/>
        </w:rPr>
      </w:pPr>
      <w:bookmarkStart w:id="40" w:name="Title_Figure9"/>
      <w:r w:rsidRPr="00B94589">
        <w:rPr>
          <w:rFonts w:ascii="Arial Narrow" w:hAnsi="Arial Narrow"/>
          <w:b/>
          <w:bCs/>
          <w:color w:val="000000" w:themeColor="text1"/>
          <w:sz w:val="20"/>
          <w:szCs w:val="20"/>
        </w:rPr>
        <w:t xml:space="preserve">Figure </w:t>
      </w:r>
      <w:r w:rsidR="007622EE">
        <w:rPr>
          <w:rFonts w:ascii="Arial Narrow" w:hAnsi="Arial Narrow"/>
          <w:b/>
          <w:bCs/>
          <w:color w:val="000000" w:themeColor="text1"/>
          <w:sz w:val="20"/>
          <w:szCs w:val="20"/>
        </w:rPr>
        <w:t>7</w:t>
      </w:r>
      <w:r w:rsidRPr="00B94589">
        <w:rPr>
          <w:rFonts w:ascii="Arial Narrow" w:hAnsi="Arial Narrow"/>
          <w:b/>
          <w:bCs/>
          <w:color w:val="000000" w:themeColor="text1"/>
          <w:sz w:val="20"/>
          <w:szCs w:val="20"/>
        </w:rPr>
        <w:t xml:space="preserve">: Proposed clinical management algorithm </w:t>
      </w:r>
      <w:r w:rsidR="00686FAD" w:rsidRPr="00686FAD">
        <w:rPr>
          <w:rFonts w:ascii="Arial Narrow" w:hAnsi="Arial Narrow"/>
          <w:b/>
          <w:bCs/>
          <w:color w:val="000000" w:themeColor="text1"/>
          <w:sz w:val="20"/>
          <w:szCs w:val="20"/>
        </w:rPr>
        <w:t xml:space="preserve">for </w:t>
      </w:r>
      <w:r w:rsidR="00686FAD">
        <w:rPr>
          <w:rFonts w:ascii="Arial Narrow" w:hAnsi="Arial Narrow"/>
          <w:b/>
          <w:bCs/>
          <w:color w:val="000000" w:themeColor="text1"/>
          <w:sz w:val="20"/>
          <w:szCs w:val="20"/>
        </w:rPr>
        <w:t>P</w:t>
      </w:r>
      <w:r w:rsidR="00686FAD" w:rsidRPr="00686FAD">
        <w:rPr>
          <w:rFonts w:ascii="Arial Narrow" w:hAnsi="Arial Narrow"/>
          <w:b/>
          <w:bCs/>
          <w:color w:val="000000" w:themeColor="text1"/>
          <w:sz w:val="20"/>
          <w:szCs w:val="20"/>
        </w:rPr>
        <w:t xml:space="preserve">opulation </w:t>
      </w:r>
      <w:r w:rsidR="00686FAD">
        <w:rPr>
          <w:rFonts w:ascii="Arial Narrow" w:hAnsi="Arial Narrow"/>
          <w:b/>
          <w:bCs/>
          <w:color w:val="000000" w:themeColor="text1"/>
          <w:sz w:val="20"/>
          <w:szCs w:val="20"/>
        </w:rPr>
        <w:t xml:space="preserve">2 </w:t>
      </w:r>
      <w:r w:rsidRPr="00B94589">
        <w:rPr>
          <w:rFonts w:ascii="Arial Narrow" w:hAnsi="Arial Narrow"/>
          <w:b/>
          <w:bCs/>
          <w:color w:val="000000" w:themeColor="text1"/>
          <w:sz w:val="20"/>
          <w:szCs w:val="20"/>
        </w:rPr>
        <w:t xml:space="preserve">developed during </w:t>
      </w:r>
      <w:r>
        <w:rPr>
          <w:rFonts w:ascii="Arial Narrow" w:hAnsi="Arial Narrow"/>
          <w:b/>
          <w:bCs/>
          <w:color w:val="000000" w:themeColor="text1"/>
          <w:sz w:val="20"/>
          <w:szCs w:val="20"/>
        </w:rPr>
        <w:t xml:space="preserve">the </w:t>
      </w:r>
      <w:r w:rsidRPr="00B94589">
        <w:rPr>
          <w:rFonts w:ascii="Arial Narrow" w:hAnsi="Arial Narrow"/>
          <w:b/>
          <w:bCs/>
          <w:color w:val="000000" w:themeColor="text1"/>
          <w:sz w:val="20"/>
          <w:szCs w:val="20"/>
        </w:rPr>
        <w:t>PICO preparation</w:t>
      </w:r>
    </w:p>
    <w:bookmarkEnd w:id="40"/>
    <w:p w14:paraId="581DA3C2" w14:textId="028056AF" w:rsidR="00382AA1" w:rsidRPr="001958F9" w:rsidRDefault="00382AA1" w:rsidP="00382AA1">
      <w:pPr>
        <w:keepNext/>
        <w:shd w:val="clear" w:color="auto" w:fill="FFFFFF" w:themeFill="background1"/>
        <w:spacing w:after="0"/>
        <w:jc w:val="both"/>
        <w:rPr>
          <w:rFonts w:ascii="Arial Narrow" w:hAnsi="Arial Narrow"/>
          <w:color w:val="000000" w:themeColor="text1"/>
          <w:sz w:val="18"/>
          <w:szCs w:val="18"/>
        </w:rPr>
      </w:pPr>
      <w:r w:rsidRPr="001958F9">
        <w:rPr>
          <w:rFonts w:ascii="Arial Narrow" w:hAnsi="Arial Narrow"/>
          <w:color w:val="000000" w:themeColor="text1"/>
          <w:sz w:val="18"/>
          <w:szCs w:val="18"/>
        </w:rPr>
        <w:t>PE = Preeclampsia</w:t>
      </w:r>
      <w:r>
        <w:rPr>
          <w:rFonts w:ascii="Arial Narrow" w:hAnsi="Arial Narrow"/>
          <w:color w:val="000000" w:themeColor="text1"/>
          <w:sz w:val="18"/>
          <w:szCs w:val="18"/>
        </w:rPr>
        <w:t xml:space="preserve">; </w:t>
      </w:r>
      <w:r w:rsidRPr="003873E7">
        <w:rPr>
          <w:rFonts w:ascii="Arial Narrow" w:hAnsi="Arial Narrow"/>
          <w:color w:val="000000" w:themeColor="text1"/>
          <w:sz w:val="18"/>
          <w:szCs w:val="18"/>
        </w:rPr>
        <w:t xml:space="preserve">sFlt-1= soluble </w:t>
      </w:r>
      <w:proofErr w:type="spellStart"/>
      <w:r w:rsidRPr="003873E7">
        <w:rPr>
          <w:rFonts w:ascii="Arial Narrow" w:hAnsi="Arial Narrow"/>
          <w:color w:val="000000" w:themeColor="text1"/>
          <w:sz w:val="18"/>
          <w:szCs w:val="18"/>
        </w:rPr>
        <w:t>fms</w:t>
      </w:r>
      <w:proofErr w:type="spellEnd"/>
      <w:r w:rsidRPr="003873E7">
        <w:rPr>
          <w:rFonts w:ascii="Arial Narrow" w:hAnsi="Arial Narrow"/>
          <w:color w:val="000000" w:themeColor="text1"/>
          <w:sz w:val="18"/>
          <w:szCs w:val="18"/>
        </w:rPr>
        <w:t xml:space="preserve">-like tyrosine kinase-1; </w:t>
      </w:r>
      <w:proofErr w:type="spellStart"/>
      <w:r w:rsidRPr="003873E7">
        <w:rPr>
          <w:rFonts w:ascii="Arial Narrow" w:hAnsi="Arial Narrow"/>
          <w:color w:val="000000" w:themeColor="text1"/>
          <w:sz w:val="18"/>
          <w:szCs w:val="18"/>
        </w:rPr>
        <w:t>PlGF</w:t>
      </w:r>
      <w:proofErr w:type="spellEnd"/>
      <w:r w:rsidRPr="003873E7">
        <w:rPr>
          <w:rFonts w:ascii="Arial Narrow" w:hAnsi="Arial Narrow"/>
          <w:color w:val="000000" w:themeColor="text1"/>
          <w:sz w:val="18"/>
          <w:szCs w:val="18"/>
        </w:rPr>
        <w:t>= placental growth factor</w:t>
      </w:r>
      <w:r>
        <w:rPr>
          <w:rFonts w:ascii="Arial Narrow" w:hAnsi="Arial Narrow"/>
          <w:color w:val="000000" w:themeColor="text1"/>
          <w:sz w:val="18"/>
          <w:szCs w:val="18"/>
        </w:rPr>
        <w:t xml:space="preserve">. </w:t>
      </w:r>
    </w:p>
    <w:p w14:paraId="042022F2" w14:textId="6C89224C" w:rsidR="00382AA1" w:rsidRDefault="00382AA1" w:rsidP="00382AA1">
      <w:pPr>
        <w:keepNext/>
        <w:shd w:val="clear" w:color="auto" w:fill="FFFFFF" w:themeFill="background1"/>
        <w:spacing w:after="0"/>
        <w:jc w:val="both"/>
        <w:rPr>
          <w:rFonts w:ascii="Arial Narrow" w:hAnsi="Arial Narrow"/>
          <w:color w:val="000000" w:themeColor="text1"/>
          <w:sz w:val="18"/>
          <w:szCs w:val="18"/>
        </w:rPr>
      </w:pPr>
      <w:r w:rsidRPr="001958F9">
        <w:rPr>
          <w:rFonts w:ascii="Arial Narrow" w:hAnsi="Arial Narrow"/>
          <w:color w:val="000000" w:themeColor="text1"/>
          <w:sz w:val="18"/>
          <w:szCs w:val="18"/>
        </w:rPr>
        <w:t xml:space="preserve">Source: </w:t>
      </w:r>
      <w:r>
        <w:rPr>
          <w:rFonts w:ascii="Arial Narrow" w:hAnsi="Arial Narrow"/>
          <w:color w:val="000000" w:themeColor="text1"/>
          <w:sz w:val="18"/>
          <w:szCs w:val="18"/>
        </w:rPr>
        <w:t xml:space="preserve">Developed during PICO preparation based on </w:t>
      </w:r>
      <w:r w:rsidR="009D1D51">
        <w:rPr>
          <w:rFonts w:ascii="Arial Narrow" w:hAnsi="Arial Narrow"/>
          <w:color w:val="000000" w:themeColor="text1"/>
          <w:sz w:val="18"/>
          <w:szCs w:val="18"/>
        </w:rPr>
        <w:t>the algorithm provided in the applicat</w:t>
      </w:r>
      <w:r w:rsidR="00840547">
        <w:rPr>
          <w:rFonts w:ascii="Arial Narrow" w:hAnsi="Arial Narrow"/>
          <w:color w:val="000000" w:themeColor="text1"/>
          <w:sz w:val="18"/>
          <w:szCs w:val="18"/>
        </w:rPr>
        <w:t>ion</w:t>
      </w:r>
      <w:r w:rsidR="0090154A">
        <w:rPr>
          <w:rFonts w:ascii="Arial Narrow" w:hAnsi="Arial Narrow"/>
          <w:color w:val="000000" w:themeColor="text1"/>
          <w:sz w:val="18"/>
          <w:szCs w:val="18"/>
        </w:rPr>
        <w:t xml:space="preserve"> </w:t>
      </w:r>
      <w:r w:rsidRPr="001958F9">
        <w:rPr>
          <w:rFonts w:ascii="Arial Narrow" w:hAnsi="Arial Narrow"/>
          <w:color w:val="000000" w:themeColor="text1"/>
          <w:sz w:val="18"/>
          <w:szCs w:val="18"/>
        </w:rPr>
        <w:t>(Attachment: sFlt-1_PlGF ratio clinical pathway diagram)</w:t>
      </w:r>
      <w:r w:rsidR="00CF1B12">
        <w:rPr>
          <w:rFonts w:ascii="Arial Narrow" w:hAnsi="Arial Narrow"/>
          <w:color w:val="000000" w:themeColor="text1"/>
          <w:sz w:val="18"/>
          <w:szCs w:val="18"/>
        </w:rPr>
        <w:t xml:space="preserve"> and departmental feedback</w:t>
      </w:r>
      <w:r w:rsidRPr="001958F9">
        <w:rPr>
          <w:rFonts w:ascii="Arial Narrow" w:hAnsi="Arial Narrow"/>
          <w:color w:val="000000" w:themeColor="text1"/>
          <w:sz w:val="18"/>
          <w:szCs w:val="18"/>
        </w:rPr>
        <w:t xml:space="preserve">. </w:t>
      </w:r>
    </w:p>
    <w:p w14:paraId="0259BA0B" w14:textId="149BB10F" w:rsidR="005D4B5C" w:rsidRPr="00F659F3" w:rsidRDefault="005D4B5C" w:rsidP="00A947B7">
      <w:pPr>
        <w:keepNext/>
        <w:shd w:val="clear" w:color="auto" w:fill="FFFFFF" w:themeFill="background1"/>
        <w:spacing w:after="240"/>
        <w:jc w:val="both"/>
        <w:rPr>
          <w:rFonts w:ascii="Arial Narrow" w:hAnsi="Arial Narrow"/>
          <w:i/>
          <w:iCs/>
          <w:color w:val="000000" w:themeColor="text1"/>
          <w:sz w:val="18"/>
          <w:szCs w:val="18"/>
        </w:rPr>
      </w:pPr>
      <w:r w:rsidRPr="00F659F3">
        <w:rPr>
          <w:rFonts w:ascii="Arial Narrow" w:hAnsi="Arial Narrow"/>
          <w:i/>
          <w:iCs/>
          <w:color w:val="000000" w:themeColor="text1"/>
          <w:sz w:val="18"/>
          <w:szCs w:val="18"/>
        </w:rPr>
        <w:t xml:space="preserve">Note: </w:t>
      </w:r>
      <w:r w:rsidRPr="005D4B5C">
        <w:rPr>
          <w:rFonts w:ascii="Arial Narrow" w:hAnsi="Arial Narrow"/>
          <w:i/>
          <w:iCs/>
          <w:color w:val="000000" w:themeColor="text1"/>
          <w:sz w:val="18"/>
          <w:szCs w:val="18"/>
        </w:rPr>
        <w:t xml:space="preserve">The </w:t>
      </w:r>
      <w:r w:rsidRPr="00F659F3">
        <w:rPr>
          <w:rFonts w:ascii="Arial Narrow" w:hAnsi="Arial Narrow"/>
          <w:i/>
          <w:iCs/>
          <w:color w:val="000000" w:themeColor="text1"/>
          <w:sz w:val="18"/>
          <w:szCs w:val="18"/>
        </w:rPr>
        <w:t xml:space="preserve">assessment report could also investigate clinical management for patients with </w:t>
      </w:r>
      <w:r w:rsidR="00DB7700" w:rsidRPr="00DB7700">
        <w:rPr>
          <w:rFonts w:ascii="Arial Narrow" w:hAnsi="Arial Narrow"/>
          <w:i/>
          <w:iCs/>
          <w:color w:val="000000" w:themeColor="text1"/>
          <w:sz w:val="18"/>
          <w:szCs w:val="18"/>
        </w:rPr>
        <w:t>sFlt-1</w:t>
      </w:r>
      <w:r w:rsidR="00DB7700">
        <w:rPr>
          <w:rFonts w:ascii="Arial Narrow" w:hAnsi="Arial Narrow"/>
          <w:i/>
          <w:iCs/>
          <w:color w:val="000000" w:themeColor="text1"/>
          <w:sz w:val="18"/>
          <w:szCs w:val="18"/>
        </w:rPr>
        <w:t>/</w:t>
      </w:r>
      <w:proofErr w:type="spellStart"/>
      <w:r w:rsidR="00DB7700" w:rsidRPr="00DB7700">
        <w:rPr>
          <w:rFonts w:ascii="Arial Narrow" w:hAnsi="Arial Narrow"/>
          <w:i/>
          <w:iCs/>
          <w:color w:val="000000" w:themeColor="text1"/>
          <w:sz w:val="18"/>
          <w:szCs w:val="18"/>
        </w:rPr>
        <w:t>PlGF</w:t>
      </w:r>
      <w:proofErr w:type="spellEnd"/>
      <w:r w:rsidR="00DB7700" w:rsidRPr="00DB7700">
        <w:rPr>
          <w:rFonts w:ascii="Arial Narrow" w:hAnsi="Arial Narrow"/>
          <w:i/>
          <w:iCs/>
          <w:color w:val="000000" w:themeColor="text1"/>
          <w:sz w:val="18"/>
          <w:szCs w:val="18"/>
        </w:rPr>
        <w:t xml:space="preserve"> ratio</w:t>
      </w:r>
      <w:r w:rsidRPr="00F659F3">
        <w:rPr>
          <w:rFonts w:ascii="Arial Narrow" w:hAnsi="Arial Narrow"/>
          <w:i/>
          <w:iCs/>
          <w:color w:val="000000" w:themeColor="text1"/>
          <w:sz w:val="18"/>
          <w:szCs w:val="18"/>
        </w:rPr>
        <w:t xml:space="preserve"> &lt; 38. </w:t>
      </w:r>
    </w:p>
    <w:p w14:paraId="51960F69" w14:textId="77777777" w:rsidR="005F0D7D" w:rsidRDefault="005F0D7D">
      <w:pPr>
        <w:spacing w:after="160" w:line="259" w:lineRule="auto"/>
        <w:rPr>
          <w:i/>
          <w:iCs/>
          <w:color w:val="000000" w:themeColor="text1"/>
          <w:u w:val="single"/>
        </w:rPr>
      </w:pPr>
      <w:r>
        <w:rPr>
          <w:i/>
          <w:iCs/>
          <w:color w:val="000000" w:themeColor="text1"/>
          <w:u w:val="single"/>
        </w:rPr>
        <w:br w:type="page"/>
      </w:r>
    </w:p>
    <w:p w14:paraId="12FD2227" w14:textId="1AE801B4" w:rsidR="00E75882" w:rsidRPr="001958F9" w:rsidRDefault="00E75882" w:rsidP="00EF551E">
      <w:pPr>
        <w:shd w:val="clear" w:color="auto" w:fill="FFFFFF" w:themeFill="background1"/>
        <w:jc w:val="both"/>
        <w:rPr>
          <w:i/>
          <w:iCs/>
          <w:color w:val="000000" w:themeColor="text1"/>
          <w:u w:val="single"/>
        </w:rPr>
      </w:pPr>
      <w:r w:rsidRPr="001958F9">
        <w:rPr>
          <w:i/>
          <w:iCs/>
          <w:color w:val="000000" w:themeColor="text1"/>
          <w:u w:val="single"/>
        </w:rPr>
        <w:lastRenderedPageBreak/>
        <w:t>Use of the sFlt-1/</w:t>
      </w:r>
      <w:proofErr w:type="spellStart"/>
      <w:r w:rsidRPr="001958F9">
        <w:rPr>
          <w:i/>
          <w:iCs/>
          <w:color w:val="000000" w:themeColor="text1"/>
          <w:u w:val="single"/>
        </w:rPr>
        <w:t>PlGF</w:t>
      </w:r>
      <w:proofErr w:type="spellEnd"/>
      <w:r w:rsidRPr="001958F9">
        <w:rPr>
          <w:i/>
          <w:iCs/>
          <w:color w:val="000000" w:themeColor="text1"/>
          <w:u w:val="single"/>
        </w:rPr>
        <w:t xml:space="preserve"> ratio for </w:t>
      </w:r>
      <w:r w:rsidRPr="001958F9">
        <w:rPr>
          <w:rFonts w:asciiTheme="minorHAnsi" w:hAnsiTheme="minorHAnsi" w:cstheme="minorHAnsi"/>
          <w:i/>
          <w:iCs/>
          <w:color w:val="000000" w:themeColor="text1"/>
          <w:u w:val="single"/>
        </w:rPr>
        <w:t xml:space="preserve">pregnant women with </w:t>
      </w:r>
      <w:r w:rsidR="00D12FE2">
        <w:rPr>
          <w:rFonts w:asciiTheme="minorHAnsi" w:hAnsiTheme="minorHAnsi" w:cstheme="minorHAnsi"/>
          <w:i/>
          <w:iCs/>
          <w:color w:val="000000" w:themeColor="text1"/>
          <w:u w:val="single"/>
        </w:rPr>
        <w:t xml:space="preserve">signs and symptoms </w:t>
      </w:r>
      <w:r w:rsidR="00936EAC">
        <w:rPr>
          <w:rFonts w:asciiTheme="minorHAnsi" w:hAnsiTheme="minorHAnsi" w:cstheme="minorHAnsi"/>
          <w:i/>
          <w:iCs/>
          <w:color w:val="000000" w:themeColor="text1"/>
          <w:u w:val="single"/>
        </w:rPr>
        <w:t>suggestive of</w:t>
      </w:r>
      <w:r w:rsidR="00D12FE2" w:rsidRPr="001958F9">
        <w:rPr>
          <w:rFonts w:asciiTheme="minorHAnsi" w:hAnsiTheme="minorHAnsi" w:cstheme="minorHAnsi"/>
          <w:i/>
          <w:iCs/>
          <w:color w:val="000000" w:themeColor="text1"/>
          <w:u w:val="single"/>
        </w:rPr>
        <w:t xml:space="preserve"> </w:t>
      </w:r>
      <w:r w:rsidRPr="001958F9">
        <w:rPr>
          <w:rFonts w:asciiTheme="minorHAnsi" w:hAnsiTheme="minorHAnsi" w:cstheme="minorHAnsi"/>
          <w:i/>
          <w:iCs/>
          <w:color w:val="000000" w:themeColor="text1"/>
          <w:u w:val="single"/>
        </w:rPr>
        <w:t>PE</w:t>
      </w:r>
      <w:r w:rsidR="00056999">
        <w:rPr>
          <w:i/>
          <w:iCs/>
          <w:color w:val="000000" w:themeColor="text1"/>
          <w:u w:val="single"/>
        </w:rPr>
        <w:t xml:space="preserve"> and asymptomatic pregnant women at high risk of PE</w:t>
      </w:r>
    </w:p>
    <w:p w14:paraId="1413E6FF" w14:textId="77777777" w:rsidR="00E75882" w:rsidRPr="001958F9" w:rsidRDefault="00E75882" w:rsidP="0080792B">
      <w:pPr>
        <w:shd w:val="clear" w:color="auto" w:fill="FFFFFF" w:themeFill="background1"/>
        <w:rPr>
          <w:color w:val="000000" w:themeColor="text1"/>
        </w:rPr>
      </w:pPr>
      <w:r w:rsidRPr="001958F9">
        <w:rPr>
          <w:color w:val="000000" w:themeColor="text1"/>
        </w:rPr>
        <w:t xml:space="preserve">According to the established cut-off values of the sFlt-1/ </w:t>
      </w:r>
      <w:proofErr w:type="spellStart"/>
      <w:r w:rsidRPr="001958F9">
        <w:rPr>
          <w:color w:val="000000" w:themeColor="text1"/>
        </w:rPr>
        <w:t>PlGF</w:t>
      </w:r>
      <w:proofErr w:type="spellEnd"/>
      <w:r w:rsidRPr="001958F9">
        <w:rPr>
          <w:color w:val="000000" w:themeColor="text1"/>
        </w:rPr>
        <w:t>-ratio, women with a ratio &gt;85 are classified as high-risk, a ratio between 38 and 85 are defined as intermediate-risk</w:t>
      </w:r>
      <w:r>
        <w:rPr>
          <w:color w:val="000000" w:themeColor="text1"/>
        </w:rPr>
        <w:t>,</w:t>
      </w:r>
      <w:r w:rsidRPr="001958F9">
        <w:rPr>
          <w:color w:val="000000" w:themeColor="text1"/>
        </w:rPr>
        <w:t xml:space="preserve"> and a ratio &lt;38 as low risks </w:t>
      </w:r>
      <w:r>
        <w:rPr>
          <w:noProof/>
          <w:color w:val="000000" w:themeColor="text1"/>
        </w:rPr>
        <w:t>[5, 27, 32, 59, 60]</w:t>
      </w:r>
      <w:r w:rsidRPr="001958F9">
        <w:rPr>
          <w:color w:val="000000" w:themeColor="text1"/>
        </w:rPr>
        <w:t>.</w:t>
      </w:r>
    </w:p>
    <w:p w14:paraId="5A917A49" w14:textId="7F5E9F36" w:rsidR="00E75882" w:rsidRPr="001958F9" w:rsidRDefault="00E75882" w:rsidP="0080792B">
      <w:pPr>
        <w:shd w:val="clear" w:color="auto" w:fill="FFFFFF" w:themeFill="background1"/>
        <w:rPr>
          <w:color w:val="000000" w:themeColor="text1"/>
        </w:rPr>
      </w:pPr>
      <w:r>
        <w:rPr>
          <w:noProof/>
          <w:color w:val="000000" w:themeColor="text1"/>
        </w:rPr>
        <w:t>Stepa</w:t>
      </w:r>
      <w:r w:rsidR="009D5F70">
        <w:rPr>
          <w:noProof/>
          <w:color w:val="000000" w:themeColor="text1"/>
        </w:rPr>
        <w:t>n et al.</w:t>
      </w:r>
      <w:r>
        <w:rPr>
          <w:noProof/>
          <w:color w:val="000000" w:themeColor="text1"/>
        </w:rPr>
        <w:t xml:space="preserve"> [28]</w:t>
      </w:r>
      <w:r w:rsidRPr="001958F9">
        <w:rPr>
          <w:color w:val="000000" w:themeColor="text1"/>
        </w:rPr>
        <w:t xml:space="preserve"> and </w:t>
      </w:r>
      <w:r>
        <w:rPr>
          <w:noProof/>
          <w:color w:val="000000" w:themeColor="text1"/>
        </w:rPr>
        <w:t>Frampton</w:t>
      </w:r>
      <w:r w:rsidR="00100EF6">
        <w:rPr>
          <w:noProof/>
          <w:color w:val="000000" w:themeColor="text1"/>
        </w:rPr>
        <w:t xml:space="preserve"> et al.</w:t>
      </w:r>
      <w:r w:rsidR="00684B2F">
        <w:rPr>
          <w:noProof/>
          <w:color w:val="000000" w:themeColor="text1"/>
        </w:rPr>
        <w:t xml:space="preserve"> </w:t>
      </w:r>
      <w:r>
        <w:rPr>
          <w:noProof/>
          <w:color w:val="000000" w:themeColor="text1"/>
        </w:rPr>
        <w:t>[58]</w:t>
      </w:r>
      <w:r w:rsidRPr="001958F9">
        <w:rPr>
          <w:color w:val="000000" w:themeColor="text1"/>
        </w:rPr>
        <w:t xml:space="preserve"> demonstrated implementing the sFlt-1/</w:t>
      </w:r>
      <w:proofErr w:type="spellStart"/>
      <w:r w:rsidRPr="001958F9">
        <w:rPr>
          <w:color w:val="000000" w:themeColor="text1"/>
        </w:rPr>
        <w:t>PlGF</w:t>
      </w:r>
      <w:proofErr w:type="spellEnd"/>
      <w:r w:rsidRPr="001958F9">
        <w:rPr>
          <w:color w:val="000000" w:themeColor="text1"/>
        </w:rPr>
        <w:t xml:space="preserve"> ratio for predicting and diagnosing PE in a singleton pregnancy and its implications for clinical practice. According to these studies:</w:t>
      </w:r>
    </w:p>
    <w:p w14:paraId="1A0D1E76" w14:textId="77777777" w:rsidR="00E75882" w:rsidRPr="001958F9" w:rsidRDefault="00E75882" w:rsidP="0080792B">
      <w:pPr>
        <w:pStyle w:val="ListParagraph"/>
        <w:numPr>
          <w:ilvl w:val="0"/>
          <w:numId w:val="3"/>
        </w:numPr>
        <w:shd w:val="clear" w:color="auto" w:fill="FFFFFF" w:themeFill="background1"/>
        <w:rPr>
          <w:color w:val="000000" w:themeColor="text1"/>
        </w:rPr>
      </w:pPr>
      <w:r>
        <w:rPr>
          <w:color w:val="000000" w:themeColor="text1"/>
        </w:rPr>
        <w:t xml:space="preserve">The </w:t>
      </w:r>
      <w:r w:rsidRPr="001958F9">
        <w:rPr>
          <w:color w:val="000000" w:themeColor="text1"/>
        </w:rPr>
        <w:t>sFlt-1/</w:t>
      </w:r>
      <w:proofErr w:type="spellStart"/>
      <w:r w:rsidRPr="001958F9">
        <w:rPr>
          <w:color w:val="000000" w:themeColor="text1"/>
        </w:rPr>
        <w:t>PlGF</w:t>
      </w:r>
      <w:proofErr w:type="spellEnd"/>
      <w:r w:rsidRPr="001958F9">
        <w:rPr>
          <w:color w:val="000000" w:themeColor="text1"/>
        </w:rPr>
        <w:t xml:space="preserve"> ratio &lt;38 rules out PE, irrespective of gestational age, for at least one week. Further management is according to the clinician’s discretion. sFlt-1/</w:t>
      </w:r>
      <w:proofErr w:type="spellStart"/>
      <w:r w:rsidRPr="001958F9">
        <w:rPr>
          <w:color w:val="000000" w:themeColor="text1"/>
        </w:rPr>
        <w:t>PlGF</w:t>
      </w:r>
      <w:proofErr w:type="spellEnd"/>
      <w:r w:rsidRPr="001958F9">
        <w:rPr>
          <w:color w:val="000000" w:themeColor="text1"/>
        </w:rPr>
        <w:t xml:space="preserve"> ratio retesting should cease upon cessation of clinical features of PE.</w:t>
      </w:r>
    </w:p>
    <w:p w14:paraId="0456437A" w14:textId="77777777" w:rsidR="00E75882" w:rsidRPr="001958F9" w:rsidRDefault="00E75882" w:rsidP="0080792B">
      <w:pPr>
        <w:pStyle w:val="ListParagraph"/>
        <w:numPr>
          <w:ilvl w:val="0"/>
          <w:numId w:val="3"/>
        </w:numPr>
        <w:shd w:val="clear" w:color="auto" w:fill="FFFFFF" w:themeFill="background1"/>
        <w:rPr>
          <w:color w:val="000000" w:themeColor="text1"/>
        </w:rPr>
      </w:pPr>
      <w:r>
        <w:rPr>
          <w:color w:val="000000" w:themeColor="text1"/>
        </w:rPr>
        <w:t>The</w:t>
      </w:r>
      <w:r w:rsidRPr="001958F9">
        <w:rPr>
          <w:color w:val="000000" w:themeColor="text1"/>
        </w:rPr>
        <w:t xml:space="preserve"> sFlt-1/</w:t>
      </w:r>
      <w:proofErr w:type="spellStart"/>
      <w:r w:rsidRPr="001958F9">
        <w:rPr>
          <w:color w:val="000000" w:themeColor="text1"/>
        </w:rPr>
        <w:t>PlGF</w:t>
      </w:r>
      <w:proofErr w:type="spellEnd"/>
      <w:r w:rsidRPr="001958F9">
        <w:rPr>
          <w:color w:val="000000" w:themeColor="text1"/>
        </w:rPr>
        <w:t xml:space="preserve"> ratio of 38–85 (early-onset PE) or 38–110 (late-onset PE) provides extra information on which women are at moderate risk or at high risk of developing PE within four weeks. Early-onset: Consider a follow-up sFlt-1/</w:t>
      </w:r>
      <w:proofErr w:type="spellStart"/>
      <w:r w:rsidRPr="001958F9">
        <w:rPr>
          <w:color w:val="000000" w:themeColor="text1"/>
        </w:rPr>
        <w:t>PlGF</w:t>
      </w:r>
      <w:proofErr w:type="spellEnd"/>
      <w:r w:rsidRPr="001958F9">
        <w:rPr>
          <w:color w:val="000000" w:themeColor="text1"/>
        </w:rPr>
        <w:t xml:space="preserve"> test in 1–2 weeks, according to the individual clinical situation. Late-onset: An intermediate result of the sFlt-1/</w:t>
      </w:r>
      <w:proofErr w:type="spellStart"/>
      <w:r w:rsidRPr="001958F9">
        <w:rPr>
          <w:color w:val="000000" w:themeColor="text1"/>
        </w:rPr>
        <w:t>PlGF</w:t>
      </w:r>
      <w:proofErr w:type="spellEnd"/>
      <w:r w:rsidRPr="001958F9">
        <w:rPr>
          <w:color w:val="000000" w:themeColor="text1"/>
        </w:rPr>
        <w:t xml:space="preserve"> ratio suggests impending placental dysfunction. Health practitioners should consider lowering the threshold for induction of delivery </w:t>
      </w:r>
      <w:r>
        <w:rPr>
          <w:noProof/>
          <w:color w:val="000000" w:themeColor="text1"/>
        </w:rPr>
        <w:t>[28]</w:t>
      </w:r>
      <w:r w:rsidRPr="001958F9">
        <w:rPr>
          <w:color w:val="000000" w:themeColor="text1"/>
        </w:rPr>
        <w:t>.</w:t>
      </w:r>
    </w:p>
    <w:p w14:paraId="7C67520B" w14:textId="3C83E79D" w:rsidR="00E75882" w:rsidRPr="001958F9" w:rsidRDefault="00E75882" w:rsidP="0080792B">
      <w:pPr>
        <w:pStyle w:val="ListParagraph"/>
        <w:numPr>
          <w:ilvl w:val="0"/>
          <w:numId w:val="3"/>
        </w:numPr>
        <w:shd w:val="clear" w:color="auto" w:fill="FFFFFF" w:themeFill="background1"/>
        <w:rPr>
          <w:color w:val="000000" w:themeColor="text1"/>
        </w:rPr>
      </w:pPr>
      <w:r w:rsidRPr="001958F9">
        <w:rPr>
          <w:color w:val="000000" w:themeColor="text1"/>
        </w:rPr>
        <w:t>Women with an elevated sFlt-1/</w:t>
      </w:r>
      <w:proofErr w:type="spellStart"/>
      <w:r w:rsidRPr="001958F9">
        <w:rPr>
          <w:color w:val="000000" w:themeColor="text1"/>
        </w:rPr>
        <w:t>PlGF</w:t>
      </w:r>
      <w:proofErr w:type="spellEnd"/>
      <w:r w:rsidRPr="001958F9">
        <w:rPr>
          <w:color w:val="000000" w:themeColor="text1"/>
        </w:rPr>
        <w:t xml:space="preserve"> ratio &gt;85 (early-onset PE) or &gt;110 (late-onset PE) are highly likely to have PE or some form of placenta-related disorder. They should be managed according to local clinical /guidelines.</w:t>
      </w:r>
    </w:p>
    <w:p w14:paraId="22C36F14" w14:textId="152213B9" w:rsidR="00E75882" w:rsidRDefault="00E75882" w:rsidP="00AF3AAC">
      <w:pPr>
        <w:pStyle w:val="ListParagraph"/>
        <w:numPr>
          <w:ilvl w:val="0"/>
          <w:numId w:val="3"/>
        </w:numPr>
        <w:shd w:val="clear" w:color="auto" w:fill="FFFFFF" w:themeFill="background1"/>
        <w:rPr>
          <w:color w:val="000000" w:themeColor="text1"/>
        </w:rPr>
      </w:pPr>
      <w:r w:rsidRPr="001958F9">
        <w:rPr>
          <w:color w:val="000000" w:themeColor="text1"/>
        </w:rPr>
        <w:t>Severely elevated sFlt-1/</w:t>
      </w:r>
      <w:proofErr w:type="spellStart"/>
      <w:r w:rsidRPr="001958F9">
        <w:rPr>
          <w:color w:val="000000" w:themeColor="text1"/>
        </w:rPr>
        <w:t>PlGF</w:t>
      </w:r>
      <w:proofErr w:type="spellEnd"/>
      <w:r w:rsidRPr="001958F9">
        <w:rPr>
          <w:color w:val="000000" w:themeColor="text1"/>
        </w:rPr>
        <w:t xml:space="preserve"> ratios (&gt;655 at &lt;34+0 weeks; &gt;201 at ≥34+0</w:t>
      </w:r>
      <w:r w:rsidR="00F74A00">
        <w:rPr>
          <w:color w:val="000000" w:themeColor="text1"/>
        </w:rPr>
        <w:t xml:space="preserve"> </w:t>
      </w:r>
      <w:r w:rsidRPr="001958F9">
        <w:rPr>
          <w:color w:val="000000" w:themeColor="text1"/>
        </w:rPr>
        <w:t xml:space="preserve">weeks) are associated closely with the need to deliver within 48 hours. Close surveillance and (if &lt;34 weeks) prompt initiation of antenatal corticoids to accelerate </w:t>
      </w:r>
      <w:proofErr w:type="spellStart"/>
      <w:r>
        <w:rPr>
          <w:color w:val="000000" w:themeColor="text1"/>
        </w:rPr>
        <w:t>fetal</w:t>
      </w:r>
      <w:proofErr w:type="spellEnd"/>
      <w:r w:rsidRPr="001958F9">
        <w:rPr>
          <w:color w:val="000000" w:themeColor="text1"/>
        </w:rPr>
        <w:t xml:space="preserve"> lung maturation are mandatory </w:t>
      </w:r>
      <w:r>
        <w:rPr>
          <w:noProof/>
          <w:color w:val="000000" w:themeColor="text1"/>
        </w:rPr>
        <w:t>[28]</w:t>
      </w:r>
      <w:r w:rsidRPr="001958F9">
        <w:rPr>
          <w:color w:val="000000" w:themeColor="text1"/>
        </w:rPr>
        <w:t>.</w:t>
      </w:r>
    </w:p>
    <w:p w14:paraId="60BB4C5D" w14:textId="77777777" w:rsidR="006B47FB" w:rsidRDefault="00E75882" w:rsidP="006B47FB">
      <w:pPr>
        <w:shd w:val="clear" w:color="auto" w:fill="FFFFFF" w:themeFill="background1"/>
        <w:ind w:left="360"/>
        <w:rPr>
          <w:color w:val="000000" w:themeColor="text1"/>
        </w:rPr>
      </w:pPr>
      <w:r w:rsidRPr="001958F9">
        <w:rPr>
          <w:color w:val="000000" w:themeColor="text1"/>
        </w:rPr>
        <w:t xml:space="preserve">The application stated that individualised management would depend on other clinical and ultrasound risk factors: if no new symptoms occur, most clinics will review </w:t>
      </w:r>
      <w:r w:rsidR="00056999">
        <w:rPr>
          <w:color w:val="000000" w:themeColor="text1"/>
        </w:rPr>
        <w:t xml:space="preserve">the patient </w:t>
      </w:r>
      <w:r w:rsidRPr="001958F9">
        <w:rPr>
          <w:color w:val="000000" w:themeColor="text1"/>
        </w:rPr>
        <w:t>in 2–4 weeks (p19 of the application).</w:t>
      </w:r>
    </w:p>
    <w:p w14:paraId="33B34B2C" w14:textId="77777777" w:rsidR="006B47FB" w:rsidRDefault="002E4BE7" w:rsidP="006B47FB">
      <w:pPr>
        <w:shd w:val="clear" w:color="auto" w:fill="FFFFFF" w:themeFill="background1"/>
        <w:ind w:left="360"/>
        <w:rPr>
          <w:color w:val="000000" w:themeColor="text1"/>
        </w:rPr>
      </w:pPr>
      <w:r>
        <w:rPr>
          <w:color w:val="000000" w:themeColor="text1"/>
        </w:rPr>
        <w:t>Based on the proposed algorithm</w:t>
      </w:r>
      <w:r w:rsidR="00991500">
        <w:rPr>
          <w:color w:val="000000" w:themeColor="text1"/>
        </w:rPr>
        <w:t>,</w:t>
      </w:r>
      <w:r>
        <w:rPr>
          <w:color w:val="000000" w:themeColor="text1"/>
        </w:rPr>
        <w:t xml:space="preserve"> the ratio test might replace or </w:t>
      </w:r>
      <w:r w:rsidR="003B3494">
        <w:rPr>
          <w:color w:val="000000" w:themeColor="text1"/>
        </w:rPr>
        <w:t xml:space="preserve">be </w:t>
      </w:r>
      <w:r>
        <w:rPr>
          <w:color w:val="000000" w:themeColor="text1"/>
        </w:rPr>
        <w:t xml:space="preserve">used in addition to standard diagnostic tests based on </w:t>
      </w:r>
      <w:r w:rsidR="00B82E33">
        <w:rPr>
          <w:color w:val="000000" w:themeColor="text1"/>
        </w:rPr>
        <w:t xml:space="preserve">the </w:t>
      </w:r>
      <w:r>
        <w:rPr>
          <w:color w:val="000000" w:themeColor="text1"/>
        </w:rPr>
        <w:t>patient</w:t>
      </w:r>
      <w:r w:rsidR="00B82E33">
        <w:rPr>
          <w:color w:val="000000" w:themeColor="text1"/>
        </w:rPr>
        <w:t>’s</w:t>
      </w:r>
      <w:r>
        <w:rPr>
          <w:color w:val="000000" w:themeColor="text1"/>
        </w:rPr>
        <w:t xml:space="preserve"> clinical condition (ratio and other test results, maternal or </w:t>
      </w:r>
      <w:proofErr w:type="spellStart"/>
      <w:r>
        <w:rPr>
          <w:color w:val="000000" w:themeColor="text1"/>
        </w:rPr>
        <w:t>fetal</w:t>
      </w:r>
      <w:proofErr w:type="spellEnd"/>
      <w:r>
        <w:rPr>
          <w:color w:val="000000" w:themeColor="text1"/>
        </w:rPr>
        <w:t xml:space="preserve"> condition). </w:t>
      </w:r>
      <w:r w:rsidR="00991500">
        <w:rPr>
          <w:color w:val="000000" w:themeColor="text1"/>
        </w:rPr>
        <w:t>T</w:t>
      </w:r>
      <w:r>
        <w:rPr>
          <w:color w:val="000000" w:themeColor="text1"/>
        </w:rPr>
        <w:t>he applicant should address the following questions in the PICO assessment report.</w:t>
      </w:r>
    </w:p>
    <w:p w14:paraId="68940EC7" w14:textId="77777777" w:rsidR="006B47FB" w:rsidRDefault="00CF3AE3" w:rsidP="006B47FB">
      <w:pPr>
        <w:shd w:val="clear" w:color="auto" w:fill="FFFFFF" w:themeFill="background1"/>
        <w:ind w:left="360"/>
        <w:rPr>
          <w:i/>
          <w:iCs/>
          <w:color w:val="000000" w:themeColor="text1"/>
        </w:rPr>
      </w:pPr>
      <w:r w:rsidRPr="005A7250">
        <w:rPr>
          <w:i/>
          <w:iCs/>
          <w:color w:val="000000" w:themeColor="text1"/>
        </w:rPr>
        <w:t>The applicant may clarify what percentage of ratio test</w:t>
      </w:r>
      <w:r w:rsidR="00835526" w:rsidRPr="005A7250">
        <w:rPr>
          <w:i/>
          <w:iCs/>
          <w:color w:val="000000" w:themeColor="text1"/>
        </w:rPr>
        <w:t>s performed</w:t>
      </w:r>
      <w:r w:rsidRPr="005A7250">
        <w:rPr>
          <w:i/>
          <w:iCs/>
          <w:color w:val="000000" w:themeColor="text1"/>
        </w:rPr>
        <w:t xml:space="preserve"> will be an addition to the standard tests and what percentage of ratio test</w:t>
      </w:r>
      <w:r w:rsidR="00835526" w:rsidRPr="005A7250">
        <w:rPr>
          <w:i/>
          <w:iCs/>
          <w:color w:val="000000" w:themeColor="text1"/>
        </w:rPr>
        <w:t>s performed</w:t>
      </w:r>
      <w:r w:rsidRPr="005A7250">
        <w:rPr>
          <w:i/>
          <w:iCs/>
          <w:color w:val="000000" w:themeColor="text1"/>
        </w:rPr>
        <w:t xml:space="preserve"> will replace existing standard tests for </w:t>
      </w:r>
      <w:r w:rsidR="00991500" w:rsidRPr="005A7250">
        <w:rPr>
          <w:i/>
          <w:iCs/>
          <w:color w:val="000000" w:themeColor="text1"/>
        </w:rPr>
        <w:t>the</w:t>
      </w:r>
      <w:r w:rsidRPr="005A7250">
        <w:rPr>
          <w:i/>
          <w:iCs/>
          <w:color w:val="000000" w:themeColor="text1"/>
        </w:rPr>
        <w:t xml:space="preserve"> diagnosis</w:t>
      </w:r>
      <w:r w:rsidR="00991500" w:rsidRPr="005A7250">
        <w:rPr>
          <w:i/>
          <w:iCs/>
          <w:color w:val="000000" w:themeColor="text1"/>
        </w:rPr>
        <w:t xml:space="preserve"> of PE</w:t>
      </w:r>
      <w:r w:rsidR="00EE3322" w:rsidRPr="005A7250">
        <w:rPr>
          <w:i/>
          <w:iCs/>
          <w:color w:val="000000" w:themeColor="text1"/>
        </w:rPr>
        <w:t>?</w:t>
      </w:r>
    </w:p>
    <w:p w14:paraId="4BA8BE94" w14:textId="3F3B7F6B" w:rsidR="000F0772" w:rsidRPr="005A7250" w:rsidRDefault="000F0772" w:rsidP="006B47FB">
      <w:pPr>
        <w:shd w:val="clear" w:color="auto" w:fill="FFFFFF" w:themeFill="background1"/>
        <w:ind w:left="360"/>
        <w:rPr>
          <w:i/>
          <w:iCs/>
          <w:color w:val="000000" w:themeColor="text1"/>
          <w:sz w:val="20"/>
          <w:szCs w:val="20"/>
        </w:rPr>
      </w:pPr>
      <w:r w:rsidRPr="005A7250">
        <w:rPr>
          <w:i/>
          <w:iCs/>
          <w:color w:val="000000" w:themeColor="text1"/>
        </w:rPr>
        <w:t xml:space="preserve">The applicant may also clarify, in practice, would the ratio test be performed </w:t>
      </w:r>
      <w:r w:rsidR="00EB736B" w:rsidRPr="005A7250">
        <w:rPr>
          <w:i/>
          <w:iCs/>
          <w:color w:val="000000" w:themeColor="text1"/>
        </w:rPr>
        <w:t>simultaneously</w:t>
      </w:r>
      <w:r w:rsidRPr="005A7250">
        <w:rPr>
          <w:i/>
          <w:iCs/>
          <w:color w:val="000000" w:themeColor="text1"/>
        </w:rPr>
        <w:t xml:space="preserve"> as the </w:t>
      </w:r>
      <w:r w:rsidR="00EE3322" w:rsidRPr="005A7250">
        <w:rPr>
          <w:i/>
          <w:iCs/>
          <w:color w:val="000000" w:themeColor="text1"/>
        </w:rPr>
        <w:t xml:space="preserve">standard </w:t>
      </w:r>
      <w:r w:rsidRPr="005A7250">
        <w:rPr>
          <w:i/>
          <w:iCs/>
          <w:color w:val="000000" w:themeColor="text1"/>
        </w:rPr>
        <w:t xml:space="preserve">diagnostic tests in all patients, given the time-sensitive nature of making a </w:t>
      </w:r>
      <w:r w:rsidR="00991500" w:rsidRPr="005A7250">
        <w:rPr>
          <w:i/>
          <w:iCs/>
          <w:color w:val="000000" w:themeColor="text1"/>
        </w:rPr>
        <w:t xml:space="preserve">definitive </w:t>
      </w:r>
      <w:r w:rsidRPr="005A7250">
        <w:rPr>
          <w:i/>
          <w:iCs/>
          <w:color w:val="000000" w:themeColor="text1"/>
        </w:rPr>
        <w:t>diagnosis?</w:t>
      </w:r>
    </w:p>
    <w:p w14:paraId="2A0A178F" w14:textId="77777777" w:rsidR="00E75882" w:rsidRPr="001958F9" w:rsidRDefault="00E75882" w:rsidP="0080792B">
      <w:pPr>
        <w:keepNext/>
        <w:shd w:val="clear" w:color="auto" w:fill="FFFFFF" w:themeFill="background1"/>
        <w:tabs>
          <w:tab w:val="left" w:pos="1394"/>
        </w:tabs>
        <w:rPr>
          <w:color w:val="000000" w:themeColor="text1"/>
          <w:sz w:val="20"/>
          <w:szCs w:val="20"/>
          <w:lang w:val="en-US"/>
        </w:rPr>
      </w:pPr>
      <w:bookmarkStart w:id="41" w:name="_Hlk97024143"/>
      <w:r w:rsidRPr="001958F9">
        <w:rPr>
          <w:rFonts w:asciiTheme="minorHAnsi" w:hAnsiTheme="minorHAnsi" w:cstheme="minorHAnsi"/>
          <w:i/>
          <w:iCs/>
          <w:color w:val="000000" w:themeColor="text1"/>
          <w:u w:val="single"/>
        </w:rPr>
        <w:lastRenderedPageBreak/>
        <w:t>Comparison of the current and proposed</w:t>
      </w:r>
      <w:r w:rsidRPr="001958F9">
        <w:rPr>
          <w:rFonts w:asciiTheme="minorHAnsi" w:hAnsiTheme="minorHAnsi" w:cstheme="minorHAnsi"/>
          <w:color w:val="000000" w:themeColor="text1"/>
          <w:u w:val="single"/>
        </w:rPr>
        <w:t xml:space="preserve"> </w:t>
      </w:r>
      <w:r w:rsidRPr="001958F9">
        <w:rPr>
          <w:rFonts w:asciiTheme="minorHAnsi" w:hAnsiTheme="minorHAnsi" w:cstheme="minorHAnsi"/>
          <w:i/>
          <w:iCs/>
          <w:color w:val="000000" w:themeColor="text1"/>
          <w:u w:val="single"/>
        </w:rPr>
        <w:t>guidelines/algorithms</w:t>
      </w:r>
    </w:p>
    <w:bookmarkEnd w:id="41"/>
    <w:p w14:paraId="376FFF39" w14:textId="08CD0F44" w:rsidR="00C238CF" w:rsidRDefault="00E75882" w:rsidP="0080792B">
      <w:pPr>
        <w:shd w:val="clear" w:color="auto" w:fill="FFFFFF" w:themeFill="background1"/>
        <w:spacing w:after="0"/>
        <w:rPr>
          <w:color w:val="000000" w:themeColor="text1"/>
        </w:rPr>
      </w:pPr>
      <w:r w:rsidRPr="008272F3">
        <w:rPr>
          <w:rFonts w:asciiTheme="minorHAnsi" w:hAnsiTheme="minorHAnsi" w:cstheme="minorHAnsi"/>
          <w:color w:val="000000" w:themeColor="text1"/>
        </w:rPr>
        <w:t xml:space="preserve">In the </w:t>
      </w:r>
      <w:r>
        <w:rPr>
          <w:rFonts w:asciiTheme="minorHAnsi" w:hAnsiTheme="minorHAnsi" w:cstheme="minorHAnsi"/>
          <w:color w:val="000000" w:themeColor="text1"/>
        </w:rPr>
        <w:t>proposed algorithm</w:t>
      </w:r>
      <w:r w:rsidR="003016DF">
        <w:rPr>
          <w:rFonts w:asciiTheme="minorHAnsi" w:hAnsiTheme="minorHAnsi" w:cstheme="minorHAnsi"/>
          <w:color w:val="000000" w:themeColor="text1"/>
        </w:rPr>
        <w:t xml:space="preserve"> developed during the PICO preparation</w:t>
      </w:r>
      <w:r w:rsidR="009667A9">
        <w:rPr>
          <w:rFonts w:asciiTheme="minorHAnsi" w:hAnsiTheme="minorHAnsi" w:cstheme="minorHAnsi"/>
          <w:color w:val="000000" w:themeColor="text1"/>
        </w:rPr>
        <w:t>,</w:t>
      </w:r>
      <w:r>
        <w:rPr>
          <w:rFonts w:asciiTheme="minorHAnsi" w:hAnsiTheme="minorHAnsi" w:cstheme="minorHAnsi"/>
          <w:color w:val="000000" w:themeColor="text1"/>
        </w:rPr>
        <w:t xml:space="preserve"> the </w:t>
      </w:r>
      <w:r w:rsidRPr="001958F9">
        <w:rPr>
          <w:color w:val="000000" w:themeColor="text1"/>
        </w:rPr>
        <w:t>sFlt-1/</w:t>
      </w:r>
      <w:proofErr w:type="spellStart"/>
      <w:r w:rsidRPr="001958F9">
        <w:rPr>
          <w:color w:val="000000" w:themeColor="text1"/>
        </w:rPr>
        <w:t>PlGF</w:t>
      </w:r>
      <w:proofErr w:type="spellEnd"/>
      <w:r w:rsidRPr="001958F9">
        <w:rPr>
          <w:color w:val="000000" w:themeColor="text1"/>
        </w:rPr>
        <w:t xml:space="preserve"> ratio test</w:t>
      </w:r>
      <w:r>
        <w:rPr>
          <w:color w:val="000000" w:themeColor="text1"/>
        </w:rPr>
        <w:t xml:space="preserve"> has been added as a </w:t>
      </w:r>
      <w:r w:rsidR="00056999">
        <w:rPr>
          <w:color w:val="000000" w:themeColor="text1"/>
        </w:rPr>
        <w:t>triage</w:t>
      </w:r>
      <w:r w:rsidR="007400E5">
        <w:rPr>
          <w:color w:val="000000" w:themeColor="text1"/>
        </w:rPr>
        <w:t xml:space="preserve"> </w:t>
      </w:r>
      <w:r>
        <w:rPr>
          <w:color w:val="000000" w:themeColor="text1"/>
        </w:rPr>
        <w:t xml:space="preserve">test for women with signs and symptoms </w:t>
      </w:r>
      <w:r w:rsidR="00FC4B93">
        <w:rPr>
          <w:color w:val="000000" w:themeColor="text1"/>
        </w:rPr>
        <w:t xml:space="preserve">suggestive </w:t>
      </w:r>
      <w:r>
        <w:rPr>
          <w:color w:val="000000" w:themeColor="text1"/>
        </w:rPr>
        <w:t>of PE</w:t>
      </w:r>
      <w:r w:rsidR="00056999">
        <w:rPr>
          <w:color w:val="000000" w:themeColor="text1"/>
        </w:rPr>
        <w:t>, along with asymptomatic women at high risk of PE</w:t>
      </w:r>
      <w:r>
        <w:rPr>
          <w:color w:val="000000" w:themeColor="text1"/>
        </w:rPr>
        <w:t xml:space="preserve"> and as a prognostic test for women diagnosed with PE. The </w:t>
      </w:r>
      <w:r w:rsidRPr="006778C1">
        <w:rPr>
          <w:color w:val="000000" w:themeColor="text1"/>
        </w:rPr>
        <w:t xml:space="preserve">ratio test can provide a result indicative of impending </w:t>
      </w:r>
      <w:r>
        <w:rPr>
          <w:color w:val="000000" w:themeColor="text1"/>
        </w:rPr>
        <w:t>PE</w:t>
      </w:r>
      <w:r w:rsidRPr="006778C1">
        <w:rPr>
          <w:color w:val="000000" w:themeColor="text1"/>
        </w:rPr>
        <w:t xml:space="preserve"> while other key markers of </w:t>
      </w:r>
      <w:r w:rsidR="00C2524B">
        <w:rPr>
          <w:color w:val="000000" w:themeColor="text1"/>
        </w:rPr>
        <w:t>PE</w:t>
      </w:r>
      <w:r w:rsidRPr="006778C1">
        <w:rPr>
          <w:color w:val="000000" w:themeColor="text1"/>
        </w:rPr>
        <w:t xml:space="preserve"> remain within their normal ranges</w:t>
      </w:r>
      <w:r>
        <w:rPr>
          <w:color w:val="000000" w:themeColor="text1"/>
        </w:rPr>
        <w:t xml:space="preserve">. </w:t>
      </w:r>
      <w:r w:rsidR="003016DF">
        <w:rPr>
          <w:color w:val="000000" w:themeColor="text1"/>
        </w:rPr>
        <w:t>T</w:t>
      </w:r>
      <w:r w:rsidRPr="00510C57">
        <w:rPr>
          <w:color w:val="000000" w:themeColor="text1"/>
        </w:rPr>
        <w:t>he rate of change of the sFlt-1/</w:t>
      </w:r>
      <w:proofErr w:type="spellStart"/>
      <w:r w:rsidRPr="00510C57">
        <w:rPr>
          <w:color w:val="000000" w:themeColor="text1"/>
        </w:rPr>
        <w:t>PlGF</w:t>
      </w:r>
      <w:proofErr w:type="spellEnd"/>
      <w:r w:rsidRPr="00510C57">
        <w:rPr>
          <w:color w:val="000000" w:themeColor="text1"/>
        </w:rPr>
        <w:t xml:space="preserve"> ratio in consecutive tests indicates the severity of </w:t>
      </w:r>
      <w:r w:rsidR="00C2524B">
        <w:rPr>
          <w:color w:val="000000" w:themeColor="text1"/>
        </w:rPr>
        <w:t>PE</w:t>
      </w:r>
      <w:r w:rsidRPr="00510C57">
        <w:rPr>
          <w:color w:val="000000" w:themeColor="text1"/>
        </w:rPr>
        <w:t xml:space="preserve"> and the rate of progression of the disease, including earlier onset disease and placental dysfunction</w:t>
      </w:r>
      <w:r>
        <w:rPr>
          <w:color w:val="000000" w:themeColor="text1"/>
        </w:rPr>
        <w:t xml:space="preserve"> (p19 of the application)</w:t>
      </w:r>
      <w:r w:rsidRPr="00510C57">
        <w:rPr>
          <w:color w:val="000000" w:themeColor="text1"/>
        </w:rPr>
        <w:t>.</w:t>
      </w:r>
      <w:r>
        <w:rPr>
          <w:color w:val="000000" w:themeColor="text1"/>
        </w:rPr>
        <w:t xml:space="preserve"> </w:t>
      </w:r>
      <w:r w:rsidRPr="00510C57">
        <w:rPr>
          <w:color w:val="000000" w:themeColor="text1"/>
        </w:rPr>
        <w:t>The ratio</w:t>
      </w:r>
      <w:r w:rsidR="00835526">
        <w:rPr>
          <w:color w:val="000000" w:themeColor="text1"/>
        </w:rPr>
        <w:t xml:space="preserve"> test</w:t>
      </w:r>
      <w:r w:rsidRPr="00510C57">
        <w:rPr>
          <w:color w:val="000000" w:themeColor="text1"/>
        </w:rPr>
        <w:t xml:space="preserve"> is particularly useful between 24</w:t>
      </w:r>
      <w:r w:rsidR="00F01AEE">
        <w:rPr>
          <w:color w:val="000000" w:themeColor="text1"/>
        </w:rPr>
        <w:t xml:space="preserve">+0 to </w:t>
      </w:r>
      <w:r w:rsidRPr="00510C57">
        <w:rPr>
          <w:color w:val="000000" w:themeColor="text1"/>
        </w:rPr>
        <w:t>34</w:t>
      </w:r>
      <w:r w:rsidR="00F01AEE">
        <w:rPr>
          <w:color w:val="000000" w:themeColor="text1"/>
        </w:rPr>
        <w:t>+6</w:t>
      </w:r>
      <w:r w:rsidRPr="00510C57">
        <w:rPr>
          <w:color w:val="000000" w:themeColor="text1"/>
        </w:rPr>
        <w:t xml:space="preserve"> weeks of gestation, facilitating the very complex, </w:t>
      </w:r>
      <w:proofErr w:type="gramStart"/>
      <w:r w:rsidRPr="00510C57">
        <w:rPr>
          <w:color w:val="000000" w:themeColor="text1"/>
        </w:rPr>
        <w:t>individually-based</w:t>
      </w:r>
      <w:proofErr w:type="gramEnd"/>
      <w:r w:rsidRPr="00510C57">
        <w:rPr>
          <w:color w:val="000000" w:themeColor="text1"/>
        </w:rPr>
        <w:t xml:space="preserve"> and integrated clinical decision-making process regarding </w:t>
      </w:r>
      <w:r w:rsidR="000D116E">
        <w:rPr>
          <w:color w:val="000000" w:themeColor="text1"/>
        </w:rPr>
        <w:t xml:space="preserve">the </w:t>
      </w:r>
      <w:r w:rsidRPr="00510C57">
        <w:rPr>
          <w:color w:val="000000" w:themeColor="text1"/>
        </w:rPr>
        <w:t>optimal timing of a likely preterm delivery</w:t>
      </w:r>
      <w:r>
        <w:rPr>
          <w:color w:val="000000" w:themeColor="text1"/>
        </w:rPr>
        <w:t xml:space="preserve"> (p21 of the application)</w:t>
      </w:r>
      <w:r w:rsidRPr="00510C57">
        <w:rPr>
          <w:color w:val="000000" w:themeColor="text1"/>
        </w:rPr>
        <w:t>.</w:t>
      </w:r>
      <w:r>
        <w:rPr>
          <w:color w:val="000000" w:themeColor="text1"/>
        </w:rPr>
        <w:t xml:space="preserve"> The increased level of outpatient monitoring in the proposed algorithm includes </w:t>
      </w:r>
      <w:r w:rsidR="00905B19">
        <w:rPr>
          <w:color w:val="000000" w:themeColor="text1"/>
        </w:rPr>
        <w:t>repeating</w:t>
      </w:r>
      <w:r w:rsidRPr="0007492B">
        <w:rPr>
          <w:color w:val="000000" w:themeColor="text1"/>
        </w:rPr>
        <w:t xml:space="preserve"> sFlt-1/</w:t>
      </w:r>
      <w:proofErr w:type="spellStart"/>
      <w:r w:rsidRPr="0007492B">
        <w:rPr>
          <w:color w:val="000000" w:themeColor="text1"/>
        </w:rPr>
        <w:t>PlGF</w:t>
      </w:r>
      <w:proofErr w:type="spellEnd"/>
      <w:r w:rsidRPr="0007492B">
        <w:rPr>
          <w:color w:val="000000" w:themeColor="text1"/>
        </w:rPr>
        <w:t xml:space="preserve"> </w:t>
      </w:r>
      <w:r w:rsidR="00F05E9E">
        <w:rPr>
          <w:color w:val="000000" w:themeColor="text1"/>
        </w:rPr>
        <w:t xml:space="preserve">ratio </w:t>
      </w:r>
      <w:r w:rsidRPr="0007492B">
        <w:rPr>
          <w:color w:val="000000" w:themeColor="text1"/>
        </w:rPr>
        <w:t>testing later in the pregnancy</w:t>
      </w:r>
      <w:r>
        <w:rPr>
          <w:color w:val="000000" w:themeColor="text1"/>
        </w:rPr>
        <w:t>.</w:t>
      </w:r>
    </w:p>
    <w:p w14:paraId="3DCF5070" w14:textId="1307C788" w:rsidR="00C238CF" w:rsidRDefault="00C238CF">
      <w:pPr>
        <w:spacing w:after="160" w:line="259" w:lineRule="auto"/>
        <w:rPr>
          <w:color w:val="000000" w:themeColor="text1"/>
        </w:rPr>
      </w:pPr>
    </w:p>
    <w:p w14:paraId="5E9EEE12" w14:textId="77777777" w:rsidR="00E75882" w:rsidRPr="001958F9" w:rsidRDefault="00E75882" w:rsidP="0080792B">
      <w:pPr>
        <w:pStyle w:val="Heading2"/>
        <w:shd w:val="clear" w:color="auto" w:fill="FFFFFF" w:themeFill="background1"/>
        <w:rPr>
          <w:rFonts w:ascii="Calibri" w:eastAsia="Calibri" w:hAnsi="Calibri" w:cs="Times New Roman"/>
          <w:color w:val="000000" w:themeColor="text1"/>
          <w:sz w:val="22"/>
          <w:szCs w:val="22"/>
        </w:rPr>
      </w:pPr>
      <w:bookmarkStart w:id="42" w:name="_Hlk97024171"/>
      <w:r w:rsidRPr="001958F9">
        <w:rPr>
          <w:rFonts w:ascii="Franklin Gothic Medium" w:eastAsia="Calibri" w:hAnsi="Franklin Gothic Medium" w:cs="Times New Roman"/>
          <w:color w:val="000000" w:themeColor="text1"/>
          <w:sz w:val="32"/>
          <w:szCs w:val="32"/>
        </w:rPr>
        <w:t>Proposed economic evaluation</w:t>
      </w:r>
    </w:p>
    <w:p w14:paraId="12200381" w14:textId="60BF0BEA" w:rsidR="00E75882" w:rsidRDefault="00E75882" w:rsidP="0080792B">
      <w:pPr>
        <w:shd w:val="clear" w:color="auto" w:fill="FFFFFF" w:themeFill="background1"/>
        <w:rPr>
          <w:color w:val="000000" w:themeColor="text1"/>
        </w:rPr>
      </w:pPr>
      <w:r w:rsidRPr="001958F9">
        <w:rPr>
          <w:color w:val="000000" w:themeColor="text1"/>
        </w:rPr>
        <w:t>The application has proposed a superior clinical claim (p25 of the application</w:t>
      </w:r>
      <w:r w:rsidRPr="00B4653B">
        <w:rPr>
          <w:i/>
          <w:iCs/>
          <w:color w:val="000000" w:themeColor="text1"/>
        </w:rPr>
        <w:t xml:space="preserve">). </w:t>
      </w:r>
      <w:r w:rsidR="00113004" w:rsidRPr="002934CC">
        <w:rPr>
          <w:color w:val="000000" w:themeColor="text1"/>
        </w:rPr>
        <w:t xml:space="preserve">During the development of this PICO, the applicant clarified that the claim is for superior effectiveness and </w:t>
      </w:r>
      <w:r w:rsidR="00FC4B93" w:rsidRPr="002934CC">
        <w:rPr>
          <w:color w:val="000000" w:themeColor="text1"/>
        </w:rPr>
        <w:t xml:space="preserve">superior </w:t>
      </w:r>
      <w:r w:rsidR="00113004" w:rsidRPr="002934CC">
        <w:rPr>
          <w:color w:val="000000" w:themeColor="text1"/>
        </w:rPr>
        <w:t>safety</w:t>
      </w:r>
      <w:r w:rsidR="00113004" w:rsidRPr="00FF1F56">
        <w:rPr>
          <w:color w:val="000000" w:themeColor="text1"/>
        </w:rPr>
        <w:t>.</w:t>
      </w:r>
      <w:r w:rsidR="00113004">
        <w:rPr>
          <w:color w:val="000000" w:themeColor="text1"/>
        </w:rPr>
        <w:t xml:space="preserve"> </w:t>
      </w:r>
      <w:r w:rsidRPr="001958F9">
        <w:rPr>
          <w:color w:val="000000" w:themeColor="text1"/>
        </w:rPr>
        <w:t>Based on th</w:t>
      </w:r>
      <w:r w:rsidR="000F7526">
        <w:rPr>
          <w:color w:val="000000" w:themeColor="text1"/>
        </w:rPr>
        <w:t xml:space="preserve">ese </w:t>
      </w:r>
      <w:r w:rsidRPr="001958F9">
        <w:rPr>
          <w:color w:val="000000" w:themeColor="text1"/>
        </w:rPr>
        <w:t>claim</w:t>
      </w:r>
      <w:r w:rsidR="000F7526">
        <w:rPr>
          <w:color w:val="000000" w:themeColor="text1"/>
        </w:rPr>
        <w:t>s</w:t>
      </w:r>
      <w:r w:rsidRPr="001958F9">
        <w:rPr>
          <w:color w:val="000000" w:themeColor="text1"/>
        </w:rPr>
        <w:t>, the appropriate type of economic evaluation would be cost-effectiveness or cost-utility</w:t>
      </w:r>
      <w:r w:rsidR="00835526">
        <w:rPr>
          <w:color w:val="000000" w:themeColor="text1"/>
        </w:rPr>
        <w:t xml:space="preserve"> analysis</w:t>
      </w:r>
      <w:r w:rsidRPr="001958F9">
        <w:rPr>
          <w:color w:val="000000" w:themeColor="text1"/>
        </w:rPr>
        <w:t xml:space="preserve"> </w:t>
      </w:r>
      <w:r w:rsidRPr="00833F58">
        <w:rPr>
          <w:color w:val="000000" w:themeColor="text1"/>
        </w:rPr>
        <w:t>(</w:t>
      </w:r>
      <w:hyperlink w:anchor="Title_Table5" w:history="1">
        <w:r w:rsidRPr="008272F3">
          <w:rPr>
            <w:rStyle w:val="Hyperlink"/>
            <w:color w:val="000000" w:themeColor="text1"/>
            <w:u w:val="none"/>
          </w:rPr>
          <w:t xml:space="preserve">Table </w:t>
        </w:r>
        <w:r w:rsidR="00B94589" w:rsidRPr="008272F3">
          <w:rPr>
            <w:rStyle w:val="Hyperlink"/>
            <w:color w:val="000000" w:themeColor="text1"/>
            <w:u w:val="none"/>
          </w:rPr>
          <w:t>5</w:t>
        </w:r>
      </w:hyperlink>
      <w:r w:rsidRPr="00833F58">
        <w:rPr>
          <w:color w:val="000000" w:themeColor="text1"/>
        </w:rPr>
        <w:t>).</w:t>
      </w:r>
    </w:p>
    <w:p w14:paraId="6614C289" w14:textId="5A67F7FC" w:rsidR="00E75882" w:rsidRPr="001958F9" w:rsidRDefault="00E75882" w:rsidP="005A7250">
      <w:pPr>
        <w:pStyle w:val="TableHeading"/>
      </w:pPr>
      <w:bookmarkStart w:id="43" w:name="Title_Table5"/>
      <w:r w:rsidRPr="001958F9">
        <w:t xml:space="preserve">Table </w:t>
      </w:r>
      <w:r w:rsidR="00B94589">
        <w:t>5</w:t>
      </w:r>
      <w:r>
        <w:t>:</w:t>
      </w:r>
      <w:r w:rsidRPr="001958F9">
        <w:t xml:space="preserve"> Classification of comparative effectiveness and safety of the proposed intervention, compared with its comparator, and guide to the suitable type of economic evaluation</w:t>
      </w:r>
    </w:p>
    <w:tbl>
      <w:tblPr>
        <w:tblW w:w="4872" w:type="pct"/>
        <w:tblInd w:w="115" w:type="dxa"/>
        <w:tblLayout w:type="fixed"/>
        <w:tblCellMar>
          <w:left w:w="115" w:type="dxa"/>
          <w:right w:w="115" w:type="dxa"/>
        </w:tblCellMar>
        <w:tblLook w:val="01E0" w:firstRow="1" w:lastRow="1" w:firstColumn="1" w:lastColumn="1" w:noHBand="0" w:noVBand="0"/>
        <w:tblCaption w:val="Table 19 Classification of the comparative effectiveness and safety of the proposed therapeutic medical service compared with its main comparator and guide to the suitable type of economic evaluation"/>
        <w:tblDescription w:val="The table presents a matrix of comparative safety (inferior, unccertain, non-inferior, superior) against comparative effectiveness (inferior, uncertain, non-inmferior, superior)."/>
      </w:tblPr>
      <w:tblGrid>
        <w:gridCol w:w="1893"/>
        <w:gridCol w:w="1794"/>
        <w:gridCol w:w="2095"/>
        <w:gridCol w:w="1648"/>
        <w:gridCol w:w="1355"/>
      </w:tblGrid>
      <w:tr w:rsidR="00E75882" w:rsidRPr="001958F9" w14:paraId="56B77035" w14:textId="77777777" w:rsidTr="00EF551E">
        <w:trPr>
          <w:tblHeader/>
        </w:trPr>
        <w:tc>
          <w:tcPr>
            <w:tcW w:w="1893" w:type="dxa"/>
            <w:vMerge w:val="restart"/>
            <w:tcBorders>
              <w:top w:val="single" w:sz="4" w:space="0" w:color="auto"/>
              <w:left w:val="single" w:sz="4" w:space="0" w:color="auto"/>
              <w:right w:val="single" w:sz="4" w:space="0" w:color="auto"/>
            </w:tcBorders>
            <w:shd w:val="clear" w:color="auto" w:fill="auto"/>
          </w:tcPr>
          <w:bookmarkEnd w:id="43"/>
          <w:p w14:paraId="4577E56D" w14:textId="77777777" w:rsidR="00E75882" w:rsidRPr="001958F9" w:rsidRDefault="00E75882" w:rsidP="00EF551E">
            <w:pPr>
              <w:pStyle w:val="TableHeading"/>
              <w:shd w:val="clear" w:color="auto" w:fill="FFFFFF" w:themeFill="background1"/>
              <w:rPr>
                <w:color w:val="000000" w:themeColor="text1"/>
              </w:rPr>
            </w:pPr>
            <w:r w:rsidRPr="001958F9">
              <w:rPr>
                <w:color w:val="000000" w:themeColor="text1"/>
              </w:rPr>
              <w:t>Comparative safety</w:t>
            </w:r>
          </w:p>
        </w:tc>
        <w:tc>
          <w:tcPr>
            <w:tcW w:w="5537" w:type="dxa"/>
            <w:gridSpan w:val="3"/>
            <w:tcBorders>
              <w:top w:val="single" w:sz="4" w:space="0" w:color="auto"/>
              <w:left w:val="single" w:sz="4" w:space="0" w:color="auto"/>
              <w:bottom w:val="single" w:sz="4" w:space="0" w:color="auto"/>
            </w:tcBorders>
            <w:shd w:val="clear" w:color="auto" w:fill="auto"/>
          </w:tcPr>
          <w:p w14:paraId="23A95067" w14:textId="77777777" w:rsidR="00E75882" w:rsidRPr="001958F9" w:rsidRDefault="00E75882" w:rsidP="00EF551E">
            <w:pPr>
              <w:pStyle w:val="TableHeading"/>
              <w:shd w:val="clear" w:color="auto" w:fill="FFFFFF" w:themeFill="background1"/>
              <w:jc w:val="center"/>
              <w:rPr>
                <w:color w:val="000000" w:themeColor="text1"/>
              </w:rPr>
            </w:pPr>
            <w:r w:rsidRPr="001958F9">
              <w:rPr>
                <w:color w:val="000000" w:themeColor="text1"/>
              </w:rPr>
              <w:t>Comparative effectiveness</w:t>
            </w:r>
          </w:p>
        </w:tc>
        <w:tc>
          <w:tcPr>
            <w:tcW w:w="1355" w:type="dxa"/>
            <w:tcBorders>
              <w:top w:val="single" w:sz="4" w:space="0" w:color="auto"/>
              <w:left w:val="nil"/>
              <w:bottom w:val="single" w:sz="4" w:space="0" w:color="auto"/>
              <w:right w:val="single" w:sz="4" w:space="0" w:color="auto"/>
            </w:tcBorders>
            <w:shd w:val="clear" w:color="auto" w:fill="auto"/>
          </w:tcPr>
          <w:p w14:paraId="317E5609" w14:textId="77777777" w:rsidR="00E75882" w:rsidRPr="001958F9" w:rsidRDefault="00E75882" w:rsidP="00EF551E">
            <w:pPr>
              <w:pStyle w:val="TableHeading"/>
              <w:shd w:val="clear" w:color="auto" w:fill="FFFFFF" w:themeFill="background1"/>
              <w:rPr>
                <w:color w:val="000000" w:themeColor="text1"/>
              </w:rPr>
            </w:pPr>
          </w:p>
        </w:tc>
      </w:tr>
      <w:tr w:rsidR="00E75882" w:rsidRPr="001958F9" w14:paraId="7E36D21F" w14:textId="77777777" w:rsidTr="00EF551E">
        <w:trPr>
          <w:tblHeader/>
        </w:trPr>
        <w:tc>
          <w:tcPr>
            <w:tcW w:w="1893" w:type="dxa"/>
            <w:vMerge/>
            <w:tcBorders>
              <w:left w:val="single" w:sz="4" w:space="0" w:color="auto"/>
              <w:bottom w:val="single" w:sz="4" w:space="0" w:color="auto"/>
              <w:right w:val="single" w:sz="4" w:space="0" w:color="auto"/>
            </w:tcBorders>
            <w:shd w:val="clear" w:color="auto" w:fill="auto"/>
          </w:tcPr>
          <w:p w14:paraId="56589265" w14:textId="77777777" w:rsidR="00E75882" w:rsidRPr="001958F9" w:rsidRDefault="00E75882" w:rsidP="00EF551E">
            <w:pPr>
              <w:pStyle w:val="TableHeading"/>
              <w:shd w:val="clear" w:color="auto" w:fill="FFFFFF" w:themeFill="background1"/>
              <w:rPr>
                <w:color w:val="000000" w:themeColor="text1"/>
              </w:rPr>
            </w:pPr>
          </w:p>
        </w:tc>
        <w:tc>
          <w:tcPr>
            <w:tcW w:w="1794" w:type="dxa"/>
            <w:tcBorders>
              <w:left w:val="single" w:sz="4" w:space="0" w:color="auto"/>
              <w:bottom w:val="single" w:sz="4" w:space="0" w:color="auto"/>
              <w:right w:val="single" w:sz="4" w:space="0" w:color="auto"/>
            </w:tcBorders>
            <w:shd w:val="clear" w:color="auto" w:fill="auto"/>
          </w:tcPr>
          <w:p w14:paraId="1EF5112C" w14:textId="77777777" w:rsidR="00E75882" w:rsidRPr="001958F9" w:rsidRDefault="00E75882" w:rsidP="00EF551E">
            <w:pPr>
              <w:pStyle w:val="TableHeading"/>
              <w:shd w:val="clear" w:color="auto" w:fill="FFFFFF" w:themeFill="background1"/>
              <w:rPr>
                <w:color w:val="000000" w:themeColor="text1"/>
              </w:rPr>
            </w:pPr>
            <w:r w:rsidRPr="001958F9">
              <w:rPr>
                <w:color w:val="000000" w:themeColor="text1"/>
              </w:rPr>
              <w:t>Inferior</w:t>
            </w:r>
          </w:p>
        </w:tc>
        <w:tc>
          <w:tcPr>
            <w:tcW w:w="2095" w:type="dxa"/>
            <w:tcBorders>
              <w:top w:val="single" w:sz="4" w:space="0" w:color="auto"/>
              <w:left w:val="single" w:sz="4" w:space="0" w:color="auto"/>
              <w:bottom w:val="single" w:sz="4" w:space="0" w:color="auto"/>
              <w:right w:val="single" w:sz="4" w:space="0" w:color="auto"/>
            </w:tcBorders>
            <w:shd w:val="clear" w:color="auto" w:fill="auto"/>
          </w:tcPr>
          <w:p w14:paraId="3AA08EB7" w14:textId="77777777" w:rsidR="00E75882" w:rsidRPr="001958F9" w:rsidRDefault="00E75882" w:rsidP="00EF551E">
            <w:pPr>
              <w:pStyle w:val="TableHeading"/>
              <w:shd w:val="clear" w:color="auto" w:fill="FFFFFF" w:themeFill="background1"/>
              <w:rPr>
                <w:color w:val="000000" w:themeColor="text1"/>
              </w:rPr>
            </w:pPr>
            <w:proofErr w:type="spellStart"/>
            <w:r w:rsidRPr="001958F9">
              <w:rPr>
                <w:color w:val="000000" w:themeColor="text1"/>
              </w:rPr>
              <w:t>Uncertain</w:t>
            </w:r>
            <w:r w:rsidRPr="001958F9">
              <w:rPr>
                <w:color w:val="000000" w:themeColor="text1"/>
                <w:vertAlign w:val="superscript"/>
              </w:rPr>
              <w:t>a</w:t>
            </w:r>
            <w:proofErr w:type="spellEnd"/>
          </w:p>
        </w:tc>
        <w:tc>
          <w:tcPr>
            <w:tcW w:w="1648" w:type="dxa"/>
            <w:tcBorders>
              <w:top w:val="single" w:sz="4" w:space="0" w:color="auto"/>
              <w:left w:val="single" w:sz="4" w:space="0" w:color="auto"/>
              <w:bottom w:val="single" w:sz="4" w:space="0" w:color="auto"/>
              <w:right w:val="single" w:sz="4" w:space="0" w:color="auto"/>
            </w:tcBorders>
            <w:shd w:val="clear" w:color="auto" w:fill="auto"/>
          </w:tcPr>
          <w:p w14:paraId="3C8FD221" w14:textId="77777777" w:rsidR="00E75882" w:rsidRPr="001958F9" w:rsidRDefault="00E75882" w:rsidP="00EF551E">
            <w:pPr>
              <w:pStyle w:val="TableHeading"/>
              <w:shd w:val="clear" w:color="auto" w:fill="FFFFFF" w:themeFill="background1"/>
              <w:rPr>
                <w:color w:val="000000" w:themeColor="text1"/>
              </w:rPr>
            </w:pPr>
            <w:proofErr w:type="spellStart"/>
            <w:r w:rsidRPr="001958F9">
              <w:rPr>
                <w:color w:val="000000" w:themeColor="text1"/>
              </w:rPr>
              <w:t>Noninferior</w:t>
            </w:r>
            <w:r w:rsidRPr="001958F9">
              <w:rPr>
                <w:color w:val="000000" w:themeColor="text1"/>
                <w:vertAlign w:val="superscript"/>
              </w:rPr>
              <w:t>b</w:t>
            </w:r>
            <w:proofErr w:type="spellEnd"/>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747D190C" w14:textId="77777777" w:rsidR="00E75882" w:rsidRPr="001958F9" w:rsidRDefault="00E75882" w:rsidP="00EF551E">
            <w:pPr>
              <w:pStyle w:val="TableHeading"/>
              <w:shd w:val="clear" w:color="auto" w:fill="FFFFFF" w:themeFill="background1"/>
              <w:rPr>
                <w:color w:val="000000" w:themeColor="text1"/>
              </w:rPr>
            </w:pPr>
            <w:r w:rsidRPr="001958F9">
              <w:rPr>
                <w:color w:val="000000" w:themeColor="text1"/>
              </w:rPr>
              <w:t>Superior</w:t>
            </w:r>
          </w:p>
        </w:tc>
      </w:tr>
      <w:tr w:rsidR="00E75882" w:rsidRPr="001958F9" w14:paraId="4A9889C4" w14:textId="77777777" w:rsidTr="00EF551E">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14:paraId="1827FDB4" w14:textId="77777777" w:rsidR="00E75882" w:rsidRPr="001958F9" w:rsidRDefault="00E75882" w:rsidP="00EF551E">
            <w:pPr>
              <w:pStyle w:val="Tabletext"/>
              <w:keepNext/>
              <w:shd w:val="clear" w:color="auto" w:fill="FFFFFF" w:themeFill="background1"/>
              <w:rPr>
                <w:color w:val="000000" w:themeColor="text1"/>
              </w:rPr>
            </w:pPr>
            <w:r w:rsidRPr="001958F9">
              <w:rPr>
                <w:color w:val="000000" w:themeColor="text1"/>
              </w:rPr>
              <w:t>Inferior</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14:paraId="513CA168" w14:textId="77777777" w:rsidR="00E75882" w:rsidRPr="001958F9" w:rsidRDefault="00E75882" w:rsidP="00EF551E">
            <w:pPr>
              <w:pStyle w:val="Tabletext"/>
              <w:keepNext/>
              <w:shd w:val="clear" w:color="auto" w:fill="FFFFFF" w:themeFill="background1"/>
              <w:rPr>
                <w:color w:val="000000" w:themeColor="text1"/>
              </w:rPr>
            </w:pPr>
            <w:r w:rsidRPr="001958F9">
              <w:rPr>
                <w:color w:val="000000" w:themeColor="text1"/>
              </w:rPr>
              <w:t>Health forgone: need other supportive factors.</w:t>
            </w: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1E08E368" w14:textId="77777777" w:rsidR="00E75882" w:rsidRPr="001958F9" w:rsidRDefault="00E75882" w:rsidP="00EF551E">
            <w:pPr>
              <w:pStyle w:val="Tabletext"/>
              <w:keepNext/>
              <w:shd w:val="clear" w:color="auto" w:fill="FFFFFF" w:themeFill="background1"/>
              <w:rPr>
                <w:color w:val="000000" w:themeColor="text1"/>
              </w:rPr>
            </w:pPr>
            <w:r w:rsidRPr="001958F9">
              <w:rPr>
                <w:color w:val="000000" w:themeColor="text1"/>
              </w:rPr>
              <w:t>Health forgone possible: need other supportive factors</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5608D157" w14:textId="77777777" w:rsidR="00E75882" w:rsidRPr="001958F9" w:rsidRDefault="00E75882" w:rsidP="00EF551E">
            <w:pPr>
              <w:pStyle w:val="Tabletext"/>
              <w:keepNext/>
              <w:shd w:val="clear" w:color="auto" w:fill="FFFFFF" w:themeFill="background1"/>
              <w:rPr>
                <w:color w:val="000000" w:themeColor="text1"/>
              </w:rPr>
            </w:pPr>
            <w:r w:rsidRPr="001958F9">
              <w:rPr>
                <w:color w:val="000000" w:themeColor="text1"/>
              </w:rPr>
              <w:t>Health forgone: need other supportive factors</w:t>
            </w:r>
          </w:p>
        </w:tc>
        <w:tc>
          <w:tcPr>
            <w:tcW w:w="1355" w:type="dxa"/>
            <w:tcBorders>
              <w:top w:val="single" w:sz="4" w:space="0" w:color="auto"/>
              <w:left w:val="single" w:sz="4" w:space="0" w:color="auto"/>
              <w:bottom w:val="single" w:sz="4" w:space="0" w:color="auto"/>
              <w:right w:val="single" w:sz="4" w:space="0" w:color="auto"/>
            </w:tcBorders>
            <w:shd w:val="clear" w:color="auto" w:fill="auto"/>
            <w:vAlign w:val="center"/>
          </w:tcPr>
          <w:p w14:paraId="2B53D82A" w14:textId="77777777" w:rsidR="00E75882" w:rsidRPr="001958F9" w:rsidRDefault="00E75882" w:rsidP="00EF551E">
            <w:pPr>
              <w:pStyle w:val="Tabletext"/>
              <w:keepNext/>
              <w:shd w:val="clear" w:color="auto" w:fill="FFFFFF" w:themeFill="background1"/>
              <w:rPr>
                <w:color w:val="000000" w:themeColor="text1"/>
              </w:rPr>
            </w:pPr>
            <w:r w:rsidRPr="001958F9">
              <w:rPr>
                <w:color w:val="000000" w:themeColor="text1"/>
              </w:rPr>
              <w:t>? Likely CUA</w:t>
            </w:r>
          </w:p>
        </w:tc>
      </w:tr>
      <w:tr w:rsidR="00E75882" w:rsidRPr="001958F9" w14:paraId="737207D6" w14:textId="77777777" w:rsidTr="00BD1D7B">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14:paraId="58E9FB1E" w14:textId="77777777" w:rsidR="00E75882" w:rsidRPr="001958F9" w:rsidRDefault="00E75882" w:rsidP="00EF551E">
            <w:pPr>
              <w:pStyle w:val="Tabletext"/>
              <w:keepNext/>
              <w:shd w:val="clear" w:color="auto" w:fill="FFFFFF" w:themeFill="background1"/>
              <w:rPr>
                <w:color w:val="000000" w:themeColor="text1"/>
              </w:rPr>
            </w:pPr>
            <w:proofErr w:type="spellStart"/>
            <w:r w:rsidRPr="001958F9">
              <w:rPr>
                <w:color w:val="000000" w:themeColor="text1"/>
              </w:rPr>
              <w:t>Uncertain</w:t>
            </w:r>
            <w:r w:rsidRPr="001958F9">
              <w:rPr>
                <w:color w:val="000000" w:themeColor="text1"/>
                <w:vertAlign w:val="superscript"/>
              </w:rPr>
              <w:t>a</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14:paraId="2353A2B7" w14:textId="77777777" w:rsidR="00E75882" w:rsidRPr="001958F9" w:rsidRDefault="00E75882" w:rsidP="00EF551E">
            <w:pPr>
              <w:pStyle w:val="Tabletext"/>
              <w:keepNext/>
              <w:shd w:val="clear" w:color="auto" w:fill="FFFFFF" w:themeFill="background1"/>
              <w:rPr>
                <w:color w:val="000000" w:themeColor="text1"/>
              </w:rPr>
            </w:pPr>
            <w:r w:rsidRPr="001958F9">
              <w:rPr>
                <w:color w:val="000000" w:themeColor="text1"/>
              </w:rPr>
              <w:t>Health forgone possible: need other supportive factors.</w:t>
            </w: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5A9600C6" w14:textId="77777777" w:rsidR="00E75882" w:rsidRPr="001958F9" w:rsidRDefault="00E75882" w:rsidP="00EF551E">
            <w:pPr>
              <w:pStyle w:val="Tabletext"/>
              <w:keepNext/>
              <w:shd w:val="clear" w:color="auto" w:fill="FFFFFF" w:themeFill="background1"/>
              <w:rPr>
                <w:color w:val="000000" w:themeColor="text1"/>
              </w:rPr>
            </w:pPr>
            <w:r w:rsidRPr="001958F9">
              <w:rPr>
                <w:color w:val="000000" w:themeColor="text1"/>
              </w:rPr>
              <w: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47A891E8" w14:textId="77777777" w:rsidR="00E75882" w:rsidRPr="001958F9" w:rsidRDefault="00E75882" w:rsidP="00EF551E">
            <w:pPr>
              <w:pStyle w:val="Tabletext"/>
              <w:keepNext/>
              <w:shd w:val="clear" w:color="auto" w:fill="FFFFFF" w:themeFill="background1"/>
              <w:rPr>
                <w:color w:val="000000" w:themeColor="text1"/>
              </w:rPr>
            </w:pPr>
            <w:r w:rsidRPr="001958F9">
              <w:rPr>
                <w:color w:val="000000" w:themeColor="text1"/>
              </w:rPr>
              <w:t>?</w:t>
            </w:r>
          </w:p>
        </w:tc>
        <w:tc>
          <w:tcPr>
            <w:tcW w:w="1355" w:type="dxa"/>
            <w:tcBorders>
              <w:top w:val="single" w:sz="4" w:space="0" w:color="auto"/>
              <w:left w:val="single" w:sz="4" w:space="0" w:color="auto"/>
              <w:bottom w:val="single" w:sz="4" w:space="0" w:color="auto"/>
              <w:right w:val="single" w:sz="4" w:space="0" w:color="auto"/>
            </w:tcBorders>
            <w:shd w:val="clear" w:color="auto" w:fill="auto"/>
            <w:vAlign w:val="center"/>
          </w:tcPr>
          <w:p w14:paraId="28F2534A" w14:textId="77777777" w:rsidR="00E75882" w:rsidRPr="001958F9" w:rsidRDefault="00E75882" w:rsidP="00EF551E">
            <w:pPr>
              <w:pStyle w:val="Tabletext"/>
              <w:keepNext/>
              <w:shd w:val="clear" w:color="auto" w:fill="FFFFFF" w:themeFill="background1"/>
              <w:rPr>
                <w:color w:val="000000" w:themeColor="text1"/>
              </w:rPr>
            </w:pPr>
            <w:r w:rsidRPr="001958F9">
              <w:rPr>
                <w:color w:val="000000" w:themeColor="text1"/>
              </w:rPr>
              <w:t>? Likely CEA/CUA</w:t>
            </w:r>
          </w:p>
        </w:tc>
      </w:tr>
      <w:tr w:rsidR="00E75882" w:rsidRPr="001958F9" w14:paraId="07B98783" w14:textId="77777777" w:rsidTr="00B4653B">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14:paraId="78A3814B" w14:textId="77777777" w:rsidR="00E75882" w:rsidRPr="001958F9" w:rsidRDefault="00E75882" w:rsidP="00EF551E">
            <w:pPr>
              <w:pStyle w:val="Tabletext"/>
              <w:keepNext/>
              <w:shd w:val="clear" w:color="auto" w:fill="FFFFFF" w:themeFill="background1"/>
              <w:rPr>
                <w:color w:val="000000" w:themeColor="text1"/>
              </w:rPr>
            </w:pPr>
            <w:proofErr w:type="spellStart"/>
            <w:r w:rsidRPr="001958F9">
              <w:rPr>
                <w:color w:val="000000" w:themeColor="text1"/>
              </w:rPr>
              <w:t>Noninferior</w:t>
            </w:r>
            <w:r w:rsidRPr="001958F9">
              <w:rPr>
                <w:color w:val="000000" w:themeColor="text1"/>
                <w:vertAlign w:val="superscript"/>
              </w:rPr>
              <w:t>b</w:t>
            </w:r>
            <w:proofErr w:type="spellEnd"/>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14:paraId="33A41175" w14:textId="77777777" w:rsidR="00E75882" w:rsidRPr="001958F9" w:rsidRDefault="00E75882" w:rsidP="00EF551E">
            <w:pPr>
              <w:pStyle w:val="Tabletext"/>
              <w:keepNext/>
              <w:shd w:val="clear" w:color="auto" w:fill="FFFFFF" w:themeFill="background1"/>
              <w:rPr>
                <w:color w:val="000000" w:themeColor="text1"/>
              </w:rPr>
            </w:pPr>
            <w:r w:rsidRPr="001958F9">
              <w:rPr>
                <w:color w:val="000000" w:themeColor="text1"/>
              </w:rPr>
              <w:t>Health forgone: need other supportive factors.</w:t>
            </w: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383E8F0B" w14:textId="77777777" w:rsidR="00E75882" w:rsidRPr="001958F9" w:rsidRDefault="00E75882" w:rsidP="00EF551E">
            <w:pPr>
              <w:pStyle w:val="Tabletext"/>
              <w:keepNext/>
              <w:shd w:val="clear" w:color="auto" w:fill="FFFFFF" w:themeFill="background1"/>
              <w:rPr>
                <w:color w:val="000000" w:themeColor="text1"/>
              </w:rPr>
            </w:pPr>
            <w:r w:rsidRPr="001958F9">
              <w:rPr>
                <w:color w:val="000000" w:themeColor="text1"/>
              </w:rPr>
              <w: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53027528" w14:textId="77777777" w:rsidR="00E75882" w:rsidRPr="001958F9" w:rsidRDefault="00E75882" w:rsidP="00EF551E">
            <w:pPr>
              <w:pStyle w:val="Tabletext"/>
              <w:keepNext/>
              <w:shd w:val="clear" w:color="auto" w:fill="FFFFFF" w:themeFill="background1"/>
              <w:rPr>
                <w:color w:val="000000" w:themeColor="text1"/>
              </w:rPr>
            </w:pPr>
            <w:r w:rsidRPr="001958F9">
              <w:rPr>
                <w:color w:val="000000" w:themeColor="text1"/>
              </w:rPr>
              <w:t>CMA</w:t>
            </w:r>
          </w:p>
        </w:tc>
        <w:tc>
          <w:tcPr>
            <w:tcW w:w="1355" w:type="dxa"/>
            <w:tcBorders>
              <w:top w:val="single" w:sz="4" w:space="0" w:color="auto"/>
              <w:left w:val="single" w:sz="4" w:space="0" w:color="auto"/>
              <w:bottom w:val="single" w:sz="4" w:space="0" w:color="auto"/>
              <w:right w:val="single" w:sz="4" w:space="0" w:color="auto"/>
            </w:tcBorders>
            <w:shd w:val="clear" w:color="auto" w:fill="auto"/>
            <w:vAlign w:val="center"/>
          </w:tcPr>
          <w:p w14:paraId="20556968" w14:textId="77777777" w:rsidR="00E75882" w:rsidRPr="001958F9" w:rsidRDefault="00E75882" w:rsidP="00EF551E">
            <w:pPr>
              <w:pStyle w:val="Tabletext"/>
              <w:keepNext/>
              <w:shd w:val="clear" w:color="auto" w:fill="FFFFFF" w:themeFill="background1"/>
              <w:rPr>
                <w:color w:val="000000" w:themeColor="text1"/>
              </w:rPr>
            </w:pPr>
            <w:r w:rsidRPr="001958F9">
              <w:rPr>
                <w:color w:val="000000" w:themeColor="text1"/>
              </w:rPr>
              <w:t>CEA/CUA</w:t>
            </w:r>
          </w:p>
        </w:tc>
      </w:tr>
      <w:tr w:rsidR="00E75882" w:rsidRPr="001958F9" w14:paraId="03B80127" w14:textId="77777777" w:rsidTr="00B4653B">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14:paraId="73906010" w14:textId="77777777" w:rsidR="00E75882" w:rsidRPr="001958F9" w:rsidRDefault="00E75882" w:rsidP="00EF551E">
            <w:pPr>
              <w:pStyle w:val="Tabletext"/>
              <w:keepNext/>
              <w:shd w:val="clear" w:color="auto" w:fill="FFFFFF" w:themeFill="background1"/>
              <w:rPr>
                <w:color w:val="000000" w:themeColor="text1"/>
              </w:rPr>
            </w:pPr>
            <w:r w:rsidRPr="001958F9">
              <w:rPr>
                <w:color w:val="000000" w:themeColor="text1"/>
              </w:rPr>
              <w:t>Superior</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tcPr>
          <w:p w14:paraId="04C23DDA" w14:textId="77777777" w:rsidR="00E75882" w:rsidRPr="001958F9" w:rsidRDefault="00E75882" w:rsidP="00EF551E">
            <w:pPr>
              <w:pStyle w:val="Tabletext"/>
              <w:keepNext/>
              <w:shd w:val="clear" w:color="auto" w:fill="FFFFFF" w:themeFill="background1"/>
              <w:rPr>
                <w:color w:val="000000" w:themeColor="text1"/>
              </w:rPr>
            </w:pPr>
            <w:r w:rsidRPr="001958F9">
              <w:rPr>
                <w:color w:val="000000" w:themeColor="text1"/>
              </w:rPr>
              <w:t>? Likely CUA</w:t>
            </w: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2ACB875F" w14:textId="77777777" w:rsidR="00E75882" w:rsidRPr="001958F9" w:rsidRDefault="00E75882" w:rsidP="00EF551E">
            <w:pPr>
              <w:pStyle w:val="Tabletext"/>
              <w:keepNext/>
              <w:shd w:val="clear" w:color="auto" w:fill="FFFFFF" w:themeFill="background1"/>
              <w:rPr>
                <w:color w:val="000000" w:themeColor="text1"/>
              </w:rPr>
            </w:pPr>
            <w:r w:rsidRPr="001958F9">
              <w:rPr>
                <w:color w:val="000000" w:themeColor="text1"/>
              </w:rPr>
              <w:t>? Likely CEA/CUA</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5D1523AC" w14:textId="77777777" w:rsidR="00E75882" w:rsidRPr="001958F9" w:rsidRDefault="00E75882" w:rsidP="00EF551E">
            <w:pPr>
              <w:pStyle w:val="Tabletext"/>
              <w:keepNext/>
              <w:shd w:val="clear" w:color="auto" w:fill="FFFFFF" w:themeFill="background1"/>
              <w:rPr>
                <w:color w:val="000000" w:themeColor="text1"/>
              </w:rPr>
            </w:pPr>
            <w:r w:rsidRPr="001958F9">
              <w:rPr>
                <w:color w:val="000000" w:themeColor="text1"/>
              </w:rPr>
              <w:t>CEA/CUA</w:t>
            </w:r>
          </w:p>
        </w:tc>
        <w:tc>
          <w:tcPr>
            <w:tcW w:w="1355"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F06675D" w14:textId="77777777" w:rsidR="00E75882" w:rsidRPr="001958F9" w:rsidRDefault="00E75882" w:rsidP="00EF551E">
            <w:pPr>
              <w:pStyle w:val="Tabletext"/>
              <w:keepNext/>
              <w:shd w:val="clear" w:color="auto" w:fill="FFFFFF" w:themeFill="background1"/>
              <w:rPr>
                <w:color w:val="000000" w:themeColor="text1"/>
              </w:rPr>
            </w:pPr>
            <w:r w:rsidRPr="00206BB9">
              <w:rPr>
                <w:color w:val="000000" w:themeColor="text1"/>
              </w:rPr>
              <w:t>CEA/CUA</w:t>
            </w:r>
          </w:p>
        </w:tc>
      </w:tr>
    </w:tbl>
    <w:p w14:paraId="4510E8A5" w14:textId="77777777" w:rsidR="00E75882" w:rsidRPr="001958F9" w:rsidRDefault="00E75882" w:rsidP="00EF551E">
      <w:pPr>
        <w:pStyle w:val="Tablenotes"/>
        <w:keepNext/>
        <w:shd w:val="clear" w:color="auto" w:fill="FFFFFF" w:themeFill="background1"/>
        <w:spacing w:after="0"/>
        <w:rPr>
          <w:color w:val="000000" w:themeColor="text1"/>
          <w:szCs w:val="18"/>
        </w:rPr>
      </w:pPr>
      <w:r w:rsidRPr="001958F9">
        <w:rPr>
          <w:color w:val="000000" w:themeColor="text1"/>
          <w:szCs w:val="18"/>
        </w:rPr>
        <w:t>CEA=cost-effectiveness analysis; CMA=cost-minimisation analysis; CUA=cost-utility analysis.</w:t>
      </w:r>
    </w:p>
    <w:p w14:paraId="34B9D39D" w14:textId="77777777" w:rsidR="00E75882" w:rsidRPr="001958F9" w:rsidRDefault="00E75882" w:rsidP="00EF551E">
      <w:pPr>
        <w:pStyle w:val="Tablenotes"/>
        <w:keepNext/>
        <w:shd w:val="clear" w:color="auto" w:fill="FFFFFF" w:themeFill="background1"/>
        <w:spacing w:after="0"/>
        <w:rPr>
          <w:b/>
          <w:color w:val="000000" w:themeColor="text1"/>
          <w:szCs w:val="18"/>
        </w:rPr>
      </w:pPr>
      <w:r w:rsidRPr="001958F9">
        <w:rPr>
          <w:color w:val="000000" w:themeColor="text1"/>
          <w:szCs w:val="18"/>
        </w:rPr>
        <w:t xml:space="preserve">? = reflect uncertainties and any identified health trade-offs in the economic evaluation, as a minimum in a cost-consequences analysis </w:t>
      </w:r>
    </w:p>
    <w:p w14:paraId="57F8076C" w14:textId="77777777" w:rsidR="00E75882" w:rsidRPr="001958F9" w:rsidRDefault="00E75882" w:rsidP="00EF551E">
      <w:pPr>
        <w:pStyle w:val="Tablenotes"/>
        <w:keepNext/>
        <w:shd w:val="clear" w:color="auto" w:fill="FFFFFF" w:themeFill="background1"/>
        <w:spacing w:after="0"/>
        <w:rPr>
          <w:b/>
          <w:color w:val="000000" w:themeColor="text1"/>
          <w:szCs w:val="18"/>
        </w:rPr>
      </w:pPr>
      <w:r w:rsidRPr="001958F9">
        <w:rPr>
          <w:color w:val="000000" w:themeColor="text1"/>
          <w:szCs w:val="18"/>
          <w:vertAlign w:val="superscript"/>
        </w:rPr>
        <w:t>an</w:t>
      </w:r>
      <w:r w:rsidRPr="001958F9">
        <w:rPr>
          <w:color w:val="000000" w:themeColor="text1"/>
          <w:szCs w:val="18"/>
        </w:rPr>
        <w:t> ‘Uncertainty’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w:t>
      </w:r>
    </w:p>
    <w:p w14:paraId="6141AED2" w14:textId="77777777" w:rsidR="00E75882" w:rsidRPr="001958F9" w:rsidRDefault="00E75882" w:rsidP="00EF551E">
      <w:pPr>
        <w:pStyle w:val="Tablenotes"/>
        <w:shd w:val="clear" w:color="auto" w:fill="FFFFFF" w:themeFill="background1"/>
        <w:spacing w:after="0"/>
        <w:rPr>
          <w:color w:val="000000" w:themeColor="text1"/>
          <w:szCs w:val="18"/>
        </w:rPr>
      </w:pPr>
      <w:r w:rsidRPr="001958F9">
        <w:rPr>
          <w:color w:val="000000" w:themeColor="text1"/>
          <w:szCs w:val="18"/>
          <w:vertAlign w:val="superscript"/>
        </w:rPr>
        <w:t>b</w:t>
      </w:r>
      <w:r w:rsidRPr="001958F9">
        <w:rPr>
          <w:color w:val="000000" w:themeColor="text1"/>
          <w:szCs w:val="18"/>
        </w:rPr>
        <w:t> </w:t>
      </w:r>
      <w:proofErr w:type="gramStart"/>
      <w:r w:rsidRPr="001958F9">
        <w:rPr>
          <w:color w:val="000000" w:themeColor="text1"/>
          <w:szCs w:val="18"/>
        </w:rPr>
        <w:t>An</w:t>
      </w:r>
      <w:proofErr w:type="gramEnd"/>
      <w:r w:rsidRPr="001958F9">
        <w:rPr>
          <w:color w:val="000000" w:themeColor="text1"/>
          <w:szCs w:val="18"/>
        </w:rPr>
        <w:t xml:space="preserve"> adequate assessment of ‘noninferiority’ is the preferred basis for demonstrating equivalence.</w:t>
      </w:r>
    </w:p>
    <w:p w14:paraId="2FDCA068" w14:textId="7FE2B766" w:rsidR="00E75882" w:rsidRDefault="00E75882" w:rsidP="00EF551E">
      <w:pPr>
        <w:pStyle w:val="Tablenotes"/>
        <w:shd w:val="clear" w:color="auto" w:fill="FFFFFF" w:themeFill="background1"/>
        <w:spacing w:after="0"/>
        <w:rPr>
          <w:color w:val="000000" w:themeColor="text1"/>
          <w:szCs w:val="18"/>
        </w:rPr>
      </w:pPr>
    </w:p>
    <w:p w14:paraId="1A9FAF1A" w14:textId="2BC52658" w:rsidR="0024402F" w:rsidRPr="00B4653B" w:rsidRDefault="0024402F" w:rsidP="0024402F">
      <w:pPr>
        <w:autoSpaceDE w:val="0"/>
        <w:autoSpaceDN w:val="0"/>
        <w:adjustRightInd w:val="0"/>
        <w:spacing w:line="23" w:lineRule="atLeast"/>
        <w:rPr>
          <w:rFonts w:asciiTheme="minorHAnsi" w:hAnsiTheme="minorHAnsi" w:cstheme="minorHAnsi"/>
          <w:i/>
          <w:iCs/>
        </w:rPr>
      </w:pPr>
      <w:r w:rsidRPr="00B4653B">
        <w:rPr>
          <w:rFonts w:asciiTheme="minorHAnsi" w:hAnsiTheme="minorHAnsi" w:cstheme="minorHAnsi"/>
          <w:i/>
          <w:iCs/>
        </w:rPr>
        <w:t>PASC noted that the applicant claims superior effectiveness and superior safety of the ratio test.</w:t>
      </w:r>
    </w:p>
    <w:p w14:paraId="1C022DB1" w14:textId="77777777" w:rsidR="0024402F" w:rsidRPr="00B4653B" w:rsidRDefault="0024402F" w:rsidP="00EF551E">
      <w:pPr>
        <w:pStyle w:val="Tablenotes"/>
        <w:shd w:val="clear" w:color="auto" w:fill="FFFFFF" w:themeFill="background1"/>
        <w:spacing w:after="0"/>
        <w:rPr>
          <w:i/>
          <w:iCs/>
          <w:color w:val="000000" w:themeColor="text1"/>
          <w:szCs w:val="18"/>
        </w:rPr>
      </w:pPr>
    </w:p>
    <w:p w14:paraId="3E0281C2" w14:textId="77777777" w:rsidR="00E75882" w:rsidRPr="001958F9" w:rsidRDefault="00E75882" w:rsidP="00EF551E">
      <w:pPr>
        <w:pStyle w:val="Heading2"/>
        <w:shd w:val="clear" w:color="auto" w:fill="FFFFFF" w:themeFill="background1"/>
        <w:rPr>
          <w:rFonts w:ascii="Franklin Gothic Medium" w:hAnsi="Franklin Gothic Medium"/>
          <w:color w:val="000000" w:themeColor="text1"/>
          <w:sz w:val="32"/>
          <w:szCs w:val="32"/>
        </w:rPr>
      </w:pPr>
      <w:r w:rsidRPr="001958F9">
        <w:rPr>
          <w:rFonts w:ascii="Franklin Gothic Medium" w:hAnsi="Franklin Gothic Medium"/>
          <w:color w:val="000000" w:themeColor="text1"/>
          <w:sz w:val="32"/>
          <w:szCs w:val="32"/>
        </w:rPr>
        <w:t>Proposal for public funding</w:t>
      </w:r>
    </w:p>
    <w:p w14:paraId="43186C75" w14:textId="455CCB5F" w:rsidR="00E87D78" w:rsidRPr="00B82E33" w:rsidRDefault="00E75882" w:rsidP="0080792B">
      <w:pPr>
        <w:shd w:val="clear" w:color="auto" w:fill="FFFFFF" w:themeFill="background1"/>
        <w:rPr>
          <w:rFonts w:cs="Calibri"/>
          <w:color w:val="000000" w:themeColor="text1"/>
        </w:rPr>
      </w:pPr>
      <w:r w:rsidRPr="00B82E33">
        <w:rPr>
          <w:rFonts w:cs="Calibri"/>
          <w:color w:val="000000" w:themeColor="text1"/>
        </w:rPr>
        <w:t xml:space="preserve">The application indicated that this is a new item proposing a way of clinically delivering a new service to the MBS (in terms of new technology) (p3). This is a pathology service used to determine </w:t>
      </w:r>
      <w:proofErr w:type="spellStart"/>
      <w:r w:rsidRPr="00B82E33">
        <w:rPr>
          <w:rFonts w:cs="Calibri"/>
          <w:color w:val="000000" w:themeColor="text1"/>
        </w:rPr>
        <w:t>PlGF</w:t>
      </w:r>
      <w:proofErr w:type="spellEnd"/>
      <w:r w:rsidRPr="00B82E33">
        <w:rPr>
          <w:rFonts w:cs="Calibri"/>
          <w:color w:val="000000" w:themeColor="text1"/>
        </w:rPr>
        <w:t xml:space="preserve"> and sFlt-1 quantitatively to predict, identify or manage PE in pregnancies from 24</w:t>
      </w:r>
      <w:r w:rsidR="00F01AEE" w:rsidRPr="00B82E33">
        <w:rPr>
          <w:rFonts w:asciiTheme="minorHAnsi" w:hAnsiTheme="minorHAnsi" w:cstheme="minorHAnsi"/>
          <w:color w:val="000000" w:themeColor="text1"/>
        </w:rPr>
        <w:t>+0</w:t>
      </w:r>
      <w:r w:rsidRPr="00B82E33">
        <w:rPr>
          <w:rFonts w:cs="Calibri"/>
          <w:color w:val="000000" w:themeColor="text1"/>
        </w:rPr>
        <w:t xml:space="preserve"> gestational weeks.</w:t>
      </w:r>
    </w:p>
    <w:p w14:paraId="0D38F22C" w14:textId="7A3A913D" w:rsidR="00E75882" w:rsidRPr="00486551" w:rsidRDefault="00E75882" w:rsidP="002C1EA9">
      <w:pPr>
        <w:shd w:val="clear" w:color="auto" w:fill="FFFFFF" w:themeFill="background1"/>
        <w:rPr>
          <w:color w:val="000000" w:themeColor="text1"/>
        </w:rPr>
      </w:pPr>
      <w:r w:rsidRPr="00B82E33">
        <w:rPr>
          <w:color w:val="000000" w:themeColor="text1"/>
        </w:rPr>
        <w:lastRenderedPageBreak/>
        <w:t xml:space="preserve">The proposed MBS item descriptor is for a laboratory-based sFlt-1/PIGF ratio test for women </w:t>
      </w:r>
      <w:r w:rsidR="00B5036A">
        <w:rPr>
          <w:color w:val="000000" w:themeColor="text1"/>
        </w:rPr>
        <w:t xml:space="preserve">who have a </w:t>
      </w:r>
      <w:r w:rsidR="0009061A">
        <w:rPr>
          <w:color w:val="000000" w:themeColor="text1"/>
        </w:rPr>
        <w:t>likelihood of developing</w:t>
      </w:r>
      <w:r w:rsidR="0009061A" w:rsidRPr="00B82E33">
        <w:rPr>
          <w:color w:val="000000" w:themeColor="text1"/>
        </w:rPr>
        <w:t xml:space="preserve"> </w:t>
      </w:r>
      <w:r w:rsidRPr="00B82E33">
        <w:rPr>
          <w:color w:val="000000" w:themeColor="text1"/>
        </w:rPr>
        <w:t>PE (</w:t>
      </w:r>
      <w:hyperlink w:anchor="Title_Table6" w:history="1">
        <w:r w:rsidRPr="00B82E33">
          <w:rPr>
            <w:rStyle w:val="Hyperlink"/>
            <w:color w:val="000000" w:themeColor="text1"/>
            <w:u w:val="none"/>
          </w:rPr>
          <w:t xml:space="preserve">Table </w:t>
        </w:r>
        <w:r w:rsidR="00B94589" w:rsidRPr="00B82E33">
          <w:rPr>
            <w:rStyle w:val="Hyperlink"/>
            <w:color w:val="000000" w:themeColor="text1"/>
            <w:u w:val="none"/>
          </w:rPr>
          <w:t>6</w:t>
        </w:r>
      </w:hyperlink>
      <w:r w:rsidRPr="00B82E33">
        <w:rPr>
          <w:color w:val="000000" w:themeColor="text1"/>
        </w:rPr>
        <w:t xml:space="preserve">). The proposed test does not have an existing MBS item, and the proposed service is not seeking any public funding other than MBS. </w:t>
      </w:r>
      <w:r w:rsidRPr="00486551">
        <w:rPr>
          <w:color w:val="000000" w:themeColor="text1"/>
        </w:rPr>
        <w:t>A fee structure is yet to be provided for the proposed test.</w:t>
      </w:r>
    </w:p>
    <w:p w14:paraId="1804CD10" w14:textId="13F2C758" w:rsidR="0056446F" w:rsidRPr="00B82E33" w:rsidRDefault="006B47FB" w:rsidP="002C1EA9">
      <w:pPr>
        <w:shd w:val="clear" w:color="auto" w:fill="FFFFFF" w:themeFill="background1"/>
        <w:rPr>
          <w:color w:val="000000" w:themeColor="text1"/>
        </w:rPr>
      </w:pPr>
      <w:hyperlink w:anchor="Title_Table6" w:history="1">
        <w:r w:rsidR="0056446F" w:rsidRPr="00B82E33">
          <w:rPr>
            <w:rStyle w:val="Hyperlink"/>
            <w:color w:val="000000" w:themeColor="text1"/>
            <w:u w:val="none"/>
          </w:rPr>
          <w:t>Tables</w:t>
        </w:r>
        <w:r w:rsidR="006D578C" w:rsidRPr="00B82E33">
          <w:rPr>
            <w:rStyle w:val="Hyperlink"/>
            <w:color w:val="000000" w:themeColor="text1"/>
            <w:u w:val="none"/>
          </w:rPr>
          <w:t xml:space="preserve"> 6</w:t>
        </w:r>
      </w:hyperlink>
      <w:r w:rsidR="006D578C" w:rsidRPr="00B82E33">
        <w:rPr>
          <w:color w:val="000000" w:themeColor="text1"/>
        </w:rPr>
        <w:t xml:space="preserve"> and </w:t>
      </w:r>
      <w:hyperlink w:anchor="Title_Table7" w:history="1">
        <w:r w:rsidR="006D578C" w:rsidRPr="00B82E33">
          <w:t>7</w:t>
        </w:r>
      </w:hyperlink>
      <w:r w:rsidR="006D578C" w:rsidRPr="00B82E33">
        <w:rPr>
          <w:color w:val="000000" w:themeColor="text1"/>
        </w:rPr>
        <w:t xml:space="preserve"> </w:t>
      </w:r>
      <w:r w:rsidR="0056446F" w:rsidRPr="00B82E33">
        <w:rPr>
          <w:color w:val="000000" w:themeColor="text1"/>
        </w:rPr>
        <w:t xml:space="preserve">represent </w:t>
      </w:r>
      <w:r w:rsidR="006D578C" w:rsidRPr="00B82E33">
        <w:rPr>
          <w:color w:val="000000" w:themeColor="text1"/>
        </w:rPr>
        <w:t xml:space="preserve">proposed </w:t>
      </w:r>
      <w:r w:rsidR="0056446F" w:rsidRPr="00B82E33">
        <w:rPr>
          <w:color w:val="000000" w:themeColor="text1"/>
        </w:rPr>
        <w:t>MBS item descriptors for Populations 1 and 2, respectively</w:t>
      </w:r>
      <w:r w:rsidR="0056446F" w:rsidRPr="00B82E33">
        <w:rPr>
          <w:i/>
          <w:iCs/>
          <w:color w:val="000000" w:themeColor="text1"/>
        </w:rPr>
        <w:t xml:space="preserve">. </w:t>
      </w:r>
      <w:r w:rsidR="0056446F" w:rsidRPr="00B82E33">
        <w:rPr>
          <w:color w:val="000000" w:themeColor="text1"/>
        </w:rPr>
        <w:t xml:space="preserve">The item descriptor for Population 1 has been updated and a new item descriptor for Population </w:t>
      </w:r>
      <w:r w:rsidR="00686FAD" w:rsidRPr="00B82E33">
        <w:rPr>
          <w:color w:val="000000" w:themeColor="text1"/>
        </w:rPr>
        <w:t>2</w:t>
      </w:r>
      <w:r w:rsidR="0056446F" w:rsidRPr="00B82E33">
        <w:rPr>
          <w:color w:val="000000" w:themeColor="text1"/>
        </w:rPr>
        <w:t xml:space="preserve"> has been developed based on the suggestions made during the PASC meeting.</w:t>
      </w:r>
    </w:p>
    <w:p w14:paraId="5CAF3DC7" w14:textId="04032852" w:rsidR="00E75882" w:rsidRPr="001958F9" w:rsidRDefault="00E75882" w:rsidP="005A7250">
      <w:pPr>
        <w:pStyle w:val="TableHeading"/>
      </w:pPr>
      <w:bookmarkStart w:id="44" w:name="Title_Table9"/>
      <w:bookmarkStart w:id="45" w:name="Title_Table6"/>
      <w:bookmarkStart w:id="46" w:name="_Hlk101362310"/>
      <w:r w:rsidRPr="001958F9">
        <w:t xml:space="preserve">Table </w:t>
      </w:r>
      <w:r w:rsidR="00B94589">
        <w:t>6</w:t>
      </w:r>
      <w:r>
        <w:t>:</w:t>
      </w:r>
      <w:r w:rsidRPr="001958F9">
        <w:t xml:space="preserve"> Proposed MBS Item Descriptor for </w:t>
      </w:r>
      <w:r w:rsidR="00686FAD">
        <w:t>Population 1</w:t>
      </w:r>
    </w:p>
    <w:tbl>
      <w:tblPr>
        <w:tblStyle w:val="TableGrid"/>
        <w:tblW w:w="9072"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072"/>
      </w:tblGrid>
      <w:tr w:rsidR="00E75882" w:rsidRPr="001958F9" w14:paraId="776F8E62" w14:textId="77777777" w:rsidTr="00746622">
        <w:trPr>
          <w:cantSplit/>
          <w:trHeight w:val="261"/>
          <w:tblHeader/>
        </w:trPr>
        <w:tc>
          <w:tcPr>
            <w:tcW w:w="9072" w:type="dxa"/>
            <w:tcBorders>
              <w:top w:val="single" w:sz="4" w:space="0" w:color="auto"/>
              <w:left w:val="single" w:sz="4" w:space="0" w:color="auto"/>
              <w:bottom w:val="single" w:sz="4" w:space="0" w:color="auto"/>
              <w:right w:val="single" w:sz="4" w:space="0" w:color="auto"/>
            </w:tcBorders>
            <w:hideMark/>
          </w:tcPr>
          <w:bookmarkEnd w:id="44"/>
          <w:bookmarkEnd w:id="45"/>
          <w:p w14:paraId="49E1D32F" w14:textId="77777777" w:rsidR="00E75882" w:rsidRPr="001958F9" w:rsidRDefault="00E75882" w:rsidP="00EF551E">
            <w:pPr>
              <w:shd w:val="clear" w:color="auto" w:fill="FFFFFF" w:themeFill="background1"/>
              <w:spacing w:before="40" w:after="40" w:line="240" w:lineRule="auto"/>
              <w:rPr>
                <w:rFonts w:ascii="Arial Narrow" w:hAnsi="Arial Narrow"/>
                <w:color w:val="000000" w:themeColor="text1"/>
                <w:sz w:val="20"/>
                <w:szCs w:val="20"/>
              </w:rPr>
            </w:pPr>
            <w:r w:rsidRPr="001958F9">
              <w:rPr>
                <w:rFonts w:ascii="Arial Narrow" w:hAnsi="Arial Narrow"/>
                <w:i/>
                <w:iCs/>
                <w:color w:val="000000" w:themeColor="text1"/>
                <w:sz w:val="20"/>
                <w:szCs w:val="20"/>
              </w:rPr>
              <w:t>Category 6</w:t>
            </w:r>
            <w:r w:rsidRPr="001958F9">
              <w:rPr>
                <w:rFonts w:ascii="Arial Narrow" w:hAnsi="Arial Narrow"/>
                <w:color w:val="000000" w:themeColor="text1"/>
                <w:sz w:val="20"/>
                <w:szCs w:val="20"/>
              </w:rPr>
              <w:t xml:space="preserve"> - PATHOLOGY SERVICES </w:t>
            </w:r>
          </w:p>
        </w:tc>
      </w:tr>
      <w:tr w:rsidR="00E75882" w:rsidRPr="001958F9" w14:paraId="235ED012" w14:textId="77777777" w:rsidTr="00746622">
        <w:trPr>
          <w:cantSplit/>
          <w:trHeight w:val="592"/>
          <w:tblHeader/>
        </w:trPr>
        <w:tc>
          <w:tcPr>
            <w:tcW w:w="9072" w:type="dxa"/>
            <w:tcBorders>
              <w:top w:val="single" w:sz="4" w:space="0" w:color="auto"/>
              <w:left w:val="single" w:sz="4" w:space="0" w:color="auto"/>
              <w:bottom w:val="nil"/>
              <w:right w:val="single" w:sz="4" w:space="0" w:color="auto"/>
            </w:tcBorders>
          </w:tcPr>
          <w:p w14:paraId="0DB63D6A" w14:textId="73A218C8" w:rsidR="00E75882" w:rsidRPr="001958F9" w:rsidRDefault="00E75882" w:rsidP="00EF551E">
            <w:pPr>
              <w:shd w:val="clear" w:color="auto" w:fill="FFFFFF" w:themeFill="background1"/>
              <w:spacing w:before="120" w:after="120" w:line="240" w:lineRule="auto"/>
              <w:rPr>
                <w:rFonts w:ascii="Arial Narrow" w:hAnsi="Arial Narrow"/>
                <w:color w:val="000000" w:themeColor="text1"/>
                <w:sz w:val="20"/>
                <w:szCs w:val="20"/>
              </w:rPr>
            </w:pPr>
            <w:r w:rsidRPr="001958F9">
              <w:rPr>
                <w:rFonts w:ascii="Arial Narrow" w:hAnsi="Arial Narrow"/>
                <w:i/>
                <w:iCs/>
                <w:color w:val="000000" w:themeColor="text1"/>
                <w:sz w:val="20"/>
                <w:szCs w:val="20"/>
              </w:rPr>
              <w:t>Laboratory-based</w:t>
            </w:r>
            <w:r w:rsidRPr="001958F9">
              <w:rPr>
                <w:rFonts w:ascii="Arial Narrow" w:hAnsi="Arial Narrow"/>
                <w:color w:val="000000" w:themeColor="text1"/>
                <w:sz w:val="20"/>
                <w:szCs w:val="20"/>
              </w:rPr>
              <w:t xml:space="preserve"> quantitative determination </w:t>
            </w:r>
            <w:r w:rsidRPr="00B4653B">
              <w:rPr>
                <w:rFonts w:ascii="Arial Narrow" w:hAnsi="Arial Narrow"/>
                <w:i/>
                <w:iCs/>
                <w:color w:val="000000" w:themeColor="text1"/>
                <w:sz w:val="20"/>
                <w:szCs w:val="20"/>
              </w:rPr>
              <w:t xml:space="preserve">of </w:t>
            </w:r>
            <w:r w:rsidR="00C96E1A" w:rsidRPr="00B4653B">
              <w:rPr>
                <w:rFonts w:ascii="Arial Narrow" w:hAnsi="Arial Narrow"/>
                <w:i/>
                <w:iCs/>
                <w:color w:val="000000" w:themeColor="text1"/>
                <w:sz w:val="20"/>
                <w:szCs w:val="20"/>
              </w:rPr>
              <w:t>the ratio of</w:t>
            </w:r>
            <w:r w:rsidR="00C96E1A">
              <w:rPr>
                <w:rFonts w:ascii="Arial Narrow" w:hAnsi="Arial Narrow"/>
                <w:color w:val="000000" w:themeColor="text1"/>
                <w:sz w:val="20"/>
                <w:szCs w:val="20"/>
              </w:rPr>
              <w:t xml:space="preserve"> </w:t>
            </w:r>
            <w:r w:rsidR="00CF4E60" w:rsidRPr="001958F9">
              <w:rPr>
                <w:rFonts w:ascii="Arial Narrow" w:hAnsi="Arial Narrow"/>
                <w:color w:val="000000" w:themeColor="text1"/>
                <w:sz w:val="20"/>
                <w:szCs w:val="20"/>
              </w:rPr>
              <w:t xml:space="preserve">placental soluble </w:t>
            </w:r>
            <w:proofErr w:type="spellStart"/>
            <w:r w:rsidR="00CF4E60" w:rsidRPr="001958F9">
              <w:rPr>
                <w:rFonts w:ascii="Arial Narrow" w:hAnsi="Arial Narrow"/>
                <w:color w:val="000000" w:themeColor="text1"/>
                <w:sz w:val="20"/>
                <w:szCs w:val="20"/>
              </w:rPr>
              <w:t>fms</w:t>
            </w:r>
            <w:proofErr w:type="spellEnd"/>
            <w:r w:rsidR="00CF4E60" w:rsidRPr="001958F9">
              <w:rPr>
                <w:rFonts w:ascii="Arial Narrow" w:hAnsi="Arial Narrow"/>
                <w:color w:val="000000" w:themeColor="text1"/>
                <w:sz w:val="20"/>
                <w:szCs w:val="20"/>
              </w:rPr>
              <w:t>-like tyrosine kinase-1 (sFlt-1)</w:t>
            </w:r>
            <w:r w:rsidR="00CF4E60">
              <w:rPr>
                <w:rFonts w:ascii="Arial Narrow" w:hAnsi="Arial Narrow"/>
                <w:color w:val="000000" w:themeColor="text1"/>
                <w:sz w:val="20"/>
                <w:szCs w:val="20"/>
              </w:rPr>
              <w:t xml:space="preserve"> and </w:t>
            </w:r>
            <w:r w:rsidRPr="001958F9">
              <w:rPr>
                <w:rFonts w:ascii="Arial Narrow" w:hAnsi="Arial Narrow"/>
                <w:color w:val="000000" w:themeColor="text1"/>
                <w:sz w:val="20"/>
                <w:szCs w:val="20"/>
              </w:rPr>
              <w:t>placental growth factor (</w:t>
            </w:r>
            <w:proofErr w:type="spellStart"/>
            <w:r w:rsidRPr="001958F9">
              <w:rPr>
                <w:rFonts w:ascii="Arial Narrow" w:hAnsi="Arial Narrow"/>
                <w:color w:val="000000" w:themeColor="text1"/>
                <w:sz w:val="20"/>
                <w:szCs w:val="20"/>
              </w:rPr>
              <w:t>PlGF</w:t>
            </w:r>
            <w:proofErr w:type="spellEnd"/>
            <w:r w:rsidRPr="001958F9">
              <w:rPr>
                <w:rFonts w:ascii="Arial Narrow" w:hAnsi="Arial Narrow"/>
                <w:color w:val="000000" w:themeColor="text1"/>
                <w:sz w:val="20"/>
                <w:szCs w:val="20"/>
              </w:rPr>
              <w:t xml:space="preserve">) </w:t>
            </w:r>
            <w:r w:rsidR="00746622" w:rsidRPr="001958F9">
              <w:rPr>
                <w:rFonts w:ascii="Arial Narrow" w:hAnsi="Arial Narrow"/>
                <w:color w:val="000000" w:themeColor="text1"/>
                <w:sz w:val="20"/>
                <w:szCs w:val="20"/>
              </w:rPr>
              <w:t xml:space="preserve">from </w:t>
            </w:r>
            <w:r w:rsidR="00746622">
              <w:rPr>
                <w:rFonts w:ascii="Arial Narrow" w:hAnsi="Arial Narrow"/>
                <w:color w:val="000000" w:themeColor="text1"/>
                <w:sz w:val="20"/>
                <w:szCs w:val="20"/>
              </w:rPr>
              <w:t xml:space="preserve">the beginning of the </w:t>
            </w:r>
            <w:r w:rsidR="00746622" w:rsidRPr="001958F9">
              <w:rPr>
                <w:rFonts w:ascii="Arial Narrow" w:hAnsi="Arial Narrow"/>
                <w:color w:val="000000" w:themeColor="text1"/>
                <w:sz w:val="20"/>
                <w:szCs w:val="20"/>
              </w:rPr>
              <w:t>24</w:t>
            </w:r>
            <w:r w:rsidR="00746622">
              <w:rPr>
                <w:rFonts w:ascii="Arial Narrow" w:hAnsi="Arial Narrow"/>
                <w:color w:val="000000" w:themeColor="text1"/>
                <w:sz w:val="20"/>
                <w:szCs w:val="20"/>
              </w:rPr>
              <w:t>th</w:t>
            </w:r>
            <w:r w:rsidR="00746622" w:rsidRPr="001958F9">
              <w:rPr>
                <w:rFonts w:ascii="Arial Narrow" w:hAnsi="Arial Narrow"/>
                <w:color w:val="000000" w:themeColor="text1"/>
                <w:sz w:val="20"/>
                <w:szCs w:val="20"/>
              </w:rPr>
              <w:t xml:space="preserve"> week</w:t>
            </w:r>
            <w:r w:rsidR="00746622">
              <w:rPr>
                <w:rFonts w:ascii="Arial Narrow" w:hAnsi="Arial Narrow"/>
                <w:color w:val="000000" w:themeColor="text1"/>
                <w:sz w:val="20"/>
                <w:szCs w:val="20"/>
              </w:rPr>
              <w:t xml:space="preserve"> of pregnancy</w:t>
            </w:r>
            <w:r w:rsidR="00746622" w:rsidRPr="001958F9">
              <w:rPr>
                <w:rFonts w:ascii="Arial Narrow" w:hAnsi="Arial Narrow"/>
                <w:color w:val="000000" w:themeColor="text1"/>
                <w:sz w:val="20"/>
                <w:szCs w:val="20"/>
              </w:rPr>
              <w:t xml:space="preserve"> </w:t>
            </w:r>
            <w:r w:rsidRPr="001958F9">
              <w:rPr>
                <w:rFonts w:ascii="Arial Narrow" w:hAnsi="Arial Narrow"/>
                <w:color w:val="000000" w:themeColor="text1"/>
                <w:sz w:val="20"/>
                <w:szCs w:val="20"/>
              </w:rPr>
              <w:t xml:space="preserve">to </w:t>
            </w:r>
            <w:r w:rsidR="0060274C">
              <w:rPr>
                <w:rFonts w:ascii="Arial Narrow" w:hAnsi="Arial Narrow"/>
                <w:i/>
                <w:iCs/>
                <w:color w:val="000000" w:themeColor="text1"/>
                <w:sz w:val="20"/>
                <w:szCs w:val="20"/>
              </w:rPr>
              <w:t>evaluate the likelihood of pre-eclampsia (</w:t>
            </w:r>
            <w:r w:rsidRPr="00D86AB0">
              <w:rPr>
                <w:rFonts w:ascii="Arial Narrow" w:hAnsi="Arial Narrow"/>
                <w:i/>
                <w:iCs/>
                <w:color w:val="000000" w:themeColor="text1"/>
                <w:sz w:val="20"/>
                <w:szCs w:val="20"/>
              </w:rPr>
              <w:t>PE</w:t>
            </w:r>
            <w:r w:rsidR="0060274C" w:rsidRPr="00D86AB0">
              <w:rPr>
                <w:rFonts w:ascii="Arial Narrow" w:hAnsi="Arial Narrow"/>
                <w:i/>
                <w:iCs/>
                <w:color w:val="000000" w:themeColor="text1"/>
                <w:sz w:val="20"/>
                <w:szCs w:val="20"/>
              </w:rPr>
              <w:t>)</w:t>
            </w:r>
            <w:r w:rsidRPr="001958F9">
              <w:rPr>
                <w:rFonts w:ascii="Arial Narrow" w:hAnsi="Arial Narrow"/>
                <w:color w:val="000000" w:themeColor="text1"/>
                <w:sz w:val="20"/>
                <w:szCs w:val="20"/>
              </w:rPr>
              <w:t xml:space="preserve"> in pregnancies</w:t>
            </w:r>
            <w:r w:rsidR="00CF4E60">
              <w:t xml:space="preserve"> </w:t>
            </w:r>
            <w:r w:rsidR="00CF4E60" w:rsidRPr="00CF4E60">
              <w:rPr>
                <w:rFonts w:ascii="Arial Narrow" w:hAnsi="Arial Narrow"/>
                <w:color w:val="000000" w:themeColor="text1"/>
                <w:sz w:val="20"/>
                <w:szCs w:val="20"/>
              </w:rPr>
              <w:t>where there are signs and symptoms suggestive of</w:t>
            </w:r>
            <w:r w:rsidR="001C2435">
              <w:rPr>
                <w:rFonts w:ascii="Arial Narrow" w:hAnsi="Arial Narrow"/>
                <w:color w:val="000000" w:themeColor="text1"/>
                <w:sz w:val="20"/>
                <w:szCs w:val="20"/>
              </w:rPr>
              <w:t xml:space="preserve"> </w:t>
            </w:r>
            <w:r w:rsidR="00CF4E60" w:rsidRPr="00CF4E60">
              <w:rPr>
                <w:rFonts w:ascii="Arial Narrow" w:hAnsi="Arial Narrow"/>
                <w:color w:val="000000" w:themeColor="text1"/>
                <w:sz w:val="20"/>
                <w:szCs w:val="20"/>
              </w:rPr>
              <w:t>PE</w:t>
            </w:r>
            <w:r w:rsidR="00283A0C">
              <w:rPr>
                <w:rFonts w:ascii="Arial Narrow" w:hAnsi="Arial Narrow"/>
                <w:color w:val="000000" w:themeColor="text1"/>
                <w:sz w:val="20"/>
                <w:szCs w:val="20"/>
              </w:rPr>
              <w:t xml:space="preserve">, or where there is an increased risk </w:t>
            </w:r>
            <w:r w:rsidR="0060274C">
              <w:rPr>
                <w:rFonts w:ascii="Arial Narrow" w:hAnsi="Arial Narrow"/>
                <w:color w:val="000000" w:themeColor="text1"/>
                <w:sz w:val="20"/>
                <w:szCs w:val="20"/>
              </w:rPr>
              <w:t>of</w:t>
            </w:r>
            <w:r w:rsidR="00283A0C">
              <w:rPr>
                <w:rFonts w:ascii="Arial Narrow" w:hAnsi="Arial Narrow"/>
                <w:color w:val="000000" w:themeColor="text1"/>
                <w:sz w:val="20"/>
                <w:szCs w:val="20"/>
              </w:rPr>
              <w:t xml:space="preserve"> PE</w:t>
            </w:r>
            <w:r w:rsidRPr="001958F9">
              <w:rPr>
                <w:rFonts w:ascii="Arial Narrow" w:hAnsi="Arial Narrow"/>
                <w:color w:val="000000" w:themeColor="text1"/>
                <w:sz w:val="20"/>
                <w:szCs w:val="20"/>
              </w:rPr>
              <w:t>.</w:t>
            </w:r>
          </w:p>
        </w:tc>
      </w:tr>
      <w:tr w:rsidR="00E75882" w:rsidRPr="001958F9" w14:paraId="2EF2DBCE" w14:textId="77777777" w:rsidTr="00746622">
        <w:trPr>
          <w:cantSplit/>
          <w:trHeight w:val="395"/>
          <w:tblHeader/>
        </w:trPr>
        <w:tc>
          <w:tcPr>
            <w:tcW w:w="9072" w:type="dxa"/>
            <w:tcBorders>
              <w:top w:val="nil"/>
              <w:left w:val="single" w:sz="4" w:space="0" w:color="auto"/>
              <w:bottom w:val="single" w:sz="4" w:space="0" w:color="auto"/>
            </w:tcBorders>
          </w:tcPr>
          <w:p w14:paraId="0760FDBC" w14:textId="77777777" w:rsidR="00E75882" w:rsidRPr="001958F9" w:rsidRDefault="00E75882" w:rsidP="00EF551E">
            <w:pPr>
              <w:shd w:val="clear" w:color="auto" w:fill="FFFFFF" w:themeFill="background1"/>
              <w:spacing w:before="120" w:after="120" w:line="240" w:lineRule="auto"/>
              <w:rPr>
                <w:rFonts w:ascii="Arial Narrow" w:hAnsi="Arial Narrow"/>
                <w:color w:val="000000" w:themeColor="text1"/>
                <w:sz w:val="20"/>
                <w:szCs w:val="20"/>
              </w:rPr>
            </w:pPr>
          </w:p>
        </w:tc>
      </w:tr>
      <w:tr w:rsidR="00E75882" w:rsidRPr="001958F9" w14:paraId="04456E91" w14:textId="77777777" w:rsidTr="00746622">
        <w:trPr>
          <w:cantSplit/>
          <w:trHeight w:val="261"/>
          <w:tblHeader/>
        </w:trPr>
        <w:tc>
          <w:tcPr>
            <w:tcW w:w="9072" w:type="dxa"/>
            <w:tcBorders>
              <w:top w:val="single" w:sz="4" w:space="0" w:color="auto"/>
              <w:left w:val="single" w:sz="4" w:space="0" w:color="auto"/>
              <w:bottom w:val="single" w:sz="4" w:space="0" w:color="auto"/>
              <w:right w:val="single" w:sz="4" w:space="0" w:color="auto"/>
            </w:tcBorders>
            <w:vAlign w:val="center"/>
          </w:tcPr>
          <w:p w14:paraId="35E744C1" w14:textId="77777777" w:rsidR="00E75882" w:rsidRPr="001958F9" w:rsidRDefault="00E75882" w:rsidP="00EF551E">
            <w:pPr>
              <w:shd w:val="clear" w:color="auto" w:fill="FFFFFF" w:themeFill="background1"/>
              <w:spacing w:before="40" w:after="40" w:line="240" w:lineRule="auto"/>
              <w:rPr>
                <w:rFonts w:ascii="Arial Narrow" w:hAnsi="Arial Narrow"/>
                <w:color w:val="000000" w:themeColor="text1"/>
                <w:sz w:val="20"/>
                <w:szCs w:val="20"/>
              </w:rPr>
            </w:pPr>
            <w:r w:rsidRPr="001958F9">
              <w:rPr>
                <w:rFonts w:ascii="Arial Narrow" w:hAnsi="Arial Narrow"/>
                <w:color w:val="000000" w:themeColor="text1"/>
                <w:sz w:val="20"/>
                <w:szCs w:val="20"/>
              </w:rPr>
              <w:t>Fee: $*</w:t>
            </w:r>
            <w:proofErr w:type="gramStart"/>
            <w:r w:rsidRPr="001958F9">
              <w:rPr>
                <w:rFonts w:ascii="Arial Narrow" w:hAnsi="Arial Narrow"/>
                <w:color w:val="000000" w:themeColor="text1"/>
                <w:sz w:val="20"/>
                <w:szCs w:val="20"/>
              </w:rPr>
              <w:t>*</w:t>
            </w:r>
            <w:r>
              <w:rPr>
                <w:rFonts w:ascii="Arial Narrow" w:hAnsi="Arial Narrow"/>
                <w:color w:val="000000" w:themeColor="text1"/>
                <w:sz w:val="20"/>
                <w:szCs w:val="20"/>
              </w:rPr>
              <w:t>.</w:t>
            </w:r>
            <w:r w:rsidRPr="001958F9">
              <w:rPr>
                <w:rFonts w:ascii="Arial Narrow" w:hAnsi="Arial Narrow"/>
                <w:color w:val="000000" w:themeColor="text1"/>
                <w:sz w:val="20"/>
                <w:szCs w:val="20"/>
              </w:rPr>
              <w:t>*</w:t>
            </w:r>
            <w:proofErr w:type="gramEnd"/>
            <w:r>
              <w:rPr>
                <w:rFonts w:ascii="Arial Narrow" w:hAnsi="Arial Narrow"/>
                <w:color w:val="000000" w:themeColor="text1"/>
                <w:sz w:val="20"/>
                <w:szCs w:val="20"/>
              </w:rPr>
              <w:t>*</w:t>
            </w:r>
          </w:p>
        </w:tc>
      </w:tr>
    </w:tbl>
    <w:p w14:paraId="76AF6AF8" w14:textId="082E8545" w:rsidR="00E75882" w:rsidRPr="001958F9" w:rsidRDefault="00E75882" w:rsidP="00EF551E">
      <w:pPr>
        <w:pStyle w:val="Tablenotes"/>
        <w:shd w:val="clear" w:color="auto" w:fill="FFFFFF" w:themeFill="background1"/>
        <w:spacing w:after="0"/>
        <w:rPr>
          <w:color w:val="000000" w:themeColor="text1"/>
        </w:rPr>
      </w:pPr>
      <w:r w:rsidRPr="001958F9">
        <w:rPr>
          <w:color w:val="000000" w:themeColor="text1"/>
        </w:rPr>
        <w:t xml:space="preserve">Source: </w:t>
      </w:r>
      <w:r w:rsidR="002C6314" w:rsidRPr="002C6314">
        <w:rPr>
          <w:color w:val="000000" w:themeColor="text1"/>
        </w:rPr>
        <w:t>Compiled during development of this PICO</w:t>
      </w:r>
    </w:p>
    <w:bookmarkEnd w:id="46"/>
    <w:p w14:paraId="319B9E9F" w14:textId="77777777" w:rsidR="00E75882" w:rsidRPr="001958F9" w:rsidRDefault="00E75882" w:rsidP="00EF551E">
      <w:pPr>
        <w:pStyle w:val="Tablenotes"/>
        <w:shd w:val="clear" w:color="auto" w:fill="FFFFFF" w:themeFill="background1"/>
        <w:spacing w:after="0"/>
        <w:rPr>
          <w:color w:val="000000" w:themeColor="text1"/>
        </w:rPr>
      </w:pPr>
    </w:p>
    <w:p w14:paraId="67F720B9" w14:textId="675E77EB" w:rsidR="009B5AF2" w:rsidRDefault="00E75882" w:rsidP="00EF551E">
      <w:pPr>
        <w:pStyle w:val="Tablenotes"/>
        <w:shd w:val="clear" w:color="auto" w:fill="FFFFFF" w:themeFill="background1"/>
        <w:spacing w:after="0"/>
        <w:rPr>
          <w:rFonts w:asciiTheme="minorHAnsi" w:hAnsiTheme="minorHAnsi" w:cstheme="minorHAnsi"/>
          <w:color w:val="000000" w:themeColor="text1"/>
          <w:sz w:val="22"/>
          <w:szCs w:val="22"/>
        </w:rPr>
      </w:pPr>
      <w:r w:rsidRPr="001958F9">
        <w:rPr>
          <w:rFonts w:asciiTheme="minorHAnsi" w:hAnsiTheme="minorHAnsi" w:cstheme="minorHAnsi"/>
          <w:color w:val="000000" w:themeColor="text1"/>
          <w:sz w:val="22"/>
          <w:szCs w:val="22"/>
        </w:rPr>
        <w:t>During the pre</w:t>
      </w:r>
      <w:r>
        <w:rPr>
          <w:rFonts w:asciiTheme="minorHAnsi" w:hAnsiTheme="minorHAnsi" w:cstheme="minorHAnsi"/>
          <w:color w:val="000000" w:themeColor="text1"/>
          <w:sz w:val="22"/>
          <w:szCs w:val="22"/>
        </w:rPr>
        <w:t>-</w:t>
      </w:r>
      <w:r w:rsidRPr="001958F9">
        <w:rPr>
          <w:rFonts w:asciiTheme="minorHAnsi" w:hAnsiTheme="minorHAnsi" w:cstheme="minorHAnsi"/>
          <w:color w:val="000000" w:themeColor="text1"/>
          <w:sz w:val="22"/>
          <w:szCs w:val="22"/>
        </w:rPr>
        <w:t>PA</w:t>
      </w:r>
      <w:r>
        <w:rPr>
          <w:rFonts w:asciiTheme="minorHAnsi" w:hAnsiTheme="minorHAnsi" w:cstheme="minorHAnsi"/>
          <w:color w:val="000000" w:themeColor="text1"/>
          <w:sz w:val="22"/>
          <w:szCs w:val="22"/>
        </w:rPr>
        <w:t>S</w:t>
      </w:r>
      <w:r w:rsidRPr="001958F9">
        <w:rPr>
          <w:rFonts w:asciiTheme="minorHAnsi" w:hAnsiTheme="minorHAnsi" w:cstheme="minorHAnsi"/>
          <w:color w:val="000000" w:themeColor="text1"/>
          <w:sz w:val="22"/>
          <w:szCs w:val="22"/>
        </w:rPr>
        <w:t xml:space="preserve">C meeting, the applicant mentioned that the cost of </w:t>
      </w:r>
      <w:r w:rsidR="00905B19">
        <w:rPr>
          <w:rFonts w:asciiTheme="minorHAnsi" w:hAnsiTheme="minorHAnsi" w:cstheme="minorHAnsi"/>
          <w:color w:val="000000" w:themeColor="text1"/>
          <w:sz w:val="22"/>
          <w:szCs w:val="22"/>
        </w:rPr>
        <w:t xml:space="preserve">the </w:t>
      </w:r>
      <w:r w:rsidRPr="001958F9">
        <w:rPr>
          <w:rFonts w:asciiTheme="minorHAnsi" w:hAnsiTheme="minorHAnsi" w:cstheme="minorHAnsi"/>
          <w:color w:val="000000" w:themeColor="text1"/>
          <w:sz w:val="22"/>
          <w:szCs w:val="22"/>
        </w:rPr>
        <w:t>PIGF test for the Australian health system ranges from $50-$100.</w:t>
      </w:r>
      <w:r w:rsidR="00C96E1A">
        <w:rPr>
          <w:rFonts w:asciiTheme="minorHAnsi" w:hAnsiTheme="minorHAnsi" w:cstheme="minorHAnsi"/>
          <w:color w:val="000000" w:themeColor="text1"/>
          <w:sz w:val="22"/>
          <w:szCs w:val="22"/>
        </w:rPr>
        <w:t xml:space="preserve"> </w:t>
      </w:r>
      <w:r w:rsidR="00C96E1A" w:rsidRPr="00B4653B">
        <w:rPr>
          <w:rFonts w:asciiTheme="minorHAnsi" w:hAnsiTheme="minorHAnsi" w:cstheme="minorHAnsi"/>
          <w:i/>
          <w:iCs/>
          <w:color w:val="000000" w:themeColor="text1"/>
          <w:sz w:val="22"/>
          <w:szCs w:val="22"/>
        </w:rPr>
        <w:t xml:space="preserve">PASC </w:t>
      </w:r>
      <w:r w:rsidR="00C96E1A">
        <w:rPr>
          <w:rFonts w:asciiTheme="minorHAnsi" w:hAnsiTheme="minorHAnsi" w:cstheme="minorHAnsi"/>
          <w:i/>
          <w:iCs/>
          <w:color w:val="000000" w:themeColor="text1"/>
          <w:sz w:val="22"/>
          <w:szCs w:val="22"/>
        </w:rPr>
        <w:t>advised</w:t>
      </w:r>
      <w:r w:rsidR="00C96E1A" w:rsidRPr="00B4653B">
        <w:rPr>
          <w:rFonts w:asciiTheme="minorHAnsi" w:hAnsiTheme="minorHAnsi" w:cstheme="minorHAnsi"/>
          <w:i/>
          <w:iCs/>
          <w:color w:val="000000" w:themeColor="text1"/>
          <w:sz w:val="22"/>
          <w:szCs w:val="22"/>
        </w:rPr>
        <w:t xml:space="preserve"> that a fee structure should be proposed in the assessment report</w:t>
      </w:r>
      <w:r w:rsidR="00C96E1A">
        <w:rPr>
          <w:rFonts w:asciiTheme="minorHAnsi" w:hAnsiTheme="minorHAnsi" w:cstheme="minorHAnsi"/>
          <w:color w:val="000000" w:themeColor="text1"/>
          <w:sz w:val="22"/>
          <w:szCs w:val="22"/>
        </w:rPr>
        <w:t xml:space="preserve">. </w:t>
      </w:r>
    </w:p>
    <w:p w14:paraId="69049BC5" w14:textId="60C9AED9" w:rsidR="009B5AF2" w:rsidRPr="001958F9" w:rsidRDefault="009B5AF2" w:rsidP="005A7250">
      <w:pPr>
        <w:pStyle w:val="TableHeading"/>
      </w:pPr>
      <w:bookmarkStart w:id="47" w:name="Title_Table7"/>
      <w:r w:rsidRPr="001958F9">
        <w:t xml:space="preserve">Table </w:t>
      </w:r>
      <w:r>
        <w:t>7:</w:t>
      </w:r>
      <w:r w:rsidRPr="001958F9">
        <w:t xml:space="preserve"> Proposed MBS Item Descriptor for </w:t>
      </w:r>
      <w:r w:rsidR="00686FAD">
        <w:t>Population 2</w:t>
      </w:r>
    </w:p>
    <w:tbl>
      <w:tblPr>
        <w:tblStyle w:val="TableGrid"/>
        <w:tblW w:w="9072"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072"/>
      </w:tblGrid>
      <w:tr w:rsidR="009B5AF2" w:rsidRPr="001958F9" w14:paraId="467BFCDD" w14:textId="77777777" w:rsidTr="00243C10">
        <w:trPr>
          <w:cantSplit/>
          <w:trHeight w:val="261"/>
          <w:tblHeader/>
        </w:trPr>
        <w:tc>
          <w:tcPr>
            <w:tcW w:w="9072" w:type="dxa"/>
            <w:tcBorders>
              <w:top w:val="single" w:sz="4" w:space="0" w:color="auto"/>
              <w:left w:val="single" w:sz="4" w:space="0" w:color="auto"/>
              <w:bottom w:val="single" w:sz="4" w:space="0" w:color="auto"/>
              <w:right w:val="single" w:sz="4" w:space="0" w:color="auto"/>
            </w:tcBorders>
            <w:hideMark/>
          </w:tcPr>
          <w:bookmarkEnd w:id="47"/>
          <w:p w14:paraId="70D8C149" w14:textId="77777777" w:rsidR="009B5AF2" w:rsidRPr="001958F9" w:rsidRDefault="009B5AF2" w:rsidP="00243C10">
            <w:pPr>
              <w:shd w:val="clear" w:color="auto" w:fill="FFFFFF" w:themeFill="background1"/>
              <w:spacing w:before="40" w:after="40" w:line="240" w:lineRule="auto"/>
              <w:rPr>
                <w:rFonts w:ascii="Arial Narrow" w:hAnsi="Arial Narrow"/>
                <w:color w:val="000000" w:themeColor="text1"/>
                <w:sz w:val="20"/>
                <w:szCs w:val="20"/>
              </w:rPr>
            </w:pPr>
            <w:r w:rsidRPr="001958F9">
              <w:rPr>
                <w:rFonts w:ascii="Arial Narrow" w:hAnsi="Arial Narrow"/>
                <w:i/>
                <w:iCs/>
                <w:color w:val="000000" w:themeColor="text1"/>
                <w:sz w:val="20"/>
                <w:szCs w:val="20"/>
              </w:rPr>
              <w:t>Category 6</w:t>
            </w:r>
            <w:r w:rsidRPr="001958F9">
              <w:rPr>
                <w:rFonts w:ascii="Arial Narrow" w:hAnsi="Arial Narrow"/>
                <w:color w:val="000000" w:themeColor="text1"/>
                <w:sz w:val="20"/>
                <w:szCs w:val="20"/>
              </w:rPr>
              <w:t xml:space="preserve"> - PATHOLOGY SERVICES </w:t>
            </w:r>
          </w:p>
        </w:tc>
      </w:tr>
      <w:tr w:rsidR="009B5AF2" w:rsidRPr="001958F9" w14:paraId="31869679" w14:textId="77777777" w:rsidTr="00243C10">
        <w:trPr>
          <w:cantSplit/>
          <w:trHeight w:val="592"/>
          <w:tblHeader/>
        </w:trPr>
        <w:tc>
          <w:tcPr>
            <w:tcW w:w="9072" w:type="dxa"/>
            <w:tcBorders>
              <w:top w:val="single" w:sz="4" w:space="0" w:color="auto"/>
              <w:left w:val="single" w:sz="4" w:space="0" w:color="auto"/>
              <w:bottom w:val="nil"/>
              <w:right w:val="single" w:sz="4" w:space="0" w:color="auto"/>
            </w:tcBorders>
          </w:tcPr>
          <w:p w14:paraId="1DA08121" w14:textId="372F3FA2" w:rsidR="009B5AF2" w:rsidRPr="001958F9" w:rsidRDefault="009B5AF2" w:rsidP="00243C10">
            <w:pPr>
              <w:shd w:val="clear" w:color="auto" w:fill="FFFFFF" w:themeFill="background1"/>
              <w:spacing w:before="120" w:after="120" w:line="240" w:lineRule="auto"/>
              <w:rPr>
                <w:rFonts w:ascii="Arial Narrow" w:hAnsi="Arial Narrow"/>
                <w:color w:val="000000" w:themeColor="text1"/>
                <w:sz w:val="20"/>
                <w:szCs w:val="20"/>
              </w:rPr>
            </w:pPr>
            <w:r w:rsidRPr="001958F9">
              <w:rPr>
                <w:rFonts w:ascii="Arial Narrow" w:hAnsi="Arial Narrow"/>
                <w:i/>
                <w:iCs/>
                <w:color w:val="000000" w:themeColor="text1"/>
                <w:sz w:val="20"/>
                <w:szCs w:val="20"/>
              </w:rPr>
              <w:t>Laboratory-based</w:t>
            </w:r>
            <w:r w:rsidRPr="001958F9">
              <w:rPr>
                <w:rFonts w:ascii="Arial Narrow" w:hAnsi="Arial Narrow"/>
                <w:color w:val="000000" w:themeColor="text1"/>
                <w:sz w:val="20"/>
                <w:szCs w:val="20"/>
              </w:rPr>
              <w:t xml:space="preserve"> quantitative determination </w:t>
            </w:r>
            <w:r w:rsidRPr="00B4653B">
              <w:rPr>
                <w:rFonts w:ascii="Arial Narrow" w:hAnsi="Arial Narrow"/>
                <w:i/>
                <w:iCs/>
                <w:color w:val="000000" w:themeColor="text1"/>
                <w:sz w:val="20"/>
                <w:szCs w:val="20"/>
              </w:rPr>
              <w:t xml:space="preserve">of </w:t>
            </w:r>
            <w:r w:rsidR="00773437" w:rsidRPr="00B4653B">
              <w:rPr>
                <w:rFonts w:ascii="Arial Narrow" w:hAnsi="Arial Narrow"/>
                <w:i/>
                <w:iCs/>
                <w:color w:val="000000" w:themeColor="text1"/>
                <w:sz w:val="20"/>
                <w:szCs w:val="20"/>
              </w:rPr>
              <w:t>the ratio of</w:t>
            </w:r>
            <w:r w:rsidR="00773437">
              <w:rPr>
                <w:rFonts w:ascii="Arial Narrow" w:hAnsi="Arial Narrow"/>
                <w:color w:val="000000" w:themeColor="text1"/>
                <w:sz w:val="20"/>
                <w:szCs w:val="20"/>
              </w:rPr>
              <w:t xml:space="preserve"> </w:t>
            </w:r>
            <w:r w:rsidR="00CF4E60" w:rsidRPr="001958F9">
              <w:rPr>
                <w:rFonts w:ascii="Arial Narrow" w:hAnsi="Arial Narrow"/>
                <w:color w:val="000000" w:themeColor="text1"/>
                <w:sz w:val="20"/>
                <w:szCs w:val="20"/>
              </w:rPr>
              <w:t xml:space="preserve">placental soluble </w:t>
            </w:r>
            <w:proofErr w:type="spellStart"/>
            <w:r w:rsidR="00CF4E60" w:rsidRPr="001958F9">
              <w:rPr>
                <w:rFonts w:ascii="Arial Narrow" w:hAnsi="Arial Narrow"/>
                <w:color w:val="000000" w:themeColor="text1"/>
                <w:sz w:val="20"/>
                <w:szCs w:val="20"/>
              </w:rPr>
              <w:t>fms</w:t>
            </w:r>
            <w:proofErr w:type="spellEnd"/>
            <w:r w:rsidR="00CF4E60" w:rsidRPr="001958F9">
              <w:rPr>
                <w:rFonts w:ascii="Arial Narrow" w:hAnsi="Arial Narrow"/>
                <w:color w:val="000000" w:themeColor="text1"/>
                <w:sz w:val="20"/>
                <w:szCs w:val="20"/>
              </w:rPr>
              <w:t>-like tyrosine kinase-1 (sFlt-1)</w:t>
            </w:r>
            <w:r w:rsidR="00CF4E60">
              <w:rPr>
                <w:rFonts w:ascii="Arial Narrow" w:hAnsi="Arial Narrow"/>
                <w:color w:val="000000" w:themeColor="text1"/>
                <w:sz w:val="20"/>
                <w:szCs w:val="20"/>
              </w:rPr>
              <w:t xml:space="preserve"> and </w:t>
            </w:r>
            <w:r w:rsidRPr="001958F9">
              <w:rPr>
                <w:rFonts w:ascii="Arial Narrow" w:hAnsi="Arial Narrow"/>
                <w:color w:val="000000" w:themeColor="text1"/>
                <w:sz w:val="20"/>
                <w:szCs w:val="20"/>
              </w:rPr>
              <w:t>placental growth factor (</w:t>
            </w:r>
            <w:proofErr w:type="spellStart"/>
            <w:r w:rsidRPr="001958F9">
              <w:rPr>
                <w:rFonts w:ascii="Arial Narrow" w:hAnsi="Arial Narrow"/>
                <w:color w:val="000000" w:themeColor="text1"/>
                <w:sz w:val="20"/>
                <w:szCs w:val="20"/>
              </w:rPr>
              <w:t>PlGF</w:t>
            </w:r>
            <w:proofErr w:type="spellEnd"/>
            <w:r w:rsidRPr="001958F9">
              <w:rPr>
                <w:rFonts w:ascii="Arial Narrow" w:hAnsi="Arial Narrow"/>
                <w:color w:val="000000" w:themeColor="text1"/>
                <w:sz w:val="20"/>
                <w:szCs w:val="20"/>
              </w:rPr>
              <w:t xml:space="preserve">) </w:t>
            </w:r>
            <w:r w:rsidR="009C0EEB" w:rsidRPr="001958F9">
              <w:rPr>
                <w:rFonts w:ascii="Arial Narrow" w:hAnsi="Arial Narrow"/>
                <w:color w:val="000000" w:themeColor="text1"/>
                <w:sz w:val="20"/>
                <w:szCs w:val="20"/>
              </w:rPr>
              <w:t xml:space="preserve">from </w:t>
            </w:r>
            <w:r w:rsidR="009C0EEB">
              <w:rPr>
                <w:rFonts w:ascii="Arial Narrow" w:hAnsi="Arial Narrow"/>
                <w:color w:val="000000" w:themeColor="text1"/>
                <w:sz w:val="20"/>
                <w:szCs w:val="20"/>
              </w:rPr>
              <w:t xml:space="preserve">the beginning of the </w:t>
            </w:r>
            <w:r w:rsidR="009C0EEB" w:rsidRPr="001958F9">
              <w:rPr>
                <w:rFonts w:ascii="Arial Narrow" w:hAnsi="Arial Narrow"/>
                <w:color w:val="000000" w:themeColor="text1"/>
                <w:sz w:val="20"/>
                <w:szCs w:val="20"/>
              </w:rPr>
              <w:t>24</w:t>
            </w:r>
            <w:r w:rsidR="009C0EEB">
              <w:rPr>
                <w:rFonts w:ascii="Arial Narrow" w:hAnsi="Arial Narrow"/>
                <w:color w:val="000000" w:themeColor="text1"/>
                <w:sz w:val="20"/>
                <w:szCs w:val="20"/>
              </w:rPr>
              <w:t>th</w:t>
            </w:r>
            <w:r w:rsidR="009C0EEB" w:rsidRPr="001958F9">
              <w:rPr>
                <w:rFonts w:ascii="Arial Narrow" w:hAnsi="Arial Narrow"/>
                <w:color w:val="000000" w:themeColor="text1"/>
                <w:sz w:val="20"/>
                <w:szCs w:val="20"/>
              </w:rPr>
              <w:t xml:space="preserve"> week</w:t>
            </w:r>
            <w:r w:rsidR="009C0EEB">
              <w:rPr>
                <w:rFonts w:ascii="Arial Narrow" w:hAnsi="Arial Narrow"/>
                <w:color w:val="000000" w:themeColor="text1"/>
                <w:sz w:val="20"/>
                <w:szCs w:val="20"/>
              </w:rPr>
              <w:t xml:space="preserve"> of pregnancy</w:t>
            </w:r>
            <w:r w:rsidR="009C0EEB" w:rsidRPr="001958F9">
              <w:rPr>
                <w:rFonts w:ascii="Arial Narrow" w:hAnsi="Arial Narrow"/>
                <w:color w:val="000000" w:themeColor="text1"/>
                <w:sz w:val="20"/>
                <w:szCs w:val="20"/>
              </w:rPr>
              <w:t xml:space="preserve"> </w:t>
            </w:r>
            <w:r w:rsidRPr="00B4653B">
              <w:rPr>
                <w:rFonts w:ascii="Arial Narrow" w:hAnsi="Arial Narrow"/>
                <w:i/>
                <w:iCs/>
                <w:color w:val="000000" w:themeColor="text1"/>
                <w:sz w:val="20"/>
                <w:szCs w:val="20"/>
              </w:rPr>
              <w:t xml:space="preserve">for the management </w:t>
            </w:r>
            <w:r w:rsidR="005B0485">
              <w:rPr>
                <w:rFonts w:ascii="Arial Narrow" w:hAnsi="Arial Narrow"/>
                <w:i/>
                <w:iCs/>
                <w:color w:val="000000" w:themeColor="text1"/>
                <w:sz w:val="20"/>
                <w:szCs w:val="20"/>
              </w:rPr>
              <w:t xml:space="preserve">(by </w:t>
            </w:r>
            <w:r w:rsidR="005B0485" w:rsidRPr="005B0485">
              <w:rPr>
                <w:rFonts w:ascii="Arial Narrow" w:hAnsi="Arial Narrow"/>
                <w:i/>
                <w:iCs/>
                <w:color w:val="000000" w:themeColor="text1"/>
                <w:sz w:val="20"/>
                <w:szCs w:val="20"/>
              </w:rPr>
              <w:t>categoris</w:t>
            </w:r>
            <w:r w:rsidR="005B0485">
              <w:rPr>
                <w:rFonts w:ascii="Arial Narrow" w:hAnsi="Arial Narrow"/>
                <w:i/>
                <w:iCs/>
                <w:color w:val="000000" w:themeColor="text1"/>
                <w:sz w:val="20"/>
                <w:szCs w:val="20"/>
              </w:rPr>
              <w:t>ing</w:t>
            </w:r>
            <w:r w:rsidR="005B0485" w:rsidRPr="005B0485">
              <w:rPr>
                <w:rFonts w:ascii="Arial Narrow" w:hAnsi="Arial Narrow"/>
                <w:i/>
                <w:iCs/>
                <w:color w:val="000000" w:themeColor="text1"/>
                <w:sz w:val="20"/>
                <w:szCs w:val="20"/>
              </w:rPr>
              <w:t xml:space="preserve"> the severity</w:t>
            </w:r>
            <w:r w:rsidR="005B0485">
              <w:rPr>
                <w:rFonts w:ascii="Arial Narrow" w:hAnsi="Arial Narrow"/>
                <w:i/>
                <w:iCs/>
                <w:color w:val="000000" w:themeColor="text1"/>
                <w:sz w:val="20"/>
                <w:szCs w:val="20"/>
              </w:rPr>
              <w:t>)</w:t>
            </w:r>
            <w:r w:rsidR="005B0485" w:rsidRPr="005B0485">
              <w:rPr>
                <w:rFonts w:ascii="Arial Narrow" w:hAnsi="Arial Narrow"/>
                <w:i/>
                <w:iCs/>
                <w:color w:val="000000" w:themeColor="text1"/>
                <w:sz w:val="20"/>
                <w:szCs w:val="20"/>
              </w:rPr>
              <w:t xml:space="preserve"> </w:t>
            </w:r>
            <w:r w:rsidRPr="00B4653B">
              <w:rPr>
                <w:rFonts w:ascii="Arial Narrow" w:hAnsi="Arial Narrow"/>
                <w:i/>
                <w:iCs/>
                <w:color w:val="000000" w:themeColor="text1"/>
                <w:sz w:val="20"/>
                <w:szCs w:val="20"/>
              </w:rPr>
              <w:t>of</w:t>
            </w:r>
            <w:r w:rsidRPr="009B5AF2">
              <w:rPr>
                <w:rFonts w:ascii="Arial Narrow" w:hAnsi="Arial Narrow"/>
                <w:color w:val="000000" w:themeColor="text1"/>
                <w:sz w:val="20"/>
                <w:szCs w:val="20"/>
              </w:rPr>
              <w:t xml:space="preserve"> diagnosed preeclampsia in preterm pregnancies</w:t>
            </w:r>
            <w:r w:rsidRPr="001958F9">
              <w:rPr>
                <w:rFonts w:ascii="Arial Narrow" w:hAnsi="Arial Narrow"/>
                <w:color w:val="000000" w:themeColor="text1"/>
                <w:sz w:val="20"/>
                <w:szCs w:val="20"/>
              </w:rPr>
              <w:t>.</w:t>
            </w:r>
          </w:p>
        </w:tc>
      </w:tr>
      <w:tr w:rsidR="009B5AF2" w:rsidRPr="001958F9" w14:paraId="33FC481E" w14:textId="77777777" w:rsidTr="00243C10">
        <w:trPr>
          <w:cantSplit/>
          <w:trHeight w:val="395"/>
          <w:tblHeader/>
        </w:trPr>
        <w:tc>
          <w:tcPr>
            <w:tcW w:w="9072" w:type="dxa"/>
            <w:tcBorders>
              <w:top w:val="nil"/>
              <w:left w:val="single" w:sz="4" w:space="0" w:color="auto"/>
              <w:bottom w:val="single" w:sz="4" w:space="0" w:color="auto"/>
            </w:tcBorders>
          </w:tcPr>
          <w:p w14:paraId="13475E60" w14:textId="77777777" w:rsidR="009B5AF2" w:rsidRPr="001958F9" w:rsidRDefault="009B5AF2" w:rsidP="00243C10">
            <w:pPr>
              <w:shd w:val="clear" w:color="auto" w:fill="FFFFFF" w:themeFill="background1"/>
              <w:spacing w:before="120" w:after="120" w:line="240" w:lineRule="auto"/>
              <w:rPr>
                <w:rFonts w:ascii="Arial Narrow" w:hAnsi="Arial Narrow"/>
                <w:color w:val="000000" w:themeColor="text1"/>
                <w:sz w:val="20"/>
                <w:szCs w:val="20"/>
              </w:rPr>
            </w:pPr>
          </w:p>
        </w:tc>
      </w:tr>
      <w:tr w:rsidR="009B5AF2" w:rsidRPr="001958F9" w14:paraId="49C3525F" w14:textId="77777777" w:rsidTr="00243C10">
        <w:trPr>
          <w:cantSplit/>
          <w:trHeight w:val="261"/>
          <w:tblHeader/>
        </w:trPr>
        <w:tc>
          <w:tcPr>
            <w:tcW w:w="9072" w:type="dxa"/>
            <w:tcBorders>
              <w:top w:val="single" w:sz="4" w:space="0" w:color="auto"/>
              <w:left w:val="single" w:sz="4" w:space="0" w:color="auto"/>
              <w:bottom w:val="single" w:sz="4" w:space="0" w:color="auto"/>
              <w:right w:val="single" w:sz="4" w:space="0" w:color="auto"/>
            </w:tcBorders>
            <w:vAlign w:val="center"/>
          </w:tcPr>
          <w:p w14:paraId="7067660F" w14:textId="77777777" w:rsidR="009B5AF2" w:rsidRPr="001958F9" w:rsidRDefault="009B5AF2" w:rsidP="00243C10">
            <w:pPr>
              <w:shd w:val="clear" w:color="auto" w:fill="FFFFFF" w:themeFill="background1"/>
              <w:spacing w:before="40" w:after="40" w:line="240" w:lineRule="auto"/>
              <w:rPr>
                <w:rFonts w:ascii="Arial Narrow" w:hAnsi="Arial Narrow"/>
                <w:color w:val="000000" w:themeColor="text1"/>
                <w:sz w:val="20"/>
                <w:szCs w:val="20"/>
              </w:rPr>
            </w:pPr>
            <w:r w:rsidRPr="001958F9">
              <w:rPr>
                <w:rFonts w:ascii="Arial Narrow" w:hAnsi="Arial Narrow"/>
                <w:color w:val="000000" w:themeColor="text1"/>
                <w:sz w:val="20"/>
                <w:szCs w:val="20"/>
              </w:rPr>
              <w:t>Fee: $*</w:t>
            </w:r>
            <w:proofErr w:type="gramStart"/>
            <w:r w:rsidRPr="001958F9">
              <w:rPr>
                <w:rFonts w:ascii="Arial Narrow" w:hAnsi="Arial Narrow"/>
                <w:color w:val="000000" w:themeColor="text1"/>
                <w:sz w:val="20"/>
                <w:szCs w:val="20"/>
              </w:rPr>
              <w:t>*</w:t>
            </w:r>
            <w:r>
              <w:rPr>
                <w:rFonts w:ascii="Arial Narrow" w:hAnsi="Arial Narrow"/>
                <w:color w:val="000000" w:themeColor="text1"/>
                <w:sz w:val="20"/>
                <w:szCs w:val="20"/>
              </w:rPr>
              <w:t>.</w:t>
            </w:r>
            <w:r w:rsidRPr="001958F9">
              <w:rPr>
                <w:rFonts w:ascii="Arial Narrow" w:hAnsi="Arial Narrow"/>
                <w:color w:val="000000" w:themeColor="text1"/>
                <w:sz w:val="20"/>
                <w:szCs w:val="20"/>
              </w:rPr>
              <w:t>*</w:t>
            </w:r>
            <w:proofErr w:type="gramEnd"/>
            <w:r>
              <w:rPr>
                <w:rFonts w:ascii="Arial Narrow" w:hAnsi="Arial Narrow"/>
                <w:color w:val="000000" w:themeColor="text1"/>
                <w:sz w:val="20"/>
                <w:szCs w:val="20"/>
              </w:rPr>
              <w:t>*</w:t>
            </w:r>
          </w:p>
        </w:tc>
      </w:tr>
    </w:tbl>
    <w:p w14:paraId="653BE957" w14:textId="34459C17" w:rsidR="009B5AF2" w:rsidRPr="001958F9" w:rsidRDefault="009B5AF2" w:rsidP="009B5AF2">
      <w:pPr>
        <w:pStyle w:val="Tablenotes"/>
        <w:shd w:val="clear" w:color="auto" w:fill="FFFFFF" w:themeFill="background1"/>
        <w:spacing w:after="0"/>
        <w:rPr>
          <w:color w:val="000000" w:themeColor="text1"/>
        </w:rPr>
      </w:pPr>
      <w:r w:rsidRPr="001958F9">
        <w:rPr>
          <w:color w:val="000000" w:themeColor="text1"/>
        </w:rPr>
        <w:t xml:space="preserve">Source: </w:t>
      </w:r>
      <w:r w:rsidR="002C6314" w:rsidRPr="002C6314">
        <w:rPr>
          <w:color w:val="000000" w:themeColor="text1"/>
        </w:rPr>
        <w:t>Compiled during development of this PICO</w:t>
      </w:r>
      <w:r w:rsidRPr="001958F9">
        <w:rPr>
          <w:color w:val="000000" w:themeColor="text1"/>
        </w:rPr>
        <w:t>.</w:t>
      </w:r>
    </w:p>
    <w:p w14:paraId="76EC2F7D" w14:textId="005984B4" w:rsidR="009B5AF2" w:rsidRDefault="009B5AF2" w:rsidP="00EF551E">
      <w:pPr>
        <w:pStyle w:val="Tablenotes"/>
        <w:shd w:val="clear" w:color="auto" w:fill="FFFFFF" w:themeFill="background1"/>
        <w:spacing w:after="0"/>
        <w:rPr>
          <w:rFonts w:asciiTheme="minorHAnsi" w:hAnsiTheme="minorHAnsi" w:cstheme="minorHAnsi"/>
          <w:color w:val="000000" w:themeColor="text1"/>
          <w:sz w:val="22"/>
          <w:szCs w:val="22"/>
        </w:rPr>
      </w:pPr>
    </w:p>
    <w:p w14:paraId="2A5A96EB" w14:textId="0B360ED9" w:rsidR="009218D8" w:rsidRDefault="009218D8" w:rsidP="009218D8">
      <w:pPr>
        <w:autoSpaceDE w:val="0"/>
        <w:autoSpaceDN w:val="0"/>
        <w:adjustRightInd w:val="0"/>
        <w:spacing w:line="23" w:lineRule="atLeast"/>
        <w:rPr>
          <w:i/>
          <w:iCs/>
          <w:color w:val="000000" w:themeColor="text1"/>
        </w:rPr>
      </w:pPr>
      <w:r w:rsidRPr="00F659F3">
        <w:rPr>
          <w:rFonts w:asciiTheme="minorHAnsi" w:hAnsiTheme="minorHAnsi" w:cstheme="minorHAnsi"/>
          <w:i/>
          <w:iCs/>
        </w:rPr>
        <w:t xml:space="preserve">PASC advised that the item descriptors should clearly mention that the clinical judgment should be based on the </w:t>
      </w:r>
      <w:r w:rsidRPr="00F659F3">
        <w:rPr>
          <w:i/>
          <w:iCs/>
          <w:color w:val="000000" w:themeColor="text1"/>
        </w:rPr>
        <w:t>sFlt-1/</w:t>
      </w:r>
      <w:proofErr w:type="spellStart"/>
      <w:r w:rsidRPr="00F659F3">
        <w:rPr>
          <w:i/>
          <w:iCs/>
          <w:color w:val="000000" w:themeColor="text1"/>
        </w:rPr>
        <w:t>PlGF</w:t>
      </w:r>
      <w:proofErr w:type="spellEnd"/>
      <w:r w:rsidRPr="00F659F3">
        <w:rPr>
          <w:i/>
          <w:iCs/>
          <w:color w:val="000000" w:themeColor="text1"/>
        </w:rPr>
        <w:t xml:space="preserve"> ratio rather than the individual values of</w:t>
      </w:r>
      <w:r w:rsidRPr="00F659F3">
        <w:rPr>
          <w:rFonts w:asciiTheme="minorHAnsi" w:hAnsiTheme="minorHAnsi" w:cstheme="minorHAnsi"/>
          <w:i/>
          <w:iCs/>
        </w:rPr>
        <w:t xml:space="preserve"> </w:t>
      </w:r>
      <w:r w:rsidRPr="00F659F3">
        <w:rPr>
          <w:i/>
          <w:iCs/>
          <w:color w:val="000000" w:themeColor="text1"/>
        </w:rPr>
        <w:t xml:space="preserve">sFlt-1 and </w:t>
      </w:r>
      <w:proofErr w:type="spellStart"/>
      <w:r w:rsidRPr="00F659F3">
        <w:rPr>
          <w:i/>
          <w:iCs/>
          <w:color w:val="000000" w:themeColor="text1"/>
        </w:rPr>
        <w:t>PlGF</w:t>
      </w:r>
      <w:proofErr w:type="spellEnd"/>
      <w:r w:rsidRPr="00F659F3">
        <w:rPr>
          <w:i/>
          <w:iCs/>
          <w:color w:val="000000" w:themeColor="text1"/>
        </w:rPr>
        <w:t>.</w:t>
      </w:r>
    </w:p>
    <w:p w14:paraId="27653985" w14:textId="19092071" w:rsidR="009218D8" w:rsidRPr="00F659F3" w:rsidRDefault="00FF3D5E" w:rsidP="009218D8">
      <w:pPr>
        <w:autoSpaceDE w:val="0"/>
        <w:autoSpaceDN w:val="0"/>
        <w:adjustRightInd w:val="0"/>
        <w:spacing w:line="23" w:lineRule="atLeast"/>
        <w:rPr>
          <w:i/>
          <w:iCs/>
          <w:color w:val="000000" w:themeColor="text1"/>
        </w:rPr>
      </w:pPr>
      <w:r w:rsidRPr="001E32BC">
        <w:rPr>
          <w:rFonts w:asciiTheme="minorHAnsi" w:hAnsiTheme="minorHAnsi" w:cstheme="minorHAnsi"/>
          <w:i/>
          <w:iCs/>
        </w:rPr>
        <w:t>PASC also advised that the interpretation of the ratio test results (or guidelines) should be included in the item descriptor.</w:t>
      </w:r>
      <w:r>
        <w:rPr>
          <w:rFonts w:asciiTheme="minorHAnsi" w:hAnsiTheme="minorHAnsi" w:cstheme="minorHAnsi"/>
          <w:i/>
          <w:iCs/>
        </w:rPr>
        <w:t xml:space="preserve"> </w:t>
      </w:r>
      <w:r w:rsidR="005B0485">
        <w:rPr>
          <w:rFonts w:asciiTheme="minorHAnsi" w:hAnsiTheme="minorHAnsi" w:cstheme="minorHAnsi"/>
          <w:i/>
          <w:iCs/>
        </w:rPr>
        <w:t>However,</w:t>
      </w:r>
      <w:r>
        <w:rPr>
          <w:rFonts w:asciiTheme="minorHAnsi" w:hAnsiTheme="minorHAnsi" w:cstheme="minorHAnsi"/>
          <w:i/>
          <w:iCs/>
        </w:rPr>
        <w:t xml:space="preserve"> the information may best be referenced in a note.</w:t>
      </w:r>
      <w:r w:rsidR="005B0485">
        <w:rPr>
          <w:rFonts w:asciiTheme="minorHAnsi" w:hAnsiTheme="minorHAnsi" w:cstheme="minorHAnsi"/>
          <w:i/>
          <w:iCs/>
        </w:rPr>
        <w:t xml:space="preserve"> </w:t>
      </w:r>
      <w:r w:rsidR="009218D8" w:rsidRPr="00F659F3">
        <w:rPr>
          <w:i/>
          <w:iCs/>
          <w:color w:val="000000" w:themeColor="text1"/>
        </w:rPr>
        <w:t>PASC noted that the pathology report is unlikely to interpret the ratio test results as the pathologist will be unaware of the patient’s gestational age. The applicant was advised to address this in the assessment report.</w:t>
      </w:r>
    </w:p>
    <w:p w14:paraId="447069CD" w14:textId="0E2E612D" w:rsidR="00E75882" w:rsidRDefault="009218D8" w:rsidP="0061649A">
      <w:pPr>
        <w:autoSpaceDE w:val="0"/>
        <w:autoSpaceDN w:val="0"/>
        <w:adjustRightInd w:val="0"/>
        <w:spacing w:line="23" w:lineRule="atLeast"/>
      </w:pPr>
      <w:r w:rsidRPr="00F659F3">
        <w:rPr>
          <w:i/>
          <w:iCs/>
          <w:color w:val="000000" w:themeColor="text1"/>
        </w:rPr>
        <w:t>PASC also advised that a fee structure and justification should be proposed in the assessment report.</w:t>
      </w:r>
    </w:p>
    <w:p w14:paraId="7FB42883" w14:textId="10AAA509" w:rsidR="00E75882" w:rsidRPr="001958F9" w:rsidRDefault="00E75882" w:rsidP="0080792B">
      <w:pPr>
        <w:pStyle w:val="Heading2"/>
        <w:shd w:val="clear" w:color="auto" w:fill="FFFFFF" w:themeFill="background1"/>
        <w:tabs>
          <w:tab w:val="left" w:pos="5866"/>
        </w:tabs>
        <w:rPr>
          <w:rFonts w:ascii="Franklin Gothic Medium" w:hAnsi="Franklin Gothic Medium"/>
          <w:color w:val="000000" w:themeColor="text1"/>
          <w:sz w:val="32"/>
          <w:szCs w:val="32"/>
        </w:rPr>
      </w:pPr>
      <w:r w:rsidRPr="001958F9">
        <w:rPr>
          <w:rFonts w:ascii="Franklin Gothic Medium" w:hAnsi="Franklin Gothic Medium"/>
          <w:color w:val="000000" w:themeColor="text1"/>
          <w:sz w:val="32"/>
          <w:szCs w:val="32"/>
        </w:rPr>
        <w:t>Summary of public consultation input</w:t>
      </w:r>
    </w:p>
    <w:p w14:paraId="0ACBB882" w14:textId="3B1595EE" w:rsidR="00E87D78" w:rsidRPr="00544A71" w:rsidRDefault="00E87D78" w:rsidP="00292385">
      <w:pPr>
        <w:spacing w:before="120" w:after="0"/>
        <w:rPr>
          <w:b/>
          <w:bCs/>
        </w:rPr>
      </w:pPr>
      <w:r w:rsidRPr="00544A71">
        <w:rPr>
          <w:b/>
          <w:bCs/>
        </w:rPr>
        <w:t>Consultation Feedback</w:t>
      </w:r>
    </w:p>
    <w:p w14:paraId="44720AE6" w14:textId="2452B1D3" w:rsidR="00E87D78" w:rsidRPr="00E5056D" w:rsidRDefault="00E87D78" w:rsidP="00E87D78">
      <w:pPr>
        <w:spacing w:after="120"/>
        <w:rPr>
          <w:i/>
          <w:iCs/>
        </w:rPr>
      </w:pPr>
      <w:bookmarkStart w:id="48" w:name="_Hlk101967702"/>
      <w:r>
        <w:rPr>
          <w:i/>
          <w:iCs/>
        </w:rPr>
        <w:t>PASC noted and welcomed c</w:t>
      </w:r>
      <w:r w:rsidRPr="00E5056D">
        <w:rPr>
          <w:i/>
          <w:iCs/>
        </w:rPr>
        <w:t xml:space="preserve">onsultation input from </w:t>
      </w:r>
      <w:r>
        <w:rPr>
          <w:i/>
          <w:iCs/>
        </w:rPr>
        <w:t>three (3) professional</w:t>
      </w:r>
      <w:r w:rsidRPr="00E5056D">
        <w:rPr>
          <w:i/>
          <w:iCs/>
        </w:rPr>
        <w:t xml:space="preserve"> organisations</w:t>
      </w:r>
      <w:r>
        <w:rPr>
          <w:i/>
          <w:iCs/>
        </w:rPr>
        <w:t>, one (1) consumer organisation</w:t>
      </w:r>
      <w:r w:rsidRPr="00E5056D">
        <w:rPr>
          <w:i/>
          <w:iCs/>
        </w:rPr>
        <w:t xml:space="preserve"> and </w:t>
      </w:r>
      <w:r>
        <w:rPr>
          <w:i/>
          <w:iCs/>
        </w:rPr>
        <w:t>five (5)</w:t>
      </w:r>
      <w:r w:rsidRPr="00E5056D">
        <w:rPr>
          <w:i/>
          <w:iCs/>
        </w:rPr>
        <w:t xml:space="preserve"> individuals, of whom </w:t>
      </w:r>
      <w:r>
        <w:rPr>
          <w:i/>
          <w:iCs/>
        </w:rPr>
        <w:t>two (2)</w:t>
      </w:r>
      <w:r w:rsidRPr="00E5056D">
        <w:rPr>
          <w:i/>
          <w:iCs/>
        </w:rPr>
        <w:t xml:space="preserve"> </w:t>
      </w:r>
      <w:r>
        <w:rPr>
          <w:i/>
          <w:iCs/>
        </w:rPr>
        <w:t>were</w:t>
      </w:r>
      <w:r w:rsidRPr="00E5056D">
        <w:rPr>
          <w:i/>
          <w:iCs/>
        </w:rPr>
        <w:t xml:space="preserve"> consumer</w:t>
      </w:r>
      <w:r>
        <w:rPr>
          <w:i/>
          <w:iCs/>
        </w:rPr>
        <w:t>s and three (3)</w:t>
      </w:r>
      <w:r w:rsidRPr="00E5056D">
        <w:rPr>
          <w:i/>
          <w:iCs/>
        </w:rPr>
        <w:t xml:space="preserve"> medical</w:t>
      </w:r>
      <w:r>
        <w:rPr>
          <w:i/>
          <w:iCs/>
        </w:rPr>
        <w:t xml:space="preserve"> professionals</w:t>
      </w:r>
      <w:r w:rsidRPr="00E5056D">
        <w:rPr>
          <w:i/>
          <w:iCs/>
        </w:rPr>
        <w:t xml:space="preserve">. </w:t>
      </w:r>
      <w:r>
        <w:rPr>
          <w:i/>
          <w:iCs/>
        </w:rPr>
        <w:t xml:space="preserve">Consultation input was received from the following </w:t>
      </w:r>
      <w:r w:rsidRPr="00E5056D">
        <w:rPr>
          <w:i/>
          <w:iCs/>
        </w:rPr>
        <w:t>organisations:</w:t>
      </w:r>
    </w:p>
    <w:p w14:paraId="6618F1D1" w14:textId="77777777" w:rsidR="00E87D78" w:rsidRDefault="00E87D78" w:rsidP="00E87D78">
      <w:pPr>
        <w:pStyle w:val="ListParagraph"/>
        <w:numPr>
          <w:ilvl w:val="0"/>
          <w:numId w:val="40"/>
        </w:numPr>
        <w:spacing w:after="120" w:line="259" w:lineRule="auto"/>
        <w:rPr>
          <w:i/>
          <w:iCs/>
        </w:rPr>
      </w:pPr>
      <w:r>
        <w:rPr>
          <w:i/>
          <w:iCs/>
        </w:rPr>
        <w:t>Australian Action on Preeclampsia Inc (AAPEC)</w:t>
      </w:r>
    </w:p>
    <w:p w14:paraId="6601DE14" w14:textId="137CA127" w:rsidR="00E87D78" w:rsidRPr="004627B8" w:rsidRDefault="00E87D78" w:rsidP="00E87D78">
      <w:pPr>
        <w:pStyle w:val="ListParagraph"/>
        <w:numPr>
          <w:ilvl w:val="0"/>
          <w:numId w:val="40"/>
        </w:numPr>
        <w:spacing w:after="120" w:line="259" w:lineRule="auto"/>
        <w:rPr>
          <w:i/>
          <w:iCs/>
        </w:rPr>
      </w:pPr>
      <w:r>
        <w:rPr>
          <w:i/>
          <w:iCs/>
        </w:rPr>
        <w:lastRenderedPageBreak/>
        <w:t>Australian Pathology (AP)</w:t>
      </w:r>
    </w:p>
    <w:p w14:paraId="70B18878" w14:textId="77777777" w:rsidR="00E87D78" w:rsidRDefault="00E87D78" w:rsidP="00E87D78">
      <w:pPr>
        <w:pStyle w:val="ListParagraph"/>
        <w:numPr>
          <w:ilvl w:val="0"/>
          <w:numId w:val="40"/>
        </w:numPr>
        <w:spacing w:after="120" w:line="259" w:lineRule="auto"/>
        <w:rPr>
          <w:i/>
          <w:iCs/>
        </w:rPr>
      </w:pPr>
      <w:r>
        <w:rPr>
          <w:i/>
          <w:iCs/>
        </w:rPr>
        <w:t>Royal Australian and New Zealand College of Obstetricians and Gynaecologists (RANZCOG)</w:t>
      </w:r>
    </w:p>
    <w:p w14:paraId="65CD5050" w14:textId="2F3F232B" w:rsidR="00E87D78" w:rsidRPr="001961C7" w:rsidRDefault="00E87D78" w:rsidP="00E87D78">
      <w:pPr>
        <w:pStyle w:val="ListParagraph"/>
        <w:numPr>
          <w:ilvl w:val="0"/>
          <w:numId w:val="40"/>
        </w:numPr>
        <w:spacing w:after="120" w:line="259" w:lineRule="auto"/>
        <w:rPr>
          <w:i/>
          <w:iCs/>
        </w:rPr>
      </w:pPr>
      <w:r w:rsidRPr="001961C7">
        <w:rPr>
          <w:i/>
          <w:iCs/>
        </w:rPr>
        <w:t>Society of Obstetric Medicine Australia and New Zealand (SOMANZ)</w:t>
      </w:r>
      <w:r w:rsidR="00A947B7">
        <w:rPr>
          <w:i/>
          <w:iCs/>
        </w:rPr>
        <w:t>.</w:t>
      </w:r>
    </w:p>
    <w:p w14:paraId="108EFC7C" w14:textId="243505D5" w:rsidR="00E87D78" w:rsidRPr="001961C7" w:rsidRDefault="00E87D78" w:rsidP="00E87D78">
      <w:r w:rsidRPr="001961C7">
        <w:t>The consultation feedback received was broadly supportive of public funding for angiogenic and anti-angiogenic markers for identification and management of preeclampsia.</w:t>
      </w:r>
    </w:p>
    <w:p w14:paraId="5878D858" w14:textId="77777777" w:rsidR="00E87D78" w:rsidRDefault="00E87D78" w:rsidP="00292385">
      <w:pPr>
        <w:keepNext/>
        <w:spacing w:after="0"/>
        <w:rPr>
          <w:b/>
          <w:bCs/>
        </w:rPr>
      </w:pPr>
      <w:r w:rsidRPr="00C50417">
        <w:rPr>
          <w:b/>
          <w:bCs/>
        </w:rPr>
        <w:t>Clinical need and public health significance</w:t>
      </w:r>
    </w:p>
    <w:p w14:paraId="2F1083C2" w14:textId="77777777" w:rsidR="00E87D78" w:rsidRDefault="00E87D78" w:rsidP="00E87D78">
      <w:r>
        <w:t>The main benefits of public funding received in the consultation feedback included:</w:t>
      </w:r>
    </w:p>
    <w:p w14:paraId="279B7083" w14:textId="6CAF369A" w:rsidR="00E87D78" w:rsidRDefault="00E87D78" w:rsidP="00E87D78">
      <w:pPr>
        <w:pStyle w:val="ListParagraph"/>
        <w:numPr>
          <w:ilvl w:val="0"/>
          <w:numId w:val="37"/>
        </w:numPr>
        <w:spacing w:after="160" w:line="259" w:lineRule="auto"/>
      </w:pPr>
      <w:r w:rsidRPr="001961C7">
        <w:t>Accurate diagnosis and monitoring of pre-eclampsia w</w:t>
      </w:r>
      <w:r>
        <w:t>ould</w:t>
      </w:r>
      <w:r w:rsidRPr="001961C7">
        <w:t xml:space="preserve"> help to improve </w:t>
      </w:r>
      <w:r>
        <w:t>health</w:t>
      </w:r>
      <w:r w:rsidRPr="001961C7">
        <w:t xml:space="preserve"> outcomes for both mothers-to-be and their newborns. </w:t>
      </w:r>
      <w:r>
        <w:t>Clinicians would get a clear indication of placental malfunction and of the diagnosis of preeclampsia.</w:t>
      </w:r>
    </w:p>
    <w:p w14:paraId="11380C90" w14:textId="212D94B9" w:rsidR="00E87D78" w:rsidRDefault="00E87D78" w:rsidP="00E87D78">
      <w:pPr>
        <w:pStyle w:val="ListParagraph"/>
        <w:numPr>
          <w:ilvl w:val="0"/>
          <w:numId w:val="37"/>
        </w:numPr>
        <w:spacing w:after="160" w:line="259" w:lineRule="auto"/>
      </w:pPr>
      <w:r>
        <w:t>Patients would benefit from a reduction in unnecessary hospital admissions and tests. Earlier diagnosis would provide patients and their families with greater capacity to deal with diagnosis and make plans.</w:t>
      </w:r>
    </w:p>
    <w:p w14:paraId="2E46A1EB" w14:textId="4D6FD3B8" w:rsidR="00E87D78" w:rsidRDefault="00E87D78" w:rsidP="00E87D78">
      <w:pPr>
        <w:pStyle w:val="ListParagraph"/>
        <w:numPr>
          <w:ilvl w:val="0"/>
          <w:numId w:val="37"/>
        </w:numPr>
        <w:spacing w:after="160" w:line="259" w:lineRule="auto"/>
      </w:pPr>
      <w:r>
        <w:t>Reduced costs to the healthcare system</w:t>
      </w:r>
      <w:r w:rsidR="00F42B1A">
        <w:t>.</w:t>
      </w:r>
    </w:p>
    <w:p w14:paraId="66BE7149" w14:textId="77777777" w:rsidR="00E87D78" w:rsidRPr="00123605" w:rsidRDefault="00E87D78" w:rsidP="00E87D78">
      <w:pPr>
        <w:pStyle w:val="ListParagraph"/>
        <w:numPr>
          <w:ilvl w:val="0"/>
          <w:numId w:val="37"/>
        </w:numPr>
        <w:spacing w:after="160" w:line="259" w:lineRule="auto"/>
      </w:pPr>
      <w:r>
        <w:t xml:space="preserve">Equity of access for patients through increased availability of the test, especially for women </w:t>
      </w:r>
      <w:r w:rsidRPr="00123605">
        <w:t>in rural and remote locations.</w:t>
      </w:r>
    </w:p>
    <w:p w14:paraId="330CF136" w14:textId="77777777" w:rsidR="00E87D78" w:rsidRDefault="00E87D78" w:rsidP="00E87D78">
      <w:r>
        <w:t xml:space="preserve">Most consultation feedback did not identify any disadvantages of public funding. One organisation noted the false-negative test rates as a disadvantage, but noted that this was </w:t>
      </w:r>
      <w:proofErr w:type="gramStart"/>
      <w:r>
        <w:t>similar to</w:t>
      </w:r>
      <w:proofErr w:type="gramEnd"/>
      <w:r>
        <w:t xml:space="preserve"> other tests, and stated that the proposed test had excellent negative predictive capacity.</w:t>
      </w:r>
    </w:p>
    <w:p w14:paraId="128E697B" w14:textId="77777777" w:rsidR="00E87D78" w:rsidRDefault="00E87D78" w:rsidP="00E87D78">
      <w:r>
        <w:t>Other services identified in the consultation feedback as being needed to be delivered before or after the intervention included:</w:t>
      </w:r>
    </w:p>
    <w:p w14:paraId="7C714462" w14:textId="77777777" w:rsidR="00E87D78" w:rsidRDefault="00E87D78" w:rsidP="00E87D78">
      <w:pPr>
        <w:pStyle w:val="ListParagraph"/>
        <w:numPr>
          <w:ilvl w:val="0"/>
          <w:numId w:val="41"/>
        </w:numPr>
        <w:spacing w:after="0" w:line="240" w:lineRule="auto"/>
      </w:pPr>
      <w:r>
        <w:t>pre-intervention education regarding the test availability; and post-test counselling regarding interpretation of result, and</w:t>
      </w:r>
    </w:p>
    <w:p w14:paraId="2059665B" w14:textId="77777777" w:rsidR="00E87D78" w:rsidRDefault="00E87D78" w:rsidP="00E87D78">
      <w:pPr>
        <w:pStyle w:val="ListParagraph"/>
        <w:numPr>
          <w:ilvl w:val="0"/>
          <w:numId w:val="41"/>
        </w:numPr>
        <w:spacing w:line="240" w:lineRule="auto"/>
        <w:ind w:left="714" w:hanging="357"/>
      </w:pPr>
      <w:r>
        <w:t>a</w:t>
      </w:r>
      <w:r w:rsidRPr="002F6A51">
        <w:t>ppropriate ongoing obstetric management</w:t>
      </w:r>
      <w:r>
        <w:t xml:space="preserve">, based on maternal symptoms, </w:t>
      </w:r>
      <w:proofErr w:type="gramStart"/>
      <w:r>
        <w:t>examination</w:t>
      </w:r>
      <w:proofErr w:type="gramEnd"/>
      <w:r>
        <w:t xml:space="preserve"> and results.</w:t>
      </w:r>
    </w:p>
    <w:p w14:paraId="20B86330" w14:textId="77777777" w:rsidR="00E87D78" w:rsidRDefault="00E87D78" w:rsidP="00486551">
      <w:pPr>
        <w:keepNext/>
        <w:spacing w:after="0"/>
        <w:rPr>
          <w:b/>
          <w:bCs/>
        </w:rPr>
      </w:pPr>
      <w:r w:rsidRPr="00C50417">
        <w:rPr>
          <w:b/>
          <w:bCs/>
        </w:rPr>
        <w:t>Indication(s) for the proposed medical service and clinical claim</w:t>
      </w:r>
    </w:p>
    <w:p w14:paraId="5CC1EFC5" w14:textId="77777777" w:rsidR="00E87D78" w:rsidRDefault="00E87D78" w:rsidP="00E87D78">
      <w:r>
        <w:t>The consultation feedback ranged from ‘agreeing’ to ‘strongly agreeing’ with the proposed population(s).</w:t>
      </w:r>
    </w:p>
    <w:p w14:paraId="17182F69" w14:textId="18CE9108" w:rsidR="00E87D78" w:rsidRDefault="00E87D78" w:rsidP="00E87D78">
      <w:r>
        <w:t>The consultation feedback ranged from’ agreeing’ to ‘strongly agreeing’ with the proposed comparator(s).</w:t>
      </w:r>
    </w:p>
    <w:p w14:paraId="15DF96A1" w14:textId="2A083463" w:rsidR="00E87D78" w:rsidRDefault="00E87D78" w:rsidP="00E87D78">
      <w:pPr>
        <w:pStyle w:val="ListParagraph"/>
        <w:numPr>
          <w:ilvl w:val="0"/>
          <w:numId w:val="38"/>
        </w:numPr>
        <w:spacing w:after="160" w:line="259" w:lineRule="auto"/>
      </w:pPr>
      <w:r>
        <w:t>AAPEC agree</w:t>
      </w:r>
      <w:r w:rsidR="00720DB6">
        <w:t>d</w:t>
      </w:r>
      <w:r>
        <w:t xml:space="preserve"> with the comparators and noted its members considered the existing comparators were not adequate for the prediction of preeclampsia compared to the proposed test, meaning there are often “missed opportunities” to identify the risk of preeclampsia and commence appropriate and timely interventions.</w:t>
      </w:r>
    </w:p>
    <w:p w14:paraId="3DA25CE7" w14:textId="77777777" w:rsidR="00E87D78" w:rsidRDefault="00E87D78" w:rsidP="00E87D78">
      <w:pPr>
        <w:pStyle w:val="ListParagraph"/>
        <w:numPr>
          <w:ilvl w:val="0"/>
          <w:numId w:val="38"/>
        </w:numPr>
        <w:spacing w:after="160" w:line="259" w:lineRule="auto"/>
      </w:pPr>
      <w:r>
        <w:t>SOMANZ noted that the proposed comparator is the current gold standard of practice but lacked any predictive capacity or sensitivity.</w:t>
      </w:r>
    </w:p>
    <w:p w14:paraId="18D2EF86" w14:textId="025BBD91" w:rsidR="00E87D78" w:rsidRPr="00D07482" w:rsidRDefault="00E87D78" w:rsidP="00E87D78">
      <w:pPr>
        <w:pStyle w:val="ListParagraph"/>
        <w:numPr>
          <w:ilvl w:val="0"/>
          <w:numId w:val="38"/>
        </w:numPr>
        <w:spacing w:after="160" w:line="259" w:lineRule="auto"/>
      </w:pPr>
      <w:r>
        <w:t>AP noted there was additional diagnostic value to the tests listed in the comparators beyond simply the diagnosis and monitoring of pre-eclampsia. They considered that the test to quantify sFlt-1/PIGF ratio should not be considered a substitute for, or</w:t>
      </w:r>
      <w:r w:rsidR="00F42B1A">
        <w:t xml:space="preserve"> be</w:t>
      </w:r>
      <w:r>
        <w:t xml:space="preserve"> mutually exclusive from, the listed tests.</w:t>
      </w:r>
    </w:p>
    <w:p w14:paraId="6F3BA6D7" w14:textId="2C6E86E9" w:rsidR="00E87D78" w:rsidRDefault="00E87D78" w:rsidP="00F438ED">
      <w:pPr>
        <w:spacing w:after="120"/>
      </w:pPr>
      <w:r>
        <w:lastRenderedPageBreak/>
        <w:t>The consultation feedback ranged from ‘agreeing’ to ‘strongly agreeing’ with the clinical claim.</w:t>
      </w:r>
    </w:p>
    <w:p w14:paraId="5E7C8B07" w14:textId="479EA6B7" w:rsidR="00E87D78" w:rsidRPr="008D00A6" w:rsidRDefault="00E87D78" w:rsidP="00E87D78">
      <w:pPr>
        <w:pStyle w:val="ListParagraph"/>
        <w:numPr>
          <w:ilvl w:val="0"/>
          <w:numId w:val="39"/>
        </w:numPr>
        <w:spacing w:after="0" w:line="259" w:lineRule="auto"/>
        <w:ind w:left="709"/>
        <w:rPr>
          <w:b/>
          <w:bCs/>
        </w:rPr>
      </w:pPr>
      <w:r>
        <w:t>AAPEC considered that the documented performance of the proposed service indicated it was markedly more reliable than the comparator.</w:t>
      </w:r>
    </w:p>
    <w:p w14:paraId="6AEE6E5F" w14:textId="77777777" w:rsidR="00E87D78" w:rsidRDefault="00E87D78" w:rsidP="00E87D78">
      <w:pPr>
        <w:spacing w:after="0"/>
        <w:rPr>
          <w:b/>
          <w:bCs/>
        </w:rPr>
      </w:pPr>
    </w:p>
    <w:p w14:paraId="580D22C1" w14:textId="77777777" w:rsidR="00E87D78" w:rsidRPr="008D00A6" w:rsidRDefault="00E87D78" w:rsidP="00292385">
      <w:pPr>
        <w:keepNext/>
        <w:spacing w:after="0"/>
        <w:rPr>
          <w:b/>
          <w:bCs/>
        </w:rPr>
      </w:pPr>
      <w:r w:rsidRPr="008D00A6">
        <w:rPr>
          <w:b/>
          <w:bCs/>
        </w:rPr>
        <w:t>Cost information for the proposed medical service</w:t>
      </w:r>
    </w:p>
    <w:p w14:paraId="0AFB23DA" w14:textId="273A569D" w:rsidR="00E87D78" w:rsidRDefault="00E87D78" w:rsidP="00E87D78">
      <w:r>
        <w:t>The consultation feedback ranged from ‘agreeing’ to ‘strongly agreeing’ with the proposed service descriptor and proposed service fee.</w:t>
      </w:r>
    </w:p>
    <w:p w14:paraId="5F9B1E96" w14:textId="77777777" w:rsidR="00E87D78" w:rsidRDefault="00E87D78" w:rsidP="00E87D78">
      <w:pPr>
        <w:pStyle w:val="ListParagraph"/>
        <w:numPr>
          <w:ilvl w:val="0"/>
          <w:numId w:val="39"/>
        </w:numPr>
        <w:spacing w:after="0" w:line="259" w:lineRule="auto"/>
        <w:ind w:left="709"/>
      </w:pPr>
      <w:r>
        <w:t>The AAPEC noted the documented costs do not address the costs associated with promoting the proposed intervention to consumers and all relevant providers and stated that they are firmly of the view that an associated public campaign would be beneficial to the implementation and take up of the service.</w:t>
      </w:r>
    </w:p>
    <w:p w14:paraId="5CF149C4" w14:textId="77777777" w:rsidR="00E87D78" w:rsidRDefault="00E87D78" w:rsidP="00E87D78">
      <w:pPr>
        <w:pStyle w:val="ListParagraph"/>
        <w:numPr>
          <w:ilvl w:val="0"/>
          <w:numId w:val="39"/>
        </w:numPr>
        <w:spacing w:after="0" w:line="259" w:lineRule="auto"/>
        <w:ind w:left="709"/>
      </w:pPr>
      <w:r>
        <w:t>SOMANZ suggested rewording the descriptor as the placental assay was not specific for placental sFLT-1, and that some literature supported testing from 22 weeks as below:</w:t>
      </w:r>
    </w:p>
    <w:p w14:paraId="2FA7C5E9" w14:textId="77777777" w:rsidR="00E87D78" w:rsidRPr="00906070" w:rsidRDefault="00E87D78" w:rsidP="00E87D78">
      <w:pPr>
        <w:pStyle w:val="ListParagraph"/>
        <w:ind w:left="1134"/>
      </w:pPr>
      <w:r w:rsidRPr="00906070">
        <w:t>Quantitative determination of placental growth factor (</w:t>
      </w:r>
      <w:proofErr w:type="spellStart"/>
      <w:r w:rsidRPr="00906070">
        <w:t>PlGF</w:t>
      </w:r>
      <w:proofErr w:type="spellEnd"/>
      <w:r w:rsidRPr="00906070">
        <w:t xml:space="preserve">) and of </w:t>
      </w:r>
      <w:r w:rsidRPr="00906070">
        <w:rPr>
          <w:strike/>
        </w:rPr>
        <w:t>placental</w:t>
      </w:r>
      <w:r w:rsidRPr="00906070">
        <w:t xml:space="preserve"> soluble </w:t>
      </w:r>
      <w:proofErr w:type="spellStart"/>
      <w:r w:rsidRPr="00906070">
        <w:t>fms</w:t>
      </w:r>
      <w:proofErr w:type="spellEnd"/>
      <w:r w:rsidRPr="00906070">
        <w:t xml:space="preserve">-like tyrosine kinase1 (sFlt-1) to predict, identify or manage preeclampsia in pregnancies from </w:t>
      </w:r>
      <w:r w:rsidRPr="00906070">
        <w:rPr>
          <w:strike/>
        </w:rPr>
        <w:t>24</w:t>
      </w:r>
      <w:r w:rsidRPr="00906070">
        <w:rPr>
          <w:b/>
          <w:bCs/>
        </w:rPr>
        <w:t xml:space="preserve"> 22 </w:t>
      </w:r>
      <w:r w:rsidRPr="00906070">
        <w:t>gestational weeks.</w:t>
      </w:r>
    </w:p>
    <w:p w14:paraId="53ED5107" w14:textId="3461FCD5" w:rsidR="00E87D78" w:rsidRPr="007E72BE" w:rsidRDefault="00E87D78" w:rsidP="00AF3AAC">
      <w:pPr>
        <w:keepNext/>
        <w:spacing w:after="0"/>
      </w:pPr>
      <w:r w:rsidRPr="007E72BE">
        <w:rPr>
          <w:b/>
          <w:bCs/>
        </w:rPr>
        <w:t>Additional comments</w:t>
      </w:r>
    </w:p>
    <w:p w14:paraId="524A6F1B" w14:textId="64DC4D5B" w:rsidR="00E87D78" w:rsidRDefault="00E87D78" w:rsidP="00C60CCD">
      <w:r>
        <w:t>Additional comments were provided on associated interventions by AAPEC who considers the intervention to be readily implemented in a range of service models in all Australian states and territories. They went on to state that it will require adaptation in each jurisdiction and an associated professional and consumer education and awareness campaign.</w:t>
      </w:r>
    </w:p>
    <w:p w14:paraId="0C95386D" w14:textId="041980D5" w:rsidR="00E87D78" w:rsidRDefault="00E87D78" w:rsidP="00C60CCD">
      <w:r>
        <w:t>The AAPEC was concerned about equality of access and ensuring those living in rural and remote areas, Aboriginal and Torres Strait Islander women and their families, and residents of non-English speaking backgrounds have access to the intervention. The AAPEC considered a public campaign could be considered with the implementation of the proposed intervention.</w:t>
      </w:r>
    </w:p>
    <w:p w14:paraId="53A26A5D" w14:textId="77777777" w:rsidR="00E87D78" w:rsidRDefault="00E87D78" w:rsidP="00E87D78">
      <w:pPr>
        <w:rPr>
          <w:b/>
          <w:bCs/>
        </w:rPr>
      </w:pPr>
      <w:r>
        <w:rPr>
          <w:b/>
          <w:bCs/>
        </w:rPr>
        <w:t>Individual Feedback</w:t>
      </w:r>
    </w:p>
    <w:p w14:paraId="18D7578A" w14:textId="77777777" w:rsidR="00E87D78" w:rsidRDefault="00E87D78" w:rsidP="00E87D78">
      <w:pPr>
        <w:spacing w:after="0"/>
        <w:rPr>
          <w:b/>
        </w:rPr>
      </w:pPr>
      <w:r w:rsidRPr="00794644">
        <w:rPr>
          <w:b/>
        </w:rPr>
        <w:t>Health</w:t>
      </w:r>
      <w:r>
        <w:t xml:space="preserve"> </w:t>
      </w:r>
      <w:r w:rsidRPr="00123605">
        <w:rPr>
          <w:b/>
          <w:bCs/>
        </w:rPr>
        <w:t>Professionals</w:t>
      </w:r>
      <w:r>
        <w:t xml:space="preserve"> </w:t>
      </w:r>
    </w:p>
    <w:p w14:paraId="1846163D" w14:textId="77777777" w:rsidR="00E87D78" w:rsidRPr="00BC6FF9" w:rsidRDefault="00E87D78" w:rsidP="00E87D78">
      <w:r>
        <w:t xml:space="preserve">All health professionals were in support of the public funding for the proposed service, stating that public funding would increase accessibility and would be more cost-effective than the comparator. They considered that the proposed service could reduce hospital or clinic visits, and hospital </w:t>
      </w:r>
      <w:r w:rsidRPr="00BC6FF9">
        <w:t>admission. Low risk patients would benefit from less intervention.</w:t>
      </w:r>
    </w:p>
    <w:p w14:paraId="53CFD21D" w14:textId="1C100886" w:rsidR="00E87D78" w:rsidRDefault="00E87D78" w:rsidP="00E87D78">
      <w:r w:rsidRPr="00BC6FF9">
        <w:t xml:space="preserve">The health professionals agreed that the proposed service allows for planning by the patient and clinician in immediate and ongoing monitoring and management, including providing prognostic information, whether to begin treatments to protect the </w:t>
      </w:r>
      <w:proofErr w:type="spellStart"/>
      <w:r w:rsidRPr="00BC6FF9">
        <w:t>fetus</w:t>
      </w:r>
      <w:proofErr w:type="spellEnd"/>
      <w:r w:rsidRPr="00BC6FF9">
        <w:t xml:space="preserve"> and, whether </w:t>
      </w:r>
      <w:r w:rsidR="005C715C">
        <w:t>the patient should</w:t>
      </w:r>
      <w:r w:rsidRPr="00BC6FF9">
        <w:t xml:space="preserve"> be induced as </w:t>
      </w:r>
      <w:bookmarkStart w:id="49" w:name="_Hlk101967873"/>
      <w:bookmarkEnd w:id="48"/>
      <w:r w:rsidRPr="00D22A9B">
        <w:t xml:space="preserve">opposed to awaiting spontaneous labour while also reducing the need for iatrogenic pre-term delivery. They further agreed that the proposed service may result in reduced morbidity and mortality associated with preeclampsia through early management, reducing resources required to manage the disease and its consequences. One health professional expanded </w:t>
      </w:r>
      <w:r w:rsidR="005C715C">
        <w:t xml:space="preserve">on this </w:t>
      </w:r>
      <w:r w:rsidRPr="00D22A9B">
        <w:t xml:space="preserve">stating that the proposed service allows for monitoring of high-risk patients in an outpatient setting. One health professional pointed out that the proposed service would be useful in ruling out pre-eclampsia in conditions that mimic it, reassuring patients and reducing the need for investigation and review in </w:t>
      </w:r>
      <w:r w:rsidRPr="00D22A9B">
        <w:lastRenderedPageBreak/>
        <w:t>these patients. One health professional stated that publicly funding the proposed service will have positive ramifications for ongoing research and improved guidance for clinicians, leading to optimal patient care.</w:t>
      </w:r>
    </w:p>
    <w:p w14:paraId="66BC85F7" w14:textId="77777777" w:rsidR="00E87D78" w:rsidRDefault="00E87D78" w:rsidP="00E87D78">
      <w:pPr>
        <w:spacing w:after="0"/>
        <w:rPr>
          <w:b/>
        </w:rPr>
      </w:pPr>
      <w:r w:rsidRPr="00123605">
        <w:rPr>
          <w:b/>
          <w:bCs/>
        </w:rPr>
        <w:t>Consumer</w:t>
      </w:r>
      <w:r>
        <w:rPr>
          <w:b/>
        </w:rPr>
        <w:t xml:space="preserve"> submissions</w:t>
      </w:r>
    </w:p>
    <w:p w14:paraId="696C2FFE" w14:textId="77777777" w:rsidR="00E87D78" w:rsidRDefault="00E87D78" w:rsidP="00E87D78">
      <w:pPr>
        <w:rPr>
          <w:bCs/>
        </w:rPr>
      </w:pPr>
      <w:r>
        <w:rPr>
          <w:bCs/>
        </w:rPr>
        <w:t>Both consumers, one who also was a medical professional, had personal experience with the proposed medical service and were supportive of the proposed service.</w:t>
      </w:r>
    </w:p>
    <w:p w14:paraId="767A0640" w14:textId="77777777" w:rsidR="00E87D78" w:rsidRPr="00CB6EE6" w:rsidRDefault="00E87D78" w:rsidP="00E87D78">
      <w:pPr>
        <w:rPr>
          <w:bCs/>
        </w:rPr>
      </w:pPr>
      <w:r>
        <w:rPr>
          <w:bCs/>
        </w:rPr>
        <w:t>The consumers considered that the proposed service would allow for increased identification of high-risk patients prior to the development of symptoms and would aid health care staff in decision making around admission, pregnancy management and monitoring. The consumers agreed that the proposed service allows patients and families to prepare for hospital admissions, interventions, likely pre-term births, and allowed families to stay together for as long as possible prior to hospital admission. Patients identified at low risk of preeclampsia would benefit from the ability to undertake usual activities, such as travel. One consumer further stated that the proposed service is an important test, not only for women during pregnancy, but for women’s ongoing cardiovascular health.</w:t>
      </w:r>
    </w:p>
    <w:bookmarkEnd w:id="49"/>
    <w:p w14:paraId="7703A039" w14:textId="77777777" w:rsidR="00E75882" w:rsidRPr="00833F58" w:rsidRDefault="00E75882" w:rsidP="0080792B">
      <w:pPr>
        <w:pStyle w:val="Heading2"/>
        <w:shd w:val="clear" w:color="auto" w:fill="FFFFFF" w:themeFill="background1"/>
        <w:rPr>
          <w:rFonts w:ascii="Franklin Gothic Medium" w:hAnsi="Franklin Gothic Medium"/>
          <w:color w:val="000000" w:themeColor="text1"/>
          <w:sz w:val="32"/>
          <w:szCs w:val="32"/>
        </w:rPr>
      </w:pPr>
      <w:r w:rsidRPr="00833F58">
        <w:rPr>
          <w:rFonts w:ascii="Franklin Gothic Medium" w:hAnsi="Franklin Gothic Medium"/>
          <w:color w:val="000000" w:themeColor="text1"/>
          <w:sz w:val="32"/>
          <w:szCs w:val="32"/>
        </w:rPr>
        <w:t>Next steps</w:t>
      </w:r>
    </w:p>
    <w:p w14:paraId="77042F73" w14:textId="77777777" w:rsidR="00292385" w:rsidRDefault="005A7250" w:rsidP="00486551">
      <w:pPr>
        <w:pStyle w:val="Instructionaltext"/>
        <w:rPr>
          <w:rFonts w:asciiTheme="minorHAnsi" w:hAnsiTheme="minorHAnsi" w:cstheme="minorHAnsi"/>
          <w:i/>
          <w:color w:val="auto"/>
        </w:rPr>
      </w:pPr>
      <w:r w:rsidRPr="005A7250">
        <w:rPr>
          <w:rFonts w:asciiTheme="minorHAnsi" w:hAnsiTheme="minorHAnsi" w:cstheme="minorHAnsi"/>
          <w:i/>
          <w:color w:val="auto"/>
        </w:rPr>
        <w:t xml:space="preserve">PASC noted that the applicant had not yet decided whether to proceed with the application </w:t>
      </w:r>
      <w:r w:rsidRPr="005A7250">
        <w:rPr>
          <w:rFonts w:asciiTheme="minorHAnsi" w:hAnsiTheme="minorHAnsi"/>
          <w:i/>
          <w:color w:val="auto"/>
        </w:rPr>
        <w:t>as an ADAR (Applicant Developed Assessment</w:t>
      </w:r>
      <w:r w:rsidRPr="005A7250">
        <w:rPr>
          <w:rFonts w:asciiTheme="minorHAnsi" w:hAnsiTheme="minorHAnsi" w:cstheme="minorHAnsi"/>
          <w:i/>
          <w:color w:val="auto"/>
        </w:rPr>
        <w:t xml:space="preserve"> </w:t>
      </w:r>
      <w:r w:rsidRPr="005A7250">
        <w:rPr>
          <w:rFonts w:asciiTheme="minorHAnsi" w:hAnsiTheme="minorHAnsi"/>
          <w:i/>
          <w:color w:val="auto"/>
        </w:rPr>
        <w:t xml:space="preserve">Report) or a DCAR (Department Contracted Assessment Report) </w:t>
      </w:r>
      <w:r w:rsidRPr="005A7250">
        <w:rPr>
          <w:rFonts w:asciiTheme="minorHAnsi" w:hAnsiTheme="minorHAnsi" w:cstheme="minorHAnsi"/>
          <w:i/>
          <w:color w:val="auto"/>
        </w:rPr>
        <w:t>and will advise at a later stage.</w:t>
      </w:r>
    </w:p>
    <w:p w14:paraId="28086675" w14:textId="41B234D9" w:rsidR="00292385" w:rsidRDefault="00292385" w:rsidP="00292385">
      <w:pPr>
        <w:pStyle w:val="Heading2"/>
        <w:shd w:val="clear" w:color="auto" w:fill="FFFFFF" w:themeFill="background1"/>
        <w:rPr>
          <w:rFonts w:ascii="Franklin Gothic Medium" w:hAnsi="Franklin Gothic Medium"/>
          <w:color w:val="000000" w:themeColor="text1"/>
          <w:sz w:val="32"/>
          <w:szCs w:val="32"/>
        </w:rPr>
      </w:pPr>
      <w:r>
        <w:rPr>
          <w:rFonts w:ascii="Franklin Gothic Medium" w:hAnsi="Franklin Gothic Medium"/>
          <w:color w:val="000000" w:themeColor="text1"/>
          <w:sz w:val="32"/>
          <w:szCs w:val="32"/>
        </w:rPr>
        <w:t>Applicant comments on ratified PICO Confirmation</w:t>
      </w:r>
    </w:p>
    <w:p w14:paraId="6CA23C00" w14:textId="057B7B2C" w:rsidR="00292385" w:rsidRPr="00292385" w:rsidRDefault="00292385" w:rsidP="00292385">
      <w:pPr>
        <w:spacing w:before="120"/>
        <w:rPr>
          <w:i/>
          <w:iCs/>
        </w:rPr>
      </w:pPr>
      <w:r w:rsidRPr="00292385">
        <w:rPr>
          <w:i/>
          <w:iCs/>
        </w:rPr>
        <w:t>Nil.</w:t>
      </w:r>
    </w:p>
    <w:p w14:paraId="7962980B" w14:textId="341DD1BE" w:rsidR="005A7250" w:rsidRPr="00486551" w:rsidRDefault="005A7250" w:rsidP="00486551">
      <w:pPr>
        <w:pStyle w:val="Instructionaltext"/>
        <w:rPr>
          <w:color w:val="auto"/>
        </w:rPr>
      </w:pPr>
      <w:r>
        <w:br w:type="page"/>
      </w:r>
    </w:p>
    <w:bookmarkEnd w:id="42"/>
    <w:p w14:paraId="605FAD20" w14:textId="77777777" w:rsidR="00E75882" w:rsidRPr="00486551" w:rsidRDefault="00E75882" w:rsidP="00486551">
      <w:pPr>
        <w:pStyle w:val="Heading2"/>
        <w:shd w:val="clear" w:color="auto" w:fill="FFFFFF" w:themeFill="background1"/>
        <w:rPr>
          <w:rFonts w:ascii="Franklin Gothic Medium" w:hAnsi="Franklin Gothic Medium"/>
          <w:color w:val="000000" w:themeColor="text1"/>
          <w:sz w:val="32"/>
          <w:szCs w:val="32"/>
        </w:rPr>
      </w:pPr>
      <w:r w:rsidRPr="00486551">
        <w:rPr>
          <w:rFonts w:ascii="Franklin Gothic Medium" w:hAnsi="Franklin Gothic Medium"/>
          <w:color w:val="000000" w:themeColor="text1"/>
          <w:sz w:val="32"/>
          <w:szCs w:val="32"/>
        </w:rPr>
        <w:lastRenderedPageBreak/>
        <w:t>References</w:t>
      </w:r>
    </w:p>
    <w:p w14:paraId="79810F53" w14:textId="376C5913" w:rsidR="006F31F0" w:rsidRPr="00F40449" w:rsidRDefault="006F31F0" w:rsidP="00677A3A">
      <w:pPr>
        <w:pStyle w:val="EndNoteBibliography"/>
        <w:spacing w:after="0"/>
      </w:pPr>
      <w:bookmarkStart w:id="50" w:name="three"/>
    </w:p>
    <w:p w14:paraId="6AEE01A5" w14:textId="4BAD1352" w:rsidR="006F31F0" w:rsidRDefault="006F31F0" w:rsidP="002C1EA9">
      <w:pPr>
        <w:pStyle w:val="EndNoteBibliography"/>
        <w:numPr>
          <w:ilvl w:val="0"/>
          <w:numId w:val="35"/>
        </w:numPr>
        <w:spacing w:after="0"/>
        <w:jc w:val="left"/>
      </w:pPr>
      <w:r w:rsidRPr="00F40449">
        <w:t xml:space="preserve">Chappell, L.C., et al., </w:t>
      </w:r>
      <w:r w:rsidRPr="002A545A">
        <w:t>Pre-eclampsia.</w:t>
      </w:r>
      <w:r w:rsidRPr="00F40449">
        <w:t xml:space="preserve"> The Lancet, 2021. </w:t>
      </w:r>
      <w:r w:rsidRPr="002A545A">
        <w:t>398</w:t>
      </w:r>
      <w:r w:rsidRPr="00F40449">
        <w:t>(10297): p. 341-354</w:t>
      </w:r>
      <w:r w:rsidR="002C1EA9">
        <w:t>.</w:t>
      </w:r>
    </w:p>
    <w:p w14:paraId="774151C0" w14:textId="2795B2C9" w:rsidR="006F31F0" w:rsidRDefault="006F31F0" w:rsidP="002C1EA9">
      <w:pPr>
        <w:pStyle w:val="EndNoteBibliography"/>
        <w:numPr>
          <w:ilvl w:val="0"/>
          <w:numId w:val="35"/>
        </w:numPr>
        <w:spacing w:after="0"/>
        <w:jc w:val="left"/>
      </w:pPr>
      <w:r>
        <w:t xml:space="preserve">American College of </w:t>
      </w:r>
      <w:r w:rsidRPr="00F40449">
        <w:t xml:space="preserve">Obstetricians Gynecologists, </w:t>
      </w:r>
      <w:r w:rsidRPr="002A545A">
        <w:t>Task Force on Hypertension in Pregnancy Hypertension in pregnancy. Report of the American College of Obstetricians and Gynecologists’ task force on hypertension in pregnancy.</w:t>
      </w:r>
      <w:r w:rsidRPr="00F40449">
        <w:t xml:space="preserve"> Obstet Gynecol, 2013. </w:t>
      </w:r>
      <w:r w:rsidRPr="002A545A">
        <w:t>122</w:t>
      </w:r>
      <w:r w:rsidRPr="00F40449">
        <w:t>(5): p. 1122-1131.</w:t>
      </w:r>
    </w:p>
    <w:p w14:paraId="00EF3475" w14:textId="69DDA64A" w:rsidR="00E75882" w:rsidRPr="00F40449" w:rsidRDefault="00E75882" w:rsidP="002C1EA9">
      <w:pPr>
        <w:pStyle w:val="EndNoteBibliography"/>
        <w:numPr>
          <w:ilvl w:val="0"/>
          <w:numId w:val="35"/>
        </w:numPr>
        <w:spacing w:after="0"/>
        <w:jc w:val="left"/>
      </w:pPr>
      <w:r w:rsidRPr="00F40449">
        <w:t xml:space="preserve">Poon, L.C., et al., </w:t>
      </w:r>
      <w:r w:rsidRPr="00F40449">
        <w:rPr>
          <w:i/>
        </w:rPr>
        <w:t>A literature review and best practice advice for second and third trimester risk stratification, monitoring, and management of pre-eclampsia: Compiled by the Pregnancy and Non-Communicable Diseases Committee of FIGO (the International Federation of Gynecology and Obstetrics).</w:t>
      </w:r>
      <w:r w:rsidRPr="00F40449">
        <w:t xml:space="preserve"> 2021.</w:t>
      </w:r>
      <w:bookmarkEnd w:id="50"/>
    </w:p>
    <w:p w14:paraId="73BC0C7F" w14:textId="12745E2F" w:rsidR="00E75882" w:rsidRPr="00F40449" w:rsidRDefault="00E75882" w:rsidP="002C1EA9">
      <w:pPr>
        <w:pStyle w:val="EndNoteBibliography"/>
        <w:numPr>
          <w:ilvl w:val="0"/>
          <w:numId w:val="35"/>
        </w:numPr>
        <w:spacing w:after="0"/>
        <w:jc w:val="left"/>
      </w:pPr>
      <w:r w:rsidRPr="00F40449">
        <w:t xml:space="preserve">Mol, B.W.J., et al., </w:t>
      </w:r>
      <w:r w:rsidRPr="00F40449">
        <w:rPr>
          <w:i/>
        </w:rPr>
        <w:t>Pre-eclampsia.</w:t>
      </w:r>
      <w:r w:rsidRPr="00F40449">
        <w:t xml:space="preserve"> The Lancet, 2016. </w:t>
      </w:r>
      <w:r w:rsidRPr="00F40449">
        <w:rPr>
          <w:b/>
        </w:rPr>
        <w:t>387</w:t>
      </w:r>
      <w:r w:rsidRPr="00F40449">
        <w:t>(10022): p. 999-1011.</w:t>
      </w:r>
    </w:p>
    <w:p w14:paraId="1038537C" w14:textId="154DE228" w:rsidR="00E75882" w:rsidRPr="00F40449" w:rsidRDefault="00E75882" w:rsidP="002C1EA9">
      <w:pPr>
        <w:pStyle w:val="EndNoteBibliography"/>
        <w:numPr>
          <w:ilvl w:val="0"/>
          <w:numId w:val="35"/>
        </w:numPr>
        <w:spacing w:after="0"/>
        <w:jc w:val="left"/>
      </w:pPr>
      <w:r w:rsidRPr="00F40449">
        <w:t xml:space="preserve">Fox, R., et al., </w:t>
      </w:r>
      <w:r w:rsidRPr="00F40449">
        <w:rPr>
          <w:i/>
        </w:rPr>
        <w:t>Preeclampsia: Risk Factors, Diagnosis, Management, and the Cardiovascular Impact on the Offspring.</w:t>
      </w:r>
      <w:r w:rsidRPr="00F40449">
        <w:t xml:space="preserve"> Journal of clinical medicine, 2019. </w:t>
      </w:r>
      <w:r w:rsidRPr="00F40449">
        <w:rPr>
          <w:b/>
        </w:rPr>
        <w:t>8</w:t>
      </w:r>
      <w:r w:rsidRPr="00F40449">
        <w:t>(10): p. 1625.</w:t>
      </w:r>
    </w:p>
    <w:p w14:paraId="5BE777EA" w14:textId="67E9CB08" w:rsidR="00E75882" w:rsidRPr="00F40449" w:rsidRDefault="00E75882" w:rsidP="002C1EA9">
      <w:pPr>
        <w:pStyle w:val="EndNoteBibliography"/>
        <w:numPr>
          <w:ilvl w:val="0"/>
          <w:numId w:val="35"/>
        </w:numPr>
        <w:spacing w:after="0"/>
        <w:jc w:val="left"/>
      </w:pPr>
      <w:r w:rsidRPr="00F40449">
        <w:t xml:space="preserve">Lowe, S.A., et al., </w:t>
      </w:r>
      <w:r w:rsidRPr="00F40449">
        <w:rPr>
          <w:i/>
        </w:rPr>
        <w:t>SOMANZ guidelines for the management of hypertensive disorders of pregnancy 2014.</w:t>
      </w:r>
      <w:r w:rsidRPr="00F40449">
        <w:t xml:space="preserve"> Australian and New Zealand Journal of Obstetrics and Gynaecology, 2015. </w:t>
      </w:r>
      <w:r w:rsidRPr="00F40449">
        <w:rPr>
          <w:b/>
        </w:rPr>
        <w:t>55</w:t>
      </w:r>
      <w:r w:rsidRPr="00F40449">
        <w:t>(5): p. e1-e29.</w:t>
      </w:r>
    </w:p>
    <w:p w14:paraId="59F02ADE" w14:textId="2DEDD3DE" w:rsidR="00E75882" w:rsidRPr="00F40449" w:rsidRDefault="00E75882" w:rsidP="002C1EA9">
      <w:pPr>
        <w:pStyle w:val="EndNoteBibliography"/>
        <w:numPr>
          <w:ilvl w:val="0"/>
          <w:numId w:val="35"/>
        </w:numPr>
        <w:spacing w:after="0"/>
        <w:jc w:val="left"/>
      </w:pPr>
      <w:r w:rsidRPr="00F40449">
        <w:t xml:space="preserve">Agrawal, S., et al., </w:t>
      </w:r>
      <w:r w:rsidRPr="00F40449">
        <w:rPr>
          <w:i/>
        </w:rPr>
        <w:t>Meta-analysis and systematic review to assess the role of soluble FMS-like tyrosine kinase-1 and placenta growth factor ratio in prediction of preeclampsia: the SaPPPhirE study.</w:t>
      </w:r>
      <w:r w:rsidRPr="00F40449">
        <w:t xml:space="preserve"> Hypertension, 2018. </w:t>
      </w:r>
      <w:r w:rsidRPr="00F40449">
        <w:rPr>
          <w:b/>
        </w:rPr>
        <w:t>71</w:t>
      </w:r>
      <w:r w:rsidRPr="00F40449">
        <w:t>(2): p. 306-316.</w:t>
      </w:r>
    </w:p>
    <w:p w14:paraId="6DA95ED6" w14:textId="17E5B502" w:rsidR="00E75882" w:rsidRPr="00F40449" w:rsidRDefault="00E75882" w:rsidP="002C1EA9">
      <w:pPr>
        <w:pStyle w:val="EndNoteBibliography"/>
        <w:numPr>
          <w:ilvl w:val="0"/>
          <w:numId w:val="35"/>
        </w:numPr>
        <w:spacing w:after="0"/>
        <w:jc w:val="left"/>
      </w:pPr>
      <w:r w:rsidRPr="00F40449">
        <w:t xml:space="preserve">Campos, A., et al., </w:t>
      </w:r>
      <w:r w:rsidRPr="00F40449">
        <w:rPr>
          <w:i/>
        </w:rPr>
        <w:t>sFlt-1/PlGF ratio for the predictive diagnosis of preeclampsia: budget impact analysis from the public healthcare perspective in Portugal sFlt-1/PIGF no diagnóstico preditivo de pré-eclâmpsia: estudo de impacto económico em Portugal.</w:t>
      </w:r>
      <w:r w:rsidRPr="00F40449">
        <w:t xml:space="preserve"> Acta Obstet Ginecol Port, 2019. </w:t>
      </w:r>
      <w:r w:rsidRPr="00F40449">
        <w:rPr>
          <w:b/>
        </w:rPr>
        <w:t>13</w:t>
      </w:r>
      <w:r w:rsidRPr="00F40449">
        <w:t>(2): p. 82-90.</w:t>
      </w:r>
    </w:p>
    <w:p w14:paraId="15A82FEE" w14:textId="625DBA88" w:rsidR="00E75882" w:rsidRPr="00F40449" w:rsidRDefault="00E75882" w:rsidP="002C1EA9">
      <w:pPr>
        <w:pStyle w:val="EndNoteBibliography"/>
        <w:numPr>
          <w:ilvl w:val="0"/>
          <w:numId w:val="35"/>
        </w:numPr>
        <w:spacing w:after="0"/>
        <w:jc w:val="left"/>
      </w:pPr>
      <w:r w:rsidRPr="00F40449">
        <w:t xml:space="preserve">Benzing, T., </w:t>
      </w:r>
      <w:r w:rsidRPr="00F40449">
        <w:rPr>
          <w:i/>
        </w:rPr>
        <w:t>Testing for pre-eclampsia: paving the way to early diagnosis.</w:t>
      </w:r>
      <w:r w:rsidRPr="00F40449">
        <w:t xml:space="preserve"> Nature Reviews Nephrology, 2016. </w:t>
      </w:r>
      <w:r w:rsidRPr="00F40449">
        <w:rPr>
          <w:b/>
        </w:rPr>
        <w:t>12</w:t>
      </w:r>
      <w:r w:rsidRPr="00F40449">
        <w:t>(4): p. 200-202.</w:t>
      </w:r>
    </w:p>
    <w:p w14:paraId="70437E6C" w14:textId="40C9E513" w:rsidR="00E75882" w:rsidRPr="00F40449" w:rsidRDefault="00E75882" w:rsidP="002C1EA9">
      <w:pPr>
        <w:pStyle w:val="EndNoteBibliography"/>
        <w:numPr>
          <w:ilvl w:val="0"/>
          <w:numId w:val="35"/>
        </w:numPr>
        <w:spacing w:after="0"/>
        <w:jc w:val="left"/>
      </w:pPr>
      <w:r w:rsidRPr="00F40449">
        <w:t xml:space="preserve">Ananth, C.V., K.M. Keyes, and R.J. Wapner, </w:t>
      </w:r>
      <w:r w:rsidRPr="00F40449">
        <w:rPr>
          <w:i/>
        </w:rPr>
        <w:t>Pre-eclampsia rates in the United States, 1980-2010: age-period-cohort analysis.</w:t>
      </w:r>
      <w:r w:rsidRPr="00F40449">
        <w:t xml:space="preserve"> Bmj, 2013. </w:t>
      </w:r>
      <w:r w:rsidRPr="00F40449">
        <w:rPr>
          <w:b/>
        </w:rPr>
        <w:t>347</w:t>
      </w:r>
      <w:r w:rsidRPr="00F40449">
        <w:t>.</w:t>
      </w:r>
    </w:p>
    <w:p w14:paraId="6855E194" w14:textId="1C65D26F" w:rsidR="00E75882" w:rsidRPr="00F40449" w:rsidRDefault="00E75882" w:rsidP="002C1EA9">
      <w:pPr>
        <w:pStyle w:val="EndNoteBibliography"/>
        <w:numPr>
          <w:ilvl w:val="0"/>
          <w:numId w:val="35"/>
        </w:numPr>
        <w:spacing w:after="0"/>
        <w:jc w:val="left"/>
      </w:pPr>
      <w:r w:rsidRPr="00F40449">
        <w:t xml:space="preserve">Thornton, C., et al., </w:t>
      </w:r>
      <w:r w:rsidRPr="00F40449">
        <w:rPr>
          <w:i/>
        </w:rPr>
        <w:t>The incidence of preeclampsia and eclampsia and associated maternal mortality in Australia from population-linked datasets: 2000-2008.</w:t>
      </w:r>
      <w:r w:rsidRPr="00F40449">
        <w:t xml:space="preserve"> American journal of obstetrics and gynecology, 2013. </w:t>
      </w:r>
      <w:r w:rsidRPr="00F40449">
        <w:rPr>
          <w:b/>
        </w:rPr>
        <w:t>208</w:t>
      </w:r>
      <w:r w:rsidRPr="00F40449">
        <w:t>(6): p. 476. e1-476. e5.</w:t>
      </w:r>
    </w:p>
    <w:p w14:paraId="41BBDDC8" w14:textId="0946BF93" w:rsidR="00E75882" w:rsidRPr="00F40449" w:rsidRDefault="00E75882" w:rsidP="002C1EA9">
      <w:pPr>
        <w:pStyle w:val="EndNoteBibliography"/>
        <w:numPr>
          <w:ilvl w:val="0"/>
          <w:numId w:val="35"/>
        </w:numPr>
        <w:spacing w:after="0"/>
        <w:jc w:val="left"/>
      </w:pPr>
      <w:r w:rsidRPr="00F40449">
        <w:t xml:space="preserve">AIHW, H.M., Bonello MR, Chughtai A, Macaldowie A, Harris K &amp; Chambers GM, </w:t>
      </w:r>
      <w:r w:rsidRPr="00F40449">
        <w:rPr>
          <w:i/>
        </w:rPr>
        <w:t>Maternal deaths in Australia 2008–2012</w:t>
      </w:r>
      <w:r w:rsidRPr="00F40449">
        <w:t>, Australian Institute of Health and Welfare, Editor. 2015, AIHW: Canberra.</w:t>
      </w:r>
    </w:p>
    <w:p w14:paraId="5F381486" w14:textId="7A30164F" w:rsidR="00E75882" w:rsidRPr="00F40449" w:rsidRDefault="00E75882" w:rsidP="002C1EA9">
      <w:pPr>
        <w:pStyle w:val="EndNoteBibliography"/>
        <w:numPr>
          <w:ilvl w:val="0"/>
          <w:numId w:val="35"/>
        </w:numPr>
        <w:spacing w:after="0"/>
        <w:jc w:val="left"/>
      </w:pPr>
      <w:r w:rsidRPr="00F40449">
        <w:t xml:space="preserve">Queensland Clinical Guidelines, </w:t>
      </w:r>
      <w:r w:rsidRPr="00F40449">
        <w:rPr>
          <w:i/>
        </w:rPr>
        <w:t>Hypertension and pregnancy</w:t>
      </w:r>
      <w:r w:rsidRPr="00F40449">
        <w:t>, Queensland Clinical Guidelines Steering Committee and Statewide Maternity and Neonatal Clinical Network (Queensland), Editor. 2021, Queensland Health: Online.</w:t>
      </w:r>
    </w:p>
    <w:p w14:paraId="057854D7" w14:textId="21D4BF79" w:rsidR="00E75882" w:rsidRPr="00F40449" w:rsidRDefault="00E75882" w:rsidP="002C1EA9">
      <w:pPr>
        <w:pStyle w:val="EndNoteBibliography"/>
        <w:numPr>
          <w:ilvl w:val="0"/>
          <w:numId w:val="35"/>
        </w:numPr>
        <w:spacing w:after="0"/>
        <w:jc w:val="left"/>
      </w:pPr>
      <w:r w:rsidRPr="00F40449">
        <w:t xml:space="preserve">Levine, R.J., et al., </w:t>
      </w:r>
      <w:r w:rsidRPr="00F40449">
        <w:rPr>
          <w:i/>
        </w:rPr>
        <w:t>Circulating Angiogenic Factors and the Risk of Preeclampsia.</w:t>
      </w:r>
      <w:r w:rsidRPr="00F40449">
        <w:t xml:space="preserve"> New England Journal of Medicine, 2004. </w:t>
      </w:r>
      <w:r w:rsidRPr="00F40449">
        <w:rPr>
          <w:b/>
        </w:rPr>
        <w:t>350</w:t>
      </w:r>
      <w:r w:rsidRPr="00F40449">
        <w:t>(7): p. 672-683.</w:t>
      </w:r>
    </w:p>
    <w:p w14:paraId="745B6EC1" w14:textId="79C258A6" w:rsidR="00E75882" w:rsidRPr="00F40449" w:rsidRDefault="00E75882" w:rsidP="002C1EA9">
      <w:pPr>
        <w:pStyle w:val="EndNoteBibliography"/>
        <w:numPr>
          <w:ilvl w:val="0"/>
          <w:numId w:val="35"/>
        </w:numPr>
        <w:spacing w:after="0"/>
        <w:jc w:val="left"/>
      </w:pPr>
      <w:r w:rsidRPr="00F40449">
        <w:t xml:space="preserve">Agrawal, S., et al., </w:t>
      </w:r>
      <w:r w:rsidRPr="00F40449">
        <w:rPr>
          <w:i/>
        </w:rPr>
        <w:t>Predictive performance of PlGF (placental growth factor) for screening preeclampsia in asymptomatic women: a systematic review and meta-analysis.</w:t>
      </w:r>
      <w:r w:rsidRPr="00F40449">
        <w:t xml:space="preserve"> Hypertension, 2019. </w:t>
      </w:r>
      <w:r w:rsidRPr="00F40449">
        <w:rPr>
          <w:b/>
        </w:rPr>
        <w:t>74</w:t>
      </w:r>
      <w:r w:rsidRPr="00F40449">
        <w:t>(5): p. 1124-1135.</w:t>
      </w:r>
    </w:p>
    <w:p w14:paraId="72B4DA38" w14:textId="2FCFD463" w:rsidR="00E75882" w:rsidRPr="00F40449" w:rsidRDefault="00E75882" w:rsidP="002C1EA9">
      <w:pPr>
        <w:pStyle w:val="EndNoteBibliography"/>
        <w:numPr>
          <w:ilvl w:val="0"/>
          <w:numId w:val="35"/>
        </w:numPr>
        <w:spacing w:after="0"/>
        <w:jc w:val="left"/>
      </w:pPr>
      <w:r w:rsidRPr="00F40449">
        <w:t xml:space="preserve">National Institute for Health and Care Excellence, </w:t>
      </w:r>
      <w:r w:rsidRPr="00F40449">
        <w:rPr>
          <w:i/>
        </w:rPr>
        <w:t>Hypertension in pregnancy: diagnosis and management</w:t>
      </w:r>
      <w:r w:rsidRPr="00F40449">
        <w:t xml:space="preserve">, in </w:t>
      </w:r>
      <w:r w:rsidRPr="00F40449">
        <w:rPr>
          <w:i/>
        </w:rPr>
        <w:t>NICE guideline</w:t>
      </w:r>
      <w:r w:rsidRPr="00F40449">
        <w:t>. 2019, National Institute for Health and Care Excellence: Online.</w:t>
      </w:r>
    </w:p>
    <w:p w14:paraId="1F249D24" w14:textId="5313AC03" w:rsidR="00E75882" w:rsidRPr="00F40449" w:rsidRDefault="00E75882" w:rsidP="002C1EA9">
      <w:pPr>
        <w:pStyle w:val="EndNoteBibliography"/>
        <w:numPr>
          <w:ilvl w:val="0"/>
          <w:numId w:val="35"/>
        </w:numPr>
        <w:spacing w:after="0"/>
        <w:jc w:val="left"/>
      </w:pPr>
      <w:r w:rsidRPr="00F40449">
        <w:t xml:space="preserve">Bartsch, E., et al., </w:t>
      </w:r>
      <w:r w:rsidRPr="00F40449">
        <w:rPr>
          <w:i/>
        </w:rPr>
        <w:t>Clinical risk factors for pre-eclampsia determined in early pregnancy: systematic review and meta-analysis of large cohort studies.</w:t>
      </w:r>
      <w:r w:rsidRPr="00F40449">
        <w:t xml:space="preserve"> Bmj, 2016. </w:t>
      </w:r>
      <w:r w:rsidRPr="00F40449">
        <w:rPr>
          <w:b/>
        </w:rPr>
        <w:t>353</w:t>
      </w:r>
      <w:r w:rsidRPr="00F40449">
        <w:t>.</w:t>
      </w:r>
    </w:p>
    <w:p w14:paraId="5AAD3F39" w14:textId="34BAC4F5" w:rsidR="00E75882" w:rsidRPr="00F40449" w:rsidRDefault="00E75882" w:rsidP="002C1EA9">
      <w:pPr>
        <w:pStyle w:val="EndNoteBibliography"/>
        <w:numPr>
          <w:ilvl w:val="0"/>
          <w:numId w:val="35"/>
        </w:numPr>
        <w:spacing w:after="0"/>
        <w:jc w:val="left"/>
      </w:pPr>
      <w:r w:rsidRPr="00F40449">
        <w:t xml:space="preserve">De Kat, A.C., et al., </w:t>
      </w:r>
      <w:r w:rsidRPr="00F40449">
        <w:rPr>
          <w:i/>
        </w:rPr>
        <w:t>Prediction models for preeclampsia: A systematic review.</w:t>
      </w:r>
      <w:r w:rsidRPr="00F40449">
        <w:t xml:space="preserve"> Pregnancy Hypertension, 2019. </w:t>
      </w:r>
      <w:r w:rsidRPr="00F40449">
        <w:rPr>
          <w:b/>
        </w:rPr>
        <w:t>16</w:t>
      </w:r>
      <w:r w:rsidRPr="00F40449">
        <w:t>: p. 48-66.</w:t>
      </w:r>
    </w:p>
    <w:p w14:paraId="435F630B" w14:textId="7C22CAFC" w:rsidR="00E75882" w:rsidRPr="00F40449" w:rsidRDefault="00E75882" w:rsidP="002C1EA9">
      <w:pPr>
        <w:pStyle w:val="EndNoteBibliography"/>
        <w:numPr>
          <w:ilvl w:val="0"/>
          <w:numId w:val="35"/>
        </w:numPr>
        <w:spacing w:after="0"/>
        <w:jc w:val="left"/>
      </w:pPr>
      <w:r w:rsidRPr="00F40449">
        <w:lastRenderedPageBreak/>
        <w:t xml:space="preserve">Judd, F., et al., </w:t>
      </w:r>
      <w:r w:rsidRPr="00F40449">
        <w:rPr>
          <w:i/>
        </w:rPr>
        <w:t>Adverse obstetric and neonatal outcomes in women with severe mental illness: to what extent can they be prevented?</w:t>
      </w:r>
      <w:r w:rsidRPr="00F40449">
        <w:t xml:space="preserve"> Schizophrenia Research, 2014. </w:t>
      </w:r>
      <w:r w:rsidRPr="00F40449">
        <w:rPr>
          <w:b/>
        </w:rPr>
        <w:t>157</w:t>
      </w:r>
      <w:r w:rsidRPr="00F40449">
        <w:t>(1-3): p. 305-309.</w:t>
      </w:r>
    </w:p>
    <w:p w14:paraId="3D678812" w14:textId="5DD21989" w:rsidR="00E75882" w:rsidRPr="00F40449" w:rsidRDefault="00E75882" w:rsidP="002C1EA9">
      <w:pPr>
        <w:pStyle w:val="EndNoteBibliography"/>
        <w:numPr>
          <w:ilvl w:val="0"/>
          <w:numId w:val="35"/>
        </w:numPr>
        <w:spacing w:after="0"/>
        <w:jc w:val="left"/>
      </w:pPr>
      <w:r w:rsidRPr="00F40449">
        <w:t xml:space="preserve">Perez-Cuevas, R., et al., </w:t>
      </w:r>
      <w:r w:rsidRPr="00F40449">
        <w:rPr>
          <w:i/>
        </w:rPr>
        <w:t>Critical pathways for the management of preeclampsia and severe preeclampsia in institutionalised health care settings.</w:t>
      </w:r>
      <w:r w:rsidRPr="00F40449">
        <w:t xml:space="preserve"> BMC pregnancy and childbirth, 2003. </w:t>
      </w:r>
      <w:r w:rsidRPr="00F40449">
        <w:rPr>
          <w:b/>
        </w:rPr>
        <w:t>3</w:t>
      </w:r>
      <w:r w:rsidRPr="00F40449">
        <w:t>(1): p. 6-6.</w:t>
      </w:r>
    </w:p>
    <w:p w14:paraId="47DBE3AB" w14:textId="602A7D80" w:rsidR="00E75882" w:rsidRPr="00F40449" w:rsidRDefault="00E75882" w:rsidP="002C1EA9">
      <w:pPr>
        <w:pStyle w:val="EndNoteBibliography"/>
        <w:numPr>
          <w:ilvl w:val="0"/>
          <w:numId w:val="35"/>
        </w:numPr>
        <w:spacing w:after="0"/>
        <w:jc w:val="left"/>
      </w:pPr>
      <w:r w:rsidRPr="00F40449">
        <w:t xml:space="preserve">Andersen, L.L.T., et al., </w:t>
      </w:r>
      <w:r w:rsidRPr="00F40449">
        <w:rPr>
          <w:i/>
        </w:rPr>
        <w:t>Decision Threshold for Kryptor sFlt‐1/PlGF Ratio in Women With Suspected Preeclampsia: Retrospective Study in a Routine Clinical Setting.</w:t>
      </w:r>
      <w:r w:rsidRPr="00F40449">
        <w:t xml:space="preserve"> Journal of the American Heart Association, 2021. </w:t>
      </w:r>
      <w:r w:rsidRPr="00F40449">
        <w:rPr>
          <w:b/>
        </w:rPr>
        <w:t>10</w:t>
      </w:r>
      <w:r w:rsidRPr="00F40449">
        <w:t>(17): p. e021376.</w:t>
      </w:r>
    </w:p>
    <w:p w14:paraId="59B9FBC0" w14:textId="591D8472" w:rsidR="00E75882" w:rsidRPr="00F40449" w:rsidRDefault="00E75882" w:rsidP="002C1EA9">
      <w:pPr>
        <w:pStyle w:val="EndNoteBibliography"/>
        <w:numPr>
          <w:ilvl w:val="0"/>
          <w:numId w:val="35"/>
        </w:numPr>
        <w:spacing w:after="0"/>
        <w:jc w:val="left"/>
      </w:pPr>
      <w:r w:rsidRPr="00F40449">
        <w:t xml:space="preserve">Figueira, S.F., et al., </w:t>
      </w:r>
      <w:r w:rsidRPr="00F40449">
        <w:rPr>
          <w:i/>
        </w:rPr>
        <w:t>Economic evaluation of sFlt-1/PlGF ratio test in pre-eclampsia prediction and diagnosis in two Brazilian hospitals.</w:t>
      </w:r>
      <w:r w:rsidRPr="00F40449">
        <w:t xml:space="preserve"> Pregnancy Hypertension, 2018. </w:t>
      </w:r>
      <w:r w:rsidRPr="00F40449">
        <w:rPr>
          <w:b/>
        </w:rPr>
        <w:t>13</w:t>
      </w:r>
      <w:r w:rsidRPr="00F40449">
        <w:t>: p. 30-36.</w:t>
      </w:r>
    </w:p>
    <w:p w14:paraId="4EFBCC6A" w14:textId="5C6EE74C" w:rsidR="00E75882" w:rsidRPr="00F40449" w:rsidRDefault="00E75882" w:rsidP="002C1EA9">
      <w:pPr>
        <w:pStyle w:val="EndNoteBibliography"/>
        <w:numPr>
          <w:ilvl w:val="0"/>
          <w:numId w:val="35"/>
        </w:numPr>
        <w:spacing w:after="0"/>
        <w:jc w:val="left"/>
      </w:pPr>
      <w:r w:rsidRPr="00F40449">
        <w:t xml:space="preserve">North, R.A., et al., </w:t>
      </w:r>
      <w:r w:rsidRPr="00F40449">
        <w:rPr>
          <w:i/>
        </w:rPr>
        <w:t>Clinical risk prediction for pre-eclampsia in nulliparous women: development of model in international prospective cohort.</w:t>
      </w:r>
      <w:r w:rsidRPr="00F40449">
        <w:t xml:space="preserve"> Bmj, 2011. </w:t>
      </w:r>
      <w:r w:rsidRPr="00F40449">
        <w:rPr>
          <w:b/>
        </w:rPr>
        <w:t>342</w:t>
      </w:r>
      <w:r w:rsidRPr="00F40449">
        <w:t>.</w:t>
      </w:r>
    </w:p>
    <w:p w14:paraId="2CDDEC47" w14:textId="25AC3F4E" w:rsidR="00E75882" w:rsidRPr="00F40449" w:rsidRDefault="00E75882" w:rsidP="002C1EA9">
      <w:pPr>
        <w:pStyle w:val="EndNoteBibliography"/>
        <w:numPr>
          <w:ilvl w:val="0"/>
          <w:numId w:val="35"/>
        </w:numPr>
        <w:spacing w:after="0"/>
        <w:jc w:val="left"/>
      </w:pPr>
      <w:r w:rsidRPr="00F40449">
        <w:t xml:space="preserve">Duley, L. </w:t>
      </w:r>
      <w:r w:rsidRPr="00F40449">
        <w:rPr>
          <w:i/>
        </w:rPr>
        <w:t>The global impact of pre-eclampsia and eclampsia</w:t>
      </w:r>
      <w:r w:rsidRPr="00F40449">
        <w:t xml:space="preserve">. in </w:t>
      </w:r>
      <w:r w:rsidRPr="00F40449">
        <w:rPr>
          <w:i/>
        </w:rPr>
        <w:t>Seminars in perinatology</w:t>
      </w:r>
      <w:r w:rsidRPr="00F40449">
        <w:t>. 2009. Elsevier.</w:t>
      </w:r>
    </w:p>
    <w:p w14:paraId="58BE3D9A" w14:textId="5C054E01" w:rsidR="00E75882" w:rsidRPr="00F40449" w:rsidRDefault="00E75882" w:rsidP="002C1EA9">
      <w:pPr>
        <w:pStyle w:val="EndNoteBibliography"/>
        <w:numPr>
          <w:ilvl w:val="0"/>
          <w:numId w:val="35"/>
        </w:numPr>
        <w:spacing w:after="0"/>
        <w:jc w:val="left"/>
      </w:pPr>
      <w:r w:rsidRPr="00F40449">
        <w:t xml:space="preserve">National Institute for Health and Care Excellence, </w:t>
      </w:r>
      <w:r w:rsidRPr="00F40449">
        <w:rPr>
          <w:i/>
        </w:rPr>
        <w:t>PlGF-based testing to help diagnose suspected preeclampsia (Triage PlGF test, Elecsys immunoassay sFlt-1/ PlGF ratio, DELFIA Xpress PlGF 1-2-3 test, and BRAHMS sFlt-1 Kryptor/BRAHMS PlGF plus Kryptor PE ratio)</w:t>
      </w:r>
      <w:r w:rsidRPr="00F40449">
        <w:t xml:space="preserve">, in </w:t>
      </w:r>
      <w:r w:rsidRPr="00F40449">
        <w:rPr>
          <w:i/>
        </w:rPr>
        <w:t>Diagnostics guidance</w:t>
      </w:r>
      <w:r w:rsidRPr="00F40449">
        <w:t>, National Institute for Clinical Excellence, Editor. 2016, NICE: UK.</w:t>
      </w:r>
    </w:p>
    <w:p w14:paraId="154E26AC" w14:textId="528E5ED1" w:rsidR="00E75882" w:rsidRPr="00F40449" w:rsidRDefault="00E75882" w:rsidP="002C1EA9">
      <w:pPr>
        <w:pStyle w:val="EndNoteBibliography"/>
        <w:numPr>
          <w:ilvl w:val="0"/>
          <w:numId w:val="35"/>
        </w:numPr>
        <w:spacing w:after="0"/>
        <w:jc w:val="left"/>
      </w:pPr>
      <w:r w:rsidRPr="00F40449">
        <w:t xml:space="preserve">Duhig, K., B. Vandermolen, and A. Shennan, </w:t>
      </w:r>
      <w:r w:rsidRPr="00F40449">
        <w:rPr>
          <w:i/>
        </w:rPr>
        <w:t>Recent advances in the diagnosis and management of pre-eclampsia.</w:t>
      </w:r>
      <w:r w:rsidRPr="00F40449">
        <w:t xml:space="preserve"> F1000Research, 2018. </w:t>
      </w:r>
      <w:r w:rsidRPr="00F40449">
        <w:rPr>
          <w:b/>
        </w:rPr>
        <w:t>7</w:t>
      </w:r>
      <w:r w:rsidRPr="00F40449">
        <w:t>: p. 242-242.</w:t>
      </w:r>
    </w:p>
    <w:p w14:paraId="722E5346" w14:textId="3AD86BB1" w:rsidR="00E75882" w:rsidRPr="00F40449" w:rsidRDefault="00E75882" w:rsidP="002C1EA9">
      <w:pPr>
        <w:pStyle w:val="EndNoteBibliography"/>
        <w:numPr>
          <w:ilvl w:val="0"/>
          <w:numId w:val="35"/>
        </w:numPr>
        <w:spacing w:after="0"/>
        <w:jc w:val="left"/>
      </w:pPr>
      <w:r w:rsidRPr="00F40449">
        <w:t xml:space="preserve">Brown, M.A., et al., </w:t>
      </w:r>
      <w:r w:rsidRPr="00F40449">
        <w:rPr>
          <w:i/>
        </w:rPr>
        <w:t>Hypertensive disorders of pregnancy: ISSHP classification, diagnosis, and management recommendations for international practice.</w:t>
      </w:r>
      <w:r w:rsidRPr="00F40449">
        <w:t xml:space="preserve"> Hypertension, 2018. </w:t>
      </w:r>
      <w:r w:rsidRPr="00F40449">
        <w:rPr>
          <w:b/>
        </w:rPr>
        <w:t>72</w:t>
      </w:r>
      <w:r w:rsidRPr="00F40449">
        <w:t>(1): p. 24-43.</w:t>
      </w:r>
    </w:p>
    <w:p w14:paraId="763D8682" w14:textId="1BA83121" w:rsidR="00E75882" w:rsidRPr="00F40449" w:rsidRDefault="00E75882" w:rsidP="002C1EA9">
      <w:pPr>
        <w:pStyle w:val="EndNoteBibliography"/>
        <w:numPr>
          <w:ilvl w:val="0"/>
          <w:numId w:val="35"/>
        </w:numPr>
        <w:spacing w:after="0"/>
        <w:jc w:val="left"/>
      </w:pPr>
      <w:r w:rsidRPr="00F40449">
        <w:t xml:space="preserve">Stepan, H., et al., </w:t>
      </w:r>
      <w:r w:rsidRPr="00F40449">
        <w:rPr>
          <w:i/>
        </w:rPr>
        <w:t>Implementation of the sFlt-1/PlGF ratio for prediction and diagnosis of pre-eclampsia in singleton pregnancy: implications for clinical practice.</w:t>
      </w:r>
      <w:r w:rsidRPr="00F40449">
        <w:t xml:space="preserve"> Ultrasound in obstetrics &amp; gynecology : the official journal of the International Society of Ultrasound in Obstetrics and Gynecology, 2015. </w:t>
      </w:r>
      <w:r w:rsidRPr="00F40449">
        <w:rPr>
          <w:b/>
        </w:rPr>
        <w:t>45</w:t>
      </w:r>
      <w:r w:rsidRPr="00F40449">
        <w:t>(3): p. 241-246.</w:t>
      </w:r>
    </w:p>
    <w:p w14:paraId="315E2097" w14:textId="1E7191F0" w:rsidR="00E75882" w:rsidRPr="00F40449" w:rsidRDefault="00E75882" w:rsidP="002C1EA9">
      <w:pPr>
        <w:pStyle w:val="EndNoteBibliography"/>
        <w:numPr>
          <w:ilvl w:val="0"/>
          <w:numId w:val="35"/>
        </w:numPr>
        <w:spacing w:after="0"/>
        <w:jc w:val="left"/>
      </w:pPr>
      <w:r w:rsidRPr="00F40449">
        <w:t xml:space="preserve">Cerdeira, A.S., et al., </w:t>
      </w:r>
      <w:r w:rsidRPr="00F40449">
        <w:rPr>
          <w:i/>
        </w:rPr>
        <w:t>Randomized Interventional Study on Prediction of Preeclampsia/Eclampsia in Women With Suspected Preeclampsia.</w:t>
      </w:r>
      <w:r w:rsidRPr="00F40449">
        <w:t xml:space="preserve"> Hypertension, 2019. </w:t>
      </w:r>
      <w:r w:rsidRPr="00F40449">
        <w:rPr>
          <w:b/>
        </w:rPr>
        <w:t>74</w:t>
      </w:r>
      <w:r w:rsidRPr="00F40449">
        <w:t>(4): p. 983-990.</w:t>
      </w:r>
    </w:p>
    <w:p w14:paraId="031501F9" w14:textId="05F85A97" w:rsidR="00E75882" w:rsidRPr="00F40449" w:rsidRDefault="00E75882" w:rsidP="002C1EA9">
      <w:pPr>
        <w:pStyle w:val="EndNoteBibliography"/>
        <w:numPr>
          <w:ilvl w:val="0"/>
          <w:numId w:val="35"/>
        </w:numPr>
        <w:spacing w:after="0"/>
        <w:jc w:val="left"/>
      </w:pPr>
      <w:r w:rsidRPr="00F40449">
        <w:t xml:space="preserve">Karumanchi, A., </w:t>
      </w:r>
      <w:r w:rsidRPr="00F40449">
        <w:rPr>
          <w:i/>
        </w:rPr>
        <w:t>Angiogenic Factors in Preeclampsia.</w:t>
      </w:r>
      <w:r w:rsidRPr="00F40449">
        <w:t xml:space="preserve"> Hypertension, 2016. </w:t>
      </w:r>
      <w:r w:rsidRPr="00F40449">
        <w:rPr>
          <w:b/>
        </w:rPr>
        <w:t>67</w:t>
      </w:r>
      <w:r w:rsidRPr="00F40449">
        <w:t>(6): p. 1072-1079.</w:t>
      </w:r>
    </w:p>
    <w:p w14:paraId="57F95B03" w14:textId="23B80163" w:rsidR="00E75882" w:rsidRPr="00F40449" w:rsidRDefault="00E75882" w:rsidP="002C1EA9">
      <w:pPr>
        <w:pStyle w:val="EndNoteBibliography"/>
        <w:numPr>
          <w:ilvl w:val="0"/>
          <w:numId w:val="35"/>
        </w:numPr>
        <w:spacing w:after="0"/>
        <w:jc w:val="left"/>
      </w:pPr>
      <w:r w:rsidRPr="00F40449">
        <w:t xml:space="preserve">Lam, C., K.-H. Lim, and S.A. Karumanchi, </w:t>
      </w:r>
      <w:r w:rsidRPr="00F40449">
        <w:rPr>
          <w:i/>
        </w:rPr>
        <w:t>Circulating Angiogenic Factors in the Pathogenesis and Prediction of Preeclampsia.</w:t>
      </w:r>
      <w:r w:rsidRPr="00F40449">
        <w:t xml:space="preserve"> Hypertension, 2005. </w:t>
      </w:r>
      <w:r w:rsidRPr="00F40449">
        <w:rPr>
          <w:b/>
        </w:rPr>
        <w:t>46</w:t>
      </w:r>
      <w:r w:rsidRPr="00F40449">
        <w:t>(5): p. 1077-1085.</w:t>
      </w:r>
    </w:p>
    <w:p w14:paraId="14256CB8" w14:textId="651A0516" w:rsidR="00E75882" w:rsidRPr="00F40449" w:rsidRDefault="00E75882" w:rsidP="002C1EA9">
      <w:pPr>
        <w:pStyle w:val="EndNoteBibliography"/>
        <w:numPr>
          <w:ilvl w:val="0"/>
          <w:numId w:val="35"/>
        </w:numPr>
        <w:spacing w:after="0"/>
        <w:jc w:val="left"/>
      </w:pPr>
      <w:r w:rsidRPr="00F40449">
        <w:t xml:space="preserve">Zeisler, H., et al., </w:t>
      </w:r>
      <w:r w:rsidRPr="00F40449">
        <w:rPr>
          <w:i/>
        </w:rPr>
        <w:t>Soluble fms‐like tyrosine kinase‐1 to placental growth factor ratio: ruling out pre‐eclampsia for up to 4 weeks and value of retesting.</w:t>
      </w:r>
      <w:r w:rsidRPr="00F40449">
        <w:t xml:space="preserve"> Ultrasound in Obstetrics &amp; Gynecology, 2019. </w:t>
      </w:r>
      <w:r w:rsidRPr="00F40449">
        <w:rPr>
          <w:b/>
        </w:rPr>
        <w:t>53</w:t>
      </w:r>
      <w:r w:rsidRPr="00F40449">
        <w:t>(3): p. 367-375.</w:t>
      </w:r>
    </w:p>
    <w:p w14:paraId="7AC8852A" w14:textId="3241F9D4" w:rsidR="00E75882" w:rsidRPr="00F40449" w:rsidRDefault="00E75882" w:rsidP="002C1EA9">
      <w:pPr>
        <w:pStyle w:val="EndNoteBibliography"/>
        <w:numPr>
          <w:ilvl w:val="0"/>
          <w:numId w:val="35"/>
        </w:numPr>
        <w:spacing w:after="0"/>
        <w:jc w:val="left"/>
      </w:pPr>
      <w:r w:rsidRPr="00F40449">
        <w:t xml:space="preserve">Steinberg, G., E.V. Khankin, and S.A. Karumanchi, </w:t>
      </w:r>
      <w:r w:rsidRPr="00F40449">
        <w:rPr>
          <w:i/>
        </w:rPr>
        <w:t>Angiogenic factors and preeclampsia.</w:t>
      </w:r>
      <w:r w:rsidRPr="00F40449">
        <w:t xml:space="preserve"> Thrombosis Research, 2009. </w:t>
      </w:r>
      <w:r w:rsidRPr="00F40449">
        <w:rPr>
          <w:b/>
        </w:rPr>
        <w:t>123</w:t>
      </w:r>
      <w:r w:rsidRPr="00F40449">
        <w:t>: p. S93-S99.</w:t>
      </w:r>
    </w:p>
    <w:p w14:paraId="79A9908B" w14:textId="281A15E1" w:rsidR="00E75882" w:rsidRPr="00F40449" w:rsidRDefault="00E75882" w:rsidP="002C1EA9">
      <w:pPr>
        <w:pStyle w:val="EndNoteBibliography"/>
        <w:numPr>
          <w:ilvl w:val="0"/>
          <w:numId w:val="35"/>
        </w:numPr>
        <w:spacing w:after="0"/>
        <w:jc w:val="left"/>
      </w:pPr>
      <w:r w:rsidRPr="00F40449">
        <w:t xml:space="preserve">Maynard, S.E., et al., </w:t>
      </w:r>
      <w:r w:rsidRPr="00F40449">
        <w:rPr>
          <w:i/>
        </w:rPr>
        <w:t>Circulating angiogenic factors in singleton vs multiple-gestation pregnancies.</w:t>
      </w:r>
      <w:r w:rsidRPr="00F40449">
        <w:t xml:space="preserve"> American Journal of Obstetrics and Gynecology, 2008. </w:t>
      </w:r>
      <w:r w:rsidRPr="00F40449">
        <w:rPr>
          <w:b/>
        </w:rPr>
        <w:t>198</w:t>
      </w:r>
      <w:r w:rsidRPr="00F40449">
        <w:t>(2): p. 200.e1-200.e7.</w:t>
      </w:r>
    </w:p>
    <w:p w14:paraId="791B2119" w14:textId="0BC626BE" w:rsidR="00E75882" w:rsidRPr="00F40449" w:rsidRDefault="00E75882" w:rsidP="002C1EA9">
      <w:pPr>
        <w:pStyle w:val="EndNoteBibliography"/>
        <w:numPr>
          <w:ilvl w:val="0"/>
          <w:numId w:val="35"/>
        </w:numPr>
        <w:spacing w:after="0"/>
        <w:jc w:val="left"/>
      </w:pPr>
      <w:r w:rsidRPr="00F40449">
        <w:t xml:space="preserve">Maynard, S.E. and S.A. Karumanchi, </w:t>
      </w:r>
      <w:r w:rsidRPr="00F40449">
        <w:rPr>
          <w:i/>
        </w:rPr>
        <w:t>Angiogenic factors and preeclampsia.</w:t>
      </w:r>
      <w:r w:rsidRPr="00F40449">
        <w:t xml:space="preserve"> Seminars in nephrology, 2011. </w:t>
      </w:r>
      <w:r w:rsidRPr="00F40449">
        <w:rPr>
          <w:b/>
        </w:rPr>
        <w:t>31</w:t>
      </w:r>
      <w:r w:rsidRPr="00F40449">
        <w:t>(1): p. 33-46.</w:t>
      </w:r>
    </w:p>
    <w:p w14:paraId="20D1BEFC" w14:textId="4BC8FDDF" w:rsidR="00E75882" w:rsidRPr="00F40449" w:rsidRDefault="00E75882" w:rsidP="002C1EA9">
      <w:pPr>
        <w:pStyle w:val="EndNoteBibliography"/>
        <w:numPr>
          <w:ilvl w:val="0"/>
          <w:numId w:val="35"/>
        </w:numPr>
        <w:spacing w:after="0"/>
        <w:jc w:val="left"/>
      </w:pPr>
      <w:r w:rsidRPr="00F40449">
        <w:t xml:space="preserve">Powe, C.E., R.J. Levine, and S.A. Karumanchi, </w:t>
      </w:r>
      <w:r w:rsidRPr="00F40449">
        <w:rPr>
          <w:i/>
        </w:rPr>
        <w:t>Preeclampsia, a disease of the maternal endothelium: the role of anti-angiogenic factors and implications for later cardiovascular disease.</w:t>
      </w:r>
      <w:r w:rsidRPr="00F40449">
        <w:t xml:space="preserve"> Circulation (New York, N.Y.), 2011. </w:t>
      </w:r>
      <w:r w:rsidRPr="00F40449">
        <w:rPr>
          <w:b/>
        </w:rPr>
        <w:t>123</w:t>
      </w:r>
      <w:r w:rsidRPr="00F40449">
        <w:t>(24).</w:t>
      </w:r>
    </w:p>
    <w:p w14:paraId="2998899D" w14:textId="78C02C59" w:rsidR="00E75882" w:rsidRPr="00F40449" w:rsidRDefault="00E75882" w:rsidP="002C1EA9">
      <w:pPr>
        <w:pStyle w:val="EndNoteBibliography"/>
        <w:numPr>
          <w:ilvl w:val="0"/>
          <w:numId w:val="35"/>
        </w:numPr>
        <w:spacing w:after="0"/>
        <w:jc w:val="left"/>
      </w:pPr>
      <w:r w:rsidRPr="00F40449">
        <w:t xml:space="preserve">Widmer, M., et al., </w:t>
      </w:r>
      <w:r w:rsidRPr="00F40449">
        <w:rPr>
          <w:i/>
        </w:rPr>
        <w:t xml:space="preserve">Accuracy of angiogenic biomarkers at </w:t>
      </w:r>
      <w:r w:rsidRPr="00F40449">
        <w:rPr>
          <w:rFonts w:ascii="Cambria Math" w:hAnsi="Cambria Math" w:cs="Cambria Math"/>
          <w:i/>
        </w:rPr>
        <w:t>⩽</w:t>
      </w:r>
      <w:r w:rsidRPr="00F40449">
        <w:rPr>
          <w:i/>
        </w:rPr>
        <w:t>20weeks’ gestation in predicting the risk of pre-eclampsia: A WHO multicentre study.</w:t>
      </w:r>
      <w:r w:rsidRPr="00F40449">
        <w:t xml:space="preserve"> Pregnancy Hypertension: An International Journal of Women's Cardiovascular Health, 2015. </w:t>
      </w:r>
      <w:r w:rsidRPr="00F40449">
        <w:rPr>
          <w:b/>
        </w:rPr>
        <w:t>5</w:t>
      </w:r>
      <w:r w:rsidRPr="00F40449">
        <w:t>(4): p. 330-338.</w:t>
      </w:r>
    </w:p>
    <w:p w14:paraId="5BE40B20" w14:textId="7F725873" w:rsidR="00E75882" w:rsidRPr="00F40449" w:rsidRDefault="00E75882" w:rsidP="002C1EA9">
      <w:pPr>
        <w:pStyle w:val="EndNoteBibliography"/>
        <w:numPr>
          <w:ilvl w:val="0"/>
          <w:numId w:val="35"/>
        </w:numPr>
        <w:spacing w:after="0"/>
        <w:jc w:val="left"/>
      </w:pPr>
      <w:r w:rsidRPr="00F40449">
        <w:lastRenderedPageBreak/>
        <w:t xml:space="preserve">Honigberg, M.C., et al., </w:t>
      </w:r>
      <w:r w:rsidRPr="00F40449">
        <w:rPr>
          <w:i/>
        </w:rPr>
        <w:t>Analysis of changes in maternal circulating angiogenic factors throughout pregnancy for the prediction of preeclampsia.</w:t>
      </w:r>
      <w:r w:rsidRPr="00F40449">
        <w:t xml:space="preserve"> Journal of Perinatology, 2016. </w:t>
      </w:r>
      <w:r w:rsidRPr="00F40449">
        <w:rPr>
          <w:b/>
        </w:rPr>
        <w:t>36</w:t>
      </w:r>
      <w:r w:rsidRPr="00F40449">
        <w:t>(3): p. 172-177.</w:t>
      </w:r>
    </w:p>
    <w:p w14:paraId="568BA237" w14:textId="60B8395F" w:rsidR="00E75882" w:rsidRPr="00F40449" w:rsidRDefault="00E75882" w:rsidP="002C1EA9">
      <w:pPr>
        <w:pStyle w:val="EndNoteBibliography"/>
        <w:numPr>
          <w:ilvl w:val="0"/>
          <w:numId w:val="35"/>
        </w:numPr>
        <w:spacing w:after="0"/>
        <w:jc w:val="left"/>
      </w:pPr>
      <w:r w:rsidRPr="00F40449">
        <w:t xml:space="preserve">McElrath, T.F., et al., </w:t>
      </w:r>
      <w:r w:rsidRPr="00F40449">
        <w:rPr>
          <w:i/>
        </w:rPr>
        <w:t>Longitudinal evaluation of predictive value for preeclampsia of circulating angiogenic factors through pregnancy.</w:t>
      </w:r>
      <w:r w:rsidRPr="00F40449">
        <w:t xml:space="preserve"> American Journal of Obstetrics and Gynecology, 2012. </w:t>
      </w:r>
      <w:r w:rsidRPr="00F40449">
        <w:rPr>
          <w:b/>
        </w:rPr>
        <w:t>207</w:t>
      </w:r>
      <w:r w:rsidRPr="00F40449">
        <w:t>(5): p. 407.e1-407.e7.</w:t>
      </w:r>
    </w:p>
    <w:p w14:paraId="45DAFEC8" w14:textId="167DEC9F" w:rsidR="00E75882" w:rsidRPr="00F40449" w:rsidRDefault="00E75882" w:rsidP="002C1EA9">
      <w:pPr>
        <w:pStyle w:val="EndNoteBibliography"/>
        <w:numPr>
          <w:ilvl w:val="0"/>
          <w:numId w:val="35"/>
        </w:numPr>
        <w:spacing w:after="0"/>
        <w:jc w:val="left"/>
      </w:pPr>
      <w:r w:rsidRPr="00F40449">
        <w:t xml:space="preserve">Malshe, A.K. and B.M. Sibai, </w:t>
      </w:r>
      <w:r w:rsidRPr="00F40449">
        <w:rPr>
          <w:i/>
        </w:rPr>
        <w:t>Angiogenic and Antiangiogenic Markers for Prediction and Risk Classification of Preeclampsia.</w:t>
      </w:r>
      <w:r w:rsidRPr="00F40449">
        <w:t xml:space="preserve"> Clinical Obstetrics and Gynecology, 2017. </w:t>
      </w:r>
      <w:r w:rsidRPr="00F40449">
        <w:rPr>
          <w:b/>
        </w:rPr>
        <w:t>60</w:t>
      </w:r>
      <w:r w:rsidRPr="00F40449">
        <w:t>(1): p. 134-140.</w:t>
      </w:r>
    </w:p>
    <w:p w14:paraId="7D6D2096" w14:textId="77EB53F2" w:rsidR="00E75882" w:rsidRPr="00F40449" w:rsidRDefault="00E75882" w:rsidP="002C1EA9">
      <w:pPr>
        <w:pStyle w:val="EndNoteBibliography"/>
        <w:numPr>
          <w:ilvl w:val="0"/>
          <w:numId w:val="35"/>
        </w:numPr>
        <w:spacing w:after="0"/>
        <w:jc w:val="left"/>
      </w:pPr>
      <w:r w:rsidRPr="00F40449">
        <w:t xml:space="preserve">Caillon, H., et al., </w:t>
      </w:r>
      <w:r w:rsidRPr="00F40449">
        <w:rPr>
          <w:i/>
        </w:rPr>
        <w:t>Evaluation of sFlt-1/PlGF Ratio for Predicting and Improving Clinical Management of Pre-eclampsia: Experience in a Specialized Perinatal Care Center.</w:t>
      </w:r>
      <w:r w:rsidRPr="00F40449">
        <w:t xml:space="preserve"> alm, 2017. </w:t>
      </w:r>
      <w:r w:rsidRPr="00F40449">
        <w:rPr>
          <w:b/>
        </w:rPr>
        <w:t>38</w:t>
      </w:r>
      <w:r w:rsidRPr="00F40449">
        <w:t>(2): p. 95-101.</w:t>
      </w:r>
    </w:p>
    <w:p w14:paraId="5E8803D7" w14:textId="1A004FFF" w:rsidR="00E75882" w:rsidRPr="00F40449" w:rsidRDefault="00E75882" w:rsidP="002C1EA9">
      <w:pPr>
        <w:pStyle w:val="EndNoteBibliography"/>
        <w:numPr>
          <w:ilvl w:val="0"/>
          <w:numId w:val="35"/>
        </w:numPr>
        <w:spacing w:after="0"/>
        <w:jc w:val="left"/>
      </w:pPr>
      <w:r w:rsidRPr="00F40449">
        <w:t xml:space="preserve">Rana, S., et al., </w:t>
      </w:r>
      <w:r w:rsidRPr="00F40449">
        <w:rPr>
          <w:i/>
        </w:rPr>
        <w:t>Angiogenic factors and the risk of adverse outcomes in women with suspected preeclampsia.</w:t>
      </w:r>
      <w:r w:rsidRPr="00F40449">
        <w:t xml:space="preserve"> Circulation, 2012. </w:t>
      </w:r>
      <w:r w:rsidRPr="00F40449">
        <w:rPr>
          <w:b/>
        </w:rPr>
        <w:t>125</w:t>
      </w:r>
      <w:r w:rsidRPr="00F40449">
        <w:t>(7): p. 911-919.</w:t>
      </w:r>
    </w:p>
    <w:p w14:paraId="230837EF" w14:textId="19099E77" w:rsidR="00E75882" w:rsidRPr="00F40449" w:rsidRDefault="00E75882" w:rsidP="002C1EA9">
      <w:pPr>
        <w:pStyle w:val="EndNoteBibliography"/>
        <w:numPr>
          <w:ilvl w:val="0"/>
          <w:numId w:val="35"/>
        </w:numPr>
        <w:spacing w:after="0"/>
        <w:jc w:val="left"/>
      </w:pPr>
      <w:r w:rsidRPr="00F40449">
        <w:t xml:space="preserve">Tardif, C., et al., </w:t>
      </w:r>
      <w:r w:rsidRPr="00F40449">
        <w:rPr>
          <w:i/>
        </w:rPr>
        <w:t>Angiogenic factors sFlt-1 and PlGF in preeclampsia: Prediction of risk and prognosis in a high-risk obstetric population.</w:t>
      </w:r>
      <w:r w:rsidRPr="00F40449">
        <w:t xml:space="preserve"> Journal of Gynecology Obstetrics and Human Reproduction, 2018. </w:t>
      </w:r>
      <w:r w:rsidRPr="00F40449">
        <w:rPr>
          <w:b/>
        </w:rPr>
        <w:t>47</w:t>
      </w:r>
      <w:r w:rsidRPr="00F40449">
        <w:t>(1): p. 17-21.</w:t>
      </w:r>
    </w:p>
    <w:p w14:paraId="0D5683B9" w14:textId="2110F0E2" w:rsidR="00E75882" w:rsidRPr="00F40449" w:rsidRDefault="00E75882" w:rsidP="002C1EA9">
      <w:pPr>
        <w:pStyle w:val="EndNoteBibliography"/>
        <w:numPr>
          <w:ilvl w:val="0"/>
          <w:numId w:val="35"/>
        </w:numPr>
        <w:spacing w:after="0"/>
        <w:jc w:val="left"/>
      </w:pPr>
      <w:r w:rsidRPr="00F40449">
        <w:t xml:space="preserve">Levine, R.J., et al., </w:t>
      </w:r>
      <w:r w:rsidRPr="00F40449">
        <w:rPr>
          <w:i/>
        </w:rPr>
        <w:t>Soluble endoglin and other circulating antiangiogenic factors in preeclampsia.</w:t>
      </w:r>
      <w:r w:rsidRPr="00F40449">
        <w:t xml:space="preserve"> New England Journal of Medicine, 2006. </w:t>
      </w:r>
      <w:r w:rsidRPr="00F40449">
        <w:rPr>
          <w:b/>
        </w:rPr>
        <w:t>355</w:t>
      </w:r>
      <w:r w:rsidRPr="00F40449">
        <w:t>(10): p. 992-1005.</w:t>
      </w:r>
    </w:p>
    <w:p w14:paraId="4B081704" w14:textId="21F5C3AD" w:rsidR="00E75882" w:rsidRPr="00F40449" w:rsidRDefault="00E75882" w:rsidP="002C1EA9">
      <w:pPr>
        <w:pStyle w:val="EndNoteBibliography"/>
        <w:numPr>
          <w:ilvl w:val="0"/>
          <w:numId w:val="35"/>
        </w:numPr>
        <w:spacing w:after="0"/>
        <w:jc w:val="left"/>
      </w:pPr>
      <w:r w:rsidRPr="00F40449">
        <w:t xml:space="preserve">Klein, E., et al., </w:t>
      </w:r>
      <w:r w:rsidRPr="00F40449">
        <w:rPr>
          <w:i/>
        </w:rPr>
        <w:t>Influence of the sFlt-1/PlGF Ratio on Clinical Decision-Making in Women with Suspected Preeclampsia.</w:t>
      </w:r>
      <w:r w:rsidRPr="00F40449">
        <w:t xml:space="preserve"> PLOS ONE, 2016. </w:t>
      </w:r>
      <w:r w:rsidRPr="00F40449">
        <w:rPr>
          <w:b/>
        </w:rPr>
        <w:t>11</w:t>
      </w:r>
      <w:r w:rsidRPr="00F40449">
        <w:t>(5): p. e0156013.</w:t>
      </w:r>
    </w:p>
    <w:p w14:paraId="1067C0E2" w14:textId="6C6098D0" w:rsidR="00E75882" w:rsidRPr="00F40449" w:rsidRDefault="00E75882" w:rsidP="002C1EA9">
      <w:pPr>
        <w:pStyle w:val="EndNoteBibliography"/>
        <w:numPr>
          <w:ilvl w:val="0"/>
          <w:numId w:val="35"/>
        </w:numPr>
        <w:spacing w:after="0"/>
        <w:jc w:val="left"/>
      </w:pPr>
      <w:r w:rsidRPr="00F40449">
        <w:t xml:space="preserve">Wright, D., A. Wright, and K.H. Nicolaides, </w:t>
      </w:r>
      <w:r w:rsidRPr="00F40449">
        <w:rPr>
          <w:i/>
        </w:rPr>
        <w:t>The competing risk approach for prediction of preeclampsia.</w:t>
      </w:r>
      <w:r w:rsidRPr="00F40449">
        <w:t xml:space="preserve"> American Journal of Obstetrics and Gynecology, 2020. </w:t>
      </w:r>
      <w:r w:rsidRPr="00F40449">
        <w:rPr>
          <w:b/>
        </w:rPr>
        <w:t>223</w:t>
      </w:r>
      <w:r w:rsidRPr="00F40449">
        <w:t>(1): p. 12-23.e7.</w:t>
      </w:r>
    </w:p>
    <w:p w14:paraId="775F5C10" w14:textId="50D36304" w:rsidR="00E75882" w:rsidRPr="00F40449" w:rsidRDefault="00E75882" w:rsidP="002C1EA9">
      <w:pPr>
        <w:pStyle w:val="EndNoteBibliography"/>
        <w:numPr>
          <w:ilvl w:val="0"/>
          <w:numId w:val="35"/>
        </w:numPr>
        <w:spacing w:after="0"/>
        <w:jc w:val="left"/>
      </w:pPr>
      <w:r w:rsidRPr="00F40449">
        <w:t xml:space="preserve">Veisani, Y., et al., </w:t>
      </w:r>
      <w:r w:rsidRPr="00F40449">
        <w:rPr>
          <w:i/>
        </w:rPr>
        <w:t>Angiogenic factors and the risk of preeclampsia: A systematic review and meta-analysis.</w:t>
      </w:r>
      <w:r w:rsidRPr="00F40449">
        <w:t xml:space="preserve"> International journal of reproductive biomedicine, 2019. </w:t>
      </w:r>
      <w:r w:rsidRPr="00F40449">
        <w:rPr>
          <w:b/>
        </w:rPr>
        <w:t>17</w:t>
      </w:r>
      <w:r w:rsidRPr="00F40449">
        <w:t>(1): p. 1-10.</w:t>
      </w:r>
    </w:p>
    <w:p w14:paraId="205BDA56" w14:textId="588A693E" w:rsidR="00E75882" w:rsidRPr="00F40449" w:rsidRDefault="00E75882" w:rsidP="002C1EA9">
      <w:pPr>
        <w:pStyle w:val="EndNoteBibliography"/>
        <w:numPr>
          <w:ilvl w:val="0"/>
          <w:numId w:val="35"/>
        </w:numPr>
        <w:spacing w:after="0"/>
        <w:jc w:val="left"/>
      </w:pPr>
      <w:r w:rsidRPr="00F40449">
        <w:t xml:space="preserve">Zeisler, H., et al., </w:t>
      </w:r>
      <w:r w:rsidRPr="00F40449">
        <w:rPr>
          <w:i/>
        </w:rPr>
        <w:t>Predictive Value of the sFlt-1:PlGF Ratio in Women with Suspected Preeclampsia.</w:t>
      </w:r>
      <w:r w:rsidRPr="00F40449">
        <w:t xml:space="preserve"> New England Journal of Medicine, 2016. </w:t>
      </w:r>
      <w:r w:rsidRPr="00F40449">
        <w:rPr>
          <w:b/>
        </w:rPr>
        <w:t>374</w:t>
      </w:r>
      <w:r w:rsidRPr="00F40449">
        <w:t>(1): p. 13-22.</w:t>
      </w:r>
    </w:p>
    <w:p w14:paraId="7ED3C6EB" w14:textId="50F452BA" w:rsidR="00E75882" w:rsidRPr="00F40449" w:rsidRDefault="00E75882" w:rsidP="002C1EA9">
      <w:pPr>
        <w:pStyle w:val="EndNoteBibliography"/>
        <w:numPr>
          <w:ilvl w:val="0"/>
          <w:numId w:val="35"/>
        </w:numPr>
        <w:spacing w:after="0"/>
        <w:jc w:val="left"/>
      </w:pPr>
      <w:r w:rsidRPr="00F40449">
        <w:t xml:space="preserve">MacDonald, T.M., et al., </w:t>
      </w:r>
      <w:r w:rsidRPr="00F40449">
        <w:rPr>
          <w:i/>
        </w:rPr>
        <w:t>Clinical tools and biomarkers to predict preeclampsia.</w:t>
      </w:r>
      <w:r w:rsidRPr="00F40449">
        <w:t xml:space="preserve"> EBioMedicine, 2022. </w:t>
      </w:r>
      <w:r w:rsidRPr="00F40449">
        <w:rPr>
          <w:b/>
        </w:rPr>
        <w:t>75</w:t>
      </w:r>
      <w:r w:rsidRPr="00F40449">
        <w:t>: p. 103780.</w:t>
      </w:r>
    </w:p>
    <w:p w14:paraId="1D830F9F" w14:textId="4816964B" w:rsidR="00E75882" w:rsidRPr="00F40449" w:rsidRDefault="00E75882" w:rsidP="002C1EA9">
      <w:pPr>
        <w:pStyle w:val="EndNoteBibliography"/>
        <w:numPr>
          <w:ilvl w:val="0"/>
          <w:numId w:val="35"/>
        </w:numPr>
        <w:spacing w:after="0"/>
        <w:jc w:val="left"/>
      </w:pPr>
      <w:r w:rsidRPr="00F40449">
        <w:t xml:space="preserve">Poon, L.C. and K.H. Nicolaides, </w:t>
      </w:r>
      <w:r w:rsidRPr="00F40449">
        <w:rPr>
          <w:i/>
        </w:rPr>
        <w:t>First-trimester maternal factors and biomarker screening for preeclampsia.</w:t>
      </w:r>
      <w:r w:rsidRPr="00F40449">
        <w:t xml:space="preserve"> Prenatal Diagnosis, 2014. </w:t>
      </w:r>
      <w:r w:rsidRPr="00F40449">
        <w:rPr>
          <w:b/>
        </w:rPr>
        <w:t>34</w:t>
      </w:r>
      <w:r w:rsidRPr="00F40449">
        <w:t>(7): p. 618-627.</w:t>
      </w:r>
    </w:p>
    <w:p w14:paraId="7A6965AD" w14:textId="2590843A" w:rsidR="00913719" w:rsidRPr="00F40449" w:rsidRDefault="00E75882" w:rsidP="002C1EA9">
      <w:pPr>
        <w:pStyle w:val="EndNoteBibliography"/>
        <w:numPr>
          <w:ilvl w:val="0"/>
          <w:numId w:val="35"/>
        </w:numPr>
        <w:spacing w:after="0"/>
        <w:jc w:val="left"/>
      </w:pPr>
      <w:r w:rsidRPr="00F40449">
        <w:t xml:space="preserve">Tranquilli, A.L., et al., </w:t>
      </w:r>
      <w:r w:rsidRPr="00F40449">
        <w:rPr>
          <w:i/>
        </w:rPr>
        <w:t>The definition of severe and early-onset preeclampsia. Statements from the International Society for the Study of Hypertension in Pregnancy (ISSHP).</w:t>
      </w:r>
      <w:r w:rsidRPr="00F40449">
        <w:t xml:space="preserve"> Pregnancy Hypertension: An International Journal of Women's Cardiovascular Health, 2013. </w:t>
      </w:r>
      <w:r w:rsidRPr="00F40449">
        <w:rPr>
          <w:b/>
        </w:rPr>
        <w:t>3</w:t>
      </w:r>
      <w:r w:rsidRPr="00F40449">
        <w:t>(1): p. 44-47.</w:t>
      </w:r>
    </w:p>
    <w:p w14:paraId="05A62213" w14:textId="342D7BC3" w:rsidR="00E75882" w:rsidRPr="00F40449" w:rsidRDefault="00E75882" w:rsidP="002C1EA9">
      <w:pPr>
        <w:pStyle w:val="EndNoteBibliography"/>
        <w:numPr>
          <w:ilvl w:val="0"/>
          <w:numId w:val="35"/>
        </w:numPr>
        <w:spacing w:after="0"/>
        <w:jc w:val="left"/>
      </w:pPr>
      <w:r w:rsidRPr="00F40449">
        <w:t xml:space="preserve">Côté, A.-M., et al., </w:t>
      </w:r>
      <w:r w:rsidRPr="00F40449">
        <w:rPr>
          <w:i/>
        </w:rPr>
        <w:t>Diagnostic accuracy of urinary spot protein: creatinine ratio for proteinuria in hypertensive pregnant women: systematic review.</w:t>
      </w:r>
      <w:r w:rsidRPr="00F40449">
        <w:t xml:space="preserve"> Bmj, 2008. </w:t>
      </w:r>
      <w:r w:rsidRPr="00F40449">
        <w:rPr>
          <w:b/>
        </w:rPr>
        <w:t>336</w:t>
      </w:r>
      <w:r w:rsidRPr="00F40449">
        <w:t>(7651): p. 1003-1006.</w:t>
      </w:r>
    </w:p>
    <w:p w14:paraId="5175D7D7" w14:textId="4FF1C7BF" w:rsidR="00E75882" w:rsidRPr="00F40449" w:rsidRDefault="00E75882" w:rsidP="002C1EA9">
      <w:pPr>
        <w:pStyle w:val="EndNoteBibliography"/>
        <w:numPr>
          <w:ilvl w:val="0"/>
          <w:numId w:val="35"/>
        </w:numPr>
        <w:spacing w:after="0"/>
        <w:jc w:val="left"/>
      </w:pPr>
      <w:r w:rsidRPr="00F40449">
        <w:t xml:space="preserve">Magee, L.A., et al., </w:t>
      </w:r>
      <w:r w:rsidRPr="00F40449">
        <w:rPr>
          <w:i/>
        </w:rPr>
        <w:t>Diagnosis, evaluation, and management of the hypertensive disorders of pregnancy: executive summary.</w:t>
      </w:r>
      <w:r w:rsidRPr="00F40449">
        <w:t xml:space="preserve"> Journal of Obstetrics and Gynaecology Canada, 2014. </w:t>
      </w:r>
      <w:r w:rsidRPr="00F40449">
        <w:rPr>
          <w:b/>
        </w:rPr>
        <w:t>36</w:t>
      </w:r>
      <w:r w:rsidRPr="00F40449">
        <w:t>(5): p. 416-438.</w:t>
      </w:r>
    </w:p>
    <w:p w14:paraId="30E64200" w14:textId="0988D769" w:rsidR="00E75882" w:rsidRPr="00F40449" w:rsidRDefault="00E75882" w:rsidP="002C1EA9">
      <w:pPr>
        <w:pStyle w:val="EndNoteBibliography"/>
        <w:numPr>
          <w:ilvl w:val="0"/>
          <w:numId w:val="35"/>
        </w:numPr>
        <w:spacing w:after="0"/>
        <w:jc w:val="left"/>
      </w:pPr>
      <w:r w:rsidRPr="00F40449">
        <w:t xml:space="preserve">Homer, C.S., et al., </w:t>
      </w:r>
      <w:r w:rsidRPr="00F40449">
        <w:rPr>
          <w:i/>
        </w:rPr>
        <w:t>Non-proteinuric pre-eclampsia: a novel risk indicator in women with gestational hypertension.</w:t>
      </w:r>
      <w:r w:rsidRPr="00F40449">
        <w:t xml:space="preserve"> Journal of hypertension, 2008. </w:t>
      </w:r>
      <w:r w:rsidRPr="00F40449">
        <w:rPr>
          <w:b/>
        </w:rPr>
        <w:t>26</w:t>
      </w:r>
      <w:r w:rsidRPr="00F40449">
        <w:t>(2): p. 295-302.</w:t>
      </w:r>
    </w:p>
    <w:p w14:paraId="0C7ECD40" w14:textId="61BC95A2" w:rsidR="00E75882" w:rsidRPr="00F40449" w:rsidRDefault="00E75882" w:rsidP="002C1EA9">
      <w:pPr>
        <w:pStyle w:val="EndNoteBibliography"/>
        <w:numPr>
          <w:ilvl w:val="0"/>
          <w:numId w:val="35"/>
        </w:numPr>
        <w:spacing w:after="0"/>
        <w:jc w:val="left"/>
      </w:pPr>
      <w:r w:rsidRPr="00F40449">
        <w:t xml:space="preserve">Cnossen, J.S., et al., </w:t>
      </w:r>
      <w:r w:rsidRPr="00F40449">
        <w:rPr>
          <w:i/>
        </w:rPr>
        <w:t>Use of uterine artery Doppler ultrasonography to predict pre-eclampsia and intrauterine growth restriction: a systematic review and bivariable meta-analysis.</w:t>
      </w:r>
      <w:r w:rsidRPr="00F40449">
        <w:t xml:space="preserve"> Cmaj, 2008. </w:t>
      </w:r>
      <w:r w:rsidRPr="00F40449">
        <w:rPr>
          <w:b/>
        </w:rPr>
        <w:t>178</w:t>
      </w:r>
      <w:r w:rsidRPr="00F40449">
        <w:t>(6): p. 701-711.</w:t>
      </w:r>
    </w:p>
    <w:p w14:paraId="7794BC28" w14:textId="1AC5546D" w:rsidR="00E75882" w:rsidRPr="00F40449" w:rsidRDefault="00E75882" w:rsidP="002C1EA9">
      <w:pPr>
        <w:pStyle w:val="EndNoteBibliography"/>
        <w:numPr>
          <w:ilvl w:val="0"/>
          <w:numId w:val="35"/>
        </w:numPr>
        <w:spacing w:after="0"/>
        <w:jc w:val="left"/>
      </w:pPr>
      <w:r w:rsidRPr="00F40449">
        <w:t xml:space="preserve">Tan, M., et al., </w:t>
      </w:r>
      <w:r w:rsidRPr="00F40449">
        <w:rPr>
          <w:i/>
        </w:rPr>
        <w:t>Comparison of diagnostic accuracy of early screening for pre‐eclampsia by NICE guidelines and a method combining maternal factors and biomarkers: results of SPREE.</w:t>
      </w:r>
      <w:r w:rsidRPr="00F40449">
        <w:t xml:space="preserve"> Ultrasound in Obstetrics &amp; Gynecology, 2018. </w:t>
      </w:r>
      <w:r w:rsidRPr="00F40449">
        <w:rPr>
          <w:b/>
        </w:rPr>
        <w:t>51</w:t>
      </w:r>
      <w:r w:rsidRPr="00F40449">
        <w:t>(6): p. 743-750.</w:t>
      </w:r>
    </w:p>
    <w:p w14:paraId="2003354E" w14:textId="1F4494A5" w:rsidR="00E75882" w:rsidRPr="00F40449" w:rsidRDefault="00E75882" w:rsidP="002C1EA9">
      <w:pPr>
        <w:pStyle w:val="EndNoteBibliography"/>
        <w:numPr>
          <w:ilvl w:val="0"/>
          <w:numId w:val="35"/>
        </w:numPr>
        <w:spacing w:after="0"/>
        <w:jc w:val="left"/>
      </w:pPr>
      <w:r w:rsidRPr="00F40449">
        <w:t xml:space="preserve">Sibai, B., G. Dekker, and M. Kupferminc, </w:t>
      </w:r>
      <w:r w:rsidRPr="00F40449">
        <w:rPr>
          <w:i/>
        </w:rPr>
        <w:t>Pre-eclampsia.</w:t>
      </w:r>
      <w:r w:rsidRPr="00F40449">
        <w:t xml:space="preserve"> The Lancet, 2005. </w:t>
      </w:r>
      <w:r w:rsidRPr="00F40449">
        <w:rPr>
          <w:b/>
        </w:rPr>
        <w:t>365</w:t>
      </w:r>
      <w:r w:rsidRPr="00F40449">
        <w:t>(9461): p. 785-799.</w:t>
      </w:r>
    </w:p>
    <w:p w14:paraId="3620C508" w14:textId="25073684" w:rsidR="00E75882" w:rsidRPr="00F40449" w:rsidRDefault="00E75882" w:rsidP="002C1EA9">
      <w:pPr>
        <w:pStyle w:val="EndNoteBibliography"/>
        <w:numPr>
          <w:ilvl w:val="0"/>
          <w:numId w:val="35"/>
        </w:numPr>
        <w:spacing w:after="0"/>
        <w:jc w:val="left"/>
      </w:pPr>
      <w:r w:rsidRPr="00F40449">
        <w:lastRenderedPageBreak/>
        <w:t xml:space="preserve">Frampton, G.K., et al., </w:t>
      </w:r>
      <w:r w:rsidRPr="00F40449">
        <w:rPr>
          <w:i/>
        </w:rPr>
        <w:t>Placental growth factor (alone or in combination with soluble fms-like tyrosine kinase 1) as an aid to the assessment of women with suspected pre-eclampsia: systematic review and economic analysis.</w:t>
      </w:r>
      <w:r w:rsidRPr="00F40449">
        <w:t xml:space="preserve"> Health Technol Assess, 2016. </w:t>
      </w:r>
      <w:r w:rsidRPr="00F40449">
        <w:rPr>
          <w:b/>
        </w:rPr>
        <w:t>20</w:t>
      </w:r>
      <w:r w:rsidRPr="00F40449">
        <w:t>(87): p. 1-160.</w:t>
      </w:r>
    </w:p>
    <w:p w14:paraId="223399A0" w14:textId="20C31EC0" w:rsidR="00E75882" w:rsidRPr="00F40449" w:rsidRDefault="00E75882" w:rsidP="002C1EA9">
      <w:pPr>
        <w:pStyle w:val="EndNoteBibliography"/>
        <w:numPr>
          <w:ilvl w:val="0"/>
          <w:numId w:val="35"/>
        </w:numPr>
        <w:spacing w:after="0"/>
        <w:jc w:val="left"/>
      </w:pPr>
      <w:r w:rsidRPr="00F40449">
        <w:t xml:space="preserve">Dröge, L.A., et al., </w:t>
      </w:r>
      <w:r w:rsidRPr="00F40449">
        <w:rPr>
          <w:i/>
        </w:rPr>
        <w:t>Prediction of preeclampsia-related adverse outcomes with the sFlt-1 (soluble fms-like tyrosine kinase 1)/PlGF (placental growth factor)-ratio in the clinical routine: a real-world study.</w:t>
      </w:r>
      <w:r w:rsidRPr="00F40449">
        <w:t xml:space="preserve"> Hypertension, 2021. </w:t>
      </w:r>
      <w:r w:rsidRPr="00F40449">
        <w:rPr>
          <w:b/>
        </w:rPr>
        <w:t>77</w:t>
      </w:r>
      <w:r w:rsidRPr="00F40449">
        <w:t>(2): p. 461-471.</w:t>
      </w:r>
    </w:p>
    <w:p w14:paraId="3099612C" w14:textId="787F7973" w:rsidR="00E75882" w:rsidRPr="00F40449" w:rsidRDefault="00E75882" w:rsidP="002C1EA9">
      <w:pPr>
        <w:pStyle w:val="EndNoteBibliography"/>
        <w:numPr>
          <w:ilvl w:val="0"/>
          <w:numId w:val="35"/>
        </w:numPr>
        <w:spacing w:after="0"/>
        <w:jc w:val="left"/>
      </w:pPr>
      <w:r w:rsidRPr="00F40449">
        <w:t xml:space="preserve">Chantraine, F., et al., </w:t>
      </w:r>
      <w:r w:rsidRPr="00F40449">
        <w:rPr>
          <w:i/>
        </w:rPr>
        <w:t>Enhancing the value of the sFlt-1/PlGF ratio for the prediction of preeclampsia: Cost analysis from the Belgian healthcare payers’ perspective.</w:t>
      </w:r>
      <w:r w:rsidRPr="00F40449">
        <w:t xml:space="preserve"> Pregnancy Hypertension, 2021. </w:t>
      </w:r>
      <w:r w:rsidRPr="00F40449">
        <w:rPr>
          <w:b/>
        </w:rPr>
        <w:t>26</w:t>
      </w:r>
      <w:r w:rsidRPr="00F40449">
        <w:t>: p. 31-37.</w:t>
      </w:r>
    </w:p>
    <w:p w14:paraId="0731AADB" w14:textId="4D63187A" w:rsidR="00E75882" w:rsidRPr="00F40449" w:rsidRDefault="00E75882" w:rsidP="002C1EA9">
      <w:pPr>
        <w:pStyle w:val="EndNoteBibliography"/>
        <w:numPr>
          <w:ilvl w:val="0"/>
          <w:numId w:val="35"/>
        </w:numPr>
        <w:spacing w:after="0"/>
        <w:jc w:val="left"/>
      </w:pPr>
      <w:r w:rsidRPr="00F40449">
        <w:t xml:space="preserve">Rana, S., et al., </w:t>
      </w:r>
      <w:r w:rsidRPr="00F40449">
        <w:rPr>
          <w:i/>
        </w:rPr>
        <w:t>Circulating Angiogenic Factors and Risk of Adverse Maternal and Perinatal Outcomes in Twin Pregnancies With Suspected Preeclampsia.</w:t>
      </w:r>
      <w:r w:rsidRPr="00F40449">
        <w:t xml:space="preserve"> Hypertension, 2012. </w:t>
      </w:r>
      <w:r w:rsidRPr="00F40449">
        <w:rPr>
          <w:b/>
        </w:rPr>
        <w:t>60</w:t>
      </w:r>
      <w:r w:rsidRPr="00F40449">
        <w:t>(2): p. 451-458.</w:t>
      </w:r>
    </w:p>
    <w:p w14:paraId="17744D2E" w14:textId="6DAEE924" w:rsidR="00E75882" w:rsidRPr="00F40449" w:rsidRDefault="00E75882" w:rsidP="002C1EA9">
      <w:pPr>
        <w:pStyle w:val="EndNoteBibliography"/>
        <w:numPr>
          <w:ilvl w:val="0"/>
          <w:numId w:val="35"/>
        </w:numPr>
        <w:spacing w:after="0"/>
        <w:jc w:val="left"/>
      </w:pPr>
      <w:r w:rsidRPr="00F40449">
        <w:t xml:space="preserve">Chaemsaithong, P., D.S. Sahota, and L.C. Poon, </w:t>
      </w:r>
      <w:r w:rsidRPr="00F40449">
        <w:rPr>
          <w:i/>
        </w:rPr>
        <w:t>First trimester preeclampsia screening and prediction.</w:t>
      </w:r>
      <w:r w:rsidRPr="00F40449">
        <w:t xml:space="preserve"> American Journal of Obstetrics and Gynecology, 2022. </w:t>
      </w:r>
      <w:r w:rsidRPr="00F40449">
        <w:rPr>
          <w:b/>
        </w:rPr>
        <w:t>226</w:t>
      </w:r>
      <w:r w:rsidRPr="00F40449">
        <w:t>(2, Supplement): p. S1071-S1097.e2.</w:t>
      </w:r>
    </w:p>
    <w:p w14:paraId="63C1AB56" w14:textId="6A330EB3" w:rsidR="00E75882" w:rsidRPr="00F40449" w:rsidRDefault="00E75882" w:rsidP="002C1EA9">
      <w:pPr>
        <w:pStyle w:val="EndNoteBibliography"/>
        <w:numPr>
          <w:ilvl w:val="0"/>
          <w:numId w:val="35"/>
        </w:numPr>
        <w:spacing w:after="0"/>
        <w:jc w:val="left"/>
      </w:pPr>
      <w:r w:rsidRPr="00F40449">
        <w:t xml:space="preserve">Frusca, T., et al., </w:t>
      </w:r>
      <w:r w:rsidRPr="00F40449">
        <w:rPr>
          <w:i/>
        </w:rPr>
        <w:t>Budget impact analysis of sFlt-1/PlGF ratio as prediction test in Italian women with suspected preeclampsia.</w:t>
      </w:r>
      <w:r w:rsidRPr="00F40449">
        <w:t xml:space="preserve"> The Journal of Maternal-Fetal &amp; Neonatal Medicine, 2017. </w:t>
      </w:r>
      <w:r w:rsidRPr="00F40449">
        <w:rPr>
          <w:b/>
        </w:rPr>
        <w:t>30</w:t>
      </w:r>
      <w:r w:rsidRPr="00F40449">
        <w:t>(18): p. 2166-2173.</w:t>
      </w:r>
    </w:p>
    <w:p w14:paraId="17D6E2FA" w14:textId="43C7D659" w:rsidR="00E75882" w:rsidRPr="00F40449" w:rsidRDefault="00E75882" w:rsidP="002C1EA9">
      <w:pPr>
        <w:pStyle w:val="EndNoteBibliography"/>
        <w:numPr>
          <w:ilvl w:val="0"/>
          <w:numId w:val="35"/>
        </w:numPr>
        <w:spacing w:after="0"/>
        <w:jc w:val="left"/>
      </w:pPr>
      <w:r w:rsidRPr="00F40449">
        <w:t xml:space="preserve">Hodel, M., et al., </w:t>
      </w:r>
      <w:r w:rsidRPr="00F40449">
        <w:rPr>
          <w:i/>
        </w:rPr>
        <w:t>sFlt-1/PlGF Ratio as a Predictive Marker in Women with Suspected Preeclampsia: An Economic Evaluation from a Swiss Perspective.</w:t>
      </w:r>
      <w:r w:rsidRPr="00F40449">
        <w:t xml:space="preserve"> Disease markers, 2019. </w:t>
      </w:r>
      <w:r w:rsidRPr="00F40449">
        <w:rPr>
          <w:b/>
        </w:rPr>
        <w:t>2019</w:t>
      </w:r>
      <w:r w:rsidRPr="00F40449">
        <w:t>: p. 4096847-10.</w:t>
      </w:r>
    </w:p>
    <w:p w14:paraId="29CE5768" w14:textId="6476EEB2" w:rsidR="00E75882" w:rsidRPr="00F40449" w:rsidRDefault="00E75882" w:rsidP="002C1EA9">
      <w:pPr>
        <w:pStyle w:val="EndNoteBibliography"/>
        <w:numPr>
          <w:ilvl w:val="0"/>
          <w:numId w:val="35"/>
        </w:numPr>
        <w:spacing w:after="0"/>
        <w:jc w:val="left"/>
      </w:pPr>
      <w:r w:rsidRPr="00F40449">
        <w:t xml:space="preserve">Khosla, K., et al., </w:t>
      </w:r>
      <w:r w:rsidRPr="00F40449">
        <w:rPr>
          <w:i/>
        </w:rPr>
        <w:t>Cost effectiveness of the sFlt1/PlGF ratio test as an adjunct to the current practice of evaluating suspected preeclampsia in the United States.</w:t>
      </w:r>
      <w:r w:rsidRPr="00F40449">
        <w:t xml:space="preserve"> Pregnancy Hypertension, 2021. </w:t>
      </w:r>
      <w:r w:rsidRPr="00F40449">
        <w:rPr>
          <w:b/>
        </w:rPr>
        <w:t>26</w:t>
      </w:r>
      <w:r w:rsidRPr="00F40449">
        <w:t>: p. 121-126.</w:t>
      </w:r>
    </w:p>
    <w:p w14:paraId="6BFBE84D" w14:textId="41AFFEC0" w:rsidR="00E75882" w:rsidRPr="00F40449" w:rsidRDefault="00E75882" w:rsidP="002C1EA9">
      <w:pPr>
        <w:pStyle w:val="EndNoteBibliography"/>
        <w:numPr>
          <w:ilvl w:val="0"/>
          <w:numId w:val="35"/>
        </w:numPr>
        <w:spacing w:after="0"/>
        <w:jc w:val="left"/>
      </w:pPr>
      <w:r w:rsidRPr="00F40449">
        <w:t xml:space="preserve">Schnettler, W.T., et al., </w:t>
      </w:r>
      <w:r w:rsidRPr="00F40449">
        <w:rPr>
          <w:i/>
        </w:rPr>
        <w:t>Cost and resource implications with serum angiogenic factor estimation in the triage of pre‐eclampsia.</w:t>
      </w:r>
      <w:r w:rsidRPr="00F40449">
        <w:t xml:space="preserve"> BJOG: An International Journal of Obstetrics &amp; Gynaecology, 2013. </w:t>
      </w:r>
      <w:r w:rsidRPr="00F40449">
        <w:rPr>
          <w:b/>
        </w:rPr>
        <w:t>120</w:t>
      </w:r>
      <w:r w:rsidRPr="00F40449">
        <w:t>(10): p. 1224-1232.</w:t>
      </w:r>
    </w:p>
    <w:p w14:paraId="3A0BC2AA" w14:textId="17CCEEA8" w:rsidR="00E75882" w:rsidRPr="00F40449" w:rsidRDefault="00E75882" w:rsidP="002C1EA9">
      <w:pPr>
        <w:pStyle w:val="EndNoteBibliography"/>
        <w:numPr>
          <w:ilvl w:val="0"/>
          <w:numId w:val="35"/>
        </w:numPr>
        <w:spacing w:after="0"/>
        <w:jc w:val="left"/>
      </w:pPr>
      <w:r w:rsidRPr="00F40449">
        <w:t xml:space="preserve">Hadker, N., et al., </w:t>
      </w:r>
      <w:r w:rsidRPr="00F40449">
        <w:rPr>
          <w:i/>
        </w:rPr>
        <w:t>Are there financial savings associated with supplementing current diagnostic practice for preeclampsia with a novel test? Learnings from a modeling analysis from a German payer perspective.</w:t>
      </w:r>
      <w:r w:rsidRPr="00F40449">
        <w:t xml:space="preserve"> Hypertens. Pregnancy, 2013. </w:t>
      </w:r>
      <w:r w:rsidRPr="00F40449">
        <w:rPr>
          <w:b/>
        </w:rPr>
        <w:t>32</w:t>
      </w:r>
      <w:r w:rsidRPr="00F40449">
        <w:t>(4): p. 105–119.</w:t>
      </w:r>
    </w:p>
    <w:p w14:paraId="7037D4CA" w14:textId="2BEC73E1" w:rsidR="00E75882" w:rsidRPr="00F40449" w:rsidRDefault="00E75882" w:rsidP="002C1EA9">
      <w:pPr>
        <w:pStyle w:val="EndNoteBibliography"/>
        <w:numPr>
          <w:ilvl w:val="0"/>
          <w:numId w:val="35"/>
        </w:numPr>
        <w:spacing w:after="0"/>
        <w:jc w:val="left"/>
      </w:pPr>
      <w:r w:rsidRPr="00F40449">
        <w:t>Hadker, N., et al.,</w:t>
      </w:r>
      <w:r w:rsidRPr="00F40449">
        <w:rPr>
          <w:i/>
        </w:rPr>
        <w:t xml:space="preserve"> Financial impact of a novel pre-eclampsia diagnostic test versus standard practice: a decision-analytic modeling analysis from a UK healthcare payer perspective, J. Med. Econ. 13 (4) (2010) 728–737.</w:t>
      </w:r>
      <w:r w:rsidRPr="00F40449">
        <w:t xml:space="preserve"> J. Med. Econ., 2010. </w:t>
      </w:r>
      <w:r w:rsidRPr="00F40449">
        <w:rPr>
          <w:b/>
        </w:rPr>
        <w:t>13</w:t>
      </w:r>
      <w:r w:rsidRPr="00F40449">
        <w:t>(4): p. 728-737.</w:t>
      </w:r>
    </w:p>
    <w:p w14:paraId="28EB2BD7" w14:textId="29265834" w:rsidR="00E75882" w:rsidRPr="00F40449" w:rsidRDefault="00E75882" w:rsidP="002C1EA9">
      <w:pPr>
        <w:pStyle w:val="EndNoteBibliography"/>
        <w:numPr>
          <w:ilvl w:val="0"/>
          <w:numId w:val="35"/>
        </w:numPr>
        <w:spacing w:after="0"/>
        <w:jc w:val="left"/>
      </w:pPr>
      <w:r w:rsidRPr="00F40449">
        <w:t xml:space="preserve">Vatish, M., et al., </w:t>
      </w:r>
      <w:r w:rsidRPr="00F40449">
        <w:rPr>
          <w:i/>
        </w:rPr>
        <w:t>sFlt‐1/PlGF ratio test for pre‐eclampsia: an economic assessment for the UK.</w:t>
      </w:r>
      <w:r w:rsidRPr="00F40449">
        <w:t xml:space="preserve"> Ultrasound in Obstetrics &amp; Gynecology, 2016. </w:t>
      </w:r>
      <w:r w:rsidRPr="00F40449">
        <w:rPr>
          <w:b/>
        </w:rPr>
        <w:t>48</w:t>
      </w:r>
      <w:r w:rsidRPr="00F40449">
        <w:t>(6): p. 765-771.</w:t>
      </w:r>
    </w:p>
    <w:p w14:paraId="60FDA4A8" w14:textId="3F129816" w:rsidR="00E75882" w:rsidRDefault="00E75882" w:rsidP="002C1EA9">
      <w:pPr>
        <w:pStyle w:val="EndNoteBibliography"/>
        <w:numPr>
          <w:ilvl w:val="0"/>
          <w:numId w:val="35"/>
        </w:numPr>
        <w:spacing w:after="0"/>
        <w:jc w:val="left"/>
      </w:pPr>
      <w:r w:rsidRPr="00F40449">
        <w:t xml:space="preserve">Ohkuchi, A., et al., </w:t>
      </w:r>
      <w:r w:rsidRPr="00F40449">
        <w:rPr>
          <w:i/>
        </w:rPr>
        <w:t>Economic evaluation of the sFlt-1/PlGF ratio for the short-term prediction of preeclampsia in a Japanese cohort of the PROGNOSIS Asia study.</w:t>
      </w:r>
      <w:r w:rsidRPr="00F40449">
        <w:t xml:space="preserve"> Hypertension Research, 2021. </w:t>
      </w:r>
      <w:r w:rsidRPr="00F40449">
        <w:rPr>
          <w:b/>
        </w:rPr>
        <w:t>44</w:t>
      </w:r>
      <w:r w:rsidRPr="00F40449">
        <w:t>(7): p. 822-829.</w:t>
      </w:r>
    </w:p>
    <w:p w14:paraId="19E83629" w14:textId="77777777" w:rsidR="007E72BE" w:rsidRDefault="007E72BE" w:rsidP="002C1EA9">
      <w:pPr>
        <w:spacing w:after="160" w:line="259" w:lineRule="auto"/>
        <w:rPr>
          <w:rFonts w:ascii="Franklin Gothic Medium" w:eastAsiaTheme="majorEastAsia" w:hAnsi="Franklin Gothic Medium" w:cstheme="majorBidi"/>
          <w:color w:val="000000" w:themeColor="text1"/>
          <w:sz w:val="32"/>
          <w:szCs w:val="32"/>
        </w:rPr>
      </w:pPr>
      <w:bookmarkStart w:id="51" w:name="Appendix"/>
      <w:r>
        <w:rPr>
          <w:rFonts w:ascii="Franklin Gothic Medium" w:hAnsi="Franklin Gothic Medium"/>
          <w:color w:val="000000" w:themeColor="text1"/>
          <w:sz w:val="32"/>
          <w:szCs w:val="32"/>
        </w:rPr>
        <w:br w:type="page"/>
      </w:r>
    </w:p>
    <w:p w14:paraId="7FF15F25" w14:textId="2E2D4621" w:rsidR="00E75882" w:rsidRPr="001958F9" w:rsidRDefault="00E75882" w:rsidP="00486551">
      <w:pPr>
        <w:pStyle w:val="Heading2"/>
        <w:shd w:val="clear" w:color="auto" w:fill="FFFFFF" w:themeFill="background1"/>
        <w:rPr>
          <w:rFonts w:ascii="Franklin Gothic Medium" w:hAnsi="Franklin Gothic Medium"/>
          <w:color w:val="000000" w:themeColor="text1"/>
          <w:sz w:val="32"/>
          <w:szCs w:val="32"/>
        </w:rPr>
      </w:pPr>
      <w:r w:rsidRPr="001958F9">
        <w:rPr>
          <w:rFonts w:ascii="Franklin Gothic Medium" w:hAnsi="Franklin Gothic Medium"/>
          <w:color w:val="000000" w:themeColor="text1"/>
          <w:sz w:val="32"/>
          <w:szCs w:val="32"/>
        </w:rPr>
        <w:lastRenderedPageBreak/>
        <w:t>Appendix</w:t>
      </w:r>
    </w:p>
    <w:bookmarkEnd w:id="51"/>
    <w:p w14:paraId="69DC099F" w14:textId="77777777" w:rsidR="00E75882" w:rsidRPr="001958F9" w:rsidRDefault="00E75882" w:rsidP="00EF551E">
      <w:pPr>
        <w:shd w:val="clear" w:color="auto" w:fill="FFFFFF" w:themeFill="background1"/>
        <w:jc w:val="both"/>
        <w:rPr>
          <w:b/>
          <w:bCs/>
          <w:i/>
          <w:iCs/>
          <w:color w:val="000000" w:themeColor="text1"/>
        </w:rPr>
      </w:pPr>
      <w:r w:rsidRPr="001958F9">
        <w:rPr>
          <w:b/>
          <w:bCs/>
          <w:i/>
          <w:iCs/>
          <w:color w:val="000000" w:themeColor="text1"/>
        </w:rPr>
        <w:t>Clinical management practices for women diagnosed with PE</w:t>
      </w:r>
    </w:p>
    <w:p w14:paraId="396A0A47" w14:textId="77777777" w:rsidR="00E75882" w:rsidRPr="001958F9" w:rsidRDefault="00E75882" w:rsidP="00EF551E">
      <w:pPr>
        <w:shd w:val="clear" w:color="auto" w:fill="FFFFFF" w:themeFill="background1"/>
        <w:jc w:val="both"/>
        <w:rPr>
          <w:color w:val="000000" w:themeColor="text1"/>
        </w:rPr>
      </w:pPr>
      <w:r w:rsidRPr="001958F9">
        <w:rPr>
          <w:color w:val="000000" w:themeColor="text1"/>
        </w:rPr>
        <w:t>The commonly used clinical management practices for women diagnosed with PE are discussed below</w:t>
      </w:r>
    </w:p>
    <w:p w14:paraId="341926C0" w14:textId="77777777" w:rsidR="00E75882" w:rsidRPr="001958F9" w:rsidRDefault="00E75882" w:rsidP="00EF551E">
      <w:pPr>
        <w:shd w:val="clear" w:color="auto" w:fill="FFFFFF" w:themeFill="background1"/>
        <w:spacing w:after="0"/>
        <w:jc w:val="both"/>
        <w:rPr>
          <w:color w:val="000000" w:themeColor="text1"/>
        </w:rPr>
      </w:pPr>
      <w:r w:rsidRPr="001958F9">
        <w:rPr>
          <w:color w:val="000000" w:themeColor="text1"/>
        </w:rPr>
        <w:t xml:space="preserve">According to </w:t>
      </w:r>
      <w:bookmarkStart w:id="52" w:name="_Hlk97834730"/>
      <w:r>
        <w:rPr>
          <w:noProof/>
          <w:color w:val="000000" w:themeColor="text1"/>
        </w:rPr>
        <w:t>Queensland Clinical Guidelines [13]</w:t>
      </w:r>
      <w:bookmarkEnd w:id="52"/>
      <w:r w:rsidRPr="001958F9">
        <w:rPr>
          <w:color w:val="000000" w:themeColor="text1"/>
        </w:rPr>
        <w:t>, the management of patients diagnosed with PE should involve:</w:t>
      </w:r>
    </w:p>
    <w:p w14:paraId="43F06F3D" w14:textId="77777777" w:rsidR="00E75882" w:rsidRPr="001958F9" w:rsidRDefault="00E75882" w:rsidP="00EF551E">
      <w:pPr>
        <w:shd w:val="clear" w:color="auto" w:fill="FFFFFF" w:themeFill="background1"/>
        <w:spacing w:after="0"/>
        <w:jc w:val="both"/>
        <w:rPr>
          <w:color w:val="000000" w:themeColor="text1"/>
        </w:rPr>
      </w:pPr>
      <w:r w:rsidRPr="001958F9">
        <w:rPr>
          <w:color w:val="000000" w:themeColor="text1"/>
        </w:rPr>
        <w:t xml:space="preserve">1. Liaison with consultant obstetrician, obstetric physician, physician and/or haematologist and anaesthetist </w:t>
      </w:r>
    </w:p>
    <w:p w14:paraId="79E848AE" w14:textId="77777777" w:rsidR="00E75882" w:rsidRPr="001958F9" w:rsidRDefault="00E75882" w:rsidP="00EF551E">
      <w:pPr>
        <w:pStyle w:val="ListParagraph"/>
        <w:numPr>
          <w:ilvl w:val="0"/>
          <w:numId w:val="17"/>
        </w:numPr>
        <w:shd w:val="clear" w:color="auto" w:fill="FFFFFF" w:themeFill="background1"/>
        <w:spacing w:after="0"/>
        <w:jc w:val="both"/>
        <w:rPr>
          <w:color w:val="000000" w:themeColor="text1"/>
        </w:rPr>
      </w:pPr>
      <w:r w:rsidRPr="001958F9">
        <w:rPr>
          <w:color w:val="000000" w:themeColor="text1"/>
        </w:rPr>
        <w:t>Contact other facilities/services if necessary</w:t>
      </w:r>
    </w:p>
    <w:p w14:paraId="5F392D07" w14:textId="77777777" w:rsidR="00E75882" w:rsidRPr="001958F9" w:rsidRDefault="00E75882" w:rsidP="00EF551E">
      <w:pPr>
        <w:shd w:val="clear" w:color="auto" w:fill="FFFFFF" w:themeFill="background1"/>
        <w:spacing w:after="0"/>
        <w:jc w:val="both"/>
        <w:rPr>
          <w:color w:val="000000" w:themeColor="text1"/>
        </w:rPr>
      </w:pPr>
      <w:r w:rsidRPr="001958F9">
        <w:rPr>
          <w:color w:val="000000" w:themeColor="text1"/>
        </w:rPr>
        <w:t xml:space="preserve">2. If greater than 34+0 weeks gestation and/or condition deteriorating, plan birth </w:t>
      </w:r>
    </w:p>
    <w:p w14:paraId="2F813C16" w14:textId="77777777" w:rsidR="00E75882" w:rsidRPr="001958F9" w:rsidRDefault="00E75882" w:rsidP="00EF551E">
      <w:pPr>
        <w:pStyle w:val="ListParagraph"/>
        <w:numPr>
          <w:ilvl w:val="0"/>
          <w:numId w:val="20"/>
        </w:numPr>
        <w:shd w:val="clear" w:color="auto" w:fill="FFFFFF" w:themeFill="background1"/>
        <w:spacing w:after="0"/>
        <w:jc w:val="both"/>
        <w:rPr>
          <w:color w:val="000000" w:themeColor="text1"/>
        </w:rPr>
      </w:pPr>
      <w:r w:rsidRPr="001958F9">
        <w:rPr>
          <w:color w:val="000000" w:themeColor="text1"/>
        </w:rPr>
        <w:t xml:space="preserve">Consider antenatal corticosteroids; however, urgent delivery should not be delayed purely for the benefit of the administration. </w:t>
      </w:r>
    </w:p>
    <w:p w14:paraId="0BEAE9F8" w14:textId="77777777" w:rsidR="00E75882" w:rsidRPr="001958F9" w:rsidRDefault="00E75882" w:rsidP="00EF551E">
      <w:pPr>
        <w:shd w:val="clear" w:color="auto" w:fill="FFFFFF" w:themeFill="background1"/>
        <w:spacing w:after="0"/>
        <w:jc w:val="both"/>
        <w:rPr>
          <w:color w:val="000000" w:themeColor="text1"/>
        </w:rPr>
      </w:pPr>
      <w:r w:rsidRPr="001958F9">
        <w:rPr>
          <w:color w:val="000000" w:themeColor="text1"/>
        </w:rPr>
        <w:t>3. Magnesium sulphate infusion may be indicated.</w:t>
      </w:r>
    </w:p>
    <w:p w14:paraId="4E1E77A1" w14:textId="77777777" w:rsidR="00E75882" w:rsidRPr="001958F9" w:rsidRDefault="00E75882" w:rsidP="00EF551E">
      <w:pPr>
        <w:shd w:val="clear" w:color="auto" w:fill="FFFFFF" w:themeFill="background1"/>
        <w:spacing w:after="0"/>
        <w:jc w:val="both"/>
        <w:rPr>
          <w:color w:val="000000" w:themeColor="text1"/>
        </w:rPr>
      </w:pPr>
      <w:r w:rsidRPr="001958F9">
        <w:rPr>
          <w:color w:val="000000" w:themeColor="text1"/>
        </w:rPr>
        <w:t xml:space="preserve">4. Consider platelet transfusion if: </w:t>
      </w:r>
    </w:p>
    <w:p w14:paraId="01E03F99" w14:textId="77777777" w:rsidR="00E75882" w:rsidRPr="001958F9" w:rsidRDefault="00E75882" w:rsidP="00EF551E">
      <w:pPr>
        <w:pStyle w:val="ListParagraph"/>
        <w:numPr>
          <w:ilvl w:val="0"/>
          <w:numId w:val="18"/>
        </w:numPr>
        <w:shd w:val="clear" w:color="auto" w:fill="FFFFFF" w:themeFill="background1"/>
        <w:spacing w:after="0"/>
        <w:jc w:val="both"/>
        <w:rPr>
          <w:color w:val="000000" w:themeColor="text1"/>
        </w:rPr>
      </w:pPr>
      <w:r w:rsidRPr="001958F9">
        <w:rPr>
          <w:color w:val="000000" w:themeColor="text1"/>
        </w:rPr>
        <w:t xml:space="preserve">Thrombocytopenia presents a hazard to operative birth or </w:t>
      </w:r>
    </w:p>
    <w:p w14:paraId="12F47779" w14:textId="77777777" w:rsidR="00E75882" w:rsidRPr="001958F9" w:rsidRDefault="00E75882" w:rsidP="00EF551E">
      <w:pPr>
        <w:pStyle w:val="ListParagraph"/>
        <w:numPr>
          <w:ilvl w:val="0"/>
          <w:numId w:val="18"/>
        </w:numPr>
        <w:shd w:val="clear" w:color="auto" w:fill="FFFFFF" w:themeFill="background1"/>
        <w:spacing w:after="0"/>
        <w:jc w:val="both"/>
        <w:rPr>
          <w:color w:val="000000" w:themeColor="text1"/>
        </w:rPr>
      </w:pPr>
      <w:r w:rsidRPr="001958F9">
        <w:rPr>
          <w:color w:val="000000" w:themeColor="text1"/>
        </w:rPr>
        <w:t>There is significant bleeding postpartum attributable to pre-eclamptic thrombocytopenia</w:t>
      </w:r>
    </w:p>
    <w:p w14:paraId="47981ADA" w14:textId="77777777" w:rsidR="00E75882" w:rsidRPr="001958F9" w:rsidRDefault="00E75882" w:rsidP="00EF551E">
      <w:pPr>
        <w:shd w:val="clear" w:color="auto" w:fill="FFFFFF" w:themeFill="background1"/>
        <w:spacing w:after="0"/>
        <w:jc w:val="both"/>
        <w:rPr>
          <w:color w:val="000000" w:themeColor="text1"/>
        </w:rPr>
      </w:pPr>
    </w:p>
    <w:p w14:paraId="314AE906" w14:textId="33285347" w:rsidR="00E75882" w:rsidRPr="001958F9" w:rsidRDefault="00E75882" w:rsidP="00EF551E">
      <w:pPr>
        <w:shd w:val="clear" w:color="auto" w:fill="FFFFFF" w:themeFill="background1"/>
        <w:jc w:val="both"/>
        <w:rPr>
          <w:color w:val="000000" w:themeColor="text1"/>
        </w:rPr>
      </w:pPr>
      <w:r w:rsidRPr="001958F9">
        <w:rPr>
          <w:color w:val="000000" w:themeColor="text1"/>
        </w:rPr>
        <w:t xml:space="preserve">Women diagnosed with PE should be assessed at each consultation by a healthcare professional trained in the management of hypertensive disorders of pregnancy and offered an integrated package of care that includes admission, testing and treatment that relates to the severity of hypertension. Tables </w:t>
      </w:r>
      <w:r w:rsidR="00240F31">
        <w:rPr>
          <w:color w:val="000000" w:themeColor="text1"/>
        </w:rPr>
        <w:t>1A</w:t>
      </w:r>
      <w:r w:rsidR="00240F31" w:rsidRPr="001958F9">
        <w:rPr>
          <w:color w:val="000000" w:themeColor="text1"/>
        </w:rPr>
        <w:t xml:space="preserve"> </w:t>
      </w:r>
      <w:r w:rsidRPr="001958F9">
        <w:rPr>
          <w:color w:val="000000" w:themeColor="text1"/>
        </w:rPr>
        <w:t xml:space="preserve">and </w:t>
      </w:r>
      <w:r w:rsidR="00240F31">
        <w:rPr>
          <w:color w:val="000000" w:themeColor="text1"/>
        </w:rPr>
        <w:t>2A</w:t>
      </w:r>
      <w:r w:rsidR="00240F31" w:rsidRPr="001958F9">
        <w:rPr>
          <w:color w:val="000000" w:themeColor="text1"/>
        </w:rPr>
        <w:t xml:space="preserve"> </w:t>
      </w:r>
      <w:r w:rsidRPr="001958F9">
        <w:rPr>
          <w:color w:val="000000" w:themeColor="text1"/>
        </w:rPr>
        <w:t>report the current clinical management of women with PE.</w:t>
      </w:r>
    </w:p>
    <w:p w14:paraId="21DA5E21" w14:textId="77777777" w:rsidR="00E75882" w:rsidRPr="001958F9" w:rsidRDefault="00E75882" w:rsidP="00EF551E">
      <w:pPr>
        <w:pStyle w:val="Caption"/>
        <w:shd w:val="clear" w:color="auto" w:fill="FFFFFF" w:themeFill="background1"/>
        <w:rPr>
          <w:color w:val="000000" w:themeColor="text1"/>
        </w:rPr>
      </w:pPr>
      <w:bookmarkStart w:id="53" w:name="Title_Table1A"/>
      <w:r w:rsidRPr="001958F9">
        <w:rPr>
          <w:color w:val="000000" w:themeColor="text1"/>
        </w:rPr>
        <w:t xml:space="preserve">Table 1A: </w:t>
      </w:r>
      <w:r w:rsidRPr="001958F9">
        <w:rPr>
          <w:bCs/>
          <w:color w:val="000000" w:themeColor="text1"/>
        </w:rPr>
        <w:t>Management and tests for women diagnosed with moderate to severe PE</w:t>
      </w:r>
    </w:p>
    <w:tbl>
      <w:tblPr>
        <w:tblStyle w:val="TableGrid"/>
        <w:tblW w:w="0" w:type="auto"/>
        <w:tblLook w:val="04A0" w:firstRow="1" w:lastRow="0" w:firstColumn="1" w:lastColumn="0" w:noHBand="0" w:noVBand="1"/>
      </w:tblPr>
      <w:tblGrid>
        <w:gridCol w:w="1980"/>
        <w:gridCol w:w="7036"/>
      </w:tblGrid>
      <w:tr w:rsidR="00E75882" w:rsidRPr="001958F9" w14:paraId="6E0F4A0A" w14:textId="77777777" w:rsidTr="00EF551E">
        <w:trPr>
          <w:trHeight w:val="359"/>
          <w:tblHeader/>
        </w:trPr>
        <w:tc>
          <w:tcPr>
            <w:tcW w:w="1980" w:type="dxa"/>
          </w:tcPr>
          <w:bookmarkEnd w:id="53"/>
          <w:p w14:paraId="5159CE63" w14:textId="77777777" w:rsidR="00E75882" w:rsidRPr="001958F9" w:rsidRDefault="00E75882" w:rsidP="00EF551E">
            <w:pPr>
              <w:shd w:val="clear" w:color="auto" w:fill="FFFFFF" w:themeFill="background1"/>
              <w:spacing w:after="0"/>
              <w:jc w:val="both"/>
              <w:rPr>
                <w:rFonts w:ascii="Arial Narrow" w:hAnsi="Arial Narrow"/>
                <w:b/>
                <w:bCs/>
                <w:color w:val="000000" w:themeColor="text1"/>
                <w:sz w:val="20"/>
                <w:szCs w:val="20"/>
              </w:rPr>
            </w:pPr>
            <w:r w:rsidRPr="001958F9">
              <w:rPr>
                <w:rFonts w:ascii="Arial Narrow" w:hAnsi="Arial Narrow"/>
                <w:b/>
                <w:bCs/>
                <w:color w:val="000000" w:themeColor="text1"/>
                <w:sz w:val="20"/>
                <w:szCs w:val="20"/>
              </w:rPr>
              <w:t>Gestational age</w:t>
            </w:r>
          </w:p>
        </w:tc>
        <w:tc>
          <w:tcPr>
            <w:tcW w:w="7036" w:type="dxa"/>
          </w:tcPr>
          <w:p w14:paraId="7D4F80DB" w14:textId="77777777" w:rsidR="00E75882" w:rsidRPr="001958F9" w:rsidRDefault="00E75882" w:rsidP="00EF551E">
            <w:pPr>
              <w:shd w:val="clear" w:color="auto" w:fill="FFFFFF" w:themeFill="background1"/>
              <w:spacing w:after="0"/>
              <w:jc w:val="both"/>
              <w:rPr>
                <w:rFonts w:ascii="Arial Narrow" w:hAnsi="Arial Narrow"/>
                <w:b/>
                <w:bCs/>
                <w:color w:val="000000" w:themeColor="text1"/>
                <w:sz w:val="20"/>
                <w:szCs w:val="20"/>
              </w:rPr>
            </w:pPr>
            <w:r w:rsidRPr="001958F9">
              <w:rPr>
                <w:rFonts w:ascii="Arial Narrow" w:hAnsi="Arial Narrow"/>
                <w:b/>
                <w:bCs/>
                <w:color w:val="000000" w:themeColor="text1"/>
                <w:sz w:val="20"/>
                <w:szCs w:val="20"/>
              </w:rPr>
              <w:t>Clinical management</w:t>
            </w:r>
          </w:p>
        </w:tc>
      </w:tr>
      <w:tr w:rsidR="00E75882" w:rsidRPr="001958F9" w14:paraId="2861C765" w14:textId="77777777" w:rsidTr="00EF551E">
        <w:tc>
          <w:tcPr>
            <w:tcW w:w="1980" w:type="dxa"/>
          </w:tcPr>
          <w:p w14:paraId="5B9864D5" w14:textId="77777777" w:rsidR="00E75882" w:rsidRPr="001958F9" w:rsidRDefault="00E75882" w:rsidP="00EF551E">
            <w:pPr>
              <w:shd w:val="clear" w:color="auto" w:fill="FFFFFF" w:themeFill="background1"/>
              <w:spacing w:after="0"/>
              <w:jc w:val="both"/>
              <w:rPr>
                <w:rFonts w:ascii="Arial Narrow" w:hAnsi="Arial Narrow"/>
                <w:color w:val="000000" w:themeColor="text1"/>
                <w:sz w:val="20"/>
                <w:szCs w:val="20"/>
              </w:rPr>
            </w:pPr>
            <w:r w:rsidRPr="001958F9">
              <w:rPr>
                <w:rFonts w:ascii="Arial Narrow" w:hAnsi="Arial Narrow"/>
                <w:color w:val="000000" w:themeColor="text1"/>
                <w:sz w:val="20"/>
                <w:szCs w:val="20"/>
              </w:rPr>
              <w:t>&lt;23 weeks</w:t>
            </w:r>
          </w:p>
        </w:tc>
        <w:tc>
          <w:tcPr>
            <w:tcW w:w="7036" w:type="dxa"/>
          </w:tcPr>
          <w:p w14:paraId="00611B52" w14:textId="77777777" w:rsidR="00E75882" w:rsidRPr="001958F9" w:rsidRDefault="00E75882" w:rsidP="00E52A56">
            <w:pPr>
              <w:shd w:val="clear" w:color="auto" w:fill="FFFFFF" w:themeFill="background1"/>
              <w:spacing w:after="0"/>
              <w:rPr>
                <w:rFonts w:ascii="Arial Narrow" w:hAnsi="Arial Narrow"/>
                <w:color w:val="000000" w:themeColor="text1"/>
                <w:sz w:val="20"/>
                <w:szCs w:val="20"/>
              </w:rPr>
            </w:pPr>
            <w:r w:rsidRPr="001958F9">
              <w:rPr>
                <w:rFonts w:ascii="Arial Narrow" w:hAnsi="Arial Narrow"/>
                <w:color w:val="000000" w:themeColor="text1"/>
                <w:sz w:val="20"/>
                <w:szCs w:val="20"/>
              </w:rPr>
              <w:t>Consider expectant management or discontinuation of pregnancy</w:t>
            </w:r>
          </w:p>
        </w:tc>
      </w:tr>
      <w:tr w:rsidR="00E75882" w:rsidRPr="001958F9" w14:paraId="3F7EE2EB" w14:textId="77777777" w:rsidTr="00EF551E">
        <w:tc>
          <w:tcPr>
            <w:tcW w:w="1980" w:type="dxa"/>
          </w:tcPr>
          <w:p w14:paraId="4A2B46C8" w14:textId="77777777" w:rsidR="00E75882" w:rsidRPr="001958F9" w:rsidRDefault="00E75882" w:rsidP="00EF551E">
            <w:pPr>
              <w:shd w:val="clear" w:color="auto" w:fill="FFFFFF" w:themeFill="background1"/>
              <w:spacing w:after="0"/>
              <w:jc w:val="both"/>
              <w:rPr>
                <w:rFonts w:ascii="Arial Narrow" w:hAnsi="Arial Narrow"/>
                <w:color w:val="000000" w:themeColor="text1"/>
                <w:sz w:val="20"/>
                <w:szCs w:val="20"/>
              </w:rPr>
            </w:pPr>
            <w:r w:rsidRPr="001958F9">
              <w:rPr>
                <w:rFonts w:ascii="Arial Narrow" w:hAnsi="Arial Narrow"/>
                <w:color w:val="000000" w:themeColor="text1"/>
                <w:sz w:val="20"/>
                <w:szCs w:val="20"/>
              </w:rPr>
              <w:t>23–28 weeks</w:t>
            </w:r>
          </w:p>
        </w:tc>
        <w:tc>
          <w:tcPr>
            <w:tcW w:w="7036" w:type="dxa"/>
          </w:tcPr>
          <w:p w14:paraId="79474DC1" w14:textId="77777777" w:rsidR="00E75882" w:rsidRPr="001958F9" w:rsidRDefault="00E75882" w:rsidP="00E52A56">
            <w:pPr>
              <w:shd w:val="clear" w:color="auto" w:fill="FFFFFF" w:themeFill="background1"/>
              <w:spacing w:after="0"/>
              <w:rPr>
                <w:rFonts w:ascii="Arial Narrow" w:hAnsi="Arial Narrow"/>
                <w:color w:val="000000" w:themeColor="text1"/>
                <w:sz w:val="20"/>
                <w:szCs w:val="20"/>
              </w:rPr>
            </w:pPr>
            <w:r w:rsidRPr="001958F9">
              <w:rPr>
                <w:rFonts w:ascii="Arial Narrow" w:hAnsi="Arial Narrow"/>
                <w:color w:val="000000" w:themeColor="text1"/>
                <w:sz w:val="20"/>
                <w:szCs w:val="20"/>
              </w:rPr>
              <w:t xml:space="preserve">Consider options depending on the limit of viability. </w:t>
            </w:r>
          </w:p>
        </w:tc>
      </w:tr>
      <w:tr w:rsidR="00E75882" w:rsidRPr="001958F9" w14:paraId="1F02983A" w14:textId="77777777" w:rsidTr="00EF551E">
        <w:tc>
          <w:tcPr>
            <w:tcW w:w="1980" w:type="dxa"/>
          </w:tcPr>
          <w:p w14:paraId="01D42A51" w14:textId="77777777" w:rsidR="00E75882" w:rsidRPr="001958F9" w:rsidRDefault="00E75882" w:rsidP="00EF551E">
            <w:pPr>
              <w:shd w:val="clear" w:color="auto" w:fill="FFFFFF" w:themeFill="background1"/>
              <w:spacing w:after="0"/>
              <w:jc w:val="both"/>
              <w:rPr>
                <w:rFonts w:ascii="Arial Narrow" w:hAnsi="Arial Narrow"/>
                <w:color w:val="000000" w:themeColor="text1"/>
                <w:sz w:val="20"/>
                <w:szCs w:val="20"/>
              </w:rPr>
            </w:pPr>
            <w:r w:rsidRPr="001958F9">
              <w:rPr>
                <w:rFonts w:ascii="Arial Narrow" w:hAnsi="Arial Narrow"/>
                <w:color w:val="000000" w:themeColor="text1"/>
                <w:sz w:val="20"/>
                <w:szCs w:val="20"/>
              </w:rPr>
              <w:t>28–34 weeks</w:t>
            </w:r>
          </w:p>
        </w:tc>
        <w:tc>
          <w:tcPr>
            <w:tcW w:w="7036" w:type="dxa"/>
          </w:tcPr>
          <w:p w14:paraId="436809D7" w14:textId="77777777" w:rsidR="00E75882" w:rsidRPr="001958F9" w:rsidRDefault="00E75882" w:rsidP="00E52A56">
            <w:pPr>
              <w:shd w:val="clear" w:color="auto" w:fill="FFFFFF" w:themeFill="background1"/>
              <w:spacing w:after="0"/>
              <w:rPr>
                <w:rFonts w:ascii="Arial Narrow" w:hAnsi="Arial Narrow"/>
                <w:color w:val="000000" w:themeColor="text1"/>
                <w:sz w:val="20"/>
                <w:szCs w:val="20"/>
              </w:rPr>
            </w:pPr>
            <w:r w:rsidRPr="001958F9">
              <w:rPr>
                <w:rFonts w:ascii="Arial Narrow" w:hAnsi="Arial Narrow"/>
                <w:color w:val="000000" w:themeColor="text1"/>
                <w:sz w:val="20"/>
                <w:szCs w:val="20"/>
              </w:rPr>
              <w:t>Offer expectant management • Monitor for severe features</w:t>
            </w:r>
          </w:p>
          <w:p w14:paraId="094E6197" w14:textId="77777777" w:rsidR="00E75882" w:rsidRPr="001958F9" w:rsidRDefault="00E75882" w:rsidP="00E52A56">
            <w:pPr>
              <w:shd w:val="clear" w:color="auto" w:fill="FFFFFF" w:themeFill="background1"/>
              <w:spacing w:after="0"/>
              <w:rPr>
                <w:rFonts w:ascii="Arial Narrow" w:hAnsi="Arial Narrow"/>
                <w:color w:val="000000" w:themeColor="text1"/>
                <w:sz w:val="20"/>
                <w:szCs w:val="20"/>
              </w:rPr>
            </w:pPr>
            <w:r w:rsidRPr="001958F9">
              <w:rPr>
                <w:rFonts w:ascii="Arial Narrow" w:hAnsi="Arial Narrow"/>
                <w:color w:val="000000" w:themeColor="text1"/>
                <w:sz w:val="20"/>
                <w:szCs w:val="20"/>
              </w:rPr>
              <w:t>• Regular blood tests† (1–2 a week) • Ultrasound every 2 weeks or more frequently if indicated (</w:t>
            </w:r>
            <w:proofErr w:type="spellStart"/>
            <w:r w:rsidRPr="001958F9">
              <w:rPr>
                <w:rFonts w:ascii="Arial Narrow" w:hAnsi="Arial Narrow"/>
                <w:color w:val="000000" w:themeColor="text1"/>
                <w:sz w:val="20"/>
                <w:szCs w:val="20"/>
              </w:rPr>
              <w:t>eg</w:t>
            </w:r>
            <w:proofErr w:type="spellEnd"/>
            <w:r w:rsidRPr="001958F9">
              <w:rPr>
                <w:rFonts w:ascii="Arial Narrow" w:hAnsi="Arial Narrow"/>
                <w:color w:val="000000" w:themeColor="text1"/>
                <w:sz w:val="20"/>
                <w:szCs w:val="20"/>
              </w:rPr>
              <w:t xml:space="preserve">, the presence of coexisting </w:t>
            </w:r>
            <w:proofErr w:type="spellStart"/>
            <w:r w:rsidRPr="001958F9">
              <w:rPr>
                <w:rFonts w:ascii="Arial Narrow" w:hAnsi="Arial Narrow"/>
                <w:color w:val="000000" w:themeColor="text1"/>
                <w:sz w:val="20"/>
                <w:szCs w:val="20"/>
              </w:rPr>
              <w:t>fetal</w:t>
            </w:r>
            <w:proofErr w:type="spellEnd"/>
            <w:r w:rsidRPr="001958F9">
              <w:rPr>
                <w:rFonts w:ascii="Arial Narrow" w:hAnsi="Arial Narrow"/>
                <w:color w:val="000000" w:themeColor="text1"/>
                <w:sz w:val="20"/>
                <w:szCs w:val="20"/>
              </w:rPr>
              <w:t xml:space="preserve"> growth restriction) • Consider regular cardiotocograph</w:t>
            </w:r>
          </w:p>
        </w:tc>
      </w:tr>
      <w:tr w:rsidR="00E75882" w:rsidRPr="001958F9" w14:paraId="67404CEA" w14:textId="77777777" w:rsidTr="00EF551E">
        <w:tc>
          <w:tcPr>
            <w:tcW w:w="1980" w:type="dxa"/>
          </w:tcPr>
          <w:p w14:paraId="4196AFA7" w14:textId="77777777" w:rsidR="00E75882" w:rsidRPr="001958F9" w:rsidRDefault="00E75882" w:rsidP="00EF551E">
            <w:pPr>
              <w:shd w:val="clear" w:color="auto" w:fill="FFFFFF" w:themeFill="background1"/>
              <w:spacing w:after="0"/>
              <w:jc w:val="both"/>
              <w:rPr>
                <w:rFonts w:ascii="Arial Narrow" w:hAnsi="Arial Narrow"/>
                <w:color w:val="000000" w:themeColor="text1"/>
                <w:sz w:val="20"/>
                <w:szCs w:val="20"/>
              </w:rPr>
            </w:pPr>
            <w:r w:rsidRPr="001958F9">
              <w:rPr>
                <w:rFonts w:ascii="Arial Narrow" w:hAnsi="Arial Narrow"/>
                <w:color w:val="000000" w:themeColor="text1"/>
                <w:sz w:val="20"/>
                <w:szCs w:val="20"/>
              </w:rPr>
              <w:t>34–37 weeks</w:t>
            </w:r>
          </w:p>
        </w:tc>
        <w:tc>
          <w:tcPr>
            <w:tcW w:w="7036" w:type="dxa"/>
          </w:tcPr>
          <w:p w14:paraId="4CDD778D" w14:textId="77777777" w:rsidR="00E75882" w:rsidRPr="001958F9" w:rsidRDefault="00E75882" w:rsidP="00E52A56">
            <w:pPr>
              <w:shd w:val="clear" w:color="auto" w:fill="FFFFFF" w:themeFill="background1"/>
              <w:spacing w:after="0"/>
              <w:rPr>
                <w:rFonts w:ascii="Arial Narrow" w:hAnsi="Arial Narrow"/>
                <w:color w:val="000000" w:themeColor="text1"/>
                <w:sz w:val="20"/>
                <w:szCs w:val="20"/>
              </w:rPr>
            </w:pPr>
            <w:r w:rsidRPr="001958F9">
              <w:rPr>
                <w:rFonts w:ascii="Arial Narrow" w:hAnsi="Arial Narrow"/>
                <w:color w:val="000000" w:themeColor="text1"/>
                <w:sz w:val="20"/>
                <w:szCs w:val="20"/>
              </w:rPr>
              <w:t xml:space="preserve">Consider delivery or expectant management. Do not offer planned early birth before 37 weeks to women with chronic hypertension whose blood pressure is lower than 160/110 mmHg. </w:t>
            </w:r>
          </w:p>
        </w:tc>
      </w:tr>
      <w:tr w:rsidR="00E75882" w:rsidRPr="001958F9" w14:paraId="41C657C2" w14:textId="77777777" w:rsidTr="00EF551E">
        <w:tc>
          <w:tcPr>
            <w:tcW w:w="1980" w:type="dxa"/>
          </w:tcPr>
          <w:p w14:paraId="28D38E0B" w14:textId="77777777" w:rsidR="00E75882" w:rsidRPr="001958F9" w:rsidRDefault="00E75882" w:rsidP="00EF551E">
            <w:pPr>
              <w:shd w:val="clear" w:color="auto" w:fill="FFFFFF" w:themeFill="background1"/>
              <w:spacing w:after="0"/>
              <w:jc w:val="both"/>
              <w:rPr>
                <w:rFonts w:ascii="Arial Narrow" w:hAnsi="Arial Narrow"/>
                <w:color w:val="000000" w:themeColor="text1"/>
                <w:sz w:val="20"/>
                <w:szCs w:val="20"/>
              </w:rPr>
            </w:pPr>
            <w:r w:rsidRPr="001958F9">
              <w:rPr>
                <w:rFonts w:ascii="Arial Narrow" w:hAnsi="Arial Narrow"/>
                <w:color w:val="000000" w:themeColor="text1"/>
                <w:sz w:val="20"/>
                <w:szCs w:val="20"/>
              </w:rPr>
              <w:t>&gt;37 weeks</w:t>
            </w:r>
          </w:p>
        </w:tc>
        <w:tc>
          <w:tcPr>
            <w:tcW w:w="7036" w:type="dxa"/>
          </w:tcPr>
          <w:p w14:paraId="56FCF816" w14:textId="77777777" w:rsidR="00E75882" w:rsidRPr="001958F9" w:rsidRDefault="00E75882" w:rsidP="00E52A56">
            <w:pPr>
              <w:shd w:val="clear" w:color="auto" w:fill="FFFFFF" w:themeFill="background1"/>
              <w:spacing w:after="0"/>
              <w:rPr>
                <w:rFonts w:ascii="Arial Narrow" w:hAnsi="Arial Narrow"/>
                <w:color w:val="000000" w:themeColor="text1"/>
                <w:sz w:val="20"/>
                <w:szCs w:val="20"/>
              </w:rPr>
            </w:pPr>
            <w:r w:rsidRPr="001958F9">
              <w:rPr>
                <w:rFonts w:ascii="Arial Narrow" w:hAnsi="Arial Narrow"/>
                <w:color w:val="000000" w:themeColor="text1"/>
                <w:sz w:val="20"/>
                <w:szCs w:val="20"/>
              </w:rPr>
              <w:t xml:space="preserve">Offer planned birth within 24–48 h. For women with chronic hypertension whose blood pressure is lower than 160/ 110 mmHg after 37 weeks, with or without antihypertensive treatment, timing of birth and maternal and </w:t>
            </w:r>
            <w:proofErr w:type="spellStart"/>
            <w:r w:rsidRPr="001958F9">
              <w:rPr>
                <w:rFonts w:ascii="Arial Narrow" w:hAnsi="Arial Narrow"/>
                <w:color w:val="000000" w:themeColor="text1"/>
                <w:sz w:val="20"/>
                <w:szCs w:val="20"/>
              </w:rPr>
              <w:t>fetal</w:t>
            </w:r>
            <w:proofErr w:type="spellEnd"/>
            <w:r w:rsidRPr="001958F9">
              <w:rPr>
                <w:rFonts w:ascii="Arial Narrow" w:hAnsi="Arial Narrow"/>
                <w:color w:val="000000" w:themeColor="text1"/>
                <w:sz w:val="20"/>
                <w:szCs w:val="20"/>
              </w:rPr>
              <w:t xml:space="preserve"> indications for birth should be agreed between the woman and the senior obstetrician</w:t>
            </w:r>
          </w:p>
        </w:tc>
      </w:tr>
      <w:tr w:rsidR="00E75882" w:rsidRPr="001958F9" w14:paraId="670E3EFE" w14:textId="77777777" w:rsidTr="00EF551E">
        <w:tc>
          <w:tcPr>
            <w:tcW w:w="1980" w:type="dxa"/>
          </w:tcPr>
          <w:p w14:paraId="7121794D" w14:textId="77777777" w:rsidR="00E75882" w:rsidRPr="001958F9" w:rsidRDefault="00E75882" w:rsidP="00EF551E">
            <w:pPr>
              <w:shd w:val="clear" w:color="auto" w:fill="FFFFFF" w:themeFill="background1"/>
              <w:spacing w:after="0"/>
              <w:jc w:val="both"/>
              <w:rPr>
                <w:rFonts w:ascii="Arial Narrow" w:hAnsi="Arial Narrow"/>
                <w:b/>
                <w:bCs/>
                <w:color w:val="000000" w:themeColor="text1"/>
                <w:sz w:val="20"/>
                <w:szCs w:val="20"/>
              </w:rPr>
            </w:pPr>
            <w:r w:rsidRPr="001958F9">
              <w:rPr>
                <w:rFonts w:ascii="Arial Narrow" w:hAnsi="Arial Narrow"/>
                <w:b/>
                <w:bCs/>
                <w:color w:val="000000" w:themeColor="text1"/>
                <w:sz w:val="20"/>
                <w:szCs w:val="20"/>
              </w:rPr>
              <w:t xml:space="preserve">Key treatments </w:t>
            </w:r>
          </w:p>
        </w:tc>
        <w:tc>
          <w:tcPr>
            <w:tcW w:w="7036" w:type="dxa"/>
          </w:tcPr>
          <w:p w14:paraId="2C377848" w14:textId="77777777" w:rsidR="00E75882" w:rsidRPr="001958F9" w:rsidRDefault="00E75882" w:rsidP="00E52A56">
            <w:pPr>
              <w:shd w:val="clear" w:color="auto" w:fill="FFFFFF" w:themeFill="background1"/>
              <w:spacing w:after="0"/>
              <w:rPr>
                <w:rFonts w:ascii="Arial Narrow" w:hAnsi="Arial Narrow"/>
                <w:b/>
                <w:bCs/>
                <w:color w:val="000000" w:themeColor="text1"/>
                <w:sz w:val="20"/>
                <w:szCs w:val="20"/>
              </w:rPr>
            </w:pPr>
            <w:r w:rsidRPr="001958F9">
              <w:rPr>
                <w:rFonts w:ascii="Arial Narrow" w:hAnsi="Arial Narrow"/>
                <w:b/>
                <w:bCs/>
                <w:color w:val="000000" w:themeColor="text1"/>
                <w:sz w:val="20"/>
                <w:szCs w:val="20"/>
              </w:rPr>
              <w:t>Recommended actions</w:t>
            </w:r>
          </w:p>
        </w:tc>
      </w:tr>
      <w:tr w:rsidR="00E75882" w:rsidRPr="001958F9" w14:paraId="6D9889A4" w14:textId="77777777" w:rsidTr="00EF551E">
        <w:tc>
          <w:tcPr>
            <w:tcW w:w="1980" w:type="dxa"/>
          </w:tcPr>
          <w:p w14:paraId="28937223" w14:textId="77777777" w:rsidR="00E75882" w:rsidRPr="001958F9" w:rsidRDefault="00E75882" w:rsidP="00EF551E">
            <w:pPr>
              <w:shd w:val="clear" w:color="auto" w:fill="FFFFFF" w:themeFill="background1"/>
              <w:spacing w:after="0"/>
              <w:jc w:val="both"/>
              <w:rPr>
                <w:rFonts w:ascii="Arial Narrow" w:hAnsi="Arial Narrow"/>
                <w:color w:val="000000" w:themeColor="text1"/>
                <w:sz w:val="20"/>
                <w:szCs w:val="20"/>
              </w:rPr>
            </w:pPr>
            <w:r w:rsidRPr="001958F9">
              <w:rPr>
                <w:rFonts w:ascii="Arial Narrow" w:hAnsi="Arial Narrow"/>
                <w:color w:val="000000" w:themeColor="text1"/>
                <w:sz w:val="20"/>
                <w:szCs w:val="20"/>
              </w:rPr>
              <w:t>Monitoring blood pressure</w:t>
            </w:r>
          </w:p>
        </w:tc>
        <w:tc>
          <w:tcPr>
            <w:tcW w:w="7036" w:type="dxa"/>
          </w:tcPr>
          <w:p w14:paraId="3B8E76B7" w14:textId="74B9E73D" w:rsidR="00E75882" w:rsidRPr="001958F9" w:rsidRDefault="00E75882" w:rsidP="00E52A56">
            <w:pPr>
              <w:shd w:val="clear" w:color="auto" w:fill="FFFFFF" w:themeFill="background1"/>
              <w:spacing w:after="0"/>
              <w:rPr>
                <w:rFonts w:ascii="Arial Narrow" w:hAnsi="Arial Narrow"/>
                <w:color w:val="000000" w:themeColor="text1"/>
                <w:sz w:val="20"/>
                <w:szCs w:val="20"/>
              </w:rPr>
            </w:pPr>
            <w:r w:rsidRPr="001958F9">
              <w:rPr>
                <w:rFonts w:ascii="Arial Narrow" w:hAnsi="Arial Narrow"/>
                <w:color w:val="000000" w:themeColor="text1"/>
                <w:sz w:val="20"/>
                <w:szCs w:val="20"/>
              </w:rPr>
              <w:t xml:space="preserve">Regardless of the hypertensive disorder of pregnancy, </w:t>
            </w:r>
            <w:r w:rsidR="00162C25">
              <w:rPr>
                <w:rFonts w:ascii="Arial Narrow" w:hAnsi="Arial Narrow"/>
                <w:color w:val="000000" w:themeColor="text1"/>
                <w:sz w:val="20"/>
                <w:szCs w:val="20"/>
              </w:rPr>
              <w:t>blood pressure</w:t>
            </w:r>
            <w:r w:rsidR="00162C25" w:rsidRPr="001958F9">
              <w:rPr>
                <w:rFonts w:ascii="Arial Narrow" w:hAnsi="Arial Narrow"/>
                <w:color w:val="000000" w:themeColor="text1"/>
                <w:sz w:val="20"/>
                <w:szCs w:val="20"/>
              </w:rPr>
              <w:t xml:space="preserve"> </w:t>
            </w:r>
            <w:r w:rsidRPr="001958F9">
              <w:rPr>
                <w:rFonts w:ascii="Arial Narrow" w:hAnsi="Arial Narrow"/>
                <w:color w:val="000000" w:themeColor="text1"/>
                <w:sz w:val="20"/>
                <w:szCs w:val="20"/>
              </w:rPr>
              <w:t>requires urgent treatment in a monitored setting when severe (&gt;160/110 mmHg); acceptable agents for this include oral nifedipine or intravenous labetalol or hydralazine.</w:t>
            </w:r>
          </w:p>
          <w:p w14:paraId="636D27B0" w14:textId="77BD6E99" w:rsidR="00E75882" w:rsidRPr="001958F9" w:rsidRDefault="00E75882" w:rsidP="00E52A56">
            <w:pPr>
              <w:shd w:val="clear" w:color="auto" w:fill="FFFFFF" w:themeFill="background1"/>
              <w:spacing w:after="0"/>
              <w:rPr>
                <w:rFonts w:ascii="Arial Narrow" w:hAnsi="Arial Narrow"/>
                <w:color w:val="000000" w:themeColor="text1"/>
                <w:sz w:val="20"/>
                <w:szCs w:val="20"/>
              </w:rPr>
            </w:pPr>
            <w:r w:rsidRPr="001958F9">
              <w:rPr>
                <w:rFonts w:ascii="Arial Narrow" w:hAnsi="Arial Narrow"/>
                <w:color w:val="000000" w:themeColor="text1"/>
                <w:sz w:val="20"/>
                <w:szCs w:val="20"/>
              </w:rPr>
              <w:t xml:space="preserve">BPs consistently at or &gt;140/90 mm Hg in clinic or office (or ≥135/85 mm Hg at home) should be treated, aiming for a target diastolic BP of 85 mm Hg in the office (and systolic </w:t>
            </w:r>
            <w:r w:rsidR="00162C25">
              <w:rPr>
                <w:rFonts w:ascii="Arial Narrow" w:hAnsi="Arial Narrow"/>
                <w:color w:val="000000" w:themeColor="text1"/>
                <w:sz w:val="20"/>
                <w:szCs w:val="20"/>
              </w:rPr>
              <w:t>blood pressure</w:t>
            </w:r>
            <w:r w:rsidR="00162C25" w:rsidRPr="001958F9">
              <w:rPr>
                <w:rFonts w:ascii="Arial Narrow" w:hAnsi="Arial Narrow"/>
                <w:color w:val="000000" w:themeColor="text1"/>
                <w:sz w:val="20"/>
                <w:szCs w:val="20"/>
              </w:rPr>
              <w:t xml:space="preserve"> </w:t>
            </w:r>
            <w:r w:rsidRPr="001958F9">
              <w:rPr>
                <w:rFonts w:ascii="Arial Narrow" w:hAnsi="Arial Narrow"/>
                <w:color w:val="000000" w:themeColor="text1"/>
                <w:sz w:val="20"/>
                <w:szCs w:val="20"/>
              </w:rPr>
              <w:t>of 110–140 mmHg) to reduce the likelihood of developing severe maternal hypertension and other complications</w:t>
            </w:r>
          </w:p>
        </w:tc>
      </w:tr>
      <w:tr w:rsidR="00E75882" w:rsidRPr="001958F9" w14:paraId="43978EFD" w14:textId="77777777" w:rsidTr="00EF551E">
        <w:tc>
          <w:tcPr>
            <w:tcW w:w="1980" w:type="dxa"/>
          </w:tcPr>
          <w:p w14:paraId="0FE53857" w14:textId="77777777" w:rsidR="00E75882" w:rsidRPr="001958F9" w:rsidRDefault="00E75882" w:rsidP="00EF551E">
            <w:pPr>
              <w:shd w:val="clear" w:color="auto" w:fill="FFFFFF" w:themeFill="background1"/>
              <w:spacing w:after="0"/>
              <w:jc w:val="both"/>
              <w:rPr>
                <w:rFonts w:ascii="Arial Narrow" w:hAnsi="Arial Narrow"/>
                <w:color w:val="000000" w:themeColor="text1"/>
                <w:sz w:val="20"/>
                <w:szCs w:val="20"/>
              </w:rPr>
            </w:pPr>
            <w:r w:rsidRPr="001958F9">
              <w:rPr>
                <w:rFonts w:ascii="Arial Narrow" w:hAnsi="Arial Narrow"/>
                <w:color w:val="000000" w:themeColor="text1"/>
                <w:sz w:val="20"/>
                <w:szCs w:val="20"/>
              </w:rPr>
              <w:lastRenderedPageBreak/>
              <w:t>Care setting</w:t>
            </w:r>
          </w:p>
        </w:tc>
        <w:tc>
          <w:tcPr>
            <w:tcW w:w="7036" w:type="dxa"/>
          </w:tcPr>
          <w:p w14:paraId="67AF1A79" w14:textId="2D0F9679" w:rsidR="00E75882" w:rsidRPr="001958F9" w:rsidRDefault="00E75882" w:rsidP="00E52A56">
            <w:pPr>
              <w:shd w:val="clear" w:color="auto" w:fill="FFFFFF" w:themeFill="background1"/>
              <w:spacing w:after="0"/>
              <w:rPr>
                <w:rFonts w:ascii="Arial Narrow" w:hAnsi="Arial Narrow"/>
                <w:color w:val="000000" w:themeColor="text1"/>
                <w:sz w:val="20"/>
                <w:szCs w:val="20"/>
              </w:rPr>
            </w:pPr>
            <w:r w:rsidRPr="001958F9">
              <w:rPr>
                <w:rFonts w:ascii="Arial Narrow" w:hAnsi="Arial Narrow"/>
                <w:color w:val="000000" w:themeColor="text1"/>
                <w:sz w:val="20"/>
                <w:szCs w:val="20"/>
              </w:rPr>
              <w:t xml:space="preserve">Women with </w:t>
            </w:r>
            <w:r w:rsidR="00C2524B">
              <w:rPr>
                <w:rFonts w:ascii="Arial Narrow" w:hAnsi="Arial Narrow"/>
                <w:color w:val="000000" w:themeColor="text1"/>
                <w:sz w:val="20"/>
                <w:szCs w:val="20"/>
              </w:rPr>
              <w:t>PE</w:t>
            </w:r>
            <w:r w:rsidRPr="001958F9">
              <w:rPr>
                <w:rFonts w:ascii="Arial Narrow" w:hAnsi="Arial Narrow"/>
                <w:color w:val="000000" w:themeColor="text1"/>
                <w:sz w:val="20"/>
                <w:szCs w:val="20"/>
              </w:rPr>
              <w:t xml:space="preserve"> should be assessed in hospital when first diagnosed; thereafter, some may be managed as outpatients once it is established that their condition is stable, and the patient </w:t>
            </w:r>
            <w:proofErr w:type="gramStart"/>
            <w:r w:rsidRPr="001958F9">
              <w:rPr>
                <w:rFonts w:ascii="Arial Narrow" w:hAnsi="Arial Narrow"/>
                <w:color w:val="000000" w:themeColor="text1"/>
                <w:sz w:val="20"/>
                <w:szCs w:val="20"/>
              </w:rPr>
              <w:t>has the ability to</w:t>
            </w:r>
            <w:proofErr w:type="gramEnd"/>
            <w:r w:rsidRPr="001958F9">
              <w:rPr>
                <w:rFonts w:ascii="Arial Narrow" w:hAnsi="Arial Narrow"/>
                <w:color w:val="000000" w:themeColor="text1"/>
                <w:sz w:val="20"/>
                <w:szCs w:val="20"/>
              </w:rPr>
              <w:t xml:space="preserve"> report problems and monitor their BP.</w:t>
            </w:r>
          </w:p>
        </w:tc>
      </w:tr>
      <w:tr w:rsidR="00E75882" w:rsidRPr="001958F9" w14:paraId="3A1C8A69" w14:textId="77777777" w:rsidTr="00EF551E">
        <w:tc>
          <w:tcPr>
            <w:tcW w:w="1980" w:type="dxa"/>
          </w:tcPr>
          <w:p w14:paraId="2855637E" w14:textId="77777777" w:rsidR="00E75882" w:rsidRPr="001958F9" w:rsidRDefault="00E75882" w:rsidP="00EF551E">
            <w:pPr>
              <w:shd w:val="clear" w:color="auto" w:fill="FFFFFF" w:themeFill="background1"/>
              <w:spacing w:after="0"/>
              <w:jc w:val="both"/>
              <w:rPr>
                <w:rFonts w:ascii="Arial Narrow" w:hAnsi="Arial Narrow"/>
                <w:color w:val="000000" w:themeColor="text1"/>
                <w:sz w:val="20"/>
                <w:szCs w:val="20"/>
              </w:rPr>
            </w:pPr>
            <w:r w:rsidRPr="001958F9">
              <w:rPr>
                <w:rFonts w:ascii="Arial Narrow" w:hAnsi="Arial Narrow"/>
                <w:color w:val="000000" w:themeColor="text1"/>
                <w:sz w:val="20"/>
                <w:szCs w:val="20"/>
              </w:rPr>
              <w:t xml:space="preserve">Use of magnesium </w:t>
            </w:r>
            <w:proofErr w:type="spellStart"/>
            <w:r w:rsidRPr="001958F9">
              <w:rPr>
                <w:rFonts w:ascii="Arial Narrow" w:hAnsi="Arial Narrow"/>
                <w:color w:val="000000" w:themeColor="text1"/>
                <w:sz w:val="20"/>
                <w:szCs w:val="20"/>
              </w:rPr>
              <w:t>sulfate</w:t>
            </w:r>
            <w:proofErr w:type="spellEnd"/>
          </w:p>
        </w:tc>
        <w:tc>
          <w:tcPr>
            <w:tcW w:w="7036" w:type="dxa"/>
          </w:tcPr>
          <w:p w14:paraId="6ED69B9B" w14:textId="4A0C64F7" w:rsidR="00E75882" w:rsidRPr="001958F9" w:rsidRDefault="00E75882" w:rsidP="00E52A56">
            <w:pPr>
              <w:shd w:val="clear" w:color="auto" w:fill="FFFFFF" w:themeFill="background1"/>
              <w:spacing w:after="0"/>
              <w:rPr>
                <w:rFonts w:ascii="Arial Narrow" w:hAnsi="Arial Narrow"/>
                <w:color w:val="000000" w:themeColor="text1"/>
                <w:sz w:val="20"/>
                <w:szCs w:val="20"/>
              </w:rPr>
            </w:pPr>
            <w:r w:rsidRPr="001958F9">
              <w:rPr>
                <w:rFonts w:ascii="Arial Narrow" w:hAnsi="Arial Narrow"/>
                <w:color w:val="000000" w:themeColor="text1"/>
                <w:sz w:val="20"/>
                <w:szCs w:val="20"/>
              </w:rPr>
              <w:t xml:space="preserve">Women with </w:t>
            </w:r>
            <w:r w:rsidR="00C2524B">
              <w:rPr>
                <w:rFonts w:ascii="Arial Narrow" w:hAnsi="Arial Narrow"/>
                <w:color w:val="000000" w:themeColor="text1"/>
                <w:sz w:val="20"/>
                <w:szCs w:val="20"/>
              </w:rPr>
              <w:t>PE</w:t>
            </w:r>
            <w:r w:rsidRPr="001958F9">
              <w:rPr>
                <w:rFonts w:ascii="Arial Narrow" w:hAnsi="Arial Narrow"/>
                <w:color w:val="000000" w:themeColor="text1"/>
                <w:sz w:val="20"/>
                <w:szCs w:val="20"/>
              </w:rPr>
              <w:t xml:space="preserve"> who have proteinuria and severe hypertension, or hypertension with neurological signs or symptoms, should receive magnesium </w:t>
            </w:r>
            <w:proofErr w:type="spellStart"/>
            <w:r w:rsidRPr="001958F9">
              <w:rPr>
                <w:rFonts w:ascii="Arial Narrow" w:hAnsi="Arial Narrow"/>
                <w:color w:val="000000" w:themeColor="text1"/>
                <w:sz w:val="20"/>
                <w:szCs w:val="20"/>
              </w:rPr>
              <w:t>sulfate</w:t>
            </w:r>
            <w:proofErr w:type="spellEnd"/>
            <w:r w:rsidRPr="001958F9">
              <w:rPr>
                <w:rFonts w:ascii="Arial Narrow" w:hAnsi="Arial Narrow"/>
                <w:color w:val="000000" w:themeColor="text1"/>
                <w:sz w:val="20"/>
                <w:szCs w:val="20"/>
              </w:rPr>
              <w:t xml:space="preserve"> (MgSO4) for convulsion prophylaxis.</w:t>
            </w:r>
          </w:p>
        </w:tc>
      </w:tr>
      <w:tr w:rsidR="00E75882" w:rsidRPr="001958F9" w14:paraId="54FD6FA2" w14:textId="77777777" w:rsidTr="00EF551E">
        <w:tc>
          <w:tcPr>
            <w:tcW w:w="1980" w:type="dxa"/>
          </w:tcPr>
          <w:p w14:paraId="73F6B6C8" w14:textId="77777777" w:rsidR="00E75882" w:rsidRPr="001958F9" w:rsidRDefault="00E75882" w:rsidP="00EF551E">
            <w:pPr>
              <w:shd w:val="clear" w:color="auto" w:fill="FFFFFF" w:themeFill="background1"/>
              <w:spacing w:after="0"/>
              <w:jc w:val="both"/>
              <w:rPr>
                <w:rFonts w:ascii="Arial Narrow" w:hAnsi="Arial Narrow"/>
                <w:color w:val="000000" w:themeColor="text1"/>
                <w:sz w:val="20"/>
                <w:szCs w:val="20"/>
              </w:rPr>
            </w:pPr>
            <w:proofErr w:type="spellStart"/>
            <w:r w:rsidRPr="001958F9">
              <w:rPr>
                <w:rFonts w:ascii="Arial Narrow" w:hAnsi="Arial Narrow"/>
                <w:color w:val="000000" w:themeColor="text1"/>
                <w:sz w:val="20"/>
                <w:szCs w:val="20"/>
              </w:rPr>
              <w:t>Fetal</w:t>
            </w:r>
            <w:proofErr w:type="spellEnd"/>
            <w:r w:rsidRPr="001958F9">
              <w:rPr>
                <w:rFonts w:ascii="Arial Narrow" w:hAnsi="Arial Narrow"/>
                <w:color w:val="000000" w:themeColor="text1"/>
                <w:sz w:val="20"/>
                <w:szCs w:val="20"/>
              </w:rPr>
              <w:t xml:space="preserve"> monitoring</w:t>
            </w:r>
          </w:p>
        </w:tc>
        <w:tc>
          <w:tcPr>
            <w:tcW w:w="7036" w:type="dxa"/>
          </w:tcPr>
          <w:p w14:paraId="5ACF1249" w14:textId="77777777" w:rsidR="00E75882" w:rsidRPr="001958F9" w:rsidRDefault="00E75882" w:rsidP="00E52A56">
            <w:pPr>
              <w:shd w:val="clear" w:color="auto" w:fill="FFFFFF" w:themeFill="background1"/>
              <w:spacing w:after="0"/>
              <w:rPr>
                <w:rFonts w:ascii="Arial Narrow" w:hAnsi="Arial Narrow"/>
                <w:color w:val="000000" w:themeColor="text1"/>
                <w:sz w:val="20"/>
                <w:szCs w:val="20"/>
              </w:rPr>
            </w:pPr>
            <w:r w:rsidRPr="001958F9">
              <w:rPr>
                <w:rFonts w:ascii="Arial Narrow" w:hAnsi="Arial Narrow"/>
                <w:color w:val="000000" w:themeColor="text1"/>
                <w:sz w:val="20"/>
                <w:szCs w:val="20"/>
              </w:rPr>
              <w:t xml:space="preserve">This should include an initial assessment to confirm </w:t>
            </w:r>
            <w:proofErr w:type="spellStart"/>
            <w:r w:rsidRPr="001958F9">
              <w:rPr>
                <w:rFonts w:ascii="Arial Narrow" w:hAnsi="Arial Narrow"/>
                <w:color w:val="000000" w:themeColor="text1"/>
                <w:sz w:val="20"/>
                <w:szCs w:val="20"/>
              </w:rPr>
              <w:t>fetal</w:t>
            </w:r>
            <w:proofErr w:type="spellEnd"/>
            <w:r w:rsidRPr="001958F9">
              <w:rPr>
                <w:rFonts w:ascii="Arial Narrow" w:hAnsi="Arial Narrow"/>
                <w:color w:val="000000" w:themeColor="text1"/>
                <w:sz w:val="20"/>
                <w:szCs w:val="20"/>
              </w:rPr>
              <w:t xml:space="preserve"> well-being. In the presence of </w:t>
            </w:r>
            <w:proofErr w:type="spellStart"/>
            <w:r w:rsidRPr="001958F9">
              <w:rPr>
                <w:rFonts w:ascii="Arial Narrow" w:hAnsi="Arial Narrow"/>
                <w:color w:val="000000" w:themeColor="text1"/>
                <w:sz w:val="20"/>
                <w:szCs w:val="20"/>
              </w:rPr>
              <w:t>fetal</w:t>
            </w:r>
            <w:proofErr w:type="spellEnd"/>
            <w:r w:rsidRPr="001958F9">
              <w:rPr>
                <w:rFonts w:ascii="Arial Narrow" w:hAnsi="Arial Narrow"/>
                <w:color w:val="000000" w:themeColor="text1"/>
                <w:sz w:val="20"/>
                <w:szCs w:val="20"/>
              </w:rPr>
              <w:t xml:space="preserve"> growth restriction, a recommended schedule for serial </w:t>
            </w:r>
            <w:proofErr w:type="spellStart"/>
            <w:r w:rsidRPr="001958F9">
              <w:rPr>
                <w:rFonts w:ascii="Arial Narrow" w:hAnsi="Arial Narrow"/>
                <w:color w:val="000000" w:themeColor="text1"/>
                <w:sz w:val="20"/>
                <w:szCs w:val="20"/>
              </w:rPr>
              <w:t>fetal</w:t>
            </w:r>
            <w:proofErr w:type="spellEnd"/>
            <w:r w:rsidRPr="001958F9">
              <w:rPr>
                <w:rFonts w:ascii="Arial Narrow" w:hAnsi="Arial Narrow"/>
                <w:color w:val="000000" w:themeColor="text1"/>
                <w:sz w:val="20"/>
                <w:szCs w:val="20"/>
              </w:rPr>
              <w:t xml:space="preserve"> surveillance with ultrasound is detailed within these recommendations</w:t>
            </w:r>
          </w:p>
        </w:tc>
      </w:tr>
      <w:tr w:rsidR="00E75882" w:rsidRPr="001958F9" w14:paraId="715DCB34" w14:textId="77777777" w:rsidTr="00EF551E">
        <w:tc>
          <w:tcPr>
            <w:tcW w:w="1980" w:type="dxa"/>
          </w:tcPr>
          <w:p w14:paraId="19B07006" w14:textId="77777777" w:rsidR="00E75882" w:rsidRPr="001958F9" w:rsidRDefault="00E75882" w:rsidP="00EF551E">
            <w:pPr>
              <w:shd w:val="clear" w:color="auto" w:fill="FFFFFF" w:themeFill="background1"/>
              <w:spacing w:after="0"/>
              <w:jc w:val="both"/>
              <w:rPr>
                <w:rFonts w:ascii="Arial Narrow" w:hAnsi="Arial Narrow"/>
                <w:color w:val="000000" w:themeColor="text1"/>
                <w:sz w:val="20"/>
                <w:szCs w:val="20"/>
              </w:rPr>
            </w:pPr>
            <w:r w:rsidRPr="001958F9">
              <w:rPr>
                <w:rFonts w:ascii="Arial Narrow" w:hAnsi="Arial Narrow"/>
                <w:color w:val="000000" w:themeColor="text1"/>
                <w:sz w:val="20"/>
                <w:szCs w:val="20"/>
              </w:rPr>
              <w:t xml:space="preserve">Maternal monitoring </w:t>
            </w:r>
          </w:p>
        </w:tc>
        <w:tc>
          <w:tcPr>
            <w:tcW w:w="7036" w:type="dxa"/>
          </w:tcPr>
          <w:p w14:paraId="20C64550" w14:textId="3948E19D" w:rsidR="00E75882" w:rsidRPr="001958F9" w:rsidRDefault="00E75882" w:rsidP="00E52A56">
            <w:pPr>
              <w:shd w:val="clear" w:color="auto" w:fill="FFFFFF" w:themeFill="background1"/>
              <w:spacing w:after="0"/>
              <w:rPr>
                <w:rFonts w:ascii="Arial Narrow" w:hAnsi="Arial Narrow"/>
                <w:color w:val="000000" w:themeColor="text1"/>
                <w:sz w:val="20"/>
                <w:szCs w:val="20"/>
              </w:rPr>
            </w:pPr>
            <w:r w:rsidRPr="001958F9">
              <w:rPr>
                <w:rFonts w:ascii="Arial Narrow" w:hAnsi="Arial Narrow"/>
                <w:color w:val="000000" w:themeColor="text1"/>
                <w:sz w:val="20"/>
                <w:szCs w:val="20"/>
              </w:rPr>
              <w:t xml:space="preserve">should include </w:t>
            </w:r>
            <w:r w:rsidR="00833F58">
              <w:rPr>
                <w:rFonts w:ascii="Arial Narrow" w:hAnsi="Arial Narrow"/>
                <w:color w:val="000000" w:themeColor="text1"/>
                <w:sz w:val="20"/>
                <w:szCs w:val="20"/>
              </w:rPr>
              <w:t>blood pressure</w:t>
            </w:r>
            <w:r w:rsidR="00833F58" w:rsidRPr="001958F9">
              <w:rPr>
                <w:rFonts w:ascii="Arial Narrow" w:hAnsi="Arial Narrow"/>
                <w:color w:val="000000" w:themeColor="text1"/>
                <w:sz w:val="20"/>
                <w:szCs w:val="20"/>
              </w:rPr>
              <w:t xml:space="preserve"> </w:t>
            </w:r>
            <w:r w:rsidRPr="001958F9">
              <w:rPr>
                <w:rFonts w:ascii="Arial Narrow" w:hAnsi="Arial Narrow"/>
                <w:color w:val="000000" w:themeColor="text1"/>
                <w:sz w:val="20"/>
                <w:szCs w:val="20"/>
              </w:rPr>
              <w:t xml:space="preserve">monitoring, repeated assessments for proteinuria if it is not already present, clinical assessment including clonus, and a minimum of twice weekly blood tests for </w:t>
            </w:r>
            <w:proofErr w:type="spellStart"/>
            <w:r w:rsidRPr="001958F9">
              <w:rPr>
                <w:rFonts w:ascii="Arial Narrow" w:hAnsi="Arial Narrow"/>
                <w:color w:val="000000" w:themeColor="text1"/>
                <w:sz w:val="20"/>
                <w:szCs w:val="20"/>
              </w:rPr>
              <w:t>hemoglobin</w:t>
            </w:r>
            <w:proofErr w:type="spellEnd"/>
            <w:r w:rsidRPr="001958F9">
              <w:rPr>
                <w:rFonts w:ascii="Arial Narrow" w:hAnsi="Arial Narrow"/>
                <w:color w:val="000000" w:themeColor="text1"/>
                <w:sz w:val="20"/>
                <w:szCs w:val="20"/>
              </w:rPr>
              <w:t xml:space="preserve">, platelet count, and tests of liver and renal function. </w:t>
            </w:r>
          </w:p>
        </w:tc>
      </w:tr>
      <w:tr w:rsidR="00E75882" w:rsidRPr="001958F9" w14:paraId="726B1D52" w14:textId="77777777" w:rsidTr="00EF551E">
        <w:tc>
          <w:tcPr>
            <w:tcW w:w="1980" w:type="dxa"/>
          </w:tcPr>
          <w:p w14:paraId="36496C1F" w14:textId="77777777" w:rsidR="00E75882" w:rsidRPr="001958F9" w:rsidRDefault="00E75882" w:rsidP="00EF551E">
            <w:pPr>
              <w:shd w:val="clear" w:color="auto" w:fill="FFFFFF" w:themeFill="background1"/>
              <w:spacing w:after="0"/>
              <w:jc w:val="both"/>
              <w:rPr>
                <w:rFonts w:ascii="Arial Narrow" w:hAnsi="Arial Narrow"/>
                <w:color w:val="000000" w:themeColor="text1"/>
                <w:sz w:val="20"/>
                <w:szCs w:val="20"/>
              </w:rPr>
            </w:pPr>
            <w:r w:rsidRPr="001958F9">
              <w:rPr>
                <w:rFonts w:ascii="Arial Narrow" w:hAnsi="Arial Narrow"/>
                <w:color w:val="000000" w:themeColor="text1"/>
                <w:sz w:val="20"/>
                <w:szCs w:val="20"/>
              </w:rPr>
              <w:t>Delivery</w:t>
            </w:r>
          </w:p>
        </w:tc>
        <w:tc>
          <w:tcPr>
            <w:tcW w:w="7036" w:type="dxa"/>
          </w:tcPr>
          <w:p w14:paraId="39C5C032" w14:textId="77777777" w:rsidR="00E75882" w:rsidRPr="001958F9" w:rsidRDefault="00E75882" w:rsidP="00E52A56">
            <w:pPr>
              <w:shd w:val="clear" w:color="auto" w:fill="FFFFFF" w:themeFill="background1"/>
              <w:spacing w:after="0"/>
              <w:rPr>
                <w:rFonts w:ascii="Arial Narrow" w:hAnsi="Arial Narrow"/>
                <w:color w:val="000000" w:themeColor="text1"/>
                <w:sz w:val="20"/>
                <w:szCs w:val="20"/>
              </w:rPr>
            </w:pPr>
            <w:r w:rsidRPr="001958F9">
              <w:rPr>
                <w:rFonts w:ascii="Arial Narrow" w:hAnsi="Arial Narrow"/>
                <w:color w:val="000000" w:themeColor="text1"/>
                <w:sz w:val="20"/>
                <w:szCs w:val="20"/>
              </w:rPr>
              <w:t xml:space="preserve">Should initiate delivery if they have reached 37 weeks’ (and zero days) gestation or if they develop any of the following: • Repeated episodes of severe hypertension despite maintenance treatment with 3 classes of antihypertensive agents; • Progressive thrombocytopenia; • Progressively abnormal renal or liver enzyme tests; • Pulmonary </w:t>
            </w:r>
            <w:proofErr w:type="spellStart"/>
            <w:r w:rsidRPr="001958F9">
              <w:rPr>
                <w:rFonts w:ascii="Arial Narrow" w:hAnsi="Arial Narrow"/>
                <w:color w:val="000000" w:themeColor="text1"/>
                <w:sz w:val="20"/>
                <w:szCs w:val="20"/>
              </w:rPr>
              <w:t>edema</w:t>
            </w:r>
            <w:proofErr w:type="spellEnd"/>
            <w:r w:rsidRPr="001958F9">
              <w:rPr>
                <w:rFonts w:ascii="Arial Narrow" w:hAnsi="Arial Narrow"/>
                <w:color w:val="000000" w:themeColor="text1"/>
                <w:sz w:val="20"/>
                <w:szCs w:val="20"/>
              </w:rPr>
              <w:t xml:space="preserve">; • Abnormal neurological features, such as severe intractable headache, repeated visual scotomata, or convulsions; • </w:t>
            </w:r>
            <w:proofErr w:type="spellStart"/>
            <w:r w:rsidRPr="001958F9">
              <w:rPr>
                <w:rFonts w:ascii="Arial Narrow" w:hAnsi="Arial Narrow"/>
                <w:color w:val="000000" w:themeColor="text1"/>
                <w:sz w:val="20"/>
                <w:szCs w:val="20"/>
              </w:rPr>
              <w:t>Nonreassuring</w:t>
            </w:r>
            <w:proofErr w:type="spellEnd"/>
            <w:r w:rsidRPr="001958F9">
              <w:rPr>
                <w:rFonts w:ascii="Arial Narrow" w:hAnsi="Arial Narrow"/>
                <w:color w:val="000000" w:themeColor="text1"/>
                <w:sz w:val="20"/>
                <w:szCs w:val="20"/>
              </w:rPr>
              <w:t xml:space="preserve"> </w:t>
            </w:r>
            <w:proofErr w:type="spellStart"/>
            <w:r w:rsidRPr="001958F9">
              <w:rPr>
                <w:rFonts w:ascii="Arial Narrow" w:hAnsi="Arial Narrow"/>
                <w:color w:val="000000" w:themeColor="text1"/>
                <w:sz w:val="20"/>
                <w:szCs w:val="20"/>
              </w:rPr>
              <w:t>fetal</w:t>
            </w:r>
            <w:proofErr w:type="spellEnd"/>
            <w:r w:rsidRPr="001958F9">
              <w:rPr>
                <w:rFonts w:ascii="Arial Narrow" w:hAnsi="Arial Narrow"/>
                <w:color w:val="000000" w:themeColor="text1"/>
                <w:sz w:val="20"/>
                <w:szCs w:val="20"/>
              </w:rPr>
              <w:t xml:space="preserve"> status.</w:t>
            </w:r>
          </w:p>
        </w:tc>
      </w:tr>
    </w:tbl>
    <w:p w14:paraId="1250C6DB" w14:textId="6CB54079" w:rsidR="00E75882" w:rsidRDefault="00E75882" w:rsidP="008272F3">
      <w:pPr>
        <w:shd w:val="clear" w:color="auto" w:fill="FFFFFF" w:themeFill="background1"/>
        <w:spacing w:after="0"/>
        <w:jc w:val="both"/>
        <w:rPr>
          <w:rFonts w:ascii="Arial Narrow" w:hAnsi="Arial Narrow"/>
          <w:color w:val="000000" w:themeColor="text1"/>
          <w:sz w:val="18"/>
          <w:szCs w:val="18"/>
        </w:rPr>
      </w:pPr>
      <w:r w:rsidRPr="001958F9">
        <w:rPr>
          <w:rFonts w:ascii="Arial Narrow" w:hAnsi="Arial Narrow"/>
          <w:color w:val="000000" w:themeColor="text1"/>
          <w:sz w:val="18"/>
          <w:szCs w:val="18"/>
        </w:rPr>
        <w:t xml:space="preserve">Source: Compiled during PICO evaluation from </w:t>
      </w:r>
      <w:bookmarkStart w:id="54" w:name="_Hlk97834691"/>
      <w:r>
        <w:rPr>
          <w:rFonts w:ascii="Arial Narrow" w:hAnsi="Arial Narrow"/>
          <w:noProof/>
          <w:color w:val="000000" w:themeColor="text1"/>
          <w:sz w:val="18"/>
          <w:szCs w:val="18"/>
        </w:rPr>
        <w:t>[4]</w:t>
      </w:r>
      <w:r w:rsidRPr="001958F9">
        <w:rPr>
          <w:rFonts w:ascii="Arial Narrow" w:hAnsi="Arial Narrow"/>
          <w:color w:val="000000" w:themeColor="text1"/>
          <w:sz w:val="18"/>
          <w:szCs w:val="18"/>
        </w:rPr>
        <w:t xml:space="preserve">; </w:t>
      </w:r>
      <w:r>
        <w:rPr>
          <w:rFonts w:ascii="Arial Narrow" w:hAnsi="Arial Narrow"/>
          <w:noProof/>
          <w:color w:val="000000" w:themeColor="text1"/>
          <w:sz w:val="18"/>
          <w:szCs w:val="18"/>
        </w:rPr>
        <w:t>[1]</w:t>
      </w:r>
      <w:r w:rsidRPr="001958F9">
        <w:rPr>
          <w:rFonts w:ascii="Arial Narrow" w:hAnsi="Arial Narrow"/>
          <w:color w:val="000000" w:themeColor="text1"/>
          <w:sz w:val="18"/>
          <w:szCs w:val="18"/>
        </w:rPr>
        <w:t xml:space="preserve">; </w:t>
      </w:r>
      <w:r>
        <w:rPr>
          <w:rFonts w:ascii="Arial Narrow" w:hAnsi="Arial Narrow"/>
          <w:noProof/>
          <w:color w:val="000000" w:themeColor="text1"/>
          <w:sz w:val="18"/>
          <w:szCs w:val="18"/>
        </w:rPr>
        <w:t>[26]</w:t>
      </w:r>
      <w:r w:rsidRPr="001958F9">
        <w:rPr>
          <w:rFonts w:ascii="Arial Narrow" w:hAnsi="Arial Narrow"/>
          <w:color w:val="000000" w:themeColor="text1"/>
          <w:sz w:val="18"/>
          <w:szCs w:val="18"/>
        </w:rPr>
        <w:t>;</w:t>
      </w:r>
      <w:r>
        <w:rPr>
          <w:rFonts w:ascii="Arial Narrow" w:hAnsi="Arial Narrow"/>
          <w:noProof/>
          <w:color w:val="000000" w:themeColor="text1"/>
          <w:sz w:val="18"/>
          <w:szCs w:val="18"/>
        </w:rPr>
        <w:t>[16]</w:t>
      </w:r>
      <w:r w:rsidRPr="001958F9">
        <w:rPr>
          <w:rFonts w:ascii="Arial Narrow" w:hAnsi="Arial Narrow"/>
          <w:color w:val="000000" w:themeColor="text1"/>
          <w:sz w:val="18"/>
          <w:szCs w:val="18"/>
        </w:rPr>
        <w:t xml:space="preserve"> and </w:t>
      </w:r>
      <w:r>
        <w:rPr>
          <w:rFonts w:ascii="Arial Narrow" w:hAnsi="Arial Narrow"/>
          <w:noProof/>
          <w:color w:val="000000" w:themeColor="text1"/>
          <w:sz w:val="18"/>
          <w:szCs w:val="18"/>
        </w:rPr>
        <w:t>[27]</w:t>
      </w:r>
      <w:bookmarkEnd w:id="54"/>
      <w:r w:rsidRPr="001958F9">
        <w:rPr>
          <w:rFonts w:ascii="Arial Narrow" w:hAnsi="Arial Narrow"/>
          <w:color w:val="000000" w:themeColor="text1"/>
          <w:sz w:val="18"/>
          <w:szCs w:val="18"/>
        </w:rPr>
        <w:t>.</w:t>
      </w:r>
    </w:p>
    <w:p w14:paraId="79EA4B18" w14:textId="6F58753F" w:rsidR="00162C25" w:rsidRPr="001958F9" w:rsidRDefault="00162C25">
      <w:pPr>
        <w:shd w:val="clear" w:color="auto" w:fill="FFFFFF" w:themeFill="background1"/>
        <w:spacing w:after="0"/>
        <w:rPr>
          <w:rFonts w:ascii="Arial Narrow" w:hAnsi="Arial Narrow"/>
          <w:color w:val="000000" w:themeColor="text1"/>
          <w:sz w:val="18"/>
          <w:szCs w:val="18"/>
        </w:rPr>
      </w:pPr>
      <w:r>
        <w:rPr>
          <w:rFonts w:ascii="Arial Narrow" w:hAnsi="Arial Narrow"/>
          <w:color w:val="000000" w:themeColor="text1"/>
          <w:sz w:val="18"/>
          <w:szCs w:val="18"/>
        </w:rPr>
        <w:t xml:space="preserve">Abbreviations: </w:t>
      </w:r>
      <w:r w:rsidRPr="007A7596">
        <w:rPr>
          <w:rFonts w:ascii="Arial Narrow" w:hAnsi="Arial Narrow"/>
          <w:color w:val="000000" w:themeColor="text1"/>
          <w:sz w:val="18"/>
          <w:szCs w:val="18"/>
        </w:rPr>
        <w:t>mg/mmol = micrograms per millimole; mmHg = millimetres of mercury</w:t>
      </w:r>
      <w:r>
        <w:rPr>
          <w:rFonts w:ascii="Arial Narrow" w:hAnsi="Arial Narrow"/>
          <w:color w:val="000000" w:themeColor="text1"/>
          <w:sz w:val="18"/>
          <w:szCs w:val="18"/>
        </w:rPr>
        <w:t>.</w:t>
      </w:r>
      <w:r w:rsidR="0080792B">
        <w:rPr>
          <w:rFonts w:ascii="Arial Narrow" w:hAnsi="Arial Narrow"/>
          <w:color w:val="000000" w:themeColor="text1"/>
          <w:sz w:val="18"/>
          <w:szCs w:val="18"/>
        </w:rPr>
        <w:t xml:space="preserve"> </w:t>
      </w:r>
    </w:p>
    <w:p w14:paraId="0077404C" w14:textId="77777777" w:rsidR="00162C25" w:rsidRPr="001958F9" w:rsidRDefault="00162C25" w:rsidP="00EF551E">
      <w:pPr>
        <w:shd w:val="clear" w:color="auto" w:fill="FFFFFF" w:themeFill="background1"/>
        <w:jc w:val="both"/>
        <w:rPr>
          <w:color w:val="000000" w:themeColor="text1"/>
        </w:rPr>
      </w:pPr>
    </w:p>
    <w:p w14:paraId="3FE980F9" w14:textId="77777777" w:rsidR="00E75882" w:rsidRPr="001958F9" w:rsidRDefault="00E75882" w:rsidP="00EF551E">
      <w:pPr>
        <w:pStyle w:val="TableText0"/>
        <w:shd w:val="clear" w:color="auto" w:fill="FFFFFF" w:themeFill="background1"/>
        <w:rPr>
          <w:b/>
          <w:bCs/>
          <w:color w:val="000000" w:themeColor="text1"/>
        </w:rPr>
      </w:pPr>
      <w:bookmarkStart w:id="55" w:name="Title_Table2A"/>
      <w:r w:rsidRPr="001958F9">
        <w:rPr>
          <w:b/>
          <w:bCs/>
          <w:color w:val="000000" w:themeColor="text1"/>
        </w:rPr>
        <w:t xml:space="preserve">Table 2A: Tests and management of women with PE - NICE guidelines </w:t>
      </w:r>
    </w:p>
    <w:tbl>
      <w:tblPr>
        <w:tblStyle w:val="TableGrid"/>
        <w:tblW w:w="0" w:type="auto"/>
        <w:tblLook w:val="04A0" w:firstRow="1" w:lastRow="0" w:firstColumn="1" w:lastColumn="0" w:noHBand="0" w:noVBand="1"/>
      </w:tblPr>
      <w:tblGrid>
        <w:gridCol w:w="1980"/>
        <w:gridCol w:w="2528"/>
        <w:gridCol w:w="2254"/>
        <w:gridCol w:w="2254"/>
      </w:tblGrid>
      <w:tr w:rsidR="00E75882" w:rsidRPr="001958F9" w14:paraId="3095A5A1" w14:textId="77777777" w:rsidTr="00EF551E">
        <w:tc>
          <w:tcPr>
            <w:tcW w:w="1980" w:type="dxa"/>
          </w:tcPr>
          <w:bookmarkEnd w:id="55"/>
          <w:p w14:paraId="7C0599E2" w14:textId="77777777" w:rsidR="00E75882" w:rsidRPr="001958F9" w:rsidRDefault="00E75882" w:rsidP="00EF551E">
            <w:pPr>
              <w:shd w:val="clear" w:color="auto" w:fill="FFFFFF" w:themeFill="background1"/>
              <w:spacing w:after="0" w:line="240" w:lineRule="auto"/>
              <w:rPr>
                <w:rFonts w:ascii="Arial Narrow" w:hAnsi="Arial Narrow"/>
                <w:color w:val="000000" w:themeColor="text1"/>
                <w:sz w:val="20"/>
                <w:szCs w:val="20"/>
              </w:rPr>
            </w:pPr>
            <w:r w:rsidRPr="001958F9">
              <w:rPr>
                <w:rFonts w:ascii="Arial Narrow" w:hAnsi="Arial Narrow"/>
                <w:color w:val="000000" w:themeColor="text1"/>
                <w:sz w:val="20"/>
                <w:szCs w:val="20"/>
              </w:rPr>
              <w:t>Degree of hypertension</w:t>
            </w:r>
          </w:p>
        </w:tc>
        <w:tc>
          <w:tcPr>
            <w:tcW w:w="2528" w:type="dxa"/>
          </w:tcPr>
          <w:p w14:paraId="7DED739A" w14:textId="77777777" w:rsidR="00E75882" w:rsidRPr="001958F9" w:rsidRDefault="00E75882" w:rsidP="00EF551E">
            <w:pPr>
              <w:shd w:val="clear" w:color="auto" w:fill="FFFFFF" w:themeFill="background1"/>
              <w:spacing w:after="0" w:line="240" w:lineRule="auto"/>
              <w:rPr>
                <w:rFonts w:ascii="Arial Narrow" w:hAnsi="Arial Narrow"/>
                <w:color w:val="000000" w:themeColor="text1"/>
                <w:sz w:val="20"/>
                <w:szCs w:val="20"/>
              </w:rPr>
            </w:pPr>
            <w:r w:rsidRPr="001958F9">
              <w:rPr>
                <w:rFonts w:ascii="Arial Narrow" w:hAnsi="Arial Narrow"/>
                <w:color w:val="000000" w:themeColor="text1"/>
                <w:sz w:val="20"/>
                <w:szCs w:val="20"/>
              </w:rPr>
              <w:t>Mild</w:t>
            </w:r>
          </w:p>
          <w:p w14:paraId="1978C891" w14:textId="77777777" w:rsidR="00E75882" w:rsidRPr="001958F9" w:rsidRDefault="00E75882" w:rsidP="00EF551E">
            <w:pPr>
              <w:shd w:val="clear" w:color="auto" w:fill="FFFFFF" w:themeFill="background1"/>
              <w:spacing w:after="0" w:line="240" w:lineRule="auto"/>
              <w:rPr>
                <w:rFonts w:ascii="Arial Narrow" w:hAnsi="Arial Narrow"/>
                <w:color w:val="000000" w:themeColor="text1"/>
                <w:sz w:val="20"/>
                <w:szCs w:val="20"/>
              </w:rPr>
            </w:pPr>
            <w:r w:rsidRPr="001958F9">
              <w:rPr>
                <w:rFonts w:ascii="Arial Narrow" w:hAnsi="Arial Narrow"/>
                <w:color w:val="000000" w:themeColor="text1"/>
                <w:sz w:val="20"/>
                <w:szCs w:val="20"/>
              </w:rPr>
              <w:t>(140/90 mmHg to 149/ 99 mmHg)</w:t>
            </w:r>
          </w:p>
        </w:tc>
        <w:tc>
          <w:tcPr>
            <w:tcW w:w="2254" w:type="dxa"/>
          </w:tcPr>
          <w:p w14:paraId="49B332A0" w14:textId="77777777" w:rsidR="00E75882" w:rsidRPr="001958F9" w:rsidRDefault="00E75882" w:rsidP="00EF551E">
            <w:pPr>
              <w:shd w:val="clear" w:color="auto" w:fill="FFFFFF" w:themeFill="background1"/>
              <w:spacing w:after="0" w:line="240" w:lineRule="auto"/>
              <w:rPr>
                <w:rFonts w:ascii="Arial Narrow" w:hAnsi="Arial Narrow"/>
                <w:color w:val="000000" w:themeColor="text1"/>
                <w:sz w:val="20"/>
                <w:szCs w:val="20"/>
              </w:rPr>
            </w:pPr>
            <w:r w:rsidRPr="001958F9">
              <w:rPr>
                <w:rFonts w:ascii="Arial Narrow" w:hAnsi="Arial Narrow"/>
                <w:color w:val="000000" w:themeColor="text1"/>
                <w:sz w:val="20"/>
                <w:szCs w:val="20"/>
              </w:rPr>
              <w:t xml:space="preserve">Moderate </w:t>
            </w:r>
          </w:p>
          <w:p w14:paraId="7AA9F6B1" w14:textId="77777777" w:rsidR="00E75882" w:rsidRPr="001958F9" w:rsidRDefault="00E75882" w:rsidP="00EF551E">
            <w:pPr>
              <w:shd w:val="clear" w:color="auto" w:fill="FFFFFF" w:themeFill="background1"/>
              <w:spacing w:after="0" w:line="240" w:lineRule="auto"/>
              <w:rPr>
                <w:rFonts w:ascii="Arial Narrow" w:hAnsi="Arial Narrow"/>
                <w:color w:val="000000" w:themeColor="text1"/>
                <w:sz w:val="20"/>
                <w:szCs w:val="20"/>
              </w:rPr>
            </w:pPr>
            <w:r w:rsidRPr="001958F9">
              <w:rPr>
                <w:rFonts w:ascii="Arial Narrow" w:hAnsi="Arial Narrow"/>
                <w:color w:val="000000" w:themeColor="text1"/>
                <w:sz w:val="20"/>
                <w:szCs w:val="20"/>
              </w:rPr>
              <w:t>(150/100 mmHg to 159/ 109 mmHg)</w:t>
            </w:r>
          </w:p>
        </w:tc>
        <w:tc>
          <w:tcPr>
            <w:tcW w:w="2254" w:type="dxa"/>
          </w:tcPr>
          <w:p w14:paraId="6569EAF2" w14:textId="77777777" w:rsidR="00E75882" w:rsidRPr="001958F9" w:rsidRDefault="00E75882" w:rsidP="00EF551E">
            <w:pPr>
              <w:shd w:val="clear" w:color="auto" w:fill="FFFFFF" w:themeFill="background1"/>
              <w:spacing w:after="0" w:line="240" w:lineRule="auto"/>
              <w:rPr>
                <w:rFonts w:ascii="Arial Narrow" w:hAnsi="Arial Narrow"/>
                <w:color w:val="000000" w:themeColor="text1"/>
                <w:sz w:val="20"/>
                <w:szCs w:val="20"/>
              </w:rPr>
            </w:pPr>
            <w:r w:rsidRPr="001958F9">
              <w:rPr>
                <w:rFonts w:ascii="Arial Narrow" w:hAnsi="Arial Narrow"/>
                <w:color w:val="000000" w:themeColor="text1"/>
                <w:sz w:val="20"/>
                <w:szCs w:val="20"/>
              </w:rPr>
              <w:t>Severe</w:t>
            </w:r>
          </w:p>
          <w:p w14:paraId="2B672F7D" w14:textId="77777777" w:rsidR="00E75882" w:rsidRPr="001958F9" w:rsidRDefault="00E75882" w:rsidP="00EF551E">
            <w:pPr>
              <w:shd w:val="clear" w:color="auto" w:fill="FFFFFF" w:themeFill="background1"/>
              <w:spacing w:after="0" w:line="240" w:lineRule="auto"/>
              <w:rPr>
                <w:rFonts w:ascii="Arial Narrow" w:hAnsi="Arial Narrow"/>
                <w:color w:val="000000" w:themeColor="text1"/>
                <w:sz w:val="20"/>
                <w:szCs w:val="20"/>
              </w:rPr>
            </w:pPr>
            <w:r w:rsidRPr="001958F9">
              <w:rPr>
                <w:rFonts w:ascii="Arial Narrow" w:hAnsi="Arial Narrow"/>
                <w:color w:val="000000" w:themeColor="text1"/>
                <w:sz w:val="20"/>
                <w:szCs w:val="20"/>
              </w:rPr>
              <w:t>(160/110 mmHg or higher)</w:t>
            </w:r>
          </w:p>
        </w:tc>
      </w:tr>
      <w:tr w:rsidR="00E75882" w:rsidRPr="001958F9" w14:paraId="51896676" w14:textId="77777777" w:rsidTr="00EF551E">
        <w:tc>
          <w:tcPr>
            <w:tcW w:w="1980" w:type="dxa"/>
          </w:tcPr>
          <w:p w14:paraId="77FFD572" w14:textId="77777777" w:rsidR="00E75882" w:rsidRPr="001958F9" w:rsidRDefault="00E75882" w:rsidP="00EF551E">
            <w:pPr>
              <w:shd w:val="clear" w:color="auto" w:fill="FFFFFF" w:themeFill="background1"/>
              <w:spacing w:after="0" w:line="240" w:lineRule="auto"/>
              <w:rPr>
                <w:rFonts w:ascii="Arial Narrow" w:hAnsi="Arial Narrow"/>
                <w:color w:val="000000" w:themeColor="text1"/>
                <w:sz w:val="20"/>
                <w:szCs w:val="20"/>
              </w:rPr>
            </w:pPr>
            <w:r w:rsidRPr="001958F9">
              <w:rPr>
                <w:rFonts w:ascii="Arial Narrow" w:hAnsi="Arial Narrow"/>
                <w:color w:val="000000" w:themeColor="text1"/>
                <w:sz w:val="20"/>
                <w:szCs w:val="20"/>
              </w:rPr>
              <w:t>Admit to hospital</w:t>
            </w:r>
          </w:p>
        </w:tc>
        <w:tc>
          <w:tcPr>
            <w:tcW w:w="2528" w:type="dxa"/>
          </w:tcPr>
          <w:p w14:paraId="2CAC6CF4" w14:textId="77777777" w:rsidR="00E75882" w:rsidRPr="001958F9" w:rsidRDefault="00E75882" w:rsidP="00EF551E">
            <w:pPr>
              <w:shd w:val="clear" w:color="auto" w:fill="FFFFFF" w:themeFill="background1"/>
              <w:spacing w:after="0" w:line="240" w:lineRule="auto"/>
              <w:rPr>
                <w:rFonts w:ascii="Arial Narrow" w:hAnsi="Arial Narrow"/>
                <w:color w:val="000000" w:themeColor="text1"/>
                <w:sz w:val="20"/>
                <w:szCs w:val="20"/>
              </w:rPr>
            </w:pPr>
            <w:r w:rsidRPr="001958F9">
              <w:rPr>
                <w:rFonts w:ascii="Arial Narrow" w:hAnsi="Arial Narrow"/>
                <w:color w:val="000000" w:themeColor="text1"/>
                <w:sz w:val="20"/>
                <w:szCs w:val="20"/>
              </w:rPr>
              <w:t>Yes</w:t>
            </w:r>
          </w:p>
        </w:tc>
        <w:tc>
          <w:tcPr>
            <w:tcW w:w="2254" w:type="dxa"/>
          </w:tcPr>
          <w:p w14:paraId="6DDC8DE7" w14:textId="77777777" w:rsidR="00E75882" w:rsidRPr="001958F9" w:rsidRDefault="00E75882" w:rsidP="00EF551E">
            <w:pPr>
              <w:shd w:val="clear" w:color="auto" w:fill="FFFFFF" w:themeFill="background1"/>
              <w:spacing w:after="0" w:line="240" w:lineRule="auto"/>
              <w:rPr>
                <w:rFonts w:ascii="Arial Narrow" w:hAnsi="Arial Narrow"/>
                <w:color w:val="000000" w:themeColor="text1"/>
                <w:sz w:val="20"/>
                <w:szCs w:val="20"/>
              </w:rPr>
            </w:pPr>
            <w:r w:rsidRPr="001958F9">
              <w:rPr>
                <w:rFonts w:ascii="Arial Narrow" w:hAnsi="Arial Narrow"/>
                <w:color w:val="000000" w:themeColor="text1"/>
                <w:sz w:val="20"/>
                <w:szCs w:val="20"/>
              </w:rPr>
              <w:t>Yes</w:t>
            </w:r>
          </w:p>
        </w:tc>
        <w:tc>
          <w:tcPr>
            <w:tcW w:w="2254" w:type="dxa"/>
          </w:tcPr>
          <w:p w14:paraId="413CB8C6" w14:textId="77777777" w:rsidR="00E75882" w:rsidRPr="001958F9" w:rsidRDefault="00E75882" w:rsidP="00EF551E">
            <w:pPr>
              <w:shd w:val="clear" w:color="auto" w:fill="FFFFFF" w:themeFill="background1"/>
              <w:spacing w:after="0" w:line="240" w:lineRule="auto"/>
              <w:rPr>
                <w:rFonts w:ascii="Arial Narrow" w:hAnsi="Arial Narrow"/>
                <w:color w:val="000000" w:themeColor="text1"/>
                <w:sz w:val="20"/>
                <w:szCs w:val="20"/>
              </w:rPr>
            </w:pPr>
            <w:r w:rsidRPr="001958F9">
              <w:rPr>
                <w:rFonts w:ascii="Arial Narrow" w:hAnsi="Arial Narrow"/>
                <w:color w:val="000000" w:themeColor="text1"/>
                <w:sz w:val="20"/>
                <w:szCs w:val="20"/>
              </w:rPr>
              <w:t>Yes</w:t>
            </w:r>
          </w:p>
        </w:tc>
      </w:tr>
      <w:tr w:rsidR="00E75882" w:rsidRPr="001958F9" w14:paraId="49A0C188" w14:textId="77777777" w:rsidTr="00EF551E">
        <w:tc>
          <w:tcPr>
            <w:tcW w:w="1980" w:type="dxa"/>
          </w:tcPr>
          <w:p w14:paraId="1F2C913D" w14:textId="77777777" w:rsidR="00E75882" w:rsidRPr="001958F9" w:rsidRDefault="00E75882" w:rsidP="00EF551E">
            <w:pPr>
              <w:shd w:val="clear" w:color="auto" w:fill="FFFFFF" w:themeFill="background1"/>
              <w:spacing w:after="0" w:line="240" w:lineRule="auto"/>
              <w:rPr>
                <w:rFonts w:ascii="Arial Narrow" w:hAnsi="Arial Narrow"/>
                <w:color w:val="000000" w:themeColor="text1"/>
                <w:sz w:val="20"/>
                <w:szCs w:val="20"/>
              </w:rPr>
            </w:pPr>
            <w:r w:rsidRPr="001958F9">
              <w:rPr>
                <w:rFonts w:ascii="Arial Narrow" w:hAnsi="Arial Narrow"/>
                <w:color w:val="000000" w:themeColor="text1"/>
                <w:sz w:val="20"/>
                <w:szCs w:val="20"/>
              </w:rPr>
              <w:t>Treat</w:t>
            </w:r>
          </w:p>
        </w:tc>
        <w:tc>
          <w:tcPr>
            <w:tcW w:w="2528" w:type="dxa"/>
          </w:tcPr>
          <w:p w14:paraId="0BCC98DF" w14:textId="77777777" w:rsidR="00E75882" w:rsidRPr="001958F9" w:rsidRDefault="00E75882" w:rsidP="00EF551E">
            <w:pPr>
              <w:shd w:val="clear" w:color="auto" w:fill="FFFFFF" w:themeFill="background1"/>
              <w:spacing w:after="0" w:line="240" w:lineRule="auto"/>
              <w:rPr>
                <w:rFonts w:ascii="Arial Narrow" w:hAnsi="Arial Narrow"/>
                <w:color w:val="000000" w:themeColor="text1"/>
                <w:sz w:val="20"/>
                <w:szCs w:val="20"/>
              </w:rPr>
            </w:pPr>
            <w:r w:rsidRPr="001958F9">
              <w:rPr>
                <w:rFonts w:ascii="Arial Narrow" w:hAnsi="Arial Narrow"/>
                <w:color w:val="000000" w:themeColor="text1"/>
                <w:sz w:val="20"/>
                <w:szCs w:val="20"/>
              </w:rPr>
              <w:t>No</w:t>
            </w:r>
          </w:p>
        </w:tc>
        <w:tc>
          <w:tcPr>
            <w:tcW w:w="2254" w:type="dxa"/>
          </w:tcPr>
          <w:p w14:paraId="43114FF8" w14:textId="77777777" w:rsidR="00E75882" w:rsidRPr="001958F9" w:rsidRDefault="00E75882" w:rsidP="00EF551E">
            <w:pPr>
              <w:shd w:val="clear" w:color="auto" w:fill="FFFFFF" w:themeFill="background1"/>
              <w:spacing w:after="0" w:line="240" w:lineRule="auto"/>
              <w:rPr>
                <w:rFonts w:ascii="Arial Narrow" w:hAnsi="Arial Narrow"/>
                <w:color w:val="000000" w:themeColor="text1"/>
                <w:sz w:val="20"/>
                <w:szCs w:val="20"/>
              </w:rPr>
            </w:pPr>
            <w:r w:rsidRPr="001958F9">
              <w:rPr>
                <w:rFonts w:ascii="Arial Narrow" w:hAnsi="Arial Narrow"/>
                <w:color w:val="000000" w:themeColor="text1"/>
                <w:sz w:val="20"/>
                <w:szCs w:val="20"/>
              </w:rPr>
              <w:t>With oral labetalol as first-line treatment</w:t>
            </w:r>
          </w:p>
        </w:tc>
        <w:tc>
          <w:tcPr>
            <w:tcW w:w="2254" w:type="dxa"/>
          </w:tcPr>
          <w:p w14:paraId="0A35B656" w14:textId="77777777" w:rsidR="00E75882" w:rsidRPr="001958F9" w:rsidRDefault="00E75882" w:rsidP="00EF551E">
            <w:pPr>
              <w:shd w:val="clear" w:color="auto" w:fill="FFFFFF" w:themeFill="background1"/>
              <w:spacing w:after="0" w:line="240" w:lineRule="auto"/>
              <w:rPr>
                <w:rFonts w:ascii="Arial Narrow" w:hAnsi="Arial Narrow"/>
                <w:color w:val="000000" w:themeColor="text1"/>
                <w:sz w:val="20"/>
                <w:szCs w:val="20"/>
              </w:rPr>
            </w:pPr>
            <w:r w:rsidRPr="001958F9">
              <w:rPr>
                <w:rFonts w:ascii="Arial Narrow" w:hAnsi="Arial Narrow"/>
                <w:color w:val="000000" w:themeColor="text1"/>
                <w:sz w:val="20"/>
                <w:szCs w:val="20"/>
              </w:rPr>
              <w:t>With oral labetalol as first-line treatment</w:t>
            </w:r>
          </w:p>
        </w:tc>
      </w:tr>
      <w:tr w:rsidR="00E75882" w:rsidRPr="001958F9" w14:paraId="29CE88A1" w14:textId="77777777" w:rsidTr="00EF551E">
        <w:tc>
          <w:tcPr>
            <w:tcW w:w="1980" w:type="dxa"/>
          </w:tcPr>
          <w:p w14:paraId="372D5267" w14:textId="77777777" w:rsidR="00E75882" w:rsidRPr="001958F9" w:rsidRDefault="00E75882" w:rsidP="00EF551E">
            <w:pPr>
              <w:shd w:val="clear" w:color="auto" w:fill="FFFFFF" w:themeFill="background1"/>
              <w:spacing w:after="0" w:line="240" w:lineRule="auto"/>
              <w:rPr>
                <w:rFonts w:ascii="Arial Narrow" w:hAnsi="Arial Narrow"/>
                <w:color w:val="000000" w:themeColor="text1"/>
                <w:sz w:val="20"/>
                <w:szCs w:val="20"/>
              </w:rPr>
            </w:pPr>
            <w:r w:rsidRPr="001958F9">
              <w:rPr>
                <w:rFonts w:ascii="Arial Narrow" w:hAnsi="Arial Narrow"/>
                <w:color w:val="000000" w:themeColor="text1"/>
                <w:sz w:val="20"/>
                <w:szCs w:val="20"/>
              </w:rPr>
              <w:t>Measure blood</w:t>
            </w:r>
          </w:p>
          <w:p w14:paraId="60BF04A5" w14:textId="77777777" w:rsidR="00E75882" w:rsidRPr="001958F9" w:rsidRDefault="00E75882" w:rsidP="00EF551E">
            <w:pPr>
              <w:shd w:val="clear" w:color="auto" w:fill="FFFFFF" w:themeFill="background1"/>
              <w:spacing w:after="0" w:line="240" w:lineRule="auto"/>
              <w:rPr>
                <w:rFonts w:ascii="Arial Narrow" w:hAnsi="Arial Narrow"/>
                <w:color w:val="000000" w:themeColor="text1"/>
                <w:sz w:val="20"/>
                <w:szCs w:val="20"/>
              </w:rPr>
            </w:pPr>
            <w:r w:rsidRPr="001958F9">
              <w:rPr>
                <w:rFonts w:ascii="Arial Narrow" w:hAnsi="Arial Narrow"/>
                <w:color w:val="000000" w:themeColor="text1"/>
                <w:sz w:val="20"/>
                <w:szCs w:val="20"/>
              </w:rPr>
              <w:t>pressure</w:t>
            </w:r>
          </w:p>
        </w:tc>
        <w:tc>
          <w:tcPr>
            <w:tcW w:w="2528" w:type="dxa"/>
          </w:tcPr>
          <w:p w14:paraId="1B2215DF" w14:textId="77777777" w:rsidR="00E75882" w:rsidRPr="001958F9" w:rsidRDefault="00E75882" w:rsidP="00EF551E">
            <w:pPr>
              <w:shd w:val="clear" w:color="auto" w:fill="FFFFFF" w:themeFill="background1"/>
              <w:spacing w:after="0" w:line="240" w:lineRule="auto"/>
              <w:rPr>
                <w:rFonts w:ascii="Arial Narrow" w:hAnsi="Arial Narrow"/>
                <w:color w:val="000000" w:themeColor="text1"/>
                <w:sz w:val="20"/>
                <w:szCs w:val="20"/>
              </w:rPr>
            </w:pPr>
            <w:r w:rsidRPr="001958F9">
              <w:rPr>
                <w:rFonts w:ascii="Arial Narrow" w:hAnsi="Arial Narrow"/>
                <w:color w:val="000000" w:themeColor="text1"/>
                <w:sz w:val="20"/>
                <w:szCs w:val="20"/>
              </w:rPr>
              <w:t>At least 4 times a day</w:t>
            </w:r>
          </w:p>
        </w:tc>
        <w:tc>
          <w:tcPr>
            <w:tcW w:w="2254" w:type="dxa"/>
          </w:tcPr>
          <w:p w14:paraId="05ADBD05" w14:textId="77777777" w:rsidR="00E75882" w:rsidRPr="001958F9" w:rsidRDefault="00E75882" w:rsidP="00EF551E">
            <w:pPr>
              <w:shd w:val="clear" w:color="auto" w:fill="FFFFFF" w:themeFill="background1"/>
              <w:spacing w:after="0" w:line="240" w:lineRule="auto"/>
              <w:rPr>
                <w:rFonts w:ascii="Arial Narrow" w:hAnsi="Arial Narrow"/>
                <w:color w:val="000000" w:themeColor="text1"/>
                <w:sz w:val="20"/>
                <w:szCs w:val="20"/>
              </w:rPr>
            </w:pPr>
            <w:r w:rsidRPr="001958F9">
              <w:rPr>
                <w:rFonts w:ascii="Arial Narrow" w:hAnsi="Arial Narrow"/>
                <w:color w:val="000000" w:themeColor="text1"/>
                <w:sz w:val="20"/>
                <w:szCs w:val="20"/>
              </w:rPr>
              <w:t>At least 4 times a day</w:t>
            </w:r>
          </w:p>
        </w:tc>
        <w:tc>
          <w:tcPr>
            <w:tcW w:w="2254" w:type="dxa"/>
          </w:tcPr>
          <w:p w14:paraId="75391459" w14:textId="77777777" w:rsidR="00E75882" w:rsidRPr="001958F9" w:rsidRDefault="00E75882" w:rsidP="00EF551E">
            <w:pPr>
              <w:shd w:val="clear" w:color="auto" w:fill="FFFFFF" w:themeFill="background1"/>
              <w:spacing w:after="0" w:line="240" w:lineRule="auto"/>
              <w:rPr>
                <w:rFonts w:ascii="Arial Narrow" w:hAnsi="Arial Narrow"/>
                <w:color w:val="000000" w:themeColor="text1"/>
                <w:sz w:val="20"/>
                <w:szCs w:val="20"/>
              </w:rPr>
            </w:pPr>
            <w:r w:rsidRPr="001958F9">
              <w:rPr>
                <w:rFonts w:ascii="Arial Narrow" w:hAnsi="Arial Narrow"/>
                <w:color w:val="000000" w:themeColor="text1"/>
                <w:sz w:val="20"/>
                <w:szCs w:val="20"/>
              </w:rPr>
              <w:t>More than 4 times a day</w:t>
            </w:r>
          </w:p>
        </w:tc>
      </w:tr>
      <w:tr w:rsidR="00E75882" w:rsidRPr="001958F9" w14:paraId="624FFEFA" w14:textId="77777777" w:rsidTr="00EF551E">
        <w:tc>
          <w:tcPr>
            <w:tcW w:w="1980" w:type="dxa"/>
          </w:tcPr>
          <w:p w14:paraId="735C4A59" w14:textId="77777777" w:rsidR="00E75882" w:rsidRPr="001958F9" w:rsidRDefault="00E75882" w:rsidP="00EF551E">
            <w:pPr>
              <w:shd w:val="clear" w:color="auto" w:fill="FFFFFF" w:themeFill="background1"/>
              <w:spacing w:after="0" w:line="240" w:lineRule="auto"/>
              <w:rPr>
                <w:rFonts w:ascii="Arial Narrow" w:hAnsi="Arial Narrow"/>
                <w:color w:val="000000" w:themeColor="text1"/>
                <w:sz w:val="20"/>
                <w:szCs w:val="20"/>
              </w:rPr>
            </w:pPr>
            <w:r w:rsidRPr="001958F9">
              <w:rPr>
                <w:rFonts w:ascii="Arial Narrow" w:hAnsi="Arial Narrow"/>
                <w:color w:val="000000" w:themeColor="text1"/>
                <w:sz w:val="20"/>
                <w:szCs w:val="20"/>
              </w:rPr>
              <w:t>Test for proteinuria</w:t>
            </w:r>
          </w:p>
        </w:tc>
        <w:tc>
          <w:tcPr>
            <w:tcW w:w="2528" w:type="dxa"/>
          </w:tcPr>
          <w:p w14:paraId="369D2B93" w14:textId="77777777" w:rsidR="00E75882" w:rsidRPr="001958F9" w:rsidRDefault="00E75882" w:rsidP="00EF551E">
            <w:pPr>
              <w:shd w:val="clear" w:color="auto" w:fill="FFFFFF" w:themeFill="background1"/>
              <w:spacing w:after="0" w:line="240" w:lineRule="auto"/>
              <w:rPr>
                <w:rFonts w:ascii="Arial Narrow" w:hAnsi="Arial Narrow"/>
                <w:color w:val="000000" w:themeColor="text1"/>
                <w:sz w:val="20"/>
                <w:szCs w:val="20"/>
              </w:rPr>
            </w:pPr>
            <w:r w:rsidRPr="001958F9">
              <w:rPr>
                <w:rFonts w:ascii="Arial Narrow" w:hAnsi="Arial Narrow"/>
                <w:color w:val="000000" w:themeColor="text1"/>
                <w:sz w:val="20"/>
                <w:szCs w:val="20"/>
              </w:rPr>
              <w:t>Do not repeat quantification of proteinuria</w:t>
            </w:r>
          </w:p>
        </w:tc>
        <w:tc>
          <w:tcPr>
            <w:tcW w:w="2254" w:type="dxa"/>
          </w:tcPr>
          <w:p w14:paraId="469D67F7" w14:textId="77777777" w:rsidR="00E75882" w:rsidRPr="001958F9" w:rsidRDefault="00E75882" w:rsidP="00EF551E">
            <w:pPr>
              <w:shd w:val="clear" w:color="auto" w:fill="FFFFFF" w:themeFill="background1"/>
              <w:spacing w:after="0" w:line="240" w:lineRule="auto"/>
              <w:rPr>
                <w:rFonts w:ascii="Arial Narrow" w:hAnsi="Arial Narrow"/>
                <w:color w:val="000000" w:themeColor="text1"/>
                <w:sz w:val="20"/>
                <w:szCs w:val="20"/>
              </w:rPr>
            </w:pPr>
            <w:r w:rsidRPr="001958F9">
              <w:rPr>
                <w:rFonts w:ascii="Arial Narrow" w:hAnsi="Arial Narrow"/>
                <w:color w:val="000000" w:themeColor="text1"/>
                <w:sz w:val="20"/>
                <w:szCs w:val="20"/>
              </w:rPr>
              <w:t>Do not repeat quantification of proteinuria</w:t>
            </w:r>
          </w:p>
        </w:tc>
        <w:tc>
          <w:tcPr>
            <w:tcW w:w="2254" w:type="dxa"/>
          </w:tcPr>
          <w:p w14:paraId="1FAA4619" w14:textId="77777777" w:rsidR="00E75882" w:rsidRPr="001958F9" w:rsidRDefault="00E75882" w:rsidP="00EF551E">
            <w:pPr>
              <w:shd w:val="clear" w:color="auto" w:fill="FFFFFF" w:themeFill="background1"/>
              <w:spacing w:after="0" w:line="240" w:lineRule="auto"/>
              <w:rPr>
                <w:rFonts w:ascii="Arial Narrow" w:hAnsi="Arial Narrow"/>
                <w:color w:val="000000" w:themeColor="text1"/>
                <w:sz w:val="20"/>
                <w:szCs w:val="20"/>
              </w:rPr>
            </w:pPr>
            <w:r w:rsidRPr="001958F9">
              <w:rPr>
                <w:rFonts w:ascii="Arial Narrow" w:hAnsi="Arial Narrow"/>
                <w:color w:val="000000" w:themeColor="text1"/>
                <w:sz w:val="20"/>
                <w:szCs w:val="20"/>
              </w:rPr>
              <w:t>Do not repeat quantification of proteinuria</w:t>
            </w:r>
          </w:p>
        </w:tc>
      </w:tr>
      <w:tr w:rsidR="00E75882" w:rsidRPr="001958F9" w14:paraId="4C97F968" w14:textId="77777777" w:rsidTr="00EF551E">
        <w:tc>
          <w:tcPr>
            <w:tcW w:w="1980" w:type="dxa"/>
          </w:tcPr>
          <w:p w14:paraId="31F5AB1E" w14:textId="77777777" w:rsidR="00E75882" w:rsidRPr="001958F9" w:rsidRDefault="00E75882" w:rsidP="00EF551E">
            <w:pPr>
              <w:shd w:val="clear" w:color="auto" w:fill="FFFFFF" w:themeFill="background1"/>
              <w:spacing w:after="0" w:line="240" w:lineRule="auto"/>
              <w:rPr>
                <w:rFonts w:ascii="Arial Narrow" w:hAnsi="Arial Narrow"/>
                <w:color w:val="000000" w:themeColor="text1"/>
                <w:sz w:val="20"/>
                <w:szCs w:val="20"/>
              </w:rPr>
            </w:pPr>
            <w:r w:rsidRPr="001958F9">
              <w:rPr>
                <w:rFonts w:ascii="Arial Narrow" w:hAnsi="Arial Narrow"/>
                <w:color w:val="000000" w:themeColor="text1"/>
                <w:sz w:val="20"/>
                <w:szCs w:val="20"/>
              </w:rPr>
              <w:t>Blood tests</w:t>
            </w:r>
          </w:p>
        </w:tc>
        <w:tc>
          <w:tcPr>
            <w:tcW w:w="2528" w:type="dxa"/>
          </w:tcPr>
          <w:p w14:paraId="38B25FC3" w14:textId="77777777" w:rsidR="00E75882" w:rsidRPr="001958F9" w:rsidRDefault="00E75882" w:rsidP="00EF551E">
            <w:pPr>
              <w:shd w:val="clear" w:color="auto" w:fill="FFFFFF" w:themeFill="background1"/>
              <w:spacing w:after="0" w:line="240" w:lineRule="auto"/>
              <w:rPr>
                <w:rFonts w:ascii="Arial Narrow" w:hAnsi="Arial Narrow"/>
                <w:color w:val="000000" w:themeColor="text1"/>
                <w:sz w:val="20"/>
                <w:szCs w:val="20"/>
              </w:rPr>
            </w:pPr>
            <w:r w:rsidRPr="001958F9">
              <w:rPr>
                <w:rFonts w:ascii="Arial Narrow" w:hAnsi="Arial Narrow"/>
                <w:color w:val="000000" w:themeColor="text1"/>
                <w:sz w:val="20"/>
                <w:szCs w:val="20"/>
              </w:rPr>
              <w:t>Monitor the following twice a week: kidney function, bilirubin, electrolytes, full blood count, transaminases</w:t>
            </w:r>
          </w:p>
        </w:tc>
        <w:tc>
          <w:tcPr>
            <w:tcW w:w="2254" w:type="dxa"/>
          </w:tcPr>
          <w:p w14:paraId="2E1088B8" w14:textId="77777777" w:rsidR="00E75882" w:rsidRPr="001958F9" w:rsidRDefault="00E75882" w:rsidP="00EF551E">
            <w:pPr>
              <w:shd w:val="clear" w:color="auto" w:fill="FFFFFF" w:themeFill="background1"/>
              <w:spacing w:after="0" w:line="240" w:lineRule="auto"/>
              <w:rPr>
                <w:rFonts w:ascii="Arial Narrow" w:hAnsi="Arial Narrow"/>
                <w:color w:val="000000" w:themeColor="text1"/>
                <w:sz w:val="20"/>
                <w:szCs w:val="20"/>
              </w:rPr>
            </w:pPr>
            <w:r w:rsidRPr="001958F9">
              <w:rPr>
                <w:rFonts w:ascii="Arial Narrow" w:hAnsi="Arial Narrow"/>
                <w:color w:val="000000" w:themeColor="text1"/>
                <w:sz w:val="20"/>
                <w:szCs w:val="20"/>
              </w:rPr>
              <w:t>Monitor the following 3 times a week: kidney function, bilirubin, electrolytes, full blood count, transaminases</w:t>
            </w:r>
          </w:p>
        </w:tc>
        <w:tc>
          <w:tcPr>
            <w:tcW w:w="2254" w:type="dxa"/>
          </w:tcPr>
          <w:p w14:paraId="4B59BC41" w14:textId="77777777" w:rsidR="00E75882" w:rsidRPr="001958F9" w:rsidRDefault="00E75882" w:rsidP="00EF551E">
            <w:pPr>
              <w:shd w:val="clear" w:color="auto" w:fill="FFFFFF" w:themeFill="background1"/>
              <w:spacing w:after="0" w:line="240" w:lineRule="auto"/>
              <w:rPr>
                <w:rFonts w:ascii="Arial Narrow" w:hAnsi="Arial Narrow"/>
                <w:color w:val="000000" w:themeColor="text1"/>
                <w:sz w:val="20"/>
                <w:szCs w:val="20"/>
              </w:rPr>
            </w:pPr>
            <w:r w:rsidRPr="001958F9">
              <w:rPr>
                <w:rFonts w:ascii="Arial Narrow" w:hAnsi="Arial Narrow"/>
                <w:color w:val="000000" w:themeColor="text1"/>
                <w:sz w:val="20"/>
                <w:szCs w:val="20"/>
              </w:rPr>
              <w:t>Monitor the following 3 times a week: kidney function, bilirubin, electrolytes, full blood count, transaminases</w:t>
            </w:r>
          </w:p>
        </w:tc>
      </w:tr>
    </w:tbl>
    <w:p w14:paraId="36881584" w14:textId="77777777" w:rsidR="00833F58" w:rsidRDefault="00E75882" w:rsidP="008272F3">
      <w:pPr>
        <w:shd w:val="clear" w:color="auto" w:fill="FFFFFF" w:themeFill="background1"/>
        <w:spacing w:after="0"/>
        <w:rPr>
          <w:rFonts w:ascii="Arial Narrow" w:hAnsi="Arial Narrow"/>
          <w:color w:val="000000" w:themeColor="text1"/>
          <w:sz w:val="18"/>
          <w:szCs w:val="18"/>
        </w:rPr>
      </w:pPr>
      <w:r w:rsidRPr="001958F9">
        <w:rPr>
          <w:rFonts w:ascii="Arial Narrow" w:hAnsi="Arial Narrow"/>
          <w:color w:val="000000" w:themeColor="text1"/>
          <w:sz w:val="18"/>
          <w:szCs w:val="18"/>
        </w:rPr>
        <w:t xml:space="preserve">Source: Compiled during PICO evaluation from </w:t>
      </w:r>
      <w:r>
        <w:rPr>
          <w:rFonts w:ascii="Arial Narrow" w:hAnsi="Arial Narrow"/>
          <w:noProof/>
          <w:color w:val="000000" w:themeColor="text1"/>
          <w:sz w:val="18"/>
          <w:szCs w:val="18"/>
        </w:rPr>
        <w:t>[25]</w:t>
      </w:r>
      <w:r w:rsidRPr="001958F9">
        <w:rPr>
          <w:rFonts w:ascii="Arial Narrow" w:hAnsi="Arial Narrow"/>
          <w:color w:val="000000" w:themeColor="text1"/>
          <w:sz w:val="18"/>
          <w:szCs w:val="18"/>
        </w:rPr>
        <w:t xml:space="preserve">. </w:t>
      </w:r>
    </w:p>
    <w:p w14:paraId="7178D974" w14:textId="7C727205" w:rsidR="00EF551E" w:rsidRPr="007E72BE" w:rsidRDefault="00833F58" w:rsidP="007E72BE">
      <w:pPr>
        <w:shd w:val="clear" w:color="auto" w:fill="FFFFFF" w:themeFill="background1"/>
        <w:spacing w:after="0"/>
        <w:rPr>
          <w:rFonts w:ascii="Arial Narrow" w:hAnsi="Arial Narrow"/>
          <w:color w:val="000000" w:themeColor="text1"/>
          <w:sz w:val="18"/>
          <w:szCs w:val="18"/>
        </w:rPr>
      </w:pPr>
      <w:r>
        <w:rPr>
          <w:rFonts w:ascii="Arial Narrow" w:hAnsi="Arial Narrow"/>
          <w:color w:val="000000" w:themeColor="text1"/>
          <w:sz w:val="18"/>
          <w:szCs w:val="18"/>
        </w:rPr>
        <w:t xml:space="preserve">Abbreviations: </w:t>
      </w:r>
      <w:r w:rsidRPr="007A7596">
        <w:rPr>
          <w:rFonts w:ascii="Arial Narrow" w:hAnsi="Arial Narrow"/>
          <w:color w:val="000000" w:themeColor="text1"/>
          <w:sz w:val="18"/>
          <w:szCs w:val="18"/>
        </w:rPr>
        <w:t>mg/mmol = micrograms per millimole; mmHg = millimetres of mercury</w:t>
      </w:r>
      <w:r>
        <w:rPr>
          <w:rFonts w:ascii="Arial Narrow" w:hAnsi="Arial Narrow"/>
          <w:color w:val="000000" w:themeColor="text1"/>
          <w:sz w:val="18"/>
          <w:szCs w:val="18"/>
        </w:rPr>
        <w:t>.</w:t>
      </w:r>
      <w:r w:rsidR="0080792B">
        <w:rPr>
          <w:rFonts w:ascii="Arial Narrow" w:hAnsi="Arial Narrow"/>
          <w:color w:val="000000" w:themeColor="text1"/>
          <w:sz w:val="18"/>
          <w:szCs w:val="18"/>
        </w:rPr>
        <w:t xml:space="preserve"> </w:t>
      </w:r>
    </w:p>
    <w:sectPr w:rsidR="00EF551E" w:rsidRPr="007E72BE">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C580BC" w14:textId="77777777" w:rsidR="006B47FB" w:rsidRDefault="006B47FB" w:rsidP="00E75882">
      <w:pPr>
        <w:spacing w:after="0" w:line="240" w:lineRule="auto"/>
      </w:pPr>
      <w:r>
        <w:separator/>
      </w:r>
    </w:p>
  </w:endnote>
  <w:endnote w:type="continuationSeparator" w:id="0">
    <w:p w14:paraId="0065454E" w14:textId="77777777" w:rsidR="006B47FB" w:rsidRDefault="006B47FB" w:rsidP="00E75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A30DA" w14:textId="77777777" w:rsidR="006B47FB" w:rsidRDefault="006B47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DC5E9" w14:textId="61D0998C" w:rsidR="006B47FB" w:rsidRDefault="006B47FB" w:rsidP="006B47FB">
    <w:pPr>
      <w:pStyle w:val="Footer"/>
      <w:jc w:val="center"/>
      <w:rPr>
        <w:noProof/>
      </w:rPr>
    </w:pPr>
    <w:r>
      <w:tab/>
      <w:t>Ratified PICO confirmation – April 2022 PASC meeting</w:t>
    </w:r>
    <w:r>
      <w:tab/>
    </w:r>
    <w:sdt>
      <w:sdtPr>
        <w:id w:val="186462610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r>
          <w:br/>
        </w:r>
      </w:sdtContent>
    </w:sdt>
    <w:r>
      <w:t>Application 1706 – Angiogenic and anti-angiogenic markers for identification and management of preeclampsia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AD32A" w14:textId="77777777" w:rsidR="006B47FB" w:rsidRDefault="006B47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90E1BA" w14:textId="77777777" w:rsidR="006B47FB" w:rsidRDefault="006B47FB" w:rsidP="00E75882">
      <w:pPr>
        <w:spacing w:after="0" w:line="240" w:lineRule="auto"/>
      </w:pPr>
      <w:r>
        <w:separator/>
      </w:r>
    </w:p>
  </w:footnote>
  <w:footnote w:type="continuationSeparator" w:id="0">
    <w:p w14:paraId="4632F7B7" w14:textId="77777777" w:rsidR="006B47FB" w:rsidRDefault="006B47FB" w:rsidP="00E75882">
      <w:pPr>
        <w:spacing w:after="0" w:line="240" w:lineRule="auto"/>
      </w:pPr>
      <w:r>
        <w:continuationSeparator/>
      </w:r>
    </w:p>
  </w:footnote>
  <w:footnote w:id="1">
    <w:p w14:paraId="7C129010" w14:textId="588A3CBC" w:rsidR="006B47FB" w:rsidRPr="006B47FB" w:rsidRDefault="006B47FB">
      <w:pPr>
        <w:pStyle w:val="FootnoteText"/>
        <w:rPr>
          <w:color w:val="000000" w:themeColor="text1"/>
          <w:sz w:val="16"/>
          <w:szCs w:val="16"/>
          <w:lang w:val="en-US"/>
        </w:rPr>
      </w:pPr>
      <w:r w:rsidRPr="006B47FB">
        <w:rPr>
          <w:rStyle w:val="FootnoteReference"/>
          <w:sz w:val="18"/>
          <w:szCs w:val="18"/>
        </w:rPr>
        <w:footnoteRef/>
      </w:r>
      <w:r w:rsidRPr="006B47FB">
        <w:rPr>
          <w:sz w:val="18"/>
          <w:szCs w:val="18"/>
        </w:rPr>
        <w:t xml:space="preserve"> </w:t>
      </w:r>
      <w:r w:rsidRPr="006B47FB">
        <w:rPr>
          <w:rFonts w:asciiTheme="minorHAnsi" w:hAnsiTheme="minorHAnsi" w:cstheme="minorHAnsi"/>
          <w:color w:val="000000" w:themeColor="text1"/>
          <w:sz w:val="16"/>
          <w:szCs w:val="16"/>
        </w:rPr>
        <w:t xml:space="preserve">Australian preterm birth prevention alliance: </w:t>
      </w:r>
      <w:hyperlink r:id="rId1" w:history="1">
        <w:r w:rsidRPr="006B47FB">
          <w:rPr>
            <w:rStyle w:val="Hyperlink"/>
            <w:rFonts w:asciiTheme="minorHAnsi" w:hAnsiTheme="minorHAnsi" w:cstheme="minorHAnsi"/>
            <w:color w:val="000000" w:themeColor="text1"/>
            <w:sz w:val="16"/>
            <w:szCs w:val="16"/>
            <w:u w:val="none"/>
          </w:rPr>
          <w:t>https://www.pretermalliance.com.au/About-Preterm-Birth/Preterm-Facts-and-FigureS</w:t>
        </w:r>
      </w:hyperlink>
      <w:r w:rsidRPr="006B47FB">
        <w:rPr>
          <w:rStyle w:val="cf11"/>
          <w:rFonts w:asciiTheme="minorHAnsi" w:hAnsiTheme="minorHAnsi" w:cstheme="minorHAnsi"/>
          <w:color w:val="000000" w:themeColor="text1"/>
          <w:sz w:val="16"/>
          <w:szCs w:val="16"/>
        </w:rPr>
        <w:t>.</w:t>
      </w:r>
      <w:r w:rsidRPr="006B47FB">
        <w:rPr>
          <w:rStyle w:val="cf11"/>
          <w:color w:val="000000" w:themeColor="text1"/>
          <w:sz w:val="16"/>
          <w:szCs w:val="16"/>
        </w:rPr>
        <w:t xml:space="preserve"> </w:t>
      </w:r>
    </w:p>
  </w:footnote>
  <w:footnote w:id="2">
    <w:p w14:paraId="628223A6" w14:textId="78F4A305" w:rsidR="006B47FB" w:rsidRPr="0079646B" w:rsidRDefault="006B47FB" w:rsidP="0079646B">
      <w:pPr>
        <w:pStyle w:val="FootnoteText"/>
      </w:pPr>
      <w:r w:rsidRPr="006B47FB">
        <w:rPr>
          <w:rStyle w:val="FootnoteReference"/>
          <w:color w:val="000000" w:themeColor="text1"/>
          <w:sz w:val="16"/>
          <w:szCs w:val="16"/>
        </w:rPr>
        <w:footnoteRef/>
      </w:r>
      <w:r w:rsidRPr="006B47FB">
        <w:rPr>
          <w:rFonts w:asciiTheme="minorHAnsi" w:hAnsiTheme="minorHAnsi" w:cstheme="minorHAnsi"/>
          <w:color w:val="000000" w:themeColor="text1"/>
          <w:sz w:val="16"/>
          <w:szCs w:val="16"/>
        </w:rPr>
        <w:t xml:space="preserve">Chow SSW, Le </w:t>
      </w:r>
      <w:proofErr w:type="spellStart"/>
      <w:r w:rsidRPr="006B47FB">
        <w:rPr>
          <w:rFonts w:asciiTheme="minorHAnsi" w:hAnsiTheme="minorHAnsi" w:cstheme="minorHAnsi"/>
          <w:color w:val="000000" w:themeColor="text1"/>
          <w:sz w:val="16"/>
          <w:szCs w:val="16"/>
        </w:rPr>
        <w:t>Marsney</w:t>
      </w:r>
      <w:proofErr w:type="spellEnd"/>
      <w:r w:rsidRPr="006B47FB">
        <w:rPr>
          <w:rFonts w:asciiTheme="minorHAnsi" w:hAnsiTheme="minorHAnsi" w:cstheme="minorHAnsi"/>
          <w:color w:val="000000" w:themeColor="text1"/>
          <w:sz w:val="16"/>
          <w:szCs w:val="16"/>
        </w:rPr>
        <w:t xml:space="preserve"> R, Creighton P, </w:t>
      </w:r>
      <w:proofErr w:type="spellStart"/>
      <w:r w:rsidRPr="006B47FB">
        <w:rPr>
          <w:rFonts w:asciiTheme="minorHAnsi" w:hAnsiTheme="minorHAnsi" w:cstheme="minorHAnsi"/>
          <w:color w:val="000000" w:themeColor="text1"/>
          <w:sz w:val="16"/>
          <w:szCs w:val="16"/>
        </w:rPr>
        <w:t>Kander</w:t>
      </w:r>
      <w:proofErr w:type="spellEnd"/>
      <w:r w:rsidRPr="006B47FB">
        <w:rPr>
          <w:rFonts w:asciiTheme="minorHAnsi" w:hAnsiTheme="minorHAnsi" w:cstheme="minorHAnsi"/>
          <w:color w:val="000000" w:themeColor="text1"/>
          <w:sz w:val="16"/>
          <w:szCs w:val="16"/>
        </w:rPr>
        <w:t xml:space="preserve"> V, Haslem R, Lui K. Report of the Australian and New Zealand Neonatal Network 2015. Sydney: Australian and New Zealand Neonatal Network; 2017. Available from </w:t>
      </w:r>
      <w:hyperlink r:id="rId2" w:history="1">
        <w:r w:rsidRPr="006B47FB">
          <w:rPr>
            <w:rStyle w:val="Hyperlink"/>
            <w:rFonts w:asciiTheme="minorHAnsi" w:hAnsiTheme="minorHAnsi" w:cstheme="minorHAnsi"/>
            <w:color w:val="000000" w:themeColor="text1"/>
            <w:sz w:val="16"/>
            <w:szCs w:val="16"/>
            <w:u w:val="none"/>
          </w:rPr>
          <w:t>https://www.anznn.net/Portals/0/AnnualReports/Report%20of%20the%20Australian%20and%20New%20Zealand%20Neonatal%20Network%202019.pdf</w:t>
        </w:r>
      </w:hyperlink>
      <w:r w:rsidRPr="006B47FB">
        <w:rPr>
          <w:rStyle w:val="cf01"/>
          <w:rFonts w:asciiTheme="minorHAnsi" w:hAnsiTheme="minorHAnsi" w:cstheme="minorHAnsi"/>
          <w:color w:val="000000" w:themeColor="text1"/>
          <w:sz w:val="16"/>
          <w:szCs w:val="16"/>
        </w:rPr>
        <w:t xml:space="preserve"> (Accessed March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84DAB" w14:textId="77777777" w:rsidR="006B47FB" w:rsidRDefault="006B47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4E955" w14:textId="77777777" w:rsidR="006B47FB" w:rsidRDefault="006B47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A1C9C" w14:textId="77777777" w:rsidR="006B47FB" w:rsidRDefault="006B47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418F4"/>
    <w:multiLevelType w:val="hybridMultilevel"/>
    <w:tmpl w:val="2940F7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395FFE"/>
    <w:multiLevelType w:val="hybridMultilevel"/>
    <w:tmpl w:val="44F262C6"/>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2" w15:restartNumberingAfterBreak="0">
    <w:nsid w:val="0BB83973"/>
    <w:multiLevelType w:val="hybridMultilevel"/>
    <w:tmpl w:val="5E22C35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41420E"/>
    <w:multiLevelType w:val="hybridMultilevel"/>
    <w:tmpl w:val="B2EC73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10565F47"/>
    <w:multiLevelType w:val="hybridMultilevel"/>
    <w:tmpl w:val="80DC1FF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3D0EF3"/>
    <w:multiLevelType w:val="hybridMultilevel"/>
    <w:tmpl w:val="673C0106"/>
    <w:lvl w:ilvl="0" w:tplc="0C090001">
      <w:start w:val="1"/>
      <w:numFmt w:val="bullet"/>
      <w:lvlText w:val=""/>
      <w:lvlJc w:val="left"/>
      <w:pPr>
        <w:ind w:left="923" w:hanging="360"/>
      </w:pPr>
      <w:rPr>
        <w:rFonts w:ascii="Symbol" w:hAnsi="Symbol" w:hint="default"/>
      </w:rPr>
    </w:lvl>
    <w:lvl w:ilvl="1" w:tplc="0C090003" w:tentative="1">
      <w:start w:val="1"/>
      <w:numFmt w:val="bullet"/>
      <w:lvlText w:val="o"/>
      <w:lvlJc w:val="left"/>
      <w:pPr>
        <w:ind w:left="1643" w:hanging="360"/>
      </w:pPr>
      <w:rPr>
        <w:rFonts w:ascii="Courier New" w:hAnsi="Courier New" w:cs="Courier New" w:hint="default"/>
      </w:rPr>
    </w:lvl>
    <w:lvl w:ilvl="2" w:tplc="0C090005" w:tentative="1">
      <w:start w:val="1"/>
      <w:numFmt w:val="bullet"/>
      <w:lvlText w:val=""/>
      <w:lvlJc w:val="left"/>
      <w:pPr>
        <w:ind w:left="2363" w:hanging="360"/>
      </w:pPr>
      <w:rPr>
        <w:rFonts w:ascii="Wingdings" w:hAnsi="Wingdings" w:hint="default"/>
      </w:rPr>
    </w:lvl>
    <w:lvl w:ilvl="3" w:tplc="0C090001" w:tentative="1">
      <w:start w:val="1"/>
      <w:numFmt w:val="bullet"/>
      <w:lvlText w:val=""/>
      <w:lvlJc w:val="left"/>
      <w:pPr>
        <w:ind w:left="3083" w:hanging="360"/>
      </w:pPr>
      <w:rPr>
        <w:rFonts w:ascii="Symbol" w:hAnsi="Symbol" w:hint="default"/>
      </w:rPr>
    </w:lvl>
    <w:lvl w:ilvl="4" w:tplc="0C090003" w:tentative="1">
      <w:start w:val="1"/>
      <w:numFmt w:val="bullet"/>
      <w:lvlText w:val="o"/>
      <w:lvlJc w:val="left"/>
      <w:pPr>
        <w:ind w:left="3803" w:hanging="360"/>
      </w:pPr>
      <w:rPr>
        <w:rFonts w:ascii="Courier New" w:hAnsi="Courier New" w:cs="Courier New" w:hint="default"/>
      </w:rPr>
    </w:lvl>
    <w:lvl w:ilvl="5" w:tplc="0C090005" w:tentative="1">
      <w:start w:val="1"/>
      <w:numFmt w:val="bullet"/>
      <w:lvlText w:val=""/>
      <w:lvlJc w:val="left"/>
      <w:pPr>
        <w:ind w:left="4523" w:hanging="360"/>
      </w:pPr>
      <w:rPr>
        <w:rFonts w:ascii="Wingdings" w:hAnsi="Wingdings" w:hint="default"/>
      </w:rPr>
    </w:lvl>
    <w:lvl w:ilvl="6" w:tplc="0C090001" w:tentative="1">
      <w:start w:val="1"/>
      <w:numFmt w:val="bullet"/>
      <w:lvlText w:val=""/>
      <w:lvlJc w:val="left"/>
      <w:pPr>
        <w:ind w:left="5243" w:hanging="360"/>
      </w:pPr>
      <w:rPr>
        <w:rFonts w:ascii="Symbol" w:hAnsi="Symbol" w:hint="default"/>
      </w:rPr>
    </w:lvl>
    <w:lvl w:ilvl="7" w:tplc="0C090003" w:tentative="1">
      <w:start w:val="1"/>
      <w:numFmt w:val="bullet"/>
      <w:lvlText w:val="o"/>
      <w:lvlJc w:val="left"/>
      <w:pPr>
        <w:ind w:left="5963" w:hanging="360"/>
      </w:pPr>
      <w:rPr>
        <w:rFonts w:ascii="Courier New" w:hAnsi="Courier New" w:cs="Courier New" w:hint="default"/>
      </w:rPr>
    </w:lvl>
    <w:lvl w:ilvl="8" w:tplc="0C090005" w:tentative="1">
      <w:start w:val="1"/>
      <w:numFmt w:val="bullet"/>
      <w:lvlText w:val=""/>
      <w:lvlJc w:val="left"/>
      <w:pPr>
        <w:ind w:left="6683" w:hanging="360"/>
      </w:pPr>
      <w:rPr>
        <w:rFonts w:ascii="Wingdings" w:hAnsi="Wingdings" w:hint="default"/>
      </w:rPr>
    </w:lvl>
  </w:abstractNum>
  <w:abstractNum w:abstractNumId="6" w15:restartNumberingAfterBreak="0">
    <w:nsid w:val="15947358"/>
    <w:multiLevelType w:val="multilevel"/>
    <w:tmpl w:val="3F2CE5D2"/>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Calibri" w:eastAsia="Calibri" w:hAnsi="Calibri" w:cs="Calibr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D87718"/>
    <w:multiLevelType w:val="hybridMultilevel"/>
    <w:tmpl w:val="3F8A0B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1A1BFA"/>
    <w:multiLevelType w:val="hybridMultilevel"/>
    <w:tmpl w:val="3DA2DC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8B0C49"/>
    <w:multiLevelType w:val="hybridMultilevel"/>
    <w:tmpl w:val="F8E07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B51E11"/>
    <w:multiLevelType w:val="hybridMultilevel"/>
    <w:tmpl w:val="B80637E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0C08AE"/>
    <w:multiLevelType w:val="hybridMultilevel"/>
    <w:tmpl w:val="63345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49487C"/>
    <w:multiLevelType w:val="hybridMultilevel"/>
    <w:tmpl w:val="48D4802E"/>
    <w:lvl w:ilvl="0" w:tplc="9DCAFB2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F80ADD"/>
    <w:multiLevelType w:val="hybridMultilevel"/>
    <w:tmpl w:val="E6249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BF454D"/>
    <w:multiLevelType w:val="hybridMultilevel"/>
    <w:tmpl w:val="A4DE5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11314F"/>
    <w:multiLevelType w:val="hybridMultilevel"/>
    <w:tmpl w:val="43AEFFE2"/>
    <w:lvl w:ilvl="0" w:tplc="41A4B5D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5F3ECA"/>
    <w:multiLevelType w:val="hybridMultilevel"/>
    <w:tmpl w:val="30A480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FB3F13"/>
    <w:multiLevelType w:val="hybridMultilevel"/>
    <w:tmpl w:val="1AC8DBC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9331040"/>
    <w:multiLevelType w:val="hybridMultilevel"/>
    <w:tmpl w:val="009835F6"/>
    <w:lvl w:ilvl="0" w:tplc="FFFFFFFF">
      <w:start w:val="1"/>
      <w:numFmt w:val="decimal"/>
      <w:lvlText w:val="%1)"/>
      <w:lvlJc w:val="left"/>
      <w:pPr>
        <w:ind w:left="720" w:hanging="360"/>
      </w:pPr>
      <w:rPr>
        <w:rFonts w:ascii="Calibri" w:hAnsi="Calibri"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A8B311A"/>
    <w:multiLevelType w:val="hybridMultilevel"/>
    <w:tmpl w:val="009835F6"/>
    <w:lvl w:ilvl="0" w:tplc="8020B324">
      <w:start w:val="1"/>
      <w:numFmt w:val="decimal"/>
      <w:lvlText w:val="%1)"/>
      <w:lvlJc w:val="left"/>
      <w:pPr>
        <w:ind w:left="720" w:hanging="360"/>
      </w:pPr>
      <w:rPr>
        <w:rFonts w:ascii="Calibri" w:hAnsi="Calibri"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B851E5E"/>
    <w:multiLevelType w:val="hybridMultilevel"/>
    <w:tmpl w:val="6C626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BE59FC"/>
    <w:multiLevelType w:val="hybridMultilevel"/>
    <w:tmpl w:val="A2E47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FD0FCF"/>
    <w:multiLevelType w:val="multilevel"/>
    <w:tmpl w:val="5E76553C"/>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3" w15:restartNumberingAfterBreak="0">
    <w:nsid w:val="45D13207"/>
    <w:multiLevelType w:val="hybridMultilevel"/>
    <w:tmpl w:val="E550D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9A6031"/>
    <w:multiLevelType w:val="hybridMultilevel"/>
    <w:tmpl w:val="E034A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485423"/>
    <w:multiLevelType w:val="hybridMultilevel"/>
    <w:tmpl w:val="48D4802E"/>
    <w:lvl w:ilvl="0" w:tplc="9DCAFB2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06621FA"/>
    <w:multiLevelType w:val="hybridMultilevel"/>
    <w:tmpl w:val="AD9A8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6C0F8F"/>
    <w:multiLevelType w:val="hybridMultilevel"/>
    <w:tmpl w:val="A948A860"/>
    <w:lvl w:ilvl="0" w:tplc="FFFFFFFF">
      <w:start w:val="1"/>
      <w:numFmt w:val="decimal"/>
      <w:lvlText w:val="%1."/>
      <w:lvlJc w:val="left"/>
      <w:pPr>
        <w:ind w:left="501" w:hanging="360"/>
      </w:pPr>
      <w:rPr>
        <w:rFonts w:hint="default"/>
      </w:rPr>
    </w:lvl>
    <w:lvl w:ilvl="1" w:tplc="FFFFFFFF">
      <w:start w:val="1"/>
      <w:numFmt w:val="lowerLetter"/>
      <w:lvlText w:val="%2."/>
      <w:lvlJc w:val="left"/>
      <w:pPr>
        <w:ind w:left="1221" w:hanging="360"/>
      </w:pPr>
    </w:lvl>
    <w:lvl w:ilvl="2" w:tplc="FFFFFFFF" w:tentative="1">
      <w:start w:val="1"/>
      <w:numFmt w:val="lowerRoman"/>
      <w:lvlText w:val="%3."/>
      <w:lvlJc w:val="right"/>
      <w:pPr>
        <w:ind w:left="1941" w:hanging="180"/>
      </w:pPr>
    </w:lvl>
    <w:lvl w:ilvl="3" w:tplc="FFFFFFFF" w:tentative="1">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28" w15:restartNumberingAfterBreak="0">
    <w:nsid w:val="51B00C0B"/>
    <w:multiLevelType w:val="hybridMultilevel"/>
    <w:tmpl w:val="506C9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FF0110"/>
    <w:multiLevelType w:val="hybridMultilevel"/>
    <w:tmpl w:val="6C4C3764"/>
    <w:lvl w:ilvl="0" w:tplc="03DA1D4E">
      <w:start w:val="1"/>
      <w:numFmt w:val="bullet"/>
      <w:pStyle w:val="Instructionaltext-bullet"/>
      <w:lvlText w:val=""/>
      <w:lvlJc w:val="left"/>
      <w:pPr>
        <w:ind w:left="1077" w:hanging="360"/>
      </w:pPr>
      <w:rPr>
        <w:rFonts w:ascii="Symbol" w:hAnsi="Symbol" w:hint="default"/>
      </w:rPr>
    </w:lvl>
    <w:lvl w:ilvl="1" w:tplc="745A2EDC">
      <w:numFmt w:val="bullet"/>
      <w:lvlText w:val="•"/>
      <w:lvlJc w:val="left"/>
      <w:pPr>
        <w:ind w:left="1797" w:hanging="360"/>
      </w:pPr>
      <w:rPr>
        <w:rFonts w:ascii="Calibri" w:eastAsia="Calibri" w:hAnsi="Calibri" w:cs="Calibri" w:hint="default"/>
      </w:rPr>
    </w:lvl>
    <w:lvl w:ilvl="2" w:tplc="0C090005" w:tentative="1">
      <w:start w:val="1"/>
      <w:numFmt w:val="bullet"/>
      <w:lvlText w:val=""/>
      <w:lvlJc w:val="left"/>
      <w:pPr>
        <w:ind w:left="2517" w:hanging="360"/>
      </w:pPr>
      <w:rPr>
        <w:rFonts w:ascii="Wingdings" w:hAnsi="Wingdings" w:cs="Wingdings" w:hint="default"/>
      </w:rPr>
    </w:lvl>
    <w:lvl w:ilvl="3" w:tplc="0C090001" w:tentative="1">
      <w:start w:val="1"/>
      <w:numFmt w:val="bullet"/>
      <w:lvlText w:val=""/>
      <w:lvlJc w:val="left"/>
      <w:pPr>
        <w:ind w:left="3237" w:hanging="360"/>
      </w:pPr>
      <w:rPr>
        <w:rFonts w:ascii="Symbol" w:hAnsi="Symbol" w:cs="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cs="Wingdings" w:hint="default"/>
      </w:rPr>
    </w:lvl>
    <w:lvl w:ilvl="6" w:tplc="0C090001" w:tentative="1">
      <w:start w:val="1"/>
      <w:numFmt w:val="bullet"/>
      <w:lvlText w:val=""/>
      <w:lvlJc w:val="left"/>
      <w:pPr>
        <w:ind w:left="5397" w:hanging="360"/>
      </w:pPr>
      <w:rPr>
        <w:rFonts w:ascii="Symbol" w:hAnsi="Symbol" w:cs="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cs="Wingdings" w:hint="default"/>
      </w:rPr>
    </w:lvl>
  </w:abstractNum>
  <w:abstractNum w:abstractNumId="30" w15:restartNumberingAfterBreak="0">
    <w:nsid w:val="5BE12032"/>
    <w:multiLevelType w:val="hybridMultilevel"/>
    <w:tmpl w:val="A948A860"/>
    <w:lvl w:ilvl="0" w:tplc="0C09000F">
      <w:start w:val="1"/>
      <w:numFmt w:val="decimal"/>
      <w:lvlText w:val="%1."/>
      <w:lvlJc w:val="left"/>
      <w:pPr>
        <w:ind w:left="501" w:hanging="360"/>
      </w:pPr>
      <w:rPr>
        <w:rFonts w:hint="default"/>
      </w:rPr>
    </w:lvl>
    <w:lvl w:ilvl="1" w:tplc="0C090019">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31" w15:restartNumberingAfterBreak="0">
    <w:nsid w:val="5BE94CB4"/>
    <w:multiLevelType w:val="hybridMultilevel"/>
    <w:tmpl w:val="32A89E54"/>
    <w:lvl w:ilvl="0" w:tplc="EE4EE4C0">
      <w:start w:val="1"/>
      <w:numFmt w:val="lowerRoman"/>
      <w:lvlText w:val="(%1)"/>
      <w:lvlJc w:val="left"/>
      <w:pPr>
        <w:ind w:left="1740" w:hanging="720"/>
      </w:pPr>
      <w:rPr>
        <w:rFonts w:hint="default"/>
      </w:rPr>
    </w:lvl>
    <w:lvl w:ilvl="1" w:tplc="0C090019" w:tentative="1">
      <w:start w:val="1"/>
      <w:numFmt w:val="lowerLetter"/>
      <w:lvlText w:val="%2."/>
      <w:lvlJc w:val="left"/>
      <w:pPr>
        <w:ind w:left="2100" w:hanging="360"/>
      </w:pPr>
    </w:lvl>
    <w:lvl w:ilvl="2" w:tplc="0C09001B" w:tentative="1">
      <w:start w:val="1"/>
      <w:numFmt w:val="lowerRoman"/>
      <w:lvlText w:val="%3."/>
      <w:lvlJc w:val="right"/>
      <w:pPr>
        <w:ind w:left="2820" w:hanging="180"/>
      </w:pPr>
    </w:lvl>
    <w:lvl w:ilvl="3" w:tplc="0C09000F" w:tentative="1">
      <w:start w:val="1"/>
      <w:numFmt w:val="decimal"/>
      <w:lvlText w:val="%4."/>
      <w:lvlJc w:val="left"/>
      <w:pPr>
        <w:ind w:left="3540" w:hanging="360"/>
      </w:pPr>
    </w:lvl>
    <w:lvl w:ilvl="4" w:tplc="0C090019" w:tentative="1">
      <w:start w:val="1"/>
      <w:numFmt w:val="lowerLetter"/>
      <w:lvlText w:val="%5."/>
      <w:lvlJc w:val="left"/>
      <w:pPr>
        <w:ind w:left="4260" w:hanging="360"/>
      </w:pPr>
    </w:lvl>
    <w:lvl w:ilvl="5" w:tplc="0C09001B" w:tentative="1">
      <w:start w:val="1"/>
      <w:numFmt w:val="lowerRoman"/>
      <w:lvlText w:val="%6."/>
      <w:lvlJc w:val="right"/>
      <w:pPr>
        <w:ind w:left="4980" w:hanging="180"/>
      </w:pPr>
    </w:lvl>
    <w:lvl w:ilvl="6" w:tplc="0C09000F" w:tentative="1">
      <w:start w:val="1"/>
      <w:numFmt w:val="decimal"/>
      <w:lvlText w:val="%7."/>
      <w:lvlJc w:val="left"/>
      <w:pPr>
        <w:ind w:left="5700" w:hanging="360"/>
      </w:pPr>
    </w:lvl>
    <w:lvl w:ilvl="7" w:tplc="0C090019" w:tentative="1">
      <w:start w:val="1"/>
      <w:numFmt w:val="lowerLetter"/>
      <w:lvlText w:val="%8."/>
      <w:lvlJc w:val="left"/>
      <w:pPr>
        <w:ind w:left="6420" w:hanging="360"/>
      </w:pPr>
    </w:lvl>
    <w:lvl w:ilvl="8" w:tplc="0C09001B" w:tentative="1">
      <w:start w:val="1"/>
      <w:numFmt w:val="lowerRoman"/>
      <w:lvlText w:val="%9."/>
      <w:lvlJc w:val="right"/>
      <w:pPr>
        <w:ind w:left="7140" w:hanging="180"/>
      </w:pPr>
    </w:lvl>
  </w:abstractNum>
  <w:abstractNum w:abstractNumId="32" w15:restartNumberingAfterBreak="0">
    <w:nsid w:val="5C9D4DB2"/>
    <w:multiLevelType w:val="hybridMultilevel"/>
    <w:tmpl w:val="7A8CED0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7305BF6"/>
    <w:multiLevelType w:val="hybridMultilevel"/>
    <w:tmpl w:val="4F70E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8A67640"/>
    <w:multiLevelType w:val="hybridMultilevel"/>
    <w:tmpl w:val="BED6A7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8D44A15"/>
    <w:multiLevelType w:val="hybridMultilevel"/>
    <w:tmpl w:val="A948A860"/>
    <w:lvl w:ilvl="0" w:tplc="FFFFFFFF">
      <w:start w:val="1"/>
      <w:numFmt w:val="decimal"/>
      <w:lvlText w:val="%1."/>
      <w:lvlJc w:val="left"/>
      <w:pPr>
        <w:ind w:left="501" w:hanging="360"/>
      </w:pPr>
      <w:rPr>
        <w:rFonts w:hint="default"/>
      </w:rPr>
    </w:lvl>
    <w:lvl w:ilvl="1" w:tplc="FFFFFFFF">
      <w:start w:val="1"/>
      <w:numFmt w:val="lowerLetter"/>
      <w:lvlText w:val="%2."/>
      <w:lvlJc w:val="left"/>
      <w:pPr>
        <w:ind w:left="1221" w:hanging="360"/>
      </w:pPr>
    </w:lvl>
    <w:lvl w:ilvl="2" w:tplc="FFFFFFFF" w:tentative="1">
      <w:start w:val="1"/>
      <w:numFmt w:val="lowerRoman"/>
      <w:lvlText w:val="%3."/>
      <w:lvlJc w:val="right"/>
      <w:pPr>
        <w:ind w:left="1941" w:hanging="180"/>
      </w:pPr>
    </w:lvl>
    <w:lvl w:ilvl="3" w:tplc="FFFFFFFF" w:tentative="1">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36" w15:restartNumberingAfterBreak="0">
    <w:nsid w:val="69675079"/>
    <w:multiLevelType w:val="hybridMultilevel"/>
    <w:tmpl w:val="6442B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B1D0D1D"/>
    <w:multiLevelType w:val="multilevel"/>
    <w:tmpl w:val="823A926E"/>
    <w:lvl w:ilvl="0">
      <w:start w:val="1"/>
      <w:numFmt w:val="decimal"/>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 w15:restartNumberingAfterBreak="0">
    <w:nsid w:val="6B7A7567"/>
    <w:multiLevelType w:val="hybridMultilevel"/>
    <w:tmpl w:val="9CC49D58"/>
    <w:lvl w:ilvl="0" w:tplc="9098AECE">
      <w:start w:val="1"/>
      <w:numFmt w:val="decimal"/>
      <w:lvlText w:val="%1."/>
      <w:lvlJc w:val="left"/>
      <w:pPr>
        <w:tabs>
          <w:tab w:val="num" w:pos="2160"/>
        </w:tabs>
        <w:ind w:left="21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EC128CD"/>
    <w:multiLevelType w:val="hybridMultilevel"/>
    <w:tmpl w:val="324C1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653A17"/>
    <w:multiLevelType w:val="hybridMultilevel"/>
    <w:tmpl w:val="6D688D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FF72877"/>
    <w:multiLevelType w:val="hybridMultilevel"/>
    <w:tmpl w:val="4FE0A1A4"/>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CC3AB5"/>
    <w:multiLevelType w:val="hybridMultilevel"/>
    <w:tmpl w:val="E7B6D85C"/>
    <w:lvl w:ilvl="0" w:tplc="EF5AFCF4">
      <w:start w:val="1"/>
      <w:numFmt w:val="lowerLetter"/>
      <w:lvlText w:val="%1."/>
      <w:lvlJc w:val="left"/>
      <w:pPr>
        <w:ind w:left="928" w:hanging="360"/>
      </w:pPr>
      <w:rPr>
        <w:rFonts w:hint="default"/>
        <w:color w:val="000000" w:themeColor="text1"/>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43" w15:restartNumberingAfterBreak="0">
    <w:nsid w:val="77722E0D"/>
    <w:multiLevelType w:val="hybridMultilevel"/>
    <w:tmpl w:val="DFFA0AA0"/>
    <w:lvl w:ilvl="0" w:tplc="215AE1E0">
      <w:start w:val="1"/>
      <w:numFmt w:val="decimal"/>
      <w:lvlText w:val="%1."/>
      <w:lvlJc w:val="left"/>
      <w:pPr>
        <w:tabs>
          <w:tab w:val="num" w:pos="720"/>
        </w:tabs>
        <w:ind w:left="720" w:hanging="360"/>
      </w:pPr>
    </w:lvl>
    <w:lvl w:ilvl="1" w:tplc="D94CCABE">
      <w:start w:val="1"/>
      <w:numFmt w:val="decimal"/>
      <w:lvlText w:val="%2."/>
      <w:lvlJc w:val="left"/>
      <w:pPr>
        <w:tabs>
          <w:tab w:val="num" w:pos="1440"/>
        </w:tabs>
        <w:ind w:left="1440" w:hanging="360"/>
      </w:pPr>
    </w:lvl>
    <w:lvl w:ilvl="2" w:tplc="9098AECE">
      <w:start w:val="1"/>
      <w:numFmt w:val="decimal"/>
      <w:lvlText w:val="%3."/>
      <w:lvlJc w:val="left"/>
      <w:pPr>
        <w:tabs>
          <w:tab w:val="num" w:pos="2160"/>
        </w:tabs>
        <w:ind w:left="2160" w:hanging="360"/>
      </w:pPr>
    </w:lvl>
    <w:lvl w:ilvl="3" w:tplc="B0FC4772" w:tentative="1">
      <w:start w:val="1"/>
      <w:numFmt w:val="decimal"/>
      <w:lvlText w:val="%4."/>
      <w:lvlJc w:val="left"/>
      <w:pPr>
        <w:tabs>
          <w:tab w:val="num" w:pos="2880"/>
        </w:tabs>
        <w:ind w:left="2880" w:hanging="360"/>
      </w:pPr>
    </w:lvl>
    <w:lvl w:ilvl="4" w:tplc="40DCB9A0" w:tentative="1">
      <w:start w:val="1"/>
      <w:numFmt w:val="decimal"/>
      <w:lvlText w:val="%5."/>
      <w:lvlJc w:val="left"/>
      <w:pPr>
        <w:tabs>
          <w:tab w:val="num" w:pos="3600"/>
        </w:tabs>
        <w:ind w:left="3600" w:hanging="360"/>
      </w:pPr>
    </w:lvl>
    <w:lvl w:ilvl="5" w:tplc="A01A981E" w:tentative="1">
      <w:start w:val="1"/>
      <w:numFmt w:val="decimal"/>
      <w:lvlText w:val="%6."/>
      <w:lvlJc w:val="left"/>
      <w:pPr>
        <w:tabs>
          <w:tab w:val="num" w:pos="4320"/>
        </w:tabs>
        <w:ind w:left="4320" w:hanging="360"/>
      </w:pPr>
    </w:lvl>
    <w:lvl w:ilvl="6" w:tplc="3452A268" w:tentative="1">
      <w:start w:val="1"/>
      <w:numFmt w:val="decimal"/>
      <w:lvlText w:val="%7."/>
      <w:lvlJc w:val="left"/>
      <w:pPr>
        <w:tabs>
          <w:tab w:val="num" w:pos="5040"/>
        </w:tabs>
        <w:ind w:left="5040" w:hanging="360"/>
      </w:pPr>
    </w:lvl>
    <w:lvl w:ilvl="7" w:tplc="E6B8D2D0" w:tentative="1">
      <w:start w:val="1"/>
      <w:numFmt w:val="decimal"/>
      <w:lvlText w:val="%8."/>
      <w:lvlJc w:val="left"/>
      <w:pPr>
        <w:tabs>
          <w:tab w:val="num" w:pos="5760"/>
        </w:tabs>
        <w:ind w:left="5760" w:hanging="360"/>
      </w:pPr>
    </w:lvl>
    <w:lvl w:ilvl="8" w:tplc="35149C12" w:tentative="1">
      <w:start w:val="1"/>
      <w:numFmt w:val="decimal"/>
      <w:lvlText w:val="%9."/>
      <w:lvlJc w:val="left"/>
      <w:pPr>
        <w:tabs>
          <w:tab w:val="num" w:pos="6480"/>
        </w:tabs>
        <w:ind w:left="6480" w:hanging="360"/>
      </w:pPr>
    </w:lvl>
  </w:abstractNum>
  <w:abstractNum w:abstractNumId="44" w15:restartNumberingAfterBreak="0">
    <w:nsid w:val="7D5F07D7"/>
    <w:multiLevelType w:val="hybridMultilevel"/>
    <w:tmpl w:val="05B41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D6557AA"/>
    <w:multiLevelType w:val="hybridMultilevel"/>
    <w:tmpl w:val="AD7CE8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72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DA203B3"/>
    <w:multiLevelType w:val="hybridMultilevel"/>
    <w:tmpl w:val="44F262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9"/>
  </w:num>
  <w:num w:numId="2">
    <w:abstractNumId w:val="1"/>
  </w:num>
  <w:num w:numId="3">
    <w:abstractNumId w:val="7"/>
  </w:num>
  <w:num w:numId="4">
    <w:abstractNumId w:val="37"/>
  </w:num>
  <w:num w:numId="5">
    <w:abstractNumId w:val="22"/>
  </w:num>
  <w:num w:numId="6">
    <w:abstractNumId w:val="3"/>
  </w:num>
  <w:num w:numId="7">
    <w:abstractNumId w:val="40"/>
  </w:num>
  <w:num w:numId="8">
    <w:abstractNumId w:val="14"/>
  </w:num>
  <w:num w:numId="9">
    <w:abstractNumId w:val="46"/>
  </w:num>
  <w:num w:numId="10">
    <w:abstractNumId w:val="30"/>
  </w:num>
  <w:num w:numId="11">
    <w:abstractNumId w:val="9"/>
  </w:num>
  <w:num w:numId="12">
    <w:abstractNumId w:val="43"/>
  </w:num>
  <w:num w:numId="13">
    <w:abstractNumId w:val="44"/>
  </w:num>
  <w:num w:numId="14">
    <w:abstractNumId w:val="27"/>
  </w:num>
  <w:num w:numId="15">
    <w:abstractNumId w:val="35"/>
  </w:num>
  <w:num w:numId="16">
    <w:abstractNumId w:val="36"/>
  </w:num>
  <w:num w:numId="17">
    <w:abstractNumId w:val="5"/>
  </w:num>
  <w:num w:numId="18">
    <w:abstractNumId w:val="11"/>
  </w:num>
  <w:num w:numId="19">
    <w:abstractNumId w:val="41"/>
  </w:num>
  <w:num w:numId="20">
    <w:abstractNumId w:val="28"/>
  </w:num>
  <w:num w:numId="21">
    <w:abstractNumId w:val="38"/>
  </w:num>
  <w:num w:numId="22">
    <w:abstractNumId w:val="8"/>
  </w:num>
  <w:num w:numId="23">
    <w:abstractNumId w:val="10"/>
  </w:num>
  <w:num w:numId="24">
    <w:abstractNumId w:val="42"/>
  </w:num>
  <w:num w:numId="25">
    <w:abstractNumId w:val="4"/>
  </w:num>
  <w:num w:numId="26">
    <w:abstractNumId w:val="19"/>
  </w:num>
  <w:num w:numId="27">
    <w:abstractNumId w:val="2"/>
  </w:num>
  <w:num w:numId="28">
    <w:abstractNumId w:val="13"/>
  </w:num>
  <w:num w:numId="29">
    <w:abstractNumId w:val="21"/>
  </w:num>
  <w:num w:numId="30">
    <w:abstractNumId w:val="24"/>
  </w:num>
  <w:num w:numId="31">
    <w:abstractNumId w:val="23"/>
  </w:num>
  <w:num w:numId="32">
    <w:abstractNumId w:val="18"/>
  </w:num>
  <w:num w:numId="33">
    <w:abstractNumId w:val="20"/>
  </w:num>
  <w:num w:numId="34">
    <w:abstractNumId w:val="15"/>
  </w:num>
  <w:num w:numId="35">
    <w:abstractNumId w:val="45"/>
  </w:num>
  <w:num w:numId="36">
    <w:abstractNumId w:val="6"/>
  </w:num>
  <w:num w:numId="37">
    <w:abstractNumId w:val="0"/>
  </w:num>
  <w:num w:numId="38">
    <w:abstractNumId w:val="39"/>
  </w:num>
  <w:num w:numId="39">
    <w:abstractNumId w:val="26"/>
  </w:num>
  <w:num w:numId="40">
    <w:abstractNumId w:val="33"/>
  </w:num>
  <w:num w:numId="41">
    <w:abstractNumId w:val="16"/>
  </w:num>
  <w:num w:numId="42">
    <w:abstractNumId w:val="17"/>
  </w:num>
  <w:num w:numId="43">
    <w:abstractNumId w:val="25"/>
  </w:num>
  <w:num w:numId="44">
    <w:abstractNumId w:val="31"/>
  </w:num>
  <w:num w:numId="45">
    <w:abstractNumId w:val="34"/>
  </w:num>
  <w:num w:numId="46">
    <w:abstractNumId w:val="32"/>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2NzQ1MTGxtDQzMTZS0lEKTi0uzszPAykwNKkFAF/iGU4tAAAA"/>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2wedpv9qvztsherfrlxfz2yapw5p2rxrtrt&quot;&gt;ashley.soytemiz@mq.edu.au&lt;record-ids&gt;&lt;item&gt;8188&lt;/item&gt;&lt;item&gt;8204&lt;/item&gt;&lt;item&gt;8210&lt;/item&gt;&lt;item&gt;8216&lt;/item&gt;&lt;item&gt;8221&lt;/item&gt;&lt;item&gt;8256&lt;/item&gt;&lt;item&gt;8287&lt;/item&gt;&lt;item&gt;9275&lt;/item&gt;&lt;/record-ids&gt;&lt;/item&gt;&lt;/Libraries&gt;"/>
  </w:docVars>
  <w:rsids>
    <w:rsidRoot w:val="00E75882"/>
    <w:rsid w:val="00002CA8"/>
    <w:rsid w:val="00006843"/>
    <w:rsid w:val="0001054D"/>
    <w:rsid w:val="00014B7F"/>
    <w:rsid w:val="000150B3"/>
    <w:rsid w:val="00015281"/>
    <w:rsid w:val="00017503"/>
    <w:rsid w:val="00031DAA"/>
    <w:rsid w:val="00037432"/>
    <w:rsid w:val="00041FF7"/>
    <w:rsid w:val="00044EF4"/>
    <w:rsid w:val="00045421"/>
    <w:rsid w:val="00045612"/>
    <w:rsid w:val="000479D5"/>
    <w:rsid w:val="00051D45"/>
    <w:rsid w:val="00054026"/>
    <w:rsid w:val="00056999"/>
    <w:rsid w:val="00061C86"/>
    <w:rsid w:val="00062DD5"/>
    <w:rsid w:val="000730E2"/>
    <w:rsid w:val="00075D57"/>
    <w:rsid w:val="00076AFC"/>
    <w:rsid w:val="0008218B"/>
    <w:rsid w:val="0008419D"/>
    <w:rsid w:val="0009061A"/>
    <w:rsid w:val="0009213E"/>
    <w:rsid w:val="00093630"/>
    <w:rsid w:val="000A150A"/>
    <w:rsid w:val="000A7EE4"/>
    <w:rsid w:val="000B3B81"/>
    <w:rsid w:val="000B4B9C"/>
    <w:rsid w:val="000C13B6"/>
    <w:rsid w:val="000D116E"/>
    <w:rsid w:val="000D5AC6"/>
    <w:rsid w:val="000E2958"/>
    <w:rsid w:val="000E3758"/>
    <w:rsid w:val="000E5512"/>
    <w:rsid w:val="000F03E1"/>
    <w:rsid w:val="000F0772"/>
    <w:rsid w:val="000F35DE"/>
    <w:rsid w:val="000F7526"/>
    <w:rsid w:val="00100EF6"/>
    <w:rsid w:val="00102FB5"/>
    <w:rsid w:val="00104387"/>
    <w:rsid w:val="001076B9"/>
    <w:rsid w:val="0011002D"/>
    <w:rsid w:val="0011024A"/>
    <w:rsid w:val="00110D01"/>
    <w:rsid w:val="00113004"/>
    <w:rsid w:val="001141FF"/>
    <w:rsid w:val="001177D7"/>
    <w:rsid w:val="00120A59"/>
    <w:rsid w:val="00127A95"/>
    <w:rsid w:val="00134365"/>
    <w:rsid w:val="001459A8"/>
    <w:rsid w:val="001543E4"/>
    <w:rsid w:val="001548B9"/>
    <w:rsid w:val="00155144"/>
    <w:rsid w:val="0015523F"/>
    <w:rsid w:val="001612BC"/>
    <w:rsid w:val="00162C25"/>
    <w:rsid w:val="00162FF7"/>
    <w:rsid w:val="00163324"/>
    <w:rsid w:val="00166F12"/>
    <w:rsid w:val="0017103B"/>
    <w:rsid w:val="0017150C"/>
    <w:rsid w:val="00174E06"/>
    <w:rsid w:val="001768D1"/>
    <w:rsid w:val="0017697C"/>
    <w:rsid w:val="001850B7"/>
    <w:rsid w:val="00187068"/>
    <w:rsid w:val="00187289"/>
    <w:rsid w:val="00187E7C"/>
    <w:rsid w:val="001920A9"/>
    <w:rsid w:val="00196B9D"/>
    <w:rsid w:val="001A02EC"/>
    <w:rsid w:val="001A0D84"/>
    <w:rsid w:val="001A119A"/>
    <w:rsid w:val="001A1243"/>
    <w:rsid w:val="001A1E34"/>
    <w:rsid w:val="001A7813"/>
    <w:rsid w:val="001B26A4"/>
    <w:rsid w:val="001B307F"/>
    <w:rsid w:val="001B76B5"/>
    <w:rsid w:val="001B7D4A"/>
    <w:rsid w:val="001C2435"/>
    <w:rsid w:val="001C4D6C"/>
    <w:rsid w:val="001C6072"/>
    <w:rsid w:val="001D5E14"/>
    <w:rsid w:val="001E2B58"/>
    <w:rsid w:val="001E32BC"/>
    <w:rsid w:val="001E679D"/>
    <w:rsid w:val="001F6D9D"/>
    <w:rsid w:val="00201B13"/>
    <w:rsid w:val="0020294D"/>
    <w:rsid w:val="00206A09"/>
    <w:rsid w:val="00206BB9"/>
    <w:rsid w:val="00207DE9"/>
    <w:rsid w:val="00213113"/>
    <w:rsid w:val="00221EE2"/>
    <w:rsid w:val="0022338F"/>
    <w:rsid w:val="00225F6B"/>
    <w:rsid w:val="00226836"/>
    <w:rsid w:val="00230C0D"/>
    <w:rsid w:val="00232880"/>
    <w:rsid w:val="00240F31"/>
    <w:rsid w:val="00243C10"/>
    <w:rsid w:val="0024402F"/>
    <w:rsid w:val="00244426"/>
    <w:rsid w:val="00250694"/>
    <w:rsid w:val="0025250C"/>
    <w:rsid w:val="00256F51"/>
    <w:rsid w:val="00257D3A"/>
    <w:rsid w:val="00261A11"/>
    <w:rsid w:val="002620F6"/>
    <w:rsid w:val="00262C6D"/>
    <w:rsid w:val="00263812"/>
    <w:rsid w:val="00263DA0"/>
    <w:rsid w:val="00263F12"/>
    <w:rsid w:val="002650E6"/>
    <w:rsid w:val="00267909"/>
    <w:rsid w:val="002700F1"/>
    <w:rsid w:val="00283A0C"/>
    <w:rsid w:val="00283C9B"/>
    <w:rsid w:val="0028765D"/>
    <w:rsid w:val="00287B00"/>
    <w:rsid w:val="00291ED8"/>
    <w:rsid w:val="00292385"/>
    <w:rsid w:val="002934CC"/>
    <w:rsid w:val="002953D0"/>
    <w:rsid w:val="00295DAE"/>
    <w:rsid w:val="00296F07"/>
    <w:rsid w:val="002A5B3C"/>
    <w:rsid w:val="002A74E1"/>
    <w:rsid w:val="002B2F56"/>
    <w:rsid w:val="002B58A0"/>
    <w:rsid w:val="002B7158"/>
    <w:rsid w:val="002C001E"/>
    <w:rsid w:val="002C1EA9"/>
    <w:rsid w:val="002C46E7"/>
    <w:rsid w:val="002C5085"/>
    <w:rsid w:val="002C6314"/>
    <w:rsid w:val="002D0D70"/>
    <w:rsid w:val="002D33E5"/>
    <w:rsid w:val="002D461A"/>
    <w:rsid w:val="002D5C4D"/>
    <w:rsid w:val="002D632B"/>
    <w:rsid w:val="002D7B75"/>
    <w:rsid w:val="002E4BE7"/>
    <w:rsid w:val="002E63EB"/>
    <w:rsid w:val="002F1D81"/>
    <w:rsid w:val="002F2BE9"/>
    <w:rsid w:val="002F2F8D"/>
    <w:rsid w:val="002F51C7"/>
    <w:rsid w:val="002F7A84"/>
    <w:rsid w:val="003016DF"/>
    <w:rsid w:val="00301FDE"/>
    <w:rsid w:val="003125FF"/>
    <w:rsid w:val="00320EA4"/>
    <w:rsid w:val="003210E9"/>
    <w:rsid w:val="00321FE1"/>
    <w:rsid w:val="00322644"/>
    <w:rsid w:val="00334137"/>
    <w:rsid w:val="00335352"/>
    <w:rsid w:val="00337643"/>
    <w:rsid w:val="00337881"/>
    <w:rsid w:val="003414DD"/>
    <w:rsid w:val="0034577D"/>
    <w:rsid w:val="0035174F"/>
    <w:rsid w:val="0035661D"/>
    <w:rsid w:val="00356701"/>
    <w:rsid w:val="00360789"/>
    <w:rsid w:val="0036122A"/>
    <w:rsid w:val="003649F0"/>
    <w:rsid w:val="00374776"/>
    <w:rsid w:val="00376EDB"/>
    <w:rsid w:val="00382AA1"/>
    <w:rsid w:val="00385473"/>
    <w:rsid w:val="00385591"/>
    <w:rsid w:val="003873E7"/>
    <w:rsid w:val="00392C7D"/>
    <w:rsid w:val="003A0082"/>
    <w:rsid w:val="003A124E"/>
    <w:rsid w:val="003A14AA"/>
    <w:rsid w:val="003A71BF"/>
    <w:rsid w:val="003A7B6F"/>
    <w:rsid w:val="003B051B"/>
    <w:rsid w:val="003B3494"/>
    <w:rsid w:val="003B4555"/>
    <w:rsid w:val="003B4844"/>
    <w:rsid w:val="003C5146"/>
    <w:rsid w:val="003C751F"/>
    <w:rsid w:val="003D18E9"/>
    <w:rsid w:val="003E0C08"/>
    <w:rsid w:val="003E1091"/>
    <w:rsid w:val="003E2CEB"/>
    <w:rsid w:val="003E4606"/>
    <w:rsid w:val="003E6237"/>
    <w:rsid w:val="003F4DF9"/>
    <w:rsid w:val="003F4E50"/>
    <w:rsid w:val="003F5A5D"/>
    <w:rsid w:val="00402F9B"/>
    <w:rsid w:val="00404BFD"/>
    <w:rsid w:val="00405D2A"/>
    <w:rsid w:val="004070E4"/>
    <w:rsid w:val="00407926"/>
    <w:rsid w:val="00410288"/>
    <w:rsid w:val="00413877"/>
    <w:rsid w:val="0042133D"/>
    <w:rsid w:val="00430478"/>
    <w:rsid w:val="00433B52"/>
    <w:rsid w:val="0043457F"/>
    <w:rsid w:val="004367B8"/>
    <w:rsid w:val="00437636"/>
    <w:rsid w:val="00437EB1"/>
    <w:rsid w:val="00441B4F"/>
    <w:rsid w:val="00443030"/>
    <w:rsid w:val="00453A94"/>
    <w:rsid w:val="0045629A"/>
    <w:rsid w:val="00456AE5"/>
    <w:rsid w:val="004604FB"/>
    <w:rsid w:val="00460D99"/>
    <w:rsid w:val="00461C5B"/>
    <w:rsid w:val="00461EFE"/>
    <w:rsid w:val="00464EA4"/>
    <w:rsid w:val="00467E13"/>
    <w:rsid w:val="00471CCE"/>
    <w:rsid w:val="0047584B"/>
    <w:rsid w:val="004774E2"/>
    <w:rsid w:val="0048525D"/>
    <w:rsid w:val="0048653C"/>
    <w:rsid w:val="00486551"/>
    <w:rsid w:val="00486B18"/>
    <w:rsid w:val="004903D9"/>
    <w:rsid w:val="0049171B"/>
    <w:rsid w:val="00491AA0"/>
    <w:rsid w:val="00494F1D"/>
    <w:rsid w:val="00495A5F"/>
    <w:rsid w:val="00495CF5"/>
    <w:rsid w:val="004A65F8"/>
    <w:rsid w:val="004A79AE"/>
    <w:rsid w:val="004A7BE6"/>
    <w:rsid w:val="004A7D22"/>
    <w:rsid w:val="004B2ED9"/>
    <w:rsid w:val="004B42AE"/>
    <w:rsid w:val="004B55A1"/>
    <w:rsid w:val="004B6F6D"/>
    <w:rsid w:val="004C18EF"/>
    <w:rsid w:val="004C445B"/>
    <w:rsid w:val="004C788B"/>
    <w:rsid w:val="004D69E7"/>
    <w:rsid w:val="004D6CC1"/>
    <w:rsid w:val="004E0B61"/>
    <w:rsid w:val="004E127D"/>
    <w:rsid w:val="004E63B1"/>
    <w:rsid w:val="004F32F7"/>
    <w:rsid w:val="004F6BA3"/>
    <w:rsid w:val="00501C6D"/>
    <w:rsid w:val="0050356A"/>
    <w:rsid w:val="0050465D"/>
    <w:rsid w:val="00511BE8"/>
    <w:rsid w:val="00512FB9"/>
    <w:rsid w:val="005162EF"/>
    <w:rsid w:val="00527C38"/>
    <w:rsid w:val="00531200"/>
    <w:rsid w:val="00531CE2"/>
    <w:rsid w:val="005372BA"/>
    <w:rsid w:val="0054344F"/>
    <w:rsid w:val="00543C52"/>
    <w:rsid w:val="005466C2"/>
    <w:rsid w:val="00547D56"/>
    <w:rsid w:val="00550B11"/>
    <w:rsid w:val="00554BD4"/>
    <w:rsid w:val="00556395"/>
    <w:rsid w:val="00562895"/>
    <w:rsid w:val="00562F99"/>
    <w:rsid w:val="0056446F"/>
    <w:rsid w:val="0056692C"/>
    <w:rsid w:val="00566B96"/>
    <w:rsid w:val="00571CAF"/>
    <w:rsid w:val="0057229F"/>
    <w:rsid w:val="00573D48"/>
    <w:rsid w:val="00575AFB"/>
    <w:rsid w:val="00577FD8"/>
    <w:rsid w:val="005851AD"/>
    <w:rsid w:val="00585321"/>
    <w:rsid w:val="005910A9"/>
    <w:rsid w:val="00595A14"/>
    <w:rsid w:val="005A1959"/>
    <w:rsid w:val="005A2F76"/>
    <w:rsid w:val="005A4CA2"/>
    <w:rsid w:val="005A5AB3"/>
    <w:rsid w:val="005A7250"/>
    <w:rsid w:val="005B0485"/>
    <w:rsid w:val="005B232A"/>
    <w:rsid w:val="005C572E"/>
    <w:rsid w:val="005C715C"/>
    <w:rsid w:val="005D28B3"/>
    <w:rsid w:val="005D4B5C"/>
    <w:rsid w:val="005D5F69"/>
    <w:rsid w:val="005D6C88"/>
    <w:rsid w:val="005E0784"/>
    <w:rsid w:val="005E34FD"/>
    <w:rsid w:val="005E524B"/>
    <w:rsid w:val="005E5EA0"/>
    <w:rsid w:val="005F0D7D"/>
    <w:rsid w:val="005F4048"/>
    <w:rsid w:val="00602684"/>
    <w:rsid w:val="0060274C"/>
    <w:rsid w:val="00605354"/>
    <w:rsid w:val="0060699A"/>
    <w:rsid w:val="00610FF7"/>
    <w:rsid w:val="00613274"/>
    <w:rsid w:val="00613B6F"/>
    <w:rsid w:val="00614F4C"/>
    <w:rsid w:val="0061649A"/>
    <w:rsid w:val="00617108"/>
    <w:rsid w:val="00624EA8"/>
    <w:rsid w:val="00625B8F"/>
    <w:rsid w:val="0062781E"/>
    <w:rsid w:val="0062796D"/>
    <w:rsid w:val="00630A11"/>
    <w:rsid w:val="00632560"/>
    <w:rsid w:val="00634194"/>
    <w:rsid w:val="0063557C"/>
    <w:rsid w:val="00641D8A"/>
    <w:rsid w:val="00642163"/>
    <w:rsid w:val="006465FC"/>
    <w:rsid w:val="00647A80"/>
    <w:rsid w:val="006503BA"/>
    <w:rsid w:val="00651D3B"/>
    <w:rsid w:val="00654077"/>
    <w:rsid w:val="00665293"/>
    <w:rsid w:val="00665963"/>
    <w:rsid w:val="00674C7D"/>
    <w:rsid w:val="00677A3A"/>
    <w:rsid w:val="00684B2F"/>
    <w:rsid w:val="00686FAD"/>
    <w:rsid w:val="0069527D"/>
    <w:rsid w:val="00696F65"/>
    <w:rsid w:val="006A044E"/>
    <w:rsid w:val="006A0B9B"/>
    <w:rsid w:val="006A4CF6"/>
    <w:rsid w:val="006A60AF"/>
    <w:rsid w:val="006B0BFB"/>
    <w:rsid w:val="006B2532"/>
    <w:rsid w:val="006B47FB"/>
    <w:rsid w:val="006C2129"/>
    <w:rsid w:val="006C3F2A"/>
    <w:rsid w:val="006C5000"/>
    <w:rsid w:val="006C7EB2"/>
    <w:rsid w:val="006D2B65"/>
    <w:rsid w:val="006D3432"/>
    <w:rsid w:val="006D578C"/>
    <w:rsid w:val="006D59E9"/>
    <w:rsid w:val="006E2AAC"/>
    <w:rsid w:val="006F31F0"/>
    <w:rsid w:val="006F3805"/>
    <w:rsid w:val="006F58CD"/>
    <w:rsid w:val="00701BA3"/>
    <w:rsid w:val="00705F8A"/>
    <w:rsid w:val="0070658F"/>
    <w:rsid w:val="0070720B"/>
    <w:rsid w:val="007114AE"/>
    <w:rsid w:val="00720DB6"/>
    <w:rsid w:val="00722BA6"/>
    <w:rsid w:val="007235E8"/>
    <w:rsid w:val="00726A93"/>
    <w:rsid w:val="007272A2"/>
    <w:rsid w:val="007376B8"/>
    <w:rsid w:val="007400E5"/>
    <w:rsid w:val="00742EED"/>
    <w:rsid w:val="00743119"/>
    <w:rsid w:val="00744085"/>
    <w:rsid w:val="00746622"/>
    <w:rsid w:val="007479C9"/>
    <w:rsid w:val="00754722"/>
    <w:rsid w:val="00754AA1"/>
    <w:rsid w:val="007622EE"/>
    <w:rsid w:val="00762B79"/>
    <w:rsid w:val="00763B5B"/>
    <w:rsid w:val="007653AC"/>
    <w:rsid w:val="00765E0D"/>
    <w:rsid w:val="0077259B"/>
    <w:rsid w:val="00773437"/>
    <w:rsid w:val="0077347F"/>
    <w:rsid w:val="00773A02"/>
    <w:rsid w:val="00774F79"/>
    <w:rsid w:val="0079097F"/>
    <w:rsid w:val="00794DA2"/>
    <w:rsid w:val="0079646B"/>
    <w:rsid w:val="007A0151"/>
    <w:rsid w:val="007A0480"/>
    <w:rsid w:val="007A6E52"/>
    <w:rsid w:val="007A7E13"/>
    <w:rsid w:val="007B0521"/>
    <w:rsid w:val="007B1807"/>
    <w:rsid w:val="007B6937"/>
    <w:rsid w:val="007B7FD6"/>
    <w:rsid w:val="007C12DD"/>
    <w:rsid w:val="007C3AE8"/>
    <w:rsid w:val="007D4C42"/>
    <w:rsid w:val="007D7307"/>
    <w:rsid w:val="007E0133"/>
    <w:rsid w:val="007E1EC2"/>
    <w:rsid w:val="007E6EC4"/>
    <w:rsid w:val="007E727D"/>
    <w:rsid w:val="007E72BE"/>
    <w:rsid w:val="007F1E3D"/>
    <w:rsid w:val="008003E9"/>
    <w:rsid w:val="00802B26"/>
    <w:rsid w:val="00803EA5"/>
    <w:rsid w:val="0080792B"/>
    <w:rsid w:val="0081648D"/>
    <w:rsid w:val="008228C2"/>
    <w:rsid w:val="00824123"/>
    <w:rsid w:val="0082445C"/>
    <w:rsid w:val="00824778"/>
    <w:rsid w:val="0082512C"/>
    <w:rsid w:val="008255BE"/>
    <w:rsid w:val="008256D5"/>
    <w:rsid w:val="008272F3"/>
    <w:rsid w:val="008322CF"/>
    <w:rsid w:val="00833F58"/>
    <w:rsid w:val="00835526"/>
    <w:rsid w:val="00840547"/>
    <w:rsid w:val="00843FD3"/>
    <w:rsid w:val="00852461"/>
    <w:rsid w:val="00854B65"/>
    <w:rsid w:val="0086039F"/>
    <w:rsid w:val="00861E0B"/>
    <w:rsid w:val="00862A11"/>
    <w:rsid w:val="00873802"/>
    <w:rsid w:val="00875A92"/>
    <w:rsid w:val="00880E69"/>
    <w:rsid w:val="008901B1"/>
    <w:rsid w:val="00891215"/>
    <w:rsid w:val="0089199F"/>
    <w:rsid w:val="00894316"/>
    <w:rsid w:val="00894F8F"/>
    <w:rsid w:val="008A2E19"/>
    <w:rsid w:val="008A66BB"/>
    <w:rsid w:val="008B052E"/>
    <w:rsid w:val="008B1290"/>
    <w:rsid w:val="008B1832"/>
    <w:rsid w:val="008B3862"/>
    <w:rsid w:val="008B4B7A"/>
    <w:rsid w:val="008B4F49"/>
    <w:rsid w:val="008B51E5"/>
    <w:rsid w:val="008C0AAB"/>
    <w:rsid w:val="008C1322"/>
    <w:rsid w:val="008C1E83"/>
    <w:rsid w:val="008C2CE8"/>
    <w:rsid w:val="008C7D11"/>
    <w:rsid w:val="008D37FA"/>
    <w:rsid w:val="008D49A6"/>
    <w:rsid w:val="008D695A"/>
    <w:rsid w:val="008E0007"/>
    <w:rsid w:val="008E1208"/>
    <w:rsid w:val="008E5C76"/>
    <w:rsid w:val="008E7255"/>
    <w:rsid w:val="008F6C37"/>
    <w:rsid w:val="008F72DB"/>
    <w:rsid w:val="0090154A"/>
    <w:rsid w:val="009043D5"/>
    <w:rsid w:val="0090481E"/>
    <w:rsid w:val="00905B19"/>
    <w:rsid w:val="00906070"/>
    <w:rsid w:val="00906C87"/>
    <w:rsid w:val="0090774C"/>
    <w:rsid w:val="00913719"/>
    <w:rsid w:val="00921315"/>
    <w:rsid w:val="009218D8"/>
    <w:rsid w:val="00927F6C"/>
    <w:rsid w:val="00932B77"/>
    <w:rsid w:val="00935900"/>
    <w:rsid w:val="00936EAC"/>
    <w:rsid w:val="0094092D"/>
    <w:rsid w:val="00943C0B"/>
    <w:rsid w:val="00944A84"/>
    <w:rsid w:val="00946E93"/>
    <w:rsid w:val="00946F26"/>
    <w:rsid w:val="009474E4"/>
    <w:rsid w:val="00953333"/>
    <w:rsid w:val="009538F9"/>
    <w:rsid w:val="00954515"/>
    <w:rsid w:val="0095742C"/>
    <w:rsid w:val="00960B50"/>
    <w:rsid w:val="00960C66"/>
    <w:rsid w:val="009641BF"/>
    <w:rsid w:val="009667A9"/>
    <w:rsid w:val="0097100D"/>
    <w:rsid w:val="00974FE4"/>
    <w:rsid w:val="00975E48"/>
    <w:rsid w:val="00976D14"/>
    <w:rsid w:val="00976EE9"/>
    <w:rsid w:val="0098159A"/>
    <w:rsid w:val="009827E8"/>
    <w:rsid w:val="0098293A"/>
    <w:rsid w:val="009842AB"/>
    <w:rsid w:val="009842CB"/>
    <w:rsid w:val="009843BA"/>
    <w:rsid w:val="00986D47"/>
    <w:rsid w:val="00987C84"/>
    <w:rsid w:val="00987EC3"/>
    <w:rsid w:val="00991500"/>
    <w:rsid w:val="009B0C64"/>
    <w:rsid w:val="009B1B69"/>
    <w:rsid w:val="009B5AF2"/>
    <w:rsid w:val="009B7946"/>
    <w:rsid w:val="009C0ED3"/>
    <w:rsid w:val="009C0EEB"/>
    <w:rsid w:val="009C3FDA"/>
    <w:rsid w:val="009C6958"/>
    <w:rsid w:val="009D0A62"/>
    <w:rsid w:val="009D1D51"/>
    <w:rsid w:val="009D5F70"/>
    <w:rsid w:val="009E318D"/>
    <w:rsid w:val="009E4E6C"/>
    <w:rsid w:val="009E5BE6"/>
    <w:rsid w:val="009E63F5"/>
    <w:rsid w:val="009E778A"/>
    <w:rsid w:val="009F11F7"/>
    <w:rsid w:val="009F5DA1"/>
    <w:rsid w:val="00A0528D"/>
    <w:rsid w:val="00A10B6A"/>
    <w:rsid w:val="00A11FE5"/>
    <w:rsid w:val="00A1366A"/>
    <w:rsid w:val="00A155CA"/>
    <w:rsid w:val="00A245DA"/>
    <w:rsid w:val="00A341C7"/>
    <w:rsid w:val="00A359B9"/>
    <w:rsid w:val="00A36E45"/>
    <w:rsid w:val="00A40C33"/>
    <w:rsid w:val="00A41657"/>
    <w:rsid w:val="00A4501B"/>
    <w:rsid w:val="00A51B80"/>
    <w:rsid w:val="00A55446"/>
    <w:rsid w:val="00A555D0"/>
    <w:rsid w:val="00A557C6"/>
    <w:rsid w:val="00A57809"/>
    <w:rsid w:val="00A6057B"/>
    <w:rsid w:val="00A606BB"/>
    <w:rsid w:val="00A6297F"/>
    <w:rsid w:val="00A63A9E"/>
    <w:rsid w:val="00A81405"/>
    <w:rsid w:val="00A94112"/>
    <w:rsid w:val="00A947B7"/>
    <w:rsid w:val="00AA1597"/>
    <w:rsid w:val="00AA2052"/>
    <w:rsid w:val="00AA30FD"/>
    <w:rsid w:val="00AA5ACD"/>
    <w:rsid w:val="00AB1AE0"/>
    <w:rsid w:val="00AC1D13"/>
    <w:rsid w:val="00AC249F"/>
    <w:rsid w:val="00AC2C3D"/>
    <w:rsid w:val="00AC486D"/>
    <w:rsid w:val="00AC5C77"/>
    <w:rsid w:val="00AC75A0"/>
    <w:rsid w:val="00AD4F93"/>
    <w:rsid w:val="00AE5989"/>
    <w:rsid w:val="00AF3AAC"/>
    <w:rsid w:val="00AF4D2D"/>
    <w:rsid w:val="00AF61D5"/>
    <w:rsid w:val="00B0382E"/>
    <w:rsid w:val="00B03E0F"/>
    <w:rsid w:val="00B05581"/>
    <w:rsid w:val="00B112EC"/>
    <w:rsid w:val="00B114B0"/>
    <w:rsid w:val="00B1307C"/>
    <w:rsid w:val="00B13F82"/>
    <w:rsid w:val="00B1446F"/>
    <w:rsid w:val="00B1484E"/>
    <w:rsid w:val="00B1593D"/>
    <w:rsid w:val="00B173AF"/>
    <w:rsid w:val="00B25F03"/>
    <w:rsid w:val="00B264B3"/>
    <w:rsid w:val="00B26864"/>
    <w:rsid w:val="00B32F7B"/>
    <w:rsid w:val="00B33926"/>
    <w:rsid w:val="00B33C0F"/>
    <w:rsid w:val="00B36097"/>
    <w:rsid w:val="00B37DED"/>
    <w:rsid w:val="00B41788"/>
    <w:rsid w:val="00B41DBE"/>
    <w:rsid w:val="00B423FA"/>
    <w:rsid w:val="00B43CEF"/>
    <w:rsid w:val="00B45BC9"/>
    <w:rsid w:val="00B4653B"/>
    <w:rsid w:val="00B5036A"/>
    <w:rsid w:val="00B55F73"/>
    <w:rsid w:val="00B563F1"/>
    <w:rsid w:val="00B57434"/>
    <w:rsid w:val="00B57B44"/>
    <w:rsid w:val="00B61E7D"/>
    <w:rsid w:val="00B62197"/>
    <w:rsid w:val="00B6620E"/>
    <w:rsid w:val="00B708D0"/>
    <w:rsid w:val="00B70A0C"/>
    <w:rsid w:val="00B72435"/>
    <w:rsid w:val="00B75E3A"/>
    <w:rsid w:val="00B760E3"/>
    <w:rsid w:val="00B762E5"/>
    <w:rsid w:val="00B76A51"/>
    <w:rsid w:val="00B82E33"/>
    <w:rsid w:val="00B834FE"/>
    <w:rsid w:val="00B907CE"/>
    <w:rsid w:val="00B9226D"/>
    <w:rsid w:val="00B92504"/>
    <w:rsid w:val="00B93709"/>
    <w:rsid w:val="00B94589"/>
    <w:rsid w:val="00B96BC0"/>
    <w:rsid w:val="00BA2D27"/>
    <w:rsid w:val="00BA3B5D"/>
    <w:rsid w:val="00BA4480"/>
    <w:rsid w:val="00BA786F"/>
    <w:rsid w:val="00BB2B63"/>
    <w:rsid w:val="00BB57E6"/>
    <w:rsid w:val="00BC64BF"/>
    <w:rsid w:val="00BC77E1"/>
    <w:rsid w:val="00BD1D7B"/>
    <w:rsid w:val="00BD2995"/>
    <w:rsid w:val="00BE1A35"/>
    <w:rsid w:val="00BF2FAA"/>
    <w:rsid w:val="00BF6FE7"/>
    <w:rsid w:val="00C00B40"/>
    <w:rsid w:val="00C0170B"/>
    <w:rsid w:val="00C0296B"/>
    <w:rsid w:val="00C03C0C"/>
    <w:rsid w:val="00C1057F"/>
    <w:rsid w:val="00C12761"/>
    <w:rsid w:val="00C15C1D"/>
    <w:rsid w:val="00C20DE2"/>
    <w:rsid w:val="00C210A1"/>
    <w:rsid w:val="00C22298"/>
    <w:rsid w:val="00C238CF"/>
    <w:rsid w:val="00C2524B"/>
    <w:rsid w:val="00C25D4A"/>
    <w:rsid w:val="00C264A6"/>
    <w:rsid w:val="00C27239"/>
    <w:rsid w:val="00C353A0"/>
    <w:rsid w:val="00C3786A"/>
    <w:rsid w:val="00C41A0C"/>
    <w:rsid w:val="00C4410B"/>
    <w:rsid w:val="00C4460D"/>
    <w:rsid w:val="00C50E63"/>
    <w:rsid w:val="00C60CCD"/>
    <w:rsid w:val="00C638DD"/>
    <w:rsid w:val="00C63DC4"/>
    <w:rsid w:val="00C65D34"/>
    <w:rsid w:val="00C6629C"/>
    <w:rsid w:val="00C66501"/>
    <w:rsid w:val="00C6688B"/>
    <w:rsid w:val="00C71EF1"/>
    <w:rsid w:val="00C72996"/>
    <w:rsid w:val="00C74703"/>
    <w:rsid w:val="00C7534A"/>
    <w:rsid w:val="00C81B33"/>
    <w:rsid w:val="00C84638"/>
    <w:rsid w:val="00C858C4"/>
    <w:rsid w:val="00C91A09"/>
    <w:rsid w:val="00C96E1A"/>
    <w:rsid w:val="00CA04CE"/>
    <w:rsid w:val="00CA0DD2"/>
    <w:rsid w:val="00CA2073"/>
    <w:rsid w:val="00CA42C5"/>
    <w:rsid w:val="00CA5A36"/>
    <w:rsid w:val="00CA79CA"/>
    <w:rsid w:val="00CB016F"/>
    <w:rsid w:val="00CB0EC4"/>
    <w:rsid w:val="00CB2C0D"/>
    <w:rsid w:val="00CB35D4"/>
    <w:rsid w:val="00CB6B3C"/>
    <w:rsid w:val="00CC0626"/>
    <w:rsid w:val="00CC0779"/>
    <w:rsid w:val="00CC2D49"/>
    <w:rsid w:val="00CC4960"/>
    <w:rsid w:val="00CC6481"/>
    <w:rsid w:val="00CC64EF"/>
    <w:rsid w:val="00CD206B"/>
    <w:rsid w:val="00CE27CC"/>
    <w:rsid w:val="00CE2946"/>
    <w:rsid w:val="00CE4793"/>
    <w:rsid w:val="00CE6111"/>
    <w:rsid w:val="00CE7D8B"/>
    <w:rsid w:val="00CF1B12"/>
    <w:rsid w:val="00CF3AE3"/>
    <w:rsid w:val="00CF4859"/>
    <w:rsid w:val="00CF4E60"/>
    <w:rsid w:val="00CF6ABE"/>
    <w:rsid w:val="00CF7EF0"/>
    <w:rsid w:val="00D079F7"/>
    <w:rsid w:val="00D12FE2"/>
    <w:rsid w:val="00D17074"/>
    <w:rsid w:val="00D17DEF"/>
    <w:rsid w:val="00D258B5"/>
    <w:rsid w:val="00D26B2B"/>
    <w:rsid w:val="00D26EE5"/>
    <w:rsid w:val="00D3367E"/>
    <w:rsid w:val="00D35572"/>
    <w:rsid w:val="00D37B1D"/>
    <w:rsid w:val="00D4670E"/>
    <w:rsid w:val="00D46DCD"/>
    <w:rsid w:val="00D47125"/>
    <w:rsid w:val="00D473BF"/>
    <w:rsid w:val="00D539CF"/>
    <w:rsid w:val="00D54637"/>
    <w:rsid w:val="00D62019"/>
    <w:rsid w:val="00D63825"/>
    <w:rsid w:val="00D63CDE"/>
    <w:rsid w:val="00D65D7A"/>
    <w:rsid w:val="00D706FC"/>
    <w:rsid w:val="00D71FF0"/>
    <w:rsid w:val="00D72FFF"/>
    <w:rsid w:val="00D740EF"/>
    <w:rsid w:val="00D80AF3"/>
    <w:rsid w:val="00D80B95"/>
    <w:rsid w:val="00D81750"/>
    <w:rsid w:val="00D85C2C"/>
    <w:rsid w:val="00D8684E"/>
    <w:rsid w:val="00D86AB0"/>
    <w:rsid w:val="00D913A7"/>
    <w:rsid w:val="00D93AE6"/>
    <w:rsid w:val="00DA2C6F"/>
    <w:rsid w:val="00DA493A"/>
    <w:rsid w:val="00DB47A0"/>
    <w:rsid w:val="00DB6B16"/>
    <w:rsid w:val="00DB7700"/>
    <w:rsid w:val="00DC2567"/>
    <w:rsid w:val="00DD2287"/>
    <w:rsid w:val="00DD2304"/>
    <w:rsid w:val="00DD4D5A"/>
    <w:rsid w:val="00DE0CCB"/>
    <w:rsid w:val="00DE4AAA"/>
    <w:rsid w:val="00DE5E44"/>
    <w:rsid w:val="00DF0541"/>
    <w:rsid w:val="00DF0736"/>
    <w:rsid w:val="00DF0F88"/>
    <w:rsid w:val="00DF176E"/>
    <w:rsid w:val="00DF40C1"/>
    <w:rsid w:val="00DF6231"/>
    <w:rsid w:val="00DF63AC"/>
    <w:rsid w:val="00E04B75"/>
    <w:rsid w:val="00E0620C"/>
    <w:rsid w:val="00E1000F"/>
    <w:rsid w:val="00E108C4"/>
    <w:rsid w:val="00E11E5A"/>
    <w:rsid w:val="00E20F75"/>
    <w:rsid w:val="00E23E7E"/>
    <w:rsid w:val="00E27A1E"/>
    <w:rsid w:val="00E34ED7"/>
    <w:rsid w:val="00E411E3"/>
    <w:rsid w:val="00E434B2"/>
    <w:rsid w:val="00E4389D"/>
    <w:rsid w:val="00E52A56"/>
    <w:rsid w:val="00E53B8E"/>
    <w:rsid w:val="00E53C1F"/>
    <w:rsid w:val="00E628B6"/>
    <w:rsid w:val="00E638FB"/>
    <w:rsid w:val="00E735DB"/>
    <w:rsid w:val="00E736A6"/>
    <w:rsid w:val="00E75882"/>
    <w:rsid w:val="00E8120D"/>
    <w:rsid w:val="00E81880"/>
    <w:rsid w:val="00E82610"/>
    <w:rsid w:val="00E854E0"/>
    <w:rsid w:val="00E86E1C"/>
    <w:rsid w:val="00E87D78"/>
    <w:rsid w:val="00E91902"/>
    <w:rsid w:val="00E94264"/>
    <w:rsid w:val="00EA7299"/>
    <w:rsid w:val="00EB085C"/>
    <w:rsid w:val="00EB2F3B"/>
    <w:rsid w:val="00EB40D6"/>
    <w:rsid w:val="00EB736B"/>
    <w:rsid w:val="00EC1C8E"/>
    <w:rsid w:val="00EC5EE1"/>
    <w:rsid w:val="00EC7B58"/>
    <w:rsid w:val="00EE1202"/>
    <w:rsid w:val="00EE3322"/>
    <w:rsid w:val="00EF0817"/>
    <w:rsid w:val="00EF18F5"/>
    <w:rsid w:val="00EF1DB6"/>
    <w:rsid w:val="00EF551E"/>
    <w:rsid w:val="00F01AEE"/>
    <w:rsid w:val="00F05E9E"/>
    <w:rsid w:val="00F06548"/>
    <w:rsid w:val="00F12A7A"/>
    <w:rsid w:val="00F23207"/>
    <w:rsid w:val="00F27B7B"/>
    <w:rsid w:val="00F339A7"/>
    <w:rsid w:val="00F35763"/>
    <w:rsid w:val="00F42B1A"/>
    <w:rsid w:val="00F43628"/>
    <w:rsid w:val="00F438ED"/>
    <w:rsid w:val="00F46A86"/>
    <w:rsid w:val="00F533AA"/>
    <w:rsid w:val="00F54C4D"/>
    <w:rsid w:val="00F55723"/>
    <w:rsid w:val="00F659F3"/>
    <w:rsid w:val="00F676C5"/>
    <w:rsid w:val="00F71C98"/>
    <w:rsid w:val="00F7212F"/>
    <w:rsid w:val="00F74A00"/>
    <w:rsid w:val="00F7736F"/>
    <w:rsid w:val="00F834F0"/>
    <w:rsid w:val="00F84962"/>
    <w:rsid w:val="00F87D38"/>
    <w:rsid w:val="00F91995"/>
    <w:rsid w:val="00F963E6"/>
    <w:rsid w:val="00FA2FAB"/>
    <w:rsid w:val="00FA3912"/>
    <w:rsid w:val="00FA5843"/>
    <w:rsid w:val="00FB20B0"/>
    <w:rsid w:val="00FB2A50"/>
    <w:rsid w:val="00FB44F0"/>
    <w:rsid w:val="00FB4DEC"/>
    <w:rsid w:val="00FB5499"/>
    <w:rsid w:val="00FC1338"/>
    <w:rsid w:val="00FC3DBD"/>
    <w:rsid w:val="00FC42E7"/>
    <w:rsid w:val="00FC4A3C"/>
    <w:rsid w:val="00FC4B93"/>
    <w:rsid w:val="00FC58A0"/>
    <w:rsid w:val="00FC7D9D"/>
    <w:rsid w:val="00FD0530"/>
    <w:rsid w:val="00FD1BC2"/>
    <w:rsid w:val="00FE0E53"/>
    <w:rsid w:val="00FE0ED9"/>
    <w:rsid w:val="00FF1F56"/>
    <w:rsid w:val="00FF292B"/>
    <w:rsid w:val="00FF32B4"/>
    <w:rsid w:val="00FF3D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D0A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A50"/>
    <w:pPr>
      <w:spacing w:after="200" w:line="276" w:lineRule="auto"/>
    </w:pPr>
    <w:rPr>
      <w:rFonts w:ascii="Calibri" w:eastAsia="Calibri" w:hAnsi="Calibri" w:cs="Times New Roman"/>
    </w:rPr>
  </w:style>
  <w:style w:type="paragraph" w:styleId="Heading1">
    <w:name w:val="heading 1"/>
    <w:basedOn w:val="Heading10"/>
    <w:next w:val="Normal"/>
    <w:link w:val="Heading1Char"/>
    <w:uiPriority w:val="9"/>
    <w:qFormat/>
    <w:rsid w:val="00E75882"/>
    <w:pPr>
      <w:spacing w:before="1000"/>
      <w:jc w:val="center"/>
      <w:outlineLvl w:val="0"/>
    </w:pPr>
    <w:rPr>
      <w:sz w:val="72"/>
      <w:szCs w:val="72"/>
    </w:rPr>
  </w:style>
  <w:style w:type="paragraph" w:styleId="Heading2">
    <w:name w:val="heading 2"/>
    <w:basedOn w:val="Normal"/>
    <w:next w:val="Normal"/>
    <w:link w:val="Heading2Char"/>
    <w:uiPriority w:val="9"/>
    <w:unhideWhenUsed/>
    <w:qFormat/>
    <w:rsid w:val="00E758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7588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7588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5882"/>
    <w:rPr>
      <w:rFonts w:ascii="Calibri" w:eastAsia="Calibri" w:hAnsi="Calibri" w:cs="Calibri"/>
      <w:b/>
      <w:bCs/>
      <w:color w:val="000000"/>
      <w:sz w:val="72"/>
      <w:szCs w:val="72"/>
      <w:u w:color="000000"/>
      <w:lang w:val="en-US" w:eastAsia="en-AU"/>
    </w:rPr>
  </w:style>
  <w:style w:type="character" w:customStyle="1" w:styleId="Heading2Char">
    <w:name w:val="Heading 2 Char"/>
    <w:basedOn w:val="DefaultParagraphFont"/>
    <w:link w:val="Heading2"/>
    <w:uiPriority w:val="9"/>
    <w:rsid w:val="00E7588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7588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E75882"/>
    <w:rPr>
      <w:rFonts w:asciiTheme="majorHAnsi" w:eastAsiaTheme="majorEastAsia" w:hAnsiTheme="majorHAnsi" w:cstheme="majorBidi"/>
      <w:i/>
      <w:iCs/>
      <w:color w:val="2F5496" w:themeColor="accent1" w:themeShade="BF"/>
    </w:rPr>
  </w:style>
  <w:style w:type="paragraph" w:customStyle="1" w:styleId="Heading10">
    <w:name w:val="Heading1"/>
    <w:rsid w:val="00E75882"/>
    <w:pPr>
      <w:spacing w:after="200" w:line="240" w:lineRule="auto"/>
    </w:pPr>
    <w:rPr>
      <w:rFonts w:ascii="Calibri" w:eastAsia="Calibri" w:hAnsi="Calibri" w:cs="Calibri"/>
      <w:b/>
      <w:bCs/>
      <w:color w:val="000000"/>
      <w:sz w:val="36"/>
      <w:szCs w:val="36"/>
      <w:u w:color="000000"/>
      <w:lang w:val="en-US" w:eastAsia="en-AU"/>
    </w:rPr>
  </w:style>
  <w:style w:type="paragraph" w:styleId="Header">
    <w:name w:val="header"/>
    <w:basedOn w:val="Normal"/>
    <w:link w:val="HeaderChar"/>
    <w:uiPriority w:val="99"/>
    <w:unhideWhenUsed/>
    <w:rsid w:val="00E758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5882"/>
    <w:rPr>
      <w:rFonts w:ascii="Calibri" w:eastAsia="Calibri" w:hAnsi="Calibri" w:cs="Times New Roman"/>
    </w:rPr>
  </w:style>
  <w:style w:type="paragraph" w:styleId="Footer">
    <w:name w:val="footer"/>
    <w:basedOn w:val="Normal"/>
    <w:link w:val="FooterChar"/>
    <w:uiPriority w:val="99"/>
    <w:unhideWhenUsed/>
    <w:rsid w:val="00E758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5882"/>
    <w:rPr>
      <w:rFonts w:ascii="Calibri" w:eastAsia="Calibri" w:hAnsi="Calibri" w:cs="Times New Roman"/>
    </w:rPr>
  </w:style>
  <w:style w:type="paragraph" w:styleId="Caption">
    <w:name w:val="caption"/>
    <w:aliases w:val="Caption Char1,Caption Char Char,Char Char Char,Char Char1,Table caption,IB Caption,Medical Caption,Medical Caption Char,Caption Char1 Char Char,Caption Char Char Char Char,Caption Char Char Char Char Char,Caption Char1 Char1,c,Caption 3,appendix"/>
    <w:basedOn w:val="Normal"/>
    <w:next w:val="Normal"/>
    <w:link w:val="CaptionChar"/>
    <w:uiPriority w:val="35"/>
    <w:qFormat/>
    <w:rsid w:val="00E75882"/>
    <w:pPr>
      <w:keepNext/>
      <w:spacing w:before="360" w:after="120" w:line="240" w:lineRule="auto"/>
      <w:ind w:left="709" w:hanging="709"/>
    </w:pPr>
    <w:rPr>
      <w:rFonts w:ascii="Arial Narrow" w:eastAsia="Times New Roman" w:hAnsi="Arial Narrow" w:cs="Tahoma"/>
      <w:b/>
      <w:sz w:val="20"/>
      <w:szCs w:val="20"/>
      <w:lang w:val="en-GB" w:eastAsia="ja-JP"/>
    </w:rPr>
  </w:style>
  <w:style w:type="paragraph" w:customStyle="1" w:styleId="Instructionaltext">
    <w:name w:val="Instructional text"/>
    <w:basedOn w:val="Normal"/>
    <w:link w:val="InstructionaltextChar"/>
    <w:qFormat/>
    <w:rsid w:val="00E75882"/>
    <w:pPr>
      <w:spacing w:before="120" w:after="160" w:line="259" w:lineRule="auto"/>
    </w:pPr>
    <w:rPr>
      <w:rFonts w:eastAsiaTheme="minorHAnsi" w:cstheme="minorBidi"/>
      <w:color w:val="258221"/>
    </w:rPr>
  </w:style>
  <w:style w:type="character" w:customStyle="1" w:styleId="InstructionaltextChar">
    <w:name w:val="Instructional text Char"/>
    <w:basedOn w:val="DefaultParagraphFont"/>
    <w:link w:val="Instructionaltext"/>
    <w:rsid w:val="00E75882"/>
    <w:rPr>
      <w:rFonts w:ascii="Calibri" w:hAnsi="Calibri"/>
      <w:color w:val="258221"/>
    </w:rPr>
  </w:style>
  <w:style w:type="paragraph" w:customStyle="1" w:styleId="Instructionaltext-bullet">
    <w:name w:val="Instructional text - bullet"/>
    <w:basedOn w:val="Instructionaltext"/>
    <w:qFormat/>
    <w:rsid w:val="00E75882"/>
    <w:pPr>
      <w:numPr>
        <w:numId w:val="1"/>
      </w:numPr>
      <w:tabs>
        <w:tab w:val="num" w:pos="360"/>
      </w:tabs>
      <w:spacing w:before="0" w:after="0"/>
      <w:ind w:left="0" w:firstLine="0"/>
    </w:pPr>
  </w:style>
  <w:style w:type="character" w:customStyle="1" w:styleId="CaptionChar">
    <w:name w:val="Caption Char"/>
    <w:aliases w:val="Caption Char1 Char,Caption Char Char Char,Char Char Char Char,Char Char1 Char,Table caption Char,IB Caption Char,Medical Caption Char1,Medical Caption Char Char,Caption Char1 Char Char Char,Caption Char Char Char Char Char1,c Char"/>
    <w:basedOn w:val="DefaultParagraphFont"/>
    <w:link w:val="Caption"/>
    <w:uiPriority w:val="35"/>
    <w:rsid w:val="00E75882"/>
    <w:rPr>
      <w:rFonts w:ascii="Arial Narrow" w:eastAsia="Times New Roman" w:hAnsi="Arial Narrow" w:cs="Tahoma"/>
      <w:b/>
      <w:sz w:val="20"/>
      <w:szCs w:val="20"/>
      <w:lang w:val="en-GB" w:eastAsia="ja-JP"/>
    </w:rPr>
  </w:style>
  <w:style w:type="paragraph" w:customStyle="1" w:styleId="EndNoteBibliographyTitle">
    <w:name w:val="EndNote Bibliography Title"/>
    <w:basedOn w:val="Normal"/>
    <w:link w:val="EndNoteBibliographyTitleChar"/>
    <w:rsid w:val="00E75882"/>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E75882"/>
    <w:rPr>
      <w:rFonts w:ascii="Calibri" w:eastAsia="Calibri" w:hAnsi="Calibri" w:cs="Calibri"/>
      <w:noProof/>
      <w:lang w:val="en-US"/>
    </w:rPr>
  </w:style>
  <w:style w:type="paragraph" w:customStyle="1" w:styleId="EndNoteBibliography">
    <w:name w:val="EndNote Bibliography"/>
    <w:basedOn w:val="Normal"/>
    <w:link w:val="EndNoteBibliographyChar"/>
    <w:rsid w:val="00E75882"/>
    <w:pPr>
      <w:spacing w:line="240" w:lineRule="auto"/>
      <w:jc w:val="both"/>
    </w:pPr>
    <w:rPr>
      <w:rFonts w:cs="Calibri"/>
      <w:noProof/>
      <w:lang w:val="en-US"/>
    </w:rPr>
  </w:style>
  <w:style w:type="character" w:customStyle="1" w:styleId="EndNoteBibliographyChar">
    <w:name w:val="EndNote Bibliography Char"/>
    <w:basedOn w:val="DefaultParagraphFont"/>
    <w:link w:val="EndNoteBibliography"/>
    <w:rsid w:val="00E75882"/>
    <w:rPr>
      <w:rFonts w:ascii="Calibri" w:eastAsia="Calibri" w:hAnsi="Calibri" w:cs="Calibri"/>
      <w:noProof/>
      <w:lang w:val="en-US"/>
    </w:rPr>
  </w:style>
  <w:style w:type="paragraph" w:styleId="FootnoteText">
    <w:name w:val="footnote text"/>
    <w:basedOn w:val="Normal"/>
    <w:link w:val="FootnoteTextChar"/>
    <w:uiPriority w:val="99"/>
    <w:unhideWhenUsed/>
    <w:rsid w:val="00E75882"/>
    <w:pPr>
      <w:spacing w:after="0" w:line="240" w:lineRule="auto"/>
    </w:pPr>
    <w:rPr>
      <w:sz w:val="20"/>
      <w:szCs w:val="20"/>
    </w:rPr>
  </w:style>
  <w:style w:type="character" w:customStyle="1" w:styleId="FootnoteTextChar">
    <w:name w:val="Footnote Text Char"/>
    <w:basedOn w:val="DefaultParagraphFont"/>
    <w:link w:val="FootnoteText"/>
    <w:uiPriority w:val="99"/>
    <w:rsid w:val="00E75882"/>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E75882"/>
    <w:rPr>
      <w:vertAlign w:val="superscript"/>
    </w:rPr>
  </w:style>
  <w:style w:type="character" w:styleId="Hyperlink">
    <w:name w:val="Hyperlink"/>
    <w:basedOn w:val="DefaultParagraphFont"/>
    <w:uiPriority w:val="99"/>
    <w:unhideWhenUsed/>
    <w:rsid w:val="00E75882"/>
    <w:rPr>
      <w:color w:val="0563C1" w:themeColor="hyperlink"/>
      <w:u w:val="single"/>
    </w:rPr>
  </w:style>
  <w:style w:type="table" w:styleId="TableGrid">
    <w:name w:val="Table Grid"/>
    <w:aliases w:val="HealthConsult"/>
    <w:basedOn w:val="TableNormal"/>
    <w:uiPriority w:val="59"/>
    <w:rsid w:val="00E75882"/>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para,ES Paragraph,PBAC ES Paragraph,BulletPoints,Body Text Bullet Points,List Paragraph1,Bullet point,List Paragraph11,Recommendation,Section heading,Footnote,PBAC normal points,Bullet List,Styl moj,Akapit z listą11"/>
    <w:basedOn w:val="Normal"/>
    <w:link w:val="ListParagraphChar"/>
    <w:uiPriority w:val="34"/>
    <w:qFormat/>
    <w:rsid w:val="00E75882"/>
    <w:pPr>
      <w:ind w:left="720"/>
      <w:contextualSpacing/>
    </w:pPr>
  </w:style>
  <w:style w:type="paragraph" w:customStyle="1" w:styleId="TableHeading">
    <w:name w:val="TableHeading"/>
    <w:basedOn w:val="Normal"/>
    <w:link w:val="TableHeadingChar"/>
    <w:qFormat/>
    <w:rsid w:val="00E75882"/>
    <w:pPr>
      <w:keepNext/>
      <w:spacing w:before="40" w:after="40" w:line="240" w:lineRule="auto"/>
    </w:pPr>
    <w:rPr>
      <w:rFonts w:ascii="Arial Narrow" w:eastAsia="Times New Roman" w:hAnsi="Arial Narrow" w:cs="Tahoma"/>
      <w:b/>
      <w:sz w:val="20"/>
      <w:szCs w:val="20"/>
      <w:lang w:eastAsia="en-AU"/>
    </w:rPr>
  </w:style>
  <w:style w:type="character" w:customStyle="1" w:styleId="TableHeadingChar">
    <w:name w:val="TableHeading Char"/>
    <w:link w:val="TableHeading"/>
    <w:rsid w:val="00E75882"/>
    <w:rPr>
      <w:rFonts w:ascii="Arial Narrow" w:eastAsia="Times New Roman" w:hAnsi="Arial Narrow" w:cs="Tahoma"/>
      <w:b/>
      <w:sz w:val="20"/>
      <w:szCs w:val="20"/>
      <w:lang w:eastAsia="en-AU"/>
    </w:rPr>
  </w:style>
  <w:style w:type="paragraph" w:customStyle="1" w:styleId="Tabletext">
    <w:name w:val="Table text"/>
    <w:basedOn w:val="Normal"/>
    <w:link w:val="TabletextChar"/>
    <w:qFormat/>
    <w:rsid w:val="00E75882"/>
    <w:pPr>
      <w:spacing w:before="40" w:after="40" w:line="240" w:lineRule="auto"/>
    </w:pPr>
    <w:rPr>
      <w:rFonts w:ascii="Arial Narrow" w:eastAsia="Times New Roman" w:hAnsi="Arial Narrow" w:cs="Tahoma"/>
      <w:sz w:val="20"/>
      <w:szCs w:val="20"/>
      <w:lang w:eastAsia="en-AU"/>
    </w:rPr>
  </w:style>
  <w:style w:type="character" w:customStyle="1" w:styleId="TabletextChar">
    <w:name w:val="Table text Char"/>
    <w:link w:val="Tabletext"/>
    <w:rsid w:val="00E75882"/>
    <w:rPr>
      <w:rFonts w:ascii="Arial Narrow" w:eastAsia="Times New Roman" w:hAnsi="Arial Narrow" w:cs="Tahoma"/>
      <w:sz w:val="20"/>
      <w:szCs w:val="20"/>
      <w:lang w:eastAsia="en-AU"/>
    </w:rPr>
  </w:style>
  <w:style w:type="paragraph" w:customStyle="1" w:styleId="Tablenotes">
    <w:name w:val="Tablenotes"/>
    <w:basedOn w:val="Normal"/>
    <w:link w:val="TablenotesChar"/>
    <w:qFormat/>
    <w:rsid w:val="00E75882"/>
    <w:pPr>
      <w:widowControl w:val="0"/>
      <w:spacing w:after="120" w:line="240" w:lineRule="auto"/>
      <w:jc w:val="both"/>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E75882"/>
    <w:rPr>
      <w:rFonts w:ascii="Arial Narrow" w:eastAsia="Times New Roman" w:hAnsi="Arial Narrow" w:cs="Arial"/>
      <w:snapToGrid w:val="0"/>
      <w:sz w:val="18"/>
      <w:szCs w:val="20"/>
    </w:rPr>
  </w:style>
  <w:style w:type="paragraph" w:customStyle="1" w:styleId="Instructionaltext-afterfiguretable">
    <w:name w:val="Instructional text - after figure/table"/>
    <w:basedOn w:val="Instructionaltext"/>
    <w:qFormat/>
    <w:rsid w:val="00E75882"/>
    <w:pPr>
      <w:spacing w:before="360"/>
    </w:pPr>
  </w:style>
  <w:style w:type="table" w:customStyle="1" w:styleId="TableGrid1">
    <w:name w:val="Table Grid1"/>
    <w:basedOn w:val="TableNormal"/>
    <w:next w:val="TableGrid"/>
    <w:uiPriority w:val="39"/>
    <w:rsid w:val="00E75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qFormat/>
    <w:rsid w:val="00E75882"/>
    <w:pPr>
      <w:spacing w:before="40" w:after="40" w:line="240" w:lineRule="auto"/>
    </w:pPr>
    <w:rPr>
      <w:rFonts w:ascii="Arial Narrow" w:eastAsiaTheme="minorHAnsi" w:hAnsi="Arial Narrow" w:cstheme="minorBidi"/>
      <w:sz w:val="20"/>
    </w:rPr>
  </w:style>
  <w:style w:type="character" w:customStyle="1" w:styleId="TableTextChar0">
    <w:name w:val="Table Text Char"/>
    <w:basedOn w:val="DefaultParagraphFont"/>
    <w:link w:val="TableText0"/>
    <w:rsid w:val="00E75882"/>
    <w:rPr>
      <w:rFonts w:ascii="Arial Narrow" w:hAnsi="Arial Narrow"/>
      <w:sz w:val="20"/>
    </w:rPr>
  </w:style>
  <w:style w:type="character" w:styleId="UnresolvedMention">
    <w:name w:val="Unresolved Mention"/>
    <w:basedOn w:val="DefaultParagraphFont"/>
    <w:uiPriority w:val="99"/>
    <w:semiHidden/>
    <w:unhideWhenUsed/>
    <w:rsid w:val="00E75882"/>
    <w:rPr>
      <w:color w:val="605E5C"/>
      <w:shd w:val="clear" w:color="auto" w:fill="E1DFDD"/>
    </w:rPr>
  </w:style>
  <w:style w:type="character" w:styleId="CommentReference">
    <w:name w:val="annotation reference"/>
    <w:aliases w:val="Table Title"/>
    <w:basedOn w:val="DefaultParagraphFont"/>
    <w:uiPriority w:val="99"/>
    <w:unhideWhenUsed/>
    <w:qFormat/>
    <w:rsid w:val="00E75882"/>
    <w:rPr>
      <w:sz w:val="16"/>
      <w:szCs w:val="16"/>
    </w:rPr>
  </w:style>
  <w:style w:type="paragraph" w:styleId="CommentText">
    <w:name w:val="annotation text"/>
    <w:basedOn w:val="Normal"/>
    <w:link w:val="CommentTextChar"/>
    <w:uiPriority w:val="99"/>
    <w:unhideWhenUsed/>
    <w:rsid w:val="00E75882"/>
    <w:pPr>
      <w:spacing w:line="240" w:lineRule="auto"/>
    </w:pPr>
    <w:rPr>
      <w:sz w:val="20"/>
      <w:szCs w:val="20"/>
    </w:rPr>
  </w:style>
  <w:style w:type="character" w:customStyle="1" w:styleId="CommentTextChar">
    <w:name w:val="Comment Text Char"/>
    <w:basedOn w:val="DefaultParagraphFont"/>
    <w:link w:val="CommentText"/>
    <w:uiPriority w:val="99"/>
    <w:rsid w:val="00E7588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75882"/>
    <w:rPr>
      <w:b/>
      <w:bCs/>
    </w:rPr>
  </w:style>
  <w:style w:type="character" w:customStyle="1" w:styleId="CommentSubjectChar">
    <w:name w:val="Comment Subject Char"/>
    <w:basedOn w:val="CommentTextChar"/>
    <w:link w:val="CommentSubject"/>
    <w:uiPriority w:val="99"/>
    <w:semiHidden/>
    <w:rsid w:val="00E75882"/>
    <w:rPr>
      <w:rFonts w:ascii="Calibri" w:eastAsia="Calibri" w:hAnsi="Calibri" w:cs="Times New Roman"/>
      <w:b/>
      <w:bCs/>
      <w:sz w:val="20"/>
      <w:szCs w:val="20"/>
    </w:rPr>
  </w:style>
  <w:style w:type="paragraph" w:styleId="Revision">
    <w:name w:val="Revision"/>
    <w:hidden/>
    <w:uiPriority w:val="99"/>
    <w:semiHidden/>
    <w:rsid w:val="00E75882"/>
    <w:pPr>
      <w:spacing w:after="0" w:line="240" w:lineRule="auto"/>
    </w:pPr>
    <w:rPr>
      <w:rFonts w:ascii="Calibri" w:eastAsia="Calibri" w:hAnsi="Calibri" w:cs="Times New Roman"/>
    </w:rPr>
  </w:style>
  <w:style w:type="character" w:customStyle="1" w:styleId="cf01">
    <w:name w:val="cf01"/>
    <w:basedOn w:val="DefaultParagraphFont"/>
    <w:rsid w:val="00E75882"/>
    <w:rPr>
      <w:rFonts w:ascii="Segoe UI" w:hAnsi="Segoe UI" w:cs="Segoe UI" w:hint="default"/>
      <w:sz w:val="18"/>
      <w:szCs w:val="18"/>
    </w:rPr>
  </w:style>
  <w:style w:type="paragraph" w:customStyle="1" w:styleId="pf0">
    <w:name w:val="pf0"/>
    <w:basedOn w:val="Normal"/>
    <w:rsid w:val="00E75882"/>
    <w:pPr>
      <w:spacing w:before="100" w:beforeAutospacing="1" w:after="100" w:afterAutospacing="1" w:line="240" w:lineRule="auto"/>
    </w:pPr>
    <w:rPr>
      <w:rFonts w:ascii="Times New Roman" w:eastAsia="Times New Roman" w:hAnsi="Times New Roman"/>
      <w:sz w:val="24"/>
      <w:szCs w:val="24"/>
      <w:lang w:eastAsia="en-AU"/>
    </w:rPr>
  </w:style>
  <w:style w:type="character" w:styleId="FollowedHyperlink">
    <w:name w:val="FollowedHyperlink"/>
    <w:basedOn w:val="DefaultParagraphFont"/>
    <w:uiPriority w:val="99"/>
    <w:semiHidden/>
    <w:unhideWhenUsed/>
    <w:rsid w:val="00E75882"/>
    <w:rPr>
      <w:color w:val="954F72" w:themeColor="followedHyperlink"/>
      <w:u w:val="single"/>
    </w:rPr>
  </w:style>
  <w:style w:type="character" w:styleId="Emphasis">
    <w:name w:val="Emphasis"/>
    <w:basedOn w:val="DefaultParagraphFont"/>
    <w:uiPriority w:val="20"/>
    <w:qFormat/>
    <w:rsid w:val="00E75882"/>
    <w:rPr>
      <w:i/>
      <w:iCs/>
    </w:rPr>
  </w:style>
  <w:style w:type="character" w:customStyle="1" w:styleId="cf11">
    <w:name w:val="cf11"/>
    <w:basedOn w:val="DefaultParagraphFont"/>
    <w:rsid w:val="00B25F03"/>
    <w:rPr>
      <w:rFonts w:ascii="Segoe UI" w:hAnsi="Segoe UI" w:cs="Segoe UI" w:hint="default"/>
      <w:color w:val="5F6174"/>
      <w:sz w:val="18"/>
      <w:szCs w:val="18"/>
    </w:rPr>
  </w:style>
  <w:style w:type="character" w:customStyle="1" w:styleId="ListParagraphChar">
    <w:name w:val="List Paragraph Char"/>
    <w:aliases w:val="Numbered para Char,ES Paragraph Char,PBAC ES Paragraph Char,BulletPoints Char,Body Text Bullet Points Char,List Paragraph1 Char,Bullet point Char,List Paragraph11 Char,Recommendation Char,Section heading Char,Footnote Char"/>
    <w:basedOn w:val="DefaultParagraphFont"/>
    <w:link w:val="ListParagraph"/>
    <w:uiPriority w:val="34"/>
    <w:qFormat/>
    <w:locked/>
    <w:rsid w:val="005C572E"/>
    <w:rPr>
      <w:rFonts w:ascii="Calibri" w:eastAsia="Calibri" w:hAnsi="Calibri" w:cs="Times New Roman"/>
    </w:rPr>
  </w:style>
  <w:style w:type="numbering" w:customStyle="1" w:styleId="CurrentList1">
    <w:name w:val="Current List1"/>
    <w:uiPriority w:val="99"/>
    <w:rsid w:val="006F31F0"/>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0673">
      <w:bodyDiv w:val="1"/>
      <w:marLeft w:val="0"/>
      <w:marRight w:val="0"/>
      <w:marTop w:val="0"/>
      <w:marBottom w:val="0"/>
      <w:divBdr>
        <w:top w:val="none" w:sz="0" w:space="0" w:color="auto"/>
        <w:left w:val="none" w:sz="0" w:space="0" w:color="auto"/>
        <w:bottom w:val="none" w:sz="0" w:space="0" w:color="auto"/>
        <w:right w:val="none" w:sz="0" w:space="0" w:color="auto"/>
      </w:divBdr>
    </w:div>
    <w:div w:id="381907624">
      <w:bodyDiv w:val="1"/>
      <w:marLeft w:val="0"/>
      <w:marRight w:val="0"/>
      <w:marTop w:val="0"/>
      <w:marBottom w:val="0"/>
      <w:divBdr>
        <w:top w:val="none" w:sz="0" w:space="0" w:color="auto"/>
        <w:left w:val="none" w:sz="0" w:space="0" w:color="auto"/>
        <w:bottom w:val="none" w:sz="0" w:space="0" w:color="auto"/>
        <w:right w:val="none" w:sz="0" w:space="0" w:color="auto"/>
      </w:divBdr>
    </w:div>
    <w:div w:id="386148767">
      <w:bodyDiv w:val="1"/>
      <w:marLeft w:val="0"/>
      <w:marRight w:val="0"/>
      <w:marTop w:val="0"/>
      <w:marBottom w:val="0"/>
      <w:divBdr>
        <w:top w:val="none" w:sz="0" w:space="0" w:color="auto"/>
        <w:left w:val="none" w:sz="0" w:space="0" w:color="auto"/>
        <w:bottom w:val="none" w:sz="0" w:space="0" w:color="auto"/>
        <w:right w:val="none" w:sz="0" w:space="0" w:color="auto"/>
      </w:divBdr>
    </w:div>
    <w:div w:id="462357738">
      <w:bodyDiv w:val="1"/>
      <w:marLeft w:val="0"/>
      <w:marRight w:val="0"/>
      <w:marTop w:val="0"/>
      <w:marBottom w:val="0"/>
      <w:divBdr>
        <w:top w:val="none" w:sz="0" w:space="0" w:color="auto"/>
        <w:left w:val="none" w:sz="0" w:space="0" w:color="auto"/>
        <w:bottom w:val="none" w:sz="0" w:space="0" w:color="auto"/>
        <w:right w:val="none" w:sz="0" w:space="0" w:color="auto"/>
      </w:divBdr>
      <w:divsChild>
        <w:div w:id="1111900499">
          <w:marLeft w:val="0"/>
          <w:marRight w:val="0"/>
          <w:marTop w:val="0"/>
          <w:marBottom w:val="0"/>
          <w:divBdr>
            <w:top w:val="none" w:sz="0" w:space="0" w:color="auto"/>
            <w:left w:val="none" w:sz="0" w:space="0" w:color="auto"/>
            <w:bottom w:val="none" w:sz="0" w:space="0" w:color="auto"/>
            <w:right w:val="none" w:sz="0" w:space="0" w:color="auto"/>
          </w:divBdr>
        </w:div>
      </w:divsChild>
    </w:div>
    <w:div w:id="465244406">
      <w:bodyDiv w:val="1"/>
      <w:marLeft w:val="0"/>
      <w:marRight w:val="0"/>
      <w:marTop w:val="0"/>
      <w:marBottom w:val="0"/>
      <w:divBdr>
        <w:top w:val="none" w:sz="0" w:space="0" w:color="auto"/>
        <w:left w:val="none" w:sz="0" w:space="0" w:color="auto"/>
        <w:bottom w:val="none" w:sz="0" w:space="0" w:color="auto"/>
        <w:right w:val="none" w:sz="0" w:space="0" w:color="auto"/>
      </w:divBdr>
    </w:div>
    <w:div w:id="553202214">
      <w:bodyDiv w:val="1"/>
      <w:marLeft w:val="0"/>
      <w:marRight w:val="0"/>
      <w:marTop w:val="0"/>
      <w:marBottom w:val="0"/>
      <w:divBdr>
        <w:top w:val="none" w:sz="0" w:space="0" w:color="auto"/>
        <w:left w:val="none" w:sz="0" w:space="0" w:color="auto"/>
        <w:bottom w:val="none" w:sz="0" w:space="0" w:color="auto"/>
        <w:right w:val="none" w:sz="0" w:space="0" w:color="auto"/>
      </w:divBdr>
      <w:divsChild>
        <w:div w:id="1578442571">
          <w:marLeft w:val="0"/>
          <w:marRight w:val="0"/>
          <w:marTop w:val="0"/>
          <w:marBottom w:val="0"/>
          <w:divBdr>
            <w:top w:val="none" w:sz="0" w:space="0" w:color="auto"/>
            <w:left w:val="none" w:sz="0" w:space="0" w:color="auto"/>
            <w:bottom w:val="none" w:sz="0" w:space="0" w:color="auto"/>
            <w:right w:val="none" w:sz="0" w:space="0" w:color="auto"/>
          </w:divBdr>
        </w:div>
      </w:divsChild>
    </w:div>
    <w:div w:id="581333489">
      <w:bodyDiv w:val="1"/>
      <w:marLeft w:val="0"/>
      <w:marRight w:val="0"/>
      <w:marTop w:val="0"/>
      <w:marBottom w:val="0"/>
      <w:divBdr>
        <w:top w:val="none" w:sz="0" w:space="0" w:color="auto"/>
        <w:left w:val="none" w:sz="0" w:space="0" w:color="auto"/>
        <w:bottom w:val="none" w:sz="0" w:space="0" w:color="auto"/>
        <w:right w:val="none" w:sz="0" w:space="0" w:color="auto"/>
      </w:divBdr>
    </w:div>
    <w:div w:id="847212286">
      <w:bodyDiv w:val="1"/>
      <w:marLeft w:val="0"/>
      <w:marRight w:val="0"/>
      <w:marTop w:val="0"/>
      <w:marBottom w:val="0"/>
      <w:divBdr>
        <w:top w:val="none" w:sz="0" w:space="0" w:color="auto"/>
        <w:left w:val="none" w:sz="0" w:space="0" w:color="auto"/>
        <w:bottom w:val="none" w:sz="0" w:space="0" w:color="auto"/>
        <w:right w:val="none" w:sz="0" w:space="0" w:color="auto"/>
      </w:divBdr>
    </w:div>
    <w:div w:id="984820409">
      <w:bodyDiv w:val="1"/>
      <w:marLeft w:val="0"/>
      <w:marRight w:val="0"/>
      <w:marTop w:val="0"/>
      <w:marBottom w:val="0"/>
      <w:divBdr>
        <w:top w:val="none" w:sz="0" w:space="0" w:color="auto"/>
        <w:left w:val="none" w:sz="0" w:space="0" w:color="auto"/>
        <w:bottom w:val="none" w:sz="0" w:space="0" w:color="auto"/>
        <w:right w:val="none" w:sz="0" w:space="0" w:color="auto"/>
      </w:divBdr>
    </w:div>
    <w:div w:id="1020279172">
      <w:bodyDiv w:val="1"/>
      <w:marLeft w:val="0"/>
      <w:marRight w:val="0"/>
      <w:marTop w:val="0"/>
      <w:marBottom w:val="0"/>
      <w:divBdr>
        <w:top w:val="none" w:sz="0" w:space="0" w:color="auto"/>
        <w:left w:val="none" w:sz="0" w:space="0" w:color="auto"/>
        <w:bottom w:val="none" w:sz="0" w:space="0" w:color="auto"/>
        <w:right w:val="none" w:sz="0" w:space="0" w:color="auto"/>
      </w:divBdr>
    </w:div>
    <w:div w:id="1126464854">
      <w:bodyDiv w:val="1"/>
      <w:marLeft w:val="0"/>
      <w:marRight w:val="0"/>
      <w:marTop w:val="0"/>
      <w:marBottom w:val="0"/>
      <w:divBdr>
        <w:top w:val="none" w:sz="0" w:space="0" w:color="auto"/>
        <w:left w:val="none" w:sz="0" w:space="0" w:color="auto"/>
        <w:bottom w:val="none" w:sz="0" w:space="0" w:color="auto"/>
        <w:right w:val="none" w:sz="0" w:space="0" w:color="auto"/>
      </w:divBdr>
    </w:div>
    <w:div w:id="1248807434">
      <w:bodyDiv w:val="1"/>
      <w:marLeft w:val="0"/>
      <w:marRight w:val="0"/>
      <w:marTop w:val="0"/>
      <w:marBottom w:val="0"/>
      <w:divBdr>
        <w:top w:val="none" w:sz="0" w:space="0" w:color="auto"/>
        <w:left w:val="none" w:sz="0" w:space="0" w:color="auto"/>
        <w:bottom w:val="none" w:sz="0" w:space="0" w:color="auto"/>
        <w:right w:val="none" w:sz="0" w:space="0" w:color="auto"/>
      </w:divBdr>
    </w:div>
    <w:div w:id="1339892149">
      <w:bodyDiv w:val="1"/>
      <w:marLeft w:val="0"/>
      <w:marRight w:val="0"/>
      <w:marTop w:val="0"/>
      <w:marBottom w:val="0"/>
      <w:divBdr>
        <w:top w:val="none" w:sz="0" w:space="0" w:color="auto"/>
        <w:left w:val="none" w:sz="0" w:space="0" w:color="auto"/>
        <w:bottom w:val="none" w:sz="0" w:space="0" w:color="auto"/>
        <w:right w:val="none" w:sz="0" w:space="0" w:color="auto"/>
      </w:divBdr>
    </w:div>
    <w:div w:id="1509173224">
      <w:bodyDiv w:val="1"/>
      <w:marLeft w:val="0"/>
      <w:marRight w:val="0"/>
      <w:marTop w:val="0"/>
      <w:marBottom w:val="0"/>
      <w:divBdr>
        <w:top w:val="none" w:sz="0" w:space="0" w:color="auto"/>
        <w:left w:val="none" w:sz="0" w:space="0" w:color="auto"/>
        <w:bottom w:val="none" w:sz="0" w:space="0" w:color="auto"/>
        <w:right w:val="none" w:sz="0" w:space="0" w:color="auto"/>
      </w:divBdr>
    </w:div>
    <w:div w:id="1544168353">
      <w:bodyDiv w:val="1"/>
      <w:marLeft w:val="0"/>
      <w:marRight w:val="0"/>
      <w:marTop w:val="0"/>
      <w:marBottom w:val="0"/>
      <w:divBdr>
        <w:top w:val="none" w:sz="0" w:space="0" w:color="auto"/>
        <w:left w:val="none" w:sz="0" w:space="0" w:color="auto"/>
        <w:bottom w:val="none" w:sz="0" w:space="0" w:color="auto"/>
        <w:right w:val="none" w:sz="0" w:space="0" w:color="auto"/>
      </w:divBdr>
      <w:divsChild>
        <w:div w:id="1260143583">
          <w:marLeft w:val="0"/>
          <w:marRight w:val="0"/>
          <w:marTop w:val="0"/>
          <w:marBottom w:val="0"/>
          <w:divBdr>
            <w:top w:val="none" w:sz="0" w:space="0" w:color="auto"/>
            <w:left w:val="none" w:sz="0" w:space="0" w:color="auto"/>
            <w:bottom w:val="none" w:sz="0" w:space="0" w:color="auto"/>
            <w:right w:val="none" w:sz="0" w:space="0" w:color="auto"/>
          </w:divBdr>
        </w:div>
      </w:divsChild>
    </w:div>
    <w:div w:id="1594585367">
      <w:bodyDiv w:val="1"/>
      <w:marLeft w:val="0"/>
      <w:marRight w:val="0"/>
      <w:marTop w:val="0"/>
      <w:marBottom w:val="0"/>
      <w:divBdr>
        <w:top w:val="none" w:sz="0" w:space="0" w:color="auto"/>
        <w:left w:val="none" w:sz="0" w:space="0" w:color="auto"/>
        <w:bottom w:val="none" w:sz="0" w:space="0" w:color="auto"/>
        <w:right w:val="none" w:sz="0" w:space="0" w:color="auto"/>
      </w:divBdr>
    </w:div>
    <w:div w:id="1604145943">
      <w:bodyDiv w:val="1"/>
      <w:marLeft w:val="0"/>
      <w:marRight w:val="0"/>
      <w:marTop w:val="0"/>
      <w:marBottom w:val="0"/>
      <w:divBdr>
        <w:top w:val="none" w:sz="0" w:space="0" w:color="auto"/>
        <w:left w:val="none" w:sz="0" w:space="0" w:color="auto"/>
        <w:bottom w:val="none" w:sz="0" w:space="0" w:color="auto"/>
        <w:right w:val="none" w:sz="0" w:space="0" w:color="auto"/>
      </w:divBdr>
    </w:div>
    <w:div w:id="1657227640">
      <w:bodyDiv w:val="1"/>
      <w:marLeft w:val="0"/>
      <w:marRight w:val="0"/>
      <w:marTop w:val="0"/>
      <w:marBottom w:val="0"/>
      <w:divBdr>
        <w:top w:val="none" w:sz="0" w:space="0" w:color="auto"/>
        <w:left w:val="none" w:sz="0" w:space="0" w:color="auto"/>
        <w:bottom w:val="none" w:sz="0" w:space="0" w:color="auto"/>
        <w:right w:val="none" w:sz="0" w:space="0" w:color="auto"/>
      </w:divBdr>
    </w:div>
    <w:div w:id="1825655822">
      <w:bodyDiv w:val="1"/>
      <w:marLeft w:val="0"/>
      <w:marRight w:val="0"/>
      <w:marTop w:val="0"/>
      <w:marBottom w:val="0"/>
      <w:divBdr>
        <w:top w:val="none" w:sz="0" w:space="0" w:color="auto"/>
        <w:left w:val="none" w:sz="0" w:space="0" w:color="auto"/>
        <w:bottom w:val="none" w:sz="0" w:space="0" w:color="auto"/>
        <w:right w:val="none" w:sz="0" w:space="0" w:color="auto"/>
      </w:divBdr>
      <w:divsChild>
        <w:div w:id="1564832512">
          <w:marLeft w:val="0"/>
          <w:marRight w:val="0"/>
          <w:marTop w:val="0"/>
          <w:marBottom w:val="0"/>
          <w:divBdr>
            <w:top w:val="none" w:sz="0" w:space="0" w:color="auto"/>
            <w:left w:val="none" w:sz="0" w:space="0" w:color="auto"/>
            <w:bottom w:val="none" w:sz="0" w:space="0" w:color="auto"/>
            <w:right w:val="none" w:sz="0" w:space="0" w:color="auto"/>
          </w:divBdr>
        </w:div>
      </w:divsChild>
    </w:div>
    <w:div w:id="1832675048">
      <w:bodyDiv w:val="1"/>
      <w:marLeft w:val="0"/>
      <w:marRight w:val="0"/>
      <w:marTop w:val="0"/>
      <w:marBottom w:val="0"/>
      <w:divBdr>
        <w:top w:val="none" w:sz="0" w:space="0" w:color="auto"/>
        <w:left w:val="none" w:sz="0" w:space="0" w:color="auto"/>
        <w:bottom w:val="none" w:sz="0" w:space="0" w:color="auto"/>
        <w:right w:val="none" w:sz="0" w:space="0" w:color="auto"/>
      </w:divBdr>
    </w:div>
    <w:div w:id="1931814487">
      <w:bodyDiv w:val="1"/>
      <w:marLeft w:val="0"/>
      <w:marRight w:val="0"/>
      <w:marTop w:val="0"/>
      <w:marBottom w:val="0"/>
      <w:divBdr>
        <w:top w:val="none" w:sz="0" w:space="0" w:color="auto"/>
        <w:left w:val="none" w:sz="0" w:space="0" w:color="auto"/>
        <w:bottom w:val="none" w:sz="0" w:space="0" w:color="auto"/>
        <w:right w:val="none" w:sz="0" w:space="0" w:color="auto"/>
      </w:divBdr>
      <w:divsChild>
        <w:div w:id="1351373306">
          <w:marLeft w:val="0"/>
          <w:marRight w:val="0"/>
          <w:marTop w:val="0"/>
          <w:marBottom w:val="0"/>
          <w:divBdr>
            <w:top w:val="none" w:sz="0" w:space="0" w:color="auto"/>
            <w:left w:val="none" w:sz="0" w:space="0" w:color="auto"/>
            <w:bottom w:val="none" w:sz="0" w:space="0" w:color="auto"/>
            <w:right w:val="none" w:sz="0" w:space="0" w:color="auto"/>
          </w:divBdr>
        </w:div>
      </w:divsChild>
    </w:div>
    <w:div w:id="1942444252">
      <w:bodyDiv w:val="1"/>
      <w:marLeft w:val="0"/>
      <w:marRight w:val="0"/>
      <w:marTop w:val="0"/>
      <w:marBottom w:val="0"/>
      <w:divBdr>
        <w:top w:val="none" w:sz="0" w:space="0" w:color="auto"/>
        <w:left w:val="none" w:sz="0" w:space="0" w:color="auto"/>
        <w:bottom w:val="none" w:sz="0" w:space="0" w:color="auto"/>
        <w:right w:val="none" w:sz="0" w:space="0" w:color="auto"/>
      </w:divBdr>
    </w:div>
    <w:div w:id="1947425551">
      <w:bodyDiv w:val="1"/>
      <w:marLeft w:val="0"/>
      <w:marRight w:val="0"/>
      <w:marTop w:val="0"/>
      <w:marBottom w:val="0"/>
      <w:divBdr>
        <w:top w:val="none" w:sz="0" w:space="0" w:color="auto"/>
        <w:left w:val="none" w:sz="0" w:space="0" w:color="auto"/>
        <w:bottom w:val="none" w:sz="0" w:space="0" w:color="auto"/>
        <w:right w:val="none" w:sz="0" w:space="0" w:color="auto"/>
      </w:divBdr>
    </w:div>
    <w:div w:id="1956212598">
      <w:bodyDiv w:val="1"/>
      <w:marLeft w:val="0"/>
      <w:marRight w:val="0"/>
      <w:marTop w:val="0"/>
      <w:marBottom w:val="0"/>
      <w:divBdr>
        <w:top w:val="none" w:sz="0" w:space="0" w:color="auto"/>
        <w:left w:val="none" w:sz="0" w:space="0" w:color="auto"/>
        <w:bottom w:val="none" w:sz="0" w:space="0" w:color="auto"/>
        <w:right w:val="none" w:sz="0" w:space="0" w:color="auto"/>
      </w:divBdr>
    </w:div>
    <w:div w:id="1982152811">
      <w:bodyDiv w:val="1"/>
      <w:marLeft w:val="0"/>
      <w:marRight w:val="0"/>
      <w:marTop w:val="0"/>
      <w:marBottom w:val="0"/>
      <w:divBdr>
        <w:top w:val="none" w:sz="0" w:space="0" w:color="auto"/>
        <w:left w:val="none" w:sz="0" w:space="0" w:color="auto"/>
        <w:bottom w:val="none" w:sz="0" w:space="0" w:color="auto"/>
        <w:right w:val="none" w:sz="0" w:space="0" w:color="auto"/>
      </w:divBdr>
    </w:div>
    <w:div w:id="2056733063">
      <w:bodyDiv w:val="1"/>
      <w:marLeft w:val="0"/>
      <w:marRight w:val="0"/>
      <w:marTop w:val="0"/>
      <w:marBottom w:val="0"/>
      <w:divBdr>
        <w:top w:val="none" w:sz="0" w:space="0" w:color="auto"/>
        <w:left w:val="none" w:sz="0" w:space="0" w:color="auto"/>
        <w:bottom w:val="none" w:sz="0" w:space="0" w:color="auto"/>
        <w:right w:val="none" w:sz="0" w:space="0" w:color="auto"/>
      </w:divBdr>
    </w:div>
    <w:div w:id="2067558045">
      <w:bodyDiv w:val="1"/>
      <w:marLeft w:val="0"/>
      <w:marRight w:val="0"/>
      <w:marTop w:val="0"/>
      <w:marBottom w:val="0"/>
      <w:divBdr>
        <w:top w:val="none" w:sz="0" w:space="0" w:color="auto"/>
        <w:left w:val="none" w:sz="0" w:space="0" w:color="auto"/>
        <w:bottom w:val="none" w:sz="0" w:space="0" w:color="auto"/>
        <w:right w:val="none" w:sz="0" w:space="0" w:color="auto"/>
      </w:divBdr>
    </w:div>
    <w:div w:id="2068987797">
      <w:bodyDiv w:val="1"/>
      <w:marLeft w:val="0"/>
      <w:marRight w:val="0"/>
      <w:marTop w:val="0"/>
      <w:marBottom w:val="0"/>
      <w:divBdr>
        <w:top w:val="none" w:sz="0" w:space="0" w:color="auto"/>
        <w:left w:val="none" w:sz="0" w:space="0" w:color="auto"/>
        <w:bottom w:val="none" w:sz="0" w:space="0" w:color="auto"/>
        <w:right w:val="none" w:sz="0" w:space="0" w:color="auto"/>
      </w:divBdr>
    </w:div>
    <w:div w:id="2073505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anznn.net/Portals/0/AnnualReports/Report%20of%20the%20Australian%20and%20New%20Zealand%20Neonatal%20Network%202019.pdf" TargetMode="External"/><Relationship Id="rId1" Type="http://schemas.openxmlformats.org/officeDocument/2006/relationships/hyperlink" Target="https://www.pretermalliance.com.au/About-Preterm-Birth/Preterm-Facts-and-Figu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0DDB5-970A-4C2C-9EB4-67FF96698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13503</Words>
  <Characters>76972</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2022-07-08T06:05:00Z</dcterms:created>
  <dcterms:modified xsi:type="dcterms:W3CDTF">2022-07-08T06:05:00Z</dcterms:modified>
</cp:coreProperties>
</file>