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2B7BF" w14:textId="6639688A" w:rsidR="00E45321" w:rsidRDefault="00B76D37">
      <w:pPr>
        <w:jc w:val="center"/>
        <w:rPr>
          <w:b/>
        </w:rPr>
      </w:pPr>
      <w:r>
        <w:rPr>
          <w:b/>
          <w:noProof/>
          <w:lang w:val="en-US" w:eastAsia="en-US"/>
        </w:rPr>
        <w:drawing>
          <wp:inline distT="0" distB="0" distL="0" distR="0" wp14:anchorId="5A20DC67" wp14:editId="39B43ED9">
            <wp:extent cx="1897077" cy="1257300"/>
            <wp:effectExtent l="0" t="0" r="0" b="0"/>
            <wp:docPr id="3" name="image1.jpg" descr="Departmental of Health Logo"/>
            <wp:cNvGraphicFramePr/>
            <a:graphic xmlns:a="http://schemas.openxmlformats.org/drawingml/2006/main">
              <a:graphicData uri="http://schemas.openxmlformats.org/drawingml/2006/picture">
                <pic:pic xmlns:pic="http://schemas.openxmlformats.org/drawingml/2006/picture">
                  <pic:nvPicPr>
                    <pic:cNvPr id="0" name="image1.jpg" descr="Departmental of Health Logo"/>
                    <pic:cNvPicPr preferRelativeResize="0"/>
                  </pic:nvPicPr>
                  <pic:blipFill>
                    <a:blip r:embed="rId8"/>
                    <a:srcRect/>
                    <a:stretch>
                      <a:fillRect/>
                    </a:stretch>
                  </pic:blipFill>
                  <pic:spPr>
                    <a:xfrm>
                      <a:off x="0" y="0"/>
                      <a:ext cx="1897077" cy="1257300"/>
                    </a:xfrm>
                    <a:prstGeom prst="rect">
                      <a:avLst/>
                    </a:prstGeom>
                    <a:ln/>
                  </pic:spPr>
                </pic:pic>
              </a:graphicData>
            </a:graphic>
          </wp:inline>
        </w:drawing>
      </w:r>
    </w:p>
    <w:p w14:paraId="177FEFA9" w14:textId="15DCFF80" w:rsidR="00E45321" w:rsidRDefault="00B76D37">
      <w:pPr>
        <w:pStyle w:val="Title"/>
        <w:spacing w:before="2600"/>
      </w:pPr>
      <w:bookmarkStart w:id="0" w:name="_heading=h.gjdgxs" w:colFirst="0" w:colLast="0"/>
      <w:bookmarkEnd w:id="0"/>
      <w:r>
        <w:t xml:space="preserve">Application </w:t>
      </w:r>
      <w:r w:rsidR="005E06D6">
        <w:t>1706</w:t>
      </w:r>
    </w:p>
    <w:p w14:paraId="2219E5A3" w14:textId="77777777" w:rsidR="00E45321" w:rsidRDefault="00E45321"/>
    <w:p w14:paraId="568B5D61" w14:textId="77777777" w:rsidR="00E45321" w:rsidRPr="00591DFB" w:rsidRDefault="00B76D37" w:rsidP="00591DFB">
      <w:pPr>
        <w:spacing w:before="960" w:after="960"/>
        <w:jc w:val="center"/>
        <w:rPr>
          <w:rFonts w:ascii="Arial" w:eastAsiaTheme="minorHAnsi" w:hAnsi="Arial" w:cs="Arial"/>
          <w:b/>
          <w:color w:val="548DD4" w:themeColor="text2" w:themeTint="99"/>
          <w:sz w:val="52"/>
          <w:szCs w:val="52"/>
          <w:lang w:eastAsia="en-US"/>
        </w:rPr>
      </w:pPr>
      <w:bookmarkStart w:id="1" w:name="_Hlk90047712"/>
      <w:r w:rsidRPr="00591DFB">
        <w:rPr>
          <w:rFonts w:ascii="Arial" w:eastAsiaTheme="minorHAnsi" w:hAnsi="Arial" w:cs="Arial"/>
          <w:b/>
          <w:color w:val="548DD4" w:themeColor="text2" w:themeTint="99"/>
          <w:sz w:val="52"/>
          <w:szCs w:val="52"/>
          <w:lang w:eastAsia="en-US"/>
        </w:rPr>
        <w:t xml:space="preserve">Angiogenic and anti-angiogenic markers for identification and management of preeclampsia </w:t>
      </w:r>
    </w:p>
    <w:bookmarkEnd w:id="1"/>
    <w:p w14:paraId="021BFBB1" w14:textId="77777777" w:rsidR="00E45321" w:rsidRPr="00591DFB" w:rsidRDefault="00B76D37" w:rsidP="00591DFB">
      <w:pPr>
        <w:spacing w:before="120" w:after="120"/>
        <w:rPr>
          <w:rFonts w:asciiTheme="minorHAnsi" w:hAnsiTheme="minorHAnsi" w:cstheme="minorHAnsi"/>
          <w:sz w:val="20"/>
          <w:szCs w:val="20"/>
        </w:rPr>
      </w:pPr>
      <w:r w:rsidRPr="00591DFB">
        <w:rPr>
          <w:rFonts w:asciiTheme="minorHAnsi" w:hAnsiTheme="minorHAnsi" w:cstheme="minorHAnsi"/>
          <w:sz w:val="20"/>
          <w:szCs w:val="20"/>
        </w:rPr>
        <w:t>This application form is to be completed for new and amended requests for public funding (including but not limited to the Medicare Benefits Schedule (MBS)).  It describes the detailed information that the Australian Government Department of Health requires to determine whether a proposed medical service is suitable.</w:t>
      </w:r>
    </w:p>
    <w:p w14:paraId="069374C5" w14:textId="77777777" w:rsidR="00E45321" w:rsidRPr="00591DFB" w:rsidRDefault="00B76D37" w:rsidP="00591DFB">
      <w:pPr>
        <w:spacing w:before="120" w:after="120"/>
        <w:rPr>
          <w:rFonts w:asciiTheme="minorHAnsi" w:hAnsiTheme="minorHAnsi" w:cstheme="minorHAnsi"/>
          <w:sz w:val="20"/>
          <w:szCs w:val="20"/>
        </w:rPr>
      </w:pPr>
      <w:r w:rsidRPr="00591DFB">
        <w:rPr>
          <w:rFonts w:asciiTheme="minorHAnsi" w:hAnsiTheme="minorHAnsi" w:cstheme="minorHAnsi"/>
          <w:sz w:val="20"/>
          <w:szCs w:val="20"/>
        </w:rPr>
        <w:t>Please use this template, along with the associated Application Form Guidelines to prepare your application.  Please complete all questions that are applicable to the proposed service, providing relevant information only.  Applications not completed in full will not be accepted.</w:t>
      </w:r>
    </w:p>
    <w:p w14:paraId="4F68019E" w14:textId="5642A17D" w:rsidR="00E45321" w:rsidRPr="00591DFB" w:rsidRDefault="00B76D37" w:rsidP="00591DFB">
      <w:pPr>
        <w:spacing w:before="120" w:after="120"/>
        <w:rPr>
          <w:rFonts w:asciiTheme="minorHAnsi" w:hAnsiTheme="minorHAnsi" w:cstheme="minorHAnsi"/>
          <w:sz w:val="20"/>
          <w:szCs w:val="20"/>
        </w:rPr>
      </w:pPr>
      <w:r w:rsidRPr="00591DFB">
        <w:rPr>
          <w:rFonts w:asciiTheme="minorHAnsi" w:hAnsiTheme="minorHAnsi" w:cstheme="minorHAnsi"/>
          <w:sz w:val="20"/>
          <w:szCs w:val="20"/>
        </w:rPr>
        <w:t>Should you require any further assistance, departmental staff are available through the Health Technology Assessment Team (HTA Team) on the contact numbers and email below to discuss the application form, or any other component of the Medical Services Advisory Committee process.</w:t>
      </w:r>
    </w:p>
    <w:p w14:paraId="2A97D11E" w14:textId="77777777" w:rsidR="00591DFB" w:rsidRPr="00C01C59" w:rsidRDefault="00591DFB" w:rsidP="005E06D6">
      <w:pPr>
        <w:spacing w:before="120"/>
        <w:rPr>
          <w:rFonts w:asciiTheme="minorHAnsi" w:hAnsiTheme="minorHAnsi" w:cstheme="minorHAnsi"/>
          <w:sz w:val="20"/>
          <w:szCs w:val="20"/>
          <w:lang w:val="fr-FR"/>
        </w:rPr>
      </w:pPr>
      <w:bookmarkStart w:id="2" w:name="_heading=h.30j0zll" w:colFirst="0" w:colLast="0"/>
      <w:bookmarkEnd w:id="2"/>
      <w:proofErr w:type="gramStart"/>
      <w:r w:rsidRPr="00C01C59">
        <w:rPr>
          <w:rFonts w:asciiTheme="minorHAnsi" w:hAnsiTheme="minorHAnsi" w:cstheme="minorHAnsi"/>
          <w:sz w:val="20"/>
          <w:szCs w:val="20"/>
          <w:lang w:val="fr-FR"/>
        </w:rPr>
        <w:t>Email:</w:t>
      </w:r>
      <w:proofErr w:type="gramEnd"/>
      <w:r w:rsidRPr="00C01C59">
        <w:rPr>
          <w:rFonts w:asciiTheme="minorHAnsi" w:hAnsiTheme="minorHAnsi" w:cstheme="minorHAnsi"/>
          <w:sz w:val="20"/>
          <w:szCs w:val="20"/>
          <w:lang w:val="fr-FR"/>
        </w:rPr>
        <w:t xml:space="preserve">  </w:t>
      </w:r>
      <w:hyperlink r:id="rId9" w:tooltip="click here to email the Department of Health HTA Team" w:history="1">
        <w:r w:rsidRPr="00C01C59">
          <w:rPr>
            <w:rStyle w:val="Hyperlink"/>
            <w:rFonts w:asciiTheme="minorHAnsi" w:hAnsiTheme="minorHAnsi" w:cstheme="minorHAnsi"/>
            <w:sz w:val="20"/>
            <w:szCs w:val="20"/>
            <w:lang w:val="fr-FR"/>
          </w:rPr>
          <w:t>hta@health.gov.au</w:t>
        </w:r>
      </w:hyperlink>
    </w:p>
    <w:p w14:paraId="1D3E3901" w14:textId="77777777" w:rsidR="00591DFB" w:rsidRPr="00C01C59" w:rsidRDefault="00591DFB" w:rsidP="005E06D6">
      <w:pPr>
        <w:spacing w:before="120"/>
        <w:rPr>
          <w:rFonts w:asciiTheme="minorHAnsi" w:hAnsiTheme="minorHAnsi" w:cstheme="minorHAnsi"/>
          <w:sz w:val="20"/>
          <w:szCs w:val="20"/>
          <w:lang w:val="fr-FR"/>
        </w:rPr>
      </w:pPr>
      <w:proofErr w:type="spellStart"/>
      <w:proofErr w:type="gramStart"/>
      <w:r w:rsidRPr="00C01C59">
        <w:rPr>
          <w:rFonts w:asciiTheme="minorHAnsi" w:hAnsiTheme="minorHAnsi" w:cstheme="minorHAnsi"/>
          <w:sz w:val="20"/>
          <w:szCs w:val="20"/>
          <w:lang w:val="fr-FR"/>
        </w:rPr>
        <w:t>Website</w:t>
      </w:r>
      <w:proofErr w:type="spellEnd"/>
      <w:r w:rsidRPr="00C01C59">
        <w:rPr>
          <w:rFonts w:asciiTheme="minorHAnsi" w:hAnsiTheme="minorHAnsi" w:cstheme="minorHAnsi"/>
          <w:sz w:val="20"/>
          <w:szCs w:val="20"/>
          <w:lang w:val="fr-FR"/>
        </w:rPr>
        <w:t>:</w:t>
      </w:r>
      <w:proofErr w:type="gramEnd"/>
      <w:r w:rsidRPr="00C01C59">
        <w:rPr>
          <w:rFonts w:asciiTheme="minorHAnsi" w:hAnsiTheme="minorHAnsi" w:cstheme="minorHAnsi"/>
          <w:sz w:val="20"/>
          <w:szCs w:val="20"/>
          <w:lang w:val="fr-FR"/>
        </w:rPr>
        <w:t xml:space="preserve">  </w:t>
      </w:r>
      <w:hyperlink r:id="rId10" w:tooltip="click here to visit the Medical Services Advisory Committee website" w:history="1">
        <w:r w:rsidRPr="00C01C59">
          <w:rPr>
            <w:rStyle w:val="Hyperlink"/>
            <w:rFonts w:asciiTheme="minorHAnsi" w:hAnsiTheme="minorHAnsi" w:cstheme="minorHAnsi"/>
            <w:sz w:val="20"/>
            <w:szCs w:val="20"/>
            <w:lang w:val="fr-FR"/>
          </w:rPr>
          <w:t>www.msac.gov.au</w:t>
        </w:r>
      </w:hyperlink>
      <w:r w:rsidRPr="00C01C59">
        <w:rPr>
          <w:rFonts w:asciiTheme="minorHAnsi" w:hAnsiTheme="minorHAnsi" w:cstheme="minorHAnsi"/>
          <w:sz w:val="20"/>
          <w:szCs w:val="20"/>
          <w:lang w:val="fr-FR"/>
        </w:rPr>
        <w:t xml:space="preserve">  </w:t>
      </w:r>
    </w:p>
    <w:p w14:paraId="24EB2826" w14:textId="77777777" w:rsidR="00591DFB" w:rsidRPr="0046649B" w:rsidRDefault="00B76D37" w:rsidP="00B44DB3">
      <w:pPr>
        <w:pStyle w:val="Heading1"/>
      </w:pPr>
      <w:r w:rsidRPr="00591DFB">
        <w:rPr>
          <w:sz w:val="20"/>
          <w:szCs w:val="20"/>
        </w:rPr>
        <w:br w:type="page"/>
      </w:r>
      <w:r w:rsidR="00591DFB" w:rsidRPr="0046649B">
        <w:lastRenderedPageBreak/>
        <w:t>PART 1 – APPLICANT DETAILS</w:t>
      </w:r>
    </w:p>
    <w:p w14:paraId="6C6FF54C" w14:textId="77777777" w:rsidR="00591DFB" w:rsidRPr="00C01C59" w:rsidRDefault="00591DFB" w:rsidP="00591DFB">
      <w:pPr>
        <w:pStyle w:val="Heading2"/>
        <w:numPr>
          <w:ilvl w:val="0"/>
          <w:numId w:val="28"/>
        </w:numPr>
        <w:ind w:left="720"/>
        <w:rPr>
          <w:rFonts w:cstheme="minorHAnsi"/>
        </w:rPr>
      </w:pPr>
      <w:r w:rsidRPr="00C01C59">
        <w:rPr>
          <w:rFonts w:cstheme="minorHAnsi"/>
        </w:rPr>
        <w:t>Applicant details (primary and alternative contacts)</w:t>
      </w:r>
    </w:p>
    <w:p w14:paraId="1E2246FE" w14:textId="77777777" w:rsidR="00591DFB" w:rsidRPr="00C01C59" w:rsidRDefault="00591DFB" w:rsidP="00591DFB">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sz w:val="20"/>
          <w:szCs w:val="20"/>
        </w:rPr>
      </w:pPr>
      <w:r w:rsidRPr="00C01C59">
        <w:rPr>
          <w:rFonts w:asciiTheme="minorHAnsi" w:hAnsiTheme="minorHAnsi" w:cstheme="minorHAnsi"/>
          <w:sz w:val="20"/>
          <w:szCs w:val="20"/>
        </w:rPr>
        <w:t xml:space="preserve">Corporation / partnership details (where relevant): </w:t>
      </w:r>
    </w:p>
    <w:p w14:paraId="240A44C8" w14:textId="77777777" w:rsidR="00591DFB" w:rsidRPr="00C01C59" w:rsidRDefault="00591DFB" w:rsidP="00591DFB">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sz w:val="20"/>
          <w:szCs w:val="20"/>
        </w:rPr>
      </w:pPr>
      <w:r w:rsidRPr="00C01C59">
        <w:rPr>
          <w:rFonts w:asciiTheme="minorHAnsi" w:hAnsiTheme="minorHAnsi" w:cstheme="minorHAnsi"/>
          <w:sz w:val="20"/>
          <w:szCs w:val="20"/>
        </w:rPr>
        <w:t xml:space="preserve">Corporation name: </w:t>
      </w:r>
    </w:p>
    <w:p w14:paraId="38FD8393" w14:textId="77777777" w:rsidR="00591DFB" w:rsidRPr="00C01C59" w:rsidRDefault="00591DFB" w:rsidP="00591DFB">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sz w:val="20"/>
          <w:szCs w:val="20"/>
        </w:rPr>
      </w:pPr>
      <w:r w:rsidRPr="00C01C59">
        <w:rPr>
          <w:rFonts w:asciiTheme="minorHAnsi" w:hAnsiTheme="minorHAnsi" w:cstheme="minorHAnsi"/>
          <w:sz w:val="20"/>
          <w:szCs w:val="20"/>
        </w:rPr>
        <w:t xml:space="preserve">ABN: </w:t>
      </w:r>
    </w:p>
    <w:p w14:paraId="70AD6CDA" w14:textId="77777777" w:rsidR="00591DFB" w:rsidRPr="00C01C59" w:rsidRDefault="00591DFB" w:rsidP="00591DFB">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sz w:val="20"/>
          <w:szCs w:val="20"/>
        </w:rPr>
      </w:pPr>
      <w:r w:rsidRPr="00C01C59">
        <w:rPr>
          <w:rFonts w:asciiTheme="minorHAnsi" w:hAnsiTheme="minorHAnsi" w:cstheme="minorHAnsi"/>
          <w:sz w:val="20"/>
          <w:szCs w:val="20"/>
        </w:rPr>
        <w:t xml:space="preserve">Business trading name: </w:t>
      </w:r>
    </w:p>
    <w:p w14:paraId="4835C7DA" w14:textId="77777777" w:rsidR="00591DFB" w:rsidRPr="00C01C59" w:rsidRDefault="00591DFB" w:rsidP="00591DFB">
      <w:pPr>
        <w:spacing w:before="120" w:after="120"/>
        <w:rPr>
          <w:rFonts w:asciiTheme="minorHAnsi" w:hAnsiTheme="minorHAnsi" w:cstheme="minorHAnsi"/>
          <w:b/>
          <w:sz w:val="20"/>
          <w:szCs w:val="20"/>
        </w:rPr>
      </w:pPr>
      <w:r w:rsidRPr="00C01C59">
        <w:rPr>
          <w:rFonts w:asciiTheme="minorHAnsi" w:hAnsiTheme="minorHAnsi" w:cstheme="minorHAnsi"/>
          <w:b/>
          <w:sz w:val="20"/>
          <w:szCs w:val="20"/>
        </w:rPr>
        <w:t xml:space="preserve">Primary contact name: </w:t>
      </w:r>
      <w:bookmarkStart w:id="3" w:name="_Hlk90047731"/>
      <w:r w:rsidRPr="00C01C59">
        <w:rPr>
          <w:rFonts w:asciiTheme="minorHAnsi" w:hAnsiTheme="minorHAnsi" w:cstheme="minorHAnsi"/>
          <w:b/>
          <w:bCs/>
          <w:sz w:val="20"/>
          <w:szCs w:val="20"/>
          <w:highlight w:val="lightGray"/>
        </w:rPr>
        <w:t>REDACTED</w:t>
      </w:r>
      <w:bookmarkEnd w:id="3"/>
    </w:p>
    <w:p w14:paraId="5240DC52" w14:textId="77777777" w:rsidR="00591DFB" w:rsidRPr="00C01C59" w:rsidRDefault="00591DFB" w:rsidP="00591DFB">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sz w:val="20"/>
          <w:szCs w:val="20"/>
        </w:rPr>
      </w:pPr>
      <w:r w:rsidRPr="00C01C59">
        <w:rPr>
          <w:rFonts w:asciiTheme="minorHAnsi" w:hAnsiTheme="minorHAnsi" w:cstheme="minorHAnsi"/>
          <w:sz w:val="20"/>
          <w:szCs w:val="20"/>
        </w:rPr>
        <w:t>Primary contact numbers</w:t>
      </w:r>
    </w:p>
    <w:p w14:paraId="1D5125BC" w14:textId="77777777" w:rsidR="00591DFB" w:rsidRPr="00C01C59" w:rsidRDefault="00591DFB" w:rsidP="00591DFB">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sz w:val="20"/>
          <w:szCs w:val="20"/>
        </w:rPr>
      </w:pPr>
      <w:r w:rsidRPr="00C01C59">
        <w:rPr>
          <w:rFonts w:asciiTheme="minorHAnsi" w:hAnsiTheme="minorHAnsi" w:cstheme="minorHAnsi"/>
          <w:sz w:val="20"/>
          <w:szCs w:val="20"/>
        </w:rPr>
        <w:t xml:space="preserve">Business: </w:t>
      </w:r>
      <w:r w:rsidRPr="00C01C59">
        <w:rPr>
          <w:rFonts w:asciiTheme="minorHAnsi" w:hAnsiTheme="minorHAnsi" w:cstheme="minorHAnsi"/>
          <w:b/>
          <w:bCs/>
          <w:sz w:val="20"/>
          <w:szCs w:val="20"/>
          <w:highlight w:val="lightGray"/>
        </w:rPr>
        <w:t>REDACTED</w:t>
      </w:r>
    </w:p>
    <w:p w14:paraId="4D215F02" w14:textId="77777777" w:rsidR="00591DFB" w:rsidRPr="00C01C59" w:rsidRDefault="00591DFB" w:rsidP="00591DFB">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sz w:val="20"/>
          <w:szCs w:val="20"/>
        </w:rPr>
      </w:pPr>
      <w:r w:rsidRPr="00C01C59">
        <w:rPr>
          <w:rFonts w:asciiTheme="minorHAnsi" w:hAnsiTheme="minorHAnsi" w:cstheme="minorHAnsi"/>
          <w:sz w:val="20"/>
          <w:szCs w:val="20"/>
        </w:rPr>
        <w:t>Mobile:</w:t>
      </w:r>
      <w:r w:rsidRPr="00C01C59">
        <w:rPr>
          <w:rFonts w:asciiTheme="minorHAnsi" w:hAnsiTheme="minorHAnsi" w:cstheme="minorHAnsi"/>
          <w:sz w:val="20"/>
          <w:szCs w:val="20"/>
        </w:rPr>
        <w:tab/>
      </w:r>
      <w:r w:rsidRPr="00C01C59">
        <w:rPr>
          <w:rFonts w:asciiTheme="minorHAnsi" w:hAnsiTheme="minorHAnsi" w:cstheme="minorHAnsi"/>
          <w:b/>
          <w:bCs/>
          <w:sz w:val="20"/>
          <w:szCs w:val="20"/>
          <w:highlight w:val="lightGray"/>
        </w:rPr>
        <w:t>REDACTED</w:t>
      </w:r>
    </w:p>
    <w:p w14:paraId="1446B508" w14:textId="77777777" w:rsidR="00591DFB" w:rsidRPr="00C01C59" w:rsidRDefault="00591DFB" w:rsidP="00591DFB">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b/>
          <w:sz w:val="20"/>
          <w:szCs w:val="20"/>
        </w:rPr>
      </w:pPr>
      <w:r w:rsidRPr="00C01C59">
        <w:rPr>
          <w:rFonts w:asciiTheme="minorHAnsi" w:hAnsiTheme="minorHAnsi" w:cstheme="minorHAnsi"/>
          <w:sz w:val="20"/>
          <w:szCs w:val="20"/>
        </w:rPr>
        <w:t xml:space="preserve">Email: </w:t>
      </w:r>
      <w:r w:rsidRPr="00C01C59">
        <w:rPr>
          <w:rFonts w:asciiTheme="minorHAnsi" w:hAnsiTheme="minorHAnsi" w:cstheme="minorHAnsi"/>
          <w:sz w:val="20"/>
          <w:szCs w:val="20"/>
        </w:rPr>
        <w:tab/>
      </w:r>
      <w:r w:rsidRPr="00C01C59">
        <w:rPr>
          <w:rFonts w:asciiTheme="minorHAnsi" w:hAnsiTheme="minorHAnsi" w:cstheme="minorHAnsi"/>
          <w:b/>
          <w:bCs/>
          <w:sz w:val="20"/>
          <w:szCs w:val="20"/>
          <w:highlight w:val="lightGray"/>
        </w:rPr>
        <w:t>REDACTED</w:t>
      </w:r>
    </w:p>
    <w:p w14:paraId="779BBD8F" w14:textId="77777777" w:rsidR="00591DFB" w:rsidRPr="00C01C59" w:rsidRDefault="00591DFB" w:rsidP="00591DFB">
      <w:pPr>
        <w:spacing w:before="120" w:after="120"/>
        <w:rPr>
          <w:rFonts w:asciiTheme="minorHAnsi" w:hAnsiTheme="minorHAnsi" w:cstheme="minorHAnsi"/>
          <w:b/>
          <w:sz w:val="20"/>
          <w:szCs w:val="20"/>
        </w:rPr>
      </w:pPr>
      <w:r w:rsidRPr="00C01C59">
        <w:rPr>
          <w:rFonts w:asciiTheme="minorHAnsi" w:hAnsiTheme="minorHAnsi" w:cstheme="minorHAnsi"/>
          <w:b/>
          <w:sz w:val="20"/>
          <w:szCs w:val="20"/>
        </w:rPr>
        <w:t xml:space="preserve">Alternative contact name: </w:t>
      </w:r>
      <w:r w:rsidRPr="00C01C59">
        <w:rPr>
          <w:rFonts w:asciiTheme="minorHAnsi" w:hAnsiTheme="minorHAnsi" w:cstheme="minorHAnsi"/>
          <w:b/>
          <w:bCs/>
          <w:sz w:val="20"/>
          <w:szCs w:val="20"/>
          <w:highlight w:val="lightGray"/>
        </w:rPr>
        <w:t>REDACTED</w:t>
      </w:r>
    </w:p>
    <w:p w14:paraId="2CC405FF" w14:textId="77777777" w:rsidR="00591DFB" w:rsidRPr="00C01C59" w:rsidRDefault="00591DFB" w:rsidP="00591DFB">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sz w:val="20"/>
          <w:szCs w:val="20"/>
        </w:rPr>
      </w:pPr>
      <w:r w:rsidRPr="00C01C59">
        <w:rPr>
          <w:rFonts w:asciiTheme="minorHAnsi" w:hAnsiTheme="minorHAnsi" w:cstheme="minorHAnsi"/>
          <w:sz w:val="20"/>
          <w:szCs w:val="20"/>
        </w:rPr>
        <w:t>Alternative contact numbers</w:t>
      </w:r>
      <w:r w:rsidRPr="00C01C59">
        <w:rPr>
          <w:rFonts w:asciiTheme="minorHAnsi" w:hAnsiTheme="minorHAnsi" w:cstheme="minorHAnsi"/>
          <w:sz w:val="20"/>
          <w:szCs w:val="20"/>
        </w:rPr>
        <w:tab/>
      </w:r>
    </w:p>
    <w:p w14:paraId="7726C29A" w14:textId="77777777" w:rsidR="00591DFB" w:rsidRPr="00C01C59" w:rsidRDefault="00591DFB" w:rsidP="00591DFB">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sz w:val="20"/>
          <w:szCs w:val="20"/>
        </w:rPr>
      </w:pPr>
      <w:r w:rsidRPr="00C01C59">
        <w:rPr>
          <w:rFonts w:asciiTheme="minorHAnsi" w:hAnsiTheme="minorHAnsi" w:cstheme="minorHAnsi"/>
          <w:sz w:val="20"/>
          <w:szCs w:val="20"/>
        </w:rPr>
        <w:t xml:space="preserve">Business: </w:t>
      </w:r>
      <w:r w:rsidRPr="00C01C59">
        <w:rPr>
          <w:rFonts w:asciiTheme="minorHAnsi" w:hAnsiTheme="minorHAnsi" w:cstheme="minorHAnsi"/>
          <w:b/>
          <w:bCs/>
          <w:sz w:val="20"/>
          <w:szCs w:val="20"/>
          <w:highlight w:val="lightGray"/>
        </w:rPr>
        <w:t>REDACTED</w:t>
      </w:r>
    </w:p>
    <w:p w14:paraId="25048C47" w14:textId="77777777" w:rsidR="00591DFB" w:rsidRPr="00C01C59" w:rsidRDefault="00591DFB" w:rsidP="00591DFB">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sz w:val="20"/>
          <w:szCs w:val="20"/>
        </w:rPr>
      </w:pPr>
      <w:r w:rsidRPr="00C01C59">
        <w:rPr>
          <w:rFonts w:asciiTheme="minorHAnsi" w:hAnsiTheme="minorHAnsi" w:cstheme="minorHAnsi"/>
          <w:sz w:val="20"/>
          <w:szCs w:val="20"/>
        </w:rPr>
        <w:t xml:space="preserve">Mobile: </w:t>
      </w:r>
      <w:r w:rsidRPr="00C01C59">
        <w:rPr>
          <w:rFonts w:asciiTheme="minorHAnsi" w:hAnsiTheme="minorHAnsi" w:cstheme="minorHAnsi"/>
          <w:b/>
          <w:bCs/>
          <w:sz w:val="20"/>
          <w:szCs w:val="20"/>
          <w:highlight w:val="lightGray"/>
        </w:rPr>
        <w:t>REDACTED</w:t>
      </w:r>
    </w:p>
    <w:p w14:paraId="3A863CDC" w14:textId="77777777" w:rsidR="00591DFB" w:rsidRPr="00C01C59" w:rsidRDefault="00591DFB" w:rsidP="00591DFB">
      <w:pPr>
        <w:pBdr>
          <w:top w:val="single" w:sz="4" w:space="1" w:color="auto"/>
          <w:left w:val="single" w:sz="4" w:space="4" w:color="auto"/>
          <w:bottom w:val="single" w:sz="4" w:space="1" w:color="auto"/>
          <w:right w:val="single" w:sz="4" w:space="4" w:color="auto"/>
        </w:pBdr>
        <w:spacing w:before="120" w:after="120"/>
        <w:rPr>
          <w:rFonts w:asciiTheme="minorHAnsi" w:hAnsiTheme="minorHAnsi" w:cstheme="minorHAnsi"/>
          <w:sz w:val="20"/>
          <w:szCs w:val="20"/>
        </w:rPr>
      </w:pPr>
      <w:r w:rsidRPr="00C01C59">
        <w:rPr>
          <w:rFonts w:asciiTheme="minorHAnsi" w:hAnsiTheme="minorHAnsi" w:cstheme="minorHAnsi"/>
          <w:sz w:val="20"/>
          <w:szCs w:val="20"/>
        </w:rPr>
        <w:t xml:space="preserve">Email: </w:t>
      </w:r>
      <w:r w:rsidRPr="00C01C59">
        <w:rPr>
          <w:rFonts w:asciiTheme="minorHAnsi" w:hAnsiTheme="minorHAnsi" w:cstheme="minorHAnsi"/>
          <w:b/>
          <w:bCs/>
          <w:sz w:val="20"/>
          <w:szCs w:val="20"/>
          <w:highlight w:val="lightGray"/>
        </w:rPr>
        <w:t>REDACTED</w:t>
      </w:r>
    </w:p>
    <w:p w14:paraId="4AD99F2F" w14:textId="77777777" w:rsidR="00591DFB" w:rsidRPr="00C01C59" w:rsidRDefault="00591DFB" w:rsidP="00591DFB">
      <w:pPr>
        <w:rPr>
          <w:rFonts w:asciiTheme="minorHAnsi" w:hAnsiTheme="minorHAnsi" w:cstheme="minorHAnsi"/>
          <w:sz w:val="20"/>
          <w:szCs w:val="20"/>
        </w:rPr>
      </w:pPr>
    </w:p>
    <w:p w14:paraId="744D9711" w14:textId="7181B6C8" w:rsidR="00591DFB" w:rsidRPr="00B44DB3" w:rsidRDefault="00591DFB" w:rsidP="00B44DB3">
      <w:pPr>
        <w:pStyle w:val="Heading2"/>
        <w:numPr>
          <w:ilvl w:val="0"/>
          <w:numId w:val="28"/>
        </w:numPr>
        <w:ind w:left="284" w:hanging="284"/>
        <w:rPr>
          <w:rFonts w:cstheme="minorHAnsi"/>
        </w:rPr>
      </w:pPr>
      <w:r w:rsidRPr="00C01C59">
        <w:rPr>
          <w:rFonts w:cstheme="minorHAnsi"/>
        </w:rPr>
        <w:t>(a) Are you a lobbyist acting on behalf of an Applicant?</w:t>
      </w:r>
    </w:p>
    <w:p w14:paraId="5FA96FEB" w14:textId="0CC7E8FD" w:rsidR="00591DFB" w:rsidRPr="00C01C59" w:rsidRDefault="00D37001" w:rsidP="00591DFB">
      <w:pPr>
        <w:ind w:left="720"/>
        <w:rPr>
          <w:rFonts w:asciiTheme="minorHAnsi" w:hAnsiTheme="minorHAnsi" w:cstheme="minorHAnsi"/>
          <w:sz w:val="20"/>
          <w:szCs w:val="20"/>
        </w:rPr>
      </w:pPr>
      <w:r>
        <w:rPr>
          <w:rFonts w:asciiTheme="minorHAnsi" w:hAnsiTheme="minorHAnsi" w:cstheme="minorHAnsi"/>
          <w:sz w:val="20"/>
          <w:szCs w:val="20"/>
        </w:rPr>
        <w:fldChar w:fldCharType="begin">
          <w:ffData>
            <w:name w:val="Check1"/>
            <w:enabled/>
            <w:calcOnExit w:val="0"/>
            <w:checkBox>
              <w:sizeAuto/>
              <w:default w:val="0"/>
            </w:checkBox>
          </w:ffData>
        </w:fldChar>
      </w:r>
      <w:bookmarkStart w:id="4" w:name="Check1"/>
      <w:r>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4"/>
      <w:r w:rsidR="00591DFB" w:rsidRPr="00C01C59">
        <w:rPr>
          <w:rFonts w:asciiTheme="minorHAnsi" w:hAnsiTheme="minorHAnsi" w:cstheme="minorHAnsi"/>
          <w:sz w:val="20"/>
          <w:szCs w:val="20"/>
        </w:rPr>
        <w:t xml:space="preserve"> Yes</w:t>
      </w:r>
    </w:p>
    <w:p w14:paraId="0237773F" w14:textId="77777777" w:rsidR="00591DFB" w:rsidRPr="00C01C59" w:rsidRDefault="00591DFB" w:rsidP="00591DFB">
      <w:pPr>
        <w:ind w:left="720"/>
        <w:rPr>
          <w:rFonts w:asciiTheme="minorHAnsi" w:hAnsiTheme="minorHAnsi" w:cstheme="minorHAnsi"/>
          <w:sz w:val="20"/>
          <w:szCs w:val="20"/>
        </w:rPr>
      </w:pPr>
      <w:r w:rsidRPr="00C01C59">
        <w:rPr>
          <w:rFonts w:asciiTheme="minorHAnsi" w:hAnsiTheme="minorHAnsi" w:cstheme="minorHAnsi"/>
          <w:sz w:val="20"/>
          <w:szCs w:val="20"/>
        </w:rPr>
        <w:fldChar w:fldCharType="begin">
          <w:ffData>
            <w:name w:val=""/>
            <w:enabled/>
            <w:calcOnExit w:val="0"/>
            <w:checkBox>
              <w:sizeAuto/>
              <w:default w:val="1"/>
            </w:checkBox>
          </w:ffData>
        </w:fldChar>
      </w:r>
      <w:r w:rsidRPr="00C01C59">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C01C59">
        <w:rPr>
          <w:rFonts w:asciiTheme="minorHAnsi" w:hAnsiTheme="minorHAnsi" w:cstheme="minorHAnsi"/>
          <w:sz w:val="20"/>
          <w:szCs w:val="20"/>
        </w:rPr>
        <w:fldChar w:fldCharType="end"/>
      </w:r>
      <w:r w:rsidRPr="00C01C59">
        <w:rPr>
          <w:rFonts w:asciiTheme="minorHAnsi" w:hAnsiTheme="minorHAnsi" w:cstheme="minorHAnsi"/>
          <w:sz w:val="20"/>
          <w:szCs w:val="20"/>
        </w:rPr>
        <w:t xml:space="preserve"> No  </w:t>
      </w:r>
    </w:p>
    <w:p w14:paraId="24E65C71" w14:textId="77777777" w:rsidR="00591DFB" w:rsidRPr="00C01C59" w:rsidRDefault="00591DFB" w:rsidP="00591DFB">
      <w:pPr>
        <w:pStyle w:val="Heading2"/>
        <w:numPr>
          <w:ilvl w:val="0"/>
          <w:numId w:val="29"/>
        </w:numPr>
        <w:ind w:left="993" w:hanging="273"/>
        <w:rPr>
          <w:rFonts w:cstheme="minorHAnsi"/>
        </w:rPr>
      </w:pPr>
      <w:r w:rsidRPr="00C01C59">
        <w:rPr>
          <w:rFonts w:cstheme="minorHAnsi"/>
        </w:rPr>
        <w:t>If yes, are you listed on the Register of Lobbyists?</w:t>
      </w:r>
    </w:p>
    <w:p w14:paraId="7CAF21C5" w14:textId="76735E32" w:rsidR="00591DFB" w:rsidRDefault="00591DFB" w:rsidP="00B44DB3">
      <w:pPr>
        <w:ind w:left="720"/>
        <w:rPr>
          <w:rFonts w:asciiTheme="minorHAnsi" w:hAnsiTheme="minorHAnsi" w:cstheme="minorHAnsi"/>
          <w:sz w:val="20"/>
          <w:szCs w:val="20"/>
        </w:rPr>
      </w:pPr>
      <w:r>
        <w:rPr>
          <w:rFonts w:asciiTheme="minorHAnsi" w:hAnsiTheme="minorHAnsi" w:cstheme="minorHAnsi"/>
          <w:sz w:val="20"/>
          <w:szCs w:val="20"/>
        </w:rPr>
        <w:t>Not applicable</w:t>
      </w:r>
    </w:p>
    <w:p w14:paraId="500AC88A" w14:textId="77777777" w:rsidR="00B44DB3" w:rsidRDefault="00B44DB3">
      <w:pPr>
        <w:rPr>
          <w:rFonts w:asciiTheme="minorHAnsi" w:eastAsiaTheme="minorHAnsi" w:hAnsiTheme="minorHAnsi" w:cstheme="minorBidi"/>
          <w:bCs/>
          <w:color w:val="4F81BD" w:themeColor="accent1"/>
          <w:sz w:val="40"/>
          <w:szCs w:val="32"/>
          <w:lang w:eastAsia="en-US"/>
        </w:rPr>
      </w:pPr>
      <w:r>
        <w:rPr>
          <w:rFonts w:asciiTheme="minorHAnsi" w:eastAsiaTheme="minorHAnsi" w:hAnsiTheme="minorHAnsi" w:cstheme="minorBidi"/>
        </w:rPr>
        <w:br w:type="page"/>
      </w:r>
    </w:p>
    <w:p w14:paraId="42F18E1D" w14:textId="23676141" w:rsidR="00B44DB3" w:rsidRPr="00B44DB3" w:rsidRDefault="00B44DB3" w:rsidP="00B44DB3">
      <w:pPr>
        <w:pStyle w:val="Heading1"/>
        <w:rPr>
          <w:rFonts w:eastAsiaTheme="minorHAnsi"/>
        </w:rPr>
      </w:pPr>
      <w:r w:rsidRPr="00B44DB3">
        <w:rPr>
          <w:rFonts w:eastAsiaTheme="minorHAnsi"/>
        </w:rPr>
        <w:lastRenderedPageBreak/>
        <w:t>PART 2 – INFORMATION ABOUT THE PROPOSED MEDICAL SERVICE</w:t>
      </w:r>
    </w:p>
    <w:p w14:paraId="17371125" w14:textId="43E0523D" w:rsidR="00E45321" w:rsidRPr="00B44DB3" w:rsidRDefault="00B76D37" w:rsidP="00B44DB3">
      <w:pPr>
        <w:pStyle w:val="Heading2"/>
        <w:numPr>
          <w:ilvl w:val="0"/>
          <w:numId w:val="28"/>
        </w:numPr>
        <w:ind w:left="426" w:hanging="426"/>
        <w:rPr>
          <w:rFonts w:cstheme="minorHAnsi"/>
        </w:rPr>
      </w:pPr>
      <w:r w:rsidRPr="00B44DB3">
        <w:rPr>
          <w:rFonts w:cstheme="minorHAnsi"/>
        </w:rPr>
        <w:t xml:space="preserve">Application title </w:t>
      </w:r>
    </w:p>
    <w:p w14:paraId="49E74B00" w14:textId="6A717FCE" w:rsidR="00B44DB3" w:rsidRPr="00591DFB" w:rsidRDefault="00B76D37" w:rsidP="00B44DB3">
      <w:pPr>
        <w:pBdr>
          <w:top w:val="nil"/>
          <w:left w:val="nil"/>
          <w:bottom w:val="nil"/>
          <w:right w:val="nil"/>
          <w:between w:val="nil"/>
        </w:pBdr>
        <w:ind w:left="360"/>
        <w:jc w:val="both"/>
        <w:rPr>
          <w:rFonts w:asciiTheme="minorHAnsi" w:eastAsia="Calibri" w:hAnsiTheme="minorHAnsi" w:cstheme="minorHAnsi"/>
          <w:sz w:val="20"/>
          <w:szCs w:val="20"/>
        </w:rPr>
      </w:pPr>
      <w:bookmarkStart w:id="5" w:name="_Hlk90047816"/>
      <w:r w:rsidRPr="00591DFB">
        <w:rPr>
          <w:rFonts w:asciiTheme="minorHAnsi" w:eastAsia="Calibri" w:hAnsiTheme="minorHAnsi" w:cstheme="minorHAnsi"/>
          <w:sz w:val="20"/>
          <w:szCs w:val="20"/>
        </w:rPr>
        <w:t>Angiogenic and anti-angiogenic markers for identification and management of preeclampsia</w:t>
      </w:r>
      <w:r w:rsidR="009D742D" w:rsidRPr="00591DFB">
        <w:rPr>
          <w:rFonts w:asciiTheme="minorHAnsi" w:eastAsia="Calibri" w:hAnsiTheme="minorHAnsi" w:cstheme="minorHAnsi"/>
          <w:sz w:val="20"/>
          <w:szCs w:val="20"/>
        </w:rPr>
        <w:t>.</w:t>
      </w:r>
    </w:p>
    <w:bookmarkEnd w:id="5"/>
    <w:p w14:paraId="2975CE4E" w14:textId="77777777" w:rsidR="00E45321" w:rsidRPr="00591DFB" w:rsidRDefault="00B76D37" w:rsidP="00B44DB3">
      <w:pPr>
        <w:pStyle w:val="Heading2"/>
        <w:numPr>
          <w:ilvl w:val="0"/>
          <w:numId w:val="18"/>
        </w:numPr>
        <w:rPr>
          <w:rFonts w:cstheme="minorHAnsi"/>
        </w:rPr>
      </w:pPr>
      <w:r w:rsidRPr="00591DFB">
        <w:rPr>
          <w:rFonts w:cstheme="minorHAnsi"/>
        </w:rPr>
        <w:t>Provide a succinct description of the medical condition relevant to the proposed service (no more than 150 words – further information will be requested at Part F of the Application Form)</w:t>
      </w:r>
    </w:p>
    <w:p w14:paraId="4C00BEB5" w14:textId="27CE6DEE" w:rsidR="00E45321" w:rsidRPr="00591DFB" w:rsidRDefault="00B76D37" w:rsidP="00591DFB">
      <w:pPr>
        <w:spacing w:before="120" w:after="120"/>
        <w:ind w:left="357"/>
        <w:rPr>
          <w:rFonts w:asciiTheme="minorHAnsi" w:eastAsia="Calibri" w:hAnsiTheme="minorHAnsi" w:cstheme="minorHAnsi"/>
          <w:sz w:val="20"/>
          <w:szCs w:val="20"/>
        </w:rPr>
      </w:pPr>
      <w:bookmarkStart w:id="6" w:name="_Hlk90047823"/>
      <w:r w:rsidRPr="00591DFB">
        <w:rPr>
          <w:rFonts w:asciiTheme="minorHAnsi" w:eastAsia="Calibri" w:hAnsiTheme="minorHAnsi" w:cstheme="minorHAnsi"/>
          <w:sz w:val="20"/>
          <w:szCs w:val="20"/>
        </w:rPr>
        <w:t>Preeclampsia is a pregnancy specific condition resulting in maternal hypertension and multisystem dysfunction. Preeclampsia affects 4-5% of pregnancies and continues to be a l</w:t>
      </w:r>
      <w:r w:rsidR="00EF3BEF" w:rsidRPr="00591DFB">
        <w:rPr>
          <w:rFonts w:asciiTheme="minorHAnsi" w:eastAsia="Calibri" w:hAnsiTheme="minorHAnsi" w:cstheme="minorHAnsi"/>
          <w:sz w:val="20"/>
          <w:szCs w:val="20"/>
        </w:rPr>
        <w:t>eading cause of maternal and peri</w:t>
      </w:r>
      <w:r w:rsidRPr="00591DFB">
        <w:rPr>
          <w:rFonts w:asciiTheme="minorHAnsi" w:eastAsia="Calibri" w:hAnsiTheme="minorHAnsi" w:cstheme="minorHAnsi"/>
          <w:sz w:val="20"/>
          <w:szCs w:val="20"/>
        </w:rPr>
        <w:t xml:space="preserve">natal mortality and morbidity. </w:t>
      </w:r>
    </w:p>
    <w:p w14:paraId="61242B47" w14:textId="355BFD3B" w:rsidR="00E45321" w:rsidRPr="00591DFB" w:rsidRDefault="00B76D37" w:rsidP="00591DFB">
      <w:pPr>
        <w:spacing w:before="120" w:after="120"/>
        <w:ind w:left="357"/>
        <w:rPr>
          <w:rFonts w:asciiTheme="minorHAnsi" w:eastAsia="Calibri" w:hAnsiTheme="minorHAnsi" w:cstheme="minorHAnsi"/>
          <w:sz w:val="20"/>
          <w:szCs w:val="20"/>
        </w:rPr>
      </w:pPr>
      <w:r w:rsidRPr="00591DFB">
        <w:rPr>
          <w:rFonts w:asciiTheme="minorHAnsi" w:eastAsia="Calibri" w:hAnsiTheme="minorHAnsi" w:cstheme="minorHAnsi"/>
          <w:sz w:val="20"/>
          <w:szCs w:val="20"/>
        </w:rPr>
        <w:t xml:space="preserve">Preeclampsia is traditionally diagnosed as </w:t>
      </w:r>
      <w:r w:rsidR="00A055E0" w:rsidRPr="00591DFB">
        <w:rPr>
          <w:rFonts w:asciiTheme="minorHAnsi" w:eastAsia="Calibri" w:hAnsiTheme="minorHAnsi" w:cstheme="minorHAnsi"/>
          <w:sz w:val="20"/>
          <w:szCs w:val="20"/>
        </w:rPr>
        <w:t>pregnancy induced maternal</w:t>
      </w:r>
      <w:r w:rsidRPr="00591DFB">
        <w:rPr>
          <w:rFonts w:asciiTheme="minorHAnsi" w:eastAsia="Calibri" w:hAnsiTheme="minorHAnsi" w:cstheme="minorHAnsi"/>
          <w:sz w:val="20"/>
          <w:szCs w:val="20"/>
        </w:rPr>
        <w:t xml:space="preserve"> hypertension in conjunction with </w:t>
      </w:r>
      <w:r w:rsidR="00A055E0" w:rsidRPr="00591DFB">
        <w:rPr>
          <w:rFonts w:asciiTheme="minorHAnsi" w:eastAsia="Calibri" w:hAnsiTheme="minorHAnsi" w:cstheme="minorHAnsi"/>
          <w:sz w:val="20"/>
          <w:szCs w:val="20"/>
        </w:rPr>
        <w:t xml:space="preserve">pregnancy induced </w:t>
      </w:r>
      <w:r w:rsidRPr="00591DFB">
        <w:rPr>
          <w:rFonts w:asciiTheme="minorHAnsi" w:eastAsia="Calibri" w:hAnsiTheme="minorHAnsi" w:cstheme="minorHAnsi"/>
          <w:sz w:val="20"/>
          <w:szCs w:val="20"/>
        </w:rPr>
        <w:t>p</w:t>
      </w:r>
      <w:r w:rsidR="00A055E0" w:rsidRPr="00591DFB">
        <w:rPr>
          <w:rFonts w:asciiTheme="minorHAnsi" w:eastAsia="Calibri" w:hAnsiTheme="minorHAnsi" w:cstheme="minorHAnsi"/>
          <w:sz w:val="20"/>
          <w:szCs w:val="20"/>
        </w:rPr>
        <w:t>roteinuria</w:t>
      </w:r>
      <w:r w:rsidRPr="00591DFB">
        <w:rPr>
          <w:rFonts w:asciiTheme="minorHAnsi" w:eastAsia="Calibri" w:hAnsiTheme="minorHAnsi" w:cstheme="minorHAnsi"/>
          <w:sz w:val="20"/>
          <w:szCs w:val="20"/>
        </w:rPr>
        <w:t>.</w:t>
      </w:r>
      <w:r w:rsidR="004D5BC7" w:rsidRPr="00591DFB">
        <w:rPr>
          <w:rFonts w:asciiTheme="minorHAnsi" w:eastAsia="Calibri" w:hAnsiTheme="minorHAnsi" w:cstheme="minorHAnsi"/>
          <w:sz w:val="20"/>
          <w:szCs w:val="20"/>
        </w:rPr>
        <w:t xml:space="preserve"> However, it is now recognised as a multi-system disorder which can affect maternal hepatic, haematological, neurological, cardio-respiratory, and other systems, as well as the</w:t>
      </w:r>
      <w:r w:rsidR="008177E0" w:rsidRPr="00591DFB">
        <w:rPr>
          <w:rFonts w:asciiTheme="minorHAnsi" w:eastAsia="Calibri" w:hAnsiTheme="minorHAnsi" w:cstheme="minorHAnsi"/>
          <w:sz w:val="20"/>
          <w:szCs w:val="20"/>
        </w:rPr>
        <w:t xml:space="preserve"> </w:t>
      </w:r>
      <w:proofErr w:type="spellStart"/>
      <w:r w:rsidR="008177E0" w:rsidRPr="00591DFB">
        <w:rPr>
          <w:rFonts w:asciiTheme="minorHAnsi" w:eastAsia="Calibri" w:hAnsiTheme="minorHAnsi" w:cstheme="minorHAnsi"/>
          <w:sz w:val="20"/>
          <w:szCs w:val="20"/>
        </w:rPr>
        <w:t>feto</w:t>
      </w:r>
      <w:proofErr w:type="spellEnd"/>
      <w:r w:rsidR="008177E0" w:rsidRPr="00591DFB">
        <w:rPr>
          <w:rFonts w:asciiTheme="minorHAnsi" w:eastAsia="Calibri" w:hAnsiTheme="minorHAnsi" w:cstheme="minorHAnsi"/>
          <w:sz w:val="20"/>
          <w:szCs w:val="20"/>
        </w:rPr>
        <w:t>-placental unit leading to</w:t>
      </w:r>
      <w:r w:rsidR="004D5BC7" w:rsidRPr="00591DFB">
        <w:rPr>
          <w:rFonts w:asciiTheme="minorHAnsi" w:eastAsia="Calibri" w:hAnsiTheme="minorHAnsi" w:cstheme="minorHAnsi"/>
          <w:sz w:val="20"/>
          <w:szCs w:val="20"/>
        </w:rPr>
        <w:t xml:space="preserve"> </w:t>
      </w:r>
      <w:proofErr w:type="spellStart"/>
      <w:r w:rsidR="00C73C81" w:rsidRPr="00591DFB">
        <w:rPr>
          <w:rFonts w:asciiTheme="minorHAnsi" w:eastAsia="Calibri" w:hAnsiTheme="minorHAnsi" w:cstheme="minorHAnsi"/>
          <w:sz w:val="20"/>
          <w:szCs w:val="20"/>
        </w:rPr>
        <w:t>f</w:t>
      </w:r>
      <w:r w:rsidR="004D5BC7" w:rsidRPr="00591DFB">
        <w:rPr>
          <w:rFonts w:asciiTheme="minorHAnsi" w:eastAsia="Calibri" w:hAnsiTheme="minorHAnsi" w:cstheme="minorHAnsi"/>
          <w:sz w:val="20"/>
          <w:szCs w:val="20"/>
        </w:rPr>
        <w:t>etal</w:t>
      </w:r>
      <w:proofErr w:type="spellEnd"/>
      <w:r w:rsidR="004D5BC7" w:rsidRPr="00591DFB">
        <w:rPr>
          <w:rFonts w:asciiTheme="minorHAnsi" w:eastAsia="Calibri" w:hAnsiTheme="minorHAnsi" w:cstheme="minorHAnsi"/>
          <w:sz w:val="20"/>
          <w:szCs w:val="20"/>
        </w:rPr>
        <w:t xml:space="preserve"> growth restriction (FGR). </w:t>
      </w:r>
      <w:r w:rsidRPr="00591DFB">
        <w:rPr>
          <w:rFonts w:asciiTheme="minorHAnsi" w:eastAsia="Calibri" w:hAnsiTheme="minorHAnsi" w:cstheme="minorHAnsi"/>
          <w:sz w:val="20"/>
          <w:szCs w:val="20"/>
        </w:rPr>
        <w:t xml:space="preserve"> </w:t>
      </w:r>
      <w:r w:rsidR="004D5BC7" w:rsidRPr="00591DFB">
        <w:rPr>
          <w:rFonts w:asciiTheme="minorHAnsi" w:eastAsia="Calibri" w:hAnsiTheme="minorHAnsi" w:cstheme="minorHAnsi"/>
          <w:sz w:val="20"/>
          <w:szCs w:val="20"/>
        </w:rPr>
        <w:t>Preeclampsia involving particularly the hepatic and haematological systems is call</w:t>
      </w:r>
      <w:r w:rsidR="008177E0" w:rsidRPr="00591DFB">
        <w:rPr>
          <w:rFonts w:asciiTheme="minorHAnsi" w:eastAsia="Calibri" w:hAnsiTheme="minorHAnsi" w:cstheme="minorHAnsi"/>
          <w:sz w:val="20"/>
          <w:szCs w:val="20"/>
        </w:rPr>
        <w:t>ed</w:t>
      </w:r>
      <w:r w:rsidR="004D5BC7" w:rsidRPr="00591DFB">
        <w:rPr>
          <w:rFonts w:asciiTheme="minorHAnsi" w:eastAsia="Calibri" w:hAnsiTheme="minorHAnsi" w:cstheme="minorHAnsi"/>
          <w:sz w:val="20"/>
          <w:szCs w:val="20"/>
        </w:rPr>
        <w:t xml:space="preserve"> the HELLP (Haemolysis, Elevated Liver enzymes, Low Platelets) syndrome. The</w:t>
      </w:r>
      <w:r w:rsidR="00A055E0" w:rsidRPr="00591DFB">
        <w:rPr>
          <w:rFonts w:asciiTheme="minorHAnsi" w:eastAsia="Calibri" w:hAnsiTheme="minorHAnsi" w:cstheme="minorHAnsi"/>
          <w:sz w:val="20"/>
          <w:szCs w:val="20"/>
        </w:rPr>
        <w:t xml:space="preserve"> clinical features</w:t>
      </w:r>
      <w:r w:rsidRPr="00591DFB">
        <w:rPr>
          <w:rFonts w:asciiTheme="minorHAnsi" w:eastAsia="Calibri" w:hAnsiTheme="minorHAnsi" w:cstheme="minorHAnsi"/>
          <w:sz w:val="20"/>
          <w:szCs w:val="20"/>
        </w:rPr>
        <w:t xml:space="preserve"> </w:t>
      </w:r>
      <w:r w:rsidR="004D5BC7" w:rsidRPr="00591DFB">
        <w:rPr>
          <w:rFonts w:asciiTheme="minorHAnsi" w:eastAsia="Calibri" w:hAnsiTheme="minorHAnsi" w:cstheme="minorHAnsi"/>
          <w:sz w:val="20"/>
          <w:szCs w:val="20"/>
        </w:rPr>
        <w:t xml:space="preserve">of preeclampsia </w:t>
      </w:r>
      <w:r w:rsidRPr="00591DFB">
        <w:rPr>
          <w:rFonts w:asciiTheme="minorHAnsi" w:eastAsia="Calibri" w:hAnsiTheme="minorHAnsi" w:cstheme="minorHAnsi"/>
          <w:sz w:val="20"/>
          <w:szCs w:val="20"/>
        </w:rPr>
        <w:t xml:space="preserve">do not necessarily indicate disease severity or likely rate of disease progression but result in heightened levels of surveillance and investigation to avoid potential adverse pregnancy outcomes. These </w:t>
      </w:r>
      <w:r w:rsidR="00A055E0" w:rsidRPr="00591DFB">
        <w:rPr>
          <w:rFonts w:asciiTheme="minorHAnsi" w:eastAsia="Calibri" w:hAnsiTheme="minorHAnsi" w:cstheme="minorHAnsi"/>
          <w:sz w:val="20"/>
          <w:szCs w:val="20"/>
        </w:rPr>
        <w:t xml:space="preserve">clinical features </w:t>
      </w:r>
      <w:r w:rsidRPr="00591DFB">
        <w:rPr>
          <w:rFonts w:asciiTheme="minorHAnsi" w:eastAsia="Calibri" w:hAnsiTheme="minorHAnsi" w:cstheme="minorHAnsi"/>
          <w:sz w:val="20"/>
          <w:szCs w:val="20"/>
        </w:rPr>
        <w:t xml:space="preserve">are not specific to women </w:t>
      </w:r>
      <w:r w:rsidR="00A055E0" w:rsidRPr="00591DFB">
        <w:rPr>
          <w:rFonts w:asciiTheme="minorHAnsi" w:eastAsia="Calibri" w:hAnsiTheme="minorHAnsi" w:cstheme="minorHAnsi"/>
          <w:sz w:val="20"/>
          <w:szCs w:val="20"/>
        </w:rPr>
        <w:t>who</w:t>
      </w:r>
      <w:r w:rsidRPr="00591DFB">
        <w:rPr>
          <w:rFonts w:asciiTheme="minorHAnsi" w:eastAsia="Calibri" w:hAnsiTheme="minorHAnsi" w:cstheme="minorHAnsi"/>
          <w:sz w:val="20"/>
          <w:szCs w:val="20"/>
        </w:rPr>
        <w:t xml:space="preserve"> have preeclampsia, so levels of surveillance and intervention in pregnancy are increased for a </w:t>
      </w:r>
      <w:r w:rsidR="00EF3BEF" w:rsidRPr="00591DFB">
        <w:rPr>
          <w:rFonts w:asciiTheme="minorHAnsi" w:eastAsia="Calibri" w:hAnsiTheme="minorHAnsi" w:cstheme="minorHAnsi"/>
          <w:sz w:val="20"/>
          <w:szCs w:val="20"/>
        </w:rPr>
        <w:t>significant number of women who</w:t>
      </w:r>
      <w:r w:rsidRPr="00591DFB">
        <w:rPr>
          <w:rFonts w:asciiTheme="minorHAnsi" w:eastAsia="Calibri" w:hAnsiTheme="minorHAnsi" w:cstheme="minorHAnsi"/>
          <w:sz w:val="20"/>
          <w:szCs w:val="20"/>
        </w:rPr>
        <w:t xml:space="preserve"> do not have this disease.</w:t>
      </w:r>
    </w:p>
    <w:p w14:paraId="17D704E2" w14:textId="250E9BFF" w:rsidR="00E45321" w:rsidRPr="00591DFB" w:rsidRDefault="00B76D37" w:rsidP="00591DFB">
      <w:pPr>
        <w:spacing w:before="120" w:after="120"/>
        <w:ind w:left="357"/>
        <w:rPr>
          <w:rFonts w:asciiTheme="minorHAnsi" w:eastAsia="Calibri" w:hAnsiTheme="minorHAnsi" w:cstheme="minorHAnsi"/>
          <w:sz w:val="20"/>
          <w:szCs w:val="20"/>
        </w:rPr>
      </w:pPr>
      <w:r w:rsidRPr="00591DFB">
        <w:rPr>
          <w:rFonts w:asciiTheme="minorHAnsi" w:eastAsia="Calibri" w:hAnsiTheme="minorHAnsi" w:cstheme="minorHAnsi"/>
          <w:sz w:val="20"/>
          <w:szCs w:val="20"/>
        </w:rPr>
        <w:t xml:space="preserve">Women with preeclampsia have abnormal levels of angiogenic and anti-angiogenic factors with low levels of </w:t>
      </w:r>
      <w:r w:rsidR="00B15DC9" w:rsidRPr="00591DFB">
        <w:rPr>
          <w:rFonts w:asciiTheme="minorHAnsi" w:eastAsia="Calibri" w:hAnsiTheme="minorHAnsi" w:cstheme="minorHAnsi"/>
          <w:sz w:val="20"/>
          <w:szCs w:val="20"/>
        </w:rPr>
        <w:t>placental growth factor (</w:t>
      </w:r>
      <w:r w:rsidRPr="00591DFB">
        <w:rPr>
          <w:rFonts w:asciiTheme="minorHAnsi" w:eastAsia="Calibri" w:hAnsiTheme="minorHAnsi" w:cstheme="minorHAnsi"/>
          <w:sz w:val="20"/>
          <w:szCs w:val="20"/>
        </w:rPr>
        <w:t>PlGF</w:t>
      </w:r>
      <w:r w:rsidR="00B15DC9" w:rsidRPr="00591DFB">
        <w:rPr>
          <w:rFonts w:asciiTheme="minorHAnsi" w:eastAsia="Calibri" w:hAnsiTheme="minorHAnsi" w:cstheme="minorHAnsi"/>
          <w:sz w:val="20"/>
          <w:szCs w:val="20"/>
        </w:rPr>
        <w:t>)</w:t>
      </w:r>
      <w:r w:rsidRPr="00591DFB">
        <w:rPr>
          <w:rFonts w:asciiTheme="minorHAnsi" w:eastAsia="Calibri" w:hAnsiTheme="minorHAnsi" w:cstheme="minorHAnsi"/>
          <w:sz w:val="20"/>
          <w:szCs w:val="20"/>
        </w:rPr>
        <w:t xml:space="preserve"> and high levels of </w:t>
      </w:r>
      <w:r w:rsidR="00B15DC9" w:rsidRPr="00591DFB">
        <w:rPr>
          <w:rFonts w:asciiTheme="minorHAnsi" w:eastAsia="Calibri" w:hAnsiTheme="minorHAnsi" w:cstheme="minorHAnsi"/>
          <w:sz w:val="20"/>
          <w:szCs w:val="20"/>
        </w:rPr>
        <w:t xml:space="preserve">placental soluble </w:t>
      </w:r>
      <w:proofErr w:type="spellStart"/>
      <w:r w:rsidR="00B15DC9" w:rsidRPr="00591DFB">
        <w:rPr>
          <w:rFonts w:asciiTheme="minorHAnsi" w:eastAsia="Calibri" w:hAnsiTheme="minorHAnsi" w:cstheme="minorHAnsi"/>
          <w:sz w:val="20"/>
          <w:szCs w:val="20"/>
        </w:rPr>
        <w:t>fms</w:t>
      </w:r>
      <w:proofErr w:type="spellEnd"/>
      <w:r w:rsidR="00B15DC9" w:rsidRPr="00591DFB">
        <w:rPr>
          <w:rFonts w:asciiTheme="minorHAnsi" w:eastAsia="Calibri" w:hAnsiTheme="minorHAnsi" w:cstheme="minorHAnsi"/>
          <w:sz w:val="20"/>
          <w:szCs w:val="20"/>
        </w:rPr>
        <w:t>-like tyrosine kinase-1 (</w:t>
      </w:r>
      <w:r w:rsidRPr="00591DFB">
        <w:rPr>
          <w:rFonts w:asciiTheme="minorHAnsi" w:eastAsia="Calibri" w:hAnsiTheme="minorHAnsi" w:cstheme="minorHAnsi"/>
          <w:sz w:val="20"/>
          <w:szCs w:val="20"/>
        </w:rPr>
        <w:t>sFlt-1</w:t>
      </w:r>
      <w:r w:rsidR="00B15DC9" w:rsidRPr="00591DFB">
        <w:rPr>
          <w:rFonts w:asciiTheme="minorHAnsi" w:eastAsia="Calibri" w:hAnsiTheme="minorHAnsi" w:cstheme="minorHAnsi"/>
          <w:sz w:val="20"/>
          <w:szCs w:val="20"/>
        </w:rPr>
        <w:t>)</w:t>
      </w:r>
      <w:r w:rsidRPr="00591DFB">
        <w:rPr>
          <w:rFonts w:asciiTheme="minorHAnsi" w:eastAsia="Calibri" w:hAnsiTheme="minorHAnsi" w:cstheme="minorHAnsi"/>
          <w:sz w:val="20"/>
          <w:szCs w:val="20"/>
        </w:rPr>
        <w:t xml:space="preserve">. The sFlt-1 / PlGF ratio increases several weeks before the onset of clinical symptoms and signs of preeclampsia and is more marked in cases of early onset and severe disease and can be used to improve recognition and management of this disease and reduce costs of health care.  </w:t>
      </w:r>
    </w:p>
    <w:bookmarkEnd w:id="6"/>
    <w:p w14:paraId="2EE31ADC" w14:textId="77777777" w:rsidR="00E45321" w:rsidRPr="00591DFB" w:rsidRDefault="00B76D37">
      <w:pPr>
        <w:pStyle w:val="Heading2"/>
        <w:numPr>
          <w:ilvl w:val="0"/>
          <w:numId w:val="18"/>
        </w:numPr>
        <w:rPr>
          <w:rFonts w:cstheme="minorHAnsi"/>
        </w:rPr>
      </w:pPr>
      <w:r w:rsidRPr="00591DFB">
        <w:rPr>
          <w:rFonts w:cstheme="minorHAnsi"/>
        </w:rPr>
        <w:t>Provide a succinct description of the proposed medical service (no more than 150 words – further information will be requested at Part 6 of the Application Form)</w:t>
      </w:r>
    </w:p>
    <w:p w14:paraId="282E2353" w14:textId="02898084" w:rsidR="00E45321" w:rsidRPr="00591DFB" w:rsidRDefault="00B76D37" w:rsidP="00591DFB">
      <w:pPr>
        <w:spacing w:before="120" w:after="120"/>
        <w:ind w:left="357"/>
        <w:rPr>
          <w:rFonts w:asciiTheme="minorHAnsi" w:eastAsia="Calibri" w:hAnsiTheme="minorHAnsi" w:cstheme="minorHAnsi"/>
          <w:sz w:val="20"/>
          <w:szCs w:val="20"/>
        </w:rPr>
      </w:pPr>
      <w:bookmarkStart w:id="7" w:name="_Hlk90047832"/>
      <w:r w:rsidRPr="00591DFB">
        <w:rPr>
          <w:rFonts w:asciiTheme="minorHAnsi" w:eastAsia="Calibri" w:hAnsiTheme="minorHAnsi" w:cstheme="minorHAnsi"/>
          <w:sz w:val="20"/>
          <w:szCs w:val="20"/>
        </w:rPr>
        <w:t xml:space="preserve">Women identified as having clinical and/or biochemical symptoms and signs of preeclampsia will be offered an sFlt-1 / PlGF test as a means of confirming the likelihood of this diagnosis and the immediate severity of disease. </w:t>
      </w:r>
    </w:p>
    <w:p w14:paraId="0D0DED83" w14:textId="77777777" w:rsidR="00E45321" w:rsidRPr="00591DFB" w:rsidRDefault="00B76D37" w:rsidP="00591DFB">
      <w:pPr>
        <w:spacing w:before="120" w:after="120"/>
        <w:ind w:left="357"/>
        <w:rPr>
          <w:rFonts w:asciiTheme="minorHAnsi" w:eastAsia="Calibri" w:hAnsiTheme="minorHAnsi" w:cstheme="minorHAnsi"/>
          <w:sz w:val="20"/>
          <w:szCs w:val="20"/>
        </w:rPr>
      </w:pPr>
      <w:r w:rsidRPr="00591DFB">
        <w:rPr>
          <w:rFonts w:asciiTheme="minorHAnsi" w:eastAsia="Calibri" w:hAnsiTheme="minorHAnsi" w:cstheme="minorHAnsi"/>
          <w:sz w:val="20"/>
          <w:szCs w:val="20"/>
        </w:rPr>
        <w:t>The results of the sFlt-1 / PlGF test can be used to:</w:t>
      </w:r>
    </w:p>
    <w:p w14:paraId="6A5D8391" w14:textId="77777777" w:rsidR="00E45321" w:rsidRPr="00591DFB" w:rsidRDefault="00B76D37" w:rsidP="00591DFB">
      <w:pPr>
        <w:spacing w:before="120" w:after="120"/>
        <w:ind w:left="357"/>
        <w:rPr>
          <w:rFonts w:asciiTheme="minorHAnsi" w:eastAsia="Calibri" w:hAnsiTheme="minorHAnsi" w:cstheme="minorHAnsi"/>
          <w:sz w:val="20"/>
          <w:szCs w:val="20"/>
        </w:rPr>
      </w:pPr>
      <w:r w:rsidRPr="00591DFB">
        <w:rPr>
          <w:rFonts w:asciiTheme="minorHAnsi" w:eastAsia="Calibri" w:hAnsiTheme="minorHAnsi" w:cstheme="minorHAnsi"/>
          <w:sz w:val="20"/>
          <w:szCs w:val="20"/>
        </w:rPr>
        <w:t xml:space="preserve">Identify a cohort of women who do not, in fact, have preeclampsia and who can be managed along the normal antenatal pathway.  </w:t>
      </w:r>
    </w:p>
    <w:p w14:paraId="208D4EBC" w14:textId="77777777" w:rsidR="00E45321" w:rsidRPr="00591DFB" w:rsidRDefault="00B76D37" w:rsidP="00591DFB">
      <w:pPr>
        <w:spacing w:before="120" w:after="120"/>
        <w:ind w:left="357"/>
        <w:rPr>
          <w:rFonts w:asciiTheme="minorHAnsi" w:eastAsia="Calibri" w:hAnsiTheme="minorHAnsi" w:cstheme="minorHAnsi"/>
          <w:sz w:val="20"/>
          <w:szCs w:val="20"/>
        </w:rPr>
      </w:pPr>
      <w:r w:rsidRPr="00591DFB">
        <w:rPr>
          <w:rFonts w:asciiTheme="minorHAnsi" w:eastAsia="Calibri" w:hAnsiTheme="minorHAnsi" w:cstheme="minorHAnsi"/>
          <w:sz w:val="20"/>
          <w:szCs w:val="20"/>
        </w:rPr>
        <w:t>Identify a cohort of women at intermediate risk of preeclampsia who would benefit from an increased level of outpatient assessment. This may include repeat sFlt-1 / PlGF testing later in the pregnancy.</w:t>
      </w:r>
    </w:p>
    <w:p w14:paraId="5ED5747A" w14:textId="019ED92D" w:rsidR="00E45321" w:rsidRPr="00591DFB" w:rsidRDefault="00B76D37" w:rsidP="00591DFB">
      <w:pPr>
        <w:spacing w:before="120" w:after="120"/>
        <w:ind w:left="357"/>
        <w:rPr>
          <w:rFonts w:asciiTheme="minorHAnsi" w:eastAsia="Calibri" w:hAnsiTheme="minorHAnsi" w:cstheme="minorHAnsi"/>
          <w:sz w:val="20"/>
          <w:szCs w:val="20"/>
        </w:rPr>
      </w:pPr>
      <w:r w:rsidRPr="00591DFB">
        <w:rPr>
          <w:rFonts w:asciiTheme="minorHAnsi" w:eastAsia="Calibri" w:hAnsiTheme="minorHAnsi" w:cstheme="minorHAnsi"/>
          <w:sz w:val="20"/>
          <w:szCs w:val="20"/>
        </w:rPr>
        <w:t xml:space="preserve">Identify a cohort of women at high risk of imminent adverse outcome who can be managed through </w:t>
      </w:r>
      <w:r w:rsidR="00C73C81" w:rsidRPr="00591DFB">
        <w:rPr>
          <w:rFonts w:asciiTheme="minorHAnsi" w:eastAsia="Calibri" w:hAnsiTheme="minorHAnsi" w:cstheme="minorHAnsi"/>
          <w:sz w:val="20"/>
          <w:szCs w:val="20"/>
        </w:rPr>
        <w:t xml:space="preserve">timely </w:t>
      </w:r>
      <w:r w:rsidRPr="00591DFB">
        <w:rPr>
          <w:rFonts w:asciiTheme="minorHAnsi" w:eastAsia="Calibri" w:hAnsiTheme="minorHAnsi" w:cstheme="minorHAnsi"/>
          <w:sz w:val="20"/>
          <w:szCs w:val="20"/>
        </w:rPr>
        <w:t xml:space="preserve">admission and preparation for delivery to mitigate these risks to maternal and </w:t>
      </w:r>
      <w:proofErr w:type="spellStart"/>
      <w:r w:rsidRPr="00591DFB">
        <w:rPr>
          <w:rFonts w:asciiTheme="minorHAnsi" w:eastAsia="Calibri" w:hAnsiTheme="minorHAnsi" w:cstheme="minorHAnsi"/>
          <w:sz w:val="20"/>
          <w:szCs w:val="20"/>
        </w:rPr>
        <w:t>fetal</w:t>
      </w:r>
      <w:proofErr w:type="spellEnd"/>
      <w:r w:rsidRPr="00591DFB">
        <w:rPr>
          <w:rFonts w:asciiTheme="minorHAnsi" w:eastAsia="Calibri" w:hAnsiTheme="minorHAnsi" w:cstheme="minorHAnsi"/>
          <w:sz w:val="20"/>
          <w:szCs w:val="20"/>
        </w:rPr>
        <w:t xml:space="preserve"> outcome.</w:t>
      </w:r>
    </w:p>
    <w:bookmarkEnd w:id="7"/>
    <w:p w14:paraId="3DE258E4" w14:textId="77777777" w:rsidR="00E45321" w:rsidRPr="00591DFB" w:rsidRDefault="00B76D37">
      <w:pPr>
        <w:pStyle w:val="Heading2"/>
        <w:numPr>
          <w:ilvl w:val="0"/>
          <w:numId w:val="18"/>
        </w:numPr>
        <w:rPr>
          <w:rFonts w:eastAsia="Calibri" w:cstheme="minorHAnsi"/>
        </w:rPr>
      </w:pPr>
      <w:r w:rsidRPr="00591DFB">
        <w:rPr>
          <w:rFonts w:eastAsia="Calibri" w:cstheme="minorHAnsi"/>
        </w:rPr>
        <w:t>(a) Is this a request for MBS funding?</w:t>
      </w:r>
    </w:p>
    <w:bookmarkStart w:id="8" w:name="bookmark=id.1fob9te" w:colFirst="0" w:colLast="0"/>
    <w:bookmarkEnd w:id="8"/>
    <w:p w14:paraId="5047D587" w14:textId="587AD0A8" w:rsidR="00591DFB" w:rsidRPr="00591DFB" w:rsidRDefault="00591DFB" w:rsidP="00591DFB">
      <w:pPr>
        <w:ind w:firstLine="284"/>
        <w:rPr>
          <w:rFonts w:asciiTheme="minorHAnsi" w:hAnsiTheme="minorHAnsi" w:cstheme="minorHAnsi"/>
          <w:sz w:val="20"/>
          <w:szCs w:val="20"/>
        </w:rPr>
      </w:pPr>
      <w:r w:rsidRPr="00591DFB">
        <w:rPr>
          <w:rFonts w:asciiTheme="minorHAnsi" w:hAnsiTheme="minorHAnsi" w:cstheme="minorHAnsi"/>
          <w:sz w:val="20"/>
          <w:szCs w:val="20"/>
        </w:rPr>
        <w:fldChar w:fldCharType="begin">
          <w:ffData>
            <w:name w:val=""/>
            <w:enabled/>
            <w:calcOnExit w:val="0"/>
            <w:checkBox>
              <w:sizeAuto/>
              <w:default w:val="1"/>
            </w:checkBox>
          </w:ffData>
        </w:fldChar>
      </w:r>
      <w:r w:rsidRPr="00591DFB">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591DFB">
        <w:rPr>
          <w:rFonts w:asciiTheme="minorHAnsi" w:hAnsiTheme="minorHAnsi" w:cstheme="minorHAnsi"/>
          <w:sz w:val="20"/>
          <w:szCs w:val="20"/>
        </w:rPr>
        <w:fldChar w:fldCharType="end"/>
      </w:r>
      <w:r w:rsidRPr="00591DFB">
        <w:rPr>
          <w:rFonts w:asciiTheme="minorHAnsi" w:hAnsiTheme="minorHAnsi" w:cstheme="minorHAnsi"/>
          <w:sz w:val="20"/>
          <w:szCs w:val="20"/>
        </w:rPr>
        <w:t xml:space="preserve"> Yes</w:t>
      </w:r>
    </w:p>
    <w:p w14:paraId="50A450BB" w14:textId="6AD4473F" w:rsidR="00E45321" w:rsidRPr="00591DFB" w:rsidRDefault="00591DFB" w:rsidP="00591DFB">
      <w:pPr>
        <w:ind w:firstLine="284"/>
        <w:rPr>
          <w:rFonts w:asciiTheme="minorHAnsi" w:hAnsiTheme="minorHAnsi" w:cstheme="minorHAnsi"/>
          <w:sz w:val="20"/>
          <w:szCs w:val="20"/>
        </w:rPr>
      </w:pPr>
      <w:r w:rsidRPr="00591DFB">
        <w:rPr>
          <w:rFonts w:asciiTheme="minorHAnsi" w:hAnsiTheme="minorHAnsi" w:cstheme="minorHAnsi"/>
          <w:sz w:val="20"/>
          <w:szCs w:val="20"/>
        </w:rPr>
        <w:fldChar w:fldCharType="begin">
          <w:ffData>
            <w:name w:val="Check1"/>
            <w:enabled/>
            <w:calcOnExit w:val="0"/>
            <w:checkBox>
              <w:sizeAuto/>
              <w:default w:val="0"/>
            </w:checkBox>
          </w:ffData>
        </w:fldChar>
      </w:r>
      <w:r w:rsidRPr="00591DFB">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591DFB">
        <w:rPr>
          <w:rFonts w:asciiTheme="minorHAnsi" w:hAnsiTheme="minorHAnsi" w:cstheme="minorHAnsi"/>
          <w:sz w:val="20"/>
          <w:szCs w:val="20"/>
        </w:rPr>
        <w:fldChar w:fldCharType="end"/>
      </w:r>
      <w:r w:rsidRPr="00591DFB">
        <w:rPr>
          <w:rFonts w:asciiTheme="minorHAnsi" w:hAnsiTheme="minorHAnsi" w:cstheme="minorHAnsi"/>
          <w:sz w:val="20"/>
          <w:szCs w:val="20"/>
        </w:rPr>
        <w:t xml:space="preserve"> No</w:t>
      </w:r>
      <w:r w:rsidR="00B76D37" w:rsidRPr="00591DFB">
        <w:rPr>
          <w:rFonts w:asciiTheme="minorHAnsi" w:hAnsiTheme="minorHAnsi" w:cstheme="minorHAnsi"/>
          <w:sz w:val="20"/>
          <w:szCs w:val="20"/>
        </w:rPr>
        <w:t xml:space="preserve"> </w:t>
      </w:r>
    </w:p>
    <w:p w14:paraId="4AB9F518" w14:textId="77777777" w:rsidR="00E45321" w:rsidRPr="00591DFB" w:rsidRDefault="00B76D37">
      <w:pPr>
        <w:pStyle w:val="Heading2"/>
        <w:numPr>
          <w:ilvl w:val="0"/>
          <w:numId w:val="10"/>
        </w:numPr>
        <w:rPr>
          <w:rFonts w:eastAsia="Calibri" w:cstheme="minorHAnsi"/>
        </w:rPr>
      </w:pPr>
      <w:r w:rsidRPr="00591DFB">
        <w:rPr>
          <w:rFonts w:eastAsia="Calibri" w:cstheme="minorHAnsi"/>
        </w:rPr>
        <w:t>If yes, is the medical service(s) proposed to be covered under an existing MBS item number(s) or is a new MBS item(s) being sought altogether?</w:t>
      </w:r>
    </w:p>
    <w:p w14:paraId="5AFC676B" w14:textId="7557C010" w:rsidR="00E45321" w:rsidRPr="00591DFB" w:rsidRDefault="00591DFB" w:rsidP="00591DFB">
      <w:pPr>
        <w:ind w:firstLine="284"/>
        <w:rPr>
          <w:rFonts w:asciiTheme="minorHAnsi" w:hAnsiTheme="minorHAnsi" w:cstheme="minorHAnsi"/>
          <w:sz w:val="20"/>
          <w:szCs w:val="20"/>
        </w:rPr>
      </w:pPr>
      <w:r w:rsidRPr="00591DFB">
        <w:rPr>
          <w:rFonts w:asciiTheme="minorHAnsi" w:hAnsiTheme="minorHAnsi" w:cstheme="minorHAnsi"/>
          <w:sz w:val="20"/>
          <w:szCs w:val="20"/>
        </w:rPr>
        <w:fldChar w:fldCharType="begin">
          <w:ffData>
            <w:name w:val="Check1"/>
            <w:enabled/>
            <w:calcOnExit w:val="0"/>
            <w:checkBox>
              <w:sizeAuto/>
              <w:default w:val="0"/>
            </w:checkBox>
          </w:ffData>
        </w:fldChar>
      </w:r>
      <w:r w:rsidRPr="00591DFB">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591DFB">
        <w:rPr>
          <w:rFonts w:asciiTheme="minorHAnsi" w:hAnsiTheme="minorHAnsi" w:cstheme="minorHAnsi"/>
          <w:sz w:val="20"/>
          <w:szCs w:val="20"/>
        </w:rPr>
        <w:fldChar w:fldCharType="end"/>
      </w:r>
      <w:r w:rsidRPr="00591DFB">
        <w:rPr>
          <w:rFonts w:asciiTheme="minorHAnsi" w:hAnsiTheme="minorHAnsi" w:cstheme="minorHAnsi"/>
          <w:sz w:val="20"/>
          <w:szCs w:val="20"/>
        </w:rPr>
        <w:t xml:space="preserve"> </w:t>
      </w:r>
      <w:r w:rsidR="00B76D37" w:rsidRPr="00591DFB">
        <w:rPr>
          <w:rFonts w:asciiTheme="minorHAnsi" w:hAnsiTheme="minorHAnsi" w:cstheme="minorHAnsi"/>
          <w:sz w:val="20"/>
          <w:szCs w:val="20"/>
        </w:rPr>
        <w:t>Amendment to existing MBS item(s)</w:t>
      </w:r>
    </w:p>
    <w:p w14:paraId="20185B93" w14:textId="5E31F182" w:rsidR="00E45321" w:rsidRPr="00591DFB" w:rsidRDefault="00591DFB" w:rsidP="00591DFB">
      <w:pPr>
        <w:ind w:firstLine="284"/>
        <w:rPr>
          <w:rFonts w:asciiTheme="minorHAnsi" w:hAnsiTheme="minorHAnsi" w:cstheme="minorHAnsi"/>
          <w:sz w:val="20"/>
          <w:szCs w:val="20"/>
        </w:rPr>
      </w:pPr>
      <w:r w:rsidRPr="00591DFB">
        <w:rPr>
          <w:rFonts w:asciiTheme="minorHAnsi" w:hAnsiTheme="minorHAnsi" w:cstheme="minorHAnsi"/>
          <w:sz w:val="20"/>
          <w:szCs w:val="20"/>
        </w:rPr>
        <w:fldChar w:fldCharType="begin">
          <w:ffData>
            <w:name w:val=""/>
            <w:enabled/>
            <w:calcOnExit w:val="0"/>
            <w:checkBox>
              <w:sizeAuto/>
              <w:default w:val="1"/>
            </w:checkBox>
          </w:ffData>
        </w:fldChar>
      </w:r>
      <w:r w:rsidRPr="00591DFB">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591DFB">
        <w:rPr>
          <w:rFonts w:asciiTheme="minorHAnsi" w:hAnsiTheme="minorHAnsi" w:cstheme="minorHAnsi"/>
          <w:sz w:val="20"/>
          <w:szCs w:val="20"/>
        </w:rPr>
        <w:fldChar w:fldCharType="end"/>
      </w:r>
      <w:r w:rsidR="00B76D37" w:rsidRPr="00591DFB">
        <w:rPr>
          <w:rFonts w:asciiTheme="minorHAnsi" w:hAnsiTheme="minorHAnsi" w:cstheme="minorHAnsi"/>
          <w:sz w:val="20"/>
          <w:szCs w:val="20"/>
        </w:rPr>
        <w:t xml:space="preserve"> New MBS item(s)</w:t>
      </w:r>
    </w:p>
    <w:p w14:paraId="2A61FB03" w14:textId="77777777" w:rsidR="00B44DB3" w:rsidRDefault="00B44DB3">
      <w:pPr>
        <w:rPr>
          <w:rFonts w:asciiTheme="minorHAnsi" w:eastAsia="Calibri" w:hAnsiTheme="minorHAnsi" w:cstheme="minorHAnsi"/>
          <w:b/>
          <w:sz w:val="20"/>
          <w:szCs w:val="20"/>
          <w:lang w:eastAsia="en-US"/>
        </w:rPr>
      </w:pPr>
      <w:r>
        <w:rPr>
          <w:rFonts w:eastAsia="Calibri" w:cstheme="minorHAnsi"/>
        </w:rPr>
        <w:br w:type="page"/>
      </w:r>
    </w:p>
    <w:p w14:paraId="617DD8DD" w14:textId="31CD41CC" w:rsidR="00E45321" w:rsidRPr="00591DFB" w:rsidRDefault="00B76D37">
      <w:pPr>
        <w:pStyle w:val="Heading2"/>
        <w:numPr>
          <w:ilvl w:val="0"/>
          <w:numId w:val="10"/>
        </w:numPr>
        <w:rPr>
          <w:rFonts w:eastAsia="Calibri" w:cstheme="minorHAnsi"/>
        </w:rPr>
      </w:pPr>
      <w:r w:rsidRPr="00591DFB">
        <w:rPr>
          <w:rFonts w:eastAsia="Calibri" w:cstheme="minorHAnsi"/>
        </w:rPr>
        <w:lastRenderedPageBreak/>
        <w:t xml:space="preserve">If an amendment to an existing item(s) is being sought, please list the relevant MBS item number(s) that are to be amended to include the proposed medical service: </w:t>
      </w:r>
    </w:p>
    <w:p w14:paraId="33F5748C" w14:textId="7A5DBFED" w:rsidR="00E45321" w:rsidRPr="00591DFB" w:rsidRDefault="00591DFB" w:rsidP="00591DFB">
      <w:pPr>
        <w:spacing w:before="120" w:after="120"/>
        <w:ind w:left="284" w:firstLine="437"/>
        <w:rPr>
          <w:rFonts w:asciiTheme="minorHAnsi" w:eastAsia="Calibri" w:hAnsiTheme="minorHAnsi" w:cstheme="minorHAnsi"/>
          <w:bCs/>
          <w:color w:val="000000"/>
          <w:sz w:val="20"/>
          <w:szCs w:val="20"/>
        </w:rPr>
      </w:pPr>
      <w:r w:rsidRPr="00591DFB">
        <w:rPr>
          <w:rFonts w:asciiTheme="minorHAnsi" w:eastAsia="Calibri" w:hAnsiTheme="minorHAnsi" w:cstheme="minorHAnsi"/>
          <w:bCs/>
          <w:color w:val="000000"/>
          <w:sz w:val="20"/>
          <w:szCs w:val="20"/>
        </w:rPr>
        <w:t>Not applicable</w:t>
      </w:r>
    </w:p>
    <w:p w14:paraId="6A84E5AA" w14:textId="77777777" w:rsidR="00E45321" w:rsidRPr="00591DFB" w:rsidRDefault="00B76D37">
      <w:pPr>
        <w:pStyle w:val="Heading2"/>
        <w:numPr>
          <w:ilvl w:val="0"/>
          <w:numId w:val="10"/>
        </w:numPr>
        <w:rPr>
          <w:rFonts w:eastAsia="Calibri" w:cstheme="minorHAnsi"/>
        </w:rPr>
      </w:pPr>
      <w:r w:rsidRPr="00591DFB">
        <w:rPr>
          <w:rFonts w:eastAsia="Calibri" w:cstheme="minorHAnsi"/>
        </w:rPr>
        <w:t>If an amendment to an existing item(s) is being sought, what is the nature of the amendment(s)?</w:t>
      </w:r>
    </w:p>
    <w:p w14:paraId="7F94E5B1" w14:textId="56CE7DD8" w:rsidR="00E45321" w:rsidRPr="00591DFB" w:rsidRDefault="00591DFB" w:rsidP="00591DFB">
      <w:pPr>
        <w:spacing w:before="120" w:after="120"/>
        <w:ind w:firstLine="360"/>
        <w:rPr>
          <w:rFonts w:asciiTheme="minorHAnsi" w:hAnsiTheme="minorHAnsi" w:cstheme="minorHAnsi"/>
          <w:bCs/>
        </w:rPr>
      </w:pPr>
      <w:r w:rsidRPr="00591DFB">
        <w:rPr>
          <w:rFonts w:asciiTheme="minorHAnsi" w:eastAsia="Calibri" w:hAnsiTheme="minorHAnsi" w:cstheme="minorHAnsi"/>
          <w:bCs/>
          <w:color w:val="000000"/>
          <w:sz w:val="20"/>
          <w:szCs w:val="20"/>
        </w:rPr>
        <w:t>Not applicable</w:t>
      </w:r>
    </w:p>
    <w:p w14:paraId="0E3CAFA4" w14:textId="77777777" w:rsidR="00E45321" w:rsidRPr="00591DFB" w:rsidRDefault="00B76D37">
      <w:pPr>
        <w:pStyle w:val="Heading2"/>
        <w:numPr>
          <w:ilvl w:val="0"/>
          <w:numId w:val="10"/>
        </w:numPr>
        <w:rPr>
          <w:rFonts w:eastAsia="Calibri" w:cstheme="minorHAnsi"/>
        </w:rPr>
      </w:pPr>
      <w:r w:rsidRPr="00591DFB">
        <w:rPr>
          <w:rFonts w:eastAsia="Calibri" w:cstheme="minorHAnsi"/>
        </w:rPr>
        <w:t>If a new item(s) is being requested, what is the nature of the change to the MBS being sought?</w:t>
      </w:r>
    </w:p>
    <w:p w14:paraId="492ACF44" w14:textId="24D33BE8" w:rsidR="00E45321" w:rsidRPr="00591DFB" w:rsidRDefault="00591DFB">
      <w:pPr>
        <w:numPr>
          <w:ilvl w:val="0"/>
          <w:numId w:val="7"/>
        </w:numPr>
        <w:pBdr>
          <w:top w:val="nil"/>
          <w:left w:val="nil"/>
          <w:bottom w:val="nil"/>
          <w:right w:val="nil"/>
          <w:between w:val="nil"/>
        </w:pBdr>
        <w:ind w:left="851" w:hanging="425"/>
        <w:rPr>
          <w:rFonts w:asciiTheme="minorHAnsi" w:eastAsia="Calibri" w:hAnsiTheme="minorHAnsi" w:cstheme="minorHAnsi"/>
          <w:color w:val="000000"/>
          <w:sz w:val="20"/>
          <w:szCs w:val="20"/>
        </w:rPr>
      </w:pPr>
      <w:r w:rsidRPr="00591DFB">
        <w:rPr>
          <w:rFonts w:asciiTheme="minorHAnsi" w:hAnsiTheme="minorHAnsi" w:cstheme="minorHAnsi"/>
          <w:sz w:val="20"/>
          <w:szCs w:val="20"/>
        </w:rPr>
        <w:fldChar w:fldCharType="begin">
          <w:ffData>
            <w:name w:val="Check1"/>
            <w:enabled/>
            <w:calcOnExit w:val="0"/>
            <w:checkBox>
              <w:sizeAuto/>
              <w:default w:val="0"/>
            </w:checkBox>
          </w:ffData>
        </w:fldChar>
      </w:r>
      <w:r w:rsidRPr="00591DFB">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591DFB">
        <w:rPr>
          <w:rFonts w:asciiTheme="minorHAnsi" w:hAnsiTheme="minorHAnsi" w:cstheme="minorHAnsi"/>
          <w:sz w:val="20"/>
          <w:szCs w:val="20"/>
        </w:rPr>
        <w:fldChar w:fldCharType="end"/>
      </w:r>
      <w:r w:rsidR="00B76D37" w:rsidRPr="00591DFB">
        <w:rPr>
          <w:rFonts w:asciiTheme="minorHAnsi" w:eastAsia="Calibri" w:hAnsiTheme="minorHAnsi" w:cstheme="minorHAnsi"/>
          <w:b/>
          <w:color w:val="000000"/>
          <w:sz w:val="20"/>
          <w:szCs w:val="20"/>
        </w:rPr>
        <w:t xml:space="preserve"> </w:t>
      </w:r>
      <w:r w:rsidR="00B76D37" w:rsidRPr="00591DFB">
        <w:rPr>
          <w:rFonts w:asciiTheme="minorHAnsi" w:eastAsia="Calibri" w:hAnsiTheme="minorHAnsi" w:cstheme="minorHAnsi"/>
          <w:color w:val="000000"/>
          <w:sz w:val="20"/>
          <w:szCs w:val="20"/>
        </w:rPr>
        <w:t>A new item which also seeks to allow access to the MBS for a specific health practitioner group</w:t>
      </w:r>
    </w:p>
    <w:p w14:paraId="0A5E2F62" w14:textId="7845DFEB" w:rsidR="00E45321" w:rsidRPr="00591DFB" w:rsidRDefault="00591DFB">
      <w:pPr>
        <w:numPr>
          <w:ilvl w:val="0"/>
          <w:numId w:val="7"/>
        </w:numPr>
        <w:pBdr>
          <w:top w:val="nil"/>
          <w:left w:val="nil"/>
          <w:bottom w:val="nil"/>
          <w:right w:val="nil"/>
          <w:between w:val="nil"/>
        </w:pBdr>
        <w:ind w:left="851" w:hanging="425"/>
        <w:rPr>
          <w:rFonts w:asciiTheme="minorHAnsi" w:eastAsia="Calibri" w:hAnsiTheme="minorHAnsi" w:cstheme="minorHAnsi"/>
          <w:color w:val="000000"/>
          <w:sz w:val="20"/>
          <w:szCs w:val="20"/>
        </w:rPr>
      </w:pPr>
      <w:r w:rsidRPr="00591DFB">
        <w:rPr>
          <w:rFonts w:asciiTheme="minorHAnsi" w:hAnsiTheme="minorHAnsi" w:cstheme="minorHAnsi"/>
          <w:sz w:val="20"/>
          <w:szCs w:val="20"/>
        </w:rPr>
        <w:fldChar w:fldCharType="begin">
          <w:ffData>
            <w:name w:val=""/>
            <w:enabled/>
            <w:calcOnExit w:val="0"/>
            <w:checkBox>
              <w:sizeAuto/>
              <w:default w:val="1"/>
            </w:checkBox>
          </w:ffData>
        </w:fldChar>
      </w:r>
      <w:r w:rsidRPr="00591DFB">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591DFB">
        <w:rPr>
          <w:rFonts w:asciiTheme="minorHAnsi" w:hAnsiTheme="minorHAnsi" w:cstheme="minorHAnsi"/>
          <w:sz w:val="20"/>
          <w:szCs w:val="20"/>
        </w:rPr>
        <w:fldChar w:fldCharType="end"/>
      </w:r>
      <w:r w:rsidRPr="00591DFB">
        <w:rPr>
          <w:rFonts w:asciiTheme="minorHAnsi" w:hAnsiTheme="minorHAnsi" w:cstheme="minorHAnsi"/>
          <w:sz w:val="20"/>
          <w:szCs w:val="20"/>
        </w:rPr>
        <w:t xml:space="preserve"> </w:t>
      </w:r>
      <w:r w:rsidR="00B76D37" w:rsidRPr="00591DFB">
        <w:rPr>
          <w:rFonts w:asciiTheme="minorHAnsi" w:eastAsia="Calibri" w:hAnsiTheme="minorHAnsi" w:cstheme="minorHAnsi"/>
          <w:color w:val="000000"/>
          <w:sz w:val="20"/>
          <w:szCs w:val="20"/>
        </w:rPr>
        <w:t>A new item that is proposing a way of clinically delivering a service that is new to the MBS (in terms of new technology and / or population)</w:t>
      </w:r>
    </w:p>
    <w:p w14:paraId="5A4C879C" w14:textId="346BD95E" w:rsidR="00E45321" w:rsidRPr="00591DFB" w:rsidRDefault="00591DFB">
      <w:pPr>
        <w:numPr>
          <w:ilvl w:val="0"/>
          <w:numId w:val="7"/>
        </w:numPr>
        <w:pBdr>
          <w:top w:val="nil"/>
          <w:left w:val="nil"/>
          <w:bottom w:val="nil"/>
          <w:right w:val="nil"/>
          <w:between w:val="nil"/>
        </w:pBdr>
        <w:ind w:left="851" w:hanging="425"/>
        <w:rPr>
          <w:rFonts w:asciiTheme="minorHAnsi" w:eastAsia="Calibri" w:hAnsiTheme="minorHAnsi" w:cstheme="minorHAnsi"/>
          <w:color w:val="000000"/>
          <w:sz w:val="20"/>
          <w:szCs w:val="20"/>
        </w:rPr>
      </w:pPr>
      <w:r w:rsidRPr="00591DFB">
        <w:rPr>
          <w:rFonts w:asciiTheme="minorHAnsi" w:hAnsiTheme="minorHAnsi" w:cstheme="minorHAnsi"/>
          <w:sz w:val="20"/>
          <w:szCs w:val="20"/>
        </w:rPr>
        <w:fldChar w:fldCharType="begin">
          <w:ffData>
            <w:name w:val="Check1"/>
            <w:enabled/>
            <w:calcOnExit w:val="0"/>
            <w:checkBox>
              <w:sizeAuto/>
              <w:default w:val="0"/>
            </w:checkBox>
          </w:ffData>
        </w:fldChar>
      </w:r>
      <w:r w:rsidRPr="00591DFB">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591DFB">
        <w:rPr>
          <w:rFonts w:asciiTheme="minorHAnsi" w:hAnsiTheme="minorHAnsi" w:cstheme="minorHAnsi"/>
          <w:sz w:val="20"/>
          <w:szCs w:val="20"/>
        </w:rPr>
        <w:fldChar w:fldCharType="end"/>
      </w:r>
      <w:r w:rsidR="00B76D37" w:rsidRPr="00591DFB">
        <w:rPr>
          <w:rFonts w:asciiTheme="minorHAnsi" w:eastAsia="Calibri" w:hAnsiTheme="minorHAnsi" w:cstheme="minorHAnsi"/>
          <w:b/>
          <w:color w:val="000000"/>
          <w:sz w:val="20"/>
          <w:szCs w:val="20"/>
        </w:rPr>
        <w:t xml:space="preserve"> </w:t>
      </w:r>
      <w:r w:rsidR="00B76D37" w:rsidRPr="00591DFB">
        <w:rPr>
          <w:rFonts w:asciiTheme="minorHAnsi" w:eastAsia="Calibri" w:hAnsiTheme="minorHAnsi" w:cstheme="minorHAnsi"/>
          <w:color w:val="000000"/>
          <w:sz w:val="20"/>
          <w:szCs w:val="20"/>
        </w:rPr>
        <w:t>A new item for a specific single consultation item</w:t>
      </w:r>
    </w:p>
    <w:p w14:paraId="44FB50AD" w14:textId="208EE426" w:rsidR="00E45321" w:rsidRPr="00591DFB" w:rsidRDefault="00591DFB">
      <w:pPr>
        <w:numPr>
          <w:ilvl w:val="0"/>
          <w:numId w:val="7"/>
        </w:numPr>
        <w:pBdr>
          <w:top w:val="nil"/>
          <w:left w:val="nil"/>
          <w:bottom w:val="nil"/>
          <w:right w:val="nil"/>
          <w:between w:val="nil"/>
        </w:pBdr>
        <w:ind w:left="851" w:hanging="425"/>
        <w:rPr>
          <w:rFonts w:asciiTheme="minorHAnsi" w:eastAsia="Calibri" w:hAnsiTheme="minorHAnsi" w:cstheme="minorHAnsi"/>
          <w:color w:val="000000"/>
          <w:sz w:val="20"/>
          <w:szCs w:val="20"/>
        </w:rPr>
      </w:pPr>
      <w:r w:rsidRPr="00591DFB">
        <w:rPr>
          <w:rFonts w:asciiTheme="minorHAnsi" w:hAnsiTheme="minorHAnsi" w:cstheme="minorHAnsi"/>
          <w:sz w:val="20"/>
          <w:szCs w:val="20"/>
        </w:rPr>
        <w:fldChar w:fldCharType="begin">
          <w:ffData>
            <w:name w:val="Check1"/>
            <w:enabled/>
            <w:calcOnExit w:val="0"/>
            <w:checkBox>
              <w:sizeAuto/>
              <w:default w:val="0"/>
            </w:checkBox>
          </w:ffData>
        </w:fldChar>
      </w:r>
      <w:r w:rsidRPr="00591DFB">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591DFB">
        <w:rPr>
          <w:rFonts w:asciiTheme="minorHAnsi" w:hAnsiTheme="minorHAnsi" w:cstheme="minorHAnsi"/>
          <w:sz w:val="20"/>
          <w:szCs w:val="20"/>
        </w:rPr>
        <w:fldChar w:fldCharType="end"/>
      </w:r>
      <w:r w:rsidR="00B76D37" w:rsidRPr="00591DFB">
        <w:rPr>
          <w:rFonts w:asciiTheme="minorHAnsi" w:eastAsia="Calibri" w:hAnsiTheme="minorHAnsi" w:cstheme="minorHAnsi"/>
          <w:b/>
          <w:color w:val="000000"/>
          <w:sz w:val="20"/>
          <w:szCs w:val="20"/>
        </w:rPr>
        <w:t xml:space="preserve"> </w:t>
      </w:r>
      <w:r w:rsidR="00B76D37" w:rsidRPr="00591DFB">
        <w:rPr>
          <w:rFonts w:asciiTheme="minorHAnsi" w:eastAsia="Calibri" w:hAnsiTheme="minorHAnsi" w:cstheme="minorHAnsi"/>
          <w:color w:val="000000"/>
          <w:sz w:val="20"/>
          <w:szCs w:val="20"/>
        </w:rPr>
        <w:t>A new item for a global consultation item(s)</w:t>
      </w:r>
    </w:p>
    <w:p w14:paraId="7852D0FD" w14:textId="77777777" w:rsidR="00E45321" w:rsidRPr="00591DFB" w:rsidRDefault="00B76D37">
      <w:pPr>
        <w:pStyle w:val="Heading2"/>
        <w:numPr>
          <w:ilvl w:val="0"/>
          <w:numId w:val="10"/>
        </w:numPr>
        <w:rPr>
          <w:rFonts w:eastAsia="Calibri" w:cstheme="minorHAnsi"/>
        </w:rPr>
      </w:pPr>
      <w:r w:rsidRPr="00591DFB">
        <w:rPr>
          <w:rFonts w:eastAsia="Calibri" w:cstheme="minorHAnsi"/>
        </w:rPr>
        <w:t>Is the proposed service seeking public funding other than the MBS?</w:t>
      </w:r>
    </w:p>
    <w:p w14:paraId="1C287971" w14:textId="5E076768" w:rsidR="00E45321" w:rsidRPr="00591DFB" w:rsidRDefault="00591DFB" w:rsidP="00591DFB">
      <w:pPr>
        <w:ind w:left="360"/>
        <w:rPr>
          <w:rFonts w:asciiTheme="minorHAnsi" w:hAnsiTheme="minorHAnsi" w:cstheme="minorHAnsi"/>
          <w:sz w:val="20"/>
          <w:szCs w:val="20"/>
        </w:rPr>
      </w:pPr>
      <w:r w:rsidRPr="00591DFB">
        <w:rPr>
          <w:rFonts w:asciiTheme="minorHAnsi" w:hAnsiTheme="minorHAnsi" w:cstheme="minorHAnsi"/>
          <w:sz w:val="20"/>
          <w:szCs w:val="20"/>
        </w:rPr>
        <w:fldChar w:fldCharType="begin">
          <w:ffData>
            <w:name w:val="Check1"/>
            <w:enabled/>
            <w:calcOnExit w:val="0"/>
            <w:checkBox>
              <w:sizeAuto/>
              <w:default w:val="0"/>
            </w:checkBox>
          </w:ffData>
        </w:fldChar>
      </w:r>
      <w:r w:rsidRPr="00591DFB">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591DFB">
        <w:rPr>
          <w:rFonts w:asciiTheme="minorHAnsi" w:hAnsiTheme="minorHAnsi" w:cstheme="minorHAnsi"/>
          <w:sz w:val="20"/>
          <w:szCs w:val="20"/>
        </w:rPr>
        <w:fldChar w:fldCharType="end"/>
      </w:r>
      <w:r w:rsidR="00B76D37" w:rsidRPr="00591DFB">
        <w:rPr>
          <w:rFonts w:asciiTheme="minorHAnsi" w:hAnsiTheme="minorHAnsi" w:cstheme="minorHAnsi"/>
          <w:sz w:val="20"/>
          <w:szCs w:val="20"/>
        </w:rPr>
        <w:t xml:space="preserve"> Yes</w:t>
      </w:r>
    </w:p>
    <w:p w14:paraId="43234820" w14:textId="11A05E72" w:rsidR="00E45321" w:rsidRPr="00591DFB" w:rsidRDefault="00591DFB" w:rsidP="00591DFB">
      <w:pPr>
        <w:ind w:left="360"/>
        <w:rPr>
          <w:rFonts w:asciiTheme="minorHAnsi" w:hAnsiTheme="minorHAnsi" w:cstheme="minorHAnsi"/>
        </w:rPr>
      </w:pPr>
      <w:r w:rsidRPr="00591DFB">
        <w:rPr>
          <w:rFonts w:asciiTheme="minorHAnsi" w:hAnsiTheme="minorHAnsi" w:cstheme="minorHAnsi"/>
          <w:sz w:val="20"/>
          <w:szCs w:val="20"/>
        </w:rPr>
        <w:fldChar w:fldCharType="begin">
          <w:ffData>
            <w:name w:val=""/>
            <w:enabled/>
            <w:calcOnExit w:val="0"/>
            <w:checkBox>
              <w:sizeAuto/>
              <w:default w:val="1"/>
            </w:checkBox>
          </w:ffData>
        </w:fldChar>
      </w:r>
      <w:r w:rsidRPr="00591DFB">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591DFB">
        <w:rPr>
          <w:rFonts w:asciiTheme="minorHAnsi" w:hAnsiTheme="minorHAnsi" w:cstheme="minorHAnsi"/>
          <w:sz w:val="20"/>
          <w:szCs w:val="20"/>
        </w:rPr>
        <w:fldChar w:fldCharType="end"/>
      </w:r>
      <w:r w:rsidRPr="00591DFB">
        <w:rPr>
          <w:rFonts w:asciiTheme="minorHAnsi" w:hAnsiTheme="minorHAnsi" w:cstheme="minorHAnsi"/>
          <w:sz w:val="20"/>
          <w:szCs w:val="20"/>
        </w:rPr>
        <w:t xml:space="preserve"> </w:t>
      </w:r>
      <w:r w:rsidR="00B76D37" w:rsidRPr="00591DFB">
        <w:rPr>
          <w:rFonts w:asciiTheme="minorHAnsi" w:hAnsiTheme="minorHAnsi" w:cstheme="minorHAnsi"/>
          <w:sz w:val="20"/>
          <w:szCs w:val="20"/>
        </w:rPr>
        <w:t>No</w:t>
      </w:r>
    </w:p>
    <w:p w14:paraId="3B92B975" w14:textId="77777777" w:rsidR="00E45321" w:rsidRPr="00591DFB" w:rsidRDefault="00B76D37">
      <w:pPr>
        <w:pStyle w:val="Heading2"/>
        <w:numPr>
          <w:ilvl w:val="0"/>
          <w:numId w:val="10"/>
        </w:numPr>
        <w:rPr>
          <w:rFonts w:eastAsia="Calibri" w:cstheme="minorHAnsi"/>
        </w:rPr>
      </w:pPr>
      <w:r w:rsidRPr="00591DFB">
        <w:rPr>
          <w:rFonts w:eastAsia="Calibri" w:cstheme="minorHAnsi"/>
        </w:rPr>
        <w:t>If yes, please advise:</w:t>
      </w:r>
    </w:p>
    <w:p w14:paraId="06E868BB" w14:textId="04ACADFF" w:rsidR="00591DFB" w:rsidRPr="00B44DB3" w:rsidRDefault="00B44DB3" w:rsidP="00B44DB3">
      <w:pPr>
        <w:ind w:left="284"/>
        <w:rPr>
          <w:rFonts w:asciiTheme="minorHAnsi" w:eastAsia="Calibri" w:hAnsiTheme="minorHAnsi" w:cstheme="minorHAnsi"/>
          <w:b/>
          <w:sz w:val="20"/>
          <w:szCs w:val="20"/>
        </w:rPr>
      </w:pPr>
      <w:r>
        <w:rPr>
          <w:rFonts w:asciiTheme="minorHAnsi" w:hAnsiTheme="minorHAnsi" w:cstheme="minorHAnsi"/>
          <w:sz w:val="20"/>
          <w:szCs w:val="20"/>
        </w:rPr>
        <w:t>Not applicable</w:t>
      </w:r>
    </w:p>
    <w:p w14:paraId="19214981" w14:textId="3C4A3BE4" w:rsidR="00E45321" w:rsidRPr="00591DFB" w:rsidRDefault="00B76D37">
      <w:pPr>
        <w:pStyle w:val="Heading2"/>
        <w:numPr>
          <w:ilvl w:val="0"/>
          <w:numId w:val="18"/>
        </w:numPr>
        <w:rPr>
          <w:rFonts w:cstheme="minorHAnsi"/>
        </w:rPr>
      </w:pPr>
      <w:r w:rsidRPr="00591DFB">
        <w:rPr>
          <w:rFonts w:cstheme="minorHAnsi"/>
        </w:rPr>
        <w:t xml:space="preserve">What is the type of </w:t>
      </w:r>
      <w:proofErr w:type="gramStart"/>
      <w:r w:rsidRPr="00591DFB">
        <w:rPr>
          <w:rFonts w:cstheme="minorHAnsi"/>
        </w:rPr>
        <w:t>service:</w:t>
      </w:r>
      <w:proofErr w:type="gramEnd"/>
    </w:p>
    <w:p w14:paraId="2D0D90CA" w14:textId="50EA9624" w:rsidR="00E45321" w:rsidRPr="00591DFB" w:rsidRDefault="00591DFB" w:rsidP="00B44DB3">
      <w:pPr>
        <w:ind w:left="360"/>
        <w:rPr>
          <w:rFonts w:asciiTheme="minorHAnsi" w:hAnsiTheme="minorHAnsi" w:cstheme="minorHAnsi"/>
          <w:sz w:val="20"/>
          <w:szCs w:val="20"/>
        </w:rPr>
      </w:pPr>
      <w:r w:rsidRPr="00591DFB">
        <w:rPr>
          <w:rFonts w:asciiTheme="minorHAnsi" w:hAnsiTheme="minorHAnsi" w:cstheme="minorHAnsi"/>
          <w:sz w:val="20"/>
          <w:szCs w:val="20"/>
        </w:rPr>
        <w:fldChar w:fldCharType="begin">
          <w:ffData>
            <w:name w:val="Check1"/>
            <w:enabled/>
            <w:calcOnExit w:val="0"/>
            <w:checkBox>
              <w:sizeAuto/>
              <w:default w:val="0"/>
            </w:checkBox>
          </w:ffData>
        </w:fldChar>
      </w:r>
      <w:r w:rsidRPr="00591DFB">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591DFB">
        <w:rPr>
          <w:rFonts w:asciiTheme="minorHAnsi" w:hAnsiTheme="minorHAnsi" w:cstheme="minorHAnsi"/>
          <w:sz w:val="20"/>
          <w:szCs w:val="20"/>
        </w:rPr>
        <w:fldChar w:fldCharType="end"/>
      </w:r>
      <w:r w:rsidR="00B76D37" w:rsidRPr="00591DFB">
        <w:rPr>
          <w:rFonts w:asciiTheme="minorHAnsi" w:hAnsiTheme="minorHAnsi" w:cstheme="minorHAnsi"/>
          <w:b/>
          <w:sz w:val="20"/>
          <w:szCs w:val="20"/>
        </w:rPr>
        <w:t xml:space="preserve"> </w:t>
      </w:r>
      <w:r w:rsidR="00B76D37" w:rsidRPr="00591DFB">
        <w:rPr>
          <w:rFonts w:asciiTheme="minorHAnsi" w:hAnsiTheme="minorHAnsi" w:cstheme="minorHAnsi"/>
          <w:sz w:val="20"/>
          <w:szCs w:val="20"/>
        </w:rPr>
        <w:t>Therapeutic medical service</w:t>
      </w:r>
    </w:p>
    <w:p w14:paraId="7C784E53" w14:textId="42304ADA" w:rsidR="00E45321" w:rsidRPr="00591DFB" w:rsidRDefault="00591DFB" w:rsidP="00B44DB3">
      <w:pPr>
        <w:ind w:left="360"/>
        <w:rPr>
          <w:rFonts w:asciiTheme="minorHAnsi" w:hAnsiTheme="minorHAnsi" w:cstheme="minorHAnsi"/>
          <w:sz w:val="20"/>
          <w:szCs w:val="20"/>
        </w:rPr>
      </w:pPr>
      <w:r w:rsidRPr="00591DFB">
        <w:rPr>
          <w:rFonts w:asciiTheme="minorHAnsi" w:hAnsiTheme="minorHAnsi" w:cstheme="minorHAnsi"/>
          <w:sz w:val="20"/>
          <w:szCs w:val="20"/>
        </w:rPr>
        <w:fldChar w:fldCharType="begin">
          <w:ffData>
            <w:name w:val=""/>
            <w:enabled/>
            <w:calcOnExit w:val="0"/>
            <w:checkBox>
              <w:sizeAuto/>
              <w:default w:val="1"/>
            </w:checkBox>
          </w:ffData>
        </w:fldChar>
      </w:r>
      <w:r w:rsidRPr="00591DFB">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591DFB">
        <w:rPr>
          <w:rFonts w:asciiTheme="minorHAnsi" w:hAnsiTheme="minorHAnsi" w:cstheme="minorHAnsi"/>
          <w:sz w:val="20"/>
          <w:szCs w:val="20"/>
        </w:rPr>
        <w:fldChar w:fldCharType="end"/>
      </w:r>
      <w:r w:rsidRPr="00591DFB">
        <w:rPr>
          <w:rFonts w:asciiTheme="minorHAnsi" w:hAnsiTheme="minorHAnsi" w:cstheme="minorHAnsi"/>
          <w:sz w:val="20"/>
          <w:szCs w:val="20"/>
        </w:rPr>
        <w:t xml:space="preserve"> </w:t>
      </w:r>
      <w:r w:rsidR="00B76D37" w:rsidRPr="00591DFB">
        <w:rPr>
          <w:rFonts w:asciiTheme="minorHAnsi" w:hAnsiTheme="minorHAnsi" w:cstheme="minorHAnsi"/>
          <w:sz w:val="20"/>
          <w:szCs w:val="20"/>
        </w:rPr>
        <w:t>Investigative medical service</w:t>
      </w:r>
    </w:p>
    <w:p w14:paraId="2E61C828" w14:textId="4873DABC" w:rsidR="00E45321" w:rsidRPr="00591DFB" w:rsidRDefault="00591DFB" w:rsidP="00B44DB3">
      <w:pPr>
        <w:ind w:left="360"/>
        <w:rPr>
          <w:rFonts w:asciiTheme="minorHAnsi" w:hAnsiTheme="minorHAnsi" w:cstheme="minorHAnsi"/>
          <w:sz w:val="20"/>
          <w:szCs w:val="20"/>
        </w:rPr>
      </w:pPr>
      <w:r w:rsidRPr="00591DFB">
        <w:rPr>
          <w:rFonts w:asciiTheme="minorHAnsi" w:hAnsiTheme="minorHAnsi" w:cstheme="minorHAnsi"/>
          <w:sz w:val="20"/>
          <w:szCs w:val="20"/>
        </w:rPr>
        <w:fldChar w:fldCharType="begin">
          <w:ffData>
            <w:name w:val="Check1"/>
            <w:enabled/>
            <w:calcOnExit w:val="0"/>
            <w:checkBox>
              <w:sizeAuto/>
              <w:default w:val="0"/>
            </w:checkBox>
          </w:ffData>
        </w:fldChar>
      </w:r>
      <w:r w:rsidRPr="00591DFB">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591DFB">
        <w:rPr>
          <w:rFonts w:asciiTheme="minorHAnsi" w:hAnsiTheme="minorHAnsi" w:cstheme="minorHAnsi"/>
          <w:sz w:val="20"/>
          <w:szCs w:val="20"/>
        </w:rPr>
        <w:fldChar w:fldCharType="end"/>
      </w:r>
      <w:r w:rsidR="00B76D37" w:rsidRPr="00591DFB">
        <w:rPr>
          <w:rFonts w:asciiTheme="minorHAnsi" w:hAnsiTheme="minorHAnsi" w:cstheme="minorHAnsi"/>
          <w:b/>
          <w:sz w:val="20"/>
          <w:szCs w:val="20"/>
        </w:rPr>
        <w:t xml:space="preserve"> </w:t>
      </w:r>
      <w:r w:rsidR="00B76D37" w:rsidRPr="00591DFB">
        <w:rPr>
          <w:rFonts w:asciiTheme="minorHAnsi" w:hAnsiTheme="minorHAnsi" w:cstheme="minorHAnsi"/>
          <w:sz w:val="20"/>
          <w:szCs w:val="20"/>
        </w:rPr>
        <w:t>Single consultation medical service</w:t>
      </w:r>
    </w:p>
    <w:p w14:paraId="78485FB3" w14:textId="1F21BB45" w:rsidR="00E45321" w:rsidRPr="00591DFB" w:rsidRDefault="00591DFB" w:rsidP="00B44DB3">
      <w:pPr>
        <w:ind w:left="360"/>
        <w:rPr>
          <w:rFonts w:asciiTheme="minorHAnsi" w:hAnsiTheme="minorHAnsi" w:cstheme="minorHAnsi"/>
          <w:sz w:val="20"/>
          <w:szCs w:val="20"/>
        </w:rPr>
      </w:pPr>
      <w:r w:rsidRPr="00591DFB">
        <w:rPr>
          <w:rFonts w:asciiTheme="minorHAnsi" w:hAnsiTheme="minorHAnsi" w:cstheme="minorHAnsi"/>
          <w:sz w:val="20"/>
          <w:szCs w:val="20"/>
        </w:rPr>
        <w:fldChar w:fldCharType="begin">
          <w:ffData>
            <w:name w:val="Check1"/>
            <w:enabled/>
            <w:calcOnExit w:val="0"/>
            <w:checkBox>
              <w:sizeAuto/>
              <w:default w:val="0"/>
            </w:checkBox>
          </w:ffData>
        </w:fldChar>
      </w:r>
      <w:r w:rsidRPr="00591DFB">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591DFB">
        <w:rPr>
          <w:rFonts w:asciiTheme="minorHAnsi" w:hAnsiTheme="minorHAnsi" w:cstheme="minorHAnsi"/>
          <w:sz w:val="20"/>
          <w:szCs w:val="20"/>
        </w:rPr>
        <w:fldChar w:fldCharType="end"/>
      </w:r>
      <w:r w:rsidR="00B76D37" w:rsidRPr="00591DFB">
        <w:rPr>
          <w:rFonts w:asciiTheme="minorHAnsi" w:hAnsiTheme="minorHAnsi" w:cstheme="minorHAnsi"/>
          <w:b/>
          <w:sz w:val="20"/>
          <w:szCs w:val="20"/>
        </w:rPr>
        <w:t xml:space="preserve"> </w:t>
      </w:r>
      <w:r w:rsidR="00B76D37" w:rsidRPr="00591DFB">
        <w:rPr>
          <w:rFonts w:asciiTheme="minorHAnsi" w:hAnsiTheme="minorHAnsi" w:cstheme="minorHAnsi"/>
          <w:sz w:val="20"/>
          <w:szCs w:val="20"/>
        </w:rPr>
        <w:t>Global consultation medical service</w:t>
      </w:r>
    </w:p>
    <w:p w14:paraId="0B8C4693" w14:textId="3F63EEAE" w:rsidR="00E45321" w:rsidRPr="00591DFB" w:rsidRDefault="00591DFB" w:rsidP="00B44DB3">
      <w:pPr>
        <w:ind w:left="360"/>
        <w:rPr>
          <w:rFonts w:asciiTheme="minorHAnsi" w:hAnsiTheme="minorHAnsi" w:cstheme="minorHAnsi"/>
          <w:sz w:val="20"/>
          <w:szCs w:val="20"/>
        </w:rPr>
      </w:pPr>
      <w:r w:rsidRPr="00591DFB">
        <w:rPr>
          <w:rFonts w:asciiTheme="minorHAnsi" w:hAnsiTheme="minorHAnsi" w:cstheme="minorHAnsi"/>
          <w:sz w:val="20"/>
          <w:szCs w:val="20"/>
        </w:rPr>
        <w:fldChar w:fldCharType="begin">
          <w:ffData>
            <w:name w:val="Check1"/>
            <w:enabled/>
            <w:calcOnExit w:val="0"/>
            <w:checkBox>
              <w:sizeAuto/>
              <w:default w:val="0"/>
            </w:checkBox>
          </w:ffData>
        </w:fldChar>
      </w:r>
      <w:r w:rsidRPr="00591DFB">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591DFB">
        <w:rPr>
          <w:rFonts w:asciiTheme="minorHAnsi" w:hAnsiTheme="minorHAnsi" w:cstheme="minorHAnsi"/>
          <w:sz w:val="20"/>
          <w:szCs w:val="20"/>
        </w:rPr>
        <w:fldChar w:fldCharType="end"/>
      </w:r>
      <w:r w:rsidR="00B76D37" w:rsidRPr="00591DFB">
        <w:rPr>
          <w:rFonts w:asciiTheme="minorHAnsi" w:hAnsiTheme="minorHAnsi" w:cstheme="minorHAnsi"/>
          <w:b/>
          <w:sz w:val="20"/>
          <w:szCs w:val="20"/>
        </w:rPr>
        <w:t xml:space="preserve"> </w:t>
      </w:r>
      <w:r w:rsidR="00B76D37" w:rsidRPr="00591DFB">
        <w:rPr>
          <w:rFonts w:asciiTheme="minorHAnsi" w:hAnsiTheme="minorHAnsi" w:cstheme="minorHAnsi"/>
          <w:sz w:val="20"/>
          <w:szCs w:val="20"/>
        </w:rPr>
        <w:t>Allied health service</w:t>
      </w:r>
    </w:p>
    <w:p w14:paraId="1F7C2249" w14:textId="5DC638CE" w:rsidR="00E45321" w:rsidRPr="00591DFB" w:rsidRDefault="00591DFB" w:rsidP="00B44DB3">
      <w:pPr>
        <w:ind w:left="360"/>
        <w:rPr>
          <w:rFonts w:asciiTheme="minorHAnsi" w:hAnsiTheme="minorHAnsi" w:cstheme="minorHAnsi"/>
          <w:sz w:val="20"/>
          <w:szCs w:val="20"/>
        </w:rPr>
      </w:pPr>
      <w:r w:rsidRPr="00591DFB">
        <w:rPr>
          <w:rFonts w:asciiTheme="minorHAnsi" w:hAnsiTheme="minorHAnsi" w:cstheme="minorHAnsi"/>
          <w:sz w:val="20"/>
          <w:szCs w:val="20"/>
        </w:rPr>
        <w:fldChar w:fldCharType="begin">
          <w:ffData>
            <w:name w:val="Check1"/>
            <w:enabled/>
            <w:calcOnExit w:val="0"/>
            <w:checkBox>
              <w:sizeAuto/>
              <w:default w:val="0"/>
            </w:checkBox>
          </w:ffData>
        </w:fldChar>
      </w:r>
      <w:r w:rsidRPr="00591DFB">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591DFB">
        <w:rPr>
          <w:rFonts w:asciiTheme="minorHAnsi" w:hAnsiTheme="minorHAnsi" w:cstheme="minorHAnsi"/>
          <w:sz w:val="20"/>
          <w:szCs w:val="20"/>
        </w:rPr>
        <w:fldChar w:fldCharType="end"/>
      </w:r>
      <w:r w:rsidR="00B76D37" w:rsidRPr="00591DFB">
        <w:rPr>
          <w:rFonts w:asciiTheme="minorHAnsi" w:hAnsiTheme="minorHAnsi" w:cstheme="minorHAnsi"/>
          <w:b/>
          <w:sz w:val="20"/>
          <w:szCs w:val="20"/>
        </w:rPr>
        <w:t xml:space="preserve"> </w:t>
      </w:r>
      <w:r w:rsidR="00B76D37" w:rsidRPr="00591DFB">
        <w:rPr>
          <w:rFonts w:asciiTheme="minorHAnsi" w:hAnsiTheme="minorHAnsi" w:cstheme="minorHAnsi"/>
          <w:sz w:val="20"/>
          <w:szCs w:val="20"/>
        </w:rPr>
        <w:t>Co-dependent technology</w:t>
      </w:r>
    </w:p>
    <w:p w14:paraId="783C1CCA" w14:textId="0F4E01E4" w:rsidR="00E45321" w:rsidRPr="00591DFB" w:rsidRDefault="00591DFB" w:rsidP="00B44DB3">
      <w:pPr>
        <w:ind w:left="360"/>
        <w:rPr>
          <w:rFonts w:asciiTheme="minorHAnsi" w:hAnsiTheme="minorHAnsi" w:cstheme="minorHAnsi"/>
          <w:sz w:val="20"/>
          <w:szCs w:val="20"/>
        </w:rPr>
      </w:pPr>
      <w:r w:rsidRPr="00591DFB">
        <w:rPr>
          <w:rFonts w:asciiTheme="minorHAnsi" w:hAnsiTheme="minorHAnsi" w:cstheme="minorHAnsi"/>
          <w:sz w:val="20"/>
          <w:szCs w:val="20"/>
        </w:rPr>
        <w:fldChar w:fldCharType="begin">
          <w:ffData>
            <w:name w:val="Check1"/>
            <w:enabled/>
            <w:calcOnExit w:val="0"/>
            <w:checkBox>
              <w:sizeAuto/>
              <w:default w:val="0"/>
            </w:checkBox>
          </w:ffData>
        </w:fldChar>
      </w:r>
      <w:r w:rsidRPr="00591DFB">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591DFB">
        <w:rPr>
          <w:rFonts w:asciiTheme="minorHAnsi" w:hAnsiTheme="minorHAnsi" w:cstheme="minorHAnsi"/>
          <w:sz w:val="20"/>
          <w:szCs w:val="20"/>
        </w:rPr>
        <w:fldChar w:fldCharType="end"/>
      </w:r>
      <w:r w:rsidR="00B76D37" w:rsidRPr="00591DFB">
        <w:rPr>
          <w:rFonts w:asciiTheme="minorHAnsi" w:hAnsiTheme="minorHAnsi" w:cstheme="minorHAnsi"/>
          <w:b/>
          <w:sz w:val="20"/>
          <w:szCs w:val="20"/>
        </w:rPr>
        <w:t xml:space="preserve"> </w:t>
      </w:r>
      <w:r w:rsidR="00B76D37" w:rsidRPr="00591DFB">
        <w:rPr>
          <w:rFonts w:asciiTheme="minorHAnsi" w:hAnsiTheme="minorHAnsi" w:cstheme="minorHAnsi"/>
          <w:sz w:val="20"/>
          <w:szCs w:val="20"/>
        </w:rPr>
        <w:t>Hybrid health technology</w:t>
      </w:r>
    </w:p>
    <w:p w14:paraId="0EC13E3B" w14:textId="69DF37AF" w:rsidR="00E45321" w:rsidRPr="00B44DB3" w:rsidRDefault="00B76D37" w:rsidP="00B44DB3">
      <w:pPr>
        <w:pStyle w:val="Heading2"/>
        <w:numPr>
          <w:ilvl w:val="0"/>
          <w:numId w:val="18"/>
        </w:numPr>
        <w:rPr>
          <w:rFonts w:cstheme="minorHAnsi"/>
        </w:rPr>
      </w:pPr>
      <w:r w:rsidRPr="00591DFB">
        <w:rPr>
          <w:rFonts w:cstheme="minorHAnsi"/>
        </w:rPr>
        <w:t xml:space="preserve">For investigative services, advise the specific purpose of performing the service </w:t>
      </w:r>
      <w:r w:rsidRPr="00591DFB">
        <w:rPr>
          <w:rFonts w:cstheme="minorHAnsi"/>
          <w:i/>
        </w:rPr>
        <w:t>(which could be one or more of the following)</w:t>
      </w:r>
      <w:r w:rsidRPr="00591DFB">
        <w:rPr>
          <w:rFonts w:cstheme="minorHAnsi"/>
        </w:rPr>
        <w:t>:</w:t>
      </w:r>
    </w:p>
    <w:p w14:paraId="267D0CCA" w14:textId="4A8D6B51" w:rsidR="00E45321" w:rsidRPr="00591DFB" w:rsidRDefault="00591DFB">
      <w:pPr>
        <w:numPr>
          <w:ilvl w:val="0"/>
          <w:numId w:val="11"/>
        </w:numPr>
        <w:pBdr>
          <w:top w:val="nil"/>
          <w:left w:val="nil"/>
          <w:bottom w:val="nil"/>
          <w:right w:val="nil"/>
          <w:between w:val="nil"/>
        </w:pBdr>
        <w:ind w:left="851" w:hanging="425"/>
        <w:rPr>
          <w:rFonts w:asciiTheme="minorHAnsi" w:hAnsiTheme="minorHAnsi" w:cstheme="minorHAnsi"/>
          <w:sz w:val="20"/>
          <w:szCs w:val="20"/>
        </w:rPr>
      </w:pPr>
      <w:r w:rsidRPr="00591DFB">
        <w:rPr>
          <w:rFonts w:asciiTheme="minorHAnsi" w:hAnsiTheme="minorHAnsi" w:cstheme="minorHAnsi"/>
          <w:sz w:val="20"/>
          <w:szCs w:val="20"/>
        </w:rPr>
        <w:fldChar w:fldCharType="begin">
          <w:ffData>
            <w:name w:val="Check1"/>
            <w:enabled/>
            <w:calcOnExit w:val="0"/>
            <w:checkBox>
              <w:sizeAuto/>
              <w:default w:val="0"/>
            </w:checkBox>
          </w:ffData>
        </w:fldChar>
      </w:r>
      <w:r w:rsidRPr="00591DFB">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591DFB">
        <w:rPr>
          <w:rFonts w:asciiTheme="minorHAnsi" w:hAnsiTheme="minorHAnsi" w:cstheme="minorHAnsi"/>
          <w:sz w:val="20"/>
          <w:szCs w:val="20"/>
        </w:rPr>
        <w:fldChar w:fldCharType="end"/>
      </w:r>
      <w:r w:rsidR="00F4694E" w:rsidRPr="00591DFB">
        <w:rPr>
          <w:rFonts w:asciiTheme="minorHAnsi" w:eastAsia="Calibri" w:hAnsiTheme="minorHAnsi" w:cstheme="minorHAnsi"/>
          <w:b/>
          <w:color w:val="000000"/>
          <w:sz w:val="20"/>
          <w:szCs w:val="20"/>
        </w:rPr>
        <w:t xml:space="preserve"> </w:t>
      </w:r>
      <w:r w:rsidR="00B76D37" w:rsidRPr="00591DFB">
        <w:rPr>
          <w:rFonts w:asciiTheme="minorHAnsi" w:eastAsia="Calibri" w:hAnsiTheme="minorHAnsi" w:cstheme="minorHAnsi"/>
          <w:color w:val="000000"/>
          <w:sz w:val="20"/>
          <w:szCs w:val="20"/>
        </w:rPr>
        <w:t xml:space="preserve">To be used as a screening tool in asymptomatic populations </w:t>
      </w:r>
    </w:p>
    <w:p w14:paraId="2660736E" w14:textId="5057AF10" w:rsidR="00E45321" w:rsidRPr="00591DFB" w:rsidRDefault="00591DFB">
      <w:pPr>
        <w:numPr>
          <w:ilvl w:val="0"/>
          <w:numId w:val="11"/>
        </w:numPr>
        <w:pBdr>
          <w:top w:val="nil"/>
          <w:left w:val="nil"/>
          <w:bottom w:val="nil"/>
          <w:right w:val="nil"/>
          <w:between w:val="nil"/>
        </w:pBdr>
        <w:ind w:left="851" w:hanging="425"/>
        <w:rPr>
          <w:rFonts w:asciiTheme="minorHAnsi" w:hAnsiTheme="minorHAnsi" w:cstheme="minorHAnsi"/>
          <w:sz w:val="20"/>
          <w:szCs w:val="20"/>
        </w:rPr>
      </w:pPr>
      <w:r w:rsidRPr="00591DFB">
        <w:rPr>
          <w:rFonts w:asciiTheme="minorHAnsi" w:hAnsiTheme="minorHAnsi" w:cstheme="minorHAnsi"/>
          <w:sz w:val="20"/>
          <w:szCs w:val="20"/>
        </w:rPr>
        <w:fldChar w:fldCharType="begin">
          <w:ffData>
            <w:name w:val=""/>
            <w:enabled/>
            <w:calcOnExit w:val="0"/>
            <w:checkBox>
              <w:sizeAuto/>
              <w:default w:val="1"/>
            </w:checkBox>
          </w:ffData>
        </w:fldChar>
      </w:r>
      <w:r w:rsidRPr="00591DFB">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591DFB">
        <w:rPr>
          <w:rFonts w:asciiTheme="minorHAnsi" w:hAnsiTheme="minorHAnsi" w:cstheme="minorHAnsi"/>
          <w:sz w:val="20"/>
          <w:szCs w:val="20"/>
        </w:rPr>
        <w:fldChar w:fldCharType="end"/>
      </w:r>
      <w:r w:rsidRPr="00591DFB">
        <w:rPr>
          <w:rFonts w:asciiTheme="minorHAnsi" w:hAnsiTheme="minorHAnsi" w:cstheme="minorHAnsi"/>
          <w:sz w:val="20"/>
          <w:szCs w:val="20"/>
        </w:rPr>
        <w:t xml:space="preserve"> </w:t>
      </w:r>
      <w:r w:rsidR="00B76D37" w:rsidRPr="00591DFB">
        <w:rPr>
          <w:rFonts w:asciiTheme="minorHAnsi" w:eastAsia="Calibri" w:hAnsiTheme="minorHAnsi" w:cstheme="minorHAnsi"/>
          <w:color w:val="000000"/>
          <w:sz w:val="20"/>
          <w:szCs w:val="20"/>
        </w:rPr>
        <w:t>Assists in establishing a diagnosis in symptomatic patients</w:t>
      </w:r>
    </w:p>
    <w:p w14:paraId="5D3918D4" w14:textId="15B8FAF9" w:rsidR="00E45321" w:rsidRPr="00591DFB" w:rsidRDefault="00591DFB">
      <w:pPr>
        <w:numPr>
          <w:ilvl w:val="0"/>
          <w:numId w:val="11"/>
        </w:numPr>
        <w:pBdr>
          <w:top w:val="nil"/>
          <w:left w:val="nil"/>
          <w:bottom w:val="nil"/>
          <w:right w:val="nil"/>
          <w:between w:val="nil"/>
        </w:pBdr>
        <w:ind w:left="851" w:hanging="425"/>
        <w:rPr>
          <w:rFonts w:asciiTheme="minorHAnsi" w:hAnsiTheme="minorHAnsi" w:cstheme="minorHAnsi"/>
          <w:sz w:val="20"/>
          <w:szCs w:val="20"/>
        </w:rPr>
      </w:pPr>
      <w:r w:rsidRPr="00591DFB">
        <w:rPr>
          <w:rFonts w:asciiTheme="minorHAnsi" w:hAnsiTheme="minorHAnsi" w:cstheme="minorHAnsi"/>
          <w:sz w:val="20"/>
          <w:szCs w:val="20"/>
        </w:rPr>
        <w:fldChar w:fldCharType="begin">
          <w:ffData>
            <w:name w:val=""/>
            <w:enabled/>
            <w:calcOnExit w:val="0"/>
            <w:checkBox>
              <w:sizeAuto/>
              <w:default w:val="1"/>
            </w:checkBox>
          </w:ffData>
        </w:fldChar>
      </w:r>
      <w:r w:rsidRPr="00591DFB">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591DFB">
        <w:rPr>
          <w:rFonts w:asciiTheme="minorHAnsi" w:hAnsiTheme="minorHAnsi" w:cstheme="minorHAnsi"/>
          <w:sz w:val="20"/>
          <w:szCs w:val="20"/>
        </w:rPr>
        <w:fldChar w:fldCharType="end"/>
      </w:r>
      <w:r w:rsidRPr="00591DFB">
        <w:rPr>
          <w:rFonts w:asciiTheme="minorHAnsi" w:hAnsiTheme="minorHAnsi" w:cstheme="minorHAnsi"/>
          <w:sz w:val="20"/>
          <w:szCs w:val="20"/>
        </w:rPr>
        <w:t xml:space="preserve"> </w:t>
      </w:r>
      <w:r w:rsidR="00B76D37" w:rsidRPr="00591DFB">
        <w:rPr>
          <w:rFonts w:asciiTheme="minorHAnsi" w:eastAsia="Calibri" w:hAnsiTheme="minorHAnsi" w:cstheme="minorHAnsi"/>
          <w:color w:val="000000"/>
          <w:sz w:val="20"/>
          <w:szCs w:val="20"/>
        </w:rPr>
        <w:t>Provides information about prognosis</w:t>
      </w:r>
    </w:p>
    <w:p w14:paraId="727A5CFF" w14:textId="74B88AF3" w:rsidR="00E45321" w:rsidRPr="00591DFB" w:rsidRDefault="00591DFB">
      <w:pPr>
        <w:numPr>
          <w:ilvl w:val="0"/>
          <w:numId w:val="11"/>
        </w:numPr>
        <w:pBdr>
          <w:top w:val="nil"/>
          <w:left w:val="nil"/>
          <w:bottom w:val="nil"/>
          <w:right w:val="nil"/>
          <w:between w:val="nil"/>
        </w:pBdr>
        <w:ind w:left="851" w:hanging="425"/>
        <w:rPr>
          <w:rFonts w:asciiTheme="minorHAnsi" w:hAnsiTheme="minorHAnsi" w:cstheme="minorHAnsi"/>
          <w:sz w:val="20"/>
          <w:szCs w:val="20"/>
        </w:rPr>
      </w:pPr>
      <w:r w:rsidRPr="00591DFB">
        <w:rPr>
          <w:rFonts w:asciiTheme="minorHAnsi" w:hAnsiTheme="minorHAnsi" w:cstheme="minorHAnsi"/>
          <w:sz w:val="20"/>
          <w:szCs w:val="20"/>
        </w:rPr>
        <w:fldChar w:fldCharType="begin">
          <w:ffData>
            <w:name w:val="Check1"/>
            <w:enabled/>
            <w:calcOnExit w:val="0"/>
            <w:checkBox>
              <w:sizeAuto/>
              <w:default w:val="0"/>
            </w:checkBox>
          </w:ffData>
        </w:fldChar>
      </w:r>
      <w:r w:rsidRPr="00591DFB">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591DFB">
        <w:rPr>
          <w:rFonts w:asciiTheme="minorHAnsi" w:hAnsiTheme="minorHAnsi" w:cstheme="minorHAnsi"/>
          <w:sz w:val="20"/>
          <w:szCs w:val="20"/>
        </w:rPr>
        <w:fldChar w:fldCharType="end"/>
      </w:r>
      <w:r w:rsidR="00B76D37" w:rsidRPr="00591DFB">
        <w:rPr>
          <w:rFonts w:asciiTheme="minorHAnsi" w:eastAsia="Calibri" w:hAnsiTheme="minorHAnsi" w:cstheme="minorHAnsi"/>
          <w:b/>
          <w:color w:val="000000"/>
          <w:sz w:val="20"/>
          <w:szCs w:val="20"/>
        </w:rPr>
        <w:t xml:space="preserve"> </w:t>
      </w:r>
      <w:r w:rsidR="00B76D37" w:rsidRPr="00591DFB">
        <w:rPr>
          <w:rFonts w:asciiTheme="minorHAnsi" w:eastAsia="Calibri" w:hAnsiTheme="minorHAnsi" w:cstheme="minorHAnsi"/>
          <w:color w:val="000000"/>
          <w:sz w:val="20"/>
          <w:szCs w:val="20"/>
        </w:rPr>
        <w:t>Identifies a patient as suitable for therapy by predicting a variation in the effect of the therapy</w:t>
      </w:r>
    </w:p>
    <w:p w14:paraId="5B4E96A0" w14:textId="36D06B7E" w:rsidR="00E45321" w:rsidRPr="00591DFB" w:rsidRDefault="00591DFB">
      <w:pPr>
        <w:numPr>
          <w:ilvl w:val="0"/>
          <w:numId w:val="11"/>
        </w:numPr>
        <w:pBdr>
          <w:top w:val="nil"/>
          <w:left w:val="nil"/>
          <w:bottom w:val="nil"/>
          <w:right w:val="nil"/>
          <w:between w:val="nil"/>
        </w:pBdr>
        <w:ind w:left="851" w:hanging="425"/>
        <w:rPr>
          <w:rFonts w:asciiTheme="minorHAnsi" w:hAnsiTheme="minorHAnsi" w:cstheme="minorHAnsi"/>
          <w:sz w:val="20"/>
          <w:szCs w:val="20"/>
        </w:rPr>
      </w:pPr>
      <w:r w:rsidRPr="00591DFB">
        <w:rPr>
          <w:rFonts w:asciiTheme="minorHAnsi" w:hAnsiTheme="minorHAnsi" w:cstheme="minorHAnsi"/>
          <w:sz w:val="20"/>
          <w:szCs w:val="20"/>
        </w:rPr>
        <w:fldChar w:fldCharType="begin">
          <w:ffData>
            <w:name w:val="Check1"/>
            <w:enabled/>
            <w:calcOnExit w:val="0"/>
            <w:checkBox>
              <w:sizeAuto/>
              <w:default w:val="0"/>
            </w:checkBox>
          </w:ffData>
        </w:fldChar>
      </w:r>
      <w:r w:rsidRPr="00591DFB">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591DFB">
        <w:rPr>
          <w:rFonts w:asciiTheme="minorHAnsi" w:hAnsiTheme="minorHAnsi" w:cstheme="minorHAnsi"/>
          <w:sz w:val="20"/>
          <w:szCs w:val="20"/>
        </w:rPr>
        <w:fldChar w:fldCharType="end"/>
      </w:r>
      <w:r w:rsidR="00B76D37" w:rsidRPr="00591DFB">
        <w:rPr>
          <w:rFonts w:asciiTheme="minorHAnsi" w:eastAsia="Calibri" w:hAnsiTheme="minorHAnsi" w:cstheme="minorHAnsi"/>
          <w:b/>
          <w:color w:val="000000"/>
          <w:sz w:val="20"/>
          <w:szCs w:val="20"/>
        </w:rPr>
        <w:t xml:space="preserve"> </w:t>
      </w:r>
      <w:r w:rsidR="00B76D37" w:rsidRPr="00591DFB">
        <w:rPr>
          <w:rFonts w:asciiTheme="minorHAnsi" w:eastAsia="Calibri" w:hAnsiTheme="minorHAnsi" w:cstheme="minorHAnsi"/>
          <w:color w:val="000000"/>
          <w:sz w:val="20"/>
          <w:szCs w:val="20"/>
        </w:rPr>
        <w:t>Monitors a patient over time to assess treatment response and guide subsequent treatment decisions</w:t>
      </w:r>
    </w:p>
    <w:p w14:paraId="70F558DB" w14:textId="77777777" w:rsidR="00E45321" w:rsidRPr="00591DFB" w:rsidRDefault="00B76D37">
      <w:pPr>
        <w:pStyle w:val="Heading2"/>
        <w:numPr>
          <w:ilvl w:val="0"/>
          <w:numId w:val="18"/>
        </w:numPr>
        <w:rPr>
          <w:rFonts w:cstheme="minorHAnsi"/>
        </w:rPr>
      </w:pPr>
      <w:r w:rsidRPr="00591DFB">
        <w:rPr>
          <w:rFonts w:cstheme="minorHAnsi"/>
        </w:rPr>
        <w:t>Does your service rely on another medical product to achieve or to enhance its intended effect?</w:t>
      </w:r>
    </w:p>
    <w:p w14:paraId="0F5EB682" w14:textId="105649A6" w:rsidR="00E45321" w:rsidRPr="00591DFB" w:rsidRDefault="00591DFB" w:rsidP="00B44DB3">
      <w:pPr>
        <w:ind w:left="360"/>
        <w:rPr>
          <w:rFonts w:asciiTheme="minorHAnsi" w:hAnsiTheme="minorHAnsi" w:cstheme="minorHAnsi"/>
          <w:sz w:val="20"/>
          <w:szCs w:val="20"/>
        </w:rPr>
      </w:pPr>
      <w:r w:rsidRPr="00591DFB">
        <w:rPr>
          <w:rFonts w:asciiTheme="minorHAnsi" w:hAnsiTheme="minorHAnsi" w:cstheme="minorHAnsi"/>
          <w:sz w:val="20"/>
          <w:szCs w:val="20"/>
        </w:rPr>
        <w:fldChar w:fldCharType="begin">
          <w:ffData>
            <w:name w:val="Check1"/>
            <w:enabled/>
            <w:calcOnExit w:val="0"/>
            <w:checkBox>
              <w:sizeAuto/>
              <w:default w:val="0"/>
            </w:checkBox>
          </w:ffData>
        </w:fldChar>
      </w:r>
      <w:r w:rsidRPr="00591DFB">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591DFB">
        <w:rPr>
          <w:rFonts w:asciiTheme="minorHAnsi" w:hAnsiTheme="minorHAnsi" w:cstheme="minorHAnsi"/>
          <w:sz w:val="20"/>
          <w:szCs w:val="20"/>
        </w:rPr>
        <w:fldChar w:fldCharType="end"/>
      </w:r>
      <w:r w:rsidR="00B76D37" w:rsidRPr="00591DFB">
        <w:rPr>
          <w:rFonts w:asciiTheme="minorHAnsi" w:hAnsiTheme="minorHAnsi" w:cstheme="minorHAnsi"/>
          <w:sz w:val="20"/>
          <w:szCs w:val="20"/>
        </w:rPr>
        <w:t xml:space="preserve"> Pharmaceutical / Biological</w:t>
      </w:r>
    </w:p>
    <w:p w14:paraId="3F8C50E6" w14:textId="29926812" w:rsidR="00E45321" w:rsidRPr="00591DFB" w:rsidRDefault="00591DFB" w:rsidP="00B44DB3">
      <w:pPr>
        <w:ind w:left="360"/>
        <w:rPr>
          <w:rFonts w:asciiTheme="minorHAnsi" w:hAnsiTheme="minorHAnsi" w:cstheme="minorHAnsi"/>
          <w:sz w:val="20"/>
          <w:szCs w:val="20"/>
        </w:rPr>
      </w:pPr>
      <w:r w:rsidRPr="00591DFB">
        <w:rPr>
          <w:rFonts w:asciiTheme="minorHAnsi" w:hAnsiTheme="minorHAnsi" w:cstheme="minorHAnsi"/>
          <w:sz w:val="20"/>
          <w:szCs w:val="20"/>
        </w:rPr>
        <w:fldChar w:fldCharType="begin">
          <w:ffData>
            <w:name w:val="Check1"/>
            <w:enabled/>
            <w:calcOnExit w:val="0"/>
            <w:checkBox>
              <w:sizeAuto/>
              <w:default w:val="0"/>
            </w:checkBox>
          </w:ffData>
        </w:fldChar>
      </w:r>
      <w:r w:rsidRPr="00591DFB">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591DFB">
        <w:rPr>
          <w:rFonts w:asciiTheme="minorHAnsi" w:hAnsiTheme="minorHAnsi" w:cstheme="minorHAnsi"/>
          <w:sz w:val="20"/>
          <w:szCs w:val="20"/>
        </w:rPr>
        <w:fldChar w:fldCharType="end"/>
      </w:r>
      <w:r w:rsidR="00B76D37" w:rsidRPr="00591DFB">
        <w:rPr>
          <w:rFonts w:asciiTheme="minorHAnsi" w:hAnsiTheme="minorHAnsi" w:cstheme="minorHAnsi"/>
          <w:b/>
          <w:sz w:val="20"/>
          <w:szCs w:val="20"/>
        </w:rPr>
        <w:t xml:space="preserve"> </w:t>
      </w:r>
      <w:r w:rsidR="00B76D37" w:rsidRPr="00591DFB">
        <w:rPr>
          <w:rFonts w:asciiTheme="minorHAnsi" w:hAnsiTheme="minorHAnsi" w:cstheme="minorHAnsi"/>
          <w:sz w:val="20"/>
          <w:szCs w:val="20"/>
        </w:rPr>
        <w:t>Prosthesis or device</w:t>
      </w:r>
    </w:p>
    <w:p w14:paraId="05085FD3" w14:textId="1240462B" w:rsidR="00E45321" w:rsidRPr="00591DFB" w:rsidRDefault="00591DFB" w:rsidP="00B44DB3">
      <w:pPr>
        <w:ind w:left="360"/>
        <w:rPr>
          <w:rFonts w:asciiTheme="minorHAnsi" w:hAnsiTheme="minorHAnsi" w:cstheme="minorHAnsi"/>
          <w:sz w:val="20"/>
          <w:szCs w:val="20"/>
        </w:rPr>
      </w:pPr>
      <w:r w:rsidRPr="00591DFB">
        <w:rPr>
          <w:rFonts w:asciiTheme="minorHAnsi" w:hAnsiTheme="minorHAnsi" w:cstheme="minorHAnsi"/>
          <w:sz w:val="20"/>
          <w:szCs w:val="20"/>
        </w:rPr>
        <w:fldChar w:fldCharType="begin">
          <w:ffData>
            <w:name w:val=""/>
            <w:enabled/>
            <w:calcOnExit w:val="0"/>
            <w:checkBox>
              <w:sizeAuto/>
              <w:default w:val="1"/>
            </w:checkBox>
          </w:ffData>
        </w:fldChar>
      </w:r>
      <w:r w:rsidRPr="00591DFB">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591DFB">
        <w:rPr>
          <w:rFonts w:asciiTheme="minorHAnsi" w:hAnsiTheme="minorHAnsi" w:cstheme="minorHAnsi"/>
          <w:sz w:val="20"/>
          <w:szCs w:val="20"/>
        </w:rPr>
        <w:fldChar w:fldCharType="end"/>
      </w:r>
      <w:r w:rsidRPr="00591DFB">
        <w:rPr>
          <w:rFonts w:asciiTheme="minorHAnsi" w:hAnsiTheme="minorHAnsi" w:cstheme="minorHAnsi"/>
          <w:sz w:val="20"/>
          <w:szCs w:val="20"/>
        </w:rPr>
        <w:t xml:space="preserve"> </w:t>
      </w:r>
      <w:r w:rsidR="00B76D37" w:rsidRPr="00591DFB">
        <w:rPr>
          <w:rFonts w:asciiTheme="minorHAnsi" w:hAnsiTheme="minorHAnsi" w:cstheme="minorHAnsi"/>
          <w:sz w:val="20"/>
          <w:szCs w:val="20"/>
        </w:rPr>
        <w:t>No</w:t>
      </w:r>
    </w:p>
    <w:p w14:paraId="2D50D415" w14:textId="77777777" w:rsidR="00E45321" w:rsidRPr="00591DFB" w:rsidRDefault="00B76D37">
      <w:pPr>
        <w:pStyle w:val="Heading2"/>
        <w:numPr>
          <w:ilvl w:val="0"/>
          <w:numId w:val="18"/>
        </w:numPr>
        <w:rPr>
          <w:rFonts w:cstheme="minorHAnsi"/>
        </w:rPr>
      </w:pPr>
      <w:r w:rsidRPr="00591DFB">
        <w:rPr>
          <w:rFonts w:cstheme="minorHAnsi"/>
        </w:rPr>
        <w:t>(a)  If the proposed service has a pharmaceutical component to it, is it already covered under an existing Pharmaceutical Benefits Scheme (PBS) listing?</w:t>
      </w:r>
    </w:p>
    <w:p w14:paraId="386A7651" w14:textId="20BB0E57" w:rsidR="00E45321" w:rsidRPr="00591DFB" w:rsidRDefault="00591DFB" w:rsidP="00B44DB3">
      <w:pPr>
        <w:ind w:left="284" w:firstLine="76"/>
        <w:rPr>
          <w:rFonts w:asciiTheme="minorHAnsi" w:hAnsiTheme="minorHAnsi" w:cstheme="minorHAnsi"/>
          <w:sz w:val="20"/>
          <w:szCs w:val="20"/>
        </w:rPr>
      </w:pPr>
      <w:r w:rsidRPr="00591DFB">
        <w:rPr>
          <w:rFonts w:asciiTheme="minorHAnsi" w:hAnsiTheme="minorHAnsi" w:cstheme="minorHAnsi"/>
          <w:sz w:val="20"/>
          <w:szCs w:val="20"/>
        </w:rPr>
        <w:t>Not applicable</w:t>
      </w:r>
    </w:p>
    <w:p w14:paraId="6749CA67" w14:textId="77777777" w:rsidR="00E45321" w:rsidRPr="00591DFB" w:rsidRDefault="00B76D37">
      <w:pPr>
        <w:pStyle w:val="Heading2"/>
        <w:numPr>
          <w:ilvl w:val="0"/>
          <w:numId w:val="12"/>
        </w:numPr>
        <w:rPr>
          <w:rFonts w:cstheme="minorHAnsi"/>
        </w:rPr>
      </w:pPr>
      <w:r w:rsidRPr="00591DFB">
        <w:rPr>
          <w:rFonts w:cstheme="minorHAnsi"/>
        </w:rPr>
        <w:t>If yes, please list the relevant PBS item code(s):</w:t>
      </w:r>
    </w:p>
    <w:p w14:paraId="14E6CE7A" w14:textId="37B20084" w:rsidR="00E45321" w:rsidRPr="00591DFB" w:rsidRDefault="00591DFB" w:rsidP="00B44DB3">
      <w:pPr>
        <w:ind w:left="284" w:firstLine="76"/>
        <w:rPr>
          <w:rFonts w:asciiTheme="minorHAnsi" w:hAnsiTheme="minorHAnsi" w:cstheme="minorHAnsi"/>
          <w:b/>
          <w:sz w:val="20"/>
          <w:szCs w:val="20"/>
        </w:rPr>
      </w:pPr>
      <w:r w:rsidRPr="00591DFB">
        <w:rPr>
          <w:rFonts w:asciiTheme="minorHAnsi" w:hAnsiTheme="minorHAnsi" w:cstheme="minorHAnsi"/>
          <w:sz w:val="20"/>
          <w:szCs w:val="20"/>
        </w:rPr>
        <w:t>Not applicable</w:t>
      </w:r>
    </w:p>
    <w:p w14:paraId="758BD7DD" w14:textId="77777777" w:rsidR="00E45321" w:rsidRPr="00591DFB" w:rsidRDefault="00B76D37">
      <w:pPr>
        <w:pStyle w:val="Heading2"/>
        <w:numPr>
          <w:ilvl w:val="0"/>
          <w:numId w:val="12"/>
        </w:numPr>
        <w:rPr>
          <w:rFonts w:cstheme="minorHAnsi"/>
        </w:rPr>
      </w:pPr>
      <w:r w:rsidRPr="00591DFB">
        <w:rPr>
          <w:rFonts w:cstheme="minorHAnsi"/>
        </w:rPr>
        <w:t>If no, is an application (submission) in the process of being considered by the Pharmaceutical Benefits Advisory Committee (PBAC)?</w:t>
      </w:r>
    </w:p>
    <w:p w14:paraId="41FB6344" w14:textId="6757BAC0" w:rsidR="00E45321" w:rsidRPr="00591DFB" w:rsidRDefault="00591DFB" w:rsidP="00B44DB3">
      <w:pPr>
        <w:ind w:left="284" w:firstLine="76"/>
        <w:rPr>
          <w:rFonts w:asciiTheme="minorHAnsi" w:hAnsiTheme="minorHAnsi" w:cstheme="minorHAnsi"/>
          <w:sz w:val="20"/>
          <w:szCs w:val="20"/>
        </w:rPr>
      </w:pPr>
      <w:r w:rsidRPr="00591DFB">
        <w:rPr>
          <w:rFonts w:asciiTheme="minorHAnsi" w:hAnsiTheme="minorHAnsi" w:cstheme="minorHAnsi"/>
          <w:sz w:val="20"/>
          <w:szCs w:val="20"/>
        </w:rPr>
        <w:t>Not applicable</w:t>
      </w:r>
    </w:p>
    <w:p w14:paraId="641BF4E1" w14:textId="77777777" w:rsidR="00E45321" w:rsidRPr="00591DFB" w:rsidRDefault="00E45321" w:rsidP="00B76D37">
      <w:pPr>
        <w:pStyle w:val="Heading2"/>
        <w:numPr>
          <w:ilvl w:val="0"/>
          <w:numId w:val="0"/>
        </w:numPr>
        <w:spacing w:before="0" w:after="0"/>
        <w:ind w:left="360"/>
        <w:rPr>
          <w:rFonts w:eastAsia="Times New Roman" w:cstheme="minorHAnsi"/>
          <w:b w:val="0"/>
          <w:sz w:val="24"/>
          <w:szCs w:val="24"/>
        </w:rPr>
      </w:pPr>
    </w:p>
    <w:p w14:paraId="1F8E3907" w14:textId="77777777" w:rsidR="00E45321" w:rsidRPr="00591DFB" w:rsidRDefault="00B76D37" w:rsidP="00B76D37">
      <w:pPr>
        <w:pStyle w:val="Heading2"/>
        <w:numPr>
          <w:ilvl w:val="0"/>
          <w:numId w:val="12"/>
        </w:numPr>
        <w:spacing w:before="0"/>
        <w:rPr>
          <w:rFonts w:cstheme="minorHAnsi"/>
        </w:rPr>
      </w:pPr>
      <w:r w:rsidRPr="00591DFB">
        <w:rPr>
          <w:rFonts w:cstheme="minorHAnsi"/>
        </w:rPr>
        <w:lastRenderedPageBreak/>
        <w:t>If you are seeking both MBS and PBS listing, what is the trade name and generic name of the pharmaceutical?</w:t>
      </w:r>
    </w:p>
    <w:p w14:paraId="481DE90C" w14:textId="0CEF25F2" w:rsidR="00E45321" w:rsidRPr="00591DFB" w:rsidRDefault="00591DFB" w:rsidP="00B44DB3">
      <w:pPr>
        <w:ind w:left="284" w:firstLine="76"/>
        <w:rPr>
          <w:rFonts w:asciiTheme="minorHAnsi" w:hAnsiTheme="minorHAnsi" w:cstheme="minorHAnsi"/>
          <w:sz w:val="20"/>
          <w:szCs w:val="20"/>
        </w:rPr>
      </w:pPr>
      <w:r w:rsidRPr="00591DFB">
        <w:rPr>
          <w:rFonts w:asciiTheme="minorHAnsi" w:hAnsiTheme="minorHAnsi" w:cstheme="minorHAnsi"/>
          <w:sz w:val="20"/>
          <w:szCs w:val="20"/>
        </w:rPr>
        <w:t>Not applicable</w:t>
      </w:r>
    </w:p>
    <w:p w14:paraId="3E8250D2" w14:textId="77777777" w:rsidR="00E45321" w:rsidRPr="00591DFB" w:rsidRDefault="00B76D37">
      <w:pPr>
        <w:pStyle w:val="Heading2"/>
        <w:numPr>
          <w:ilvl w:val="0"/>
          <w:numId w:val="18"/>
        </w:numPr>
        <w:rPr>
          <w:rFonts w:cstheme="minorHAnsi"/>
        </w:rPr>
      </w:pPr>
      <w:r w:rsidRPr="00591DFB">
        <w:rPr>
          <w:rFonts w:cstheme="minorHAnsi"/>
        </w:rPr>
        <w:t>(a) If the proposed service is dependent on the use of a prosthesis, is it already included on the Prostheses List?</w:t>
      </w:r>
    </w:p>
    <w:p w14:paraId="4DF45102" w14:textId="52D85513" w:rsidR="00E45321" w:rsidRPr="00591DFB" w:rsidRDefault="00591DFB" w:rsidP="00B44DB3">
      <w:pPr>
        <w:ind w:left="284" w:firstLine="76"/>
        <w:rPr>
          <w:rFonts w:asciiTheme="minorHAnsi" w:hAnsiTheme="minorHAnsi" w:cstheme="minorHAnsi"/>
          <w:sz w:val="20"/>
          <w:szCs w:val="20"/>
        </w:rPr>
      </w:pPr>
      <w:r w:rsidRPr="00591DFB">
        <w:rPr>
          <w:rFonts w:asciiTheme="minorHAnsi" w:hAnsiTheme="minorHAnsi" w:cstheme="minorHAnsi"/>
          <w:sz w:val="20"/>
          <w:szCs w:val="20"/>
        </w:rPr>
        <w:t>Not applicable</w:t>
      </w:r>
    </w:p>
    <w:p w14:paraId="30D4A134" w14:textId="77777777" w:rsidR="00E45321" w:rsidRPr="00591DFB" w:rsidRDefault="00B76D37">
      <w:pPr>
        <w:pStyle w:val="Heading2"/>
        <w:numPr>
          <w:ilvl w:val="0"/>
          <w:numId w:val="19"/>
        </w:numPr>
        <w:rPr>
          <w:rFonts w:cstheme="minorHAnsi"/>
        </w:rPr>
      </w:pPr>
      <w:r w:rsidRPr="00591DFB">
        <w:rPr>
          <w:rFonts w:cstheme="minorHAnsi"/>
        </w:rPr>
        <w:t xml:space="preserve">If yes, please provide the following information (where relevant): </w:t>
      </w:r>
    </w:p>
    <w:p w14:paraId="44CE5EF5" w14:textId="5044AAE5" w:rsidR="00E45321" w:rsidRPr="00591DFB" w:rsidRDefault="00591DFB" w:rsidP="00B44DB3">
      <w:pPr>
        <w:ind w:left="284" w:firstLine="76"/>
        <w:rPr>
          <w:rFonts w:asciiTheme="minorHAnsi" w:hAnsiTheme="minorHAnsi" w:cstheme="minorHAnsi"/>
          <w:sz w:val="20"/>
          <w:szCs w:val="20"/>
        </w:rPr>
      </w:pPr>
      <w:r w:rsidRPr="00591DFB">
        <w:rPr>
          <w:rFonts w:asciiTheme="minorHAnsi" w:hAnsiTheme="minorHAnsi" w:cstheme="minorHAnsi"/>
          <w:sz w:val="20"/>
          <w:szCs w:val="20"/>
        </w:rPr>
        <w:t>Not applicable</w:t>
      </w:r>
    </w:p>
    <w:p w14:paraId="3C1DB14C" w14:textId="77777777" w:rsidR="00E45321" w:rsidRPr="00591DFB" w:rsidRDefault="00B76D37">
      <w:pPr>
        <w:pStyle w:val="Heading2"/>
        <w:numPr>
          <w:ilvl w:val="0"/>
          <w:numId w:val="19"/>
        </w:numPr>
        <w:rPr>
          <w:rFonts w:cstheme="minorHAnsi"/>
        </w:rPr>
      </w:pPr>
      <w:r w:rsidRPr="00591DFB">
        <w:rPr>
          <w:rFonts w:cstheme="minorHAnsi"/>
        </w:rPr>
        <w:t>If no, is an application in the process of being considered by a Clinical Advisory Group or the Prostheses List Advisory Committee (PLAC)?</w:t>
      </w:r>
    </w:p>
    <w:p w14:paraId="3BF3F88F" w14:textId="7814D6D5" w:rsidR="00E45321" w:rsidRPr="00591DFB" w:rsidRDefault="00591DFB" w:rsidP="00B44DB3">
      <w:pPr>
        <w:ind w:left="284" w:firstLine="76"/>
        <w:rPr>
          <w:rFonts w:asciiTheme="minorHAnsi" w:hAnsiTheme="minorHAnsi" w:cstheme="minorHAnsi"/>
          <w:sz w:val="20"/>
          <w:szCs w:val="20"/>
        </w:rPr>
      </w:pPr>
      <w:r w:rsidRPr="00591DFB">
        <w:rPr>
          <w:rFonts w:asciiTheme="minorHAnsi" w:hAnsiTheme="minorHAnsi" w:cstheme="minorHAnsi"/>
          <w:sz w:val="20"/>
          <w:szCs w:val="20"/>
        </w:rPr>
        <w:t>Not applicable</w:t>
      </w:r>
    </w:p>
    <w:p w14:paraId="0AA7925A" w14:textId="064F60B7" w:rsidR="00591DFB" w:rsidRPr="00591DFB" w:rsidRDefault="00B76D37" w:rsidP="00591DFB">
      <w:pPr>
        <w:pStyle w:val="Heading2"/>
        <w:numPr>
          <w:ilvl w:val="0"/>
          <w:numId w:val="19"/>
        </w:numPr>
        <w:rPr>
          <w:rFonts w:cstheme="minorHAnsi"/>
        </w:rPr>
      </w:pPr>
      <w:r w:rsidRPr="00591DFB">
        <w:rPr>
          <w:rFonts w:cstheme="minorHAnsi"/>
        </w:rPr>
        <w:t xml:space="preserve">Are there any other sponsor(s) and/or manufacturer(s) that have a similar prosthesis or device component in the Australian </w:t>
      </w:r>
      <w:proofErr w:type="gramStart"/>
      <w:r w:rsidRPr="00591DFB">
        <w:rPr>
          <w:rFonts w:cstheme="minorHAnsi"/>
        </w:rPr>
        <w:t>market place</w:t>
      </w:r>
      <w:proofErr w:type="gramEnd"/>
      <w:r w:rsidRPr="00591DFB">
        <w:rPr>
          <w:rFonts w:cstheme="minorHAnsi"/>
        </w:rPr>
        <w:t xml:space="preserve"> which this application is relevant to?</w:t>
      </w:r>
    </w:p>
    <w:p w14:paraId="2E3DEF06" w14:textId="77777777" w:rsidR="00591DFB" w:rsidRPr="00591DFB" w:rsidRDefault="00591DFB" w:rsidP="00591DFB">
      <w:pPr>
        <w:rPr>
          <w:sz w:val="20"/>
          <w:szCs w:val="20"/>
          <w:lang w:eastAsia="en-US"/>
        </w:rPr>
      </w:pPr>
    </w:p>
    <w:p w14:paraId="79770D76" w14:textId="190788E8" w:rsidR="00591DFB" w:rsidRPr="00591DFB" w:rsidRDefault="00B76D37" w:rsidP="00591DFB">
      <w:pPr>
        <w:pStyle w:val="Heading2"/>
        <w:numPr>
          <w:ilvl w:val="0"/>
          <w:numId w:val="19"/>
        </w:numPr>
        <w:rPr>
          <w:rFonts w:cstheme="minorHAnsi"/>
        </w:rPr>
      </w:pPr>
      <w:r w:rsidRPr="00591DFB">
        <w:rPr>
          <w:rFonts w:cstheme="minorHAnsi"/>
        </w:rPr>
        <w:t>If yes, please provide the name(s) of the sponsor(s) and / or manufacturer(s):</w:t>
      </w:r>
    </w:p>
    <w:p w14:paraId="511BE9F2" w14:textId="77777777" w:rsidR="00591DFB" w:rsidRPr="00591DFB" w:rsidRDefault="00591DFB" w:rsidP="00591DFB">
      <w:pPr>
        <w:rPr>
          <w:sz w:val="20"/>
          <w:szCs w:val="20"/>
          <w:lang w:eastAsia="en-US"/>
        </w:rPr>
      </w:pPr>
    </w:p>
    <w:p w14:paraId="7D3E953A" w14:textId="77777777" w:rsidR="00E45321" w:rsidRPr="00591DFB" w:rsidRDefault="00B76D37">
      <w:pPr>
        <w:pStyle w:val="Heading2"/>
        <w:numPr>
          <w:ilvl w:val="0"/>
          <w:numId w:val="18"/>
        </w:numPr>
        <w:rPr>
          <w:rFonts w:cstheme="minorHAnsi"/>
        </w:rPr>
      </w:pPr>
      <w:r w:rsidRPr="00591DFB">
        <w:rPr>
          <w:rFonts w:cstheme="minorHAnsi"/>
        </w:rPr>
        <w:t>Please identify any single and / or multi-use consumables delivered as part of the service?</w:t>
      </w:r>
    </w:p>
    <w:p w14:paraId="5CCA96F9" w14:textId="2026E8D6" w:rsidR="00E45321" w:rsidRPr="00591DFB" w:rsidRDefault="00591DFB" w:rsidP="00B44DB3">
      <w:pPr>
        <w:ind w:left="284" w:firstLine="76"/>
        <w:rPr>
          <w:rFonts w:asciiTheme="minorHAnsi" w:hAnsiTheme="minorHAnsi" w:cstheme="minorHAnsi"/>
        </w:rPr>
      </w:pPr>
      <w:r w:rsidRPr="00591DFB">
        <w:rPr>
          <w:rFonts w:asciiTheme="minorHAnsi" w:hAnsiTheme="minorHAnsi" w:cstheme="minorHAnsi"/>
          <w:sz w:val="20"/>
          <w:szCs w:val="20"/>
        </w:rPr>
        <w:t>Nil</w:t>
      </w:r>
      <w:r w:rsidR="00B76D37" w:rsidRPr="00591DFB">
        <w:rPr>
          <w:rFonts w:asciiTheme="minorHAnsi" w:hAnsiTheme="minorHAnsi" w:cstheme="minorHAnsi"/>
        </w:rPr>
        <w:br w:type="page"/>
      </w:r>
    </w:p>
    <w:p w14:paraId="630EC717" w14:textId="77777777" w:rsidR="00E45321" w:rsidRPr="00B44DB3" w:rsidRDefault="00B76D37" w:rsidP="00B44DB3">
      <w:pPr>
        <w:pStyle w:val="Heading1"/>
      </w:pPr>
      <w:r w:rsidRPr="00B44DB3">
        <w:lastRenderedPageBreak/>
        <w:t>PART 3 – INFORMATION ABOUT REGULATORY REQUIREMENTS</w:t>
      </w:r>
    </w:p>
    <w:p w14:paraId="48F8A821" w14:textId="77777777" w:rsidR="00E45321" w:rsidRPr="00591DFB" w:rsidRDefault="00B76D37">
      <w:pPr>
        <w:pStyle w:val="Heading2"/>
        <w:numPr>
          <w:ilvl w:val="0"/>
          <w:numId w:val="18"/>
        </w:numPr>
        <w:rPr>
          <w:rFonts w:cstheme="minorHAnsi"/>
        </w:rPr>
      </w:pPr>
      <w:r w:rsidRPr="00591DFB">
        <w:rPr>
          <w:rFonts w:cstheme="minorHAnsi"/>
        </w:rPr>
        <w:t xml:space="preserve">(a) If the proposed medical service involves the use of a medical device, in-vitro diagnostic test, pharmaceutical product, radioactive </w:t>
      </w:r>
      <w:proofErr w:type="gramStart"/>
      <w:r w:rsidRPr="00591DFB">
        <w:rPr>
          <w:rFonts w:cstheme="minorHAnsi"/>
        </w:rPr>
        <w:t>tracer</w:t>
      </w:r>
      <w:proofErr w:type="gramEnd"/>
      <w:r w:rsidRPr="00591DFB">
        <w:rPr>
          <w:rFonts w:cstheme="minorHAnsi"/>
        </w:rPr>
        <w:t xml:space="preserve"> or any other type of therapeutic good, please provide the following details:</w:t>
      </w:r>
    </w:p>
    <w:p w14:paraId="0656CD9D" w14:textId="77777777" w:rsidR="00E45321" w:rsidRPr="00591DFB" w:rsidRDefault="00B76D37">
      <w:pPr>
        <w:ind w:left="284"/>
        <w:rPr>
          <w:rFonts w:asciiTheme="minorHAnsi" w:hAnsiTheme="minorHAnsi" w:cstheme="minorHAnsi"/>
          <w:sz w:val="20"/>
          <w:szCs w:val="20"/>
        </w:rPr>
      </w:pPr>
      <w:bookmarkStart w:id="9" w:name="_Hlk90048121"/>
      <w:r w:rsidRPr="00591DFB">
        <w:rPr>
          <w:rFonts w:asciiTheme="minorHAnsi" w:hAnsiTheme="minorHAnsi" w:cstheme="minorHAnsi"/>
          <w:sz w:val="20"/>
          <w:szCs w:val="20"/>
        </w:rPr>
        <w:t>Type of therapeutic good: in-vitro diagnostic test</w:t>
      </w:r>
    </w:p>
    <w:p w14:paraId="4B1AA86C" w14:textId="370BBC55" w:rsidR="00E45321" w:rsidRPr="00591DFB" w:rsidRDefault="00B76D37">
      <w:pPr>
        <w:ind w:left="284"/>
        <w:rPr>
          <w:rFonts w:asciiTheme="minorHAnsi" w:hAnsiTheme="minorHAnsi" w:cstheme="minorHAnsi"/>
          <w:bCs/>
          <w:sz w:val="20"/>
          <w:szCs w:val="20"/>
        </w:rPr>
      </w:pPr>
      <w:r w:rsidRPr="00591DFB">
        <w:rPr>
          <w:rFonts w:asciiTheme="minorHAnsi" w:hAnsiTheme="minorHAnsi" w:cstheme="minorHAnsi"/>
          <w:sz w:val="20"/>
          <w:szCs w:val="20"/>
        </w:rPr>
        <w:t xml:space="preserve">Manufacturer’s name: </w:t>
      </w:r>
      <w:r w:rsidR="001E1005" w:rsidRPr="00591DFB">
        <w:rPr>
          <w:rFonts w:asciiTheme="minorHAnsi" w:hAnsiTheme="minorHAnsi" w:cstheme="minorHAnsi"/>
          <w:bCs/>
          <w:sz w:val="20"/>
          <w:szCs w:val="20"/>
        </w:rPr>
        <w:t>This application does not seek reimbursement for patented technologies</w:t>
      </w:r>
    </w:p>
    <w:p w14:paraId="58BC0D67" w14:textId="79ED54C4" w:rsidR="00E45321" w:rsidRPr="00591DFB" w:rsidRDefault="00B76D37">
      <w:pPr>
        <w:ind w:left="284"/>
        <w:rPr>
          <w:rFonts w:asciiTheme="minorHAnsi" w:hAnsiTheme="minorHAnsi" w:cstheme="minorHAnsi"/>
          <w:bCs/>
          <w:sz w:val="20"/>
          <w:szCs w:val="20"/>
        </w:rPr>
      </w:pPr>
      <w:r w:rsidRPr="00591DFB">
        <w:rPr>
          <w:rFonts w:asciiTheme="minorHAnsi" w:hAnsiTheme="minorHAnsi" w:cstheme="minorHAnsi"/>
          <w:bCs/>
          <w:sz w:val="20"/>
          <w:szCs w:val="20"/>
        </w:rPr>
        <w:t xml:space="preserve">Sponsor’s name: </w:t>
      </w:r>
      <w:r w:rsidR="00DF162B" w:rsidRPr="00591DFB">
        <w:rPr>
          <w:rFonts w:asciiTheme="minorHAnsi" w:hAnsiTheme="minorHAnsi" w:cstheme="minorHAnsi"/>
          <w:bCs/>
          <w:sz w:val="20"/>
          <w:szCs w:val="20"/>
        </w:rPr>
        <w:t>This application does not seek reimbursement for patented technologies</w:t>
      </w:r>
    </w:p>
    <w:bookmarkEnd w:id="9"/>
    <w:p w14:paraId="415AFDE9" w14:textId="77777777" w:rsidR="00E45321" w:rsidRPr="00591DFB" w:rsidRDefault="00B76D37">
      <w:pPr>
        <w:pStyle w:val="Heading2"/>
        <w:numPr>
          <w:ilvl w:val="0"/>
          <w:numId w:val="21"/>
        </w:numPr>
        <w:rPr>
          <w:rFonts w:cstheme="minorHAnsi"/>
        </w:rPr>
      </w:pPr>
      <w:r w:rsidRPr="00591DFB">
        <w:rPr>
          <w:rFonts w:cstheme="minorHAnsi"/>
        </w:rPr>
        <w:t>Is the medical device classified by the TGA as either a Class III or Active Implantable Medical Device (AIMD) against the TGA regulatory scheme for devices?</w:t>
      </w:r>
    </w:p>
    <w:p w14:paraId="5ACBB726" w14:textId="710602E2" w:rsidR="00E45321" w:rsidRPr="00591DFB" w:rsidRDefault="00591DFB" w:rsidP="00B44DB3">
      <w:pPr>
        <w:ind w:left="360"/>
        <w:rPr>
          <w:rFonts w:asciiTheme="minorHAnsi" w:hAnsiTheme="minorHAnsi" w:cstheme="minorHAnsi"/>
          <w:sz w:val="20"/>
          <w:szCs w:val="20"/>
        </w:rPr>
      </w:pPr>
      <w:r w:rsidRPr="00591DFB">
        <w:rPr>
          <w:rFonts w:asciiTheme="minorHAnsi" w:hAnsiTheme="minorHAnsi" w:cstheme="minorHAnsi"/>
          <w:sz w:val="20"/>
          <w:szCs w:val="20"/>
        </w:rPr>
        <w:fldChar w:fldCharType="begin">
          <w:ffData>
            <w:name w:val="Check1"/>
            <w:enabled/>
            <w:calcOnExit w:val="0"/>
            <w:checkBox>
              <w:sizeAuto/>
              <w:default w:val="0"/>
            </w:checkBox>
          </w:ffData>
        </w:fldChar>
      </w:r>
      <w:r w:rsidRPr="00591DFB">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591DFB">
        <w:rPr>
          <w:rFonts w:asciiTheme="minorHAnsi" w:hAnsiTheme="minorHAnsi" w:cstheme="minorHAnsi"/>
          <w:sz w:val="20"/>
          <w:szCs w:val="20"/>
        </w:rPr>
        <w:fldChar w:fldCharType="end"/>
      </w:r>
      <w:r w:rsidRPr="00591DFB">
        <w:rPr>
          <w:rFonts w:asciiTheme="minorHAnsi" w:hAnsiTheme="minorHAnsi" w:cstheme="minorHAnsi"/>
          <w:sz w:val="20"/>
          <w:szCs w:val="20"/>
        </w:rPr>
        <w:t xml:space="preserve"> </w:t>
      </w:r>
      <w:r w:rsidR="00B76D37" w:rsidRPr="00591DFB">
        <w:rPr>
          <w:rFonts w:asciiTheme="minorHAnsi" w:hAnsiTheme="minorHAnsi" w:cstheme="minorHAnsi"/>
          <w:sz w:val="20"/>
          <w:szCs w:val="20"/>
        </w:rPr>
        <w:t>Class III</w:t>
      </w:r>
    </w:p>
    <w:p w14:paraId="543E0F09" w14:textId="70258D23" w:rsidR="00E45321" w:rsidRPr="00591DFB" w:rsidRDefault="00591DFB" w:rsidP="00B44DB3">
      <w:pPr>
        <w:ind w:left="360"/>
        <w:rPr>
          <w:rFonts w:asciiTheme="minorHAnsi" w:hAnsiTheme="minorHAnsi" w:cstheme="minorHAnsi"/>
          <w:sz w:val="20"/>
          <w:szCs w:val="20"/>
        </w:rPr>
      </w:pPr>
      <w:r w:rsidRPr="00591DFB">
        <w:rPr>
          <w:rFonts w:asciiTheme="minorHAnsi" w:hAnsiTheme="minorHAnsi" w:cstheme="minorHAnsi"/>
          <w:sz w:val="20"/>
          <w:szCs w:val="20"/>
        </w:rPr>
        <w:fldChar w:fldCharType="begin">
          <w:ffData>
            <w:name w:val="Check1"/>
            <w:enabled/>
            <w:calcOnExit w:val="0"/>
            <w:checkBox>
              <w:sizeAuto/>
              <w:default w:val="0"/>
            </w:checkBox>
          </w:ffData>
        </w:fldChar>
      </w:r>
      <w:r w:rsidRPr="00591DFB">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591DFB">
        <w:rPr>
          <w:rFonts w:asciiTheme="minorHAnsi" w:hAnsiTheme="minorHAnsi" w:cstheme="minorHAnsi"/>
          <w:sz w:val="20"/>
          <w:szCs w:val="20"/>
        </w:rPr>
        <w:fldChar w:fldCharType="end"/>
      </w:r>
      <w:r w:rsidR="00B76D37" w:rsidRPr="00591DFB">
        <w:rPr>
          <w:rFonts w:asciiTheme="minorHAnsi" w:hAnsiTheme="minorHAnsi" w:cstheme="minorHAnsi"/>
          <w:sz w:val="20"/>
          <w:szCs w:val="20"/>
        </w:rPr>
        <w:t xml:space="preserve"> AIMD</w:t>
      </w:r>
    </w:p>
    <w:p w14:paraId="6BD3AB20" w14:textId="0CD5AC6C" w:rsidR="00E45321" w:rsidRPr="00591DFB" w:rsidRDefault="00591DFB" w:rsidP="00B44DB3">
      <w:pPr>
        <w:ind w:left="360"/>
        <w:rPr>
          <w:rFonts w:asciiTheme="minorHAnsi" w:hAnsiTheme="minorHAnsi" w:cstheme="minorHAnsi"/>
          <w:sz w:val="20"/>
          <w:szCs w:val="20"/>
        </w:rPr>
      </w:pPr>
      <w:r w:rsidRPr="00591DFB">
        <w:rPr>
          <w:rFonts w:asciiTheme="minorHAnsi" w:hAnsiTheme="minorHAnsi" w:cstheme="minorHAnsi"/>
          <w:sz w:val="20"/>
          <w:szCs w:val="20"/>
        </w:rPr>
        <w:fldChar w:fldCharType="begin">
          <w:ffData>
            <w:name w:val=""/>
            <w:enabled/>
            <w:calcOnExit w:val="0"/>
            <w:checkBox>
              <w:sizeAuto/>
              <w:default w:val="1"/>
            </w:checkBox>
          </w:ffData>
        </w:fldChar>
      </w:r>
      <w:r w:rsidRPr="00591DFB">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591DFB">
        <w:rPr>
          <w:rFonts w:asciiTheme="minorHAnsi" w:hAnsiTheme="minorHAnsi" w:cstheme="minorHAnsi"/>
          <w:sz w:val="20"/>
          <w:szCs w:val="20"/>
        </w:rPr>
        <w:fldChar w:fldCharType="end"/>
      </w:r>
      <w:r w:rsidRPr="00591DFB">
        <w:rPr>
          <w:rFonts w:asciiTheme="minorHAnsi" w:hAnsiTheme="minorHAnsi" w:cstheme="minorHAnsi"/>
          <w:sz w:val="20"/>
          <w:szCs w:val="20"/>
        </w:rPr>
        <w:t xml:space="preserve"> </w:t>
      </w:r>
      <w:r w:rsidR="00B76D37" w:rsidRPr="00591DFB">
        <w:rPr>
          <w:rFonts w:asciiTheme="minorHAnsi" w:hAnsiTheme="minorHAnsi" w:cstheme="minorHAnsi"/>
          <w:sz w:val="20"/>
          <w:szCs w:val="20"/>
        </w:rPr>
        <w:t xml:space="preserve"> N/A</w:t>
      </w:r>
    </w:p>
    <w:p w14:paraId="3258E92E" w14:textId="77777777" w:rsidR="00E45321" w:rsidRPr="00591DFB" w:rsidRDefault="00B76D37">
      <w:pPr>
        <w:pStyle w:val="Heading2"/>
        <w:numPr>
          <w:ilvl w:val="0"/>
          <w:numId w:val="18"/>
        </w:numPr>
        <w:rPr>
          <w:rFonts w:cstheme="minorHAnsi"/>
        </w:rPr>
      </w:pPr>
      <w:r w:rsidRPr="00591DFB">
        <w:rPr>
          <w:rFonts w:cstheme="minorHAnsi"/>
        </w:rPr>
        <w:t xml:space="preserve">(a) Is the therapeutic good to be used in the service exempt from the regulatory requirements of the </w:t>
      </w:r>
      <w:r w:rsidRPr="00591DFB">
        <w:rPr>
          <w:rFonts w:cstheme="minorHAnsi"/>
          <w:i/>
        </w:rPr>
        <w:t>Therapeutic Goods Act 1989</w:t>
      </w:r>
      <w:r w:rsidRPr="00591DFB">
        <w:rPr>
          <w:rFonts w:cstheme="minorHAnsi"/>
        </w:rPr>
        <w:t>?</w:t>
      </w:r>
    </w:p>
    <w:p w14:paraId="17F65B9C" w14:textId="0F466668" w:rsidR="00E45321" w:rsidRPr="00591DFB" w:rsidRDefault="00591DFB" w:rsidP="00B44DB3">
      <w:pPr>
        <w:ind w:left="360"/>
        <w:rPr>
          <w:rFonts w:asciiTheme="minorHAnsi" w:hAnsiTheme="minorHAnsi" w:cstheme="minorHAnsi"/>
          <w:sz w:val="20"/>
          <w:szCs w:val="20"/>
        </w:rPr>
      </w:pPr>
      <w:r w:rsidRPr="00591DFB">
        <w:rPr>
          <w:rFonts w:asciiTheme="minorHAnsi" w:hAnsiTheme="minorHAnsi" w:cstheme="minorHAnsi"/>
          <w:sz w:val="20"/>
          <w:szCs w:val="20"/>
        </w:rPr>
        <w:fldChar w:fldCharType="begin">
          <w:ffData>
            <w:name w:val="Check1"/>
            <w:enabled/>
            <w:calcOnExit w:val="0"/>
            <w:checkBox>
              <w:sizeAuto/>
              <w:default w:val="0"/>
            </w:checkBox>
          </w:ffData>
        </w:fldChar>
      </w:r>
      <w:r w:rsidRPr="00591DFB">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591DFB">
        <w:rPr>
          <w:rFonts w:asciiTheme="minorHAnsi" w:hAnsiTheme="minorHAnsi" w:cstheme="minorHAnsi"/>
          <w:sz w:val="20"/>
          <w:szCs w:val="20"/>
        </w:rPr>
        <w:fldChar w:fldCharType="end"/>
      </w:r>
      <w:r w:rsidRPr="00591DFB">
        <w:rPr>
          <w:rFonts w:asciiTheme="minorHAnsi" w:hAnsiTheme="minorHAnsi" w:cstheme="minorHAnsi"/>
          <w:sz w:val="20"/>
          <w:szCs w:val="20"/>
        </w:rPr>
        <w:t xml:space="preserve"> </w:t>
      </w:r>
      <w:r w:rsidR="00B76D37" w:rsidRPr="00591DFB">
        <w:rPr>
          <w:rFonts w:asciiTheme="minorHAnsi" w:hAnsiTheme="minorHAnsi" w:cstheme="minorHAnsi"/>
          <w:sz w:val="20"/>
          <w:szCs w:val="20"/>
        </w:rPr>
        <w:t>Yes (If yes, please provide supporting documentation as an attachment to this application form)</w:t>
      </w:r>
    </w:p>
    <w:p w14:paraId="6125379A" w14:textId="68426325" w:rsidR="00E45321" w:rsidRPr="00591DFB" w:rsidRDefault="00591DFB" w:rsidP="00B44DB3">
      <w:pPr>
        <w:ind w:left="360"/>
        <w:rPr>
          <w:rFonts w:asciiTheme="minorHAnsi" w:hAnsiTheme="minorHAnsi" w:cstheme="minorHAnsi"/>
          <w:b/>
          <w:sz w:val="20"/>
          <w:szCs w:val="20"/>
        </w:rPr>
      </w:pPr>
      <w:r w:rsidRPr="00591DFB">
        <w:rPr>
          <w:rFonts w:asciiTheme="minorHAnsi" w:hAnsiTheme="minorHAnsi" w:cstheme="minorHAnsi"/>
          <w:sz w:val="20"/>
          <w:szCs w:val="20"/>
        </w:rPr>
        <w:fldChar w:fldCharType="begin">
          <w:ffData>
            <w:name w:val=""/>
            <w:enabled/>
            <w:calcOnExit w:val="0"/>
            <w:checkBox>
              <w:sizeAuto/>
              <w:default w:val="1"/>
            </w:checkBox>
          </w:ffData>
        </w:fldChar>
      </w:r>
      <w:r w:rsidRPr="00591DFB">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591DFB">
        <w:rPr>
          <w:rFonts w:asciiTheme="minorHAnsi" w:hAnsiTheme="minorHAnsi" w:cstheme="minorHAnsi"/>
          <w:sz w:val="20"/>
          <w:szCs w:val="20"/>
        </w:rPr>
        <w:fldChar w:fldCharType="end"/>
      </w:r>
      <w:r w:rsidRPr="00591DFB">
        <w:rPr>
          <w:rFonts w:asciiTheme="minorHAnsi" w:hAnsiTheme="minorHAnsi" w:cstheme="minorHAnsi"/>
          <w:sz w:val="20"/>
          <w:szCs w:val="20"/>
        </w:rPr>
        <w:t xml:space="preserve"> </w:t>
      </w:r>
      <w:r w:rsidR="00B76D37" w:rsidRPr="00591DFB">
        <w:rPr>
          <w:rFonts w:asciiTheme="minorHAnsi" w:hAnsiTheme="minorHAnsi" w:cstheme="minorHAnsi"/>
          <w:sz w:val="20"/>
          <w:szCs w:val="20"/>
        </w:rPr>
        <w:t xml:space="preserve"> No</w:t>
      </w:r>
    </w:p>
    <w:p w14:paraId="6BD2F72B" w14:textId="77777777" w:rsidR="00E45321" w:rsidRPr="00591DFB" w:rsidRDefault="00B76D37">
      <w:pPr>
        <w:pStyle w:val="Heading2"/>
        <w:numPr>
          <w:ilvl w:val="0"/>
          <w:numId w:val="23"/>
        </w:numPr>
        <w:rPr>
          <w:rFonts w:cstheme="minorHAnsi"/>
        </w:rPr>
      </w:pPr>
      <w:r w:rsidRPr="00591DFB">
        <w:rPr>
          <w:rFonts w:cstheme="minorHAnsi"/>
        </w:rPr>
        <w:t>If no, has it been listed or registered or included in the Australian Register of Therapeutic Goods (ARTG) by the Therapeutic Goods Administration (TGA)?</w:t>
      </w:r>
    </w:p>
    <w:p w14:paraId="17611FDD" w14:textId="2D6E294C" w:rsidR="00E45321" w:rsidRPr="00591DFB" w:rsidRDefault="00591DFB" w:rsidP="00B44DB3">
      <w:pPr>
        <w:ind w:left="360"/>
        <w:rPr>
          <w:rFonts w:asciiTheme="minorHAnsi" w:hAnsiTheme="minorHAnsi" w:cstheme="minorHAnsi"/>
          <w:sz w:val="20"/>
          <w:szCs w:val="20"/>
        </w:rPr>
      </w:pPr>
      <w:r w:rsidRPr="00591DFB">
        <w:rPr>
          <w:rFonts w:asciiTheme="minorHAnsi" w:hAnsiTheme="minorHAnsi" w:cstheme="minorHAnsi"/>
          <w:sz w:val="20"/>
          <w:szCs w:val="20"/>
        </w:rPr>
        <w:fldChar w:fldCharType="begin">
          <w:ffData>
            <w:name w:val=""/>
            <w:enabled/>
            <w:calcOnExit w:val="0"/>
            <w:checkBox>
              <w:sizeAuto/>
              <w:default w:val="1"/>
            </w:checkBox>
          </w:ffData>
        </w:fldChar>
      </w:r>
      <w:r w:rsidRPr="00591DFB">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591DFB">
        <w:rPr>
          <w:rFonts w:asciiTheme="minorHAnsi" w:hAnsiTheme="minorHAnsi" w:cstheme="minorHAnsi"/>
          <w:sz w:val="20"/>
          <w:szCs w:val="20"/>
        </w:rPr>
        <w:fldChar w:fldCharType="end"/>
      </w:r>
      <w:r w:rsidRPr="00591DFB">
        <w:rPr>
          <w:rFonts w:asciiTheme="minorHAnsi" w:hAnsiTheme="minorHAnsi" w:cstheme="minorHAnsi"/>
          <w:sz w:val="20"/>
          <w:szCs w:val="20"/>
        </w:rPr>
        <w:t xml:space="preserve"> </w:t>
      </w:r>
      <w:r w:rsidR="00B76D37" w:rsidRPr="00591DFB">
        <w:rPr>
          <w:rFonts w:asciiTheme="minorHAnsi" w:hAnsiTheme="minorHAnsi" w:cstheme="minorHAnsi"/>
          <w:sz w:val="20"/>
          <w:szCs w:val="20"/>
        </w:rPr>
        <w:t>Yes</w:t>
      </w:r>
      <w:bookmarkStart w:id="10" w:name="_Hlk90048269"/>
      <w:r w:rsidR="00B76D37" w:rsidRPr="00591DFB">
        <w:rPr>
          <w:rFonts w:asciiTheme="minorHAnsi" w:hAnsiTheme="minorHAnsi" w:cstheme="minorHAnsi"/>
          <w:sz w:val="20"/>
          <w:szCs w:val="20"/>
        </w:rPr>
        <w:t xml:space="preserve"> (if yes, please provide details below)</w:t>
      </w:r>
      <w:bookmarkEnd w:id="10"/>
    </w:p>
    <w:p w14:paraId="041022DA" w14:textId="3B4573F0" w:rsidR="00D6165C" w:rsidRPr="00591DFB" w:rsidRDefault="00591DFB" w:rsidP="00B44DB3">
      <w:pPr>
        <w:ind w:left="360"/>
        <w:rPr>
          <w:rFonts w:asciiTheme="minorHAnsi" w:hAnsiTheme="minorHAnsi" w:cstheme="minorHAnsi"/>
          <w:b/>
          <w:sz w:val="20"/>
          <w:szCs w:val="20"/>
        </w:rPr>
      </w:pPr>
      <w:r w:rsidRPr="00591DFB">
        <w:rPr>
          <w:rFonts w:asciiTheme="minorHAnsi" w:hAnsiTheme="minorHAnsi" w:cstheme="minorHAnsi"/>
          <w:sz w:val="20"/>
          <w:szCs w:val="20"/>
        </w:rPr>
        <w:fldChar w:fldCharType="begin">
          <w:ffData>
            <w:name w:val="Check1"/>
            <w:enabled/>
            <w:calcOnExit w:val="0"/>
            <w:checkBox>
              <w:sizeAuto/>
              <w:default w:val="0"/>
            </w:checkBox>
          </w:ffData>
        </w:fldChar>
      </w:r>
      <w:r w:rsidRPr="00591DFB">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591DFB">
        <w:rPr>
          <w:rFonts w:asciiTheme="minorHAnsi" w:hAnsiTheme="minorHAnsi" w:cstheme="minorHAnsi"/>
          <w:sz w:val="20"/>
          <w:szCs w:val="20"/>
        </w:rPr>
        <w:fldChar w:fldCharType="end"/>
      </w:r>
      <w:r w:rsidR="00B76D37" w:rsidRPr="00591DFB">
        <w:rPr>
          <w:rFonts w:asciiTheme="minorHAnsi" w:hAnsiTheme="minorHAnsi" w:cstheme="minorHAnsi"/>
          <w:sz w:val="20"/>
          <w:szCs w:val="20"/>
        </w:rPr>
        <w:t xml:space="preserve"> No</w:t>
      </w:r>
    </w:p>
    <w:p w14:paraId="7A15B632" w14:textId="77777777" w:rsidR="00D6165C" w:rsidRPr="00591DFB" w:rsidRDefault="00D6165C">
      <w:pPr>
        <w:ind w:left="284"/>
        <w:rPr>
          <w:rFonts w:asciiTheme="minorHAnsi" w:hAnsiTheme="minorHAnsi" w:cstheme="minorHAnsi"/>
          <w:b/>
        </w:rPr>
      </w:pPr>
    </w:p>
    <w:p w14:paraId="2779E19B" w14:textId="2399705C" w:rsidR="000E0A77" w:rsidRPr="00591DFB" w:rsidRDefault="000E0A77" w:rsidP="00B44DB3">
      <w:pPr>
        <w:ind w:left="360"/>
        <w:rPr>
          <w:rFonts w:asciiTheme="minorHAnsi" w:hAnsiTheme="minorHAnsi" w:cstheme="minorHAnsi"/>
          <w:b/>
          <w:sz w:val="20"/>
          <w:szCs w:val="20"/>
        </w:rPr>
      </w:pPr>
      <w:bookmarkStart w:id="11" w:name="_Hlk90048280"/>
      <w:r w:rsidRPr="00591DFB">
        <w:rPr>
          <w:rFonts w:asciiTheme="minorHAnsi" w:hAnsiTheme="minorHAnsi" w:cstheme="minorHAnsi"/>
          <w:b/>
          <w:sz w:val="20"/>
          <w:szCs w:val="20"/>
        </w:rPr>
        <w:t>sFlt-1</w:t>
      </w:r>
    </w:p>
    <w:p w14:paraId="09D0C024" w14:textId="77777777" w:rsidR="00E45321" w:rsidRPr="00591DFB" w:rsidRDefault="00B76D37" w:rsidP="00B44DB3">
      <w:pPr>
        <w:ind w:left="360"/>
        <w:rPr>
          <w:rFonts w:asciiTheme="minorHAnsi" w:hAnsiTheme="minorHAnsi" w:cstheme="minorHAnsi"/>
          <w:sz w:val="20"/>
          <w:szCs w:val="20"/>
        </w:rPr>
      </w:pPr>
      <w:r w:rsidRPr="00591DFB">
        <w:rPr>
          <w:rFonts w:asciiTheme="minorHAnsi" w:hAnsiTheme="minorHAnsi" w:cstheme="minorHAnsi"/>
          <w:sz w:val="20"/>
          <w:szCs w:val="20"/>
        </w:rPr>
        <w:t xml:space="preserve">ARTG listing, </w:t>
      </w:r>
      <w:proofErr w:type="gramStart"/>
      <w:r w:rsidRPr="00591DFB">
        <w:rPr>
          <w:rFonts w:asciiTheme="minorHAnsi" w:hAnsiTheme="minorHAnsi" w:cstheme="minorHAnsi"/>
          <w:sz w:val="20"/>
          <w:szCs w:val="20"/>
        </w:rPr>
        <w:t>registration</w:t>
      </w:r>
      <w:proofErr w:type="gramEnd"/>
      <w:r w:rsidRPr="00591DFB">
        <w:rPr>
          <w:rFonts w:asciiTheme="minorHAnsi" w:hAnsiTheme="minorHAnsi" w:cstheme="minorHAnsi"/>
          <w:sz w:val="20"/>
          <w:szCs w:val="20"/>
        </w:rPr>
        <w:t xml:space="preserve"> or inclusion number:  </w:t>
      </w:r>
      <w:sdt>
        <w:sdtPr>
          <w:rPr>
            <w:rFonts w:asciiTheme="minorHAnsi" w:hAnsiTheme="minorHAnsi" w:cstheme="minorHAnsi"/>
            <w:sz w:val="20"/>
            <w:szCs w:val="20"/>
          </w:rPr>
          <w:tag w:val="goog_rdk_0"/>
          <w:id w:val="-1694454484"/>
        </w:sdtPr>
        <w:sdtEndPr/>
        <w:sdtContent/>
      </w:sdt>
      <w:r w:rsidRPr="00591DFB">
        <w:rPr>
          <w:rFonts w:asciiTheme="minorHAnsi" w:hAnsiTheme="minorHAnsi" w:cstheme="minorHAnsi"/>
          <w:sz w:val="20"/>
          <w:szCs w:val="20"/>
        </w:rPr>
        <w:t>181222</w:t>
      </w:r>
    </w:p>
    <w:p w14:paraId="2867EDD6" w14:textId="77777777" w:rsidR="00E45321" w:rsidRPr="00591DFB" w:rsidRDefault="00B76D37" w:rsidP="00B44DB3">
      <w:pPr>
        <w:ind w:left="360"/>
        <w:rPr>
          <w:rFonts w:asciiTheme="minorHAnsi" w:hAnsiTheme="minorHAnsi" w:cstheme="minorHAnsi"/>
          <w:sz w:val="20"/>
          <w:szCs w:val="20"/>
        </w:rPr>
      </w:pPr>
      <w:r w:rsidRPr="00591DFB">
        <w:rPr>
          <w:rFonts w:asciiTheme="minorHAnsi" w:hAnsiTheme="minorHAnsi" w:cstheme="minorHAnsi"/>
          <w:sz w:val="20"/>
          <w:szCs w:val="20"/>
        </w:rPr>
        <w:t>TGA approved indication(s), if applicable:  n/a</w:t>
      </w:r>
    </w:p>
    <w:p w14:paraId="361BEC88" w14:textId="77777777" w:rsidR="00E45321" w:rsidRPr="00591DFB" w:rsidRDefault="00B76D37" w:rsidP="00B44DB3">
      <w:pPr>
        <w:ind w:left="360"/>
        <w:rPr>
          <w:rFonts w:asciiTheme="minorHAnsi" w:hAnsiTheme="minorHAnsi" w:cstheme="minorHAnsi"/>
          <w:sz w:val="20"/>
          <w:szCs w:val="20"/>
        </w:rPr>
      </w:pPr>
      <w:r w:rsidRPr="00591DFB">
        <w:rPr>
          <w:rFonts w:asciiTheme="minorHAnsi" w:hAnsiTheme="minorHAnsi" w:cstheme="minorHAnsi"/>
          <w:sz w:val="20"/>
          <w:szCs w:val="20"/>
        </w:rPr>
        <w:t>TGA approved purpose(s), if applicable:  IVDs that are intended to be used for the qualitative and or quantitative determination of proteins specific to clinical chemistry in a clinical specimen</w:t>
      </w:r>
    </w:p>
    <w:p w14:paraId="684DE350" w14:textId="77777777" w:rsidR="00731D96" w:rsidRPr="00591DFB" w:rsidRDefault="00731D96">
      <w:pPr>
        <w:ind w:left="284"/>
        <w:rPr>
          <w:rFonts w:asciiTheme="minorHAnsi" w:hAnsiTheme="minorHAnsi" w:cstheme="minorHAnsi"/>
          <w:sz w:val="20"/>
          <w:szCs w:val="20"/>
        </w:rPr>
      </w:pPr>
    </w:p>
    <w:p w14:paraId="686C296C" w14:textId="4DCBEEEA" w:rsidR="000E0A77" w:rsidRPr="00591DFB" w:rsidRDefault="000E0A77" w:rsidP="00B44DB3">
      <w:pPr>
        <w:ind w:left="360"/>
        <w:rPr>
          <w:rFonts w:asciiTheme="minorHAnsi" w:hAnsiTheme="minorHAnsi" w:cstheme="minorHAnsi"/>
          <w:b/>
          <w:sz w:val="20"/>
          <w:szCs w:val="20"/>
        </w:rPr>
      </w:pPr>
      <w:proofErr w:type="spellStart"/>
      <w:r w:rsidRPr="00591DFB">
        <w:rPr>
          <w:rFonts w:asciiTheme="minorHAnsi" w:hAnsiTheme="minorHAnsi" w:cstheme="minorHAnsi"/>
          <w:b/>
          <w:sz w:val="20"/>
          <w:szCs w:val="20"/>
        </w:rPr>
        <w:t>PlGF</w:t>
      </w:r>
      <w:proofErr w:type="spellEnd"/>
    </w:p>
    <w:p w14:paraId="187DF1E6" w14:textId="77777777" w:rsidR="00731D96" w:rsidRPr="00591DFB" w:rsidRDefault="00731D96" w:rsidP="00B44DB3">
      <w:pPr>
        <w:ind w:left="360"/>
        <w:rPr>
          <w:rFonts w:asciiTheme="minorHAnsi" w:hAnsiTheme="minorHAnsi" w:cstheme="minorHAnsi"/>
          <w:sz w:val="20"/>
          <w:szCs w:val="20"/>
        </w:rPr>
      </w:pPr>
      <w:r w:rsidRPr="00591DFB">
        <w:rPr>
          <w:rFonts w:asciiTheme="minorHAnsi" w:hAnsiTheme="minorHAnsi" w:cstheme="minorHAnsi"/>
          <w:sz w:val="20"/>
          <w:szCs w:val="20"/>
        </w:rPr>
        <w:t xml:space="preserve">ARTG listing, </w:t>
      </w:r>
      <w:proofErr w:type="gramStart"/>
      <w:r w:rsidRPr="00591DFB">
        <w:rPr>
          <w:rFonts w:asciiTheme="minorHAnsi" w:hAnsiTheme="minorHAnsi" w:cstheme="minorHAnsi"/>
          <w:sz w:val="20"/>
          <w:szCs w:val="20"/>
        </w:rPr>
        <w:t>registration</w:t>
      </w:r>
      <w:proofErr w:type="gramEnd"/>
      <w:r w:rsidRPr="00591DFB">
        <w:rPr>
          <w:rFonts w:asciiTheme="minorHAnsi" w:hAnsiTheme="minorHAnsi" w:cstheme="minorHAnsi"/>
          <w:sz w:val="20"/>
          <w:szCs w:val="20"/>
        </w:rPr>
        <w:t xml:space="preserve"> or inclusion number:  181221</w:t>
      </w:r>
    </w:p>
    <w:p w14:paraId="32B5B9FB" w14:textId="77777777" w:rsidR="00731D96" w:rsidRPr="00591DFB" w:rsidRDefault="00731D96" w:rsidP="00B44DB3">
      <w:pPr>
        <w:ind w:left="360"/>
        <w:rPr>
          <w:rFonts w:asciiTheme="minorHAnsi" w:hAnsiTheme="minorHAnsi" w:cstheme="minorHAnsi"/>
          <w:sz w:val="20"/>
          <w:szCs w:val="20"/>
        </w:rPr>
      </w:pPr>
      <w:r w:rsidRPr="00591DFB">
        <w:rPr>
          <w:rFonts w:asciiTheme="minorHAnsi" w:hAnsiTheme="minorHAnsi" w:cstheme="minorHAnsi"/>
          <w:sz w:val="20"/>
          <w:szCs w:val="20"/>
        </w:rPr>
        <w:t>TGA approved indication(s), if applicable:  n/a</w:t>
      </w:r>
    </w:p>
    <w:p w14:paraId="2FD83908" w14:textId="1C88F92D" w:rsidR="00731D96" w:rsidRPr="00591DFB" w:rsidRDefault="00731D96" w:rsidP="00B44DB3">
      <w:pPr>
        <w:ind w:left="360"/>
        <w:rPr>
          <w:rFonts w:asciiTheme="minorHAnsi" w:hAnsiTheme="minorHAnsi" w:cstheme="minorHAnsi"/>
          <w:sz w:val="20"/>
          <w:szCs w:val="20"/>
        </w:rPr>
      </w:pPr>
      <w:r w:rsidRPr="00591DFB">
        <w:rPr>
          <w:rFonts w:asciiTheme="minorHAnsi" w:hAnsiTheme="minorHAnsi" w:cstheme="minorHAnsi"/>
          <w:sz w:val="20"/>
          <w:szCs w:val="20"/>
        </w:rPr>
        <w:t>TGA approved purpose(s), if applicable:  IVDs that are intended to be used for the qualitative and/or quantitative determination of clinical chemistry hormones in a clinical specimen</w:t>
      </w:r>
    </w:p>
    <w:bookmarkEnd w:id="11"/>
    <w:p w14:paraId="1510B05D" w14:textId="77777777" w:rsidR="00E45321" w:rsidRPr="00591DFB" w:rsidRDefault="00B76D37">
      <w:pPr>
        <w:pStyle w:val="Heading2"/>
        <w:numPr>
          <w:ilvl w:val="0"/>
          <w:numId w:val="18"/>
        </w:numPr>
        <w:rPr>
          <w:rFonts w:cstheme="minorHAnsi"/>
        </w:rPr>
      </w:pPr>
      <w:r w:rsidRPr="00591DFB">
        <w:rPr>
          <w:rFonts w:cstheme="minorHAnsi"/>
        </w:rPr>
        <w:t xml:space="preserve">If the therapeutic good has not been listed, </w:t>
      </w:r>
      <w:proofErr w:type="gramStart"/>
      <w:r w:rsidRPr="00591DFB">
        <w:rPr>
          <w:rFonts w:cstheme="minorHAnsi"/>
        </w:rPr>
        <w:t>registered</w:t>
      </w:r>
      <w:proofErr w:type="gramEnd"/>
      <w:r w:rsidRPr="00591DFB">
        <w:rPr>
          <w:rFonts w:cstheme="minorHAnsi"/>
        </w:rPr>
        <w:t xml:space="preserve"> or included in the ARTG, is the therapeutic good in the process of being considered for inclusion by the TGA?</w:t>
      </w:r>
    </w:p>
    <w:p w14:paraId="7E228D49" w14:textId="7A1897EB" w:rsidR="00E45321" w:rsidRPr="00591DFB" w:rsidRDefault="00591DFB" w:rsidP="00591DFB">
      <w:pPr>
        <w:ind w:left="284" w:firstLine="76"/>
        <w:rPr>
          <w:rFonts w:asciiTheme="minorHAnsi" w:hAnsiTheme="minorHAnsi" w:cstheme="minorHAnsi"/>
          <w:sz w:val="20"/>
          <w:szCs w:val="20"/>
        </w:rPr>
      </w:pPr>
      <w:r w:rsidRPr="00591DFB">
        <w:rPr>
          <w:rFonts w:asciiTheme="minorHAnsi" w:hAnsiTheme="minorHAnsi" w:cstheme="minorHAnsi"/>
          <w:sz w:val="20"/>
          <w:szCs w:val="20"/>
        </w:rPr>
        <w:t>Not applicable</w:t>
      </w:r>
    </w:p>
    <w:p w14:paraId="1B3AE004" w14:textId="77777777" w:rsidR="00E45321" w:rsidRPr="00591DFB" w:rsidRDefault="00B76D37">
      <w:pPr>
        <w:pStyle w:val="Heading2"/>
        <w:numPr>
          <w:ilvl w:val="0"/>
          <w:numId w:val="18"/>
        </w:numPr>
        <w:rPr>
          <w:rFonts w:cstheme="minorHAnsi"/>
        </w:rPr>
      </w:pPr>
      <w:r w:rsidRPr="00591DFB">
        <w:rPr>
          <w:rFonts w:cstheme="minorHAnsi"/>
        </w:rPr>
        <w:t xml:space="preserve">If the therapeutic good is not in the process of being considered for listing, </w:t>
      </w:r>
      <w:proofErr w:type="gramStart"/>
      <w:r w:rsidRPr="00591DFB">
        <w:rPr>
          <w:rFonts w:cstheme="minorHAnsi"/>
        </w:rPr>
        <w:t>registration</w:t>
      </w:r>
      <w:proofErr w:type="gramEnd"/>
      <w:r w:rsidRPr="00591DFB">
        <w:rPr>
          <w:rFonts w:cstheme="minorHAnsi"/>
        </w:rPr>
        <w:t xml:space="preserve"> or inclusion by the TGA, is an application to the TGA being prepared?</w:t>
      </w:r>
    </w:p>
    <w:p w14:paraId="2231D43E" w14:textId="77777777" w:rsidR="00591DFB" w:rsidRDefault="00591DFB" w:rsidP="00591DFB">
      <w:pPr>
        <w:ind w:left="284" w:firstLine="76"/>
        <w:rPr>
          <w:rFonts w:asciiTheme="minorHAnsi" w:hAnsiTheme="minorHAnsi" w:cstheme="minorHAnsi"/>
          <w:sz w:val="20"/>
          <w:szCs w:val="20"/>
        </w:rPr>
      </w:pPr>
      <w:r w:rsidRPr="00591DFB">
        <w:rPr>
          <w:rFonts w:asciiTheme="minorHAnsi" w:hAnsiTheme="minorHAnsi" w:cstheme="minorHAnsi"/>
          <w:sz w:val="20"/>
          <w:szCs w:val="20"/>
        </w:rPr>
        <w:t>Not applicable</w:t>
      </w:r>
    </w:p>
    <w:p w14:paraId="60C6950C" w14:textId="77777777" w:rsidR="00591DFB" w:rsidRDefault="00591DFB" w:rsidP="00591DFB">
      <w:pPr>
        <w:ind w:left="284" w:firstLine="76"/>
        <w:sectPr w:rsidR="00591DFB" w:rsidSect="00591DFB">
          <w:footerReference w:type="default" r:id="rId11"/>
          <w:type w:val="continuous"/>
          <w:pgSz w:w="11906" w:h="16838"/>
          <w:pgMar w:top="1440" w:right="1440" w:bottom="1440" w:left="1440" w:header="708" w:footer="708" w:gutter="0"/>
          <w:cols w:space="720"/>
          <w:docGrid w:linePitch="326"/>
        </w:sectPr>
      </w:pPr>
    </w:p>
    <w:p w14:paraId="3D9C8E30" w14:textId="7994E949" w:rsidR="00E45321" w:rsidRPr="00591DFB" w:rsidRDefault="00B76D37" w:rsidP="00B44DB3">
      <w:pPr>
        <w:pStyle w:val="Heading1"/>
        <w:rPr>
          <w:sz w:val="20"/>
          <w:szCs w:val="20"/>
        </w:rPr>
      </w:pPr>
      <w:r>
        <w:lastRenderedPageBreak/>
        <w:t>PART 4 – SUMMARY OF EVIDENCE</w:t>
      </w:r>
    </w:p>
    <w:p w14:paraId="3A078A76" w14:textId="77777777" w:rsidR="00E45321" w:rsidRDefault="00B76D37">
      <w:pPr>
        <w:pStyle w:val="Heading2"/>
        <w:numPr>
          <w:ilvl w:val="0"/>
          <w:numId w:val="18"/>
        </w:numPr>
        <w:rPr>
          <w:i/>
        </w:rPr>
      </w:pPr>
      <w:r>
        <w:t xml:space="preserve">Provide an overview of all key journal articles or research published in the public domain related to the proposed service that is for your application (limiting these to the English language only).  </w:t>
      </w:r>
      <w:r>
        <w:rPr>
          <w:i/>
        </w:rPr>
        <w:t>Please do not attach full text articles, this is just intended to be a summary.</w:t>
      </w:r>
    </w:p>
    <w:tbl>
      <w:tblPr>
        <w:tblStyle w:val="a4"/>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62"/>
        <w:gridCol w:w="2268"/>
        <w:gridCol w:w="2996"/>
        <w:gridCol w:w="3525"/>
        <w:gridCol w:w="3118"/>
        <w:gridCol w:w="1479"/>
      </w:tblGrid>
      <w:tr w:rsidR="00E45321" w:rsidRPr="00FE2796" w14:paraId="2F3A8239" w14:textId="77777777" w:rsidTr="008E3805">
        <w:tc>
          <w:tcPr>
            <w:tcW w:w="562" w:type="dxa"/>
          </w:tcPr>
          <w:p w14:paraId="4E57A9E2" w14:textId="77777777" w:rsidR="00E45321" w:rsidRPr="00FE2796" w:rsidRDefault="00E45321">
            <w:pPr>
              <w:pBdr>
                <w:top w:val="nil"/>
                <w:left w:val="nil"/>
                <w:bottom w:val="nil"/>
                <w:right w:val="nil"/>
                <w:between w:val="nil"/>
              </w:pBdr>
              <w:spacing w:before="120" w:after="120"/>
              <w:ind w:right="82"/>
              <w:rPr>
                <w:rFonts w:ascii="Calibri" w:eastAsia="Calibri" w:hAnsi="Calibri" w:cs="Calibri"/>
                <w:b/>
                <w:sz w:val="20"/>
                <w:szCs w:val="20"/>
              </w:rPr>
            </w:pPr>
          </w:p>
        </w:tc>
        <w:tc>
          <w:tcPr>
            <w:tcW w:w="2268" w:type="dxa"/>
          </w:tcPr>
          <w:p w14:paraId="141D14DA" w14:textId="12DD6623" w:rsidR="00E45321" w:rsidRPr="00FE2796" w:rsidRDefault="00B76D37">
            <w:pPr>
              <w:pBdr>
                <w:top w:val="nil"/>
                <w:left w:val="nil"/>
                <w:bottom w:val="nil"/>
                <w:right w:val="nil"/>
                <w:between w:val="nil"/>
              </w:pBdr>
              <w:spacing w:before="120" w:after="120"/>
              <w:ind w:right="82"/>
              <w:rPr>
                <w:rFonts w:ascii="Calibri" w:eastAsia="Calibri" w:hAnsi="Calibri" w:cs="Calibri"/>
                <w:b/>
                <w:sz w:val="20"/>
                <w:szCs w:val="20"/>
              </w:rPr>
            </w:pPr>
            <w:r w:rsidRPr="00FE2796">
              <w:rPr>
                <w:rFonts w:ascii="Calibri" w:eastAsia="Calibri" w:hAnsi="Calibri" w:cs="Calibri"/>
                <w:b/>
                <w:sz w:val="20"/>
                <w:szCs w:val="20"/>
              </w:rPr>
              <w:t>Type of study design</w:t>
            </w:r>
          </w:p>
        </w:tc>
        <w:tc>
          <w:tcPr>
            <w:tcW w:w="2996" w:type="dxa"/>
          </w:tcPr>
          <w:p w14:paraId="3AB5A931" w14:textId="784F0D7B" w:rsidR="00E45321" w:rsidRPr="00FE2796" w:rsidRDefault="00B76D37">
            <w:pPr>
              <w:pBdr>
                <w:top w:val="nil"/>
                <w:left w:val="nil"/>
                <w:bottom w:val="nil"/>
                <w:right w:val="nil"/>
                <w:between w:val="nil"/>
              </w:pBdr>
              <w:spacing w:before="120" w:after="120"/>
              <w:ind w:right="82"/>
              <w:rPr>
                <w:rFonts w:ascii="Calibri" w:eastAsia="Calibri" w:hAnsi="Calibri" w:cs="Calibri"/>
                <w:b/>
                <w:sz w:val="20"/>
                <w:szCs w:val="20"/>
              </w:rPr>
            </w:pPr>
            <w:r w:rsidRPr="00FE2796">
              <w:rPr>
                <w:rFonts w:ascii="Calibri" w:eastAsia="Calibri" w:hAnsi="Calibri" w:cs="Calibri"/>
                <w:b/>
                <w:sz w:val="20"/>
                <w:szCs w:val="20"/>
              </w:rPr>
              <w:t>Title of journal article or research project</w:t>
            </w:r>
          </w:p>
        </w:tc>
        <w:tc>
          <w:tcPr>
            <w:tcW w:w="3525" w:type="dxa"/>
          </w:tcPr>
          <w:p w14:paraId="662886E7" w14:textId="7D77D900" w:rsidR="00E45321" w:rsidRPr="00FE2796" w:rsidRDefault="00B76D37">
            <w:pPr>
              <w:pBdr>
                <w:top w:val="nil"/>
                <w:left w:val="nil"/>
                <w:bottom w:val="nil"/>
                <w:right w:val="nil"/>
                <w:between w:val="nil"/>
              </w:pBdr>
              <w:spacing w:before="120" w:after="120"/>
              <w:ind w:right="82"/>
              <w:rPr>
                <w:rFonts w:ascii="Calibri" w:eastAsia="Calibri" w:hAnsi="Calibri" w:cs="Calibri"/>
                <w:b/>
                <w:sz w:val="20"/>
                <w:szCs w:val="20"/>
              </w:rPr>
            </w:pPr>
            <w:r w:rsidRPr="00FE2796">
              <w:rPr>
                <w:rFonts w:ascii="Calibri" w:eastAsia="Calibri" w:hAnsi="Calibri" w:cs="Calibri"/>
                <w:b/>
                <w:sz w:val="20"/>
                <w:szCs w:val="20"/>
              </w:rPr>
              <w:t>Short description of research</w:t>
            </w:r>
          </w:p>
        </w:tc>
        <w:tc>
          <w:tcPr>
            <w:tcW w:w="3118" w:type="dxa"/>
          </w:tcPr>
          <w:p w14:paraId="3BCC3E69" w14:textId="428938B9" w:rsidR="00E45321" w:rsidRPr="00FE2796" w:rsidRDefault="00B76D37">
            <w:pPr>
              <w:pBdr>
                <w:top w:val="nil"/>
                <w:left w:val="nil"/>
                <w:bottom w:val="nil"/>
                <w:right w:val="nil"/>
                <w:between w:val="nil"/>
              </w:pBdr>
              <w:spacing w:before="120" w:after="120"/>
              <w:ind w:right="82"/>
              <w:rPr>
                <w:rFonts w:ascii="Calibri" w:eastAsia="Calibri" w:hAnsi="Calibri" w:cs="Calibri"/>
                <w:b/>
                <w:sz w:val="20"/>
                <w:szCs w:val="20"/>
              </w:rPr>
            </w:pPr>
            <w:r w:rsidRPr="00FE2796">
              <w:rPr>
                <w:rFonts w:ascii="Calibri" w:eastAsia="Calibri" w:hAnsi="Calibri" w:cs="Calibri"/>
                <w:b/>
                <w:sz w:val="20"/>
                <w:szCs w:val="20"/>
              </w:rPr>
              <w:t>Website link to journal article or research</w:t>
            </w:r>
          </w:p>
        </w:tc>
        <w:tc>
          <w:tcPr>
            <w:tcW w:w="1479" w:type="dxa"/>
          </w:tcPr>
          <w:p w14:paraId="25830A9A" w14:textId="2551EE7F" w:rsidR="00E45321" w:rsidRPr="00FE2796" w:rsidRDefault="00B76D37">
            <w:pPr>
              <w:pBdr>
                <w:top w:val="nil"/>
                <w:left w:val="nil"/>
                <w:bottom w:val="nil"/>
                <w:right w:val="nil"/>
                <w:between w:val="nil"/>
              </w:pBdr>
              <w:spacing w:before="120" w:after="120"/>
              <w:ind w:right="82"/>
              <w:rPr>
                <w:rFonts w:ascii="Calibri" w:eastAsia="Calibri" w:hAnsi="Calibri" w:cs="Calibri"/>
                <w:b/>
                <w:sz w:val="20"/>
                <w:szCs w:val="20"/>
              </w:rPr>
            </w:pPr>
            <w:r w:rsidRPr="00FE2796">
              <w:rPr>
                <w:rFonts w:ascii="Calibri" w:eastAsia="Calibri" w:hAnsi="Calibri" w:cs="Calibri"/>
                <w:b/>
                <w:sz w:val="20"/>
                <w:szCs w:val="20"/>
              </w:rPr>
              <w:t>Date of publication</w:t>
            </w:r>
          </w:p>
        </w:tc>
      </w:tr>
      <w:tr w:rsidR="00E45321" w:rsidRPr="00D37001" w14:paraId="4E5F44FD" w14:textId="77777777" w:rsidTr="008E3805">
        <w:tc>
          <w:tcPr>
            <w:tcW w:w="562" w:type="dxa"/>
          </w:tcPr>
          <w:p w14:paraId="72A29B19"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1.</w:t>
            </w:r>
          </w:p>
        </w:tc>
        <w:tc>
          <w:tcPr>
            <w:tcW w:w="2268" w:type="dxa"/>
          </w:tcPr>
          <w:p w14:paraId="6324F87A" w14:textId="77777777" w:rsidR="00E45321" w:rsidRPr="00D37001" w:rsidRDefault="00B76D37" w:rsidP="00D37001">
            <w:pPr>
              <w:spacing w:before="120" w:after="120"/>
              <w:rPr>
                <w:rFonts w:asciiTheme="minorHAnsi" w:hAnsiTheme="minorHAnsi" w:cstheme="minorHAnsi"/>
                <w:b/>
                <w:sz w:val="20"/>
                <w:szCs w:val="20"/>
              </w:rPr>
            </w:pPr>
            <w:r w:rsidRPr="00D37001">
              <w:rPr>
                <w:rFonts w:asciiTheme="minorHAnsi" w:hAnsiTheme="minorHAnsi" w:cstheme="minorHAnsi"/>
                <w:sz w:val="20"/>
                <w:szCs w:val="20"/>
              </w:rPr>
              <w:t>Review</w:t>
            </w:r>
          </w:p>
        </w:tc>
        <w:tc>
          <w:tcPr>
            <w:tcW w:w="2996" w:type="dxa"/>
          </w:tcPr>
          <w:p w14:paraId="44E54B02" w14:textId="7F71F31F" w:rsidR="00E45321" w:rsidRPr="00D37001" w:rsidRDefault="008A08EB"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Preeclampsia</w:t>
            </w:r>
            <w:r w:rsidR="00B76D37" w:rsidRPr="00D37001">
              <w:rPr>
                <w:rFonts w:asciiTheme="minorHAnsi" w:hAnsiTheme="minorHAnsi" w:cstheme="minorHAnsi"/>
                <w:sz w:val="20"/>
                <w:szCs w:val="20"/>
              </w:rPr>
              <w:t>.</w:t>
            </w:r>
          </w:p>
          <w:p w14:paraId="371F86EB" w14:textId="3B4FCCD6"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Mol et al.</w:t>
            </w:r>
          </w:p>
          <w:p w14:paraId="4F87BCD0" w14:textId="77777777" w:rsidR="00E45321" w:rsidRPr="00D37001" w:rsidRDefault="00B76D37" w:rsidP="00D37001">
            <w:pPr>
              <w:spacing w:before="120" w:after="120"/>
              <w:rPr>
                <w:rFonts w:asciiTheme="minorHAnsi" w:hAnsiTheme="minorHAnsi" w:cstheme="minorHAnsi"/>
                <w:b/>
                <w:sz w:val="20"/>
                <w:szCs w:val="20"/>
              </w:rPr>
            </w:pPr>
            <w:r w:rsidRPr="00D37001">
              <w:rPr>
                <w:rFonts w:asciiTheme="minorHAnsi" w:hAnsiTheme="minorHAnsi" w:cstheme="minorHAnsi"/>
                <w:sz w:val="20"/>
                <w:szCs w:val="20"/>
              </w:rPr>
              <w:t>Lancet 2016; 387: 999-1011.</w:t>
            </w:r>
          </w:p>
        </w:tc>
        <w:tc>
          <w:tcPr>
            <w:tcW w:w="3525" w:type="dxa"/>
          </w:tcPr>
          <w:p w14:paraId="2563506E" w14:textId="77777777" w:rsidR="00E45321" w:rsidRPr="00D37001" w:rsidRDefault="00B76D37" w:rsidP="00D37001">
            <w:pPr>
              <w:spacing w:before="120" w:after="120"/>
              <w:rPr>
                <w:rFonts w:asciiTheme="minorHAnsi" w:hAnsiTheme="minorHAnsi" w:cstheme="minorHAnsi"/>
                <w:b/>
                <w:sz w:val="20"/>
                <w:szCs w:val="20"/>
              </w:rPr>
            </w:pPr>
            <w:r w:rsidRPr="00D37001">
              <w:rPr>
                <w:rFonts w:asciiTheme="minorHAnsi" w:hAnsiTheme="minorHAnsi" w:cstheme="minorHAnsi"/>
                <w:sz w:val="20"/>
                <w:szCs w:val="20"/>
              </w:rPr>
              <w:t>Comprehensive review of this obstetric syndrome.</w:t>
            </w:r>
          </w:p>
        </w:tc>
        <w:tc>
          <w:tcPr>
            <w:tcW w:w="3118" w:type="dxa"/>
          </w:tcPr>
          <w:p w14:paraId="6E114FC5" w14:textId="77777777" w:rsidR="00E45321" w:rsidRPr="00D37001" w:rsidRDefault="00B76D37" w:rsidP="00D37001">
            <w:pPr>
              <w:spacing w:before="120" w:after="120"/>
              <w:rPr>
                <w:rFonts w:asciiTheme="minorHAnsi" w:hAnsiTheme="minorHAnsi" w:cstheme="minorHAnsi"/>
                <w:sz w:val="20"/>
                <w:szCs w:val="20"/>
              </w:rPr>
            </w:pPr>
            <w:proofErr w:type="spellStart"/>
            <w:r w:rsidRPr="00D37001">
              <w:rPr>
                <w:rFonts w:asciiTheme="minorHAnsi" w:eastAsia="Calibri" w:hAnsiTheme="minorHAnsi" w:cstheme="minorHAnsi"/>
                <w:sz w:val="20"/>
                <w:szCs w:val="20"/>
              </w:rPr>
              <w:t>doi</w:t>
            </w:r>
            <w:proofErr w:type="spellEnd"/>
            <w:r w:rsidRPr="00D37001">
              <w:rPr>
                <w:rFonts w:asciiTheme="minorHAnsi" w:eastAsia="Calibri" w:hAnsiTheme="minorHAnsi" w:cstheme="minorHAnsi"/>
                <w:sz w:val="20"/>
                <w:szCs w:val="20"/>
              </w:rPr>
              <w:t>: 10.1016/S0140-6736(15)00070-7.</w:t>
            </w:r>
          </w:p>
          <w:p w14:paraId="292E212B" w14:textId="77777777" w:rsidR="00E45321" w:rsidRPr="00D37001" w:rsidRDefault="00E45321" w:rsidP="00D37001">
            <w:pPr>
              <w:spacing w:before="120" w:after="120"/>
              <w:rPr>
                <w:rFonts w:asciiTheme="minorHAnsi" w:hAnsiTheme="minorHAnsi" w:cstheme="minorHAnsi"/>
                <w:b/>
                <w:sz w:val="20"/>
                <w:szCs w:val="20"/>
              </w:rPr>
            </w:pPr>
          </w:p>
        </w:tc>
        <w:tc>
          <w:tcPr>
            <w:tcW w:w="1479" w:type="dxa"/>
          </w:tcPr>
          <w:p w14:paraId="69BB37F9" w14:textId="77777777" w:rsidR="00E45321" w:rsidRPr="00D37001" w:rsidRDefault="00B76D37" w:rsidP="00D37001">
            <w:pPr>
              <w:spacing w:before="120" w:after="120"/>
              <w:rPr>
                <w:rFonts w:asciiTheme="minorHAnsi" w:hAnsiTheme="minorHAnsi" w:cstheme="minorHAnsi"/>
                <w:b/>
                <w:sz w:val="20"/>
                <w:szCs w:val="20"/>
              </w:rPr>
            </w:pPr>
            <w:r w:rsidRPr="00D37001">
              <w:rPr>
                <w:rFonts w:asciiTheme="minorHAnsi" w:hAnsiTheme="minorHAnsi" w:cstheme="minorHAnsi"/>
                <w:sz w:val="20"/>
                <w:szCs w:val="20"/>
              </w:rPr>
              <w:t>March 2016</w:t>
            </w:r>
          </w:p>
        </w:tc>
      </w:tr>
      <w:tr w:rsidR="00E45321" w:rsidRPr="00D37001" w14:paraId="02AC1636" w14:textId="77777777" w:rsidTr="008E3805">
        <w:tc>
          <w:tcPr>
            <w:tcW w:w="562" w:type="dxa"/>
          </w:tcPr>
          <w:p w14:paraId="37E68F94"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2.</w:t>
            </w:r>
          </w:p>
        </w:tc>
        <w:tc>
          <w:tcPr>
            <w:tcW w:w="2268" w:type="dxa"/>
          </w:tcPr>
          <w:p w14:paraId="231EE94C"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Guideline</w:t>
            </w:r>
          </w:p>
        </w:tc>
        <w:tc>
          <w:tcPr>
            <w:tcW w:w="2996" w:type="dxa"/>
          </w:tcPr>
          <w:p w14:paraId="474732D4" w14:textId="5188F41B"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SOMANZ guidelines for the management of hypertensive disorders of pregnancy 2014</w:t>
            </w:r>
          </w:p>
          <w:p w14:paraId="7136ADBE" w14:textId="0E0995CA"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Lowe SA et al.</w:t>
            </w:r>
          </w:p>
          <w:p w14:paraId="59B43EE5" w14:textId="77777777" w:rsidR="00E45321" w:rsidRPr="00D37001" w:rsidRDefault="00B76D37" w:rsidP="00D37001">
            <w:pPr>
              <w:spacing w:before="120" w:after="120"/>
              <w:rPr>
                <w:rFonts w:asciiTheme="minorHAnsi" w:hAnsiTheme="minorHAnsi" w:cstheme="minorHAnsi"/>
                <w:b/>
                <w:sz w:val="20"/>
                <w:szCs w:val="20"/>
              </w:rPr>
            </w:pPr>
            <w:r w:rsidRPr="00D37001">
              <w:rPr>
                <w:rFonts w:asciiTheme="minorHAnsi" w:hAnsiTheme="minorHAnsi" w:cstheme="minorHAnsi"/>
                <w:sz w:val="20"/>
                <w:szCs w:val="20"/>
              </w:rPr>
              <w:t xml:space="preserve">Aust NZ J </w:t>
            </w:r>
            <w:proofErr w:type="spellStart"/>
            <w:r w:rsidRPr="00D37001">
              <w:rPr>
                <w:rFonts w:asciiTheme="minorHAnsi" w:hAnsiTheme="minorHAnsi" w:cstheme="minorHAnsi"/>
                <w:sz w:val="20"/>
                <w:szCs w:val="20"/>
              </w:rPr>
              <w:t>Obstet</w:t>
            </w:r>
            <w:proofErr w:type="spellEnd"/>
            <w:r w:rsidRPr="00D37001">
              <w:rPr>
                <w:rFonts w:asciiTheme="minorHAnsi" w:hAnsiTheme="minorHAnsi" w:cstheme="minorHAnsi"/>
                <w:sz w:val="20"/>
                <w:szCs w:val="20"/>
              </w:rPr>
              <w:t xml:space="preserve"> </w:t>
            </w:r>
            <w:proofErr w:type="spellStart"/>
            <w:r w:rsidRPr="00D37001">
              <w:rPr>
                <w:rFonts w:asciiTheme="minorHAnsi" w:hAnsiTheme="minorHAnsi" w:cstheme="minorHAnsi"/>
                <w:sz w:val="20"/>
                <w:szCs w:val="20"/>
              </w:rPr>
              <w:t>Gynaecol</w:t>
            </w:r>
            <w:proofErr w:type="spellEnd"/>
            <w:r w:rsidRPr="00D37001">
              <w:rPr>
                <w:rFonts w:asciiTheme="minorHAnsi" w:hAnsiTheme="minorHAnsi" w:cstheme="minorHAnsi"/>
                <w:sz w:val="20"/>
                <w:szCs w:val="20"/>
              </w:rPr>
              <w:t xml:space="preserve"> 2015; 55: e1-29.</w:t>
            </w:r>
          </w:p>
        </w:tc>
        <w:tc>
          <w:tcPr>
            <w:tcW w:w="3525" w:type="dxa"/>
          </w:tcPr>
          <w:p w14:paraId="72DDAE2E" w14:textId="77777777" w:rsidR="00E45321" w:rsidRPr="00D37001" w:rsidRDefault="00B76D37" w:rsidP="00D37001">
            <w:pPr>
              <w:spacing w:before="120" w:after="120"/>
              <w:rPr>
                <w:rFonts w:asciiTheme="minorHAnsi" w:hAnsiTheme="minorHAnsi" w:cstheme="minorHAnsi"/>
                <w:b/>
                <w:sz w:val="20"/>
                <w:szCs w:val="20"/>
              </w:rPr>
            </w:pPr>
            <w:r w:rsidRPr="00D37001">
              <w:rPr>
                <w:rFonts w:asciiTheme="minorHAnsi" w:hAnsiTheme="minorHAnsi" w:cstheme="minorHAnsi"/>
                <w:sz w:val="20"/>
                <w:szCs w:val="20"/>
              </w:rPr>
              <w:t xml:space="preserve">Describes the current national guidelines for diagnosis and management of preeclampsia.  </w:t>
            </w:r>
          </w:p>
        </w:tc>
        <w:tc>
          <w:tcPr>
            <w:tcW w:w="3118" w:type="dxa"/>
          </w:tcPr>
          <w:p w14:paraId="3D70167E" w14:textId="77777777" w:rsidR="00E45321" w:rsidRPr="00D37001" w:rsidRDefault="00B76D37" w:rsidP="00D37001">
            <w:pPr>
              <w:spacing w:before="120" w:after="120"/>
              <w:rPr>
                <w:rFonts w:asciiTheme="minorHAnsi" w:hAnsiTheme="minorHAnsi" w:cstheme="minorHAnsi"/>
                <w:sz w:val="20"/>
                <w:szCs w:val="20"/>
              </w:rPr>
            </w:pPr>
            <w:proofErr w:type="spellStart"/>
            <w:r w:rsidRPr="00D37001">
              <w:rPr>
                <w:rFonts w:asciiTheme="minorHAnsi" w:hAnsiTheme="minorHAnsi" w:cstheme="minorHAnsi"/>
                <w:sz w:val="20"/>
                <w:szCs w:val="20"/>
              </w:rPr>
              <w:t>doi</w:t>
            </w:r>
            <w:proofErr w:type="spellEnd"/>
            <w:r w:rsidRPr="00D37001">
              <w:rPr>
                <w:rFonts w:asciiTheme="minorHAnsi" w:hAnsiTheme="minorHAnsi" w:cstheme="minorHAnsi"/>
                <w:sz w:val="20"/>
                <w:szCs w:val="20"/>
              </w:rPr>
              <w:t>: 10.1111/ajo.12399.</w:t>
            </w:r>
          </w:p>
          <w:p w14:paraId="101BBC50" w14:textId="77777777" w:rsidR="00E45321" w:rsidRPr="00D37001" w:rsidRDefault="00E45321" w:rsidP="00D37001">
            <w:pPr>
              <w:spacing w:before="120" w:after="120"/>
              <w:rPr>
                <w:rFonts w:asciiTheme="minorHAnsi" w:hAnsiTheme="minorHAnsi" w:cstheme="minorHAnsi"/>
                <w:b/>
                <w:sz w:val="20"/>
                <w:szCs w:val="20"/>
              </w:rPr>
            </w:pPr>
          </w:p>
        </w:tc>
        <w:tc>
          <w:tcPr>
            <w:tcW w:w="1479" w:type="dxa"/>
          </w:tcPr>
          <w:p w14:paraId="1314090E" w14:textId="77777777" w:rsidR="00E45321" w:rsidRPr="00D37001" w:rsidRDefault="00B76D37" w:rsidP="00D37001">
            <w:pPr>
              <w:spacing w:before="120" w:after="120"/>
              <w:rPr>
                <w:rFonts w:asciiTheme="minorHAnsi" w:hAnsiTheme="minorHAnsi" w:cstheme="minorHAnsi"/>
                <w:b/>
                <w:sz w:val="20"/>
                <w:szCs w:val="20"/>
              </w:rPr>
            </w:pPr>
            <w:r w:rsidRPr="00D37001">
              <w:rPr>
                <w:rFonts w:asciiTheme="minorHAnsi" w:hAnsiTheme="minorHAnsi" w:cstheme="minorHAnsi"/>
                <w:sz w:val="20"/>
                <w:szCs w:val="20"/>
              </w:rPr>
              <w:t>October 2015</w:t>
            </w:r>
          </w:p>
        </w:tc>
      </w:tr>
      <w:tr w:rsidR="00E45321" w:rsidRPr="00D37001" w14:paraId="5CB35C81" w14:textId="77777777" w:rsidTr="008E3805">
        <w:tc>
          <w:tcPr>
            <w:tcW w:w="562" w:type="dxa"/>
          </w:tcPr>
          <w:p w14:paraId="1EDCCAF8"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3.</w:t>
            </w:r>
          </w:p>
        </w:tc>
        <w:tc>
          <w:tcPr>
            <w:tcW w:w="2268" w:type="dxa"/>
          </w:tcPr>
          <w:p w14:paraId="17634C2A" w14:textId="77777777" w:rsidR="00E45321" w:rsidRPr="00D37001" w:rsidRDefault="00B76D37" w:rsidP="00D37001">
            <w:pPr>
              <w:spacing w:before="120" w:after="120"/>
              <w:rPr>
                <w:rFonts w:asciiTheme="minorHAnsi" w:hAnsiTheme="minorHAnsi" w:cstheme="minorHAnsi"/>
                <w:b/>
                <w:sz w:val="20"/>
                <w:szCs w:val="20"/>
              </w:rPr>
            </w:pPr>
            <w:r w:rsidRPr="00D37001">
              <w:rPr>
                <w:rFonts w:asciiTheme="minorHAnsi" w:hAnsiTheme="minorHAnsi" w:cstheme="minorHAnsi"/>
                <w:sz w:val="20"/>
                <w:szCs w:val="20"/>
              </w:rPr>
              <w:t xml:space="preserve">Nested case control study. </w:t>
            </w:r>
          </w:p>
        </w:tc>
        <w:tc>
          <w:tcPr>
            <w:tcW w:w="2996" w:type="dxa"/>
          </w:tcPr>
          <w:p w14:paraId="22463670" w14:textId="20C4220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 xml:space="preserve">Circulating angiogenic factors and the risk of preeclampsia. </w:t>
            </w:r>
          </w:p>
          <w:p w14:paraId="60407722" w14:textId="1F5A3080"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Levine RJ et al.</w:t>
            </w:r>
          </w:p>
          <w:p w14:paraId="242735E2"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 xml:space="preserve">N </w:t>
            </w:r>
            <w:proofErr w:type="spellStart"/>
            <w:r w:rsidRPr="00D37001">
              <w:rPr>
                <w:rFonts w:asciiTheme="minorHAnsi" w:hAnsiTheme="minorHAnsi" w:cstheme="minorHAnsi"/>
                <w:sz w:val="20"/>
                <w:szCs w:val="20"/>
              </w:rPr>
              <w:t>Engl</w:t>
            </w:r>
            <w:proofErr w:type="spellEnd"/>
            <w:r w:rsidRPr="00D37001">
              <w:rPr>
                <w:rFonts w:asciiTheme="minorHAnsi" w:hAnsiTheme="minorHAnsi" w:cstheme="minorHAnsi"/>
                <w:sz w:val="20"/>
                <w:szCs w:val="20"/>
              </w:rPr>
              <w:t xml:space="preserve"> J Med 2004; 350: 672-683.</w:t>
            </w:r>
          </w:p>
        </w:tc>
        <w:tc>
          <w:tcPr>
            <w:tcW w:w="3525" w:type="dxa"/>
          </w:tcPr>
          <w:p w14:paraId="496B30AA" w14:textId="62035CB0"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 xml:space="preserve">Describes changes in sFlt-1 and </w:t>
            </w:r>
            <w:proofErr w:type="spellStart"/>
            <w:r w:rsidRPr="00D37001">
              <w:rPr>
                <w:rFonts w:asciiTheme="minorHAnsi" w:hAnsiTheme="minorHAnsi" w:cstheme="minorHAnsi"/>
                <w:sz w:val="20"/>
                <w:szCs w:val="20"/>
              </w:rPr>
              <w:t>PlGF</w:t>
            </w:r>
            <w:proofErr w:type="spellEnd"/>
            <w:r w:rsidRPr="00D37001">
              <w:rPr>
                <w:rFonts w:asciiTheme="minorHAnsi" w:hAnsiTheme="minorHAnsi" w:cstheme="minorHAnsi"/>
                <w:sz w:val="20"/>
                <w:szCs w:val="20"/>
              </w:rPr>
              <w:t xml:space="preserve"> in preeclamptic pregnancies and controls.</w:t>
            </w:r>
          </w:p>
          <w:p w14:paraId="3036BD14"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 xml:space="preserve">Identifies the increase in sFlt-1 and decrease in </w:t>
            </w:r>
            <w:proofErr w:type="spellStart"/>
            <w:r w:rsidRPr="00D37001">
              <w:rPr>
                <w:rFonts w:asciiTheme="minorHAnsi" w:hAnsiTheme="minorHAnsi" w:cstheme="minorHAnsi"/>
                <w:sz w:val="20"/>
                <w:szCs w:val="20"/>
              </w:rPr>
              <w:t>PlGF</w:t>
            </w:r>
            <w:proofErr w:type="spellEnd"/>
            <w:r w:rsidRPr="00D37001">
              <w:rPr>
                <w:rFonts w:asciiTheme="minorHAnsi" w:hAnsiTheme="minorHAnsi" w:cstheme="minorHAnsi"/>
                <w:sz w:val="20"/>
                <w:szCs w:val="20"/>
              </w:rPr>
              <w:t xml:space="preserve"> seen in preeclamptic pregnancies. </w:t>
            </w:r>
          </w:p>
        </w:tc>
        <w:tc>
          <w:tcPr>
            <w:tcW w:w="3118" w:type="dxa"/>
          </w:tcPr>
          <w:p w14:paraId="3F008181" w14:textId="77777777" w:rsidR="00E45321" w:rsidRPr="00D37001" w:rsidRDefault="00B76D37" w:rsidP="00D37001">
            <w:pPr>
              <w:spacing w:before="120" w:after="120"/>
              <w:rPr>
                <w:rFonts w:asciiTheme="minorHAnsi" w:hAnsiTheme="minorHAnsi" w:cstheme="minorHAnsi"/>
                <w:sz w:val="20"/>
                <w:szCs w:val="20"/>
              </w:rPr>
            </w:pPr>
            <w:proofErr w:type="spellStart"/>
            <w:r w:rsidRPr="00D37001">
              <w:rPr>
                <w:rFonts w:asciiTheme="minorHAnsi" w:hAnsiTheme="minorHAnsi" w:cstheme="minorHAnsi"/>
                <w:sz w:val="20"/>
                <w:szCs w:val="20"/>
              </w:rPr>
              <w:t>doi</w:t>
            </w:r>
            <w:proofErr w:type="spellEnd"/>
            <w:r w:rsidRPr="00D37001">
              <w:rPr>
                <w:rFonts w:asciiTheme="minorHAnsi" w:hAnsiTheme="minorHAnsi" w:cstheme="minorHAnsi"/>
                <w:sz w:val="20"/>
                <w:szCs w:val="20"/>
              </w:rPr>
              <w:t>: 10.1056/NEJMoa031884</w:t>
            </w:r>
          </w:p>
          <w:p w14:paraId="11751885" w14:textId="77777777" w:rsidR="00E45321" w:rsidRPr="00D37001" w:rsidRDefault="00E45321" w:rsidP="00D37001">
            <w:pPr>
              <w:spacing w:before="120" w:after="120"/>
              <w:rPr>
                <w:rFonts w:asciiTheme="minorHAnsi" w:hAnsiTheme="minorHAnsi" w:cstheme="minorHAnsi"/>
                <w:b/>
                <w:sz w:val="20"/>
                <w:szCs w:val="20"/>
              </w:rPr>
            </w:pPr>
          </w:p>
        </w:tc>
        <w:tc>
          <w:tcPr>
            <w:tcW w:w="1479" w:type="dxa"/>
          </w:tcPr>
          <w:p w14:paraId="543A53F2" w14:textId="77777777" w:rsidR="00E45321" w:rsidRPr="00D37001" w:rsidRDefault="00B76D37" w:rsidP="00D37001">
            <w:pPr>
              <w:spacing w:before="120" w:after="120"/>
              <w:rPr>
                <w:rFonts w:asciiTheme="minorHAnsi" w:hAnsiTheme="minorHAnsi" w:cstheme="minorHAnsi"/>
                <w:b/>
                <w:sz w:val="20"/>
                <w:szCs w:val="20"/>
              </w:rPr>
            </w:pPr>
            <w:r w:rsidRPr="00D37001">
              <w:rPr>
                <w:rFonts w:asciiTheme="minorHAnsi" w:hAnsiTheme="minorHAnsi" w:cstheme="minorHAnsi"/>
                <w:sz w:val="20"/>
                <w:szCs w:val="20"/>
              </w:rPr>
              <w:t>February 2004</w:t>
            </w:r>
          </w:p>
        </w:tc>
      </w:tr>
      <w:tr w:rsidR="00E45321" w:rsidRPr="00D37001" w14:paraId="1160FF73" w14:textId="77777777" w:rsidTr="008E3805">
        <w:tc>
          <w:tcPr>
            <w:tcW w:w="562" w:type="dxa"/>
          </w:tcPr>
          <w:p w14:paraId="67F0A8C9"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4.</w:t>
            </w:r>
          </w:p>
        </w:tc>
        <w:tc>
          <w:tcPr>
            <w:tcW w:w="2268" w:type="dxa"/>
          </w:tcPr>
          <w:p w14:paraId="168824C1" w14:textId="77777777" w:rsidR="00E45321" w:rsidRPr="00D37001" w:rsidRDefault="00B76D37" w:rsidP="00D37001">
            <w:pPr>
              <w:spacing w:before="120" w:after="120"/>
              <w:rPr>
                <w:rFonts w:asciiTheme="minorHAnsi" w:hAnsiTheme="minorHAnsi" w:cstheme="minorHAnsi"/>
                <w:b/>
                <w:sz w:val="20"/>
                <w:szCs w:val="20"/>
              </w:rPr>
            </w:pPr>
            <w:r w:rsidRPr="00D37001">
              <w:rPr>
                <w:rFonts w:asciiTheme="minorHAnsi" w:hAnsiTheme="minorHAnsi" w:cstheme="minorHAnsi"/>
                <w:sz w:val="20"/>
                <w:szCs w:val="20"/>
              </w:rPr>
              <w:t>Nested case control study</w:t>
            </w:r>
          </w:p>
        </w:tc>
        <w:tc>
          <w:tcPr>
            <w:tcW w:w="2996" w:type="dxa"/>
          </w:tcPr>
          <w:p w14:paraId="3523C73D" w14:textId="3607C300"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Soluble endoglin and other circulating antiangiogenic factors in preeclampsia.</w:t>
            </w:r>
          </w:p>
          <w:p w14:paraId="4E28800E" w14:textId="62D0A28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 xml:space="preserve">Levine RJ et al. </w:t>
            </w:r>
          </w:p>
          <w:p w14:paraId="02C580DE"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 xml:space="preserve">N </w:t>
            </w:r>
            <w:proofErr w:type="spellStart"/>
            <w:r w:rsidRPr="00D37001">
              <w:rPr>
                <w:rFonts w:asciiTheme="minorHAnsi" w:hAnsiTheme="minorHAnsi" w:cstheme="minorHAnsi"/>
                <w:sz w:val="20"/>
                <w:szCs w:val="20"/>
              </w:rPr>
              <w:t>Engl</w:t>
            </w:r>
            <w:proofErr w:type="spellEnd"/>
            <w:r w:rsidRPr="00D37001">
              <w:rPr>
                <w:rFonts w:asciiTheme="minorHAnsi" w:hAnsiTheme="minorHAnsi" w:cstheme="minorHAnsi"/>
                <w:sz w:val="20"/>
                <w:szCs w:val="20"/>
              </w:rPr>
              <w:t xml:space="preserve"> J Med 2006; 194: 1034-1041</w:t>
            </w:r>
          </w:p>
        </w:tc>
        <w:tc>
          <w:tcPr>
            <w:tcW w:w="3525" w:type="dxa"/>
          </w:tcPr>
          <w:p w14:paraId="6DED67B6"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 xml:space="preserve">Describes use of the sFlt-1: </w:t>
            </w:r>
            <w:proofErr w:type="spellStart"/>
            <w:r w:rsidRPr="00D37001">
              <w:rPr>
                <w:rFonts w:asciiTheme="minorHAnsi" w:hAnsiTheme="minorHAnsi" w:cstheme="minorHAnsi"/>
                <w:sz w:val="20"/>
                <w:szCs w:val="20"/>
              </w:rPr>
              <w:t>PlGF</w:t>
            </w:r>
            <w:proofErr w:type="spellEnd"/>
            <w:r w:rsidRPr="00D37001">
              <w:rPr>
                <w:rFonts w:asciiTheme="minorHAnsi" w:hAnsiTheme="minorHAnsi" w:cstheme="minorHAnsi"/>
                <w:sz w:val="20"/>
                <w:szCs w:val="20"/>
              </w:rPr>
              <w:t xml:space="preserve"> ratio as a predictive tool for preeclampsia</w:t>
            </w:r>
          </w:p>
        </w:tc>
        <w:tc>
          <w:tcPr>
            <w:tcW w:w="3118" w:type="dxa"/>
          </w:tcPr>
          <w:p w14:paraId="47B0B19F" w14:textId="77777777" w:rsidR="00E45321" w:rsidRPr="00D37001" w:rsidRDefault="00B76D37" w:rsidP="00D37001">
            <w:pPr>
              <w:spacing w:before="120" w:after="120"/>
              <w:rPr>
                <w:rFonts w:asciiTheme="minorHAnsi" w:hAnsiTheme="minorHAnsi" w:cstheme="minorHAnsi"/>
                <w:sz w:val="20"/>
                <w:szCs w:val="20"/>
              </w:rPr>
            </w:pPr>
            <w:proofErr w:type="spellStart"/>
            <w:r w:rsidRPr="00D37001">
              <w:rPr>
                <w:rFonts w:asciiTheme="minorHAnsi" w:hAnsiTheme="minorHAnsi" w:cstheme="minorHAnsi"/>
                <w:sz w:val="20"/>
                <w:szCs w:val="20"/>
              </w:rPr>
              <w:t>doi</w:t>
            </w:r>
            <w:proofErr w:type="spellEnd"/>
            <w:r w:rsidRPr="00D37001">
              <w:rPr>
                <w:rFonts w:asciiTheme="minorHAnsi" w:hAnsiTheme="minorHAnsi" w:cstheme="minorHAnsi"/>
                <w:sz w:val="20"/>
                <w:szCs w:val="20"/>
              </w:rPr>
              <w:t>: 10.1056/NEJMoa055352</w:t>
            </w:r>
          </w:p>
          <w:p w14:paraId="609AFEF2" w14:textId="77777777" w:rsidR="00E45321" w:rsidRPr="00D37001" w:rsidRDefault="00E45321" w:rsidP="00D37001">
            <w:pPr>
              <w:spacing w:before="120" w:after="120"/>
              <w:rPr>
                <w:rFonts w:asciiTheme="minorHAnsi" w:hAnsiTheme="minorHAnsi" w:cstheme="minorHAnsi"/>
                <w:b/>
                <w:sz w:val="20"/>
                <w:szCs w:val="20"/>
              </w:rPr>
            </w:pPr>
          </w:p>
        </w:tc>
        <w:tc>
          <w:tcPr>
            <w:tcW w:w="1479" w:type="dxa"/>
          </w:tcPr>
          <w:p w14:paraId="3533701E" w14:textId="77777777" w:rsidR="00E45321" w:rsidRPr="00D37001" w:rsidRDefault="00B76D37" w:rsidP="00D37001">
            <w:pPr>
              <w:spacing w:before="120" w:after="120"/>
              <w:rPr>
                <w:rFonts w:asciiTheme="minorHAnsi" w:hAnsiTheme="minorHAnsi" w:cstheme="minorHAnsi"/>
                <w:b/>
                <w:sz w:val="20"/>
                <w:szCs w:val="20"/>
              </w:rPr>
            </w:pPr>
            <w:r w:rsidRPr="00D37001">
              <w:rPr>
                <w:rFonts w:asciiTheme="minorHAnsi" w:hAnsiTheme="minorHAnsi" w:cstheme="minorHAnsi"/>
                <w:sz w:val="20"/>
                <w:szCs w:val="20"/>
              </w:rPr>
              <w:t>September 2006</w:t>
            </w:r>
          </w:p>
        </w:tc>
      </w:tr>
      <w:tr w:rsidR="00E45321" w:rsidRPr="00D37001" w14:paraId="1C340928" w14:textId="77777777" w:rsidTr="008E3805">
        <w:tc>
          <w:tcPr>
            <w:tcW w:w="562" w:type="dxa"/>
          </w:tcPr>
          <w:p w14:paraId="51349C5E"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lastRenderedPageBreak/>
              <w:t>5.</w:t>
            </w:r>
          </w:p>
        </w:tc>
        <w:tc>
          <w:tcPr>
            <w:tcW w:w="2268" w:type="dxa"/>
          </w:tcPr>
          <w:p w14:paraId="6A5FA7D3"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Prospective multicentre observational study.</w:t>
            </w:r>
          </w:p>
          <w:p w14:paraId="72B63625" w14:textId="77777777" w:rsidR="00E45321" w:rsidRPr="00D37001" w:rsidRDefault="00E45321" w:rsidP="00D37001">
            <w:pPr>
              <w:spacing w:before="120" w:after="120"/>
              <w:rPr>
                <w:rFonts w:asciiTheme="minorHAnsi" w:hAnsiTheme="minorHAnsi" w:cstheme="minorHAnsi"/>
                <w:sz w:val="20"/>
                <w:szCs w:val="20"/>
              </w:rPr>
            </w:pPr>
          </w:p>
          <w:p w14:paraId="53482A3E"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Recruited women clinically suspected of having preeclampsia.</w:t>
            </w:r>
          </w:p>
          <w:p w14:paraId="12896FA8" w14:textId="77777777" w:rsidR="00E45321" w:rsidRPr="00D37001" w:rsidRDefault="00E45321" w:rsidP="00D37001">
            <w:pPr>
              <w:spacing w:before="120" w:after="120"/>
              <w:rPr>
                <w:rFonts w:asciiTheme="minorHAnsi" w:hAnsiTheme="minorHAnsi" w:cstheme="minorHAnsi"/>
                <w:sz w:val="20"/>
                <w:szCs w:val="20"/>
              </w:rPr>
            </w:pPr>
          </w:p>
          <w:p w14:paraId="3D8D3F6C"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Included Royal Hospital for Women, Melbourne</w:t>
            </w:r>
          </w:p>
          <w:p w14:paraId="6EC6DF55" w14:textId="77777777" w:rsidR="00E45321" w:rsidRPr="00D37001" w:rsidRDefault="00E45321" w:rsidP="00D37001">
            <w:pPr>
              <w:spacing w:before="120" w:after="120"/>
              <w:rPr>
                <w:rFonts w:asciiTheme="minorHAnsi" w:hAnsiTheme="minorHAnsi" w:cstheme="minorHAnsi"/>
                <w:sz w:val="20"/>
                <w:szCs w:val="20"/>
              </w:rPr>
            </w:pPr>
          </w:p>
        </w:tc>
        <w:tc>
          <w:tcPr>
            <w:tcW w:w="2996" w:type="dxa"/>
          </w:tcPr>
          <w:p w14:paraId="72B89D60" w14:textId="5B1E1F90"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Predictive value of the sFlt-</w:t>
            </w:r>
            <w:proofErr w:type="gramStart"/>
            <w:r w:rsidRPr="00D37001">
              <w:rPr>
                <w:rFonts w:asciiTheme="minorHAnsi" w:hAnsiTheme="minorHAnsi" w:cstheme="minorHAnsi"/>
                <w:sz w:val="20"/>
                <w:szCs w:val="20"/>
              </w:rPr>
              <w:t>1:PlGF</w:t>
            </w:r>
            <w:proofErr w:type="gramEnd"/>
            <w:r w:rsidRPr="00D37001">
              <w:rPr>
                <w:rFonts w:asciiTheme="minorHAnsi" w:hAnsiTheme="minorHAnsi" w:cstheme="minorHAnsi"/>
                <w:sz w:val="20"/>
                <w:szCs w:val="20"/>
              </w:rPr>
              <w:t xml:space="preserve"> ratio in women with suspected preeclampsia.</w:t>
            </w:r>
          </w:p>
          <w:p w14:paraId="06C7AAA2" w14:textId="78F7F27A" w:rsidR="00E45321" w:rsidRPr="00D37001" w:rsidRDefault="00B76D37" w:rsidP="00D37001">
            <w:pPr>
              <w:spacing w:before="120" w:after="120"/>
              <w:rPr>
                <w:rFonts w:asciiTheme="minorHAnsi" w:hAnsiTheme="minorHAnsi" w:cstheme="minorHAnsi"/>
                <w:sz w:val="20"/>
                <w:szCs w:val="20"/>
              </w:rPr>
            </w:pPr>
            <w:proofErr w:type="spellStart"/>
            <w:r w:rsidRPr="00D37001">
              <w:rPr>
                <w:rFonts w:asciiTheme="minorHAnsi" w:hAnsiTheme="minorHAnsi" w:cstheme="minorHAnsi"/>
                <w:sz w:val="20"/>
                <w:szCs w:val="20"/>
              </w:rPr>
              <w:t>Zeisler</w:t>
            </w:r>
            <w:proofErr w:type="spellEnd"/>
            <w:r w:rsidRPr="00D37001">
              <w:rPr>
                <w:rFonts w:asciiTheme="minorHAnsi" w:hAnsiTheme="minorHAnsi" w:cstheme="minorHAnsi"/>
                <w:sz w:val="20"/>
                <w:szCs w:val="20"/>
              </w:rPr>
              <w:t xml:space="preserve"> H et al. </w:t>
            </w:r>
          </w:p>
          <w:p w14:paraId="34E9C83E"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 xml:space="preserve">N </w:t>
            </w:r>
            <w:proofErr w:type="spellStart"/>
            <w:r w:rsidRPr="00D37001">
              <w:rPr>
                <w:rFonts w:asciiTheme="minorHAnsi" w:hAnsiTheme="minorHAnsi" w:cstheme="minorHAnsi"/>
                <w:sz w:val="20"/>
                <w:szCs w:val="20"/>
              </w:rPr>
              <w:t>Engl</w:t>
            </w:r>
            <w:proofErr w:type="spellEnd"/>
            <w:r w:rsidRPr="00D37001">
              <w:rPr>
                <w:rFonts w:asciiTheme="minorHAnsi" w:hAnsiTheme="minorHAnsi" w:cstheme="minorHAnsi"/>
                <w:sz w:val="20"/>
                <w:szCs w:val="20"/>
              </w:rPr>
              <w:t xml:space="preserve"> J Med 2016; 374: 13-22 </w:t>
            </w:r>
          </w:p>
        </w:tc>
        <w:tc>
          <w:tcPr>
            <w:tcW w:w="3525" w:type="dxa"/>
          </w:tcPr>
          <w:p w14:paraId="15CB3372" w14:textId="02CD60EA"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Developed prediction cut-offs and validated these in a second cohort.</w:t>
            </w:r>
          </w:p>
          <w:p w14:paraId="10529EF3" w14:textId="0CC52948" w:rsidR="00E45321" w:rsidRPr="00D37001" w:rsidRDefault="00B76D37" w:rsidP="00D37001">
            <w:pPr>
              <w:spacing w:before="120" w:after="120"/>
              <w:rPr>
                <w:rFonts w:asciiTheme="minorHAnsi" w:hAnsiTheme="minorHAnsi" w:cstheme="minorHAnsi"/>
                <w:sz w:val="20"/>
                <w:szCs w:val="20"/>
              </w:rPr>
            </w:pPr>
            <w:proofErr w:type="spellStart"/>
            <w:proofErr w:type="gramStart"/>
            <w:r w:rsidRPr="00D37001">
              <w:rPr>
                <w:rFonts w:asciiTheme="minorHAnsi" w:hAnsiTheme="minorHAnsi" w:cstheme="minorHAnsi"/>
                <w:sz w:val="20"/>
                <w:szCs w:val="20"/>
              </w:rPr>
              <w:t>sFlt:PlGF</w:t>
            </w:r>
            <w:proofErr w:type="spellEnd"/>
            <w:proofErr w:type="gramEnd"/>
            <w:r w:rsidRPr="00D37001">
              <w:rPr>
                <w:rFonts w:asciiTheme="minorHAnsi" w:hAnsiTheme="minorHAnsi" w:cstheme="minorHAnsi"/>
                <w:sz w:val="20"/>
                <w:szCs w:val="20"/>
              </w:rPr>
              <w:t xml:space="preserve"> &lt;38 predictive of absence of preeclampsia.</w:t>
            </w:r>
          </w:p>
          <w:p w14:paraId="4CA88CE5"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 xml:space="preserve">Described screening efficacy in relation to </w:t>
            </w:r>
            <w:proofErr w:type="gramStart"/>
            <w:r w:rsidRPr="00D37001">
              <w:rPr>
                <w:rFonts w:asciiTheme="minorHAnsi" w:hAnsiTheme="minorHAnsi" w:cstheme="minorHAnsi"/>
                <w:sz w:val="20"/>
                <w:szCs w:val="20"/>
              </w:rPr>
              <w:t>1 and 4 week</w:t>
            </w:r>
            <w:proofErr w:type="gramEnd"/>
            <w:r w:rsidRPr="00D37001">
              <w:rPr>
                <w:rFonts w:asciiTheme="minorHAnsi" w:hAnsiTheme="minorHAnsi" w:cstheme="minorHAnsi"/>
                <w:sz w:val="20"/>
                <w:szCs w:val="20"/>
              </w:rPr>
              <w:t xml:space="preserve"> outcomes. </w:t>
            </w:r>
          </w:p>
        </w:tc>
        <w:tc>
          <w:tcPr>
            <w:tcW w:w="3118" w:type="dxa"/>
          </w:tcPr>
          <w:p w14:paraId="79320501" w14:textId="77777777" w:rsidR="00E45321" w:rsidRPr="00D37001" w:rsidRDefault="00B76D37" w:rsidP="00D37001">
            <w:pPr>
              <w:spacing w:before="120" w:after="120"/>
              <w:rPr>
                <w:rFonts w:asciiTheme="minorHAnsi" w:hAnsiTheme="minorHAnsi" w:cstheme="minorHAnsi"/>
                <w:sz w:val="20"/>
                <w:szCs w:val="20"/>
              </w:rPr>
            </w:pPr>
            <w:proofErr w:type="spellStart"/>
            <w:r w:rsidRPr="00D37001">
              <w:rPr>
                <w:rFonts w:asciiTheme="minorHAnsi" w:hAnsiTheme="minorHAnsi" w:cstheme="minorHAnsi"/>
                <w:sz w:val="20"/>
                <w:szCs w:val="20"/>
              </w:rPr>
              <w:t>doi</w:t>
            </w:r>
            <w:proofErr w:type="spellEnd"/>
            <w:r w:rsidRPr="00D37001">
              <w:rPr>
                <w:rFonts w:asciiTheme="minorHAnsi" w:hAnsiTheme="minorHAnsi" w:cstheme="minorHAnsi"/>
                <w:sz w:val="20"/>
                <w:szCs w:val="20"/>
              </w:rPr>
              <w:t>: 10.1056/NEJMoa1414838</w:t>
            </w:r>
          </w:p>
          <w:p w14:paraId="0EF6F313" w14:textId="77777777" w:rsidR="00E45321" w:rsidRPr="00D37001" w:rsidRDefault="00E45321" w:rsidP="00D37001">
            <w:pPr>
              <w:spacing w:before="120" w:after="120"/>
              <w:rPr>
                <w:rFonts w:asciiTheme="minorHAnsi" w:hAnsiTheme="minorHAnsi" w:cstheme="minorHAnsi"/>
                <w:b/>
                <w:sz w:val="20"/>
                <w:szCs w:val="20"/>
              </w:rPr>
            </w:pPr>
          </w:p>
        </w:tc>
        <w:tc>
          <w:tcPr>
            <w:tcW w:w="1479" w:type="dxa"/>
          </w:tcPr>
          <w:p w14:paraId="32D7CF2F" w14:textId="77777777" w:rsidR="00E45321" w:rsidRPr="00D37001" w:rsidRDefault="00B76D37" w:rsidP="00D37001">
            <w:pPr>
              <w:spacing w:before="120" w:after="120"/>
              <w:rPr>
                <w:rFonts w:asciiTheme="minorHAnsi" w:hAnsiTheme="minorHAnsi" w:cstheme="minorHAnsi"/>
                <w:b/>
                <w:sz w:val="20"/>
                <w:szCs w:val="20"/>
              </w:rPr>
            </w:pPr>
            <w:r w:rsidRPr="00D37001">
              <w:rPr>
                <w:rFonts w:asciiTheme="minorHAnsi" w:hAnsiTheme="minorHAnsi" w:cstheme="minorHAnsi"/>
                <w:sz w:val="20"/>
                <w:szCs w:val="20"/>
              </w:rPr>
              <w:t>January 2016</w:t>
            </w:r>
          </w:p>
        </w:tc>
      </w:tr>
      <w:tr w:rsidR="00E45321" w:rsidRPr="00D37001" w14:paraId="4ED3497B" w14:textId="77777777" w:rsidTr="008E3805">
        <w:tc>
          <w:tcPr>
            <w:tcW w:w="562" w:type="dxa"/>
          </w:tcPr>
          <w:p w14:paraId="134FF729"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6</w:t>
            </w:r>
          </w:p>
        </w:tc>
        <w:tc>
          <w:tcPr>
            <w:tcW w:w="2268" w:type="dxa"/>
          </w:tcPr>
          <w:p w14:paraId="7DC99923"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Cost-effectiveness study (Germany)</w:t>
            </w:r>
          </w:p>
        </w:tc>
        <w:tc>
          <w:tcPr>
            <w:tcW w:w="2996" w:type="dxa"/>
          </w:tcPr>
          <w:p w14:paraId="3A04CB3A" w14:textId="77777777" w:rsidR="00E45321" w:rsidRPr="00D37001" w:rsidRDefault="00B76D37" w:rsidP="00D37001">
            <w:pPr>
              <w:spacing w:before="120" w:after="120"/>
              <w:rPr>
                <w:rFonts w:asciiTheme="minorHAnsi" w:hAnsiTheme="minorHAnsi" w:cstheme="minorHAnsi"/>
                <w:sz w:val="20"/>
                <w:szCs w:val="20"/>
              </w:rPr>
            </w:pPr>
            <w:proofErr w:type="spellStart"/>
            <w:r w:rsidRPr="00D37001">
              <w:rPr>
                <w:rFonts w:asciiTheme="minorHAnsi" w:hAnsiTheme="minorHAnsi" w:cstheme="minorHAnsi"/>
                <w:sz w:val="20"/>
                <w:szCs w:val="20"/>
              </w:rPr>
              <w:t>Schlembach</w:t>
            </w:r>
            <w:proofErr w:type="spellEnd"/>
            <w:r w:rsidRPr="00D37001">
              <w:rPr>
                <w:rFonts w:asciiTheme="minorHAnsi" w:hAnsiTheme="minorHAnsi" w:cstheme="minorHAnsi"/>
                <w:sz w:val="20"/>
                <w:szCs w:val="20"/>
              </w:rPr>
              <w:t xml:space="preserve"> et al. Economic assessment of the use of the</w:t>
            </w:r>
          </w:p>
          <w:p w14:paraId="64F53F1E"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sFlt-1/PlGF ratio test to predict preeclampsia in Germany,</w:t>
            </w:r>
          </w:p>
          <w:p w14:paraId="5C38098F" w14:textId="2DADD139"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 xml:space="preserve"> BMC Health Services Research (2018) 18:603</w:t>
            </w:r>
          </w:p>
        </w:tc>
        <w:tc>
          <w:tcPr>
            <w:tcW w:w="3525" w:type="dxa"/>
          </w:tcPr>
          <w:p w14:paraId="6CD397F3"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 xml:space="preserve">Cost-effectiveness of </w:t>
            </w:r>
            <w:r w:rsidR="00FB426A" w:rsidRPr="00D37001">
              <w:rPr>
                <w:rFonts w:asciiTheme="minorHAnsi" w:hAnsiTheme="minorHAnsi" w:cstheme="minorHAnsi"/>
                <w:sz w:val="20"/>
                <w:szCs w:val="20"/>
              </w:rPr>
              <w:t>sFlt-1/PlGF</w:t>
            </w:r>
            <w:r w:rsidRPr="00D37001">
              <w:rPr>
                <w:rFonts w:asciiTheme="minorHAnsi" w:hAnsiTheme="minorHAnsi" w:cstheme="minorHAnsi"/>
                <w:sz w:val="20"/>
                <w:szCs w:val="20"/>
              </w:rPr>
              <w:t xml:space="preserve"> when used to rule out occurrence of PE.</w:t>
            </w:r>
          </w:p>
          <w:p w14:paraId="0C793FCA"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Cost savings of €361 per patient when compared to no test scenario</w:t>
            </w:r>
          </w:p>
        </w:tc>
        <w:tc>
          <w:tcPr>
            <w:tcW w:w="3118" w:type="dxa"/>
          </w:tcPr>
          <w:p w14:paraId="2290DB43"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https://doi.org/10.1186/s12913-018-3406-1</w:t>
            </w:r>
          </w:p>
        </w:tc>
        <w:tc>
          <w:tcPr>
            <w:tcW w:w="1479" w:type="dxa"/>
          </w:tcPr>
          <w:p w14:paraId="2A3859A1"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2018</w:t>
            </w:r>
          </w:p>
        </w:tc>
      </w:tr>
      <w:tr w:rsidR="00E45321" w:rsidRPr="00D37001" w14:paraId="0993068B" w14:textId="77777777" w:rsidTr="008E3805">
        <w:tc>
          <w:tcPr>
            <w:tcW w:w="562" w:type="dxa"/>
          </w:tcPr>
          <w:p w14:paraId="1AB6E547"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7</w:t>
            </w:r>
          </w:p>
        </w:tc>
        <w:tc>
          <w:tcPr>
            <w:tcW w:w="2268" w:type="dxa"/>
          </w:tcPr>
          <w:p w14:paraId="7586965A"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Cost-effectiveness study (UK)</w:t>
            </w:r>
          </w:p>
        </w:tc>
        <w:tc>
          <w:tcPr>
            <w:tcW w:w="2996" w:type="dxa"/>
          </w:tcPr>
          <w:p w14:paraId="4742F86D" w14:textId="77777777" w:rsidR="00E45321" w:rsidRPr="00D37001" w:rsidRDefault="00B76D37" w:rsidP="00D37001">
            <w:pPr>
              <w:spacing w:before="120" w:after="120"/>
              <w:rPr>
                <w:rFonts w:asciiTheme="minorHAnsi" w:hAnsiTheme="minorHAnsi" w:cstheme="minorHAnsi"/>
                <w:sz w:val="20"/>
                <w:szCs w:val="20"/>
              </w:rPr>
            </w:pPr>
            <w:proofErr w:type="spellStart"/>
            <w:r w:rsidRPr="00D37001">
              <w:rPr>
                <w:rFonts w:asciiTheme="minorHAnsi" w:hAnsiTheme="minorHAnsi" w:cstheme="minorHAnsi"/>
                <w:sz w:val="20"/>
                <w:szCs w:val="20"/>
              </w:rPr>
              <w:t>Vatish</w:t>
            </w:r>
            <w:proofErr w:type="spellEnd"/>
            <w:r w:rsidRPr="00D37001">
              <w:rPr>
                <w:rFonts w:asciiTheme="minorHAnsi" w:hAnsiTheme="minorHAnsi" w:cstheme="minorHAnsi"/>
                <w:sz w:val="20"/>
                <w:szCs w:val="20"/>
              </w:rPr>
              <w:t xml:space="preserve"> et al, sFlt-1/</w:t>
            </w:r>
            <w:proofErr w:type="spellStart"/>
            <w:r w:rsidRPr="00D37001">
              <w:rPr>
                <w:rFonts w:asciiTheme="minorHAnsi" w:hAnsiTheme="minorHAnsi" w:cstheme="minorHAnsi"/>
                <w:sz w:val="20"/>
                <w:szCs w:val="20"/>
              </w:rPr>
              <w:t>PlGF</w:t>
            </w:r>
            <w:proofErr w:type="spellEnd"/>
            <w:r w:rsidRPr="00D37001">
              <w:rPr>
                <w:rFonts w:asciiTheme="minorHAnsi" w:hAnsiTheme="minorHAnsi" w:cstheme="minorHAnsi"/>
                <w:sz w:val="20"/>
                <w:szCs w:val="20"/>
              </w:rPr>
              <w:t xml:space="preserve"> ratio test for </w:t>
            </w:r>
            <w:r w:rsidR="008A08EB" w:rsidRPr="00D37001">
              <w:rPr>
                <w:rFonts w:asciiTheme="minorHAnsi" w:hAnsiTheme="minorHAnsi" w:cstheme="minorHAnsi"/>
                <w:sz w:val="20"/>
                <w:szCs w:val="20"/>
              </w:rPr>
              <w:t>preeclampsia</w:t>
            </w:r>
            <w:r w:rsidRPr="00D37001">
              <w:rPr>
                <w:rFonts w:asciiTheme="minorHAnsi" w:hAnsiTheme="minorHAnsi" w:cstheme="minorHAnsi"/>
                <w:sz w:val="20"/>
                <w:szCs w:val="20"/>
              </w:rPr>
              <w:t xml:space="preserve">: an economic assessment for the UK, Ultrasound </w:t>
            </w:r>
            <w:proofErr w:type="spellStart"/>
            <w:r w:rsidRPr="00D37001">
              <w:rPr>
                <w:rFonts w:asciiTheme="minorHAnsi" w:hAnsiTheme="minorHAnsi" w:cstheme="minorHAnsi"/>
                <w:sz w:val="20"/>
                <w:szCs w:val="20"/>
              </w:rPr>
              <w:t>Obstet</w:t>
            </w:r>
            <w:proofErr w:type="spellEnd"/>
            <w:r w:rsidRPr="00D37001">
              <w:rPr>
                <w:rFonts w:asciiTheme="minorHAnsi" w:hAnsiTheme="minorHAnsi" w:cstheme="minorHAnsi"/>
                <w:sz w:val="20"/>
                <w:szCs w:val="20"/>
              </w:rPr>
              <w:t xml:space="preserve"> Gynecol. 2016 Dec;48(6):765-771</w:t>
            </w:r>
          </w:p>
        </w:tc>
        <w:tc>
          <w:tcPr>
            <w:tcW w:w="3525" w:type="dxa"/>
          </w:tcPr>
          <w:p w14:paraId="6F413FA4"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 xml:space="preserve">Cost-effectiveness of </w:t>
            </w:r>
            <w:r w:rsidR="00FB426A" w:rsidRPr="00D37001">
              <w:rPr>
                <w:rFonts w:asciiTheme="minorHAnsi" w:hAnsiTheme="minorHAnsi" w:cstheme="minorHAnsi"/>
                <w:sz w:val="20"/>
                <w:szCs w:val="20"/>
              </w:rPr>
              <w:t>sFlt-1/PlGF</w:t>
            </w:r>
            <w:r w:rsidRPr="00D37001">
              <w:rPr>
                <w:rFonts w:asciiTheme="minorHAnsi" w:hAnsiTheme="minorHAnsi" w:cstheme="minorHAnsi"/>
                <w:sz w:val="20"/>
                <w:szCs w:val="20"/>
              </w:rPr>
              <w:t xml:space="preserve"> when used to rule out occurrence of PE.</w:t>
            </w:r>
          </w:p>
          <w:p w14:paraId="353372CF"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Cost savings of £344 per patient when compared to no test scenario</w:t>
            </w:r>
          </w:p>
        </w:tc>
        <w:tc>
          <w:tcPr>
            <w:tcW w:w="3118" w:type="dxa"/>
          </w:tcPr>
          <w:p w14:paraId="11C84F56" w14:textId="77777777" w:rsidR="00E45321" w:rsidRPr="00D37001" w:rsidRDefault="00B76D37" w:rsidP="00D37001">
            <w:pPr>
              <w:spacing w:before="120" w:after="120"/>
              <w:rPr>
                <w:rFonts w:asciiTheme="minorHAnsi" w:hAnsiTheme="minorHAnsi" w:cstheme="minorHAnsi"/>
                <w:sz w:val="20"/>
                <w:szCs w:val="20"/>
              </w:rPr>
            </w:pPr>
            <w:proofErr w:type="spellStart"/>
            <w:r w:rsidRPr="00D37001">
              <w:rPr>
                <w:rFonts w:asciiTheme="minorHAnsi" w:hAnsiTheme="minorHAnsi" w:cstheme="minorHAnsi"/>
                <w:sz w:val="20"/>
                <w:szCs w:val="20"/>
              </w:rPr>
              <w:t>doi</w:t>
            </w:r>
            <w:proofErr w:type="spellEnd"/>
            <w:r w:rsidRPr="00D37001">
              <w:rPr>
                <w:rFonts w:asciiTheme="minorHAnsi" w:hAnsiTheme="minorHAnsi" w:cstheme="minorHAnsi"/>
                <w:sz w:val="20"/>
                <w:szCs w:val="20"/>
              </w:rPr>
              <w:t>: 10.1002/uog.15997</w:t>
            </w:r>
          </w:p>
        </w:tc>
        <w:tc>
          <w:tcPr>
            <w:tcW w:w="1479" w:type="dxa"/>
          </w:tcPr>
          <w:p w14:paraId="4C984B71"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November 2016</w:t>
            </w:r>
          </w:p>
        </w:tc>
      </w:tr>
      <w:tr w:rsidR="00E45321" w:rsidRPr="00D37001" w14:paraId="0EB24B41" w14:textId="77777777" w:rsidTr="008E3805">
        <w:tc>
          <w:tcPr>
            <w:tcW w:w="562" w:type="dxa"/>
          </w:tcPr>
          <w:p w14:paraId="686EC9D3"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8</w:t>
            </w:r>
          </w:p>
        </w:tc>
        <w:tc>
          <w:tcPr>
            <w:tcW w:w="2268" w:type="dxa"/>
          </w:tcPr>
          <w:p w14:paraId="7D41A0DB"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Cost-effectiveness study (Italy)</w:t>
            </w:r>
          </w:p>
        </w:tc>
        <w:tc>
          <w:tcPr>
            <w:tcW w:w="2996" w:type="dxa"/>
          </w:tcPr>
          <w:p w14:paraId="70BB5758" w14:textId="6B54AE65" w:rsidR="00E45321" w:rsidRPr="00D37001" w:rsidRDefault="00B76D37" w:rsidP="00D37001">
            <w:pPr>
              <w:spacing w:before="120" w:after="120"/>
              <w:rPr>
                <w:rFonts w:asciiTheme="minorHAnsi" w:hAnsiTheme="minorHAnsi" w:cstheme="minorHAnsi"/>
                <w:sz w:val="20"/>
                <w:szCs w:val="20"/>
              </w:rPr>
            </w:pPr>
            <w:proofErr w:type="spellStart"/>
            <w:r w:rsidRPr="00D37001">
              <w:rPr>
                <w:rFonts w:asciiTheme="minorHAnsi" w:hAnsiTheme="minorHAnsi" w:cstheme="minorHAnsi"/>
                <w:sz w:val="20"/>
                <w:szCs w:val="20"/>
              </w:rPr>
              <w:t>Frusca</w:t>
            </w:r>
            <w:proofErr w:type="spellEnd"/>
            <w:r w:rsidRPr="00D37001">
              <w:rPr>
                <w:rFonts w:asciiTheme="minorHAnsi" w:hAnsiTheme="minorHAnsi" w:cstheme="minorHAnsi"/>
                <w:sz w:val="20"/>
                <w:szCs w:val="20"/>
              </w:rPr>
              <w:t xml:space="preserve"> et al, Budget impact analysis of sFlt-1/PlGF ratio as prediction test in Italian women with suspected preeclampsia</w:t>
            </w:r>
          </w:p>
          <w:p w14:paraId="5E12BE82"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 xml:space="preserve">J </w:t>
            </w:r>
            <w:proofErr w:type="spellStart"/>
            <w:r w:rsidRPr="00D37001">
              <w:rPr>
                <w:rFonts w:asciiTheme="minorHAnsi" w:hAnsiTheme="minorHAnsi" w:cstheme="minorHAnsi"/>
                <w:sz w:val="20"/>
                <w:szCs w:val="20"/>
              </w:rPr>
              <w:t>Matern</w:t>
            </w:r>
            <w:proofErr w:type="spellEnd"/>
            <w:r w:rsidRPr="00D37001">
              <w:rPr>
                <w:rFonts w:asciiTheme="minorHAnsi" w:hAnsiTheme="minorHAnsi" w:cstheme="minorHAnsi"/>
                <w:sz w:val="20"/>
                <w:szCs w:val="20"/>
              </w:rPr>
              <w:t xml:space="preserve"> </w:t>
            </w:r>
            <w:proofErr w:type="spellStart"/>
            <w:r w:rsidRPr="00D37001">
              <w:rPr>
                <w:rFonts w:asciiTheme="minorHAnsi" w:hAnsiTheme="minorHAnsi" w:cstheme="minorHAnsi"/>
                <w:sz w:val="20"/>
                <w:szCs w:val="20"/>
              </w:rPr>
              <w:t>Fetal</w:t>
            </w:r>
            <w:proofErr w:type="spellEnd"/>
            <w:r w:rsidRPr="00D37001">
              <w:rPr>
                <w:rFonts w:asciiTheme="minorHAnsi" w:hAnsiTheme="minorHAnsi" w:cstheme="minorHAnsi"/>
                <w:sz w:val="20"/>
                <w:szCs w:val="20"/>
              </w:rPr>
              <w:t xml:space="preserve"> Neonatal Med</w:t>
            </w:r>
          </w:p>
          <w:p w14:paraId="10235EAA"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 2017 Sep;30(18):2166-2173</w:t>
            </w:r>
          </w:p>
        </w:tc>
        <w:tc>
          <w:tcPr>
            <w:tcW w:w="3525" w:type="dxa"/>
          </w:tcPr>
          <w:p w14:paraId="37F366A4"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 xml:space="preserve">Cost-effectiveness of </w:t>
            </w:r>
            <w:r w:rsidR="00FB426A" w:rsidRPr="00D37001">
              <w:rPr>
                <w:rFonts w:asciiTheme="minorHAnsi" w:hAnsiTheme="minorHAnsi" w:cstheme="minorHAnsi"/>
                <w:sz w:val="20"/>
                <w:szCs w:val="20"/>
              </w:rPr>
              <w:t>sFlt-1/PlGF</w:t>
            </w:r>
            <w:r w:rsidRPr="00D37001">
              <w:rPr>
                <w:rFonts w:asciiTheme="minorHAnsi" w:hAnsiTheme="minorHAnsi" w:cstheme="minorHAnsi"/>
                <w:sz w:val="20"/>
                <w:szCs w:val="20"/>
              </w:rPr>
              <w:t xml:space="preserve"> when used to rule out occurrence of PE.</w:t>
            </w:r>
          </w:p>
          <w:p w14:paraId="0FB574FA"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Cost savings of €2384 per patient when compared to no test scenario</w:t>
            </w:r>
          </w:p>
        </w:tc>
        <w:tc>
          <w:tcPr>
            <w:tcW w:w="3118" w:type="dxa"/>
          </w:tcPr>
          <w:p w14:paraId="3F5554AA"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doi:10.1080/14767058.2016.1242122</w:t>
            </w:r>
          </w:p>
        </w:tc>
        <w:tc>
          <w:tcPr>
            <w:tcW w:w="1479" w:type="dxa"/>
          </w:tcPr>
          <w:p w14:paraId="479DE04A"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September 2017</w:t>
            </w:r>
          </w:p>
        </w:tc>
      </w:tr>
      <w:tr w:rsidR="00E45321" w:rsidRPr="00D37001" w14:paraId="30E2CF57" w14:textId="77777777" w:rsidTr="008E3805">
        <w:tc>
          <w:tcPr>
            <w:tcW w:w="562" w:type="dxa"/>
          </w:tcPr>
          <w:p w14:paraId="68FDC451"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lastRenderedPageBreak/>
              <w:t>9</w:t>
            </w:r>
          </w:p>
        </w:tc>
        <w:tc>
          <w:tcPr>
            <w:tcW w:w="2268" w:type="dxa"/>
          </w:tcPr>
          <w:p w14:paraId="6A61511B" w14:textId="77777777" w:rsidR="00E45321" w:rsidRPr="00D37001" w:rsidRDefault="005E06D6" w:rsidP="00D37001">
            <w:pPr>
              <w:spacing w:before="120" w:after="120"/>
              <w:rPr>
                <w:rFonts w:asciiTheme="minorHAnsi" w:hAnsiTheme="minorHAnsi" w:cstheme="minorHAnsi"/>
                <w:sz w:val="20"/>
                <w:szCs w:val="20"/>
              </w:rPr>
            </w:pPr>
            <w:sdt>
              <w:sdtPr>
                <w:rPr>
                  <w:rFonts w:asciiTheme="minorHAnsi" w:hAnsiTheme="minorHAnsi" w:cstheme="minorHAnsi"/>
                  <w:sz w:val="20"/>
                  <w:szCs w:val="20"/>
                </w:rPr>
                <w:tag w:val="goog_rdk_1"/>
                <w:id w:val="-2001186345"/>
              </w:sdtPr>
              <w:sdtEndPr/>
              <w:sdtContent/>
            </w:sdt>
            <w:r w:rsidR="00B76D37" w:rsidRPr="00D37001">
              <w:rPr>
                <w:rFonts w:asciiTheme="minorHAnsi" w:hAnsiTheme="minorHAnsi" w:cstheme="minorHAnsi"/>
                <w:sz w:val="20"/>
                <w:szCs w:val="20"/>
              </w:rPr>
              <w:t>Cost-effectiveness study (Brazil)</w:t>
            </w:r>
          </w:p>
        </w:tc>
        <w:tc>
          <w:tcPr>
            <w:tcW w:w="2996" w:type="dxa"/>
          </w:tcPr>
          <w:p w14:paraId="3271786A" w14:textId="77777777" w:rsidR="00E45321" w:rsidRPr="00D37001" w:rsidRDefault="00B76D37" w:rsidP="00D37001">
            <w:pPr>
              <w:spacing w:before="120" w:after="120"/>
              <w:rPr>
                <w:rFonts w:asciiTheme="minorHAnsi" w:hAnsiTheme="minorHAnsi" w:cstheme="minorHAnsi"/>
                <w:sz w:val="20"/>
                <w:szCs w:val="20"/>
              </w:rPr>
            </w:pPr>
            <w:proofErr w:type="spellStart"/>
            <w:r w:rsidRPr="00D37001">
              <w:rPr>
                <w:rFonts w:asciiTheme="minorHAnsi" w:hAnsiTheme="minorHAnsi" w:cstheme="minorHAnsi"/>
                <w:sz w:val="20"/>
                <w:szCs w:val="20"/>
              </w:rPr>
              <w:t>Figueira</w:t>
            </w:r>
            <w:proofErr w:type="spellEnd"/>
            <w:r w:rsidRPr="00D37001">
              <w:rPr>
                <w:rFonts w:asciiTheme="minorHAnsi" w:hAnsiTheme="minorHAnsi" w:cstheme="minorHAnsi"/>
                <w:sz w:val="20"/>
                <w:szCs w:val="20"/>
              </w:rPr>
              <w:t xml:space="preserve"> et al, Economic evaluation of sFlt-1/PlGF ratio test in </w:t>
            </w:r>
            <w:r w:rsidR="008A08EB" w:rsidRPr="00D37001">
              <w:rPr>
                <w:rFonts w:asciiTheme="minorHAnsi" w:hAnsiTheme="minorHAnsi" w:cstheme="minorHAnsi"/>
                <w:sz w:val="20"/>
                <w:szCs w:val="20"/>
              </w:rPr>
              <w:t>preeclampsia</w:t>
            </w:r>
            <w:r w:rsidRPr="00D37001">
              <w:rPr>
                <w:rFonts w:asciiTheme="minorHAnsi" w:hAnsiTheme="minorHAnsi" w:cstheme="minorHAnsi"/>
                <w:sz w:val="20"/>
                <w:szCs w:val="20"/>
              </w:rPr>
              <w:t xml:space="preserve"> prediction</w:t>
            </w:r>
          </w:p>
          <w:p w14:paraId="46253ACC"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and diagnosis in two Brazilian hospitals</w:t>
            </w:r>
          </w:p>
          <w:p w14:paraId="1D4D781B" w14:textId="77777777" w:rsidR="00E45321" w:rsidRPr="00D37001" w:rsidRDefault="00E45321" w:rsidP="00D37001">
            <w:pPr>
              <w:spacing w:before="120" w:after="120"/>
              <w:rPr>
                <w:rFonts w:asciiTheme="minorHAnsi" w:hAnsiTheme="minorHAnsi" w:cstheme="minorHAnsi"/>
                <w:sz w:val="20"/>
                <w:szCs w:val="20"/>
              </w:rPr>
            </w:pPr>
          </w:p>
          <w:p w14:paraId="40056F09"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 xml:space="preserve">Pregnancy </w:t>
            </w:r>
            <w:proofErr w:type="spellStart"/>
            <w:r w:rsidRPr="00D37001">
              <w:rPr>
                <w:rFonts w:asciiTheme="minorHAnsi" w:hAnsiTheme="minorHAnsi" w:cstheme="minorHAnsi"/>
                <w:sz w:val="20"/>
                <w:szCs w:val="20"/>
              </w:rPr>
              <w:t>Hypertens</w:t>
            </w:r>
            <w:proofErr w:type="spellEnd"/>
            <w:r w:rsidRPr="00D37001">
              <w:rPr>
                <w:rFonts w:asciiTheme="minorHAnsi" w:hAnsiTheme="minorHAnsi" w:cstheme="minorHAnsi"/>
                <w:sz w:val="20"/>
                <w:szCs w:val="20"/>
              </w:rPr>
              <w:t xml:space="preserve">. 2018 </w:t>
            </w:r>
            <w:proofErr w:type="gramStart"/>
            <w:r w:rsidRPr="00D37001">
              <w:rPr>
                <w:rFonts w:asciiTheme="minorHAnsi" w:hAnsiTheme="minorHAnsi" w:cstheme="minorHAnsi"/>
                <w:sz w:val="20"/>
                <w:szCs w:val="20"/>
              </w:rPr>
              <w:t>Jul;13:30</w:t>
            </w:r>
            <w:proofErr w:type="gramEnd"/>
            <w:r w:rsidRPr="00D37001">
              <w:rPr>
                <w:rFonts w:asciiTheme="minorHAnsi" w:hAnsiTheme="minorHAnsi" w:cstheme="minorHAnsi"/>
                <w:sz w:val="20"/>
                <w:szCs w:val="20"/>
              </w:rPr>
              <w:t>-36</w:t>
            </w:r>
          </w:p>
          <w:p w14:paraId="2B819432" w14:textId="77777777" w:rsidR="00E45321" w:rsidRPr="00D37001" w:rsidRDefault="00E45321" w:rsidP="00D37001">
            <w:pPr>
              <w:spacing w:before="120" w:after="120"/>
              <w:rPr>
                <w:rFonts w:asciiTheme="minorHAnsi" w:hAnsiTheme="minorHAnsi" w:cstheme="minorHAnsi"/>
                <w:sz w:val="20"/>
                <w:szCs w:val="20"/>
              </w:rPr>
            </w:pPr>
          </w:p>
        </w:tc>
        <w:tc>
          <w:tcPr>
            <w:tcW w:w="3525" w:type="dxa"/>
          </w:tcPr>
          <w:p w14:paraId="251F1988"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 xml:space="preserve">Cost-effectiveness of </w:t>
            </w:r>
            <w:r w:rsidR="00FB426A" w:rsidRPr="00D37001">
              <w:rPr>
                <w:rFonts w:asciiTheme="minorHAnsi" w:hAnsiTheme="minorHAnsi" w:cstheme="minorHAnsi"/>
                <w:sz w:val="20"/>
                <w:szCs w:val="20"/>
              </w:rPr>
              <w:t>sFlt-1/PlGF</w:t>
            </w:r>
            <w:r w:rsidRPr="00D37001">
              <w:rPr>
                <w:rFonts w:asciiTheme="minorHAnsi" w:hAnsiTheme="minorHAnsi" w:cstheme="minorHAnsi"/>
                <w:sz w:val="20"/>
                <w:szCs w:val="20"/>
              </w:rPr>
              <w:t xml:space="preserve"> when used to rule out occurrence of PE.</w:t>
            </w:r>
          </w:p>
          <w:p w14:paraId="3523484E"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 xml:space="preserve">Cost savings of </w:t>
            </w:r>
            <w:r w:rsidR="00881DCE" w:rsidRPr="00D37001">
              <w:rPr>
                <w:rFonts w:asciiTheme="minorHAnsi" w:hAnsiTheme="minorHAnsi" w:cstheme="minorHAnsi"/>
                <w:sz w:val="20"/>
                <w:szCs w:val="20"/>
              </w:rPr>
              <w:t xml:space="preserve">BRL185 (public) -636 (private) </w:t>
            </w:r>
            <w:r w:rsidRPr="00D37001">
              <w:rPr>
                <w:rFonts w:asciiTheme="minorHAnsi" w:hAnsiTheme="minorHAnsi" w:cstheme="minorHAnsi"/>
                <w:sz w:val="20"/>
                <w:szCs w:val="20"/>
              </w:rPr>
              <w:t>per patient when compared to no test scenario</w:t>
            </w:r>
            <w:r w:rsidR="000B36B8" w:rsidRPr="00D37001">
              <w:rPr>
                <w:rFonts w:asciiTheme="minorHAnsi" w:hAnsiTheme="minorHAnsi" w:cstheme="minorHAnsi"/>
                <w:sz w:val="20"/>
                <w:szCs w:val="20"/>
              </w:rPr>
              <w:t>.</w:t>
            </w:r>
          </w:p>
        </w:tc>
        <w:tc>
          <w:tcPr>
            <w:tcW w:w="3118" w:type="dxa"/>
          </w:tcPr>
          <w:p w14:paraId="2599A045" w14:textId="77777777" w:rsidR="00E45321" w:rsidRPr="00D37001" w:rsidRDefault="00B76D37" w:rsidP="00D37001">
            <w:pPr>
              <w:spacing w:before="120" w:after="120"/>
              <w:rPr>
                <w:rFonts w:asciiTheme="minorHAnsi" w:hAnsiTheme="minorHAnsi" w:cstheme="minorHAnsi"/>
                <w:sz w:val="20"/>
                <w:szCs w:val="20"/>
              </w:rPr>
            </w:pPr>
            <w:proofErr w:type="spellStart"/>
            <w:r w:rsidRPr="00D37001">
              <w:rPr>
                <w:rFonts w:asciiTheme="minorHAnsi" w:hAnsiTheme="minorHAnsi" w:cstheme="minorHAnsi"/>
                <w:sz w:val="20"/>
                <w:szCs w:val="20"/>
              </w:rPr>
              <w:t>doi</w:t>
            </w:r>
            <w:proofErr w:type="spellEnd"/>
            <w:r w:rsidRPr="00D37001">
              <w:rPr>
                <w:rFonts w:asciiTheme="minorHAnsi" w:hAnsiTheme="minorHAnsi" w:cstheme="minorHAnsi"/>
                <w:sz w:val="20"/>
                <w:szCs w:val="20"/>
              </w:rPr>
              <w:t>: 10.1016/j.preghy.2018.04.014.</w:t>
            </w:r>
          </w:p>
        </w:tc>
        <w:tc>
          <w:tcPr>
            <w:tcW w:w="1479" w:type="dxa"/>
          </w:tcPr>
          <w:p w14:paraId="11A638EE" w14:textId="77777777" w:rsidR="00E45321" w:rsidRPr="00D37001" w:rsidRDefault="00B76D37" w:rsidP="00D37001">
            <w:pPr>
              <w:spacing w:before="120" w:after="120"/>
              <w:rPr>
                <w:rFonts w:asciiTheme="minorHAnsi" w:hAnsiTheme="minorHAnsi" w:cstheme="minorHAnsi"/>
                <w:sz w:val="20"/>
                <w:szCs w:val="20"/>
              </w:rPr>
            </w:pPr>
            <w:r w:rsidRPr="00D37001">
              <w:rPr>
                <w:rFonts w:asciiTheme="minorHAnsi" w:hAnsiTheme="minorHAnsi" w:cstheme="minorHAnsi"/>
                <w:sz w:val="20"/>
                <w:szCs w:val="20"/>
              </w:rPr>
              <w:t>July 2018</w:t>
            </w:r>
          </w:p>
        </w:tc>
      </w:tr>
      <w:tr w:rsidR="00E45321" w:rsidRPr="00D37001" w14:paraId="2C9E1D2C" w14:textId="77777777" w:rsidTr="008E3805">
        <w:tc>
          <w:tcPr>
            <w:tcW w:w="562" w:type="dxa"/>
          </w:tcPr>
          <w:p w14:paraId="0838FE06" w14:textId="77777777" w:rsidR="00E45321" w:rsidRPr="00D37001" w:rsidRDefault="000B36B8">
            <w:pPr>
              <w:rPr>
                <w:rFonts w:asciiTheme="minorHAnsi" w:hAnsiTheme="minorHAnsi" w:cstheme="minorHAnsi"/>
                <w:sz w:val="20"/>
                <w:szCs w:val="20"/>
              </w:rPr>
            </w:pPr>
            <w:r w:rsidRPr="00D37001">
              <w:rPr>
                <w:rFonts w:asciiTheme="minorHAnsi" w:hAnsiTheme="minorHAnsi" w:cstheme="minorHAnsi"/>
                <w:sz w:val="20"/>
                <w:szCs w:val="20"/>
              </w:rPr>
              <w:t>10</w:t>
            </w:r>
          </w:p>
        </w:tc>
        <w:tc>
          <w:tcPr>
            <w:tcW w:w="2268" w:type="dxa"/>
          </w:tcPr>
          <w:p w14:paraId="0D75CF40" w14:textId="77777777" w:rsidR="00E45321" w:rsidRPr="00D37001" w:rsidRDefault="000B36B8">
            <w:pPr>
              <w:rPr>
                <w:rFonts w:asciiTheme="minorHAnsi" w:hAnsiTheme="minorHAnsi" w:cstheme="minorHAnsi"/>
                <w:sz w:val="20"/>
                <w:szCs w:val="20"/>
              </w:rPr>
            </w:pPr>
            <w:r w:rsidRPr="00D37001">
              <w:rPr>
                <w:rFonts w:asciiTheme="minorHAnsi" w:hAnsiTheme="minorHAnsi" w:cstheme="minorHAnsi"/>
                <w:sz w:val="20"/>
                <w:szCs w:val="20"/>
              </w:rPr>
              <w:t>Cost-effectiveness study (Japan)</w:t>
            </w:r>
          </w:p>
        </w:tc>
        <w:tc>
          <w:tcPr>
            <w:tcW w:w="2996" w:type="dxa"/>
          </w:tcPr>
          <w:p w14:paraId="7B9C7E06" w14:textId="77777777" w:rsidR="00E45321" w:rsidRPr="00D37001" w:rsidRDefault="000B36B8">
            <w:pPr>
              <w:rPr>
                <w:rFonts w:asciiTheme="minorHAnsi" w:hAnsiTheme="minorHAnsi" w:cstheme="minorHAnsi"/>
                <w:sz w:val="20"/>
                <w:szCs w:val="20"/>
              </w:rPr>
            </w:pPr>
            <w:proofErr w:type="spellStart"/>
            <w:r w:rsidRPr="00D37001">
              <w:rPr>
                <w:rFonts w:asciiTheme="minorHAnsi" w:hAnsiTheme="minorHAnsi" w:cstheme="minorHAnsi"/>
                <w:sz w:val="20"/>
                <w:szCs w:val="20"/>
              </w:rPr>
              <w:t>Ohkuchi</w:t>
            </w:r>
            <w:proofErr w:type="spellEnd"/>
            <w:r w:rsidRPr="00D37001">
              <w:rPr>
                <w:rFonts w:asciiTheme="minorHAnsi" w:hAnsiTheme="minorHAnsi" w:cstheme="minorHAnsi"/>
                <w:sz w:val="20"/>
                <w:szCs w:val="20"/>
              </w:rPr>
              <w:t xml:space="preserve"> et al, Economic evaluation of the sFlt-1/PlGF ratio for the short-term prediction of preeclampsia in a Japanese cohort of the PROGNOSIS Asia study</w:t>
            </w:r>
          </w:p>
          <w:p w14:paraId="3D9B99BA" w14:textId="77777777" w:rsidR="000B36B8" w:rsidRPr="00D37001" w:rsidRDefault="000B36B8">
            <w:pPr>
              <w:rPr>
                <w:rFonts w:asciiTheme="minorHAnsi" w:hAnsiTheme="minorHAnsi" w:cstheme="minorHAnsi"/>
                <w:sz w:val="20"/>
                <w:szCs w:val="20"/>
              </w:rPr>
            </w:pPr>
          </w:p>
          <w:p w14:paraId="15653DA1" w14:textId="77777777" w:rsidR="000B36B8" w:rsidRPr="00D37001" w:rsidRDefault="000B36B8">
            <w:pPr>
              <w:rPr>
                <w:rFonts w:asciiTheme="minorHAnsi" w:hAnsiTheme="minorHAnsi" w:cstheme="minorHAnsi"/>
                <w:sz w:val="20"/>
                <w:szCs w:val="20"/>
              </w:rPr>
            </w:pPr>
            <w:r w:rsidRPr="00D37001">
              <w:rPr>
                <w:rFonts w:asciiTheme="minorHAnsi" w:hAnsiTheme="minorHAnsi" w:cstheme="minorHAnsi"/>
                <w:sz w:val="20"/>
                <w:szCs w:val="20"/>
              </w:rPr>
              <w:t>Hypertension Research volume 44, pages 822–829 (2021)</w:t>
            </w:r>
          </w:p>
        </w:tc>
        <w:tc>
          <w:tcPr>
            <w:tcW w:w="3525" w:type="dxa"/>
          </w:tcPr>
          <w:p w14:paraId="67FA00C9" w14:textId="77777777" w:rsidR="000B36B8" w:rsidRPr="00D37001" w:rsidRDefault="000B36B8" w:rsidP="000B36B8">
            <w:pPr>
              <w:rPr>
                <w:rFonts w:asciiTheme="minorHAnsi" w:hAnsiTheme="minorHAnsi" w:cstheme="minorHAnsi"/>
                <w:sz w:val="20"/>
                <w:szCs w:val="20"/>
              </w:rPr>
            </w:pPr>
            <w:r w:rsidRPr="00D37001">
              <w:rPr>
                <w:rFonts w:asciiTheme="minorHAnsi" w:hAnsiTheme="minorHAnsi" w:cstheme="minorHAnsi"/>
                <w:sz w:val="20"/>
                <w:szCs w:val="20"/>
              </w:rPr>
              <w:t>Cost-effectiveness of sFlt-1/PlGF when used to rule out occurrence of PE.</w:t>
            </w:r>
          </w:p>
          <w:p w14:paraId="7CFCFACE" w14:textId="77777777" w:rsidR="00E45321" w:rsidRPr="00D37001" w:rsidRDefault="000B36B8" w:rsidP="000B36B8">
            <w:pPr>
              <w:rPr>
                <w:rFonts w:asciiTheme="minorHAnsi" w:hAnsiTheme="minorHAnsi" w:cstheme="minorHAnsi"/>
                <w:sz w:val="20"/>
                <w:szCs w:val="20"/>
              </w:rPr>
            </w:pPr>
            <w:r w:rsidRPr="00D37001">
              <w:rPr>
                <w:rFonts w:asciiTheme="minorHAnsi" w:hAnsiTheme="minorHAnsi" w:cstheme="minorHAnsi"/>
                <w:sz w:val="20"/>
                <w:szCs w:val="20"/>
              </w:rPr>
              <w:t xml:space="preserve">Cost savings of </w:t>
            </w:r>
            <w:r w:rsidR="00881DCE" w:rsidRPr="00D37001">
              <w:rPr>
                <w:rFonts w:asciiTheme="minorHAnsi" w:hAnsiTheme="minorHAnsi" w:cstheme="minorHAnsi"/>
                <w:sz w:val="20"/>
                <w:szCs w:val="20"/>
              </w:rPr>
              <w:t xml:space="preserve">16,373 JPY </w:t>
            </w:r>
            <w:r w:rsidRPr="00D37001">
              <w:rPr>
                <w:rFonts w:asciiTheme="minorHAnsi" w:hAnsiTheme="minorHAnsi" w:cstheme="minorHAnsi"/>
                <w:sz w:val="20"/>
                <w:szCs w:val="20"/>
              </w:rPr>
              <w:t>per patient when compared to no test scenario.</w:t>
            </w:r>
          </w:p>
        </w:tc>
        <w:tc>
          <w:tcPr>
            <w:tcW w:w="3118" w:type="dxa"/>
          </w:tcPr>
          <w:p w14:paraId="102E9E3C" w14:textId="77777777" w:rsidR="00E45321" w:rsidRPr="00D37001" w:rsidRDefault="00E45321">
            <w:pPr>
              <w:rPr>
                <w:rFonts w:asciiTheme="minorHAnsi" w:hAnsiTheme="minorHAnsi" w:cstheme="minorHAnsi"/>
                <w:sz w:val="20"/>
                <w:szCs w:val="20"/>
              </w:rPr>
            </w:pPr>
          </w:p>
        </w:tc>
        <w:tc>
          <w:tcPr>
            <w:tcW w:w="1479" w:type="dxa"/>
          </w:tcPr>
          <w:p w14:paraId="67791EC3" w14:textId="77777777" w:rsidR="00E45321" w:rsidRPr="00D37001" w:rsidRDefault="00E45321">
            <w:pPr>
              <w:rPr>
                <w:rFonts w:asciiTheme="minorHAnsi" w:hAnsiTheme="minorHAnsi" w:cstheme="minorHAnsi"/>
                <w:sz w:val="20"/>
                <w:szCs w:val="20"/>
              </w:rPr>
            </w:pPr>
          </w:p>
        </w:tc>
      </w:tr>
    </w:tbl>
    <w:p w14:paraId="7F7053E2" w14:textId="66C5CB5F" w:rsidR="00D37001" w:rsidRDefault="00D37001">
      <w:pPr>
        <w:rPr>
          <w:rFonts w:asciiTheme="minorHAnsi" w:eastAsiaTheme="minorHAnsi" w:hAnsiTheme="minorHAnsi" w:cstheme="minorHAnsi"/>
          <w:b/>
          <w:sz w:val="20"/>
          <w:szCs w:val="20"/>
          <w:lang w:eastAsia="en-US"/>
        </w:rPr>
      </w:pPr>
    </w:p>
    <w:p w14:paraId="1DCDBD07" w14:textId="30E5EAE0" w:rsidR="00591DFB" w:rsidRPr="00D37001" w:rsidRDefault="00591DFB" w:rsidP="00591DFB">
      <w:pPr>
        <w:pStyle w:val="Heading2"/>
        <w:numPr>
          <w:ilvl w:val="0"/>
          <w:numId w:val="18"/>
        </w:numPr>
        <w:rPr>
          <w:rFonts w:cstheme="minorHAnsi"/>
        </w:rPr>
      </w:pPr>
      <w:r w:rsidRPr="00D37001">
        <w:rPr>
          <w:rFonts w:cstheme="minorHAnsi"/>
        </w:rPr>
        <w:t xml:space="preserve">Identify yet to be published research that may have results available </w:t>
      </w:r>
      <w:proofErr w:type="gramStart"/>
      <w:r w:rsidRPr="00D37001">
        <w:rPr>
          <w:rFonts w:cstheme="minorHAnsi"/>
        </w:rPr>
        <w:t>in the near future</w:t>
      </w:r>
      <w:proofErr w:type="gramEnd"/>
      <w:r w:rsidRPr="00D37001">
        <w:rPr>
          <w:rFonts w:cstheme="minorHAnsi"/>
        </w:rPr>
        <w:t xml:space="preserve"> that could be relevant in the consideration of your application by MSAC (limiting these to the English language only).</w:t>
      </w:r>
      <w:r w:rsidRPr="00D37001">
        <w:rPr>
          <w:rFonts w:cstheme="minorHAnsi"/>
          <w:i/>
        </w:rPr>
        <w:t xml:space="preserve"> Please do not attach full text articles, this is just intended to be a summary.</w:t>
      </w:r>
    </w:p>
    <w:tbl>
      <w:tblPr>
        <w:tblStyle w:val="a5"/>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62"/>
        <w:gridCol w:w="2268"/>
        <w:gridCol w:w="2977"/>
        <w:gridCol w:w="3544"/>
        <w:gridCol w:w="3135"/>
        <w:gridCol w:w="1462"/>
      </w:tblGrid>
      <w:tr w:rsidR="00591DFB" w:rsidRPr="00D37001" w14:paraId="18A909F9" w14:textId="77777777" w:rsidTr="008E3805">
        <w:trPr>
          <w:cantSplit/>
        </w:trPr>
        <w:tc>
          <w:tcPr>
            <w:tcW w:w="562" w:type="dxa"/>
          </w:tcPr>
          <w:p w14:paraId="78D97514" w14:textId="77777777" w:rsidR="00591DFB" w:rsidRPr="00D37001" w:rsidRDefault="00591DFB" w:rsidP="00591DFB">
            <w:pPr>
              <w:pBdr>
                <w:top w:val="nil"/>
                <w:left w:val="nil"/>
                <w:bottom w:val="nil"/>
                <w:right w:val="nil"/>
                <w:between w:val="nil"/>
              </w:pBdr>
              <w:spacing w:before="120" w:after="120"/>
              <w:ind w:right="82"/>
              <w:rPr>
                <w:rFonts w:asciiTheme="minorHAnsi" w:eastAsia="Calibri" w:hAnsiTheme="minorHAnsi" w:cstheme="minorHAnsi"/>
                <w:b/>
                <w:color w:val="000000"/>
                <w:sz w:val="20"/>
                <w:szCs w:val="20"/>
              </w:rPr>
            </w:pPr>
          </w:p>
        </w:tc>
        <w:tc>
          <w:tcPr>
            <w:tcW w:w="2268" w:type="dxa"/>
          </w:tcPr>
          <w:p w14:paraId="496D81AB" w14:textId="77777777" w:rsidR="00591DFB" w:rsidRPr="00D37001" w:rsidRDefault="00591DFB" w:rsidP="00591DFB">
            <w:pPr>
              <w:pBdr>
                <w:top w:val="nil"/>
                <w:left w:val="nil"/>
                <w:bottom w:val="nil"/>
                <w:right w:val="nil"/>
                <w:between w:val="nil"/>
              </w:pBdr>
              <w:spacing w:before="120" w:after="120"/>
              <w:ind w:right="82"/>
              <w:rPr>
                <w:rFonts w:asciiTheme="minorHAnsi" w:eastAsia="Calibri" w:hAnsiTheme="minorHAnsi" w:cstheme="minorHAnsi"/>
                <w:b/>
                <w:color w:val="000000"/>
                <w:sz w:val="20"/>
                <w:szCs w:val="20"/>
              </w:rPr>
            </w:pPr>
            <w:r w:rsidRPr="00D37001">
              <w:rPr>
                <w:rFonts w:asciiTheme="minorHAnsi" w:eastAsia="Calibri" w:hAnsiTheme="minorHAnsi" w:cstheme="minorHAnsi"/>
                <w:b/>
                <w:color w:val="000000"/>
                <w:sz w:val="20"/>
                <w:szCs w:val="20"/>
              </w:rPr>
              <w:t>Type of study design*</w:t>
            </w:r>
          </w:p>
        </w:tc>
        <w:tc>
          <w:tcPr>
            <w:tcW w:w="2977" w:type="dxa"/>
          </w:tcPr>
          <w:p w14:paraId="09144B46" w14:textId="031C88A6" w:rsidR="00591DFB" w:rsidRPr="00D37001" w:rsidRDefault="00591DFB" w:rsidP="00591DFB">
            <w:pPr>
              <w:pBdr>
                <w:top w:val="nil"/>
                <w:left w:val="nil"/>
                <w:bottom w:val="nil"/>
                <w:right w:val="nil"/>
                <w:between w:val="nil"/>
              </w:pBdr>
              <w:spacing w:before="120" w:after="120"/>
              <w:ind w:right="82"/>
              <w:rPr>
                <w:rFonts w:asciiTheme="minorHAnsi" w:eastAsia="Calibri" w:hAnsiTheme="minorHAnsi" w:cstheme="minorHAnsi"/>
                <w:b/>
                <w:color w:val="000000"/>
                <w:sz w:val="20"/>
                <w:szCs w:val="20"/>
              </w:rPr>
            </w:pPr>
            <w:r w:rsidRPr="00D37001">
              <w:rPr>
                <w:rFonts w:asciiTheme="minorHAnsi" w:eastAsia="Calibri" w:hAnsiTheme="minorHAnsi" w:cstheme="minorHAnsi"/>
                <w:b/>
                <w:color w:val="000000"/>
                <w:sz w:val="20"/>
                <w:szCs w:val="20"/>
              </w:rPr>
              <w:t>Title of research</w:t>
            </w:r>
          </w:p>
        </w:tc>
        <w:tc>
          <w:tcPr>
            <w:tcW w:w="3544" w:type="dxa"/>
          </w:tcPr>
          <w:p w14:paraId="6A988136" w14:textId="6F16FFCD" w:rsidR="00591DFB" w:rsidRPr="00D37001" w:rsidRDefault="00591DFB" w:rsidP="00591DFB">
            <w:pPr>
              <w:pBdr>
                <w:top w:val="nil"/>
                <w:left w:val="nil"/>
                <w:bottom w:val="nil"/>
                <w:right w:val="nil"/>
                <w:between w:val="nil"/>
              </w:pBdr>
              <w:spacing w:before="120" w:after="120"/>
              <w:ind w:right="82"/>
              <w:rPr>
                <w:rFonts w:asciiTheme="minorHAnsi" w:eastAsia="Calibri" w:hAnsiTheme="minorHAnsi" w:cstheme="minorHAnsi"/>
                <w:b/>
                <w:color w:val="000000"/>
                <w:sz w:val="20"/>
                <w:szCs w:val="20"/>
              </w:rPr>
            </w:pPr>
            <w:r w:rsidRPr="00D37001">
              <w:rPr>
                <w:rFonts w:asciiTheme="minorHAnsi" w:eastAsia="Calibri" w:hAnsiTheme="minorHAnsi" w:cstheme="minorHAnsi"/>
                <w:b/>
                <w:color w:val="000000"/>
                <w:sz w:val="20"/>
                <w:szCs w:val="20"/>
              </w:rPr>
              <w:t xml:space="preserve">Short description of research </w:t>
            </w:r>
          </w:p>
        </w:tc>
        <w:tc>
          <w:tcPr>
            <w:tcW w:w="3135" w:type="dxa"/>
          </w:tcPr>
          <w:p w14:paraId="77A1EB13" w14:textId="54C044AA" w:rsidR="00591DFB" w:rsidRPr="00D37001" w:rsidRDefault="00591DFB" w:rsidP="00591DFB">
            <w:pPr>
              <w:pBdr>
                <w:top w:val="nil"/>
                <w:left w:val="nil"/>
                <w:bottom w:val="nil"/>
                <w:right w:val="nil"/>
                <w:between w:val="nil"/>
              </w:pBdr>
              <w:spacing w:before="120" w:after="120"/>
              <w:ind w:right="82"/>
              <w:rPr>
                <w:rFonts w:asciiTheme="minorHAnsi" w:eastAsia="Calibri" w:hAnsiTheme="minorHAnsi" w:cstheme="minorHAnsi"/>
                <w:b/>
                <w:color w:val="000000"/>
                <w:sz w:val="20"/>
                <w:szCs w:val="20"/>
              </w:rPr>
            </w:pPr>
            <w:r w:rsidRPr="00D37001">
              <w:rPr>
                <w:rFonts w:asciiTheme="minorHAnsi" w:eastAsia="Calibri" w:hAnsiTheme="minorHAnsi" w:cstheme="minorHAnsi"/>
                <w:b/>
                <w:color w:val="000000"/>
                <w:sz w:val="20"/>
                <w:szCs w:val="20"/>
              </w:rPr>
              <w:t xml:space="preserve">Website link to research </w:t>
            </w:r>
          </w:p>
        </w:tc>
        <w:tc>
          <w:tcPr>
            <w:tcW w:w="1462" w:type="dxa"/>
          </w:tcPr>
          <w:p w14:paraId="19C43EC7" w14:textId="1832179B" w:rsidR="00591DFB" w:rsidRPr="00D37001" w:rsidRDefault="00591DFB" w:rsidP="00591DFB">
            <w:pPr>
              <w:pBdr>
                <w:top w:val="nil"/>
                <w:left w:val="nil"/>
                <w:bottom w:val="nil"/>
                <w:right w:val="nil"/>
                <w:between w:val="nil"/>
              </w:pBdr>
              <w:spacing w:before="120" w:after="120"/>
              <w:ind w:right="82"/>
              <w:rPr>
                <w:rFonts w:asciiTheme="minorHAnsi" w:eastAsia="Calibri" w:hAnsiTheme="minorHAnsi" w:cstheme="minorHAnsi"/>
                <w:b/>
                <w:color w:val="000000"/>
                <w:sz w:val="20"/>
                <w:szCs w:val="20"/>
              </w:rPr>
            </w:pPr>
            <w:r w:rsidRPr="00D37001">
              <w:rPr>
                <w:rFonts w:asciiTheme="minorHAnsi" w:eastAsia="Calibri" w:hAnsiTheme="minorHAnsi" w:cstheme="minorHAnsi"/>
                <w:b/>
                <w:color w:val="000000"/>
                <w:sz w:val="20"/>
                <w:szCs w:val="20"/>
              </w:rPr>
              <w:t>Date</w:t>
            </w:r>
          </w:p>
        </w:tc>
      </w:tr>
      <w:tr w:rsidR="00591DFB" w:rsidRPr="00D37001" w14:paraId="2A2FCC25" w14:textId="77777777" w:rsidTr="008E3805">
        <w:trPr>
          <w:cantSplit/>
        </w:trPr>
        <w:tc>
          <w:tcPr>
            <w:tcW w:w="562" w:type="dxa"/>
          </w:tcPr>
          <w:p w14:paraId="68C83E7E" w14:textId="77777777" w:rsidR="00591DFB" w:rsidRPr="00D37001" w:rsidRDefault="00591DFB" w:rsidP="00591DFB">
            <w:pPr>
              <w:rPr>
                <w:rFonts w:asciiTheme="minorHAnsi" w:hAnsiTheme="minorHAnsi" w:cstheme="minorHAnsi"/>
                <w:sz w:val="20"/>
                <w:szCs w:val="20"/>
              </w:rPr>
            </w:pPr>
            <w:r w:rsidRPr="00D37001">
              <w:rPr>
                <w:rFonts w:asciiTheme="minorHAnsi" w:hAnsiTheme="minorHAnsi" w:cstheme="minorHAnsi"/>
                <w:sz w:val="20"/>
                <w:szCs w:val="20"/>
              </w:rPr>
              <w:t>1.</w:t>
            </w:r>
          </w:p>
        </w:tc>
        <w:tc>
          <w:tcPr>
            <w:tcW w:w="2268" w:type="dxa"/>
          </w:tcPr>
          <w:p w14:paraId="65125EFB" w14:textId="77777777" w:rsidR="00591DFB" w:rsidRPr="00D37001" w:rsidRDefault="00591DFB" w:rsidP="00591DFB">
            <w:pPr>
              <w:rPr>
                <w:rFonts w:asciiTheme="minorHAnsi" w:hAnsiTheme="minorHAnsi" w:cstheme="minorHAnsi"/>
                <w:sz w:val="20"/>
                <w:szCs w:val="20"/>
              </w:rPr>
            </w:pPr>
            <w:r w:rsidRPr="00D37001">
              <w:rPr>
                <w:rFonts w:asciiTheme="minorHAnsi" w:hAnsiTheme="minorHAnsi" w:cstheme="minorHAnsi"/>
                <w:sz w:val="20"/>
                <w:szCs w:val="20"/>
              </w:rPr>
              <w:t>Patient data base at Royal Women`s Hospital Melbourne</w:t>
            </w:r>
          </w:p>
        </w:tc>
        <w:tc>
          <w:tcPr>
            <w:tcW w:w="2977" w:type="dxa"/>
          </w:tcPr>
          <w:p w14:paraId="0CD2C304" w14:textId="77777777" w:rsidR="00591DFB" w:rsidRPr="00D37001" w:rsidRDefault="00591DFB" w:rsidP="00591DFB">
            <w:pPr>
              <w:rPr>
                <w:rFonts w:asciiTheme="minorHAnsi" w:hAnsiTheme="minorHAnsi" w:cstheme="minorHAnsi"/>
                <w:sz w:val="20"/>
                <w:szCs w:val="20"/>
              </w:rPr>
            </w:pPr>
          </w:p>
        </w:tc>
        <w:tc>
          <w:tcPr>
            <w:tcW w:w="3544" w:type="dxa"/>
          </w:tcPr>
          <w:p w14:paraId="0C901F49" w14:textId="77777777" w:rsidR="00591DFB" w:rsidRPr="00D37001" w:rsidRDefault="00591DFB" w:rsidP="00591DFB">
            <w:pPr>
              <w:rPr>
                <w:rFonts w:asciiTheme="minorHAnsi" w:hAnsiTheme="minorHAnsi" w:cstheme="minorHAnsi"/>
                <w:sz w:val="20"/>
                <w:szCs w:val="20"/>
              </w:rPr>
            </w:pPr>
            <w:r w:rsidRPr="00D37001">
              <w:rPr>
                <w:rFonts w:asciiTheme="minorHAnsi" w:hAnsiTheme="minorHAnsi" w:cstheme="minorHAnsi"/>
                <w:sz w:val="20"/>
                <w:szCs w:val="20"/>
              </w:rPr>
              <w:t>1700 completed entries of pregnancies tested with sFlt-1/</w:t>
            </w:r>
            <w:proofErr w:type="spellStart"/>
            <w:r w:rsidRPr="00D37001">
              <w:rPr>
                <w:rFonts w:asciiTheme="minorHAnsi" w:hAnsiTheme="minorHAnsi" w:cstheme="minorHAnsi"/>
                <w:sz w:val="20"/>
                <w:szCs w:val="20"/>
              </w:rPr>
              <w:t>PlGF</w:t>
            </w:r>
            <w:proofErr w:type="spellEnd"/>
            <w:r w:rsidRPr="00D37001">
              <w:rPr>
                <w:rFonts w:asciiTheme="minorHAnsi" w:hAnsiTheme="minorHAnsi" w:cstheme="minorHAnsi"/>
                <w:sz w:val="20"/>
                <w:szCs w:val="20"/>
              </w:rPr>
              <w:t xml:space="preserve"> ratio at the RWH. Data </w:t>
            </w:r>
            <w:proofErr w:type="gramStart"/>
            <w:r w:rsidRPr="00D37001">
              <w:rPr>
                <w:rFonts w:asciiTheme="minorHAnsi" w:hAnsiTheme="minorHAnsi" w:cstheme="minorHAnsi"/>
                <w:sz w:val="20"/>
                <w:szCs w:val="20"/>
              </w:rPr>
              <w:t>includes;</w:t>
            </w:r>
            <w:proofErr w:type="gramEnd"/>
            <w:r w:rsidRPr="00D37001">
              <w:rPr>
                <w:rFonts w:asciiTheme="minorHAnsi" w:hAnsiTheme="minorHAnsi" w:cstheme="minorHAnsi"/>
                <w:sz w:val="20"/>
                <w:szCs w:val="20"/>
              </w:rPr>
              <w:t xml:space="preserve"> outcomes of test, gestational age at birth, Date of Delivery</w:t>
            </w:r>
          </w:p>
          <w:p w14:paraId="100CFB27" w14:textId="77777777" w:rsidR="00591DFB" w:rsidRPr="00D37001" w:rsidRDefault="00591DFB" w:rsidP="00591DFB">
            <w:pPr>
              <w:rPr>
                <w:rFonts w:asciiTheme="minorHAnsi" w:hAnsiTheme="minorHAnsi" w:cstheme="minorHAnsi"/>
                <w:sz w:val="20"/>
                <w:szCs w:val="20"/>
              </w:rPr>
            </w:pPr>
            <w:r w:rsidRPr="00D37001">
              <w:rPr>
                <w:rFonts w:asciiTheme="minorHAnsi" w:hAnsiTheme="minorHAnsi" w:cstheme="minorHAnsi"/>
                <w:sz w:val="20"/>
                <w:szCs w:val="20"/>
              </w:rPr>
              <w:t>Labour Type</w:t>
            </w:r>
          </w:p>
          <w:p w14:paraId="5D0BD385" w14:textId="77777777" w:rsidR="00591DFB" w:rsidRPr="00D37001" w:rsidRDefault="00591DFB" w:rsidP="00591DFB">
            <w:pPr>
              <w:rPr>
                <w:rFonts w:asciiTheme="minorHAnsi" w:hAnsiTheme="minorHAnsi" w:cstheme="minorHAnsi"/>
                <w:sz w:val="20"/>
                <w:szCs w:val="20"/>
              </w:rPr>
            </w:pPr>
            <w:r w:rsidRPr="00D37001">
              <w:rPr>
                <w:rFonts w:asciiTheme="minorHAnsi" w:hAnsiTheme="minorHAnsi" w:cstheme="minorHAnsi"/>
                <w:sz w:val="20"/>
                <w:szCs w:val="20"/>
              </w:rPr>
              <w:t>Mode of Delivery, Antenatal Time in Hospital, Any Maternal, Co-morbidities, Labour or Baby comments.</w:t>
            </w:r>
          </w:p>
        </w:tc>
        <w:tc>
          <w:tcPr>
            <w:tcW w:w="3135" w:type="dxa"/>
          </w:tcPr>
          <w:p w14:paraId="29BE72AE" w14:textId="77777777" w:rsidR="00591DFB" w:rsidRPr="00D37001" w:rsidRDefault="00591DFB" w:rsidP="00591DFB">
            <w:pPr>
              <w:rPr>
                <w:rFonts w:asciiTheme="minorHAnsi" w:hAnsiTheme="minorHAnsi" w:cstheme="minorHAnsi"/>
                <w:sz w:val="20"/>
                <w:szCs w:val="20"/>
              </w:rPr>
            </w:pPr>
          </w:p>
        </w:tc>
        <w:tc>
          <w:tcPr>
            <w:tcW w:w="1462" w:type="dxa"/>
          </w:tcPr>
          <w:p w14:paraId="0A423D21" w14:textId="77777777" w:rsidR="00591DFB" w:rsidRPr="00D37001" w:rsidRDefault="00591DFB" w:rsidP="00591DFB">
            <w:pPr>
              <w:rPr>
                <w:rFonts w:asciiTheme="minorHAnsi" w:hAnsiTheme="minorHAnsi" w:cstheme="minorHAnsi"/>
                <w:sz w:val="20"/>
                <w:szCs w:val="20"/>
              </w:rPr>
            </w:pPr>
          </w:p>
        </w:tc>
      </w:tr>
    </w:tbl>
    <w:p w14:paraId="75140B73" w14:textId="086F4B84" w:rsidR="00E45321" w:rsidRDefault="00E45321">
      <w:pPr>
        <w:rPr>
          <w:i/>
        </w:rPr>
        <w:sectPr w:rsidR="00E45321" w:rsidSect="00591DFB">
          <w:pgSz w:w="16838" w:h="11906" w:orient="landscape"/>
          <w:pgMar w:top="1440" w:right="1440" w:bottom="1440" w:left="1440" w:header="708" w:footer="708" w:gutter="0"/>
          <w:cols w:space="720"/>
          <w:docGrid w:linePitch="326"/>
        </w:sectPr>
      </w:pPr>
    </w:p>
    <w:p w14:paraId="127AB57D" w14:textId="77777777" w:rsidR="00E45321" w:rsidRDefault="00B76D37" w:rsidP="00B44DB3">
      <w:pPr>
        <w:pStyle w:val="Heading1"/>
      </w:pPr>
      <w:r>
        <w:lastRenderedPageBreak/>
        <w:t>PART 5 – CLINICAL ENDORSEMENT AND CONSUMER INFORMATION</w:t>
      </w:r>
    </w:p>
    <w:p w14:paraId="08914612" w14:textId="77777777" w:rsidR="00E45321" w:rsidRDefault="00B76D37">
      <w:pPr>
        <w:pStyle w:val="Heading2"/>
        <w:numPr>
          <w:ilvl w:val="0"/>
          <w:numId w:val="18"/>
        </w:numPr>
      </w:pPr>
      <w:r>
        <w:t>List all appropriate professional bodies / organisations representing the group(s) of health professionals who provide the service (please attach a statement of clinical relevance from each group nominated):</w:t>
      </w:r>
    </w:p>
    <w:p w14:paraId="78AD83E3" w14:textId="77777777" w:rsidR="009B567B" w:rsidRPr="00075F47" w:rsidRDefault="009B567B" w:rsidP="009B567B">
      <w:pPr>
        <w:pStyle w:val="ListParagraph"/>
        <w:numPr>
          <w:ilvl w:val="0"/>
          <w:numId w:val="27"/>
        </w:numPr>
      </w:pPr>
      <w:bookmarkStart w:id="12" w:name="_Hlk90048716"/>
      <w:r w:rsidRPr="00075F47">
        <w:t>Royal Australian and New Zealand College of Obstetricians and Gynaecologists (RANZCOG)</w:t>
      </w:r>
    </w:p>
    <w:p w14:paraId="33A9A21D" w14:textId="77777777" w:rsidR="009B567B" w:rsidRPr="00075F47" w:rsidRDefault="009B567B" w:rsidP="009B567B">
      <w:pPr>
        <w:pStyle w:val="ListParagraph"/>
        <w:numPr>
          <w:ilvl w:val="0"/>
          <w:numId w:val="27"/>
        </w:numPr>
      </w:pPr>
      <w:r w:rsidRPr="00075F47">
        <w:t>The Royal College of Pathologists of Australasia (RCPA)</w:t>
      </w:r>
    </w:p>
    <w:p w14:paraId="0DBCF5C0" w14:textId="77777777" w:rsidR="009B567B" w:rsidRPr="00947EB7" w:rsidRDefault="009B567B" w:rsidP="009B567B">
      <w:pPr>
        <w:pStyle w:val="ListParagraph"/>
        <w:numPr>
          <w:ilvl w:val="0"/>
          <w:numId w:val="27"/>
        </w:numPr>
      </w:pPr>
      <w:r w:rsidRPr="00947EB7">
        <w:t>Royal Australian and New Zealand College of Radiologists (RANZCR)</w:t>
      </w:r>
    </w:p>
    <w:p w14:paraId="252C779B" w14:textId="77777777" w:rsidR="009B567B" w:rsidRPr="00947EB7" w:rsidRDefault="009B567B" w:rsidP="009B567B">
      <w:pPr>
        <w:pStyle w:val="ListParagraph"/>
        <w:numPr>
          <w:ilvl w:val="0"/>
          <w:numId w:val="27"/>
        </w:numPr>
      </w:pPr>
      <w:r w:rsidRPr="00947EB7">
        <w:t>Society of Obstetric Medicine of Australia and New Zealand (SOMANZ)</w:t>
      </w:r>
    </w:p>
    <w:p w14:paraId="35F53945" w14:textId="77777777" w:rsidR="009B567B" w:rsidRPr="00947EB7" w:rsidRDefault="009B567B" w:rsidP="009B567B">
      <w:pPr>
        <w:pStyle w:val="ListParagraph"/>
        <w:numPr>
          <w:ilvl w:val="0"/>
          <w:numId w:val="27"/>
        </w:numPr>
      </w:pPr>
      <w:r w:rsidRPr="00947EB7">
        <w:t>Australasian Society for Ultrasound in Medicine (ASUM)</w:t>
      </w:r>
    </w:p>
    <w:p w14:paraId="0DD65323" w14:textId="1F3A6250" w:rsidR="00E45321" w:rsidRDefault="009B567B" w:rsidP="00B44DB3">
      <w:pPr>
        <w:pStyle w:val="ListParagraph"/>
        <w:numPr>
          <w:ilvl w:val="0"/>
          <w:numId w:val="27"/>
        </w:numPr>
      </w:pPr>
      <w:r w:rsidRPr="00947EB7">
        <w:t xml:space="preserve">The Royal Australian College of General Practitioners (RACGP) </w:t>
      </w:r>
      <w:bookmarkEnd w:id="12"/>
    </w:p>
    <w:p w14:paraId="72401943" w14:textId="76B75D45" w:rsidR="00E45321" w:rsidRDefault="00B76D37">
      <w:pPr>
        <w:pStyle w:val="Heading2"/>
        <w:numPr>
          <w:ilvl w:val="0"/>
          <w:numId w:val="18"/>
        </w:numPr>
      </w:pPr>
      <w:r>
        <w:t>List any professional bodies / organisations that may be impacted by this medical service (i.e. those who provide the comparator service):</w:t>
      </w:r>
    </w:p>
    <w:p w14:paraId="738211CE" w14:textId="3DDF3179" w:rsidR="00B44DB3" w:rsidRPr="00B44DB3" w:rsidRDefault="00B44DB3" w:rsidP="00B44DB3">
      <w:pPr>
        <w:ind w:left="360"/>
        <w:rPr>
          <w:rFonts w:asciiTheme="minorHAnsi" w:hAnsiTheme="minorHAnsi" w:cstheme="minorHAnsi"/>
          <w:sz w:val="20"/>
          <w:szCs w:val="20"/>
          <w:lang w:eastAsia="en-US"/>
        </w:rPr>
      </w:pPr>
      <w:r w:rsidRPr="00B44DB3">
        <w:rPr>
          <w:rFonts w:asciiTheme="minorHAnsi" w:hAnsiTheme="minorHAnsi" w:cstheme="minorHAnsi"/>
          <w:sz w:val="20"/>
          <w:szCs w:val="20"/>
          <w:lang w:eastAsia="en-US"/>
        </w:rPr>
        <w:t>None identified</w:t>
      </w:r>
    </w:p>
    <w:p w14:paraId="0B96EB51" w14:textId="77777777" w:rsidR="00E45321" w:rsidRDefault="00B76D37">
      <w:pPr>
        <w:pStyle w:val="Heading2"/>
        <w:numPr>
          <w:ilvl w:val="0"/>
          <w:numId w:val="18"/>
        </w:numPr>
      </w:pPr>
      <w:r>
        <w:t>List the consumer organisations relevant to the proposed medical service (please attach a letter of support for each consumer organisation nominated):</w:t>
      </w:r>
    </w:p>
    <w:p w14:paraId="37CE31A2" w14:textId="77777777" w:rsidR="00E45321" w:rsidRDefault="00B76D37" w:rsidP="00B44DB3">
      <w:pPr>
        <w:pStyle w:val="ListParagraph"/>
        <w:numPr>
          <w:ilvl w:val="0"/>
          <w:numId w:val="27"/>
        </w:numPr>
      </w:pPr>
      <w:bookmarkStart w:id="13" w:name="_Hlk90048775"/>
      <w:r w:rsidRPr="00B44DB3">
        <w:t>Australian Action on Preeclampsia Inc. (AAPEC)</w:t>
      </w:r>
    </w:p>
    <w:bookmarkEnd w:id="13"/>
    <w:p w14:paraId="1133D67B" w14:textId="77777777" w:rsidR="00E45321" w:rsidRDefault="00B76D37">
      <w:pPr>
        <w:pStyle w:val="Heading2"/>
        <w:numPr>
          <w:ilvl w:val="0"/>
          <w:numId w:val="18"/>
        </w:numPr>
      </w:pPr>
      <w:r>
        <w:t>List the relevant sponsor(s) and / or manufacturer(s) who produce similar products relevant to the proposed medical service:</w:t>
      </w:r>
    </w:p>
    <w:p w14:paraId="0CB7E58F" w14:textId="77777777" w:rsidR="00E45321" w:rsidRDefault="00B76D37" w:rsidP="00B44DB3">
      <w:pPr>
        <w:pStyle w:val="ListParagraph"/>
        <w:numPr>
          <w:ilvl w:val="0"/>
          <w:numId w:val="27"/>
        </w:numPr>
      </w:pPr>
      <w:bookmarkStart w:id="14" w:name="_Hlk90048795"/>
      <w:r w:rsidRPr="00B44DB3">
        <w:t>Roche Diagnostics</w:t>
      </w:r>
    </w:p>
    <w:p w14:paraId="05EE4D42" w14:textId="77777777" w:rsidR="00E45321" w:rsidRDefault="00B76D37" w:rsidP="00B44DB3">
      <w:pPr>
        <w:pStyle w:val="ListParagraph"/>
        <w:numPr>
          <w:ilvl w:val="0"/>
          <w:numId w:val="27"/>
        </w:numPr>
      </w:pPr>
      <w:r w:rsidRPr="00B44DB3">
        <w:t>Thermo Fisher</w:t>
      </w:r>
    </w:p>
    <w:p w14:paraId="22169A32" w14:textId="77777777" w:rsidR="00E45321" w:rsidRPr="00B44DB3" w:rsidRDefault="00B76D37" w:rsidP="00B44DB3">
      <w:pPr>
        <w:pStyle w:val="ListParagraph"/>
        <w:numPr>
          <w:ilvl w:val="0"/>
          <w:numId w:val="27"/>
        </w:numPr>
      </w:pPr>
      <w:r w:rsidRPr="00B44DB3">
        <w:t>PerkinElmer</w:t>
      </w:r>
    </w:p>
    <w:bookmarkEnd w:id="14"/>
    <w:p w14:paraId="58263300" w14:textId="77777777" w:rsidR="00E45321" w:rsidRDefault="00B76D37">
      <w:pPr>
        <w:pStyle w:val="Heading2"/>
        <w:numPr>
          <w:ilvl w:val="0"/>
          <w:numId w:val="18"/>
        </w:numPr>
      </w:pPr>
      <w:r>
        <w:t>Nominate two experts who could be approached about the proposed medical service and the current clinical management of the service(s):</w:t>
      </w:r>
    </w:p>
    <w:p w14:paraId="4C7F61BD" w14:textId="77777777" w:rsidR="00E45321" w:rsidRDefault="00E45321"/>
    <w:p w14:paraId="5BF5D936" w14:textId="560A5270" w:rsidR="008F4190" w:rsidRPr="00B44DB3" w:rsidRDefault="00B76D37" w:rsidP="00B44DB3">
      <w:pPr>
        <w:ind w:left="426"/>
        <w:rPr>
          <w:rFonts w:asciiTheme="minorHAnsi" w:hAnsiTheme="minorHAnsi" w:cstheme="minorHAnsi"/>
          <w:sz w:val="20"/>
          <w:szCs w:val="20"/>
        </w:rPr>
      </w:pPr>
      <w:r w:rsidRPr="00B44DB3">
        <w:rPr>
          <w:rFonts w:asciiTheme="minorHAnsi" w:hAnsiTheme="minorHAnsi" w:cstheme="minorHAnsi"/>
          <w:sz w:val="20"/>
          <w:szCs w:val="20"/>
        </w:rPr>
        <w:t xml:space="preserve">Name of expert 1: </w:t>
      </w:r>
      <w:r w:rsidR="00BA2769" w:rsidRPr="00B44DB3">
        <w:rPr>
          <w:rFonts w:asciiTheme="minorHAnsi" w:hAnsiTheme="minorHAnsi" w:cstheme="minorHAnsi"/>
          <w:b/>
          <w:bCs/>
          <w:sz w:val="20"/>
          <w:szCs w:val="20"/>
          <w:highlight w:val="lightGray"/>
        </w:rPr>
        <w:t>REDACTED</w:t>
      </w:r>
    </w:p>
    <w:p w14:paraId="019ADB5E" w14:textId="77777777" w:rsidR="008F4190" w:rsidRPr="00B44DB3" w:rsidRDefault="008F4190">
      <w:pPr>
        <w:ind w:left="426"/>
        <w:rPr>
          <w:rFonts w:asciiTheme="minorHAnsi" w:hAnsiTheme="minorHAnsi" w:cstheme="minorHAnsi"/>
          <w:sz w:val="20"/>
          <w:szCs w:val="20"/>
        </w:rPr>
      </w:pPr>
    </w:p>
    <w:p w14:paraId="22967486" w14:textId="2C895C76" w:rsidR="008F4190" w:rsidRPr="00B44DB3" w:rsidRDefault="00B76D37" w:rsidP="00BA2769">
      <w:pPr>
        <w:ind w:left="426"/>
        <w:rPr>
          <w:rFonts w:asciiTheme="minorHAnsi" w:hAnsiTheme="minorHAnsi" w:cstheme="minorHAnsi"/>
          <w:sz w:val="20"/>
          <w:szCs w:val="20"/>
        </w:rPr>
      </w:pPr>
      <w:r w:rsidRPr="00B44DB3">
        <w:rPr>
          <w:rFonts w:asciiTheme="minorHAnsi" w:hAnsiTheme="minorHAnsi" w:cstheme="minorHAnsi"/>
          <w:sz w:val="20"/>
          <w:szCs w:val="20"/>
        </w:rPr>
        <w:t xml:space="preserve">Name of expert 2: </w:t>
      </w:r>
      <w:r w:rsidR="00BA2769" w:rsidRPr="00B44DB3">
        <w:rPr>
          <w:rFonts w:asciiTheme="minorHAnsi" w:hAnsiTheme="minorHAnsi" w:cstheme="minorHAnsi"/>
          <w:b/>
          <w:bCs/>
          <w:sz w:val="20"/>
          <w:szCs w:val="20"/>
          <w:highlight w:val="lightGray"/>
        </w:rPr>
        <w:t>REDACTED</w:t>
      </w:r>
    </w:p>
    <w:p w14:paraId="31386AD4" w14:textId="4D11CEA5" w:rsidR="008E0C83" w:rsidRDefault="00B76D37" w:rsidP="00B44DB3">
      <w:pPr>
        <w:pStyle w:val="Heading1"/>
      </w:pPr>
      <w:r>
        <w:br w:type="page"/>
      </w:r>
      <w:r>
        <w:lastRenderedPageBreak/>
        <w:t>PART 6 – POPULATION (AND PRIOR TESTS), INTERVENTION, COMPARATOR, OUTCOME (PICO)</w:t>
      </w:r>
    </w:p>
    <w:p w14:paraId="3F3171F3" w14:textId="66ED413B" w:rsidR="00D37001" w:rsidRDefault="00D37001" w:rsidP="00D37001">
      <w:pPr>
        <w:rPr>
          <w:lang w:eastAsia="en-US"/>
        </w:rPr>
      </w:pPr>
    </w:p>
    <w:p w14:paraId="36EC58FD" w14:textId="241EB29C" w:rsidR="00D37001" w:rsidRDefault="00D37001" w:rsidP="00D37001">
      <w:pPr>
        <w:rPr>
          <w:lang w:eastAsia="en-US"/>
        </w:rPr>
      </w:pPr>
    </w:p>
    <w:p w14:paraId="2A4F336F" w14:textId="77777777" w:rsidR="00D37001" w:rsidRPr="00D37001" w:rsidRDefault="00D37001" w:rsidP="00D37001">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bookmarkStart w:id="15" w:name="_Hlk90049088"/>
      <w:bookmarkStart w:id="16" w:name="_Hlk90049089"/>
      <w:r w:rsidRPr="00D37001">
        <w:rPr>
          <w:rFonts w:asciiTheme="minorHAnsi" w:hAnsiTheme="minorHAnsi" w:cstheme="minorHAnsi"/>
          <w:sz w:val="20"/>
          <w:szCs w:val="20"/>
        </w:rPr>
        <w:t>The PICO presented in this section describes sFlt-1/</w:t>
      </w:r>
      <w:proofErr w:type="spellStart"/>
      <w:r w:rsidRPr="00D37001">
        <w:rPr>
          <w:rFonts w:asciiTheme="minorHAnsi" w:hAnsiTheme="minorHAnsi" w:cstheme="minorHAnsi"/>
          <w:sz w:val="20"/>
          <w:szCs w:val="20"/>
        </w:rPr>
        <w:t>PlGF</w:t>
      </w:r>
      <w:proofErr w:type="spellEnd"/>
      <w:r w:rsidRPr="00D37001">
        <w:rPr>
          <w:rFonts w:asciiTheme="minorHAnsi" w:hAnsiTheme="minorHAnsi" w:cstheme="minorHAnsi"/>
          <w:sz w:val="20"/>
          <w:szCs w:val="20"/>
        </w:rPr>
        <w:t xml:space="preserve"> ratio testing being implemented in the Australian health care system in its current state. An appendix is provided in this Application Form to describe sFlt-1/</w:t>
      </w:r>
      <w:proofErr w:type="spellStart"/>
      <w:r w:rsidRPr="00D37001">
        <w:rPr>
          <w:rFonts w:asciiTheme="minorHAnsi" w:hAnsiTheme="minorHAnsi" w:cstheme="minorHAnsi"/>
          <w:sz w:val="20"/>
          <w:szCs w:val="20"/>
        </w:rPr>
        <w:t>PlGF</w:t>
      </w:r>
      <w:proofErr w:type="spellEnd"/>
      <w:r w:rsidRPr="00D37001">
        <w:rPr>
          <w:rFonts w:asciiTheme="minorHAnsi" w:hAnsiTheme="minorHAnsi" w:cstheme="minorHAnsi"/>
          <w:sz w:val="20"/>
          <w:szCs w:val="20"/>
        </w:rPr>
        <w:t xml:space="preserve"> ratio testing should the </w:t>
      </w:r>
      <w:r w:rsidRPr="00D37001">
        <w:rPr>
          <w:rFonts w:asciiTheme="minorHAnsi" w:hAnsiTheme="minorHAnsi" w:cstheme="minorHAnsi"/>
          <w:i/>
          <w:sz w:val="20"/>
          <w:szCs w:val="20"/>
        </w:rPr>
        <w:t>Structured prenatal risk assessment for preterm preeclampsia</w:t>
      </w:r>
      <w:r w:rsidRPr="00D37001">
        <w:rPr>
          <w:rFonts w:asciiTheme="minorHAnsi" w:hAnsiTheme="minorHAnsi" w:cstheme="minorHAnsi"/>
          <w:sz w:val="20"/>
          <w:szCs w:val="20"/>
        </w:rPr>
        <w:t xml:space="preserve"> algorithm as proposed in the simultaneous MSAC application, also be implemented.</w:t>
      </w:r>
      <w:bookmarkEnd w:id="15"/>
      <w:bookmarkEnd w:id="16"/>
    </w:p>
    <w:p w14:paraId="3A56AD9D" w14:textId="77777777" w:rsidR="00D37001" w:rsidRPr="00D37001" w:rsidRDefault="00D37001" w:rsidP="00D37001">
      <w:pPr>
        <w:rPr>
          <w:lang w:eastAsia="en-US"/>
        </w:rPr>
      </w:pPr>
    </w:p>
    <w:p w14:paraId="59EE4F95" w14:textId="196CBF3D" w:rsidR="00591DFB" w:rsidRDefault="00B76D37" w:rsidP="00D37001">
      <w:pPr>
        <w:pStyle w:val="Subtitle"/>
      </w:pPr>
      <w:r>
        <w:t>PART 6a – INFORMATION ABOUT THE PROPOSED POPULATION</w:t>
      </w:r>
    </w:p>
    <w:p w14:paraId="28B3287B" w14:textId="18C1B29F" w:rsidR="00E45321" w:rsidRDefault="00B76D37">
      <w:pPr>
        <w:pStyle w:val="Heading2"/>
        <w:numPr>
          <w:ilvl w:val="0"/>
          <w:numId w:val="18"/>
        </w:numPr>
      </w:pPr>
      <w:bookmarkStart w:id="17" w:name="_Hlk90048986"/>
      <w:r>
        <w:t xml:space="preserve">Define the medical condition, including providing information on the natural history of the condition and a </w:t>
      </w:r>
      <w:proofErr w:type="gramStart"/>
      <w:r>
        <w:t>high level</w:t>
      </w:r>
      <w:proofErr w:type="gramEnd"/>
      <w:r>
        <w:t xml:space="preserve"> summary of associated burden of disease in terms of both morbidity and mortality:</w:t>
      </w:r>
    </w:p>
    <w:p w14:paraId="7C24C428" w14:textId="77777777" w:rsidR="00E45321" w:rsidRPr="00D37001" w:rsidRDefault="00B76D37" w:rsidP="00D37001">
      <w:pPr>
        <w:spacing w:before="120" w:after="120"/>
        <w:ind w:left="357"/>
        <w:rPr>
          <w:rFonts w:asciiTheme="minorHAnsi" w:eastAsia="Calibri" w:hAnsiTheme="minorHAnsi" w:cstheme="minorHAnsi"/>
          <w:sz w:val="20"/>
          <w:szCs w:val="20"/>
        </w:rPr>
      </w:pPr>
      <w:bookmarkStart w:id="18" w:name="_Hlk90049115"/>
      <w:r w:rsidRPr="00D37001">
        <w:rPr>
          <w:rFonts w:asciiTheme="minorHAnsi" w:eastAsia="Calibri" w:hAnsiTheme="minorHAnsi" w:cstheme="minorHAnsi"/>
          <w:sz w:val="20"/>
          <w:szCs w:val="20"/>
        </w:rPr>
        <w:t>Definition:</w:t>
      </w:r>
    </w:p>
    <w:p w14:paraId="1B46F434" w14:textId="04325A25" w:rsidR="00E45321" w:rsidRPr="00D37001" w:rsidRDefault="00B76D37" w:rsidP="00D37001">
      <w:pPr>
        <w:spacing w:before="120" w:after="120"/>
        <w:ind w:left="357"/>
        <w:rPr>
          <w:rFonts w:asciiTheme="minorHAnsi" w:eastAsia="Calibri" w:hAnsiTheme="minorHAnsi" w:cstheme="minorHAnsi"/>
          <w:sz w:val="20"/>
          <w:szCs w:val="20"/>
        </w:rPr>
      </w:pPr>
      <w:r w:rsidRPr="00D37001">
        <w:rPr>
          <w:rFonts w:asciiTheme="minorHAnsi" w:eastAsia="Calibri" w:hAnsiTheme="minorHAnsi" w:cstheme="minorHAnsi"/>
          <w:sz w:val="20"/>
          <w:szCs w:val="20"/>
        </w:rPr>
        <w:t xml:space="preserve">Preeclampsia is a pregnancy specific condition that affects multiple organ systems. It is  most typically defined as a condition with </w:t>
      </w:r>
      <w:r w:rsidR="006554A6" w:rsidRPr="00D37001">
        <w:rPr>
          <w:rFonts w:asciiTheme="minorHAnsi" w:eastAsia="Calibri" w:hAnsiTheme="minorHAnsi" w:cstheme="minorHAnsi"/>
          <w:sz w:val="20"/>
          <w:szCs w:val="20"/>
        </w:rPr>
        <w:t xml:space="preserve">pregnancy induced </w:t>
      </w:r>
      <w:r w:rsidRPr="00D37001">
        <w:rPr>
          <w:rFonts w:asciiTheme="minorHAnsi" w:eastAsia="Calibri" w:hAnsiTheme="minorHAnsi" w:cstheme="minorHAnsi"/>
          <w:sz w:val="20"/>
          <w:szCs w:val="20"/>
        </w:rPr>
        <w:t xml:space="preserve">increased blood pressure (above 140mmHg systolic and/or 90mmHg diastolic) combined with </w:t>
      </w:r>
      <w:r w:rsidR="008177E0" w:rsidRPr="00D37001">
        <w:rPr>
          <w:rFonts w:asciiTheme="minorHAnsi" w:eastAsia="Calibri" w:hAnsiTheme="minorHAnsi" w:cstheme="minorHAnsi"/>
          <w:sz w:val="20"/>
          <w:szCs w:val="20"/>
        </w:rPr>
        <w:t>dysfunction</w:t>
      </w:r>
      <w:r w:rsidRPr="00D37001">
        <w:rPr>
          <w:rFonts w:asciiTheme="minorHAnsi" w:eastAsia="Calibri" w:hAnsiTheme="minorHAnsi" w:cstheme="minorHAnsi"/>
          <w:sz w:val="20"/>
          <w:szCs w:val="20"/>
        </w:rPr>
        <w:t xml:space="preserve"> in at least one of renal, hepatic, haematological, neurological or respiratory systems</w:t>
      </w:r>
      <w:r w:rsidR="008177E0" w:rsidRPr="00D37001">
        <w:rPr>
          <w:rFonts w:asciiTheme="minorHAnsi" w:eastAsia="Calibri" w:hAnsiTheme="minorHAnsi" w:cstheme="minorHAnsi"/>
          <w:sz w:val="20"/>
          <w:szCs w:val="20"/>
        </w:rPr>
        <w:t xml:space="preserve"> and/or</w:t>
      </w:r>
      <w:r w:rsidRPr="00D37001">
        <w:rPr>
          <w:rFonts w:asciiTheme="minorHAnsi" w:eastAsia="Calibri" w:hAnsiTheme="minorHAnsi" w:cstheme="minorHAnsi"/>
          <w:sz w:val="20"/>
          <w:szCs w:val="20"/>
        </w:rPr>
        <w:t xml:space="preserve"> with evidence of placental insufficiency and </w:t>
      </w:r>
      <w:proofErr w:type="spellStart"/>
      <w:r w:rsidRPr="00D37001">
        <w:rPr>
          <w:rFonts w:asciiTheme="minorHAnsi" w:eastAsia="Calibri" w:hAnsiTheme="minorHAnsi" w:cstheme="minorHAnsi"/>
          <w:sz w:val="20"/>
          <w:szCs w:val="20"/>
        </w:rPr>
        <w:t>fetal</w:t>
      </w:r>
      <w:proofErr w:type="spellEnd"/>
      <w:r w:rsidRPr="00D37001">
        <w:rPr>
          <w:rFonts w:asciiTheme="minorHAnsi" w:eastAsia="Calibri" w:hAnsiTheme="minorHAnsi" w:cstheme="minorHAnsi"/>
          <w:sz w:val="20"/>
          <w:szCs w:val="20"/>
        </w:rPr>
        <w:t xml:space="preserve"> growth restriction.</w:t>
      </w:r>
    </w:p>
    <w:p w14:paraId="56A4101A" w14:textId="1AB8F424" w:rsidR="00E45321" w:rsidRPr="00D37001" w:rsidRDefault="00B76D37" w:rsidP="00D37001">
      <w:pPr>
        <w:spacing w:before="120" w:after="120"/>
        <w:ind w:left="357"/>
        <w:rPr>
          <w:rFonts w:asciiTheme="minorHAnsi" w:eastAsia="Calibri" w:hAnsiTheme="minorHAnsi" w:cstheme="minorHAnsi"/>
          <w:sz w:val="20"/>
          <w:szCs w:val="20"/>
        </w:rPr>
      </w:pPr>
      <w:r w:rsidRPr="00D37001">
        <w:rPr>
          <w:rFonts w:asciiTheme="minorHAnsi" w:eastAsia="Calibri" w:hAnsiTheme="minorHAnsi" w:cstheme="minorHAnsi"/>
          <w:sz w:val="20"/>
          <w:szCs w:val="20"/>
        </w:rPr>
        <w:t xml:space="preserve">A more extended description of the systemic anomalies associated with </w:t>
      </w:r>
      <w:r w:rsidR="008A08EB" w:rsidRPr="00D37001">
        <w:rPr>
          <w:rFonts w:asciiTheme="minorHAnsi" w:eastAsia="Calibri" w:hAnsiTheme="minorHAnsi" w:cstheme="minorHAnsi"/>
          <w:sz w:val="20"/>
          <w:szCs w:val="20"/>
        </w:rPr>
        <w:t>preeclampsia</w:t>
      </w:r>
      <w:r w:rsidRPr="00D37001">
        <w:rPr>
          <w:rFonts w:asciiTheme="minorHAnsi" w:eastAsia="Calibri" w:hAnsiTheme="minorHAnsi" w:cstheme="minorHAnsi"/>
          <w:sz w:val="20"/>
          <w:szCs w:val="20"/>
        </w:rPr>
        <w:t xml:space="preserve"> is reported in the Society of Obstetric Medicine of Australia and New Zealand (SOMANZ) guideline (2014). </w:t>
      </w:r>
    </w:p>
    <w:p w14:paraId="04B74338" w14:textId="447AD37B" w:rsidR="00E45321" w:rsidRPr="00D37001" w:rsidRDefault="00B76D37" w:rsidP="00D37001">
      <w:pPr>
        <w:spacing w:before="120" w:after="120"/>
        <w:ind w:left="357"/>
        <w:rPr>
          <w:rFonts w:asciiTheme="minorHAnsi" w:eastAsia="Calibri" w:hAnsiTheme="minorHAnsi" w:cstheme="minorHAnsi"/>
          <w:sz w:val="20"/>
          <w:szCs w:val="20"/>
        </w:rPr>
      </w:pPr>
      <w:r w:rsidRPr="00D37001">
        <w:rPr>
          <w:rFonts w:asciiTheme="minorHAnsi" w:eastAsia="Calibri" w:hAnsiTheme="minorHAnsi" w:cstheme="minorHAnsi"/>
          <w:sz w:val="20"/>
          <w:szCs w:val="20"/>
        </w:rPr>
        <w:t>Pree</w:t>
      </w:r>
      <w:r w:rsidR="00C15EDA" w:rsidRPr="00D37001">
        <w:rPr>
          <w:rFonts w:asciiTheme="minorHAnsi" w:eastAsia="Calibri" w:hAnsiTheme="minorHAnsi" w:cstheme="minorHAnsi"/>
          <w:sz w:val="20"/>
          <w:szCs w:val="20"/>
        </w:rPr>
        <w:t>clampsia has been categorised</w:t>
      </w:r>
      <w:r w:rsidR="00F5719F" w:rsidRPr="00D37001">
        <w:rPr>
          <w:rFonts w:asciiTheme="minorHAnsi" w:eastAsia="Calibri" w:hAnsiTheme="minorHAnsi" w:cstheme="minorHAnsi"/>
          <w:sz w:val="20"/>
          <w:szCs w:val="20"/>
        </w:rPr>
        <w:t xml:space="preserve"> </w:t>
      </w:r>
      <w:r w:rsidRPr="00D37001">
        <w:rPr>
          <w:rFonts w:asciiTheme="minorHAnsi" w:eastAsia="Calibri" w:hAnsiTheme="minorHAnsi" w:cstheme="minorHAnsi"/>
          <w:sz w:val="20"/>
          <w:szCs w:val="20"/>
        </w:rPr>
        <w:t xml:space="preserve">as early (delivery &lt;34 weeks) or preterm (delivery &lt;37 weeks) or late (delivery &gt;37 weeks’ gestation) in onset. </w:t>
      </w:r>
    </w:p>
    <w:p w14:paraId="059A7112" w14:textId="77777777" w:rsidR="00E45321" w:rsidRPr="00D37001" w:rsidRDefault="00B76D37" w:rsidP="00D37001">
      <w:pPr>
        <w:spacing w:before="120" w:after="120"/>
        <w:ind w:left="357"/>
        <w:rPr>
          <w:rFonts w:asciiTheme="minorHAnsi" w:eastAsia="Calibri" w:hAnsiTheme="minorHAnsi" w:cstheme="minorHAnsi"/>
          <w:sz w:val="20"/>
          <w:szCs w:val="20"/>
        </w:rPr>
      </w:pPr>
      <w:r w:rsidRPr="00D37001">
        <w:rPr>
          <w:rFonts w:asciiTheme="minorHAnsi" w:eastAsia="Calibri" w:hAnsiTheme="minorHAnsi" w:cstheme="minorHAnsi"/>
          <w:sz w:val="20"/>
          <w:szCs w:val="20"/>
        </w:rPr>
        <w:t>Natural history:</w:t>
      </w:r>
    </w:p>
    <w:p w14:paraId="74D50279" w14:textId="370FFDAF" w:rsidR="00E45321" w:rsidRPr="00D37001" w:rsidRDefault="00B76D37" w:rsidP="00D37001">
      <w:pPr>
        <w:spacing w:before="120" w:after="120"/>
        <w:ind w:left="357"/>
        <w:rPr>
          <w:rFonts w:asciiTheme="minorHAnsi" w:eastAsia="Calibri" w:hAnsiTheme="minorHAnsi" w:cstheme="minorHAnsi"/>
          <w:sz w:val="20"/>
          <w:szCs w:val="20"/>
        </w:rPr>
      </w:pPr>
      <w:r w:rsidRPr="00D37001">
        <w:rPr>
          <w:rFonts w:asciiTheme="minorHAnsi" w:eastAsia="Calibri" w:hAnsiTheme="minorHAnsi" w:cstheme="minorHAnsi"/>
          <w:sz w:val="20"/>
          <w:szCs w:val="20"/>
        </w:rPr>
        <w:t xml:space="preserve">Although the aetiology of preeclampsia is not fully understood, both the placenta and the maternal </w:t>
      </w:r>
      <w:r w:rsidR="006554A6" w:rsidRPr="00D37001">
        <w:rPr>
          <w:rFonts w:asciiTheme="minorHAnsi" w:eastAsia="Calibri" w:hAnsiTheme="minorHAnsi" w:cstheme="minorHAnsi"/>
          <w:sz w:val="20"/>
          <w:szCs w:val="20"/>
        </w:rPr>
        <w:t xml:space="preserve">vascular </w:t>
      </w:r>
      <w:r w:rsidRPr="00D37001">
        <w:rPr>
          <w:rFonts w:asciiTheme="minorHAnsi" w:eastAsia="Calibri" w:hAnsiTheme="minorHAnsi" w:cstheme="minorHAnsi"/>
          <w:sz w:val="20"/>
          <w:szCs w:val="20"/>
        </w:rPr>
        <w:t xml:space="preserve">endothelium are centrally involved in the pathophysiology of the disease. The majority of cases that are severe and lead to early (&lt;34 weeks’ gestation) delivery </w:t>
      </w:r>
      <w:proofErr w:type="gramStart"/>
      <w:r w:rsidRPr="00D37001">
        <w:rPr>
          <w:rFonts w:asciiTheme="minorHAnsi" w:eastAsia="Calibri" w:hAnsiTheme="minorHAnsi" w:cstheme="minorHAnsi"/>
          <w:sz w:val="20"/>
          <w:szCs w:val="20"/>
        </w:rPr>
        <w:t>are</w:t>
      </w:r>
      <w:proofErr w:type="gramEnd"/>
      <w:r w:rsidRPr="00D37001">
        <w:rPr>
          <w:rFonts w:asciiTheme="minorHAnsi" w:eastAsia="Calibri" w:hAnsiTheme="minorHAnsi" w:cstheme="minorHAnsi"/>
          <w:sz w:val="20"/>
          <w:szCs w:val="20"/>
        </w:rPr>
        <w:t xml:space="preserve"> associated with placental insufficiency. Poor </w:t>
      </w:r>
      <w:r w:rsidR="008177E0" w:rsidRPr="00D37001">
        <w:rPr>
          <w:rFonts w:asciiTheme="minorHAnsi" w:eastAsia="Calibri" w:hAnsiTheme="minorHAnsi" w:cstheme="minorHAnsi"/>
          <w:sz w:val="20"/>
          <w:szCs w:val="20"/>
        </w:rPr>
        <w:t xml:space="preserve">placental </w:t>
      </w:r>
      <w:r w:rsidRPr="00D37001">
        <w:rPr>
          <w:rFonts w:asciiTheme="minorHAnsi" w:eastAsia="Calibri" w:hAnsiTheme="minorHAnsi" w:cstheme="minorHAnsi"/>
          <w:sz w:val="20"/>
          <w:szCs w:val="20"/>
        </w:rPr>
        <w:t xml:space="preserve">implantation causes placental hypoxia, altering release of angiogenic factors that impact both placental development and the maternal endothelium. </w:t>
      </w:r>
      <w:r w:rsidR="006554A6" w:rsidRPr="00D37001">
        <w:rPr>
          <w:rFonts w:asciiTheme="minorHAnsi" w:eastAsia="Calibri" w:hAnsiTheme="minorHAnsi" w:cstheme="minorHAnsi"/>
          <w:sz w:val="20"/>
          <w:szCs w:val="20"/>
        </w:rPr>
        <w:t>Vascular e</w:t>
      </w:r>
      <w:r w:rsidRPr="00D37001">
        <w:rPr>
          <w:rFonts w:asciiTheme="minorHAnsi" w:eastAsia="Calibri" w:hAnsiTheme="minorHAnsi" w:cstheme="minorHAnsi"/>
          <w:sz w:val="20"/>
          <w:szCs w:val="20"/>
        </w:rPr>
        <w:t xml:space="preserve">ndothelial dysfunction results in the end stage features (vasoconstriction, </w:t>
      </w:r>
      <w:proofErr w:type="gramStart"/>
      <w:r w:rsidRPr="00D37001">
        <w:rPr>
          <w:rFonts w:asciiTheme="minorHAnsi" w:eastAsia="Calibri" w:hAnsiTheme="minorHAnsi" w:cstheme="minorHAnsi"/>
          <w:sz w:val="20"/>
          <w:szCs w:val="20"/>
        </w:rPr>
        <w:t>hypertension</w:t>
      </w:r>
      <w:proofErr w:type="gramEnd"/>
      <w:r w:rsidRPr="00D37001">
        <w:rPr>
          <w:rFonts w:asciiTheme="minorHAnsi" w:eastAsia="Calibri" w:hAnsiTheme="minorHAnsi" w:cstheme="minorHAnsi"/>
          <w:sz w:val="20"/>
          <w:szCs w:val="20"/>
        </w:rPr>
        <w:t xml:space="preserve"> and organ dysfunction) seen in a woman who is symptomatic for the disease. </w:t>
      </w:r>
    </w:p>
    <w:p w14:paraId="1018835E" w14:textId="2249C7D5" w:rsidR="00E45321" w:rsidRPr="00D37001" w:rsidRDefault="00B76D37" w:rsidP="00D37001">
      <w:pPr>
        <w:spacing w:before="120" w:after="120"/>
        <w:ind w:left="357"/>
        <w:rPr>
          <w:rFonts w:asciiTheme="minorHAnsi" w:eastAsia="Calibri" w:hAnsiTheme="minorHAnsi" w:cstheme="minorHAnsi"/>
          <w:sz w:val="20"/>
          <w:szCs w:val="20"/>
        </w:rPr>
      </w:pPr>
      <w:r w:rsidRPr="00D37001">
        <w:rPr>
          <w:rFonts w:asciiTheme="minorHAnsi" w:eastAsia="Calibri" w:hAnsiTheme="minorHAnsi" w:cstheme="minorHAnsi"/>
          <w:sz w:val="20"/>
          <w:szCs w:val="20"/>
        </w:rPr>
        <w:t xml:space="preserve">The development of clinical symptoms and signs of preeclampsia is associated with further angiogenic dysregulation and exacerbation of disease. The health and wellbeing of the patient will continue to decline </w:t>
      </w:r>
      <w:r w:rsidR="006554A6" w:rsidRPr="00D37001">
        <w:rPr>
          <w:rFonts w:asciiTheme="minorHAnsi" w:eastAsia="Calibri" w:hAnsiTheme="minorHAnsi" w:cstheme="minorHAnsi"/>
          <w:sz w:val="20"/>
          <w:szCs w:val="20"/>
        </w:rPr>
        <w:t>until</w:t>
      </w:r>
      <w:r w:rsidRPr="00D37001">
        <w:rPr>
          <w:rFonts w:asciiTheme="minorHAnsi" w:eastAsia="Calibri" w:hAnsiTheme="minorHAnsi" w:cstheme="minorHAnsi"/>
          <w:sz w:val="20"/>
          <w:szCs w:val="20"/>
        </w:rPr>
        <w:t xml:space="preserve"> the pregnancy is delivered – which includes delivery of the placenta.</w:t>
      </w:r>
    </w:p>
    <w:p w14:paraId="6607D32B" w14:textId="038405BB" w:rsidR="00E45321" w:rsidRPr="00D37001" w:rsidRDefault="00B76D37" w:rsidP="00D37001">
      <w:pPr>
        <w:spacing w:before="120" w:after="120"/>
        <w:ind w:left="357"/>
        <w:rPr>
          <w:rFonts w:asciiTheme="minorHAnsi" w:eastAsia="Calibri" w:hAnsiTheme="minorHAnsi" w:cstheme="minorHAnsi"/>
          <w:sz w:val="20"/>
          <w:szCs w:val="20"/>
        </w:rPr>
      </w:pPr>
      <w:r w:rsidRPr="00D37001">
        <w:rPr>
          <w:rFonts w:asciiTheme="minorHAnsi" w:eastAsia="Calibri" w:hAnsiTheme="minorHAnsi" w:cstheme="minorHAnsi"/>
          <w:sz w:val="20"/>
          <w:szCs w:val="20"/>
        </w:rPr>
        <w:t>The identification of pre-clinical and clinical stages of disease provide an opportunity for identification of women at high risk and for intervention before a woman becomes symptomatic.</w:t>
      </w:r>
    </w:p>
    <w:p w14:paraId="553CF6BB" w14:textId="77777777" w:rsidR="00E45321" w:rsidRPr="00D37001" w:rsidRDefault="00B76D37" w:rsidP="00D37001">
      <w:pPr>
        <w:spacing w:before="120" w:after="120"/>
        <w:ind w:left="357"/>
        <w:rPr>
          <w:rFonts w:asciiTheme="minorHAnsi" w:eastAsia="Calibri" w:hAnsiTheme="minorHAnsi" w:cstheme="minorHAnsi"/>
          <w:sz w:val="20"/>
          <w:szCs w:val="20"/>
        </w:rPr>
      </w:pPr>
      <w:r w:rsidRPr="00D37001">
        <w:rPr>
          <w:rFonts w:asciiTheme="minorHAnsi" w:eastAsia="Calibri" w:hAnsiTheme="minorHAnsi" w:cstheme="minorHAnsi"/>
          <w:sz w:val="20"/>
          <w:szCs w:val="20"/>
        </w:rPr>
        <w:t>Burden of disease:</w:t>
      </w:r>
    </w:p>
    <w:p w14:paraId="03679D4B" w14:textId="44D97062" w:rsidR="00E45321" w:rsidRPr="00D37001" w:rsidRDefault="00B76D37" w:rsidP="00D37001">
      <w:pPr>
        <w:spacing w:before="120" w:after="120"/>
        <w:ind w:left="357"/>
        <w:rPr>
          <w:rFonts w:asciiTheme="minorHAnsi" w:eastAsia="Calibri" w:hAnsiTheme="minorHAnsi" w:cstheme="minorHAnsi"/>
          <w:sz w:val="20"/>
          <w:szCs w:val="20"/>
        </w:rPr>
      </w:pPr>
      <w:r w:rsidRPr="00D37001">
        <w:rPr>
          <w:rFonts w:asciiTheme="minorHAnsi" w:eastAsia="Calibri" w:hAnsiTheme="minorHAnsi" w:cstheme="minorHAnsi"/>
          <w:sz w:val="20"/>
          <w:szCs w:val="20"/>
        </w:rPr>
        <w:t xml:space="preserve">Preeclampsia causes significant maternal and </w:t>
      </w:r>
      <w:r w:rsidR="00F5719F" w:rsidRPr="00D37001">
        <w:rPr>
          <w:rFonts w:asciiTheme="minorHAnsi" w:eastAsia="Calibri" w:hAnsiTheme="minorHAnsi" w:cstheme="minorHAnsi"/>
          <w:sz w:val="20"/>
          <w:szCs w:val="20"/>
        </w:rPr>
        <w:t>perinatal</w:t>
      </w:r>
      <w:r w:rsidRPr="00D37001">
        <w:rPr>
          <w:rFonts w:asciiTheme="minorHAnsi" w:eastAsia="Calibri" w:hAnsiTheme="minorHAnsi" w:cstheme="minorHAnsi"/>
          <w:sz w:val="20"/>
          <w:szCs w:val="20"/>
        </w:rPr>
        <w:t xml:space="preserve"> mortality and morbidity. Mothers that develop preeclampsia may have an eclamptic fit and/ or other neurological sequelae (such as a cerebrovascular accident), renal and hepatic impairment can be long lasting, haematological dysfunction can lead to postpartum haemorrhage,</w:t>
      </w:r>
      <w:r w:rsidR="008177E0" w:rsidRPr="00D37001">
        <w:rPr>
          <w:rFonts w:asciiTheme="minorHAnsi" w:eastAsia="Calibri" w:hAnsiTheme="minorHAnsi" w:cstheme="minorHAnsi"/>
          <w:sz w:val="20"/>
          <w:szCs w:val="20"/>
        </w:rPr>
        <w:t xml:space="preserve"> and </w:t>
      </w:r>
      <w:r w:rsidRPr="00D37001">
        <w:rPr>
          <w:rFonts w:asciiTheme="minorHAnsi" w:eastAsia="Calibri" w:hAnsiTheme="minorHAnsi" w:cstheme="minorHAnsi"/>
          <w:sz w:val="20"/>
          <w:szCs w:val="20"/>
        </w:rPr>
        <w:t>significant uncontrolled hypertension is also associated with placental abruption.</w:t>
      </w:r>
    </w:p>
    <w:p w14:paraId="186CD435" w14:textId="77777777" w:rsidR="00D37001" w:rsidRDefault="00C15EDA" w:rsidP="00D37001">
      <w:pPr>
        <w:spacing w:before="120" w:after="120"/>
        <w:ind w:left="357"/>
        <w:rPr>
          <w:rFonts w:asciiTheme="minorHAnsi" w:eastAsia="Calibri" w:hAnsiTheme="minorHAnsi" w:cstheme="minorHAnsi"/>
          <w:sz w:val="20"/>
          <w:szCs w:val="20"/>
        </w:rPr>
      </w:pPr>
      <w:r w:rsidRPr="00D37001">
        <w:rPr>
          <w:rFonts w:asciiTheme="minorHAnsi" w:eastAsia="Calibri" w:hAnsiTheme="minorHAnsi" w:cstheme="minorHAnsi"/>
          <w:sz w:val="20"/>
          <w:szCs w:val="20"/>
        </w:rPr>
        <w:t>Worldwide, t</w:t>
      </w:r>
      <w:r w:rsidR="008177E0" w:rsidRPr="00D37001">
        <w:rPr>
          <w:rFonts w:asciiTheme="minorHAnsi" w:eastAsia="Calibri" w:hAnsiTheme="minorHAnsi" w:cstheme="minorHAnsi"/>
          <w:sz w:val="20"/>
          <w:szCs w:val="20"/>
        </w:rPr>
        <w:t>he disease is</w:t>
      </w:r>
      <w:r w:rsidR="00B76D37" w:rsidRPr="00D37001">
        <w:rPr>
          <w:rFonts w:asciiTheme="minorHAnsi" w:eastAsia="Calibri" w:hAnsiTheme="minorHAnsi" w:cstheme="minorHAnsi"/>
          <w:sz w:val="20"/>
          <w:szCs w:val="20"/>
        </w:rPr>
        <w:t xml:space="preserve"> one of the co</w:t>
      </w:r>
      <w:r w:rsidR="008177E0" w:rsidRPr="00D37001">
        <w:rPr>
          <w:rFonts w:asciiTheme="minorHAnsi" w:eastAsia="Calibri" w:hAnsiTheme="minorHAnsi" w:cstheme="minorHAnsi"/>
          <w:sz w:val="20"/>
          <w:szCs w:val="20"/>
        </w:rPr>
        <w:t>mmonest causes of maternal mortality</w:t>
      </w:r>
      <w:r w:rsidR="00B76D37" w:rsidRPr="00D37001">
        <w:rPr>
          <w:rFonts w:asciiTheme="minorHAnsi" w:eastAsia="Calibri" w:hAnsiTheme="minorHAnsi" w:cstheme="minorHAnsi"/>
          <w:sz w:val="20"/>
          <w:szCs w:val="20"/>
        </w:rPr>
        <w:t xml:space="preserve"> and approximately 60,000 mothers die from the morbidities of preeclampsia each year. Whilst maternal deaths are rare in Australia, this is part due to clinical supervision and the decision to deliver women affected by severe preeclampsia to break the pathological cycle of disease (by removing the placenta). Preterm delivery has a very significant impact on the </w:t>
      </w:r>
      <w:proofErr w:type="spellStart"/>
      <w:r w:rsidR="00B76D37" w:rsidRPr="00D37001">
        <w:rPr>
          <w:rFonts w:asciiTheme="minorHAnsi" w:eastAsia="Calibri" w:hAnsiTheme="minorHAnsi" w:cstheme="minorHAnsi"/>
          <w:sz w:val="20"/>
          <w:szCs w:val="20"/>
        </w:rPr>
        <w:t>fetus</w:t>
      </w:r>
      <w:proofErr w:type="spellEnd"/>
      <w:r w:rsidR="00B76D37" w:rsidRPr="00D37001">
        <w:rPr>
          <w:rFonts w:asciiTheme="minorHAnsi" w:eastAsia="Calibri" w:hAnsiTheme="minorHAnsi" w:cstheme="minorHAnsi"/>
          <w:sz w:val="20"/>
          <w:szCs w:val="20"/>
        </w:rPr>
        <w:t xml:space="preserve"> and is associated with 500,000 deaths worldwide</w:t>
      </w:r>
      <w:r w:rsidR="006554A6" w:rsidRPr="00D37001">
        <w:rPr>
          <w:rFonts w:asciiTheme="minorHAnsi" w:eastAsia="Calibri" w:hAnsiTheme="minorHAnsi" w:cstheme="minorHAnsi"/>
          <w:sz w:val="20"/>
          <w:szCs w:val="20"/>
        </w:rPr>
        <w:t xml:space="preserve"> p.a</w:t>
      </w:r>
      <w:r w:rsidR="00B76D37" w:rsidRPr="00D37001">
        <w:rPr>
          <w:rFonts w:asciiTheme="minorHAnsi" w:eastAsia="Calibri" w:hAnsiTheme="minorHAnsi" w:cstheme="minorHAnsi"/>
          <w:sz w:val="20"/>
          <w:szCs w:val="20"/>
        </w:rPr>
        <w:t xml:space="preserve">. Approximately 15% </w:t>
      </w:r>
      <w:r w:rsidR="00B76D37" w:rsidRPr="00D37001">
        <w:rPr>
          <w:rFonts w:asciiTheme="minorHAnsi" w:eastAsia="Calibri" w:hAnsiTheme="minorHAnsi" w:cstheme="minorHAnsi"/>
          <w:sz w:val="20"/>
          <w:szCs w:val="20"/>
        </w:rPr>
        <w:lastRenderedPageBreak/>
        <w:t xml:space="preserve">of admissions in Australian neonatal intensive care units are the result of severe early onset </w:t>
      </w:r>
      <w:r w:rsidR="008A08EB" w:rsidRPr="00D37001">
        <w:rPr>
          <w:rFonts w:asciiTheme="minorHAnsi" w:eastAsia="Calibri" w:hAnsiTheme="minorHAnsi" w:cstheme="minorHAnsi"/>
          <w:sz w:val="20"/>
          <w:szCs w:val="20"/>
        </w:rPr>
        <w:t>preeclampsia</w:t>
      </w:r>
      <w:r w:rsidR="00B76D37" w:rsidRPr="00D37001">
        <w:rPr>
          <w:rFonts w:asciiTheme="minorHAnsi" w:eastAsia="Calibri" w:hAnsiTheme="minorHAnsi" w:cstheme="minorHAnsi"/>
          <w:sz w:val="20"/>
          <w:szCs w:val="20"/>
        </w:rPr>
        <w:t xml:space="preserve">. Approximately 1,200 infants are born prematurely (&lt;34 weeks) in Australia because of maternal preeclampsia each year. </w:t>
      </w:r>
    </w:p>
    <w:p w14:paraId="6321084E" w14:textId="77777777" w:rsidR="00D37001" w:rsidRDefault="00B76D37" w:rsidP="00D37001">
      <w:pPr>
        <w:spacing w:before="120" w:after="120"/>
        <w:ind w:left="357"/>
        <w:rPr>
          <w:rFonts w:asciiTheme="minorHAnsi" w:eastAsia="Calibri" w:hAnsiTheme="minorHAnsi" w:cstheme="minorHAnsi"/>
          <w:sz w:val="20"/>
          <w:szCs w:val="20"/>
        </w:rPr>
      </w:pPr>
      <w:r w:rsidRPr="00D37001">
        <w:rPr>
          <w:rFonts w:asciiTheme="minorHAnsi" w:eastAsia="Calibri" w:hAnsiTheme="minorHAnsi" w:cstheme="minorHAnsi"/>
          <w:sz w:val="20"/>
          <w:szCs w:val="20"/>
        </w:rPr>
        <w:t xml:space="preserve">Women who develop </w:t>
      </w:r>
      <w:r w:rsidR="008A08EB" w:rsidRPr="00D37001">
        <w:rPr>
          <w:rFonts w:asciiTheme="minorHAnsi" w:eastAsia="Calibri" w:hAnsiTheme="minorHAnsi" w:cstheme="minorHAnsi"/>
          <w:sz w:val="20"/>
          <w:szCs w:val="20"/>
        </w:rPr>
        <w:t>preeclampsia</w:t>
      </w:r>
      <w:r w:rsidRPr="00D37001">
        <w:rPr>
          <w:rFonts w:asciiTheme="minorHAnsi" w:eastAsia="Calibri" w:hAnsiTheme="minorHAnsi" w:cstheme="minorHAnsi"/>
          <w:sz w:val="20"/>
          <w:szCs w:val="20"/>
        </w:rPr>
        <w:t xml:space="preserve"> during pregnancy have an increased risk of </w:t>
      </w:r>
      <w:r w:rsidR="008177E0" w:rsidRPr="00D37001">
        <w:rPr>
          <w:rFonts w:asciiTheme="minorHAnsi" w:eastAsia="Calibri" w:hAnsiTheme="minorHAnsi" w:cstheme="minorHAnsi"/>
          <w:sz w:val="20"/>
          <w:szCs w:val="20"/>
        </w:rPr>
        <w:t>hypertension</w:t>
      </w:r>
      <w:r w:rsidRPr="00D37001">
        <w:rPr>
          <w:rFonts w:asciiTheme="minorHAnsi" w:eastAsia="Calibri" w:hAnsiTheme="minorHAnsi" w:cstheme="minorHAnsi"/>
          <w:sz w:val="20"/>
          <w:szCs w:val="20"/>
        </w:rPr>
        <w:t xml:space="preserve"> in later life and of other cardiovascular disease</w:t>
      </w:r>
      <w:r w:rsidR="008177E0" w:rsidRPr="00D37001">
        <w:rPr>
          <w:rFonts w:asciiTheme="minorHAnsi" w:eastAsia="Calibri" w:hAnsiTheme="minorHAnsi" w:cstheme="minorHAnsi"/>
          <w:sz w:val="20"/>
          <w:szCs w:val="20"/>
        </w:rPr>
        <w:t>s</w:t>
      </w:r>
      <w:r w:rsidRPr="00D37001">
        <w:rPr>
          <w:rFonts w:asciiTheme="minorHAnsi" w:eastAsia="Calibri" w:hAnsiTheme="minorHAnsi" w:cstheme="minorHAnsi"/>
          <w:sz w:val="20"/>
          <w:szCs w:val="20"/>
        </w:rPr>
        <w:t xml:space="preserve"> and stroke. The risk is most significant in those women who h</w:t>
      </w:r>
      <w:r w:rsidR="008177E0" w:rsidRPr="00D37001">
        <w:rPr>
          <w:rFonts w:asciiTheme="minorHAnsi" w:eastAsia="Calibri" w:hAnsiTheme="minorHAnsi" w:cstheme="minorHAnsi"/>
          <w:sz w:val="20"/>
          <w:szCs w:val="20"/>
        </w:rPr>
        <w:t>ave early onset / severe preeclampsia</w:t>
      </w:r>
      <w:r w:rsidRPr="00D37001">
        <w:rPr>
          <w:rFonts w:asciiTheme="minorHAnsi" w:eastAsia="Calibri" w:hAnsiTheme="minorHAnsi" w:cstheme="minorHAnsi"/>
          <w:sz w:val="20"/>
          <w:szCs w:val="20"/>
        </w:rPr>
        <w:t xml:space="preserve">. Severe early onset </w:t>
      </w:r>
      <w:r w:rsidR="008A08EB" w:rsidRPr="00D37001">
        <w:rPr>
          <w:rFonts w:asciiTheme="minorHAnsi" w:eastAsia="Calibri" w:hAnsiTheme="minorHAnsi" w:cstheme="minorHAnsi"/>
          <w:sz w:val="20"/>
          <w:szCs w:val="20"/>
        </w:rPr>
        <w:t>preeclampsia</w:t>
      </w:r>
      <w:r w:rsidRPr="00D37001">
        <w:rPr>
          <w:rFonts w:asciiTheme="minorHAnsi" w:eastAsia="Calibri" w:hAnsiTheme="minorHAnsi" w:cstheme="minorHAnsi"/>
          <w:sz w:val="20"/>
          <w:szCs w:val="20"/>
        </w:rPr>
        <w:t xml:space="preserve"> carries a similar ongoing risk for cardiovascular disease as smoking.  </w:t>
      </w:r>
    </w:p>
    <w:p w14:paraId="02594F65" w14:textId="47429AAA" w:rsidR="00E45321" w:rsidRPr="00D37001" w:rsidRDefault="00B76D37" w:rsidP="00D37001">
      <w:pPr>
        <w:spacing w:before="120" w:after="120"/>
        <w:ind w:left="357"/>
        <w:rPr>
          <w:rFonts w:asciiTheme="minorHAnsi" w:eastAsia="Calibri" w:hAnsiTheme="minorHAnsi" w:cstheme="minorHAnsi"/>
          <w:sz w:val="20"/>
          <w:szCs w:val="20"/>
        </w:rPr>
      </w:pPr>
      <w:r w:rsidRPr="00D37001">
        <w:rPr>
          <w:rFonts w:asciiTheme="minorHAnsi" w:eastAsia="Calibri" w:hAnsiTheme="minorHAnsi" w:cstheme="minorHAnsi"/>
          <w:sz w:val="20"/>
          <w:szCs w:val="20"/>
        </w:rPr>
        <w:t xml:space="preserve">Preterm birth is also associated with increased risks of neurodevelopmental disability, increased special educational needs and ongoing cardiovascular and metabolic disease. </w:t>
      </w:r>
      <w:bookmarkEnd w:id="18"/>
    </w:p>
    <w:p w14:paraId="4F857B5D" w14:textId="179465D4" w:rsidR="00E45321" w:rsidRPr="00D37001" w:rsidRDefault="00B76D37" w:rsidP="00D37001">
      <w:pPr>
        <w:pStyle w:val="Heading2"/>
        <w:numPr>
          <w:ilvl w:val="0"/>
          <w:numId w:val="18"/>
        </w:numPr>
      </w:pPr>
      <w:r>
        <w:t>Specify any characteristics of patients with the medical condition, or suspected of, who are proposed to be eligible for the proposed medical service, including any details of how a patient would be investigated, managed and referred within the Australian health care system in the lead up to being considered eligible for the service:</w:t>
      </w:r>
    </w:p>
    <w:p w14:paraId="4EDA72B4" w14:textId="68AA68C9" w:rsidR="00E45321" w:rsidRPr="00D37001" w:rsidRDefault="00F80F3B" w:rsidP="00D37001">
      <w:pPr>
        <w:ind w:left="426"/>
        <w:rPr>
          <w:rFonts w:asciiTheme="minorHAnsi" w:eastAsia="Calibri" w:hAnsiTheme="minorHAnsi" w:cstheme="minorHAnsi"/>
          <w:sz w:val="20"/>
          <w:szCs w:val="20"/>
        </w:rPr>
      </w:pPr>
      <w:bookmarkStart w:id="19" w:name="_Hlk90049172"/>
      <w:r w:rsidRPr="00D37001">
        <w:rPr>
          <w:rFonts w:asciiTheme="minorHAnsi" w:eastAsia="Calibri" w:hAnsiTheme="minorHAnsi" w:cstheme="minorHAnsi"/>
          <w:sz w:val="20"/>
          <w:szCs w:val="20"/>
        </w:rPr>
        <w:t xml:space="preserve">The sFlt-1 / </w:t>
      </w:r>
      <w:proofErr w:type="spellStart"/>
      <w:r w:rsidRPr="00D37001">
        <w:rPr>
          <w:rFonts w:asciiTheme="minorHAnsi" w:eastAsia="Calibri" w:hAnsiTheme="minorHAnsi" w:cstheme="minorHAnsi"/>
          <w:sz w:val="20"/>
          <w:szCs w:val="20"/>
        </w:rPr>
        <w:t>PlGF</w:t>
      </w:r>
      <w:proofErr w:type="spellEnd"/>
      <w:r w:rsidRPr="00D37001">
        <w:rPr>
          <w:rFonts w:asciiTheme="minorHAnsi" w:eastAsia="Calibri" w:hAnsiTheme="minorHAnsi" w:cstheme="minorHAnsi"/>
          <w:sz w:val="20"/>
          <w:szCs w:val="20"/>
        </w:rPr>
        <w:t xml:space="preserve"> ratio is proposed to be used for prediction, </w:t>
      </w:r>
      <w:proofErr w:type="gramStart"/>
      <w:r w:rsidRPr="00D37001">
        <w:rPr>
          <w:rFonts w:asciiTheme="minorHAnsi" w:eastAsia="Calibri" w:hAnsiTheme="minorHAnsi" w:cstheme="minorHAnsi"/>
          <w:sz w:val="20"/>
          <w:szCs w:val="20"/>
        </w:rPr>
        <w:t>identification</w:t>
      </w:r>
      <w:proofErr w:type="gramEnd"/>
      <w:r w:rsidRPr="00D37001">
        <w:rPr>
          <w:rFonts w:asciiTheme="minorHAnsi" w:eastAsia="Calibri" w:hAnsiTheme="minorHAnsi" w:cstheme="minorHAnsi"/>
          <w:sz w:val="20"/>
          <w:szCs w:val="20"/>
        </w:rPr>
        <w:t xml:space="preserve"> and management o</w:t>
      </w:r>
      <w:r w:rsidR="00E519CE" w:rsidRPr="00D37001">
        <w:rPr>
          <w:rFonts w:asciiTheme="minorHAnsi" w:eastAsia="Calibri" w:hAnsiTheme="minorHAnsi" w:cstheme="minorHAnsi"/>
          <w:sz w:val="20"/>
          <w:szCs w:val="20"/>
        </w:rPr>
        <w:t>f preeclampsia in pregnancies from</w:t>
      </w:r>
      <w:r w:rsidR="00D94A2B" w:rsidRPr="00D37001">
        <w:rPr>
          <w:rFonts w:asciiTheme="minorHAnsi" w:eastAsia="Calibri" w:hAnsiTheme="minorHAnsi" w:cstheme="minorHAnsi"/>
          <w:sz w:val="20"/>
          <w:szCs w:val="20"/>
        </w:rPr>
        <w:t xml:space="preserve"> 24</w:t>
      </w:r>
      <w:r w:rsidRPr="00D37001">
        <w:rPr>
          <w:rFonts w:asciiTheme="minorHAnsi" w:eastAsia="Calibri" w:hAnsiTheme="minorHAnsi" w:cstheme="minorHAnsi"/>
          <w:sz w:val="20"/>
          <w:szCs w:val="20"/>
        </w:rPr>
        <w:t xml:space="preserve"> </w:t>
      </w:r>
      <w:r w:rsidR="00E519CE" w:rsidRPr="00D37001">
        <w:rPr>
          <w:rFonts w:asciiTheme="minorHAnsi" w:eastAsia="Calibri" w:hAnsiTheme="minorHAnsi" w:cstheme="minorHAnsi"/>
          <w:sz w:val="20"/>
          <w:szCs w:val="20"/>
        </w:rPr>
        <w:t>weeks gestation</w:t>
      </w:r>
      <w:r w:rsidRPr="00D37001">
        <w:rPr>
          <w:rFonts w:asciiTheme="minorHAnsi" w:eastAsia="Calibri" w:hAnsiTheme="minorHAnsi" w:cstheme="minorHAnsi"/>
          <w:sz w:val="20"/>
          <w:szCs w:val="20"/>
        </w:rPr>
        <w:t>.</w:t>
      </w:r>
    </w:p>
    <w:p w14:paraId="420DF348" w14:textId="0B38A795" w:rsidR="008E0C83" w:rsidRPr="00D37001" w:rsidRDefault="008E0C83" w:rsidP="00D37001">
      <w:pPr>
        <w:pBdr>
          <w:top w:val="nil"/>
          <w:left w:val="nil"/>
          <w:bottom w:val="nil"/>
          <w:right w:val="nil"/>
          <w:between w:val="nil"/>
        </w:pBdr>
        <w:spacing w:before="120"/>
        <w:ind w:firstLine="426"/>
        <w:jc w:val="both"/>
        <w:rPr>
          <w:rFonts w:asciiTheme="minorHAnsi" w:eastAsia="Calibri" w:hAnsiTheme="minorHAnsi" w:cstheme="minorHAnsi"/>
          <w:b/>
          <w:bCs/>
          <w:sz w:val="20"/>
          <w:szCs w:val="20"/>
          <w:u w:val="single"/>
        </w:rPr>
      </w:pPr>
      <w:r w:rsidRPr="00D37001">
        <w:rPr>
          <w:rFonts w:asciiTheme="minorHAnsi" w:eastAsia="Calibri" w:hAnsiTheme="minorHAnsi" w:cstheme="minorHAnsi"/>
          <w:b/>
          <w:bCs/>
          <w:sz w:val="20"/>
          <w:szCs w:val="20"/>
          <w:u w:val="single"/>
        </w:rPr>
        <w:t>Prediction and Identification</w:t>
      </w:r>
    </w:p>
    <w:p w14:paraId="13647B86" w14:textId="2B7BA8F8" w:rsidR="00E45321" w:rsidRPr="00D37001" w:rsidRDefault="00B76D37" w:rsidP="00D37001">
      <w:pPr>
        <w:pBdr>
          <w:top w:val="nil"/>
          <w:left w:val="nil"/>
          <w:bottom w:val="nil"/>
          <w:right w:val="nil"/>
          <w:between w:val="nil"/>
        </w:pBdr>
        <w:spacing w:before="120"/>
        <w:ind w:left="426"/>
        <w:jc w:val="both"/>
        <w:rPr>
          <w:rFonts w:asciiTheme="minorHAnsi" w:eastAsia="Calibri" w:hAnsiTheme="minorHAnsi" w:cstheme="minorHAnsi"/>
          <w:sz w:val="20"/>
          <w:szCs w:val="20"/>
        </w:rPr>
      </w:pPr>
      <w:r w:rsidRPr="00D37001">
        <w:rPr>
          <w:rFonts w:asciiTheme="minorHAnsi" w:eastAsia="Calibri" w:hAnsiTheme="minorHAnsi" w:cstheme="minorHAnsi"/>
          <w:sz w:val="20"/>
          <w:szCs w:val="20"/>
        </w:rPr>
        <w:t>Women who have</w:t>
      </w:r>
      <w:r w:rsidR="000E5B59" w:rsidRPr="00D37001">
        <w:rPr>
          <w:rFonts w:asciiTheme="minorHAnsi" w:eastAsia="Calibri" w:hAnsiTheme="minorHAnsi" w:cstheme="minorHAnsi"/>
          <w:sz w:val="20"/>
          <w:szCs w:val="20"/>
        </w:rPr>
        <w:t xml:space="preserve"> signs and or symptoms</w:t>
      </w:r>
      <w:r w:rsidRPr="00D37001">
        <w:rPr>
          <w:rFonts w:asciiTheme="minorHAnsi" w:eastAsia="Calibri" w:hAnsiTheme="minorHAnsi" w:cstheme="minorHAnsi"/>
          <w:sz w:val="20"/>
          <w:szCs w:val="20"/>
        </w:rPr>
        <w:t xml:space="preserve"> of preeclampsia (and in whom preeclampsia is not already </w:t>
      </w:r>
      <w:r w:rsidR="000E5B59" w:rsidRPr="00D37001">
        <w:rPr>
          <w:rFonts w:asciiTheme="minorHAnsi" w:eastAsia="Calibri" w:hAnsiTheme="minorHAnsi" w:cstheme="minorHAnsi"/>
          <w:sz w:val="20"/>
          <w:szCs w:val="20"/>
        </w:rPr>
        <w:t>diagnosed</w:t>
      </w:r>
      <w:r w:rsidRPr="00D37001">
        <w:rPr>
          <w:rFonts w:asciiTheme="minorHAnsi" w:eastAsia="Calibri" w:hAnsiTheme="minorHAnsi" w:cstheme="minorHAnsi"/>
          <w:sz w:val="20"/>
          <w:szCs w:val="20"/>
        </w:rPr>
        <w:t>)</w:t>
      </w:r>
    </w:p>
    <w:p w14:paraId="10E383AC" w14:textId="77777777" w:rsidR="00E45321" w:rsidRPr="00D37001" w:rsidRDefault="00E45321">
      <w:pPr>
        <w:pBdr>
          <w:top w:val="nil"/>
          <w:left w:val="nil"/>
          <w:bottom w:val="nil"/>
          <w:right w:val="nil"/>
          <w:between w:val="nil"/>
        </w:pBdr>
        <w:ind w:left="720"/>
        <w:jc w:val="both"/>
        <w:rPr>
          <w:rFonts w:asciiTheme="minorHAnsi" w:eastAsia="Calibri" w:hAnsiTheme="minorHAnsi" w:cstheme="minorHAnsi"/>
          <w:sz w:val="20"/>
          <w:szCs w:val="20"/>
        </w:rPr>
      </w:pPr>
    </w:p>
    <w:p w14:paraId="033F159C" w14:textId="240557DF" w:rsidR="00E45321" w:rsidRPr="00D37001" w:rsidRDefault="00B76D37" w:rsidP="00D37001">
      <w:pPr>
        <w:pBdr>
          <w:top w:val="nil"/>
          <w:left w:val="nil"/>
          <w:bottom w:val="nil"/>
          <w:right w:val="nil"/>
          <w:between w:val="nil"/>
        </w:pBdr>
        <w:ind w:firstLine="426"/>
        <w:jc w:val="both"/>
        <w:rPr>
          <w:rFonts w:asciiTheme="minorHAnsi" w:eastAsia="Calibri" w:hAnsiTheme="minorHAnsi" w:cstheme="minorHAnsi"/>
          <w:sz w:val="20"/>
          <w:szCs w:val="20"/>
        </w:rPr>
      </w:pPr>
      <w:r w:rsidRPr="00D37001">
        <w:rPr>
          <w:rFonts w:asciiTheme="minorHAnsi" w:eastAsia="Calibri" w:hAnsiTheme="minorHAnsi" w:cstheme="minorHAnsi"/>
          <w:sz w:val="20"/>
          <w:szCs w:val="20"/>
        </w:rPr>
        <w:t xml:space="preserve">Suspicion of </w:t>
      </w:r>
      <w:r w:rsidR="008A08EB" w:rsidRPr="00D37001">
        <w:rPr>
          <w:rFonts w:asciiTheme="minorHAnsi" w:eastAsia="Calibri" w:hAnsiTheme="minorHAnsi" w:cstheme="minorHAnsi"/>
          <w:sz w:val="20"/>
          <w:szCs w:val="20"/>
        </w:rPr>
        <w:t>preeclampsia</w:t>
      </w:r>
      <w:r w:rsidRPr="00D37001">
        <w:rPr>
          <w:rFonts w:asciiTheme="minorHAnsi" w:eastAsia="Calibri" w:hAnsiTheme="minorHAnsi" w:cstheme="minorHAnsi"/>
          <w:sz w:val="20"/>
          <w:szCs w:val="20"/>
        </w:rPr>
        <w:t xml:space="preserve"> can be due to any of the </w:t>
      </w:r>
      <w:proofErr w:type="gramStart"/>
      <w:r w:rsidRPr="00D37001">
        <w:rPr>
          <w:rFonts w:asciiTheme="minorHAnsi" w:eastAsia="Calibri" w:hAnsiTheme="minorHAnsi" w:cstheme="minorHAnsi"/>
          <w:sz w:val="20"/>
          <w:szCs w:val="20"/>
        </w:rPr>
        <w:t>below</w:t>
      </w:r>
      <w:r w:rsidR="008E0C83" w:rsidRPr="00D37001">
        <w:rPr>
          <w:rFonts w:asciiTheme="minorHAnsi" w:eastAsia="Calibri" w:hAnsiTheme="minorHAnsi" w:cstheme="minorHAnsi"/>
          <w:sz w:val="20"/>
          <w:szCs w:val="20"/>
        </w:rPr>
        <w:t>;</w:t>
      </w:r>
      <w:proofErr w:type="gramEnd"/>
    </w:p>
    <w:p w14:paraId="262CB706" w14:textId="77777777" w:rsidR="00E45321" w:rsidRPr="008E0C83" w:rsidRDefault="00B76D37" w:rsidP="00D37001">
      <w:pPr>
        <w:pStyle w:val="ListParagraph"/>
        <w:numPr>
          <w:ilvl w:val="0"/>
          <w:numId w:val="26"/>
        </w:numPr>
        <w:pBdr>
          <w:top w:val="nil"/>
          <w:left w:val="nil"/>
          <w:bottom w:val="nil"/>
          <w:right w:val="nil"/>
          <w:between w:val="nil"/>
        </w:pBdr>
        <w:ind w:left="993" w:hanging="284"/>
        <w:jc w:val="both"/>
        <w:rPr>
          <w:rFonts w:eastAsia="Calibri"/>
        </w:rPr>
      </w:pPr>
      <w:r w:rsidRPr="008E0C83">
        <w:rPr>
          <w:rFonts w:eastAsia="Calibri"/>
        </w:rPr>
        <w:t xml:space="preserve">New onset of </w:t>
      </w:r>
      <w:r w:rsidR="000E5B59" w:rsidRPr="008E0C83">
        <w:rPr>
          <w:rFonts w:eastAsia="Calibri"/>
        </w:rPr>
        <w:t>increased</w:t>
      </w:r>
      <w:r w:rsidRPr="008E0C83">
        <w:rPr>
          <w:rFonts w:eastAsia="Calibri"/>
        </w:rPr>
        <w:t xml:space="preserve"> blood pressure</w:t>
      </w:r>
    </w:p>
    <w:p w14:paraId="1C762140" w14:textId="77777777" w:rsidR="00E45321" w:rsidRPr="008E0C83" w:rsidRDefault="000E5B59" w:rsidP="00D37001">
      <w:pPr>
        <w:pStyle w:val="ListParagraph"/>
        <w:numPr>
          <w:ilvl w:val="0"/>
          <w:numId w:val="26"/>
        </w:numPr>
        <w:pBdr>
          <w:top w:val="nil"/>
          <w:left w:val="nil"/>
          <w:bottom w:val="nil"/>
          <w:right w:val="nil"/>
          <w:between w:val="nil"/>
        </w:pBdr>
        <w:ind w:left="993" w:hanging="284"/>
        <w:jc w:val="both"/>
        <w:rPr>
          <w:rFonts w:eastAsia="Calibri"/>
        </w:rPr>
      </w:pPr>
      <w:proofErr w:type="gramStart"/>
      <w:r w:rsidRPr="008E0C83">
        <w:rPr>
          <w:rFonts w:eastAsia="Calibri"/>
        </w:rPr>
        <w:t xml:space="preserve">Exacerbation </w:t>
      </w:r>
      <w:r w:rsidR="00B76D37" w:rsidRPr="008E0C83">
        <w:rPr>
          <w:rFonts w:eastAsia="Calibri"/>
        </w:rPr>
        <w:t xml:space="preserve"> of</w:t>
      </w:r>
      <w:proofErr w:type="gramEnd"/>
      <w:r w:rsidR="00B76D37" w:rsidRPr="008E0C83">
        <w:rPr>
          <w:rFonts w:eastAsia="Calibri"/>
        </w:rPr>
        <w:t xml:space="preserve"> pre-existing hypertension</w:t>
      </w:r>
    </w:p>
    <w:p w14:paraId="7AE643FA" w14:textId="77777777" w:rsidR="00E45321" w:rsidRPr="008E0C83" w:rsidRDefault="00B76D37" w:rsidP="00D37001">
      <w:pPr>
        <w:pStyle w:val="ListParagraph"/>
        <w:numPr>
          <w:ilvl w:val="0"/>
          <w:numId w:val="26"/>
        </w:numPr>
        <w:pBdr>
          <w:top w:val="nil"/>
          <w:left w:val="nil"/>
          <w:bottom w:val="nil"/>
          <w:right w:val="nil"/>
          <w:between w:val="nil"/>
        </w:pBdr>
        <w:ind w:left="993" w:hanging="284"/>
        <w:jc w:val="both"/>
        <w:rPr>
          <w:rFonts w:eastAsia="Calibri"/>
        </w:rPr>
      </w:pPr>
      <w:r w:rsidRPr="008E0C83">
        <w:rPr>
          <w:rFonts w:eastAsia="Calibri"/>
        </w:rPr>
        <w:t xml:space="preserve">New onset </w:t>
      </w:r>
      <w:r w:rsidR="000E5B59" w:rsidRPr="008E0C83">
        <w:rPr>
          <w:rFonts w:eastAsia="Calibri"/>
        </w:rPr>
        <w:t>proteinuria</w:t>
      </w:r>
      <w:r w:rsidR="000E5B59" w:rsidRPr="008E0C83" w:rsidDel="000E5B59">
        <w:rPr>
          <w:rFonts w:eastAsia="Calibri"/>
        </w:rPr>
        <w:t xml:space="preserve"> </w:t>
      </w:r>
    </w:p>
    <w:p w14:paraId="6ECAC2B5" w14:textId="77777777" w:rsidR="00E45321" w:rsidRPr="008E0C83" w:rsidRDefault="000E5B59" w:rsidP="00D37001">
      <w:pPr>
        <w:pStyle w:val="ListParagraph"/>
        <w:numPr>
          <w:ilvl w:val="0"/>
          <w:numId w:val="26"/>
        </w:numPr>
        <w:pBdr>
          <w:top w:val="nil"/>
          <w:left w:val="nil"/>
          <w:bottom w:val="nil"/>
          <w:right w:val="nil"/>
          <w:between w:val="nil"/>
        </w:pBdr>
        <w:ind w:left="993" w:hanging="284"/>
        <w:jc w:val="both"/>
        <w:rPr>
          <w:rFonts w:eastAsia="Calibri"/>
        </w:rPr>
      </w:pPr>
      <w:proofErr w:type="gramStart"/>
      <w:r w:rsidRPr="008E0C83">
        <w:rPr>
          <w:rFonts w:eastAsia="Calibri"/>
        </w:rPr>
        <w:t>Exacerbation</w:t>
      </w:r>
      <w:r w:rsidRPr="008E0C83" w:rsidDel="000E5B59">
        <w:rPr>
          <w:rFonts w:eastAsia="Calibri"/>
        </w:rPr>
        <w:t xml:space="preserve"> </w:t>
      </w:r>
      <w:r w:rsidR="00B76D37" w:rsidRPr="008E0C83">
        <w:rPr>
          <w:rFonts w:eastAsia="Calibri"/>
        </w:rPr>
        <w:t xml:space="preserve"> of</w:t>
      </w:r>
      <w:proofErr w:type="gramEnd"/>
      <w:r w:rsidR="00B76D37" w:rsidRPr="008E0C83">
        <w:rPr>
          <w:rFonts w:eastAsia="Calibri"/>
        </w:rPr>
        <w:t xml:space="preserve"> pre-existing proteinuria</w:t>
      </w:r>
    </w:p>
    <w:p w14:paraId="739C8160" w14:textId="77777777" w:rsidR="00E45321" w:rsidRPr="008E0C83" w:rsidRDefault="008A08EB" w:rsidP="00D37001">
      <w:pPr>
        <w:pStyle w:val="ListParagraph"/>
        <w:numPr>
          <w:ilvl w:val="0"/>
          <w:numId w:val="26"/>
        </w:numPr>
        <w:pBdr>
          <w:top w:val="nil"/>
          <w:left w:val="nil"/>
          <w:bottom w:val="nil"/>
          <w:right w:val="nil"/>
          <w:between w:val="nil"/>
        </w:pBdr>
        <w:ind w:left="993" w:hanging="284"/>
        <w:jc w:val="both"/>
        <w:rPr>
          <w:rFonts w:eastAsia="Calibri"/>
        </w:rPr>
      </w:pPr>
      <w:r w:rsidRPr="008E0C83">
        <w:rPr>
          <w:rFonts w:eastAsia="Calibri"/>
        </w:rPr>
        <w:t>Preeclampsia</w:t>
      </w:r>
      <w:r w:rsidR="00B76D37" w:rsidRPr="008E0C83">
        <w:rPr>
          <w:rFonts w:eastAsia="Calibri"/>
        </w:rPr>
        <w:t xml:space="preserve"> related </w:t>
      </w:r>
      <w:r w:rsidR="000E5B59" w:rsidRPr="008E0C83">
        <w:rPr>
          <w:rFonts w:eastAsia="Calibri"/>
        </w:rPr>
        <w:t>clinical features</w:t>
      </w:r>
      <w:r w:rsidR="00B76D37" w:rsidRPr="008E0C83">
        <w:rPr>
          <w:rFonts w:eastAsia="Calibri"/>
        </w:rPr>
        <w:t xml:space="preserve"> (epigastric pain, excessive oedema, headache, visual disturbances, sudden weight gain)</w:t>
      </w:r>
    </w:p>
    <w:p w14:paraId="561C482B" w14:textId="77777777" w:rsidR="00E45321" w:rsidRPr="008E0C83" w:rsidRDefault="000E5B59" w:rsidP="00D37001">
      <w:pPr>
        <w:pStyle w:val="ListParagraph"/>
        <w:numPr>
          <w:ilvl w:val="0"/>
          <w:numId w:val="26"/>
        </w:numPr>
        <w:pBdr>
          <w:top w:val="nil"/>
          <w:left w:val="nil"/>
          <w:bottom w:val="nil"/>
          <w:right w:val="nil"/>
          <w:between w:val="nil"/>
        </w:pBdr>
        <w:ind w:left="993" w:hanging="284"/>
        <w:jc w:val="both"/>
        <w:rPr>
          <w:rFonts w:eastAsia="Calibri"/>
        </w:rPr>
      </w:pPr>
      <w:r w:rsidRPr="008E0C83">
        <w:rPr>
          <w:rFonts w:eastAsia="Calibri"/>
        </w:rPr>
        <w:t>Abnormal uterine artery</w:t>
      </w:r>
      <w:r w:rsidR="00B76D37" w:rsidRPr="008E0C83">
        <w:rPr>
          <w:rFonts w:eastAsia="Calibri"/>
        </w:rPr>
        <w:t xml:space="preserve"> Doppler sonography</w:t>
      </w:r>
    </w:p>
    <w:p w14:paraId="627DD906" w14:textId="7AF5F631" w:rsidR="0071433D" w:rsidRPr="00D37001" w:rsidRDefault="00B76D37" w:rsidP="00D37001">
      <w:pPr>
        <w:pStyle w:val="ListParagraph"/>
        <w:numPr>
          <w:ilvl w:val="0"/>
          <w:numId w:val="26"/>
        </w:numPr>
        <w:pBdr>
          <w:top w:val="nil"/>
          <w:left w:val="nil"/>
          <w:bottom w:val="nil"/>
          <w:right w:val="nil"/>
          <w:between w:val="nil"/>
        </w:pBdr>
        <w:ind w:left="993" w:hanging="284"/>
        <w:jc w:val="both"/>
        <w:rPr>
          <w:rFonts w:eastAsia="Calibri"/>
        </w:rPr>
      </w:pPr>
      <w:proofErr w:type="spellStart"/>
      <w:r w:rsidRPr="008E0C83">
        <w:rPr>
          <w:rFonts w:eastAsia="Calibri"/>
        </w:rPr>
        <w:t>Fetal</w:t>
      </w:r>
      <w:proofErr w:type="spellEnd"/>
      <w:r w:rsidRPr="008E0C83">
        <w:rPr>
          <w:rFonts w:eastAsia="Calibri"/>
        </w:rPr>
        <w:t xml:space="preserve"> </w:t>
      </w:r>
      <w:r w:rsidR="000E5B59" w:rsidRPr="008E0C83">
        <w:rPr>
          <w:rFonts w:eastAsia="Calibri"/>
        </w:rPr>
        <w:t>g</w:t>
      </w:r>
      <w:r w:rsidRPr="008E0C83">
        <w:rPr>
          <w:rFonts w:eastAsia="Calibri"/>
        </w:rPr>
        <w:t xml:space="preserve">rowth </w:t>
      </w:r>
      <w:r w:rsidR="000E5B59" w:rsidRPr="008E0C83">
        <w:rPr>
          <w:rFonts w:eastAsia="Calibri"/>
        </w:rPr>
        <w:t>r</w:t>
      </w:r>
      <w:r w:rsidRPr="008E0C83">
        <w:rPr>
          <w:rFonts w:eastAsia="Calibri"/>
        </w:rPr>
        <w:t>estriction</w:t>
      </w:r>
    </w:p>
    <w:p w14:paraId="29BE5BC8" w14:textId="1B6A2A9C" w:rsidR="00E45321" w:rsidRPr="00D37001" w:rsidRDefault="00B76D37" w:rsidP="00D37001">
      <w:pPr>
        <w:pBdr>
          <w:top w:val="nil"/>
          <w:left w:val="nil"/>
          <w:bottom w:val="nil"/>
          <w:right w:val="nil"/>
          <w:between w:val="nil"/>
        </w:pBdr>
        <w:spacing w:before="120"/>
        <w:ind w:firstLine="426"/>
        <w:jc w:val="both"/>
        <w:rPr>
          <w:rFonts w:asciiTheme="minorHAnsi" w:eastAsia="Calibri" w:hAnsiTheme="minorHAnsi" w:cstheme="minorHAnsi"/>
          <w:b/>
          <w:bCs/>
          <w:sz w:val="20"/>
          <w:szCs w:val="20"/>
          <w:u w:val="single"/>
        </w:rPr>
      </w:pPr>
      <w:r w:rsidRPr="00D37001">
        <w:rPr>
          <w:rFonts w:asciiTheme="minorHAnsi" w:eastAsia="Calibri" w:hAnsiTheme="minorHAnsi" w:cstheme="minorHAnsi"/>
          <w:b/>
          <w:bCs/>
          <w:sz w:val="20"/>
          <w:szCs w:val="20"/>
          <w:u w:val="single"/>
        </w:rPr>
        <w:t>For management</w:t>
      </w:r>
      <w:r w:rsidR="00904B84" w:rsidRPr="00D37001">
        <w:rPr>
          <w:rFonts w:asciiTheme="minorHAnsi" w:eastAsia="Calibri" w:hAnsiTheme="minorHAnsi" w:cstheme="minorHAnsi"/>
          <w:b/>
          <w:bCs/>
          <w:sz w:val="20"/>
          <w:szCs w:val="20"/>
          <w:u w:val="single"/>
        </w:rPr>
        <w:t>,</w:t>
      </w:r>
      <w:r w:rsidRPr="00D37001">
        <w:rPr>
          <w:rFonts w:asciiTheme="minorHAnsi" w:eastAsia="Calibri" w:hAnsiTheme="minorHAnsi" w:cstheme="minorHAnsi"/>
          <w:b/>
          <w:bCs/>
          <w:sz w:val="20"/>
          <w:szCs w:val="20"/>
          <w:u w:val="single"/>
        </w:rPr>
        <w:t xml:space="preserve"> planning and decision making among women diagnosed with preeclampsia</w:t>
      </w:r>
    </w:p>
    <w:p w14:paraId="06D3D716" w14:textId="77777777" w:rsidR="003B7F4F" w:rsidRPr="00BE22F9" w:rsidRDefault="003B7F4F" w:rsidP="003B7F4F">
      <w:pPr>
        <w:pBdr>
          <w:top w:val="nil"/>
          <w:left w:val="nil"/>
          <w:bottom w:val="nil"/>
          <w:right w:val="nil"/>
          <w:between w:val="nil"/>
        </w:pBdr>
        <w:ind w:left="720"/>
        <w:jc w:val="both"/>
        <w:rPr>
          <w:rFonts w:eastAsia="Calibri"/>
        </w:rPr>
      </w:pPr>
    </w:p>
    <w:p w14:paraId="20555CC7" w14:textId="77777777" w:rsidR="008E0C83" w:rsidRPr="00D37001" w:rsidRDefault="003B7F4F" w:rsidP="00D37001">
      <w:pPr>
        <w:ind w:left="426"/>
        <w:rPr>
          <w:rFonts w:asciiTheme="minorHAnsi" w:eastAsia="Calibri" w:hAnsiTheme="minorHAnsi" w:cstheme="minorHAnsi"/>
          <w:sz w:val="20"/>
          <w:szCs w:val="20"/>
        </w:rPr>
      </w:pPr>
      <w:r w:rsidRPr="00D37001">
        <w:rPr>
          <w:rFonts w:asciiTheme="minorHAnsi" w:eastAsia="Calibri" w:hAnsiTheme="minorHAnsi" w:cstheme="minorHAnsi"/>
          <w:sz w:val="20"/>
          <w:szCs w:val="20"/>
        </w:rPr>
        <w:t xml:space="preserve">The rate of change of the sFlt-1/PlGF ratio </w:t>
      </w:r>
      <w:r w:rsidR="000E5B59" w:rsidRPr="00D37001">
        <w:rPr>
          <w:rFonts w:asciiTheme="minorHAnsi" w:eastAsia="Calibri" w:hAnsiTheme="minorHAnsi" w:cstheme="minorHAnsi"/>
          <w:sz w:val="20"/>
          <w:szCs w:val="20"/>
        </w:rPr>
        <w:t>in consecutive tests indicates the</w:t>
      </w:r>
      <w:r w:rsidRPr="00D37001">
        <w:rPr>
          <w:rFonts w:asciiTheme="minorHAnsi" w:eastAsia="Calibri" w:hAnsiTheme="minorHAnsi" w:cstheme="minorHAnsi"/>
          <w:sz w:val="20"/>
          <w:szCs w:val="20"/>
        </w:rPr>
        <w:t xml:space="preserve"> severity of </w:t>
      </w:r>
      <w:r w:rsidR="000E5B59" w:rsidRPr="00D37001">
        <w:rPr>
          <w:rFonts w:asciiTheme="minorHAnsi" w:eastAsia="Calibri" w:hAnsiTheme="minorHAnsi" w:cstheme="minorHAnsi"/>
          <w:sz w:val="20"/>
          <w:szCs w:val="20"/>
        </w:rPr>
        <w:t xml:space="preserve">preeclampsia </w:t>
      </w:r>
      <w:r w:rsidRPr="00D37001">
        <w:rPr>
          <w:rFonts w:asciiTheme="minorHAnsi" w:eastAsia="Calibri" w:hAnsiTheme="minorHAnsi" w:cstheme="minorHAnsi"/>
          <w:sz w:val="20"/>
          <w:szCs w:val="20"/>
        </w:rPr>
        <w:t xml:space="preserve">and </w:t>
      </w:r>
      <w:r w:rsidR="000E5B59" w:rsidRPr="00D37001">
        <w:rPr>
          <w:rFonts w:asciiTheme="minorHAnsi" w:eastAsia="Calibri" w:hAnsiTheme="minorHAnsi" w:cstheme="minorHAnsi"/>
          <w:sz w:val="20"/>
          <w:szCs w:val="20"/>
        </w:rPr>
        <w:t>the rate of progression of the disease, including</w:t>
      </w:r>
      <w:r w:rsidRPr="00D37001">
        <w:rPr>
          <w:rFonts w:asciiTheme="minorHAnsi" w:eastAsia="Calibri" w:hAnsiTheme="minorHAnsi" w:cstheme="minorHAnsi"/>
          <w:sz w:val="20"/>
          <w:szCs w:val="20"/>
        </w:rPr>
        <w:t xml:space="preserve"> earlier onset dis</w:t>
      </w:r>
      <w:r w:rsidR="008E0C83" w:rsidRPr="00D37001">
        <w:rPr>
          <w:rFonts w:asciiTheme="minorHAnsi" w:eastAsia="Calibri" w:hAnsiTheme="minorHAnsi" w:cstheme="minorHAnsi"/>
          <w:sz w:val="20"/>
          <w:szCs w:val="20"/>
        </w:rPr>
        <w:t>ease and placental dysfunction.</w:t>
      </w:r>
    </w:p>
    <w:p w14:paraId="05B94EE6" w14:textId="4A4A52C0" w:rsidR="00E45321" w:rsidRPr="00D37001" w:rsidRDefault="003B7F4F" w:rsidP="00D37001">
      <w:pPr>
        <w:ind w:left="426"/>
        <w:rPr>
          <w:rFonts w:asciiTheme="minorHAnsi" w:eastAsia="Calibri" w:hAnsiTheme="minorHAnsi" w:cstheme="minorHAnsi"/>
          <w:sz w:val="20"/>
          <w:szCs w:val="20"/>
        </w:rPr>
      </w:pPr>
      <w:r w:rsidRPr="00D37001">
        <w:rPr>
          <w:rFonts w:asciiTheme="minorHAnsi" w:eastAsia="Calibri" w:hAnsiTheme="minorHAnsi" w:cstheme="minorHAnsi"/>
          <w:sz w:val="20"/>
          <w:szCs w:val="20"/>
        </w:rPr>
        <w:t xml:space="preserve">Women </w:t>
      </w:r>
      <w:r w:rsidR="000E5B59" w:rsidRPr="00D37001">
        <w:rPr>
          <w:rFonts w:asciiTheme="minorHAnsi" w:eastAsia="Calibri" w:hAnsiTheme="minorHAnsi" w:cstheme="minorHAnsi"/>
          <w:sz w:val="20"/>
          <w:szCs w:val="20"/>
        </w:rPr>
        <w:t>who</w:t>
      </w:r>
      <w:r w:rsidRPr="00D37001">
        <w:rPr>
          <w:rFonts w:asciiTheme="minorHAnsi" w:eastAsia="Calibri" w:hAnsiTheme="minorHAnsi" w:cstheme="minorHAnsi"/>
          <w:sz w:val="20"/>
          <w:szCs w:val="20"/>
        </w:rPr>
        <w:t xml:space="preserve"> developed preeclampsia had a </w:t>
      </w:r>
      <w:r w:rsidR="000E5B59" w:rsidRPr="00D37001">
        <w:rPr>
          <w:rFonts w:asciiTheme="minorHAnsi" w:eastAsia="Calibri" w:hAnsiTheme="minorHAnsi" w:cstheme="minorHAnsi"/>
          <w:sz w:val="20"/>
          <w:szCs w:val="20"/>
        </w:rPr>
        <w:t>greater ratio chang</w:t>
      </w:r>
      <w:r w:rsidRPr="00D37001">
        <w:rPr>
          <w:rFonts w:asciiTheme="minorHAnsi" w:eastAsia="Calibri" w:hAnsiTheme="minorHAnsi" w:cstheme="minorHAnsi"/>
          <w:sz w:val="20"/>
          <w:szCs w:val="20"/>
        </w:rPr>
        <w:t>e over two weeks compared with those who</w:t>
      </w:r>
      <w:r w:rsidR="00317A38" w:rsidRPr="00D37001">
        <w:rPr>
          <w:rFonts w:asciiTheme="minorHAnsi" w:eastAsia="Calibri" w:hAnsiTheme="minorHAnsi" w:cstheme="minorHAnsi"/>
          <w:sz w:val="20"/>
          <w:szCs w:val="20"/>
        </w:rPr>
        <w:t xml:space="preserve"> did not develop </w:t>
      </w:r>
      <w:r w:rsidR="000E5B59" w:rsidRPr="00D37001">
        <w:rPr>
          <w:rFonts w:asciiTheme="minorHAnsi" w:eastAsia="Calibri" w:hAnsiTheme="minorHAnsi" w:cstheme="minorHAnsi"/>
          <w:sz w:val="20"/>
          <w:szCs w:val="20"/>
        </w:rPr>
        <w:t>preeclampsia</w:t>
      </w:r>
      <w:r w:rsidR="00317A38" w:rsidRPr="00D37001">
        <w:rPr>
          <w:rFonts w:asciiTheme="minorHAnsi" w:eastAsia="Calibri" w:hAnsiTheme="minorHAnsi" w:cstheme="minorHAnsi"/>
          <w:sz w:val="20"/>
          <w:szCs w:val="20"/>
        </w:rPr>
        <w:t xml:space="preserve"> [</w:t>
      </w:r>
      <w:proofErr w:type="spellStart"/>
      <w:r w:rsidR="00317A38" w:rsidRPr="00D37001">
        <w:rPr>
          <w:rFonts w:asciiTheme="minorHAnsi" w:eastAsia="Calibri" w:hAnsiTheme="minorHAnsi" w:cstheme="minorHAnsi"/>
          <w:sz w:val="20"/>
          <w:szCs w:val="20"/>
        </w:rPr>
        <w:t>Zeisler</w:t>
      </w:r>
      <w:proofErr w:type="spellEnd"/>
      <w:r w:rsidR="00317A38" w:rsidRPr="00D37001">
        <w:rPr>
          <w:rFonts w:asciiTheme="minorHAnsi" w:eastAsia="Calibri" w:hAnsiTheme="minorHAnsi" w:cstheme="minorHAnsi"/>
          <w:sz w:val="20"/>
          <w:szCs w:val="20"/>
        </w:rPr>
        <w:t xml:space="preserve"> 2019</w:t>
      </w:r>
      <w:r w:rsidRPr="00D37001">
        <w:rPr>
          <w:rFonts w:asciiTheme="minorHAnsi" w:eastAsia="Calibri" w:hAnsiTheme="minorHAnsi" w:cstheme="minorHAnsi"/>
          <w:sz w:val="20"/>
          <w:szCs w:val="20"/>
        </w:rPr>
        <w:t xml:space="preserve">], </w:t>
      </w:r>
      <w:r w:rsidR="000E5B59" w:rsidRPr="00D37001">
        <w:rPr>
          <w:rFonts w:asciiTheme="minorHAnsi" w:eastAsia="Calibri" w:hAnsiTheme="minorHAnsi" w:cstheme="minorHAnsi"/>
          <w:sz w:val="20"/>
          <w:szCs w:val="20"/>
        </w:rPr>
        <w:t>indicating it is appropriate</w:t>
      </w:r>
      <w:r w:rsidRPr="00D37001">
        <w:rPr>
          <w:rFonts w:asciiTheme="minorHAnsi" w:eastAsia="Calibri" w:hAnsiTheme="minorHAnsi" w:cstheme="minorHAnsi"/>
          <w:sz w:val="20"/>
          <w:szCs w:val="20"/>
        </w:rPr>
        <w:t xml:space="preserve"> to re-test in 1–2 weeks to determine the trend.</w:t>
      </w:r>
    </w:p>
    <w:bookmarkEnd w:id="19"/>
    <w:p w14:paraId="72B85211" w14:textId="77777777" w:rsidR="00E45321" w:rsidRDefault="00E45321">
      <w:pPr>
        <w:jc w:val="both"/>
        <w:rPr>
          <w:color w:val="0432FF"/>
        </w:rPr>
      </w:pPr>
    </w:p>
    <w:p w14:paraId="26835E46" w14:textId="64D1662C" w:rsidR="00E45321" w:rsidRPr="00D37001" w:rsidRDefault="00B76D37" w:rsidP="00D37001">
      <w:pPr>
        <w:pStyle w:val="Heading2"/>
        <w:numPr>
          <w:ilvl w:val="0"/>
          <w:numId w:val="20"/>
        </w:numPr>
        <w:ind w:left="284" w:hanging="284"/>
      </w:pPr>
      <w:bookmarkStart w:id="20" w:name="_Hlk90049291"/>
      <w:r>
        <w:t xml:space="preserve">Define and summarise the current clinical management pathway </w:t>
      </w:r>
      <w:r>
        <w:rPr>
          <w:i/>
        </w:rPr>
        <w:t>before</w:t>
      </w:r>
      <w:r>
        <w:t xml:space="preserve"> patients would be eligible for the proposed medical service (supplement this summary with an easy to follow flowchart [as an attachment to the Application Form] depicting the current clinical management pathway up to this point):</w:t>
      </w:r>
    </w:p>
    <w:p w14:paraId="18C47B53" w14:textId="337F3C5D" w:rsidR="00E45321" w:rsidRPr="00D37001" w:rsidRDefault="00D37001" w:rsidP="00D37001">
      <w:pPr>
        <w:pBdr>
          <w:top w:val="nil"/>
          <w:left w:val="nil"/>
          <w:bottom w:val="nil"/>
          <w:right w:val="nil"/>
          <w:between w:val="nil"/>
        </w:pBdr>
        <w:spacing w:before="120"/>
        <w:ind w:left="284"/>
        <w:jc w:val="both"/>
        <w:rPr>
          <w:rFonts w:asciiTheme="minorHAnsi" w:eastAsia="Calibri" w:hAnsiTheme="minorHAnsi" w:cstheme="minorHAnsi"/>
          <w:sz w:val="20"/>
          <w:szCs w:val="20"/>
        </w:rPr>
      </w:pPr>
      <w:r>
        <w:rPr>
          <w:rFonts w:asciiTheme="minorHAnsi" w:eastAsia="Calibri" w:hAnsiTheme="minorHAnsi" w:cstheme="minorHAnsi"/>
          <w:sz w:val="20"/>
          <w:szCs w:val="20"/>
        </w:rPr>
        <w:t>C</w:t>
      </w:r>
      <w:r w:rsidR="00F5719F" w:rsidRPr="00D37001">
        <w:rPr>
          <w:rFonts w:asciiTheme="minorHAnsi" w:eastAsia="Calibri" w:hAnsiTheme="minorHAnsi" w:cstheme="minorHAnsi"/>
          <w:sz w:val="20"/>
          <w:szCs w:val="20"/>
        </w:rPr>
        <w:t xml:space="preserve">urrently managed through routine antenatal care until clinical symptoms and signs suspicious of preeclampsia develop. </w:t>
      </w:r>
    </w:p>
    <w:bookmarkEnd w:id="20"/>
    <w:p w14:paraId="44BBD51A" w14:textId="77777777" w:rsidR="00E45321" w:rsidRDefault="00E45321">
      <w:pPr>
        <w:ind w:left="426"/>
        <w:jc w:val="both"/>
        <w:rPr>
          <w:color w:val="BFBFBF"/>
        </w:rPr>
      </w:pPr>
    </w:p>
    <w:p w14:paraId="74EB17E4" w14:textId="77777777" w:rsidR="00E45321" w:rsidRDefault="00E45321">
      <w:pPr>
        <w:ind w:left="426"/>
        <w:jc w:val="both"/>
      </w:pPr>
    </w:p>
    <w:p w14:paraId="0C13B8E7" w14:textId="77777777" w:rsidR="00D37001" w:rsidRDefault="00D37001">
      <w:pPr>
        <w:pStyle w:val="Subtitle"/>
      </w:pPr>
    </w:p>
    <w:p w14:paraId="51755295" w14:textId="77777777" w:rsidR="00D37001" w:rsidRDefault="00D37001">
      <w:pPr>
        <w:rPr>
          <w:rFonts w:ascii="Calibri" w:eastAsia="Calibri" w:hAnsi="Calibri" w:cs="Calibri"/>
          <w:b/>
          <w:i/>
          <w:sz w:val="20"/>
          <w:szCs w:val="20"/>
          <w:u w:val="single"/>
        </w:rPr>
      </w:pPr>
      <w:r>
        <w:br w:type="page"/>
      </w:r>
    </w:p>
    <w:p w14:paraId="7A0070AC" w14:textId="4DF91A17" w:rsidR="00E45321" w:rsidRDefault="00B76D37">
      <w:pPr>
        <w:pStyle w:val="Subtitle"/>
      </w:pPr>
      <w:r>
        <w:lastRenderedPageBreak/>
        <w:t>PART 6b – INFORMATION ABOUT THE INTERVENTION</w:t>
      </w:r>
    </w:p>
    <w:p w14:paraId="2B781BC4" w14:textId="3ACB9C61" w:rsidR="00E45321" w:rsidRPr="00D37001" w:rsidRDefault="00B76D37" w:rsidP="00D37001">
      <w:pPr>
        <w:pStyle w:val="Heading2"/>
        <w:numPr>
          <w:ilvl w:val="0"/>
          <w:numId w:val="20"/>
        </w:numPr>
      </w:pPr>
      <w:bookmarkStart w:id="21" w:name="_Hlk90049393"/>
      <w:r>
        <w:t>Describe the key components and clinical steps involved in delivering the proposed medical service:</w:t>
      </w:r>
    </w:p>
    <w:p w14:paraId="2CA4E75F" w14:textId="51C4397A" w:rsidR="00E45321" w:rsidRPr="00D37001" w:rsidRDefault="00B76D37" w:rsidP="00D37001">
      <w:pPr>
        <w:spacing w:before="120" w:after="120"/>
        <w:ind w:left="284"/>
        <w:rPr>
          <w:rFonts w:asciiTheme="minorHAnsi" w:hAnsiTheme="minorHAnsi" w:cstheme="minorHAnsi"/>
          <w:b/>
          <w:sz w:val="20"/>
          <w:szCs w:val="20"/>
          <w:u w:val="single"/>
        </w:rPr>
      </w:pPr>
      <w:r w:rsidRPr="00D37001">
        <w:rPr>
          <w:rFonts w:asciiTheme="minorHAnsi" w:hAnsiTheme="minorHAnsi" w:cstheme="minorHAnsi"/>
          <w:b/>
          <w:sz w:val="20"/>
          <w:szCs w:val="20"/>
          <w:u w:val="single"/>
        </w:rPr>
        <w:t>Management of women who present with clinical features of preeclampsia, but have a test result &lt;38</w:t>
      </w:r>
    </w:p>
    <w:p w14:paraId="4D4D0014" w14:textId="77777777" w:rsidR="00E45321" w:rsidRPr="00D37001" w:rsidRDefault="00B76D37" w:rsidP="00D37001">
      <w:pPr>
        <w:spacing w:before="120" w:after="120"/>
        <w:ind w:left="284"/>
        <w:rPr>
          <w:rFonts w:asciiTheme="minorHAnsi" w:hAnsiTheme="minorHAnsi" w:cstheme="minorHAnsi"/>
          <w:sz w:val="20"/>
          <w:szCs w:val="20"/>
        </w:rPr>
      </w:pPr>
      <w:r w:rsidRPr="00D37001">
        <w:rPr>
          <w:rFonts w:asciiTheme="minorHAnsi" w:hAnsiTheme="minorHAnsi" w:cstheme="minorHAnsi"/>
          <w:sz w:val="20"/>
          <w:szCs w:val="20"/>
        </w:rPr>
        <w:t xml:space="preserve">For women </w:t>
      </w:r>
      <w:r w:rsidR="00C45D28" w:rsidRPr="00D37001">
        <w:rPr>
          <w:rFonts w:asciiTheme="minorHAnsi" w:hAnsiTheme="minorHAnsi" w:cstheme="minorHAnsi"/>
          <w:sz w:val="20"/>
          <w:szCs w:val="20"/>
        </w:rPr>
        <w:t>with signs and symptoms</w:t>
      </w:r>
      <w:r w:rsidRPr="00D37001">
        <w:rPr>
          <w:rFonts w:asciiTheme="minorHAnsi" w:hAnsiTheme="minorHAnsi" w:cstheme="minorHAnsi"/>
          <w:sz w:val="20"/>
          <w:szCs w:val="20"/>
        </w:rPr>
        <w:t xml:space="preserve"> of preeclampsia, an sFlt-1/PlGF ratio test result &lt;38 would rule out preeclampsia in the </w:t>
      </w:r>
      <w:r w:rsidR="00C45D28" w:rsidRPr="00D37001">
        <w:rPr>
          <w:rFonts w:asciiTheme="minorHAnsi" w:hAnsiTheme="minorHAnsi" w:cstheme="minorHAnsi"/>
          <w:sz w:val="20"/>
          <w:szCs w:val="20"/>
        </w:rPr>
        <w:t xml:space="preserve">next </w:t>
      </w:r>
      <w:r w:rsidRPr="00D37001">
        <w:rPr>
          <w:rFonts w:asciiTheme="minorHAnsi" w:hAnsiTheme="minorHAnsi" w:cstheme="minorHAnsi"/>
          <w:sz w:val="20"/>
          <w:szCs w:val="20"/>
        </w:rPr>
        <w:t>2–4 weeks.</w:t>
      </w:r>
    </w:p>
    <w:p w14:paraId="1E08CD91" w14:textId="77777777" w:rsidR="00E45321" w:rsidRPr="00D37001" w:rsidRDefault="00C45D28" w:rsidP="00D37001">
      <w:pPr>
        <w:spacing w:before="120" w:after="120"/>
        <w:ind w:left="284"/>
        <w:rPr>
          <w:rFonts w:asciiTheme="minorHAnsi" w:hAnsiTheme="minorHAnsi" w:cstheme="minorHAnsi"/>
          <w:sz w:val="20"/>
          <w:szCs w:val="20"/>
        </w:rPr>
      </w:pPr>
      <w:r w:rsidRPr="00D37001">
        <w:rPr>
          <w:rFonts w:asciiTheme="minorHAnsi" w:hAnsiTheme="minorHAnsi" w:cstheme="minorHAnsi"/>
          <w:sz w:val="20"/>
          <w:szCs w:val="20"/>
        </w:rPr>
        <w:t>These</w:t>
      </w:r>
      <w:r w:rsidR="00B76D37" w:rsidRPr="00D37001">
        <w:rPr>
          <w:rFonts w:asciiTheme="minorHAnsi" w:hAnsiTheme="minorHAnsi" w:cstheme="minorHAnsi"/>
          <w:sz w:val="20"/>
          <w:szCs w:val="20"/>
        </w:rPr>
        <w:t xml:space="preserve"> women can be managed as outpatients depending on </w:t>
      </w:r>
      <w:r w:rsidRPr="00D37001">
        <w:rPr>
          <w:rFonts w:asciiTheme="minorHAnsi" w:hAnsiTheme="minorHAnsi" w:cstheme="minorHAnsi"/>
          <w:sz w:val="20"/>
          <w:szCs w:val="20"/>
        </w:rPr>
        <w:t xml:space="preserve">their </w:t>
      </w:r>
      <w:r w:rsidR="00B76D37" w:rsidRPr="00D37001">
        <w:rPr>
          <w:rFonts w:asciiTheme="minorHAnsi" w:hAnsiTheme="minorHAnsi" w:cstheme="minorHAnsi"/>
          <w:sz w:val="20"/>
          <w:szCs w:val="20"/>
        </w:rPr>
        <w:t xml:space="preserve">individual </w:t>
      </w:r>
      <w:r w:rsidRPr="00D37001">
        <w:rPr>
          <w:rFonts w:asciiTheme="minorHAnsi" w:hAnsiTheme="minorHAnsi" w:cstheme="minorHAnsi"/>
          <w:sz w:val="20"/>
          <w:szCs w:val="20"/>
        </w:rPr>
        <w:t>circumstances and the symptoms with which they have presented</w:t>
      </w:r>
      <w:r w:rsidR="00B76D37" w:rsidRPr="00D37001">
        <w:rPr>
          <w:rFonts w:asciiTheme="minorHAnsi" w:hAnsiTheme="minorHAnsi" w:cstheme="minorHAnsi"/>
          <w:sz w:val="20"/>
          <w:szCs w:val="20"/>
        </w:rPr>
        <w:t>. Individual</w:t>
      </w:r>
      <w:r w:rsidR="00837EF2" w:rsidRPr="00D37001">
        <w:rPr>
          <w:rFonts w:asciiTheme="minorHAnsi" w:hAnsiTheme="minorHAnsi" w:cstheme="minorHAnsi"/>
          <w:sz w:val="20"/>
          <w:szCs w:val="20"/>
        </w:rPr>
        <w:t>ise</w:t>
      </w:r>
      <w:r w:rsidR="00B76D37" w:rsidRPr="00D37001">
        <w:rPr>
          <w:rFonts w:asciiTheme="minorHAnsi" w:hAnsiTheme="minorHAnsi" w:cstheme="minorHAnsi"/>
          <w:sz w:val="20"/>
          <w:szCs w:val="20"/>
        </w:rPr>
        <w:t xml:space="preserve">d management will </w:t>
      </w:r>
      <w:r w:rsidR="00F03863" w:rsidRPr="00D37001">
        <w:rPr>
          <w:rFonts w:asciiTheme="minorHAnsi" w:hAnsiTheme="minorHAnsi" w:cstheme="minorHAnsi"/>
          <w:sz w:val="20"/>
          <w:szCs w:val="20"/>
        </w:rPr>
        <w:t xml:space="preserve">be </w:t>
      </w:r>
      <w:r w:rsidR="00B76D37" w:rsidRPr="00D37001">
        <w:rPr>
          <w:rFonts w:asciiTheme="minorHAnsi" w:hAnsiTheme="minorHAnsi" w:cstheme="minorHAnsi"/>
          <w:sz w:val="20"/>
          <w:szCs w:val="20"/>
        </w:rPr>
        <w:t>depend</w:t>
      </w:r>
      <w:r w:rsidR="00F03863" w:rsidRPr="00D37001">
        <w:rPr>
          <w:rFonts w:asciiTheme="minorHAnsi" w:hAnsiTheme="minorHAnsi" w:cstheme="minorHAnsi"/>
          <w:sz w:val="20"/>
          <w:szCs w:val="20"/>
        </w:rPr>
        <w:t>ent</w:t>
      </w:r>
      <w:r w:rsidR="00B76D37" w:rsidRPr="00D37001">
        <w:rPr>
          <w:rFonts w:asciiTheme="minorHAnsi" w:hAnsiTheme="minorHAnsi" w:cstheme="minorHAnsi"/>
          <w:sz w:val="20"/>
          <w:szCs w:val="20"/>
        </w:rPr>
        <w:t xml:space="preserve"> on other clinical and ultrasound risk factors: if no new symptoms occur, most clinics </w:t>
      </w:r>
      <w:proofErr w:type="gramStart"/>
      <w:r w:rsidR="00B76D37" w:rsidRPr="00D37001">
        <w:rPr>
          <w:rFonts w:asciiTheme="minorHAnsi" w:hAnsiTheme="minorHAnsi" w:cstheme="minorHAnsi"/>
          <w:sz w:val="20"/>
          <w:szCs w:val="20"/>
        </w:rPr>
        <w:t>would</w:t>
      </w:r>
      <w:proofErr w:type="gramEnd"/>
      <w:r w:rsidR="00B76D37" w:rsidRPr="00D37001">
        <w:rPr>
          <w:rFonts w:asciiTheme="minorHAnsi" w:hAnsiTheme="minorHAnsi" w:cstheme="minorHAnsi"/>
          <w:sz w:val="20"/>
          <w:szCs w:val="20"/>
        </w:rPr>
        <w:t xml:space="preserve"> review in 2–4 weeks.</w:t>
      </w:r>
    </w:p>
    <w:p w14:paraId="7105DBEA" w14:textId="587669C3" w:rsidR="00E45321" w:rsidRPr="00D37001" w:rsidRDefault="005E06D6" w:rsidP="00D37001">
      <w:pPr>
        <w:spacing w:before="120" w:after="120"/>
        <w:ind w:left="284"/>
        <w:rPr>
          <w:rFonts w:asciiTheme="minorHAnsi" w:hAnsiTheme="minorHAnsi" w:cstheme="minorHAnsi"/>
          <w:sz w:val="20"/>
          <w:szCs w:val="20"/>
        </w:rPr>
      </w:pPr>
      <w:sdt>
        <w:sdtPr>
          <w:rPr>
            <w:rFonts w:asciiTheme="minorHAnsi" w:hAnsiTheme="minorHAnsi" w:cstheme="minorHAnsi"/>
            <w:sz w:val="20"/>
            <w:szCs w:val="20"/>
          </w:rPr>
          <w:tag w:val="goog_rdk_2"/>
          <w:id w:val="914134372"/>
        </w:sdtPr>
        <w:sdtEndPr/>
        <w:sdtContent/>
      </w:sdt>
      <w:r w:rsidR="003B7F4F" w:rsidRPr="00D37001">
        <w:rPr>
          <w:rFonts w:asciiTheme="minorHAnsi" w:hAnsiTheme="minorHAnsi" w:cstheme="minorHAnsi"/>
          <w:sz w:val="20"/>
          <w:szCs w:val="20"/>
        </w:rPr>
        <w:t>R</w:t>
      </w:r>
      <w:r w:rsidR="00B76D37" w:rsidRPr="00D37001">
        <w:rPr>
          <w:rFonts w:asciiTheme="minorHAnsi" w:hAnsiTheme="minorHAnsi" w:cstheme="minorHAnsi"/>
          <w:sz w:val="20"/>
          <w:szCs w:val="20"/>
        </w:rPr>
        <w:t xml:space="preserve">etesting </w:t>
      </w:r>
      <w:r w:rsidR="003B7F4F" w:rsidRPr="00D37001">
        <w:rPr>
          <w:rFonts w:asciiTheme="minorHAnsi" w:hAnsiTheme="minorHAnsi" w:cstheme="minorHAnsi"/>
          <w:sz w:val="20"/>
          <w:szCs w:val="20"/>
        </w:rPr>
        <w:t xml:space="preserve">sFlt-1/PlGF ratio </w:t>
      </w:r>
      <w:r w:rsidR="00B76D37" w:rsidRPr="00D37001">
        <w:rPr>
          <w:rFonts w:asciiTheme="minorHAnsi" w:hAnsiTheme="minorHAnsi" w:cstheme="minorHAnsi"/>
          <w:sz w:val="20"/>
          <w:szCs w:val="20"/>
        </w:rPr>
        <w:t>should cease upon cessation of clinical features of preeclampsia.</w:t>
      </w:r>
    </w:p>
    <w:p w14:paraId="44BB4B76" w14:textId="2E7BA505" w:rsidR="00E45321" w:rsidRPr="00D37001" w:rsidRDefault="00B76D37" w:rsidP="00D37001">
      <w:pPr>
        <w:spacing w:before="120" w:after="120"/>
        <w:ind w:left="284"/>
        <w:rPr>
          <w:rFonts w:asciiTheme="minorHAnsi" w:hAnsiTheme="minorHAnsi" w:cstheme="minorHAnsi"/>
          <w:b/>
          <w:sz w:val="20"/>
          <w:szCs w:val="20"/>
          <w:u w:val="single"/>
        </w:rPr>
      </w:pPr>
      <w:r w:rsidRPr="00D37001">
        <w:rPr>
          <w:rFonts w:asciiTheme="minorHAnsi" w:hAnsiTheme="minorHAnsi" w:cstheme="minorHAnsi"/>
          <w:b/>
          <w:sz w:val="20"/>
          <w:szCs w:val="20"/>
          <w:u w:val="single"/>
        </w:rPr>
        <w:t>Management of women with a ratio test result of 38–85</w:t>
      </w:r>
    </w:p>
    <w:p w14:paraId="32885DA6" w14:textId="67CC94F7" w:rsidR="00E45321" w:rsidRPr="00D37001" w:rsidRDefault="00B76D37" w:rsidP="00D37001">
      <w:pPr>
        <w:spacing w:before="120" w:after="120"/>
        <w:ind w:left="284"/>
        <w:rPr>
          <w:rFonts w:asciiTheme="minorHAnsi" w:hAnsiTheme="minorHAnsi" w:cstheme="minorHAnsi"/>
          <w:sz w:val="20"/>
          <w:szCs w:val="20"/>
        </w:rPr>
      </w:pPr>
      <w:r w:rsidRPr="00D37001">
        <w:rPr>
          <w:rFonts w:asciiTheme="minorHAnsi" w:hAnsiTheme="minorHAnsi" w:cstheme="minorHAnsi"/>
          <w:sz w:val="20"/>
          <w:szCs w:val="20"/>
        </w:rPr>
        <w:t xml:space="preserve">Women </w:t>
      </w:r>
      <w:r w:rsidR="00F03863" w:rsidRPr="00D37001">
        <w:rPr>
          <w:rFonts w:asciiTheme="minorHAnsi" w:hAnsiTheme="minorHAnsi" w:cstheme="minorHAnsi"/>
          <w:sz w:val="20"/>
          <w:szCs w:val="20"/>
        </w:rPr>
        <w:t>who return a ratio test</w:t>
      </w:r>
      <w:r w:rsidRPr="00D37001">
        <w:rPr>
          <w:rFonts w:asciiTheme="minorHAnsi" w:hAnsiTheme="minorHAnsi" w:cstheme="minorHAnsi"/>
          <w:sz w:val="20"/>
          <w:szCs w:val="20"/>
        </w:rPr>
        <w:t xml:space="preserve"> of 38–85 will require </w:t>
      </w:r>
      <w:r w:rsidR="00F03863" w:rsidRPr="00D37001">
        <w:rPr>
          <w:rFonts w:asciiTheme="minorHAnsi" w:hAnsiTheme="minorHAnsi" w:cstheme="minorHAnsi"/>
          <w:sz w:val="20"/>
          <w:szCs w:val="20"/>
        </w:rPr>
        <w:t>greater surveillance</w:t>
      </w:r>
      <w:r w:rsidRPr="00D37001">
        <w:rPr>
          <w:rFonts w:asciiTheme="minorHAnsi" w:hAnsiTheme="minorHAnsi" w:cstheme="minorHAnsi"/>
          <w:sz w:val="20"/>
          <w:szCs w:val="20"/>
        </w:rPr>
        <w:t xml:space="preserve">, mostly as outpatients, with </w:t>
      </w:r>
      <w:r w:rsidR="00F03863" w:rsidRPr="00D37001">
        <w:rPr>
          <w:rFonts w:asciiTheme="minorHAnsi" w:hAnsiTheme="minorHAnsi" w:cstheme="minorHAnsi"/>
          <w:sz w:val="20"/>
          <w:szCs w:val="20"/>
        </w:rPr>
        <w:t>a</w:t>
      </w:r>
      <w:r w:rsidRPr="00D37001">
        <w:rPr>
          <w:rFonts w:asciiTheme="minorHAnsi" w:hAnsiTheme="minorHAnsi" w:cstheme="minorHAnsi"/>
          <w:sz w:val="20"/>
          <w:szCs w:val="20"/>
        </w:rPr>
        <w:t xml:space="preserve"> retest after 1–2 weeks to assess </w:t>
      </w:r>
      <w:r w:rsidR="00F03863" w:rsidRPr="00D37001">
        <w:rPr>
          <w:rFonts w:asciiTheme="minorHAnsi" w:hAnsiTheme="minorHAnsi" w:cstheme="minorHAnsi"/>
          <w:sz w:val="20"/>
          <w:szCs w:val="20"/>
        </w:rPr>
        <w:t>any</w:t>
      </w:r>
      <w:r w:rsidRPr="00D37001">
        <w:rPr>
          <w:rFonts w:asciiTheme="minorHAnsi" w:hAnsiTheme="minorHAnsi" w:cstheme="minorHAnsi"/>
          <w:sz w:val="20"/>
          <w:szCs w:val="20"/>
        </w:rPr>
        <w:t xml:space="preserve"> change in the markers. </w:t>
      </w:r>
      <w:sdt>
        <w:sdtPr>
          <w:rPr>
            <w:rFonts w:asciiTheme="minorHAnsi" w:hAnsiTheme="minorHAnsi" w:cstheme="minorHAnsi"/>
            <w:sz w:val="20"/>
            <w:szCs w:val="20"/>
          </w:rPr>
          <w:tag w:val="goog_rdk_3"/>
          <w:id w:val="1694804621"/>
        </w:sdtPr>
        <w:sdtEndPr/>
        <w:sdtContent/>
      </w:sdt>
      <w:r w:rsidRPr="00D37001">
        <w:rPr>
          <w:rFonts w:asciiTheme="minorHAnsi" w:hAnsiTheme="minorHAnsi" w:cstheme="minorHAnsi"/>
          <w:sz w:val="20"/>
          <w:szCs w:val="20"/>
        </w:rPr>
        <w:t>Depend</w:t>
      </w:r>
      <w:r w:rsidR="00F03863" w:rsidRPr="00D37001">
        <w:rPr>
          <w:rFonts w:asciiTheme="minorHAnsi" w:hAnsiTheme="minorHAnsi" w:cstheme="minorHAnsi"/>
          <w:sz w:val="20"/>
          <w:szCs w:val="20"/>
        </w:rPr>
        <w:t>ent</w:t>
      </w:r>
      <w:r w:rsidRPr="00D37001">
        <w:rPr>
          <w:rFonts w:asciiTheme="minorHAnsi" w:hAnsiTheme="minorHAnsi" w:cstheme="minorHAnsi"/>
          <w:sz w:val="20"/>
          <w:szCs w:val="20"/>
        </w:rPr>
        <w:t xml:space="preserve"> on </w:t>
      </w:r>
      <w:r w:rsidR="00BE22F9" w:rsidRPr="00D37001">
        <w:rPr>
          <w:rFonts w:asciiTheme="minorHAnsi" w:hAnsiTheme="minorHAnsi" w:cstheme="minorHAnsi"/>
          <w:sz w:val="20"/>
          <w:szCs w:val="20"/>
        </w:rPr>
        <w:t xml:space="preserve">the </w:t>
      </w:r>
      <w:r w:rsidRPr="00D37001">
        <w:rPr>
          <w:rFonts w:asciiTheme="minorHAnsi" w:hAnsiTheme="minorHAnsi" w:cstheme="minorHAnsi"/>
          <w:sz w:val="20"/>
          <w:szCs w:val="20"/>
        </w:rPr>
        <w:t>retest and the clinical context, further ratio test</w:t>
      </w:r>
      <w:r w:rsidR="00F03863" w:rsidRPr="00D37001">
        <w:rPr>
          <w:rFonts w:asciiTheme="minorHAnsi" w:hAnsiTheme="minorHAnsi" w:cstheme="minorHAnsi"/>
          <w:sz w:val="20"/>
          <w:szCs w:val="20"/>
        </w:rPr>
        <w:t>ing</w:t>
      </w:r>
      <w:r w:rsidRPr="00D37001">
        <w:rPr>
          <w:rFonts w:asciiTheme="minorHAnsi" w:hAnsiTheme="minorHAnsi" w:cstheme="minorHAnsi"/>
          <w:sz w:val="20"/>
          <w:szCs w:val="20"/>
        </w:rPr>
        <w:t xml:space="preserve"> may be necessary. </w:t>
      </w:r>
      <w:r w:rsidR="00F03863" w:rsidRPr="00D37001">
        <w:rPr>
          <w:rFonts w:asciiTheme="minorHAnsi" w:hAnsiTheme="minorHAnsi" w:cstheme="minorHAnsi"/>
          <w:sz w:val="20"/>
          <w:szCs w:val="20"/>
        </w:rPr>
        <w:t>These</w:t>
      </w:r>
      <w:r w:rsidRPr="00D37001">
        <w:rPr>
          <w:rFonts w:asciiTheme="minorHAnsi" w:hAnsiTheme="minorHAnsi" w:cstheme="minorHAnsi"/>
          <w:sz w:val="20"/>
          <w:szCs w:val="20"/>
        </w:rPr>
        <w:t xml:space="preserve"> women are considered at higher risk and should be informed </w:t>
      </w:r>
      <w:r w:rsidR="00F03863" w:rsidRPr="00D37001">
        <w:rPr>
          <w:rFonts w:asciiTheme="minorHAnsi" w:hAnsiTheme="minorHAnsi" w:cstheme="minorHAnsi"/>
          <w:sz w:val="20"/>
          <w:szCs w:val="20"/>
        </w:rPr>
        <w:t xml:space="preserve">of </w:t>
      </w:r>
      <w:r w:rsidRPr="00D37001">
        <w:rPr>
          <w:rFonts w:asciiTheme="minorHAnsi" w:hAnsiTheme="minorHAnsi" w:cstheme="minorHAnsi"/>
          <w:sz w:val="20"/>
          <w:szCs w:val="20"/>
        </w:rPr>
        <w:t xml:space="preserve">symptoms requiring more </w:t>
      </w:r>
      <w:r w:rsidR="00F03863" w:rsidRPr="00D37001">
        <w:rPr>
          <w:rFonts w:asciiTheme="minorHAnsi" w:hAnsiTheme="minorHAnsi" w:cstheme="minorHAnsi"/>
          <w:sz w:val="20"/>
          <w:szCs w:val="20"/>
        </w:rPr>
        <w:t xml:space="preserve">immediate </w:t>
      </w:r>
      <w:r w:rsidRPr="00D37001">
        <w:rPr>
          <w:rFonts w:asciiTheme="minorHAnsi" w:hAnsiTheme="minorHAnsi" w:cstheme="minorHAnsi"/>
          <w:sz w:val="20"/>
          <w:szCs w:val="20"/>
        </w:rPr>
        <w:t xml:space="preserve">medical attention. Regular BP monitoring is </w:t>
      </w:r>
      <w:r w:rsidR="00F03863" w:rsidRPr="00D37001">
        <w:rPr>
          <w:rFonts w:asciiTheme="minorHAnsi" w:hAnsiTheme="minorHAnsi" w:cstheme="minorHAnsi"/>
          <w:sz w:val="20"/>
          <w:szCs w:val="20"/>
        </w:rPr>
        <w:t xml:space="preserve">also </w:t>
      </w:r>
      <w:r w:rsidRPr="00D37001">
        <w:rPr>
          <w:rFonts w:asciiTheme="minorHAnsi" w:hAnsiTheme="minorHAnsi" w:cstheme="minorHAnsi"/>
          <w:sz w:val="20"/>
          <w:szCs w:val="20"/>
        </w:rPr>
        <w:t>recommended.</w:t>
      </w:r>
    </w:p>
    <w:p w14:paraId="4ACA1A65" w14:textId="6FDDDCC7" w:rsidR="00E45321" w:rsidRPr="00D37001" w:rsidRDefault="00B76D37" w:rsidP="00D37001">
      <w:pPr>
        <w:spacing w:before="120" w:after="120"/>
        <w:ind w:left="284"/>
        <w:rPr>
          <w:rFonts w:asciiTheme="minorHAnsi" w:hAnsiTheme="minorHAnsi" w:cstheme="minorHAnsi"/>
          <w:sz w:val="20"/>
          <w:szCs w:val="20"/>
        </w:rPr>
      </w:pPr>
      <w:r w:rsidRPr="00D37001">
        <w:rPr>
          <w:rFonts w:asciiTheme="minorHAnsi" w:hAnsiTheme="minorHAnsi" w:cstheme="minorHAnsi"/>
          <w:sz w:val="20"/>
          <w:szCs w:val="20"/>
        </w:rPr>
        <w:t xml:space="preserve">In a real-world study, </w:t>
      </w:r>
      <w:proofErr w:type="spellStart"/>
      <w:r w:rsidRPr="00D37001">
        <w:rPr>
          <w:rFonts w:asciiTheme="minorHAnsi" w:hAnsiTheme="minorHAnsi" w:cstheme="minorHAnsi"/>
          <w:sz w:val="20"/>
          <w:szCs w:val="20"/>
        </w:rPr>
        <w:t>Dröge</w:t>
      </w:r>
      <w:proofErr w:type="spellEnd"/>
      <w:r w:rsidRPr="00D37001">
        <w:rPr>
          <w:rFonts w:asciiTheme="minorHAnsi" w:hAnsiTheme="minorHAnsi" w:cstheme="minorHAnsi"/>
          <w:sz w:val="20"/>
          <w:szCs w:val="20"/>
        </w:rPr>
        <w:t xml:space="preserve"> et al found that the remaining pregnancy duration for women with a sFlt-1/PlGF-ratio of 38–85 was 23</w:t>
      </w:r>
      <w:r w:rsidR="00F5719F" w:rsidRPr="00D37001">
        <w:rPr>
          <w:rFonts w:asciiTheme="minorHAnsi" w:hAnsiTheme="minorHAnsi" w:cstheme="minorHAnsi"/>
          <w:sz w:val="20"/>
          <w:szCs w:val="20"/>
        </w:rPr>
        <w:t xml:space="preserve"> days</w:t>
      </w:r>
      <w:r w:rsidRPr="00D37001">
        <w:rPr>
          <w:rFonts w:asciiTheme="minorHAnsi" w:hAnsiTheme="minorHAnsi" w:cstheme="minorHAnsi"/>
          <w:sz w:val="20"/>
          <w:szCs w:val="20"/>
        </w:rPr>
        <w:t xml:space="preserve"> (IQR, 9–46) if they were &lt;34 weeks of gestation and 6 </w:t>
      </w:r>
      <w:r w:rsidR="00F5719F" w:rsidRPr="00D37001">
        <w:rPr>
          <w:rFonts w:asciiTheme="minorHAnsi" w:hAnsiTheme="minorHAnsi" w:cstheme="minorHAnsi"/>
          <w:sz w:val="20"/>
          <w:szCs w:val="20"/>
        </w:rPr>
        <w:t xml:space="preserve">days </w:t>
      </w:r>
      <w:r w:rsidRPr="00D37001">
        <w:rPr>
          <w:rFonts w:asciiTheme="minorHAnsi" w:hAnsiTheme="minorHAnsi" w:cstheme="minorHAnsi"/>
          <w:sz w:val="20"/>
          <w:szCs w:val="20"/>
        </w:rPr>
        <w:t>(IQR, 2–12) if they were &gt;34 weeks [</w:t>
      </w:r>
      <w:proofErr w:type="spellStart"/>
      <w:r w:rsidR="0099169E" w:rsidRPr="00D37001">
        <w:rPr>
          <w:rFonts w:asciiTheme="minorHAnsi" w:hAnsiTheme="minorHAnsi" w:cstheme="minorHAnsi"/>
          <w:sz w:val="20"/>
          <w:szCs w:val="20"/>
        </w:rPr>
        <w:t>Droge</w:t>
      </w:r>
      <w:proofErr w:type="spellEnd"/>
      <w:r w:rsidR="0099169E" w:rsidRPr="00D37001">
        <w:rPr>
          <w:rFonts w:asciiTheme="minorHAnsi" w:hAnsiTheme="minorHAnsi" w:cstheme="minorHAnsi"/>
          <w:sz w:val="20"/>
          <w:szCs w:val="20"/>
        </w:rPr>
        <w:t xml:space="preserve"> et al, 2021</w:t>
      </w:r>
      <w:r w:rsidRPr="00D37001">
        <w:rPr>
          <w:rFonts w:asciiTheme="minorHAnsi" w:hAnsiTheme="minorHAnsi" w:cstheme="minorHAnsi"/>
          <w:sz w:val="20"/>
          <w:szCs w:val="20"/>
        </w:rPr>
        <w:t xml:space="preserve">]. </w:t>
      </w:r>
      <w:r w:rsidR="00F03863" w:rsidRPr="00D37001">
        <w:rPr>
          <w:rFonts w:asciiTheme="minorHAnsi" w:hAnsiTheme="minorHAnsi" w:cstheme="minorHAnsi"/>
          <w:sz w:val="20"/>
          <w:szCs w:val="20"/>
        </w:rPr>
        <w:t>Additionally</w:t>
      </w:r>
      <w:r w:rsidRPr="00D37001">
        <w:rPr>
          <w:rFonts w:asciiTheme="minorHAnsi" w:hAnsiTheme="minorHAnsi" w:cstheme="minorHAnsi"/>
          <w:sz w:val="20"/>
          <w:szCs w:val="20"/>
        </w:rPr>
        <w:t xml:space="preserve">, </w:t>
      </w:r>
      <w:proofErr w:type="spellStart"/>
      <w:r w:rsidRPr="00D37001">
        <w:rPr>
          <w:rFonts w:asciiTheme="minorHAnsi" w:hAnsiTheme="minorHAnsi" w:cstheme="minorHAnsi"/>
          <w:sz w:val="20"/>
          <w:szCs w:val="20"/>
        </w:rPr>
        <w:t>Zeisler</w:t>
      </w:r>
      <w:proofErr w:type="spellEnd"/>
      <w:r w:rsidRPr="00D37001">
        <w:rPr>
          <w:rFonts w:asciiTheme="minorHAnsi" w:hAnsiTheme="minorHAnsi" w:cstheme="minorHAnsi"/>
          <w:sz w:val="20"/>
          <w:szCs w:val="20"/>
        </w:rPr>
        <w:t xml:space="preserve"> et al showed the importance of the </w:t>
      </w:r>
      <w:r w:rsidR="00F03863" w:rsidRPr="00D37001">
        <w:rPr>
          <w:rFonts w:asciiTheme="minorHAnsi" w:hAnsiTheme="minorHAnsi" w:cstheme="minorHAnsi"/>
          <w:sz w:val="20"/>
          <w:szCs w:val="20"/>
        </w:rPr>
        <w:t xml:space="preserve">rate of change (delta) </w:t>
      </w:r>
      <w:r w:rsidRPr="00D37001">
        <w:rPr>
          <w:rFonts w:asciiTheme="minorHAnsi" w:hAnsiTheme="minorHAnsi" w:cstheme="minorHAnsi"/>
          <w:sz w:val="20"/>
          <w:szCs w:val="20"/>
        </w:rPr>
        <w:t xml:space="preserve">between two measurements. Women </w:t>
      </w:r>
      <w:r w:rsidR="00F5719F" w:rsidRPr="00D37001">
        <w:rPr>
          <w:rFonts w:asciiTheme="minorHAnsi" w:hAnsiTheme="minorHAnsi" w:cstheme="minorHAnsi"/>
          <w:sz w:val="20"/>
          <w:szCs w:val="20"/>
        </w:rPr>
        <w:t>who developed</w:t>
      </w:r>
      <w:r w:rsidRPr="00D37001">
        <w:rPr>
          <w:rFonts w:asciiTheme="minorHAnsi" w:hAnsiTheme="minorHAnsi" w:cstheme="minorHAnsi"/>
          <w:sz w:val="20"/>
          <w:szCs w:val="20"/>
        </w:rPr>
        <w:t xml:space="preserve"> preeclampsia had a delta sFlt-1/PlGF between </w:t>
      </w:r>
      <w:r w:rsidR="00F03863" w:rsidRPr="00D37001">
        <w:rPr>
          <w:rFonts w:asciiTheme="minorHAnsi" w:hAnsiTheme="minorHAnsi" w:cstheme="minorHAnsi"/>
          <w:sz w:val="20"/>
          <w:szCs w:val="20"/>
        </w:rPr>
        <w:t xml:space="preserve">tests </w:t>
      </w:r>
      <w:r w:rsidRPr="00D37001">
        <w:rPr>
          <w:rFonts w:asciiTheme="minorHAnsi" w:hAnsiTheme="minorHAnsi" w:cstheme="minorHAnsi"/>
          <w:sz w:val="20"/>
          <w:szCs w:val="20"/>
        </w:rPr>
        <w:t>two weeks apart of 31.22 whereas these who did not develop the</w:t>
      </w:r>
      <w:r w:rsidR="0099169E" w:rsidRPr="00D37001">
        <w:rPr>
          <w:rFonts w:asciiTheme="minorHAnsi" w:hAnsiTheme="minorHAnsi" w:cstheme="minorHAnsi"/>
          <w:sz w:val="20"/>
          <w:szCs w:val="20"/>
        </w:rPr>
        <w:t xml:space="preserve"> disease had a delta of 1.45 [</w:t>
      </w:r>
      <w:proofErr w:type="spellStart"/>
      <w:r w:rsidR="0099169E" w:rsidRPr="00D37001">
        <w:rPr>
          <w:rFonts w:asciiTheme="minorHAnsi" w:hAnsiTheme="minorHAnsi" w:cstheme="minorHAnsi"/>
          <w:sz w:val="20"/>
          <w:szCs w:val="20"/>
        </w:rPr>
        <w:t>Zeisler</w:t>
      </w:r>
      <w:proofErr w:type="spellEnd"/>
      <w:r w:rsidR="0099169E" w:rsidRPr="00D37001">
        <w:rPr>
          <w:rFonts w:asciiTheme="minorHAnsi" w:hAnsiTheme="minorHAnsi" w:cstheme="minorHAnsi"/>
          <w:sz w:val="20"/>
          <w:szCs w:val="20"/>
        </w:rPr>
        <w:t xml:space="preserve"> 2019</w:t>
      </w:r>
      <w:r w:rsidRPr="00D37001">
        <w:rPr>
          <w:rFonts w:asciiTheme="minorHAnsi" w:hAnsiTheme="minorHAnsi" w:cstheme="minorHAnsi"/>
          <w:sz w:val="20"/>
          <w:szCs w:val="20"/>
        </w:rPr>
        <w:t xml:space="preserve">]. </w:t>
      </w:r>
      <w:r w:rsidR="00F03863" w:rsidRPr="00D37001">
        <w:rPr>
          <w:rFonts w:asciiTheme="minorHAnsi" w:hAnsiTheme="minorHAnsi" w:cstheme="minorHAnsi"/>
          <w:sz w:val="20"/>
          <w:szCs w:val="20"/>
        </w:rPr>
        <w:t>It is therefore</w:t>
      </w:r>
      <w:r w:rsidRPr="00D37001">
        <w:rPr>
          <w:rFonts w:asciiTheme="minorHAnsi" w:hAnsiTheme="minorHAnsi" w:cstheme="minorHAnsi"/>
          <w:sz w:val="20"/>
          <w:szCs w:val="20"/>
        </w:rPr>
        <w:t xml:space="preserve"> advisable to re-test in 1–2 weeks and determine the trend.</w:t>
      </w:r>
    </w:p>
    <w:p w14:paraId="6E57F74D" w14:textId="2D6BA7DE" w:rsidR="00E45321" w:rsidRPr="00D37001" w:rsidRDefault="00B76D37" w:rsidP="00D37001">
      <w:pPr>
        <w:spacing w:before="120" w:after="120"/>
        <w:ind w:left="284"/>
        <w:rPr>
          <w:rFonts w:asciiTheme="minorHAnsi" w:hAnsiTheme="minorHAnsi" w:cstheme="minorHAnsi"/>
          <w:b/>
          <w:i/>
          <w:sz w:val="20"/>
          <w:szCs w:val="20"/>
        </w:rPr>
      </w:pPr>
      <w:r w:rsidRPr="00D37001">
        <w:rPr>
          <w:rFonts w:asciiTheme="minorHAnsi" w:hAnsiTheme="minorHAnsi" w:cstheme="minorHAnsi"/>
          <w:b/>
          <w:i/>
          <w:sz w:val="20"/>
          <w:szCs w:val="20"/>
        </w:rPr>
        <w:t>Criteria for hospital admission (ratio test result of 38–85)</w:t>
      </w:r>
    </w:p>
    <w:p w14:paraId="73C62E06" w14:textId="1613C6F1" w:rsidR="00E45321" w:rsidRPr="00D37001" w:rsidRDefault="00B76D37" w:rsidP="00D37001">
      <w:pPr>
        <w:spacing w:before="120" w:after="120"/>
        <w:ind w:left="284"/>
        <w:rPr>
          <w:rFonts w:asciiTheme="minorHAnsi" w:hAnsiTheme="minorHAnsi" w:cstheme="minorHAnsi"/>
          <w:sz w:val="20"/>
          <w:szCs w:val="20"/>
        </w:rPr>
      </w:pPr>
      <w:r w:rsidRPr="00D37001">
        <w:rPr>
          <w:rFonts w:asciiTheme="minorHAnsi" w:hAnsiTheme="minorHAnsi" w:cstheme="minorHAnsi"/>
          <w:sz w:val="20"/>
          <w:szCs w:val="20"/>
        </w:rPr>
        <w:t>Women should be hospital</w:t>
      </w:r>
      <w:r w:rsidR="00837EF2" w:rsidRPr="00D37001">
        <w:rPr>
          <w:rFonts w:asciiTheme="minorHAnsi" w:hAnsiTheme="minorHAnsi" w:cstheme="minorHAnsi"/>
          <w:sz w:val="20"/>
          <w:szCs w:val="20"/>
        </w:rPr>
        <w:t>ise</w:t>
      </w:r>
      <w:r w:rsidRPr="00D37001">
        <w:rPr>
          <w:rFonts w:asciiTheme="minorHAnsi" w:hAnsiTheme="minorHAnsi" w:cstheme="minorHAnsi"/>
          <w:sz w:val="20"/>
          <w:szCs w:val="20"/>
        </w:rPr>
        <w:t xml:space="preserve">d when there are clear </w:t>
      </w:r>
      <w:r w:rsidR="004C0220" w:rsidRPr="00D37001">
        <w:rPr>
          <w:rFonts w:asciiTheme="minorHAnsi" w:hAnsiTheme="minorHAnsi" w:cstheme="minorHAnsi"/>
          <w:sz w:val="20"/>
          <w:szCs w:val="20"/>
        </w:rPr>
        <w:t>signs and symptoms</w:t>
      </w:r>
      <w:r w:rsidRPr="00D37001">
        <w:rPr>
          <w:rFonts w:asciiTheme="minorHAnsi" w:hAnsiTheme="minorHAnsi" w:cstheme="minorHAnsi"/>
          <w:sz w:val="20"/>
          <w:szCs w:val="20"/>
        </w:rPr>
        <w:t xml:space="preserve"> indicating preeclampsia and/or suspected </w:t>
      </w:r>
      <w:proofErr w:type="spellStart"/>
      <w:r w:rsidRPr="00D37001">
        <w:rPr>
          <w:rFonts w:asciiTheme="minorHAnsi" w:hAnsiTheme="minorHAnsi" w:cstheme="minorHAnsi"/>
          <w:sz w:val="20"/>
          <w:szCs w:val="20"/>
        </w:rPr>
        <w:t>fetal</w:t>
      </w:r>
      <w:proofErr w:type="spellEnd"/>
      <w:r w:rsidRPr="00D37001">
        <w:rPr>
          <w:rFonts w:asciiTheme="minorHAnsi" w:hAnsiTheme="minorHAnsi" w:cstheme="minorHAnsi"/>
          <w:sz w:val="20"/>
          <w:szCs w:val="20"/>
        </w:rPr>
        <w:t xml:space="preserve"> compromise.</w:t>
      </w:r>
    </w:p>
    <w:p w14:paraId="075AD33F" w14:textId="0FC3D67B" w:rsidR="00E45321" w:rsidRPr="00D37001" w:rsidRDefault="00B76D37" w:rsidP="00D37001">
      <w:pPr>
        <w:spacing w:before="120" w:after="120"/>
        <w:ind w:left="284"/>
        <w:rPr>
          <w:rFonts w:asciiTheme="minorHAnsi" w:hAnsiTheme="minorHAnsi" w:cstheme="minorHAnsi"/>
          <w:sz w:val="20"/>
          <w:szCs w:val="20"/>
        </w:rPr>
      </w:pPr>
      <w:r w:rsidRPr="00D37001">
        <w:rPr>
          <w:rFonts w:asciiTheme="minorHAnsi" w:hAnsiTheme="minorHAnsi" w:cstheme="minorHAnsi"/>
          <w:sz w:val="20"/>
          <w:szCs w:val="20"/>
        </w:rPr>
        <w:t xml:space="preserve">Clear clinical signs </w:t>
      </w:r>
      <w:r w:rsidR="00D47203" w:rsidRPr="00D37001">
        <w:rPr>
          <w:rFonts w:asciiTheme="minorHAnsi" w:hAnsiTheme="minorHAnsi" w:cstheme="minorHAnsi"/>
          <w:sz w:val="20"/>
          <w:szCs w:val="20"/>
        </w:rPr>
        <w:t xml:space="preserve">indicate a need </w:t>
      </w:r>
      <w:r w:rsidRPr="00D37001">
        <w:rPr>
          <w:rFonts w:asciiTheme="minorHAnsi" w:hAnsiTheme="minorHAnsi" w:cstheme="minorHAnsi"/>
          <w:sz w:val="20"/>
          <w:szCs w:val="20"/>
        </w:rPr>
        <w:t xml:space="preserve">to admit regardless of the sFlt-1/PlGF ratio. If symptoms indicate diagnosis, women are often admitted for monitoring over longer periods of time. Clinical features that form part of the diagnosis include high </w:t>
      </w:r>
      <w:r w:rsidR="00D47203" w:rsidRPr="00D37001">
        <w:rPr>
          <w:rFonts w:asciiTheme="minorHAnsi" w:hAnsiTheme="minorHAnsi" w:cstheme="minorHAnsi"/>
          <w:sz w:val="20"/>
          <w:szCs w:val="20"/>
        </w:rPr>
        <w:t>blood-pressure</w:t>
      </w:r>
      <w:r w:rsidRPr="00D37001">
        <w:rPr>
          <w:rFonts w:asciiTheme="minorHAnsi" w:hAnsiTheme="minorHAnsi" w:cstheme="minorHAnsi"/>
          <w:sz w:val="20"/>
          <w:szCs w:val="20"/>
        </w:rPr>
        <w:t xml:space="preserve">, </w:t>
      </w:r>
      <w:r w:rsidR="00D47203" w:rsidRPr="00D37001">
        <w:rPr>
          <w:rFonts w:asciiTheme="minorHAnsi" w:hAnsiTheme="minorHAnsi" w:cstheme="minorHAnsi"/>
          <w:sz w:val="20"/>
          <w:szCs w:val="20"/>
        </w:rPr>
        <w:t>protein in urine</w:t>
      </w:r>
      <w:r w:rsidRPr="00D37001">
        <w:rPr>
          <w:rFonts w:asciiTheme="minorHAnsi" w:hAnsiTheme="minorHAnsi" w:cstheme="minorHAnsi"/>
          <w:sz w:val="20"/>
          <w:szCs w:val="20"/>
        </w:rPr>
        <w:t xml:space="preserve">, severe upper abdominal pain or </w:t>
      </w:r>
      <w:r w:rsidR="00D47203" w:rsidRPr="00D37001">
        <w:rPr>
          <w:rFonts w:asciiTheme="minorHAnsi" w:hAnsiTheme="minorHAnsi" w:cstheme="minorHAnsi"/>
          <w:sz w:val="20"/>
          <w:szCs w:val="20"/>
        </w:rPr>
        <w:t>abnormal uterine artery Doppler sonography</w:t>
      </w:r>
      <w:r w:rsidR="00F5719F" w:rsidRPr="00D37001">
        <w:rPr>
          <w:rFonts w:asciiTheme="minorHAnsi" w:hAnsiTheme="minorHAnsi" w:cstheme="minorHAnsi"/>
          <w:sz w:val="20"/>
          <w:szCs w:val="20"/>
        </w:rPr>
        <w:t xml:space="preserve"> </w:t>
      </w:r>
      <w:r w:rsidRPr="00D37001">
        <w:rPr>
          <w:rFonts w:asciiTheme="minorHAnsi" w:hAnsiTheme="minorHAnsi" w:cstheme="minorHAnsi"/>
          <w:sz w:val="20"/>
          <w:szCs w:val="20"/>
        </w:rPr>
        <w:t>as well as high ratio scores, as described by the Oxford p</w:t>
      </w:r>
      <w:r w:rsidR="0099169E" w:rsidRPr="00D37001">
        <w:rPr>
          <w:rFonts w:asciiTheme="minorHAnsi" w:hAnsiTheme="minorHAnsi" w:cstheme="minorHAnsi"/>
          <w:sz w:val="20"/>
          <w:szCs w:val="20"/>
        </w:rPr>
        <w:t>rotocol and INSPIRE study [</w:t>
      </w:r>
      <w:proofErr w:type="spellStart"/>
      <w:r w:rsidR="0099169E" w:rsidRPr="00D37001">
        <w:rPr>
          <w:rFonts w:asciiTheme="minorHAnsi" w:hAnsiTheme="minorHAnsi" w:cstheme="minorHAnsi"/>
          <w:sz w:val="20"/>
          <w:szCs w:val="20"/>
        </w:rPr>
        <w:t>Ce</w:t>
      </w:r>
      <w:r w:rsidR="00300105" w:rsidRPr="00D37001">
        <w:rPr>
          <w:rFonts w:asciiTheme="minorHAnsi" w:hAnsiTheme="minorHAnsi" w:cstheme="minorHAnsi"/>
          <w:sz w:val="20"/>
          <w:szCs w:val="20"/>
        </w:rPr>
        <w:t>r</w:t>
      </w:r>
      <w:r w:rsidR="0099169E" w:rsidRPr="00D37001">
        <w:rPr>
          <w:rFonts w:asciiTheme="minorHAnsi" w:hAnsiTheme="minorHAnsi" w:cstheme="minorHAnsi"/>
          <w:sz w:val="20"/>
          <w:szCs w:val="20"/>
        </w:rPr>
        <w:t>deira</w:t>
      </w:r>
      <w:proofErr w:type="spellEnd"/>
      <w:r w:rsidR="0099169E" w:rsidRPr="00D37001">
        <w:rPr>
          <w:rFonts w:asciiTheme="minorHAnsi" w:hAnsiTheme="minorHAnsi" w:cstheme="minorHAnsi"/>
          <w:sz w:val="20"/>
          <w:szCs w:val="20"/>
        </w:rPr>
        <w:t xml:space="preserve"> 2019</w:t>
      </w:r>
      <w:r w:rsidRPr="00D37001">
        <w:rPr>
          <w:rFonts w:asciiTheme="minorHAnsi" w:hAnsiTheme="minorHAnsi" w:cstheme="minorHAnsi"/>
          <w:sz w:val="20"/>
          <w:szCs w:val="20"/>
        </w:rPr>
        <w:t>].</w:t>
      </w:r>
    </w:p>
    <w:p w14:paraId="7DA5942B" w14:textId="6707F8BC" w:rsidR="00E45321" w:rsidRPr="00D37001" w:rsidRDefault="00D47203" w:rsidP="00D37001">
      <w:pPr>
        <w:spacing w:before="120" w:after="120"/>
        <w:ind w:left="284"/>
        <w:rPr>
          <w:rFonts w:asciiTheme="minorHAnsi" w:hAnsiTheme="minorHAnsi" w:cstheme="minorHAnsi"/>
          <w:sz w:val="20"/>
          <w:szCs w:val="20"/>
        </w:rPr>
      </w:pPr>
      <w:r w:rsidRPr="00D37001">
        <w:rPr>
          <w:rFonts w:asciiTheme="minorHAnsi" w:hAnsiTheme="minorHAnsi" w:cstheme="minorHAnsi"/>
          <w:sz w:val="20"/>
          <w:szCs w:val="20"/>
        </w:rPr>
        <w:t>Ratio testing</w:t>
      </w:r>
      <w:r w:rsidR="00B76D37" w:rsidRPr="00D37001">
        <w:rPr>
          <w:rFonts w:asciiTheme="minorHAnsi" w:hAnsiTheme="minorHAnsi" w:cstheme="minorHAnsi"/>
          <w:sz w:val="20"/>
          <w:szCs w:val="20"/>
        </w:rPr>
        <w:t xml:space="preserve"> can </w:t>
      </w:r>
      <w:r w:rsidRPr="00D37001">
        <w:rPr>
          <w:rFonts w:asciiTheme="minorHAnsi" w:hAnsiTheme="minorHAnsi" w:cstheme="minorHAnsi"/>
          <w:sz w:val="20"/>
          <w:szCs w:val="20"/>
        </w:rPr>
        <w:t xml:space="preserve">inform </w:t>
      </w:r>
      <w:r w:rsidR="00B76D37" w:rsidRPr="00D37001">
        <w:rPr>
          <w:rFonts w:asciiTheme="minorHAnsi" w:hAnsiTheme="minorHAnsi" w:cstheme="minorHAnsi"/>
          <w:sz w:val="20"/>
          <w:szCs w:val="20"/>
        </w:rPr>
        <w:t xml:space="preserve">decision making in routine clinical practice. In the </w:t>
      </w:r>
      <w:proofErr w:type="spellStart"/>
      <w:r w:rsidR="00B76D37" w:rsidRPr="00D37001">
        <w:rPr>
          <w:rFonts w:asciiTheme="minorHAnsi" w:hAnsiTheme="minorHAnsi" w:cstheme="minorHAnsi"/>
          <w:sz w:val="20"/>
          <w:szCs w:val="20"/>
        </w:rPr>
        <w:t>PreOs</w:t>
      </w:r>
      <w:proofErr w:type="spellEnd"/>
      <w:r w:rsidR="00B76D37" w:rsidRPr="00D37001">
        <w:rPr>
          <w:rFonts w:asciiTheme="minorHAnsi" w:hAnsiTheme="minorHAnsi" w:cstheme="minorHAnsi"/>
          <w:sz w:val="20"/>
          <w:szCs w:val="20"/>
        </w:rPr>
        <w:t xml:space="preserve"> stud</w:t>
      </w:r>
      <w:r w:rsidR="00F5719F" w:rsidRPr="00D37001">
        <w:rPr>
          <w:rFonts w:asciiTheme="minorHAnsi" w:hAnsiTheme="minorHAnsi" w:cstheme="minorHAnsi"/>
          <w:sz w:val="20"/>
          <w:szCs w:val="20"/>
        </w:rPr>
        <w:t xml:space="preserve">y, the ratio result changed </w:t>
      </w:r>
      <w:r w:rsidR="000E273B" w:rsidRPr="00D37001">
        <w:rPr>
          <w:rFonts w:asciiTheme="minorHAnsi" w:hAnsiTheme="minorHAnsi" w:cstheme="minorHAnsi"/>
          <w:sz w:val="20"/>
          <w:szCs w:val="20"/>
        </w:rPr>
        <w:t>the hospitalisation decision</w:t>
      </w:r>
      <w:r w:rsidR="00B76D37" w:rsidRPr="00D37001">
        <w:rPr>
          <w:rFonts w:asciiTheme="minorHAnsi" w:hAnsiTheme="minorHAnsi" w:cstheme="minorHAnsi"/>
          <w:sz w:val="20"/>
          <w:szCs w:val="20"/>
        </w:rPr>
        <w:t xml:space="preserve"> in 16.9% of mothers; in 11.0% of the women, the initial decision to hospital</w:t>
      </w:r>
      <w:r w:rsidR="00837EF2" w:rsidRPr="00D37001">
        <w:rPr>
          <w:rFonts w:asciiTheme="minorHAnsi" w:hAnsiTheme="minorHAnsi" w:cstheme="minorHAnsi"/>
          <w:sz w:val="20"/>
          <w:szCs w:val="20"/>
        </w:rPr>
        <w:t>ise</w:t>
      </w:r>
      <w:r w:rsidR="00B76D37" w:rsidRPr="00D37001">
        <w:rPr>
          <w:rFonts w:asciiTheme="minorHAnsi" w:hAnsiTheme="minorHAnsi" w:cstheme="minorHAnsi"/>
          <w:sz w:val="20"/>
          <w:szCs w:val="20"/>
        </w:rPr>
        <w:t xml:space="preserve"> was changed to no hospitali</w:t>
      </w:r>
      <w:r w:rsidR="00837EF2" w:rsidRPr="00D37001">
        <w:rPr>
          <w:rFonts w:asciiTheme="minorHAnsi" w:hAnsiTheme="minorHAnsi" w:cstheme="minorHAnsi"/>
          <w:sz w:val="20"/>
          <w:szCs w:val="20"/>
        </w:rPr>
        <w:t>sation</w:t>
      </w:r>
      <w:r w:rsidR="00B76D37" w:rsidRPr="00D37001">
        <w:rPr>
          <w:rFonts w:asciiTheme="minorHAnsi" w:hAnsiTheme="minorHAnsi" w:cstheme="minorHAnsi"/>
          <w:sz w:val="20"/>
          <w:szCs w:val="20"/>
        </w:rPr>
        <w:t xml:space="preserve">, while in 5.9% the revised </w:t>
      </w:r>
      <w:r w:rsidR="0099169E" w:rsidRPr="00D37001">
        <w:rPr>
          <w:rFonts w:asciiTheme="minorHAnsi" w:hAnsiTheme="minorHAnsi" w:cstheme="minorHAnsi"/>
          <w:sz w:val="20"/>
          <w:szCs w:val="20"/>
        </w:rPr>
        <w:t>decision was hospitali</w:t>
      </w:r>
      <w:r w:rsidR="00837EF2" w:rsidRPr="00D37001">
        <w:rPr>
          <w:rFonts w:asciiTheme="minorHAnsi" w:hAnsiTheme="minorHAnsi" w:cstheme="minorHAnsi"/>
          <w:sz w:val="20"/>
          <w:szCs w:val="20"/>
        </w:rPr>
        <w:t>sation</w:t>
      </w:r>
      <w:r w:rsidR="0099169E" w:rsidRPr="00D37001">
        <w:rPr>
          <w:rFonts w:asciiTheme="minorHAnsi" w:hAnsiTheme="minorHAnsi" w:cstheme="minorHAnsi"/>
          <w:sz w:val="20"/>
          <w:szCs w:val="20"/>
        </w:rPr>
        <w:t xml:space="preserve"> [Klein 2016</w:t>
      </w:r>
      <w:r w:rsidR="00B76D37" w:rsidRPr="00D37001">
        <w:rPr>
          <w:rFonts w:asciiTheme="minorHAnsi" w:hAnsiTheme="minorHAnsi" w:cstheme="minorHAnsi"/>
          <w:sz w:val="20"/>
          <w:szCs w:val="20"/>
        </w:rPr>
        <w:t>].</w:t>
      </w:r>
    </w:p>
    <w:p w14:paraId="24089FAE" w14:textId="37DE2C26" w:rsidR="00E45321" w:rsidRPr="00D37001" w:rsidRDefault="00B76D37" w:rsidP="00D37001">
      <w:pPr>
        <w:spacing w:before="120" w:after="120"/>
        <w:ind w:firstLine="284"/>
        <w:rPr>
          <w:rFonts w:asciiTheme="minorHAnsi" w:hAnsiTheme="minorHAnsi" w:cstheme="minorHAnsi"/>
          <w:b/>
          <w:sz w:val="20"/>
          <w:szCs w:val="20"/>
          <w:u w:val="single"/>
        </w:rPr>
      </w:pPr>
      <w:r w:rsidRPr="00D37001">
        <w:rPr>
          <w:rFonts w:asciiTheme="minorHAnsi" w:hAnsiTheme="minorHAnsi" w:cstheme="minorHAnsi"/>
          <w:b/>
          <w:sz w:val="20"/>
          <w:szCs w:val="20"/>
          <w:u w:val="single"/>
        </w:rPr>
        <w:t xml:space="preserve">Management of women with a test result &gt;85 </w:t>
      </w:r>
    </w:p>
    <w:p w14:paraId="765586E1" w14:textId="7DCE8E2D" w:rsidR="00560BD7" w:rsidRPr="00D37001" w:rsidRDefault="00B76D37" w:rsidP="00D37001">
      <w:pPr>
        <w:spacing w:before="120" w:after="120"/>
        <w:ind w:left="284"/>
        <w:rPr>
          <w:rFonts w:asciiTheme="minorHAnsi" w:hAnsiTheme="minorHAnsi" w:cstheme="minorHAnsi"/>
          <w:sz w:val="20"/>
          <w:szCs w:val="20"/>
        </w:rPr>
      </w:pPr>
      <w:r w:rsidRPr="00D37001">
        <w:rPr>
          <w:rFonts w:asciiTheme="minorHAnsi" w:hAnsiTheme="minorHAnsi" w:cstheme="minorHAnsi"/>
          <w:sz w:val="20"/>
          <w:szCs w:val="20"/>
        </w:rPr>
        <w:t xml:space="preserve">Women in this group </w:t>
      </w:r>
      <w:r w:rsidR="00D47203" w:rsidRPr="00D37001">
        <w:rPr>
          <w:rFonts w:asciiTheme="minorHAnsi" w:hAnsiTheme="minorHAnsi" w:cstheme="minorHAnsi"/>
          <w:sz w:val="20"/>
          <w:szCs w:val="20"/>
        </w:rPr>
        <w:t>probably</w:t>
      </w:r>
      <w:r w:rsidRPr="00D37001">
        <w:rPr>
          <w:rFonts w:asciiTheme="minorHAnsi" w:hAnsiTheme="minorHAnsi" w:cstheme="minorHAnsi"/>
          <w:sz w:val="20"/>
          <w:szCs w:val="20"/>
        </w:rPr>
        <w:t xml:space="preserve"> have, or will develop, preeclampsia and require intensive monitoring, </w:t>
      </w:r>
      <w:r w:rsidR="00D47203" w:rsidRPr="00D37001">
        <w:rPr>
          <w:rFonts w:asciiTheme="minorHAnsi" w:hAnsiTheme="minorHAnsi" w:cstheme="minorHAnsi"/>
          <w:sz w:val="20"/>
          <w:szCs w:val="20"/>
        </w:rPr>
        <w:t xml:space="preserve">typically </w:t>
      </w:r>
      <w:r w:rsidRPr="00D37001">
        <w:rPr>
          <w:rFonts w:asciiTheme="minorHAnsi" w:hAnsiTheme="minorHAnsi" w:cstheme="minorHAnsi"/>
          <w:sz w:val="20"/>
          <w:szCs w:val="20"/>
        </w:rPr>
        <w:t>as inpatients.</w:t>
      </w:r>
    </w:p>
    <w:p w14:paraId="73749A99" w14:textId="783160D6" w:rsidR="00E45321" w:rsidRPr="00D37001" w:rsidRDefault="00560BD7" w:rsidP="00D37001">
      <w:pPr>
        <w:spacing w:before="120" w:after="120"/>
        <w:ind w:left="284"/>
        <w:rPr>
          <w:rFonts w:asciiTheme="minorHAnsi" w:hAnsiTheme="minorHAnsi" w:cstheme="minorHAnsi"/>
          <w:sz w:val="20"/>
          <w:szCs w:val="20"/>
        </w:rPr>
      </w:pPr>
      <w:r w:rsidRPr="00D37001">
        <w:rPr>
          <w:rFonts w:asciiTheme="minorHAnsi" w:hAnsiTheme="minorHAnsi" w:cstheme="minorHAnsi"/>
          <w:sz w:val="20"/>
          <w:szCs w:val="20"/>
        </w:rPr>
        <w:t>Using a ratio cut-off value of ≥85 has been assessed as a secondary endpoint of the INSPIRE trial; the study found that a ratio of 85 had a positive predictive value of 71.7% to rule in preeclampsia within 4 weeks [</w:t>
      </w:r>
      <w:proofErr w:type="spellStart"/>
      <w:r w:rsidRPr="00D37001">
        <w:rPr>
          <w:rFonts w:asciiTheme="minorHAnsi" w:hAnsiTheme="minorHAnsi" w:cstheme="minorHAnsi"/>
          <w:sz w:val="20"/>
          <w:szCs w:val="20"/>
        </w:rPr>
        <w:t>Cerdeira</w:t>
      </w:r>
      <w:proofErr w:type="spellEnd"/>
      <w:r w:rsidRPr="00D37001">
        <w:rPr>
          <w:rFonts w:asciiTheme="minorHAnsi" w:hAnsiTheme="minorHAnsi" w:cstheme="minorHAnsi"/>
          <w:sz w:val="20"/>
          <w:szCs w:val="20"/>
        </w:rPr>
        <w:t xml:space="preserve"> 2021]. Furthermore, in the ROPE study, among women suspected of having preeclampsia, an sFlt-1/PlGF ratio &gt;85 had a positive predictive value of 74% among patients presenting at &lt;34 weeks for the presence of severe preeclampsia within 2 weeks [Rana 2018].</w:t>
      </w:r>
    </w:p>
    <w:p w14:paraId="6CAB0A86" w14:textId="195CE1C3" w:rsidR="00E45321" w:rsidRPr="00D37001" w:rsidRDefault="00C81200" w:rsidP="00D37001">
      <w:pPr>
        <w:spacing w:before="120" w:after="120"/>
        <w:ind w:left="284"/>
        <w:rPr>
          <w:rFonts w:asciiTheme="minorHAnsi" w:hAnsiTheme="minorHAnsi" w:cstheme="minorHAnsi"/>
          <w:sz w:val="20"/>
          <w:szCs w:val="20"/>
        </w:rPr>
      </w:pPr>
      <w:r w:rsidRPr="00D37001">
        <w:rPr>
          <w:rFonts w:asciiTheme="minorHAnsi" w:hAnsiTheme="minorHAnsi" w:cstheme="minorHAnsi"/>
          <w:sz w:val="20"/>
          <w:szCs w:val="20"/>
        </w:rPr>
        <w:t>Patients</w:t>
      </w:r>
      <w:r w:rsidR="00B76D37" w:rsidRPr="00D37001">
        <w:rPr>
          <w:rFonts w:asciiTheme="minorHAnsi" w:hAnsiTheme="minorHAnsi" w:cstheme="minorHAnsi"/>
          <w:sz w:val="20"/>
          <w:szCs w:val="20"/>
        </w:rPr>
        <w:t xml:space="preserve"> in this group will </w:t>
      </w:r>
      <w:r w:rsidRPr="00D37001">
        <w:rPr>
          <w:rFonts w:asciiTheme="minorHAnsi" w:hAnsiTheme="minorHAnsi" w:cstheme="minorHAnsi"/>
          <w:sz w:val="20"/>
          <w:szCs w:val="20"/>
        </w:rPr>
        <w:t xml:space="preserve">typically </w:t>
      </w:r>
      <w:r w:rsidR="00B76D37" w:rsidRPr="00D37001">
        <w:rPr>
          <w:rFonts w:asciiTheme="minorHAnsi" w:hAnsiTheme="minorHAnsi" w:cstheme="minorHAnsi"/>
          <w:sz w:val="20"/>
          <w:szCs w:val="20"/>
        </w:rPr>
        <w:t xml:space="preserve">be admitted to hospital eventually, </w:t>
      </w:r>
      <w:r w:rsidRPr="00D37001">
        <w:rPr>
          <w:rFonts w:asciiTheme="minorHAnsi" w:hAnsiTheme="minorHAnsi" w:cstheme="minorHAnsi"/>
          <w:sz w:val="20"/>
          <w:szCs w:val="20"/>
        </w:rPr>
        <w:t>due to either</w:t>
      </w:r>
      <w:r w:rsidR="00B76D37" w:rsidRPr="00D37001">
        <w:rPr>
          <w:rFonts w:asciiTheme="minorHAnsi" w:hAnsiTheme="minorHAnsi" w:cstheme="minorHAnsi"/>
          <w:sz w:val="20"/>
          <w:szCs w:val="20"/>
        </w:rPr>
        <w:t xml:space="preserve"> worsening preeclampsia, or </w:t>
      </w:r>
      <w:r w:rsidR="00BE22F9" w:rsidRPr="00D37001">
        <w:rPr>
          <w:rFonts w:asciiTheme="minorHAnsi" w:hAnsiTheme="minorHAnsi" w:cstheme="minorHAnsi"/>
          <w:sz w:val="20"/>
          <w:szCs w:val="20"/>
        </w:rPr>
        <w:t>t</w:t>
      </w:r>
      <w:r w:rsidRPr="00D37001">
        <w:rPr>
          <w:rFonts w:asciiTheme="minorHAnsi" w:hAnsiTheme="minorHAnsi" w:cstheme="minorHAnsi"/>
          <w:sz w:val="20"/>
          <w:szCs w:val="20"/>
        </w:rPr>
        <w:t>he need for closer monitoring.</w:t>
      </w:r>
    </w:p>
    <w:p w14:paraId="78BFB9CD" w14:textId="77777777" w:rsidR="00E45321" w:rsidRPr="00D37001" w:rsidRDefault="00B76D37" w:rsidP="00D37001">
      <w:pPr>
        <w:spacing w:before="120" w:after="120"/>
        <w:ind w:left="284"/>
        <w:rPr>
          <w:rFonts w:asciiTheme="minorHAnsi" w:hAnsiTheme="minorHAnsi" w:cstheme="minorHAnsi"/>
          <w:sz w:val="20"/>
          <w:szCs w:val="20"/>
        </w:rPr>
      </w:pPr>
      <w:r w:rsidRPr="00D37001">
        <w:rPr>
          <w:rFonts w:asciiTheme="minorHAnsi" w:hAnsiTheme="minorHAnsi" w:cstheme="minorHAnsi"/>
          <w:sz w:val="20"/>
          <w:szCs w:val="20"/>
        </w:rPr>
        <w:t xml:space="preserve">In the absence of </w:t>
      </w:r>
      <w:r w:rsidR="00C56F75" w:rsidRPr="00D37001">
        <w:rPr>
          <w:rFonts w:asciiTheme="minorHAnsi" w:hAnsiTheme="minorHAnsi" w:cstheme="minorHAnsi"/>
          <w:sz w:val="20"/>
          <w:szCs w:val="20"/>
        </w:rPr>
        <w:t>severe symptoms</w:t>
      </w:r>
      <w:r w:rsidRPr="00D37001">
        <w:rPr>
          <w:rFonts w:asciiTheme="minorHAnsi" w:hAnsiTheme="minorHAnsi" w:cstheme="minorHAnsi"/>
          <w:sz w:val="20"/>
          <w:szCs w:val="20"/>
        </w:rPr>
        <w:t xml:space="preserve"> or suspected </w:t>
      </w:r>
      <w:proofErr w:type="spellStart"/>
      <w:r w:rsidRPr="00D37001">
        <w:rPr>
          <w:rFonts w:asciiTheme="minorHAnsi" w:hAnsiTheme="minorHAnsi" w:cstheme="minorHAnsi"/>
          <w:sz w:val="20"/>
          <w:szCs w:val="20"/>
        </w:rPr>
        <w:t>fetal</w:t>
      </w:r>
      <w:proofErr w:type="spellEnd"/>
      <w:r w:rsidRPr="00D37001">
        <w:rPr>
          <w:rFonts w:asciiTheme="minorHAnsi" w:hAnsiTheme="minorHAnsi" w:cstheme="minorHAnsi"/>
          <w:sz w:val="20"/>
          <w:szCs w:val="20"/>
        </w:rPr>
        <w:t xml:space="preserve"> compromise, women can be managed as outpatients, discharged home and </w:t>
      </w:r>
      <w:r w:rsidR="00C56F75" w:rsidRPr="00D37001">
        <w:rPr>
          <w:rFonts w:asciiTheme="minorHAnsi" w:hAnsiTheme="minorHAnsi" w:cstheme="minorHAnsi"/>
          <w:sz w:val="20"/>
          <w:szCs w:val="20"/>
        </w:rPr>
        <w:t xml:space="preserve">with close follow-up monitoring </w:t>
      </w:r>
      <w:r w:rsidRPr="00D37001">
        <w:rPr>
          <w:rFonts w:asciiTheme="minorHAnsi" w:hAnsiTheme="minorHAnsi" w:cstheme="minorHAnsi"/>
          <w:sz w:val="20"/>
          <w:szCs w:val="20"/>
        </w:rPr>
        <w:t xml:space="preserve">unless or until </w:t>
      </w:r>
      <w:sdt>
        <w:sdtPr>
          <w:rPr>
            <w:rFonts w:asciiTheme="minorHAnsi" w:hAnsiTheme="minorHAnsi" w:cstheme="minorHAnsi"/>
            <w:sz w:val="20"/>
            <w:szCs w:val="20"/>
          </w:rPr>
          <w:tag w:val="goog_rdk_5"/>
          <w:id w:val="-1209638416"/>
        </w:sdtPr>
        <w:sdtEndPr/>
        <w:sdtContent/>
      </w:sdt>
      <w:r w:rsidRPr="00D37001">
        <w:rPr>
          <w:rFonts w:asciiTheme="minorHAnsi" w:hAnsiTheme="minorHAnsi" w:cstheme="minorHAnsi"/>
          <w:sz w:val="20"/>
          <w:szCs w:val="20"/>
        </w:rPr>
        <w:t>disease progresses.</w:t>
      </w:r>
    </w:p>
    <w:p w14:paraId="6E47E8E1" w14:textId="77777777" w:rsidR="00E45321" w:rsidRPr="00D37001" w:rsidRDefault="00E45321" w:rsidP="00D37001">
      <w:pPr>
        <w:spacing w:before="120" w:after="120"/>
        <w:ind w:left="284"/>
        <w:rPr>
          <w:rFonts w:asciiTheme="minorHAnsi" w:hAnsiTheme="minorHAnsi" w:cstheme="minorHAnsi"/>
          <w:color w:val="7030A0"/>
          <w:sz w:val="20"/>
          <w:szCs w:val="20"/>
        </w:rPr>
      </w:pPr>
    </w:p>
    <w:p w14:paraId="57BDDFDF" w14:textId="77777777" w:rsidR="00E45321" w:rsidRPr="00D37001" w:rsidRDefault="00E45321" w:rsidP="00D37001">
      <w:pPr>
        <w:spacing w:before="120" w:after="120"/>
        <w:ind w:left="284"/>
        <w:rPr>
          <w:rFonts w:asciiTheme="minorHAnsi" w:hAnsiTheme="minorHAnsi" w:cstheme="minorHAnsi"/>
          <w:color w:val="7030A0"/>
          <w:sz w:val="20"/>
          <w:szCs w:val="20"/>
        </w:rPr>
      </w:pPr>
    </w:p>
    <w:p w14:paraId="4C1044C3" w14:textId="1B4DBE99" w:rsidR="00E45321" w:rsidRPr="00D37001" w:rsidRDefault="00B76D37" w:rsidP="00D37001">
      <w:pPr>
        <w:spacing w:before="120" w:after="120"/>
        <w:ind w:left="284"/>
        <w:rPr>
          <w:rFonts w:asciiTheme="minorHAnsi" w:hAnsiTheme="minorHAnsi" w:cstheme="minorHAnsi"/>
          <w:b/>
          <w:i/>
          <w:sz w:val="20"/>
          <w:szCs w:val="20"/>
        </w:rPr>
      </w:pPr>
      <w:r w:rsidRPr="00D37001">
        <w:rPr>
          <w:rFonts w:asciiTheme="minorHAnsi" w:hAnsiTheme="minorHAnsi" w:cstheme="minorHAnsi"/>
          <w:b/>
          <w:i/>
          <w:sz w:val="20"/>
          <w:szCs w:val="20"/>
        </w:rPr>
        <w:lastRenderedPageBreak/>
        <w:t>Criteria for hospital admission (ratio test result of &gt;85)</w:t>
      </w:r>
    </w:p>
    <w:p w14:paraId="317077BA" w14:textId="1095B55F" w:rsidR="00E45321" w:rsidRPr="00D37001" w:rsidRDefault="00B76D37" w:rsidP="00D37001">
      <w:pPr>
        <w:spacing w:before="120" w:after="120"/>
        <w:ind w:left="284"/>
        <w:rPr>
          <w:rFonts w:asciiTheme="minorHAnsi" w:hAnsiTheme="minorHAnsi" w:cstheme="minorHAnsi"/>
          <w:sz w:val="20"/>
          <w:szCs w:val="20"/>
        </w:rPr>
      </w:pPr>
      <w:r w:rsidRPr="00D37001">
        <w:rPr>
          <w:rFonts w:asciiTheme="minorHAnsi" w:hAnsiTheme="minorHAnsi" w:cstheme="minorHAnsi"/>
          <w:sz w:val="20"/>
          <w:szCs w:val="20"/>
        </w:rPr>
        <w:t>Women should be hospital</w:t>
      </w:r>
      <w:r w:rsidR="00837EF2" w:rsidRPr="00D37001">
        <w:rPr>
          <w:rFonts w:asciiTheme="minorHAnsi" w:hAnsiTheme="minorHAnsi" w:cstheme="minorHAnsi"/>
          <w:sz w:val="20"/>
          <w:szCs w:val="20"/>
        </w:rPr>
        <w:t>ise</w:t>
      </w:r>
      <w:r w:rsidRPr="00D37001">
        <w:rPr>
          <w:rFonts w:asciiTheme="minorHAnsi" w:hAnsiTheme="minorHAnsi" w:cstheme="minorHAnsi"/>
          <w:sz w:val="20"/>
          <w:szCs w:val="20"/>
        </w:rPr>
        <w:t xml:space="preserve">d when there are clear </w:t>
      </w:r>
      <w:r w:rsidR="004C0220" w:rsidRPr="00D37001">
        <w:rPr>
          <w:rFonts w:asciiTheme="minorHAnsi" w:hAnsiTheme="minorHAnsi" w:cstheme="minorHAnsi"/>
          <w:sz w:val="20"/>
          <w:szCs w:val="20"/>
        </w:rPr>
        <w:t>signs and symptoms</w:t>
      </w:r>
      <w:r w:rsidRPr="00D37001">
        <w:rPr>
          <w:rFonts w:asciiTheme="minorHAnsi" w:hAnsiTheme="minorHAnsi" w:cstheme="minorHAnsi"/>
          <w:sz w:val="20"/>
          <w:szCs w:val="20"/>
        </w:rPr>
        <w:t xml:space="preserve"> indicating preeclampsia</w:t>
      </w:r>
      <w:r w:rsidR="004C0220" w:rsidRPr="00D37001">
        <w:rPr>
          <w:rFonts w:asciiTheme="minorHAnsi" w:hAnsiTheme="minorHAnsi" w:cstheme="minorHAnsi"/>
          <w:sz w:val="20"/>
          <w:szCs w:val="20"/>
        </w:rPr>
        <w:t>.</w:t>
      </w:r>
    </w:p>
    <w:p w14:paraId="233ED795" w14:textId="5A5BC36B" w:rsidR="00E45321" w:rsidRPr="00D37001" w:rsidRDefault="00B76D37" w:rsidP="00D37001">
      <w:pPr>
        <w:spacing w:before="120" w:after="120"/>
        <w:ind w:left="284"/>
        <w:rPr>
          <w:rFonts w:asciiTheme="minorHAnsi" w:hAnsiTheme="minorHAnsi" w:cstheme="minorHAnsi"/>
          <w:sz w:val="20"/>
          <w:szCs w:val="20"/>
        </w:rPr>
      </w:pPr>
      <w:r w:rsidRPr="00D37001">
        <w:rPr>
          <w:rFonts w:asciiTheme="minorHAnsi" w:hAnsiTheme="minorHAnsi" w:cstheme="minorHAnsi"/>
          <w:sz w:val="20"/>
          <w:szCs w:val="20"/>
        </w:rPr>
        <w:t xml:space="preserve">Patients with </w:t>
      </w:r>
      <w:r w:rsidR="00D47203" w:rsidRPr="00D37001">
        <w:rPr>
          <w:rFonts w:asciiTheme="minorHAnsi" w:hAnsiTheme="minorHAnsi" w:cstheme="minorHAnsi"/>
          <w:sz w:val="20"/>
          <w:szCs w:val="20"/>
        </w:rPr>
        <w:t xml:space="preserve">diagnosed </w:t>
      </w:r>
      <w:r w:rsidRPr="00D37001">
        <w:rPr>
          <w:rFonts w:asciiTheme="minorHAnsi" w:hAnsiTheme="minorHAnsi" w:cstheme="minorHAnsi"/>
          <w:sz w:val="20"/>
          <w:szCs w:val="20"/>
        </w:rPr>
        <w:t xml:space="preserve">preeclampsia are usually </w:t>
      </w:r>
      <w:r w:rsidR="00D47203" w:rsidRPr="00D37001">
        <w:rPr>
          <w:rFonts w:asciiTheme="minorHAnsi" w:hAnsiTheme="minorHAnsi" w:cstheme="minorHAnsi"/>
          <w:sz w:val="20"/>
          <w:szCs w:val="20"/>
        </w:rPr>
        <w:t>hospitalised</w:t>
      </w:r>
      <w:r w:rsidRPr="00D37001">
        <w:rPr>
          <w:rFonts w:asciiTheme="minorHAnsi" w:hAnsiTheme="minorHAnsi" w:cstheme="minorHAnsi"/>
          <w:sz w:val="20"/>
          <w:szCs w:val="20"/>
        </w:rPr>
        <w:t xml:space="preserve">. </w:t>
      </w:r>
      <w:r w:rsidR="00D47203" w:rsidRPr="00D37001">
        <w:rPr>
          <w:rFonts w:asciiTheme="minorHAnsi" w:hAnsiTheme="minorHAnsi" w:cstheme="minorHAnsi"/>
          <w:sz w:val="20"/>
          <w:szCs w:val="20"/>
        </w:rPr>
        <w:t>The majority of</w:t>
      </w:r>
      <w:r w:rsidRPr="00D37001">
        <w:rPr>
          <w:rFonts w:asciiTheme="minorHAnsi" w:hAnsiTheme="minorHAnsi" w:cstheme="minorHAnsi"/>
          <w:sz w:val="20"/>
          <w:szCs w:val="20"/>
        </w:rPr>
        <w:t xml:space="preserve"> patients in this group will be admitted to hospital eventually, either because they have </w:t>
      </w:r>
      <w:r w:rsidR="00D47203" w:rsidRPr="00D37001">
        <w:rPr>
          <w:rFonts w:asciiTheme="minorHAnsi" w:hAnsiTheme="minorHAnsi" w:cstheme="minorHAnsi"/>
          <w:sz w:val="20"/>
          <w:szCs w:val="20"/>
        </w:rPr>
        <w:t>preeclampsia</w:t>
      </w:r>
      <w:r w:rsidRPr="00D37001">
        <w:rPr>
          <w:rFonts w:asciiTheme="minorHAnsi" w:hAnsiTheme="minorHAnsi" w:cstheme="minorHAnsi"/>
          <w:sz w:val="20"/>
          <w:szCs w:val="20"/>
        </w:rPr>
        <w:t>, or because they need to be closely monitored (92% were hospital</w:t>
      </w:r>
      <w:r w:rsidR="00837EF2" w:rsidRPr="00D37001">
        <w:rPr>
          <w:rFonts w:asciiTheme="minorHAnsi" w:hAnsiTheme="minorHAnsi" w:cstheme="minorHAnsi"/>
          <w:sz w:val="20"/>
          <w:szCs w:val="20"/>
        </w:rPr>
        <w:t>ise</w:t>
      </w:r>
      <w:r w:rsidRPr="00D37001">
        <w:rPr>
          <w:rFonts w:asciiTheme="minorHAnsi" w:hAnsiTheme="minorHAnsi" w:cstheme="minorHAnsi"/>
          <w:sz w:val="20"/>
          <w:szCs w:val="20"/>
        </w:rPr>
        <w:t>d in the ROPE study among patients who had an sFlt1/PlGF ratio over 85) [</w:t>
      </w:r>
      <w:r w:rsidR="002E3420" w:rsidRPr="00D37001">
        <w:rPr>
          <w:rFonts w:asciiTheme="minorHAnsi" w:hAnsiTheme="minorHAnsi" w:cstheme="minorHAnsi"/>
          <w:sz w:val="20"/>
          <w:szCs w:val="20"/>
        </w:rPr>
        <w:t>Rana 2012</w:t>
      </w:r>
      <w:r w:rsidRPr="00D37001">
        <w:rPr>
          <w:rFonts w:asciiTheme="minorHAnsi" w:hAnsiTheme="minorHAnsi" w:cstheme="minorHAnsi"/>
          <w:sz w:val="20"/>
          <w:szCs w:val="20"/>
        </w:rPr>
        <w:t>]. The ratio is particularly useful between 24–34 weeks of gestation, facilitating the very complex, individually-</w:t>
      </w:r>
      <w:proofErr w:type="gramStart"/>
      <w:r w:rsidRPr="00D37001">
        <w:rPr>
          <w:rFonts w:asciiTheme="minorHAnsi" w:hAnsiTheme="minorHAnsi" w:cstheme="minorHAnsi"/>
          <w:sz w:val="20"/>
          <w:szCs w:val="20"/>
        </w:rPr>
        <w:t>based</w:t>
      </w:r>
      <w:proofErr w:type="gramEnd"/>
      <w:r w:rsidRPr="00D37001">
        <w:rPr>
          <w:rFonts w:asciiTheme="minorHAnsi" w:hAnsiTheme="minorHAnsi" w:cstheme="minorHAnsi"/>
          <w:sz w:val="20"/>
          <w:szCs w:val="20"/>
        </w:rPr>
        <w:t xml:space="preserve"> and integrated c</w:t>
      </w:r>
      <w:r w:rsidR="00560BD7" w:rsidRPr="00D37001">
        <w:rPr>
          <w:rFonts w:asciiTheme="minorHAnsi" w:hAnsiTheme="minorHAnsi" w:cstheme="minorHAnsi"/>
          <w:sz w:val="20"/>
          <w:szCs w:val="20"/>
        </w:rPr>
        <w:t>linical decision-making process regarding optimal timing of a likely preterm delivery.</w:t>
      </w:r>
      <w:r w:rsidRPr="00D37001">
        <w:rPr>
          <w:rFonts w:asciiTheme="minorHAnsi" w:hAnsiTheme="minorHAnsi" w:cstheme="minorHAnsi"/>
          <w:sz w:val="20"/>
          <w:szCs w:val="20"/>
        </w:rPr>
        <w:t xml:space="preserve"> </w:t>
      </w:r>
    </w:p>
    <w:p w14:paraId="0B9E0589" w14:textId="0D64CBC5" w:rsidR="00E45321" w:rsidRPr="00D37001" w:rsidRDefault="00C56F75" w:rsidP="00D37001">
      <w:pPr>
        <w:spacing w:before="120" w:after="120"/>
        <w:ind w:left="284"/>
        <w:rPr>
          <w:rFonts w:asciiTheme="minorHAnsi" w:hAnsiTheme="minorHAnsi" w:cstheme="minorHAnsi"/>
          <w:sz w:val="20"/>
          <w:szCs w:val="20"/>
        </w:rPr>
      </w:pPr>
      <w:r w:rsidRPr="00D37001">
        <w:rPr>
          <w:rFonts w:asciiTheme="minorHAnsi" w:hAnsiTheme="minorHAnsi" w:cstheme="minorHAnsi"/>
          <w:sz w:val="20"/>
          <w:szCs w:val="20"/>
        </w:rPr>
        <w:t xml:space="preserve">Women with a ratio &gt;200 are at an increased risk for </w:t>
      </w:r>
      <w:proofErr w:type="spellStart"/>
      <w:r w:rsidRPr="00D37001">
        <w:rPr>
          <w:rFonts w:asciiTheme="minorHAnsi" w:hAnsiTheme="minorHAnsi" w:cstheme="minorHAnsi"/>
          <w:sz w:val="20"/>
          <w:szCs w:val="20"/>
        </w:rPr>
        <w:t>fetal</w:t>
      </w:r>
      <w:proofErr w:type="spellEnd"/>
      <w:r w:rsidRPr="00D37001">
        <w:rPr>
          <w:rFonts w:asciiTheme="minorHAnsi" w:hAnsiTheme="minorHAnsi" w:cstheme="minorHAnsi"/>
          <w:sz w:val="20"/>
          <w:szCs w:val="20"/>
        </w:rPr>
        <w:t xml:space="preserve"> adverse events and require intensive monitoring</w:t>
      </w:r>
      <w:r w:rsidR="00BE22F9" w:rsidRPr="00D37001">
        <w:rPr>
          <w:rFonts w:asciiTheme="minorHAnsi" w:hAnsiTheme="minorHAnsi" w:cstheme="minorHAnsi"/>
          <w:sz w:val="20"/>
          <w:szCs w:val="20"/>
        </w:rPr>
        <w:t xml:space="preserve"> </w:t>
      </w:r>
      <w:r w:rsidRPr="00D37001">
        <w:rPr>
          <w:rFonts w:asciiTheme="minorHAnsi" w:hAnsiTheme="minorHAnsi" w:cstheme="minorHAnsi"/>
          <w:sz w:val="20"/>
          <w:szCs w:val="20"/>
        </w:rPr>
        <w:t xml:space="preserve">[Rana 2012, </w:t>
      </w:r>
      <w:proofErr w:type="spellStart"/>
      <w:r w:rsidRPr="00D37001">
        <w:rPr>
          <w:rFonts w:asciiTheme="minorHAnsi" w:hAnsiTheme="minorHAnsi" w:cstheme="minorHAnsi"/>
          <w:sz w:val="20"/>
          <w:szCs w:val="20"/>
        </w:rPr>
        <w:t>Gaccioli</w:t>
      </w:r>
      <w:proofErr w:type="spellEnd"/>
      <w:r w:rsidRPr="00D37001">
        <w:rPr>
          <w:rFonts w:asciiTheme="minorHAnsi" w:hAnsiTheme="minorHAnsi" w:cstheme="minorHAnsi"/>
          <w:sz w:val="20"/>
          <w:szCs w:val="20"/>
        </w:rPr>
        <w:t xml:space="preserve"> 2018, Garcia-</w:t>
      </w:r>
      <w:proofErr w:type="spellStart"/>
      <w:r w:rsidRPr="00D37001">
        <w:rPr>
          <w:rFonts w:asciiTheme="minorHAnsi" w:hAnsiTheme="minorHAnsi" w:cstheme="minorHAnsi"/>
          <w:sz w:val="20"/>
          <w:szCs w:val="20"/>
        </w:rPr>
        <w:t>Manau</w:t>
      </w:r>
      <w:proofErr w:type="spellEnd"/>
      <w:r w:rsidRPr="00D37001">
        <w:rPr>
          <w:rFonts w:asciiTheme="minorHAnsi" w:hAnsiTheme="minorHAnsi" w:cstheme="minorHAnsi"/>
          <w:sz w:val="20"/>
          <w:szCs w:val="20"/>
        </w:rPr>
        <w:t xml:space="preserve"> 2021. If FGR is confirmed, the ratio tends to be higher but remains stable for longer and other parameters, such as cardiotocography and Doppler ultrasound, may be better indications for admission. As high ratios are found in severe FGR, it does not necessarily lead to earlier development or more sever</w:t>
      </w:r>
      <w:r w:rsidR="00560BD7" w:rsidRPr="00D37001">
        <w:rPr>
          <w:rFonts w:asciiTheme="minorHAnsi" w:hAnsiTheme="minorHAnsi" w:cstheme="minorHAnsi"/>
          <w:sz w:val="20"/>
          <w:szCs w:val="20"/>
        </w:rPr>
        <w:t>e</w:t>
      </w:r>
      <w:r w:rsidRPr="00D37001">
        <w:rPr>
          <w:rFonts w:asciiTheme="minorHAnsi" w:hAnsiTheme="minorHAnsi" w:cstheme="minorHAnsi"/>
          <w:sz w:val="20"/>
          <w:szCs w:val="20"/>
        </w:rPr>
        <w:t xml:space="preserve"> pre</w:t>
      </w:r>
      <w:r w:rsidR="00560BD7" w:rsidRPr="00D37001">
        <w:rPr>
          <w:rFonts w:asciiTheme="minorHAnsi" w:hAnsiTheme="minorHAnsi" w:cstheme="minorHAnsi"/>
          <w:sz w:val="20"/>
          <w:szCs w:val="20"/>
        </w:rPr>
        <w:t>e</w:t>
      </w:r>
      <w:r w:rsidRPr="00D37001">
        <w:rPr>
          <w:rFonts w:asciiTheme="minorHAnsi" w:hAnsiTheme="minorHAnsi" w:cstheme="minorHAnsi"/>
          <w:sz w:val="20"/>
          <w:szCs w:val="20"/>
        </w:rPr>
        <w:t>clampsia.</w:t>
      </w:r>
    </w:p>
    <w:p w14:paraId="48470966" w14:textId="77777777" w:rsidR="00E45321" w:rsidRPr="00D37001" w:rsidRDefault="00B76D37">
      <w:pPr>
        <w:pStyle w:val="Heading2"/>
        <w:numPr>
          <w:ilvl w:val="0"/>
          <w:numId w:val="20"/>
        </w:numPr>
        <w:rPr>
          <w:rFonts w:cstheme="minorHAnsi"/>
        </w:rPr>
      </w:pPr>
      <w:r w:rsidRPr="00D37001">
        <w:rPr>
          <w:rFonts w:cstheme="minorHAnsi"/>
        </w:rPr>
        <w:t>Does the proposed medical service include a registered trademark component with characteristics that distinguishes it from other similar health components?</w:t>
      </w:r>
    </w:p>
    <w:p w14:paraId="4FBAC920" w14:textId="6EEA0D9E" w:rsidR="00E45321" w:rsidRPr="00D37001" w:rsidRDefault="00B76D37" w:rsidP="00D37001">
      <w:pPr>
        <w:ind w:left="426"/>
        <w:rPr>
          <w:rFonts w:asciiTheme="minorHAnsi" w:hAnsiTheme="minorHAnsi" w:cstheme="minorHAnsi"/>
          <w:sz w:val="20"/>
          <w:szCs w:val="20"/>
        </w:rPr>
      </w:pPr>
      <w:r w:rsidRPr="00D37001">
        <w:rPr>
          <w:rFonts w:asciiTheme="minorHAnsi" w:hAnsiTheme="minorHAnsi" w:cstheme="minorHAnsi"/>
          <w:sz w:val="20"/>
          <w:szCs w:val="20"/>
        </w:rPr>
        <w:t>No trademarked components are involved.</w:t>
      </w:r>
    </w:p>
    <w:p w14:paraId="4BC2AF1C" w14:textId="77777777" w:rsidR="00E45321" w:rsidRPr="00D37001" w:rsidRDefault="00B76D37">
      <w:pPr>
        <w:pStyle w:val="Heading2"/>
        <w:numPr>
          <w:ilvl w:val="0"/>
          <w:numId w:val="20"/>
        </w:numPr>
        <w:rPr>
          <w:rFonts w:cstheme="minorHAnsi"/>
        </w:rPr>
      </w:pPr>
      <w:r w:rsidRPr="00D37001">
        <w:rPr>
          <w:rFonts w:cstheme="minorHAnsi"/>
        </w:rPr>
        <w:t>If the proposed medical service has a prosthesis or device component to it, does it involve a new approach towards managing a particular sub-group of the population with the specific medical condition?</w:t>
      </w:r>
    </w:p>
    <w:p w14:paraId="46B7F47F" w14:textId="24196A6D" w:rsidR="00E45321" w:rsidRPr="00D37001" w:rsidRDefault="00B76D37" w:rsidP="00D37001">
      <w:pPr>
        <w:ind w:left="426"/>
        <w:rPr>
          <w:rFonts w:asciiTheme="minorHAnsi" w:hAnsiTheme="minorHAnsi" w:cstheme="minorHAnsi"/>
          <w:sz w:val="20"/>
          <w:szCs w:val="20"/>
        </w:rPr>
      </w:pPr>
      <w:r w:rsidRPr="00D37001">
        <w:rPr>
          <w:rFonts w:asciiTheme="minorHAnsi" w:hAnsiTheme="minorHAnsi" w:cstheme="minorHAnsi"/>
          <w:sz w:val="20"/>
          <w:szCs w:val="20"/>
        </w:rPr>
        <w:t>Not applicable.</w:t>
      </w:r>
    </w:p>
    <w:p w14:paraId="1A2B83BB" w14:textId="77777777" w:rsidR="00E45321" w:rsidRPr="00D37001" w:rsidRDefault="00B76D37">
      <w:pPr>
        <w:pStyle w:val="Heading2"/>
        <w:numPr>
          <w:ilvl w:val="0"/>
          <w:numId w:val="20"/>
        </w:numPr>
        <w:rPr>
          <w:rFonts w:cstheme="minorHAnsi"/>
        </w:rPr>
      </w:pPr>
      <w:r w:rsidRPr="00D37001">
        <w:rPr>
          <w:rFonts w:cstheme="minorHAnsi"/>
        </w:rPr>
        <w:t xml:space="preserve">If applicable, are there any limitations on the provision of the proposed medical service delivered to the patient (i.e. accessibility, dosage, quantity, </w:t>
      </w:r>
      <w:proofErr w:type="gramStart"/>
      <w:r w:rsidRPr="00D37001">
        <w:rPr>
          <w:rFonts w:cstheme="minorHAnsi"/>
        </w:rPr>
        <w:t>duration</w:t>
      </w:r>
      <w:proofErr w:type="gramEnd"/>
      <w:r w:rsidRPr="00D37001">
        <w:rPr>
          <w:rFonts w:cstheme="minorHAnsi"/>
        </w:rPr>
        <w:t xml:space="preserve"> or frequency):</w:t>
      </w:r>
    </w:p>
    <w:p w14:paraId="6F2FE771" w14:textId="7E148D2B" w:rsidR="00E45321" w:rsidRPr="00D37001" w:rsidRDefault="00B76D37" w:rsidP="00D37001">
      <w:pPr>
        <w:ind w:left="426"/>
        <w:rPr>
          <w:rFonts w:asciiTheme="minorHAnsi" w:hAnsiTheme="minorHAnsi" w:cstheme="minorHAnsi"/>
          <w:sz w:val="20"/>
          <w:szCs w:val="20"/>
        </w:rPr>
      </w:pPr>
      <w:r w:rsidRPr="00D37001">
        <w:rPr>
          <w:rFonts w:asciiTheme="minorHAnsi" w:hAnsiTheme="minorHAnsi" w:cstheme="minorHAnsi"/>
          <w:sz w:val="20"/>
          <w:szCs w:val="20"/>
        </w:rPr>
        <w:t>No anticipated limitations on provision</w:t>
      </w:r>
    </w:p>
    <w:p w14:paraId="1BCEC367" w14:textId="77777777" w:rsidR="00E45321" w:rsidRPr="00D37001" w:rsidRDefault="00B76D37">
      <w:pPr>
        <w:pStyle w:val="Heading2"/>
        <w:numPr>
          <w:ilvl w:val="0"/>
          <w:numId w:val="20"/>
        </w:numPr>
        <w:rPr>
          <w:rFonts w:cstheme="minorHAnsi"/>
        </w:rPr>
      </w:pPr>
      <w:r w:rsidRPr="00D37001">
        <w:rPr>
          <w:rFonts w:cstheme="minorHAnsi"/>
        </w:rPr>
        <w:t xml:space="preserve">If applicable, identify any healthcare resources or other medical services that would need to be delivered </w:t>
      </w:r>
      <w:r w:rsidRPr="00D37001">
        <w:rPr>
          <w:rFonts w:cstheme="minorHAnsi"/>
          <w:u w:val="single"/>
        </w:rPr>
        <w:t>at the same time</w:t>
      </w:r>
      <w:r w:rsidRPr="00D37001">
        <w:rPr>
          <w:rFonts w:cstheme="minorHAnsi"/>
        </w:rPr>
        <w:t xml:space="preserve"> as the proposed medical service:</w:t>
      </w:r>
    </w:p>
    <w:p w14:paraId="1C007E00" w14:textId="7578A5F3" w:rsidR="00E45321" w:rsidRPr="00D37001" w:rsidRDefault="00B76D37" w:rsidP="00D37001">
      <w:pPr>
        <w:ind w:left="426"/>
        <w:jc w:val="both"/>
        <w:rPr>
          <w:rFonts w:asciiTheme="minorHAnsi" w:hAnsiTheme="minorHAnsi" w:cstheme="minorHAnsi"/>
          <w:sz w:val="20"/>
          <w:szCs w:val="20"/>
        </w:rPr>
      </w:pPr>
      <w:r w:rsidRPr="00D37001">
        <w:rPr>
          <w:rFonts w:asciiTheme="minorHAnsi" w:hAnsiTheme="minorHAnsi" w:cstheme="minorHAnsi"/>
          <w:sz w:val="20"/>
          <w:szCs w:val="20"/>
        </w:rPr>
        <w:t xml:space="preserve">No additional healthcare resources </w:t>
      </w:r>
    </w:p>
    <w:p w14:paraId="2F9CADA1" w14:textId="6A2EB9FE" w:rsidR="00E45321" w:rsidRPr="00D37001" w:rsidRDefault="00B76D37" w:rsidP="00D37001">
      <w:pPr>
        <w:pStyle w:val="Heading2"/>
        <w:numPr>
          <w:ilvl w:val="0"/>
          <w:numId w:val="20"/>
        </w:numPr>
        <w:rPr>
          <w:rFonts w:cstheme="minorHAnsi"/>
        </w:rPr>
      </w:pPr>
      <w:r w:rsidRPr="00D37001">
        <w:rPr>
          <w:rFonts w:cstheme="minorHAnsi"/>
        </w:rPr>
        <w:t>If applicable, advise which health professionals will primarily deliver the proposed service:</w:t>
      </w:r>
    </w:p>
    <w:p w14:paraId="28BDB775" w14:textId="77777777" w:rsidR="00E45321" w:rsidRPr="00D37001" w:rsidRDefault="00B76D37">
      <w:pPr>
        <w:ind w:left="426"/>
        <w:jc w:val="both"/>
        <w:rPr>
          <w:rFonts w:asciiTheme="minorHAnsi" w:hAnsiTheme="minorHAnsi" w:cstheme="minorHAnsi"/>
          <w:sz w:val="20"/>
          <w:szCs w:val="20"/>
        </w:rPr>
      </w:pPr>
      <w:r w:rsidRPr="00D37001">
        <w:rPr>
          <w:rFonts w:asciiTheme="minorHAnsi" w:hAnsiTheme="minorHAnsi" w:cstheme="minorHAnsi"/>
          <w:sz w:val="20"/>
          <w:szCs w:val="20"/>
        </w:rPr>
        <w:t>Shared Care General Practitioners</w:t>
      </w:r>
    </w:p>
    <w:p w14:paraId="1133BF4D" w14:textId="77777777" w:rsidR="00E45321" w:rsidRPr="00D37001" w:rsidRDefault="00B76D37" w:rsidP="00C45D28">
      <w:pPr>
        <w:ind w:left="426"/>
        <w:jc w:val="both"/>
        <w:rPr>
          <w:rFonts w:asciiTheme="minorHAnsi" w:hAnsiTheme="minorHAnsi" w:cstheme="minorHAnsi"/>
          <w:sz w:val="20"/>
          <w:szCs w:val="20"/>
        </w:rPr>
      </w:pPr>
      <w:r w:rsidRPr="00D37001">
        <w:rPr>
          <w:rFonts w:asciiTheme="minorHAnsi" w:hAnsiTheme="minorHAnsi" w:cstheme="minorHAnsi"/>
          <w:sz w:val="20"/>
          <w:szCs w:val="20"/>
        </w:rPr>
        <w:t>Obstetricians</w:t>
      </w:r>
    </w:p>
    <w:p w14:paraId="425370D0" w14:textId="1DA228EE" w:rsidR="00E45321" w:rsidRPr="00D37001" w:rsidRDefault="00B76D37" w:rsidP="00D37001">
      <w:pPr>
        <w:ind w:left="426"/>
        <w:jc w:val="both"/>
        <w:rPr>
          <w:rFonts w:asciiTheme="minorHAnsi" w:hAnsiTheme="minorHAnsi" w:cstheme="minorHAnsi"/>
          <w:sz w:val="20"/>
          <w:szCs w:val="20"/>
        </w:rPr>
      </w:pPr>
      <w:r w:rsidRPr="00D37001">
        <w:rPr>
          <w:rFonts w:asciiTheme="minorHAnsi" w:hAnsiTheme="minorHAnsi" w:cstheme="minorHAnsi"/>
          <w:sz w:val="20"/>
          <w:szCs w:val="20"/>
        </w:rPr>
        <w:t xml:space="preserve">Midwives </w:t>
      </w:r>
    </w:p>
    <w:p w14:paraId="161BAD03" w14:textId="77777777" w:rsidR="00E45321" w:rsidRPr="00D37001" w:rsidRDefault="00B76D37">
      <w:pPr>
        <w:pStyle w:val="Heading2"/>
        <w:numPr>
          <w:ilvl w:val="0"/>
          <w:numId w:val="20"/>
        </w:numPr>
        <w:rPr>
          <w:rFonts w:cstheme="minorHAnsi"/>
        </w:rPr>
      </w:pPr>
      <w:r w:rsidRPr="00D37001">
        <w:rPr>
          <w:rFonts w:cstheme="minorHAnsi"/>
        </w:rPr>
        <w:t>If applicable, advise whether the proposed medical service could be delegated or referred to another professional for delivery:</w:t>
      </w:r>
    </w:p>
    <w:p w14:paraId="428DB1FE" w14:textId="7108FC43" w:rsidR="00E45321" w:rsidRPr="00D37001" w:rsidRDefault="00B76D37" w:rsidP="00D37001">
      <w:pPr>
        <w:ind w:left="426"/>
        <w:jc w:val="both"/>
        <w:rPr>
          <w:rFonts w:asciiTheme="minorHAnsi" w:hAnsiTheme="minorHAnsi" w:cstheme="minorHAnsi"/>
          <w:sz w:val="20"/>
          <w:szCs w:val="20"/>
        </w:rPr>
      </w:pPr>
      <w:r w:rsidRPr="00D37001">
        <w:rPr>
          <w:rFonts w:asciiTheme="minorHAnsi" w:hAnsiTheme="minorHAnsi" w:cstheme="minorHAnsi"/>
          <w:sz w:val="20"/>
          <w:szCs w:val="20"/>
        </w:rPr>
        <w:t>Not applicable</w:t>
      </w:r>
    </w:p>
    <w:p w14:paraId="50F227E7" w14:textId="77777777" w:rsidR="00E45321" w:rsidRPr="00D37001" w:rsidRDefault="00B76D37">
      <w:pPr>
        <w:pStyle w:val="Heading2"/>
        <w:numPr>
          <w:ilvl w:val="0"/>
          <w:numId w:val="20"/>
        </w:numPr>
        <w:rPr>
          <w:rFonts w:cstheme="minorHAnsi"/>
        </w:rPr>
      </w:pPr>
      <w:r w:rsidRPr="00D37001">
        <w:rPr>
          <w:rFonts w:cstheme="minorHAnsi"/>
        </w:rPr>
        <w:t>If applicable, specify any proposed limitations on who might deliver the proposed medical service, or who might provide a referral for it:</w:t>
      </w:r>
    </w:p>
    <w:p w14:paraId="747F43D6" w14:textId="70471D38" w:rsidR="00E45321" w:rsidRPr="00D37001" w:rsidRDefault="00B76D37" w:rsidP="00D37001">
      <w:pPr>
        <w:ind w:left="426"/>
        <w:rPr>
          <w:rFonts w:asciiTheme="minorHAnsi" w:hAnsiTheme="minorHAnsi" w:cstheme="minorHAnsi"/>
          <w:sz w:val="20"/>
          <w:szCs w:val="20"/>
        </w:rPr>
      </w:pPr>
      <w:r w:rsidRPr="00D37001">
        <w:rPr>
          <w:rFonts w:asciiTheme="minorHAnsi" w:hAnsiTheme="minorHAnsi" w:cstheme="minorHAnsi"/>
          <w:sz w:val="20"/>
          <w:szCs w:val="20"/>
        </w:rPr>
        <w:t>Not applicable</w:t>
      </w:r>
    </w:p>
    <w:p w14:paraId="12DAF049" w14:textId="2FADDA8F" w:rsidR="00E45321" w:rsidRPr="00D37001" w:rsidRDefault="00B76D37" w:rsidP="00D37001">
      <w:pPr>
        <w:pStyle w:val="Heading2"/>
        <w:numPr>
          <w:ilvl w:val="0"/>
          <w:numId w:val="20"/>
        </w:numPr>
        <w:rPr>
          <w:rFonts w:cstheme="minorHAnsi"/>
        </w:rPr>
      </w:pPr>
      <w:r w:rsidRPr="00D37001">
        <w:rPr>
          <w:rFonts w:cstheme="minorHAnsi"/>
        </w:rPr>
        <w:t>If applicable, advise what type of training or qualifications would be required to perform the proposed service, as well as any accreditation requirements to support service delivery:</w:t>
      </w:r>
    </w:p>
    <w:p w14:paraId="7B708568" w14:textId="2B98D713" w:rsidR="00E45321" w:rsidRPr="00D37001" w:rsidRDefault="00B76D37" w:rsidP="00D37001">
      <w:pPr>
        <w:ind w:left="426"/>
        <w:jc w:val="both"/>
        <w:rPr>
          <w:rFonts w:asciiTheme="minorHAnsi" w:hAnsiTheme="minorHAnsi" w:cstheme="minorHAnsi"/>
          <w:sz w:val="20"/>
          <w:szCs w:val="20"/>
        </w:rPr>
      </w:pPr>
      <w:proofErr w:type="spellStart"/>
      <w:r w:rsidRPr="00D37001">
        <w:rPr>
          <w:rFonts w:asciiTheme="minorHAnsi" w:hAnsiTheme="minorHAnsi" w:cstheme="minorHAnsi"/>
          <w:sz w:val="20"/>
          <w:szCs w:val="20"/>
        </w:rPr>
        <w:t>PlGF</w:t>
      </w:r>
      <w:proofErr w:type="spellEnd"/>
      <w:r w:rsidRPr="00D37001">
        <w:rPr>
          <w:rFonts w:asciiTheme="minorHAnsi" w:hAnsiTheme="minorHAnsi" w:cstheme="minorHAnsi"/>
          <w:sz w:val="20"/>
          <w:szCs w:val="20"/>
        </w:rPr>
        <w:t>/</w:t>
      </w:r>
      <w:proofErr w:type="spellStart"/>
      <w:r w:rsidRPr="00D37001">
        <w:rPr>
          <w:rFonts w:asciiTheme="minorHAnsi" w:hAnsiTheme="minorHAnsi" w:cstheme="minorHAnsi"/>
          <w:sz w:val="20"/>
          <w:szCs w:val="20"/>
        </w:rPr>
        <w:t>SfLT</w:t>
      </w:r>
      <w:proofErr w:type="spellEnd"/>
      <w:r w:rsidRPr="00D37001">
        <w:rPr>
          <w:rFonts w:asciiTheme="minorHAnsi" w:hAnsiTheme="minorHAnsi" w:cstheme="minorHAnsi"/>
          <w:sz w:val="20"/>
          <w:szCs w:val="20"/>
        </w:rPr>
        <w:t xml:space="preserve"> biomarkers assays can be run in any NATA accredited laboratory</w:t>
      </w:r>
      <w:bookmarkEnd w:id="21"/>
    </w:p>
    <w:p w14:paraId="26BAE9D5" w14:textId="77777777" w:rsidR="00E45321" w:rsidRPr="00D37001" w:rsidRDefault="00B76D37">
      <w:pPr>
        <w:pStyle w:val="Heading2"/>
        <w:numPr>
          <w:ilvl w:val="0"/>
          <w:numId w:val="20"/>
        </w:numPr>
        <w:rPr>
          <w:rFonts w:cstheme="minorHAnsi"/>
        </w:rPr>
      </w:pPr>
      <w:r w:rsidRPr="00D37001">
        <w:rPr>
          <w:rFonts w:cstheme="minorHAnsi"/>
        </w:rPr>
        <w:t xml:space="preserve">(a) Indicate the proposed setting(s) in which the proposed medical service will be delivered (select </w:t>
      </w:r>
      <w:r w:rsidRPr="00D37001">
        <w:rPr>
          <w:rFonts w:cstheme="minorHAnsi"/>
          <w:u w:val="single"/>
        </w:rPr>
        <w:t>ALL</w:t>
      </w:r>
      <w:r w:rsidRPr="00D37001">
        <w:rPr>
          <w:rFonts w:cstheme="minorHAnsi"/>
        </w:rPr>
        <w:t xml:space="preserve"> relevant settings):</w:t>
      </w:r>
    </w:p>
    <w:p w14:paraId="6BA95E60" w14:textId="3198EEE3" w:rsidR="00E45321" w:rsidRPr="00D37001" w:rsidRDefault="00D37001" w:rsidP="00D37001">
      <w:pPr>
        <w:ind w:left="360"/>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checkBox>
              <w:sizeAuto/>
              <w:default w:val="1"/>
            </w:checkBox>
          </w:ffData>
        </w:fldChar>
      </w:r>
      <w:r>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00B76D37" w:rsidRPr="00D37001">
        <w:rPr>
          <w:rFonts w:asciiTheme="minorHAnsi" w:hAnsiTheme="minorHAnsi" w:cstheme="minorHAnsi"/>
          <w:sz w:val="20"/>
          <w:szCs w:val="20"/>
        </w:rPr>
        <w:t xml:space="preserve"> Inpatient private hospital (admitted patient)</w:t>
      </w:r>
    </w:p>
    <w:p w14:paraId="4F1A323D" w14:textId="78433E18" w:rsidR="00D37001" w:rsidRDefault="00D37001" w:rsidP="00D37001">
      <w:pPr>
        <w:ind w:left="360"/>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checkBox>
              <w:sizeAuto/>
              <w:default w:val="1"/>
            </w:checkBox>
          </w:ffData>
        </w:fldChar>
      </w:r>
      <w:r>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00B76D37" w:rsidRPr="00D37001">
        <w:rPr>
          <w:rFonts w:asciiTheme="minorHAnsi" w:hAnsiTheme="minorHAnsi" w:cstheme="minorHAnsi"/>
          <w:sz w:val="20"/>
          <w:szCs w:val="20"/>
        </w:rPr>
        <w:t xml:space="preserve"> Inpatient public hospital (admitted patient)</w:t>
      </w:r>
    </w:p>
    <w:p w14:paraId="3996F01E" w14:textId="46B20CF0" w:rsidR="00E45321" w:rsidRPr="00D37001" w:rsidRDefault="00D37001" w:rsidP="00D37001">
      <w:pPr>
        <w:ind w:left="360"/>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checkBox>
              <w:sizeAuto/>
              <w:default w:val="1"/>
            </w:checkBox>
          </w:ffData>
        </w:fldChar>
      </w:r>
      <w:r>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00B76D37" w:rsidRPr="00D37001">
        <w:rPr>
          <w:rFonts w:asciiTheme="minorHAnsi" w:hAnsiTheme="minorHAnsi" w:cstheme="minorHAnsi"/>
          <w:sz w:val="20"/>
          <w:szCs w:val="20"/>
        </w:rPr>
        <w:t>Private outpatient clinic</w:t>
      </w:r>
    </w:p>
    <w:p w14:paraId="6E868EA7" w14:textId="37A73485" w:rsidR="00E45321" w:rsidRPr="00D37001" w:rsidRDefault="00D37001" w:rsidP="00D37001">
      <w:pPr>
        <w:ind w:left="360"/>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checkBox>
              <w:sizeAuto/>
              <w:default w:val="1"/>
            </w:checkBox>
          </w:ffData>
        </w:fldChar>
      </w:r>
      <w:r>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00B76D37" w:rsidRPr="00D37001">
        <w:rPr>
          <w:rFonts w:asciiTheme="minorHAnsi" w:hAnsiTheme="minorHAnsi" w:cstheme="minorHAnsi"/>
          <w:sz w:val="20"/>
          <w:szCs w:val="20"/>
        </w:rPr>
        <w:t>Public outpatient clinic</w:t>
      </w:r>
    </w:p>
    <w:p w14:paraId="3B1BA21E" w14:textId="2496AA49" w:rsidR="00E45321" w:rsidRPr="00D37001" w:rsidRDefault="00D37001" w:rsidP="00D37001">
      <w:pPr>
        <w:ind w:left="360"/>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checkBox>
              <w:sizeAuto/>
              <w:default w:val="1"/>
            </w:checkBox>
          </w:ffData>
        </w:fldChar>
      </w:r>
      <w:r>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00B76D37" w:rsidRPr="00D37001">
        <w:rPr>
          <w:rFonts w:asciiTheme="minorHAnsi" w:hAnsiTheme="minorHAnsi" w:cstheme="minorHAnsi"/>
          <w:sz w:val="20"/>
          <w:szCs w:val="20"/>
        </w:rPr>
        <w:t>Emergency Department</w:t>
      </w:r>
    </w:p>
    <w:p w14:paraId="247718C5" w14:textId="5301D4D7" w:rsidR="00D37001" w:rsidRDefault="00D37001" w:rsidP="00D37001">
      <w:pPr>
        <w:ind w:left="360"/>
        <w:rPr>
          <w:rFonts w:asciiTheme="minorHAnsi" w:hAnsiTheme="minorHAnsi" w:cstheme="minorHAnsi"/>
          <w:sz w:val="20"/>
          <w:szCs w:val="20"/>
        </w:rPr>
      </w:pPr>
      <w:r>
        <w:rPr>
          <w:rFonts w:asciiTheme="minorHAnsi" w:hAnsiTheme="minorHAnsi" w:cstheme="minorHAnsi"/>
          <w:sz w:val="20"/>
          <w:szCs w:val="20"/>
        </w:rPr>
        <w:lastRenderedPageBreak/>
        <w:fldChar w:fldCharType="begin">
          <w:ffData>
            <w:name w:val=""/>
            <w:enabled/>
            <w:calcOnExit w:val="0"/>
            <w:checkBox>
              <w:sizeAuto/>
              <w:default w:val="1"/>
            </w:checkBox>
          </w:ffData>
        </w:fldChar>
      </w:r>
      <w:r>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00B76D37" w:rsidRPr="00D37001">
        <w:rPr>
          <w:rFonts w:asciiTheme="minorHAnsi" w:hAnsiTheme="minorHAnsi" w:cstheme="minorHAnsi"/>
          <w:sz w:val="20"/>
          <w:szCs w:val="20"/>
        </w:rPr>
        <w:t xml:space="preserve"> Private consulting rooms </w:t>
      </w:r>
      <w:r>
        <w:rPr>
          <w:rFonts w:asciiTheme="minorHAnsi" w:hAnsiTheme="minorHAnsi" w:cstheme="minorHAnsi"/>
          <w:sz w:val="20"/>
          <w:szCs w:val="20"/>
        </w:rPr>
        <w:t>–</w:t>
      </w:r>
      <w:r w:rsidR="00B76D37" w:rsidRPr="00D37001">
        <w:rPr>
          <w:rFonts w:asciiTheme="minorHAnsi" w:hAnsiTheme="minorHAnsi" w:cstheme="minorHAnsi"/>
          <w:sz w:val="20"/>
          <w:szCs w:val="20"/>
        </w:rPr>
        <w:t xml:space="preserve"> GP</w:t>
      </w:r>
    </w:p>
    <w:p w14:paraId="2DF82F2F" w14:textId="2919EE04" w:rsidR="00E45321" w:rsidRPr="00D37001" w:rsidRDefault="00D37001" w:rsidP="00D37001">
      <w:pPr>
        <w:ind w:left="360"/>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checkBox>
              <w:sizeAuto/>
              <w:default w:val="1"/>
            </w:checkBox>
          </w:ffData>
        </w:fldChar>
      </w:r>
      <w:r>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sidR="00B76D37" w:rsidRPr="00D37001">
        <w:rPr>
          <w:rFonts w:asciiTheme="minorHAnsi" w:hAnsiTheme="minorHAnsi" w:cstheme="minorHAnsi"/>
          <w:sz w:val="20"/>
          <w:szCs w:val="20"/>
        </w:rPr>
        <w:t xml:space="preserve">Private consulting rooms </w:t>
      </w:r>
      <w:r w:rsidR="00B76D37" w:rsidRPr="00D37001">
        <w:rPr>
          <w:rFonts w:ascii="Calibri" w:hAnsi="Calibri" w:cs="Calibri"/>
          <w:sz w:val="20"/>
          <w:szCs w:val="20"/>
        </w:rPr>
        <w:t>–</w:t>
      </w:r>
      <w:r w:rsidR="00B76D37" w:rsidRPr="00D37001">
        <w:rPr>
          <w:rFonts w:asciiTheme="minorHAnsi" w:hAnsiTheme="minorHAnsi" w:cstheme="minorHAnsi"/>
          <w:sz w:val="20"/>
          <w:szCs w:val="20"/>
        </w:rPr>
        <w:t xml:space="preserve"> specialist</w:t>
      </w:r>
    </w:p>
    <w:p w14:paraId="2536DC0B" w14:textId="2EC3D047" w:rsidR="00E45321" w:rsidRPr="00D37001" w:rsidRDefault="00D37001" w:rsidP="00D37001">
      <w:pPr>
        <w:ind w:left="360"/>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checkBox>
              <w:sizeAuto/>
              <w:default w:val="1"/>
            </w:checkBox>
          </w:ffData>
        </w:fldChar>
      </w:r>
      <w:r>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sidR="00B76D37" w:rsidRPr="00D37001">
        <w:rPr>
          <w:rFonts w:asciiTheme="minorHAnsi" w:hAnsiTheme="minorHAnsi" w:cstheme="minorHAnsi"/>
          <w:sz w:val="20"/>
          <w:szCs w:val="20"/>
        </w:rPr>
        <w:t>Private consulting rooms – other health practitioner (nurse or allied health)</w:t>
      </w:r>
    </w:p>
    <w:p w14:paraId="44A44DCA" w14:textId="3B00F500" w:rsidR="00E45321" w:rsidRPr="00D37001" w:rsidRDefault="00D37001" w:rsidP="00D37001">
      <w:pPr>
        <w:ind w:left="360"/>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checkBox>
              <w:sizeAuto/>
              <w:default w:val="0"/>
            </w:checkBox>
          </w:ffData>
        </w:fldChar>
      </w:r>
      <w:r>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00B76D37" w:rsidRPr="00D37001">
        <w:rPr>
          <w:rFonts w:asciiTheme="minorHAnsi" w:hAnsiTheme="minorHAnsi" w:cstheme="minorHAnsi"/>
          <w:sz w:val="20"/>
          <w:szCs w:val="20"/>
        </w:rPr>
        <w:t xml:space="preserve"> Private day surgery clinic (admitted patient)</w:t>
      </w:r>
    </w:p>
    <w:p w14:paraId="6E491645" w14:textId="5CAA7BDE" w:rsidR="00E45321" w:rsidRPr="00D37001" w:rsidRDefault="00D37001" w:rsidP="00D37001">
      <w:pPr>
        <w:ind w:left="360"/>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checkBox>
              <w:sizeAuto/>
              <w:default w:val="0"/>
            </w:checkBox>
          </w:ffData>
        </w:fldChar>
      </w:r>
      <w:r>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00F61121">
        <w:rPr>
          <w:rFonts w:asciiTheme="minorHAnsi" w:hAnsiTheme="minorHAnsi" w:cstheme="minorHAnsi"/>
          <w:sz w:val="20"/>
          <w:szCs w:val="20"/>
        </w:rPr>
        <w:t xml:space="preserve"> </w:t>
      </w:r>
      <w:r w:rsidR="00B76D37" w:rsidRPr="00D37001">
        <w:rPr>
          <w:rFonts w:asciiTheme="minorHAnsi" w:hAnsiTheme="minorHAnsi" w:cstheme="minorHAnsi"/>
          <w:sz w:val="20"/>
          <w:szCs w:val="20"/>
        </w:rPr>
        <w:t>Private day surgery clinic (non-admitted patient)</w:t>
      </w:r>
    </w:p>
    <w:p w14:paraId="04E857BF" w14:textId="135EDF8C" w:rsidR="00E45321" w:rsidRPr="00D37001" w:rsidRDefault="00D37001" w:rsidP="00D37001">
      <w:pPr>
        <w:ind w:left="360"/>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checkBox>
              <w:sizeAuto/>
              <w:default w:val="0"/>
            </w:checkBox>
          </w:ffData>
        </w:fldChar>
      </w:r>
      <w:r>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00B76D37" w:rsidRPr="00D37001">
        <w:rPr>
          <w:rFonts w:asciiTheme="minorHAnsi" w:hAnsiTheme="minorHAnsi" w:cstheme="minorHAnsi"/>
          <w:sz w:val="20"/>
          <w:szCs w:val="20"/>
        </w:rPr>
        <w:t xml:space="preserve"> Public day surgery clinic (admitted patient)</w:t>
      </w:r>
    </w:p>
    <w:p w14:paraId="607AE578" w14:textId="39B2C6EA" w:rsidR="00E45321" w:rsidRPr="00D37001" w:rsidRDefault="00D37001" w:rsidP="00D37001">
      <w:pPr>
        <w:ind w:left="360"/>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checkBox>
              <w:sizeAuto/>
              <w:default w:val="0"/>
            </w:checkBox>
          </w:ffData>
        </w:fldChar>
      </w:r>
      <w:r>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00B76D37" w:rsidRPr="00D37001">
        <w:rPr>
          <w:rFonts w:asciiTheme="minorHAnsi" w:hAnsiTheme="minorHAnsi" w:cstheme="minorHAnsi"/>
          <w:sz w:val="20"/>
          <w:szCs w:val="20"/>
        </w:rPr>
        <w:t xml:space="preserve"> Public day surgery clinic (non-admitted patient)</w:t>
      </w:r>
    </w:p>
    <w:p w14:paraId="65C21771" w14:textId="1A85DCAC" w:rsidR="00E45321" w:rsidRPr="00D37001" w:rsidRDefault="00D37001" w:rsidP="00D37001">
      <w:pPr>
        <w:ind w:left="360"/>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checkBox>
              <w:sizeAuto/>
              <w:default w:val="0"/>
            </w:checkBox>
          </w:ffData>
        </w:fldChar>
      </w:r>
      <w:r>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00B76D37" w:rsidRPr="00D37001">
        <w:rPr>
          <w:rFonts w:asciiTheme="minorHAnsi" w:hAnsiTheme="minorHAnsi" w:cstheme="minorHAnsi"/>
          <w:sz w:val="20"/>
          <w:szCs w:val="20"/>
        </w:rPr>
        <w:t xml:space="preserve"> Residential aged care facility</w:t>
      </w:r>
    </w:p>
    <w:p w14:paraId="620A24A3" w14:textId="1C6F67E9" w:rsidR="00E45321" w:rsidRPr="00D37001" w:rsidRDefault="00D37001" w:rsidP="00D37001">
      <w:pPr>
        <w:ind w:left="360"/>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checkBox>
              <w:sizeAuto/>
              <w:default w:val="0"/>
            </w:checkBox>
          </w:ffData>
        </w:fldChar>
      </w:r>
      <w:r>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00B76D37" w:rsidRPr="00D37001">
        <w:rPr>
          <w:rFonts w:asciiTheme="minorHAnsi" w:hAnsiTheme="minorHAnsi" w:cstheme="minorHAnsi"/>
          <w:sz w:val="20"/>
          <w:szCs w:val="20"/>
        </w:rPr>
        <w:t xml:space="preserve"> Patient</w:t>
      </w:r>
      <w:r w:rsidR="00B76D37" w:rsidRPr="00D37001">
        <w:rPr>
          <w:rFonts w:ascii="Calibri" w:hAnsi="Calibri" w:cs="Calibri"/>
          <w:sz w:val="20"/>
          <w:szCs w:val="20"/>
        </w:rPr>
        <w:t>’</w:t>
      </w:r>
      <w:r w:rsidR="00B76D37" w:rsidRPr="00D37001">
        <w:rPr>
          <w:rFonts w:asciiTheme="minorHAnsi" w:hAnsiTheme="minorHAnsi" w:cstheme="minorHAnsi"/>
          <w:sz w:val="20"/>
          <w:szCs w:val="20"/>
        </w:rPr>
        <w:t>s home</w:t>
      </w:r>
    </w:p>
    <w:p w14:paraId="3A2C7235" w14:textId="2BB878CB" w:rsidR="00E45321" w:rsidRPr="00D37001" w:rsidRDefault="00D37001" w:rsidP="00D37001">
      <w:pPr>
        <w:ind w:left="360"/>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checkBox>
              <w:sizeAuto/>
              <w:default w:val="1"/>
            </w:checkBox>
          </w:ffData>
        </w:fldChar>
      </w:r>
      <w:r>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00B76D37" w:rsidRPr="00D37001">
        <w:rPr>
          <w:rFonts w:asciiTheme="minorHAnsi" w:hAnsiTheme="minorHAnsi" w:cstheme="minorHAnsi"/>
          <w:sz w:val="20"/>
          <w:szCs w:val="20"/>
        </w:rPr>
        <w:t xml:space="preserve"> Laboratory</w:t>
      </w:r>
    </w:p>
    <w:p w14:paraId="4FD4C187" w14:textId="19F21BAE" w:rsidR="00E45321" w:rsidRPr="00F61121" w:rsidRDefault="00D37001" w:rsidP="00F61121">
      <w:pPr>
        <w:ind w:left="360"/>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checkBox>
              <w:sizeAuto/>
              <w:default w:val="0"/>
            </w:checkBox>
          </w:ffData>
        </w:fldChar>
      </w:r>
      <w:r>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Pr="00D37001">
        <w:rPr>
          <w:rFonts w:asciiTheme="minorHAnsi" w:hAnsiTheme="minorHAnsi" w:cstheme="minorHAnsi"/>
          <w:sz w:val="20"/>
          <w:szCs w:val="20"/>
        </w:rPr>
        <w:t xml:space="preserve"> </w:t>
      </w:r>
      <w:r w:rsidR="00B76D37" w:rsidRPr="00D37001">
        <w:rPr>
          <w:rFonts w:asciiTheme="minorHAnsi" w:hAnsiTheme="minorHAnsi" w:cstheme="minorHAnsi"/>
          <w:sz w:val="20"/>
          <w:szCs w:val="20"/>
        </w:rPr>
        <w:t xml:space="preserve">Other </w:t>
      </w:r>
      <w:r w:rsidR="00B76D37" w:rsidRPr="00D37001">
        <w:rPr>
          <w:rFonts w:ascii="Calibri" w:hAnsi="Calibri" w:cs="Calibri"/>
          <w:sz w:val="20"/>
          <w:szCs w:val="20"/>
        </w:rPr>
        <w:t>–</w:t>
      </w:r>
      <w:r w:rsidR="00B76D37" w:rsidRPr="00D37001">
        <w:rPr>
          <w:rFonts w:asciiTheme="minorHAnsi" w:hAnsiTheme="minorHAnsi" w:cstheme="minorHAnsi"/>
          <w:sz w:val="20"/>
          <w:szCs w:val="20"/>
        </w:rPr>
        <w:t xml:space="preserve"> please specify below</w:t>
      </w:r>
    </w:p>
    <w:p w14:paraId="30113C26" w14:textId="77777777" w:rsidR="00E45321" w:rsidRDefault="00B76D37">
      <w:pPr>
        <w:numPr>
          <w:ilvl w:val="0"/>
          <w:numId w:val="8"/>
        </w:numPr>
        <w:pBdr>
          <w:top w:val="nil"/>
          <w:left w:val="nil"/>
          <w:bottom w:val="nil"/>
          <w:right w:val="nil"/>
          <w:between w:val="nil"/>
        </w:pBdr>
        <w:spacing w:before="120" w:after="120"/>
        <w:rPr>
          <w:rFonts w:ascii="Calibri" w:eastAsia="Calibri" w:hAnsi="Calibri" w:cs="Calibri"/>
          <w:b/>
          <w:color w:val="000000"/>
          <w:sz w:val="20"/>
          <w:szCs w:val="20"/>
        </w:rPr>
      </w:pPr>
      <w:r>
        <w:rPr>
          <w:rFonts w:ascii="Calibri" w:eastAsia="Calibri" w:hAnsi="Calibri" w:cs="Calibri"/>
          <w:b/>
          <w:color w:val="000000"/>
          <w:sz w:val="20"/>
          <w:szCs w:val="20"/>
        </w:rPr>
        <w:t>Where the proposed medical service is provided in more than one setting, please describe the rationale related to each:</w:t>
      </w:r>
    </w:p>
    <w:p w14:paraId="6A753C56" w14:textId="232692CE" w:rsidR="00E45321" w:rsidRPr="00F61121" w:rsidRDefault="00B76D37" w:rsidP="00F61121">
      <w:pPr>
        <w:spacing w:before="120" w:after="120"/>
        <w:ind w:left="425"/>
        <w:rPr>
          <w:rFonts w:asciiTheme="minorHAnsi" w:hAnsiTheme="minorHAnsi" w:cstheme="minorHAnsi"/>
          <w:sz w:val="20"/>
          <w:szCs w:val="20"/>
        </w:rPr>
      </w:pPr>
      <w:r w:rsidRPr="00F61121">
        <w:rPr>
          <w:rFonts w:asciiTheme="minorHAnsi" w:hAnsiTheme="minorHAnsi" w:cstheme="minorHAnsi"/>
          <w:sz w:val="20"/>
          <w:szCs w:val="20"/>
        </w:rPr>
        <w:t>The test needs to be available in both inpatient and outpatient settings.</w:t>
      </w:r>
    </w:p>
    <w:p w14:paraId="32C337C2" w14:textId="19DABF61" w:rsidR="00E45321" w:rsidRPr="00F61121" w:rsidRDefault="00B76D37" w:rsidP="00F61121">
      <w:pPr>
        <w:spacing w:before="120" w:after="120"/>
        <w:ind w:left="425"/>
        <w:rPr>
          <w:rFonts w:asciiTheme="minorHAnsi" w:hAnsiTheme="minorHAnsi" w:cstheme="minorHAnsi"/>
          <w:sz w:val="20"/>
          <w:szCs w:val="20"/>
        </w:rPr>
      </w:pPr>
      <w:r w:rsidRPr="00F61121">
        <w:rPr>
          <w:rFonts w:asciiTheme="minorHAnsi" w:hAnsiTheme="minorHAnsi" w:cstheme="minorHAnsi"/>
          <w:sz w:val="20"/>
          <w:szCs w:val="20"/>
        </w:rPr>
        <w:t>The test needs to be available to both public and private patients.</w:t>
      </w:r>
    </w:p>
    <w:p w14:paraId="68218D68" w14:textId="1A7782F3" w:rsidR="00E45321" w:rsidRPr="00F61121" w:rsidRDefault="00B76D37" w:rsidP="00F61121">
      <w:pPr>
        <w:spacing w:before="120" w:after="120"/>
        <w:ind w:left="425"/>
        <w:rPr>
          <w:rFonts w:asciiTheme="minorHAnsi" w:hAnsiTheme="minorHAnsi" w:cstheme="minorHAnsi"/>
          <w:sz w:val="20"/>
          <w:szCs w:val="20"/>
        </w:rPr>
      </w:pPr>
      <w:r w:rsidRPr="00F61121">
        <w:rPr>
          <w:rFonts w:asciiTheme="minorHAnsi" w:hAnsiTheme="minorHAnsi" w:cstheme="minorHAnsi"/>
          <w:sz w:val="20"/>
          <w:szCs w:val="20"/>
        </w:rPr>
        <w:t>The biochemical component of the test needs to be performed in a laboratory.</w:t>
      </w:r>
    </w:p>
    <w:p w14:paraId="6A3ACDDB" w14:textId="77777777" w:rsidR="00E45321" w:rsidRDefault="00B76D37">
      <w:pPr>
        <w:pStyle w:val="Heading2"/>
        <w:numPr>
          <w:ilvl w:val="0"/>
          <w:numId w:val="20"/>
        </w:numPr>
      </w:pPr>
      <w:r>
        <w:t>Is the proposed medical service intended to be entirely rendered in Australia?</w:t>
      </w:r>
    </w:p>
    <w:p w14:paraId="6CF84D28" w14:textId="191020FA" w:rsidR="00E45321" w:rsidRPr="00F61121" w:rsidRDefault="00F61121" w:rsidP="00F61121">
      <w:pPr>
        <w:ind w:left="425"/>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checkBox>
              <w:sizeAuto/>
              <w:default w:val="1"/>
            </w:checkBox>
          </w:ffData>
        </w:fldChar>
      </w:r>
      <w:r>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Pr>
          <w:rFonts w:asciiTheme="minorHAnsi" w:hAnsiTheme="minorHAnsi" w:cstheme="minorHAnsi"/>
          <w:sz w:val="20"/>
          <w:szCs w:val="20"/>
        </w:rPr>
        <w:t xml:space="preserve"> </w:t>
      </w:r>
      <w:r w:rsidR="00B76D37" w:rsidRPr="00F61121">
        <w:rPr>
          <w:rFonts w:asciiTheme="minorHAnsi" w:hAnsiTheme="minorHAnsi" w:cstheme="minorHAnsi"/>
          <w:sz w:val="20"/>
          <w:szCs w:val="20"/>
        </w:rPr>
        <w:t>Yes</w:t>
      </w:r>
    </w:p>
    <w:p w14:paraId="0CB4E860" w14:textId="39356DE6" w:rsidR="00E45321" w:rsidRPr="00F61121" w:rsidRDefault="00F61121" w:rsidP="00F61121">
      <w:pPr>
        <w:ind w:left="425"/>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checkBox>
              <w:sizeAuto/>
              <w:default w:val="0"/>
            </w:checkBox>
          </w:ffData>
        </w:fldChar>
      </w:r>
      <w:r>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00B76D37" w:rsidRPr="00F61121">
        <w:rPr>
          <w:rFonts w:asciiTheme="minorHAnsi" w:hAnsiTheme="minorHAnsi" w:cstheme="minorHAnsi"/>
          <w:sz w:val="20"/>
          <w:szCs w:val="20"/>
        </w:rPr>
        <w:t xml:space="preserve"> No </w:t>
      </w:r>
      <w:r w:rsidR="00B76D37" w:rsidRPr="00F61121">
        <w:rPr>
          <w:rFonts w:ascii="Calibri" w:hAnsi="Calibri" w:cs="Calibri"/>
          <w:sz w:val="20"/>
          <w:szCs w:val="20"/>
        </w:rPr>
        <w:t>–</w:t>
      </w:r>
      <w:r w:rsidR="00B76D37" w:rsidRPr="00F61121">
        <w:rPr>
          <w:rFonts w:asciiTheme="minorHAnsi" w:hAnsiTheme="minorHAnsi" w:cstheme="minorHAnsi"/>
          <w:sz w:val="20"/>
          <w:szCs w:val="20"/>
        </w:rPr>
        <w:t xml:space="preserve"> please specify below</w:t>
      </w:r>
    </w:p>
    <w:p w14:paraId="1DB7CFA4" w14:textId="1ACDE114" w:rsidR="00E45321" w:rsidRDefault="00E45321">
      <w:pPr>
        <w:rPr>
          <w:b/>
          <w:i/>
          <w:u w:val="single"/>
        </w:rPr>
      </w:pPr>
    </w:p>
    <w:p w14:paraId="2FA58C7D" w14:textId="77777777" w:rsidR="00E45321" w:rsidRDefault="00B76D37">
      <w:pPr>
        <w:pStyle w:val="Subtitle"/>
      </w:pPr>
      <w:r>
        <w:t>PART 6c – INFORMATION ABOUT THE COMPARATOR(S)</w:t>
      </w:r>
    </w:p>
    <w:p w14:paraId="7D0B5CF1" w14:textId="77777777" w:rsidR="00E45321" w:rsidRDefault="00B76D37">
      <w:pPr>
        <w:pStyle w:val="Heading2"/>
        <w:numPr>
          <w:ilvl w:val="0"/>
          <w:numId w:val="20"/>
        </w:numPr>
      </w:pPr>
      <w:r>
        <w:t>Nominate the appropriate comparator(s) for the proposed medical service, i.e. how is the proposed population currently managed in the absence of the proposed medical service being available in the Australian health care system (including identifying health care resources that are needed to be delivered at the same time as the comparator service):</w:t>
      </w:r>
    </w:p>
    <w:p w14:paraId="37F978F8" w14:textId="480C05C6" w:rsidR="00E45321" w:rsidRPr="00F61121" w:rsidRDefault="00B76D37" w:rsidP="00F61121">
      <w:pPr>
        <w:spacing w:before="120" w:after="120"/>
        <w:ind w:left="425"/>
        <w:rPr>
          <w:rFonts w:asciiTheme="minorHAnsi" w:hAnsiTheme="minorHAnsi" w:cstheme="minorHAnsi"/>
          <w:sz w:val="20"/>
          <w:szCs w:val="20"/>
        </w:rPr>
      </w:pPr>
      <w:r w:rsidRPr="00F61121">
        <w:rPr>
          <w:rFonts w:asciiTheme="minorHAnsi" w:hAnsiTheme="minorHAnsi" w:cstheme="minorHAnsi"/>
          <w:sz w:val="20"/>
          <w:szCs w:val="20"/>
        </w:rPr>
        <w:t xml:space="preserve">The </w:t>
      </w:r>
      <w:r w:rsidR="00FE1477" w:rsidRPr="00F61121">
        <w:rPr>
          <w:rFonts w:asciiTheme="minorHAnsi" w:hAnsiTheme="minorHAnsi" w:cstheme="minorHAnsi"/>
          <w:sz w:val="20"/>
          <w:szCs w:val="20"/>
        </w:rPr>
        <w:t>sFlt-1/PlGF</w:t>
      </w:r>
      <w:r w:rsidRPr="00F61121">
        <w:rPr>
          <w:rFonts w:asciiTheme="minorHAnsi" w:hAnsiTheme="minorHAnsi" w:cstheme="minorHAnsi"/>
          <w:sz w:val="20"/>
          <w:szCs w:val="20"/>
        </w:rPr>
        <w:t xml:space="preserve"> test is proposed to be used </w:t>
      </w:r>
      <w:r w:rsidR="003E1F87" w:rsidRPr="00F61121">
        <w:rPr>
          <w:rFonts w:asciiTheme="minorHAnsi" w:hAnsiTheme="minorHAnsi" w:cstheme="minorHAnsi"/>
          <w:sz w:val="20"/>
          <w:szCs w:val="20"/>
        </w:rPr>
        <w:t xml:space="preserve">predictively </w:t>
      </w:r>
      <w:r w:rsidRPr="00F61121">
        <w:rPr>
          <w:rFonts w:asciiTheme="minorHAnsi" w:hAnsiTheme="minorHAnsi" w:cstheme="minorHAnsi"/>
          <w:sz w:val="20"/>
          <w:szCs w:val="20"/>
        </w:rPr>
        <w:t xml:space="preserve">in </w:t>
      </w:r>
      <w:r w:rsidR="003E1F87" w:rsidRPr="00F61121">
        <w:rPr>
          <w:rFonts w:asciiTheme="minorHAnsi" w:hAnsiTheme="minorHAnsi" w:cstheme="minorHAnsi"/>
          <w:sz w:val="20"/>
          <w:szCs w:val="20"/>
        </w:rPr>
        <w:t xml:space="preserve">place of standard diagnostic </w:t>
      </w:r>
      <w:r w:rsidRPr="00F61121">
        <w:rPr>
          <w:rFonts w:asciiTheme="minorHAnsi" w:hAnsiTheme="minorHAnsi" w:cstheme="minorHAnsi"/>
          <w:sz w:val="20"/>
          <w:szCs w:val="20"/>
        </w:rPr>
        <w:t xml:space="preserve">tests administered </w:t>
      </w:r>
      <w:r w:rsidR="00C15EDA" w:rsidRPr="00F61121">
        <w:rPr>
          <w:rFonts w:asciiTheme="minorHAnsi" w:hAnsiTheme="minorHAnsi" w:cstheme="minorHAnsi"/>
          <w:sz w:val="20"/>
          <w:szCs w:val="20"/>
        </w:rPr>
        <w:t>at 24</w:t>
      </w:r>
      <w:r w:rsidRPr="00F61121">
        <w:rPr>
          <w:rFonts w:asciiTheme="minorHAnsi" w:hAnsiTheme="minorHAnsi" w:cstheme="minorHAnsi"/>
          <w:sz w:val="20"/>
          <w:szCs w:val="20"/>
        </w:rPr>
        <w:t>-36 weeks gestation.</w:t>
      </w:r>
    </w:p>
    <w:p w14:paraId="78A29FD3" w14:textId="77777777" w:rsidR="00E45321" w:rsidRPr="00F61121" w:rsidRDefault="00B76D37" w:rsidP="00F61121">
      <w:pPr>
        <w:spacing w:before="120" w:after="120"/>
        <w:ind w:left="425"/>
        <w:rPr>
          <w:rFonts w:asciiTheme="minorHAnsi" w:hAnsiTheme="minorHAnsi" w:cstheme="minorHAnsi"/>
          <w:sz w:val="20"/>
          <w:szCs w:val="20"/>
        </w:rPr>
      </w:pPr>
      <w:r w:rsidRPr="00F61121">
        <w:rPr>
          <w:rFonts w:asciiTheme="minorHAnsi" w:hAnsiTheme="minorHAnsi" w:cstheme="minorHAnsi"/>
          <w:sz w:val="20"/>
          <w:szCs w:val="20"/>
        </w:rPr>
        <w:t xml:space="preserve">The comparator is therefore the following standard </w:t>
      </w:r>
      <w:r w:rsidR="003E1F87" w:rsidRPr="00F61121">
        <w:rPr>
          <w:rFonts w:asciiTheme="minorHAnsi" w:hAnsiTheme="minorHAnsi" w:cstheme="minorHAnsi"/>
          <w:sz w:val="20"/>
          <w:szCs w:val="20"/>
        </w:rPr>
        <w:t xml:space="preserve">diagnostic </w:t>
      </w:r>
      <w:proofErr w:type="gramStart"/>
      <w:r w:rsidRPr="00F61121">
        <w:rPr>
          <w:rFonts w:asciiTheme="minorHAnsi" w:hAnsiTheme="minorHAnsi" w:cstheme="minorHAnsi"/>
          <w:sz w:val="20"/>
          <w:szCs w:val="20"/>
        </w:rPr>
        <w:t>tests;</w:t>
      </w:r>
      <w:proofErr w:type="gramEnd"/>
    </w:p>
    <w:p w14:paraId="11DA6AC6" w14:textId="77777777" w:rsidR="00E45321" w:rsidRPr="00F61121" w:rsidRDefault="00B76D37">
      <w:pPr>
        <w:numPr>
          <w:ilvl w:val="0"/>
          <w:numId w:val="14"/>
        </w:numPr>
        <w:pBdr>
          <w:top w:val="nil"/>
          <w:left w:val="nil"/>
          <w:bottom w:val="nil"/>
          <w:right w:val="nil"/>
          <w:between w:val="nil"/>
        </w:pBdr>
        <w:spacing w:before="120"/>
        <w:rPr>
          <w:rFonts w:asciiTheme="minorHAnsi" w:eastAsia="Calibri" w:hAnsiTheme="minorHAnsi" w:cstheme="minorHAnsi"/>
          <w:sz w:val="20"/>
          <w:szCs w:val="20"/>
        </w:rPr>
      </w:pPr>
      <w:r w:rsidRPr="00F61121">
        <w:rPr>
          <w:rFonts w:asciiTheme="minorHAnsi" w:eastAsia="Calibri" w:hAnsiTheme="minorHAnsi" w:cstheme="minorHAnsi"/>
          <w:sz w:val="20"/>
          <w:szCs w:val="20"/>
        </w:rPr>
        <w:t>Blood pressure</w:t>
      </w:r>
    </w:p>
    <w:p w14:paraId="033EF0FF" w14:textId="19627967" w:rsidR="00E45321" w:rsidRPr="009E7ED6" w:rsidRDefault="00445194">
      <w:pPr>
        <w:numPr>
          <w:ilvl w:val="0"/>
          <w:numId w:val="14"/>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Urine </w:t>
      </w:r>
      <w:proofErr w:type="spellStart"/>
      <w:r>
        <w:rPr>
          <w:rFonts w:ascii="Calibri" w:eastAsia="Calibri" w:hAnsi="Calibri" w:cs="Calibri"/>
          <w:sz w:val="20"/>
          <w:szCs w:val="20"/>
        </w:rPr>
        <w:t>p</w:t>
      </w:r>
      <w:r w:rsidR="00B76D37" w:rsidRPr="009E7ED6">
        <w:rPr>
          <w:rFonts w:ascii="Calibri" w:eastAsia="Calibri" w:hAnsi="Calibri" w:cs="Calibri"/>
          <w:sz w:val="20"/>
          <w:szCs w:val="20"/>
        </w:rPr>
        <w:t>rotein:creatinine</w:t>
      </w:r>
      <w:proofErr w:type="spellEnd"/>
      <w:r w:rsidR="00B76D37" w:rsidRPr="009E7ED6">
        <w:rPr>
          <w:rFonts w:ascii="Calibri" w:eastAsia="Calibri" w:hAnsi="Calibri" w:cs="Calibri"/>
          <w:sz w:val="20"/>
          <w:szCs w:val="20"/>
        </w:rPr>
        <w:t xml:space="preserve"> ratio test</w:t>
      </w:r>
    </w:p>
    <w:p w14:paraId="20B0098E" w14:textId="6EBF2104" w:rsidR="00E45321" w:rsidRPr="009E7ED6" w:rsidRDefault="00445194">
      <w:pPr>
        <w:numPr>
          <w:ilvl w:val="0"/>
          <w:numId w:val="14"/>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Proteinuria r</w:t>
      </w:r>
      <w:r w:rsidR="00B76D37" w:rsidRPr="009E7ED6">
        <w:rPr>
          <w:rFonts w:ascii="Calibri" w:eastAsia="Calibri" w:hAnsi="Calibri" w:cs="Calibri"/>
          <w:sz w:val="20"/>
          <w:szCs w:val="20"/>
        </w:rPr>
        <w:t>eagent strip test</w:t>
      </w:r>
    </w:p>
    <w:p w14:paraId="1C6B58CB" w14:textId="77777777" w:rsidR="00E45321" w:rsidRPr="009E7ED6" w:rsidRDefault="00B76D37">
      <w:pPr>
        <w:numPr>
          <w:ilvl w:val="0"/>
          <w:numId w:val="14"/>
        </w:numPr>
        <w:pBdr>
          <w:top w:val="nil"/>
          <w:left w:val="nil"/>
          <w:bottom w:val="nil"/>
          <w:right w:val="nil"/>
          <w:between w:val="nil"/>
        </w:pBdr>
        <w:rPr>
          <w:rFonts w:ascii="Calibri" w:eastAsia="Calibri" w:hAnsi="Calibri" w:cs="Calibri"/>
          <w:sz w:val="20"/>
          <w:szCs w:val="20"/>
        </w:rPr>
      </w:pPr>
      <w:r w:rsidRPr="009E7ED6">
        <w:rPr>
          <w:rFonts w:ascii="Calibri" w:eastAsia="Calibri" w:hAnsi="Calibri" w:cs="Calibri"/>
          <w:sz w:val="20"/>
          <w:szCs w:val="20"/>
        </w:rPr>
        <w:t xml:space="preserve">Full blood count </w:t>
      </w:r>
    </w:p>
    <w:p w14:paraId="5D3A23CF" w14:textId="329A7720" w:rsidR="00E45321" w:rsidRPr="009E7ED6" w:rsidRDefault="00445194">
      <w:pPr>
        <w:numPr>
          <w:ilvl w:val="0"/>
          <w:numId w:val="14"/>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Renal</w:t>
      </w:r>
      <w:r w:rsidR="00B76D37" w:rsidRPr="009E7ED6">
        <w:rPr>
          <w:rFonts w:ascii="Calibri" w:eastAsia="Calibri" w:hAnsi="Calibri" w:cs="Calibri"/>
          <w:sz w:val="20"/>
          <w:szCs w:val="20"/>
        </w:rPr>
        <w:t xml:space="preserve"> function</w:t>
      </w:r>
      <w:r>
        <w:rPr>
          <w:rFonts w:ascii="Calibri" w:eastAsia="Calibri" w:hAnsi="Calibri" w:cs="Calibri"/>
          <w:sz w:val="20"/>
          <w:szCs w:val="20"/>
        </w:rPr>
        <w:t xml:space="preserve"> test</w:t>
      </w:r>
      <w:r w:rsidR="00B76D37" w:rsidRPr="009E7ED6">
        <w:rPr>
          <w:rFonts w:ascii="Calibri" w:eastAsia="Calibri" w:hAnsi="Calibri" w:cs="Calibri"/>
          <w:sz w:val="20"/>
          <w:szCs w:val="20"/>
        </w:rPr>
        <w:t xml:space="preserve"> </w:t>
      </w:r>
    </w:p>
    <w:p w14:paraId="1A7CA1A8" w14:textId="7E7FEF1E" w:rsidR="00E45321" w:rsidRPr="009E7ED6" w:rsidRDefault="00445194">
      <w:pPr>
        <w:numPr>
          <w:ilvl w:val="0"/>
          <w:numId w:val="14"/>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Serum e</w:t>
      </w:r>
      <w:r w:rsidR="00B76D37" w:rsidRPr="009E7ED6">
        <w:rPr>
          <w:rFonts w:ascii="Calibri" w:eastAsia="Calibri" w:hAnsi="Calibri" w:cs="Calibri"/>
          <w:sz w:val="20"/>
          <w:szCs w:val="20"/>
        </w:rPr>
        <w:t xml:space="preserve">lectrolytes </w:t>
      </w:r>
    </w:p>
    <w:p w14:paraId="1A0B390F" w14:textId="62B284FA" w:rsidR="00E45321" w:rsidRPr="00F61121" w:rsidRDefault="00445194" w:rsidP="00F61121">
      <w:pPr>
        <w:numPr>
          <w:ilvl w:val="0"/>
          <w:numId w:val="14"/>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Hepatic transaminases</w:t>
      </w:r>
      <w:r w:rsidR="00B76D37" w:rsidRPr="009E7ED6">
        <w:rPr>
          <w:rFonts w:ascii="Calibri" w:eastAsia="Calibri" w:hAnsi="Calibri" w:cs="Calibri"/>
          <w:sz w:val="20"/>
          <w:szCs w:val="20"/>
        </w:rPr>
        <w:t xml:space="preserve"> </w:t>
      </w:r>
    </w:p>
    <w:p w14:paraId="3B98B6C3" w14:textId="77777777" w:rsidR="00E45321" w:rsidRDefault="00B76D37">
      <w:pPr>
        <w:pStyle w:val="Heading2"/>
        <w:numPr>
          <w:ilvl w:val="0"/>
          <w:numId w:val="20"/>
        </w:numPr>
      </w:pPr>
      <w:r>
        <w:t>Does the medical service (that has been nominated as the comparator) have an existing MBS item number(s)?</w:t>
      </w:r>
    </w:p>
    <w:p w14:paraId="6CA82729" w14:textId="7C456A1A" w:rsidR="00E45321" w:rsidRPr="00F61121" w:rsidRDefault="00F61121">
      <w:pPr>
        <w:ind w:left="426"/>
        <w:rPr>
          <w:rFonts w:asciiTheme="minorHAnsi" w:hAnsiTheme="minorHAnsi" w:cstheme="minorHAnsi"/>
          <w:sz w:val="20"/>
          <w:szCs w:val="20"/>
        </w:rPr>
      </w:pPr>
      <w:r w:rsidRPr="00F61121">
        <w:rPr>
          <w:rFonts w:asciiTheme="minorHAnsi" w:hAnsiTheme="minorHAnsi" w:cstheme="minorHAnsi"/>
          <w:sz w:val="20"/>
          <w:szCs w:val="20"/>
        </w:rPr>
        <w:fldChar w:fldCharType="begin">
          <w:ffData>
            <w:name w:val=""/>
            <w:enabled/>
            <w:calcOnExit w:val="0"/>
            <w:checkBox>
              <w:sizeAuto/>
              <w:default w:val="1"/>
            </w:checkBox>
          </w:ffData>
        </w:fldChar>
      </w:r>
      <w:r w:rsidRPr="00F61121">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F61121">
        <w:rPr>
          <w:rFonts w:asciiTheme="minorHAnsi" w:hAnsiTheme="minorHAnsi" w:cstheme="minorHAnsi"/>
          <w:sz w:val="20"/>
          <w:szCs w:val="20"/>
        </w:rPr>
        <w:fldChar w:fldCharType="end"/>
      </w:r>
      <w:r w:rsidR="00B76D37" w:rsidRPr="00F61121">
        <w:rPr>
          <w:rFonts w:asciiTheme="minorHAnsi" w:hAnsiTheme="minorHAnsi" w:cstheme="minorHAnsi"/>
          <w:sz w:val="20"/>
          <w:szCs w:val="20"/>
        </w:rPr>
        <w:t xml:space="preserve"> Yes (please list all relevant MBS item numbers below)</w:t>
      </w:r>
    </w:p>
    <w:p w14:paraId="000F351F" w14:textId="288CEAF7" w:rsidR="00E45321" w:rsidRPr="00F61121" w:rsidRDefault="00F61121" w:rsidP="00F61121">
      <w:pPr>
        <w:ind w:left="426"/>
        <w:rPr>
          <w:rFonts w:asciiTheme="minorHAnsi" w:hAnsiTheme="minorHAnsi" w:cstheme="minorHAnsi"/>
          <w:sz w:val="20"/>
          <w:szCs w:val="20"/>
        </w:rPr>
      </w:pPr>
      <w:r w:rsidRPr="00F61121">
        <w:rPr>
          <w:rFonts w:asciiTheme="minorHAnsi" w:hAnsiTheme="minorHAnsi" w:cstheme="minorHAnsi"/>
          <w:sz w:val="20"/>
          <w:szCs w:val="20"/>
        </w:rPr>
        <w:fldChar w:fldCharType="begin">
          <w:ffData>
            <w:name w:val=""/>
            <w:enabled/>
            <w:calcOnExit w:val="0"/>
            <w:checkBox>
              <w:sizeAuto/>
              <w:default w:val="1"/>
            </w:checkBox>
          </w:ffData>
        </w:fldChar>
      </w:r>
      <w:r w:rsidRPr="00F61121">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F61121">
        <w:rPr>
          <w:rFonts w:asciiTheme="minorHAnsi" w:hAnsiTheme="minorHAnsi" w:cstheme="minorHAnsi"/>
          <w:sz w:val="20"/>
          <w:szCs w:val="20"/>
        </w:rPr>
        <w:fldChar w:fldCharType="end"/>
      </w:r>
      <w:r w:rsidR="00B76D37" w:rsidRPr="00F61121">
        <w:rPr>
          <w:rFonts w:asciiTheme="minorHAnsi" w:hAnsiTheme="minorHAnsi" w:cstheme="minorHAnsi"/>
          <w:sz w:val="20"/>
          <w:szCs w:val="20"/>
        </w:rPr>
        <w:t xml:space="preserve"> </w:t>
      </w:r>
      <w:sdt>
        <w:sdtPr>
          <w:rPr>
            <w:rFonts w:asciiTheme="minorHAnsi" w:hAnsiTheme="minorHAnsi" w:cstheme="minorHAnsi"/>
            <w:sz w:val="20"/>
            <w:szCs w:val="20"/>
          </w:rPr>
          <w:tag w:val="goog_rdk_9"/>
          <w:id w:val="-177193997"/>
        </w:sdtPr>
        <w:sdtEndPr/>
        <w:sdtContent/>
      </w:sdt>
      <w:r w:rsidR="00B76D37" w:rsidRPr="00F61121">
        <w:rPr>
          <w:rFonts w:asciiTheme="minorHAnsi" w:hAnsiTheme="minorHAnsi" w:cstheme="minorHAnsi"/>
          <w:sz w:val="20"/>
          <w:szCs w:val="20"/>
        </w:rPr>
        <w:t xml:space="preserve">No  </w:t>
      </w:r>
    </w:p>
    <w:p w14:paraId="6275A0C7" w14:textId="77777777" w:rsidR="00E45321" w:rsidRDefault="00B76D37">
      <w:pPr>
        <w:pStyle w:val="Heading2"/>
        <w:numPr>
          <w:ilvl w:val="0"/>
          <w:numId w:val="20"/>
        </w:numPr>
      </w:pPr>
      <w:r>
        <w:t xml:space="preserve">Define and summarise the current clinical management pathway/s that patients may follow </w:t>
      </w:r>
      <w:r>
        <w:rPr>
          <w:i/>
        </w:rPr>
        <w:t>after</w:t>
      </w:r>
      <w:r>
        <w:t xml:space="preserve"> they receive the medical service that has been nominated as the comparator (supplement this summary with an easy to follow flowchart [as an attachment to the Application Form] depicting the current clinical management pathway that patients may follow from the point of receiving the comparator onwards, including health care resources):</w:t>
      </w:r>
    </w:p>
    <w:p w14:paraId="55A5ED2D" w14:textId="1D1F5629" w:rsidR="00E45321" w:rsidRPr="00F61121" w:rsidRDefault="00B76D37">
      <w:pPr>
        <w:ind w:left="426"/>
        <w:jc w:val="both"/>
        <w:rPr>
          <w:rFonts w:asciiTheme="minorHAnsi" w:hAnsiTheme="minorHAnsi" w:cstheme="minorHAnsi"/>
          <w:sz w:val="20"/>
          <w:szCs w:val="20"/>
        </w:rPr>
      </w:pPr>
      <w:r w:rsidRPr="00F61121">
        <w:rPr>
          <w:rFonts w:asciiTheme="minorHAnsi" w:hAnsiTheme="minorHAnsi" w:cstheme="minorHAnsi"/>
          <w:sz w:val="20"/>
          <w:szCs w:val="20"/>
        </w:rPr>
        <w:t xml:space="preserve">In </w:t>
      </w:r>
      <w:r w:rsidR="00445194" w:rsidRPr="00F61121">
        <w:rPr>
          <w:rFonts w:asciiTheme="minorHAnsi" w:hAnsiTheme="minorHAnsi" w:cstheme="minorHAnsi"/>
          <w:sz w:val="20"/>
          <w:szCs w:val="20"/>
        </w:rPr>
        <w:t xml:space="preserve">the </w:t>
      </w:r>
      <w:r w:rsidRPr="00F61121">
        <w:rPr>
          <w:rFonts w:asciiTheme="minorHAnsi" w:hAnsiTheme="minorHAnsi" w:cstheme="minorHAnsi"/>
          <w:sz w:val="20"/>
          <w:szCs w:val="20"/>
        </w:rPr>
        <w:t xml:space="preserve">absence of </w:t>
      </w:r>
      <w:r w:rsidR="00FE1477" w:rsidRPr="00F61121">
        <w:rPr>
          <w:rFonts w:asciiTheme="minorHAnsi" w:hAnsiTheme="minorHAnsi" w:cstheme="minorHAnsi"/>
          <w:sz w:val="20"/>
          <w:szCs w:val="20"/>
        </w:rPr>
        <w:t>sFlt-1/PlGF testing</w:t>
      </w:r>
      <w:r w:rsidRPr="00F61121">
        <w:rPr>
          <w:rFonts w:asciiTheme="minorHAnsi" w:hAnsiTheme="minorHAnsi" w:cstheme="minorHAnsi"/>
          <w:sz w:val="20"/>
          <w:szCs w:val="20"/>
        </w:rPr>
        <w:t xml:space="preserve"> women identified as being at risk of developing preeclampsia would be managed through increased monitoring </w:t>
      </w:r>
      <w:r w:rsidR="00445194" w:rsidRPr="00F61121">
        <w:rPr>
          <w:rFonts w:asciiTheme="minorHAnsi" w:hAnsiTheme="minorHAnsi" w:cstheme="minorHAnsi"/>
          <w:sz w:val="20"/>
          <w:szCs w:val="20"/>
        </w:rPr>
        <w:t xml:space="preserve">including </w:t>
      </w:r>
      <w:r w:rsidRPr="00F61121">
        <w:rPr>
          <w:rFonts w:asciiTheme="minorHAnsi" w:hAnsiTheme="minorHAnsi" w:cstheme="minorHAnsi"/>
          <w:sz w:val="20"/>
          <w:szCs w:val="20"/>
        </w:rPr>
        <w:t>repeat diagnostic testing, clinical assessments, pregnancy day</w:t>
      </w:r>
      <w:r w:rsidR="00445194" w:rsidRPr="00F61121">
        <w:rPr>
          <w:rFonts w:asciiTheme="minorHAnsi" w:hAnsiTheme="minorHAnsi" w:cstheme="minorHAnsi"/>
          <w:sz w:val="20"/>
          <w:szCs w:val="20"/>
        </w:rPr>
        <w:t xml:space="preserve"> </w:t>
      </w:r>
      <w:r w:rsidRPr="00F61121">
        <w:rPr>
          <w:rFonts w:asciiTheme="minorHAnsi" w:hAnsiTheme="minorHAnsi" w:cstheme="minorHAnsi"/>
          <w:sz w:val="20"/>
          <w:szCs w:val="20"/>
        </w:rPr>
        <w:t>care monitoring, and pre-emptive hospitalisations.</w:t>
      </w:r>
    </w:p>
    <w:p w14:paraId="56391E29" w14:textId="2E2C21DF" w:rsidR="008177E0" w:rsidRPr="00F61121" w:rsidRDefault="008177E0">
      <w:pPr>
        <w:ind w:left="426"/>
        <w:jc w:val="both"/>
        <w:rPr>
          <w:rFonts w:asciiTheme="minorHAnsi" w:hAnsiTheme="minorHAnsi" w:cstheme="minorHAnsi"/>
          <w:sz w:val="20"/>
          <w:szCs w:val="20"/>
        </w:rPr>
      </w:pPr>
      <w:r w:rsidRPr="00F61121">
        <w:rPr>
          <w:rFonts w:asciiTheme="minorHAnsi" w:hAnsiTheme="minorHAnsi" w:cstheme="minorHAnsi"/>
          <w:sz w:val="20"/>
          <w:szCs w:val="20"/>
        </w:rPr>
        <w:t>While the biochemical comparators in paragraph 38 above help diagnose preeclampsia, none of them have the predictive capacity of the sFlt-1/PlGF test.</w:t>
      </w:r>
    </w:p>
    <w:p w14:paraId="5988BAA0" w14:textId="77777777" w:rsidR="00E45321" w:rsidRDefault="00E45321">
      <w:pPr>
        <w:ind w:left="426"/>
        <w:rPr>
          <w:color w:val="7030A0"/>
        </w:rPr>
      </w:pPr>
    </w:p>
    <w:p w14:paraId="6D6C7FD0" w14:textId="77777777" w:rsidR="00E45321" w:rsidRPr="00F61121" w:rsidRDefault="00B76D37">
      <w:pPr>
        <w:pStyle w:val="Heading2"/>
        <w:numPr>
          <w:ilvl w:val="0"/>
          <w:numId w:val="20"/>
        </w:numPr>
        <w:rPr>
          <w:rFonts w:cstheme="minorHAnsi"/>
        </w:rPr>
      </w:pPr>
      <w:r>
        <w:t xml:space="preserve">(a) Will the proposed medical service be used in addition to, or instead of, the nominated </w:t>
      </w:r>
      <w:r w:rsidRPr="00F61121">
        <w:rPr>
          <w:rFonts w:cstheme="minorHAnsi"/>
        </w:rPr>
        <w:t>comparator(s)?</w:t>
      </w:r>
    </w:p>
    <w:p w14:paraId="767039C8" w14:textId="7BF055AF" w:rsidR="00E45321" w:rsidRPr="00F61121" w:rsidRDefault="00F61121">
      <w:pPr>
        <w:ind w:left="426"/>
        <w:rPr>
          <w:rFonts w:asciiTheme="minorHAnsi" w:hAnsiTheme="minorHAnsi" w:cstheme="minorHAnsi"/>
          <w:sz w:val="20"/>
          <w:szCs w:val="20"/>
        </w:rPr>
      </w:pPr>
      <w:r w:rsidRPr="00F61121">
        <w:rPr>
          <w:rFonts w:asciiTheme="minorHAnsi" w:hAnsiTheme="minorHAnsi" w:cstheme="minorHAnsi"/>
          <w:sz w:val="20"/>
          <w:szCs w:val="20"/>
        </w:rPr>
        <w:fldChar w:fldCharType="begin">
          <w:ffData>
            <w:name w:val=""/>
            <w:enabled/>
            <w:calcOnExit w:val="0"/>
            <w:checkBox>
              <w:sizeAuto/>
              <w:default w:val="1"/>
            </w:checkBox>
          </w:ffData>
        </w:fldChar>
      </w:r>
      <w:r w:rsidRPr="00F61121">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F61121">
        <w:rPr>
          <w:rFonts w:asciiTheme="minorHAnsi" w:hAnsiTheme="minorHAnsi" w:cstheme="minorHAnsi"/>
          <w:sz w:val="20"/>
          <w:szCs w:val="20"/>
        </w:rPr>
        <w:fldChar w:fldCharType="end"/>
      </w:r>
      <w:r>
        <w:rPr>
          <w:rFonts w:asciiTheme="minorHAnsi" w:hAnsiTheme="minorHAnsi" w:cstheme="minorHAnsi"/>
          <w:sz w:val="20"/>
          <w:szCs w:val="20"/>
        </w:rPr>
        <w:t xml:space="preserve"> </w:t>
      </w:r>
      <w:r w:rsidR="00B76D37" w:rsidRPr="00F61121">
        <w:rPr>
          <w:rFonts w:asciiTheme="minorHAnsi" w:hAnsiTheme="minorHAnsi" w:cstheme="minorHAnsi"/>
          <w:sz w:val="20"/>
          <w:szCs w:val="20"/>
        </w:rPr>
        <w:t xml:space="preserve">In addition to (i.e. it is an add-on service) </w:t>
      </w:r>
    </w:p>
    <w:p w14:paraId="4DDCA37D" w14:textId="0B7003B0" w:rsidR="00E45321" w:rsidRPr="00F61121" w:rsidRDefault="00F61121" w:rsidP="00F61121">
      <w:pPr>
        <w:ind w:left="426"/>
        <w:rPr>
          <w:rFonts w:asciiTheme="minorHAnsi" w:hAnsiTheme="minorHAnsi" w:cstheme="minorHAnsi"/>
          <w:sz w:val="20"/>
          <w:szCs w:val="20"/>
        </w:rPr>
      </w:pPr>
      <w:r w:rsidRPr="00F61121">
        <w:rPr>
          <w:rFonts w:asciiTheme="minorHAnsi" w:hAnsiTheme="minorHAnsi" w:cstheme="minorHAnsi"/>
          <w:sz w:val="20"/>
          <w:szCs w:val="20"/>
        </w:rPr>
        <w:fldChar w:fldCharType="begin">
          <w:ffData>
            <w:name w:val=""/>
            <w:enabled/>
            <w:calcOnExit w:val="0"/>
            <w:checkBox>
              <w:sizeAuto/>
              <w:default w:val="0"/>
            </w:checkBox>
          </w:ffData>
        </w:fldChar>
      </w:r>
      <w:r w:rsidRPr="00F61121">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F61121">
        <w:rPr>
          <w:rFonts w:asciiTheme="minorHAnsi" w:hAnsiTheme="minorHAnsi" w:cstheme="minorHAnsi"/>
          <w:sz w:val="20"/>
          <w:szCs w:val="20"/>
        </w:rPr>
        <w:fldChar w:fldCharType="end"/>
      </w:r>
      <w:r w:rsidR="00B76D37" w:rsidRPr="00F61121">
        <w:rPr>
          <w:rFonts w:asciiTheme="minorHAnsi" w:hAnsiTheme="minorHAnsi" w:cstheme="minorHAnsi"/>
          <w:sz w:val="20"/>
          <w:szCs w:val="20"/>
        </w:rPr>
        <w:t xml:space="preserve"> Instead of (i.e. it is a replacement or alternative)</w:t>
      </w:r>
    </w:p>
    <w:p w14:paraId="2478CA3A" w14:textId="77777777" w:rsidR="00E45321" w:rsidRDefault="00B76D37">
      <w:pPr>
        <w:pStyle w:val="Heading2"/>
        <w:numPr>
          <w:ilvl w:val="0"/>
          <w:numId w:val="16"/>
        </w:numPr>
      </w:pPr>
      <w:r>
        <w:t>If instead of (i.e. alternative service), please outline the extent to which the current service/comparator is expected to be substituted:</w:t>
      </w:r>
    </w:p>
    <w:p w14:paraId="48F2E86A" w14:textId="627D35FE" w:rsidR="00E45321" w:rsidRPr="00F61121" w:rsidRDefault="00F61121">
      <w:pPr>
        <w:ind w:left="426"/>
        <w:rPr>
          <w:rFonts w:asciiTheme="minorHAnsi" w:hAnsiTheme="minorHAnsi" w:cstheme="minorHAnsi"/>
          <w:sz w:val="20"/>
          <w:szCs w:val="20"/>
        </w:rPr>
      </w:pPr>
      <w:r w:rsidRPr="00F61121">
        <w:rPr>
          <w:rFonts w:asciiTheme="minorHAnsi" w:hAnsiTheme="minorHAnsi" w:cstheme="minorHAnsi"/>
          <w:sz w:val="20"/>
          <w:szCs w:val="20"/>
        </w:rPr>
        <w:t>Not applicable</w:t>
      </w:r>
    </w:p>
    <w:p w14:paraId="6BCEC360" w14:textId="4087D10D" w:rsidR="00E45321" w:rsidRPr="00F61121" w:rsidRDefault="00B76D37" w:rsidP="00F61121">
      <w:pPr>
        <w:pStyle w:val="Heading2"/>
        <w:numPr>
          <w:ilvl w:val="0"/>
          <w:numId w:val="20"/>
        </w:numPr>
      </w:pPr>
      <w:r>
        <w:t xml:space="preserve">Define and summarise how current clinical management pathways (from the point of service delivery onwards) are expected to change </w:t>
      </w:r>
      <w:proofErr w:type="gramStart"/>
      <w:r>
        <w:t>as a consequence of</w:t>
      </w:r>
      <w:proofErr w:type="gramEnd"/>
      <w:r>
        <w:t xml:space="preserve"> introducing the proposed medical service, including variation in health care resources (Refer to Question 39 as baseline):</w:t>
      </w:r>
    </w:p>
    <w:p w14:paraId="762A17FB" w14:textId="66D023CA" w:rsidR="00E45321" w:rsidRPr="00F61121" w:rsidRDefault="00B76D37" w:rsidP="00F61121">
      <w:pPr>
        <w:ind w:left="426"/>
        <w:rPr>
          <w:rFonts w:asciiTheme="minorHAnsi" w:hAnsiTheme="minorHAnsi" w:cstheme="minorHAnsi"/>
          <w:sz w:val="20"/>
          <w:szCs w:val="20"/>
        </w:rPr>
      </w:pPr>
      <w:r w:rsidRPr="00F61121">
        <w:rPr>
          <w:rFonts w:asciiTheme="minorHAnsi" w:hAnsiTheme="minorHAnsi" w:cstheme="minorHAnsi"/>
          <w:sz w:val="20"/>
          <w:szCs w:val="20"/>
        </w:rPr>
        <w:t xml:space="preserve">The additional information provided by the </w:t>
      </w:r>
      <w:r w:rsidR="00AD7D01" w:rsidRPr="00F61121">
        <w:rPr>
          <w:rFonts w:asciiTheme="minorHAnsi" w:hAnsiTheme="minorHAnsi" w:cstheme="minorHAnsi"/>
          <w:sz w:val="20"/>
          <w:szCs w:val="20"/>
        </w:rPr>
        <w:t>sFlt-1/PlGF test</w:t>
      </w:r>
      <w:r w:rsidRPr="00F61121">
        <w:rPr>
          <w:rFonts w:asciiTheme="minorHAnsi" w:hAnsiTheme="minorHAnsi" w:cstheme="minorHAnsi"/>
          <w:sz w:val="20"/>
          <w:szCs w:val="20"/>
        </w:rPr>
        <w:t xml:space="preserve"> result</w:t>
      </w:r>
      <w:r w:rsidR="00445194" w:rsidRPr="00F61121">
        <w:rPr>
          <w:rFonts w:asciiTheme="minorHAnsi" w:hAnsiTheme="minorHAnsi" w:cstheme="minorHAnsi"/>
          <w:sz w:val="20"/>
          <w:szCs w:val="20"/>
        </w:rPr>
        <w:t>s</w:t>
      </w:r>
      <w:r w:rsidRPr="00F61121">
        <w:rPr>
          <w:rFonts w:asciiTheme="minorHAnsi" w:hAnsiTheme="minorHAnsi" w:cstheme="minorHAnsi"/>
          <w:sz w:val="20"/>
          <w:szCs w:val="20"/>
        </w:rPr>
        <w:t xml:space="preserve"> in management decisions for women with suspected </w:t>
      </w:r>
      <w:r w:rsidR="008A08EB" w:rsidRPr="00F61121">
        <w:rPr>
          <w:rFonts w:asciiTheme="minorHAnsi" w:hAnsiTheme="minorHAnsi" w:cstheme="minorHAnsi"/>
          <w:sz w:val="20"/>
          <w:szCs w:val="20"/>
        </w:rPr>
        <w:t>preeclampsia</w:t>
      </w:r>
      <w:r w:rsidRPr="00F61121">
        <w:rPr>
          <w:rFonts w:asciiTheme="minorHAnsi" w:hAnsiTheme="minorHAnsi" w:cstheme="minorHAnsi"/>
          <w:sz w:val="20"/>
          <w:szCs w:val="20"/>
        </w:rPr>
        <w:t xml:space="preserve"> that are better correlated with </w:t>
      </w:r>
      <w:r w:rsidR="008A08EB" w:rsidRPr="00F61121">
        <w:rPr>
          <w:rFonts w:asciiTheme="minorHAnsi" w:hAnsiTheme="minorHAnsi" w:cstheme="minorHAnsi"/>
          <w:sz w:val="20"/>
          <w:szCs w:val="20"/>
        </w:rPr>
        <w:t>preeclampsia</w:t>
      </w:r>
      <w:r w:rsidRPr="00F61121">
        <w:rPr>
          <w:rFonts w:asciiTheme="minorHAnsi" w:hAnsiTheme="minorHAnsi" w:cstheme="minorHAnsi"/>
          <w:sz w:val="20"/>
          <w:szCs w:val="20"/>
        </w:rPr>
        <w:t xml:space="preserve"> outcomes than are current diagnostic procedures alone.</w:t>
      </w:r>
    </w:p>
    <w:p w14:paraId="47E6FDC8" w14:textId="77777777" w:rsidR="00E037B0" w:rsidRPr="00F61121" w:rsidRDefault="00E037B0" w:rsidP="00F61121">
      <w:pPr>
        <w:ind w:left="426"/>
        <w:rPr>
          <w:rFonts w:asciiTheme="minorHAnsi" w:hAnsiTheme="minorHAnsi" w:cstheme="minorHAnsi"/>
          <w:sz w:val="20"/>
          <w:szCs w:val="20"/>
        </w:rPr>
      </w:pPr>
    </w:p>
    <w:p w14:paraId="03A2B667" w14:textId="77777777" w:rsidR="00E45321" w:rsidRPr="00F61121" w:rsidRDefault="00E97D0C" w:rsidP="00F61121">
      <w:pPr>
        <w:ind w:left="426"/>
        <w:rPr>
          <w:rFonts w:asciiTheme="minorHAnsi" w:hAnsiTheme="minorHAnsi" w:cstheme="minorHAnsi"/>
          <w:sz w:val="20"/>
          <w:szCs w:val="20"/>
        </w:rPr>
      </w:pPr>
      <w:r w:rsidRPr="00F61121">
        <w:rPr>
          <w:rFonts w:asciiTheme="minorHAnsi" w:hAnsiTheme="minorHAnsi" w:cstheme="minorHAnsi"/>
          <w:sz w:val="20"/>
          <w:szCs w:val="20"/>
        </w:rPr>
        <w:t>The sFlt-1/PlGF ratio test reduces unnecessary hospitalisation of women at low risk of developing preeclampsia in the short term while also identifying high-risk individuals requiring appropriate management. Reducing unnecessary hospitalisations</w:t>
      </w:r>
      <w:r w:rsidR="00492F2D" w:rsidRPr="00F61121">
        <w:rPr>
          <w:rFonts w:asciiTheme="minorHAnsi" w:hAnsiTheme="minorHAnsi" w:cstheme="minorHAnsi"/>
          <w:sz w:val="20"/>
          <w:szCs w:val="20"/>
        </w:rPr>
        <w:t xml:space="preserve"> and</w:t>
      </w:r>
      <w:r w:rsidRPr="00F61121">
        <w:rPr>
          <w:rFonts w:asciiTheme="minorHAnsi" w:hAnsiTheme="minorHAnsi" w:cstheme="minorHAnsi"/>
          <w:sz w:val="20"/>
          <w:szCs w:val="20"/>
        </w:rPr>
        <w:t xml:space="preserve"> outpatient visitations has been demonstrated to result in significant cost savings in healthcare systems.</w:t>
      </w:r>
    </w:p>
    <w:p w14:paraId="143C519B" w14:textId="77777777" w:rsidR="00E97D0C" w:rsidRPr="00F61121" w:rsidRDefault="00E97D0C" w:rsidP="00F61121">
      <w:pPr>
        <w:ind w:left="426"/>
        <w:rPr>
          <w:rFonts w:asciiTheme="minorHAnsi" w:hAnsiTheme="minorHAnsi" w:cstheme="minorHAnsi"/>
          <w:sz w:val="20"/>
          <w:szCs w:val="20"/>
        </w:rPr>
      </w:pPr>
    </w:p>
    <w:p w14:paraId="69136605" w14:textId="77777777" w:rsidR="00E45321" w:rsidRPr="00F61121" w:rsidRDefault="00B76D37" w:rsidP="00F61121">
      <w:pPr>
        <w:ind w:left="426"/>
        <w:rPr>
          <w:rFonts w:asciiTheme="minorHAnsi" w:hAnsiTheme="minorHAnsi" w:cstheme="minorHAnsi"/>
          <w:sz w:val="20"/>
          <w:szCs w:val="20"/>
        </w:rPr>
      </w:pPr>
      <w:r w:rsidRPr="00F61121">
        <w:rPr>
          <w:rFonts w:asciiTheme="minorHAnsi" w:hAnsiTheme="minorHAnsi" w:cstheme="minorHAnsi"/>
          <w:sz w:val="20"/>
          <w:szCs w:val="20"/>
        </w:rPr>
        <w:t>The PROGNOSIS s</w:t>
      </w:r>
      <w:r w:rsidR="00FE1477" w:rsidRPr="00F61121">
        <w:rPr>
          <w:rFonts w:asciiTheme="minorHAnsi" w:hAnsiTheme="minorHAnsi" w:cstheme="minorHAnsi"/>
          <w:sz w:val="20"/>
          <w:szCs w:val="20"/>
        </w:rPr>
        <w:t>tudy demonstrated that without sFlt-1/PlGF testing</w:t>
      </w:r>
      <w:r w:rsidRPr="00F61121">
        <w:rPr>
          <w:rFonts w:asciiTheme="minorHAnsi" w:hAnsiTheme="minorHAnsi" w:cstheme="minorHAnsi"/>
          <w:sz w:val="20"/>
          <w:szCs w:val="20"/>
        </w:rPr>
        <w:t>, 36% of women were hospital</w:t>
      </w:r>
      <w:r w:rsidR="00837EF2" w:rsidRPr="00F61121">
        <w:rPr>
          <w:rFonts w:asciiTheme="minorHAnsi" w:hAnsiTheme="minorHAnsi" w:cstheme="minorHAnsi"/>
          <w:sz w:val="20"/>
          <w:szCs w:val="20"/>
        </w:rPr>
        <w:t>ise</w:t>
      </w:r>
      <w:r w:rsidRPr="00F61121">
        <w:rPr>
          <w:rFonts w:asciiTheme="minorHAnsi" w:hAnsiTheme="minorHAnsi" w:cstheme="minorHAnsi"/>
          <w:sz w:val="20"/>
          <w:szCs w:val="20"/>
        </w:rPr>
        <w:t xml:space="preserve">d before a diagnosis of </w:t>
      </w:r>
      <w:r w:rsidR="008A08EB" w:rsidRPr="00F61121">
        <w:rPr>
          <w:rFonts w:asciiTheme="minorHAnsi" w:hAnsiTheme="minorHAnsi" w:cstheme="minorHAnsi"/>
          <w:sz w:val="20"/>
          <w:szCs w:val="20"/>
        </w:rPr>
        <w:t>preeclampsia</w:t>
      </w:r>
      <w:r w:rsidRPr="00F61121">
        <w:rPr>
          <w:rFonts w:asciiTheme="minorHAnsi" w:hAnsiTheme="minorHAnsi" w:cstheme="minorHAnsi"/>
          <w:sz w:val="20"/>
          <w:szCs w:val="20"/>
        </w:rPr>
        <w:t xml:space="preserve">. If the additional information from the </w:t>
      </w:r>
      <w:r w:rsidR="00FE1477" w:rsidRPr="00F61121">
        <w:rPr>
          <w:rFonts w:asciiTheme="minorHAnsi" w:hAnsiTheme="minorHAnsi" w:cstheme="minorHAnsi"/>
          <w:sz w:val="20"/>
          <w:szCs w:val="20"/>
        </w:rPr>
        <w:t>sFlt-1/PlGF</w:t>
      </w:r>
      <w:r w:rsidRPr="00F61121">
        <w:rPr>
          <w:rFonts w:asciiTheme="minorHAnsi" w:hAnsiTheme="minorHAnsi" w:cstheme="minorHAnsi"/>
          <w:sz w:val="20"/>
          <w:szCs w:val="20"/>
        </w:rPr>
        <w:t xml:space="preserve"> test had been available, the proportion of women hospital</w:t>
      </w:r>
      <w:r w:rsidR="00837EF2" w:rsidRPr="00F61121">
        <w:rPr>
          <w:rFonts w:asciiTheme="minorHAnsi" w:hAnsiTheme="minorHAnsi" w:cstheme="minorHAnsi"/>
          <w:sz w:val="20"/>
          <w:szCs w:val="20"/>
        </w:rPr>
        <w:t>ise</w:t>
      </w:r>
      <w:r w:rsidRPr="00F61121">
        <w:rPr>
          <w:rFonts w:asciiTheme="minorHAnsi" w:hAnsiTheme="minorHAnsi" w:cstheme="minorHAnsi"/>
          <w:sz w:val="20"/>
          <w:szCs w:val="20"/>
        </w:rPr>
        <w:t xml:space="preserve">d could have been reduced to around 16% </w:t>
      </w:r>
      <w:r w:rsidR="00821CA2" w:rsidRPr="00F61121">
        <w:rPr>
          <w:rFonts w:asciiTheme="minorHAnsi" w:hAnsiTheme="minorHAnsi" w:cstheme="minorHAnsi"/>
          <w:sz w:val="20"/>
          <w:szCs w:val="20"/>
        </w:rPr>
        <w:t>(</w:t>
      </w:r>
      <w:proofErr w:type="spellStart"/>
      <w:r w:rsidR="00821CA2" w:rsidRPr="00F61121">
        <w:rPr>
          <w:rFonts w:asciiTheme="minorHAnsi" w:hAnsiTheme="minorHAnsi" w:cstheme="minorHAnsi"/>
          <w:sz w:val="20"/>
          <w:szCs w:val="20"/>
        </w:rPr>
        <w:t>Vatish</w:t>
      </w:r>
      <w:proofErr w:type="spellEnd"/>
      <w:r w:rsidR="00821CA2" w:rsidRPr="00F61121">
        <w:rPr>
          <w:rFonts w:asciiTheme="minorHAnsi" w:hAnsiTheme="minorHAnsi" w:cstheme="minorHAnsi"/>
          <w:sz w:val="20"/>
          <w:szCs w:val="20"/>
        </w:rPr>
        <w:t xml:space="preserve"> 2016</w:t>
      </w:r>
      <w:r w:rsidRPr="00F61121">
        <w:rPr>
          <w:rFonts w:asciiTheme="minorHAnsi" w:hAnsiTheme="minorHAnsi" w:cstheme="minorHAnsi"/>
          <w:sz w:val="20"/>
          <w:szCs w:val="20"/>
        </w:rPr>
        <w:t>).</w:t>
      </w:r>
    </w:p>
    <w:p w14:paraId="283DCF4B" w14:textId="77777777" w:rsidR="00E45321" w:rsidRPr="00F61121" w:rsidRDefault="00E45321" w:rsidP="00F61121">
      <w:pPr>
        <w:ind w:left="426"/>
        <w:rPr>
          <w:rFonts w:asciiTheme="minorHAnsi" w:hAnsiTheme="minorHAnsi" w:cstheme="minorHAnsi"/>
          <w:sz w:val="20"/>
          <w:szCs w:val="20"/>
        </w:rPr>
      </w:pPr>
    </w:p>
    <w:p w14:paraId="6646454A" w14:textId="77777777" w:rsidR="00E45321" w:rsidRPr="00F61121" w:rsidRDefault="00E97D0C" w:rsidP="00F61121">
      <w:pPr>
        <w:ind w:left="426"/>
        <w:rPr>
          <w:rFonts w:asciiTheme="minorHAnsi" w:hAnsiTheme="minorHAnsi" w:cstheme="minorHAnsi"/>
          <w:sz w:val="20"/>
          <w:szCs w:val="20"/>
        </w:rPr>
      </w:pPr>
      <w:bookmarkStart w:id="22" w:name="_heading=h.1fob9te" w:colFirst="0" w:colLast="0"/>
      <w:bookmarkEnd w:id="22"/>
      <w:r w:rsidRPr="00F61121">
        <w:rPr>
          <w:rFonts w:asciiTheme="minorHAnsi" w:hAnsiTheme="minorHAnsi" w:cstheme="minorHAnsi"/>
          <w:sz w:val="20"/>
          <w:szCs w:val="20"/>
        </w:rPr>
        <w:t>Published cost-effectiveness modelling</w:t>
      </w:r>
      <w:r w:rsidR="00B76D37" w:rsidRPr="00F61121">
        <w:rPr>
          <w:rFonts w:asciiTheme="minorHAnsi" w:hAnsiTheme="minorHAnsi" w:cstheme="minorHAnsi"/>
          <w:sz w:val="20"/>
          <w:szCs w:val="20"/>
        </w:rPr>
        <w:t xml:space="preserve"> based on the PROGNOSIS study estima</w:t>
      </w:r>
      <w:r w:rsidR="00956019" w:rsidRPr="00F61121">
        <w:rPr>
          <w:rFonts w:asciiTheme="minorHAnsi" w:hAnsiTheme="minorHAnsi" w:cstheme="minorHAnsi"/>
          <w:sz w:val="20"/>
          <w:szCs w:val="20"/>
        </w:rPr>
        <w:t>ted cost savings of between $206</w:t>
      </w:r>
      <w:r w:rsidR="00B76D37" w:rsidRPr="00F61121">
        <w:rPr>
          <w:rFonts w:asciiTheme="minorHAnsi" w:hAnsiTheme="minorHAnsi" w:cstheme="minorHAnsi"/>
          <w:sz w:val="20"/>
          <w:szCs w:val="20"/>
        </w:rPr>
        <w:t xml:space="preserve"> and $1063 </w:t>
      </w:r>
      <w:r w:rsidR="00D72BE0" w:rsidRPr="00F61121">
        <w:rPr>
          <w:rFonts w:asciiTheme="minorHAnsi" w:hAnsiTheme="minorHAnsi" w:cstheme="minorHAnsi"/>
          <w:sz w:val="20"/>
          <w:szCs w:val="20"/>
        </w:rPr>
        <w:t xml:space="preserve">AUD per patient eligible for </w:t>
      </w:r>
      <w:r w:rsidR="00CC177B" w:rsidRPr="00F61121">
        <w:rPr>
          <w:rFonts w:asciiTheme="minorHAnsi" w:hAnsiTheme="minorHAnsi" w:cstheme="minorHAnsi"/>
          <w:sz w:val="20"/>
          <w:szCs w:val="20"/>
        </w:rPr>
        <w:t>sFlt-1/PlGF testing</w:t>
      </w:r>
      <w:r w:rsidR="00D72BE0" w:rsidRPr="00F61121">
        <w:rPr>
          <w:rFonts w:asciiTheme="minorHAnsi" w:hAnsiTheme="minorHAnsi" w:cstheme="minorHAnsi"/>
          <w:sz w:val="20"/>
          <w:szCs w:val="20"/>
        </w:rPr>
        <w:t>.</w:t>
      </w:r>
    </w:p>
    <w:p w14:paraId="30DD07F1" w14:textId="77777777" w:rsidR="00E45321" w:rsidRDefault="00E45321">
      <w:pPr>
        <w:ind w:left="426"/>
        <w:jc w:val="both"/>
        <w:rPr>
          <w:color w:val="0432FF"/>
        </w:rPr>
      </w:pPr>
    </w:p>
    <w:tbl>
      <w:tblPr>
        <w:tblStyle w:val="a7"/>
        <w:tblW w:w="8560"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500"/>
        <w:gridCol w:w="1677"/>
        <w:gridCol w:w="1383"/>
      </w:tblGrid>
      <w:tr w:rsidR="00E45321" w14:paraId="0239F95D" w14:textId="77777777" w:rsidTr="008E3805">
        <w:trPr>
          <w:trHeight w:val="665"/>
        </w:trPr>
        <w:tc>
          <w:tcPr>
            <w:tcW w:w="5500" w:type="dxa"/>
            <w:shd w:val="clear" w:color="auto" w:fill="auto"/>
            <w:vAlign w:val="bottom"/>
          </w:tcPr>
          <w:p w14:paraId="2A867D25" w14:textId="77777777" w:rsidR="00E45321" w:rsidRPr="00F61121" w:rsidRDefault="00B76D37">
            <w:pPr>
              <w:rPr>
                <w:rFonts w:asciiTheme="minorHAnsi" w:eastAsia="Calibri" w:hAnsiTheme="minorHAnsi" w:cstheme="minorHAnsi"/>
                <w:b/>
                <w:color w:val="000000"/>
                <w:sz w:val="22"/>
                <w:szCs w:val="22"/>
              </w:rPr>
            </w:pPr>
            <w:r w:rsidRPr="00F61121">
              <w:rPr>
                <w:rFonts w:asciiTheme="minorHAnsi" w:eastAsia="Calibri" w:hAnsiTheme="minorHAnsi" w:cstheme="minorHAnsi"/>
                <w:b/>
                <w:color w:val="000000"/>
                <w:sz w:val="22"/>
                <w:szCs w:val="22"/>
              </w:rPr>
              <w:t>Cost savings estimated in literature (PROGNOSIS)</w:t>
            </w:r>
          </w:p>
        </w:tc>
        <w:tc>
          <w:tcPr>
            <w:tcW w:w="1677" w:type="dxa"/>
            <w:shd w:val="clear" w:color="auto" w:fill="auto"/>
            <w:vAlign w:val="bottom"/>
          </w:tcPr>
          <w:p w14:paraId="047BD10F" w14:textId="77777777" w:rsidR="00E45321" w:rsidRPr="00F61121" w:rsidRDefault="00B76D37" w:rsidP="00D72BE0">
            <w:pPr>
              <w:jc w:val="center"/>
              <w:rPr>
                <w:rFonts w:asciiTheme="minorHAnsi" w:eastAsia="Calibri" w:hAnsiTheme="minorHAnsi" w:cstheme="minorHAnsi"/>
                <w:b/>
                <w:color w:val="000000"/>
                <w:sz w:val="22"/>
                <w:szCs w:val="22"/>
              </w:rPr>
            </w:pPr>
            <w:r w:rsidRPr="00F61121">
              <w:rPr>
                <w:rFonts w:asciiTheme="minorHAnsi" w:eastAsia="Calibri" w:hAnsiTheme="minorHAnsi" w:cstheme="minorHAnsi"/>
                <w:b/>
                <w:color w:val="000000"/>
                <w:sz w:val="22"/>
                <w:szCs w:val="22"/>
              </w:rPr>
              <w:t>Savings per patient</w:t>
            </w:r>
          </w:p>
        </w:tc>
        <w:tc>
          <w:tcPr>
            <w:tcW w:w="1383" w:type="dxa"/>
            <w:shd w:val="clear" w:color="auto" w:fill="auto"/>
            <w:vAlign w:val="bottom"/>
          </w:tcPr>
          <w:p w14:paraId="1D0FCD0C" w14:textId="77777777" w:rsidR="00E45321" w:rsidRPr="00F61121" w:rsidRDefault="00B76D37" w:rsidP="00D72BE0">
            <w:pPr>
              <w:jc w:val="center"/>
              <w:rPr>
                <w:rFonts w:asciiTheme="minorHAnsi" w:eastAsia="Calibri" w:hAnsiTheme="minorHAnsi" w:cstheme="minorHAnsi"/>
                <w:b/>
                <w:color w:val="000000"/>
                <w:sz w:val="22"/>
                <w:szCs w:val="22"/>
              </w:rPr>
            </w:pPr>
            <w:r w:rsidRPr="00F61121">
              <w:rPr>
                <w:rFonts w:asciiTheme="minorHAnsi" w:eastAsia="Calibri" w:hAnsiTheme="minorHAnsi" w:cstheme="minorHAnsi"/>
                <w:b/>
                <w:color w:val="000000"/>
                <w:sz w:val="22"/>
                <w:szCs w:val="22"/>
              </w:rPr>
              <w:t>AUD</w:t>
            </w:r>
            <w:r w:rsidR="00D72BE0" w:rsidRPr="00F61121">
              <w:rPr>
                <w:rFonts w:asciiTheme="minorHAnsi" w:eastAsia="Calibri" w:hAnsiTheme="minorHAnsi" w:cstheme="minorHAnsi"/>
                <w:b/>
                <w:color w:val="000000"/>
                <w:sz w:val="22"/>
                <w:szCs w:val="22"/>
              </w:rPr>
              <w:t xml:space="preserve"> </w:t>
            </w:r>
            <w:r w:rsidR="00D72BE0" w:rsidRPr="00F61121">
              <w:rPr>
                <w:rFonts w:asciiTheme="minorHAnsi" w:eastAsia="Calibri" w:hAnsiTheme="minorHAnsi" w:cstheme="minorHAnsi"/>
                <w:b/>
                <w:color w:val="000000"/>
                <w:sz w:val="16"/>
                <w:szCs w:val="16"/>
              </w:rPr>
              <w:t>(</w:t>
            </w:r>
            <w:hyperlink r:id="rId12">
              <w:r w:rsidR="00D72BE0" w:rsidRPr="00F61121">
                <w:rPr>
                  <w:rFonts w:asciiTheme="minorHAnsi" w:hAnsiTheme="minorHAnsi" w:cstheme="minorHAnsi"/>
                  <w:sz w:val="16"/>
                  <w:szCs w:val="16"/>
                  <w:u w:val="single"/>
                </w:rPr>
                <w:t>www.xe.com</w:t>
              </w:r>
            </w:hyperlink>
            <w:r w:rsidR="00D72BE0" w:rsidRPr="00F61121">
              <w:rPr>
                <w:rFonts w:asciiTheme="minorHAnsi" w:hAnsiTheme="minorHAnsi" w:cstheme="minorHAnsi"/>
                <w:sz w:val="16"/>
                <w:szCs w:val="16"/>
              </w:rPr>
              <w:t xml:space="preserve"> July 2021)</w:t>
            </w:r>
          </w:p>
        </w:tc>
      </w:tr>
      <w:tr w:rsidR="00E45321" w14:paraId="0C5E8F48" w14:textId="77777777" w:rsidTr="008E3805">
        <w:trPr>
          <w:trHeight w:val="300"/>
        </w:trPr>
        <w:tc>
          <w:tcPr>
            <w:tcW w:w="5500" w:type="dxa"/>
            <w:shd w:val="clear" w:color="auto" w:fill="auto"/>
            <w:vAlign w:val="bottom"/>
          </w:tcPr>
          <w:p w14:paraId="05201A83" w14:textId="77777777" w:rsidR="00E45321" w:rsidRPr="00F61121" w:rsidRDefault="00B76D37">
            <w:pPr>
              <w:rPr>
                <w:rFonts w:asciiTheme="minorHAnsi" w:eastAsia="Calibri" w:hAnsiTheme="minorHAnsi" w:cstheme="minorHAnsi"/>
                <w:color w:val="000000"/>
                <w:sz w:val="22"/>
                <w:szCs w:val="22"/>
              </w:rPr>
            </w:pPr>
            <w:proofErr w:type="spellStart"/>
            <w:r w:rsidRPr="00F61121">
              <w:rPr>
                <w:rFonts w:asciiTheme="minorHAnsi" w:eastAsia="Calibri" w:hAnsiTheme="minorHAnsi" w:cstheme="minorHAnsi"/>
                <w:color w:val="000000"/>
                <w:sz w:val="22"/>
                <w:szCs w:val="22"/>
              </w:rPr>
              <w:t>Schlembach</w:t>
            </w:r>
            <w:proofErr w:type="spellEnd"/>
            <w:r w:rsidRPr="00F61121">
              <w:rPr>
                <w:rFonts w:asciiTheme="minorHAnsi" w:eastAsia="Calibri" w:hAnsiTheme="minorHAnsi" w:cstheme="minorHAnsi"/>
                <w:color w:val="000000"/>
                <w:sz w:val="22"/>
                <w:szCs w:val="22"/>
              </w:rPr>
              <w:t xml:space="preserve"> et al. 2018 (Germany)</w:t>
            </w:r>
          </w:p>
        </w:tc>
        <w:tc>
          <w:tcPr>
            <w:tcW w:w="1677" w:type="dxa"/>
            <w:shd w:val="clear" w:color="auto" w:fill="auto"/>
            <w:vAlign w:val="bottom"/>
          </w:tcPr>
          <w:p w14:paraId="3BA5D023" w14:textId="77777777" w:rsidR="00E45321" w:rsidRPr="00F61121" w:rsidRDefault="00B76D37" w:rsidP="00D72BE0">
            <w:pPr>
              <w:jc w:val="center"/>
              <w:rPr>
                <w:rFonts w:asciiTheme="minorHAnsi" w:eastAsia="Calibri" w:hAnsiTheme="minorHAnsi" w:cstheme="minorHAnsi"/>
                <w:color w:val="000000"/>
                <w:sz w:val="22"/>
                <w:szCs w:val="22"/>
              </w:rPr>
            </w:pPr>
            <w:r w:rsidRPr="00F61121">
              <w:rPr>
                <w:rFonts w:asciiTheme="minorHAnsi" w:eastAsia="Calibri" w:hAnsiTheme="minorHAnsi" w:cstheme="minorHAnsi"/>
                <w:color w:val="000000"/>
                <w:sz w:val="22"/>
                <w:szCs w:val="22"/>
              </w:rPr>
              <w:t>€ 361</w:t>
            </w:r>
          </w:p>
        </w:tc>
        <w:tc>
          <w:tcPr>
            <w:tcW w:w="1383" w:type="dxa"/>
            <w:shd w:val="clear" w:color="auto" w:fill="auto"/>
            <w:vAlign w:val="bottom"/>
          </w:tcPr>
          <w:p w14:paraId="632E9031" w14:textId="77777777" w:rsidR="00E45321" w:rsidRPr="00F61121" w:rsidRDefault="00B76D37" w:rsidP="00D72BE0">
            <w:pPr>
              <w:jc w:val="center"/>
              <w:rPr>
                <w:rFonts w:asciiTheme="minorHAnsi" w:eastAsia="Calibri" w:hAnsiTheme="minorHAnsi" w:cstheme="minorHAnsi"/>
                <w:color w:val="000000"/>
                <w:sz w:val="22"/>
                <w:szCs w:val="22"/>
              </w:rPr>
            </w:pPr>
            <w:r w:rsidRPr="00F61121">
              <w:rPr>
                <w:rFonts w:asciiTheme="minorHAnsi" w:eastAsia="Calibri" w:hAnsiTheme="minorHAnsi" w:cstheme="minorHAnsi"/>
                <w:color w:val="000000"/>
                <w:sz w:val="22"/>
                <w:szCs w:val="22"/>
              </w:rPr>
              <w:t>$ 570</w:t>
            </w:r>
          </w:p>
        </w:tc>
      </w:tr>
      <w:tr w:rsidR="00E45321" w14:paraId="5C7E3EBF" w14:textId="77777777" w:rsidTr="008E3805">
        <w:trPr>
          <w:trHeight w:val="300"/>
        </w:trPr>
        <w:tc>
          <w:tcPr>
            <w:tcW w:w="5500" w:type="dxa"/>
            <w:shd w:val="clear" w:color="auto" w:fill="auto"/>
            <w:vAlign w:val="bottom"/>
          </w:tcPr>
          <w:p w14:paraId="22AB6AB7" w14:textId="77777777" w:rsidR="00E45321" w:rsidRPr="00F61121" w:rsidRDefault="00B76D37">
            <w:pPr>
              <w:rPr>
                <w:rFonts w:asciiTheme="minorHAnsi" w:eastAsia="Calibri" w:hAnsiTheme="minorHAnsi" w:cstheme="minorHAnsi"/>
                <w:color w:val="000000"/>
                <w:sz w:val="22"/>
                <w:szCs w:val="22"/>
              </w:rPr>
            </w:pPr>
            <w:proofErr w:type="spellStart"/>
            <w:r w:rsidRPr="00F61121">
              <w:rPr>
                <w:rFonts w:asciiTheme="minorHAnsi" w:eastAsia="Calibri" w:hAnsiTheme="minorHAnsi" w:cstheme="minorHAnsi"/>
                <w:color w:val="000000"/>
                <w:sz w:val="22"/>
                <w:szCs w:val="22"/>
              </w:rPr>
              <w:t>Frusca</w:t>
            </w:r>
            <w:proofErr w:type="spellEnd"/>
            <w:r w:rsidRPr="00F61121">
              <w:rPr>
                <w:rFonts w:asciiTheme="minorHAnsi" w:eastAsia="Calibri" w:hAnsiTheme="minorHAnsi" w:cstheme="minorHAnsi"/>
                <w:color w:val="000000"/>
                <w:sz w:val="22"/>
                <w:szCs w:val="22"/>
              </w:rPr>
              <w:t xml:space="preserve"> et al. 2017 (Italy)</w:t>
            </w:r>
          </w:p>
        </w:tc>
        <w:tc>
          <w:tcPr>
            <w:tcW w:w="1677" w:type="dxa"/>
            <w:shd w:val="clear" w:color="auto" w:fill="auto"/>
            <w:vAlign w:val="bottom"/>
          </w:tcPr>
          <w:p w14:paraId="2529B2BE" w14:textId="77777777" w:rsidR="00E45321" w:rsidRPr="00F61121" w:rsidRDefault="00B76D37" w:rsidP="00D72BE0">
            <w:pPr>
              <w:jc w:val="center"/>
              <w:rPr>
                <w:rFonts w:asciiTheme="minorHAnsi" w:eastAsia="Calibri" w:hAnsiTheme="minorHAnsi" w:cstheme="minorHAnsi"/>
                <w:color w:val="000000"/>
                <w:sz w:val="22"/>
                <w:szCs w:val="22"/>
              </w:rPr>
            </w:pPr>
            <w:r w:rsidRPr="00F61121">
              <w:rPr>
                <w:rFonts w:asciiTheme="minorHAnsi" w:eastAsia="Calibri" w:hAnsiTheme="minorHAnsi" w:cstheme="minorHAnsi"/>
                <w:color w:val="000000"/>
                <w:sz w:val="22"/>
                <w:szCs w:val="22"/>
              </w:rPr>
              <w:t>€ 673</w:t>
            </w:r>
          </w:p>
        </w:tc>
        <w:tc>
          <w:tcPr>
            <w:tcW w:w="1383" w:type="dxa"/>
            <w:shd w:val="clear" w:color="auto" w:fill="auto"/>
            <w:vAlign w:val="bottom"/>
          </w:tcPr>
          <w:p w14:paraId="4BBAE8B5" w14:textId="77777777" w:rsidR="00E45321" w:rsidRPr="00F61121" w:rsidRDefault="00B76D37" w:rsidP="00D72BE0">
            <w:pPr>
              <w:jc w:val="center"/>
              <w:rPr>
                <w:rFonts w:asciiTheme="minorHAnsi" w:eastAsia="Calibri" w:hAnsiTheme="minorHAnsi" w:cstheme="minorHAnsi"/>
                <w:color w:val="000000"/>
                <w:sz w:val="22"/>
                <w:szCs w:val="22"/>
              </w:rPr>
            </w:pPr>
            <w:r w:rsidRPr="00F61121">
              <w:rPr>
                <w:rFonts w:asciiTheme="minorHAnsi" w:eastAsia="Calibri" w:hAnsiTheme="minorHAnsi" w:cstheme="minorHAnsi"/>
                <w:color w:val="000000"/>
                <w:sz w:val="22"/>
                <w:szCs w:val="22"/>
              </w:rPr>
              <w:t>$ 1063</w:t>
            </w:r>
          </w:p>
        </w:tc>
      </w:tr>
      <w:tr w:rsidR="00E45321" w14:paraId="32EEEBA4" w14:textId="77777777" w:rsidTr="008E3805">
        <w:trPr>
          <w:trHeight w:val="300"/>
        </w:trPr>
        <w:tc>
          <w:tcPr>
            <w:tcW w:w="5500" w:type="dxa"/>
            <w:shd w:val="clear" w:color="auto" w:fill="auto"/>
            <w:vAlign w:val="bottom"/>
          </w:tcPr>
          <w:p w14:paraId="7239FACD" w14:textId="77777777" w:rsidR="00E45321" w:rsidRPr="00F61121" w:rsidRDefault="00B76D37">
            <w:pPr>
              <w:rPr>
                <w:rFonts w:asciiTheme="minorHAnsi" w:eastAsia="Calibri" w:hAnsiTheme="minorHAnsi" w:cstheme="minorHAnsi"/>
                <w:color w:val="000000"/>
                <w:sz w:val="22"/>
                <w:szCs w:val="22"/>
              </w:rPr>
            </w:pPr>
            <w:proofErr w:type="spellStart"/>
            <w:r w:rsidRPr="00F61121">
              <w:rPr>
                <w:rFonts w:asciiTheme="minorHAnsi" w:eastAsia="Calibri" w:hAnsiTheme="minorHAnsi" w:cstheme="minorHAnsi"/>
                <w:color w:val="000000"/>
                <w:sz w:val="22"/>
                <w:szCs w:val="22"/>
              </w:rPr>
              <w:t>Vatish</w:t>
            </w:r>
            <w:proofErr w:type="spellEnd"/>
            <w:r w:rsidRPr="00F61121">
              <w:rPr>
                <w:rFonts w:asciiTheme="minorHAnsi" w:eastAsia="Calibri" w:hAnsiTheme="minorHAnsi" w:cstheme="minorHAnsi"/>
                <w:color w:val="000000"/>
                <w:sz w:val="22"/>
                <w:szCs w:val="22"/>
              </w:rPr>
              <w:t xml:space="preserve"> et al. 2016 (UK)</w:t>
            </w:r>
          </w:p>
        </w:tc>
        <w:tc>
          <w:tcPr>
            <w:tcW w:w="1677" w:type="dxa"/>
            <w:shd w:val="clear" w:color="auto" w:fill="auto"/>
            <w:vAlign w:val="bottom"/>
          </w:tcPr>
          <w:p w14:paraId="35578D60" w14:textId="77777777" w:rsidR="00E45321" w:rsidRPr="00F61121" w:rsidRDefault="00B76D37" w:rsidP="00D72BE0">
            <w:pPr>
              <w:jc w:val="center"/>
              <w:rPr>
                <w:rFonts w:asciiTheme="minorHAnsi" w:eastAsia="Calibri" w:hAnsiTheme="minorHAnsi" w:cstheme="minorHAnsi"/>
                <w:color w:val="000000"/>
                <w:sz w:val="22"/>
                <w:szCs w:val="22"/>
              </w:rPr>
            </w:pPr>
            <w:r w:rsidRPr="00F61121">
              <w:rPr>
                <w:rFonts w:asciiTheme="minorHAnsi" w:eastAsia="Calibri" w:hAnsiTheme="minorHAnsi" w:cstheme="minorHAnsi"/>
                <w:color w:val="000000"/>
                <w:sz w:val="22"/>
                <w:szCs w:val="22"/>
              </w:rPr>
              <w:t>£ 344</w:t>
            </w:r>
          </w:p>
        </w:tc>
        <w:tc>
          <w:tcPr>
            <w:tcW w:w="1383" w:type="dxa"/>
            <w:shd w:val="clear" w:color="auto" w:fill="auto"/>
            <w:vAlign w:val="bottom"/>
          </w:tcPr>
          <w:p w14:paraId="7AD75BEF" w14:textId="77777777" w:rsidR="00E45321" w:rsidRPr="00F61121" w:rsidRDefault="00B76D37" w:rsidP="00D72BE0">
            <w:pPr>
              <w:jc w:val="center"/>
              <w:rPr>
                <w:rFonts w:asciiTheme="minorHAnsi" w:eastAsia="Calibri" w:hAnsiTheme="minorHAnsi" w:cstheme="minorHAnsi"/>
                <w:color w:val="000000"/>
                <w:sz w:val="22"/>
                <w:szCs w:val="22"/>
              </w:rPr>
            </w:pPr>
            <w:r w:rsidRPr="00F61121">
              <w:rPr>
                <w:rFonts w:asciiTheme="minorHAnsi" w:eastAsia="Calibri" w:hAnsiTheme="minorHAnsi" w:cstheme="minorHAnsi"/>
                <w:color w:val="000000"/>
                <w:sz w:val="22"/>
                <w:szCs w:val="22"/>
              </w:rPr>
              <w:t>$ 633</w:t>
            </w:r>
          </w:p>
        </w:tc>
      </w:tr>
      <w:tr w:rsidR="00956019" w14:paraId="07D70C04" w14:textId="77777777" w:rsidTr="008E3805">
        <w:trPr>
          <w:trHeight w:val="300"/>
        </w:trPr>
        <w:tc>
          <w:tcPr>
            <w:tcW w:w="5500" w:type="dxa"/>
            <w:shd w:val="clear" w:color="auto" w:fill="auto"/>
            <w:vAlign w:val="bottom"/>
          </w:tcPr>
          <w:p w14:paraId="12D2CA52" w14:textId="77777777" w:rsidR="00956019" w:rsidRPr="00F61121" w:rsidRDefault="00956019">
            <w:pPr>
              <w:rPr>
                <w:rFonts w:asciiTheme="minorHAnsi" w:eastAsia="Calibri" w:hAnsiTheme="minorHAnsi" w:cstheme="minorHAnsi"/>
                <w:color w:val="000000"/>
                <w:sz w:val="22"/>
                <w:szCs w:val="22"/>
              </w:rPr>
            </w:pPr>
            <w:proofErr w:type="spellStart"/>
            <w:r w:rsidRPr="00F61121">
              <w:rPr>
                <w:rFonts w:asciiTheme="minorHAnsi" w:eastAsia="Calibri" w:hAnsiTheme="minorHAnsi" w:cstheme="minorHAnsi"/>
                <w:color w:val="000000"/>
                <w:sz w:val="22"/>
                <w:szCs w:val="22"/>
              </w:rPr>
              <w:t>Ohkuchi</w:t>
            </w:r>
            <w:proofErr w:type="spellEnd"/>
            <w:r w:rsidRPr="00F61121">
              <w:rPr>
                <w:rFonts w:asciiTheme="minorHAnsi" w:eastAsia="Calibri" w:hAnsiTheme="minorHAnsi" w:cstheme="minorHAnsi"/>
                <w:color w:val="000000"/>
                <w:sz w:val="22"/>
                <w:szCs w:val="22"/>
              </w:rPr>
              <w:t xml:space="preserve"> et al. 2021 (Japan)</w:t>
            </w:r>
          </w:p>
        </w:tc>
        <w:tc>
          <w:tcPr>
            <w:tcW w:w="1677" w:type="dxa"/>
            <w:shd w:val="clear" w:color="auto" w:fill="auto"/>
            <w:vAlign w:val="bottom"/>
          </w:tcPr>
          <w:p w14:paraId="3BA87A2A" w14:textId="77777777" w:rsidR="00956019" w:rsidRPr="00F61121" w:rsidRDefault="00956019" w:rsidP="00D72BE0">
            <w:pPr>
              <w:jc w:val="center"/>
              <w:rPr>
                <w:rFonts w:asciiTheme="minorHAnsi" w:eastAsia="Calibri" w:hAnsiTheme="minorHAnsi" w:cstheme="minorHAnsi"/>
                <w:color w:val="000000"/>
                <w:sz w:val="22"/>
                <w:szCs w:val="22"/>
              </w:rPr>
            </w:pPr>
            <w:r w:rsidRPr="00F61121">
              <w:rPr>
                <w:rFonts w:asciiTheme="minorHAnsi" w:eastAsia="Calibri" w:hAnsiTheme="minorHAnsi" w:cstheme="minorHAnsi"/>
                <w:color w:val="000000"/>
                <w:sz w:val="22"/>
                <w:szCs w:val="22"/>
              </w:rPr>
              <w:t>¥ 16,373</w:t>
            </w:r>
          </w:p>
        </w:tc>
        <w:tc>
          <w:tcPr>
            <w:tcW w:w="1383" w:type="dxa"/>
            <w:shd w:val="clear" w:color="auto" w:fill="auto"/>
            <w:vAlign w:val="bottom"/>
          </w:tcPr>
          <w:p w14:paraId="496376F2" w14:textId="77777777" w:rsidR="00956019" w:rsidRPr="00F61121" w:rsidRDefault="00956019" w:rsidP="00D72BE0">
            <w:pPr>
              <w:jc w:val="center"/>
              <w:rPr>
                <w:rFonts w:asciiTheme="minorHAnsi" w:eastAsia="Calibri" w:hAnsiTheme="minorHAnsi" w:cstheme="minorHAnsi"/>
                <w:color w:val="000000"/>
                <w:sz w:val="22"/>
                <w:szCs w:val="22"/>
              </w:rPr>
            </w:pPr>
            <w:r w:rsidRPr="00F61121">
              <w:rPr>
                <w:rFonts w:asciiTheme="minorHAnsi" w:eastAsia="Calibri" w:hAnsiTheme="minorHAnsi" w:cstheme="minorHAnsi"/>
                <w:color w:val="000000"/>
                <w:sz w:val="22"/>
                <w:szCs w:val="22"/>
              </w:rPr>
              <w:t>$ 206</w:t>
            </w:r>
          </w:p>
        </w:tc>
      </w:tr>
      <w:tr w:rsidR="00E45321" w14:paraId="49D1EA5F" w14:textId="77777777" w:rsidTr="008E3805">
        <w:trPr>
          <w:trHeight w:val="300"/>
        </w:trPr>
        <w:tc>
          <w:tcPr>
            <w:tcW w:w="7177" w:type="dxa"/>
            <w:gridSpan w:val="2"/>
            <w:shd w:val="clear" w:color="auto" w:fill="auto"/>
            <w:vAlign w:val="bottom"/>
          </w:tcPr>
          <w:p w14:paraId="5FF4B0B8" w14:textId="77777777" w:rsidR="00E45321" w:rsidRPr="00F61121" w:rsidRDefault="00B76D37" w:rsidP="00420F4B">
            <w:pPr>
              <w:jc w:val="right"/>
              <w:rPr>
                <w:rFonts w:asciiTheme="minorHAnsi" w:eastAsia="Calibri" w:hAnsiTheme="minorHAnsi" w:cstheme="minorHAnsi"/>
                <w:color w:val="000000"/>
                <w:sz w:val="22"/>
                <w:szCs w:val="22"/>
              </w:rPr>
            </w:pPr>
            <w:r w:rsidRPr="00F61121">
              <w:rPr>
                <w:rFonts w:asciiTheme="minorHAnsi" w:eastAsia="Calibri" w:hAnsiTheme="minorHAnsi" w:cstheme="minorHAnsi"/>
                <w:color w:val="000000"/>
                <w:sz w:val="22"/>
                <w:szCs w:val="22"/>
              </w:rPr>
              <w:t>Average</w:t>
            </w:r>
            <w:r w:rsidR="00420F4B" w:rsidRPr="00F61121">
              <w:rPr>
                <w:rFonts w:asciiTheme="minorHAnsi" w:eastAsia="Calibri" w:hAnsiTheme="minorHAnsi" w:cstheme="minorHAnsi"/>
                <w:color w:val="000000"/>
                <w:sz w:val="22"/>
                <w:szCs w:val="22"/>
              </w:rPr>
              <w:t xml:space="preserve">                            </w:t>
            </w:r>
          </w:p>
        </w:tc>
        <w:tc>
          <w:tcPr>
            <w:tcW w:w="1383" w:type="dxa"/>
            <w:shd w:val="clear" w:color="auto" w:fill="auto"/>
            <w:vAlign w:val="bottom"/>
          </w:tcPr>
          <w:p w14:paraId="492C76AF" w14:textId="77777777" w:rsidR="00E45321" w:rsidRPr="00F61121" w:rsidRDefault="00956019" w:rsidP="00D72BE0">
            <w:pPr>
              <w:jc w:val="center"/>
              <w:rPr>
                <w:rFonts w:asciiTheme="minorHAnsi" w:eastAsia="Calibri" w:hAnsiTheme="minorHAnsi" w:cstheme="minorHAnsi"/>
                <w:color w:val="000000"/>
                <w:sz w:val="22"/>
                <w:szCs w:val="22"/>
              </w:rPr>
            </w:pPr>
            <w:r w:rsidRPr="00F61121">
              <w:rPr>
                <w:rFonts w:asciiTheme="minorHAnsi" w:eastAsia="Calibri" w:hAnsiTheme="minorHAnsi" w:cstheme="minorHAnsi"/>
                <w:color w:val="000000"/>
                <w:sz w:val="22"/>
                <w:szCs w:val="22"/>
              </w:rPr>
              <w:t>$ 618</w:t>
            </w:r>
          </w:p>
        </w:tc>
      </w:tr>
    </w:tbl>
    <w:p w14:paraId="15190D57" w14:textId="77777777" w:rsidR="00E45321" w:rsidRDefault="00E45321">
      <w:pPr>
        <w:ind w:left="426"/>
        <w:jc w:val="both"/>
        <w:rPr>
          <w:color w:val="0432FF"/>
        </w:rPr>
      </w:pPr>
    </w:p>
    <w:p w14:paraId="7D217960" w14:textId="77777777" w:rsidR="00E45321" w:rsidRDefault="00B76D37">
      <w:pPr>
        <w:pStyle w:val="Subtitle"/>
      </w:pPr>
      <w:r>
        <w:t>PART 6d – INFORMATION ABOUT THE CLINICAL OUTCOME</w:t>
      </w:r>
    </w:p>
    <w:p w14:paraId="400CF7B4" w14:textId="30BE1C4A" w:rsidR="00E45321" w:rsidRPr="00F61121" w:rsidRDefault="00B76D37" w:rsidP="00F61121">
      <w:pPr>
        <w:pStyle w:val="Heading2"/>
        <w:numPr>
          <w:ilvl w:val="0"/>
          <w:numId w:val="20"/>
        </w:numPr>
      </w:pPr>
      <w:r>
        <w:t>Summarise the clinical claims for the proposed medical service against the appropriate comparator(s), in terms of consequences for health outcomes (comparative benefits and harms):</w:t>
      </w:r>
    </w:p>
    <w:p w14:paraId="047A00DD" w14:textId="0823910C" w:rsidR="00E45321" w:rsidRPr="00F61121" w:rsidRDefault="00B76D37" w:rsidP="00F61121">
      <w:pPr>
        <w:spacing w:before="120" w:after="120"/>
        <w:ind w:left="426"/>
        <w:jc w:val="both"/>
        <w:rPr>
          <w:rFonts w:asciiTheme="minorHAnsi" w:hAnsiTheme="minorHAnsi" w:cstheme="minorHAnsi"/>
          <w:sz w:val="20"/>
          <w:szCs w:val="20"/>
        </w:rPr>
      </w:pPr>
      <w:r w:rsidRPr="00F61121">
        <w:rPr>
          <w:rFonts w:asciiTheme="minorHAnsi" w:hAnsiTheme="minorHAnsi" w:cstheme="minorHAnsi"/>
          <w:sz w:val="20"/>
          <w:szCs w:val="20"/>
        </w:rPr>
        <w:t xml:space="preserve">The PROGNOSIS study demonstrated that without the </w:t>
      </w:r>
      <w:r w:rsidR="00FE1477" w:rsidRPr="00F61121">
        <w:rPr>
          <w:rFonts w:asciiTheme="minorHAnsi" w:hAnsiTheme="minorHAnsi" w:cstheme="minorHAnsi"/>
          <w:sz w:val="20"/>
          <w:szCs w:val="20"/>
        </w:rPr>
        <w:t xml:space="preserve">sFlt-1/PlGF </w:t>
      </w:r>
      <w:r w:rsidRPr="00F61121">
        <w:rPr>
          <w:rFonts w:asciiTheme="minorHAnsi" w:hAnsiTheme="minorHAnsi" w:cstheme="minorHAnsi"/>
          <w:sz w:val="20"/>
          <w:szCs w:val="20"/>
        </w:rPr>
        <w:t>test, 36% of w</w:t>
      </w:r>
      <w:r w:rsidR="004313B7" w:rsidRPr="00F61121">
        <w:rPr>
          <w:rFonts w:asciiTheme="minorHAnsi" w:hAnsiTheme="minorHAnsi" w:cstheme="minorHAnsi"/>
          <w:sz w:val="20"/>
          <w:szCs w:val="20"/>
        </w:rPr>
        <w:t>omen were hospitalis</w:t>
      </w:r>
      <w:r w:rsidRPr="00F61121">
        <w:rPr>
          <w:rFonts w:asciiTheme="minorHAnsi" w:hAnsiTheme="minorHAnsi" w:cstheme="minorHAnsi"/>
          <w:sz w:val="20"/>
          <w:szCs w:val="20"/>
        </w:rPr>
        <w:t xml:space="preserve">ed before a diagnosis of </w:t>
      </w:r>
      <w:r w:rsidR="008A08EB" w:rsidRPr="00F61121">
        <w:rPr>
          <w:rFonts w:asciiTheme="minorHAnsi" w:hAnsiTheme="minorHAnsi" w:cstheme="minorHAnsi"/>
          <w:sz w:val="20"/>
          <w:szCs w:val="20"/>
        </w:rPr>
        <w:t>preeclampsia</w:t>
      </w:r>
      <w:r w:rsidRPr="00F61121">
        <w:rPr>
          <w:rFonts w:asciiTheme="minorHAnsi" w:hAnsiTheme="minorHAnsi" w:cstheme="minorHAnsi"/>
          <w:sz w:val="20"/>
          <w:szCs w:val="20"/>
        </w:rPr>
        <w:t xml:space="preserve">, of whom 27% went on to develop </w:t>
      </w:r>
      <w:r w:rsidR="008A08EB" w:rsidRPr="00F61121">
        <w:rPr>
          <w:rFonts w:asciiTheme="minorHAnsi" w:hAnsiTheme="minorHAnsi" w:cstheme="minorHAnsi"/>
          <w:sz w:val="20"/>
          <w:szCs w:val="20"/>
        </w:rPr>
        <w:t>preeclampsia</w:t>
      </w:r>
      <w:r w:rsidRPr="00F61121">
        <w:rPr>
          <w:rFonts w:asciiTheme="minorHAnsi" w:hAnsiTheme="minorHAnsi" w:cstheme="minorHAnsi"/>
          <w:sz w:val="20"/>
          <w:szCs w:val="20"/>
        </w:rPr>
        <w:t>. If the additional information from the test had been available, the proportion of women hospital</w:t>
      </w:r>
      <w:r w:rsidR="00837EF2" w:rsidRPr="00F61121">
        <w:rPr>
          <w:rFonts w:asciiTheme="minorHAnsi" w:hAnsiTheme="minorHAnsi" w:cstheme="minorHAnsi"/>
          <w:sz w:val="20"/>
          <w:szCs w:val="20"/>
        </w:rPr>
        <w:t>ise</w:t>
      </w:r>
      <w:r w:rsidRPr="00F61121">
        <w:rPr>
          <w:rFonts w:asciiTheme="minorHAnsi" w:hAnsiTheme="minorHAnsi" w:cstheme="minorHAnsi"/>
          <w:sz w:val="20"/>
          <w:szCs w:val="20"/>
        </w:rPr>
        <w:t xml:space="preserve">d could have been reduced to around 16%, of whom 38% would have subsequently developed </w:t>
      </w:r>
      <w:r w:rsidR="008A08EB" w:rsidRPr="00F61121">
        <w:rPr>
          <w:rFonts w:asciiTheme="minorHAnsi" w:hAnsiTheme="minorHAnsi" w:cstheme="minorHAnsi"/>
          <w:sz w:val="20"/>
          <w:szCs w:val="20"/>
        </w:rPr>
        <w:t>preeclampsia</w:t>
      </w:r>
      <w:r w:rsidRPr="00F61121">
        <w:rPr>
          <w:rFonts w:asciiTheme="minorHAnsi" w:hAnsiTheme="minorHAnsi" w:cstheme="minorHAnsi"/>
          <w:sz w:val="20"/>
          <w:szCs w:val="20"/>
        </w:rPr>
        <w:t>.</w:t>
      </w:r>
    </w:p>
    <w:p w14:paraId="577FD2BC" w14:textId="6E2B3D27" w:rsidR="00E45321" w:rsidRPr="00F61121" w:rsidRDefault="00B76D37" w:rsidP="00F61121">
      <w:pPr>
        <w:spacing w:before="120" w:after="120"/>
        <w:ind w:left="426"/>
        <w:jc w:val="both"/>
        <w:rPr>
          <w:rFonts w:asciiTheme="minorHAnsi" w:hAnsiTheme="minorHAnsi" w:cstheme="minorHAnsi"/>
          <w:sz w:val="20"/>
          <w:szCs w:val="20"/>
        </w:rPr>
      </w:pPr>
      <w:r w:rsidRPr="00F61121">
        <w:rPr>
          <w:rFonts w:asciiTheme="minorHAnsi" w:hAnsiTheme="minorHAnsi" w:cstheme="minorHAnsi"/>
          <w:sz w:val="20"/>
          <w:szCs w:val="20"/>
        </w:rPr>
        <w:t xml:space="preserve">Preeclampsia causes significant maternal and </w:t>
      </w:r>
      <w:r w:rsidR="00445194" w:rsidRPr="00F61121">
        <w:rPr>
          <w:rFonts w:asciiTheme="minorHAnsi" w:hAnsiTheme="minorHAnsi" w:cstheme="minorHAnsi"/>
          <w:sz w:val="20"/>
          <w:szCs w:val="20"/>
        </w:rPr>
        <w:t>perinatal</w:t>
      </w:r>
      <w:r w:rsidRPr="00F61121">
        <w:rPr>
          <w:rFonts w:asciiTheme="minorHAnsi" w:hAnsiTheme="minorHAnsi" w:cstheme="minorHAnsi"/>
          <w:sz w:val="20"/>
          <w:szCs w:val="20"/>
        </w:rPr>
        <w:t xml:space="preserve"> mortality and morbidity. Mothers that develop preeclampsia may have an eclamptic fit and/ or other neurological sequelae (such as a cerebrovascular accident), renal and hepatic impairment can be long lasting, haematological dysfunction can lead to postpartum haemorrhage,</w:t>
      </w:r>
      <w:r w:rsidR="00AD7D01" w:rsidRPr="00F61121">
        <w:rPr>
          <w:rFonts w:asciiTheme="minorHAnsi" w:hAnsiTheme="minorHAnsi" w:cstheme="minorHAnsi"/>
          <w:sz w:val="20"/>
          <w:szCs w:val="20"/>
        </w:rPr>
        <w:t xml:space="preserve"> and</w:t>
      </w:r>
      <w:r w:rsidRPr="00F61121">
        <w:rPr>
          <w:rFonts w:asciiTheme="minorHAnsi" w:hAnsiTheme="minorHAnsi" w:cstheme="minorHAnsi"/>
          <w:sz w:val="20"/>
          <w:szCs w:val="20"/>
        </w:rPr>
        <w:t xml:space="preserve"> significant uncontrolled hypertension is also associated with placental abruption.</w:t>
      </w:r>
    </w:p>
    <w:p w14:paraId="6F8A6202" w14:textId="77777777" w:rsidR="008E3805" w:rsidRDefault="008E3805">
      <w:pPr>
        <w:rPr>
          <w:rFonts w:asciiTheme="minorHAnsi" w:hAnsiTheme="minorHAnsi" w:cstheme="minorHAnsi"/>
          <w:sz w:val="20"/>
          <w:szCs w:val="20"/>
        </w:rPr>
      </w:pPr>
      <w:r>
        <w:rPr>
          <w:rFonts w:asciiTheme="minorHAnsi" w:hAnsiTheme="minorHAnsi" w:cstheme="minorHAnsi"/>
          <w:sz w:val="20"/>
          <w:szCs w:val="20"/>
        </w:rPr>
        <w:br w:type="page"/>
      </w:r>
    </w:p>
    <w:p w14:paraId="1A25BF0C" w14:textId="3BBD7DA8" w:rsidR="00E45321" w:rsidRPr="00F61121" w:rsidRDefault="00B76D37" w:rsidP="00F61121">
      <w:pPr>
        <w:spacing w:before="120" w:after="120"/>
        <w:ind w:left="426"/>
        <w:jc w:val="both"/>
        <w:rPr>
          <w:rFonts w:asciiTheme="minorHAnsi" w:hAnsiTheme="minorHAnsi" w:cstheme="minorHAnsi"/>
          <w:sz w:val="20"/>
          <w:szCs w:val="20"/>
        </w:rPr>
      </w:pPr>
      <w:r w:rsidRPr="00F61121">
        <w:rPr>
          <w:rFonts w:asciiTheme="minorHAnsi" w:hAnsiTheme="minorHAnsi" w:cstheme="minorHAnsi"/>
          <w:sz w:val="20"/>
          <w:szCs w:val="20"/>
        </w:rPr>
        <w:lastRenderedPageBreak/>
        <w:t xml:space="preserve">Women who develop </w:t>
      </w:r>
      <w:r w:rsidR="008A08EB" w:rsidRPr="00F61121">
        <w:rPr>
          <w:rFonts w:asciiTheme="minorHAnsi" w:hAnsiTheme="minorHAnsi" w:cstheme="minorHAnsi"/>
          <w:sz w:val="20"/>
          <w:szCs w:val="20"/>
        </w:rPr>
        <w:t>preeclampsia</w:t>
      </w:r>
      <w:r w:rsidRPr="00F61121">
        <w:rPr>
          <w:rFonts w:asciiTheme="minorHAnsi" w:hAnsiTheme="minorHAnsi" w:cstheme="minorHAnsi"/>
          <w:sz w:val="20"/>
          <w:szCs w:val="20"/>
        </w:rPr>
        <w:t xml:space="preserve"> during pregnancy have an increased risk of </w:t>
      </w:r>
      <w:r w:rsidR="00AD7D01" w:rsidRPr="00F61121">
        <w:rPr>
          <w:rFonts w:asciiTheme="minorHAnsi" w:hAnsiTheme="minorHAnsi" w:cstheme="minorHAnsi"/>
          <w:sz w:val="20"/>
          <w:szCs w:val="20"/>
        </w:rPr>
        <w:t>hypertension</w:t>
      </w:r>
      <w:r w:rsidRPr="00F61121">
        <w:rPr>
          <w:rFonts w:asciiTheme="minorHAnsi" w:hAnsiTheme="minorHAnsi" w:cstheme="minorHAnsi"/>
          <w:sz w:val="20"/>
          <w:szCs w:val="20"/>
        </w:rPr>
        <w:t xml:space="preserve"> in later life and of other cardiovascular disease</w:t>
      </w:r>
      <w:r w:rsidR="00AD7D01" w:rsidRPr="00F61121">
        <w:rPr>
          <w:rFonts w:asciiTheme="minorHAnsi" w:hAnsiTheme="minorHAnsi" w:cstheme="minorHAnsi"/>
          <w:sz w:val="20"/>
          <w:szCs w:val="20"/>
        </w:rPr>
        <w:t>s</w:t>
      </w:r>
      <w:r w:rsidRPr="00F61121">
        <w:rPr>
          <w:rFonts w:asciiTheme="minorHAnsi" w:hAnsiTheme="minorHAnsi" w:cstheme="minorHAnsi"/>
          <w:sz w:val="20"/>
          <w:szCs w:val="20"/>
        </w:rPr>
        <w:t xml:space="preserve"> and stroke. The risk is most significant in those women who h</w:t>
      </w:r>
      <w:r w:rsidR="00AD7D01" w:rsidRPr="00F61121">
        <w:rPr>
          <w:rFonts w:asciiTheme="minorHAnsi" w:hAnsiTheme="minorHAnsi" w:cstheme="minorHAnsi"/>
          <w:sz w:val="20"/>
          <w:szCs w:val="20"/>
        </w:rPr>
        <w:t>ave early onset / severe preeclampsia</w:t>
      </w:r>
      <w:r w:rsidRPr="00F61121">
        <w:rPr>
          <w:rFonts w:asciiTheme="minorHAnsi" w:hAnsiTheme="minorHAnsi" w:cstheme="minorHAnsi"/>
          <w:sz w:val="20"/>
          <w:szCs w:val="20"/>
        </w:rPr>
        <w:t xml:space="preserve">. Severe early onset </w:t>
      </w:r>
      <w:r w:rsidR="008A08EB" w:rsidRPr="00F61121">
        <w:rPr>
          <w:rFonts w:asciiTheme="minorHAnsi" w:hAnsiTheme="minorHAnsi" w:cstheme="minorHAnsi"/>
          <w:sz w:val="20"/>
          <w:szCs w:val="20"/>
        </w:rPr>
        <w:t>preeclampsia</w:t>
      </w:r>
      <w:r w:rsidRPr="00F61121">
        <w:rPr>
          <w:rFonts w:asciiTheme="minorHAnsi" w:hAnsiTheme="minorHAnsi" w:cstheme="minorHAnsi"/>
          <w:sz w:val="20"/>
          <w:szCs w:val="20"/>
        </w:rPr>
        <w:t xml:space="preserve"> carries a similar ongoing risk for cardiovascular disease as smoking.  </w:t>
      </w:r>
    </w:p>
    <w:p w14:paraId="6573578D" w14:textId="55572695" w:rsidR="00E45321" w:rsidRDefault="00B76D37" w:rsidP="00F61121">
      <w:pPr>
        <w:spacing w:before="120" w:after="120"/>
        <w:ind w:left="426"/>
        <w:jc w:val="both"/>
      </w:pPr>
      <w:r w:rsidRPr="00F61121">
        <w:rPr>
          <w:rFonts w:asciiTheme="minorHAnsi" w:hAnsiTheme="minorHAnsi" w:cstheme="minorHAnsi"/>
          <w:sz w:val="20"/>
          <w:szCs w:val="20"/>
        </w:rPr>
        <w:t xml:space="preserve">Preterm birth is also associated with increased risks of neurodevelopmental disability, increased special educational needs and ongoing cardiovascular and metabolic disease. </w:t>
      </w:r>
    </w:p>
    <w:p w14:paraId="14F2A32D" w14:textId="77777777" w:rsidR="00E45321" w:rsidRDefault="00B76D37">
      <w:pPr>
        <w:pStyle w:val="Heading2"/>
        <w:numPr>
          <w:ilvl w:val="0"/>
          <w:numId w:val="20"/>
        </w:numPr>
      </w:pPr>
      <w:r>
        <w:t>Please advise if the overall clinical claim is for:</w:t>
      </w:r>
    </w:p>
    <w:p w14:paraId="3B6ABEDA" w14:textId="6AD8732C" w:rsidR="00E45321" w:rsidRPr="00F61121" w:rsidRDefault="00F61121">
      <w:pPr>
        <w:ind w:left="426"/>
        <w:rPr>
          <w:rFonts w:asciiTheme="minorHAnsi" w:hAnsiTheme="minorHAnsi" w:cstheme="minorHAnsi"/>
          <w:sz w:val="20"/>
          <w:szCs w:val="20"/>
        </w:rPr>
      </w:pPr>
      <w:r w:rsidRPr="00F61121">
        <w:rPr>
          <w:rFonts w:asciiTheme="minorHAnsi" w:hAnsiTheme="minorHAnsi" w:cstheme="minorHAnsi"/>
          <w:sz w:val="20"/>
          <w:szCs w:val="20"/>
        </w:rPr>
        <w:fldChar w:fldCharType="begin">
          <w:ffData>
            <w:name w:val=""/>
            <w:enabled/>
            <w:calcOnExit w:val="0"/>
            <w:checkBox>
              <w:sizeAuto/>
              <w:default w:val="1"/>
            </w:checkBox>
          </w:ffData>
        </w:fldChar>
      </w:r>
      <w:r w:rsidRPr="00F61121">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F61121">
        <w:rPr>
          <w:rFonts w:asciiTheme="minorHAnsi" w:hAnsiTheme="minorHAnsi" w:cstheme="minorHAnsi"/>
          <w:sz w:val="20"/>
          <w:szCs w:val="20"/>
        </w:rPr>
        <w:fldChar w:fldCharType="end"/>
      </w:r>
      <w:r w:rsidR="00B76D37">
        <w:t xml:space="preserve"> </w:t>
      </w:r>
      <w:r w:rsidR="00B76D37" w:rsidRPr="00F61121">
        <w:rPr>
          <w:rFonts w:asciiTheme="minorHAnsi" w:hAnsiTheme="minorHAnsi" w:cstheme="minorHAnsi"/>
          <w:sz w:val="20"/>
          <w:szCs w:val="20"/>
        </w:rPr>
        <w:t>Superiority</w:t>
      </w:r>
      <w:r w:rsidR="00B76D37" w:rsidRPr="00F61121">
        <w:rPr>
          <w:rFonts w:asciiTheme="minorHAnsi" w:hAnsiTheme="minorHAnsi" w:cstheme="minorHAnsi"/>
          <w:sz w:val="20"/>
          <w:szCs w:val="20"/>
        </w:rPr>
        <w:tab/>
      </w:r>
    </w:p>
    <w:p w14:paraId="26B47B56" w14:textId="153423CD" w:rsidR="00E45321" w:rsidRPr="00F61121" w:rsidRDefault="00F61121" w:rsidP="00F61121">
      <w:pPr>
        <w:ind w:left="426"/>
        <w:rPr>
          <w:rFonts w:asciiTheme="minorHAnsi" w:hAnsiTheme="minorHAnsi" w:cstheme="minorHAnsi"/>
          <w:sz w:val="20"/>
          <w:szCs w:val="20"/>
        </w:rPr>
      </w:pPr>
      <w:r w:rsidRPr="00F61121">
        <w:rPr>
          <w:rFonts w:asciiTheme="minorHAnsi" w:hAnsiTheme="minorHAnsi" w:cstheme="minorHAnsi"/>
          <w:sz w:val="20"/>
          <w:szCs w:val="20"/>
        </w:rPr>
        <w:fldChar w:fldCharType="begin">
          <w:ffData>
            <w:name w:val=""/>
            <w:enabled/>
            <w:calcOnExit w:val="0"/>
            <w:checkBox>
              <w:sizeAuto/>
              <w:default w:val="0"/>
            </w:checkBox>
          </w:ffData>
        </w:fldChar>
      </w:r>
      <w:r w:rsidRPr="00F61121">
        <w:rPr>
          <w:rFonts w:asciiTheme="minorHAnsi" w:hAnsiTheme="minorHAnsi" w:cstheme="minorHAnsi"/>
          <w:sz w:val="20"/>
          <w:szCs w:val="20"/>
        </w:rPr>
        <w:instrText xml:space="preserve"> FORMCHECKBOX </w:instrText>
      </w:r>
      <w:r w:rsidR="005E06D6">
        <w:rPr>
          <w:rFonts w:asciiTheme="minorHAnsi" w:hAnsiTheme="minorHAnsi" w:cstheme="minorHAnsi"/>
          <w:sz w:val="20"/>
          <w:szCs w:val="20"/>
        </w:rPr>
      </w:r>
      <w:r w:rsidR="005E06D6">
        <w:rPr>
          <w:rFonts w:asciiTheme="minorHAnsi" w:hAnsiTheme="minorHAnsi" w:cstheme="minorHAnsi"/>
          <w:sz w:val="20"/>
          <w:szCs w:val="20"/>
        </w:rPr>
        <w:fldChar w:fldCharType="separate"/>
      </w:r>
      <w:r w:rsidRPr="00F61121">
        <w:rPr>
          <w:rFonts w:asciiTheme="minorHAnsi" w:hAnsiTheme="minorHAnsi" w:cstheme="minorHAnsi"/>
          <w:sz w:val="20"/>
          <w:szCs w:val="20"/>
        </w:rPr>
        <w:fldChar w:fldCharType="end"/>
      </w:r>
      <w:r w:rsidRPr="00F61121">
        <w:rPr>
          <w:rFonts w:asciiTheme="minorHAnsi" w:hAnsiTheme="minorHAnsi" w:cstheme="minorHAnsi"/>
          <w:sz w:val="20"/>
          <w:szCs w:val="20"/>
        </w:rPr>
        <w:t xml:space="preserve"> </w:t>
      </w:r>
      <w:r w:rsidR="00B76D37" w:rsidRPr="00F61121">
        <w:rPr>
          <w:rFonts w:asciiTheme="minorHAnsi" w:hAnsiTheme="minorHAnsi" w:cstheme="minorHAnsi"/>
          <w:sz w:val="20"/>
          <w:szCs w:val="20"/>
        </w:rPr>
        <w:t>Non-inferiority</w:t>
      </w:r>
      <w:r w:rsidR="00B76D37">
        <w:tab/>
      </w:r>
    </w:p>
    <w:p w14:paraId="74EC5E97" w14:textId="77777777" w:rsidR="00E45321" w:rsidRDefault="00B76D37">
      <w:pPr>
        <w:pStyle w:val="Heading2"/>
        <w:numPr>
          <w:ilvl w:val="0"/>
          <w:numId w:val="20"/>
        </w:numPr>
      </w:pPr>
      <w:r>
        <w:t>Below, list the key health outcomes (major and minor – prioritising major key health outcomes first) that will need to be specifically measured in assessing the clinical claim of the proposed medical service versus the comparator:</w:t>
      </w:r>
    </w:p>
    <w:p w14:paraId="2AF5CA95" w14:textId="77777777" w:rsidR="00E45321" w:rsidRPr="00F61121" w:rsidRDefault="00B76D37" w:rsidP="00F61121">
      <w:pPr>
        <w:pBdr>
          <w:top w:val="single" w:sz="4" w:space="1" w:color="000000"/>
          <w:left w:val="single" w:sz="4" w:space="4" w:color="000000"/>
          <w:bottom w:val="single" w:sz="4" w:space="1" w:color="000000"/>
          <w:right w:val="single" w:sz="4" w:space="4" w:color="000000"/>
        </w:pBdr>
        <w:spacing w:before="120" w:after="120"/>
        <w:rPr>
          <w:rFonts w:asciiTheme="minorHAnsi" w:hAnsiTheme="minorHAnsi" w:cstheme="minorHAnsi"/>
          <w:sz w:val="20"/>
          <w:szCs w:val="20"/>
        </w:rPr>
      </w:pPr>
      <w:r w:rsidRPr="00F61121">
        <w:rPr>
          <w:rFonts w:asciiTheme="minorHAnsi" w:hAnsiTheme="minorHAnsi" w:cstheme="minorHAnsi"/>
          <w:b/>
          <w:sz w:val="20"/>
          <w:szCs w:val="20"/>
        </w:rPr>
        <w:t xml:space="preserve">Safety Outcomes: </w:t>
      </w:r>
    </w:p>
    <w:p w14:paraId="12E81B42" w14:textId="0B6C4E04" w:rsidR="00CF4445" w:rsidRPr="00F61121" w:rsidRDefault="00536FFA" w:rsidP="00F61121">
      <w:pPr>
        <w:pBdr>
          <w:top w:val="single" w:sz="4" w:space="1" w:color="000000"/>
          <w:left w:val="single" w:sz="4" w:space="4" w:color="000000"/>
          <w:bottom w:val="single" w:sz="4" w:space="1" w:color="000000"/>
          <w:right w:val="single" w:sz="4" w:space="4" w:color="000000"/>
        </w:pBdr>
        <w:spacing w:before="120" w:after="120"/>
        <w:rPr>
          <w:rFonts w:asciiTheme="minorHAnsi" w:hAnsiTheme="minorHAnsi" w:cstheme="minorHAnsi"/>
          <w:sz w:val="20"/>
          <w:szCs w:val="20"/>
        </w:rPr>
      </w:pPr>
      <w:r w:rsidRPr="00F61121">
        <w:rPr>
          <w:rFonts w:asciiTheme="minorHAnsi" w:hAnsiTheme="minorHAnsi" w:cstheme="minorHAnsi"/>
          <w:sz w:val="20"/>
          <w:szCs w:val="20"/>
        </w:rPr>
        <w:t xml:space="preserve">Better clinical management guided by </w:t>
      </w:r>
      <w:r w:rsidR="00FE1477" w:rsidRPr="00F61121">
        <w:rPr>
          <w:rFonts w:asciiTheme="minorHAnsi" w:hAnsiTheme="minorHAnsi" w:cstheme="minorHAnsi"/>
          <w:sz w:val="20"/>
          <w:szCs w:val="20"/>
        </w:rPr>
        <w:t>sFlt-1/PlGF testing</w:t>
      </w:r>
      <w:r w:rsidRPr="00F61121">
        <w:rPr>
          <w:rFonts w:asciiTheme="minorHAnsi" w:hAnsiTheme="minorHAnsi" w:cstheme="minorHAnsi"/>
          <w:sz w:val="20"/>
          <w:szCs w:val="20"/>
        </w:rPr>
        <w:t xml:space="preserve"> has been shown to </w:t>
      </w:r>
      <w:r w:rsidR="00C91FEE" w:rsidRPr="00F61121">
        <w:rPr>
          <w:rFonts w:asciiTheme="minorHAnsi" w:hAnsiTheme="minorHAnsi" w:cstheme="minorHAnsi"/>
          <w:sz w:val="20"/>
          <w:szCs w:val="20"/>
        </w:rPr>
        <w:t xml:space="preserve">facilitate early recognition of developing </w:t>
      </w:r>
      <w:r w:rsidRPr="00F61121">
        <w:rPr>
          <w:rFonts w:asciiTheme="minorHAnsi" w:hAnsiTheme="minorHAnsi" w:cstheme="minorHAnsi"/>
          <w:sz w:val="20"/>
          <w:szCs w:val="20"/>
        </w:rPr>
        <w:t>preeclampsia, thereby reducing</w:t>
      </w:r>
      <w:r w:rsidR="00CF4445" w:rsidRPr="00F61121">
        <w:rPr>
          <w:rFonts w:asciiTheme="minorHAnsi" w:hAnsiTheme="minorHAnsi" w:cstheme="minorHAnsi"/>
          <w:sz w:val="20"/>
          <w:szCs w:val="20"/>
        </w:rPr>
        <w:t xml:space="preserve"> the incidence of maternal adverse events such </w:t>
      </w:r>
      <w:proofErr w:type="gramStart"/>
      <w:r w:rsidR="00CF4445" w:rsidRPr="00F61121">
        <w:rPr>
          <w:rFonts w:asciiTheme="minorHAnsi" w:hAnsiTheme="minorHAnsi" w:cstheme="minorHAnsi"/>
          <w:sz w:val="20"/>
          <w:szCs w:val="20"/>
        </w:rPr>
        <w:t>as</w:t>
      </w:r>
      <w:r w:rsidRPr="00F61121">
        <w:rPr>
          <w:rFonts w:asciiTheme="minorHAnsi" w:hAnsiTheme="minorHAnsi" w:cstheme="minorHAnsi"/>
          <w:sz w:val="20"/>
          <w:szCs w:val="20"/>
        </w:rPr>
        <w:t>;</w:t>
      </w:r>
      <w:proofErr w:type="gramEnd"/>
    </w:p>
    <w:p w14:paraId="6D6A6434" w14:textId="3B69A43E" w:rsidR="00536FFA" w:rsidRPr="00F61121" w:rsidRDefault="00CF4445" w:rsidP="00F61121">
      <w:pPr>
        <w:pBdr>
          <w:top w:val="single" w:sz="4" w:space="1" w:color="000000"/>
          <w:left w:val="single" w:sz="4" w:space="4" w:color="000000"/>
          <w:bottom w:val="single" w:sz="4" w:space="1" w:color="000000"/>
          <w:right w:val="single" w:sz="4" w:space="4" w:color="000000"/>
        </w:pBdr>
        <w:spacing w:before="120" w:after="120"/>
        <w:rPr>
          <w:rFonts w:asciiTheme="minorHAnsi" w:hAnsiTheme="minorHAnsi" w:cstheme="minorHAnsi"/>
          <w:sz w:val="20"/>
          <w:szCs w:val="20"/>
        </w:rPr>
      </w:pPr>
      <w:r w:rsidRPr="00F61121">
        <w:rPr>
          <w:rFonts w:asciiTheme="minorHAnsi" w:hAnsiTheme="minorHAnsi" w:cstheme="minorHAnsi"/>
          <w:sz w:val="20"/>
          <w:szCs w:val="20"/>
        </w:rPr>
        <w:t xml:space="preserve"> - </w:t>
      </w:r>
      <w:r w:rsidR="00536FFA" w:rsidRPr="00F61121">
        <w:rPr>
          <w:rFonts w:asciiTheme="minorHAnsi" w:hAnsiTheme="minorHAnsi" w:cstheme="minorHAnsi"/>
          <w:sz w:val="20"/>
          <w:szCs w:val="20"/>
        </w:rPr>
        <w:t>eclamptic fit</w:t>
      </w:r>
      <w:r w:rsidR="00AD7D01" w:rsidRPr="00F61121">
        <w:rPr>
          <w:rFonts w:asciiTheme="minorHAnsi" w:hAnsiTheme="minorHAnsi" w:cstheme="minorHAnsi"/>
          <w:sz w:val="20"/>
          <w:szCs w:val="20"/>
        </w:rPr>
        <w:t>s</w:t>
      </w:r>
      <w:r w:rsidR="00536FFA" w:rsidRPr="00F61121">
        <w:rPr>
          <w:rFonts w:asciiTheme="minorHAnsi" w:hAnsiTheme="minorHAnsi" w:cstheme="minorHAnsi"/>
          <w:sz w:val="20"/>
          <w:szCs w:val="20"/>
        </w:rPr>
        <w:t xml:space="preserve"> and</w:t>
      </w:r>
      <w:r w:rsidR="00AD7D01" w:rsidRPr="00F61121">
        <w:rPr>
          <w:rFonts w:asciiTheme="minorHAnsi" w:hAnsiTheme="minorHAnsi" w:cstheme="minorHAnsi"/>
          <w:sz w:val="20"/>
          <w:szCs w:val="20"/>
        </w:rPr>
        <w:t xml:space="preserve"> </w:t>
      </w:r>
      <w:r w:rsidR="00536FFA" w:rsidRPr="00F61121">
        <w:rPr>
          <w:rFonts w:asciiTheme="minorHAnsi" w:hAnsiTheme="minorHAnsi" w:cstheme="minorHAnsi"/>
          <w:sz w:val="20"/>
          <w:szCs w:val="20"/>
        </w:rPr>
        <w:t>/ or other neurological sequelae (such</w:t>
      </w:r>
      <w:r w:rsidRPr="00F61121">
        <w:rPr>
          <w:rFonts w:asciiTheme="minorHAnsi" w:hAnsiTheme="minorHAnsi" w:cstheme="minorHAnsi"/>
          <w:sz w:val="20"/>
          <w:szCs w:val="20"/>
        </w:rPr>
        <w:t xml:space="preserve"> as a cerebrovascular accident)</w:t>
      </w:r>
    </w:p>
    <w:p w14:paraId="259305B2" w14:textId="77777777" w:rsidR="00E45321" w:rsidRPr="00F61121" w:rsidRDefault="00CF4445" w:rsidP="00F61121">
      <w:pPr>
        <w:pBdr>
          <w:top w:val="single" w:sz="4" w:space="1" w:color="000000"/>
          <w:left w:val="single" w:sz="4" w:space="4" w:color="000000"/>
          <w:bottom w:val="single" w:sz="4" w:space="1" w:color="000000"/>
          <w:right w:val="single" w:sz="4" w:space="4" w:color="000000"/>
        </w:pBdr>
        <w:spacing w:before="120" w:after="120"/>
        <w:rPr>
          <w:rFonts w:asciiTheme="minorHAnsi" w:hAnsiTheme="minorHAnsi" w:cstheme="minorHAnsi"/>
          <w:sz w:val="20"/>
          <w:szCs w:val="20"/>
        </w:rPr>
      </w:pPr>
      <w:r w:rsidRPr="00F61121">
        <w:rPr>
          <w:rFonts w:asciiTheme="minorHAnsi" w:hAnsiTheme="minorHAnsi" w:cstheme="minorHAnsi"/>
          <w:sz w:val="20"/>
          <w:szCs w:val="20"/>
        </w:rPr>
        <w:t xml:space="preserve"> - </w:t>
      </w:r>
      <w:r w:rsidR="00536FFA" w:rsidRPr="00F61121">
        <w:rPr>
          <w:rFonts w:asciiTheme="minorHAnsi" w:hAnsiTheme="minorHAnsi" w:cstheme="minorHAnsi"/>
          <w:sz w:val="20"/>
          <w:szCs w:val="20"/>
        </w:rPr>
        <w:t>renal and hepatic impairment</w:t>
      </w:r>
    </w:p>
    <w:p w14:paraId="144E393C" w14:textId="77777777" w:rsidR="00536FFA" w:rsidRPr="00F61121" w:rsidRDefault="00CF4445" w:rsidP="00F61121">
      <w:pPr>
        <w:pBdr>
          <w:top w:val="single" w:sz="4" w:space="1" w:color="000000"/>
          <w:left w:val="single" w:sz="4" w:space="4" w:color="000000"/>
          <w:bottom w:val="single" w:sz="4" w:space="1" w:color="000000"/>
          <w:right w:val="single" w:sz="4" w:space="4" w:color="000000"/>
        </w:pBdr>
        <w:spacing w:before="120" w:after="120"/>
        <w:rPr>
          <w:rFonts w:asciiTheme="minorHAnsi" w:hAnsiTheme="minorHAnsi" w:cstheme="minorHAnsi"/>
          <w:sz w:val="20"/>
          <w:szCs w:val="20"/>
        </w:rPr>
      </w:pPr>
      <w:r w:rsidRPr="00F61121">
        <w:rPr>
          <w:rFonts w:asciiTheme="minorHAnsi" w:hAnsiTheme="minorHAnsi" w:cstheme="minorHAnsi"/>
          <w:sz w:val="20"/>
          <w:szCs w:val="20"/>
        </w:rPr>
        <w:t xml:space="preserve"> - haematological dysfunction and postpartum haemorrhage</w:t>
      </w:r>
    </w:p>
    <w:p w14:paraId="65116254" w14:textId="7718BF35" w:rsidR="00CF4445" w:rsidRPr="00F61121" w:rsidRDefault="00CF4445" w:rsidP="00F61121">
      <w:pPr>
        <w:pBdr>
          <w:top w:val="single" w:sz="4" w:space="1" w:color="000000"/>
          <w:left w:val="single" w:sz="4" w:space="4" w:color="000000"/>
          <w:bottom w:val="single" w:sz="4" w:space="1" w:color="000000"/>
          <w:right w:val="single" w:sz="4" w:space="4" w:color="000000"/>
        </w:pBdr>
        <w:spacing w:before="120" w:after="120"/>
        <w:rPr>
          <w:rFonts w:asciiTheme="minorHAnsi" w:hAnsiTheme="minorHAnsi" w:cstheme="minorHAnsi"/>
          <w:sz w:val="20"/>
          <w:szCs w:val="20"/>
        </w:rPr>
      </w:pPr>
      <w:r w:rsidRPr="00F61121">
        <w:rPr>
          <w:rFonts w:asciiTheme="minorHAnsi" w:hAnsiTheme="minorHAnsi" w:cstheme="minorHAnsi"/>
          <w:sz w:val="20"/>
          <w:szCs w:val="20"/>
        </w:rPr>
        <w:t xml:space="preserve"> - placental abruption</w:t>
      </w:r>
    </w:p>
    <w:p w14:paraId="53D82571" w14:textId="54F9A95F" w:rsidR="00CF4445" w:rsidRPr="00F61121" w:rsidRDefault="00CF4445" w:rsidP="00F61121">
      <w:pPr>
        <w:pBdr>
          <w:top w:val="single" w:sz="4" w:space="1" w:color="000000"/>
          <w:left w:val="single" w:sz="4" w:space="4" w:color="000000"/>
          <w:bottom w:val="single" w:sz="4" w:space="1" w:color="000000"/>
          <w:right w:val="single" w:sz="4" w:space="4" w:color="000000"/>
        </w:pBdr>
        <w:spacing w:before="120" w:after="120"/>
        <w:rPr>
          <w:rFonts w:asciiTheme="minorHAnsi" w:hAnsiTheme="minorHAnsi" w:cstheme="minorHAnsi"/>
          <w:sz w:val="20"/>
          <w:szCs w:val="20"/>
        </w:rPr>
      </w:pPr>
      <w:r w:rsidRPr="00F61121">
        <w:rPr>
          <w:rFonts w:asciiTheme="minorHAnsi" w:hAnsiTheme="minorHAnsi" w:cstheme="minorHAnsi"/>
          <w:sz w:val="20"/>
          <w:szCs w:val="20"/>
        </w:rPr>
        <w:t>Preeclampsia is also associated with preterm birth which increases risks of neurodevelopmental disability, increased special educational needs and ongoing cardiovascular an</w:t>
      </w:r>
      <w:r w:rsidR="00AD7D01" w:rsidRPr="00F61121">
        <w:rPr>
          <w:rFonts w:asciiTheme="minorHAnsi" w:hAnsiTheme="minorHAnsi" w:cstheme="minorHAnsi"/>
          <w:sz w:val="20"/>
          <w:szCs w:val="20"/>
        </w:rPr>
        <w:t>d metabolic disease in</w:t>
      </w:r>
      <w:r w:rsidR="00C91FEE" w:rsidRPr="00F61121">
        <w:rPr>
          <w:rFonts w:asciiTheme="minorHAnsi" w:hAnsiTheme="minorHAnsi" w:cstheme="minorHAnsi"/>
          <w:sz w:val="20"/>
          <w:szCs w:val="20"/>
        </w:rPr>
        <w:t xml:space="preserve"> the child</w:t>
      </w:r>
      <w:r w:rsidRPr="00F61121">
        <w:rPr>
          <w:rFonts w:asciiTheme="minorHAnsi" w:hAnsiTheme="minorHAnsi" w:cstheme="minorHAnsi"/>
          <w:sz w:val="20"/>
          <w:szCs w:val="20"/>
        </w:rPr>
        <w:t>.</w:t>
      </w:r>
      <w:r w:rsidR="00C91FEE" w:rsidRPr="00F61121">
        <w:rPr>
          <w:rFonts w:asciiTheme="minorHAnsi" w:hAnsiTheme="minorHAnsi" w:cstheme="minorHAnsi"/>
          <w:sz w:val="20"/>
          <w:szCs w:val="20"/>
        </w:rPr>
        <w:t xml:space="preserve"> Early anticipation of preterm birth allows timely administration of </w:t>
      </w:r>
      <w:proofErr w:type="gramStart"/>
      <w:r w:rsidR="00C91FEE" w:rsidRPr="00F61121">
        <w:rPr>
          <w:rFonts w:asciiTheme="minorHAnsi" w:hAnsiTheme="minorHAnsi" w:cstheme="minorHAnsi"/>
          <w:sz w:val="20"/>
          <w:szCs w:val="20"/>
        </w:rPr>
        <w:t>evidence based</w:t>
      </w:r>
      <w:proofErr w:type="gramEnd"/>
      <w:r w:rsidR="00C91FEE" w:rsidRPr="00F61121">
        <w:rPr>
          <w:rFonts w:asciiTheme="minorHAnsi" w:hAnsiTheme="minorHAnsi" w:cstheme="minorHAnsi"/>
          <w:sz w:val="20"/>
          <w:szCs w:val="20"/>
        </w:rPr>
        <w:t xml:space="preserve"> interventions that optimise the outcome of premature </w:t>
      </w:r>
      <w:proofErr w:type="spellStart"/>
      <w:r w:rsidR="00C91FEE" w:rsidRPr="00F61121">
        <w:rPr>
          <w:rFonts w:asciiTheme="minorHAnsi" w:hAnsiTheme="minorHAnsi" w:cstheme="minorHAnsi"/>
          <w:sz w:val="20"/>
          <w:szCs w:val="20"/>
        </w:rPr>
        <w:t>infatnts</w:t>
      </w:r>
      <w:proofErr w:type="spellEnd"/>
      <w:r w:rsidR="00C91FEE" w:rsidRPr="00F61121">
        <w:rPr>
          <w:rFonts w:asciiTheme="minorHAnsi" w:hAnsiTheme="minorHAnsi" w:cstheme="minorHAnsi"/>
          <w:sz w:val="20"/>
          <w:szCs w:val="20"/>
        </w:rPr>
        <w:t>, such as; corticosteroid and magnesium treatments to improve respiratory and neu</w:t>
      </w:r>
      <w:r w:rsidR="00AD7D01" w:rsidRPr="00F61121">
        <w:rPr>
          <w:rFonts w:asciiTheme="minorHAnsi" w:hAnsiTheme="minorHAnsi" w:cstheme="minorHAnsi"/>
          <w:sz w:val="20"/>
          <w:szCs w:val="20"/>
        </w:rPr>
        <w:t>rological function and outcomes respectively.</w:t>
      </w:r>
    </w:p>
    <w:p w14:paraId="21BFF69A" w14:textId="6AA92C63" w:rsidR="00CF4445" w:rsidRPr="00F61121" w:rsidRDefault="00B76D37" w:rsidP="00F61121">
      <w:pPr>
        <w:pBdr>
          <w:top w:val="single" w:sz="4" w:space="1" w:color="000000"/>
          <w:left w:val="single" w:sz="4" w:space="4" w:color="000000"/>
          <w:bottom w:val="single" w:sz="4" w:space="1" w:color="000000"/>
          <w:right w:val="single" w:sz="4" w:space="4" w:color="000000"/>
        </w:pBdr>
        <w:spacing w:before="120" w:after="120"/>
        <w:rPr>
          <w:rFonts w:asciiTheme="minorHAnsi" w:hAnsiTheme="minorHAnsi" w:cstheme="minorHAnsi"/>
          <w:sz w:val="20"/>
          <w:szCs w:val="20"/>
        </w:rPr>
      </w:pPr>
      <w:r w:rsidRPr="00F61121">
        <w:rPr>
          <w:rFonts w:asciiTheme="minorHAnsi" w:hAnsiTheme="minorHAnsi" w:cstheme="minorHAnsi"/>
          <w:b/>
          <w:sz w:val="20"/>
          <w:szCs w:val="20"/>
        </w:rPr>
        <w:t xml:space="preserve">Clinical Effectiveness Outcomes: </w:t>
      </w:r>
    </w:p>
    <w:p w14:paraId="5C642B44" w14:textId="77777777" w:rsidR="00CF4445" w:rsidRPr="00F61121" w:rsidRDefault="00FE1477" w:rsidP="00F61121">
      <w:pPr>
        <w:pBdr>
          <w:top w:val="single" w:sz="4" w:space="1" w:color="000000"/>
          <w:left w:val="single" w:sz="4" w:space="4" w:color="000000"/>
          <w:bottom w:val="single" w:sz="4" w:space="1" w:color="000000"/>
          <w:right w:val="single" w:sz="4" w:space="4" w:color="000000"/>
        </w:pBdr>
        <w:spacing w:before="120" w:after="120"/>
        <w:rPr>
          <w:rFonts w:asciiTheme="minorHAnsi" w:hAnsiTheme="minorHAnsi" w:cstheme="minorHAnsi"/>
          <w:b/>
          <w:sz w:val="20"/>
          <w:szCs w:val="20"/>
        </w:rPr>
      </w:pPr>
      <w:r w:rsidRPr="00F61121">
        <w:rPr>
          <w:rFonts w:asciiTheme="minorHAnsi" w:hAnsiTheme="minorHAnsi" w:cstheme="minorHAnsi"/>
          <w:sz w:val="20"/>
          <w:szCs w:val="20"/>
        </w:rPr>
        <w:t>sFlt-1/PlGF testing</w:t>
      </w:r>
      <w:r w:rsidR="00CF4445" w:rsidRPr="00F61121">
        <w:rPr>
          <w:rFonts w:asciiTheme="minorHAnsi" w:hAnsiTheme="minorHAnsi" w:cstheme="minorHAnsi"/>
          <w:sz w:val="20"/>
          <w:szCs w:val="20"/>
        </w:rPr>
        <w:t xml:space="preserve"> </w:t>
      </w:r>
      <w:r w:rsidR="003B4ECB" w:rsidRPr="00F61121">
        <w:rPr>
          <w:rFonts w:asciiTheme="minorHAnsi" w:hAnsiTheme="minorHAnsi" w:cstheme="minorHAnsi"/>
          <w:sz w:val="20"/>
          <w:szCs w:val="20"/>
        </w:rPr>
        <w:t>enables improved clinical management of pregnancies identified as high-risk, or symptomatic of preeclampsia</w:t>
      </w:r>
      <w:r w:rsidR="00C91FEE" w:rsidRPr="00F61121">
        <w:rPr>
          <w:rFonts w:asciiTheme="minorHAnsi" w:hAnsiTheme="minorHAnsi" w:cstheme="minorHAnsi"/>
          <w:sz w:val="20"/>
          <w:szCs w:val="20"/>
        </w:rPr>
        <w:t xml:space="preserve">, moreover, it identifies pregnancies not at high-risk of preeclampsia, which leads to a significant reduction in over treatment, to normal pregnant women, e.g., minimises unnecessary hospitalisations. </w:t>
      </w:r>
      <w:r w:rsidR="00CF4445" w:rsidRPr="00F61121">
        <w:rPr>
          <w:rFonts w:asciiTheme="minorHAnsi" w:hAnsiTheme="minorHAnsi" w:cstheme="minorHAnsi"/>
          <w:sz w:val="20"/>
          <w:szCs w:val="20"/>
        </w:rPr>
        <w:t xml:space="preserve"> </w:t>
      </w:r>
    </w:p>
    <w:p w14:paraId="09DCA7D3" w14:textId="77777777" w:rsidR="00E45321" w:rsidRDefault="00B76D37" w:rsidP="00B44DB3">
      <w:pPr>
        <w:pStyle w:val="Heading1"/>
      </w:pPr>
      <w:r>
        <w:br w:type="page"/>
      </w:r>
      <w:r>
        <w:lastRenderedPageBreak/>
        <w:t>PART 7 – INFORMATION ABOUT ESTIMATED UTILISATION</w:t>
      </w:r>
    </w:p>
    <w:p w14:paraId="711EEE24" w14:textId="77777777" w:rsidR="00E45321" w:rsidRPr="00F61121" w:rsidRDefault="00B76D37" w:rsidP="00F61121">
      <w:pPr>
        <w:pStyle w:val="Heading2"/>
        <w:numPr>
          <w:ilvl w:val="0"/>
          <w:numId w:val="20"/>
        </w:numPr>
        <w:contextualSpacing w:val="0"/>
        <w:rPr>
          <w:rFonts w:cstheme="minorHAnsi"/>
        </w:rPr>
      </w:pPr>
      <w:r w:rsidRPr="00F61121">
        <w:rPr>
          <w:rFonts w:cstheme="minorHAnsi"/>
        </w:rPr>
        <w:t>Estimate the prevalence and/or incidence of the proposed population:</w:t>
      </w:r>
    </w:p>
    <w:p w14:paraId="4AA2C686" w14:textId="77777777" w:rsidR="00E45321" w:rsidRPr="00F61121" w:rsidRDefault="00B76D37" w:rsidP="00F61121">
      <w:pPr>
        <w:spacing w:before="120" w:after="120"/>
        <w:ind w:left="426"/>
        <w:rPr>
          <w:rFonts w:asciiTheme="minorHAnsi" w:hAnsiTheme="minorHAnsi" w:cstheme="minorHAnsi"/>
          <w:sz w:val="20"/>
          <w:szCs w:val="20"/>
        </w:rPr>
      </w:pPr>
      <w:r w:rsidRPr="00F61121">
        <w:rPr>
          <w:rFonts w:asciiTheme="minorHAnsi" w:hAnsiTheme="minorHAnsi" w:cstheme="minorHAnsi"/>
          <w:sz w:val="20"/>
          <w:szCs w:val="20"/>
        </w:rPr>
        <w:t xml:space="preserve">Latest release from the Australian Bureau of Statistics stated that there were 305,832 registered births in 2019, a decrease of 3.0% from 2018. </w:t>
      </w:r>
    </w:p>
    <w:p w14:paraId="7874C3FD" w14:textId="480A6415" w:rsidR="007C5037" w:rsidRPr="00F61121" w:rsidRDefault="005E06D6" w:rsidP="00F61121">
      <w:pPr>
        <w:spacing w:before="120" w:after="120"/>
        <w:ind w:left="426"/>
        <w:rPr>
          <w:rFonts w:asciiTheme="minorHAnsi" w:hAnsiTheme="minorHAnsi" w:cstheme="minorHAnsi"/>
          <w:sz w:val="20"/>
          <w:szCs w:val="20"/>
        </w:rPr>
      </w:pPr>
      <w:hyperlink r:id="rId13" w:history="1">
        <w:r w:rsidR="007C5037" w:rsidRPr="00F61121">
          <w:rPr>
            <w:rStyle w:val="Hyperlink"/>
            <w:rFonts w:asciiTheme="minorHAnsi" w:hAnsiTheme="minorHAnsi" w:cstheme="minorHAnsi"/>
            <w:sz w:val="20"/>
            <w:szCs w:val="20"/>
          </w:rPr>
          <w:t>https://www.abs.gov.au/statistics/people/population/births-australia/latest-release</w:t>
        </w:r>
      </w:hyperlink>
    </w:p>
    <w:p w14:paraId="51AE4814" w14:textId="75E00515" w:rsidR="007C5037" w:rsidRPr="00F61121" w:rsidRDefault="007C5037" w:rsidP="00F61121">
      <w:pPr>
        <w:spacing w:before="120" w:after="120"/>
        <w:ind w:left="426"/>
        <w:rPr>
          <w:rFonts w:asciiTheme="minorHAnsi" w:hAnsiTheme="minorHAnsi" w:cstheme="minorHAnsi"/>
          <w:sz w:val="20"/>
          <w:szCs w:val="20"/>
        </w:rPr>
      </w:pPr>
      <w:r w:rsidRPr="00F61121">
        <w:rPr>
          <w:rFonts w:asciiTheme="minorHAnsi" w:hAnsiTheme="minorHAnsi" w:cstheme="minorHAnsi"/>
          <w:sz w:val="20"/>
          <w:szCs w:val="20"/>
        </w:rPr>
        <w:t>This figure is used in place of accurate figures of pregnancies per year.</w:t>
      </w:r>
    </w:p>
    <w:p w14:paraId="5C240C6E" w14:textId="77777777" w:rsidR="00E45321" w:rsidRPr="00F61121" w:rsidRDefault="00B76D37" w:rsidP="00F61121">
      <w:pPr>
        <w:pStyle w:val="Heading2"/>
        <w:numPr>
          <w:ilvl w:val="0"/>
          <w:numId w:val="20"/>
        </w:numPr>
        <w:contextualSpacing w:val="0"/>
        <w:rPr>
          <w:rFonts w:cstheme="minorHAnsi"/>
        </w:rPr>
      </w:pPr>
      <w:r w:rsidRPr="00F61121">
        <w:rPr>
          <w:rFonts w:cstheme="minorHAnsi"/>
        </w:rPr>
        <w:t>Estimate the number of times the proposed medical service(s) would be delivered to a patient per year:</w:t>
      </w:r>
    </w:p>
    <w:p w14:paraId="6DFDCF9E" w14:textId="0A7FD2E8" w:rsidR="00E45321" w:rsidRPr="00F61121" w:rsidRDefault="00445194" w:rsidP="00F61121">
      <w:pPr>
        <w:spacing w:before="120" w:after="120"/>
        <w:ind w:left="360"/>
        <w:rPr>
          <w:rFonts w:asciiTheme="minorHAnsi" w:hAnsiTheme="minorHAnsi" w:cstheme="minorHAnsi"/>
          <w:sz w:val="20"/>
          <w:szCs w:val="20"/>
        </w:rPr>
      </w:pPr>
      <w:r w:rsidRPr="00F61121">
        <w:rPr>
          <w:rFonts w:asciiTheme="minorHAnsi" w:hAnsiTheme="minorHAnsi" w:cstheme="minorHAnsi"/>
          <w:sz w:val="20"/>
          <w:szCs w:val="20"/>
        </w:rPr>
        <w:t>Current</w:t>
      </w:r>
      <w:r w:rsidR="00B76D37" w:rsidRPr="00F61121">
        <w:rPr>
          <w:rFonts w:asciiTheme="minorHAnsi" w:hAnsiTheme="minorHAnsi" w:cstheme="minorHAnsi"/>
          <w:sz w:val="20"/>
          <w:szCs w:val="20"/>
        </w:rPr>
        <w:t xml:space="preserve"> analysis of the patient data base at RWH indicates that </w:t>
      </w:r>
      <w:r w:rsidRPr="00F61121">
        <w:rPr>
          <w:rFonts w:asciiTheme="minorHAnsi" w:hAnsiTheme="minorHAnsi" w:cstheme="minorHAnsi"/>
          <w:sz w:val="20"/>
          <w:szCs w:val="20"/>
        </w:rPr>
        <w:t>10% of an antenatal population would receive an average of 2 sFlt-1/PlGF tests per pregnancy.</w:t>
      </w:r>
    </w:p>
    <w:p w14:paraId="3D12E3AC" w14:textId="77777777" w:rsidR="00E45321" w:rsidRPr="00F61121" w:rsidRDefault="00B76D37" w:rsidP="00F61121">
      <w:pPr>
        <w:pStyle w:val="Heading2"/>
        <w:numPr>
          <w:ilvl w:val="0"/>
          <w:numId w:val="20"/>
        </w:numPr>
        <w:contextualSpacing w:val="0"/>
        <w:rPr>
          <w:rFonts w:cstheme="minorHAnsi"/>
        </w:rPr>
      </w:pPr>
      <w:r w:rsidRPr="00F61121">
        <w:rPr>
          <w:rFonts w:cstheme="minorHAnsi"/>
        </w:rPr>
        <w:t>How many years would the proposed medical service(s) be required for the patient?</w:t>
      </w:r>
    </w:p>
    <w:p w14:paraId="18B52051" w14:textId="77777777" w:rsidR="00E45321" w:rsidRPr="00F61121" w:rsidRDefault="00B76D37" w:rsidP="00F61121">
      <w:pPr>
        <w:spacing w:before="120" w:after="120"/>
        <w:ind w:firstLine="360"/>
        <w:rPr>
          <w:rFonts w:asciiTheme="minorHAnsi" w:hAnsiTheme="minorHAnsi" w:cstheme="minorHAnsi"/>
          <w:sz w:val="20"/>
          <w:szCs w:val="20"/>
        </w:rPr>
      </w:pPr>
      <w:r w:rsidRPr="00F61121">
        <w:rPr>
          <w:rFonts w:asciiTheme="minorHAnsi" w:hAnsiTheme="minorHAnsi" w:cstheme="minorHAnsi"/>
          <w:sz w:val="20"/>
          <w:szCs w:val="20"/>
        </w:rPr>
        <w:t>The patient would only be eligible for the test whilst pregnant.</w:t>
      </w:r>
    </w:p>
    <w:p w14:paraId="77A58D4D" w14:textId="0CB685F8" w:rsidR="00E45321" w:rsidRPr="00F61121" w:rsidRDefault="00B76D37" w:rsidP="00F61121">
      <w:pPr>
        <w:pStyle w:val="Heading2"/>
        <w:numPr>
          <w:ilvl w:val="0"/>
          <w:numId w:val="20"/>
        </w:numPr>
        <w:contextualSpacing w:val="0"/>
        <w:rPr>
          <w:rFonts w:cstheme="minorHAnsi"/>
        </w:rPr>
      </w:pPr>
      <w:r w:rsidRPr="00F61121">
        <w:rPr>
          <w:rFonts w:cstheme="minorHAnsi"/>
        </w:rPr>
        <w:t>Estimate the projected number of patients who will utilise the proposed medical service(s) for the first full year:</w:t>
      </w:r>
    </w:p>
    <w:p w14:paraId="751E20A0" w14:textId="08E38B04" w:rsidR="00E45321" w:rsidRPr="00F61121" w:rsidRDefault="00445194" w:rsidP="00F61121">
      <w:pPr>
        <w:spacing w:before="120" w:after="120"/>
        <w:ind w:left="360"/>
        <w:rPr>
          <w:rFonts w:asciiTheme="minorHAnsi" w:hAnsiTheme="minorHAnsi" w:cstheme="minorHAnsi"/>
          <w:sz w:val="20"/>
          <w:szCs w:val="20"/>
          <w:lang w:eastAsia="en-US"/>
        </w:rPr>
      </w:pPr>
      <w:r w:rsidRPr="00F61121">
        <w:rPr>
          <w:rFonts w:asciiTheme="minorHAnsi" w:hAnsiTheme="minorHAnsi" w:cstheme="minorHAnsi"/>
          <w:sz w:val="20"/>
          <w:szCs w:val="20"/>
          <w:lang w:eastAsia="en-US"/>
        </w:rPr>
        <w:t>Current analysis of the patient data base at RWH indicates that 10% of an antenatal population would be eligible for sFlt-1/</w:t>
      </w:r>
      <w:proofErr w:type="spellStart"/>
      <w:r w:rsidRPr="00F61121">
        <w:rPr>
          <w:rFonts w:asciiTheme="minorHAnsi" w:hAnsiTheme="minorHAnsi" w:cstheme="minorHAnsi"/>
          <w:sz w:val="20"/>
          <w:szCs w:val="20"/>
          <w:lang w:eastAsia="en-US"/>
        </w:rPr>
        <w:t>PlGF</w:t>
      </w:r>
      <w:proofErr w:type="spellEnd"/>
      <w:r w:rsidRPr="00F61121">
        <w:rPr>
          <w:rFonts w:asciiTheme="minorHAnsi" w:hAnsiTheme="minorHAnsi" w:cstheme="minorHAnsi"/>
          <w:sz w:val="20"/>
          <w:szCs w:val="20"/>
          <w:lang w:eastAsia="en-US"/>
        </w:rPr>
        <w:t xml:space="preserve"> testing.</w:t>
      </w:r>
    </w:p>
    <w:p w14:paraId="05C34783" w14:textId="72C969A2" w:rsidR="00E45321" w:rsidRPr="00F61121" w:rsidRDefault="00B76D37" w:rsidP="00F61121">
      <w:pPr>
        <w:pStyle w:val="Heading2"/>
        <w:numPr>
          <w:ilvl w:val="0"/>
          <w:numId w:val="20"/>
        </w:numPr>
        <w:contextualSpacing w:val="0"/>
        <w:rPr>
          <w:rFonts w:cstheme="minorHAnsi"/>
          <w:b w:val="0"/>
        </w:rPr>
      </w:pPr>
      <w:r w:rsidRPr="00F61121">
        <w:rPr>
          <w:rFonts w:cstheme="minorHAnsi"/>
        </w:rPr>
        <w:t xml:space="preserve">Estimate the anticipated uptake of the proposed medical service over the next three years factoring in any constraints in the health system in meeting the needs of the proposed population (such as supply and demand factors) as well as provide </w:t>
      </w:r>
      <w:sdt>
        <w:sdtPr>
          <w:rPr>
            <w:rFonts w:cstheme="minorHAnsi"/>
          </w:rPr>
          <w:tag w:val="goog_rdk_10"/>
          <w:id w:val="569160716"/>
        </w:sdtPr>
        <w:sdtEndPr/>
        <w:sdtContent/>
      </w:sdt>
      <w:r w:rsidRPr="00F61121">
        <w:rPr>
          <w:rFonts w:cstheme="minorHAnsi"/>
        </w:rPr>
        <w:t>commentary on risk of ‘leakage’ to populations not targeted by the service:</w:t>
      </w:r>
    </w:p>
    <w:p w14:paraId="7C5AC1F5" w14:textId="173BFF1B" w:rsidR="00C22BAC" w:rsidRPr="00F61121" w:rsidRDefault="008B50EA" w:rsidP="00F61121">
      <w:pPr>
        <w:spacing w:before="120" w:after="120"/>
        <w:ind w:left="426"/>
        <w:rPr>
          <w:rFonts w:asciiTheme="minorHAnsi" w:hAnsiTheme="minorHAnsi" w:cstheme="minorHAnsi"/>
          <w:sz w:val="20"/>
          <w:szCs w:val="20"/>
        </w:rPr>
      </w:pPr>
      <w:r w:rsidRPr="00F61121">
        <w:rPr>
          <w:rFonts w:asciiTheme="minorHAnsi" w:hAnsiTheme="minorHAnsi" w:cstheme="minorHAnsi"/>
          <w:sz w:val="20"/>
          <w:szCs w:val="20"/>
        </w:rPr>
        <w:t>Estimated uptake and utilisation is provided below. No leakage beyond targeted populations is anticipated.</w:t>
      </w:r>
    </w:p>
    <w:tbl>
      <w:tblPr>
        <w:tblStyle w:val="TableGrid"/>
        <w:tblW w:w="8973" w:type="dxa"/>
        <w:tblLook w:val="04A0" w:firstRow="1" w:lastRow="0" w:firstColumn="1" w:lastColumn="0" w:noHBand="0" w:noVBand="1"/>
      </w:tblPr>
      <w:tblGrid>
        <w:gridCol w:w="6375"/>
        <w:gridCol w:w="875"/>
        <w:gridCol w:w="875"/>
        <w:gridCol w:w="875"/>
      </w:tblGrid>
      <w:tr w:rsidR="00F80F3B" w:rsidRPr="00F61121" w14:paraId="22E58910" w14:textId="77777777" w:rsidTr="00F80F3B">
        <w:trPr>
          <w:trHeight w:val="464"/>
        </w:trPr>
        <w:tc>
          <w:tcPr>
            <w:tcW w:w="6375" w:type="dxa"/>
            <w:noWrap/>
            <w:vAlign w:val="center"/>
            <w:hideMark/>
          </w:tcPr>
          <w:p w14:paraId="6D0D1506" w14:textId="77777777" w:rsidR="00F80F3B" w:rsidRPr="00F61121" w:rsidRDefault="00F80F3B" w:rsidP="00F61121">
            <w:pPr>
              <w:spacing w:before="120" w:after="120"/>
              <w:rPr>
                <w:rFonts w:asciiTheme="minorHAnsi" w:hAnsiTheme="minorHAnsi" w:cstheme="minorHAnsi"/>
                <w:b/>
                <w:bCs/>
                <w:sz w:val="20"/>
                <w:szCs w:val="20"/>
              </w:rPr>
            </w:pPr>
            <w:proofErr w:type="gramStart"/>
            <w:r w:rsidRPr="00F61121">
              <w:rPr>
                <w:rFonts w:asciiTheme="minorHAnsi" w:hAnsiTheme="minorHAnsi" w:cstheme="minorHAnsi"/>
                <w:b/>
                <w:bCs/>
                <w:sz w:val="20"/>
                <w:szCs w:val="20"/>
              </w:rPr>
              <w:t>Three year</w:t>
            </w:r>
            <w:proofErr w:type="gramEnd"/>
            <w:r w:rsidRPr="00F61121">
              <w:rPr>
                <w:rFonts w:asciiTheme="minorHAnsi" w:hAnsiTheme="minorHAnsi" w:cstheme="minorHAnsi"/>
                <w:b/>
                <w:bCs/>
                <w:sz w:val="20"/>
                <w:szCs w:val="20"/>
              </w:rPr>
              <w:t xml:space="preserve"> estimates for utilisation</w:t>
            </w:r>
          </w:p>
        </w:tc>
        <w:tc>
          <w:tcPr>
            <w:tcW w:w="866" w:type="dxa"/>
            <w:noWrap/>
            <w:vAlign w:val="center"/>
            <w:hideMark/>
          </w:tcPr>
          <w:p w14:paraId="29EC7E2B" w14:textId="77777777" w:rsidR="00F80F3B" w:rsidRPr="00F61121" w:rsidRDefault="00F80F3B" w:rsidP="00F61121">
            <w:pPr>
              <w:spacing w:before="120" w:after="120"/>
              <w:rPr>
                <w:rFonts w:asciiTheme="minorHAnsi" w:hAnsiTheme="minorHAnsi" w:cstheme="minorHAnsi"/>
                <w:b/>
                <w:bCs/>
                <w:sz w:val="20"/>
                <w:szCs w:val="20"/>
              </w:rPr>
            </w:pPr>
            <w:r w:rsidRPr="00F61121">
              <w:rPr>
                <w:rFonts w:asciiTheme="minorHAnsi" w:hAnsiTheme="minorHAnsi" w:cstheme="minorHAnsi"/>
                <w:b/>
                <w:bCs/>
                <w:sz w:val="20"/>
                <w:szCs w:val="20"/>
              </w:rPr>
              <w:t>Year 1</w:t>
            </w:r>
          </w:p>
        </w:tc>
        <w:tc>
          <w:tcPr>
            <w:tcW w:w="866" w:type="dxa"/>
            <w:noWrap/>
            <w:vAlign w:val="center"/>
            <w:hideMark/>
          </w:tcPr>
          <w:p w14:paraId="70B0FC2E" w14:textId="77777777" w:rsidR="00F80F3B" w:rsidRPr="00F61121" w:rsidRDefault="00F80F3B" w:rsidP="00F61121">
            <w:pPr>
              <w:spacing w:before="120" w:after="120"/>
              <w:rPr>
                <w:rFonts w:asciiTheme="minorHAnsi" w:hAnsiTheme="minorHAnsi" w:cstheme="minorHAnsi"/>
                <w:b/>
                <w:bCs/>
                <w:sz w:val="20"/>
                <w:szCs w:val="20"/>
              </w:rPr>
            </w:pPr>
            <w:r w:rsidRPr="00F61121">
              <w:rPr>
                <w:rFonts w:asciiTheme="minorHAnsi" w:hAnsiTheme="minorHAnsi" w:cstheme="minorHAnsi"/>
                <w:b/>
                <w:bCs/>
                <w:sz w:val="20"/>
                <w:szCs w:val="20"/>
              </w:rPr>
              <w:t>Year 2</w:t>
            </w:r>
          </w:p>
        </w:tc>
        <w:tc>
          <w:tcPr>
            <w:tcW w:w="866" w:type="dxa"/>
            <w:noWrap/>
            <w:vAlign w:val="center"/>
            <w:hideMark/>
          </w:tcPr>
          <w:p w14:paraId="50C75244" w14:textId="77777777" w:rsidR="00F80F3B" w:rsidRPr="00F61121" w:rsidRDefault="00F80F3B" w:rsidP="00F61121">
            <w:pPr>
              <w:spacing w:before="120" w:after="120"/>
              <w:rPr>
                <w:rFonts w:asciiTheme="minorHAnsi" w:hAnsiTheme="minorHAnsi" w:cstheme="minorHAnsi"/>
                <w:b/>
                <w:bCs/>
                <w:sz w:val="20"/>
                <w:szCs w:val="20"/>
              </w:rPr>
            </w:pPr>
            <w:r w:rsidRPr="00F61121">
              <w:rPr>
                <w:rFonts w:asciiTheme="minorHAnsi" w:hAnsiTheme="minorHAnsi" w:cstheme="minorHAnsi"/>
                <w:b/>
                <w:bCs/>
                <w:sz w:val="20"/>
                <w:szCs w:val="20"/>
              </w:rPr>
              <w:t>Year 3</w:t>
            </w:r>
          </w:p>
        </w:tc>
      </w:tr>
      <w:tr w:rsidR="00F80F3B" w:rsidRPr="00F61121" w14:paraId="14A98417" w14:textId="77777777" w:rsidTr="00F61121">
        <w:trPr>
          <w:trHeight w:val="429"/>
        </w:trPr>
        <w:tc>
          <w:tcPr>
            <w:tcW w:w="6375" w:type="dxa"/>
            <w:noWrap/>
            <w:vAlign w:val="center"/>
            <w:hideMark/>
          </w:tcPr>
          <w:p w14:paraId="43762E39" w14:textId="77777777" w:rsidR="00F80F3B" w:rsidRPr="00F61121" w:rsidRDefault="00F80F3B" w:rsidP="00F61121">
            <w:pPr>
              <w:spacing w:before="120" w:after="120"/>
              <w:rPr>
                <w:rFonts w:asciiTheme="minorHAnsi" w:hAnsiTheme="minorHAnsi" w:cstheme="minorHAnsi"/>
                <w:sz w:val="20"/>
                <w:szCs w:val="20"/>
              </w:rPr>
            </w:pPr>
            <w:r w:rsidRPr="00F61121">
              <w:rPr>
                <w:rFonts w:asciiTheme="minorHAnsi" w:hAnsiTheme="minorHAnsi" w:cstheme="minorHAnsi"/>
                <w:sz w:val="20"/>
                <w:szCs w:val="20"/>
              </w:rPr>
              <w:t>Births per year (ABS)</w:t>
            </w:r>
          </w:p>
        </w:tc>
        <w:tc>
          <w:tcPr>
            <w:tcW w:w="866" w:type="dxa"/>
            <w:noWrap/>
            <w:vAlign w:val="center"/>
            <w:hideMark/>
          </w:tcPr>
          <w:p w14:paraId="27D81FA5" w14:textId="77777777" w:rsidR="00F80F3B" w:rsidRPr="00F61121" w:rsidRDefault="00F80F3B" w:rsidP="00F61121">
            <w:pPr>
              <w:spacing w:before="120" w:after="120"/>
              <w:jc w:val="center"/>
              <w:rPr>
                <w:rFonts w:asciiTheme="minorHAnsi" w:hAnsiTheme="minorHAnsi" w:cstheme="minorHAnsi"/>
                <w:sz w:val="20"/>
                <w:szCs w:val="20"/>
              </w:rPr>
            </w:pPr>
            <w:r w:rsidRPr="00F61121">
              <w:rPr>
                <w:rFonts w:asciiTheme="minorHAnsi" w:hAnsiTheme="minorHAnsi" w:cstheme="minorHAnsi"/>
                <w:sz w:val="20"/>
                <w:szCs w:val="20"/>
              </w:rPr>
              <w:t>305,832</w:t>
            </w:r>
          </w:p>
        </w:tc>
        <w:tc>
          <w:tcPr>
            <w:tcW w:w="866" w:type="dxa"/>
            <w:noWrap/>
            <w:vAlign w:val="center"/>
            <w:hideMark/>
          </w:tcPr>
          <w:p w14:paraId="2942B5BD" w14:textId="77777777" w:rsidR="00F80F3B" w:rsidRPr="00F61121" w:rsidRDefault="00F80F3B" w:rsidP="00F61121">
            <w:pPr>
              <w:spacing w:before="120" w:after="120"/>
              <w:jc w:val="center"/>
              <w:rPr>
                <w:rFonts w:asciiTheme="minorHAnsi" w:hAnsiTheme="minorHAnsi" w:cstheme="minorHAnsi"/>
                <w:sz w:val="20"/>
                <w:szCs w:val="20"/>
              </w:rPr>
            </w:pPr>
            <w:r w:rsidRPr="00F61121">
              <w:rPr>
                <w:rFonts w:asciiTheme="minorHAnsi" w:hAnsiTheme="minorHAnsi" w:cstheme="minorHAnsi"/>
                <w:sz w:val="20"/>
                <w:szCs w:val="20"/>
              </w:rPr>
              <w:t>305,832</w:t>
            </w:r>
          </w:p>
        </w:tc>
        <w:tc>
          <w:tcPr>
            <w:tcW w:w="866" w:type="dxa"/>
            <w:noWrap/>
            <w:vAlign w:val="center"/>
            <w:hideMark/>
          </w:tcPr>
          <w:p w14:paraId="7F42E15B" w14:textId="77777777" w:rsidR="00F80F3B" w:rsidRPr="00F61121" w:rsidRDefault="00F80F3B" w:rsidP="00F61121">
            <w:pPr>
              <w:spacing w:before="120" w:after="120"/>
              <w:jc w:val="center"/>
              <w:rPr>
                <w:rFonts w:asciiTheme="minorHAnsi" w:hAnsiTheme="minorHAnsi" w:cstheme="minorHAnsi"/>
                <w:sz w:val="20"/>
                <w:szCs w:val="20"/>
              </w:rPr>
            </w:pPr>
            <w:r w:rsidRPr="00F61121">
              <w:rPr>
                <w:rFonts w:asciiTheme="minorHAnsi" w:hAnsiTheme="minorHAnsi" w:cstheme="minorHAnsi"/>
                <w:sz w:val="20"/>
                <w:szCs w:val="20"/>
              </w:rPr>
              <w:t>305,832</w:t>
            </w:r>
          </w:p>
        </w:tc>
      </w:tr>
      <w:tr w:rsidR="00F80F3B" w:rsidRPr="00F61121" w14:paraId="270F7957" w14:textId="77777777" w:rsidTr="00F61121">
        <w:trPr>
          <w:trHeight w:val="648"/>
        </w:trPr>
        <w:tc>
          <w:tcPr>
            <w:tcW w:w="6375" w:type="dxa"/>
            <w:vAlign w:val="center"/>
            <w:hideMark/>
          </w:tcPr>
          <w:p w14:paraId="26A4C4C7" w14:textId="0980C8B5" w:rsidR="00F80F3B" w:rsidRPr="00F61121" w:rsidRDefault="00F80F3B" w:rsidP="00F61121">
            <w:pPr>
              <w:spacing w:before="120" w:after="120"/>
              <w:rPr>
                <w:rFonts w:asciiTheme="minorHAnsi" w:hAnsiTheme="minorHAnsi" w:cstheme="minorHAnsi"/>
                <w:sz w:val="20"/>
                <w:szCs w:val="20"/>
              </w:rPr>
            </w:pPr>
            <w:r w:rsidRPr="00F61121">
              <w:rPr>
                <w:rFonts w:asciiTheme="minorHAnsi" w:hAnsiTheme="minorHAnsi" w:cstheme="minorHAnsi"/>
                <w:sz w:val="20"/>
                <w:szCs w:val="20"/>
              </w:rPr>
              <w:t>Percentage of pregnancies estimated to become eligible fo</w:t>
            </w:r>
            <w:r w:rsidR="00202954" w:rsidRPr="00F61121">
              <w:rPr>
                <w:rFonts w:asciiTheme="minorHAnsi" w:hAnsiTheme="minorHAnsi" w:cstheme="minorHAnsi"/>
                <w:sz w:val="20"/>
                <w:szCs w:val="20"/>
              </w:rPr>
              <w:t xml:space="preserve">r sFlt-1/PlGF testing due to </w:t>
            </w:r>
            <w:r w:rsidRPr="00F61121">
              <w:rPr>
                <w:rFonts w:asciiTheme="minorHAnsi" w:hAnsiTheme="minorHAnsi" w:cstheme="minorHAnsi"/>
                <w:sz w:val="20"/>
                <w:szCs w:val="20"/>
              </w:rPr>
              <w:t xml:space="preserve">clinical signs and symptoms of preeclampsia. </w:t>
            </w:r>
          </w:p>
        </w:tc>
        <w:tc>
          <w:tcPr>
            <w:tcW w:w="866" w:type="dxa"/>
            <w:noWrap/>
            <w:vAlign w:val="center"/>
            <w:hideMark/>
          </w:tcPr>
          <w:p w14:paraId="1A1DCA2E" w14:textId="77777777" w:rsidR="00F80F3B" w:rsidRPr="00F61121" w:rsidRDefault="00F80F3B" w:rsidP="00F61121">
            <w:pPr>
              <w:spacing w:before="120" w:after="120"/>
              <w:jc w:val="center"/>
              <w:rPr>
                <w:rFonts w:asciiTheme="minorHAnsi" w:hAnsiTheme="minorHAnsi" w:cstheme="minorHAnsi"/>
                <w:sz w:val="20"/>
                <w:szCs w:val="20"/>
              </w:rPr>
            </w:pPr>
            <w:r w:rsidRPr="00F61121">
              <w:rPr>
                <w:rFonts w:asciiTheme="minorHAnsi" w:hAnsiTheme="minorHAnsi" w:cstheme="minorHAnsi"/>
                <w:sz w:val="20"/>
                <w:szCs w:val="20"/>
              </w:rPr>
              <w:t>10%</w:t>
            </w:r>
          </w:p>
        </w:tc>
        <w:tc>
          <w:tcPr>
            <w:tcW w:w="866" w:type="dxa"/>
            <w:noWrap/>
            <w:vAlign w:val="center"/>
            <w:hideMark/>
          </w:tcPr>
          <w:p w14:paraId="03E20FEB" w14:textId="77777777" w:rsidR="00F80F3B" w:rsidRPr="00F61121" w:rsidRDefault="00F80F3B" w:rsidP="00F61121">
            <w:pPr>
              <w:spacing w:before="120" w:after="120"/>
              <w:jc w:val="center"/>
              <w:rPr>
                <w:rFonts w:asciiTheme="minorHAnsi" w:hAnsiTheme="minorHAnsi" w:cstheme="minorHAnsi"/>
                <w:sz w:val="20"/>
                <w:szCs w:val="20"/>
              </w:rPr>
            </w:pPr>
            <w:r w:rsidRPr="00F61121">
              <w:rPr>
                <w:rFonts w:asciiTheme="minorHAnsi" w:hAnsiTheme="minorHAnsi" w:cstheme="minorHAnsi"/>
                <w:sz w:val="20"/>
                <w:szCs w:val="20"/>
              </w:rPr>
              <w:t>10%</w:t>
            </w:r>
          </w:p>
        </w:tc>
        <w:tc>
          <w:tcPr>
            <w:tcW w:w="866" w:type="dxa"/>
            <w:noWrap/>
            <w:vAlign w:val="center"/>
            <w:hideMark/>
          </w:tcPr>
          <w:p w14:paraId="12896F9C" w14:textId="77777777" w:rsidR="00F80F3B" w:rsidRPr="00F61121" w:rsidRDefault="00F80F3B" w:rsidP="00F61121">
            <w:pPr>
              <w:spacing w:before="120" w:after="120"/>
              <w:jc w:val="center"/>
              <w:rPr>
                <w:rFonts w:asciiTheme="minorHAnsi" w:hAnsiTheme="minorHAnsi" w:cstheme="minorHAnsi"/>
                <w:sz w:val="20"/>
                <w:szCs w:val="20"/>
              </w:rPr>
            </w:pPr>
            <w:r w:rsidRPr="00F61121">
              <w:rPr>
                <w:rFonts w:asciiTheme="minorHAnsi" w:hAnsiTheme="minorHAnsi" w:cstheme="minorHAnsi"/>
                <w:sz w:val="20"/>
                <w:szCs w:val="20"/>
              </w:rPr>
              <w:t>10%</w:t>
            </w:r>
          </w:p>
        </w:tc>
      </w:tr>
      <w:tr w:rsidR="00F80F3B" w:rsidRPr="00F61121" w14:paraId="09631A0D" w14:textId="77777777" w:rsidTr="00F61121">
        <w:trPr>
          <w:trHeight w:val="191"/>
        </w:trPr>
        <w:tc>
          <w:tcPr>
            <w:tcW w:w="6375" w:type="dxa"/>
            <w:vAlign w:val="center"/>
            <w:hideMark/>
          </w:tcPr>
          <w:p w14:paraId="797356C6" w14:textId="77777777" w:rsidR="00F80F3B" w:rsidRPr="00F61121" w:rsidRDefault="00F80F3B" w:rsidP="00F61121">
            <w:pPr>
              <w:spacing w:before="120" w:after="120"/>
              <w:rPr>
                <w:rFonts w:asciiTheme="minorHAnsi" w:hAnsiTheme="minorHAnsi" w:cstheme="minorHAnsi"/>
                <w:sz w:val="20"/>
                <w:szCs w:val="20"/>
              </w:rPr>
            </w:pPr>
            <w:r w:rsidRPr="00F61121">
              <w:rPr>
                <w:rFonts w:asciiTheme="minorHAnsi" w:hAnsiTheme="minorHAnsi" w:cstheme="minorHAnsi"/>
                <w:sz w:val="20"/>
                <w:szCs w:val="20"/>
              </w:rPr>
              <w:t>Total eligible patient population</w:t>
            </w:r>
          </w:p>
        </w:tc>
        <w:tc>
          <w:tcPr>
            <w:tcW w:w="866" w:type="dxa"/>
            <w:noWrap/>
            <w:vAlign w:val="center"/>
          </w:tcPr>
          <w:p w14:paraId="58D4E93B" w14:textId="6D9CBDC2" w:rsidR="00F80F3B" w:rsidRPr="00F61121" w:rsidRDefault="00202954" w:rsidP="00F61121">
            <w:pPr>
              <w:spacing w:before="120" w:after="120"/>
              <w:jc w:val="center"/>
              <w:rPr>
                <w:rFonts w:asciiTheme="minorHAnsi" w:hAnsiTheme="minorHAnsi" w:cstheme="minorHAnsi"/>
                <w:sz w:val="20"/>
                <w:szCs w:val="20"/>
              </w:rPr>
            </w:pPr>
            <w:r w:rsidRPr="00F61121">
              <w:rPr>
                <w:rFonts w:asciiTheme="minorHAnsi" w:hAnsiTheme="minorHAnsi" w:cstheme="minorHAnsi"/>
                <w:sz w:val="20"/>
                <w:szCs w:val="20"/>
              </w:rPr>
              <w:t>30,583</w:t>
            </w:r>
          </w:p>
        </w:tc>
        <w:tc>
          <w:tcPr>
            <w:tcW w:w="866" w:type="dxa"/>
            <w:noWrap/>
            <w:vAlign w:val="center"/>
          </w:tcPr>
          <w:p w14:paraId="7B046DA6" w14:textId="55D080F5" w:rsidR="00F80F3B" w:rsidRPr="00F61121" w:rsidRDefault="00202954" w:rsidP="00F61121">
            <w:pPr>
              <w:spacing w:before="120" w:after="120"/>
              <w:jc w:val="center"/>
              <w:rPr>
                <w:rFonts w:asciiTheme="minorHAnsi" w:hAnsiTheme="minorHAnsi" w:cstheme="minorHAnsi"/>
                <w:sz w:val="20"/>
                <w:szCs w:val="20"/>
              </w:rPr>
            </w:pPr>
            <w:r w:rsidRPr="00F61121">
              <w:rPr>
                <w:rFonts w:asciiTheme="minorHAnsi" w:hAnsiTheme="minorHAnsi" w:cstheme="minorHAnsi"/>
                <w:sz w:val="20"/>
                <w:szCs w:val="20"/>
              </w:rPr>
              <w:t>30,583</w:t>
            </w:r>
          </w:p>
        </w:tc>
        <w:tc>
          <w:tcPr>
            <w:tcW w:w="866" w:type="dxa"/>
            <w:noWrap/>
            <w:vAlign w:val="center"/>
          </w:tcPr>
          <w:p w14:paraId="73EF64C0" w14:textId="3CA42755" w:rsidR="00F80F3B" w:rsidRPr="00F61121" w:rsidRDefault="00202954" w:rsidP="00F61121">
            <w:pPr>
              <w:spacing w:before="120" w:after="120"/>
              <w:jc w:val="center"/>
              <w:rPr>
                <w:rFonts w:asciiTheme="minorHAnsi" w:hAnsiTheme="minorHAnsi" w:cstheme="minorHAnsi"/>
                <w:sz w:val="20"/>
                <w:szCs w:val="20"/>
              </w:rPr>
            </w:pPr>
            <w:r w:rsidRPr="00F61121">
              <w:rPr>
                <w:rFonts w:asciiTheme="minorHAnsi" w:hAnsiTheme="minorHAnsi" w:cstheme="minorHAnsi"/>
                <w:sz w:val="20"/>
                <w:szCs w:val="20"/>
              </w:rPr>
              <w:t>30,583</w:t>
            </w:r>
          </w:p>
        </w:tc>
      </w:tr>
      <w:tr w:rsidR="00F80F3B" w:rsidRPr="00F61121" w14:paraId="753D11FB" w14:textId="77777777" w:rsidTr="00F61121">
        <w:trPr>
          <w:trHeight w:val="127"/>
        </w:trPr>
        <w:tc>
          <w:tcPr>
            <w:tcW w:w="6375" w:type="dxa"/>
            <w:noWrap/>
            <w:vAlign w:val="center"/>
            <w:hideMark/>
          </w:tcPr>
          <w:p w14:paraId="0ACFD0EB" w14:textId="77777777" w:rsidR="00F80F3B" w:rsidRPr="00F61121" w:rsidRDefault="00F80F3B" w:rsidP="00F61121">
            <w:pPr>
              <w:spacing w:before="120" w:after="120"/>
              <w:rPr>
                <w:rFonts w:asciiTheme="minorHAnsi" w:hAnsiTheme="minorHAnsi" w:cstheme="minorHAnsi"/>
                <w:sz w:val="20"/>
                <w:szCs w:val="20"/>
              </w:rPr>
            </w:pPr>
            <w:r w:rsidRPr="00F61121">
              <w:rPr>
                <w:rFonts w:asciiTheme="minorHAnsi" w:hAnsiTheme="minorHAnsi" w:cstheme="minorHAnsi"/>
                <w:sz w:val="20"/>
                <w:szCs w:val="20"/>
              </w:rPr>
              <w:t>Average number of sFlt-1/</w:t>
            </w:r>
            <w:proofErr w:type="spellStart"/>
            <w:r w:rsidRPr="00F61121">
              <w:rPr>
                <w:rFonts w:asciiTheme="minorHAnsi" w:hAnsiTheme="minorHAnsi" w:cstheme="minorHAnsi"/>
                <w:sz w:val="20"/>
                <w:szCs w:val="20"/>
              </w:rPr>
              <w:t>PlGF</w:t>
            </w:r>
            <w:proofErr w:type="spellEnd"/>
            <w:r w:rsidRPr="00F61121">
              <w:rPr>
                <w:rFonts w:asciiTheme="minorHAnsi" w:hAnsiTheme="minorHAnsi" w:cstheme="minorHAnsi"/>
                <w:sz w:val="20"/>
                <w:szCs w:val="20"/>
              </w:rPr>
              <w:t xml:space="preserve"> tests performed per eligible patient</w:t>
            </w:r>
          </w:p>
        </w:tc>
        <w:tc>
          <w:tcPr>
            <w:tcW w:w="866" w:type="dxa"/>
            <w:noWrap/>
            <w:vAlign w:val="center"/>
            <w:hideMark/>
          </w:tcPr>
          <w:p w14:paraId="618E8436" w14:textId="77777777" w:rsidR="00F80F3B" w:rsidRPr="00F61121" w:rsidRDefault="00F80F3B" w:rsidP="00F61121">
            <w:pPr>
              <w:spacing w:before="120" w:after="120"/>
              <w:jc w:val="center"/>
              <w:rPr>
                <w:rFonts w:asciiTheme="minorHAnsi" w:hAnsiTheme="minorHAnsi" w:cstheme="minorHAnsi"/>
                <w:sz w:val="20"/>
                <w:szCs w:val="20"/>
              </w:rPr>
            </w:pPr>
            <w:r w:rsidRPr="00F61121">
              <w:rPr>
                <w:rFonts w:asciiTheme="minorHAnsi" w:hAnsiTheme="minorHAnsi" w:cstheme="minorHAnsi"/>
                <w:sz w:val="20"/>
                <w:szCs w:val="20"/>
              </w:rPr>
              <w:t>2</w:t>
            </w:r>
          </w:p>
        </w:tc>
        <w:tc>
          <w:tcPr>
            <w:tcW w:w="866" w:type="dxa"/>
            <w:noWrap/>
            <w:vAlign w:val="center"/>
            <w:hideMark/>
          </w:tcPr>
          <w:p w14:paraId="3372F857" w14:textId="77777777" w:rsidR="00F80F3B" w:rsidRPr="00F61121" w:rsidRDefault="00F80F3B" w:rsidP="00F61121">
            <w:pPr>
              <w:spacing w:before="120" w:after="120"/>
              <w:jc w:val="center"/>
              <w:rPr>
                <w:rFonts w:asciiTheme="minorHAnsi" w:hAnsiTheme="minorHAnsi" w:cstheme="minorHAnsi"/>
                <w:sz w:val="20"/>
                <w:szCs w:val="20"/>
              </w:rPr>
            </w:pPr>
            <w:r w:rsidRPr="00F61121">
              <w:rPr>
                <w:rFonts w:asciiTheme="minorHAnsi" w:hAnsiTheme="minorHAnsi" w:cstheme="minorHAnsi"/>
                <w:sz w:val="20"/>
                <w:szCs w:val="20"/>
              </w:rPr>
              <w:t>2</w:t>
            </w:r>
          </w:p>
        </w:tc>
        <w:tc>
          <w:tcPr>
            <w:tcW w:w="866" w:type="dxa"/>
            <w:noWrap/>
            <w:vAlign w:val="center"/>
            <w:hideMark/>
          </w:tcPr>
          <w:p w14:paraId="5CADEA96" w14:textId="77777777" w:rsidR="00F80F3B" w:rsidRPr="00F61121" w:rsidRDefault="00F80F3B" w:rsidP="00F61121">
            <w:pPr>
              <w:spacing w:before="120" w:after="120"/>
              <w:jc w:val="center"/>
              <w:rPr>
                <w:rFonts w:asciiTheme="minorHAnsi" w:hAnsiTheme="minorHAnsi" w:cstheme="minorHAnsi"/>
                <w:sz w:val="20"/>
                <w:szCs w:val="20"/>
              </w:rPr>
            </w:pPr>
            <w:r w:rsidRPr="00F61121">
              <w:rPr>
                <w:rFonts w:asciiTheme="minorHAnsi" w:hAnsiTheme="minorHAnsi" w:cstheme="minorHAnsi"/>
                <w:sz w:val="20"/>
                <w:szCs w:val="20"/>
              </w:rPr>
              <w:t>2</w:t>
            </w:r>
          </w:p>
        </w:tc>
      </w:tr>
      <w:tr w:rsidR="00F80F3B" w:rsidRPr="00F61121" w14:paraId="45FB5747" w14:textId="77777777" w:rsidTr="00F61121">
        <w:trPr>
          <w:trHeight w:val="191"/>
        </w:trPr>
        <w:tc>
          <w:tcPr>
            <w:tcW w:w="6375" w:type="dxa"/>
            <w:noWrap/>
            <w:vAlign w:val="center"/>
            <w:hideMark/>
          </w:tcPr>
          <w:p w14:paraId="4E6C2AD2" w14:textId="77777777" w:rsidR="00F80F3B" w:rsidRPr="00F61121" w:rsidRDefault="00F80F3B" w:rsidP="00F61121">
            <w:pPr>
              <w:spacing w:before="120" w:after="120"/>
              <w:rPr>
                <w:rFonts w:asciiTheme="minorHAnsi" w:hAnsiTheme="minorHAnsi" w:cstheme="minorHAnsi"/>
                <w:sz w:val="20"/>
                <w:szCs w:val="20"/>
              </w:rPr>
            </w:pPr>
            <w:r w:rsidRPr="00F61121">
              <w:rPr>
                <w:rFonts w:asciiTheme="minorHAnsi" w:hAnsiTheme="minorHAnsi" w:cstheme="minorHAnsi"/>
                <w:sz w:val="20"/>
                <w:szCs w:val="20"/>
              </w:rPr>
              <w:t>sFlt-1/</w:t>
            </w:r>
            <w:proofErr w:type="spellStart"/>
            <w:r w:rsidRPr="00F61121">
              <w:rPr>
                <w:rFonts w:asciiTheme="minorHAnsi" w:hAnsiTheme="minorHAnsi" w:cstheme="minorHAnsi"/>
                <w:sz w:val="20"/>
                <w:szCs w:val="20"/>
              </w:rPr>
              <w:t>PlGF</w:t>
            </w:r>
            <w:proofErr w:type="spellEnd"/>
            <w:r w:rsidRPr="00F61121">
              <w:rPr>
                <w:rFonts w:asciiTheme="minorHAnsi" w:hAnsiTheme="minorHAnsi" w:cstheme="minorHAnsi"/>
                <w:sz w:val="20"/>
                <w:szCs w:val="20"/>
              </w:rPr>
              <w:t xml:space="preserve"> utilisation per year</w:t>
            </w:r>
          </w:p>
        </w:tc>
        <w:tc>
          <w:tcPr>
            <w:tcW w:w="866" w:type="dxa"/>
            <w:noWrap/>
            <w:vAlign w:val="center"/>
          </w:tcPr>
          <w:p w14:paraId="26B38778" w14:textId="520EAAE6" w:rsidR="00F80F3B" w:rsidRPr="00F61121" w:rsidRDefault="00202954" w:rsidP="00F61121">
            <w:pPr>
              <w:spacing w:before="120" w:after="120"/>
              <w:jc w:val="center"/>
              <w:rPr>
                <w:rFonts w:asciiTheme="minorHAnsi" w:hAnsiTheme="minorHAnsi" w:cstheme="minorHAnsi"/>
                <w:sz w:val="20"/>
                <w:szCs w:val="20"/>
              </w:rPr>
            </w:pPr>
            <w:r w:rsidRPr="00F61121">
              <w:rPr>
                <w:rFonts w:asciiTheme="minorHAnsi" w:hAnsiTheme="minorHAnsi" w:cstheme="minorHAnsi"/>
                <w:sz w:val="20"/>
                <w:szCs w:val="20"/>
              </w:rPr>
              <w:t>61,166</w:t>
            </w:r>
          </w:p>
        </w:tc>
        <w:tc>
          <w:tcPr>
            <w:tcW w:w="866" w:type="dxa"/>
            <w:noWrap/>
            <w:vAlign w:val="center"/>
          </w:tcPr>
          <w:p w14:paraId="5060BD84" w14:textId="1F3D4D66" w:rsidR="00F80F3B" w:rsidRPr="00F61121" w:rsidRDefault="00202954" w:rsidP="00F61121">
            <w:pPr>
              <w:spacing w:before="120" w:after="120"/>
              <w:jc w:val="center"/>
              <w:rPr>
                <w:rFonts w:asciiTheme="minorHAnsi" w:hAnsiTheme="minorHAnsi" w:cstheme="minorHAnsi"/>
                <w:sz w:val="20"/>
                <w:szCs w:val="20"/>
              </w:rPr>
            </w:pPr>
            <w:r w:rsidRPr="00F61121">
              <w:rPr>
                <w:rFonts w:asciiTheme="minorHAnsi" w:hAnsiTheme="minorHAnsi" w:cstheme="minorHAnsi"/>
                <w:sz w:val="20"/>
                <w:szCs w:val="20"/>
              </w:rPr>
              <w:t>61,166</w:t>
            </w:r>
          </w:p>
        </w:tc>
        <w:tc>
          <w:tcPr>
            <w:tcW w:w="866" w:type="dxa"/>
            <w:noWrap/>
            <w:vAlign w:val="center"/>
          </w:tcPr>
          <w:p w14:paraId="2A535043" w14:textId="7AEBF8BA" w:rsidR="00F80F3B" w:rsidRPr="00F61121" w:rsidRDefault="00202954" w:rsidP="00F61121">
            <w:pPr>
              <w:spacing w:before="120" w:after="120"/>
              <w:jc w:val="center"/>
              <w:rPr>
                <w:rFonts w:asciiTheme="minorHAnsi" w:hAnsiTheme="minorHAnsi" w:cstheme="minorHAnsi"/>
                <w:sz w:val="20"/>
                <w:szCs w:val="20"/>
              </w:rPr>
            </w:pPr>
            <w:r w:rsidRPr="00F61121">
              <w:rPr>
                <w:rFonts w:asciiTheme="minorHAnsi" w:hAnsiTheme="minorHAnsi" w:cstheme="minorHAnsi"/>
                <w:sz w:val="20"/>
                <w:szCs w:val="20"/>
              </w:rPr>
              <w:t>61,166</w:t>
            </w:r>
          </w:p>
        </w:tc>
      </w:tr>
      <w:tr w:rsidR="00F80F3B" w:rsidRPr="00F61121" w14:paraId="08D8B081" w14:textId="77777777" w:rsidTr="00F80F3B">
        <w:trPr>
          <w:trHeight w:val="464"/>
        </w:trPr>
        <w:tc>
          <w:tcPr>
            <w:tcW w:w="6375" w:type="dxa"/>
            <w:noWrap/>
            <w:vAlign w:val="center"/>
            <w:hideMark/>
          </w:tcPr>
          <w:p w14:paraId="5C29755D" w14:textId="77777777" w:rsidR="00F80F3B" w:rsidRPr="00F61121" w:rsidRDefault="00F80F3B" w:rsidP="00F61121">
            <w:pPr>
              <w:spacing w:before="120" w:after="120"/>
              <w:rPr>
                <w:rFonts w:asciiTheme="minorHAnsi" w:hAnsiTheme="minorHAnsi" w:cstheme="minorHAnsi"/>
                <w:sz w:val="20"/>
                <w:szCs w:val="20"/>
              </w:rPr>
            </w:pPr>
            <w:r w:rsidRPr="00F61121">
              <w:rPr>
                <w:rFonts w:asciiTheme="minorHAnsi" w:hAnsiTheme="minorHAnsi" w:cstheme="minorHAnsi"/>
                <w:sz w:val="20"/>
                <w:szCs w:val="20"/>
              </w:rPr>
              <w:t>Cumulative utilisation</w:t>
            </w:r>
          </w:p>
        </w:tc>
        <w:tc>
          <w:tcPr>
            <w:tcW w:w="866" w:type="dxa"/>
            <w:noWrap/>
            <w:vAlign w:val="center"/>
          </w:tcPr>
          <w:p w14:paraId="3D885B1C" w14:textId="2F4FF557" w:rsidR="00F80F3B" w:rsidRPr="00F61121" w:rsidRDefault="00202954" w:rsidP="00F61121">
            <w:pPr>
              <w:spacing w:before="120" w:after="120"/>
              <w:jc w:val="center"/>
              <w:rPr>
                <w:rFonts w:asciiTheme="minorHAnsi" w:hAnsiTheme="minorHAnsi" w:cstheme="minorHAnsi"/>
                <w:sz w:val="20"/>
                <w:szCs w:val="20"/>
              </w:rPr>
            </w:pPr>
            <w:r w:rsidRPr="00F61121">
              <w:rPr>
                <w:rFonts w:asciiTheme="minorHAnsi" w:hAnsiTheme="minorHAnsi" w:cstheme="minorHAnsi"/>
                <w:sz w:val="20"/>
                <w:szCs w:val="20"/>
              </w:rPr>
              <w:t>61,166</w:t>
            </w:r>
          </w:p>
        </w:tc>
        <w:tc>
          <w:tcPr>
            <w:tcW w:w="866" w:type="dxa"/>
            <w:noWrap/>
            <w:vAlign w:val="center"/>
          </w:tcPr>
          <w:p w14:paraId="331C1159" w14:textId="547A06D0" w:rsidR="00F80F3B" w:rsidRPr="00F61121" w:rsidRDefault="00202954" w:rsidP="00F61121">
            <w:pPr>
              <w:spacing w:before="120" w:after="120"/>
              <w:jc w:val="center"/>
              <w:rPr>
                <w:rFonts w:asciiTheme="minorHAnsi" w:hAnsiTheme="minorHAnsi" w:cstheme="minorHAnsi"/>
                <w:sz w:val="20"/>
                <w:szCs w:val="20"/>
              </w:rPr>
            </w:pPr>
            <w:r w:rsidRPr="00F61121">
              <w:rPr>
                <w:rFonts w:asciiTheme="minorHAnsi" w:hAnsiTheme="minorHAnsi" w:cstheme="minorHAnsi"/>
                <w:sz w:val="20"/>
                <w:szCs w:val="20"/>
              </w:rPr>
              <w:t>122,333</w:t>
            </w:r>
          </w:p>
        </w:tc>
        <w:tc>
          <w:tcPr>
            <w:tcW w:w="866" w:type="dxa"/>
            <w:noWrap/>
            <w:vAlign w:val="center"/>
          </w:tcPr>
          <w:p w14:paraId="56D24472" w14:textId="3CD44ADE" w:rsidR="00F80F3B" w:rsidRPr="00F61121" w:rsidRDefault="00202954" w:rsidP="00F61121">
            <w:pPr>
              <w:spacing w:before="120" w:after="120"/>
              <w:jc w:val="center"/>
              <w:rPr>
                <w:rFonts w:asciiTheme="minorHAnsi" w:hAnsiTheme="minorHAnsi" w:cstheme="minorHAnsi"/>
                <w:sz w:val="20"/>
                <w:szCs w:val="20"/>
              </w:rPr>
            </w:pPr>
            <w:r w:rsidRPr="00F61121">
              <w:rPr>
                <w:rFonts w:asciiTheme="minorHAnsi" w:hAnsiTheme="minorHAnsi" w:cstheme="minorHAnsi"/>
                <w:sz w:val="20"/>
                <w:szCs w:val="20"/>
              </w:rPr>
              <w:t>183,499</w:t>
            </w:r>
          </w:p>
        </w:tc>
      </w:tr>
    </w:tbl>
    <w:p w14:paraId="304025A1" w14:textId="77777777" w:rsidR="00B8185C" w:rsidRDefault="00B8185C"/>
    <w:p w14:paraId="1DF737C4" w14:textId="4503722E" w:rsidR="00E45321" w:rsidRDefault="00B76D37">
      <w:pPr>
        <w:rPr>
          <w:b/>
          <w:sz w:val="32"/>
          <w:szCs w:val="32"/>
        </w:rPr>
      </w:pPr>
      <w:r>
        <w:br w:type="page"/>
      </w:r>
    </w:p>
    <w:p w14:paraId="30232971" w14:textId="77777777" w:rsidR="00E45321" w:rsidRDefault="00B76D37" w:rsidP="00B44DB3">
      <w:pPr>
        <w:pStyle w:val="Heading1"/>
      </w:pPr>
      <w:r>
        <w:lastRenderedPageBreak/>
        <w:t xml:space="preserve">PART 8 – </w:t>
      </w:r>
      <w:sdt>
        <w:sdtPr>
          <w:tag w:val="goog_rdk_11"/>
          <w:id w:val="106085596"/>
        </w:sdtPr>
        <w:sdtEndPr/>
        <w:sdtContent/>
      </w:sdt>
      <w:r>
        <w:t>COST INFORMATION</w:t>
      </w:r>
    </w:p>
    <w:p w14:paraId="4FF99DF8" w14:textId="219B67A8" w:rsidR="00E45321" w:rsidRDefault="00B76D37">
      <w:pPr>
        <w:pStyle w:val="Heading2"/>
        <w:numPr>
          <w:ilvl w:val="0"/>
          <w:numId w:val="20"/>
        </w:numPr>
      </w:pPr>
      <w:r>
        <w:t>Indicate the likely cost of providing the proposed medical service. Where possible, please provide overall cost and breakdown:</w:t>
      </w:r>
    </w:p>
    <w:p w14:paraId="185C502C" w14:textId="33C7F950" w:rsidR="0005361B" w:rsidRPr="00F61121" w:rsidRDefault="00C56D15" w:rsidP="0005361B">
      <w:pPr>
        <w:rPr>
          <w:rFonts w:asciiTheme="minorHAnsi" w:hAnsiTheme="minorHAnsi" w:cstheme="minorHAnsi"/>
          <w:sz w:val="20"/>
          <w:szCs w:val="20"/>
          <w:lang w:eastAsia="en-US"/>
        </w:rPr>
      </w:pPr>
      <w:r w:rsidRPr="00F61121">
        <w:rPr>
          <w:rFonts w:asciiTheme="minorHAnsi" w:hAnsiTheme="minorHAnsi" w:cstheme="minorHAnsi"/>
          <w:sz w:val="20"/>
          <w:szCs w:val="20"/>
          <w:lang w:eastAsia="en-US"/>
        </w:rPr>
        <w:t>Applicant is in the process of consultation with relevant service providers</w:t>
      </w:r>
    </w:p>
    <w:p w14:paraId="1DE88317" w14:textId="77777777" w:rsidR="00E45321" w:rsidRPr="00F61121" w:rsidRDefault="00B76D37">
      <w:pPr>
        <w:pStyle w:val="Heading2"/>
        <w:numPr>
          <w:ilvl w:val="0"/>
          <w:numId w:val="20"/>
        </w:numPr>
        <w:rPr>
          <w:rFonts w:cstheme="minorHAnsi"/>
        </w:rPr>
      </w:pPr>
      <w:r w:rsidRPr="00F61121">
        <w:rPr>
          <w:rFonts w:cstheme="minorHAnsi"/>
        </w:rPr>
        <w:t>Specify how long the proposed medical service typically takes to perform:</w:t>
      </w:r>
    </w:p>
    <w:p w14:paraId="7BF9BE07" w14:textId="5DE9A101" w:rsidR="00E45321" w:rsidRPr="00F61121" w:rsidRDefault="004A1DB1">
      <w:pPr>
        <w:ind w:left="426"/>
        <w:rPr>
          <w:rFonts w:asciiTheme="minorHAnsi" w:hAnsiTheme="minorHAnsi" w:cstheme="minorHAnsi"/>
          <w:b/>
          <w:sz w:val="20"/>
          <w:szCs w:val="20"/>
        </w:rPr>
      </w:pPr>
      <w:r w:rsidRPr="00F61121">
        <w:rPr>
          <w:rFonts w:asciiTheme="minorHAnsi" w:hAnsiTheme="minorHAnsi" w:cstheme="minorHAnsi"/>
          <w:sz w:val="20"/>
          <w:szCs w:val="20"/>
        </w:rPr>
        <w:t>Turnaround expected to be within a day</w:t>
      </w:r>
    </w:p>
    <w:p w14:paraId="36FC06FC" w14:textId="77777777" w:rsidR="00E45321" w:rsidRPr="00F61121" w:rsidRDefault="00B76D37">
      <w:pPr>
        <w:pStyle w:val="Heading2"/>
        <w:numPr>
          <w:ilvl w:val="0"/>
          <w:numId w:val="20"/>
        </w:numPr>
        <w:rPr>
          <w:rFonts w:cstheme="minorHAnsi"/>
        </w:rPr>
      </w:pPr>
      <w:r w:rsidRPr="00F61121">
        <w:rPr>
          <w:rFonts w:cstheme="minorHAnsi"/>
        </w:rPr>
        <w:t>If public funding is sought through the MBS, please draft a proposed MBS item descriptor to define the population and medical service usage characteristics that would define eligibility for MBS funding.</w:t>
      </w:r>
    </w:p>
    <w:p w14:paraId="7DA4AF82" w14:textId="2837CE3F" w:rsidR="00E45321" w:rsidRPr="00F61121" w:rsidRDefault="00B76D37">
      <w:pPr>
        <w:pBdr>
          <w:top w:val="single" w:sz="4" w:space="1" w:color="000000"/>
          <w:left w:val="single" w:sz="4" w:space="4" w:color="000000"/>
          <w:bottom w:val="single" w:sz="4" w:space="1" w:color="000000"/>
          <w:right w:val="single" w:sz="4" w:space="4" w:color="000000"/>
          <w:between w:val="single" w:sz="4" w:space="1" w:color="000000"/>
        </w:pBdr>
        <w:rPr>
          <w:rFonts w:asciiTheme="minorHAnsi" w:hAnsiTheme="minorHAnsi" w:cstheme="minorHAnsi"/>
          <w:sz w:val="20"/>
          <w:szCs w:val="20"/>
        </w:rPr>
      </w:pPr>
      <w:r w:rsidRPr="00F61121">
        <w:rPr>
          <w:rFonts w:asciiTheme="minorHAnsi" w:hAnsiTheme="minorHAnsi" w:cstheme="minorHAnsi"/>
          <w:sz w:val="20"/>
          <w:szCs w:val="20"/>
        </w:rPr>
        <w:t xml:space="preserve">Category </w:t>
      </w:r>
      <w:r w:rsidR="00E94EDB" w:rsidRPr="00F61121">
        <w:rPr>
          <w:rFonts w:asciiTheme="minorHAnsi" w:hAnsiTheme="minorHAnsi" w:cstheme="minorHAnsi"/>
          <w:sz w:val="20"/>
          <w:szCs w:val="20"/>
        </w:rPr>
        <w:t>6 PATHOLOGY SERVICES</w:t>
      </w:r>
    </w:p>
    <w:p w14:paraId="3FE964A4" w14:textId="77777777" w:rsidR="00750EF2" w:rsidRPr="00F61121" w:rsidRDefault="00750EF2">
      <w:pPr>
        <w:pBdr>
          <w:top w:val="single" w:sz="4" w:space="1" w:color="000000"/>
          <w:left w:val="single" w:sz="4" w:space="4" w:color="000000"/>
          <w:bottom w:val="single" w:sz="4" w:space="1" w:color="000000"/>
          <w:right w:val="single" w:sz="4" w:space="4" w:color="000000"/>
        </w:pBdr>
        <w:rPr>
          <w:rFonts w:asciiTheme="minorHAnsi" w:hAnsiTheme="minorHAnsi" w:cstheme="minorHAnsi"/>
          <w:sz w:val="20"/>
          <w:szCs w:val="20"/>
        </w:rPr>
      </w:pPr>
    </w:p>
    <w:p w14:paraId="2F10F49E" w14:textId="0337B268" w:rsidR="00E94EDB" w:rsidRPr="00F61121" w:rsidRDefault="00E94EDB">
      <w:pPr>
        <w:pBdr>
          <w:top w:val="single" w:sz="4" w:space="1" w:color="000000"/>
          <w:left w:val="single" w:sz="4" w:space="4" w:color="000000"/>
          <w:bottom w:val="single" w:sz="4" w:space="1" w:color="000000"/>
          <w:right w:val="single" w:sz="4" w:space="4" w:color="000000"/>
        </w:pBdr>
        <w:rPr>
          <w:rFonts w:asciiTheme="minorHAnsi" w:hAnsiTheme="minorHAnsi" w:cstheme="minorHAnsi"/>
          <w:sz w:val="20"/>
          <w:szCs w:val="20"/>
        </w:rPr>
      </w:pPr>
      <w:r w:rsidRPr="00F61121">
        <w:rPr>
          <w:rFonts w:asciiTheme="minorHAnsi" w:hAnsiTheme="minorHAnsi" w:cstheme="minorHAnsi"/>
          <w:sz w:val="20"/>
          <w:szCs w:val="20"/>
        </w:rPr>
        <w:t xml:space="preserve">Quantitative determination of placental growth factor (PlGF) and of placental soluble </w:t>
      </w:r>
      <w:proofErr w:type="spellStart"/>
      <w:r w:rsidRPr="00F61121">
        <w:rPr>
          <w:rFonts w:asciiTheme="minorHAnsi" w:hAnsiTheme="minorHAnsi" w:cstheme="minorHAnsi"/>
          <w:sz w:val="20"/>
          <w:szCs w:val="20"/>
        </w:rPr>
        <w:t>fms</w:t>
      </w:r>
      <w:proofErr w:type="spellEnd"/>
      <w:r w:rsidRPr="00F61121">
        <w:rPr>
          <w:rFonts w:asciiTheme="minorHAnsi" w:hAnsiTheme="minorHAnsi" w:cstheme="minorHAnsi"/>
          <w:sz w:val="20"/>
          <w:szCs w:val="20"/>
        </w:rPr>
        <w:t>-like tyrosine kinase-1 (sFlt-1</w:t>
      </w:r>
      <w:r w:rsidR="00202954" w:rsidRPr="00F61121">
        <w:rPr>
          <w:rFonts w:asciiTheme="minorHAnsi" w:hAnsiTheme="minorHAnsi" w:cstheme="minorHAnsi"/>
          <w:sz w:val="20"/>
          <w:szCs w:val="20"/>
        </w:rPr>
        <w:t>) to predict, identify or mana</w:t>
      </w:r>
      <w:r w:rsidR="006E5A42" w:rsidRPr="00F61121">
        <w:rPr>
          <w:rFonts w:asciiTheme="minorHAnsi" w:hAnsiTheme="minorHAnsi" w:cstheme="minorHAnsi"/>
          <w:sz w:val="20"/>
          <w:szCs w:val="20"/>
        </w:rPr>
        <w:t xml:space="preserve">ge preeclampsia in pregnancies from </w:t>
      </w:r>
      <w:r w:rsidR="00D94A2B" w:rsidRPr="00F61121">
        <w:rPr>
          <w:rFonts w:asciiTheme="minorHAnsi" w:hAnsiTheme="minorHAnsi" w:cstheme="minorHAnsi"/>
          <w:sz w:val="20"/>
          <w:szCs w:val="20"/>
        </w:rPr>
        <w:t>24</w:t>
      </w:r>
      <w:r w:rsidR="00202954" w:rsidRPr="00F61121">
        <w:rPr>
          <w:rFonts w:asciiTheme="minorHAnsi" w:hAnsiTheme="minorHAnsi" w:cstheme="minorHAnsi"/>
          <w:sz w:val="20"/>
          <w:szCs w:val="20"/>
        </w:rPr>
        <w:t xml:space="preserve"> gestational weeks.</w:t>
      </w:r>
    </w:p>
    <w:p w14:paraId="4CF4986F" w14:textId="77777777" w:rsidR="00E94EDB" w:rsidRPr="00F61121" w:rsidRDefault="00E94EDB">
      <w:pPr>
        <w:pBdr>
          <w:top w:val="single" w:sz="4" w:space="1" w:color="000000"/>
          <w:left w:val="single" w:sz="4" w:space="4" w:color="000000"/>
          <w:bottom w:val="single" w:sz="4" w:space="1" w:color="000000"/>
          <w:right w:val="single" w:sz="4" w:space="4" w:color="000000"/>
        </w:pBdr>
        <w:rPr>
          <w:rFonts w:asciiTheme="minorHAnsi" w:hAnsiTheme="minorHAnsi" w:cstheme="minorHAnsi"/>
          <w:sz w:val="20"/>
          <w:szCs w:val="20"/>
        </w:rPr>
      </w:pPr>
    </w:p>
    <w:p w14:paraId="0504C0DA" w14:textId="33E66A42" w:rsidR="00E45321" w:rsidRPr="00F61121" w:rsidRDefault="00E94EDB">
      <w:pPr>
        <w:pBdr>
          <w:top w:val="single" w:sz="4" w:space="1" w:color="000000"/>
          <w:left w:val="single" w:sz="4" w:space="4" w:color="000000"/>
          <w:bottom w:val="single" w:sz="4" w:space="1" w:color="000000"/>
          <w:right w:val="single" w:sz="4" w:space="4" w:color="000000"/>
        </w:pBdr>
        <w:rPr>
          <w:rFonts w:asciiTheme="minorHAnsi" w:hAnsiTheme="minorHAnsi" w:cstheme="minorHAnsi"/>
          <w:sz w:val="20"/>
          <w:szCs w:val="20"/>
        </w:rPr>
      </w:pPr>
      <w:r w:rsidRPr="00F61121">
        <w:rPr>
          <w:rFonts w:asciiTheme="minorHAnsi" w:hAnsiTheme="minorHAnsi" w:cstheme="minorHAnsi"/>
          <w:sz w:val="20"/>
          <w:szCs w:val="20"/>
        </w:rPr>
        <w:t>Fee: $*</w:t>
      </w:r>
      <w:proofErr w:type="gramStart"/>
      <w:r w:rsidRPr="00F61121">
        <w:rPr>
          <w:rFonts w:asciiTheme="minorHAnsi" w:hAnsiTheme="minorHAnsi" w:cstheme="minorHAnsi"/>
          <w:sz w:val="20"/>
          <w:szCs w:val="20"/>
        </w:rPr>
        <w:t>*.*</w:t>
      </w:r>
      <w:proofErr w:type="gramEnd"/>
      <w:r w:rsidRPr="00F61121">
        <w:rPr>
          <w:rFonts w:asciiTheme="minorHAnsi" w:hAnsiTheme="minorHAnsi" w:cstheme="minorHAnsi"/>
          <w:sz w:val="20"/>
          <w:szCs w:val="20"/>
        </w:rPr>
        <w:t>*</w:t>
      </w:r>
    </w:p>
    <w:p w14:paraId="22670E0A" w14:textId="77777777" w:rsidR="00E45321" w:rsidRDefault="00B76D37">
      <w:pPr>
        <w:pStyle w:val="Heading2"/>
        <w:numPr>
          <w:ilvl w:val="0"/>
          <w:numId w:val="15"/>
        </w:numPr>
        <w:ind w:left="360" w:firstLine="0"/>
      </w:pPr>
      <w:r>
        <w:br w:type="page"/>
      </w:r>
    </w:p>
    <w:p w14:paraId="3624446D" w14:textId="77777777" w:rsidR="0081334B" w:rsidRPr="00F61121" w:rsidRDefault="0081334B">
      <w:pPr>
        <w:ind w:left="426"/>
        <w:rPr>
          <w:rFonts w:asciiTheme="minorHAnsi" w:hAnsiTheme="minorHAnsi" w:cstheme="minorHAnsi"/>
          <w:bCs/>
          <w:color w:val="4F81BD" w:themeColor="accent1"/>
          <w:sz w:val="40"/>
          <w:szCs w:val="32"/>
          <w:lang w:eastAsia="en-US"/>
        </w:rPr>
      </w:pPr>
      <w:r w:rsidRPr="00F61121">
        <w:rPr>
          <w:rFonts w:asciiTheme="minorHAnsi" w:hAnsiTheme="minorHAnsi" w:cstheme="minorHAnsi"/>
          <w:bCs/>
          <w:color w:val="4F81BD" w:themeColor="accent1"/>
          <w:sz w:val="40"/>
          <w:szCs w:val="32"/>
          <w:lang w:eastAsia="en-US"/>
        </w:rPr>
        <w:lastRenderedPageBreak/>
        <w:t>References</w:t>
      </w:r>
    </w:p>
    <w:p w14:paraId="2861DE58" w14:textId="77777777" w:rsidR="0081334B" w:rsidRPr="00F61121" w:rsidRDefault="0081334B">
      <w:pPr>
        <w:ind w:left="426"/>
        <w:rPr>
          <w:rFonts w:asciiTheme="minorHAnsi" w:hAnsiTheme="minorHAnsi" w:cstheme="minorHAnsi"/>
          <w:sz w:val="20"/>
          <w:szCs w:val="20"/>
        </w:rPr>
      </w:pPr>
    </w:p>
    <w:p w14:paraId="4D9B9A27" w14:textId="77777777" w:rsidR="00300105" w:rsidRPr="00F61121" w:rsidRDefault="00300105">
      <w:pPr>
        <w:ind w:left="426"/>
        <w:rPr>
          <w:rFonts w:asciiTheme="minorHAnsi" w:hAnsiTheme="minorHAnsi" w:cstheme="minorHAnsi"/>
          <w:sz w:val="20"/>
          <w:szCs w:val="20"/>
        </w:rPr>
      </w:pPr>
      <w:r w:rsidRPr="00F61121">
        <w:rPr>
          <w:rFonts w:asciiTheme="minorHAnsi" w:hAnsiTheme="minorHAnsi" w:cstheme="minorHAnsi"/>
          <w:sz w:val="20"/>
          <w:szCs w:val="20"/>
        </w:rPr>
        <w:t xml:space="preserve">A.S. </w:t>
      </w:r>
      <w:proofErr w:type="spellStart"/>
      <w:r w:rsidRPr="00F61121">
        <w:rPr>
          <w:rFonts w:asciiTheme="minorHAnsi" w:hAnsiTheme="minorHAnsi" w:cstheme="minorHAnsi"/>
          <w:sz w:val="20"/>
          <w:szCs w:val="20"/>
        </w:rPr>
        <w:t>Cerdeira</w:t>
      </w:r>
      <w:proofErr w:type="spellEnd"/>
      <w:r w:rsidRPr="00F61121">
        <w:rPr>
          <w:rFonts w:asciiTheme="minorHAnsi" w:hAnsiTheme="minorHAnsi" w:cstheme="minorHAnsi"/>
          <w:sz w:val="20"/>
          <w:szCs w:val="20"/>
        </w:rPr>
        <w:t xml:space="preserve">, J. O'Sullivan, E.O. </w:t>
      </w:r>
      <w:proofErr w:type="spellStart"/>
      <w:r w:rsidRPr="00F61121">
        <w:rPr>
          <w:rFonts w:asciiTheme="minorHAnsi" w:hAnsiTheme="minorHAnsi" w:cstheme="minorHAnsi"/>
          <w:sz w:val="20"/>
          <w:szCs w:val="20"/>
        </w:rPr>
        <w:t>Ohuma</w:t>
      </w:r>
      <w:proofErr w:type="spellEnd"/>
      <w:r w:rsidRPr="00F61121">
        <w:rPr>
          <w:rFonts w:asciiTheme="minorHAnsi" w:hAnsiTheme="minorHAnsi" w:cstheme="minorHAnsi"/>
          <w:sz w:val="20"/>
          <w:szCs w:val="20"/>
        </w:rPr>
        <w:t xml:space="preserve">, D. Harrington, P. </w:t>
      </w:r>
      <w:proofErr w:type="spellStart"/>
      <w:r w:rsidRPr="00F61121">
        <w:rPr>
          <w:rFonts w:asciiTheme="minorHAnsi" w:hAnsiTheme="minorHAnsi" w:cstheme="minorHAnsi"/>
          <w:sz w:val="20"/>
          <w:szCs w:val="20"/>
        </w:rPr>
        <w:t>Szafranski</w:t>
      </w:r>
      <w:proofErr w:type="spellEnd"/>
      <w:r w:rsidRPr="00F61121">
        <w:rPr>
          <w:rFonts w:asciiTheme="minorHAnsi" w:hAnsiTheme="minorHAnsi" w:cstheme="minorHAnsi"/>
          <w:sz w:val="20"/>
          <w:szCs w:val="20"/>
        </w:rPr>
        <w:t xml:space="preserve">, R. Black, L. Mackillop, L. </w:t>
      </w:r>
      <w:proofErr w:type="spellStart"/>
      <w:r w:rsidRPr="00F61121">
        <w:rPr>
          <w:rFonts w:asciiTheme="minorHAnsi" w:hAnsiTheme="minorHAnsi" w:cstheme="minorHAnsi"/>
          <w:sz w:val="20"/>
          <w:szCs w:val="20"/>
        </w:rPr>
        <w:t>Impey</w:t>
      </w:r>
      <w:proofErr w:type="spellEnd"/>
      <w:r w:rsidRPr="00F61121">
        <w:rPr>
          <w:rFonts w:asciiTheme="minorHAnsi" w:hAnsiTheme="minorHAnsi" w:cstheme="minorHAnsi"/>
          <w:sz w:val="20"/>
          <w:szCs w:val="20"/>
        </w:rPr>
        <w:t xml:space="preserve">, C. Greenwood, T. James, I. Smith, A.T. </w:t>
      </w:r>
      <w:proofErr w:type="spellStart"/>
      <w:r w:rsidRPr="00F61121">
        <w:rPr>
          <w:rFonts w:asciiTheme="minorHAnsi" w:hAnsiTheme="minorHAnsi" w:cstheme="minorHAnsi"/>
          <w:sz w:val="20"/>
          <w:szCs w:val="20"/>
        </w:rPr>
        <w:t>Papageorghiou</w:t>
      </w:r>
      <w:proofErr w:type="spellEnd"/>
      <w:r w:rsidRPr="00F61121">
        <w:rPr>
          <w:rFonts w:asciiTheme="minorHAnsi" w:hAnsiTheme="minorHAnsi" w:cstheme="minorHAnsi"/>
          <w:sz w:val="20"/>
          <w:szCs w:val="20"/>
        </w:rPr>
        <w:t>, M. Knight, M.</w:t>
      </w:r>
    </w:p>
    <w:p w14:paraId="6575AF3F" w14:textId="77777777" w:rsidR="00300105" w:rsidRPr="00F61121" w:rsidRDefault="00300105">
      <w:pPr>
        <w:ind w:left="426"/>
        <w:rPr>
          <w:rFonts w:asciiTheme="minorHAnsi" w:hAnsiTheme="minorHAnsi" w:cstheme="minorHAnsi"/>
          <w:sz w:val="20"/>
          <w:szCs w:val="20"/>
        </w:rPr>
      </w:pPr>
    </w:p>
    <w:p w14:paraId="6ED0DEFF" w14:textId="77777777" w:rsidR="00300105" w:rsidRPr="00F61121" w:rsidRDefault="00DC5D82">
      <w:pPr>
        <w:ind w:left="426"/>
        <w:rPr>
          <w:rFonts w:asciiTheme="minorHAnsi" w:hAnsiTheme="minorHAnsi" w:cstheme="minorHAnsi"/>
          <w:sz w:val="20"/>
          <w:szCs w:val="20"/>
        </w:rPr>
      </w:pPr>
      <w:r w:rsidRPr="00F61121">
        <w:rPr>
          <w:rFonts w:asciiTheme="minorHAnsi" w:hAnsiTheme="minorHAnsi" w:cstheme="minorHAnsi"/>
          <w:sz w:val="20"/>
          <w:szCs w:val="20"/>
        </w:rPr>
        <w:t xml:space="preserve">A.S. </w:t>
      </w:r>
      <w:proofErr w:type="spellStart"/>
      <w:r w:rsidRPr="00F61121">
        <w:rPr>
          <w:rFonts w:asciiTheme="minorHAnsi" w:hAnsiTheme="minorHAnsi" w:cstheme="minorHAnsi"/>
          <w:sz w:val="20"/>
          <w:szCs w:val="20"/>
        </w:rPr>
        <w:t>Cerdeira</w:t>
      </w:r>
      <w:proofErr w:type="spellEnd"/>
      <w:r w:rsidRPr="00F61121">
        <w:rPr>
          <w:rFonts w:asciiTheme="minorHAnsi" w:hAnsiTheme="minorHAnsi" w:cstheme="minorHAnsi"/>
          <w:sz w:val="20"/>
          <w:szCs w:val="20"/>
        </w:rPr>
        <w:t xml:space="preserve">, J. O'Sullivan, E.O. </w:t>
      </w:r>
      <w:proofErr w:type="spellStart"/>
      <w:r w:rsidRPr="00F61121">
        <w:rPr>
          <w:rFonts w:asciiTheme="minorHAnsi" w:hAnsiTheme="minorHAnsi" w:cstheme="minorHAnsi"/>
          <w:sz w:val="20"/>
          <w:szCs w:val="20"/>
        </w:rPr>
        <w:t>Ohuma</w:t>
      </w:r>
      <w:proofErr w:type="spellEnd"/>
      <w:r w:rsidRPr="00F61121">
        <w:rPr>
          <w:rFonts w:asciiTheme="minorHAnsi" w:hAnsiTheme="minorHAnsi" w:cstheme="minorHAnsi"/>
          <w:sz w:val="20"/>
          <w:szCs w:val="20"/>
        </w:rPr>
        <w:t xml:space="preserve">, T. James, A.T. </w:t>
      </w:r>
      <w:proofErr w:type="spellStart"/>
      <w:r w:rsidRPr="00F61121">
        <w:rPr>
          <w:rFonts w:asciiTheme="minorHAnsi" w:hAnsiTheme="minorHAnsi" w:cstheme="minorHAnsi"/>
          <w:sz w:val="20"/>
          <w:szCs w:val="20"/>
        </w:rPr>
        <w:t>Papageorghiou</w:t>
      </w:r>
      <w:proofErr w:type="spellEnd"/>
      <w:r w:rsidRPr="00F61121">
        <w:rPr>
          <w:rFonts w:asciiTheme="minorHAnsi" w:hAnsiTheme="minorHAnsi" w:cstheme="minorHAnsi"/>
          <w:sz w:val="20"/>
          <w:szCs w:val="20"/>
        </w:rPr>
        <w:t xml:space="preserve">, M. Knight, M. </w:t>
      </w:r>
      <w:proofErr w:type="spellStart"/>
      <w:r w:rsidRPr="00F61121">
        <w:rPr>
          <w:rFonts w:asciiTheme="minorHAnsi" w:hAnsiTheme="minorHAnsi" w:cstheme="minorHAnsi"/>
          <w:sz w:val="20"/>
          <w:szCs w:val="20"/>
        </w:rPr>
        <w:t>Vatish</w:t>
      </w:r>
      <w:proofErr w:type="spellEnd"/>
      <w:r w:rsidRPr="00F61121">
        <w:rPr>
          <w:rFonts w:asciiTheme="minorHAnsi" w:hAnsiTheme="minorHAnsi" w:cstheme="minorHAnsi"/>
          <w:sz w:val="20"/>
          <w:szCs w:val="20"/>
        </w:rPr>
        <w:t xml:space="preserve">, Performance of soluble </w:t>
      </w:r>
      <w:proofErr w:type="spellStart"/>
      <w:r w:rsidRPr="00F61121">
        <w:rPr>
          <w:rFonts w:asciiTheme="minorHAnsi" w:hAnsiTheme="minorHAnsi" w:cstheme="minorHAnsi"/>
          <w:sz w:val="20"/>
          <w:szCs w:val="20"/>
        </w:rPr>
        <w:t>fms</w:t>
      </w:r>
      <w:proofErr w:type="spellEnd"/>
      <w:r w:rsidRPr="00F61121">
        <w:rPr>
          <w:rFonts w:asciiTheme="minorHAnsi" w:hAnsiTheme="minorHAnsi" w:cstheme="minorHAnsi"/>
          <w:sz w:val="20"/>
          <w:szCs w:val="20"/>
        </w:rPr>
        <w:t xml:space="preserve">-like tyrosine kinase-1-to-placental growth factor ratio of ≥85 for ruling in preeclampsia within 4 weeks, Am J </w:t>
      </w:r>
      <w:proofErr w:type="spellStart"/>
      <w:r w:rsidRPr="00F61121">
        <w:rPr>
          <w:rFonts w:asciiTheme="minorHAnsi" w:hAnsiTheme="minorHAnsi" w:cstheme="minorHAnsi"/>
          <w:sz w:val="20"/>
          <w:szCs w:val="20"/>
        </w:rPr>
        <w:t>Obstet</w:t>
      </w:r>
      <w:proofErr w:type="spellEnd"/>
      <w:r w:rsidRPr="00F61121">
        <w:rPr>
          <w:rFonts w:asciiTheme="minorHAnsi" w:hAnsiTheme="minorHAnsi" w:cstheme="minorHAnsi"/>
          <w:sz w:val="20"/>
          <w:szCs w:val="20"/>
        </w:rPr>
        <w:t xml:space="preserve"> </w:t>
      </w:r>
      <w:proofErr w:type="spellStart"/>
      <w:r w:rsidRPr="00F61121">
        <w:rPr>
          <w:rFonts w:asciiTheme="minorHAnsi" w:hAnsiTheme="minorHAnsi" w:cstheme="minorHAnsi"/>
          <w:sz w:val="20"/>
          <w:szCs w:val="20"/>
        </w:rPr>
        <w:t>Gynecol</w:t>
      </w:r>
      <w:proofErr w:type="spellEnd"/>
      <w:r w:rsidRPr="00F61121">
        <w:rPr>
          <w:rFonts w:asciiTheme="minorHAnsi" w:hAnsiTheme="minorHAnsi" w:cstheme="minorHAnsi"/>
          <w:sz w:val="20"/>
          <w:szCs w:val="20"/>
        </w:rPr>
        <w:t xml:space="preserve"> 224(3) (2021) 322-323.</w:t>
      </w:r>
    </w:p>
    <w:p w14:paraId="5E07D80B" w14:textId="77777777" w:rsidR="00300105" w:rsidRPr="00F61121" w:rsidRDefault="00300105">
      <w:pPr>
        <w:ind w:left="426"/>
        <w:rPr>
          <w:rFonts w:asciiTheme="minorHAnsi" w:hAnsiTheme="minorHAnsi" w:cstheme="minorHAnsi"/>
          <w:sz w:val="20"/>
          <w:szCs w:val="20"/>
        </w:rPr>
      </w:pPr>
    </w:p>
    <w:p w14:paraId="5DDD138D" w14:textId="5AB0498D" w:rsidR="000A6AD9" w:rsidRPr="00F61121" w:rsidRDefault="00300105" w:rsidP="00F61121">
      <w:pPr>
        <w:ind w:left="426"/>
        <w:rPr>
          <w:rFonts w:asciiTheme="minorHAnsi" w:hAnsiTheme="minorHAnsi" w:cstheme="minorHAnsi"/>
          <w:sz w:val="20"/>
          <w:szCs w:val="20"/>
        </w:rPr>
      </w:pPr>
      <w:r w:rsidRPr="00F61121">
        <w:rPr>
          <w:rFonts w:asciiTheme="minorHAnsi" w:hAnsiTheme="minorHAnsi" w:cstheme="minorHAnsi"/>
          <w:sz w:val="20"/>
          <w:szCs w:val="20"/>
        </w:rPr>
        <w:t xml:space="preserve">L.A. </w:t>
      </w:r>
      <w:proofErr w:type="spellStart"/>
      <w:r w:rsidRPr="00F61121">
        <w:rPr>
          <w:rFonts w:asciiTheme="minorHAnsi" w:hAnsiTheme="minorHAnsi" w:cstheme="minorHAnsi"/>
          <w:sz w:val="20"/>
          <w:szCs w:val="20"/>
        </w:rPr>
        <w:t>Dröge</w:t>
      </w:r>
      <w:proofErr w:type="spellEnd"/>
      <w:r w:rsidRPr="00F61121">
        <w:rPr>
          <w:rFonts w:asciiTheme="minorHAnsi" w:hAnsiTheme="minorHAnsi" w:cstheme="minorHAnsi"/>
          <w:sz w:val="20"/>
          <w:szCs w:val="20"/>
        </w:rPr>
        <w:t xml:space="preserve">, F.H. </w:t>
      </w:r>
      <w:proofErr w:type="spellStart"/>
      <w:r w:rsidRPr="00F61121">
        <w:rPr>
          <w:rFonts w:asciiTheme="minorHAnsi" w:hAnsiTheme="minorHAnsi" w:cstheme="minorHAnsi"/>
          <w:sz w:val="20"/>
          <w:szCs w:val="20"/>
        </w:rPr>
        <w:t>Perschel</w:t>
      </w:r>
      <w:proofErr w:type="spellEnd"/>
      <w:r w:rsidRPr="00F61121">
        <w:rPr>
          <w:rFonts w:asciiTheme="minorHAnsi" w:hAnsiTheme="minorHAnsi" w:cstheme="minorHAnsi"/>
          <w:sz w:val="20"/>
          <w:szCs w:val="20"/>
        </w:rPr>
        <w:t xml:space="preserve">, N. </w:t>
      </w:r>
      <w:proofErr w:type="spellStart"/>
      <w:r w:rsidRPr="00F61121">
        <w:rPr>
          <w:rFonts w:asciiTheme="minorHAnsi" w:hAnsiTheme="minorHAnsi" w:cstheme="minorHAnsi"/>
          <w:sz w:val="20"/>
          <w:szCs w:val="20"/>
        </w:rPr>
        <w:t>Stütz</w:t>
      </w:r>
      <w:proofErr w:type="spellEnd"/>
      <w:r w:rsidRPr="00F61121">
        <w:rPr>
          <w:rFonts w:asciiTheme="minorHAnsi" w:hAnsiTheme="minorHAnsi" w:cstheme="minorHAnsi"/>
          <w:sz w:val="20"/>
          <w:szCs w:val="20"/>
        </w:rPr>
        <w:t xml:space="preserve">, A. </w:t>
      </w:r>
      <w:proofErr w:type="spellStart"/>
      <w:r w:rsidRPr="00F61121">
        <w:rPr>
          <w:rFonts w:asciiTheme="minorHAnsi" w:hAnsiTheme="minorHAnsi" w:cstheme="minorHAnsi"/>
          <w:sz w:val="20"/>
          <w:szCs w:val="20"/>
        </w:rPr>
        <w:t>Gafron</w:t>
      </w:r>
      <w:proofErr w:type="spellEnd"/>
      <w:r w:rsidRPr="00F61121">
        <w:rPr>
          <w:rFonts w:asciiTheme="minorHAnsi" w:hAnsiTheme="minorHAnsi" w:cstheme="minorHAnsi"/>
          <w:sz w:val="20"/>
          <w:szCs w:val="20"/>
        </w:rPr>
        <w:t xml:space="preserve">, L. Frank, A. </w:t>
      </w:r>
      <w:proofErr w:type="spellStart"/>
      <w:r w:rsidRPr="00F61121">
        <w:rPr>
          <w:rFonts w:asciiTheme="minorHAnsi" w:hAnsiTheme="minorHAnsi" w:cstheme="minorHAnsi"/>
          <w:sz w:val="20"/>
          <w:szCs w:val="20"/>
        </w:rPr>
        <w:t>Busjahn</w:t>
      </w:r>
      <w:proofErr w:type="spellEnd"/>
      <w:r w:rsidRPr="00F61121">
        <w:rPr>
          <w:rFonts w:asciiTheme="minorHAnsi" w:hAnsiTheme="minorHAnsi" w:cstheme="minorHAnsi"/>
          <w:sz w:val="20"/>
          <w:szCs w:val="20"/>
        </w:rPr>
        <w:t xml:space="preserve">, W. Henrich, S. </w:t>
      </w:r>
      <w:proofErr w:type="spellStart"/>
      <w:r w:rsidRPr="00F61121">
        <w:rPr>
          <w:rFonts w:asciiTheme="minorHAnsi" w:hAnsiTheme="minorHAnsi" w:cstheme="minorHAnsi"/>
          <w:sz w:val="20"/>
          <w:szCs w:val="20"/>
        </w:rPr>
        <w:t>Verlohren</w:t>
      </w:r>
      <w:proofErr w:type="spellEnd"/>
      <w:r w:rsidRPr="00F61121">
        <w:rPr>
          <w:rFonts w:asciiTheme="minorHAnsi" w:hAnsiTheme="minorHAnsi" w:cstheme="minorHAnsi"/>
          <w:sz w:val="20"/>
          <w:szCs w:val="20"/>
        </w:rPr>
        <w:t xml:space="preserve">, Prediction of Preeclampsia-Related Adverse Outcomes With the sFlt-1 (Soluble </w:t>
      </w:r>
      <w:proofErr w:type="spellStart"/>
      <w:r w:rsidRPr="00F61121">
        <w:rPr>
          <w:rFonts w:asciiTheme="minorHAnsi" w:hAnsiTheme="minorHAnsi" w:cstheme="minorHAnsi"/>
          <w:sz w:val="20"/>
          <w:szCs w:val="20"/>
        </w:rPr>
        <w:t>fms</w:t>
      </w:r>
      <w:proofErr w:type="spellEnd"/>
      <w:r w:rsidRPr="00F61121">
        <w:rPr>
          <w:rFonts w:asciiTheme="minorHAnsi" w:hAnsiTheme="minorHAnsi" w:cstheme="minorHAnsi"/>
          <w:sz w:val="20"/>
          <w:szCs w:val="20"/>
        </w:rPr>
        <w:t>-Like Tyrosine Kinase 1)/</w:t>
      </w:r>
      <w:proofErr w:type="spellStart"/>
      <w:r w:rsidRPr="00F61121">
        <w:rPr>
          <w:rFonts w:asciiTheme="minorHAnsi" w:hAnsiTheme="minorHAnsi" w:cstheme="minorHAnsi"/>
          <w:sz w:val="20"/>
          <w:szCs w:val="20"/>
        </w:rPr>
        <w:t>PlGF</w:t>
      </w:r>
      <w:proofErr w:type="spellEnd"/>
      <w:r w:rsidRPr="00F61121">
        <w:rPr>
          <w:rFonts w:asciiTheme="minorHAnsi" w:hAnsiTheme="minorHAnsi" w:cstheme="minorHAnsi"/>
          <w:sz w:val="20"/>
          <w:szCs w:val="20"/>
        </w:rPr>
        <w:t xml:space="preserve"> (Placental Growth Factor)-Ratio in the Clinical Routine: A Real-World Study, Hypertension 77(2) (2021) 461-471</w:t>
      </w:r>
    </w:p>
    <w:p w14:paraId="0543E0DE" w14:textId="77777777" w:rsidR="000A6AD9" w:rsidRPr="00F61121" w:rsidRDefault="000A6AD9">
      <w:pPr>
        <w:ind w:left="426"/>
        <w:rPr>
          <w:rFonts w:asciiTheme="minorHAnsi" w:hAnsiTheme="minorHAnsi" w:cstheme="minorHAnsi"/>
          <w:sz w:val="20"/>
          <w:szCs w:val="20"/>
        </w:rPr>
      </w:pPr>
    </w:p>
    <w:p w14:paraId="1816538E" w14:textId="77777777" w:rsidR="000A6AD9" w:rsidRPr="00F61121" w:rsidRDefault="000A6AD9" w:rsidP="000A6AD9">
      <w:pPr>
        <w:ind w:left="426"/>
        <w:rPr>
          <w:rFonts w:asciiTheme="minorHAnsi" w:hAnsiTheme="minorHAnsi" w:cstheme="minorHAnsi"/>
          <w:sz w:val="20"/>
          <w:szCs w:val="20"/>
        </w:rPr>
      </w:pPr>
      <w:r w:rsidRPr="00F61121">
        <w:rPr>
          <w:rFonts w:asciiTheme="minorHAnsi" w:hAnsiTheme="minorHAnsi" w:cstheme="minorHAnsi"/>
          <w:sz w:val="20"/>
          <w:szCs w:val="20"/>
        </w:rPr>
        <w:t xml:space="preserve">F. </w:t>
      </w:r>
      <w:proofErr w:type="spellStart"/>
      <w:r w:rsidRPr="00F61121">
        <w:rPr>
          <w:rFonts w:asciiTheme="minorHAnsi" w:hAnsiTheme="minorHAnsi" w:cstheme="minorHAnsi"/>
          <w:sz w:val="20"/>
          <w:szCs w:val="20"/>
        </w:rPr>
        <w:t>Gaccioli</w:t>
      </w:r>
      <w:proofErr w:type="spellEnd"/>
      <w:r w:rsidRPr="00F61121">
        <w:rPr>
          <w:rFonts w:asciiTheme="minorHAnsi" w:hAnsiTheme="minorHAnsi" w:cstheme="minorHAnsi"/>
          <w:sz w:val="20"/>
          <w:szCs w:val="20"/>
        </w:rPr>
        <w:t xml:space="preserve">, U. </w:t>
      </w:r>
      <w:proofErr w:type="spellStart"/>
      <w:r w:rsidRPr="00F61121">
        <w:rPr>
          <w:rFonts w:asciiTheme="minorHAnsi" w:hAnsiTheme="minorHAnsi" w:cstheme="minorHAnsi"/>
          <w:sz w:val="20"/>
          <w:szCs w:val="20"/>
        </w:rPr>
        <w:t>Sovio</w:t>
      </w:r>
      <w:proofErr w:type="spellEnd"/>
      <w:r w:rsidRPr="00F61121">
        <w:rPr>
          <w:rFonts w:asciiTheme="minorHAnsi" w:hAnsiTheme="minorHAnsi" w:cstheme="minorHAnsi"/>
          <w:sz w:val="20"/>
          <w:szCs w:val="20"/>
        </w:rPr>
        <w:t xml:space="preserve">, E. Cook, M. Hund, D.S. Charnock-Jones, G.C.S. Smith, Screening for </w:t>
      </w:r>
      <w:proofErr w:type="spellStart"/>
      <w:r w:rsidRPr="00F61121">
        <w:rPr>
          <w:rFonts w:asciiTheme="minorHAnsi" w:hAnsiTheme="minorHAnsi" w:cstheme="minorHAnsi"/>
          <w:sz w:val="20"/>
          <w:szCs w:val="20"/>
        </w:rPr>
        <w:t>fetal</w:t>
      </w:r>
      <w:proofErr w:type="spellEnd"/>
      <w:r w:rsidRPr="00F61121">
        <w:rPr>
          <w:rFonts w:asciiTheme="minorHAnsi" w:hAnsiTheme="minorHAnsi" w:cstheme="minorHAnsi"/>
          <w:sz w:val="20"/>
          <w:szCs w:val="20"/>
        </w:rPr>
        <w:t xml:space="preserve"> growth restriction using ultrasound and the sFLT1/PlGF ratio in nulliparous women: a prospective cohort study, Lancet Child </w:t>
      </w:r>
      <w:proofErr w:type="spellStart"/>
      <w:r w:rsidRPr="00F61121">
        <w:rPr>
          <w:rFonts w:asciiTheme="minorHAnsi" w:hAnsiTheme="minorHAnsi" w:cstheme="minorHAnsi"/>
          <w:sz w:val="20"/>
          <w:szCs w:val="20"/>
        </w:rPr>
        <w:t>Adolesc</w:t>
      </w:r>
      <w:proofErr w:type="spellEnd"/>
      <w:r w:rsidRPr="00F61121">
        <w:rPr>
          <w:rFonts w:asciiTheme="minorHAnsi" w:hAnsiTheme="minorHAnsi" w:cstheme="minorHAnsi"/>
          <w:sz w:val="20"/>
          <w:szCs w:val="20"/>
        </w:rPr>
        <w:t xml:space="preserve"> Health 2(8) (2018) 569-581.</w:t>
      </w:r>
    </w:p>
    <w:p w14:paraId="2B903D30" w14:textId="77777777" w:rsidR="000A6AD9" w:rsidRPr="00F61121" w:rsidRDefault="000A6AD9" w:rsidP="000A6AD9">
      <w:pPr>
        <w:ind w:left="426"/>
        <w:rPr>
          <w:rFonts w:asciiTheme="minorHAnsi" w:hAnsiTheme="minorHAnsi" w:cstheme="minorHAnsi"/>
          <w:sz w:val="20"/>
          <w:szCs w:val="20"/>
        </w:rPr>
      </w:pPr>
    </w:p>
    <w:p w14:paraId="578822AB" w14:textId="77777777" w:rsidR="00300105" w:rsidRPr="00F61121" w:rsidRDefault="000A6AD9" w:rsidP="00533E02">
      <w:pPr>
        <w:ind w:left="426"/>
        <w:rPr>
          <w:rFonts w:asciiTheme="minorHAnsi" w:hAnsiTheme="minorHAnsi" w:cstheme="minorHAnsi"/>
          <w:sz w:val="20"/>
          <w:szCs w:val="20"/>
        </w:rPr>
      </w:pPr>
      <w:r w:rsidRPr="00F61121">
        <w:rPr>
          <w:rFonts w:asciiTheme="minorHAnsi" w:hAnsiTheme="minorHAnsi" w:cstheme="minorHAnsi"/>
          <w:sz w:val="20"/>
          <w:szCs w:val="20"/>
        </w:rPr>
        <w:t>P. Garcia-</w:t>
      </w:r>
      <w:proofErr w:type="spellStart"/>
      <w:r w:rsidRPr="00F61121">
        <w:rPr>
          <w:rFonts w:asciiTheme="minorHAnsi" w:hAnsiTheme="minorHAnsi" w:cstheme="minorHAnsi"/>
          <w:sz w:val="20"/>
          <w:szCs w:val="20"/>
        </w:rPr>
        <w:t>Manau</w:t>
      </w:r>
      <w:proofErr w:type="spellEnd"/>
      <w:r w:rsidRPr="00F61121">
        <w:rPr>
          <w:rFonts w:asciiTheme="minorHAnsi" w:hAnsiTheme="minorHAnsi" w:cstheme="minorHAnsi"/>
          <w:sz w:val="20"/>
          <w:szCs w:val="20"/>
        </w:rPr>
        <w:t xml:space="preserve">, M. Mendoza, E. </w:t>
      </w:r>
      <w:proofErr w:type="spellStart"/>
      <w:r w:rsidRPr="00F61121">
        <w:rPr>
          <w:rFonts w:asciiTheme="minorHAnsi" w:hAnsiTheme="minorHAnsi" w:cstheme="minorHAnsi"/>
          <w:sz w:val="20"/>
          <w:szCs w:val="20"/>
        </w:rPr>
        <w:t>Bonacina</w:t>
      </w:r>
      <w:proofErr w:type="spellEnd"/>
      <w:r w:rsidRPr="00F61121">
        <w:rPr>
          <w:rFonts w:asciiTheme="minorHAnsi" w:hAnsiTheme="minorHAnsi" w:cstheme="minorHAnsi"/>
          <w:sz w:val="20"/>
          <w:szCs w:val="20"/>
        </w:rPr>
        <w:t xml:space="preserve">, C. Garrido-Gimenez, A. Fernandez-Oliva, J. </w:t>
      </w:r>
      <w:proofErr w:type="spellStart"/>
      <w:r w:rsidRPr="00F61121">
        <w:rPr>
          <w:rFonts w:asciiTheme="minorHAnsi" w:hAnsiTheme="minorHAnsi" w:cstheme="minorHAnsi"/>
          <w:sz w:val="20"/>
          <w:szCs w:val="20"/>
        </w:rPr>
        <w:t>Zanini</w:t>
      </w:r>
      <w:proofErr w:type="spellEnd"/>
      <w:r w:rsidRPr="00F61121">
        <w:rPr>
          <w:rFonts w:asciiTheme="minorHAnsi" w:hAnsiTheme="minorHAnsi" w:cstheme="minorHAnsi"/>
          <w:sz w:val="20"/>
          <w:szCs w:val="20"/>
        </w:rPr>
        <w:t xml:space="preserve">, M. Catalan, H. Tur, B. Serrano, E. Carreras, Soluble </w:t>
      </w:r>
      <w:proofErr w:type="spellStart"/>
      <w:r w:rsidRPr="00F61121">
        <w:rPr>
          <w:rFonts w:asciiTheme="minorHAnsi" w:hAnsiTheme="minorHAnsi" w:cstheme="minorHAnsi"/>
          <w:sz w:val="20"/>
          <w:szCs w:val="20"/>
        </w:rPr>
        <w:t>fms</w:t>
      </w:r>
      <w:proofErr w:type="spellEnd"/>
      <w:r w:rsidRPr="00F61121">
        <w:rPr>
          <w:rFonts w:asciiTheme="minorHAnsi" w:hAnsiTheme="minorHAnsi" w:cstheme="minorHAnsi"/>
          <w:sz w:val="20"/>
          <w:szCs w:val="20"/>
        </w:rPr>
        <w:t xml:space="preserve">-like tyrosine kinase to placental growth factor ratio in different stages of early-onset </w:t>
      </w:r>
      <w:proofErr w:type="spellStart"/>
      <w:r w:rsidRPr="00F61121">
        <w:rPr>
          <w:rFonts w:asciiTheme="minorHAnsi" w:hAnsiTheme="minorHAnsi" w:cstheme="minorHAnsi"/>
          <w:sz w:val="20"/>
          <w:szCs w:val="20"/>
        </w:rPr>
        <w:t>fetal</w:t>
      </w:r>
      <w:proofErr w:type="spellEnd"/>
      <w:r w:rsidRPr="00F61121">
        <w:rPr>
          <w:rFonts w:asciiTheme="minorHAnsi" w:hAnsiTheme="minorHAnsi" w:cstheme="minorHAnsi"/>
          <w:sz w:val="20"/>
          <w:szCs w:val="20"/>
        </w:rPr>
        <w:t xml:space="preserve"> growth restriction and small for gestational age, Acta </w:t>
      </w:r>
      <w:proofErr w:type="spellStart"/>
      <w:r w:rsidRPr="00F61121">
        <w:rPr>
          <w:rFonts w:asciiTheme="minorHAnsi" w:hAnsiTheme="minorHAnsi" w:cstheme="minorHAnsi"/>
          <w:sz w:val="20"/>
          <w:szCs w:val="20"/>
        </w:rPr>
        <w:t>Obstet</w:t>
      </w:r>
      <w:proofErr w:type="spellEnd"/>
      <w:r w:rsidRPr="00F61121">
        <w:rPr>
          <w:rFonts w:asciiTheme="minorHAnsi" w:hAnsiTheme="minorHAnsi" w:cstheme="minorHAnsi"/>
          <w:sz w:val="20"/>
          <w:szCs w:val="20"/>
        </w:rPr>
        <w:t xml:space="preserve"> </w:t>
      </w:r>
      <w:proofErr w:type="spellStart"/>
      <w:r w:rsidRPr="00F61121">
        <w:rPr>
          <w:rFonts w:asciiTheme="minorHAnsi" w:hAnsiTheme="minorHAnsi" w:cstheme="minorHAnsi"/>
          <w:sz w:val="20"/>
          <w:szCs w:val="20"/>
        </w:rPr>
        <w:t>Gynecol</w:t>
      </w:r>
      <w:proofErr w:type="spellEnd"/>
      <w:r w:rsidRPr="00F61121">
        <w:rPr>
          <w:rFonts w:asciiTheme="minorHAnsi" w:hAnsiTheme="minorHAnsi" w:cstheme="minorHAnsi"/>
          <w:sz w:val="20"/>
          <w:szCs w:val="20"/>
        </w:rPr>
        <w:t xml:space="preserve"> </w:t>
      </w:r>
      <w:proofErr w:type="spellStart"/>
      <w:r w:rsidRPr="00F61121">
        <w:rPr>
          <w:rFonts w:asciiTheme="minorHAnsi" w:hAnsiTheme="minorHAnsi" w:cstheme="minorHAnsi"/>
          <w:sz w:val="20"/>
          <w:szCs w:val="20"/>
        </w:rPr>
        <w:t>Scand</w:t>
      </w:r>
      <w:proofErr w:type="spellEnd"/>
      <w:r w:rsidRPr="00F61121">
        <w:rPr>
          <w:rFonts w:asciiTheme="minorHAnsi" w:hAnsiTheme="minorHAnsi" w:cstheme="minorHAnsi"/>
          <w:sz w:val="20"/>
          <w:szCs w:val="20"/>
        </w:rPr>
        <w:t xml:space="preserve"> 100(1) (2021) 119-128.</w:t>
      </w:r>
    </w:p>
    <w:p w14:paraId="1CA6D7DC" w14:textId="77777777" w:rsidR="00300105" w:rsidRPr="00F61121" w:rsidRDefault="00300105">
      <w:pPr>
        <w:ind w:left="426"/>
        <w:rPr>
          <w:rFonts w:asciiTheme="minorHAnsi" w:hAnsiTheme="minorHAnsi" w:cstheme="minorHAnsi"/>
          <w:sz w:val="20"/>
          <w:szCs w:val="20"/>
        </w:rPr>
      </w:pPr>
    </w:p>
    <w:p w14:paraId="47B3CF50" w14:textId="77777777" w:rsidR="00317A38" w:rsidRPr="00F61121" w:rsidRDefault="004B11CD">
      <w:pPr>
        <w:ind w:left="426"/>
        <w:rPr>
          <w:rFonts w:asciiTheme="minorHAnsi" w:hAnsiTheme="minorHAnsi" w:cstheme="minorHAnsi"/>
          <w:sz w:val="20"/>
          <w:szCs w:val="20"/>
        </w:rPr>
      </w:pPr>
      <w:r w:rsidRPr="00F61121">
        <w:rPr>
          <w:rFonts w:asciiTheme="minorHAnsi" w:hAnsiTheme="minorHAnsi" w:cstheme="minorHAnsi"/>
          <w:sz w:val="20"/>
          <w:szCs w:val="20"/>
        </w:rPr>
        <w:t xml:space="preserve">E. Klein, D. </w:t>
      </w:r>
      <w:proofErr w:type="spellStart"/>
      <w:r w:rsidRPr="00F61121">
        <w:rPr>
          <w:rFonts w:asciiTheme="minorHAnsi" w:hAnsiTheme="minorHAnsi" w:cstheme="minorHAnsi"/>
          <w:sz w:val="20"/>
          <w:szCs w:val="20"/>
        </w:rPr>
        <w:t>Schlembach</w:t>
      </w:r>
      <w:proofErr w:type="spellEnd"/>
      <w:r w:rsidRPr="00F61121">
        <w:rPr>
          <w:rFonts w:asciiTheme="minorHAnsi" w:hAnsiTheme="minorHAnsi" w:cstheme="minorHAnsi"/>
          <w:sz w:val="20"/>
          <w:szCs w:val="20"/>
        </w:rPr>
        <w:t xml:space="preserve">, A. </w:t>
      </w:r>
      <w:proofErr w:type="spellStart"/>
      <w:r w:rsidRPr="00F61121">
        <w:rPr>
          <w:rFonts w:asciiTheme="minorHAnsi" w:hAnsiTheme="minorHAnsi" w:cstheme="minorHAnsi"/>
          <w:sz w:val="20"/>
          <w:szCs w:val="20"/>
        </w:rPr>
        <w:t>Ramoni</w:t>
      </w:r>
      <w:proofErr w:type="spellEnd"/>
      <w:r w:rsidRPr="00F61121">
        <w:rPr>
          <w:rFonts w:asciiTheme="minorHAnsi" w:hAnsiTheme="minorHAnsi" w:cstheme="minorHAnsi"/>
          <w:sz w:val="20"/>
          <w:szCs w:val="20"/>
        </w:rPr>
        <w:t xml:space="preserve">, E. Langer, F. </w:t>
      </w:r>
      <w:proofErr w:type="spellStart"/>
      <w:r w:rsidRPr="00F61121">
        <w:rPr>
          <w:rFonts w:asciiTheme="minorHAnsi" w:hAnsiTheme="minorHAnsi" w:cstheme="minorHAnsi"/>
          <w:sz w:val="20"/>
          <w:szCs w:val="20"/>
        </w:rPr>
        <w:t>Bahlmann</w:t>
      </w:r>
      <w:proofErr w:type="spellEnd"/>
      <w:r w:rsidRPr="00F61121">
        <w:rPr>
          <w:rFonts w:asciiTheme="minorHAnsi" w:hAnsiTheme="minorHAnsi" w:cstheme="minorHAnsi"/>
          <w:sz w:val="20"/>
          <w:szCs w:val="20"/>
        </w:rPr>
        <w:t xml:space="preserve">, S. Grill, H. </w:t>
      </w:r>
      <w:proofErr w:type="spellStart"/>
      <w:r w:rsidRPr="00F61121">
        <w:rPr>
          <w:rFonts w:asciiTheme="minorHAnsi" w:hAnsiTheme="minorHAnsi" w:cstheme="minorHAnsi"/>
          <w:sz w:val="20"/>
          <w:szCs w:val="20"/>
        </w:rPr>
        <w:t>Schaffenrath</w:t>
      </w:r>
      <w:proofErr w:type="spellEnd"/>
      <w:r w:rsidRPr="00F61121">
        <w:rPr>
          <w:rFonts w:asciiTheme="minorHAnsi" w:hAnsiTheme="minorHAnsi" w:cstheme="minorHAnsi"/>
          <w:sz w:val="20"/>
          <w:szCs w:val="20"/>
        </w:rPr>
        <w:t xml:space="preserve">, R. van der Does, D. </w:t>
      </w:r>
      <w:proofErr w:type="spellStart"/>
      <w:r w:rsidRPr="00F61121">
        <w:rPr>
          <w:rFonts w:asciiTheme="minorHAnsi" w:hAnsiTheme="minorHAnsi" w:cstheme="minorHAnsi"/>
          <w:sz w:val="20"/>
          <w:szCs w:val="20"/>
        </w:rPr>
        <w:t>Messinger</w:t>
      </w:r>
      <w:proofErr w:type="spellEnd"/>
      <w:r w:rsidRPr="00F61121">
        <w:rPr>
          <w:rFonts w:asciiTheme="minorHAnsi" w:hAnsiTheme="minorHAnsi" w:cstheme="minorHAnsi"/>
          <w:sz w:val="20"/>
          <w:szCs w:val="20"/>
        </w:rPr>
        <w:t xml:space="preserve">, W.D. </w:t>
      </w:r>
      <w:proofErr w:type="spellStart"/>
      <w:r w:rsidRPr="00F61121">
        <w:rPr>
          <w:rFonts w:asciiTheme="minorHAnsi" w:hAnsiTheme="minorHAnsi" w:cstheme="minorHAnsi"/>
          <w:sz w:val="20"/>
          <w:szCs w:val="20"/>
        </w:rPr>
        <w:t>Verhagen-Kamerbeek</w:t>
      </w:r>
      <w:proofErr w:type="spellEnd"/>
      <w:r w:rsidRPr="00F61121">
        <w:rPr>
          <w:rFonts w:asciiTheme="minorHAnsi" w:hAnsiTheme="minorHAnsi" w:cstheme="minorHAnsi"/>
          <w:sz w:val="20"/>
          <w:szCs w:val="20"/>
        </w:rPr>
        <w:t xml:space="preserve">, M. </w:t>
      </w:r>
      <w:proofErr w:type="spellStart"/>
      <w:r w:rsidRPr="00F61121">
        <w:rPr>
          <w:rFonts w:asciiTheme="minorHAnsi" w:hAnsiTheme="minorHAnsi" w:cstheme="minorHAnsi"/>
          <w:sz w:val="20"/>
          <w:szCs w:val="20"/>
        </w:rPr>
        <w:t>Reim</w:t>
      </w:r>
      <w:proofErr w:type="spellEnd"/>
      <w:r w:rsidRPr="00F61121">
        <w:rPr>
          <w:rFonts w:asciiTheme="minorHAnsi" w:hAnsiTheme="minorHAnsi" w:cstheme="minorHAnsi"/>
          <w:sz w:val="20"/>
          <w:szCs w:val="20"/>
        </w:rPr>
        <w:t xml:space="preserve">, M. Hund, H. Stepan, Influence of the sFlt-1/PlGF Ratio on Clinical Decision-Making in Women with Suspected Preeclampsia, </w:t>
      </w:r>
      <w:proofErr w:type="spellStart"/>
      <w:r w:rsidRPr="00F61121">
        <w:rPr>
          <w:rFonts w:asciiTheme="minorHAnsi" w:hAnsiTheme="minorHAnsi" w:cstheme="minorHAnsi"/>
          <w:sz w:val="20"/>
          <w:szCs w:val="20"/>
        </w:rPr>
        <w:t>PLoS</w:t>
      </w:r>
      <w:proofErr w:type="spellEnd"/>
      <w:r w:rsidRPr="00F61121">
        <w:rPr>
          <w:rFonts w:asciiTheme="minorHAnsi" w:hAnsiTheme="minorHAnsi" w:cstheme="minorHAnsi"/>
          <w:sz w:val="20"/>
          <w:szCs w:val="20"/>
        </w:rPr>
        <w:t xml:space="preserve"> One 11(5) (2016) e0156013.</w:t>
      </w:r>
    </w:p>
    <w:p w14:paraId="58251956" w14:textId="77777777" w:rsidR="00317A38" w:rsidRPr="00F61121" w:rsidRDefault="00317A38">
      <w:pPr>
        <w:ind w:left="426"/>
        <w:rPr>
          <w:rFonts w:asciiTheme="minorHAnsi" w:hAnsiTheme="minorHAnsi" w:cstheme="minorHAnsi"/>
          <w:sz w:val="20"/>
          <w:szCs w:val="20"/>
        </w:rPr>
      </w:pPr>
    </w:p>
    <w:p w14:paraId="2249D9F3" w14:textId="77777777" w:rsidR="00DC5D82" w:rsidRPr="00F61121" w:rsidRDefault="00DC5D82">
      <w:pPr>
        <w:ind w:left="426"/>
        <w:rPr>
          <w:rFonts w:asciiTheme="minorHAnsi" w:hAnsiTheme="minorHAnsi" w:cstheme="minorHAnsi"/>
          <w:sz w:val="20"/>
          <w:szCs w:val="20"/>
        </w:rPr>
      </w:pPr>
      <w:r w:rsidRPr="00F61121">
        <w:rPr>
          <w:rFonts w:asciiTheme="minorHAnsi" w:hAnsiTheme="minorHAnsi" w:cstheme="minorHAnsi"/>
          <w:sz w:val="20"/>
          <w:szCs w:val="20"/>
        </w:rPr>
        <w:t xml:space="preserve">S. Rana, S. Salahuddin, A. Mueller, A.H. Berg, R.I. </w:t>
      </w:r>
      <w:proofErr w:type="spellStart"/>
      <w:r w:rsidRPr="00F61121">
        <w:rPr>
          <w:rFonts w:asciiTheme="minorHAnsi" w:hAnsiTheme="minorHAnsi" w:cstheme="minorHAnsi"/>
          <w:sz w:val="20"/>
          <w:szCs w:val="20"/>
        </w:rPr>
        <w:t>Thadhani</w:t>
      </w:r>
      <w:proofErr w:type="spellEnd"/>
      <w:r w:rsidRPr="00F61121">
        <w:rPr>
          <w:rFonts w:asciiTheme="minorHAnsi" w:hAnsiTheme="minorHAnsi" w:cstheme="minorHAnsi"/>
          <w:sz w:val="20"/>
          <w:szCs w:val="20"/>
        </w:rPr>
        <w:t xml:space="preserve">, S.A. </w:t>
      </w:r>
      <w:proofErr w:type="spellStart"/>
      <w:r w:rsidRPr="00F61121">
        <w:rPr>
          <w:rFonts w:asciiTheme="minorHAnsi" w:hAnsiTheme="minorHAnsi" w:cstheme="minorHAnsi"/>
          <w:sz w:val="20"/>
          <w:szCs w:val="20"/>
        </w:rPr>
        <w:t>Karumanchi</w:t>
      </w:r>
      <w:proofErr w:type="spellEnd"/>
      <w:r w:rsidRPr="00F61121">
        <w:rPr>
          <w:rFonts w:asciiTheme="minorHAnsi" w:hAnsiTheme="minorHAnsi" w:cstheme="minorHAnsi"/>
          <w:sz w:val="20"/>
          <w:szCs w:val="20"/>
        </w:rPr>
        <w:t xml:space="preserve">, Angiogenic biomarkers in triage and risk for preeclampsia with severe features, Pregnancy </w:t>
      </w:r>
      <w:proofErr w:type="spellStart"/>
      <w:r w:rsidRPr="00F61121">
        <w:rPr>
          <w:rFonts w:asciiTheme="minorHAnsi" w:hAnsiTheme="minorHAnsi" w:cstheme="minorHAnsi"/>
          <w:sz w:val="20"/>
          <w:szCs w:val="20"/>
        </w:rPr>
        <w:t>Hypertens</w:t>
      </w:r>
      <w:proofErr w:type="spellEnd"/>
      <w:r w:rsidRPr="00F61121">
        <w:rPr>
          <w:rFonts w:asciiTheme="minorHAnsi" w:hAnsiTheme="minorHAnsi" w:cstheme="minorHAnsi"/>
          <w:sz w:val="20"/>
          <w:szCs w:val="20"/>
        </w:rPr>
        <w:t xml:space="preserve"> 13 (2018) 100-106.</w:t>
      </w:r>
    </w:p>
    <w:p w14:paraId="063B13BA" w14:textId="77777777" w:rsidR="00317A38" w:rsidRPr="00F61121" w:rsidRDefault="00317A38">
      <w:pPr>
        <w:ind w:left="426"/>
        <w:rPr>
          <w:rFonts w:asciiTheme="minorHAnsi" w:hAnsiTheme="minorHAnsi" w:cstheme="minorHAnsi"/>
          <w:sz w:val="20"/>
          <w:szCs w:val="20"/>
        </w:rPr>
      </w:pPr>
    </w:p>
    <w:p w14:paraId="23706EE2" w14:textId="77777777" w:rsidR="000A6AD9" w:rsidRPr="00F61121" w:rsidRDefault="000A6AD9">
      <w:pPr>
        <w:ind w:left="426"/>
        <w:rPr>
          <w:rFonts w:asciiTheme="minorHAnsi" w:hAnsiTheme="minorHAnsi" w:cstheme="minorHAnsi"/>
          <w:sz w:val="20"/>
          <w:szCs w:val="20"/>
        </w:rPr>
      </w:pPr>
      <w:r w:rsidRPr="00F61121">
        <w:rPr>
          <w:rFonts w:asciiTheme="minorHAnsi" w:hAnsiTheme="minorHAnsi" w:cstheme="minorHAnsi"/>
          <w:sz w:val="20"/>
          <w:szCs w:val="20"/>
        </w:rPr>
        <w:t xml:space="preserve">S. Rana, C.E. Powe, S. Salahuddin, S. </w:t>
      </w:r>
      <w:proofErr w:type="spellStart"/>
      <w:r w:rsidRPr="00F61121">
        <w:rPr>
          <w:rFonts w:asciiTheme="minorHAnsi" w:hAnsiTheme="minorHAnsi" w:cstheme="minorHAnsi"/>
          <w:sz w:val="20"/>
          <w:szCs w:val="20"/>
        </w:rPr>
        <w:t>Verlohren</w:t>
      </w:r>
      <w:proofErr w:type="spellEnd"/>
      <w:r w:rsidRPr="00F61121">
        <w:rPr>
          <w:rFonts w:asciiTheme="minorHAnsi" w:hAnsiTheme="minorHAnsi" w:cstheme="minorHAnsi"/>
          <w:sz w:val="20"/>
          <w:szCs w:val="20"/>
        </w:rPr>
        <w:t xml:space="preserve">, F.H. </w:t>
      </w:r>
      <w:proofErr w:type="spellStart"/>
      <w:r w:rsidRPr="00F61121">
        <w:rPr>
          <w:rFonts w:asciiTheme="minorHAnsi" w:hAnsiTheme="minorHAnsi" w:cstheme="minorHAnsi"/>
          <w:sz w:val="20"/>
          <w:szCs w:val="20"/>
        </w:rPr>
        <w:t>Perschel</w:t>
      </w:r>
      <w:proofErr w:type="spellEnd"/>
      <w:r w:rsidRPr="00F61121">
        <w:rPr>
          <w:rFonts w:asciiTheme="minorHAnsi" w:hAnsiTheme="minorHAnsi" w:cstheme="minorHAnsi"/>
          <w:sz w:val="20"/>
          <w:szCs w:val="20"/>
        </w:rPr>
        <w:t xml:space="preserve">, R.J. Levine, K.H. Lim, J.B. Wenger, R. </w:t>
      </w:r>
      <w:proofErr w:type="spellStart"/>
      <w:r w:rsidRPr="00F61121">
        <w:rPr>
          <w:rFonts w:asciiTheme="minorHAnsi" w:hAnsiTheme="minorHAnsi" w:cstheme="minorHAnsi"/>
          <w:sz w:val="20"/>
          <w:szCs w:val="20"/>
        </w:rPr>
        <w:t>Thadhani</w:t>
      </w:r>
      <w:proofErr w:type="spellEnd"/>
      <w:r w:rsidRPr="00F61121">
        <w:rPr>
          <w:rFonts w:asciiTheme="minorHAnsi" w:hAnsiTheme="minorHAnsi" w:cstheme="minorHAnsi"/>
          <w:sz w:val="20"/>
          <w:szCs w:val="20"/>
        </w:rPr>
        <w:t xml:space="preserve">, S.A. </w:t>
      </w:r>
      <w:proofErr w:type="spellStart"/>
      <w:r w:rsidRPr="00F61121">
        <w:rPr>
          <w:rFonts w:asciiTheme="minorHAnsi" w:hAnsiTheme="minorHAnsi" w:cstheme="minorHAnsi"/>
          <w:sz w:val="20"/>
          <w:szCs w:val="20"/>
        </w:rPr>
        <w:t>Karumanchi</w:t>
      </w:r>
      <w:proofErr w:type="spellEnd"/>
      <w:r w:rsidRPr="00F61121">
        <w:rPr>
          <w:rFonts w:asciiTheme="minorHAnsi" w:hAnsiTheme="minorHAnsi" w:cstheme="minorHAnsi"/>
          <w:sz w:val="20"/>
          <w:szCs w:val="20"/>
        </w:rPr>
        <w:t>, Angiogenic factors and the risk of adverse outcomes in women with suspected preeclampsia, Circulation 125(7) (2012) 911-9</w:t>
      </w:r>
    </w:p>
    <w:p w14:paraId="2B5AA34D" w14:textId="77777777" w:rsidR="000A6AD9" w:rsidRPr="00F61121" w:rsidRDefault="000A6AD9">
      <w:pPr>
        <w:ind w:left="426"/>
        <w:rPr>
          <w:rFonts w:asciiTheme="minorHAnsi" w:hAnsiTheme="minorHAnsi" w:cstheme="minorHAnsi"/>
          <w:sz w:val="20"/>
          <w:szCs w:val="20"/>
        </w:rPr>
      </w:pPr>
    </w:p>
    <w:p w14:paraId="4F379A96" w14:textId="77777777" w:rsidR="00317A38" w:rsidRPr="00F61121" w:rsidRDefault="00317A38">
      <w:pPr>
        <w:ind w:left="426"/>
        <w:rPr>
          <w:rFonts w:asciiTheme="minorHAnsi" w:hAnsiTheme="minorHAnsi" w:cstheme="minorHAnsi"/>
          <w:sz w:val="20"/>
          <w:szCs w:val="20"/>
        </w:rPr>
      </w:pPr>
      <w:proofErr w:type="spellStart"/>
      <w:r w:rsidRPr="00F61121">
        <w:rPr>
          <w:rFonts w:asciiTheme="minorHAnsi" w:hAnsiTheme="minorHAnsi" w:cstheme="minorHAnsi"/>
          <w:sz w:val="20"/>
          <w:szCs w:val="20"/>
        </w:rPr>
        <w:t>Vatish</w:t>
      </w:r>
      <w:proofErr w:type="spellEnd"/>
      <w:r w:rsidRPr="00F61121">
        <w:rPr>
          <w:rFonts w:asciiTheme="minorHAnsi" w:hAnsiTheme="minorHAnsi" w:cstheme="minorHAnsi"/>
          <w:sz w:val="20"/>
          <w:szCs w:val="20"/>
        </w:rPr>
        <w:t xml:space="preserve"> et al, sFlt-1/</w:t>
      </w:r>
      <w:proofErr w:type="spellStart"/>
      <w:r w:rsidRPr="00F61121">
        <w:rPr>
          <w:rFonts w:asciiTheme="minorHAnsi" w:hAnsiTheme="minorHAnsi" w:cstheme="minorHAnsi"/>
          <w:sz w:val="20"/>
          <w:szCs w:val="20"/>
        </w:rPr>
        <w:t>PlGF</w:t>
      </w:r>
      <w:proofErr w:type="spellEnd"/>
      <w:r w:rsidRPr="00F61121">
        <w:rPr>
          <w:rFonts w:asciiTheme="minorHAnsi" w:hAnsiTheme="minorHAnsi" w:cstheme="minorHAnsi"/>
          <w:sz w:val="20"/>
          <w:szCs w:val="20"/>
        </w:rPr>
        <w:t xml:space="preserve"> ratio test for </w:t>
      </w:r>
      <w:r w:rsidR="008A08EB" w:rsidRPr="00F61121">
        <w:rPr>
          <w:rFonts w:asciiTheme="minorHAnsi" w:hAnsiTheme="minorHAnsi" w:cstheme="minorHAnsi"/>
          <w:sz w:val="20"/>
          <w:szCs w:val="20"/>
        </w:rPr>
        <w:t>preeclampsia</w:t>
      </w:r>
      <w:r w:rsidRPr="00F61121">
        <w:rPr>
          <w:rFonts w:asciiTheme="minorHAnsi" w:hAnsiTheme="minorHAnsi" w:cstheme="minorHAnsi"/>
          <w:sz w:val="20"/>
          <w:szCs w:val="20"/>
        </w:rPr>
        <w:t xml:space="preserve">: an economic assessment for the UK, Ultrasound </w:t>
      </w:r>
      <w:proofErr w:type="spellStart"/>
      <w:r w:rsidRPr="00F61121">
        <w:rPr>
          <w:rFonts w:asciiTheme="minorHAnsi" w:hAnsiTheme="minorHAnsi" w:cstheme="minorHAnsi"/>
          <w:sz w:val="20"/>
          <w:szCs w:val="20"/>
        </w:rPr>
        <w:t>Obstet</w:t>
      </w:r>
      <w:proofErr w:type="spellEnd"/>
      <w:r w:rsidRPr="00F61121">
        <w:rPr>
          <w:rFonts w:asciiTheme="minorHAnsi" w:hAnsiTheme="minorHAnsi" w:cstheme="minorHAnsi"/>
          <w:sz w:val="20"/>
          <w:szCs w:val="20"/>
        </w:rPr>
        <w:t xml:space="preserve"> Gynecol. 2016</w:t>
      </w:r>
    </w:p>
    <w:p w14:paraId="23324FA0" w14:textId="77777777" w:rsidR="00317A38" w:rsidRPr="00F61121" w:rsidRDefault="00317A38" w:rsidP="00533E02">
      <w:pPr>
        <w:rPr>
          <w:rFonts w:asciiTheme="minorHAnsi" w:hAnsiTheme="minorHAnsi" w:cstheme="minorHAnsi"/>
          <w:sz w:val="20"/>
          <w:szCs w:val="20"/>
        </w:rPr>
      </w:pPr>
    </w:p>
    <w:p w14:paraId="5C256C83" w14:textId="77777777" w:rsidR="00317A38" w:rsidRPr="00F61121" w:rsidRDefault="00317A38" w:rsidP="00317A38">
      <w:pPr>
        <w:ind w:left="426"/>
        <w:rPr>
          <w:rFonts w:asciiTheme="minorHAnsi" w:hAnsiTheme="minorHAnsi" w:cstheme="minorHAnsi"/>
          <w:sz w:val="20"/>
          <w:szCs w:val="20"/>
        </w:rPr>
      </w:pPr>
      <w:r w:rsidRPr="00F61121">
        <w:rPr>
          <w:rFonts w:asciiTheme="minorHAnsi" w:hAnsiTheme="minorHAnsi" w:cstheme="minorHAnsi"/>
          <w:sz w:val="20"/>
          <w:szCs w:val="20"/>
        </w:rPr>
        <w:t xml:space="preserve">H. </w:t>
      </w:r>
      <w:proofErr w:type="spellStart"/>
      <w:r w:rsidRPr="00F61121">
        <w:rPr>
          <w:rFonts w:asciiTheme="minorHAnsi" w:hAnsiTheme="minorHAnsi" w:cstheme="minorHAnsi"/>
          <w:sz w:val="20"/>
          <w:szCs w:val="20"/>
        </w:rPr>
        <w:t>Zeisler</w:t>
      </w:r>
      <w:proofErr w:type="spellEnd"/>
      <w:r w:rsidRPr="00F61121">
        <w:rPr>
          <w:rFonts w:asciiTheme="minorHAnsi" w:hAnsiTheme="minorHAnsi" w:cstheme="minorHAnsi"/>
          <w:sz w:val="20"/>
          <w:szCs w:val="20"/>
        </w:rPr>
        <w:t xml:space="preserve">, E. </w:t>
      </w:r>
      <w:proofErr w:type="spellStart"/>
      <w:r w:rsidRPr="00F61121">
        <w:rPr>
          <w:rFonts w:asciiTheme="minorHAnsi" w:hAnsiTheme="minorHAnsi" w:cstheme="minorHAnsi"/>
          <w:sz w:val="20"/>
          <w:szCs w:val="20"/>
        </w:rPr>
        <w:t>Llurba</w:t>
      </w:r>
      <w:proofErr w:type="spellEnd"/>
      <w:r w:rsidRPr="00F61121">
        <w:rPr>
          <w:rFonts w:asciiTheme="minorHAnsi" w:hAnsiTheme="minorHAnsi" w:cstheme="minorHAnsi"/>
          <w:sz w:val="20"/>
          <w:szCs w:val="20"/>
        </w:rPr>
        <w:t xml:space="preserve">, F.J. </w:t>
      </w:r>
      <w:proofErr w:type="spellStart"/>
      <w:r w:rsidRPr="00F61121">
        <w:rPr>
          <w:rFonts w:asciiTheme="minorHAnsi" w:hAnsiTheme="minorHAnsi" w:cstheme="minorHAnsi"/>
          <w:sz w:val="20"/>
          <w:szCs w:val="20"/>
        </w:rPr>
        <w:t>Chantraine</w:t>
      </w:r>
      <w:proofErr w:type="spellEnd"/>
      <w:r w:rsidRPr="00F61121">
        <w:rPr>
          <w:rFonts w:asciiTheme="minorHAnsi" w:hAnsiTheme="minorHAnsi" w:cstheme="minorHAnsi"/>
          <w:sz w:val="20"/>
          <w:szCs w:val="20"/>
        </w:rPr>
        <w:t xml:space="preserve">, M. </w:t>
      </w:r>
      <w:proofErr w:type="spellStart"/>
      <w:r w:rsidRPr="00F61121">
        <w:rPr>
          <w:rFonts w:asciiTheme="minorHAnsi" w:hAnsiTheme="minorHAnsi" w:cstheme="minorHAnsi"/>
          <w:sz w:val="20"/>
          <w:szCs w:val="20"/>
        </w:rPr>
        <w:t>Vatish</w:t>
      </w:r>
      <w:proofErr w:type="spellEnd"/>
      <w:r w:rsidRPr="00F61121">
        <w:rPr>
          <w:rFonts w:asciiTheme="minorHAnsi" w:hAnsiTheme="minorHAnsi" w:cstheme="minorHAnsi"/>
          <w:sz w:val="20"/>
          <w:szCs w:val="20"/>
        </w:rPr>
        <w:t xml:space="preserve">, A.C. Staff, M. </w:t>
      </w:r>
      <w:proofErr w:type="spellStart"/>
      <w:r w:rsidRPr="00F61121">
        <w:rPr>
          <w:rFonts w:asciiTheme="minorHAnsi" w:hAnsiTheme="minorHAnsi" w:cstheme="minorHAnsi"/>
          <w:sz w:val="20"/>
          <w:szCs w:val="20"/>
        </w:rPr>
        <w:t>Sennstrom</w:t>
      </w:r>
      <w:proofErr w:type="spellEnd"/>
      <w:r w:rsidRPr="00F61121">
        <w:rPr>
          <w:rFonts w:asciiTheme="minorHAnsi" w:hAnsiTheme="minorHAnsi" w:cstheme="minorHAnsi"/>
          <w:sz w:val="20"/>
          <w:szCs w:val="20"/>
        </w:rPr>
        <w:t xml:space="preserve">, M. </w:t>
      </w:r>
      <w:proofErr w:type="spellStart"/>
      <w:r w:rsidRPr="00F61121">
        <w:rPr>
          <w:rFonts w:asciiTheme="minorHAnsi" w:hAnsiTheme="minorHAnsi" w:cstheme="minorHAnsi"/>
          <w:sz w:val="20"/>
          <w:szCs w:val="20"/>
        </w:rPr>
        <w:t>Olovsson</w:t>
      </w:r>
      <w:proofErr w:type="spellEnd"/>
      <w:r w:rsidRPr="00F61121">
        <w:rPr>
          <w:rFonts w:asciiTheme="minorHAnsi" w:hAnsiTheme="minorHAnsi" w:cstheme="minorHAnsi"/>
          <w:sz w:val="20"/>
          <w:szCs w:val="20"/>
        </w:rPr>
        <w:t xml:space="preserve">, S.P. Brennecke, H. Stepan, D. </w:t>
      </w:r>
      <w:proofErr w:type="spellStart"/>
      <w:r w:rsidRPr="00F61121">
        <w:rPr>
          <w:rFonts w:asciiTheme="minorHAnsi" w:hAnsiTheme="minorHAnsi" w:cstheme="minorHAnsi"/>
          <w:sz w:val="20"/>
          <w:szCs w:val="20"/>
        </w:rPr>
        <w:t>Allegranza</w:t>
      </w:r>
      <w:proofErr w:type="spellEnd"/>
      <w:r w:rsidRPr="00F61121">
        <w:rPr>
          <w:rFonts w:asciiTheme="minorHAnsi" w:hAnsiTheme="minorHAnsi" w:cstheme="minorHAnsi"/>
          <w:sz w:val="20"/>
          <w:szCs w:val="20"/>
        </w:rPr>
        <w:t xml:space="preserve">, M. </w:t>
      </w:r>
      <w:proofErr w:type="spellStart"/>
      <w:r w:rsidRPr="00F61121">
        <w:rPr>
          <w:rFonts w:asciiTheme="minorHAnsi" w:hAnsiTheme="minorHAnsi" w:cstheme="minorHAnsi"/>
          <w:sz w:val="20"/>
          <w:szCs w:val="20"/>
        </w:rPr>
        <w:t>Schoedl</w:t>
      </w:r>
      <w:proofErr w:type="spellEnd"/>
      <w:r w:rsidRPr="00F61121">
        <w:rPr>
          <w:rFonts w:asciiTheme="minorHAnsi" w:hAnsiTheme="minorHAnsi" w:cstheme="minorHAnsi"/>
          <w:sz w:val="20"/>
          <w:szCs w:val="20"/>
        </w:rPr>
        <w:t xml:space="preserve">, S. Grill, M. Hund, S. </w:t>
      </w:r>
      <w:proofErr w:type="spellStart"/>
      <w:r w:rsidRPr="00F61121">
        <w:rPr>
          <w:rFonts w:asciiTheme="minorHAnsi" w:hAnsiTheme="minorHAnsi" w:cstheme="minorHAnsi"/>
          <w:sz w:val="20"/>
          <w:szCs w:val="20"/>
        </w:rPr>
        <w:t>Verlohren</w:t>
      </w:r>
      <w:proofErr w:type="spellEnd"/>
      <w:r w:rsidRPr="00F61121">
        <w:rPr>
          <w:rFonts w:asciiTheme="minorHAnsi" w:hAnsiTheme="minorHAnsi" w:cstheme="minorHAnsi"/>
          <w:sz w:val="20"/>
          <w:szCs w:val="20"/>
        </w:rPr>
        <w:t xml:space="preserve">, Soluble </w:t>
      </w:r>
      <w:proofErr w:type="spellStart"/>
      <w:r w:rsidRPr="00F61121">
        <w:rPr>
          <w:rFonts w:asciiTheme="minorHAnsi" w:hAnsiTheme="minorHAnsi" w:cstheme="minorHAnsi"/>
          <w:sz w:val="20"/>
          <w:szCs w:val="20"/>
        </w:rPr>
        <w:t>fms</w:t>
      </w:r>
      <w:proofErr w:type="spellEnd"/>
      <w:r w:rsidRPr="00F61121">
        <w:rPr>
          <w:rFonts w:asciiTheme="minorHAnsi" w:hAnsiTheme="minorHAnsi" w:cstheme="minorHAnsi"/>
          <w:sz w:val="20"/>
          <w:szCs w:val="20"/>
        </w:rPr>
        <w:t xml:space="preserve">-like tyrosine kinase-1 to placental growth factor ratio: ruling out </w:t>
      </w:r>
      <w:r w:rsidR="008A08EB" w:rsidRPr="00F61121">
        <w:rPr>
          <w:rFonts w:asciiTheme="minorHAnsi" w:hAnsiTheme="minorHAnsi" w:cstheme="minorHAnsi"/>
          <w:sz w:val="20"/>
          <w:szCs w:val="20"/>
        </w:rPr>
        <w:t>preeclampsia</w:t>
      </w:r>
      <w:r w:rsidRPr="00F61121">
        <w:rPr>
          <w:rFonts w:asciiTheme="minorHAnsi" w:hAnsiTheme="minorHAnsi" w:cstheme="minorHAnsi"/>
          <w:sz w:val="20"/>
          <w:szCs w:val="20"/>
        </w:rPr>
        <w:t xml:space="preserve"> for up to 4 weeks and value of retesting, Ultrasound </w:t>
      </w:r>
      <w:proofErr w:type="spellStart"/>
      <w:r w:rsidRPr="00F61121">
        <w:rPr>
          <w:rFonts w:asciiTheme="minorHAnsi" w:hAnsiTheme="minorHAnsi" w:cstheme="minorHAnsi"/>
          <w:sz w:val="20"/>
          <w:szCs w:val="20"/>
        </w:rPr>
        <w:t>Obstet</w:t>
      </w:r>
      <w:proofErr w:type="spellEnd"/>
      <w:r w:rsidRPr="00F61121">
        <w:rPr>
          <w:rFonts w:asciiTheme="minorHAnsi" w:hAnsiTheme="minorHAnsi" w:cstheme="minorHAnsi"/>
          <w:sz w:val="20"/>
          <w:szCs w:val="20"/>
        </w:rPr>
        <w:t xml:space="preserve"> </w:t>
      </w:r>
      <w:proofErr w:type="spellStart"/>
      <w:r w:rsidRPr="00F61121">
        <w:rPr>
          <w:rFonts w:asciiTheme="minorHAnsi" w:hAnsiTheme="minorHAnsi" w:cstheme="minorHAnsi"/>
          <w:sz w:val="20"/>
          <w:szCs w:val="20"/>
        </w:rPr>
        <w:t>Gynecol</w:t>
      </w:r>
      <w:proofErr w:type="spellEnd"/>
      <w:r w:rsidRPr="00F61121">
        <w:rPr>
          <w:rFonts w:asciiTheme="minorHAnsi" w:hAnsiTheme="minorHAnsi" w:cstheme="minorHAnsi"/>
          <w:sz w:val="20"/>
          <w:szCs w:val="20"/>
        </w:rPr>
        <w:t xml:space="preserve"> 53(3) (2019) 367–375.</w:t>
      </w:r>
    </w:p>
    <w:p w14:paraId="22C0D10E" w14:textId="3C49618C" w:rsidR="00317A38" w:rsidRDefault="00317A38" w:rsidP="00317A38">
      <w:pPr>
        <w:ind w:left="426"/>
      </w:pPr>
    </w:p>
    <w:p w14:paraId="52793D2D" w14:textId="77777777" w:rsidR="00F61121" w:rsidRDefault="00F61121">
      <w:pPr>
        <w:rPr>
          <w:rFonts w:asciiTheme="minorHAnsi" w:hAnsiTheme="minorHAnsi" w:cstheme="minorHAnsi"/>
          <w:bCs/>
          <w:color w:val="4F81BD" w:themeColor="accent1"/>
          <w:sz w:val="40"/>
          <w:szCs w:val="32"/>
          <w:lang w:eastAsia="en-US"/>
        </w:rPr>
      </w:pPr>
      <w:r>
        <w:br w:type="page"/>
      </w:r>
    </w:p>
    <w:p w14:paraId="66300568" w14:textId="38027CC4" w:rsidR="000550B3" w:rsidRDefault="000550B3" w:rsidP="00B44DB3">
      <w:pPr>
        <w:pStyle w:val="Heading1"/>
      </w:pPr>
      <w:r>
        <w:lastRenderedPageBreak/>
        <w:t>Appendix</w:t>
      </w:r>
    </w:p>
    <w:p w14:paraId="20829698" w14:textId="73BF00F9" w:rsidR="000550B3" w:rsidRDefault="000550B3" w:rsidP="00317A38">
      <w:pPr>
        <w:ind w:left="426"/>
      </w:pPr>
    </w:p>
    <w:p w14:paraId="7537A7D3" w14:textId="66E292D7" w:rsidR="008A47E9" w:rsidRPr="005E06D6" w:rsidRDefault="008A47E9" w:rsidP="00F61121">
      <w:pPr>
        <w:ind w:left="142"/>
        <w:rPr>
          <w:rFonts w:asciiTheme="minorHAnsi" w:hAnsiTheme="minorHAnsi" w:cstheme="minorHAnsi"/>
          <w:sz w:val="22"/>
          <w:szCs w:val="22"/>
        </w:rPr>
      </w:pPr>
      <w:r w:rsidRPr="005E06D6">
        <w:rPr>
          <w:rFonts w:asciiTheme="minorHAnsi" w:hAnsiTheme="minorHAnsi" w:cstheme="minorHAnsi"/>
          <w:sz w:val="22"/>
          <w:szCs w:val="22"/>
        </w:rPr>
        <w:t>Effects of t</w:t>
      </w:r>
      <w:r w:rsidR="000550B3" w:rsidRPr="005E06D6">
        <w:rPr>
          <w:rFonts w:asciiTheme="minorHAnsi" w:hAnsiTheme="minorHAnsi" w:cstheme="minorHAnsi"/>
          <w:sz w:val="22"/>
          <w:szCs w:val="22"/>
        </w:rPr>
        <w:t xml:space="preserve">he implementation of the early pregnancy </w:t>
      </w:r>
      <w:r w:rsidR="000550B3" w:rsidRPr="005E06D6">
        <w:rPr>
          <w:rFonts w:asciiTheme="minorHAnsi" w:hAnsiTheme="minorHAnsi" w:cstheme="minorHAnsi"/>
          <w:i/>
          <w:sz w:val="22"/>
          <w:szCs w:val="22"/>
        </w:rPr>
        <w:t xml:space="preserve">Structured prenatal risk assessment for preterm preeclampsia </w:t>
      </w:r>
      <w:r w:rsidR="000550B3" w:rsidRPr="005E06D6">
        <w:rPr>
          <w:rFonts w:asciiTheme="minorHAnsi" w:hAnsiTheme="minorHAnsi" w:cstheme="minorHAnsi"/>
          <w:sz w:val="22"/>
          <w:szCs w:val="22"/>
        </w:rPr>
        <w:t>algorithm</w:t>
      </w:r>
      <w:r w:rsidR="001634AE" w:rsidRPr="005E06D6">
        <w:rPr>
          <w:rFonts w:asciiTheme="minorHAnsi" w:hAnsiTheme="minorHAnsi" w:cstheme="minorHAnsi"/>
          <w:sz w:val="22"/>
          <w:szCs w:val="22"/>
        </w:rPr>
        <w:t>.</w:t>
      </w:r>
    </w:p>
    <w:p w14:paraId="5EF4FF8B" w14:textId="29082490" w:rsidR="008A47E9" w:rsidRPr="005E06D6" w:rsidRDefault="008A47E9" w:rsidP="00F61121">
      <w:pPr>
        <w:ind w:left="142"/>
        <w:rPr>
          <w:rFonts w:asciiTheme="minorHAnsi" w:hAnsiTheme="minorHAnsi" w:cstheme="minorHAnsi"/>
          <w:sz w:val="22"/>
          <w:szCs w:val="22"/>
        </w:rPr>
      </w:pPr>
    </w:p>
    <w:p w14:paraId="48D4AAAE" w14:textId="176FA711" w:rsidR="008A47E9" w:rsidRPr="005E06D6" w:rsidRDefault="008A47E9" w:rsidP="00F61121">
      <w:pPr>
        <w:ind w:left="142"/>
        <w:rPr>
          <w:rFonts w:asciiTheme="minorHAnsi" w:hAnsiTheme="minorHAnsi" w:cstheme="minorHAnsi"/>
          <w:b/>
          <w:sz w:val="22"/>
          <w:szCs w:val="22"/>
        </w:rPr>
      </w:pPr>
      <w:r w:rsidRPr="005E06D6">
        <w:rPr>
          <w:rFonts w:asciiTheme="minorHAnsi" w:hAnsiTheme="minorHAnsi" w:cstheme="minorHAnsi"/>
          <w:b/>
          <w:sz w:val="22"/>
          <w:szCs w:val="22"/>
        </w:rPr>
        <w:t>Low dose aspirin</w:t>
      </w:r>
      <w:r w:rsidR="00445194" w:rsidRPr="005E06D6">
        <w:rPr>
          <w:rFonts w:asciiTheme="minorHAnsi" w:hAnsiTheme="minorHAnsi" w:cstheme="minorHAnsi"/>
          <w:b/>
          <w:sz w:val="22"/>
          <w:szCs w:val="22"/>
        </w:rPr>
        <w:t xml:space="preserve"> (LDA)</w:t>
      </w:r>
      <w:r w:rsidRPr="005E06D6">
        <w:rPr>
          <w:rFonts w:asciiTheme="minorHAnsi" w:hAnsiTheme="minorHAnsi" w:cstheme="minorHAnsi"/>
          <w:b/>
          <w:sz w:val="22"/>
          <w:szCs w:val="22"/>
        </w:rPr>
        <w:t xml:space="preserve"> administered in early pregnancy</w:t>
      </w:r>
    </w:p>
    <w:p w14:paraId="5BF3EBD8" w14:textId="04848420" w:rsidR="008A47E9" w:rsidRPr="005E06D6" w:rsidRDefault="008A47E9" w:rsidP="00F61121">
      <w:pPr>
        <w:ind w:left="142"/>
        <w:rPr>
          <w:rFonts w:asciiTheme="minorHAnsi" w:hAnsiTheme="minorHAnsi" w:cstheme="minorHAnsi"/>
          <w:sz w:val="22"/>
          <w:szCs w:val="22"/>
        </w:rPr>
      </w:pPr>
    </w:p>
    <w:p w14:paraId="62215266" w14:textId="77A91664" w:rsidR="008A47E9" w:rsidRPr="005E06D6" w:rsidRDefault="000550B3" w:rsidP="00F61121">
      <w:pPr>
        <w:ind w:left="142"/>
        <w:rPr>
          <w:rFonts w:asciiTheme="minorHAnsi" w:hAnsiTheme="minorHAnsi" w:cstheme="minorHAnsi"/>
          <w:sz w:val="22"/>
          <w:szCs w:val="22"/>
        </w:rPr>
      </w:pPr>
      <w:proofErr w:type="gramStart"/>
      <w:r w:rsidRPr="005E06D6">
        <w:rPr>
          <w:rFonts w:asciiTheme="minorHAnsi" w:hAnsiTheme="minorHAnsi" w:cstheme="minorHAnsi"/>
          <w:sz w:val="22"/>
          <w:szCs w:val="22"/>
        </w:rPr>
        <w:t>In the event that</w:t>
      </w:r>
      <w:proofErr w:type="gramEnd"/>
      <w:r w:rsidRPr="005E06D6">
        <w:rPr>
          <w:rFonts w:asciiTheme="minorHAnsi" w:hAnsiTheme="minorHAnsi" w:cstheme="minorHAnsi"/>
          <w:sz w:val="22"/>
          <w:szCs w:val="22"/>
        </w:rPr>
        <w:t xml:space="preserve"> the </w:t>
      </w:r>
      <w:r w:rsidR="0005361B" w:rsidRPr="005E06D6">
        <w:rPr>
          <w:rFonts w:asciiTheme="minorHAnsi" w:hAnsiTheme="minorHAnsi" w:cstheme="minorHAnsi"/>
          <w:i/>
          <w:sz w:val="22"/>
          <w:szCs w:val="22"/>
        </w:rPr>
        <w:t>S</w:t>
      </w:r>
      <w:r w:rsidR="008A47E9" w:rsidRPr="005E06D6">
        <w:rPr>
          <w:rFonts w:asciiTheme="minorHAnsi" w:hAnsiTheme="minorHAnsi" w:cstheme="minorHAnsi"/>
          <w:i/>
          <w:sz w:val="22"/>
          <w:szCs w:val="22"/>
        </w:rPr>
        <w:t>tructured</w:t>
      </w:r>
      <w:r w:rsidRPr="005E06D6">
        <w:rPr>
          <w:rFonts w:asciiTheme="minorHAnsi" w:hAnsiTheme="minorHAnsi" w:cstheme="minorHAnsi"/>
          <w:i/>
          <w:sz w:val="22"/>
          <w:szCs w:val="22"/>
        </w:rPr>
        <w:t xml:space="preserve"> prenatal risk assessment for preterm preeclampsia</w:t>
      </w:r>
      <w:r w:rsidRPr="005E06D6">
        <w:rPr>
          <w:rFonts w:asciiTheme="minorHAnsi" w:hAnsiTheme="minorHAnsi" w:cstheme="minorHAnsi"/>
          <w:sz w:val="22"/>
          <w:szCs w:val="22"/>
        </w:rPr>
        <w:t xml:space="preserve"> is successfully imp</w:t>
      </w:r>
      <w:r w:rsidR="0005361B" w:rsidRPr="005E06D6">
        <w:rPr>
          <w:rFonts w:asciiTheme="minorHAnsi" w:hAnsiTheme="minorHAnsi" w:cstheme="minorHAnsi"/>
          <w:sz w:val="22"/>
          <w:szCs w:val="22"/>
        </w:rPr>
        <w:t>lemented into Australian health</w:t>
      </w:r>
      <w:r w:rsidRPr="005E06D6">
        <w:rPr>
          <w:rFonts w:asciiTheme="minorHAnsi" w:hAnsiTheme="minorHAnsi" w:cstheme="minorHAnsi"/>
          <w:sz w:val="22"/>
          <w:szCs w:val="22"/>
        </w:rPr>
        <w:t>care</w:t>
      </w:r>
      <w:r w:rsidR="0005361B" w:rsidRPr="005E06D6">
        <w:rPr>
          <w:rFonts w:asciiTheme="minorHAnsi" w:hAnsiTheme="minorHAnsi" w:cstheme="minorHAnsi"/>
          <w:sz w:val="22"/>
          <w:szCs w:val="22"/>
        </w:rPr>
        <w:t xml:space="preserve"> system</w:t>
      </w:r>
      <w:r w:rsidRPr="005E06D6">
        <w:rPr>
          <w:rFonts w:asciiTheme="minorHAnsi" w:hAnsiTheme="minorHAnsi" w:cstheme="minorHAnsi"/>
          <w:sz w:val="22"/>
          <w:szCs w:val="22"/>
        </w:rPr>
        <w:t xml:space="preserve">, </w:t>
      </w:r>
      <w:r w:rsidR="008A47E9" w:rsidRPr="005E06D6">
        <w:rPr>
          <w:rFonts w:asciiTheme="minorHAnsi" w:hAnsiTheme="minorHAnsi" w:cstheme="minorHAnsi"/>
          <w:sz w:val="22"/>
          <w:szCs w:val="22"/>
        </w:rPr>
        <w:t>low-dose aspirin</w:t>
      </w:r>
      <w:r w:rsidR="0005361B" w:rsidRPr="005E06D6">
        <w:rPr>
          <w:rFonts w:asciiTheme="minorHAnsi" w:hAnsiTheme="minorHAnsi" w:cstheme="minorHAnsi"/>
          <w:sz w:val="22"/>
          <w:szCs w:val="22"/>
        </w:rPr>
        <w:t xml:space="preserve"> (LDA)</w:t>
      </w:r>
      <w:r w:rsidR="008A47E9" w:rsidRPr="005E06D6">
        <w:rPr>
          <w:rFonts w:asciiTheme="minorHAnsi" w:hAnsiTheme="minorHAnsi" w:cstheme="minorHAnsi"/>
          <w:sz w:val="22"/>
          <w:szCs w:val="22"/>
        </w:rPr>
        <w:t xml:space="preserve"> will be prescribed to a greater number of pregnant women as summarised briefly below. </w:t>
      </w:r>
    </w:p>
    <w:p w14:paraId="3F743283" w14:textId="77777777" w:rsidR="008A47E9" w:rsidRDefault="008A47E9" w:rsidP="00F61121">
      <w:pPr>
        <w:ind w:left="142"/>
      </w:pPr>
    </w:p>
    <w:p w14:paraId="6C584E9F" w14:textId="26BAB56B" w:rsidR="008A47E9" w:rsidRDefault="00AF1A01" w:rsidP="00F61121">
      <w:pPr>
        <w:ind w:left="142"/>
      </w:pPr>
      <w:r>
        <w:rPr>
          <w:noProof/>
          <w:lang w:val="en-US" w:eastAsia="en-US"/>
        </w:rPr>
        <w:drawing>
          <wp:inline distT="0" distB="0" distL="0" distR="0" wp14:anchorId="63CE9339" wp14:editId="0E6FFFDE">
            <wp:extent cx="5315667" cy="6058894"/>
            <wp:effectExtent l="0" t="0" r="0" b="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
                    <pic:cNvPicPr/>
                  </pic:nvPicPr>
                  <pic:blipFill>
                    <a:blip r:embed="rId14"/>
                    <a:stretch>
                      <a:fillRect/>
                    </a:stretch>
                  </pic:blipFill>
                  <pic:spPr>
                    <a:xfrm>
                      <a:off x="0" y="0"/>
                      <a:ext cx="5321780" cy="6065861"/>
                    </a:xfrm>
                    <a:prstGeom prst="rect">
                      <a:avLst/>
                    </a:prstGeom>
                  </pic:spPr>
                </pic:pic>
              </a:graphicData>
            </a:graphic>
          </wp:inline>
        </w:drawing>
      </w:r>
    </w:p>
    <w:p w14:paraId="5043436F" w14:textId="76493791" w:rsidR="008A47E9" w:rsidRPr="005E06D6" w:rsidRDefault="008A47E9" w:rsidP="00F61121">
      <w:pPr>
        <w:rPr>
          <w:rFonts w:asciiTheme="minorHAnsi" w:hAnsiTheme="minorHAnsi" w:cstheme="minorHAnsi"/>
          <w:sz w:val="22"/>
          <w:szCs w:val="22"/>
        </w:rPr>
      </w:pPr>
      <w:r w:rsidRPr="005E06D6">
        <w:rPr>
          <w:rFonts w:asciiTheme="minorHAnsi" w:hAnsiTheme="minorHAnsi" w:cstheme="minorHAnsi"/>
          <w:sz w:val="22"/>
          <w:szCs w:val="22"/>
        </w:rPr>
        <w:t>However, re</w:t>
      </w:r>
      <w:r w:rsidR="00DF0F5B" w:rsidRPr="005E06D6">
        <w:rPr>
          <w:rFonts w:asciiTheme="minorHAnsi" w:hAnsiTheme="minorHAnsi" w:cstheme="minorHAnsi"/>
          <w:sz w:val="22"/>
          <w:szCs w:val="22"/>
        </w:rPr>
        <w:t>search has demonstrated that LDA</w:t>
      </w:r>
      <w:r w:rsidRPr="005E06D6">
        <w:rPr>
          <w:rFonts w:asciiTheme="minorHAnsi" w:hAnsiTheme="minorHAnsi" w:cstheme="minorHAnsi"/>
          <w:sz w:val="22"/>
          <w:szCs w:val="22"/>
        </w:rPr>
        <w:t xml:space="preserve"> administered in early pregnancy </w:t>
      </w:r>
      <w:r w:rsidRPr="005E06D6">
        <w:rPr>
          <w:rFonts w:asciiTheme="minorHAnsi" w:hAnsiTheme="minorHAnsi" w:cstheme="minorHAnsi"/>
          <w:color w:val="000000"/>
          <w:sz w:val="22"/>
          <w:szCs w:val="22"/>
          <w:shd w:val="clear" w:color="auto" w:fill="FFFFFF"/>
        </w:rPr>
        <w:t>does </w:t>
      </w:r>
      <w:r w:rsidRPr="005E06D6">
        <w:rPr>
          <w:rFonts w:asciiTheme="minorHAnsi" w:hAnsiTheme="minorHAnsi" w:cstheme="minorHAnsi"/>
          <w:b/>
          <w:bCs/>
          <w:color w:val="000000"/>
          <w:sz w:val="22"/>
          <w:szCs w:val="22"/>
          <w:shd w:val="clear" w:color="auto" w:fill="FFFFFF"/>
        </w:rPr>
        <w:t>not</w:t>
      </w:r>
      <w:r w:rsidRPr="005E06D6">
        <w:rPr>
          <w:rFonts w:asciiTheme="minorHAnsi" w:hAnsiTheme="minorHAnsi" w:cstheme="minorHAnsi"/>
          <w:color w:val="000000"/>
          <w:sz w:val="22"/>
          <w:szCs w:val="22"/>
          <w:shd w:val="clear" w:color="auto" w:fill="FFFFFF"/>
        </w:rPr>
        <w:t> result in a statistically significant difference in sFlt-1 / PlGF values during the latter half of pregnancy</w:t>
      </w:r>
      <w:r w:rsidR="00AF1A01" w:rsidRPr="005E06D6">
        <w:rPr>
          <w:rFonts w:asciiTheme="minorHAnsi" w:hAnsiTheme="minorHAnsi" w:cstheme="minorHAnsi"/>
          <w:color w:val="000000"/>
          <w:sz w:val="22"/>
          <w:szCs w:val="22"/>
          <w:shd w:val="clear" w:color="auto" w:fill="FFFFFF"/>
        </w:rPr>
        <w:t xml:space="preserve"> (Mayer-</w:t>
      </w:r>
      <w:proofErr w:type="spellStart"/>
      <w:r w:rsidR="00AF1A01" w:rsidRPr="005E06D6">
        <w:rPr>
          <w:rFonts w:asciiTheme="minorHAnsi" w:hAnsiTheme="minorHAnsi" w:cstheme="minorHAnsi"/>
          <w:color w:val="000000"/>
          <w:sz w:val="22"/>
          <w:szCs w:val="22"/>
          <w:shd w:val="clear" w:color="auto" w:fill="FFFFFF"/>
        </w:rPr>
        <w:t>Pickel</w:t>
      </w:r>
      <w:proofErr w:type="spellEnd"/>
      <w:r w:rsidR="006C3B3A" w:rsidRPr="005E06D6">
        <w:rPr>
          <w:rFonts w:asciiTheme="minorHAnsi" w:hAnsiTheme="minorHAnsi" w:cstheme="minorHAnsi"/>
          <w:color w:val="000000"/>
          <w:sz w:val="22"/>
          <w:szCs w:val="22"/>
          <w:shd w:val="clear" w:color="auto" w:fill="FFFFFF"/>
        </w:rPr>
        <w:t xml:space="preserve"> 2019). The </w:t>
      </w:r>
      <w:r w:rsidR="002172BE" w:rsidRPr="005E06D6">
        <w:rPr>
          <w:rFonts w:asciiTheme="minorHAnsi" w:hAnsiTheme="minorHAnsi" w:cstheme="minorHAnsi"/>
          <w:color w:val="000000"/>
          <w:sz w:val="22"/>
          <w:szCs w:val="22"/>
          <w:shd w:val="clear" w:color="auto" w:fill="FFFFFF"/>
        </w:rPr>
        <w:t xml:space="preserve">increased </w:t>
      </w:r>
      <w:r w:rsidR="006C3B3A" w:rsidRPr="005E06D6">
        <w:rPr>
          <w:rFonts w:asciiTheme="minorHAnsi" w:hAnsiTheme="minorHAnsi" w:cstheme="minorHAnsi"/>
          <w:color w:val="000000"/>
          <w:sz w:val="22"/>
          <w:szCs w:val="22"/>
          <w:shd w:val="clear" w:color="auto" w:fill="FFFFFF"/>
        </w:rPr>
        <w:t>uptake of LDA</w:t>
      </w:r>
      <w:r w:rsidR="00AF1A01" w:rsidRPr="005E06D6">
        <w:rPr>
          <w:rFonts w:asciiTheme="minorHAnsi" w:hAnsiTheme="minorHAnsi" w:cstheme="minorHAnsi"/>
          <w:color w:val="000000"/>
          <w:sz w:val="22"/>
          <w:szCs w:val="22"/>
          <w:shd w:val="clear" w:color="auto" w:fill="FFFFFF"/>
        </w:rPr>
        <w:t xml:space="preserve"> is therefore not expected to</w:t>
      </w:r>
      <w:r w:rsidR="00445194" w:rsidRPr="005E06D6">
        <w:rPr>
          <w:rFonts w:asciiTheme="minorHAnsi" w:hAnsiTheme="minorHAnsi" w:cstheme="minorHAnsi"/>
          <w:color w:val="000000"/>
          <w:sz w:val="22"/>
          <w:szCs w:val="22"/>
          <w:shd w:val="clear" w:color="auto" w:fill="FFFFFF"/>
        </w:rPr>
        <w:t xml:space="preserve"> have any </w:t>
      </w:r>
      <w:r w:rsidR="00AD7D01" w:rsidRPr="005E06D6">
        <w:rPr>
          <w:rFonts w:asciiTheme="minorHAnsi" w:hAnsiTheme="minorHAnsi" w:cstheme="minorHAnsi"/>
          <w:color w:val="000000"/>
          <w:sz w:val="22"/>
          <w:szCs w:val="22"/>
          <w:shd w:val="clear" w:color="auto" w:fill="FFFFFF"/>
        </w:rPr>
        <w:t xml:space="preserve">artifactual </w:t>
      </w:r>
      <w:r w:rsidR="00445194" w:rsidRPr="005E06D6">
        <w:rPr>
          <w:rFonts w:asciiTheme="minorHAnsi" w:hAnsiTheme="minorHAnsi" w:cstheme="minorHAnsi"/>
          <w:color w:val="000000"/>
          <w:sz w:val="22"/>
          <w:szCs w:val="22"/>
          <w:shd w:val="clear" w:color="auto" w:fill="FFFFFF"/>
        </w:rPr>
        <w:t xml:space="preserve">effect on </w:t>
      </w:r>
      <w:r w:rsidR="002172BE" w:rsidRPr="005E06D6">
        <w:rPr>
          <w:rFonts w:asciiTheme="minorHAnsi" w:hAnsiTheme="minorHAnsi" w:cstheme="minorHAnsi"/>
          <w:color w:val="000000"/>
          <w:sz w:val="22"/>
          <w:szCs w:val="22"/>
          <w:shd w:val="clear" w:color="auto" w:fill="FFFFFF"/>
        </w:rPr>
        <w:t xml:space="preserve">the </w:t>
      </w:r>
      <w:r w:rsidR="00AD7D01" w:rsidRPr="005E06D6">
        <w:rPr>
          <w:rFonts w:asciiTheme="minorHAnsi" w:hAnsiTheme="minorHAnsi" w:cstheme="minorHAnsi"/>
          <w:color w:val="000000"/>
          <w:sz w:val="22"/>
          <w:szCs w:val="22"/>
          <w:shd w:val="clear" w:color="auto" w:fill="FFFFFF"/>
        </w:rPr>
        <w:t xml:space="preserve">measurement of the sFlt-1 / </w:t>
      </w:r>
      <w:proofErr w:type="spellStart"/>
      <w:r w:rsidR="00AD7D01" w:rsidRPr="005E06D6">
        <w:rPr>
          <w:rFonts w:asciiTheme="minorHAnsi" w:hAnsiTheme="minorHAnsi" w:cstheme="minorHAnsi"/>
          <w:color w:val="000000"/>
          <w:sz w:val="22"/>
          <w:szCs w:val="22"/>
          <w:shd w:val="clear" w:color="auto" w:fill="FFFFFF"/>
        </w:rPr>
        <w:t>PlGF</w:t>
      </w:r>
      <w:proofErr w:type="spellEnd"/>
      <w:r w:rsidR="00AD7D01" w:rsidRPr="005E06D6">
        <w:rPr>
          <w:rFonts w:asciiTheme="minorHAnsi" w:hAnsiTheme="minorHAnsi" w:cstheme="minorHAnsi"/>
          <w:color w:val="000000"/>
          <w:sz w:val="22"/>
          <w:szCs w:val="22"/>
          <w:shd w:val="clear" w:color="auto" w:fill="FFFFFF"/>
        </w:rPr>
        <w:t xml:space="preserve">  ratio, nor on</w:t>
      </w:r>
      <w:r w:rsidR="00F61121" w:rsidRPr="005E06D6">
        <w:rPr>
          <w:rFonts w:asciiTheme="minorHAnsi" w:hAnsiTheme="minorHAnsi" w:cstheme="minorHAnsi"/>
          <w:color w:val="000000"/>
          <w:sz w:val="22"/>
          <w:szCs w:val="22"/>
          <w:shd w:val="clear" w:color="auto" w:fill="FFFFFF"/>
        </w:rPr>
        <w:t xml:space="preserve"> </w:t>
      </w:r>
      <w:r w:rsidR="00AD7D01" w:rsidRPr="005E06D6">
        <w:rPr>
          <w:rFonts w:asciiTheme="minorHAnsi" w:hAnsiTheme="minorHAnsi" w:cstheme="minorHAnsi"/>
          <w:color w:val="000000"/>
          <w:sz w:val="22"/>
          <w:szCs w:val="22"/>
          <w:shd w:val="clear" w:color="auto" w:fill="FFFFFF"/>
        </w:rPr>
        <w:t xml:space="preserve">the </w:t>
      </w:r>
      <w:r w:rsidR="00445194" w:rsidRPr="005E06D6">
        <w:rPr>
          <w:rFonts w:asciiTheme="minorHAnsi" w:hAnsiTheme="minorHAnsi" w:cstheme="minorHAnsi"/>
          <w:color w:val="000000"/>
          <w:sz w:val="22"/>
          <w:szCs w:val="22"/>
          <w:shd w:val="clear" w:color="auto" w:fill="FFFFFF"/>
        </w:rPr>
        <w:t>detection of</w:t>
      </w:r>
      <w:r w:rsidR="00AF1A01" w:rsidRPr="005E06D6">
        <w:rPr>
          <w:rFonts w:asciiTheme="minorHAnsi" w:hAnsiTheme="minorHAnsi" w:cstheme="minorHAnsi"/>
          <w:color w:val="000000"/>
          <w:sz w:val="22"/>
          <w:szCs w:val="22"/>
          <w:shd w:val="clear" w:color="auto" w:fill="FFFFFF"/>
        </w:rPr>
        <w:t xml:space="preserve"> clinical s</w:t>
      </w:r>
      <w:r w:rsidR="00445194" w:rsidRPr="005E06D6">
        <w:rPr>
          <w:rFonts w:asciiTheme="minorHAnsi" w:hAnsiTheme="minorHAnsi" w:cstheme="minorHAnsi"/>
          <w:color w:val="000000"/>
          <w:sz w:val="22"/>
          <w:szCs w:val="22"/>
          <w:shd w:val="clear" w:color="auto" w:fill="FFFFFF"/>
        </w:rPr>
        <w:t>igns and/or s</w:t>
      </w:r>
      <w:r w:rsidR="00AF1A01" w:rsidRPr="005E06D6">
        <w:rPr>
          <w:rFonts w:asciiTheme="minorHAnsi" w:hAnsiTheme="minorHAnsi" w:cstheme="minorHAnsi"/>
          <w:color w:val="000000"/>
          <w:sz w:val="22"/>
          <w:szCs w:val="22"/>
          <w:shd w:val="clear" w:color="auto" w:fill="FFFFFF"/>
        </w:rPr>
        <w:t>ymptoms</w:t>
      </w:r>
      <w:r w:rsidR="00445194" w:rsidRPr="005E06D6">
        <w:rPr>
          <w:rFonts w:asciiTheme="minorHAnsi" w:hAnsiTheme="minorHAnsi" w:cstheme="minorHAnsi"/>
          <w:color w:val="000000"/>
          <w:sz w:val="22"/>
          <w:szCs w:val="22"/>
          <w:shd w:val="clear" w:color="auto" w:fill="FFFFFF"/>
        </w:rPr>
        <w:t xml:space="preserve"> </w:t>
      </w:r>
      <w:r w:rsidR="00445194" w:rsidRPr="005E06D6">
        <w:rPr>
          <w:rFonts w:asciiTheme="minorHAnsi" w:hAnsiTheme="minorHAnsi" w:cstheme="minorHAnsi"/>
          <w:color w:val="000000"/>
          <w:sz w:val="22"/>
          <w:szCs w:val="22"/>
          <w:shd w:val="clear" w:color="auto" w:fill="FFFFFF"/>
        </w:rPr>
        <w:lastRenderedPageBreak/>
        <w:t>(if and when they appear), or the clinical utility</w:t>
      </w:r>
      <w:r w:rsidR="00AF1A01" w:rsidRPr="005E06D6">
        <w:rPr>
          <w:rFonts w:asciiTheme="minorHAnsi" w:hAnsiTheme="minorHAnsi" w:cstheme="minorHAnsi"/>
          <w:color w:val="000000"/>
          <w:sz w:val="22"/>
          <w:szCs w:val="22"/>
          <w:shd w:val="clear" w:color="auto" w:fill="FFFFFF"/>
        </w:rPr>
        <w:t xml:space="preserve"> of sFlt-1 / PlGF</w:t>
      </w:r>
      <w:r w:rsidR="001634AE" w:rsidRPr="005E06D6">
        <w:rPr>
          <w:rFonts w:asciiTheme="minorHAnsi" w:hAnsiTheme="minorHAnsi" w:cstheme="minorHAnsi"/>
          <w:color w:val="000000"/>
          <w:sz w:val="22"/>
          <w:szCs w:val="22"/>
          <w:shd w:val="clear" w:color="auto" w:fill="FFFFFF"/>
        </w:rPr>
        <w:t xml:space="preserve"> in predicting and managing p</w:t>
      </w:r>
      <w:r w:rsidR="00AF1A01" w:rsidRPr="005E06D6">
        <w:rPr>
          <w:rFonts w:asciiTheme="minorHAnsi" w:hAnsiTheme="minorHAnsi" w:cstheme="minorHAnsi"/>
          <w:color w:val="000000"/>
          <w:sz w:val="22"/>
          <w:szCs w:val="22"/>
          <w:shd w:val="clear" w:color="auto" w:fill="FFFFFF"/>
        </w:rPr>
        <w:t xml:space="preserve">reeclampsia. </w:t>
      </w:r>
    </w:p>
    <w:p w14:paraId="71EB1F2B" w14:textId="71E5B520" w:rsidR="008A47E9" w:rsidRPr="005E06D6" w:rsidRDefault="008A47E9" w:rsidP="00F61121">
      <w:pPr>
        <w:ind w:left="426"/>
        <w:rPr>
          <w:rFonts w:asciiTheme="minorHAnsi" w:hAnsiTheme="minorHAnsi" w:cstheme="minorHAnsi"/>
          <w:sz w:val="22"/>
          <w:szCs w:val="22"/>
        </w:rPr>
      </w:pPr>
      <w:r w:rsidRPr="005E06D6">
        <w:rPr>
          <w:rFonts w:asciiTheme="minorHAnsi" w:hAnsiTheme="minorHAnsi" w:cstheme="minorHAnsi"/>
          <w:sz w:val="22"/>
          <w:szCs w:val="22"/>
        </w:rPr>
        <w:t xml:space="preserve"> </w:t>
      </w:r>
    </w:p>
    <w:p w14:paraId="35FAFDF9" w14:textId="4CEF24D8" w:rsidR="008A47E9" w:rsidRPr="005E06D6" w:rsidRDefault="00103C0A" w:rsidP="00F61121">
      <w:pPr>
        <w:rPr>
          <w:rFonts w:asciiTheme="minorHAnsi" w:hAnsiTheme="minorHAnsi" w:cstheme="minorHAnsi"/>
          <w:b/>
          <w:sz w:val="22"/>
          <w:szCs w:val="22"/>
        </w:rPr>
      </w:pPr>
      <w:r w:rsidRPr="005E06D6">
        <w:rPr>
          <w:rFonts w:asciiTheme="minorHAnsi" w:hAnsiTheme="minorHAnsi" w:cstheme="minorHAnsi"/>
          <w:b/>
          <w:sz w:val="22"/>
          <w:szCs w:val="22"/>
        </w:rPr>
        <w:t>P</w:t>
      </w:r>
      <w:r w:rsidR="008A47E9" w:rsidRPr="005E06D6">
        <w:rPr>
          <w:rFonts w:asciiTheme="minorHAnsi" w:hAnsiTheme="minorHAnsi" w:cstheme="minorHAnsi"/>
          <w:b/>
          <w:sz w:val="22"/>
          <w:szCs w:val="22"/>
        </w:rPr>
        <w:t xml:space="preserve">atient populations </w:t>
      </w:r>
    </w:p>
    <w:p w14:paraId="35CFD7FD" w14:textId="74B44736" w:rsidR="008A47E9" w:rsidRPr="005E06D6" w:rsidRDefault="008A47E9" w:rsidP="00317A38">
      <w:pPr>
        <w:ind w:left="426"/>
        <w:rPr>
          <w:rFonts w:asciiTheme="minorHAnsi" w:hAnsiTheme="minorHAnsi" w:cstheme="minorHAnsi"/>
          <w:sz w:val="22"/>
          <w:szCs w:val="22"/>
        </w:rPr>
      </w:pPr>
    </w:p>
    <w:p w14:paraId="527FF3AD" w14:textId="154619E3" w:rsidR="00BC7DA5" w:rsidRPr="005E06D6" w:rsidRDefault="008A47E9" w:rsidP="00F61121">
      <w:pPr>
        <w:rPr>
          <w:rFonts w:asciiTheme="minorHAnsi" w:hAnsiTheme="minorHAnsi" w:cstheme="minorHAnsi"/>
          <w:sz w:val="22"/>
          <w:szCs w:val="22"/>
        </w:rPr>
      </w:pPr>
      <w:r w:rsidRPr="005E06D6">
        <w:rPr>
          <w:rFonts w:asciiTheme="minorHAnsi" w:hAnsiTheme="minorHAnsi" w:cstheme="minorHAnsi"/>
          <w:sz w:val="22"/>
          <w:szCs w:val="22"/>
        </w:rPr>
        <w:t xml:space="preserve">The additional information provided to clinicians </w:t>
      </w:r>
      <w:r w:rsidR="00BC7DA5" w:rsidRPr="005E06D6">
        <w:rPr>
          <w:rFonts w:asciiTheme="minorHAnsi" w:hAnsiTheme="minorHAnsi" w:cstheme="minorHAnsi"/>
          <w:sz w:val="22"/>
          <w:szCs w:val="22"/>
        </w:rPr>
        <w:t>by</w:t>
      </w:r>
      <w:r w:rsidRPr="005E06D6">
        <w:rPr>
          <w:rFonts w:asciiTheme="minorHAnsi" w:hAnsiTheme="minorHAnsi" w:cstheme="minorHAnsi"/>
          <w:sz w:val="22"/>
          <w:szCs w:val="22"/>
        </w:rPr>
        <w:t xml:space="preserve"> the implementation of the algorithm proposed in </w:t>
      </w:r>
      <w:r w:rsidRPr="005E06D6">
        <w:rPr>
          <w:rFonts w:asciiTheme="minorHAnsi" w:hAnsiTheme="minorHAnsi" w:cstheme="minorHAnsi"/>
          <w:i/>
          <w:sz w:val="22"/>
          <w:szCs w:val="22"/>
        </w:rPr>
        <w:t xml:space="preserve">Structured prenatal risk assessment for preterm preeclampsia </w:t>
      </w:r>
      <w:r w:rsidR="009715CE" w:rsidRPr="005E06D6">
        <w:rPr>
          <w:rFonts w:asciiTheme="minorHAnsi" w:hAnsiTheme="minorHAnsi" w:cstheme="minorHAnsi"/>
          <w:sz w:val="22"/>
          <w:szCs w:val="22"/>
        </w:rPr>
        <w:t>allows clinicians to proactively m</w:t>
      </w:r>
      <w:r w:rsidR="0005361B" w:rsidRPr="005E06D6">
        <w:rPr>
          <w:rFonts w:asciiTheme="minorHAnsi" w:hAnsiTheme="minorHAnsi" w:cstheme="minorHAnsi"/>
          <w:sz w:val="22"/>
          <w:szCs w:val="22"/>
        </w:rPr>
        <w:t xml:space="preserve">onitor patients identified as </w:t>
      </w:r>
      <w:r w:rsidR="007B6431" w:rsidRPr="005E06D6">
        <w:rPr>
          <w:rFonts w:asciiTheme="minorHAnsi" w:hAnsiTheme="minorHAnsi" w:cstheme="minorHAnsi"/>
          <w:sz w:val="22"/>
          <w:szCs w:val="22"/>
        </w:rPr>
        <w:t>high</w:t>
      </w:r>
      <w:r w:rsidR="009715CE" w:rsidRPr="005E06D6">
        <w:rPr>
          <w:rFonts w:asciiTheme="minorHAnsi" w:hAnsiTheme="minorHAnsi" w:cstheme="minorHAnsi"/>
          <w:sz w:val="22"/>
          <w:szCs w:val="22"/>
        </w:rPr>
        <w:t>-risk of developing preeclampsia in later pregnancy.</w:t>
      </w:r>
    </w:p>
    <w:p w14:paraId="6721E9A7" w14:textId="264989B1" w:rsidR="009715CE" w:rsidRPr="005E06D6" w:rsidRDefault="009715CE" w:rsidP="00764A0F">
      <w:pPr>
        <w:ind w:left="426"/>
        <w:rPr>
          <w:rFonts w:asciiTheme="minorHAnsi" w:hAnsiTheme="minorHAnsi" w:cstheme="minorHAnsi"/>
          <w:sz w:val="22"/>
          <w:szCs w:val="22"/>
        </w:rPr>
      </w:pPr>
    </w:p>
    <w:p w14:paraId="18CA9F69" w14:textId="237F2E71" w:rsidR="00A90692" w:rsidRPr="005E06D6" w:rsidRDefault="0005361B" w:rsidP="00F61121">
      <w:pPr>
        <w:rPr>
          <w:rFonts w:asciiTheme="minorHAnsi" w:hAnsiTheme="minorHAnsi" w:cstheme="minorHAnsi"/>
          <w:sz w:val="22"/>
          <w:szCs w:val="22"/>
        </w:rPr>
      </w:pPr>
      <w:r w:rsidRPr="005E06D6">
        <w:rPr>
          <w:rFonts w:asciiTheme="minorHAnsi" w:hAnsiTheme="minorHAnsi" w:cstheme="minorHAnsi"/>
          <w:sz w:val="22"/>
          <w:szCs w:val="22"/>
        </w:rPr>
        <w:t xml:space="preserve">Women identified as </w:t>
      </w:r>
      <w:r w:rsidR="007B6431" w:rsidRPr="005E06D6">
        <w:rPr>
          <w:rFonts w:asciiTheme="minorHAnsi" w:hAnsiTheme="minorHAnsi" w:cstheme="minorHAnsi"/>
          <w:sz w:val="22"/>
          <w:szCs w:val="22"/>
        </w:rPr>
        <w:t>high</w:t>
      </w:r>
      <w:r w:rsidR="00A90692" w:rsidRPr="005E06D6">
        <w:rPr>
          <w:rFonts w:asciiTheme="minorHAnsi" w:hAnsiTheme="minorHAnsi" w:cstheme="minorHAnsi"/>
          <w:sz w:val="22"/>
          <w:szCs w:val="22"/>
        </w:rPr>
        <w:t>-risk through first trimester risk assessment should receive closer antenatal surveillance in anticipation of identifying developing signs and symptoms of preeclampsia (</w:t>
      </w:r>
      <w:proofErr w:type="spellStart"/>
      <w:r w:rsidR="00A90692" w:rsidRPr="005E06D6">
        <w:rPr>
          <w:rFonts w:asciiTheme="minorHAnsi" w:hAnsiTheme="minorHAnsi" w:cstheme="minorHAnsi"/>
          <w:sz w:val="22"/>
          <w:szCs w:val="22"/>
        </w:rPr>
        <w:t>eg</w:t>
      </w:r>
      <w:proofErr w:type="spellEnd"/>
      <w:r w:rsidR="00A90692" w:rsidRPr="005E06D6">
        <w:rPr>
          <w:rFonts w:asciiTheme="minorHAnsi" w:hAnsiTheme="minorHAnsi" w:cstheme="minorHAnsi"/>
          <w:sz w:val="22"/>
          <w:szCs w:val="22"/>
        </w:rPr>
        <w:t>, using sFlt-1 / PlGF testing), thereby allowing for more timely diagnosis of preeclampsia and the institution of appropriate therapies to minimise maternal and perinatal morbidity.</w:t>
      </w:r>
    </w:p>
    <w:p w14:paraId="6E34188D" w14:textId="3BAC627F" w:rsidR="00A90692" w:rsidRPr="005E06D6" w:rsidRDefault="00A90692" w:rsidP="00764A0F">
      <w:pPr>
        <w:ind w:left="426"/>
        <w:rPr>
          <w:rFonts w:asciiTheme="minorHAnsi" w:hAnsiTheme="minorHAnsi" w:cstheme="minorHAnsi"/>
          <w:sz w:val="22"/>
          <w:szCs w:val="22"/>
        </w:rPr>
      </w:pPr>
    </w:p>
    <w:p w14:paraId="5F4B63EC" w14:textId="287F015C" w:rsidR="00B254FD" w:rsidRPr="005E06D6" w:rsidRDefault="00B254FD" w:rsidP="00F61121">
      <w:pPr>
        <w:rPr>
          <w:rFonts w:asciiTheme="minorHAnsi" w:hAnsiTheme="minorHAnsi" w:cstheme="minorHAnsi"/>
          <w:sz w:val="22"/>
          <w:szCs w:val="22"/>
        </w:rPr>
      </w:pPr>
      <w:r w:rsidRPr="005E06D6">
        <w:rPr>
          <w:rFonts w:asciiTheme="minorHAnsi" w:hAnsiTheme="minorHAnsi" w:cstheme="minorHAnsi"/>
          <w:sz w:val="22"/>
          <w:szCs w:val="22"/>
        </w:rPr>
        <w:t xml:space="preserve">The implementation on the </w:t>
      </w:r>
      <w:r w:rsidRPr="005E06D6">
        <w:rPr>
          <w:rFonts w:asciiTheme="minorHAnsi" w:hAnsiTheme="minorHAnsi" w:cstheme="minorHAnsi"/>
          <w:i/>
          <w:sz w:val="22"/>
          <w:szCs w:val="22"/>
        </w:rPr>
        <w:t xml:space="preserve">Structured prenatal risk assessment for preterm preeclampsia </w:t>
      </w:r>
      <w:r w:rsidRPr="005E06D6">
        <w:rPr>
          <w:rFonts w:asciiTheme="minorHAnsi" w:hAnsiTheme="minorHAnsi" w:cstheme="minorHAnsi"/>
          <w:sz w:val="22"/>
          <w:szCs w:val="22"/>
        </w:rPr>
        <w:t>is therefore expected to complement the clinical and resource utilisation benefits</w:t>
      </w:r>
      <w:r w:rsidR="004200DF" w:rsidRPr="005E06D6">
        <w:rPr>
          <w:rFonts w:asciiTheme="minorHAnsi" w:hAnsiTheme="minorHAnsi" w:cstheme="minorHAnsi"/>
          <w:sz w:val="22"/>
          <w:szCs w:val="22"/>
        </w:rPr>
        <w:t xml:space="preserve"> of</w:t>
      </w:r>
      <w:r w:rsidRPr="005E06D6">
        <w:rPr>
          <w:rFonts w:asciiTheme="minorHAnsi" w:hAnsiTheme="minorHAnsi" w:cstheme="minorHAnsi"/>
          <w:sz w:val="22"/>
          <w:szCs w:val="22"/>
        </w:rPr>
        <w:t xml:space="preserve"> sFlt-1 / PlGF testing as demonstrated in the literature.</w:t>
      </w:r>
    </w:p>
    <w:p w14:paraId="21F1A926" w14:textId="77777777" w:rsidR="00510F1F" w:rsidRPr="005E06D6" w:rsidRDefault="00510F1F" w:rsidP="00F61121">
      <w:pPr>
        <w:rPr>
          <w:rFonts w:asciiTheme="minorHAnsi" w:hAnsiTheme="minorHAnsi" w:cstheme="minorHAnsi"/>
          <w:color w:val="0070C0"/>
          <w:sz w:val="22"/>
          <w:szCs w:val="22"/>
        </w:rPr>
      </w:pPr>
    </w:p>
    <w:p w14:paraId="64BEBF79" w14:textId="5DEECABA" w:rsidR="002C2748" w:rsidRPr="005E06D6" w:rsidRDefault="00AD05C0" w:rsidP="005F49EA">
      <w:pPr>
        <w:rPr>
          <w:rFonts w:asciiTheme="minorHAnsi" w:hAnsiTheme="minorHAnsi" w:cstheme="minorHAnsi"/>
          <w:sz w:val="22"/>
          <w:szCs w:val="22"/>
        </w:rPr>
      </w:pPr>
      <w:r w:rsidRPr="005E06D6">
        <w:rPr>
          <w:rFonts w:asciiTheme="minorHAnsi" w:hAnsiTheme="minorHAnsi" w:cstheme="minorHAnsi"/>
          <w:sz w:val="22"/>
          <w:szCs w:val="22"/>
        </w:rPr>
        <w:t>Appendix r</w:t>
      </w:r>
      <w:r w:rsidR="005F49EA" w:rsidRPr="005E06D6">
        <w:rPr>
          <w:rFonts w:asciiTheme="minorHAnsi" w:hAnsiTheme="minorHAnsi" w:cstheme="minorHAnsi"/>
          <w:sz w:val="22"/>
          <w:szCs w:val="22"/>
        </w:rPr>
        <w:t>eferences</w:t>
      </w:r>
    </w:p>
    <w:p w14:paraId="5F97D297" w14:textId="6137BAC0" w:rsidR="005F49EA" w:rsidRPr="005E06D6" w:rsidRDefault="005F49EA" w:rsidP="005F49EA">
      <w:pPr>
        <w:rPr>
          <w:rFonts w:asciiTheme="minorHAnsi" w:hAnsiTheme="minorHAnsi" w:cstheme="minorHAnsi"/>
          <w:sz w:val="22"/>
          <w:szCs w:val="22"/>
        </w:rPr>
      </w:pPr>
    </w:p>
    <w:p w14:paraId="2C7C0B85" w14:textId="14AE5B1C" w:rsidR="005F49EA" w:rsidRPr="005E06D6" w:rsidRDefault="005F49EA" w:rsidP="00F61121">
      <w:pPr>
        <w:rPr>
          <w:rFonts w:asciiTheme="minorHAnsi" w:hAnsiTheme="minorHAnsi" w:cstheme="minorHAnsi"/>
          <w:sz w:val="22"/>
          <w:szCs w:val="22"/>
        </w:rPr>
      </w:pPr>
      <w:r w:rsidRPr="005E06D6">
        <w:rPr>
          <w:rFonts w:asciiTheme="minorHAnsi" w:hAnsiTheme="minorHAnsi" w:cstheme="minorHAnsi"/>
          <w:sz w:val="22"/>
          <w:szCs w:val="22"/>
        </w:rPr>
        <w:t>K. Mayer-</w:t>
      </w:r>
      <w:proofErr w:type="spellStart"/>
      <w:r w:rsidRPr="005E06D6">
        <w:rPr>
          <w:rFonts w:asciiTheme="minorHAnsi" w:hAnsiTheme="minorHAnsi" w:cstheme="minorHAnsi"/>
          <w:sz w:val="22"/>
          <w:szCs w:val="22"/>
        </w:rPr>
        <w:t>Pickel</w:t>
      </w:r>
      <w:proofErr w:type="spellEnd"/>
      <w:r w:rsidRPr="005E06D6">
        <w:rPr>
          <w:rFonts w:asciiTheme="minorHAnsi" w:hAnsiTheme="minorHAnsi" w:cstheme="minorHAnsi"/>
          <w:sz w:val="22"/>
          <w:szCs w:val="22"/>
        </w:rPr>
        <w:t xml:space="preserve">, V. </w:t>
      </w:r>
      <w:proofErr w:type="spellStart"/>
      <w:r w:rsidRPr="005E06D6">
        <w:rPr>
          <w:rFonts w:asciiTheme="minorHAnsi" w:hAnsiTheme="minorHAnsi" w:cstheme="minorHAnsi"/>
          <w:sz w:val="22"/>
          <w:szCs w:val="22"/>
        </w:rPr>
        <w:t>Kolovetsiou-Kreiner</w:t>
      </w:r>
      <w:proofErr w:type="spellEnd"/>
      <w:r w:rsidRPr="005E06D6">
        <w:rPr>
          <w:rFonts w:asciiTheme="minorHAnsi" w:hAnsiTheme="minorHAnsi" w:cstheme="minorHAnsi"/>
          <w:sz w:val="22"/>
          <w:szCs w:val="22"/>
        </w:rPr>
        <w:t xml:space="preserve">, C. Stern, J. </w:t>
      </w:r>
      <w:proofErr w:type="spellStart"/>
      <w:r w:rsidRPr="005E06D6">
        <w:rPr>
          <w:rFonts w:asciiTheme="minorHAnsi" w:hAnsiTheme="minorHAnsi" w:cstheme="minorHAnsi"/>
          <w:sz w:val="22"/>
          <w:szCs w:val="22"/>
        </w:rPr>
        <w:t>Münzker</w:t>
      </w:r>
      <w:proofErr w:type="spellEnd"/>
      <w:r w:rsidRPr="005E06D6">
        <w:rPr>
          <w:rFonts w:asciiTheme="minorHAnsi" w:hAnsiTheme="minorHAnsi" w:cstheme="minorHAnsi"/>
          <w:sz w:val="22"/>
          <w:szCs w:val="22"/>
        </w:rPr>
        <w:t xml:space="preserve">, K. Eberhard, S. </w:t>
      </w:r>
      <w:proofErr w:type="spellStart"/>
      <w:r w:rsidRPr="005E06D6">
        <w:rPr>
          <w:rFonts w:asciiTheme="minorHAnsi" w:hAnsiTheme="minorHAnsi" w:cstheme="minorHAnsi"/>
          <w:sz w:val="22"/>
          <w:szCs w:val="22"/>
        </w:rPr>
        <w:t>Trajanoski</w:t>
      </w:r>
      <w:proofErr w:type="spellEnd"/>
      <w:r w:rsidRPr="005E06D6">
        <w:rPr>
          <w:rFonts w:asciiTheme="minorHAnsi" w:hAnsiTheme="minorHAnsi" w:cstheme="minorHAnsi"/>
          <w:sz w:val="22"/>
          <w:szCs w:val="22"/>
        </w:rPr>
        <w:t xml:space="preserve">, I. </w:t>
      </w:r>
      <w:proofErr w:type="spellStart"/>
      <w:r w:rsidRPr="005E06D6">
        <w:rPr>
          <w:rFonts w:asciiTheme="minorHAnsi" w:hAnsiTheme="minorHAnsi" w:cstheme="minorHAnsi"/>
          <w:sz w:val="22"/>
          <w:szCs w:val="22"/>
        </w:rPr>
        <w:t>Lakovschek</w:t>
      </w:r>
      <w:proofErr w:type="spellEnd"/>
      <w:r w:rsidRPr="005E06D6">
        <w:rPr>
          <w:rFonts w:asciiTheme="minorHAnsi" w:hAnsiTheme="minorHAnsi" w:cstheme="minorHAnsi"/>
          <w:sz w:val="22"/>
          <w:szCs w:val="22"/>
        </w:rPr>
        <w:t xml:space="preserve">, D. Ulrich, B. </w:t>
      </w:r>
      <w:proofErr w:type="spellStart"/>
      <w:r w:rsidRPr="005E06D6">
        <w:rPr>
          <w:rFonts w:asciiTheme="minorHAnsi" w:hAnsiTheme="minorHAnsi" w:cstheme="minorHAnsi"/>
          <w:sz w:val="22"/>
          <w:szCs w:val="22"/>
        </w:rPr>
        <w:t>Csapo</w:t>
      </w:r>
      <w:proofErr w:type="spellEnd"/>
      <w:r w:rsidRPr="005E06D6">
        <w:rPr>
          <w:rFonts w:asciiTheme="minorHAnsi" w:hAnsiTheme="minorHAnsi" w:cstheme="minorHAnsi"/>
          <w:sz w:val="22"/>
          <w:szCs w:val="22"/>
        </w:rPr>
        <w:t xml:space="preserve">, U. Lang, B. </w:t>
      </w:r>
      <w:proofErr w:type="spellStart"/>
      <w:r w:rsidRPr="005E06D6">
        <w:rPr>
          <w:rFonts w:asciiTheme="minorHAnsi" w:hAnsiTheme="minorHAnsi" w:cstheme="minorHAnsi"/>
          <w:sz w:val="22"/>
          <w:szCs w:val="22"/>
        </w:rPr>
        <w:t>Obermayer</w:t>
      </w:r>
      <w:proofErr w:type="spellEnd"/>
      <w:r w:rsidRPr="005E06D6">
        <w:rPr>
          <w:rFonts w:asciiTheme="minorHAnsi" w:hAnsiTheme="minorHAnsi" w:cstheme="minorHAnsi"/>
          <w:sz w:val="22"/>
          <w:szCs w:val="22"/>
        </w:rPr>
        <w:t xml:space="preserve">-Pietsch, M. </w:t>
      </w:r>
      <w:proofErr w:type="spellStart"/>
      <w:r w:rsidRPr="005E06D6">
        <w:rPr>
          <w:rFonts w:asciiTheme="minorHAnsi" w:hAnsiTheme="minorHAnsi" w:cstheme="minorHAnsi"/>
          <w:sz w:val="22"/>
          <w:szCs w:val="22"/>
        </w:rPr>
        <w:t>Cervar-Zivkovic</w:t>
      </w:r>
      <w:proofErr w:type="spellEnd"/>
      <w:r w:rsidRPr="005E06D6">
        <w:rPr>
          <w:rFonts w:asciiTheme="minorHAnsi" w:hAnsiTheme="minorHAnsi" w:cstheme="minorHAnsi"/>
          <w:sz w:val="22"/>
          <w:szCs w:val="22"/>
        </w:rPr>
        <w:t>, Effect of Low-Dose Aspirin on Soluble FMS-Like Tyrosine Kinase 1/Placental Growth Factor (sFlt-1/PlGF Ratio) in Pregnancies at High Risk for the</w:t>
      </w:r>
    </w:p>
    <w:p w14:paraId="446BF7BD" w14:textId="3563BEDB" w:rsidR="00103C0A" w:rsidRPr="005E06D6" w:rsidRDefault="005F49EA" w:rsidP="00F61121">
      <w:pPr>
        <w:rPr>
          <w:rFonts w:asciiTheme="minorHAnsi" w:hAnsiTheme="minorHAnsi" w:cstheme="minorHAnsi"/>
          <w:sz w:val="22"/>
          <w:szCs w:val="22"/>
        </w:rPr>
      </w:pPr>
      <w:r w:rsidRPr="005E06D6">
        <w:rPr>
          <w:rFonts w:asciiTheme="minorHAnsi" w:hAnsiTheme="minorHAnsi" w:cstheme="minorHAnsi"/>
          <w:sz w:val="22"/>
          <w:szCs w:val="22"/>
        </w:rPr>
        <w:t>Development of Preeclampsia, J. Clin. Med. (2019), 10;8(9):1429</w:t>
      </w:r>
      <w:bookmarkEnd w:id="17"/>
    </w:p>
    <w:sectPr w:rsidR="00103C0A" w:rsidRPr="005E06D6" w:rsidSect="00591DFB">
      <w:type w:val="continuous"/>
      <w:pgSz w:w="11906" w:h="16838"/>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A7417" w14:textId="77777777" w:rsidR="00591DFB" w:rsidRDefault="00591DFB">
      <w:r>
        <w:separator/>
      </w:r>
    </w:p>
  </w:endnote>
  <w:endnote w:type="continuationSeparator" w:id="0">
    <w:p w14:paraId="137ED242" w14:textId="77777777" w:rsidR="00591DFB" w:rsidRDefault="0059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3BC1B" w14:textId="187BA1F9" w:rsidR="00591DFB" w:rsidRDefault="00591DFB">
    <w:pPr>
      <w:pBdr>
        <w:top w:val="single" w:sz="4" w:space="1" w:color="D9D9D9"/>
        <w:left w:val="nil"/>
        <w:bottom w:val="nil"/>
        <w:right w:val="nil"/>
        <w:between w:val="nil"/>
      </w:pBdr>
      <w:tabs>
        <w:tab w:val="center" w:pos="4513"/>
        <w:tab w:val="right" w:pos="9026"/>
      </w:tabs>
      <w:spacing w:before="120"/>
      <w:rPr>
        <w:rFonts w:ascii="Calibri" w:eastAsia="Calibri" w:hAnsi="Calibri" w:cs="Calibri"/>
        <w:color w:val="80808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Pr>
        <w:rFonts w:ascii="Calibri" w:eastAsia="Calibri" w:hAnsi="Calibri" w:cs="Calibri"/>
        <w:noProof/>
        <w:color w:val="000000"/>
        <w:sz w:val="18"/>
        <w:szCs w:val="18"/>
      </w:rPr>
      <w:t>20</w:t>
    </w:r>
    <w:r>
      <w:rPr>
        <w:rFonts w:ascii="Calibri" w:eastAsia="Calibri" w:hAnsi="Calibri" w:cs="Calibri"/>
        <w:color w:val="000000"/>
        <w:sz w:val="18"/>
        <w:szCs w:val="18"/>
      </w:rPr>
      <w:fldChar w:fldCharType="end"/>
    </w:r>
    <w:r>
      <w:rPr>
        <w:rFonts w:ascii="Calibri" w:eastAsia="Calibri" w:hAnsi="Calibri" w:cs="Calibri"/>
        <w:b/>
        <w:color w:val="000000"/>
        <w:sz w:val="18"/>
        <w:szCs w:val="18"/>
      </w:rPr>
      <w:t xml:space="preserve"> |</w:t>
    </w:r>
    <w:r>
      <w:rPr>
        <w:rFonts w:ascii="Calibri" w:eastAsia="Calibri" w:hAnsi="Calibri" w:cs="Calibri"/>
        <w:color w:val="808080"/>
        <w:sz w:val="18"/>
        <w:szCs w:val="18"/>
      </w:rPr>
      <w:tab/>
      <w:t>Application Form</w:t>
    </w:r>
  </w:p>
  <w:p w14:paraId="3D843CE3" w14:textId="77777777" w:rsidR="00591DFB" w:rsidRDefault="00591DFB">
    <w:pPr>
      <w:pBdr>
        <w:top w:val="single" w:sz="4" w:space="1" w:color="D9D9D9"/>
        <w:left w:val="nil"/>
        <w:bottom w:val="nil"/>
        <w:right w:val="nil"/>
        <w:between w:val="nil"/>
      </w:pBdr>
      <w:tabs>
        <w:tab w:val="center" w:pos="4513"/>
        <w:tab w:val="right" w:pos="9026"/>
      </w:tabs>
      <w:spacing w:before="120"/>
      <w:rPr>
        <w:rFonts w:ascii="Calibri" w:eastAsia="Calibri" w:hAnsi="Calibri" w:cs="Calibri"/>
        <w:b/>
        <w:color w:val="000000"/>
        <w:sz w:val="18"/>
        <w:szCs w:val="18"/>
      </w:rPr>
    </w:pPr>
    <w:r>
      <w:rPr>
        <w:rFonts w:ascii="Calibri" w:eastAsia="Calibri" w:hAnsi="Calibri" w:cs="Calibri"/>
        <w:color w:val="808080"/>
        <w:sz w:val="18"/>
        <w:szCs w:val="18"/>
      </w:rPr>
      <w:tab/>
      <w:t>New and Amended Requests for Public Funding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0AD21" w14:textId="77777777" w:rsidR="00591DFB" w:rsidRDefault="00591DFB">
      <w:r>
        <w:separator/>
      </w:r>
    </w:p>
  </w:footnote>
  <w:footnote w:type="continuationSeparator" w:id="0">
    <w:p w14:paraId="5A82A914" w14:textId="77777777" w:rsidR="00591DFB" w:rsidRDefault="00591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C0EB6"/>
    <w:multiLevelType w:val="multilevel"/>
    <w:tmpl w:val="D9B0DB54"/>
    <w:lvl w:ilvl="0">
      <w:start w:val="2"/>
      <w:numFmt w:val="lowerLetter"/>
      <w:pStyle w:val="Heading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BF0865"/>
    <w:multiLevelType w:val="multilevel"/>
    <w:tmpl w:val="7EA645A8"/>
    <w:lvl w:ilvl="0">
      <w:start w:val="2"/>
      <w:numFmt w:val="bullet"/>
      <w:lvlText w:val="•"/>
      <w:lvlJc w:val="left"/>
      <w:pPr>
        <w:ind w:left="1440" w:hanging="72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F362E83"/>
    <w:multiLevelType w:val="multilevel"/>
    <w:tmpl w:val="3EAA750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 w15:restartNumberingAfterBreak="0">
    <w:nsid w:val="13746EB7"/>
    <w:multiLevelType w:val="multilevel"/>
    <w:tmpl w:val="D9B0DB5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056AB1"/>
    <w:multiLevelType w:val="multilevel"/>
    <w:tmpl w:val="AFCCC726"/>
    <w:lvl w:ilvl="0">
      <w:start w:val="1"/>
      <w:numFmt w:val="lowerRoman"/>
      <w:lvlText w:val="%1."/>
      <w:lvlJc w:val="left"/>
      <w:pPr>
        <w:ind w:left="1004" w:hanging="720"/>
      </w:pPr>
      <w:rPr>
        <w:rFonts w:ascii="Calibri" w:eastAsia="Calibri" w:hAnsi="Calibri" w:cs="Calibri"/>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88B38C6"/>
    <w:multiLevelType w:val="multilevel"/>
    <w:tmpl w:val="D9B0DB5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F23777"/>
    <w:multiLevelType w:val="multilevel"/>
    <w:tmpl w:val="D9B0DB5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C014FE"/>
    <w:multiLevelType w:val="multilevel"/>
    <w:tmpl w:val="D9B0DB5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DA5DA5"/>
    <w:multiLevelType w:val="hybridMultilevel"/>
    <w:tmpl w:val="9ADA2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2F4D1C"/>
    <w:multiLevelType w:val="multilevel"/>
    <w:tmpl w:val="D9B0DB5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4B4DB7"/>
    <w:multiLevelType w:val="multilevel"/>
    <w:tmpl w:val="30C6984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1" w15:restartNumberingAfterBreak="0">
    <w:nsid w:val="32687D73"/>
    <w:multiLevelType w:val="multilevel"/>
    <w:tmpl w:val="73224E36"/>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39A56C7"/>
    <w:multiLevelType w:val="hybridMultilevel"/>
    <w:tmpl w:val="B36A871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384619C0"/>
    <w:multiLevelType w:val="hybridMultilevel"/>
    <w:tmpl w:val="FB547942"/>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863E2F"/>
    <w:multiLevelType w:val="multilevel"/>
    <w:tmpl w:val="D9B0DB5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1A417D"/>
    <w:multiLevelType w:val="multilevel"/>
    <w:tmpl w:val="1112433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6" w15:restartNumberingAfterBreak="0">
    <w:nsid w:val="41A47744"/>
    <w:multiLevelType w:val="multilevel"/>
    <w:tmpl w:val="92567C08"/>
    <w:lvl w:ilvl="0">
      <w:start w:val="1"/>
      <w:numFmt w:val="lowerRoman"/>
      <w:lvlText w:val="%1."/>
      <w:lvlJc w:val="left"/>
      <w:pPr>
        <w:ind w:left="1004" w:hanging="72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437B06ED"/>
    <w:multiLevelType w:val="multilevel"/>
    <w:tmpl w:val="D9B0DB5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FD0FCF"/>
    <w:multiLevelType w:val="multilevel"/>
    <w:tmpl w:val="5E76553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9" w15:restartNumberingAfterBreak="0">
    <w:nsid w:val="510F6FAE"/>
    <w:multiLevelType w:val="multilevel"/>
    <w:tmpl w:val="D5FA7F4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54CF63D5"/>
    <w:multiLevelType w:val="multilevel"/>
    <w:tmpl w:val="652E2782"/>
    <w:lvl w:ilvl="0">
      <w:start w:val="2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FC18FB"/>
    <w:multiLevelType w:val="multilevel"/>
    <w:tmpl w:val="D9B0DB5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B1407B"/>
    <w:multiLevelType w:val="multilevel"/>
    <w:tmpl w:val="D9B0DB5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7F75E4"/>
    <w:multiLevelType w:val="multilevel"/>
    <w:tmpl w:val="DD661FA8"/>
    <w:lvl w:ilvl="0">
      <w:start w:val="1"/>
      <w:numFmt w:val="lowerRoman"/>
      <w:lvlText w:val="%1."/>
      <w:lvlJc w:val="left"/>
      <w:pPr>
        <w:ind w:left="1004" w:hanging="720"/>
      </w:pPr>
      <w:rPr>
        <w:rFonts w:ascii="Calibri" w:eastAsia="Calibri" w:hAnsi="Calibri" w:cs="Calibri"/>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6B1D0D1D"/>
    <w:multiLevelType w:val="multilevel"/>
    <w:tmpl w:val="823A926E"/>
    <w:lvl w:ilvl="0">
      <w:start w:val="1"/>
      <w:numFmt w:val="decimal"/>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E9D41DF"/>
    <w:multiLevelType w:val="hybridMultilevel"/>
    <w:tmpl w:val="9282299A"/>
    <w:lvl w:ilvl="0" w:tplc="6D40CA4E">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653A17"/>
    <w:multiLevelType w:val="hybridMultilevel"/>
    <w:tmpl w:val="6D688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C436C0C"/>
    <w:multiLevelType w:val="multilevel"/>
    <w:tmpl w:val="D9B0DB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D335B35"/>
    <w:multiLevelType w:val="multilevel"/>
    <w:tmpl w:val="D9B0DB5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1"/>
  </w:num>
  <w:num w:numId="4">
    <w:abstractNumId w:val="7"/>
  </w:num>
  <w:num w:numId="5">
    <w:abstractNumId w:val="2"/>
  </w:num>
  <w:num w:numId="6">
    <w:abstractNumId w:val="24"/>
  </w:num>
  <w:num w:numId="7">
    <w:abstractNumId w:val="4"/>
  </w:num>
  <w:num w:numId="8">
    <w:abstractNumId w:val="17"/>
  </w:num>
  <w:num w:numId="9">
    <w:abstractNumId w:val="23"/>
  </w:num>
  <w:num w:numId="10">
    <w:abstractNumId w:val="29"/>
  </w:num>
  <w:num w:numId="11">
    <w:abstractNumId w:val="16"/>
  </w:num>
  <w:num w:numId="12">
    <w:abstractNumId w:val="22"/>
  </w:num>
  <w:num w:numId="13">
    <w:abstractNumId w:val="28"/>
  </w:num>
  <w:num w:numId="14">
    <w:abstractNumId w:val="18"/>
  </w:num>
  <w:num w:numId="15">
    <w:abstractNumId w:val="10"/>
  </w:num>
  <w:num w:numId="16">
    <w:abstractNumId w:val="6"/>
  </w:num>
  <w:num w:numId="17">
    <w:abstractNumId w:val="3"/>
  </w:num>
  <w:num w:numId="18">
    <w:abstractNumId w:val="11"/>
  </w:num>
  <w:num w:numId="19">
    <w:abstractNumId w:val="14"/>
  </w:num>
  <w:num w:numId="20">
    <w:abstractNumId w:val="20"/>
  </w:num>
  <w:num w:numId="21">
    <w:abstractNumId w:val="5"/>
  </w:num>
  <w:num w:numId="22">
    <w:abstractNumId w:val="15"/>
  </w:num>
  <w:num w:numId="23">
    <w:abstractNumId w:val="9"/>
  </w:num>
  <w:num w:numId="24">
    <w:abstractNumId w:val="26"/>
  </w:num>
  <w:num w:numId="25">
    <w:abstractNumId w:val="13"/>
  </w:num>
  <w:num w:numId="26">
    <w:abstractNumId w:val="27"/>
  </w:num>
  <w:num w:numId="27">
    <w:abstractNumId w:val="12"/>
  </w:num>
  <w:num w:numId="28">
    <w:abstractNumId w:val="19"/>
  </w:num>
  <w:num w:numId="29">
    <w:abstractNumId w:val="2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321"/>
    <w:rsid w:val="00003616"/>
    <w:rsid w:val="00006DA1"/>
    <w:rsid w:val="00016E01"/>
    <w:rsid w:val="00017D79"/>
    <w:rsid w:val="0004188C"/>
    <w:rsid w:val="00052D40"/>
    <w:rsid w:val="0005361B"/>
    <w:rsid w:val="000550B3"/>
    <w:rsid w:val="000611BE"/>
    <w:rsid w:val="000626FB"/>
    <w:rsid w:val="000761B5"/>
    <w:rsid w:val="0009323A"/>
    <w:rsid w:val="000A6AD9"/>
    <w:rsid w:val="000B36B8"/>
    <w:rsid w:val="000C2D80"/>
    <w:rsid w:val="000E0A77"/>
    <w:rsid w:val="000E0B99"/>
    <w:rsid w:val="000E1497"/>
    <w:rsid w:val="000E273B"/>
    <w:rsid w:val="000E5B59"/>
    <w:rsid w:val="00103C0A"/>
    <w:rsid w:val="00106F85"/>
    <w:rsid w:val="00112DC4"/>
    <w:rsid w:val="00115C68"/>
    <w:rsid w:val="00122F17"/>
    <w:rsid w:val="0015154D"/>
    <w:rsid w:val="00157F1D"/>
    <w:rsid w:val="001634AE"/>
    <w:rsid w:val="00172BDD"/>
    <w:rsid w:val="001A37A9"/>
    <w:rsid w:val="001B0414"/>
    <w:rsid w:val="001B2E05"/>
    <w:rsid w:val="001C0DD5"/>
    <w:rsid w:val="001C47A0"/>
    <w:rsid w:val="001D01F4"/>
    <w:rsid w:val="001E1005"/>
    <w:rsid w:val="00202954"/>
    <w:rsid w:val="00205ADF"/>
    <w:rsid w:val="00207F9A"/>
    <w:rsid w:val="002172BE"/>
    <w:rsid w:val="002548AE"/>
    <w:rsid w:val="002929C2"/>
    <w:rsid w:val="002A59E5"/>
    <w:rsid w:val="002A7C5F"/>
    <w:rsid w:val="002B3A6F"/>
    <w:rsid w:val="002B7164"/>
    <w:rsid w:val="002C2748"/>
    <w:rsid w:val="002D21D2"/>
    <w:rsid w:val="002E3420"/>
    <w:rsid w:val="002E5FB5"/>
    <w:rsid w:val="002F6E46"/>
    <w:rsid w:val="00300105"/>
    <w:rsid w:val="00300286"/>
    <w:rsid w:val="00317A38"/>
    <w:rsid w:val="003262C0"/>
    <w:rsid w:val="003265C7"/>
    <w:rsid w:val="003408C5"/>
    <w:rsid w:val="003612E2"/>
    <w:rsid w:val="003721B0"/>
    <w:rsid w:val="00396A6F"/>
    <w:rsid w:val="003A62C0"/>
    <w:rsid w:val="003B4ECB"/>
    <w:rsid w:val="003B76D4"/>
    <w:rsid w:val="003B7F4F"/>
    <w:rsid w:val="003D66C0"/>
    <w:rsid w:val="003E1F87"/>
    <w:rsid w:val="003E2842"/>
    <w:rsid w:val="0041298B"/>
    <w:rsid w:val="004200DF"/>
    <w:rsid w:val="00420F4B"/>
    <w:rsid w:val="004313B7"/>
    <w:rsid w:val="00445194"/>
    <w:rsid w:val="004503BE"/>
    <w:rsid w:val="0046027D"/>
    <w:rsid w:val="00462AAF"/>
    <w:rsid w:val="00463BC7"/>
    <w:rsid w:val="0046649B"/>
    <w:rsid w:val="00487265"/>
    <w:rsid w:val="00492F2D"/>
    <w:rsid w:val="00497BD6"/>
    <w:rsid w:val="004A1DB1"/>
    <w:rsid w:val="004A7F4E"/>
    <w:rsid w:val="004B11CD"/>
    <w:rsid w:val="004C0220"/>
    <w:rsid w:val="004C1F5C"/>
    <w:rsid w:val="004D5BC7"/>
    <w:rsid w:val="004D75D6"/>
    <w:rsid w:val="00510F1F"/>
    <w:rsid w:val="00533E02"/>
    <w:rsid w:val="00536FFA"/>
    <w:rsid w:val="00537A92"/>
    <w:rsid w:val="00542F05"/>
    <w:rsid w:val="00547597"/>
    <w:rsid w:val="00560BD7"/>
    <w:rsid w:val="005630EA"/>
    <w:rsid w:val="00564E25"/>
    <w:rsid w:val="00566BB9"/>
    <w:rsid w:val="00585D7F"/>
    <w:rsid w:val="005909F1"/>
    <w:rsid w:val="00591DFB"/>
    <w:rsid w:val="005945AE"/>
    <w:rsid w:val="005B734F"/>
    <w:rsid w:val="005E06D6"/>
    <w:rsid w:val="005E20FA"/>
    <w:rsid w:val="005E5000"/>
    <w:rsid w:val="005F49EA"/>
    <w:rsid w:val="00610807"/>
    <w:rsid w:val="006164F2"/>
    <w:rsid w:val="00616BAD"/>
    <w:rsid w:val="006304E3"/>
    <w:rsid w:val="0064158C"/>
    <w:rsid w:val="00642B2A"/>
    <w:rsid w:val="006554A6"/>
    <w:rsid w:val="00665C22"/>
    <w:rsid w:val="00667680"/>
    <w:rsid w:val="00676CF0"/>
    <w:rsid w:val="00687B0C"/>
    <w:rsid w:val="006B4A61"/>
    <w:rsid w:val="006B5025"/>
    <w:rsid w:val="006C3B3A"/>
    <w:rsid w:val="006E5A42"/>
    <w:rsid w:val="006F24C9"/>
    <w:rsid w:val="00704B0C"/>
    <w:rsid w:val="0071433D"/>
    <w:rsid w:val="00727194"/>
    <w:rsid w:val="00731D96"/>
    <w:rsid w:val="00750EF2"/>
    <w:rsid w:val="00764A0F"/>
    <w:rsid w:val="00771729"/>
    <w:rsid w:val="00790EE6"/>
    <w:rsid w:val="00794BBD"/>
    <w:rsid w:val="007A2F72"/>
    <w:rsid w:val="007A567B"/>
    <w:rsid w:val="007A7D4F"/>
    <w:rsid w:val="007B6431"/>
    <w:rsid w:val="007C3AC1"/>
    <w:rsid w:val="007C5037"/>
    <w:rsid w:val="007D2D4B"/>
    <w:rsid w:val="00803CA4"/>
    <w:rsid w:val="00806DA3"/>
    <w:rsid w:val="0081334B"/>
    <w:rsid w:val="008177E0"/>
    <w:rsid w:val="008202B7"/>
    <w:rsid w:val="00821CA2"/>
    <w:rsid w:val="008335B8"/>
    <w:rsid w:val="00837EF2"/>
    <w:rsid w:val="0084398B"/>
    <w:rsid w:val="00864E08"/>
    <w:rsid w:val="008767EC"/>
    <w:rsid w:val="008775C7"/>
    <w:rsid w:val="00881DCE"/>
    <w:rsid w:val="00893AAB"/>
    <w:rsid w:val="008A08EB"/>
    <w:rsid w:val="008A47E9"/>
    <w:rsid w:val="008B391C"/>
    <w:rsid w:val="008B50EA"/>
    <w:rsid w:val="008E0C83"/>
    <w:rsid w:val="008E3805"/>
    <w:rsid w:val="008F2E06"/>
    <w:rsid w:val="008F4190"/>
    <w:rsid w:val="00904B84"/>
    <w:rsid w:val="00921324"/>
    <w:rsid w:val="00925017"/>
    <w:rsid w:val="00934909"/>
    <w:rsid w:val="00942884"/>
    <w:rsid w:val="00951FC2"/>
    <w:rsid w:val="00956019"/>
    <w:rsid w:val="00956F9E"/>
    <w:rsid w:val="009715CE"/>
    <w:rsid w:val="0099169E"/>
    <w:rsid w:val="009B567B"/>
    <w:rsid w:val="009B63E0"/>
    <w:rsid w:val="009D5161"/>
    <w:rsid w:val="009D742D"/>
    <w:rsid w:val="009E7ED6"/>
    <w:rsid w:val="00A01404"/>
    <w:rsid w:val="00A055E0"/>
    <w:rsid w:val="00A07A81"/>
    <w:rsid w:val="00A13FC4"/>
    <w:rsid w:val="00A219A2"/>
    <w:rsid w:val="00A32C3B"/>
    <w:rsid w:val="00A32DB2"/>
    <w:rsid w:val="00A356E1"/>
    <w:rsid w:val="00A4601E"/>
    <w:rsid w:val="00A500B5"/>
    <w:rsid w:val="00A53A4C"/>
    <w:rsid w:val="00A578CD"/>
    <w:rsid w:val="00A673EB"/>
    <w:rsid w:val="00A718C6"/>
    <w:rsid w:val="00A90692"/>
    <w:rsid w:val="00A9136B"/>
    <w:rsid w:val="00A91DFD"/>
    <w:rsid w:val="00A95C2F"/>
    <w:rsid w:val="00AC0C2A"/>
    <w:rsid w:val="00AD05C0"/>
    <w:rsid w:val="00AD0E5A"/>
    <w:rsid w:val="00AD5F2F"/>
    <w:rsid w:val="00AD7D01"/>
    <w:rsid w:val="00AE17CB"/>
    <w:rsid w:val="00AE6459"/>
    <w:rsid w:val="00AF1A01"/>
    <w:rsid w:val="00B154C5"/>
    <w:rsid w:val="00B15DC9"/>
    <w:rsid w:val="00B20C71"/>
    <w:rsid w:val="00B23FDE"/>
    <w:rsid w:val="00B254FD"/>
    <w:rsid w:val="00B326A4"/>
    <w:rsid w:val="00B43BD3"/>
    <w:rsid w:val="00B44DB3"/>
    <w:rsid w:val="00B53CAE"/>
    <w:rsid w:val="00B61679"/>
    <w:rsid w:val="00B717E6"/>
    <w:rsid w:val="00B72FAA"/>
    <w:rsid w:val="00B73852"/>
    <w:rsid w:val="00B76D37"/>
    <w:rsid w:val="00B8185C"/>
    <w:rsid w:val="00BA2769"/>
    <w:rsid w:val="00BC23F8"/>
    <w:rsid w:val="00BC45AB"/>
    <w:rsid w:val="00BC7DA5"/>
    <w:rsid w:val="00BD2F16"/>
    <w:rsid w:val="00BD5D69"/>
    <w:rsid w:val="00BD777C"/>
    <w:rsid w:val="00BE22F9"/>
    <w:rsid w:val="00BF3285"/>
    <w:rsid w:val="00C126C7"/>
    <w:rsid w:val="00C15EDA"/>
    <w:rsid w:val="00C227CE"/>
    <w:rsid w:val="00C22BAC"/>
    <w:rsid w:val="00C45D28"/>
    <w:rsid w:val="00C557A5"/>
    <w:rsid w:val="00C56D15"/>
    <w:rsid w:val="00C56F75"/>
    <w:rsid w:val="00C606CB"/>
    <w:rsid w:val="00C6477E"/>
    <w:rsid w:val="00C664C8"/>
    <w:rsid w:val="00C72D7B"/>
    <w:rsid w:val="00C731C9"/>
    <w:rsid w:val="00C73C81"/>
    <w:rsid w:val="00C77A13"/>
    <w:rsid w:val="00C81200"/>
    <w:rsid w:val="00C91FEE"/>
    <w:rsid w:val="00CA6A8F"/>
    <w:rsid w:val="00CA73CD"/>
    <w:rsid w:val="00CC177B"/>
    <w:rsid w:val="00CC7F76"/>
    <w:rsid w:val="00CD3559"/>
    <w:rsid w:val="00CD70B5"/>
    <w:rsid w:val="00CF4445"/>
    <w:rsid w:val="00D0399A"/>
    <w:rsid w:val="00D05E02"/>
    <w:rsid w:val="00D10F89"/>
    <w:rsid w:val="00D14770"/>
    <w:rsid w:val="00D172C0"/>
    <w:rsid w:val="00D22C86"/>
    <w:rsid w:val="00D37001"/>
    <w:rsid w:val="00D47203"/>
    <w:rsid w:val="00D527A7"/>
    <w:rsid w:val="00D6165C"/>
    <w:rsid w:val="00D72BE0"/>
    <w:rsid w:val="00D94175"/>
    <w:rsid w:val="00D94A2B"/>
    <w:rsid w:val="00DC5D82"/>
    <w:rsid w:val="00DD7F59"/>
    <w:rsid w:val="00DE067B"/>
    <w:rsid w:val="00DE21E9"/>
    <w:rsid w:val="00DF0F5B"/>
    <w:rsid w:val="00DF162B"/>
    <w:rsid w:val="00E037B0"/>
    <w:rsid w:val="00E04A8B"/>
    <w:rsid w:val="00E11BED"/>
    <w:rsid w:val="00E15D67"/>
    <w:rsid w:val="00E4062B"/>
    <w:rsid w:val="00E42EE5"/>
    <w:rsid w:val="00E431F3"/>
    <w:rsid w:val="00E45321"/>
    <w:rsid w:val="00E470E2"/>
    <w:rsid w:val="00E519CE"/>
    <w:rsid w:val="00E64914"/>
    <w:rsid w:val="00E8100C"/>
    <w:rsid w:val="00E9289B"/>
    <w:rsid w:val="00E94EDB"/>
    <w:rsid w:val="00E97D0C"/>
    <w:rsid w:val="00EA79C7"/>
    <w:rsid w:val="00EB564D"/>
    <w:rsid w:val="00ED09FA"/>
    <w:rsid w:val="00ED7251"/>
    <w:rsid w:val="00EF2B82"/>
    <w:rsid w:val="00EF3BEF"/>
    <w:rsid w:val="00F03863"/>
    <w:rsid w:val="00F03FAA"/>
    <w:rsid w:val="00F4694E"/>
    <w:rsid w:val="00F5719F"/>
    <w:rsid w:val="00F61121"/>
    <w:rsid w:val="00F723DE"/>
    <w:rsid w:val="00F73895"/>
    <w:rsid w:val="00F80F3B"/>
    <w:rsid w:val="00F81E2C"/>
    <w:rsid w:val="00F86C9E"/>
    <w:rsid w:val="00FA527C"/>
    <w:rsid w:val="00FB0353"/>
    <w:rsid w:val="00FB426A"/>
    <w:rsid w:val="00FC6448"/>
    <w:rsid w:val="00FD23C3"/>
    <w:rsid w:val="00FE0D97"/>
    <w:rsid w:val="00FE1477"/>
    <w:rsid w:val="00FE2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C387F"/>
  <w15:docId w15:val="{7C867DFF-FB46-4BC9-9FE9-96079E75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F45"/>
    <w:rPr>
      <w:lang w:eastAsia="en-GB"/>
    </w:rPr>
  </w:style>
  <w:style w:type="paragraph" w:styleId="Heading1">
    <w:name w:val="heading 1"/>
    <w:next w:val="Normal"/>
    <w:link w:val="Heading1Char"/>
    <w:uiPriority w:val="9"/>
    <w:qFormat/>
    <w:rsid w:val="00B44DB3"/>
    <w:pPr>
      <w:ind w:left="1560" w:hanging="1560"/>
      <w:outlineLvl w:val="0"/>
    </w:pPr>
    <w:rPr>
      <w:rFonts w:asciiTheme="minorHAnsi" w:hAnsiTheme="minorHAnsi" w:cstheme="minorHAnsi"/>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F7CB9"/>
    <w:pPr>
      <w:spacing w:before="3360" w:after="360"/>
      <w:jc w:val="center"/>
    </w:pPr>
    <w:rPr>
      <w:rFonts w:ascii="Arial" w:eastAsiaTheme="minorHAnsi" w:hAnsi="Arial" w:cs="Arial"/>
      <w:b/>
      <w:sz w:val="52"/>
      <w:szCs w:val="52"/>
      <w:lang w:eastAsia="en-US"/>
    </w:rPr>
  </w:style>
  <w:style w:type="table" w:styleId="TableGrid">
    <w:name w:val="Table Grid"/>
    <w:basedOn w:val="TableNormal"/>
    <w:uiPriority w:val="59"/>
    <w:rsid w:val="00BF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spacing w:before="120" w:after="120"/>
      <w:ind w:left="720"/>
      <w:contextualSpacing/>
    </w:pPr>
    <w:rPr>
      <w:rFonts w:asciiTheme="minorHAnsi" w:eastAsiaTheme="minorHAnsi" w:hAnsiTheme="minorHAnsi" w:cstheme="minorBidi"/>
      <w:sz w:val="20"/>
      <w:szCs w:val="22"/>
      <w:lang w:eastAsia="en-US"/>
    </w:r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before="120"/>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before="120"/>
    </w:pPr>
    <w:rPr>
      <w:rFonts w:asciiTheme="minorHAnsi" w:eastAsiaTheme="minorHAnsi" w:hAnsiTheme="minorHAnsi" w:cstheme="minorBidi"/>
      <w:sz w:val="20"/>
      <w:szCs w:val="22"/>
      <w:lang w:eastAsia="en-US"/>
    </w:r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before="120"/>
    </w:pPr>
    <w:rPr>
      <w:rFonts w:asciiTheme="minorHAnsi" w:eastAsiaTheme="minorHAnsi" w:hAnsiTheme="minorHAnsi" w:cstheme="minorBidi"/>
      <w:sz w:val="20"/>
      <w:szCs w:val="22"/>
      <w:lang w:eastAsia="en-US"/>
    </w:r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unhideWhenUsed/>
    <w:rsid w:val="005A6AB9"/>
    <w:rPr>
      <w:sz w:val="16"/>
      <w:szCs w:val="16"/>
    </w:rPr>
  </w:style>
  <w:style w:type="paragraph" w:styleId="CommentText">
    <w:name w:val="annotation text"/>
    <w:basedOn w:val="Normal"/>
    <w:link w:val="CommentTextChar"/>
    <w:uiPriority w:val="99"/>
    <w:unhideWhenUsed/>
    <w:rsid w:val="005A6AB9"/>
    <w:pPr>
      <w:spacing w:before="120" w:after="12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rPr>
      <w:rFonts w:ascii="Calibri" w:eastAsia="Calibri" w:hAnsi="Calibri"/>
    </w:rPr>
  </w:style>
  <w:style w:type="table" w:customStyle="1" w:styleId="TableGrid1">
    <w:name w:val="Table Grid1"/>
    <w:basedOn w:val="TableNormal"/>
    <w:next w:val="TableGrid"/>
    <w:uiPriority w:val="59"/>
    <w:rsid w:val="00BB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Normal"/>
    <w:next w:val="Normal"/>
    <w:link w:val="SubtitleChar"/>
    <w:pPr>
      <w:spacing w:before="120" w:after="120"/>
      <w:ind w:left="357" w:hanging="357"/>
    </w:pPr>
    <w:rPr>
      <w:rFonts w:ascii="Calibri" w:eastAsia="Calibri" w:hAnsi="Calibri" w:cs="Calibri"/>
      <w:b/>
      <w:i/>
      <w:sz w:val="20"/>
      <w:szCs w:val="20"/>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B44DB3"/>
    <w:rPr>
      <w:rFonts w:asciiTheme="minorHAnsi" w:hAnsiTheme="minorHAnsi" w:cstheme="minorHAnsi"/>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spacing w:before="120" w:after="120"/>
      <w:ind w:right="82"/>
    </w:pPr>
    <w:rPr>
      <w:rFonts w:ascii="Calibri" w:eastAsiaTheme="minorHAnsi" w:hAnsi="Calibri" w:cs="Tahoma"/>
      <w:b/>
      <w:sz w:val="20"/>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388298">
      <w:bodyDiv w:val="1"/>
      <w:marLeft w:val="0"/>
      <w:marRight w:val="0"/>
      <w:marTop w:val="0"/>
      <w:marBottom w:val="0"/>
      <w:divBdr>
        <w:top w:val="none" w:sz="0" w:space="0" w:color="auto"/>
        <w:left w:val="none" w:sz="0" w:space="0" w:color="auto"/>
        <w:bottom w:val="none" w:sz="0" w:space="0" w:color="auto"/>
        <w:right w:val="none" w:sz="0" w:space="0" w:color="auto"/>
      </w:divBdr>
    </w:div>
    <w:div w:id="1071268177">
      <w:bodyDiv w:val="1"/>
      <w:marLeft w:val="0"/>
      <w:marRight w:val="0"/>
      <w:marTop w:val="0"/>
      <w:marBottom w:val="0"/>
      <w:divBdr>
        <w:top w:val="none" w:sz="0" w:space="0" w:color="auto"/>
        <w:left w:val="none" w:sz="0" w:space="0" w:color="auto"/>
        <w:bottom w:val="none" w:sz="0" w:space="0" w:color="auto"/>
        <w:right w:val="none" w:sz="0" w:space="0" w:color="auto"/>
      </w:divBdr>
    </w:div>
    <w:div w:id="1359310142">
      <w:bodyDiv w:val="1"/>
      <w:marLeft w:val="0"/>
      <w:marRight w:val="0"/>
      <w:marTop w:val="0"/>
      <w:marBottom w:val="0"/>
      <w:divBdr>
        <w:top w:val="none" w:sz="0" w:space="0" w:color="auto"/>
        <w:left w:val="none" w:sz="0" w:space="0" w:color="auto"/>
        <w:bottom w:val="none" w:sz="0" w:space="0" w:color="auto"/>
        <w:right w:val="none" w:sz="0" w:space="0" w:color="auto"/>
      </w:divBdr>
    </w:div>
    <w:div w:id="1780369200">
      <w:bodyDiv w:val="1"/>
      <w:marLeft w:val="0"/>
      <w:marRight w:val="0"/>
      <w:marTop w:val="0"/>
      <w:marBottom w:val="0"/>
      <w:divBdr>
        <w:top w:val="none" w:sz="0" w:space="0" w:color="auto"/>
        <w:left w:val="none" w:sz="0" w:space="0" w:color="auto"/>
        <w:bottom w:val="none" w:sz="0" w:space="0" w:color="auto"/>
        <w:right w:val="none" w:sz="0" w:space="0" w:color="auto"/>
      </w:divBdr>
    </w:div>
    <w:div w:id="1832022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abs.gov.au/statistics/people/population/births-australia/latest-rele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x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sac.gov.au/"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nlIaQLyathc+eg/OpHbJV0bRGQ==">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22</Pages>
  <Words>6862</Words>
  <Characters>39120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F. Hoffmann-La Roche, Ltd.</Company>
  <LinksUpToDate>false</LinksUpToDate>
  <CharactersWithSpaces>45891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Health</dc:creator>
  <cp:lastModifiedBy>Department of Health</cp:lastModifiedBy>
  <cp:revision>5</cp:revision>
  <dcterms:created xsi:type="dcterms:W3CDTF">2021-12-10T06:33:00Z</dcterms:created>
  <dcterms:modified xsi:type="dcterms:W3CDTF">2021-12-13T04:17:00Z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