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Application N</w:t>
      </w:r>
      <w:bookmarkStart w:id="0" w:name="_GoBack"/>
      <w:bookmarkEnd w:id="0"/>
      <w:r w:rsidRPr="00F715D1">
        <w:t xml:space="preserve">o. </w:t>
      </w:r>
      <w:r w:rsidR="00716FF6">
        <w:t>1392</w:t>
      </w:r>
      <w:r w:rsidRPr="00F715D1">
        <w:t xml:space="preserve"> – </w:t>
      </w:r>
      <w:r w:rsidR="00716FF6" w:rsidRPr="00716FF6">
        <w:t>Corneal Collagen Cross Linking</w:t>
      </w:r>
    </w:p>
    <w:p w:rsidR="00716FF6"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716FF6" w:rsidRPr="00716FF6">
        <w:rPr>
          <w:rFonts w:ascii="Arial" w:hAnsi="Arial" w:cs="Arial"/>
          <w:b/>
          <w:szCs w:val="24"/>
        </w:rPr>
        <w:t xml:space="preserve">Royal Australian and New Zealand College of </w:t>
      </w:r>
      <w:r w:rsidR="00716FF6">
        <w:rPr>
          <w:rFonts w:ascii="Arial" w:hAnsi="Arial" w:cs="Arial"/>
          <w:b/>
          <w:szCs w:val="24"/>
        </w:rPr>
        <w:tab/>
      </w:r>
      <w:r w:rsidR="00716FF6" w:rsidRPr="00716FF6">
        <w:rPr>
          <w:rFonts w:ascii="Arial" w:hAnsi="Arial" w:cs="Arial"/>
          <w:b/>
          <w:szCs w:val="24"/>
        </w:rPr>
        <w:t>Ophthalmologists</w:t>
      </w:r>
      <w:r w:rsidR="00716FF6" w:rsidRPr="00716FF6">
        <w:rPr>
          <w:rFonts w:ascii="Arial" w:hAnsi="Arial" w:cs="Arial"/>
          <w:b/>
          <w:szCs w:val="24"/>
        </w:rPr>
        <w:tab/>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716FF6">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716FF6">
        <w:rPr>
          <w:rFonts w:ascii="Arial" w:hAnsi="Arial" w:cs="Arial"/>
          <w:b/>
          <w:szCs w:val="24"/>
        </w:rPr>
        <w:t>6-7 April 2017</w:t>
      </w:r>
    </w:p>
    <w:p w:rsidR="00F715D1" w:rsidRPr="00C75CD5" w:rsidRDefault="006A0D97" w:rsidP="00F715D1">
      <w:pPr>
        <w:spacing w:after="240"/>
        <w:rPr>
          <w:rStyle w:val="Hyperlink"/>
          <w:szCs w:val="24"/>
          <w:u w:val="non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SAC website" w:history="1">
        <w:r w:rsidR="00F715D1" w:rsidRPr="00F715D1">
          <w:rPr>
            <w:rStyle w:val="Hyperlink"/>
            <w:szCs w:val="24"/>
          </w:rPr>
          <w:t>visit the MSAC website</w:t>
        </w:r>
      </w:hyperlink>
      <w:r w:rsidR="0019012E">
        <w:rPr>
          <w:rStyle w:val="Hyperlink"/>
          <w:szCs w:val="24"/>
        </w:rPr>
        <w:t>.</w:t>
      </w:r>
    </w:p>
    <w:p w:rsidR="003D7F29" w:rsidRPr="00F715D1" w:rsidRDefault="003D7F29" w:rsidP="00F715D1">
      <w:pPr>
        <w:pStyle w:val="Heading1"/>
      </w:pPr>
      <w:r w:rsidRPr="00F715D1">
        <w:t>Purpose of application</w:t>
      </w:r>
    </w:p>
    <w:p w:rsidR="00716FF6" w:rsidRPr="00716FF6" w:rsidRDefault="00716FF6" w:rsidP="007E1257">
      <w:pPr>
        <w:autoSpaceDE w:val="0"/>
        <w:autoSpaceDN w:val="0"/>
        <w:adjustRightInd w:val="0"/>
        <w:rPr>
          <w:i/>
          <w:szCs w:val="24"/>
        </w:rPr>
      </w:pPr>
      <w:r w:rsidRPr="00460FD2">
        <w:rPr>
          <w:rFonts w:eastAsiaTheme="minorHAnsi"/>
          <w:szCs w:val="24"/>
          <w:lang w:eastAsia="en-US"/>
        </w:rPr>
        <w:t>An application requesting a new Medicare Benefit Schedule (MBS) listing of Corneal</w:t>
      </w:r>
      <w:r w:rsidR="007E1257">
        <w:rPr>
          <w:rFonts w:eastAsiaTheme="minorHAnsi"/>
          <w:szCs w:val="24"/>
          <w:lang w:eastAsia="en-US"/>
        </w:rPr>
        <w:t xml:space="preserve"> </w:t>
      </w:r>
      <w:r w:rsidRPr="00716FF6">
        <w:rPr>
          <w:rFonts w:eastAsiaTheme="minorHAnsi"/>
          <w:szCs w:val="24"/>
          <w:lang w:eastAsia="en-US"/>
        </w:rPr>
        <w:t xml:space="preserve">Collagen Cross Linking (CCXL) as early intervention in progressive keratoconus was received </w:t>
      </w:r>
      <w:r w:rsidR="004841E5">
        <w:rPr>
          <w:rFonts w:eastAsiaTheme="minorHAnsi"/>
          <w:szCs w:val="24"/>
          <w:lang w:eastAsia="en-US"/>
        </w:rPr>
        <w:t xml:space="preserve">from The </w:t>
      </w:r>
      <w:r w:rsidR="004841E5" w:rsidRPr="004841E5">
        <w:rPr>
          <w:rFonts w:eastAsiaTheme="minorHAnsi"/>
          <w:szCs w:val="24"/>
          <w:lang w:eastAsia="en-US"/>
        </w:rPr>
        <w:t>Royal Austral</w:t>
      </w:r>
      <w:r w:rsidR="004841E5">
        <w:rPr>
          <w:rFonts w:eastAsiaTheme="minorHAnsi"/>
          <w:szCs w:val="24"/>
          <w:lang w:eastAsia="en-US"/>
        </w:rPr>
        <w:t xml:space="preserve">ian and New Zealand College of </w:t>
      </w:r>
      <w:r w:rsidR="004841E5" w:rsidRPr="004841E5">
        <w:rPr>
          <w:rFonts w:eastAsiaTheme="minorHAnsi"/>
          <w:szCs w:val="24"/>
          <w:lang w:eastAsia="en-US"/>
        </w:rPr>
        <w:t xml:space="preserve">Ophthalmologists </w:t>
      </w:r>
      <w:r w:rsidR="004841E5">
        <w:rPr>
          <w:rFonts w:eastAsiaTheme="minorHAnsi"/>
          <w:szCs w:val="24"/>
          <w:lang w:eastAsia="en-US"/>
        </w:rPr>
        <w:t>(RANZCO)</w:t>
      </w:r>
      <w:r w:rsidR="004841E5" w:rsidRPr="00716FF6">
        <w:rPr>
          <w:rFonts w:eastAsiaTheme="minorHAnsi"/>
          <w:szCs w:val="24"/>
          <w:lang w:eastAsia="en-US"/>
        </w:rPr>
        <w:t xml:space="preserve"> </w:t>
      </w:r>
      <w:r w:rsidRPr="00716FF6">
        <w:rPr>
          <w:rFonts w:eastAsiaTheme="minorHAnsi"/>
          <w:szCs w:val="24"/>
          <w:lang w:eastAsia="en-US"/>
        </w:rPr>
        <w:t>by the Department of He</w:t>
      </w:r>
      <w:r w:rsidR="0081208E">
        <w:rPr>
          <w:rFonts w:eastAsiaTheme="minorHAnsi"/>
          <w:szCs w:val="24"/>
          <w:lang w:eastAsia="en-US"/>
        </w:rPr>
        <w:t>alth (the Department).</w:t>
      </w:r>
    </w:p>
    <w:p w:rsidR="00E977EE" w:rsidRPr="00F715D1" w:rsidRDefault="00E977EE" w:rsidP="00F715D1">
      <w:pPr>
        <w:pStyle w:val="Heading1"/>
      </w:pPr>
      <w:r w:rsidRPr="00F715D1">
        <w:t>MSAC’s advice to the Minister</w:t>
      </w:r>
    </w:p>
    <w:p w:rsidR="004841E5" w:rsidRPr="004841E5" w:rsidRDefault="004841E5" w:rsidP="004841E5">
      <w:pPr>
        <w:pStyle w:val="BodyText"/>
        <w:spacing w:after="0"/>
      </w:pPr>
      <w:r>
        <w:rPr>
          <w:rFonts w:cs="Arial"/>
        </w:rPr>
        <w:t xml:space="preserve">After considering the strength of the available evidence in relation to comparative safety, </w:t>
      </w:r>
      <w:r w:rsidRPr="004841E5">
        <w:t xml:space="preserve">clinical effectiveness and cost-effectiveness, MSAC supported public funding of Corneal Collagen Cross Linking (CCXL) for corneal ectatic disorders </w:t>
      </w:r>
      <w:r w:rsidR="007E1257">
        <w:t>with evidence of progression.</w:t>
      </w:r>
    </w:p>
    <w:p w:rsidR="004841E5" w:rsidRPr="004841E5" w:rsidRDefault="004841E5" w:rsidP="004841E5">
      <w:pPr>
        <w:pStyle w:val="BodyText"/>
        <w:spacing w:before="240" w:after="0"/>
        <w:rPr>
          <w:rFonts w:ascii="Arial" w:hAnsi="Arial" w:cs="Arial"/>
        </w:rPr>
      </w:pPr>
      <w:r>
        <w:t>MSAC encouraged the Therapeutic Goods Administration (TGA)</w:t>
      </w:r>
      <w:r w:rsidRPr="00C6221D">
        <w:t xml:space="preserve"> to continue with the </w:t>
      </w:r>
      <w:r>
        <w:t>A</w:t>
      </w:r>
      <w:r w:rsidRPr="00C6221D">
        <w:t xml:space="preserve">uthorised </w:t>
      </w:r>
      <w:r>
        <w:t>P</w:t>
      </w:r>
      <w:r w:rsidRPr="00C6221D">
        <w:t>resc</w:t>
      </w:r>
      <w:r>
        <w:t xml:space="preserve">riber </w:t>
      </w:r>
      <w:r w:rsidR="004E0A84">
        <w:t>S</w:t>
      </w:r>
      <w:r>
        <w:t>cheme for supply of the</w:t>
      </w:r>
      <w:r w:rsidRPr="00C6221D">
        <w:t xml:space="preserve"> riboflavin eye drops</w:t>
      </w:r>
      <w:r>
        <w:t xml:space="preserve"> required to render this service</w:t>
      </w:r>
      <w:r w:rsidRPr="00C6221D">
        <w:t>.</w:t>
      </w:r>
    </w:p>
    <w:p w:rsidR="004841E5" w:rsidRPr="00C6221D" w:rsidRDefault="004841E5" w:rsidP="004841E5">
      <w:pPr>
        <w:spacing w:before="240"/>
      </w:pPr>
      <w:r w:rsidRPr="00C6221D">
        <w:t xml:space="preserve">MSAC questioned the proposed fee and requested </w:t>
      </w:r>
      <w:r>
        <w:t xml:space="preserve">that </w:t>
      </w:r>
      <w:r w:rsidRPr="00C6221D">
        <w:t xml:space="preserve">the </w:t>
      </w:r>
      <w:r>
        <w:t>D</w:t>
      </w:r>
      <w:r w:rsidRPr="00C6221D">
        <w:t>epartment investigate an appropriate fee and provide information</w:t>
      </w:r>
      <w:r>
        <w:t xml:space="preserve"> to the MSAC Executive. </w:t>
      </w:r>
      <w:r w:rsidRPr="00C6221D">
        <w:t xml:space="preserve">MSAC suggested </w:t>
      </w:r>
      <w:r>
        <w:t>an</w:t>
      </w:r>
      <w:r w:rsidRPr="00C6221D">
        <w:t xml:space="preserve"> upper limit </w:t>
      </w:r>
      <w:r>
        <w:t xml:space="preserve">of $1,200 </w:t>
      </w:r>
      <w:r w:rsidRPr="00C6221D">
        <w:t xml:space="preserve">for the </w:t>
      </w:r>
      <w:r>
        <w:t>MBS fee -</w:t>
      </w:r>
      <w:r w:rsidRPr="00C6221D">
        <w:t xml:space="preserve"> with reference to international pricing and a </w:t>
      </w:r>
      <w:r w:rsidR="0081208E">
        <w:t>RANZCO</w:t>
      </w:r>
      <w:r>
        <w:t xml:space="preserve"> </w:t>
      </w:r>
      <w:r w:rsidRPr="00C6221D">
        <w:t>recommendation.</w:t>
      </w:r>
    </w:p>
    <w:p w:rsidR="00CF7307" w:rsidRPr="0041184F" w:rsidRDefault="004841E5" w:rsidP="004841E5">
      <w:pPr>
        <w:pStyle w:val="Default"/>
        <w:spacing w:before="240" w:after="240"/>
        <w:rPr>
          <w:b/>
          <w:i/>
          <w:color w:val="auto"/>
        </w:rPr>
      </w:pPr>
      <w:r w:rsidRPr="00C6221D">
        <w:rPr>
          <w:szCs w:val="20"/>
        </w:rPr>
        <w:t xml:space="preserve">MSAC also requested </w:t>
      </w:r>
      <w:r w:rsidR="002576B8">
        <w:rPr>
          <w:szCs w:val="20"/>
        </w:rPr>
        <w:t xml:space="preserve">a </w:t>
      </w:r>
      <w:r w:rsidRPr="00C6221D">
        <w:rPr>
          <w:szCs w:val="20"/>
        </w:rPr>
        <w:t xml:space="preserve">review </w:t>
      </w:r>
      <w:r w:rsidR="002576B8">
        <w:rPr>
          <w:szCs w:val="20"/>
        </w:rPr>
        <w:t xml:space="preserve">of </w:t>
      </w:r>
      <w:r w:rsidRPr="00C6221D">
        <w:rPr>
          <w:szCs w:val="20"/>
        </w:rPr>
        <w:t xml:space="preserve">the utilisation, out-of-pocket costs and basis for the </w:t>
      </w:r>
      <w:r>
        <w:rPr>
          <w:szCs w:val="20"/>
        </w:rPr>
        <w:t>MBS fee two</w:t>
      </w:r>
      <w:r w:rsidRPr="00C6221D">
        <w:rPr>
          <w:szCs w:val="20"/>
        </w:rPr>
        <w:t xml:space="preserve"> years after MBS listing begins.</w:t>
      </w:r>
    </w:p>
    <w:p w:rsidR="00550354" w:rsidRPr="00F715D1" w:rsidRDefault="00550354" w:rsidP="00F715D1">
      <w:pPr>
        <w:pStyle w:val="Heading1"/>
      </w:pPr>
      <w:r w:rsidRPr="00F715D1">
        <w:t xml:space="preserve">Summary of consideration </w:t>
      </w:r>
      <w:r w:rsidR="006A5058">
        <w:t>and rationale for MSAC’s advice</w:t>
      </w:r>
    </w:p>
    <w:p w:rsidR="00FA51C7" w:rsidRPr="00FA51C7" w:rsidRDefault="00FA51C7" w:rsidP="00FA51C7">
      <w:pPr>
        <w:pStyle w:val="BodyText"/>
        <w:rPr>
          <w:szCs w:val="24"/>
        </w:rPr>
      </w:pPr>
      <w:r w:rsidRPr="00FA51C7">
        <w:rPr>
          <w:szCs w:val="24"/>
        </w:rPr>
        <w:t xml:space="preserve">MSAC noted that the proposed public funding of CCXL had been considered in July 2016. MSAC recalled that it had deferred its decision to list CCXL in patients with corneal ectatic disorders due to concerns that the revised economic model had not been adequately verified and that the riboflavin drops used in rendering this service were not registered on the Australian Register of Therapeutic Goods (ARTG). </w:t>
      </w:r>
    </w:p>
    <w:p w:rsidR="00FA51C7" w:rsidRPr="00FA51C7" w:rsidRDefault="00FA51C7" w:rsidP="00FA51C7">
      <w:pPr>
        <w:pStyle w:val="BodyText"/>
        <w:rPr>
          <w:szCs w:val="24"/>
        </w:rPr>
      </w:pPr>
      <w:r w:rsidRPr="00FA51C7">
        <w:rPr>
          <w:szCs w:val="24"/>
        </w:rPr>
        <w:lastRenderedPageBreak/>
        <w:t>MSAC recalled that it had previously accepted the safety and clinical effectiveness of CCXL in the proposed population (</w:t>
      </w:r>
      <w:hyperlink r:id="rId11" w:tooltip="Link to MSAC public summary document for application 1392" w:history="1">
        <w:r w:rsidRPr="00416C91">
          <w:rPr>
            <w:rStyle w:val="Hyperlink"/>
            <w:szCs w:val="24"/>
          </w:rPr>
          <w:t>MSAC Public Summary Document (PSD) Application 1392, July 2016</w:t>
        </w:r>
      </w:hyperlink>
      <w:r w:rsidRPr="00FA51C7">
        <w:rPr>
          <w:szCs w:val="24"/>
        </w:rPr>
        <w:t xml:space="preserve">). </w:t>
      </w:r>
    </w:p>
    <w:p w:rsidR="00FA51C7" w:rsidRPr="00FA51C7" w:rsidRDefault="00FA51C7" w:rsidP="00FA51C7">
      <w:pPr>
        <w:pStyle w:val="BodyText"/>
        <w:rPr>
          <w:szCs w:val="24"/>
        </w:rPr>
      </w:pPr>
      <w:r w:rsidRPr="00FA51C7">
        <w:rPr>
          <w:szCs w:val="24"/>
        </w:rPr>
        <w:t>MSAC noted that both legal advice and clarification from the TGA had been sought regarding the regulatory status of riboflavin eye drops. MSAC noted that according to this information, the</w:t>
      </w:r>
      <w:r w:rsidR="0088453C">
        <w:rPr>
          <w:szCs w:val="24"/>
        </w:rPr>
        <w:t>re were no issues from either a</w:t>
      </w:r>
      <w:r w:rsidRPr="00FA51C7">
        <w:rPr>
          <w:szCs w:val="24"/>
        </w:rPr>
        <w:t xml:space="preserve"> TGA or legal perspective with the MBS listing of a service for which </w:t>
      </w:r>
      <w:r w:rsidR="00470D18">
        <w:rPr>
          <w:szCs w:val="24"/>
        </w:rPr>
        <w:t xml:space="preserve">some, but </w:t>
      </w:r>
      <w:r w:rsidRPr="00FA51C7">
        <w:rPr>
          <w:szCs w:val="24"/>
        </w:rPr>
        <w:t>not all</w:t>
      </w:r>
      <w:r w:rsidR="00470D18">
        <w:rPr>
          <w:szCs w:val="24"/>
        </w:rPr>
        <w:t>,</w:t>
      </w:r>
      <w:r w:rsidRPr="00FA51C7">
        <w:rPr>
          <w:szCs w:val="24"/>
        </w:rPr>
        <w:t xml:space="preserve"> components are listed on the ARTG. MSAC noted that the TGA encourages the use of the Authorised Prescriber </w:t>
      </w:r>
      <w:r w:rsidR="00821D62">
        <w:rPr>
          <w:szCs w:val="24"/>
        </w:rPr>
        <w:t>S</w:t>
      </w:r>
      <w:r w:rsidRPr="00FA51C7">
        <w:rPr>
          <w:szCs w:val="24"/>
        </w:rPr>
        <w:t>cheme to access riboflavin eye drops</w:t>
      </w:r>
      <w:r w:rsidR="005E467D">
        <w:rPr>
          <w:szCs w:val="24"/>
        </w:rPr>
        <w:t>, which allows approved prescribers to prescribe</w:t>
      </w:r>
      <w:r w:rsidR="003959DD">
        <w:rPr>
          <w:szCs w:val="24"/>
        </w:rPr>
        <w:t xml:space="preserve"> a specific therapeutic good to a class of patients under their care</w:t>
      </w:r>
      <w:r w:rsidRPr="00FA51C7">
        <w:rPr>
          <w:szCs w:val="24"/>
        </w:rPr>
        <w:t xml:space="preserve">. MSAC concluded that this advice addressed concerns around the individual components required to render this service. </w:t>
      </w:r>
    </w:p>
    <w:p w:rsidR="00FA51C7" w:rsidRPr="00FA51C7" w:rsidRDefault="00FA51C7" w:rsidP="00FA51C7">
      <w:pPr>
        <w:pStyle w:val="BodyText"/>
        <w:rPr>
          <w:szCs w:val="24"/>
        </w:rPr>
      </w:pPr>
      <w:r w:rsidRPr="00FA51C7">
        <w:rPr>
          <w:szCs w:val="24"/>
        </w:rPr>
        <w:t xml:space="preserve">MSAC recalled that it had requested information regarding the progress of several large, well-designed clinical trials due to report in 2016–17, which have discontinued their control arms. MSAC considered a </w:t>
      </w:r>
      <w:hyperlink r:id="rId12" w:tooltip="Link to 2015 FDA briefing document of the Joint meeting of the Dermatological and Ophthalmic Drugs Advisory Committee and Ophthalmic Device Panel of the Medical Advisory Committee" w:history="1">
        <w:r w:rsidRPr="00FA51C7">
          <w:rPr>
            <w:rStyle w:val="Hyperlink"/>
            <w:szCs w:val="24"/>
          </w:rPr>
          <w:t>2015 FDA briefing document of the Joint Meeting of the Dermatological and Ophthalmic Drugs Advisory Committee and Ophthalmic Device Panel of the Medical Advisory Committee</w:t>
        </w:r>
      </w:hyperlink>
      <w:r w:rsidR="00470D18">
        <w:rPr>
          <w:rStyle w:val="Hyperlink"/>
          <w:szCs w:val="24"/>
        </w:rPr>
        <w:t>,</w:t>
      </w:r>
      <w:r w:rsidRPr="00FA51C7">
        <w:rPr>
          <w:szCs w:val="24"/>
        </w:rPr>
        <w:t xml:space="preserve"> which provided follow up data for three randomised sham-controlled trials. MSAC clarified that discontinuation of the control arms was the result of very high rates of crossover from sham treatment to CCXL. </w:t>
      </w:r>
      <w:r w:rsidR="00E64EFD">
        <w:rPr>
          <w:szCs w:val="24"/>
        </w:rPr>
        <w:t>MSAC also considered that the information provided by the applicant alongside its pre-MSAC response reviewing each of the CCXL trials reported in clinicaltrials.gov to be helpful in considering the relevance of these trials.</w:t>
      </w:r>
      <w:r w:rsidRPr="00FA51C7">
        <w:rPr>
          <w:szCs w:val="24"/>
        </w:rPr>
        <w:t xml:space="preserve"> </w:t>
      </w:r>
    </w:p>
    <w:p w:rsidR="00FA51C7" w:rsidRPr="00FA51C7" w:rsidRDefault="00FA51C7" w:rsidP="00FA51C7">
      <w:pPr>
        <w:pStyle w:val="BodyText"/>
        <w:rPr>
          <w:szCs w:val="24"/>
        </w:rPr>
      </w:pPr>
      <w:r w:rsidRPr="00FA51C7">
        <w:rPr>
          <w:szCs w:val="24"/>
        </w:rPr>
        <w:t xml:space="preserve">MSAC also recalled that in </w:t>
      </w:r>
      <w:r w:rsidR="00470D18">
        <w:rPr>
          <w:szCs w:val="24"/>
        </w:rPr>
        <w:t>its</w:t>
      </w:r>
      <w:r w:rsidRPr="00FA51C7">
        <w:rPr>
          <w:szCs w:val="24"/>
        </w:rPr>
        <w:t xml:space="preserve"> </w:t>
      </w:r>
      <w:r w:rsidR="00470D18">
        <w:rPr>
          <w:szCs w:val="24"/>
        </w:rPr>
        <w:t>p</w:t>
      </w:r>
      <w:r w:rsidRPr="00FA51C7">
        <w:rPr>
          <w:szCs w:val="24"/>
        </w:rPr>
        <w:t xml:space="preserve">re-MSAC response for the July 2016 meeting, the applicant had noted that some data were available for </w:t>
      </w:r>
      <w:proofErr w:type="spellStart"/>
      <w:r w:rsidRPr="00FA51C7">
        <w:rPr>
          <w:szCs w:val="24"/>
        </w:rPr>
        <w:t>ectasias</w:t>
      </w:r>
      <w:proofErr w:type="spellEnd"/>
      <w:r w:rsidRPr="00FA51C7">
        <w:rPr>
          <w:szCs w:val="24"/>
        </w:rPr>
        <w:t xml:space="preserve"> other than keratoconus, though these data were not included in the response. MSAC noted that the applicant had since </w:t>
      </w:r>
      <w:r w:rsidR="00470D18">
        <w:rPr>
          <w:szCs w:val="24"/>
        </w:rPr>
        <w:t>confirmed</w:t>
      </w:r>
      <w:r w:rsidRPr="00FA51C7">
        <w:rPr>
          <w:szCs w:val="24"/>
        </w:rPr>
        <w:t xml:space="preserve"> that non-keratoconus peripheral corneal </w:t>
      </w:r>
      <w:proofErr w:type="spellStart"/>
      <w:r w:rsidRPr="00FA51C7">
        <w:rPr>
          <w:szCs w:val="24"/>
        </w:rPr>
        <w:t>ectasias</w:t>
      </w:r>
      <w:proofErr w:type="spellEnd"/>
      <w:r w:rsidRPr="00FA51C7">
        <w:rPr>
          <w:szCs w:val="24"/>
        </w:rPr>
        <w:t xml:space="preserve"> are rare conditions and</w:t>
      </w:r>
      <w:r w:rsidR="00470D18">
        <w:rPr>
          <w:szCs w:val="24"/>
        </w:rPr>
        <w:t>,</w:t>
      </w:r>
      <w:r w:rsidRPr="00FA51C7">
        <w:rPr>
          <w:szCs w:val="24"/>
        </w:rPr>
        <w:t xml:space="preserve"> as such</w:t>
      </w:r>
      <w:r w:rsidR="00470D18">
        <w:rPr>
          <w:szCs w:val="24"/>
        </w:rPr>
        <w:t>,</w:t>
      </w:r>
      <w:r w:rsidRPr="00FA51C7">
        <w:rPr>
          <w:szCs w:val="24"/>
        </w:rPr>
        <w:t xml:space="preserve"> valid randomised data for these conditions would be difficult to obtain. </w:t>
      </w:r>
    </w:p>
    <w:p w:rsidR="00FA51C7" w:rsidRPr="00FA51C7" w:rsidRDefault="00FA51C7" w:rsidP="00FA51C7">
      <w:pPr>
        <w:pStyle w:val="BodyText"/>
        <w:rPr>
          <w:szCs w:val="24"/>
        </w:rPr>
      </w:pPr>
      <w:r w:rsidRPr="00FA51C7">
        <w:rPr>
          <w:szCs w:val="24"/>
        </w:rPr>
        <w:t>MSAC recalled concerns regarding the use of CCXL for post-LASIK</w:t>
      </w:r>
      <w:r w:rsidRPr="00FA51C7">
        <w:rPr>
          <w:rStyle w:val="FootnoteReference"/>
          <w:szCs w:val="24"/>
        </w:rPr>
        <w:footnoteReference w:id="1"/>
      </w:r>
      <w:r w:rsidRPr="00FA51C7">
        <w:rPr>
          <w:szCs w:val="24"/>
        </w:rPr>
        <w:t xml:space="preserve"> ectasia</w:t>
      </w:r>
      <w:r w:rsidR="00470D18">
        <w:rPr>
          <w:szCs w:val="24"/>
        </w:rPr>
        <w:t>,</w:t>
      </w:r>
      <w:r w:rsidRPr="00FA51C7">
        <w:rPr>
          <w:szCs w:val="24"/>
        </w:rPr>
        <w:t xml:space="preserve"> and noted observational studies (</w:t>
      </w:r>
      <w:proofErr w:type="spellStart"/>
      <w:r w:rsidRPr="00FA51C7">
        <w:rPr>
          <w:szCs w:val="24"/>
        </w:rPr>
        <w:t>Poli</w:t>
      </w:r>
      <w:proofErr w:type="spellEnd"/>
      <w:r w:rsidRPr="00FA51C7">
        <w:rPr>
          <w:szCs w:val="24"/>
        </w:rPr>
        <w:t xml:space="preserve"> M et al 2013; </w:t>
      </w:r>
      <w:proofErr w:type="spellStart"/>
      <w:r w:rsidRPr="00FA51C7">
        <w:rPr>
          <w:szCs w:val="24"/>
        </w:rPr>
        <w:t>Yildirim</w:t>
      </w:r>
      <w:proofErr w:type="spellEnd"/>
      <w:r w:rsidRPr="00FA51C7">
        <w:rPr>
          <w:szCs w:val="24"/>
        </w:rPr>
        <w:t xml:space="preserve"> A et al 2014) which provided evidence of favourable outcomes for use in this condition or for post-radial keratotomy ectasia. MSAC considered that the use of CCXL for these patients may be appropriate. In contrast, MSAC considered that a CCXL MBS item should exclude use for the purpose of primary prevention of post-LASIK ectasia (LASIK </w:t>
      </w:r>
      <w:proofErr w:type="spellStart"/>
      <w:r w:rsidRPr="00FA51C7">
        <w:rPr>
          <w:szCs w:val="24"/>
        </w:rPr>
        <w:t>Xtra</w:t>
      </w:r>
      <w:proofErr w:type="spellEnd"/>
      <w:r w:rsidRPr="00FA51C7">
        <w:rPr>
          <w:szCs w:val="24"/>
        </w:rPr>
        <w:t xml:space="preserve">). </w:t>
      </w:r>
    </w:p>
    <w:p w:rsidR="00FA51C7" w:rsidRPr="00FA51C7" w:rsidRDefault="00FA51C7" w:rsidP="00FA51C7">
      <w:pPr>
        <w:pStyle w:val="BodyText"/>
        <w:spacing w:after="0"/>
        <w:rPr>
          <w:szCs w:val="24"/>
        </w:rPr>
      </w:pPr>
      <w:r w:rsidRPr="00FA51C7">
        <w:rPr>
          <w:szCs w:val="24"/>
        </w:rPr>
        <w:t>MSAC noted that an assessment of the revised economic model had been undertaken by ESC. MSAC agreed with ESC that the model inputs for time horizon, age of onset of keratoconus and utility values for vision quality of life were appropriate. MSAC considered that uncertainties regarding the prevalence of keratoconus and its impact on the model had been addressed in the sensitivity analyses undertaken. MSAC noted that out-of-pocket costs were not included in the revised economic model and that these can be significant for patients accessing ophthalmologists. MSAC noted the new model:</w:t>
      </w:r>
    </w:p>
    <w:p w:rsidR="00FA51C7" w:rsidRPr="00FA51C7" w:rsidRDefault="00FA51C7" w:rsidP="0049590A">
      <w:pPr>
        <w:widowControl w:val="0"/>
        <w:numPr>
          <w:ilvl w:val="0"/>
          <w:numId w:val="31"/>
        </w:numPr>
      </w:pPr>
      <w:r w:rsidRPr="0049590A">
        <w:rPr>
          <w:snapToGrid w:val="0"/>
          <w:lang w:eastAsia="en-US"/>
        </w:rPr>
        <w:t>decreased</w:t>
      </w:r>
      <w:r w:rsidRPr="00FA51C7">
        <w:t xml:space="preserve"> the utility value for vision quality of life for patients with a corneal graft based upon data from the Australian Corneal Graft Registry Report 2015 (0.87 in the initial model versus 0.83 in the current model);</w:t>
      </w:r>
    </w:p>
    <w:p w:rsidR="00FA51C7" w:rsidRPr="00FA51C7" w:rsidRDefault="00FA51C7" w:rsidP="0049590A">
      <w:pPr>
        <w:widowControl w:val="0"/>
        <w:numPr>
          <w:ilvl w:val="0"/>
          <w:numId w:val="31"/>
        </w:numPr>
      </w:pPr>
      <w:r w:rsidRPr="0049590A">
        <w:rPr>
          <w:snapToGrid w:val="0"/>
          <w:lang w:eastAsia="en-US"/>
        </w:rPr>
        <w:t>decreased</w:t>
      </w:r>
      <w:r w:rsidRPr="00FA51C7">
        <w:t xml:space="preserve"> the number of predicted procedures in 2015/2016 (2,600 versus 2,100);</w:t>
      </w:r>
    </w:p>
    <w:p w:rsidR="00FA51C7" w:rsidRPr="00FA51C7" w:rsidRDefault="00FA51C7" w:rsidP="0049590A">
      <w:pPr>
        <w:widowControl w:val="0"/>
        <w:numPr>
          <w:ilvl w:val="0"/>
          <w:numId w:val="31"/>
        </w:numPr>
      </w:pPr>
      <w:r w:rsidRPr="0049590A">
        <w:rPr>
          <w:snapToGrid w:val="0"/>
          <w:lang w:eastAsia="en-US"/>
        </w:rPr>
        <w:t>increased</w:t>
      </w:r>
      <w:r w:rsidRPr="00FA51C7">
        <w:t xml:space="preserve"> corneal graft costs due to inclusion of hospital and eye bank costs (~$1866 versus ~$5525); and</w:t>
      </w:r>
    </w:p>
    <w:p w:rsidR="00FA51C7" w:rsidRPr="00FA51C7" w:rsidRDefault="00FA51C7" w:rsidP="0049590A">
      <w:pPr>
        <w:widowControl w:val="0"/>
        <w:numPr>
          <w:ilvl w:val="0"/>
          <w:numId w:val="31"/>
        </w:numPr>
      </w:pPr>
      <w:proofErr w:type="gramStart"/>
      <w:r w:rsidRPr="0049590A">
        <w:rPr>
          <w:snapToGrid w:val="0"/>
          <w:lang w:eastAsia="en-US"/>
        </w:rPr>
        <w:t>assumed</w:t>
      </w:r>
      <w:proofErr w:type="gramEnd"/>
      <w:r w:rsidRPr="00FA51C7">
        <w:t xml:space="preserve"> 2 services per patient rather than 1.5.</w:t>
      </w:r>
    </w:p>
    <w:p w:rsidR="00FA51C7" w:rsidRPr="00FA51C7" w:rsidRDefault="00FA51C7" w:rsidP="00FA51C7">
      <w:pPr>
        <w:pStyle w:val="BodyText"/>
        <w:spacing w:before="240"/>
        <w:rPr>
          <w:szCs w:val="24"/>
        </w:rPr>
      </w:pPr>
      <w:r w:rsidRPr="00FA51C7">
        <w:rPr>
          <w:szCs w:val="24"/>
        </w:rPr>
        <w:lastRenderedPageBreak/>
        <w:t xml:space="preserve">MSAC agreed with ESC that changes to the model were appropriate. MSAC noted that a sensitivity analysis of the MBS fee was included, with the cost of the procedure having a significant impact on the incremental cost-effectiveness ratio (ICER). MSAC concluded that revised model indicates that the CCXL treatment pathway is more effective than the current treatment pathway and is lower in cost. </w:t>
      </w:r>
    </w:p>
    <w:p w:rsidR="00FA51C7" w:rsidRPr="00FA51C7" w:rsidRDefault="00FA51C7" w:rsidP="00FA51C7">
      <w:pPr>
        <w:pStyle w:val="BodyText"/>
        <w:rPr>
          <w:szCs w:val="24"/>
        </w:rPr>
      </w:pPr>
      <w:r w:rsidRPr="00FA51C7">
        <w:rPr>
          <w:szCs w:val="24"/>
        </w:rPr>
        <w:t>MSAC considered that the number of expected procedures and the CCXL procedure fee were key drivers of the financial estimates</w:t>
      </w:r>
      <w:r w:rsidR="004942D4">
        <w:rPr>
          <w:szCs w:val="24"/>
        </w:rPr>
        <w:t>, and that the initial surge in utilisation</w:t>
      </w:r>
      <w:r w:rsidR="00E83487">
        <w:rPr>
          <w:szCs w:val="24"/>
        </w:rPr>
        <w:t xml:space="preserve"> may be prolonged depending on the number of services provided by ophthalmologists</w:t>
      </w:r>
      <w:r w:rsidRPr="00FA51C7">
        <w:rPr>
          <w:szCs w:val="24"/>
        </w:rPr>
        <w:t>. MSAC noted that the estimates assume that 2,426</w:t>
      </w:r>
      <w:r w:rsidR="0088453C">
        <w:rPr>
          <w:szCs w:val="24"/>
        </w:rPr>
        <w:t> </w:t>
      </w:r>
      <w:r w:rsidRPr="00FA51C7">
        <w:rPr>
          <w:szCs w:val="24"/>
        </w:rPr>
        <w:t xml:space="preserve">patients are likely to access CCXL treatments in year one with the number of patients decreasing to 389 by year five. MSAC noted that the projected number of CCXL treatments is highly sensitive to an assumption that a large number of patients are currently undergoing CCXL, despite the treatment not being funded by the MBS at present. In addition, MSAC noted the assumption that listing of CCXL on the MBS would result in a reduction in corneal grafts and accepted that this was appropriate. </w:t>
      </w:r>
    </w:p>
    <w:p w:rsidR="00FA51C7" w:rsidRPr="00FA51C7" w:rsidRDefault="00FA51C7" w:rsidP="00FA51C7">
      <w:pPr>
        <w:pStyle w:val="BodyText"/>
        <w:rPr>
          <w:szCs w:val="24"/>
        </w:rPr>
      </w:pPr>
      <w:r w:rsidRPr="00FA51C7">
        <w:rPr>
          <w:szCs w:val="24"/>
        </w:rPr>
        <w:t xml:space="preserve">MSAC noted a cost sensitivity analysis was undertaken to explore the impact of variation in the </w:t>
      </w:r>
      <w:r w:rsidR="007E1257">
        <w:rPr>
          <w:szCs w:val="24"/>
        </w:rPr>
        <w:t xml:space="preserve">MBS fee for the </w:t>
      </w:r>
      <w:r w:rsidRPr="00FA51C7">
        <w:rPr>
          <w:szCs w:val="24"/>
        </w:rPr>
        <w:t xml:space="preserve">CCXL procedure. </w:t>
      </w:r>
      <w:r w:rsidR="006F7697" w:rsidRPr="006F7697">
        <w:rPr>
          <w:szCs w:val="24"/>
        </w:rPr>
        <w:t xml:space="preserve"> </w:t>
      </w:r>
      <w:r w:rsidR="006F7697">
        <w:rPr>
          <w:szCs w:val="24"/>
        </w:rPr>
        <w:t>Listing</w:t>
      </w:r>
      <w:r w:rsidRPr="00FA51C7">
        <w:rPr>
          <w:szCs w:val="24"/>
        </w:rPr>
        <w:t xml:space="preserve"> CCXL </w:t>
      </w:r>
      <w:r w:rsidR="006F7697">
        <w:rPr>
          <w:szCs w:val="24"/>
        </w:rPr>
        <w:t xml:space="preserve">with an MBS fee of </w:t>
      </w:r>
      <w:r w:rsidRPr="00FA51C7">
        <w:rPr>
          <w:szCs w:val="24"/>
        </w:rPr>
        <w:t xml:space="preserve">$1,500 was estimated to </w:t>
      </w:r>
      <w:r w:rsidR="006F7697">
        <w:rPr>
          <w:szCs w:val="24"/>
        </w:rPr>
        <w:t xml:space="preserve">cost the MBS </w:t>
      </w:r>
      <w:r w:rsidRPr="00FA51C7">
        <w:rPr>
          <w:szCs w:val="24"/>
        </w:rPr>
        <w:t xml:space="preserve">$4.4 million in year one, decreasing to $648,000 by year five. In comparison, </w:t>
      </w:r>
      <w:r w:rsidR="006F7697">
        <w:rPr>
          <w:szCs w:val="24"/>
        </w:rPr>
        <w:t xml:space="preserve">listing </w:t>
      </w:r>
      <w:r w:rsidRPr="00FA51C7">
        <w:rPr>
          <w:szCs w:val="24"/>
        </w:rPr>
        <w:t xml:space="preserve">CCXL </w:t>
      </w:r>
      <w:r w:rsidR="006F7697">
        <w:rPr>
          <w:szCs w:val="24"/>
        </w:rPr>
        <w:t xml:space="preserve">with an MBS fee of </w:t>
      </w:r>
      <w:r w:rsidRPr="00FA51C7">
        <w:rPr>
          <w:szCs w:val="24"/>
        </w:rPr>
        <w:t xml:space="preserve">$900 was estimated to </w:t>
      </w:r>
      <w:r w:rsidR="006F7697">
        <w:rPr>
          <w:szCs w:val="24"/>
        </w:rPr>
        <w:t>cost the MBS</w:t>
      </w:r>
      <w:r w:rsidRPr="00FA51C7">
        <w:rPr>
          <w:szCs w:val="24"/>
        </w:rPr>
        <w:t xml:space="preserve"> $2.9 million in year one, decreasing to $421,000 by year five. </w:t>
      </w:r>
      <w:r w:rsidR="006F7697">
        <w:rPr>
          <w:szCs w:val="24"/>
        </w:rPr>
        <w:t>MSAC noted that varying the MBS fee may also result in variation to the associated out-of-pocket costs for patients.</w:t>
      </w:r>
    </w:p>
    <w:p w:rsidR="00FA51C7" w:rsidRPr="00FA51C7" w:rsidRDefault="00FA51C7" w:rsidP="00FA51C7">
      <w:pPr>
        <w:pStyle w:val="BodyText"/>
        <w:rPr>
          <w:szCs w:val="24"/>
        </w:rPr>
      </w:pPr>
      <w:r w:rsidRPr="00FA51C7">
        <w:rPr>
          <w:szCs w:val="24"/>
        </w:rPr>
        <w:t>MSAC recalled that the committee had requested a more detailed rationale for the $1,500 fee proposed by the applicant at its July 2016 meeting. MSAC noted that during public consultation, consumers advised that they are currently being charged $2,000 to $3,000 for treatment per eye. MSAC also recalled that the Protocol Advisory Sub-Committee had suggested a value between $900 and $1</w:t>
      </w:r>
      <w:r w:rsidR="009B7D68">
        <w:rPr>
          <w:szCs w:val="24"/>
        </w:rPr>
        <w:t>,</w:t>
      </w:r>
      <w:r w:rsidRPr="00FA51C7">
        <w:rPr>
          <w:szCs w:val="24"/>
        </w:rPr>
        <w:t xml:space="preserve">300 based upon current fees for cataract surgery and corneal transplant. </w:t>
      </w:r>
    </w:p>
    <w:p w:rsidR="006F7697" w:rsidRDefault="00FA51C7" w:rsidP="00FA51C7">
      <w:pPr>
        <w:pStyle w:val="BodyText"/>
        <w:rPr>
          <w:szCs w:val="24"/>
        </w:rPr>
      </w:pPr>
      <w:r w:rsidRPr="00FA51C7">
        <w:rPr>
          <w:szCs w:val="24"/>
        </w:rPr>
        <w:t xml:space="preserve">In </w:t>
      </w:r>
      <w:r w:rsidR="006A5058">
        <w:rPr>
          <w:szCs w:val="24"/>
        </w:rPr>
        <w:t>its</w:t>
      </w:r>
      <w:r w:rsidR="006F7697">
        <w:rPr>
          <w:szCs w:val="24"/>
        </w:rPr>
        <w:t xml:space="preserve"> p</w:t>
      </w:r>
      <w:r w:rsidRPr="00FA51C7">
        <w:rPr>
          <w:szCs w:val="24"/>
        </w:rPr>
        <w:t xml:space="preserve">re-MSAC response, the applicant provided estimates of equipment and personnel input costs for the UV source, riboflavin eye drops and per treatment fee. The applicant also provided comparative estimates for the time required to perform the Dresden and </w:t>
      </w:r>
      <w:r w:rsidR="003543D6">
        <w:rPr>
          <w:szCs w:val="24"/>
        </w:rPr>
        <w:t>a</w:t>
      </w:r>
      <w:r w:rsidRPr="00FA51C7">
        <w:rPr>
          <w:szCs w:val="24"/>
        </w:rPr>
        <w:t xml:space="preserve">ccelerated protocols for CCXL (80 minutes and 65 minutes, respectively). MSAC noted that </w:t>
      </w:r>
      <w:proofErr w:type="spellStart"/>
      <w:r w:rsidRPr="00FA51C7">
        <w:rPr>
          <w:szCs w:val="24"/>
        </w:rPr>
        <w:t>Godefrooij</w:t>
      </w:r>
      <w:proofErr w:type="spellEnd"/>
      <w:r w:rsidRPr="00FA51C7">
        <w:rPr>
          <w:szCs w:val="24"/>
        </w:rPr>
        <w:t xml:space="preserve"> DA et al 2016 detailed the costs associated with CCXL in clinical practice for 43</w:t>
      </w:r>
      <w:r w:rsidR="009B7D68">
        <w:rPr>
          <w:szCs w:val="24"/>
        </w:rPr>
        <w:t> </w:t>
      </w:r>
      <w:r w:rsidRPr="00FA51C7">
        <w:rPr>
          <w:szCs w:val="24"/>
        </w:rPr>
        <w:t>patients (86</w:t>
      </w:r>
      <w:r w:rsidR="0088453C">
        <w:rPr>
          <w:szCs w:val="24"/>
        </w:rPr>
        <w:t> </w:t>
      </w:r>
      <w:r w:rsidRPr="00FA51C7">
        <w:rPr>
          <w:szCs w:val="24"/>
        </w:rPr>
        <w:t>eyes) in the Netherlands. Where delivered by an ophthalmologist, CCXL treatment costs</w:t>
      </w:r>
      <w:r w:rsidR="00FE5D59">
        <w:rPr>
          <w:szCs w:val="24"/>
        </w:rPr>
        <w:t xml:space="preserve"> (including </w:t>
      </w:r>
      <w:r w:rsidR="00687D99">
        <w:rPr>
          <w:szCs w:val="24"/>
        </w:rPr>
        <w:t>consumables</w:t>
      </w:r>
      <w:r w:rsidR="00FE5D59">
        <w:rPr>
          <w:szCs w:val="24"/>
        </w:rPr>
        <w:t>)</w:t>
      </w:r>
      <w:r w:rsidRPr="00FA51C7">
        <w:rPr>
          <w:szCs w:val="24"/>
        </w:rPr>
        <w:t xml:space="preserve"> equated to ~$1,293 (€886) and decreased to ~$1,080 if shorter UV-A radiation exposure time (5 minutes rather than 30 minutes) via an accelerated protocol was used. MSAC noted that March 2017 correspondence from RANZCO supported an MBS rebate of $1,200.</w:t>
      </w:r>
    </w:p>
    <w:p w:rsidR="00FA51C7" w:rsidRPr="00FA51C7" w:rsidRDefault="00FA51C7" w:rsidP="00FA51C7">
      <w:pPr>
        <w:pStyle w:val="BodyText"/>
        <w:rPr>
          <w:szCs w:val="24"/>
        </w:rPr>
      </w:pPr>
      <w:r w:rsidRPr="00FA51C7">
        <w:rPr>
          <w:szCs w:val="24"/>
        </w:rPr>
        <w:t xml:space="preserve">MSAC </w:t>
      </w:r>
      <w:r w:rsidR="006F7697">
        <w:rPr>
          <w:szCs w:val="24"/>
        </w:rPr>
        <w:t xml:space="preserve">requested </w:t>
      </w:r>
      <w:r w:rsidR="00A5496C">
        <w:rPr>
          <w:szCs w:val="24"/>
        </w:rPr>
        <w:t xml:space="preserve">that the Department </w:t>
      </w:r>
      <w:r w:rsidR="006F7697">
        <w:rPr>
          <w:szCs w:val="24"/>
        </w:rPr>
        <w:t xml:space="preserve">investigate an appropriate fee, </w:t>
      </w:r>
      <w:r w:rsidR="00A5496C">
        <w:rPr>
          <w:szCs w:val="24"/>
        </w:rPr>
        <w:t>review</w:t>
      </w:r>
      <w:r w:rsidR="006F7697">
        <w:rPr>
          <w:szCs w:val="24"/>
        </w:rPr>
        <w:t>ing</w:t>
      </w:r>
      <w:r w:rsidR="00A5496C">
        <w:rPr>
          <w:szCs w:val="24"/>
        </w:rPr>
        <w:t xml:space="preserve"> all reasonable cost components that </w:t>
      </w:r>
      <w:r w:rsidR="006F7697">
        <w:rPr>
          <w:szCs w:val="24"/>
        </w:rPr>
        <w:t>contribute to setting MBS fees, and provide t</w:t>
      </w:r>
      <w:r w:rsidR="00A5496C">
        <w:rPr>
          <w:szCs w:val="24"/>
        </w:rPr>
        <w:t xml:space="preserve">his information to the MSAC Executive for further </w:t>
      </w:r>
      <w:r w:rsidR="006F7697">
        <w:rPr>
          <w:szCs w:val="24"/>
        </w:rPr>
        <w:t>consideration.</w:t>
      </w:r>
      <w:r w:rsidR="0061147A">
        <w:rPr>
          <w:szCs w:val="24"/>
        </w:rPr>
        <w:t xml:space="preserve"> </w:t>
      </w:r>
      <w:r w:rsidR="0075401A">
        <w:rPr>
          <w:szCs w:val="24"/>
        </w:rPr>
        <w:t xml:space="preserve">Based on the information available, </w:t>
      </w:r>
      <w:r w:rsidR="002576B8">
        <w:rPr>
          <w:szCs w:val="24"/>
        </w:rPr>
        <w:t xml:space="preserve">MSAC suggested </w:t>
      </w:r>
      <w:r w:rsidR="0061147A">
        <w:rPr>
          <w:szCs w:val="24"/>
        </w:rPr>
        <w:t xml:space="preserve">an upper limit of $1,200 </w:t>
      </w:r>
      <w:r w:rsidR="002576B8">
        <w:rPr>
          <w:szCs w:val="24"/>
        </w:rPr>
        <w:t>for the MBS fee</w:t>
      </w:r>
      <w:r w:rsidR="00A5496C">
        <w:rPr>
          <w:szCs w:val="24"/>
        </w:rPr>
        <w:t xml:space="preserve">. </w:t>
      </w:r>
      <w:r w:rsidRPr="00FA51C7">
        <w:rPr>
          <w:szCs w:val="24"/>
        </w:rPr>
        <w:t>MSAC assumed that the fee would not include capital costs for the lamp</w:t>
      </w:r>
      <w:r w:rsidR="002576B8">
        <w:rPr>
          <w:szCs w:val="24"/>
        </w:rPr>
        <w:t>,</w:t>
      </w:r>
      <w:r w:rsidRPr="00FA51C7">
        <w:rPr>
          <w:szCs w:val="24"/>
        </w:rPr>
        <w:t xml:space="preserve"> </w:t>
      </w:r>
      <w:proofErr w:type="gramStart"/>
      <w:r w:rsidRPr="00FA51C7">
        <w:rPr>
          <w:szCs w:val="24"/>
        </w:rPr>
        <w:t>nor</w:t>
      </w:r>
      <w:proofErr w:type="gramEnd"/>
      <w:r w:rsidRPr="00FA51C7">
        <w:rPr>
          <w:szCs w:val="24"/>
        </w:rPr>
        <w:t xml:space="preserve"> the cost of the riboflavin eye drops.</w:t>
      </w:r>
      <w:r w:rsidR="00CB0B78">
        <w:rPr>
          <w:szCs w:val="24"/>
        </w:rPr>
        <w:t xml:space="preserve"> MSAC also noted that </w:t>
      </w:r>
      <w:r w:rsidR="0061147A">
        <w:rPr>
          <w:szCs w:val="24"/>
        </w:rPr>
        <w:t>actual charges</w:t>
      </w:r>
      <w:r w:rsidR="00CB0B78">
        <w:rPr>
          <w:szCs w:val="24"/>
        </w:rPr>
        <w:t xml:space="preserve"> would be determined by the market once a MBS fee and rebate is set, especially in </w:t>
      </w:r>
      <w:r w:rsidR="0061147A">
        <w:rPr>
          <w:szCs w:val="24"/>
        </w:rPr>
        <w:t>the</w:t>
      </w:r>
      <w:r w:rsidR="00CB0B78">
        <w:rPr>
          <w:szCs w:val="24"/>
        </w:rPr>
        <w:t xml:space="preserve"> out-of-hospital setting.</w:t>
      </w:r>
    </w:p>
    <w:p w:rsidR="00FA51C7" w:rsidRDefault="00FA51C7" w:rsidP="00FA51C7">
      <w:pPr>
        <w:pStyle w:val="BodyText"/>
        <w:rPr>
          <w:szCs w:val="24"/>
        </w:rPr>
      </w:pPr>
      <w:r w:rsidRPr="00FA51C7">
        <w:rPr>
          <w:szCs w:val="24"/>
        </w:rPr>
        <w:t xml:space="preserve">MSAC concluded that the </w:t>
      </w:r>
      <w:r w:rsidR="0075401A">
        <w:rPr>
          <w:szCs w:val="24"/>
        </w:rPr>
        <w:t xml:space="preserve">MBS </w:t>
      </w:r>
      <w:r w:rsidRPr="00FA51C7">
        <w:rPr>
          <w:szCs w:val="24"/>
        </w:rPr>
        <w:t xml:space="preserve">item descriptor should not specify details of the CCXL protocol as this may limit clinicians’ ability to use the most appropriate procedure according to the best available evidence. However, given that there are variations in both the complexity and duration of the </w:t>
      </w:r>
      <w:proofErr w:type="gramStart"/>
      <w:r w:rsidRPr="00FA51C7">
        <w:rPr>
          <w:szCs w:val="24"/>
        </w:rPr>
        <w:t>procedure,</w:t>
      </w:r>
      <w:proofErr w:type="gramEnd"/>
      <w:r w:rsidRPr="00FA51C7">
        <w:rPr>
          <w:szCs w:val="24"/>
        </w:rPr>
        <w:t xml:space="preserve"> MSAC recommended it would be appropriate to review the </w:t>
      </w:r>
      <w:r w:rsidR="007E1257">
        <w:rPr>
          <w:szCs w:val="24"/>
        </w:rPr>
        <w:t xml:space="preserve">MBS </w:t>
      </w:r>
      <w:r w:rsidRPr="00FA51C7">
        <w:rPr>
          <w:szCs w:val="24"/>
        </w:rPr>
        <w:t xml:space="preserve">fee for CCXL two years </w:t>
      </w:r>
      <w:r w:rsidR="0061147A">
        <w:rPr>
          <w:szCs w:val="24"/>
        </w:rPr>
        <w:t>after</w:t>
      </w:r>
      <w:r w:rsidRPr="00FA51C7">
        <w:rPr>
          <w:szCs w:val="24"/>
        </w:rPr>
        <w:t xml:space="preserve"> MBS listing. MSAC also recommended that the </w:t>
      </w:r>
      <w:r w:rsidRPr="00FA51C7">
        <w:rPr>
          <w:szCs w:val="24"/>
        </w:rPr>
        <w:lastRenderedPageBreak/>
        <w:t xml:space="preserve">explanatory notes for the CCXL MBS item </w:t>
      </w:r>
      <w:r w:rsidR="0061147A">
        <w:rPr>
          <w:szCs w:val="24"/>
        </w:rPr>
        <w:t xml:space="preserve">should </w:t>
      </w:r>
      <w:r w:rsidRPr="00FA51C7">
        <w:rPr>
          <w:szCs w:val="24"/>
        </w:rPr>
        <w:t xml:space="preserve">stipulate the exclusion of use of this service for LASIK </w:t>
      </w:r>
      <w:proofErr w:type="spellStart"/>
      <w:r w:rsidRPr="00FA51C7">
        <w:rPr>
          <w:szCs w:val="24"/>
        </w:rPr>
        <w:t>Xtra</w:t>
      </w:r>
      <w:proofErr w:type="spellEnd"/>
      <w:r w:rsidRPr="00FA51C7">
        <w:rPr>
          <w:szCs w:val="24"/>
        </w:rPr>
        <w:t>.</w:t>
      </w:r>
    </w:p>
    <w:p w:rsidR="00FA51C7" w:rsidRPr="00FA51C7" w:rsidRDefault="00FA51C7" w:rsidP="00FA51C7">
      <w:pPr>
        <w:pStyle w:val="BodyText"/>
        <w:rPr>
          <w:szCs w:val="24"/>
        </w:rPr>
      </w:pPr>
      <w:r w:rsidRPr="00FA51C7">
        <w:rPr>
          <w:szCs w:val="24"/>
        </w:rPr>
        <w:t xml:space="preserve">MSAC recommended that </w:t>
      </w:r>
      <w:r w:rsidR="0061147A">
        <w:rPr>
          <w:szCs w:val="24"/>
        </w:rPr>
        <w:t xml:space="preserve">MBS </w:t>
      </w:r>
      <w:r w:rsidRPr="00FA51C7">
        <w:rPr>
          <w:szCs w:val="24"/>
        </w:rPr>
        <w:t xml:space="preserve">listing be linked with a requirement for mandatory recording of </w:t>
      </w:r>
      <w:r w:rsidR="003543D6">
        <w:rPr>
          <w:szCs w:val="24"/>
        </w:rPr>
        <w:t xml:space="preserve">the types of CCXL </w:t>
      </w:r>
      <w:r w:rsidRPr="00FA51C7">
        <w:rPr>
          <w:szCs w:val="24"/>
        </w:rPr>
        <w:t xml:space="preserve">services provided and their outcomes in a CCXL register. MSAC requested that data from the </w:t>
      </w:r>
      <w:r w:rsidR="004942D4">
        <w:rPr>
          <w:szCs w:val="24"/>
        </w:rPr>
        <w:t xml:space="preserve">Save Sight Institute’s </w:t>
      </w:r>
      <w:r w:rsidRPr="00FA51C7">
        <w:rPr>
          <w:szCs w:val="24"/>
        </w:rPr>
        <w:t xml:space="preserve">CCXL </w:t>
      </w:r>
      <w:r w:rsidR="004942D4" w:rsidRPr="00FA51C7">
        <w:rPr>
          <w:szCs w:val="24"/>
        </w:rPr>
        <w:t>regist</w:t>
      </w:r>
      <w:r w:rsidR="004942D4">
        <w:rPr>
          <w:szCs w:val="24"/>
        </w:rPr>
        <w:t>ry</w:t>
      </w:r>
      <w:r w:rsidR="004942D4" w:rsidRPr="00FA51C7">
        <w:rPr>
          <w:szCs w:val="24"/>
        </w:rPr>
        <w:t xml:space="preserve"> </w:t>
      </w:r>
      <w:r w:rsidRPr="00FA51C7">
        <w:rPr>
          <w:szCs w:val="24"/>
        </w:rPr>
        <w:t>and the Australian Corneal Graft Registry be collated</w:t>
      </w:r>
      <w:r w:rsidR="003543D6">
        <w:rPr>
          <w:szCs w:val="24"/>
        </w:rPr>
        <w:t>,</w:t>
      </w:r>
      <w:r w:rsidRPr="00FA51C7">
        <w:rPr>
          <w:szCs w:val="24"/>
        </w:rPr>
        <w:t xml:space="preserve"> along with out-of-pocket expenses incurred</w:t>
      </w:r>
      <w:r w:rsidR="003543D6">
        <w:rPr>
          <w:szCs w:val="24"/>
        </w:rPr>
        <w:t>,</w:t>
      </w:r>
      <w:r w:rsidRPr="00FA51C7">
        <w:rPr>
          <w:szCs w:val="24"/>
        </w:rPr>
        <w:t xml:space="preserve"> to inform the review of CCXL two years </w:t>
      </w:r>
      <w:r w:rsidR="0061147A">
        <w:rPr>
          <w:szCs w:val="24"/>
        </w:rPr>
        <w:t>after MBS</w:t>
      </w:r>
      <w:r w:rsidRPr="00FA51C7">
        <w:rPr>
          <w:szCs w:val="24"/>
        </w:rPr>
        <w:t xml:space="preserve"> listing.</w:t>
      </w:r>
    </w:p>
    <w:p w:rsidR="00550354" w:rsidRPr="00FA51C7" w:rsidRDefault="00FA51C7" w:rsidP="00FA51C7">
      <w:pPr>
        <w:pStyle w:val="BodyText"/>
        <w:rPr>
          <w:szCs w:val="24"/>
        </w:rPr>
      </w:pPr>
      <w:r w:rsidRPr="00FA51C7">
        <w:rPr>
          <w:szCs w:val="24"/>
        </w:rPr>
        <w:t>MSAC supported MBS funding of CCXL for corneal ectatic disorders with evidence of progression. MSAC</w:t>
      </w:r>
      <w:r w:rsidR="009D6082">
        <w:rPr>
          <w:szCs w:val="24"/>
        </w:rPr>
        <w:t xml:space="preserve"> considered that, compared with </w:t>
      </w:r>
      <w:r w:rsidR="009D6082" w:rsidRPr="00171B46">
        <w:rPr>
          <w:rFonts w:eastAsia="Calibri"/>
        </w:rPr>
        <w:t>corneal transplantation</w:t>
      </w:r>
      <w:r w:rsidR="009D6082">
        <w:rPr>
          <w:rFonts w:eastAsia="Calibri"/>
        </w:rPr>
        <w:t>, CCXL has acceptable</w:t>
      </w:r>
      <w:r w:rsidRPr="00FA51C7">
        <w:rPr>
          <w:szCs w:val="24"/>
        </w:rPr>
        <w:t xml:space="preserve"> safe</w:t>
      </w:r>
      <w:r w:rsidR="00F30583">
        <w:rPr>
          <w:szCs w:val="24"/>
        </w:rPr>
        <w:t>ty and clinical effectiveness</w:t>
      </w:r>
      <w:r w:rsidRPr="00FA51C7">
        <w:rPr>
          <w:szCs w:val="24"/>
        </w:rPr>
        <w:t>,</w:t>
      </w:r>
      <w:r w:rsidR="00F30583">
        <w:rPr>
          <w:szCs w:val="24"/>
        </w:rPr>
        <w:t xml:space="preserve"> and</w:t>
      </w:r>
      <w:r w:rsidR="00687D99">
        <w:rPr>
          <w:szCs w:val="24"/>
        </w:rPr>
        <w:t xml:space="preserve"> </w:t>
      </w:r>
      <w:r w:rsidR="009D6082">
        <w:rPr>
          <w:szCs w:val="24"/>
        </w:rPr>
        <w:t xml:space="preserve">is </w:t>
      </w:r>
      <w:r w:rsidRPr="00FA51C7">
        <w:rPr>
          <w:szCs w:val="24"/>
        </w:rPr>
        <w:t xml:space="preserve">probably cost-effective (subject to an appropriate MBS fee). MSAC encouraged the TGA to continue with the Authorised Prescriber </w:t>
      </w:r>
      <w:r w:rsidR="00821D62">
        <w:rPr>
          <w:szCs w:val="24"/>
        </w:rPr>
        <w:t>S</w:t>
      </w:r>
      <w:r w:rsidRPr="00FA51C7">
        <w:rPr>
          <w:szCs w:val="24"/>
        </w:rPr>
        <w:t xml:space="preserve">cheme for supply of the associated riboflavin eye drops. MSAC also requested </w:t>
      </w:r>
      <w:r w:rsidR="007E1257">
        <w:rPr>
          <w:szCs w:val="24"/>
        </w:rPr>
        <w:t>a</w:t>
      </w:r>
      <w:r w:rsidRPr="00FA51C7">
        <w:rPr>
          <w:szCs w:val="24"/>
        </w:rPr>
        <w:t xml:space="preserve"> review </w:t>
      </w:r>
      <w:r w:rsidR="007E1257">
        <w:rPr>
          <w:szCs w:val="24"/>
        </w:rPr>
        <w:t xml:space="preserve">of </w:t>
      </w:r>
      <w:r w:rsidRPr="00FA51C7">
        <w:rPr>
          <w:szCs w:val="24"/>
        </w:rPr>
        <w:t>the utilisation, registry data, out-of-pocket costs and basis for the MBS fee two years after MBS listing begins.</w:t>
      </w:r>
    </w:p>
    <w:p w:rsidR="00BC1364" w:rsidRPr="00F715D1" w:rsidRDefault="00BC1364" w:rsidP="00F715D1">
      <w:pPr>
        <w:pStyle w:val="Heading1"/>
      </w:pPr>
      <w:r w:rsidRPr="00F715D1">
        <w:t>Background</w:t>
      </w:r>
    </w:p>
    <w:p w:rsidR="00BC1364" w:rsidRDefault="00716FF6" w:rsidP="00F715D1">
      <w:pPr>
        <w:spacing w:after="240"/>
        <w:rPr>
          <w:rFonts w:eastAsiaTheme="minorHAnsi"/>
          <w:szCs w:val="24"/>
          <w:lang w:eastAsia="en-US"/>
        </w:rPr>
      </w:pPr>
      <w:r>
        <w:rPr>
          <w:szCs w:val="24"/>
        </w:rPr>
        <w:t xml:space="preserve">Application 1392 </w:t>
      </w:r>
      <w:r w:rsidR="004B3011">
        <w:rPr>
          <w:szCs w:val="24"/>
        </w:rPr>
        <w:t>was considered at the</w:t>
      </w:r>
      <w:r>
        <w:rPr>
          <w:szCs w:val="24"/>
        </w:rPr>
        <w:t xml:space="preserve"> July 2016 </w:t>
      </w:r>
      <w:r w:rsidR="004B3011">
        <w:rPr>
          <w:szCs w:val="24"/>
        </w:rPr>
        <w:t xml:space="preserve">MSAC </w:t>
      </w:r>
      <w:r>
        <w:rPr>
          <w:szCs w:val="24"/>
        </w:rPr>
        <w:t xml:space="preserve">meeting. </w:t>
      </w:r>
      <w:r w:rsidRPr="00460FD2">
        <w:rPr>
          <w:rFonts w:eastAsiaTheme="minorHAnsi"/>
          <w:szCs w:val="24"/>
          <w:lang w:eastAsia="en-US"/>
        </w:rPr>
        <w:t xml:space="preserve">MSAC deferred its advice on public funding for CCXL in patients with corneal ectatic disorders due to concerns that the revised economic model had not been adequately verified and that the riboflavin </w:t>
      </w:r>
      <w:r w:rsidR="00E83487">
        <w:rPr>
          <w:rFonts w:eastAsiaTheme="minorHAnsi"/>
          <w:szCs w:val="24"/>
          <w:lang w:eastAsia="en-US"/>
        </w:rPr>
        <w:t xml:space="preserve">eye </w:t>
      </w:r>
      <w:r w:rsidRPr="00460FD2">
        <w:rPr>
          <w:rFonts w:eastAsiaTheme="minorHAnsi"/>
          <w:szCs w:val="24"/>
          <w:lang w:eastAsia="en-US"/>
        </w:rPr>
        <w:t xml:space="preserve">drops used in rendering this service were not registered on the </w:t>
      </w:r>
      <w:r w:rsidR="0064585A">
        <w:rPr>
          <w:rFonts w:eastAsiaTheme="minorHAnsi"/>
          <w:szCs w:val="24"/>
          <w:lang w:eastAsia="en-US"/>
        </w:rPr>
        <w:t>ARTG</w:t>
      </w:r>
      <w:r w:rsidRPr="00460FD2">
        <w:rPr>
          <w:rFonts w:eastAsiaTheme="minorHAnsi"/>
          <w:szCs w:val="24"/>
          <w:lang w:eastAsia="en-US"/>
        </w:rPr>
        <w:t>.</w:t>
      </w:r>
    </w:p>
    <w:p w:rsidR="0092550B" w:rsidRPr="0092550B" w:rsidRDefault="0092550B" w:rsidP="004B3011">
      <w:pPr>
        <w:widowControl w:val="0"/>
        <w:rPr>
          <w:snapToGrid w:val="0"/>
          <w:lang w:eastAsia="en-US"/>
        </w:rPr>
      </w:pPr>
      <w:r w:rsidRPr="0092550B">
        <w:rPr>
          <w:snapToGrid w:val="0"/>
          <w:lang w:eastAsia="en-US"/>
        </w:rPr>
        <w:t xml:space="preserve">MSAC requested the following information </w:t>
      </w:r>
      <w:r w:rsidR="00C57FD7" w:rsidRPr="00D14EAB">
        <w:rPr>
          <w:szCs w:val="24"/>
        </w:rPr>
        <w:t>to enable it to finalise its advice</w:t>
      </w:r>
      <w:r w:rsidRPr="0092550B">
        <w:rPr>
          <w:snapToGrid w:val="0"/>
          <w:lang w:eastAsia="en-US"/>
        </w:rPr>
        <w:t>:</w:t>
      </w:r>
    </w:p>
    <w:p w:rsidR="0092550B" w:rsidRPr="0092550B" w:rsidRDefault="0092550B" w:rsidP="004B3011">
      <w:pPr>
        <w:widowControl w:val="0"/>
        <w:numPr>
          <w:ilvl w:val="0"/>
          <w:numId w:val="31"/>
        </w:numPr>
        <w:rPr>
          <w:snapToGrid w:val="0"/>
          <w:lang w:eastAsia="en-US"/>
        </w:rPr>
      </w:pPr>
      <w:r w:rsidRPr="0092550B">
        <w:rPr>
          <w:snapToGrid w:val="0"/>
          <w:lang w:eastAsia="en-US"/>
        </w:rPr>
        <w:t>A more detailed rationale for the proposed fee, including the range of applicable protocols to render the service, and how these range in both complexity and duration.</w:t>
      </w:r>
    </w:p>
    <w:p w:rsidR="0092550B" w:rsidRPr="0092550B" w:rsidRDefault="0092550B" w:rsidP="004B3011">
      <w:pPr>
        <w:widowControl w:val="0"/>
        <w:numPr>
          <w:ilvl w:val="0"/>
          <w:numId w:val="31"/>
        </w:numPr>
        <w:rPr>
          <w:snapToGrid w:val="0"/>
          <w:lang w:eastAsia="en-US"/>
        </w:rPr>
      </w:pPr>
      <w:r w:rsidRPr="0092550B">
        <w:rPr>
          <w:snapToGrid w:val="0"/>
          <w:lang w:eastAsia="en-US"/>
        </w:rPr>
        <w:t>An assessment by its Evaluation Sub-Committee (ESC) comparing the revised modelled economic evaluation with the version initially developed, and examining the sensitivity of these models to variations in the proposed fee.</w:t>
      </w:r>
    </w:p>
    <w:p w:rsidR="0092550B" w:rsidRPr="0092550B" w:rsidRDefault="0064585A" w:rsidP="004B3011">
      <w:pPr>
        <w:widowControl w:val="0"/>
        <w:numPr>
          <w:ilvl w:val="0"/>
          <w:numId w:val="31"/>
        </w:numPr>
        <w:rPr>
          <w:snapToGrid w:val="0"/>
          <w:lang w:eastAsia="en-US"/>
        </w:rPr>
      </w:pPr>
      <w:r>
        <w:rPr>
          <w:snapToGrid w:val="0"/>
          <w:lang w:eastAsia="en-US"/>
        </w:rPr>
        <w:t>Clarification from the TGA</w:t>
      </w:r>
      <w:r w:rsidR="0092550B" w:rsidRPr="0092550B">
        <w:rPr>
          <w:snapToGrid w:val="0"/>
          <w:lang w:eastAsia="en-US"/>
        </w:rPr>
        <w:t xml:space="preserve"> regarding the consequences of the varying regulatory status of the codependent ultraviolet lamp device and the various riboflavin eye drop options used in rendering the service.</w:t>
      </w:r>
    </w:p>
    <w:p w:rsidR="0092550B" w:rsidRPr="0092550B" w:rsidRDefault="0092550B" w:rsidP="004B3011">
      <w:pPr>
        <w:widowControl w:val="0"/>
        <w:numPr>
          <w:ilvl w:val="0"/>
          <w:numId w:val="31"/>
        </w:numPr>
        <w:rPr>
          <w:snapToGrid w:val="0"/>
          <w:lang w:eastAsia="en-US"/>
        </w:rPr>
      </w:pPr>
      <w:r w:rsidRPr="0092550B">
        <w:rPr>
          <w:snapToGrid w:val="0"/>
          <w:lang w:eastAsia="en-US"/>
        </w:rPr>
        <w:t>Progress of the several large well-developed clinical trials due to report in 2016-17 (which have discontinued their control arms).</w:t>
      </w:r>
    </w:p>
    <w:p w:rsidR="0092550B" w:rsidRPr="004B3011" w:rsidRDefault="0092550B" w:rsidP="004B3011">
      <w:pPr>
        <w:widowControl w:val="0"/>
        <w:numPr>
          <w:ilvl w:val="0"/>
          <w:numId w:val="31"/>
        </w:numPr>
        <w:rPr>
          <w:snapToGrid w:val="0"/>
          <w:lang w:eastAsia="en-US"/>
        </w:rPr>
      </w:pPr>
      <w:r w:rsidRPr="0092550B">
        <w:rPr>
          <w:snapToGrid w:val="0"/>
          <w:lang w:eastAsia="en-US"/>
        </w:rPr>
        <w:t xml:space="preserve">Data cited in the pre-MSAC response said to be available in patients with </w:t>
      </w:r>
      <w:proofErr w:type="spellStart"/>
      <w:r w:rsidRPr="0092550B">
        <w:rPr>
          <w:snapToGrid w:val="0"/>
          <w:lang w:eastAsia="en-US"/>
        </w:rPr>
        <w:t>ectasias</w:t>
      </w:r>
      <w:proofErr w:type="spellEnd"/>
      <w:r w:rsidRPr="0092550B">
        <w:rPr>
          <w:snapToGrid w:val="0"/>
          <w:lang w:eastAsia="en-US"/>
        </w:rPr>
        <w:t xml:space="preserve"> other than keratoconus.</w:t>
      </w:r>
    </w:p>
    <w:p w:rsidR="00BC1364" w:rsidRPr="00F715D1" w:rsidRDefault="00BC1364" w:rsidP="00F715D1">
      <w:pPr>
        <w:pStyle w:val="Heading1"/>
      </w:pPr>
      <w:r w:rsidRPr="00F715D1">
        <w:t>Prerequisites to implementation of any funding advice</w:t>
      </w:r>
    </w:p>
    <w:p w:rsidR="002159B5" w:rsidRDefault="002159B5" w:rsidP="00806A9C">
      <w:pPr>
        <w:tabs>
          <w:tab w:val="left" w:pos="480"/>
        </w:tabs>
        <w:kinsoku w:val="0"/>
        <w:overflowPunct w:val="0"/>
        <w:autoSpaceDE w:val="0"/>
        <w:autoSpaceDN w:val="0"/>
        <w:adjustRightInd w:val="0"/>
        <w:spacing w:after="240"/>
        <w:ind w:right="316"/>
        <w:rPr>
          <w:rFonts w:eastAsia="Calibri"/>
          <w:spacing w:val="-1"/>
          <w:szCs w:val="24"/>
        </w:rPr>
      </w:pPr>
      <w:r w:rsidRPr="00460FD2">
        <w:rPr>
          <w:rFonts w:eastAsiaTheme="minorHAnsi"/>
          <w:szCs w:val="24"/>
          <w:lang w:eastAsia="en-US"/>
        </w:rPr>
        <w:t>The UVA light source devices</w:t>
      </w:r>
      <w:r w:rsidRPr="005A69E9">
        <w:rPr>
          <w:rFonts w:eastAsia="Calibri"/>
          <w:spacing w:val="-1"/>
          <w:szCs w:val="24"/>
        </w:rPr>
        <w:t xml:space="preserve"> </w:t>
      </w:r>
      <w:r>
        <w:rPr>
          <w:rFonts w:eastAsia="Calibri"/>
          <w:spacing w:val="-1"/>
          <w:szCs w:val="24"/>
        </w:rPr>
        <w:t xml:space="preserve">are </w:t>
      </w:r>
      <w:r w:rsidRPr="005A69E9">
        <w:rPr>
          <w:rFonts w:eastAsia="Calibri"/>
          <w:spacing w:val="-1"/>
          <w:szCs w:val="24"/>
        </w:rPr>
        <w:t>registered</w:t>
      </w:r>
      <w:r w:rsidRPr="005A69E9">
        <w:rPr>
          <w:rFonts w:eastAsia="Calibri"/>
          <w:szCs w:val="24"/>
        </w:rPr>
        <w:t xml:space="preserve"> on</w:t>
      </w:r>
      <w:r w:rsidRPr="005A69E9">
        <w:rPr>
          <w:rFonts w:eastAsia="Calibri"/>
          <w:spacing w:val="-4"/>
          <w:szCs w:val="24"/>
        </w:rPr>
        <w:t xml:space="preserve"> </w:t>
      </w:r>
      <w:r w:rsidRPr="005A69E9">
        <w:rPr>
          <w:rFonts w:eastAsia="Calibri"/>
          <w:szCs w:val="24"/>
        </w:rPr>
        <w:t>the</w:t>
      </w:r>
      <w:r w:rsidRPr="005A69E9">
        <w:rPr>
          <w:rFonts w:eastAsia="Calibri"/>
          <w:spacing w:val="-3"/>
          <w:szCs w:val="24"/>
        </w:rPr>
        <w:t xml:space="preserve"> </w:t>
      </w:r>
      <w:r w:rsidRPr="005A69E9">
        <w:rPr>
          <w:rFonts w:eastAsia="Calibri"/>
          <w:spacing w:val="-1"/>
          <w:szCs w:val="24"/>
        </w:rPr>
        <w:t>Australian</w:t>
      </w:r>
      <w:r w:rsidRPr="005A69E9">
        <w:rPr>
          <w:rFonts w:eastAsia="Calibri"/>
          <w:szCs w:val="24"/>
        </w:rPr>
        <w:t xml:space="preserve"> Register </w:t>
      </w:r>
      <w:r w:rsidRPr="005A69E9">
        <w:rPr>
          <w:rFonts w:eastAsia="Calibri"/>
          <w:spacing w:val="-2"/>
          <w:szCs w:val="24"/>
        </w:rPr>
        <w:t>of</w:t>
      </w:r>
      <w:r w:rsidRPr="005A69E9">
        <w:rPr>
          <w:rFonts w:eastAsia="Calibri"/>
          <w:szCs w:val="24"/>
        </w:rPr>
        <w:t xml:space="preserve"> </w:t>
      </w:r>
      <w:r w:rsidRPr="005A69E9">
        <w:rPr>
          <w:rFonts w:eastAsia="Calibri"/>
          <w:spacing w:val="-1"/>
          <w:szCs w:val="24"/>
        </w:rPr>
        <w:t>Therapeutic</w:t>
      </w:r>
      <w:r w:rsidRPr="005A69E9">
        <w:rPr>
          <w:rFonts w:eastAsia="Calibri"/>
          <w:szCs w:val="24"/>
        </w:rPr>
        <w:t xml:space="preserve"> </w:t>
      </w:r>
      <w:r w:rsidRPr="005A69E9">
        <w:rPr>
          <w:rFonts w:eastAsia="Calibri"/>
          <w:spacing w:val="-1"/>
          <w:szCs w:val="24"/>
        </w:rPr>
        <w:t>Goods</w:t>
      </w:r>
      <w:r w:rsidRPr="005A69E9">
        <w:rPr>
          <w:rFonts w:eastAsia="Calibri"/>
          <w:szCs w:val="24"/>
        </w:rPr>
        <w:t xml:space="preserve"> </w:t>
      </w:r>
      <w:r w:rsidRPr="005A69E9">
        <w:rPr>
          <w:rFonts w:eastAsia="Calibri"/>
          <w:spacing w:val="-1"/>
          <w:szCs w:val="24"/>
        </w:rPr>
        <w:t>(ARTG</w:t>
      </w:r>
      <w:r>
        <w:rPr>
          <w:rFonts w:eastAsia="Calibri"/>
          <w:spacing w:val="-1"/>
          <w:szCs w:val="24"/>
        </w:rPr>
        <w:t xml:space="preserve">). </w:t>
      </w:r>
    </w:p>
    <w:p w:rsidR="003735C5" w:rsidRPr="005A69E9" w:rsidRDefault="002159B5" w:rsidP="00B03285">
      <w:pPr>
        <w:tabs>
          <w:tab w:val="left" w:pos="480"/>
        </w:tabs>
        <w:kinsoku w:val="0"/>
        <w:overflowPunct w:val="0"/>
        <w:autoSpaceDE w:val="0"/>
        <w:autoSpaceDN w:val="0"/>
        <w:adjustRightInd w:val="0"/>
        <w:ind w:right="316"/>
        <w:rPr>
          <w:rFonts w:eastAsia="Calibri"/>
          <w:spacing w:val="-2"/>
          <w:szCs w:val="24"/>
        </w:rPr>
      </w:pPr>
      <w:r>
        <w:rPr>
          <w:rFonts w:eastAsia="Calibri"/>
          <w:spacing w:val="-1"/>
          <w:szCs w:val="24"/>
        </w:rPr>
        <w:t>The r</w:t>
      </w:r>
      <w:r w:rsidR="003735C5" w:rsidRPr="005A69E9">
        <w:rPr>
          <w:rFonts w:eastAsia="Calibri"/>
          <w:spacing w:val="-1"/>
          <w:szCs w:val="24"/>
        </w:rPr>
        <w:t>iboflavin</w:t>
      </w:r>
      <w:r w:rsidR="003735C5" w:rsidRPr="005A69E9">
        <w:rPr>
          <w:rFonts w:eastAsia="Calibri"/>
          <w:szCs w:val="24"/>
        </w:rPr>
        <w:t xml:space="preserve"> eye</w:t>
      </w:r>
      <w:r w:rsidR="003735C5" w:rsidRPr="005A69E9">
        <w:rPr>
          <w:rFonts w:eastAsia="Calibri"/>
          <w:spacing w:val="-4"/>
          <w:szCs w:val="24"/>
        </w:rPr>
        <w:t xml:space="preserve"> </w:t>
      </w:r>
      <w:r w:rsidR="003735C5" w:rsidRPr="005A69E9">
        <w:rPr>
          <w:rFonts w:eastAsia="Calibri"/>
          <w:szCs w:val="24"/>
        </w:rPr>
        <w:t>drops</w:t>
      </w:r>
      <w:r w:rsidR="003735C5" w:rsidRPr="005A69E9">
        <w:rPr>
          <w:rFonts w:eastAsia="Calibri"/>
          <w:spacing w:val="2"/>
          <w:szCs w:val="24"/>
        </w:rPr>
        <w:t xml:space="preserve"> </w:t>
      </w:r>
      <w:r w:rsidR="003735C5" w:rsidRPr="005A69E9">
        <w:rPr>
          <w:rFonts w:eastAsia="Calibri"/>
          <w:spacing w:val="-1"/>
          <w:szCs w:val="24"/>
        </w:rPr>
        <w:t>are</w:t>
      </w:r>
      <w:r w:rsidR="003735C5" w:rsidRPr="005A69E9">
        <w:rPr>
          <w:rFonts w:eastAsia="Calibri"/>
          <w:spacing w:val="-3"/>
          <w:szCs w:val="24"/>
        </w:rPr>
        <w:t xml:space="preserve"> </w:t>
      </w:r>
      <w:r w:rsidR="003735C5" w:rsidRPr="005A69E9">
        <w:rPr>
          <w:rFonts w:eastAsia="Calibri"/>
          <w:szCs w:val="24"/>
        </w:rPr>
        <w:t xml:space="preserve">not </w:t>
      </w:r>
      <w:r w:rsidR="003735C5" w:rsidRPr="005A69E9">
        <w:rPr>
          <w:rFonts w:eastAsia="Calibri"/>
          <w:spacing w:val="-1"/>
          <w:szCs w:val="24"/>
        </w:rPr>
        <w:t>registered</w:t>
      </w:r>
      <w:r w:rsidR="003735C5" w:rsidRPr="005A69E9">
        <w:rPr>
          <w:rFonts w:eastAsia="Calibri"/>
          <w:szCs w:val="24"/>
        </w:rPr>
        <w:t xml:space="preserve"> on</w:t>
      </w:r>
      <w:r w:rsidR="003735C5" w:rsidRPr="005A69E9">
        <w:rPr>
          <w:rFonts w:eastAsia="Calibri"/>
          <w:spacing w:val="-4"/>
          <w:szCs w:val="24"/>
        </w:rPr>
        <w:t xml:space="preserve"> </w:t>
      </w:r>
      <w:r w:rsidR="003735C5" w:rsidRPr="005A69E9">
        <w:rPr>
          <w:rFonts w:eastAsia="Calibri"/>
          <w:szCs w:val="24"/>
        </w:rPr>
        <w:t>the</w:t>
      </w:r>
      <w:r w:rsidR="003735C5" w:rsidRPr="005A69E9">
        <w:rPr>
          <w:rFonts w:eastAsia="Calibri"/>
          <w:spacing w:val="-3"/>
          <w:szCs w:val="24"/>
        </w:rPr>
        <w:t xml:space="preserve"> </w:t>
      </w:r>
      <w:r w:rsidR="003735C5" w:rsidRPr="005A69E9">
        <w:rPr>
          <w:rFonts w:eastAsia="Calibri"/>
          <w:spacing w:val="-1"/>
          <w:szCs w:val="24"/>
        </w:rPr>
        <w:t>ARTG</w:t>
      </w:r>
      <w:r w:rsidR="0075401A">
        <w:rPr>
          <w:rFonts w:eastAsia="Calibri"/>
          <w:spacing w:val="-1"/>
          <w:szCs w:val="24"/>
        </w:rPr>
        <w:t>,</w:t>
      </w:r>
      <w:r w:rsidR="00F841E5">
        <w:rPr>
          <w:rFonts w:eastAsia="Calibri"/>
          <w:spacing w:val="-1"/>
          <w:szCs w:val="24"/>
        </w:rPr>
        <w:t xml:space="preserve"> but</w:t>
      </w:r>
      <w:r w:rsidR="009E6EC5" w:rsidRPr="00D14EAB">
        <w:rPr>
          <w:szCs w:val="24"/>
        </w:rPr>
        <w:t xml:space="preserve"> </w:t>
      </w:r>
      <w:r w:rsidR="009E6EC5">
        <w:rPr>
          <w:szCs w:val="24"/>
        </w:rPr>
        <w:t>may be</w:t>
      </w:r>
      <w:r w:rsidR="009E6EC5" w:rsidRPr="00D14EAB">
        <w:rPr>
          <w:szCs w:val="24"/>
        </w:rPr>
        <w:t xml:space="preserve"> accessed via the</w:t>
      </w:r>
      <w:r w:rsidR="009E6EC5">
        <w:rPr>
          <w:szCs w:val="24"/>
        </w:rPr>
        <w:t xml:space="preserve"> TGA’s</w:t>
      </w:r>
      <w:r w:rsidR="009E6EC5" w:rsidRPr="00D14EAB">
        <w:rPr>
          <w:szCs w:val="24"/>
        </w:rPr>
        <w:t xml:space="preserve"> </w:t>
      </w:r>
      <w:r w:rsidR="0075401A">
        <w:t>A</w:t>
      </w:r>
      <w:r w:rsidR="0075401A" w:rsidRPr="00C6221D">
        <w:t xml:space="preserve">uthorised </w:t>
      </w:r>
      <w:r w:rsidR="0075401A">
        <w:t>P</w:t>
      </w:r>
      <w:r w:rsidR="0075401A" w:rsidRPr="00C6221D">
        <w:t>resc</w:t>
      </w:r>
      <w:r w:rsidR="0075401A">
        <w:t xml:space="preserve">riber Scheme or </w:t>
      </w:r>
      <w:r w:rsidR="009E6EC5">
        <w:rPr>
          <w:szCs w:val="24"/>
        </w:rPr>
        <w:t>S</w:t>
      </w:r>
      <w:r w:rsidR="009E6EC5" w:rsidRPr="00D14EAB">
        <w:rPr>
          <w:szCs w:val="24"/>
        </w:rPr>
        <w:t xml:space="preserve">pecial </w:t>
      </w:r>
      <w:r w:rsidR="009E6EC5">
        <w:rPr>
          <w:szCs w:val="24"/>
        </w:rPr>
        <w:t>A</w:t>
      </w:r>
      <w:r w:rsidR="009E6EC5" w:rsidRPr="00D14EAB">
        <w:rPr>
          <w:szCs w:val="24"/>
        </w:rPr>
        <w:t xml:space="preserve">ccess </w:t>
      </w:r>
      <w:r w:rsidR="009E6EC5">
        <w:rPr>
          <w:szCs w:val="24"/>
        </w:rPr>
        <w:t>S</w:t>
      </w:r>
      <w:r w:rsidR="009E6EC5" w:rsidRPr="00D14EAB">
        <w:rPr>
          <w:szCs w:val="24"/>
        </w:rPr>
        <w:t>cheme.</w:t>
      </w:r>
    </w:p>
    <w:p w:rsidR="00BC1364" w:rsidRPr="00F715D1" w:rsidRDefault="00BC1364" w:rsidP="00F715D1">
      <w:pPr>
        <w:pStyle w:val="Heading1"/>
      </w:pPr>
      <w:r w:rsidRPr="00F715D1">
        <w:t>Proposal for public funding</w:t>
      </w:r>
    </w:p>
    <w:p w:rsidR="00461479" w:rsidRDefault="00461479" w:rsidP="00806A9C">
      <w:pPr>
        <w:kinsoku w:val="0"/>
        <w:overflowPunct w:val="0"/>
        <w:autoSpaceDE w:val="0"/>
        <w:autoSpaceDN w:val="0"/>
        <w:adjustRightInd w:val="0"/>
        <w:spacing w:after="240"/>
        <w:ind w:left="40"/>
        <w:rPr>
          <w:rFonts w:eastAsia="Calibri"/>
          <w:spacing w:val="-1"/>
          <w:szCs w:val="24"/>
        </w:rPr>
      </w:pPr>
      <w:r w:rsidRPr="00461479">
        <w:rPr>
          <w:rFonts w:eastAsia="Calibri"/>
          <w:spacing w:val="-1"/>
          <w:szCs w:val="24"/>
        </w:rPr>
        <w:t>The</w:t>
      </w:r>
      <w:r w:rsidRPr="00461479">
        <w:rPr>
          <w:rFonts w:eastAsia="Calibri"/>
          <w:spacing w:val="-2"/>
          <w:szCs w:val="24"/>
        </w:rPr>
        <w:t xml:space="preserve"> </w:t>
      </w:r>
      <w:r w:rsidRPr="00461479">
        <w:rPr>
          <w:rFonts w:eastAsia="Calibri"/>
          <w:spacing w:val="-3"/>
          <w:szCs w:val="24"/>
        </w:rPr>
        <w:t>proposed</w:t>
      </w:r>
      <w:r w:rsidRPr="00461479">
        <w:rPr>
          <w:rFonts w:eastAsia="Calibri"/>
          <w:spacing w:val="-5"/>
          <w:szCs w:val="24"/>
        </w:rPr>
        <w:t xml:space="preserve"> </w:t>
      </w:r>
      <w:r w:rsidRPr="00461479">
        <w:rPr>
          <w:rFonts w:eastAsia="Calibri"/>
          <w:spacing w:val="-2"/>
          <w:szCs w:val="24"/>
        </w:rPr>
        <w:t>MBS item descriptor</w:t>
      </w:r>
      <w:r w:rsidRPr="00461479">
        <w:rPr>
          <w:rFonts w:eastAsia="Calibri"/>
          <w:spacing w:val="1"/>
          <w:szCs w:val="24"/>
        </w:rPr>
        <w:t xml:space="preserve"> </w:t>
      </w:r>
      <w:r w:rsidRPr="00461479">
        <w:rPr>
          <w:rFonts w:eastAsia="Calibri"/>
          <w:spacing w:val="-4"/>
          <w:szCs w:val="24"/>
        </w:rPr>
        <w:t xml:space="preserve">for </w:t>
      </w:r>
      <w:r w:rsidRPr="00461479">
        <w:rPr>
          <w:rFonts w:eastAsia="Calibri"/>
          <w:spacing w:val="-2"/>
          <w:szCs w:val="24"/>
        </w:rPr>
        <w:t>CCXL</w:t>
      </w:r>
      <w:r w:rsidRPr="00461479">
        <w:rPr>
          <w:rFonts w:eastAsia="Calibri"/>
          <w:spacing w:val="-5"/>
          <w:szCs w:val="24"/>
        </w:rPr>
        <w:t xml:space="preserve"> </w:t>
      </w:r>
      <w:r w:rsidRPr="00461479">
        <w:rPr>
          <w:rFonts w:eastAsia="Calibri"/>
          <w:spacing w:val="-1"/>
          <w:szCs w:val="24"/>
        </w:rPr>
        <w:t xml:space="preserve">is </w:t>
      </w:r>
      <w:r w:rsidR="0075401A">
        <w:rPr>
          <w:rFonts w:eastAsia="Calibri"/>
          <w:spacing w:val="-1"/>
          <w:szCs w:val="24"/>
        </w:rPr>
        <w:t>provided</w:t>
      </w:r>
      <w:r w:rsidRPr="00461479">
        <w:rPr>
          <w:rFonts w:eastAsia="Calibri"/>
          <w:spacing w:val="1"/>
          <w:szCs w:val="24"/>
        </w:rPr>
        <w:t xml:space="preserve"> </w:t>
      </w:r>
      <w:r w:rsidRPr="00461479">
        <w:rPr>
          <w:rFonts w:eastAsia="Calibri"/>
          <w:spacing w:val="-1"/>
          <w:szCs w:val="24"/>
        </w:rPr>
        <w:t>in</w:t>
      </w:r>
      <w:r w:rsidRPr="00461479">
        <w:rPr>
          <w:rFonts w:eastAsia="Calibri"/>
          <w:spacing w:val="-3"/>
          <w:szCs w:val="24"/>
        </w:rPr>
        <w:t xml:space="preserve"> </w:t>
      </w:r>
      <w:r w:rsidR="0088453C">
        <w:rPr>
          <w:rFonts w:eastAsia="Calibri"/>
          <w:spacing w:val="-2"/>
          <w:szCs w:val="24"/>
        </w:rPr>
        <w:t>T</w:t>
      </w:r>
      <w:r w:rsidRPr="00461479">
        <w:rPr>
          <w:rFonts w:eastAsia="Calibri"/>
          <w:spacing w:val="-2"/>
          <w:szCs w:val="24"/>
        </w:rPr>
        <w:t xml:space="preserve">able </w:t>
      </w:r>
      <w:r w:rsidRPr="00461479">
        <w:rPr>
          <w:rFonts w:eastAsia="Calibri"/>
          <w:spacing w:val="-1"/>
          <w:szCs w:val="24"/>
        </w:rPr>
        <w:t>1.</w:t>
      </w:r>
    </w:p>
    <w:p w:rsidR="00264C9C" w:rsidRPr="00A2566C" w:rsidRDefault="00461479" w:rsidP="00A2566C">
      <w:pPr>
        <w:kinsoku w:val="0"/>
        <w:overflowPunct w:val="0"/>
        <w:autoSpaceDE w:val="0"/>
        <w:autoSpaceDN w:val="0"/>
        <w:adjustRightInd w:val="0"/>
        <w:ind w:left="40" w:right="299"/>
        <w:rPr>
          <w:rFonts w:eastAsia="Calibri"/>
          <w:spacing w:val="-2"/>
          <w:szCs w:val="24"/>
        </w:rPr>
      </w:pPr>
      <w:r w:rsidRPr="00461479">
        <w:rPr>
          <w:rFonts w:eastAsia="Calibri"/>
          <w:spacing w:val="-1"/>
          <w:szCs w:val="24"/>
        </w:rPr>
        <w:t>The</w:t>
      </w:r>
      <w:r w:rsidRPr="00461479">
        <w:rPr>
          <w:rFonts w:eastAsia="Calibri"/>
          <w:spacing w:val="-2"/>
          <w:szCs w:val="24"/>
        </w:rPr>
        <w:t xml:space="preserve"> </w:t>
      </w:r>
      <w:r w:rsidRPr="00461479">
        <w:rPr>
          <w:rFonts w:eastAsia="Calibri"/>
          <w:spacing w:val="-1"/>
          <w:szCs w:val="24"/>
        </w:rPr>
        <w:t>applicant</w:t>
      </w:r>
      <w:r w:rsidRPr="00461479">
        <w:rPr>
          <w:rFonts w:eastAsia="Calibri"/>
          <w:spacing w:val="-3"/>
          <w:szCs w:val="24"/>
        </w:rPr>
        <w:t xml:space="preserve"> </w:t>
      </w:r>
      <w:r w:rsidRPr="00461479">
        <w:rPr>
          <w:rFonts w:eastAsia="Calibri"/>
          <w:spacing w:val="-2"/>
          <w:szCs w:val="24"/>
        </w:rPr>
        <w:t>proposed</w:t>
      </w:r>
      <w:r w:rsidRPr="00461479">
        <w:rPr>
          <w:rFonts w:eastAsia="Calibri"/>
          <w:spacing w:val="-1"/>
          <w:szCs w:val="24"/>
        </w:rPr>
        <w:t xml:space="preserve"> fee</w:t>
      </w:r>
      <w:r w:rsidRPr="00461479">
        <w:rPr>
          <w:rFonts w:eastAsia="Calibri"/>
          <w:spacing w:val="-2"/>
          <w:szCs w:val="24"/>
        </w:rPr>
        <w:t xml:space="preserve"> </w:t>
      </w:r>
      <w:r w:rsidRPr="00461479">
        <w:rPr>
          <w:rFonts w:eastAsia="Calibri"/>
          <w:spacing w:val="-1"/>
          <w:szCs w:val="24"/>
        </w:rPr>
        <w:t xml:space="preserve">is </w:t>
      </w:r>
      <w:r w:rsidRPr="00461479">
        <w:rPr>
          <w:rFonts w:eastAsia="Calibri"/>
          <w:spacing w:val="-2"/>
          <w:szCs w:val="24"/>
        </w:rPr>
        <w:t>$1500.</w:t>
      </w:r>
      <w:r w:rsidRPr="00461479">
        <w:rPr>
          <w:rFonts w:eastAsia="Calibri"/>
          <w:spacing w:val="-3"/>
          <w:szCs w:val="24"/>
        </w:rPr>
        <w:t xml:space="preserve"> </w:t>
      </w:r>
      <w:r w:rsidR="001B74B2">
        <w:rPr>
          <w:rFonts w:eastAsia="Calibri"/>
          <w:spacing w:val="-3"/>
          <w:szCs w:val="24"/>
        </w:rPr>
        <w:t xml:space="preserve">The </w:t>
      </w:r>
      <w:r w:rsidRPr="00461479">
        <w:rPr>
          <w:rFonts w:eastAsia="Calibri"/>
          <w:spacing w:val="-1"/>
          <w:szCs w:val="24"/>
        </w:rPr>
        <w:t>P</w:t>
      </w:r>
      <w:r w:rsidR="001B74B2">
        <w:rPr>
          <w:rFonts w:eastAsia="Calibri"/>
          <w:spacing w:val="-1"/>
          <w:szCs w:val="24"/>
        </w:rPr>
        <w:t xml:space="preserve">ICO </w:t>
      </w:r>
      <w:r w:rsidRPr="00461479">
        <w:rPr>
          <w:rFonts w:eastAsia="Calibri"/>
          <w:spacing w:val="-1"/>
          <w:szCs w:val="24"/>
        </w:rPr>
        <w:t>A</w:t>
      </w:r>
      <w:r w:rsidR="001B74B2">
        <w:rPr>
          <w:rFonts w:eastAsia="Calibri"/>
          <w:spacing w:val="-1"/>
          <w:szCs w:val="24"/>
        </w:rPr>
        <w:t xml:space="preserve">dvisory </w:t>
      </w:r>
      <w:r w:rsidRPr="00461479">
        <w:rPr>
          <w:rFonts w:eastAsia="Calibri"/>
          <w:spacing w:val="-1"/>
          <w:szCs w:val="24"/>
        </w:rPr>
        <w:t>S</w:t>
      </w:r>
      <w:r w:rsidR="001B74B2">
        <w:rPr>
          <w:rFonts w:eastAsia="Calibri"/>
          <w:spacing w:val="-1"/>
          <w:szCs w:val="24"/>
        </w:rPr>
        <w:t>ub-</w:t>
      </w:r>
      <w:r w:rsidRPr="00461479">
        <w:rPr>
          <w:rFonts w:eastAsia="Calibri"/>
          <w:spacing w:val="-1"/>
          <w:szCs w:val="24"/>
        </w:rPr>
        <w:t>C</w:t>
      </w:r>
      <w:r w:rsidR="001B74B2">
        <w:rPr>
          <w:rFonts w:eastAsia="Calibri"/>
          <w:spacing w:val="-1"/>
          <w:szCs w:val="24"/>
        </w:rPr>
        <w:t>ommittee</w:t>
      </w:r>
      <w:r w:rsidRPr="00461479">
        <w:rPr>
          <w:rFonts w:eastAsia="Calibri"/>
          <w:spacing w:val="-1"/>
          <w:szCs w:val="24"/>
        </w:rPr>
        <w:t xml:space="preserve"> suggested </w:t>
      </w:r>
      <w:r w:rsidRPr="00461479">
        <w:rPr>
          <w:rFonts w:eastAsia="Calibri"/>
          <w:szCs w:val="24"/>
        </w:rPr>
        <w:t>a</w:t>
      </w:r>
      <w:r w:rsidRPr="00461479">
        <w:rPr>
          <w:rFonts w:eastAsia="Calibri"/>
          <w:spacing w:val="1"/>
          <w:szCs w:val="24"/>
        </w:rPr>
        <w:t xml:space="preserve"> </w:t>
      </w:r>
      <w:r w:rsidRPr="00461479">
        <w:rPr>
          <w:rFonts w:eastAsia="Calibri"/>
          <w:spacing w:val="-1"/>
          <w:szCs w:val="24"/>
        </w:rPr>
        <w:t>fee</w:t>
      </w:r>
      <w:r w:rsidRPr="00461479">
        <w:rPr>
          <w:rFonts w:eastAsia="Calibri"/>
          <w:spacing w:val="-2"/>
          <w:szCs w:val="24"/>
        </w:rPr>
        <w:t xml:space="preserve"> </w:t>
      </w:r>
      <w:r w:rsidRPr="00461479">
        <w:rPr>
          <w:rFonts w:eastAsia="Calibri"/>
          <w:szCs w:val="24"/>
        </w:rPr>
        <w:t>of</w:t>
      </w:r>
      <w:r w:rsidRPr="00461479">
        <w:rPr>
          <w:rFonts w:eastAsia="Calibri"/>
          <w:spacing w:val="-3"/>
          <w:szCs w:val="24"/>
        </w:rPr>
        <w:t xml:space="preserve"> </w:t>
      </w:r>
      <w:r w:rsidRPr="00461479">
        <w:rPr>
          <w:rFonts w:eastAsia="Calibri"/>
          <w:spacing w:val="-1"/>
          <w:szCs w:val="24"/>
        </w:rPr>
        <w:t>$900-$1300</w:t>
      </w:r>
      <w:r w:rsidRPr="00461479">
        <w:rPr>
          <w:rFonts w:eastAsia="Calibri"/>
          <w:spacing w:val="-3"/>
          <w:szCs w:val="24"/>
        </w:rPr>
        <w:t xml:space="preserve"> </w:t>
      </w:r>
      <w:r w:rsidRPr="00461479">
        <w:rPr>
          <w:rFonts w:eastAsia="Calibri"/>
          <w:spacing w:val="-1"/>
          <w:szCs w:val="24"/>
        </w:rPr>
        <w:t>would</w:t>
      </w:r>
      <w:r w:rsidRPr="00461479">
        <w:rPr>
          <w:rFonts w:eastAsia="Calibri"/>
          <w:szCs w:val="24"/>
        </w:rPr>
        <w:t xml:space="preserve"> </w:t>
      </w:r>
      <w:r w:rsidRPr="00461479">
        <w:rPr>
          <w:rFonts w:eastAsia="Calibri"/>
          <w:spacing w:val="-2"/>
          <w:szCs w:val="24"/>
        </w:rPr>
        <w:t>be</w:t>
      </w:r>
      <w:r w:rsidRPr="00461479">
        <w:rPr>
          <w:rFonts w:eastAsia="Calibri"/>
          <w:spacing w:val="53"/>
          <w:szCs w:val="24"/>
        </w:rPr>
        <w:t xml:space="preserve"> </w:t>
      </w:r>
      <w:r w:rsidRPr="00461479">
        <w:rPr>
          <w:rFonts w:eastAsia="Calibri"/>
          <w:spacing w:val="-1"/>
          <w:szCs w:val="24"/>
        </w:rPr>
        <w:t xml:space="preserve">appropriate </w:t>
      </w:r>
      <w:r w:rsidRPr="00461479">
        <w:rPr>
          <w:rFonts w:eastAsia="Calibri"/>
          <w:spacing w:val="-2"/>
          <w:szCs w:val="24"/>
        </w:rPr>
        <w:t>(between</w:t>
      </w:r>
      <w:r w:rsidRPr="00461479">
        <w:rPr>
          <w:rFonts w:eastAsia="Calibri"/>
          <w:spacing w:val="-3"/>
          <w:szCs w:val="24"/>
        </w:rPr>
        <w:t xml:space="preserve"> </w:t>
      </w:r>
      <w:r w:rsidRPr="00461479">
        <w:rPr>
          <w:rFonts w:eastAsia="Calibri"/>
          <w:spacing w:val="-2"/>
          <w:szCs w:val="24"/>
        </w:rPr>
        <w:t xml:space="preserve">the </w:t>
      </w:r>
      <w:r w:rsidRPr="00461479">
        <w:rPr>
          <w:rFonts w:eastAsia="Calibri"/>
          <w:szCs w:val="24"/>
        </w:rPr>
        <w:t>cost</w:t>
      </w:r>
      <w:r w:rsidRPr="00461479">
        <w:rPr>
          <w:rFonts w:eastAsia="Calibri"/>
          <w:spacing w:val="-2"/>
          <w:szCs w:val="24"/>
        </w:rPr>
        <w:t xml:space="preserve"> </w:t>
      </w:r>
      <w:r w:rsidRPr="00461479">
        <w:rPr>
          <w:rFonts w:eastAsia="Calibri"/>
          <w:szCs w:val="24"/>
        </w:rPr>
        <w:t>of</w:t>
      </w:r>
      <w:r w:rsidRPr="00461479">
        <w:rPr>
          <w:rFonts w:eastAsia="Calibri"/>
          <w:spacing w:val="-3"/>
          <w:szCs w:val="24"/>
        </w:rPr>
        <w:t xml:space="preserve"> </w:t>
      </w:r>
      <w:r w:rsidRPr="00461479">
        <w:rPr>
          <w:rFonts w:eastAsia="Calibri"/>
          <w:spacing w:val="-1"/>
          <w:szCs w:val="24"/>
        </w:rPr>
        <w:t>cataract</w:t>
      </w:r>
      <w:r w:rsidRPr="00461479">
        <w:rPr>
          <w:rFonts w:eastAsia="Calibri"/>
          <w:spacing w:val="-3"/>
          <w:szCs w:val="24"/>
        </w:rPr>
        <w:t xml:space="preserve"> </w:t>
      </w:r>
      <w:r w:rsidRPr="00461479">
        <w:rPr>
          <w:rFonts w:eastAsia="Calibri"/>
          <w:spacing w:val="-1"/>
          <w:szCs w:val="24"/>
        </w:rPr>
        <w:t>surgery</w:t>
      </w:r>
      <w:r w:rsidRPr="00461479">
        <w:rPr>
          <w:rFonts w:eastAsia="Calibri"/>
          <w:spacing w:val="49"/>
          <w:szCs w:val="24"/>
        </w:rPr>
        <w:t xml:space="preserve"> </w:t>
      </w:r>
      <w:r w:rsidRPr="00461479">
        <w:rPr>
          <w:rFonts w:eastAsia="Calibri"/>
          <w:spacing w:val="-1"/>
          <w:szCs w:val="24"/>
        </w:rPr>
        <w:t>and corneal transplant).</w:t>
      </w:r>
      <w:r w:rsidRPr="00461479">
        <w:rPr>
          <w:rFonts w:eastAsia="Calibri"/>
          <w:spacing w:val="-3"/>
          <w:szCs w:val="24"/>
        </w:rPr>
        <w:t xml:space="preserve"> </w:t>
      </w:r>
      <w:r w:rsidRPr="00461479">
        <w:rPr>
          <w:rFonts w:eastAsia="Calibri"/>
          <w:spacing w:val="-1"/>
          <w:szCs w:val="24"/>
        </w:rPr>
        <w:t>During</w:t>
      </w:r>
      <w:r w:rsidRPr="00461479">
        <w:rPr>
          <w:rFonts w:eastAsia="Calibri"/>
          <w:spacing w:val="1"/>
          <w:szCs w:val="24"/>
        </w:rPr>
        <w:t xml:space="preserve"> </w:t>
      </w:r>
      <w:r w:rsidRPr="00461479">
        <w:rPr>
          <w:rFonts w:eastAsia="Calibri"/>
          <w:spacing w:val="-2"/>
          <w:szCs w:val="24"/>
        </w:rPr>
        <w:t>public</w:t>
      </w:r>
      <w:r w:rsidRPr="00461479">
        <w:rPr>
          <w:rFonts w:eastAsia="Calibri"/>
          <w:szCs w:val="24"/>
        </w:rPr>
        <w:t xml:space="preserve"> </w:t>
      </w:r>
      <w:r w:rsidRPr="00461479">
        <w:rPr>
          <w:rFonts w:eastAsia="Calibri"/>
          <w:spacing w:val="-1"/>
          <w:szCs w:val="24"/>
        </w:rPr>
        <w:t>consultation,</w:t>
      </w:r>
      <w:r w:rsidRPr="00461479">
        <w:rPr>
          <w:rFonts w:eastAsia="Calibri"/>
          <w:spacing w:val="-3"/>
          <w:szCs w:val="24"/>
        </w:rPr>
        <w:t xml:space="preserve"> </w:t>
      </w:r>
      <w:r w:rsidRPr="00461479">
        <w:rPr>
          <w:rFonts w:eastAsia="Calibri"/>
          <w:spacing w:val="-1"/>
          <w:szCs w:val="24"/>
        </w:rPr>
        <w:t>consumers advised that</w:t>
      </w:r>
      <w:r w:rsidRPr="00461479">
        <w:rPr>
          <w:rFonts w:eastAsia="Calibri"/>
          <w:spacing w:val="-3"/>
          <w:szCs w:val="24"/>
        </w:rPr>
        <w:t xml:space="preserve"> </w:t>
      </w:r>
      <w:r w:rsidRPr="00461479">
        <w:rPr>
          <w:rFonts w:eastAsia="Calibri"/>
          <w:spacing w:val="-2"/>
          <w:szCs w:val="24"/>
        </w:rPr>
        <w:t>they</w:t>
      </w:r>
      <w:r w:rsidRPr="00461479">
        <w:rPr>
          <w:rFonts w:eastAsia="Calibri"/>
          <w:spacing w:val="-3"/>
          <w:szCs w:val="24"/>
        </w:rPr>
        <w:t xml:space="preserve"> </w:t>
      </w:r>
      <w:r w:rsidRPr="00461479">
        <w:rPr>
          <w:rFonts w:eastAsia="Calibri"/>
          <w:szCs w:val="24"/>
        </w:rPr>
        <w:t>are</w:t>
      </w:r>
      <w:r w:rsidRPr="00461479">
        <w:rPr>
          <w:rFonts w:eastAsia="Calibri"/>
          <w:spacing w:val="-2"/>
          <w:szCs w:val="24"/>
        </w:rPr>
        <w:t xml:space="preserve"> </w:t>
      </w:r>
      <w:r w:rsidR="00CA58DA">
        <w:rPr>
          <w:rFonts w:eastAsia="Calibri"/>
          <w:spacing w:val="-2"/>
          <w:szCs w:val="24"/>
        </w:rPr>
        <w:t>currently</w:t>
      </w:r>
      <w:r w:rsidR="00CA58DA" w:rsidRPr="00461479">
        <w:rPr>
          <w:rFonts w:eastAsia="Calibri"/>
          <w:spacing w:val="-3"/>
          <w:szCs w:val="24"/>
        </w:rPr>
        <w:t xml:space="preserve"> </w:t>
      </w:r>
      <w:r w:rsidRPr="00461479">
        <w:rPr>
          <w:rFonts w:eastAsia="Calibri"/>
          <w:spacing w:val="-2"/>
          <w:szCs w:val="24"/>
        </w:rPr>
        <w:t>being</w:t>
      </w:r>
      <w:r w:rsidRPr="00461479">
        <w:rPr>
          <w:rFonts w:eastAsia="Calibri"/>
          <w:spacing w:val="1"/>
          <w:szCs w:val="24"/>
        </w:rPr>
        <w:t xml:space="preserve"> </w:t>
      </w:r>
      <w:r w:rsidRPr="00461479">
        <w:rPr>
          <w:rFonts w:eastAsia="Calibri"/>
          <w:spacing w:val="-1"/>
          <w:szCs w:val="24"/>
        </w:rPr>
        <w:t xml:space="preserve">charged </w:t>
      </w:r>
      <w:r w:rsidRPr="00461479">
        <w:rPr>
          <w:rFonts w:eastAsia="Calibri"/>
          <w:spacing w:val="-2"/>
          <w:szCs w:val="24"/>
        </w:rPr>
        <w:t>between</w:t>
      </w:r>
      <w:r w:rsidR="00A2566C">
        <w:rPr>
          <w:rFonts w:eastAsia="Calibri"/>
          <w:spacing w:val="-2"/>
          <w:szCs w:val="24"/>
        </w:rPr>
        <w:t xml:space="preserve"> </w:t>
      </w:r>
      <w:r w:rsidRPr="00461479">
        <w:rPr>
          <w:rFonts w:eastAsia="Calibri"/>
          <w:spacing w:val="-2"/>
          <w:szCs w:val="24"/>
        </w:rPr>
        <w:t>$2000–3000</w:t>
      </w:r>
      <w:r w:rsidRPr="00461479">
        <w:rPr>
          <w:rFonts w:eastAsia="Calibri"/>
          <w:spacing w:val="1"/>
          <w:szCs w:val="24"/>
        </w:rPr>
        <w:t xml:space="preserve"> </w:t>
      </w:r>
      <w:r w:rsidRPr="00461479">
        <w:rPr>
          <w:rFonts w:eastAsia="Calibri"/>
          <w:spacing w:val="-1"/>
          <w:szCs w:val="24"/>
        </w:rPr>
        <w:t>per</w:t>
      </w:r>
      <w:r w:rsidRPr="00461479">
        <w:rPr>
          <w:rFonts w:eastAsia="Calibri"/>
          <w:spacing w:val="1"/>
          <w:szCs w:val="24"/>
        </w:rPr>
        <w:t xml:space="preserve"> </w:t>
      </w:r>
      <w:r w:rsidRPr="00461479">
        <w:rPr>
          <w:rFonts w:eastAsia="Calibri"/>
          <w:spacing w:val="-2"/>
          <w:szCs w:val="24"/>
        </w:rPr>
        <w:t>eye</w:t>
      </w:r>
      <w:r w:rsidRPr="00461479">
        <w:rPr>
          <w:rFonts w:eastAsia="Calibri"/>
          <w:spacing w:val="-1"/>
          <w:szCs w:val="24"/>
        </w:rPr>
        <w:t xml:space="preserve"> ($4000–$6000</w:t>
      </w:r>
      <w:r w:rsidRPr="00461479">
        <w:rPr>
          <w:rFonts w:eastAsia="Calibri"/>
          <w:spacing w:val="-3"/>
          <w:szCs w:val="24"/>
        </w:rPr>
        <w:t xml:space="preserve"> </w:t>
      </w:r>
      <w:r w:rsidRPr="00461479">
        <w:rPr>
          <w:rFonts w:eastAsia="Calibri"/>
          <w:spacing w:val="-1"/>
          <w:szCs w:val="24"/>
        </w:rPr>
        <w:t>for</w:t>
      </w:r>
      <w:r w:rsidRPr="00461479">
        <w:rPr>
          <w:rFonts w:eastAsia="Calibri"/>
          <w:spacing w:val="1"/>
          <w:szCs w:val="24"/>
        </w:rPr>
        <w:t xml:space="preserve"> </w:t>
      </w:r>
      <w:r w:rsidRPr="00461479">
        <w:rPr>
          <w:rFonts w:eastAsia="Calibri"/>
          <w:spacing w:val="-2"/>
          <w:szCs w:val="24"/>
        </w:rPr>
        <w:t>both</w:t>
      </w:r>
      <w:r w:rsidRPr="00461479">
        <w:rPr>
          <w:rFonts w:eastAsia="Calibri"/>
          <w:spacing w:val="-3"/>
          <w:szCs w:val="24"/>
        </w:rPr>
        <w:t xml:space="preserve"> </w:t>
      </w:r>
      <w:r w:rsidRPr="00461479">
        <w:rPr>
          <w:rFonts w:eastAsia="Calibri"/>
          <w:spacing w:val="-1"/>
          <w:szCs w:val="24"/>
        </w:rPr>
        <w:t>eyes).</w:t>
      </w:r>
    </w:p>
    <w:p w:rsidR="00461479" w:rsidRPr="002159B5" w:rsidRDefault="00461479" w:rsidP="00461479">
      <w:pPr>
        <w:kinsoku w:val="0"/>
        <w:overflowPunct w:val="0"/>
        <w:autoSpaceDE w:val="0"/>
        <w:autoSpaceDN w:val="0"/>
        <w:adjustRightInd w:val="0"/>
        <w:spacing w:before="153"/>
        <w:ind w:left="39"/>
        <w:rPr>
          <w:rFonts w:eastAsia="Calibri"/>
          <w:b/>
          <w:spacing w:val="-1"/>
          <w:sz w:val="20"/>
        </w:rPr>
      </w:pPr>
      <w:r w:rsidRPr="002159B5">
        <w:rPr>
          <w:rFonts w:eastAsia="Calibri"/>
          <w:b/>
          <w:spacing w:val="-1"/>
          <w:sz w:val="20"/>
        </w:rPr>
        <w:lastRenderedPageBreak/>
        <w:t>Table</w:t>
      </w:r>
      <w:r w:rsidRPr="002159B5">
        <w:rPr>
          <w:rFonts w:eastAsia="Calibri"/>
          <w:b/>
          <w:spacing w:val="-3"/>
          <w:sz w:val="20"/>
        </w:rPr>
        <w:t xml:space="preserve"> </w:t>
      </w:r>
      <w:proofErr w:type="gramStart"/>
      <w:r w:rsidRPr="002159B5">
        <w:rPr>
          <w:rFonts w:eastAsia="Calibri"/>
          <w:b/>
          <w:sz w:val="20"/>
        </w:rPr>
        <w:t xml:space="preserve">1  </w:t>
      </w:r>
      <w:r w:rsidRPr="002159B5">
        <w:rPr>
          <w:rFonts w:eastAsia="Calibri"/>
          <w:b/>
          <w:spacing w:val="-1"/>
          <w:sz w:val="20"/>
        </w:rPr>
        <w:t>Proposed</w:t>
      </w:r>
      <w:proofErr w:type="gramEnd"/>
      <w:r w:rsidRPr="002159B5">
        <w:rPr>
          <w:rFonts w:eastAsia="Calibri"/>
          <w:b/>
          <w:spacing w:val="-4"/>
          <w:sz w:val="20"/>
        </w:rPr>
        <w:t xml:space="preserve"> </w:t>
      </w:r>
      <w:r w:rsidRPr="002159B5">
        <w:rPr>
          <w:rFonts w:eastAsia="Calibri"/>
          <w:b/>
          <w:spacing w:val="-2"/>
          <w:sz w:val="20"/>
        </w:rPr>
        <w:t>MBS</w:t>
      </w:r>
      <w:r w:rsidRPr="002159B5">
        <w:rPr>
          <w:rFonts w:eastAsia="Calibri"/>
          <w:b/>
          <w:spacing w:val="2"/>
          <w:sz w:val="20"/>
        </w:rPr>
        <w:t xml:space="preserve"> </w:t>
      </w:r>
      <w:r w:rsidRPr="002159B5">
        <w:rPr>
          <w:rFonts w:eastAsia="Calibri"/>
          <w:b/>
          <w:spacing w:val="-2"/>
          <w:sz w:val="20"/>
        </w:rPr>
        <w:t>item</w:t>
      </w:r>
      <w:r w:rsidRPr="002159B5">
        <w:rPr>
          <w:rFonts w:eastAsia="Calibri"/>
          <w:b/>
          <w:spacing w:val="-1"/>
          <w:sz w:val="20"/>
        </w:rPr>
        <w:t xml:space="preserve"> descriptor </w:t>
      </w:r>
      <w:r w:rsidRPr="002159B5">
        <w:rPr>
          <w:rFonts w:eastAsia="Calibri"/>
          <w:b/>
          <w:spacing w:val="-2"/>
          <w:sz w:val="20"/>
        </w:rPr>
        <w:t>for</w:t>
      </w:r>
      <w:r w:rsidRPr="002159B5">
        <w:rPr>
          <w:rFonts w:eastAsia="Calibri"/>
          <w:b/>
          <w:spacing w:val="-1"/>
          <w:sz w:val="20"/>
        </w:rPr>
        <w:t xml:space="preserve"> </w:t>
      </w:r>
      <w:r w:rsidRPr="002159B5">
        <w:rPr>
          <w:rFonts w:eastAsia="Calibri"/>
          <w:b/>
          <w:spacing w:val="-2"/>
          <w:sz w:val="20"/>
        </w:rPr>
        <w:t>corneal</w:t>
      </w:r>
      <w:r w:rsidRPr="002159B5">
        <w:rPr>
          <w:rFonts w:eastAsia="Calibri"/>
          <w:b/>
          <w:spacing w:val="-4"/>
          <w:sz w:val="20"/>
        </w:rPr>
        <w:t xml:space="preserve"> </w:t>
      </w:r>
      <w:r w:rsidRPr="002159B5">
        <w:rPr>
          <w:rFonts w:eastAsia="Calibri"/>
          <w:b/>
          <w:spacing w:val="-1"/>
          <w:sz w:val="20"/>
        </w:rPr>
        <w:t>collagen</w:t>
      </w:r>
      <w:r w:rsidRPr="002159B5">
        <w:rPr>
          <w:rFonts w:eastAsia="Calibri"/>
          <w:b/>
          <w:spacing w:val="-6"/>
          <w:sz w:val="20"/>
        </w:rPr>
        <w:t xml:space="preserve"> </w:t>
      </w:r>
      <w:r w:rsidRPr="002159B5">
        <w:rPr>
          <w:rFonts w:eastAsia="Calibri"/>
          <w:b/>
          <w:spacing w:val="-1"/>
          <w:sz w:val="20"/>
        </w:rPr>
        <w:t>cross-linking</w:t>
      </w: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roposed MBS item descriptor"/>
      </w:tblPr>
      <w:tblGrid>
        <w:gridCol w:w="8896"/>
      </w:tblGrid>
      <w:tr w:rsidR="00461479" w:rsidRPr="00461479" w:rsidTr="00655004">
        <w:trPr>
          <w:trHeight w:val="316"/>
        </w:trPr>
        <w:tc>
          <w:tcPr>
            <w:tcW w:w="5000" w:type="pct"/>
            <w:tcBorders>
              <w:top w:val="single" w:sz="4" w:space="0" w:color="auto"/>
              <w:left w:val="single" w:sz="4" w:space="0" w:color="auto"/>
              <w:bottom w:val="single" w:sz="4" w:space="0" w:color="auto"/>
              <w:right w:val="single" w:sz="4" w:space="0" w:color="auto"/>
            </w:tcBorders>
            <w:vAlign w:val="center"/>
            <w:hideMark/>
          </w:tcPr>
          <w:p w:rsidR="00461479" w:rsidRPr="00461479" w:rsidRDefault="00461479" w:rsidP="00461479">
            <w:pPr>
              <w:keepNext/>
              <w:keepLines/>
              <w:tabs>
                <w:tab w:val="left" w:pos="113"/>
                <w:tab w:val="center" w:pos="142"/>
                <w:tab w:val="center" w:pos="284"/>
                <w:tab w:val="center" w:pos="425"/>
              </w:tabs>
              <w:spacing w:before="40" w:after="80" w:line="276" w:lineRule="auto"/>
              <w:rPr>
                <w:b/>
                <w:sz w:val="20"/>
                <w:lang w:eastAsia="en-US"/>
              </w:rPr>
            </w:pPr>
            <w:r w:rsidRPr="00461479">
              <w:rPr>
                <w:rFonts w:eastAsia="Calibri"/>
                <w:b/>
                <w:sz w:val="20"/>
                <w:lang w:val="en-GB" w:eastAsia="en-US"/>
              </w:rPr>
              <w:t xml:space="preserve">Category 3 – Therapeutic Procedures – Ophthalmology Services </w:t>
            </w:r>
          </w:p>
        </w:tc>
      </w:tr>
      <w:tr w:rsidR="00461479" w:rsidRPr="00461479" w:rsidTr="00CA58DA">
        <w:trPr>
          <w:trHeight w:val="273"/>
        </w:trPr>
        <w:tc>
          <w:tcPr>
            <w:tcW w:w="5000" w:type="pct"/>
            <w:tcBorders>
              <w:top w:val="single" w:sz="4" w:space="0" w:color="auto"/>
              <w:left w:val="single" w:sz="4" w:space="0" w:color="auto"/>
              <w:bottom w:val="single" w:sz="4" w:space="0" w:color="auto"/>
              <w:right w:val="single" w:sz="4" w:space="0" w:color="auto"/>
            </w:tcBorders>
            <w:hideMark/>
          </w:tcPr>
          <w:p w:rsidR="00461479" w:rsidRPr="002159B5" w:rsidRDefault="00461479" w:rsidP="00461479">
            <w:pPr>
              <w:autoSpaceDE w:val="0"/>
              <w:autoSpaceDN w:val="0"/>
              <w:adjustRightInd w:val="0"/>
              <w:spacing w:line="276" w:lineRule="auto"/>
              <w:rPr>
                <w:rFonts w:eastAsia="Calibri"/>
                <w:sz w:val="20"/>
                <w:lang w:eastAsia="en-US"/>
              </w:rPr>
            </w:pPr>
            <w:r w:rsidRPr="00461479">
              <w:rPr>
                <w:rFonts w:eastAsia="Calibri"/>
                <w:sz w:val="20"/>
                <w:lang w:eastAsia="en-US"/>
              </w:rPr>
              <w:t>MBS [item number]</w:t>
            </w:r>
          </w:p>
          <w:p w:rsidR="00461479" w:rsidRPr="00461479" w:rsidRDefault="00461479" w:rsidP="00461479">
            <w:pPr>
              <w:autoSpaceDE w:val="0"/>
              <w:autoSpaceDN w:val="0"/>
              <w:adjustRightInd w:val="0"/>
              <w:rPr>
                <w:rFonts w:eastAsia="Calibri"/>
                <w:color w:val="000000"/>
                <w:sz w:val="20"/>
                <w:lang w:eastAsia="en-US"/>
              </w:rPr>
            </w:pPr>
            <w:r w:rsidRPr="00461479">
              <w:rPr>
                <w:rFonts w:eastAsia="Calibri"/>
                <w:color w:val="000000"/>
                <w:sz w:val="20"/>
                <w:lang w:eastAsia="en-US"/>
              </w:rPr>
              <w:t xml:space="preserve">Corneal Collagen Cross Linking, for patients with corneal ectatic disorders with evidence of progression </w:t>
            </w:r>
          </w:p>
          <w:p w:rsidR="00461479" w:rsidRPr="00461479" w:rsidRDefault="00461479" w:rsidP="00461479">
            <w:pPr>
              <w:autoSpaceDE w:val="0"/>
              <w:autoSpaceDN w:val="0"/>
              <w:adjustRightInd w:val="0"/>
              <w:rPr>
                <w:rFonts w:eastAsia="Calibri"/>
                <w:color w:val="000000"/>
                <w:sz w:val="20"/>
                <w:lang w:eastAsia="en-US"/>
              </w:rPr>
            </w:pPr>
            <w:r w:rsidRPr="00461479">
              <w:rPr>
                <w:rFonts w:eastAsia="Calibri"/>
                <w:color w:val="000000"/>
                <w:sz w:val="20"/>
                <w:lang w:eastAsia="en-US"/>
              </w:rPr>
              <w:t xml:space="preserve">Fee: $1500 [Applicant-proposed fee]. </w:t>
            </w:r>
          </w:p>
          <w:p w:rsidR="00461479" w:rsidRPr="00461479" w:rsidRDefault="00461479" w:rsidP="00461479">
            <w:pPr>
              <w:autoSpaceDE w:val="0"/>
              <w:autoSpaceDN w:val="0"/>
              <w:adjustRightInd w:val="0"/>
              <w:rPr>
                <w:rFonts w:eastAsia="Calibri"/>
                <w:color w:val="000000"/>
                <w:sz w:val="20"/>
                <w:lang w:eastAsia="en-US"/>
              </w:rPr>
            </w:pPr>
            <w:proofErr w:type="spellStart"/>
            <w:r w:rsidRPr="00461479">
              <w:rPr>
                <w:rFonts w:eastAsia="Calibri"/>
                <w:color w:val="000000"/>
                <w:sz w:val="20"/>
                <w:lang w:eastAsia="en-US"/>
              </w:rPr>
              <w:t>Anaes</w:t>
            </w:r>
            <w:proofErr w:type="spellEnd"/>
            <w:r w:rsidRPr="00461479">
              <w:rPr>
                <w:rFonts w:eastAsia="Calibri"/>
                <w:color w:val="000000"/>
                <w:sz w:val="20"/>
                <w:lang w:eastAsia="en-US"/>
              </w:rPr>
              <w:t xml:space="preserve">. </w:t>
            </w:r>
          </w:p>
          <w:p w:rsidR="00461479" w:rsidRPr="002159B5" w:rsidRDefault="00461479" w:rsidP="00461479">
            <w:pPr>
              <w:autoSpaceDE w:val="0"/>
              <w:autoSpaceDN w:val="0"/>
              <w:adjustRightInd w:val="0"/>
              <w:rPr>
                <w:rFonts w:eastAsia="Calibri"/>
                <w:i/>
                <w:iCs/>
                <w:color w:val="000000"/>
                <w:sz w:val="20"/>
                <w:lang w:eastAsia="en-US"/>
              </w:rPr>
            </w:pPr>
            <w:r w:rsidRPr="00461479">
              <w:rPr>
                <w:rFonts w:eastAsia="Calibri"/>
                <w:i/>
                <w:iCs/>
                <w:color w:val="000000"/>
                <w:sz w:val="20"/>
                <w:lang w:eastAsia="en-US"/>
              </w:rPr>
              <w:t xml:space="preserve">Explanatory Note: </w:t>
            </w:r>
          </w:p>
          <w:p w:rsidR="00461479" w:rsidRPr="002159B5" w:rsidRDefault="00461479" w:rsidP="002159B5">
            <w:pPr>
              <w:autoSpaceDE w:val="0"/>
              <w:autoSpaceDN w:val="0"/>
              <w:adjustRightInd w:val="0"/>
              <w:rPr>
                <w:rFonts w:eastAsia="Calibri"/>
                <w:color w:val="000000"/>
                <w:sz w:val="20"/>
                <w:lang w:eastAsia="en-US"/>
              </w:rPr>
            </w:pPr>
            <w:r w:rsidRPr="00461479">
              <w:rPr>
                <w:rFonts w:eastAsia="Calibri"/>
                <w:i/>
                <w:iCs/>
                <w:color w:val="000000"/>
                <w:sz w:val="20"/>
                <w:lang w:eastAsia="en-US"/>
              </w:rPr>
              <w:t xml:space="preserve">Evidence of progression in patients over the age of twenty five is determined by the patient history including an objective change in tomography or refraction over time. Evidence of progression in patients aged twenty five years or younger is determined by patient history including an objective change in tomography or refraction over time and/or posterior elevation data and objective documented progression at a subclinical level. </w:t>
            </w:r>
          </w:p>
        </w:tc>
      </w:tr>
    </w:tbl>
    <w:p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rsidR="00BC1364" w:rsidRPr="00CA58DA" w:rsidRDefault="00CA58DA" w:rsidP="00F715D1">
      <w:pPr>
        <w:spacing w:after="240"/>
        <w:rPr>
          <w:szCs w:val="24"/>
        </w:rPr>
      </w:pPr>
      <w:r w:rsidRPr="00CA58DA">
        <w:rPr>
          <w:szCs w:val="24"/>
        </w:rPr>
        <w:t xml:space="preserve">See </w:t>
      </w:r>
      <w:hyperlink r:id="rId13" w:tooltip="link to MSAC public summary document from July 2016 for application 1392" w:history="1">
        <w:r w:rsidRPr="00264C9C">
          <w:rPr>
            <w:rStyle w:val="Hyperlink"/>
            <w:szCs w:val="24"/>
          </w:rPr>
          <w:t>Public Summary Document from July 2016 for Application 1392</w:t>
        </w:r>
      </w:hyperlink>
      <w:r w:rsidRPr="00CA58DA">
        <w:rPr>
          <w:szCs w:val="24"/>
        </w:rPr>
        <w:t>.</w:t>
      </w:r>
      <w:r w:rsidR="00BC1364" w:rsidRPr="00CA58DA">
        <w:rPr>
          <w:szCs w:val="24"/>
        </w:rPr>
        <w:t xml:space="preserve"> </w:t>
      </w:r>
    </w:p>
    <w:p w:rsidR="00BC1364" w:rsidRPr="00F715D1" w:rsidRDefault="00BC1364" w:rsidP="00F715D1">
      <w:pPr>
        <w:pStyle w:val="Heading1"/>
      </w:pPr>
      <w:r w:rsidRPr="00F715D1">
        <w:t>Proposed intervention’s place in clinical management</w:t>
      </w:r>
    </w:p>
    <w:p w:rsidR="00077669" w:rsidRPr="00460FD2" w:rsidRDefault="00077669" w:rsidP="00806A9C">
      <w:pPr>
        <w:autoSpaceDE w:val="0"/>
        <w:autoSpaceDN w:val="0"/>
        <w:adjustRightInd w:val="0"/>
        <w:spacing w:after="240"/>
        <w:rPr>
          <w:rFonts w:eastAsiaTheme="minorHAnsi"/>
          <w:color w:val="000000"/>
          <w:szCs w:val="24"/>
          <w:lang w:eastAsia="en-US"/>
        </w:rPr>
      </w:pPr>
      <w:r w:rsidRPr="00460FD2">
        <w:rPr>
          <w:rFonts w:eastAsiaTheme="minorHAnsi"/>
          <w:color w:val="000000"/>
          <w:szCs w:val="24"/>
          <w:lang w:eastAsia="en-US"/>
        </w:rPr>
        <w:t xml:space="preserve">The current approach to treating patients with corneal ectatic disorders involves, in the first instance, attempting to improve the patient’s vision with glasses, if possible. If the condition progresses and the glasses no longer improve the patient’s vision, hard contact lenses are fitted. If the lenses cannot be fitted, or are unsuccessful, patients undergo penetrating corneal graft. Some patients currently access </w:t>
      </w:r>
      <w:r w:rsidR="00433CDD">
        <w:rPr>
          <w:rFonts w:eastAsiaTheme="minorHAnsi"/>
          <w:color w:val="000000"/>
          <w:szCs w:val="24"/>
          <w:lang w:eastAsia="en-US"/>
        </w:rPr>
        <w:t>CCXL</w:t>
      </w:r>
      <w:r w:rsidRPr="00460FD2">
        <w:rPr>
          <w:rFonts w:eastAsiaTheme="minorHAnsi"/>
          <w:color w:val="000000"/>
          <w:szCs w:val="24"/>
          <w:lang w:eastAsia="en-US"/>
        </w:rPr>
        <w:t xml:space="preserve"> as an alternative to corneal grafting by self-funding the procedure. </w:t>
      </w:r>
    </w:p>
    <w:p w:rsidR="00077669" w:rsidRPr="00460FD2" w:rsidRDefault="00077669" w:rsidP="00077669">
      <w:pPr>
        <w:autoSpaceDE w:val="0"/>
        <w:autoSpaceDN w:val="0"/>
        <w:adjustRightInd w:val="0"/>
        <w:rPr>
          <w:rFonts w:eastAsiaTheme="minorHAnsi"/>
          <w:color w:val="000000"/>
          <w:szCs w:val="24"/>
          <w:lang w:eastAsia="en-US"/>
        </w:rPr>
      </w:pPr>
      <w:r w:rsidRPr="00460FD2">
        <w:rPr>
          <w:rFonts w:eastAsiaTheme="minorHAnsi"/>
          <w:color w:val="000000"/>
          <w:szCs w:val="24"/>
          <w:lang w:eastAsia="en-US"/>
        </w:rPr>
        <w:t>Under the proposed clinical management algorithm, CCXL would be used as a first line treatment once there is evidence of progression, regardless of whether glasses or contact lenses have been tried. The proposed treatment pathway utilises CCXL as a preventative treatment (intending to halt the progress of the disease early).</w:t>
      </w:r>
    </w:p>
    <w:p w:rsidR="00BC1364" w:rsidRPr="00F715D1" w:rsidRDefault="00BC1364" w:rsidP="00F715D1">
      <w:pPr>
        <w:pStyle w:val="Heading1"/>
      </w:pPr>
      <w:r w:rsidRPr="00F715D1">
        <w:t xml:space="preserve">Comparator </w:t>
      </w:r>
    </w:p>
    <w:p w:rsidR="00F44C48" w:rsidRPr="00F44C48" w:rsidRDefault="00F44C48" w:rsidP="0059205F">
      <w:pPr>
        <w:kinsoku w:val="0"/>
        <w:overflowPunct w:val="0"/>
        <w:autoSpaceDE w:val="0"/>
        <w:autoSpaceDN w:val="0"/>
        <w:adjustRightInd w:val="0"/>
        <w:ind w:left="40"/>
        <w:rPr>
          <w:rFonts w:eastAsia="Calibri"/>
          <w:spacing w:val="-1"/>
          <w:szCs w:val="24"/>
        </w:rPr>
      </w:pPr>
      <w:r w:rsidRPr="00F44C48">
        <w:rPr>
          <w:rFonts w:eastAsia="Calibri"/>
          <w:spacing w:val="-1"/>
          <w:szCs w:val="24"/>
        </w:rPr>
        <w:t>The</w:t>
      </w:r>
      <w:r w:rsidRPr="00F44C48">
        <w:rPr>
          <w:rFonts w:eastAsia="Calibri"/>
          <w:spacing w:val="-2"/>
          <w:szCs w:val="24"/>
        </w:rPr>
        <w:t xml:space="preserve"> </w:t>
      </w:r>
      <w:r w:rsidRPr="00F44C48">
        <w:rPr>
          <w:rFonts w:eastAsia="Calibri"/>
          <w:spacing w:val="-1"/>
          <w:szCs w:val="24"/>
        </w:rPr>
        <w:t>current</w:t>
      </w:r>
      <w:r w:rsidRPr="00F44C48">
        <w:rPr>
          <w:rFonts w:eastAsia="Calibri"/>
          <w:spacing w:val="-3"/>
          <w:szCs w:val="24"/>
        </w:rPr>
        <w:t xml:space="preserve"> </w:t>
      </w:r>
      <w:r w:rsidRPr="00F44C48">
        <w:rPr>
          <w:rFonts w:eastAsia="Calibri"/>
          <w:spacing w:val="-2"/>
          <w:szCs w:val="24"/>
        </w:rPr>
        <w:t>treatment</w:t>
      </w:r>
      <w:r w:rsidRPr="00F44C48">
        <w:rPr>
          <w:rFonts w:eastAsia="Calibri"/>
          <w:spacing w:val="-3"/>
          <w:szCs w:val="24"/>
        </w:rPr>
        <w:t xml:space="preserve"> </w:t>
      </w:r>
      <w:r w:rsidRPr="00F44C48">
        <w:rPr>
          <w:rFonts w:eastAsia="Calibri"/>
          <w:spacing w:val="-1"/>
          <w:szCs w:val="24"/>
        </w:rPr>
        <w:t>pathway</w:t>
      </w:r>
      <w:r w:rsidRPr="00F44C48">
        <w:rPr>
          <w:rFonts w:eastAsia="Calibri"/>
          <w:spacing w:val="-3"/>
          <w:szCs w:val="24"/>
        </w:rPr>
        <w:t xml:space="preserve"> </w:t>
      </w:r>
      <w:r w:rsidRPr="00F44C48">
        <w:rPr>
          <w:rFonts w:eastAsia="Calibri"/>
          <w:spacing w:val="-1"/>
          <w:szCs w:val="24"/>
        </w:rPr>
        <w:t xml:space="preserve">involves </w:t>
      </w:r>
      <w:r w:rsidRPr="00F44C48">
        <w:rPr>
          <w:rFonts w:eastAsia="Calibri"/>
          <w:spacing w:val="-2"/>
          <w:szCs w:val="24"/>
        </w:rPr>
        <w:t>attempting</w:t>
      </w:r>
      <w:r w:rsidRPr="00F44C48">
        <w:rPr>
          <w:rFonts w:eastAsia="Calibri"/>
          <w:spacing w:val="1"/>
          <w:szCs w:val="24"/>
        </w:rPr>
        <w:t xml:space="preserve"> </w:t>
      </w:r>
      <w:r w:rsidRPr="00F44C48">
        <w:rPr>
          <w:rFonts w:eastAsia="Calibri"/>
          <w:spacing w:val="-1"/>
          <w:szCs w:val="24"/>
        </w:rPr>
        <w:t>to improve</w:t>
      </w:r>
      <w:r w:rsidRPr="00F44C48">
        <w:rPr>
          <w:rFonts w:eastAsia="Calibri"/>
          <w:spacing w:val="-2"/>
          <w:szCs w:val="24"/>
        </w:rPr>
        <w:t xml:space="preserve"> the patient’s</w:t>
      </w:r>
      <w:r w:rsidRPr="00F44C48">
        <w:rPr>
          <w:rFonts w:eastAsia="Calibri"/>
          <w:spacing w:val="-1"/>
          <w:szCs w:val="24"/>
        </w:rPr>
        <w:t xml:space="preserve"> vision</w:t>
      </w:r>
      <w:r w:rsidRPr="00F44C48">
        <w:rPr>
          <w:rFonts w:eastAsia="Calibri"/>
          <w:spacing w:val="-3"/>
          <w:szCs w:val="24"/>
        </w:rPr>
        <w:t xml:space="preserve"> </w:t>
      </w:r>
      <w:r w:rsidRPr="00F44C48">
        <w:rPr>
          <w:rFonts w:eastAsia="Calibri"/>
          <w:spacing w:val="-1"/>
          <w:szCs w:val="24"/>
        </w:rPr>
        <w:t>with</w:t>
      </w:r>
      <w:r w:rsidR="0059205F">
        <w:rPr>
          <w:rFonts w:eastAsia="Calibri"/>
          <w:spacing w:val="-1"/>
          <w:szCs w:val="24"/>
        </w:rPr>
        <w:t xml:space="preserve"> </w:t>
      </w:r>
      <w:r w:rsidRPr="00F44C48">
        <w:rPr>
          <w:rFonts w:eastAsia="Calibri"/>
          <w:spacing w:val="-1"/>
          <w:szCs w:val="24"/>
        </w:rPr>
        <w:t>glasses</w:t>
      </w:r>
      <w:r w:rsidRPr="00F44C48">
        <w:rPr>
          <w:rFonts w:eastAsia="Calibri"/>
          <w:spacing w:val="-2"/>
          <w:szCs w:val="24"/>
        </w:rPr>
        <w:t xml:space="preserve"> </w:t>
      </w:r>
      <w:r w:rsidRPr="00F44C48">
        <w:rPr>
          <w:rFonts w:eastAsia="Calibri"/>
          <w:szCs w:val="24"/>
        </w:rPr>
        <w:t>or</w:t>
      </w:r>
      <w:r w:rsidRPr="00F44C48">
        <w:rPr>
          <w:rFonts w:eastAsia="Calibri"/>
          <w:spacing w:val="1"/>
          <w:szCs w:val="24"/>
        </w:rPr>
        <w:t xml:space="preserve"> </w:t>
      </w:r>
      <w:r w:rsidRPr="00F44C48">
        <w:rPr>
          <w:rFonts w:eastAsia="Calibri"/>
          <w:spacing w:val="-2"/>
          <w:szCs w:val="24"/>
        </w:rPr>
        <w:t>soft</w:t>
      </w:r>
      <w:r w:rsidRPr="00F44C48">
        <w:rPr>
          <w:rFonts w:eastAsia="Calibri"/>
          <w:spacing w:val="-3"/>
          <w:szCs w:val="24"/>
        </w:rPr>
        <w:t xml:space="preserve"> </w:t>
      </w:r>
      <w:r w:rsidRPr="00F44C48">
        <w:rPr>
          <w:rFonts w:eastAsia="Calibri"/>
          <w:spacing w:val="-1"/>
          <w:szCs w:val="24"/>
        </w:rPr>
        <w:t>contact</w:t>
      </w:r>
      <w:r w:rsidRPr="00F44C48">
        <w:rPr>
          <w:rFonts w:eastAsia="Calibri"/>
          <w:spacing w:val="-3"/>
          <w:szCs w:val="24"/>
        </w:rPr>
        <w:t xml:space="preserve"> </w:t>
      </w:r>
      <w:r w:rsidRPr="00F44C48">
        <w:rPr>
          <w:rFonts w:eastAsia="Calibri"/>
          <w:spacing w:val="-1"/>
          <w:szCs w:val="24"/>
        </w:rPr>
        <w:t>lenses,</w:t>
      </w:r>
      <w:r w:rsidRPr="00F44C48">
        <w:rPr>
          <w:rFonts w:eastAsia="Calibri"/>
          <w:spacing w:val="-3"/>
          <w:szCs w:val="24"/>
        </w:rPr>
        <w:t xml:space="preserve"> </w:t>
      </w:r>
      <w:r w:rsidRPr="00F44C48">
        <w:rPr>
          <w:rFonts w:eastAsia="Calibri"/>
          <w:spacing w:val="-2"/>
          <w:szCs w:val="24"/>
        </w:rPr>
        <w:t>and</w:t>
      </w:r>
      <w:r w:rsidRPr="00F44C48">
        <w:rPr>
          <w:rFonts w:eastAsia="Calibri"/>
          <w:spacing w:val="-1"/>
          <w:szCs w:val="24"/>
        </w:rPr>
        <w:t xml:space="preserve"> if</w:t>
      </w:r>
      <w:r w:rsidRPr="00F44C48">
        <w:rPr>
          <w:rFonts w:eastAsia="Calibri"/>
          <w:spacing w:val="-3"/>
          <w:szCs w:val="24"/>
        </w:rPr>
        <w:t xml:space="preserve"> </w:t>
      </w:r>
      <w:r w:rsidRPr="00F44C48">
        <w:rPr>
          <w:rFonts w:eastAsia="Calibri"/>
          <w:spacing w:val="-1"/>
          <w:szCs w:val="24"/>
        </w:rPr>
        <w:t>no improvement</w:t>
      </w:r>
      <w:r w:rsidRPr="00F44C48">
        <w:rPr>
          <w:rFonts w:eastAsia="Calibri"/>
          <w:spacing w:val="-3"/>
          <w:szCs w:val="24"/>
        </w:rPr>
        <w:t xml:space="preserve"> </w:t>
      </w:r>
      <w:r w:rsidRPr="00F44C48">
        <w:rPr>
          <w:rFonts w:eastAsia="Calibri"/>
          <w:szCs w:val="24"/>
        </w:rPr>
        <w:t>or</w:t>
      </w:r>
      <w:r w:rsidRPr="00F44C48">
        <w:rPr>
          <w:rFonts w:eastAsia="Calibri"/>
          <w:spacing w:val="-4"/>
          <w:szCs w:val="24"/>
        </w:rPr>
        <w:t xml:space="preserve"> </w:t>
      </w:r>
      <w:r w:rsidRPr="00F44C48">
        <w:rPr>
          <w:rFonts w:eastAsia="Calibri"/>
          <w:spacing w:val="-1"/>
          <w:szCs w:val="24"/>
        </w:rPr>
        <w:t>deterioration</w:t>
      </w:r>
      <w:r w:rsidRPr="00F44C48">
        <w:rPr>
          <w:rFonts w:eastAsia="Calibri"/>
          <w:spacing w:val="-3"/>
          <w:szCs w:val="24"/>
        </w:rPr>
        <w:t xml:space="preserve"> </w:t>
      </w:r>
      <w:r w:rsidRPr="00F44C48">
        <w:rPr>
          <w:rFonts w:eastAsia="Calibri"/>
          <w:spacing w:val="-2"/>
          <w:szCs w:val="24"/>
        </w:rPr>
        <w:t>then</w:t>
      </w:r>
      <w:r w:rsidRPr="00F44C48">
        <w:rPr>
          <w:rFonts w:eastAsia="Calibri"/>
          <w:spacing w:val="-3"/>
          <w:szCs w:val="24"/>
        </w:rPr>
        <w:t xml:space="preserve"> </w:t>
      </w:r>
      <w:r w:rsidRPr="00F44C48">
        <w:rPr>
          <w:rFonts w:eastAsia="Calibri"/>
          <w:spacing w:val="-1"/>
          <w:szCs w:val="24"/>
        </w:rPr>
        <w:t>hard contact</w:t>
      </w:r>
      <w:r w:rsidR="00264C9C">
        <w:rPr>
          <w:rFonts w:eastAsia="Calibri"/>
          <w:spacing w:val="61"/>
          <w:szCs w:val="24"/>
        </w:rPr>
        <w:t xml:space="preserve"> </w:t>
      </w:r>
      <w:r w:rsidRPr="00F44C48">
        <w:rPr>
          <w:rFonts w:eastAsia="Calibri"/>
          <w:spacing w:val="-1"/>
          <w:szCs w:val="24"/>
        </w:rPr>
        <w:t>lenses.</w:t>
      </w:r>
      <w:r w:rsidRPr="00F44C48">
        <w:rPr>
          <w:rFonts w:eastAsia="Calibri"/>
          <w:spacing w:val="-3"/>
          <w:szCs w:val="24"/>
        </w:rPr>
        <w:t xml:space="preserve"> </w:t>
      </w:r>
      <w:r w:rsidRPr="00F44C48">
        <w:rPr>
          <w:rFonts w:eastAsia="Calibri"/>
          <w:spacing w:val="-1"/>
          <w:szCs w:val="24"/>
        </w:rPr>
        <w:t>If</w:t>
      </w:r>
      <w:r w:rsidRPr="00F44C48">
        <w:rPr>
          <w:rFonts w:eastAsia="Calibri"/>
          <w:spacing w:val="-3"/>
          <w:szCs w:val="24"/>
        </w:rPr>
        <w:t xml:space="preserve"> </w:t>
      </w:r>
      <w:r w:rsidRPr="00F44C48">
        <w:rPr>
          <w:rFonts w:eastAsia="Calibri"/>
          <w:szCs w:val="24"/>
        </w:rPr>
        <w:t>hard</w:t>
      </w:r>
      <w:r w:rsidRPr="00F44C48">
        <w:rPr>
          <w:rFonts w:eastAsia="Calibri"/>
          <w:spacing w:val="-1"/>
          <w:szCs w:val="24"/>
        </w:rPr>
        <w:t xml:space="preserve"> contact</w:t>
      </w:r>
      <w:r w:rsidRPr="00F44C48">
        <w:rPr>
          <w:rFonts w:eastAsia="Calibri"/>
          <w:spacing w:val="-3"/>
          <w:szCs w:val="24"/>
        </w:rPr>
        <w:t xml:space="preserve"> </w:t>
      </w:r>
      <w:r w:rsidRPr="00F44C48">
        <w:rPr>
          <w:rFonts w:eastAsia="Calibri"/>
          <w:spacing w:val="-1"/>
          <w:szCs w:val="24"/>
        </w:rPr>
        <w:t>lenses</w:t>
      </w:r>
      <w:r w:rsidRPr="00F44C48">
        <w:rPr>
          <w:rFonts w:eastAsia="Calibri"/>
          <w:spacing w:val="-2"/>
          <w:szCs w:val="24"/>
        </w:rPr>
        <w:t xml:space="preserve"> cannot</w:t>
      </w:r>
      <w:r w:rsidRPr="00F44C48">
        <w:rPr>
          <w:rFonts w:eastAsia="Calibri"/>
          <w:spacing w:val="-3"/>
          <w:szCs w:val="24"/>
        </w:rPr>
        <w:t xml:space="preserve"> </w:t>
      </w:r>
      <w:r w:rsidRPr="00F44C48">
        <w:rPr>
          <w:rFonts w:eastAsia="Calibri"/>
          <w:spacing w:val="-2"/>
          <w:szCs w:val="24"/>
        </w:rPr>
        <w:t>be fitted</w:t>
      </w:r>
      <w:r w:rsidRPr="00F44C48">
        <w:rPr>
          <w:rFonts w:eastAsia="Calibri"/>
          <w:spacing w:val="-1"/>
          <w:szCs w:val="24"/>
        </w:rPr>
        <w:t xml:space="preserve"> </w:t>
      </w:r>
      <w:r w:rsidRPr="00F44C48">
        <w:rPr>
          <w:rFonts w:eastAsia="Calibri"/>
          <w:szCs w:val="24"/>
        </w:rPr>
        <w:t>or</w:t>
      </w:r>
      <w:r w:rsidRPr="00F44C48">
        <w:rPr>
          <w:rFonts w:eastAsia="Calibri"/>
          <w:spacing w:val="1"/>
          <w:szCs w:val="24"/>
        </w:rPr>
        <w:t xml:space="preserve"> </w:t>
      </w:r>
      <w:r w:rsidRPr="00F44C48">
        <w:rPr>
          <w:rFonts w:eastAsia="Calibri"/>
          <w:szCs w:val="24"/>
        </w:rPr>
        <w:t>are</w:t>
      </w:r>
      <w:r w:rsidRPr="00F44C48">
        <w:rPr>
          <w:rFonts w:eastAsia="Calibri"/>
          <w:spacing w:val="-2"/>
          <w:szCs w:val="24"/>
        </w:rPr>
        <w:t xml:space="preserve"> </w:t>
      </w:r>
      <w:r w:rsidRPr="00F44C48">
        <w:rPr>
          <w:rFonts w:eastAsia="Calibri"/>
          <w:spacing w:val="-1"/>
          <w:szCs w:val="24"/>
        </w:rPr>
        <w:t>unsuccessful,</w:t>
      </w:r>
      <w:r w:rsidRPr="00F44C48">
        <w:rPr>
          <w:rFonts w:eastAsia="Calibri"/>
          <w:spacing w:val="-3"/>
          <w:szCs w:val="24"/>
        </w:rPr>
        <w:t xml:space="preserve"> </w:t>
      </w:r>
      <w:r w:rsidRPr="00F44C48">
        <w:rPr>
          <w:rFonts w:eastAsia="Calibri"/>
          <w:spacing w:val="-2"/>
          <w:szCs w:val="24"/>
        </w:rPr>
        <w:t>then</w:t>
      </w:r>
      <w:r w:rsidRPr="00F44C48">
        <w:rPr>
          <w:rFonts w:eastAsia="Calibri"/>
          <w:spacing w:val="-3"/>
          <w:szCs w:val="24"/>
        </w:rPr>
        <w:t xml:space="preserve"> </w:t>
      </w:r>
      <w:r w:rsidRPr="00F44C48">
        <w:rPr>
          <w:rFonts w:eastAsia="Calibri"/>
          <w:spacing w:val="-2"/>
          <w:szCs w:val="24"/>
        </w:rPr>
        <w:t>patients</w:t>
      </w:r>
      <w:r w:rsidRPr="00F44C48">
        <w:rPr>
          <w:rFonts w:eastAsia="Calibri"/>
          <w:spacing w:val="-1"/>
          <w:szCs w:val="24"/>
        </w:rPr>
        <w:t xml:space="preserve"> undertake</w:t>
      </w:r>
      <w:r w:rsidR="0059205F">
        <w:rPr>
          <w:rFonts w:eastAsia="Calibri"/>
          <w:spacing w:val="-1"/>
          <w:szCs w:val="24"/>
        </w:rPr>
        <w:t xml:space="preserve"> </w:t>
      </w:r>
      <w:r w:rsidRPr="00F44C48">
        <w:rPr>
          <w:rFonts w:eastAsia="Calibri"/>
          <w:spacing w:val="-2"/>
          <w:szCs w:val="24"/>
        </w:rPr>
        <w:t>penetrating</w:t>
      </w:r>
      <w:r w:rsidRPr="00F44C48">
        <w:rPr>
          <w:rFonts w:eastAsia="Calibri"/>
          <w:spacing w:val="1"/>
          <w:szCs w:val="24"/>
        </w:rPr>
        <w:t xml:space="preserve"> </w:t>
      </w:r>
      <w:r w:rsidRPr="00F44C48">
        <w:rPr>
          <w:rFonts w:eastAsia="Calibri"/>
          <w:spacing w:val="-1"/>
          <w:szCs w:val="24"/>
        </w:rPr>
        <w:t>corneal graft.</w:t>
      </w:r>
    </w:p>
    <w:p w:rsidR="00BC1364" w:rsidRPr="00F715D1" w:rsidRDefault="00BC1364" w:rsidP="00F715D1">
      <w:pPr>
        <w:pStyle w:val="Heading1"/>
      </w:pPr>
      <w:r w:rsidRPr="00F715D1">
        <w:t>Comparative safety</w:t>
      </w:r>
    </w:p>
    <w:p w:rsidR="00F44C48" w:rsidRPr="0059205F" w:rsidRDefault="00F44C48" w:rsidP="0088453C">
      <w:pPr>
        <w:pStyle w:val="BodyText"/>
        <w:kinsoku w:val="0"/>
        <w:overflowPunct w:val="0"/>
        <w:spacing w:after="0"/>
        <w:rPr>
          <w:spacing w:val="-1"/>
        </w:rPr>
      </w:pPr>
      <w:r>
        <w:t>Adverse</w:t>
      </w:r>
      <w:r>
        <w:rPr>
          <w:spacing w:val="-2"/>
        </w:rPr>
        <w:t xml:space="preserve"> </w:t>
      </w:r>
      <w:r>
        <w:rPr>
          <w:spacing w:val="-1"/>
        </w:rPr>
        <w:t xml:space="preserve">events </w:t>
      </w:r>
      <w:r>
        <w:rPr>
          <w:spacing w:val="-2"/>
        </w:rPr>
        <w:t>and</w:t>
      </w:r>
      <w:r>
        <w:rPr>
          <w:spacing w:val="-1"/>
        </w:rPr>
        <w:t xml:space="preserve"> complications after</w:t>
      </w:r>
      <w:r>
        <w:rPr>
          <w:spacing w:val="-4"/>
        </w:rPr>
        <w:t xml:space="preserve"> </w:t>
      </w:r>
      <w:r>
        <w:rPr>
          <w:spacing w:val="-1"/>
        </w:rPr>
        <w:t>CCXL are</w:t>
      </w:r>
      <w:r>
        <w:rPr>
          <w:spacing w:val="-2"/>
        </w:rPr>
        <w:t xml:space="preserve"> </w:t>
      </w:r>
      <w:r>
        <w:rPr>
          <w:spacing w:val="-1"/>
        </w:rPr>
        <w:t>not</w:t>
      </w:r>
      <w:r>
        <w:rPr>
          <w:spacing w:val="-3"/>
        </w:rPr>
        <w:t xml:space="preserve"> </w:t>
      </w:r>
      <w:r>
        <w:rPr>
          <w:spacing w:val="-1"/>
        </w:rPr>
        <w:t>well reported in</w:t>
      </w:r>
      <w:r>
        <w:rPr>
          <w:spacing w:val="-3"/>
        </w:rPr>
        <w:t xml:space="preserve"> </w:t>
      </w:r>
      <w:r>
        <w:rPr>
          <w:spacing w:val="-1"/>
        </w:rPr>
        <w:t>randomised trials,</w:t>
      </w:r>
      <w:r w:rsidR="0059205F">
        <w:rPr>
          <w:spacing w:val="-1"/>
        </w:rPr>
        <w:t xml:space="preserve"> </w:t>
      </w:r>
      <w:r>
        <w:t xml:space="preserve">so </w:t>
      </w:r>
      <w:r>
        <w:rPr>
          <w:spacing w:val="-1"/>
        </w:rPr>
        <w:t>there</w:t>
      </w:r>
      <w:r>
        <w:rPr>
          <w:spacing w:val="-2"/>
        </w:rPr>
        <w:t xml:space="preserve"> </w:t>
      </w:r>
      <w:r>
        <w:t>are</w:t>
      </w:r>
      <w:r>
        <w:rPr>
          <w:spacing w:val="-2"/>
        </w:rPr>
        <w:t xml:space="preserve"> </w:t>
      </w:r>
      <w:r>
        <w:rPr>
          <w:spacing w:val="-1"/>
        </w:rPr>
        <w:t>few</w:t>
      </w:r>
      <w:r>
        <w:rPr>
          <w:spacing w:val="-3"/>
        </w:rPr>
        <w:t xml:space="preserve"> </w:t>
      </w:r>
      <w:r>
        <w:rPr>
          <w:spacing w:val="-2"/>
        </w:rPr>
        <w:t xml:space="preserve">comparative </w:t>
      </w:r>
      <w:r>
        <w:rPr>
          <w:spacing w:val="-1"/>
        </w:rPr>
        <w:t>safety</w:t>
      </w:r>
      <w:r>
        <w:rPr>
          <w:spacing w:val="-3"/>
        </w:rPr>
        <w:t xml:space="preserve"> </w:t>
      </w:r>
      <w:r>
        <w:t>data.</w:t>
      </w:r>
      <w:r>
        <w:rPr>
          <w:spacing w:val="-3"/>
        </w:rPr>
        <w:t xml:space="preserve"> </w:t>
      </w:r>
      <w:r>
        <w:t>A</w:t>
      </w:r>
      <w:r>
        <w:rPr>
          <w:spacing w:val="-1"/>
        </w:rPr>
        <w:t xml:space="preserve"> range</w:t>
      </w:r>
      <w:r>
        <w:rPr>
          <w:spacing w:val="-7"/>
        </w:rPr>
        <w:t xml:space="preserve"> </w:t>
      </w:r>
      <w:r>
        <w:t>of</w:t>
      </w:r>
      <w:r>
        <w:rPr>
          <w:spacing w:val="-3"/>
        </w:rPr>
        <w:t xml:space="preserve"> </w:t>
      </w:r>
      <w:r>
        <w:rPr>
          <w:spacing w:val="-1"/>
        </w:rPr>
        <w:t>adverse</w:t>
      </w:r>
      <w:r>
        <w:rPr>
          <w:spacing w:val="-2"/>
        </w:rPr>
        <w:t xml:space="preserve"> </w:t>
      </w:r>
      <w:r>
        <w:rPr>
          <w:spacing w:val="-1"/>
        </w:rPr>
        <w:t>events have</w:t>
      </w:r>
      <w:r>
        <w:rPr>
          <w:spacing w:val="-2"/>
        </w:rPr>
        <w:t xml:space="preserve"> been</w:t>
      </w:r>
      <w:r>
        <w:rPr>
          <w:spacing w:val="4"/>
        </w:rPr>
        <w:t xml:space="preserve"> </w:t>
      </w:r>
      <w:r>
        <w:rPr>
          <w:spacing w:val="-1"/>
        </w:rPr>
        <w:t>described</w:t>
      </w:r>
      <w:r>
        <w:rPr>
          <w:spacing w:val="65"/>
        </w:rPr>
        <w:t xml:space="preserve"> </w:t>
      </w:r>
      <w:r>
        <w:rPr>
          <w:spacing w:val="-2"/>
        </w:rPr>
        <w:t>but</w:t>
      </w:r>
      <w:r>
        <w:rPr>
          <w:spacing w:val="-3"/>
        </w:rPr>
        <w:t xml:space="preserve"> </w:t>
      </w:r>
      <w:r>
        <w:rPr>
          <w:spacing w:val="-1"/>
        </w:rPr>
        <w:t>these</w:t>
      </w:r>
      <w:r>
        <w:rPr>
          <w:spacing w:val="-2"/>
        </w:rPr>
        <w:t xml:space="preserve"> </w:t>
      </w:r>
      <w:r>
        <w:t>are</w:t>
      </w:r>
      <w:r>
        <w:rPr>
          <w:spacing w:val="-2"/>
        </w:rPr>
        <w:t xml:space="preserve"> </w:t>
      </w:r>
      <w:r>
        <w:rPr>
          <w:spacing w:val="-1"/>
        </w:rPr>
        <w:t>generally</w:t>
      </w:r>
      <w:r>
        <w:rPr>
          <w:spacing w:val="-3"/>
        </w:rPr>
        <w:t xml:space="preserve"> </w:t>
      </w:r>
      <w:r>
        <w:rPr>
          <w:spacing w:val="-1"/>
        </w:rPr>
        <w:t>minor</w:t>
      </w:r>
      <w:r>
        <w:rPr>
          <w:spacing w:val="-4"/>
        </w:rPr>
        <w:t xml:space="preserve"> </w:t>
      </w:r>
      <w:r>
        <w:rPr>
          <w:spacing w:val="-1"/>
        </w:rPr>
        <w:t xml:space="preserve">and </w:t>
      </w:r>
      <w:r>
        <w:rPr>
          <w:spacing w:val="-2"/>
        </w:rPr>
        <w:t>transient.</w:t>
      </w:r>
      <w:r>
        <w:rPr>
          <w:spacing w:val="-3"/>
        </w:rPr>
        <w:t xml:space="preserve"> </w:t>
      </w:r>
      <w:r>
        <w:rPr>
          <w:spacing w:val="-1"/>
        </w:rPr>
        <w:t xml:space="preserve">Corneal </w:t>
      </w:r>
      <w:r>
        <w:rPr>
          <w:spacing w:val="-2"/>
        </w:rPr>
        <w:t xml:space="preserve">haze </w:t>
      </w:r>
      <w:r>
        <w:rPr>
          <w:spacing w:val="-1"/>
        </w:rPr>
        <w:t>is common</w:t>
      </w:r>
      <w:r>
        <w:rPr>
          <w:spacing w:val="-3"/>
        </w:rPr>
        <w:t xml:space="preserve"> </w:t>
      </w:r>
      <w:r>
        <w:rPr>
          <w:spacing w:val="-2"/>
        </w:rPr>
        <w:t>but</w:t>
      </w:r>
      <w:r>
        <w:rPr>
          <w:spacing w:val="-3"/>
        </w:rPr>
        <w:t xml:space="preserve"> </w:t>
      </w:r>
      <w:r>
        <w:t>resolves</w:t>
      </w:r>
      <w:r>
        <w:rPr>
          <w:spacing w:val="-1"/>
        </w:rPr>
        <w:t xml:space="preserve"> </w:t>
      </w:r>
      <w:r>
        <w:rPr>
          <w:spacing w:val="-2"/>
        </w:rPr>
        <w:t>over</w:t>
      </w:r>
      <w:r>
        <w:rPr>
          <w:spacing w:val="69"/>
        </w:rPr>
        <w:t xml:space="preserve"> </w:t>
      </w:r>
      <w:r>
        <w:rPr>
          <w:spacing w:val="-2"/>
        </w:rPr>
        <w:t>time.</w:t>
      </w:r>
    </w:p>
    <w:p w:rsidR="00F44C48" w:rsidRDefault="0059205F" w:rsidP="0088453C">
      <w:pPr>
        <w:pStyle w:val="BodyText"/>
        <w:kinsoku w:val="0"/>
        <w:overflowPunct w:val="0"/>
        <w:spacing w:before="240" w:after="0"/>
        <w:ind w:right="103"/>
        <w:rPr>
          <w:spacing w:val="-2"/>
        </w:rPr>
      </w:pPr>
      <w:r>
        <w:rPr>
          <w:spacing w:val="-1"/>
        </w:rPr>
        <w:t xml:space="preserve">The </w:t>
      </w:r>
      <w:r w:rsidR="008675CE">
        <w:rPr>
          <w:spacing w:val="-1"/>
        </w:rPr>
        <w:t>assessment report</w:t>
      </w:r>
      <w:r>
        <w:rPr>
          <w:spacing w:val="-1"/>
        </w:rPr>
        <w:t xml:space="preserve"> stated i</w:t>
      </w:r>
      <w:r w:rsidR="00F44C48">
        <w:rPr>
          <w:spacing w:val="-1"/>
        </w:rPr>
        <w:t>t</w:t>
      </w:r>
      <w:r w:rsidR="00F44C48">
        <w:rPr>
          <w:spacing w:val="-3"/>
        </w:rPr>
        <w:t xml:space="preserve"> </w:t>
      </w:r>
      <w:r>
        <w:rPr>
          <w:spacing w:val="-1"/>
        </w:rPr>
        <w:t>had</w:t>
      </w:r>
      <w:r w:rsidR="00F44C48">
        <w:rPr>
          <w:spacing w:val="-1"/>
        </w:rPr>
        <w:t xml:space="preserve"> not</w:t>
      </w:r>
      <w:r w:rsidR="00F44C48">
        <w:rPr>
          <w:spacing w:val="-3"/>
        </w:rPr>
        <w:t xml:space="preserve"> </w:t>
      </w:r>
      <w:r>
        <w:rPr>
          <w:spacing w:val="-2"/>
        </w:rPr>
        <w:t>been</w:t>
      </w:r>
      <w:r w:rsidR="00F44C48">
        <w:rPr>
          <w:spacing w:val="-2"/>
        </w:rPr>
        <w:t xml:space="preserve"> </w:t>
      </w:r>
      <w:r w:rsidR="00F44C48">
        <w:rPr>
          <w:spacing w:val="-1"/>
        </w:rPr>
        <w:t>possible</w:t>
      </w:r>
      <w:r w:rsidR="00F44C48">
        <w:rPr>
          <w:spacing w:val="-2"/>
        </w:rPr>
        <w:t xml:space="preserve"> </w:t>
      </w:r>
      <w:r w:rsidR="00F44C48">
        <w:rPr>
          <w:spacing w:val="-1"/>
        </w:rPr>
        <w:t xml:space="preserve">to </w:t>
      </w:r>
      <w:r w:rsidR="00F44C48">
        <w:t xml:space="preserve">assess </w:t>
      </w:r>
      <w:r w:rsidR="00F44C48">
        <w:rPr>
          <w:spacing w:val="-1"/>
        </w:rPr>
        <w:t>safety</w:t>
      </w:r>
      <w:r w:rsidR="00F44C48">
        <w:rPr>
          <w:spacing w:val="-3"/>
        </w:rPr>
        <w:t xml:space="preserve"> </w:t>
      </w:r>
      <w:r w:rsidR="00F44C48">
        <w:t>of</w:t>
      </w:r>
      <w:r w:rsidR="00F44C48">
        <w:rPr>
          <w:spacing w:val="-3"/>
        </w:rPr>
        <w:t xml:space="preserve"> </w:t>
      </w:r>
      <w:r w:rsidR="00F44C48">
        <w:rPr>
          <w:spacing w:val="-1"/>
        </w:rPr>
        <w:t>CCXL relative</w:t>
      </w:r>
      <w:r w:rsidR="00F44C48">
        <w:rPr>
          <w:spacing w:val="-2"/>
        </w:rPr>
        <w:t xml:space="preserve"> </w:t>
      </w:r>
      <w:r w:rsidR="00F44C48">
        <w:rPr>
          <w:spacing w:val="-1"/>
        </w:rPr>
        <w:t xml:space="preserve">to </w:t>
      </w:r>
      <w:r w:rsidR="00F44C48">
        <w:rPr>
          <w:spacing w:val="-2"/>
        </w:rPr>
        <w:t xml:space="preserve">the </w:t>
      </w:r>
      <w:r w:rsidR="00F44C48">
        <w:rPr>
          <w:spacing w:val="-1"/>
        </w:rPr>
        <w:t>conventional</w:t>
      </w:r>
      <w:r w:rsidR="00F44C48">
        <w:rPr>
          <w:spacing w:val="35"/>
        </w:rPr>
        <w:t xml:space="preserve"> </w:t>
      </w:r>
      <w:r w:rsidR="00F44C48">
        <w:rPr>
          <w:spacing w:val="-1"/>
        </w:rPr>
        <w:t>management</w:t>
      </w:r>
      <w:r w:rsidR="00F44C48">
        <w:rPr>
          <w:spacing w:val="-3"/>
        </w:rPr>
        <w:t xml:space="preserve"> </w:t>
      </w:r>
      <w:r w:rsidR="00F44C48">
        <w:rPr>
          <w:spacing w:val="-1"/>
        </w:rPr>
        <w:t>pathway</w:t>
      </w:r>
      <w:r w:rsidR="00F44C48">
        <w:rPr>
          <w:spacing w:val="-3"/>
        </w:rPr>
        <w:t xml:space="preserve"> </w:t>
      </w:r>
      <w:r w:rsidR="00F44C48">
        <w:rPr>
          <w:spacing w:val="-2"/>
        </w:rPr>
        <w:t>without</w:t>
      </w:r>
      <w:r w:rsidR="00F44C48">
        <w:rPr>
          <w:spacing w:val="-3"/>
        </w:rPr>
        <w:t xml:space="preserve"> </w:t>
      </w:r>
      <w:r w:rsidR="00F44C48">
        <w:t>CCXL.</w:t>
      </w:r>
      <w:r w:rsidR="00F44C48">
        <w:rPr>
          <w:spacing w:val="-3"/>
        </w:rPr>
        <w:t xml:space="preserve"> </w:t>
      </w:r>
      <w:r w:rsidR="00F44C48">
        <w:rPr>
          <w:spacing w:val="-1"/>
        </w:rPr>
        <w:t>Therefore,</w:t>
      </w:r>
      <w:r w:rsidR="00F44C48">
        <w:rPr>
          <w:spacing w:val="-3"/>
        </w:rPr>
        <w:t xml:space="preserve"> </w:t>
      </w:r>
      <w:r w:rsidR="00264C9C">
        <w:rPr>
          <w:spacing w:val="-2"/>
        </w:rPr>
        <w:t>at</w:t>
      </w:r>
      <w:r w:rsidR="00F44C48">
        <w:rPr>
          <w:spacing w:val="-1"/>
        </w:rPr>
        <w:t xml:space="preserve"> best,</w:t>
      </w:r>
      <w:r w:rsidR="00F44C48">
        <w:rPr>
          <w:spacing w:val="-3"/>
        </w:rPr>
        <w:t xml:space="preserve"> </w:t>
      </w:r>
      <w:r w:rsidR="00F44C48">
        <w:t>CCXL</w:t>
      </w:r>
      <w:r w:rsidR="00F44C48">
        <w:rPr>
          <w:spacing w:val="-1"/>
        </w:rPr>
        <w:t xml:space="preserve"> can</w:t>
      </w:r>
      <w:r w:rsidR="00F44C48">
        <w:rPr>
          <w:spacing w:val="-3"/>
        </w:rPr>
        <w:t xml:space="preserve"> </w:t>
      </w:r>
      <w:r w:rsidR="00F44C48">
        <w:rPr>
          <w:spacing w:val="-2"/>
        </w:rPr>
        <w:t xml:space="preserve">be </w:t>
      </w:r>
      <w:r w:rsidR="00F44C48">
        <w:rPr>
          <w:spacing w:val="-1"/>
        </w:rPr>
        <w:t xml:space="preserve">assessed </w:t>
      </w:r>
      <w:r w:rsidR="00F44C48">
        <w:rPr>
          <w:spacing w:val="2"/>
        </w:rPr>
        <w:t>to</w:t>
      </w:r>
      <w:r w:rsidR="00F44C48">
        <w:rPr>
          <w:spacing w:val="-1"/>
        </w:rPr>
        <w:t xml:space="preserve"> </w:t>
      </w:r>
      <w:r w:rsidR="00F44C48">
        <w:rPr>
          <w:spacing w:val="-2"/>
        </w:rPr>
        <w:t>be</w:t>
      </w:r>
      <w:r>
        <w:rPr>
          <w:spacing w:val="-2"/>
        </w:rPr>
        <w:t xml:space="preserve"> </w:t>
      </w:r>
      <w:proofErr w:type="spellStart"/>
      <w:r w:rsidR="00F44C48">
        <w:rPr>
          <w:spacing w:val="-2"/>
        </w:rPr>
        <w:t>noninferior</w:t>
      </w:r>
      <w:proofErr w:type="spellEnd"/>
      <w:r w:rsidR="00F44C48">
        <w:rPr>
          <w:spacing w:val="1"/>
        </w:rPr>
        <w:t xml:space="preserve"> </w:t>
      </w:r>
      <w:r w:rsidR="00F44C48">
        <w:rPr>
          <w:spacing w:val="-2"/>
        </w:rPr>
        <w:t>with</w:t>
      </w:r>
      <w:r w:rsidR="00F44C48">
        <w:rPr>
          <w:spacing w:val="-3"/>
        </w:rPr>
        <w:t xml:space="preserve"> </w:t>
      </w:r>
      <w:r w:rsidR="00F44C48">
        <w:rPr>
          <w:spacing w:val="-1"/>
        </w:rPr>
        <w:t>respect</w:t>
      </w:r>
      <w:r w:rsidR="00F44C48">
        <w:rPr>
          <w:spacing w:val="-3"/>
        </w:rPr>
        <w:t xml:space="preserve"> </w:t>
      </w:r>
      <w:r w:rsidR="00F44C48">
        <w:rPr>
          <w:spacing w:val="-1"/>
        </w:rPr>
        <w:t>to safety</w:t>
      </w:r>
      <w:r w:rsidR="00F44C48">
        <w:rPr>
          <w:spacing w:val="-2"/>
        </w:rPr>
        <w:t>.</w:t>
      </w:r>
    </w:p>
    <w:p w:rsidR="00BC1364" w:rsidRPr="00F715D1" w:rsidRDefault="00BC1364" w:rsidP="00F715D1">
      <w:pPr>
        <w:pStyle w:val="Heading1"/>
      </w:pPr>
      <w:r w:rsidRPr="00F715D1">
        <w:t>Comparative effectiveness</w:t>
      </w:r>
    </w:p>
    <w:p w:rsidR="00F44C48" w:rsidRDefault="008675CE" w:rsidP="008675CE">
      <w:pPr>
        <w:kinsoku w:val="0"/>
        <w:overflowPunct w:val="0"/>
        <w:autoSpaceDE w:val="0"/>
        <w:autoSpaceDN w:val="0"/>
        <w:adjustRightInd w:val="0"/>
        <w:ind w:left="40"/>
        <w:rPr>
          <w:rFonts w:eastAsia="Calibri"/>
          <w:spacing w:val="-1"/>
          <w:szCs w:val="24"/>
        </w:rPr>
      </w:pPr>
      <w:r>
        <w:rPr>
          <w:rFonts w:eastAsia="Calibri"/>
          <w:spacing w:val="-1"/>
          <w:szCs w:val="24"/>
        </w:rPr>
        <w:t>The assessment report stated i</w:t>
      </w:r>
      <w:r w:rsidR="00F44C48" w:rsidRPr="00F44C48">
        <w:rPr>
          <w:rFonts w:eastAsia="Calibri"/>
          <w:spacing w:val="-1"/>
          <w:szCs w:val="24"/>
        </w:rPr>
        <w:t>t</w:t>
      </w:r>
      <w:r w:rsidR="00F44C48" w:rsidRPr="00F44C48">
        <w:rPr>
          <w:rFonts w:eastAsia="Calibri"/>
          <w:spacing w:val="-3"/>
          <w:szCs w:val="24"/>
        </w:rPr>
        <w:t xml:space="preserve"> </w:t>
      </w:r>
      <w:r>
        <w:rPr>
          <w:rFonts w:eastAsia="Calibri"/>
          <w:spacing w:val="-3"/>
          <w:szCs w:val="24"/>
        </w:rPr>
        <w:t>wa</w:t>
      </w:r>
      <w:r w:rsidR="00F44C48" w:rsidRPr="00F44C48">
        <w:rPr>
          <w:rFonts w:eastAsia="Calibri"/>
          <w:spacing w:val="-1"/>
          <w:szCs w:val="24"/>
        </w:rPr>
        <w:t>s difficult</w:t>
      </w:r>
      <w:r w:rsidR="00F44C48" w:rsidRPr="00F44C48">
        <w:rPr>
          <w:rFonts w:eastAsia="Calibri"/>
          <w:spacing w:val="-2"/>
          <w:szCs w:val="24"/>
        </w:rPr>
        <w:t xml:space="preserve"> </w:t>
      </w:r>
      <w:r w:rsidR="00F44C48" w:rsidRPr="00F44C48">
        <w:rPr>
          <w:rFonts w:eastAsia="Calibri"/>
          <w:spacing w:val="-1"/>
          <w:szCs w:val="24"/>
        </w:rPr>
        <w:t>to classify</w:t>
      </w:r>
      <w:r w:rsidR="00F44C48" w:rsidRPr="00F44C48">
        <w:rPr>
          <w:rFonts w:eastAsia="Calibri"/>
          <w:spacing w:val="-3"/>
          <w:szCs w:val="24"/>
        </w:rPr>
        <w:t xml:space="preserve"> </w:t>
      </w:r>
      <w:r w:rsidR="00F44C48" w:rsidRPr="00F44C48">
        <w:rPr>
          <w:rFonts w:eastAsia="Calibri"/>
          <w:spacing w:val="-2"/>
          <w:szCs w:val="24"/>
        </w:rPr>
        <w:t xml:space="preserve">the </w:t>
      </w:r>
      <w:r w:rsidR="00F44C48" w:rsidRPr="00F44C48">
        <w:rPr>
          <w:rFonts w:eastAsia="Calibri"/>
          <w:spacing w:val="-1"/>
          <w:szCs w:val="24"/>
        </w:rPr>
        <w:t>therapeutic</w:t>
      </w:r>
      <w:r w:rsidR="00F44C48" w:rsidRPr="00F44C48">
        <w:rPr>
          <w:rFonts w:eastAsia="Calibri"/>
          <w:szCs w:val="24"/>
        </w:rPr>
        <w:t xml:space="preserve"> </w:t>
      </w:r>
      <w:r w:rsidR="00F44C48" w:rsidRPr="00F44C48">
        <w:rPr>
          <w:rFonts w:eastAsia="Calibri"/>
          <w:spacing w:val="-1"/>
          <w:szCs w:val="24"/>
        </w:rPr>
        <w:t>profile</w:t>
      </w:r>
      <w:r w:rsidR="00F44C48" w:rsidRPr="00F44C48">
        <w:rPr>
          <w:rFonts w:eastAsia="Calibri"/>
          <w:spacing w:val="-2"/>
          <w:szCs w:val="24"/>
        </w:rPr>
        <w:t xml:space="preserve"> </w:t>
      </w:r>
      <w:r w:rsidR="00F44C48" w:rsidRPr="00F44C48">
        <w:rPr>
          <w:rFonts w:eastAsia="Calibri"/>
          <w:szCs w:val="24"/>
        </w:rPr>
        <w:t>of</w:t>
      </w:r>
      <w:r w:rsidR="00F44C48" w:rsidRPr="00F44C48">
        <w:rPr>
          <w:rFonts w:eastAsia="Calibri"/>
          <w:spacing w:val="-3"/>
          <w:szCs w:val="24"/>
        </w:rPr>
        <w:t xml:space="preserve"> </w:t>
      </w:r>
      <w:r w:rsidR="00F44C48" w:rsidRPr="00F44C48">
        <w:rPr>
          <w:rFonts w:eastAsia="Calibri"/>
          <w:szCs w:val="24"/>
        </w:rPr>
        <w:t>CCXL</w:t>
      </w:r>
      <w:r w:rsidR="00F44C48" w:rsidRPr="00F44C48">
        <w:rPr>
          <w:rFonts w:eastAsia="Calibri"/>
          <w:spacing w:val="-5"/>
          <w:szCs w:val="24"/>
        </w:rPr>
        <w:t xml:space="preserve"> </w:t>
      </w:r>
      <w:r w:rsidR="00F44C48" w:rsidRPr="00F44C48">
        <w:rPr>
          <w:rFonts w:eastAsia="Calibri"/>
          <w:spacing w:val="-1"/>
          <w:szCs w:val="24"/>
        </w:rPr>
        <w:t>in</w:t>
      </w:r>
      <w:r w:rsidR="00F44C48" w:rsidRPr="00F44C48">
        <w:rPr>
          <w:rFonts w:eastAsia="Calibri"/>
          <w:spacing w:val="-3"/>
          <w:szCs w:val="24"/>
        </w:rPr>
        <w:t xml:space="preserve"> </w:t>
      </w:r>
      <w:r w:rsidR="00F44C48" w:rsidRPr="00F44C48">
        <w:rPr>
          <w:rFonts w:eastAsia="Calibri"/>
          <w:spacing w:val="-1"/>
          <w:szCs w:val="24"/>
        </w:rPr>
        <w:t>relation</w:t>
      </w:r>
      <w:r w:rsidR="00F44C48" w:rsidRPr="00F44C48">
        <w:rPr>
          <w:rFonts w:eastAsia="Calibri"/>
          <w:spacing w:val="-3"/>
          <w:szCs w:val="24"/>
        </w:rPr>
        <w:t xml:space="preserve"> </w:t>
      </w:r>
      <w:r w:rsidR="00F44C48" w:rsidRPr="00F44C48">
        <w:rPr>
          <w:rFonts w:eastAsia="Calibri"/>
          <w:spacing w:val="-1"/>
          <w:szCs w:val="24"/>
        </w:rPr>
        <w:t xml:space="preserve">to </w:t>
      </w:r>
      <w:r w:rsidR="00F44C48" w:rsidRPr="00F44C48">
        <w:rPr>
          <w:rFonts w:eastAsia="Calibri"/>
          <w:spacing w:val="-2"/>
          <w:szCs w:val="24"/>
        </w:rPr>
        <w:t xml:space="preserve">the </w:t>
      </w:r>
      <w:r w:rsidR="00F44C48" w:rsidRPr="00F44C48">
        <w:rPr>
          <w:rFonts w:eastAsia="Calibri"/>
          <w:spacing w:val="-1"/>
          <w:szCs w:val="24"/>
        </w:rPr>
        <w:t>current</w:t>
      </w:r>
      <w:r>
        <w:rPr>
          <w:rFonts w:eastAsia="Calibri"/>
          <w:spacing w:val="-1"/>
          <w:szCs w:val="24"/>
        </w:rPr>
        <w:t xml:space="preserve"> </w:t>
      </w:r>
      <w:r w:rsidR="00F44C48" w:rsidRPr="00F44C48">
        <w:rPr>
          <w:rFonts w:eastAsia="Calibri"/>
          <w:spacing w:val="-1"/>
          <w:szCs w:val="24"/>
        </w:rPr>
        <w:t>treatment</w:t>
      </w:r>
      <w:r w:rsidR="00F44C48" w:rsidRPr="00F44C48">
        <w:rPr>
          <w:rFonts w:eastAsia="Calibri"/>
          <w:spacing w:val="-3"/>
          <w:szCs w:val="24"/>
        </w:rPr>
        <w:t xml:space="preserve"> </w:t>
      </w:r>
      <w:r w:rsidR="00F44C48" w:rsidRPr="00F44C48">
        <w:rPr>
          <w:rFonts w:eastAsia="Calibri"/>
          <w:spacing w:val="-2"/>
          <w:szCs w:val="24"/>
        </w:rPr>
        <w:t>pathway,</w:t>
      </w:r>
      <w:r w:rsidR="00F44C48" w:rsidRPr="00F44C48">
        <w:rPr>
          <w:rFonts w:eastAsia="Calibri"/>
          <w:spacing w:val="-3"/>
          <w:szCs w:val="24"/>
        </w:rPr>
        <w:t xml:space="preserve"> </w:t>
      </w:r>
      <w:r w:rsidR="00F44C48" w:rsidRPr="00F44C48">
        <w:rPr>
          <w:rFonts w:eastAsia="Calibri"/>
          <w:spacing w:val="-1"/>
          <w:szCs w:val="24"/>
        </w:rPr>
        <w:t>including</w:t>
      </w:r>
      <w:r w:rsidR="00F44C48" w:rsidRPr="00F44C48">
        <w:rPr>
          <w:rFonts w:eastAsia="Calibri"/>
          <w:spacing w:val="1"/>
          <w:szCs w:val="24"/>
        </w:rPr>
        <w:t xml:space="preserve"> </w:t>
      </w:r>
      <w:r w:rsidR="00F44C48" w:rsidRPr="00F44C48">
        <w:rPr>
          <w:rFonts w:eastAsia="Calibri"/>
          <w:spacing w:val="-1"/>
          <w:szCs w:val="24"/>
        </w:rPr>
        <w:t>risk</w:t>
      </w:r>
      <w:r w:rsidR="00F44C48" w:rsidRPr="00F44C48">
        <w:rPr>
          <w:rFonts w:eastAsia="Calibri"/>
          <w:spacing w:val="-3"/>
          <w:szCs w:val="24"/>
        </w:rPr>
        <w:t xml:space="preserve"> </w:t>
      </w:r>
      <w:r w:rsidR="00F44C48" w:rsidRPr="00F44C48">
        <w:rPr>
          <w:rFonts w:eastAsia="Calibri"/>
          <w:szCs w:val="24"/>
        </w:rPr>
        <w:t>of</w:t>
      </w:r>
      <w:r w:rsidR="00F44C48" w:rsidRPr="00F44C48">
        <w:rPr>
          <w:rFonts w:eastAsia="Calibri"/>
          <w:spacing w:val="-3"/>
          <w:szCs w:val="24"/>
        </w:rPr>
        <w:t xml:space="preserve"> </w:t>
      </w:r>
      <w:r w:rsidR="00F44C48" w:rsidRPr="00F44C48">
        <w:rPr>
          <w:rFonts w:eastAsia="Calibri"/>
          <w:spacing w:val="-1"/>
          <w:szCs w:val="24"/>
        </w:rPr>
        <w:t>progression</w:t>
      </w:r>
      <w:r w:rsidR="00F44C48" w:rsidRPr="00F44C48">
        <w:rPr>
          <w:rFonts w:eastAsia="Calibri"/>
          <w:spacing w:val="-3"/>
          <w:szCs w:val="24"/>
        </w:rPr>
        <w:t xml:space="preserve"> </w:t>
      </w:r>
      <w:r w:rsidR="00F44C48" w:rsidRPr="00F44C48">
        <w:rPr>
          <w:rFonts w:eastAsia="Calibri"/>
          <w:spacing w:val="-1"/>
          <w:szCs w:val="24"/>
        </w:rPr>
        <w:t xml:space="preserve">to </w:t>
      </w:r>
      <w:r w:rsidR="00F44C48" w:rsidRPr="00F44C48">
        <w:rPr>
          <w:rFonts w:eastAsia="Calibri"/>
          <w:szCs w:val="24"/>
        </w:rPr>
        <w:t>a</w:t>
      </w:r>
      <w:r w:rsidR="00F44C48" w:rsidRPr="00F44C48">
        <w:rPr>
          <w:rFonts w:eastAsia="Calibri"/>
          <w:spacing w:val="1"/>
          <w:szCs w:val="24"/>
        </w:rPr>
        <w:t xml:space="preserve"> </w:t>
      </w:r>
      <w:r w:rsidR="00F44C48" w:rsidRPr="00F44C48">
        <w:rPr>
          <w:rFonts w:eastAsia="Calibri"/>
          <w:spacing w:val="-1"/>
          <w:szCs w:val="24"/>
        </w:rPr>
        <w:t xml:space="preserve">corneal </w:t>
      </w:r>
      <w:r w:rsidR="00F44C48" w:rsidRPr="00F44C48">
        <w:rPr>
          <w:rFonts w:eastAsia="Calibri"/>
          <w:spacing w:val="-2"/>
          <w:szCs w:val="24"/>
        </w:rPr>
        <w:t>transplant,</w:t>
      </w:r>
      <w:r w:rsidR="00F44C48" w:rsidRPr="00F44C48">
        <w:rPr>
          <w:rFonts w:eastAsia="Calibri"/>
          <w:spacing w:val="-3"/>
          <w:szCs w:val="24"/>
        </w:rPr>
        <w:t xml:space="preserve"> </w:t>
      </w:r>
      <w:r w:rsidR="00F44C48" w:rsidRPr="00F44C48">
        <w:rPr>
          <w:rFonts w:eastAsia="Calibri"/>
          <w:szCs w:val="24"/>
        </w:rPr>
        <w:t>as</w:t>
      </w:r>
      <w:r w:rsidR="00F44C48" w:rsidRPr="00F44C48">
        <w:rPr>
          <w:rFonts w:eastAsia="Calibri"/>
          <w:spacing w:val="-1"/>
          <w:szCs w:val="24"/>
        </w:rPr>
        <w:t xml:space="preserve"> no good</w:t>
      </w:r>
      <w:r w:rsidR="00F44C48" w:rsidRPr="00F44C48">
        <w:rPr>
          <w:rFonts w:eastAsia="Calibri"/>
          <w:spacing w:val="53"/>
          <w:szCs w:val="24"/>
        </w:rPr>
        <w:t xml:space="preserve"> </w:t>
      </w:r>
      <w:r w:rsidR="00F44C48" w:rsidRPr="00F44C48">
        <w:rPr>
          <w:rFonts w:eastAsia="Calibri"/>
          <w:spacing w:val="-1"/>
          <w:szCs w:val="24"/>
        </w:rPr>
        <w:t>quality</w:t>
      </w:r>
      <w:r w:rsidR="00F44C48" w:rsidRPr="00F44C48">
        <w:rPr>
          <w:rFonts w:eastAsia="Calibri"/>
          <w:spacing w:val="-3"/>
          <w:szCs w:val="24"/>
        </w:rPr>
        <w:t xml:space="preserve"> </w:t>
      </w:r>
      <w:r w:rsidR="00F44C48" w:rsidRPr="00F44C48">
        <w:rPr>
          <w:rFonts w:eastAsia="Calibri"/>
          <w:spacing w:val="-1"/>
          <w:szCs w:val="24"/>
        </w:rPr>
        <w:t xml:space="preserve">direct </w:t>
      </w:r>
      <w:r w:rsidR="00F44C48" w:rsidRPr="00F44C48">
        <w:rPr>
          <w:rFonts w:eastAsia="Calibri"/>
          <w:szCs w:val="24"/>
        </w:rPr>
        <w:t>or</w:t>
      </w:r>
      <w:r w:rsidR="00F44C48" w:rsidRPr="00F44C48">
        <w:rPr>
          <w:rFonts w:eastAsia="Calibri"/>
          <w:spacing w:val="1"/>
          <w:szCs w:val="24"/>
        </w:rPr>
        <w:t xml:space="preserve"> </w:t>
      </w:r>
      <w:r w:rsidR="00F44C48" w:rsidRPr="00F44C48">
        <w:rPr>
          <w:rFonts w:eastAsia="Calibri"/>
          <w:spacing w:val="-2"/>
          <w:szCs w:val="24"/>
        </w:rPr>
        <w:t>indirect</w:t>
      </w:r>
      <w:r w:rsidR="00F44C48" w:rsidRPr="00F44C48">
        <w:rPr>
          <w:rFonts w:eastAsia="Calibri"/>
          <w:spacing w:val="-3"/>
          <w:szCs w:val="24"/>
        </w:rPr>
        <w:t xml:space="preserve"> </w:t>
      </w:r>
      <w:r w:rsidR="00DE7CD3" w:rsidRPr="00F44C48">
        <w:rPr>
          <w:rFonts w:eastAsia="Calibri"/>
          <w:spacing w:val="-1"/>
          <w:szCs w:val="24"/>
        </w:rPr>
        <w:t>comparisons</w:t>
      </w:r>
      <w:r w:rsidR="00F44C48" w:rsidRPr="00F44C48">
        <w:rPr>
          <w:rFonts w:eastAsia="Calibri"/>
          <w:spacing w:val="-1"/>
          <w:szCs w:val="24"/>
        </w:rPr>
        <w:t xml:space="preserve"> were</w:t>
      </w:r>
      <w:r w:rsidR="00F44C48" w:rsidRPr="00F44C48">
        <w:rPr>
          <w:rFonts w:eastAsia="Calibri"/>
          <w:spacing w:val="-2"/>
          <w:szCs w:val="24"/>
        </w:rPr>
        <w:t xml:space="preserve"> identified</w:t>
      </w:r>
      <w:r w:rsidR="00F44C48" w:rsidRPr="00F44C48">
        <w:rPr>
          <w:rFonts w:eastAsia="Calibri"/>
          <w:spacing w:val="-1"/>
          <w:szCs w:val="24"/>
        </w:rPr>
        <w:t xml:space="preserve"> </w:t>
      </w:r>
      <w:r w:rsidR="00F44C48" w:rsidRPr="00F44C48">
        <w:rPr>
          <w:rFonts w:eastAsia="Calibri"/>
          <w:szCs w:val="24"/>
        </w:rPr>
        <w:t>that</w:t>
      </w:r>
      <w:r w:rsidR="00F44C48" w:rsidRPr="00F44C48">
        <w:rPr>
          <w:rFonts w:eastAsia="Calibri"/>
          <w:spacing w:val="-3"/>
          <w:szCs w:val="24"/>
        </w:rPr>
        <w:t xml:space="preserve"> </w:t>
      </w:r>
      <w:r w:rsidR="00F44C48" w:rsidRPr="00F44C48">
        <w:rPr>
          <w:rFonts w:eastAsia="Calibri"/>
          <w:spacing w:val="-1"/>
          <w:szCs w:val="24"/>
        </w:rPr>
        <w:t>would</w:t>
      </w:r>
      <w:r w:rsidR="00F44C48" w:rsidRPr="00F44C48">
        <w:rPr>
          <w:rFonts w:eastAsia="Calibri"/>
          <w:szCs w:val="24"/>
        </w:rPr>
        <w:t xml:space="preserve"> allow</w:t>
      </w:r>
      <w:r w:rsidR="00F44C48" w:rsidRPr="00F44C48">
        <w:rPr>
          <w:rFonts w:eastAsia="Calibri"/>
          <w:spacing w:val="-3"/>
          <w:szCs w:val="24"/>
        </w:rPr>
        <w:t xml:space="preserve"> </w:t>
      </w:r>
      <w:r w:rsidR="00F44C48" w:rsidRPr="00F44C48">
        <w:rPr>
          <w:rFonts w:eastAsia="Calibri"/>
          <w:szCs w:val="24"/>
        </w:rPr>
        <w:t>such</w:t>
      </w:r>
      <w:r w:rsidR="00F44C48" w:rsidRPr="00F44C48">
        <w:rPr>
          <w:rFonts w:eastAsia="Calibri"/>
          <w:spacing w:val="-8"/>
          <w:szCs w:val="24"/>
        </w:rPr>
        <w:t xml:space="preserve"> </w:t>
      </w:r>
      <w:r w:rsidR="00F44C48" w:rsidRPr="00F44C48">
        <w:rPr>
          <w:rFonts w:eastAsia="Calibri"/>
          <w:szCs w:val="24"/>
        </w:rPr>
        <w:t>an</w:t>
      </w:r>
      <w:r w:rsidR="00F44C48" w:rsidRPr="00F44C48">
        <w:rPr>
          <w:rFonts w:eastAsia="Calibri"/>
          <w:spacing w:val="55"/>
          <w:szCs w:val="24"/>
        </w:rPr>
        <w:t xml:space="preserve"> </w:t>
      </w:r>
      <w:r w:rsidR="00F44C48" w:rsidRPr="00F44C48">
        <w:rPr>
          <w:rFonts w:eastAsia="Calibri"/>
          <w:spacing w:val="-1"/>
          <w:szCs w:val="24"/>
        </w:rPr>
        <w:t>assessment</w:t>
      </w:r>
      <w:r w:rsidR="00F44C48" w:rsidRPr="00F44C48">
        <w:rPr>
          <w:rFonts w:eastAsia="Calibri"/>
          <w:spacing w:val="-3"/>
          <w:szCs w:val="24"/>
        </w:rPr>
        <w:t xml:space="preserve"> </w:t>
      </w:r>
      <w:r w:rsidR="00F44C48" w:rsidRPr="00F44C48">
        <w:rPr>
          <w:rFonts w:eastAsia="Calibri"/>
          <w:spacing w:val="-1"/>
          <w:szCs w:val="24"/>
        </w:rPr>
        <w:t xml:space="preserve">to </w:t>
      </w:r>
      <w:r w:rsidR="00F44C48" w:rsidRPr="00F44C48">
        <w:rPr>
          <w:rFonts w:eastAsia="Calibri"/>
          <w:spacing w:val="-2"/>
          <w:szCs w:val="24"/>
        </w:rPr>
        <w:t xml:space="preserve">be </w:t>
      </w:r>
      <w:r w:rsidR="00F44C48" w:rsidRPr="00F44C48">
        <w:rPr>
          <w:rFonts w:eastAsia="Calibri"/>
          <w:spacing w:val="-1"/>
          <w:szCs w:val="24"/>
        </w:rPr>
        <w:t>made.</w:t>
      </w:r>
    </w:p>
    <w:p w:rsidR="00B83F77" w:rsidRPr="00D2052A" w:rsidRDefault="00F44C48" w:rsidP="00806A9C">
      <w:pPr>
        <w:kinsoku w:val="0"/>
        <w:overflowPunct w:val="0"/>
        <w:autoSpaceDE w:val="0"/>
        <w:autoSpaceDN w:val="0"/>
        <w:adjustRightInd w:val="0"/>
        <w:spacing w:after="240"/>
        <w:ind w:left="40" w:right="148"/>
        <w:rPr>
          <w:rFonts w:eastAsia="Calibri"/>
          <w:spacing w:val="-1"/>
          <w:szCs w:val="24"/>
        </w:rPr>
      </w:pPr>
      <w:r w:rsidRPr="00F44C48">
        <w:rPr>
          <w:rFonts w:eastAsia="Calibri"/>
          <w:spacing w:val="-1"/>
          <w:szCs w:val="24"/>
        </w:rPr>
        <w:lastRenderedPageBreak/>
        <w:t>Randomised trials,</w:t>
      </w:r>
      <w:r w:rsidRPr="00F44C48">
        <w:rPr>
          <w:rFonts w:eastAsia="Calibri"/>
          <w:spacing w:val="-3"/>
          <w:szCs w:val="24"/>
        </w:rPr>
        <w:t xml:space="preserve"> </w:t>
      </w:r>
      <w:r w:rsidRPr="00F44C48">
        <w:rPr>
          <w:rFonts w:eastAsia="Calibri"/>
          <w:spacing w:val="-1"/>
          <w:szCs w:val="24"/>
        </w:rPr>
        <w:t>nonrandomised studies and meta-analyses</w:t>
      </w:r>
      <w:r w:rsidRPr="00F44C48">
        <w:rPr>
          <w:rFonts w:eastAsia="Calibri"/>
          <w:spacing w:val="-2"/>
          <w:szCs w:val="24"/>
        </w:rPr>
        <w:t xml:space="preserve"> </w:t>
      </w:r>
      <w:r w:rsidRPr="00F44C48">
        <w:rPr>
          <w:rFonts w:eastAsia="Calibri"/>
          <w:spacing w:val="-1"/>
          <w:szCs w:val="24"/>
        </w:rPr>
        <w:t>show</w:t>
      </w:r>
      <w:r w:rsidR="00DE7CD3">
        <w:rPr>
          <w:rFonts w:eastAsia="Calibri"/>
          <w:spacing w:val="-1"/>
          <w:szCs w:val="24"/>
        </w:rPr>
        <w:t>ed</w:t>
      </w:r>
      <w:r w:rsidRPr="00F44C48">
        <w:rPr>
          <w:rFonts w:eastAsia="Calibri"/>
          <w:spacing w:val="-3"/>
          <w:szCs w:val="24"/>
        </w:rPr>
        <w:t xml:space="preserve"> </w:t>
      </w:r>
      <w:r w:rsidRPr="00F44C48">
        <w:rPr>
          <w:rFonts w:eastAsia="Calibri"/>
          <w:spacing w:val="-1"/>
          <w:szCs w:val="24"/>
        </w:rPr>
        <w:t>that</w:t>
      </w:r>
      <w:r w:rsidRPr="00F44C48">
        <w:rPr>
          <w:rFonts w:eastAsia="Calibri"/>
          <w:spacing w:val="-3"/>
          <w:szCs w:val="24"/>
        </w:rPr>
        <w:t xml:space="preserve"> </w:t>
      </w:r>
      <w:r w:rsidRPr="00F44C48">
        <w:rPr>
          <w:rFonts w:eastAsia="Calibri"/>
          <w:spacing w:val="-1"/>
          <w:szCs w:val="24"/>
        </w:rPr>
        <w:t>CCXL leads to</w:t>
      </w:r>
      <w:r w:rsidRPr="00F44C48">
        <w:rPr>
          <w:rFonts w:eastAsia="Calibri"/>
          <w:spacing w:val="43"/>
          <w:szCs w:val="24"/>
        </w:rPr>
        <w:t xml:space="preserve"> </w:t>
      </w:r>
      <w:r w:rsidRPr="00F44C48">
        <w:rPr>
          <w:rFonts w:eastAsia="Calibri"/>
          <w:spacing w:val="-1"/>
          <w:szCs w:val="24"/>
        </w:rPr>
        <w:t>improvements in</w:t>
      </w:r>
      <w:r w:rsidRPr="00F44C48">
        <w:rPr>
          <w:rFonts w:eastAsia="Calibri"/>
          <w:spacing w:val="-3"/>
          <w:szCs w:val="24"/>
        </w:rPr>
        <w:t xml:space="preserve"> </w:t>
      </w:r>
      <w:r w:rsidRPr="00F44C48">
        <w:rPr>
          <w:rFonts w:eastAsia="Calibri"/>
          <w:spacing w:val="-1"/>
          <w:szCs w:val="24"/>
        </w:rPr>
        <w:t>corrected visual</w:t>
      </w:r>
      <w:r w:rsidRPr="00F44C48">
        <w:rPr>
          <w:rFonts w:eastAsia="Calibri"/>
          <w:spacing w:val="-6"/>
          <w:szCs w:val="24"/>
        </w:rPr>
        <w:t xml:space="preserve"> </w:t>
      </w:r>
      <w:r w:rsidRPr="00F44C48">
        <w:rPr>
          <w:rFonts w:eastAsia="Calibri"/>
          <w:spacing w:val="-1"/>
          <w:szCs w:val="24"/>
        </w:rPr>
        <w:t>acuity,</w:t>
      </w:r>
      <w:r w:rsidRPr="00F44C48">
        <w:rPr>
          <w:rFonts w:eastAsia="Calibri"/>
          <w:spacing w:val="-3"/>
          <w:szCs w:val="24"/>
        </w:rPr>
        <w:t xml:space="preserve"> </w:t>
      </w:r>
      <w:r w:rsidRPr="00F44C48">
        <w:rPr>
          <w:rFonts w:eastAsia="Calibri"/>
          <w:spacing w:val="-1"/>
          <w:szCs w:val="24"/>
        </w:rPr>
        <w:t xml:space="preserve">uncorrected </w:t>
      </w:r>
      <w:r w:rsidRPr="00F44C48">
        <w:rPr>
          <w:rFonts w:eastAsia="Calibri"/>
          <w:spacing w:val="-2"/>
          <w:szCs w:val="24"/>
        </w:rPr>
        <w:t>visual</w:t>
      </w:r>
      <w:r w:rsidRPr="00F44C48">
        <w:rPr>
          <w:rFonts w:eastAsia="Calibri"/>
          <w:spacing w:val="-1"/>
          <w:szCs w:val="24"/>
        </w:rPr>
        <w:t xml:space="preserve"> acuity,</w:t>
      </w:r>
      <w:r w:rsidRPr="00F44C48">
        <w:rPr>
          <w:rFonts w:eastAsia="Calibri"/>
          <w:spacing w:val="-3"/>
          <w:szCs w:val="24"/>
        </w:rPr>
        <w:t xml:space="preserve"> </w:t>
      </w:r>
      <w:proofErr w:type="spellStart"/>
      <w:r w:rsidRPr="00F44C48">
        <w:rPr>
          <w:rFonts w:eastAsia="Calibri"/>
          <w:szCs w:val="24"/>
        </w:rPr>
        <w:t>Kmax</w:t>
      </w:r>
      <w:proofErr w:type="spellEnd"/>
      <w:r w:rsidRPr="00F44C48">
        <w:rPr>
          <w:rFonts w:eastAsia="Calibri"/>
          <w:spacing w:val="-1"/>
          <w:szCs w:val="24"/>
        </w:rPr>
        <w:t xml:space="preserve"> </w:t>
      </w:r>
      <w:r w:rsidRPr="00F44C48">
        <w:rPr>
          <w:rFonts w:eastAsia="Calibri"/>
          <w:spacing w:val="-2"/>
          <w:szCs w:val="24"/>
        </w:rPr>
        <w:t>and</w:t>
      </w:r>
      <w:r w:rsidRPr="00F44C48">
        <w:rPr>
          <w:rFonts w:eastAsia="Calibri"/>
          <w:spacing w:val="-1"/>
          <w:szCs w:val="24"/>
        </w:rPr>
        <w:t xml:space="preserve"> spherical</w:t>
      </w:r>
      <w:r w:rsidRPr="00F44C48">
        <w:rPr>
          <w:rFonts w:eastAsia="Calibri"/>
          <w:spacing w:val="47"/>
          <w:szCs w:val="24"/>
        </w:rPr>
        <w:t xml:space="preserve"> </w:t>
      </w:r>
      <w:r w:rsidRPr="00F44C48">
        <w:rPr>
          <w:rFonts w:eastAsia="Calibri"/>
          <w:spacing w:val="-1"/>
          <w:szCs w:val="24"/>
        </w:rPr>
        <w:t>equivalent</w:t>
      </w:r>
      <w:r w:rsidRPr="00F44C48">
        <w:rPr>
          <w:rFonts w:eastAsia="Calibri"/>
          <w:spacing w:val="-3"/>
          <w:szCs w:val="24"/>
        </w:rPr>
        <w:t xml:space="preserve"> </w:t>
      </w:r>
      <w:r w:rsidRPr="00F44C48">
        <w:rPr>
          <w:rFonts w:eastAsia="Calibri"/>
          <w:spacing w:val="-1"/>
          <w:szCs w:val="24"/>
        </w:rPr>
        <w:t>refractive</w:t>
      </w:r>
      <w:r w:rsidRPr="00F44C48">
        <w:rPr>
          <w:rFonts w:eastAsia="Calibri"/>
          <w:spacing w:val="-2"/>
          <w:szCs w:val="24"/>
        </w:rPr>
        <w:t xml:space="preserve"> </w:t>
      </w:r>
      <w:r w:rsidRPr="00F44C48">
        <w:rPr>
          <w:rFonts w:eastAsia="Calibri"/>
          <w:spacing w:val="-1"/>
          <w:szCs w:val="24"/>
        </w:rPr>
        <w:t>error,</w:t>
      </w:r>
      <w:r w:rsidRPr="00F44C48">
        <w:rPr>
          <w:rFonts w:eastAsia="Calibri"/>
          <w:spacing w:val="-3"/>
          <w:szCs w:val="24"/>
        </w:rPr>
        <w:t xml:space="preserve"> </w:t>
      </w:r>
      <w:r w:rsidRPr="00F44C48">
        <w:rPr>
          <w:rFonts w:eastAsia="Calibri"/>
          <w:spacing w:val="-1"/>
          <w:szCs w:val="24"/>
        </w:rPr>
        <w:t xml:space="preserve">and </w:t>
      </w:r>
      <w:r w:rsidRPr="00F44C48">
        <w:rPr>
          <w:rFonts w:eastAsia="Calibri"/>
          <w:spacing w:val="-2"/>
          <w:szCs w:val="24"/>
        </w:rPr>
        <w:t xml:space="preserve">the </w:t>
      </w:r>
      <w:r w:rsidRPr="00F44C48">
        <w:rPr>
          <w:rFonts w:eastAsia="Calibri"/>
          <w:spacing w:val="-1"/>
          <w:szCs w:val="24"/>
        </w:rPr>
        <w:t>improvements are</w:t>
      </w:r>
      <w:r w:rsidRPr="00F44C48">
        <w:rPr>
          <w:rFonts w:eastAsia="Calibri"/>
          <w:spacing w:val="-7"/>
          <w:szCs w:val="24"/>
        </w:rPr>
        <w:t xml:space="preserve"> </w:t>
      </w:r>
      <w:r w:rsidRPr="00F44C48">
        <w:rPr>
          <w:rFonts w:eastAsia="Calibri"/>
          <w:spacing w:val="-1"/>
          <w:szCs w:val="24"/>
        </w:rPr>
        <w:t>maintained over</w:t>
      </w:r>
      <w:r w:rsidRPr="00F44C48">
        <w:rPr>
          <w:rFonts w:eastAsia="Calibri"/>
          <w:spacing w:val="-4"/>
          <w:szCs w:val="24"/>
        </w:rPr>
        <w:t xml:space="preserve"> </w:t>
      </w:r>
      <w:r w:rsidRPr="00F44C48">
        <w:rPr>
          <w:rFonts w:eastAsia="Calibri"/>
          <w:szCs w:val="24"/>
        </w:rPr>
        <w:t>at</w:t>
      </w:r>
      <w:r w:rsidRPr="00F44C48">
        <w:rPr>
          <w:rFonts w:eastAsia="Calibri"/>
          <w:spacing w:val="-3"/>
          <w:szCs w:val="24"/>
        </w:rPr>
        <w:t xml:space="preserve"> </w:t>
      </w:r>
      <w:r w:rsidRPr="00F44C48">
        <w:rPr>
          <w:rFonts w:eastAsia="Calibri"/>
          <w:szCs w:val="24"/>
        </w:rPr>
        <w:t>least</w:t>
      </w:r>
      <w:r w:rsidRPr="00F44C48">
        <w:rPr>
          <w:rFonts w:eastAsia="Calibri"/>
          <w:spacing w:val="-2"/>
          <w:szCs w:val="24"/>
        </w:rPr>
        <w:t xml:space="preserve"> </w:t>
      </w:r>
      <w:r w:rsidRPr="00F44C48">
        <w:rPr>
          <w:rFonts w:eastAsia="Calibri"/>
          <w:szCs w:val="24"/>
        </w:rPr>
        <w:t>2</w:t>
      </w:r>
      <w:r w:rsidRPr="00F44C48">
        <w:rPr>
          <w:rFonts w:eastAsia="Calibri"/>
          <w:spacing w:val="-3"/>
          <w:szCs w:val="24"/>
        </w:rPr>
        <w:t xml:space="preserve"> </w:t>
      </w:r>
      <w:r w:rsidRPr="00F44C48">
        <w:rPr>
          <w:rFonts w:eastAsia="Calibri"/>
          <w:spacing w:val="-1"/>
          <w:szCs w:val="24"/>
        </w:rPr>
        <w:t>years.</w:t>
      </w:r>
      <w:r w:rsidR="00DE7CD3">
        <w:rPr>
          <w:rFonts w:eastAsia="Calibri"/>
          <w:spacing w:val="55"/>
          <w:szCs w:val="24"/>
        </w:rPr>
        <w:t xml:space="preserve"> </w:t>
      </w:r>
      <w:r w:rsidRPr="00F44C48">
        <w:rPr>
          <w:rFonts w:eastAsia="Calibri"/>
          <w:spacing w:val="-1"/>
          <w:szCs w:val="24"/>
        </w:rPr>
        <w:t>Data</w:t>
      </w:r>
      <w:r w:rsidRPr="00F44C48">
        <w:rPr>
          <w:rFonts w:eastAsia="Calibri"/>
          <w:spacing w:val="1"/>
          <w:szCs w:val="24"/>
        </w:rPr>
        <w:t xml:space="preserve"> </w:t>
      </w:r>
      <w:r w:rsidRPr="00F44C48">
        <w:rPr>
          <w:rFonts w:eastAsia="Calibri"/>
          <w:spacing w:val="-1"/>
          <w:szCs w:val="24"/>
        </w:rPr>
        <w:t>were</w:t>
      </w:r>
      <w:r w:rsidRPr="00F44C48">
        <w:rPr>
          <w:rFonts w:eastAsia="Calibri"/>
          <w:spacing w:val="-2"/>
          <w:szCs w:val="24"/>
        </w:rPr>
        <w:t xml:space="preserve"> </w:t>
      </w:r>
      <w:r w:rsidRPr="00F44C48">
        <w:rPr>
          <w:rFonts w:eastAsia="Calibri"/>
          <w:spacing w:val="-1"/>
          <w:szCs w:val="24"/>
        </w:rPr>
        <w:t>not</w:t>
      </w:r>
      <w:r w:rsidRPr="00F44C48">
        <w:rPr>
          <w:rFonts w:eastAsia="Calibri"/>
          <w:spacing w:val="-8"/>
          <w:szCs w:val="24"/>
        </w:rPr>
        <w:t xml:space="preserve"> </w:t>
      </w:r>
      <w:r w:rsidRPr="00F44C48">
        <w:rPr>
          <w:rFonts w:eastAsia="Calibri"/>
          <w:spacing w:val="-1"/>
          <w:szCs w:val="24"/>
        </w:rPr>
        <w:t>available</w:t>
      </w:r>
      <w:r w:rsidRPr="00F44C48">
        <w:rPr>
          <w:rFonts w:eastAsia="Calibri"/>
          <w:spacing w:val="-2"/>
          <w:szCs w:val="24"/>
        </w:rPr>
        <w:t xml:space="preserve"> </w:t>
      </w:r>
      <w:r w:rsidRPr="00F44C48">
        <w:rPr>
          <w:rFonts w:eastAsia="Calibri"/>
          <w:spacing w:val="-1"/>
          <w:szCs w:val="24"/>
        </w:rPr>
        <w:t>to inform</w:t>
      </w:r>
      <w:r w:rsidRPr="00F44C48">
        <w:rPr>
          <w:rFonts w:eastAsia="Calibri"/>
          <w:spacing w:val="-2"/>
          <w:szCs w:val="24"/>
        </w:rPr>
        <w:t xml:space="preserve"> </w:t>
      </w:r>
      <w:r w:rsidRPr="00F44C48">
        <w:rPr>
          <w:rFonts w:eastAsia="Calibri"/>
          <w:szCs w:val="24"/>
        </w:rPr>
        <w:t>an</w:t>
      </w:r>
      <w:r w:rsidRPr="00F44C48">
        <w:rPr>
          <w:rFonts w:eastAsia="Calibri"/>
          <w:spacing w:val="2"/>
          <w:szCs w:val="24"/>
        </w:rPr>
        <w:t xml:space="preserve"> </w:t>
      </w:r>
      <w:r w:rsidRPr="00F44C48">
        <w:rPr>
          <w:rFonts w:eastAsia="Calibri"/>
          <w:spacing w:val="-1"/>
          <w:szCs w:val="24"/>
        </w:rPr>
        <w:t>assessment</w:t>
      </w:r>
      <w:r w:rsidRPr="00F44C48">
        <w:rPr>
          <w:rFonts w:eastAsia="Calibri"/>
          <w:spacing w:val="-3"/>
          <w:szCs w:val="24"/>
        </w:rPr>
        <w:t xml:space="preserve"> </w:t>
      </w:r>
      <w:r w:rsidRPr="00F44C48">
        <w:rPr>
          <w:rFonts w:eastAsia="Calibri"/>
          <w:szCs w:val="24"/>
        </w:rPr>
        <w:t>of</w:t>
      </w:r>
      <w:r w:rsidRPr="00F44C48">
        <w:rPr>
          <w:rFonts w:eastAsia="Calibri"/>
          <w:spacing w:val="-3"/>
          <w:szCs w:val="24"/>
        </w:rPr>
        <w:t xml:space="preserve"> </w:t>
      </w:r>
      <w:r w:rsidRPr="00F44C48">
        <w:rPr>
          <w:rFonts w:eastAsia="Calibri"/>
          <w:spacing w:val="-2"/>
          <w:szCs w:val="24"/>
        </w:rPr>
        <w:t xml:space="preserve">the </w:t>
      </w:r>
      <w:r w:rsidRPr="00F44C48">
        <w:rPr>
          <w:rFonts w:eastAsia="Calibri"/>
          <w:spacing w:val="-1"/>
          <w:szCs w:val="24"/>
        </w:rPr>
        <w:t>risk</w:t>
      </w:r>
      <w:r w:rsidRPr="00F44C48">
        <w:rPr>
          <w:rFonts w:eastAsia="Calibri"/>
          <w:spacing w:val="-3"/>
          <w:szCs w:val="24"/>
        </w:rPr>
        <w:t xml:space="preserve"> </w:t>
      </w:r>
      <w:r w:rsidRPr="00F44C48">
        <w:rPr>
          <w:rFonts w:eastAsia="Calibri"/>
          <w:szCs w:val="24"/>
        </w:rPr>
        <w:t>of</w:t>
      </w:r>
      <w:r w:rsidRPr="00F44C48">
        <w:rPr>
          <w:rFonts w:eastAsia="Calibri"/>
          <w:spacing w:val="-3"/>
          <w:szCs w:val="24"/>
        </w:rPr>
        <w:t xml:space="preserve"> </w:t>
      </w:r>
      <w:r w:rsidRPr="00F44C48">
        <w:rPr>
          <w:rFonts w:eastAsia="Calibri"/>
          <w:spacing w:val="-1"/>
          <w:szCs w:val="24"/>
        </w:rPr>
        <w:t>progression</w:t>
      </w:r>
      <w:r w:rsidRPr="00F44C48">
        <w:rPr>
          <w:rFonts w:eastAsia="Calibri"/>
          <w:spacing w:val="-3"/>
          <w:szCs w:val="24"/>
        </w:rPr>
        <w:t xml:space="preserve"> </w:t>
      </w:r>
      <w:r w:rsidRPr="00F44C48">
        <w:rPr>
          <w:rFonts w:eastAsia="Calibri"/>
          <w:spacing w:val="-1"/>
          <w:szCs w:val="24"/>
        </w:rPr>
        <w:t>to transplant</w:t>
      </w:r>
      <w:r w:rsidRPr="00F44C48">
        <w:rPr>
          <w:rFonts w:eastAsia="Calibri"/>
          <w:spacing w:val="43"/>
          <w:szCs w:val="24"/>
        </w:rPr>
        <w:t xml:space="preserve"> </w:t>
      </w:r>
      <w:r w:rsidRPr="00F44C48">
        <w:rPr>
          <w:rFonts w:eastAsia="Calibri"/>
          <w:spacing w:val="-1"/>
          <w:szCs w:val="24"/>
        </w:rPr>
        <w:t xml:space="preserve">compared </w:t>
      </w:r>
      <w:r w:rsidRPr="00F44C48">
        <w:rPr>
          <w:rFonts w:eastAsia="Calibri"/>
          <w:spacing w:val="-2"/>
          <w:szCs w:val="24"/>
        </w:rPr>
        <w:t>with</w:t>
      </w:r>
      <w:r w:rsidRPr="00F44C48">
        <w:rPr>
          <w:rFonts w:eastAsia="Calibri"/>
          <w:spacing w:val="-3"/>
          <w:szCs w:val="24"/>
        </w:rPr>
        <w:t xml:space="preserve"> </w:t>
      </w:r>
      <w:r w:rsidRPr="00F44C48">
        <w:rPr>
          <w:rFonts w:eastAsia="Calibri"/>
          <w:spacing w:val="-1"/>
          <w:szCs w:val="24"/>
        </w:rPr>
        <w:t>management</w:t>
      </w:r>
      <w:r w:rsidRPr="00F44C48">
        <w:rPr>
          <w:rFonts w:eastAsia="Calibri"/>
          <w:spacing w:val="-3"/>
          <w:szCs w:val="24"/>
        </w:rPr>
        <w:t xml:space="preserve"> </w:t>
      </w:r>
      <w:r w:rsidRPr="00F44C48">
        <w:rPr>
          <w:rFonts w:eastAsia="Calibri"/>
          <w:spacing w:val="-2"/>
          <w:szCs w:val="24"/>
        </w:rPr>
        <w:t>without</w:t>
      </w:r>
      <w:r w:rsidRPr="00F44C48">
        <w:rPr>
          <w:rFonts w:eastAsia="Calibri"/>
          <w:spacing w:val="-3"/>
          <w:szCs w:val="24"/>
        </w:rPr>
        <w:t xml:space="preserve"> </w:t>
      </w:r>
      <w:r w:rsidRPr="00F44C48">
        <w:rPr>
          <w:rFonts w:eastAsia="Calibri"/>
          <w:szCs w:val="24"/>
        </w:rPr>
        <w:t>CCXL.</w:t>
      </w:r>
      <w:r w:rsidRPr="00F44C48">
        <w:rPr>
          <w:rFonts w:eastAsia="Calibri"/>
          <w:spacing w:val="-3"/>
          <w:szCs w:val="24"/>
        </w:rPr>
        <w:t xml:space="preserve"> </w:t>
      </w:r>
      <w:r w:rsidRPr="00F44C48">
        <w:rPr>
          <w:rFonts w:eastAsia="Calibri"/>
          <w:spacing w:val="-1"/>
          <w:szCs w:val="24"/>
        </w:rPr>
        <w:t>The</w:t>
      </w:r>
      <w:r w:rsidRPr="00F44C48">
        <w:rPr>
          <w:rFonts w:eastAsia="Calibri"/>
          <w:spacing w:val="-2"/>
          <w:szCs w:val="24"/>
        </w:rPr>
        <w:t xml:space="preserve"> relevance </w:t>
      </w:r>
      <w:r w:rsidRPr="00F44C48">
        <w:rPr>
          <w:rFonts w:eastAsia="Calibri"/>
          <w:szCs w:val="24"/>
        </w:rPr>
        <w:t>of</w:t>
      </w:r>
      <w:r w:rsidRPr="00F44C48">
        <w:rPr>
          <w:rFonts w:eastAsia="Calibri"/>
          <w:spacing w:val="-3"/>
          <w:szCs w:val="24"/>
        </w:rPr>
        <w:t xml:space="preserve"> </w:t>
      </w:r>
      <w:r w:rsidRPr="00F44C48">
        <w:rPr>
          <w:rFonts w:eastAsia="Calibri"/>
          <w:spacing w:val="-1"/>
          <w:szCs w:val="24"/>
        </w:rPr>
        <w:t>these</w:t>
      </w:r>
      <w:r w:rsidRPr="00F44C48">
        <w:rPr>
          <w:rFonts w:eastAsia="Calibri"/>
          <w:spacing w:val="-2"/>
          <w:szCs w:val="24"/>
        </w:rPr>
        <w:t xml:space="preserve"> </w:t>
      </w:r>
      <w:r w:rsidRPr="00F44C48">
        <w:rPr>
          <w:rFonts w:eastAsia="Calibri"/>
          <w:spacing w:val="-1"/>
          <w:szCs w:val="24"/>
        </w:rPr>
        <w:t>results in</w:t>
      </w:r>
      <w:r w:rsidRPr="00F44C48">
        <w:rPr>
          <w:rFonts w:eastAsia="Calibri"/>
          <w:spacing w:val="-3"/>
          <w:szCs w:val="24"/>
        </w:rPr>
        <w:t xml:space="preserve"> </w:t>
      </w:r>
      <w:r w:rsidRPr="00F44C48">
        <w:rPr>
          <w:rFonts w:eastAsia="Calibri"/>
          <w:spacing w:val="-1"/>
          <w:szCs w:val="24"/>
        </w:rPr>
        <w:t xml:space="preserve">terms </w:t>
      </w:r>
      <w:r w:rsidRPr="00F44C48">
        <w:rPr>
          <w:rFonts w:eastAsia="Calibri"/>
          <w:szCs w:val="24"/>
        </w:rPr>
        <w:t>of</w:t>
      </w:r>
      <w:r w:rsidR="00D2052A" w:rsidRPr="00655004">
        <w:rPr>
          <w:rFonts w:eastAsia="Calibri"/>
          <w:szCs w:val="24"/>
        </w:rPr>
        <w:t xml:space="preserve"> </w:t>
      </w:r>
      <w:r w:rsidRPr="00F44C48">
        <w:rPr>
          <w:rFonts w:eastAsia="Calibri"/>
          <w:spacing w:val="-1"/>
          <w:szCs w:val="24"/>
        </w:rPr>
        <w:t>clinical progression</w:t>
      </w:r>
      <w:r w:rsidRPr="00F44C48">
        <w:rPr>
          <w:rFonts w:eastAsia="Calibri"/>
          <w:spacing w:val="-3"/>
          <w:szCs w:val="24"/>
        </w:rPr>
        <w:t xml:space="preserve"> </w:t>
      </w:r>
      <w:r w:rsidRPr="00F44C48">
        <w:rPr>
          <w:rFonts w:eastAsia="Calibri"/>
          <w:szCs w:val="24"/>
        </w:rPr>
        <w:t>of</w:t>
      </w:r>
      <w:r w:rsidRPr="00F44C48">
        <w:rPr>
          <w:rFonts w:eastAsia="Calibri"/>
          <w:spacing w:val="-3"/>
          <w:szCs w:val="24"/>
        </w:rPr>
        <w:t xml:space="preserve"> </w:t>
      </w:r>
      <w:r w:rsidRPr="00F44C48">
        <w:rPr>
          <w:rFonts w:eastAsia="Calibri"/>
          <w:spacing w:val="-2"/>
          <w:szCs w:val="24"/>
        </w:rPr>
        <w:t xml:space="preserve">the </w:t>
      </w:r>
      <w:r w:rsidRPr="00F44C48">
        <w:rPr>
          <w:rFonts w:eastAsia="Calibri"/>
          <w:spacing w:val="-1"/>
          <w:szCs w:val="24"/>
        </w:rPr>
        <w:t>disease</w:t>
      </w:r>
      <w:r w:rsidRPr="00F44C48">
        <w:rPr>
          <w:rFonts w:eastAsia="Calibri"/>
          <w:spacing w:val="-2"/>
          <w:szCs w:val="24"/>
        </w:rPr>
        <w:t xml:space="preserve"> </w:t>
      </w:r>
      <w:r w:rsidRPr="00F44C48">
        <w:rPr>
          <w:rFonts w:eastAsia="Calibri"/>
          <w:spacing w:val="-1"/>
          <w:szCs w:val="24"/>
        </w:rPr>
        <w:t>is,</w:t>
      </w:r>
      <w:r w:rsidRPr="00F44C48">
        <w:rPr>
          <w:rFonts w:eastAsia="Calibri"/>
          <w:spacing w:val="-3"/>
          <w:szCs w:val="24"/>
        </w:rPr>
        <w:t xml:space="preserve"> </w:t>
      </w:r>
      <w:r w:rsidRPr="00F44C48">
        <w:rPr>
          <w:rFonts w:eastAsia="Calibri"/>
          <w:spacing w:val="-1"/>
          <w:szCs w:val="24"/>
        </w:rPr>
        <w:t>however,</w:t>
      </w:r>
      <w:r w:rsidRPr="00F44C48">
        <w:rPr>
          <w:rFonts w:eastAsia="Calibri"/>
          <w:spacing w:val="-3"/>
          <w:szCs w:val="24"/>
        </w:rPr>
        <w:t xml:space="preserve"> </w:t>
      </w:r>
      <w:r w:rsidRPr="00F44C48">
        <w:rPr>
          <w:rFonts w:eastAsia="Calibri"/>
          <w:spacing w:val="-1"/>
          <w:szCs w:val="24"/>
        </w:rPr>
        <w:t>difficult</w:t>
      </w:r>
      <w:r w:rsidRPr="00F44C48">
        <w:rPr>
          <w:rFonts w:eastAsia="Calibri"/>
          <w:spacing w:val="2"/>
          <w:szCs w:val="24"/>
        </w:rPr>
        <w:t xml:space="preserve"> </w:t>
      </w:r>
      <w:r w:rsidRPr="00F44C48">
        <w:rPr>
          <w:rFonts w:eastAsia="Calibri"/>
          <w:spacing w:val="-1"/>
          <w:szCs w:val="24"/>
        </w:rPr>
        <w:t xml:space="preserve">to </w:t>
      </w:r>
      <w:r w:rsidRPr="00F44C48">
        <w:rPr>
          <w:rFonts w:eastAsia="Calibri"/>
          <w:szCs w:val="24"/>
        </w:rPr>
        <w:t>assess.</w:t>
      </w:r>
      <w:r w:rsidRPr="00F44C48">
        <w:rPr>
          <w:rFonts w:eastAsia="Calibri"/>
          <w:spacing w:val="-2"/>
          <w:szCs w:val="24"/>
        </w:rPr>
        <w:t xml:space="preserve"> </w:t>
      </w:r>
      <w:r w:rsidRPr="00F44C48">
        <w:rPr>
          <w:rFonts w:eastAsia="Calibri"/>
          <w:spacing w:val="-1"/>
          <w:szCs w:val="24"/>
        </w:rPr>
        <w:t>Comparative</w:t>
      </w:r>
      <w:r w:rsidRPr="00F44C48">
        <w:rPr>
          <w:rFonts w:eastAsia="Calibri"/>
          <w:spacing w:val="-2"/>
          <w:szCs w:val="24"/>
        </w:rPr>
        <w:t xml:space="preserve"> data</w:t>
      </w:r>
      <w:r w:rsidRPr="00F44C48">
        <w:rPr>
          <w:rFonts w:eastAsia="Calibri"/>
          <w:spacing w:val="1"/>
          <w:szCs w:val="24"/>
        </w:rPr>
        <w:t xml:space="preserve"> </w:t>
      </w:r>
      <w:r w:rsidRPr="00F44C48">
        <w:rPr>
          <w:rFonts w:eastAsia="Calibri"/>
          <w:spacing w:val="-1"/>
          <w:szCs w:val="24"/>
        </w:rPr>
        <w:t>for</w:t>
      </w:r>
      <w:r w:rsidR="00D2052A" w:rsidRPr="00655004">
        <w:rPr>
          <w:rFonts w:eastAsia="Calibri"/>
          <w:spacing w:val="-1"/>
          <w:szCs w:val="24"/>
        </w:rPr>
        <w:t xml:space="preserve"> </w:t>
      </w:r>
      <w:r w:rsidR="00D2052A" w:rsidRPr="00D2052A">
        <w:rPr>
          <w:rFonts w:eastAsia="Calibri"/>
          <w:spacing w:val="-1"/>
          <w:szCs w:val="24"/>
        </w:rPr>
        <w:t>children/adolescents is scarce</w:t>
      </w:r>
      <w:r w:rsidR="00D2052A" w:rsidRPr="00D2052A">
        <w:rPr>
          <w:rFonts w:eastAsia="Calibri"/>
          <w:spacing w:val="1"/>
          <w:szCs w:val="24"/>
        </w:rPr>
        <w:t xml:space="preserve"> </w:t>
      </w:r>
      <w:r w:rsidR="00D2052A" w:rsidRPr="00D2052A">
        <w:rPr>
          <w:rFonts w:eastAsia="Calibri"/>
          <w:spacing w:val="-2"/>
          <w:szCs w:val="24"/>
        </w:rPr>
        <w:t>but</w:t>
      </w:r>
      <w:r w:rsidR="00D2052A" w:rsidRPr="00D2052A">
        <w:rPr>
          <w:rFonts w:eastAsia="Calibri"/>
          <w:spacing w:val="-3"/>
          <w:szCs w:val="24"/>
        </w:rPr>
        <w:t xml:space="preserve"> </w:t>
      </w:r>
      <w:r w:rsidR="00D2052A" w:rsidRPr="00D2052A">
        <w:rPr>
          <w:rFonts w:eastAsia="Calibri"/>
          <w:spacing w:val="-1"/>
          <w:szCs w:val="24"/>
        </w:rPr>
        <w:t>where</w:t>
      </w:r>
      <w:r w:rsidR="00D2052A" w:rsidRPr="00D2052A">
        <w:rPr>
          <w:rFonts w:eastAsia="Calibri"/>
          <w:spacing w:val="-2"/>
          <w:szCs w:val="24"/>
        </w:rPr>
        <w:t xml:space="preserve"> this</w:t>
      </w:r>
      <w:r w:rsidR="00D2052A" w:rsidRPr="00D2052A">
        <w:rPr>
          <w:rFonts w:eastAsia="Calibri"/>
          <w:spacing w:val="-1"/>
          <w:szCs w:val="24"/>
        </w:rPr>
        <w:t xml:space="preserve"> has </w:t>
      </w:r>
      <w:r w:rsidR="00D2052A" w:rsidRPr="00D2052A">
        <w:rPr>
          <w:rFonts w:eastAsia="Calibri"/>
          <w:spacing w:val="-2"/>
          <w:szCs w:val="24"/>
        </w:rPr>
        <w:t>been</w:t>
      </w:r>
      <w:r w:rsidR="00D2052A" w:rsidRPr="00D2052A">
        <w:rPr>
          <w:rFonts w:eastAsia="Calibri"/>
          <w:spacing w:val="2"/>
          <w:szCs w:val="24"/>
        </w:rPr>
        <w:t xml:space="preserve"> </w:t>
      </w:r>
      <w:r w:rsidR="00D2052A" w:rsidRPr="00D2052A">
        <w:rPr>
          <w:rFonts w:eastAsia="Calibri"/>
          <w:spacing w:val="-1"/>
          <w:szCs w:val="24"/>
        </w:rPr>
        <w:t>attempted,</w:t>
      </w:r>
      <w:r w:rsidR="00D2052A" w:rsidRPr="00D2052A">
        <w:rPr>
          <w:rFonts w:eastAsia="Calibri"/>
          <w:spacing w:val="-3"/>
          <w:szCs w:val="24"/>
        </w:rPr>
        <w:t xml:space="preserve"> </w:t>
      </w:r>
      <w:r w:rsidR="00D2052A" w:rsidRPr="00D2052A">
        <w:rPr>
          <w:rFonts w:eastAsia="Calibri"/>
          <w:spacing w:val="-2"/>
          <w:szCs w:val="24"/>
        </w:rPr>
        <w:t xml:space="preserve">the </w:t>
      </w:r>
      <w:r w:rsidR="00D2052A" w:rsidRPr="00D2052A">
        <w:rPr>
          <w:rFonts w:eastAsia="Calibri"/>
          <w:spacing w:val="-1"/>
          <w:szCs w:val="24"/>
        </w:rPr>
        <w:t>outcomes have</w:t>
      </w:r>
      <w:r w:rsidR="00D2052A" w:rsidRPr="00655004">
        <w:rPr>
          <w:rFonts w:eastAsia="Calibri"/>
          <w:spacing w:val="-1"/>
          <w:szCs w:val="24"/>
        </w:rPr>
        <w:t xml:space="preserve"> </w:t>
      </w:r>
      <w:r w:rsidR="00D2052A" w:rsidRPr="00D2052A">
        <w:rPr>
          <w:rFonts w:eastAsia="Calibri"/>
          <w:spacing w:val="-2"/>
          <w:szCs w:val="24"/>
        </w:rPr>
        <w:t>been</w:t>
      </w:r>
      <w:r w:rsidR="00D2052A" w:rsidRPr="00D2052A">
        <w:rPr>
          <w:rFonts w:eastAsia="Calibri"/>
          <w:spacing w:val="-3"/>
          <w:szCs w:val="24"/>
        </w:rPr>
        <w:t xml:space="preserve"> </w:t>
      </w:r>
      <w:r w:rsidR="00D2052A" w:rsidRPr="00D2052A">
        <w:rPr>
          <w:rFonts w:eastAsia="Calibri"/>
          <w:spacing w:val="-1"/>
          <w:szCs w:val="24"/>
        </w:rPr>
        <w:t>similar</w:t>
      </w:r>
      <w:r w:rsidR="00D2052A" w:rsidRPr="00D2052A">
        <w:rPr>
          <w:rFonts w:eastAsia="Calibri"/>
          <w:spacing w:val="1"/>
          <w:szCs w:val="24"/>
        </w:rPr>
        <w:t xml:space="preserve"> </w:t>
      </w:r>
      <w:r w:rsidR="00D2052A" w:rsidRPr="00D2052A">
        <w:rPr>
          <w:rFonts w:eastAsia="Calibri"/>
          <w:spacing w:val="-1"/>
          <w:szCs w:val="24"/>
        </w:rPr>
        <w:t>to that</w:t>
      </w:r>
      <w:r w:rsidR="00D2052A" w:rsidRPr="00D2052A">
        <w:rPr>
          <w:rFonts w:eastAsia="Calibri"/>
          <w:spacing w:val="-3"/>
          <w:szCs w:val="24"/>
        </w:rPr>
        <w:t xml:space="preserve"> </w:t>
      </w:r>
      <w:r w:rsidR="00D2052A" w:rsidRPr="00D2052A">
        <w:rPr>
          <w:rFonts w:eastAsia="Calibri"/>
          <w:spacing w:val="-1"/>
          <w:szCs w:val="24"/>
        </w:rPr>
        <w:t>for</w:t>
      </w:r>
      <w:r w:rsidR="00D2052A" w:rsidRPr="00D2052A">
        <w:rPr>
          <w:rFonts w:eastAsia="Calibri"/>
          <w:spacing w:val="1"/>
          <w:szCs w:val="24"/>
        </w:rPr>
        <w:t xml:space="preserve"> </w:t>
      </w:r>
      <w:r w:rsidR="00D2052A" w:rsidRPr="00D2052A">
        <w:rPr>
          <w:rFonts w:eastAsia="Calibri"/>
          <w:spacing w:val="-1"/>
          <w:szCs w:val="24"/>
        </w:rPr>
        <w:t xml:space="preserve">adults </w:t>
      </w:r>
      <w:r w:rsidR="00D2052A" w:rsidRPr="00D2052A">
        <w:rPr>
          <w:rFonts w:eastAsia="Calibri"/>
          <w:spacing w:val="-2"/>
          <w:szCs w:val="24"/>
        </w:rPr>
        <w:t>or</w:t>
      </w:r>
      <w:r w:rsidR="00D2052A" w:rsidRPr="00D2052A">
        <w:rPr>
          <w:rFonts w:eastAsia="Calibri"/>
          <w:spacing w:val="1"/>
          <w:szCs w:val="24"/>
        </w:rPr>
        <w:t xml:space="preserve"> </w:t>
      </w:r>
      <w:r w:rsidR="00D2052A" w:rsidRPr="00D2052A">
        <w:rPr>
          <w:rFonts w:eastAsia="Calibri"/>
          <w:spacing w:val="-2"/>
          <w:szCs w:val="24"/>
        </w:rPr>
        <w:t>all</w:t>
      </w:r>
      <w:r w:rsidR="00D2052A" w:rsidRPr="00D2052A">
        <w:rPr>
          <w:rFonts w:eastAsia="Calibri"/>
          <w:spacing w:val="-1"/>
          <w:szCs w:val="24"/>
        </w:rPr>
        <w:t xml:space="preserve"> ages.</w:t>
      </w:r>
    </w:p>
    <w:p w:rsidR="00B83F77" w:rsidRPr="00D2052A" w:rsidRDefault="00D2052A" w:rsidP="00171B46">
      <w:pPr>
        <w:kinsoku w:val="0"/>
        <w:overflowPunct w:val="0"/>
        <w:autoSpaceDE w:val="0"/>
        <w:autoSpaceDN w:val="0"/>
        <w:adjustRightInd w:val="0"/>
        <w:spacing w:after="240"/>
        <w:ind w:left="40" w:right="204"/>
        <w:rPr>
          <w:rFonts w:eastAsia="Calibri"/>
          <w:spacing w:val="-1"/>
          <w:szCs w:val="24"/>
        </w:rPr>
      </w:pPr>
      <w:r w:rsidRPr="00D2052A">
        <w:rPr>
          <w:rFonts w:eastAsia="Calibri"/>
          <w:spacing w:val="-1"/>
          <w:szCs w:val="24"/>
        </w:rPr>
        <w:t>Some</w:t>
      </w:r>
      <w:r w:rsidRPr="00D2052A">
        <w:rPr>
          <w:rFonts w:eastAsia="Calibri"/>
          <w:spacing w:val="-2"/>
          <w:szCs w:val="24"/>
        </w:rPr>
        <w:t xml:space="preserve"> </w:t>
      </w:r>
      <w:r w:rsidRPr="00D2052A">
        <w:rPr>
          <w:rFonts w:eastAsia="Calibri"/>
          <w:spacing w:val="-1"/>
          <w:szCs w:val="24"/>
        </w:rPr>
        <w:t>additional,</w:t>
      </w:r>
      <w:r w:rsidRPr="00D2052A">
        <w:rPr>
          <w:rFonts w:eastAsia="Calibri"/>
          <w:spacing w:val="-3"/>
          <w:szCs w:val="24"/>
        </w:rPr>
        <w:t xml:space="preserve"> </w:t>
      </w:r>
      <w:r w:rsidRPr="00D2052A">
        <w:rPr>
          <w:rFonts w:eastAsia="Calibri"/>
          <w:spacing w:val="-2"/>
          <w:szCs w:val="24"/>
        </w:rPr>
        <w:t>but</w:t>
      </w:r>
      <w:r w:rsidRPr="00D2052A">
        <w:rPr>
          <w:rFonts w:eastAsia="Calibri"/>
          <w:spacing w:val="-3"/>
          <w:szCs w:val="24"/>
        </w:rPr>
        <w:t xml:space="preserve"> </w:t>
      </w:r>
      <w:r w:rsidRPr="00D2052A">
        <w:rPr>
          <w:rFonts w:eastAsia="Calibri"/>
          <w:szCs w:val="24"/>
        </w:rPr>
        <w:t>very</w:t>
      </w:r>
      <w:r w:rsidRPr="00D2052A">
        <w:rPr>
          <w:rFonts w:eastAsia="Calibri"/>
          <w:spacing w:val="-3"/>
          <w:szCs w:val="24"/>
        </w:rPr>
        <w:t xml:space="preserve"> </w:t>
      </w:r>
      <w:r w:rsidRPr="00D2052A">
        <w:rPr>
          <w:rFonts w:eastAsia="Calibri"/>
          <w:szCs w:val="24"/>
        </w:rPr>
        <w:t>low</w:t>
      </w:r>
      <w:r w:rsidRPr="00D2052A">
        <w:rPr>
          <w:rFonts w:eastAsia="Calibri"/>
          <w:spacing w:val="-3"/>
          <w:szCs w:val="24"/>
        </w:rPr>
        <w:t xml:space="preserve"> </w:t>
      </w:r>
      <w:r w:rsidRPr="00D2052A">
        <w:rPr>
          <w:rFonts w:eastAsia="Calibri"/>
          <w:spacing w:val="-1"/>
          <w:szCs w:val="24"/>
        </w:rPr>
        <w:t>quality,</w:t>
      </w:r>
      <w:r w:rsidRPr="00D2052A">
        <w:rPr>
          <w:rFonts w:eastAsia="Calibri"/>
          <w:spacing w:val="-3"/>
          <w:szCs w:val="24"/>
        </w:rPr>
        <w:t xml:space="preserve"> </w:t>
      </w:r>
      <w:r w:rsidRPr="00D2052A">
        <w:rPr>
          <w:rFonts w:eastAsia="Calibri"/>
          <w:spacing w:val="-1"/>
          <w:szCs w:val="24"/>
        </w:rPr>
        <w:t>data</w:t>
      </w:r>
      <w:r w:rsidRPr="00D2052A">
        <w:rPr>
          <w:rFonts w:eastAsia="Calibri"/>
          <w:spacing w:val="1"/>
          <w:szCs w:val="24"/>
        </w:rPr>
        <w:t xml:space="preserve"> </w:t>
      </w:r>
      <w:r w:rsidRPr="00D2052A">
        <w:rPr>
          <w:rFonts w:eastAsia="Calibri"/>
          <w:szCs w:val="24"/>
        </w:rPr>
        <w:t>on</w:t>
      </w:r>
      <w:r w:rsidRPr="00D2052A">
        <w:rPr>
          <w:rFonts w:eastAsia="Calibri"/>
          <w:spacing w:val="-3"/>
          <w:szCs w:val="24"/>
        </w:rPr>
        <w:t xml:space="preserve"> </w:t>
      </w:r>
      <w:r w:rsidRPr="00D2052A">
        <w:rPr>
          <w:rFonts w:eastAsia="Calibri"/>
          <w:spacing w:val="-2"/>
          <w:szCs w:val="24"/>
        </w:rPr>
        <w:t>quality</w:t>
      </w:r>
      <w:r w:rsidRPr="00D2052A">
        <w:rPr>
          <w:rFonts w:eastAsia="Calibri"/>
          <w:spacing w:val="-3"/>
          <w:szCs w:val="24"/>
        </w:rPr>
        <w:t xml:space="preserve"> </w:t>
      </w:r>
      <w:r w:rsidRPr="00D2052A">
        <w:rPr>
          <w:rFonts w:eastAsia="Calibri"/>
          <w:szCs w:val="24"/>
        </w:rPr>
        <w:t>of</w:t>
      </w:r>
      <w:r w:rsidRPr="00D2052A">
        <w:rPr>
          <w:rFonts w:eastAsia="Calibri"/>
          <w:spacing w:val="-3"/>
          <w:szCs w:val="24"/>
        </w:rPr>
        <w:t xml:space="preserve"> </w:t>
      </w:r>
      <w:r w:rsidRPr="00D2052A">
        <w:rPr>
          <w:rFonts w:eastAsia="Calibri"/>
          <w:spacing w:val="-1"/>
          <w:szCs w:val="24"/>
        </w:rPr>
        <w:t>life</w:t>
      </w:r>
      <w:r w:rsidRPr="00D2052A">
        <w:rPr>
          <w:rFonts w:eastAsia="Calibri"/>
          <w:spacing w:val="-2"/>
          <w:szCs w:val="24"/>
        </w:rPr>
        <w:t xml:space="preserve"> </w:t>
      </w:r>
      <w:r w:rsidRPr="00D2052A">
        <w:rPr>
          <w:rFonts w:eastAsia="Calibri"/>
          <w:spacing w:val="-1"/>
          <w:szCs w:val="24"/>
        </w:rPr>
        <w:t xml:space="preserve">was </w:t>
      </w:r>
      <w:r w:rsidRPr="00D2052A">
        <w:rPr>
          <w:rFonts w:eastAsia="Calibri"/>
          <w:szCs w:val="24"/>
        </w:rPr>
        <w:t>also</w:t>
      </w:r>
      <w:r w:rsidRPr="00D2052A">
        <w:rPr>
          <w:rFonts w:eastAsia="Calibri"/>
          <w:spacing w:val="-1"/>
          <w:szCs w:val="24"/>
        </w:rPr>
        <w:t xml:space="preserve"> </w:t>
      </w:r>
      <w:r w:rsidRPr="00D2052A">
        <w:rPr>
          <w:rFonts w:eastAsia="Calibri"/>
          <w:spacing w:val="-2"/>
          <w:szCs w:val="24"/>
        </w:rPr>
        <w:t>identified</w:t>
      </w:r>
      <w:r w:rsidRPr="00D2052A">
        <w:rPr>
          <w:rFonts w:eastAsia="Calibri"/>
          <w:spacing w:val="-1"/>
          <w:szCs w:val="24"/>
        </w:rPr>
        <w:t xml:space="preserve"> that</w:t>
      </w:r>
      <w:r w:rsidRPr="00D2052A">
        <w:rPr>
          <w:rFonts w:eastAsia="Calibri"/>
          <w:spacing w:val="51"/>
          <w:szCs w:val="24"/>
        </w:rPr>
        <w:t xml:space="preserve"> </w:t>
      </w:r>
      <w:r w:rsidRPr="00D2052A">
        <w:rPr>
          <w:rFonts w:eastAsia="Calibri"/>
          <w:spacing w:val="-1"/>
          <w:szCs w:val="24"/>
        </w:rPr>
        <w:t>shows possible</w:t>
      </w:r>
      <w:r w:rsidRPr="00D2052A">
        <w:rPr>
          <w:rFonts w:eastAsia="Calibri"/>
          <w:spacing w:val="-2"/>
          <w:szCs w:val="24"/>
        </w:rPr>
        <w:t xml:space="preserve"> </w:t>
      </w:r>
      <w:r w:rsidRPr="00D2052A">
        <w:rPr>
          <w:rFonts w:eastAsia="Calibri"/>
          <w:spacing w:val="-1"/>
          <w:szCs w:val="24"/>
        </w:rPr>
        <w:t>quality</w:t>
      </w:r>
      <w:r w:rsidRPr="00D2052A">
        <w:rPr>
          <w:rFonts w:eastAsia="Calibri"/>
          <w:spacing w:val="-3"/>
          <w:szCs w:val="24"/>
        </w:rPr>
        <w:t xml:space="preserve"> </w:t>
      </w:r>
      <w:r w:rsidRPr="00D2052A">
        <w:rPr>
          <w:rFonts w:eastAsia="Calibri"/>
          <w:szCs w:val="24"/>
        </w:rPr>
        <w:t>of</w:t>
      </w:r>
      <w:r w:rsidRPr="00D2052A">
        <w:rPr>
          <w:rFonts w:eastAsia="Calibri"/>
          <w:spacing w:val="-3"/>
          <w:szCs w:val="24"/>
        </w:rPr>
        <w:t xml:space="preserve"> </w:t>
      </w:r>
      <w:r w:rsidRPr="00D2052A">
        <w:rPr>
          <w:rFonts w:eastAsia="Calibri"/>
          <w:spacing w:val="-1"/>
          <w:szCs w:val="24"/>
        </w:rPr>
        <w:t>life</w:t>
      </w:r>
      <w:r w:rsidRPr="00D2052A">
        <w:rPr>
          <w:rFonts w:eastAsia="Calibri"/>
          <w:spacing w:val="-2"/>
          <w:szCs w:val="24"/>
        </w:rPr>
        <w:t xml:space="preserve"> </w:t>
      </w:r>
      <w:r w:rsidRPr="00D2052A">
        <w:rPr>
          <w:rFonts w:eastAsia="Calibri"/>
          <w:spacing w:val="-1"/>
          <w:szCs w:val="24"/>
        </w:rPr>
        <w:t>improvements in</w:t>
      </w:r>
      <w:r w:rsidRPr="00D2052A">
        <w:rPr>
          <w:rFonts w:eastAsia="Calibri"/>
          <w:spacing w:val="-3"/>
          <w:szCs w:val="24"/>
        </w:rPr>
        <w:t xml:space="preserve"> </w:t>
      </w:r>
      <w:r w:rsidRPr="00D2052A">
        <w:rPr>
          <w:rFonts w:eastAsia="Calibri"/>
          <w:spacing w:val="-1"/>
          <w:szCs w:val="24"/>
        </w:rPr>
        <w:t>people</w:t>
      </w:r>
      <w:r w:rsidRPr="00D2052A">
        <w:rPr>
          <w:rFonts w:eastAsia="Calibri"/>
          <w:spacing w:val="3"/>
          <w:szCs w:val="24"/>
        </w:rPr>
        <w:t xml:space="preserve"> </w:t>
      </w:r>
      <w:r w:rsidRPr="00D2052A">
        <w:rPr>
          <w:rFonts w:eastAsia="Calibri"/>
          <w:spacing w:val="-2"/>
          <w:szCs w:val="24"/>
        </w:rPr>
        <w:t>who</w:t>
      </w:r>
      <w:r w:rsidRPr="00D2052A">
        <w:rPr>
          <w:rFonts w:eastAsia="Calibri"/>
          <w:spacing w:val="-1"/>
          <w:szCs w:val="24"/>
        </w:rPr>
        <w:t xml:space="preserve"> had undergone</w:t>
      </w:r>
      <w:r w:rsidRPr="00D2052A">
        <w:rPr>
          <w:rFonts w:eastAsia="Calibri"/>
          <w:spacing w:val="-2"/>
          <w:szCs w:val="24"/>
        </w:rPr>
        <w:t xml:space="preserve"> </w:t>
      </w:r>
      <w:r w:rsidRPr="00D2052A">
        <w:rPr>
          <w:rFonts w:eastAsia="Calibri"/>
          <w:spacing w:val="-1"/>
          <w:szCs w:val="24"/>
        </w:rPr>
        <w:t>CCXL</w:t>
      </w:r>
      <w:r w:rsidRPr="00D2052A">
        <w:rPr>
          <w:rFonts w:eastAsia="Calibri"/>
          <w:spacing w:val="39"/>
          <w:szCs w:val="24"/>
        </w:rPr>
        <w:t xml:space="preserve"> </w:t>
      </w:r>
      <w:r w:rsidRPr="00D2052A">
        <w:rPr>
          <w:rFonts w:eastAsia="Calibri"/>
          <w:spacing w:val="-1"/>
          <w:szCs w:val="24"/>
        </w:rPr>
        <w:t>compared to those</w:t>
      </w:r>
      <w:r w:rsidRPr="00D2052A">
        <w:rPr>
          <w:rFonts w:eastAsia="Calibri"/>
          <w:spacing w:val="-2"/>
          <w:szCs w:val="24"/>
        </w:rPr>
        <w:t xml:space="preserve"> with</w:t>
      </w:r>
      <w:r w:rsidRPr="00D2052A">
        <w:rPr>
          <w:rFonts w:eastAsia="Calibri"/>
          <w:spacing w:val="-3"/>
          <w:szCs w:val="24"/>
        </w:rPr>
        <w:t xml:space="preserve"> </w:t>
      </w:r>
      <w:r w:rsidRPr="00D2052A">
        <w:rPr>
          <w:rFonts w:eastAsia="Calibri"/>
          <w:spacing w:val="-1"/>
          <w:szCs w:val="24"/>
        </w:rPr>
        <w:t>contact</w:t>
      </w:r>
      <w:r w:rsidRPr="00D2052A">
        <w:rPr>
          <w:rFonts w:eastAsia="Calibri"/>
          <w:spacing w:val="-3"/>
          <w:szCs w:val="24"/>
        </w:rPr>
        <w:t xml:space="preserve"> </w:t>
      </w:r>
      <w:r w:rsidRPr="00D2052A">
        <w:rPr>
          <w:rFonts w:eastAsia="Calibri"/>
          <w:spacing w:val="-1"/>
          <w:szCs w:val="24"/>
        </w:rPr>
        <w:t>lenses.</w:t>
      </w:r>
    </w:p>
    <w:p w:rsidR="00B83F77" w:rsidRPr="00D2052A" w:rsidRDefault="00D2052A" w:rsidP="000507A1">
      <w:pPr>
        <w:kinsoku w:val="0"/>
        <w:overflowPunct w:val="0"/>
        <w:autoSpaceDE w:val="0"/>
        <w:autoSpaceDN w:val="0"/>
        <w:adjustRightInd w:val="0"/>
        <w:spacing w:after="240"/>
        <w:ind w:left="40" w:right="204"/>
        <w:rPr>
          <w:rFonts w:eastAsia="Calibri"/>
          <w:spacing w:val="-1"/>
          <w:szCs w:val="24"/>
        </w:rPr>
      </w:pPr>
      <w:r w:rsidRPr="00D2052A">
        <w:rPr>
          <w:rFonts w:eastAsia="Calibri"/>
          <w:spacing w:val="-1"/>
          <w:szCs w:val="24"/>
        </w:rPr>
        <w:t>The</w:t>
      </w:r>
      <w:r w:rsidRPr="00D2052A">
        <w:rPr>
          <w:rFonts w:eastAsia="Calibri"/>
          <w:spacing w:val="-2"/>
          <w:szCs w:val="24"/>
        </w:rPr>
        <w:t xml:space="preserve"> </w:t>
      </w:r>
      <w:r w:rsidRPr="00D2052A">
        <w:rPr>
          <w:rFonts w:eastAsia="Calibri"/>
          <w:spacing w:val="-1"/>
          <w:szCs w:val="24"/>
        </w:rPr>
        <w:t>complex nature</w:t>
      </w:r>
      <w:r w:rsidRPr="00D2052A">
        <w:rPr>
          <w:rFonts w:eastAsia="Calibri"/>
          <w:spacing w:val="-2"/>
          <w:szCs w:val="24"/>
        </w:rPr>
        <w:t xml:space="preserve"> </w:t>
      </w:r>
      <w:r w:rsidRPr="00D2052A">
        <w:rPr>
          <w:rFonts w:eastAsia="Calibri"/>
          <w:szCs w:val="24"/>
        </w:rPr>
        <w:t>of</w:t>
      </w:r>
      <w:r w:rsidRPr="00D2052A">
        <w:rPr>
          <w:rFonts w:eastAsia="Calibri"/>
          <w:spacing w:val="-3"/>
          <w:szCs w:val="24"/>
        </w:rPr>
        <w:t xml:space="preserve"> </w:t>
      </w:r>
      <w:r w:rsidRPr="00D2052A">
        <w:rPr>
          <w:rFonts w:eastAsia="Calibri"/>
          <w:spacing w:val="-2"/>
          <w:szCs w:val="24"/>
        </w:rPr>
        <w:t xml:space="preserve">the </w:t>
      </w:r>
      <w:r w:rsidRPr="00D2052A">
        <w:rPr>
          <w:rFonts w:eastAsia="Calibri"/>
          <w:spacing w:val="-1"/>
          <w:szCs w:val="24"/>
        </w:rPr>
        <w:t>evidence</w:t>
      </w:r>
      <w:r w:rsidRPr="00D2052A">
        <w:rPr>
          <w:rFonts w:eastAsia="Calibri"/>
          <w:spacing w:val="-2"/>
          <w:szCs w:val="24"/>
        </w:rPr>
        <w:t xml:space="preserve"> </w:t>
      </w:r>
      <w:r w:rsidRPr="00D2052A">
        <w:rPr>
          <w:rFonts w:eastAsia="Calibri"/>
          <w:spacing w:val="-1"/>
          <w:szCs w:val="24"/>
        </w:rPr>
        <w:t>base</w:t>
      </w:r>
      <w:r w:rsidR="00DE7CD3">
        <w:rPr>
          <w:rFonts w:eastAsia="Calibri"/>
          <w:spacing w:val="-2"/>
          <w:szCs w:val="24"/>
        </w:rPr>
        <w:t xml:space="preserve"> did</w:t>
      </w:r>
      <w:r w:rsidRPr="00D2052A">
        <w:rPr>
          <w:rFonts w:eastAsia="Calibri"/>
          <w:spacing w:val="-1"/>
          <w:szCs w:val="24"/>
        </w:rPr>
        <w:t xml:space="preserve"> not</w:t>
      </w:r>
      <w:r w:rsidRPr="00D2052A">
        <w:rPr>
          <w:rFonts w:eastAsia="Calibri"/>
          <w:spacing w:val="-3"/>
          <w:szCs w:val="24"/>
        </w:rPr>
        <w:t xml:space="preserve"> </w:t>
      </w:r>
      <w:r w:rsidRPr="00D2052A">
        <w:rPr>
          <w:rFonts w:eastAsia="Calibri"/>
          <w:spacing w:val="-1"/>
          <w:szCs w:val="24"/>
        </w:rPr>
        <w:t>lend itself</w:t>
      </w:r>
      <w:r w:rsidRPr="00D2052A">
        <w:rPr>
          <w:rFonts w:eastAsia="Calibri"/>
          <w:spacing w:val="-3"/>
          <w:szCs w:val="24"/>
        </w:rPr>
        <w:t xml:space="preserve"> </w:t>
      </w:r>
      <w:r w:rsidRPr="00D2052A">
        <w:rPr>
          <w:rFonts w:eastAsia="Calibri"/>
          <w:spacing w:val="-1"/>
          <w:szCs w:val="24"/>
        </w:rPr>
        <w:t xml:space="preserve">to </w:t>
      </w:r>
      <w:r w:rsidRPr="00D2052A">
        <w:rPr>
          <w:rFonts w:eastAsia="Calibri"/>
          <w:szCs w:val="24"/>
        </w:rPr>
        <w:t>a</w:t>
      </w:r>
      <w:r w:rsidRPr="00D2052A">
        <w:rPr>
          <w:rFonts w:eastAsia="Calibri"/>
          <w:spacing w:val="1"/>
          <w:szCs w:val="24"/>
        </w:rPr>
        <w:t xml:space="preserve"> </w:t>
      </w:r>
      <w:r w:rsidRPr="00D2052A">
        <w:rPr>
          <w:rFonts w:eastAsia="Calibri"/>
          <w:spacing w:val="-1"/>
          <w:szCs w:val="24"/>
        </w:rPr>
        <w:t>formal GRADE</w:t>
      </w:r>
      <w:r w:rsidRPr="00D2052A">
        <w:rPr>
          <w:rFonts w:eastAsia="Calibri"/>
          <w:spacing w:val="59"/>
          <w:szCs w:val="24"/>
        </w:rPr>
        <w:t xml:space="preserve"> </w:t>
      </w:r>
      <w:r w:rsidRPr="00D2052A">
        <w:rPr>
          <w:rFonts w:eastAsia="Calibri"/>
          <w:spacing w:val="-1"/>
          <w:szCs w:val="24"/>
        </w:rPr>
        <w:t>analysis.</w:t>
      </w:r>
      <w:r w:rsidRPr="00D2052A">
        <w:rPr>
          <w:rFonts w:eastAsia="Calibri"/>
          <w:spacing w:val="-3"/>
          <w:szCs w:val="24"/>
        </w:rPr>
        <w:t xml:space="preserve"> </w:t>
      </w:r>
      <w:r w:rsidRPr="00D2052A">
        <w:rPr>
          <w:rFonts w:eastAsia="Calibri"/>
          <w:szCs w:val="24"/>
        </w:rPr>
        <w:t>All</w:t>
      </w:r>
      <w:r w:rsidRPr="00D2052A">
        <w:rPr>
          <w:rFonts w:eastAsia="Calibri"/>
          <w:spacing w:val="-1"/>
          <w:szCs w:val="24"/>
        </w:rPr>
        <w:t xml:space="preserve"> </w:t>
      </w:r>
      <w:r w:rsidRPr="00D2052A">
        <w:rPr>
          <w:rFonts w:eastAsia="Calibri"/>
          <w:spacing w:val="-2"/>
          <w:szCs w:val="24"/>
        </w:rPr>
        <w:t xml:space="preserve">the </w:t>
      </w:r>
      <w:r w:rsidRPr="00D2052A">
        <w:rPr>
          <w:rFonts w:eastAsia="Calibri"/>
          <w:spacing w:val="-1"/>
          <w:szCs w:val="24"/>
        </w:rPr>
        <w:t>included R</w:t>
      </w:r>
      <w:r w:rsidR="00264C9C">
        <w:rPr>
          <w:rFonts w:eastAsia="Calibri"/>
          <w:spacing w:val="-1"/>
          <w:szCs w:val="24"/>
        </w:rPr>
        <w:t xml:space="preserve">andomised </w:t>
      </w:r>
      <w:r w:rsidRPr="00D2052A">
        <w:rPr>
          <w:rFonts w:eastAsia="Calibri"/>
          <w:spacing w:val="-1"/>
          <w:szCs w:val="24"/>
        </w:rPr>
        <w:t>C</w:t>
      </w:r>
      <w:r w:rsidR="00264C9C">
        <w:rPr>
          <w:rFonts w:eastAsia="Calibri"/>
          <w:spacing w:val="-1"/>
          <w:szCs w:val="24"/>
        </w:rPr>
        <w:t xml:space="preserve">ontrol </w:t>
      </w:r>
      <w:r w:rsidRPr="00D2052A">
        <w:rPr>
          <w:rFonts w:eastAsia="Calibri"/>
          <w:spacing w:val="-1"/>
          <w:szCs w:val="24"/>
        </w:rPr>
        <w:t>T</w:t>
      </w:r>
      <w:r w:rsidR="00264C9C">
        <w:rPr>
          <w:rFonts w:eastAsia="Calibri"/>
          <w:spacing w:val="-1"/>
          <w:szCs w:val="24"/>
        </w:rPr>
        <w:t>rial</w:t>
      </w:r>
      <w:r w:rsidRPr="00D2052A">
        <w:rPr>
          <w:rFonts w:eastAsia="Calibri"/>
          <w:spacing w:val="-1"/>
          <w:szCs w:val="24"/>
        </w:rPr>
        <w:t>s</w:t>
      </w:r>
      <w:r w:rsidRPr="00D2052A">
        <w:rPr>
          <w:rFonts w:eastAsia="Calibri"/>
          <w:spacing w:val="-6"/>
          <w:szCs w:val="24"/>
        </w:rPr>
        <w:t xml:space="preserve"> </w:t>
      </w:r>
      <w:r w:rsidRPr="00D2052A">
        <w:rPr>
          <w:rFonts w:eastAsia="Calibri"/>
          <w:spacing w:val="-1"/>
          <w:szCs w:val="24"/>
        </w:rPr>
        <w:t>and other</w:t>
      </w:r>
      <w:r w:rsidRPr="00D2052A">
        <w:rPr>
          <w:rFonts w:eastAsia="Calibri"/>
          <w:spacing w:val="1"/>
          <w:szCs w:val="24"/>
        </w:rPr>
        <w:t xml:space="preserve"> </w:t>
      </w:r>
      <w:r w:rsidRPr="00D2052A">
        <w:rPr>
          <w:rFonts w:eastAsia="Calibri"/>
          <w:spacing w:val="-2"/>
          <w:szCs w:val="24"/>
        </w:rPr>
        <w:t>non</w:t>
      </w:r>
      <w:r w:rsidR="00264C9C">
        <w:rPr>
          <w:rFonts w:eastAsia="Calibri"/>
          <w:spacing w:val="-2"/>
          <w:szCs w:val="24"/>
        </w:rPr>
        <w:t>-</w:t>
      </w:r>
      <w:r w:rsidRPr="00D2052A">
        <w:rPr>
          <w:rFonts w:eastAsia="Calibri"/>
          <w:spacing w:val="-2"/>
          <w:szCs w:val="24"/>
        </w:rPr>
        <w:t>randomised</w:t>
      </w:r>
      <w:r w:rsidR="00DE7CD3">
        <w:rPr>
          <w:rFonts w:eastAsia="Calibri"/>
          <w:spacing w:val="-1"/>
          <w:szCs w:val="24"/>
        </w:rPr>
        <w:t xml:space="preserve"> studies we</w:t>
      </w:r>
      <w:r w:rsidRPr="00D2052A">
        <w:rPr>
          <w:rFonts w:eastAsia="Calibri"/>
          <w:szCs w:val="24"/>
        </w:rPr>
        <w:t>re</w:t>
      </w:r>
      <w:r w:rsidRPr="00D2052A">
        <w:rPr>
          <w:rFonts w:eastAsia="Calibri"/>
          <w:spacing w:val="-2"/>
          <w:szCs w:val="24"/>
        </w:rPr>
        <w:t xml:space="preserve"> </w:t>
      </w:r>
      <w:r w:rsidRPr="00D2052A">
        <w:rPr>
          <w:rFonts w:eastAsia="Calibri"/>
          <w:szCs w:val="24"/>
        </w:rPr>
        <w:t>of</w:t>
      </w:r>
      <w:r w:rsidRPr="00D2052A">
        <w:rPr>
          <w:rFonts w:eastAsia="Calibri"/>
          <w:spacing w:val="-3"/>
          <w:szCs w:val="24"/>
        </w:rPr>
        <w:t xml:space="preserve"> </w:t>
      </w:r>
      <w:r w:rsidRPr="00D2052A">
        <w:rPr>
          <w:rFonts w:eastAsia="Calibri"/>
          <w:szCs w:val="24"/>
        </w:rPr>
        <w:t>low</w:t>
      </w:r>
      <w:r w:rsidRPr="00D2052A">
        <w:rPr>
          <w:rFonts w:eastAsia="Calibri"/>
          <w:spacing w:val="-3"/>
          <w:szCs w:val="24"/>
        </w:rPr>
        <w:t xml:space="preserve"> </w:t>
      </w:r>
      <w:r w:rsidRPr="00D2052A">
        <w:rPr>
          <w:rFonts w:eastAsia="Calibri"/>
          <w:spacing w:val="-2"/>
          <w:szCs w:val="24"/>
        </w:rPr>
        <w:t>quality</w:t>
      </w:r>
      <w:r w:rsidRPr="00D2052A">
        <w:rPr>
          <w:rFonts w:eastAsia="Calibri"/>
          <w:spacing w:val="65"/>
          <w:szCs w:val="24"/>
        </w:rPr>
        <w:t xml:space="preserve"> </w:t>
      </w:r>
      <w:r w:rsidRPr="00D2052A">
        <w:rPr>
          <w:rFonts w:eastAsia="Calibri"/>
          <w:spacing w:val="-1"/>
          <w:szCs w:val="24"/>
        </w:rPr>
        <w:t>overall,</w:t>
      </w:r>
      <w:r w:rsidRPr="00D2052A">
        <w:rPr>
          <w:rFonts w:eastAsia="Calibri"/>
          <w:spacing w:val="-3"/>
          <w:szCs w:val="24"/>
        </w:rPr>
        <w:t xml:space="preserve"> </w:t>
      </w:r>
      <w:r w:rsidRPr="00D2052A">
        <w:rPr>
          <w:rFonts w:eastAsia="Calibri"/>
          <w:spacing w:val="-2"/>
          <w:szCs w:val="24"/>
        </w:rPr>
        <w:t>with</w:t>
      </w:r>
      <w:r w:rsidRPr="00D2052A">
        <w:rPr>
          <w:rFonts w:eastAsia="Calibri"/>
          <w:spacing w:val="-3"/>
          <w:szCs w:val="24"/>
        </w:rPr>
        <w:t xml:space="preserve"> </w:t>
      </w:r>
      <w:r w:rsidRPr="00D2052A">
        <w:rPr>
          <w:rFonts w:eastAsia="Calibri"/>
          <w:spacing w:val="-1"/>
          <w:szCs w:val="24"/>
        </w:rPr>
        <w:t>different</w:t>
      </w:r>
      <w:r w:rsidRPr="00D2052A">
        <w:rPr>
          <w:rFonts w:eastAsia="Calibri"/>
          <w:spacing w:val="-3"/>
          <w:szCs w:val="24"/>
        </w:rPr>
        <w:t xml:space="preserve"> </w:t>
      </w:r>
      <w:r w:rsidRPr="00D2052A">
        <w:rPr>
          <w:rFonts w:eastAsia="Calibri"/>
          <w:spacing w:val="-1"/>
          <w:szCs w:val="24"/>
        </w:rPr>
        <w:t>protocols,</w:t>
      </w:r>
      <w:r w:rsidRPr="00D2052A">
        <w:rPr>
          <w:rFonts w:eastAsia="Calibri"/>
          <w:spacing w:val="-3"/>
          <w:szCs w:val="24"/>
        </w:rPr>
        <w:t xml:space="preserve"> </w:t>
      </w:r>
      <w:r w:rsidRPr="00D2052A">
        <w:rPr>
          <w:rFonts w:eastAsia="Calibri"/>
          <w:spacing w:val="-1"/>
          <w:szCs w:val="24"/>
        </w:rPr>
        <w:t>outcome</w:t>
      </w:r>
      <w:r w:rsidRPr="00D2052A">
        <w:rPr>
          <w:rFonts w:eastAsia="Calibri"/>
          <w:spacing w:val="-2"/>
          <w:szCs w:val="24"/>
        </w:rPr>
        <w:t xml:space="preserve"> </w:t>
      </w:r>
      <w:r w:rsidRPr="00D2052A">
        <w:rPr>
          <w:rFonts w:eastAsia="Calibri"/>
          <w:spacing w:val="-1"/>
          <w:szCs w:val="24"/>
        </w:rPr>
        <w:t xml:space="preserve">measures </w:t>
      </w:r>
      <w:r w:rsidRPr="00D2052A">
        <w:rPr>
          <w:rFonts w:eastAsia="Calibri"/>
          <w:spacing w:val="-2"/>
          <w:szCs w:val="24"/>
        </w:rPr>
        <w:t>and</w:t>
      </w:r>
      <w:r w:rsidRPr="00D2052A">
        <w:rPr>
          <w:rFonts w:eastAsia="Calibri"/>
          <w:spacing w:val="-1"/>
          <w:szCs w:val="24"/>
        </w:rPr>
        <w:t xml:space="preserve"> </w:t>
      </w:r>
      <w:r w:rsidRPr="00D2052A">
        <w:rPr>
          <w:rFonts w:eastAsia="Calibri"/>
          <w:spacing w:val="-2"/>
          <w:szCs w:val="24"/>
        </w:rPr>
        <w:t>time points.</w:t>
      </w:r>
      <w:r w:rsidRPr="00D2052A">
        <w:rPr>
          <w:rFonts w:eastAsia="Calibri"/>
          <w:spacing w:val="-3"/>
          <w:szCs w:val="24"/>
        </w:rPr>
        <w:t xml:space="preserve"> </w:t>
      </w:r>
      <w:r w:rsidRPr="00D2052A">
        <w:rPr>
          <w:rFonts w:eastAsia="Calibri"/>
          <w:spacing w:val="-1"/>
          <w:szCs w:val="24"/>
        </w:rPr>
        <w:t>There</w:t>
      </w:r>
      <w:r w:rsidR="000507A1">
        <w:rPr>
          <w:rFonts w:eastAsia="Calibri"/>
          <w:spacing w:val="-2"/>
          <w:szCs w:val="24"/>
        </w:rPr>
        <w:t xml:space="preserve"> </w:t>
      </w:r>
      <w:r w:rsidR="00DE7CD3">
        <w:rPr>
          <w:rFonts w:eastAsia="Calibri"/>
          <w:szCs w:val="24"/>
        </w:rPr>
        <w:t>we</w:t>
      </w:r>
      <w:r w:rsidRPr="00D2052A">
        <w:rPr>
          <w:rFonts w:eastAsia="Calibri"/>
          <w:szCs w:val="24"/>
        </w:rPr>
        <w:t>re</w:t>
      </w:r>
      <w:r w:rsidRPr="00D2052A">
        <w:rPr>
          <w:rFonts w:eastAsia="Calibri"/>
          <w:spacing w:val="-2"/>
          <w:szCs w:val="24"/>
        </w:rPr>
        <w:t xml:space="preserve"> </w:t>
      </w:r>
      <w:r w:rsidRPr="00D2052A">
        <w:rPr>
          <w:rFonts w:eastAsia="Calibri"/>
          <w:spacing w:val="-1"/>
          <w:szCs w:val="24"/>
        </w:rPr>
        <w:t>high</w:t>
      </w:r>
      <w:r w:rsidR="000507A1">
        <w:rPr>
          <w:rFonts w:eastAsia="Calibri"/>
          <w:spacing w:val="77"/>
          <w:szCs w:val="24"/>
        </w:rPr>
        <w:t xml:space="preserve"> </w:t>
      </w:r>
      <w:r w:rsidRPr="00D2052A">
        <w:rPr>
          <w:rFonts w:eastAsia="Calibri"/>
          <w:spacing w:val="-1"/>
          <w:szCs w:val="24"/>
        </w:rPr>
        <w:t xml:space="preserve">levels </w:t>
      </w:r>
      <w:r w:rsidRPr="00D2052A">
        <w:rPr>
          <w:rFonts w:eastAsia="Calibri"/>
          <w:szCs w:val="24"/>
        </w:rPr>
        <w:t>of</w:t>
      </w:r>
      <w:r w:rsidRPr="00D2052A">
        <w:rPr>
          <w:rFonts w:eastAsia="Calibri"/>
          <w:spacing w:val="-3"/>
          <w:szCs w:val="24"/>
        </w:rPr>
        <w:t xml:space="preserve"> </w:t>
      </w:r>
      <w:r w:rsidRPr="00D2052A">
        <w:rPr>
          <w:rFonts w:eastAsia="Calibri"/>
          <w:spacing w:val="-1"/>
          <w:szCs w:val="24"/>
        </w:rPr>
        <w:t>heterogeneity</w:t>
      </w:r>
      <w:r w:rsidRPr="00D2052A">
        <w:rPr>
          <w:rFonts w:eastAsia="Calibri"/>
          <w:spacing w:val="-3"/>
          <w:szCs w:val="24"/>
        </w:rPr>
        <w:t xml:space="preserve"> </w:t>
      </w:r>
      <w:r w:rsidRPr="00D2052A">
        <w:rPr>
          <w:rFonts w:eastAsia="Calibri"/>
          <w:spacing w:val="-1"/>
          <w:szCs w:val="24"/>
        </w:rPr>
        <w:t>in</w:t>
      </w:r>
      <w:r w:rsidRPr="00D2052A">
        <w:rPr>
          <w:rFonts w:eastAsia="Calibri"/>
          <w:spacing w:val="-3"/>
          <w:szCs w:val="24"/>
        </w:rPr>
        <w:t xml:space="preserve"> </w:t>
      </w:r>
      <w:r w:rsidRPr="00D2052A">
        <w:rPr>
          <w:rFonts w:eastAsia="Calibri"/>
          <w:spacing w:val="-1"/>
          <w:szCs w:val="24"/>
        </w:rPr>
        <w:t>study</w:t>
      </w:r>
      <w:r w:rsidRPr="00D2052A">
        <w:rPr>
          <w:rFonts w:eastAsia="Calibri"/>
          <w:spacing w:val="-3"/>
          <w:szCs w:val="24"/>
        </w:rPr>
        <w:t xml:space="preserve"> </w:t>
      </w:r>
      <w:r w:rsidRPr="00D2052A">
        <w:rPr>
          <w:rFonts w:eastAsia="Calibri"/>
          <w:spacing w:val="-1"/>
          <w:szCs w:val="24"/>
        </w:rPr>
        <w:t>results.</w:t>
      </w:r>
      <w:r w:rsidRPr="00D2052A">
        <w:rPr>
          <w:rFonts w:eastAsia="Calibri"/>
          <w:spacing w:val="-3"/>
          <w:szCs w:val="24"/>
        </w:rPr>
        <w:t xml:space="preserve"> </w:t>
      </w:r>
      <w:r w:rsidRPr="00D2052A">
        <w:rPr>
          <w:rFonts w:eastAsia="Calibri"/>
          <w:spacing w:val="-1"/>
          <w:szCs w:val="24"/>
        </w:rPr>
        <w:t>Longer-term</w:t>
      </w:r>
      <w:r w:rsidRPr="00D2052A">
        <w:rPr>
          <w:rFonts w:eastAsia="Calibri"/>
          <w:spacing w:val="-2"/>
          <w:szCs w:val="24"/>
        </w:rPr>
        <w:t xml:space="preserve"> outcome </w:t>
      </w:r>
      <w:r w:rsidRPr="00D2052A">
        <w:rPr>
          <w:rFonts w:eastAsia="Calibri"/>
          <w:spacing w:val="-1"/>
          <w:szCs w:val="24"/>
        </w:rPr>
        <w:t>measures that</w:t>
      </w:r>
      <w:r w:rsidRPr="00D2052A">
        <w:rPr>
          <w:rFonts w:eastAsia="Calibri"/>
          <w:spacing w:val="-3"/>
          <w:szCs w:val="24"/>
        </w:rPr>
        <w:t xml:space="preserve"> </w:t>
      </w:r>
      <w:r w:rsidRPr="00D2052A">
        <w:rPr>
          <w:rFonts w:eastAsia="Calibri"/>
          <w:spacing w:val="-1"/>
          <w:szCs w:val="24"/>
        </w:rPr>
        <w:t>would</w:t>
      </w:r>
      <w:r w:rsidRPr="00D2052A">
        <w:rPr>
          <w:rFonts w:eastAsia="Calibri"/>
          <w:szCs w:val="24"/>
        </w:rPr>
        <w:t xml:space="preserve"> </w:t>
      </w:r>
      <w:r w:rsidRPr="00D2052A">
        <w:rPr>
          <w:rFonts w:eastAsia="Calibri"/>
          <w:spacing w:val="-2"/>
          <w:szCs w:val="24"/>
        </w:rPr>
        <w:t>be</w:t>
      </w:r>
      <w:r w:rsidRPr="00D2052A">
        <w:rPr>
          <w:rFonts w:eastAsia="Calibri"/>
          <w:spacing w:val="61"/>
          <w:szCs w:val="24"/>
        </w:rPr>
        <w:t xml:space="preserve"> </w:t>
      </w:r>
      <w:r w:rsidRPr="00D2052A">
        <w:rPr>
          <w:rFonts w:eastAsia="Calibri"/>
          <w:szCs w:val="24"/>
        </w:rPr>
        <w:t>more</w:t>
      </w:r>
      <w:r w:rsidRPr="00D2052A">
        <w:rPr>
          <w:rFonts w:eastAsia="Calibri"/>
          <w:spacing w:val="-2"/>
          <w:szCs w:val="24"/>
        </w:rPr>
        <w:t xml:space="preserve"> helpful</w:t>
      </w:r>
      <w:r w:rsidRPr="00D2052A">
        <w:rPr>
          <w:rFonts w:eastAsia="Calibri"/>
          <w:spacing w:val="-1"/>
          <w:szCs w:val="24"/>
        </w:rPr>
        <w:t xml:space="preserve"> in</w:t>
      </w:r>
      <w:r w:rsidRPr="00D2052A">
        <w:rPr>
          <w:rFonts w:eastAsia="Calibri"/>
          <w:spacing w:val="-3"/>
          <w:szCs w:val="24"/>
        </w:rPr>
        <w:t xml:space="preserve"> </w:t>
      </w:r>
      <w:r w:rsidRPr="00D2052A">
        <w:rPr>
          <w:rFonts w:eastAsia="Calibri"/>
          <w:spacing w:val="-1"/>
          <w:szCs w:val="24"/>
        </w:rPr>
        <w:t>answering</w:t>
      </w:r>
      <w:r w:rsidRPr="00D2052A">
        <w:rPr>
          <w:rFonts w:eastAsia="Calibri"/>
          <w:spacing w:val="1"/>
          <w:szCs w:val="24"/>
        </w:rPr>
        <w:t xml:space="preserve"> </w:t>
      </w:r>
      <w:r w:rsidRPr="00D2052A">
        <w:rPr>
          <w:rFonts w:eastAsia="Calibri"/>
          <w:spacing w:val="-2"/>
          <w:szCs w:val="24"/>
        </w:rPr>
        <w:t xml:space="preserve">the </w:t>
      </w:r>
      <w:r w:rsidRPr="00D2052A">
        <w:rPr>
          <w:rFonts w:eastAsia="Calibri"/>
          <w:spacing w:val="-1"/>
          <w:szCs w:val="24"/>
        </w:rPr>
        <w:t>clinical question</w:t>
      </w:r>
      <w:r w:rsidRPr="00D2052A">
        <w:rPr>
          <w:rFonts w:eastAsia="Calibri"/>
          <w:spacing w:val="-3"/>
          <w:szCs w:val="24"/>
        </w:rPr>
        <w:t xml:space="preserve"> </w:t>
      </w:r>
      <w:r w:rsidRPr="00D2052A">
        <w:rPr>
          <w:rFonts w:eastAsia="Calibri"/>
          <w:spacing w:val="-1"/>
          <w:szCs w:val="24"/>
        </w:rPr>
        <w:t>in</w:t>
      </w:r>
      <w:r w:rsidRPr="00D2052A">
        <w:rPr>
          <w:rFonts w:eastAsia="Calibri"/>
          <w:spacing w:val="-3"/>
          <w:szCs w:val="24"/>
        </w:rPr>
        <w:t xml:space="preserve"> </w:t>
      </w:r>
      <w:r w:rsidRPr="00D2052A">
        <w:rPr>
          <w:rFonts w:eastAsia="Calibri"/>
          <w:spacing w:val="-1"/>
          <w:szCs w:val="24"/>
        </w:rPr>
        <w:t>relation</w:t>
      </w:r>
      <w:r w:rsidRPr="00D2052A">
        <w:rPr>
          <w:rFonts w:eastAsia="Calibri"/>
          <w:spacing w:val="-3"/>
          <w:szCs w:val="24"/>
        </w:rPr>
        <w:t xml:space="preserve"> </w:t>
      </w:r>
      <w:r w:rsidRPr="00D2052A">
        <w:rPr>
          <w:rFonts w:eastAsia="Calibri"/>
          <w:spacing w:val="-1"/>
          <w:szCs w:val="24"/>
        </w:rPr>
        <w:t>to current</w:t>
      </w:r>
      <w:r w:rsidRPr="00D2052A">
        <w:rPr>
          <w:rFonts w:eastAsia="Calibri"/>
          <w:spacing w:val="-3"/>
          <w:szCs w:val="24"/>
        </w:rPr>
        <w:t xml:space="preserve"> </w:t>
      </w:r>
      <w:r w:rsidRPr="00D2052A">
        <w:rPr>
          <w:rFonts w:eastAsia="Calibri"/>
          <w:spacing w:val="-1"/>
          <w:szCs w:val="24"/>
        </w:rPr>
        <w:t>management</w:t>
      </w:r>
      <w:r w:rsidRPr="00D2052A">
        <w:rPr>
          <w:rFonts w:eastAsia="Calibri"/>
          <w:spacing w:val="47"/>
          <w:szCs w:val="24"/>
        </w:rPr>
        <w:t xml:space="preserve"> </w:t>
      </w:r>
      <w:r w:rsidRPr="00D2052A">
        <w:rPr>
          <w:rFonts w:eastAsia="Calibri"/>
          <w:spacing w:val="-2"/>
          <w:szCs w:val="24"/>
        </w:rPr>
        <w:t>without</w:t>
      </w:r>
      <w:r w:rsidRPr="00D2052A">
        <w:rPr>
          <w:rFonts w:eastAsia="Calibri"/>
          <w:spacing w:val="-3"/>
          <w:szCs w:val="24"/>
        </w:rPr>
        <w:t xml:space="preserve"> </w:t>
      </w:r>
      <w:proofErr w:type="gramStart"/>
      <w:r w:rsidRPr="00D2052A">
        <w:rPr>
          <w:rFonts w:eastAsia="Calibri"/>
          <w:szCs w:val="24"/>
        </w:rPr>
        <w:t>CCXL,</w:t>
      </w:r>
      <w:proofErr w:type="gramEnd"/>
      <w:r w:rsidRPr="00D2052A">
        <w:rPr>
          <w:rFonts w:eastAsia="Calibri"/>
          <w:spacing w:val="-3"/>
          <w:szCs w:val="24"/>
        </w:rPr>
        <w:t xml:space="preserve"> </w:t>
      </w:r>
      <w:r w:rsidRPr="00D2052A">
        <w:rPr>
          <w:rFonts w:eastAsia="Calibri"/>
          <w:spacing w:val="-1"/>
          <w:szCs w:val="24"/>
        </w:rPr>
        <w:t>have</w:t>
      </w:r>
      <w:r w:rsidRPr="00D2052A">
        <w:rPr>
          <w:rFonts w:eastAsia="Calibri"/>
          <w:spacing w:val="-2"/>
          <w:szCs w:val="24"/>
        </w:rPr>
        <w:t xml:space="preserve"> </w:t>
      </w:r>
      <w:r w:rsidRPr="00D2052A">
        <w:rPr>
          <w:rFonts w:eastAsia="Calibri"/>
          <w:spacing w:val="-1"/>
          <w:szCs w:val="24"/>
        </w:rPr>
        <w:t>additional quality</w:t>
      </w:r>
      <w:r w:rsidRPr="00D2052A">
        <w:rPr>
          <w:rFonts w:eastAsia="Calibri"/>
          <w:spacing w:val="-3"/>
          <w:szCs w:val="24"/>
        </w:rPr>
        <w:t xml:space="preserve"> </w:t>
      </w:r>
      <w:r w:rsidRPr="00D2052A">
        <w:rPr>
          <w:rFonts w:eastAsia="Calibri"/>
          <w:spacing w:val="-1"/>
          <w:szCs w:val="24"/>
        </w:rPr>
        <w:t xml:space="preserve">issues </w:t>
      </w:r>
      <w:r w:rsidRPr="00D2052A">
        <w:rPr>
          <w:rFonts w:eastAsia="Calibri"/>
          <w:spacing w:val="-2"/>
          <w:szCs w:val="24"/>
        </w:rPr>
        <w:t>with</w:t>
      </w:r>
      <w:r w:rsidRPr="00D2052A">
        <w:rPr>
          <w:rFonts w:eastAsia="Calibri"/>
          <w:spacing w:val="2"/>
          <w:szCs w:val="24"/>
        </w:rPr>
        <w:t xml:space="preserve"> </w:t>
      </w:r>
      <w:r w:rsidRPr="00D2052A">
        <w:rPr>
          <w:rFonts w:eastAsia="Calibri"/>
          <w:szCs w:val="24"/>
        </w:rPr>
        <w:t xml:space="preserve">loss </w:t>
      </w:r>
      <w:r w:rsidRPr="00D2052A">
        <w:rPr>
          <w:rFonts w:eastAsia="Calibri"/>
          <w:spacing w:val="-1"/>
          <w:szCs w:val="24"/>
        </w:rPr>
        <w:t xml:space="preserve">to </w:t>
      </w:r>
      <w:proofErr w:type="spellStart"/>
      <w:r w:rsidRPr="00D2052A">
        <w:rPr>
          <w:rFonts w:eastAsia="Calibri"/>
          <w:spacing w:val="-1"/>
          <w:szCs w:val="24"/>
        </w:rPr>
        <w:t>followup</w:t>
      </w:r>
      <w:proofErr w:type="spellEnd"/>
      <w:r w:rsidRPr="00D2052A">
        <w:rPr>
          <w:rFonts w:eastAsia="Calibri"/>
          <w:spacing w:val="-3"/>
          <w:szCs w:val="24"/>
        </w:rPr>
        <w:t xml:space="preserve"> </w:t>
      </w:r>
      <w:r w:rsidRPr="00D2052A">
        <w:rPr>
          <w:rFonts w:eastAsia="Calibri"/>
          <w:spacing w:val="-1"/>
          <w:szCs w:val="24"/>
        </w:rPr>
        <w:t xml:space="preserve">and </w:t>
      </w:r>
      <w:r w:rsidRPr="00D2052A">
        <w:rPr>
          <w:rFonts w:eastAsia="Calibri"/>
          <w:szCs w:val="24"/>
        </w:rPr>
        <w:t>low</w:t>
      </w:r>
      <w:r w:rsidRPr="00D2052A">
        <w:rPr>
          <w:rFonts w:eastAsia="Calibri"/>
          <w:spacing w:val="-3"/>
          <w:szCs w:val="24"/>
        </w:rPr>
        <w:t xml:space="preserve"> </w:t>
      </w:r>
      <w:r w:rsidRPr="00D2052A">
        <w:rPr>
          <w:rFonts w:eastAsia="Calibri"/>
          <w:spacing w:val="-2"/>
          <w:szCs w:val="24"/>
        </w:rPr>
        <w:t>patient</w:t>
      </w:r>
      <w:r w:rsidRPr="00D2052A">
        <w:rPr>
          <w:rFonts w:eastAsia="Calibri"/>
          <w:spacing w:val="47"/>
          <w:szCs w:val="24"/>
        </w:rPr>
        <w:t xml:space="preserve"> </w:t>
      </w:r>
      <w:r w:rsidRPr="00D2052A">
        <w:rPr>
          <w:rFonts w:eastAsia="Calibri"/>
          <w:spacing w:val="-1"/>
          <w:szCs w:val="24"/>
        </w:rPr>
        <w:t>numbers.</w:t>
      </w:r>
    </w:p>
    <w:p w:rsidR="000507A1" w:rsidRDefault="00D2052A" w:rsidP="00806A9C">
      <w:pPr>
        <w:autoSpaceDE w:val="0"/>
        <w:autoSpaceDN w:val="0"/>
        <w:adjustRightInd w:val="0"/>
        <w:spacing w:after="240"/>
        <w:rPr>
          <w:rFonts w:eastAsia="Calibri"/>
          <w:spacing w:val="-3"/>
          <w:szCs w:val="24"/>
        </w:rPr>
      </w:pPr>
      <w:proofErr w:type="gramStart"/>
      <w:r w:rsidRPr="00D2052A">
        <w:rPr>
          <w:rFonts w:eastAsia="Calibri"/>
          <w:szCs w:val="24"/>
        </w:rPr>
        <w:t>An</w:t>
      </w:r>
      <w:r w:rsidRPr="00D2052A">
        <w:rPr>
          <w:rFonts w:eastAsia="Calibri"/>
          <w:spacing w:val="-2"/>
          <w:szCs w:val="24"/>
        </w:rPr>
        <w:t xml:space="preserve"> </w:t>
      </w:r>
      <w:r w:rsidRPr="00D2052A">
        <w:rPr>
          <w:rFonts w:eastAsia="Calibri"/>
          <w:spacing w:val="-1"/>
          <w:szCs w:val="24"/>
        </w:rPr>
        <w:t>evidence</w:t>
      </w:r>
      <w:proofErr w:type="gramEnd"/>
      <w:r w:rsidRPr="00D2052A">
        <w:rPr>
          <w:rFonts w:eastAsia="Calibri"/>
          <w:spacing w:val="-2"/>
          <w:szCs w:val="24"/>
        </w:rPr>
        <w:t xml:space="preserve"> </w:t>
      </w:r>
      <w:r w:rsidRPr="00D2052A">
        <w:rPr>
          <w:rFonts w:eastAsia="Calibri"/>
          <w:spacing w:val="-1"/>
          <w:szCs w:val="24"/>
        </w:rPr>
        <w:t>summary</w:t>
      </w:r>
      <w:r w:rsidRPr="00D2052A">
        <w:rPr>
          <w:rFonts w:eastAsia="Calibri"/>
          <w:spacing w:val="-3"/>
          <w:szCs w:val="24"/>
        </w:rPr>
        <w:t xml:space="preserve"> </w:t>
      </w:r>
      <w:r w:rsidRPr="00D2052A">
        <w:rPr>
          <w:rFonts w:eastAsia="Calibri"/>
          <w:szCs w:val="24"/>
        </w:rPr>
        <w:t>of</w:t>
      </w:r>
      <w:r w:rsidRPr="00D2052A">
        <w:rPr>
          <w:rFonts w:eastAsia="Calibri"/>
          <w:spacing w:val="-3"/>
          <w:szCs w:val="24"/>
        </w:rPr>
        <w:t xml:space="preserve"> </w:t>
      </w:r>
      <w:r w:rsidRPr="00D2052A">
        <w:rPr>
          <w:rFonts w:eastAsia="Calibri"/>
          <w:spacing w:val="-2"/>
          <w:szCs w:val="24"/>
        </w:rPr>
        <w:t>key</w:t>
      </w:r>
      <w:r w:rsidRPr="00D2052A">
        <w:rPr>
          <w:rFonts w:eastAsia="Calibri"/>
          <w:spacing w:val="-3"/>
          <w:szCs w:val="24"/>
        </w:rPr>
        <w:t xml:space="preserve"> </w:t>
      </w:r>
      <w:r w:rsidRPr="00D2052A">
        <w:rPr>
          <w:rFonts w:eastAsia="Calibri"/>
          <w:spacing w:val="-1"/>
          <w:szCs w:val="24"/>
        </w:rPr>
        <w:t>results for</w:t>
      </w:r>
      <w:r w:rsidRPr="00D2052A">
        <w:rPr>
          <w:rFonts w:eastAsia="Calibri"/>
          <w:spacing w:val="1"/>
          <w:szCs w:val="24"/>
        </w:rPr>
        <w:t xml:space="preserve"> </w:t>
      </w:r>
      <w:r w:rsidR="00DE7CD3">
        <w:rPr>
          <w:rFonts w:eastAsia="Calibri"/>
          <w:spacing w:val="1"/>
          <w:szCs w:val="24"/>
        </w:rPr>
        <w:t xml:space="preserve">the </w:t>
      </w:r>
      <w:r w:rsidRPr="00D2052A">
        <w:rPr>
          <w:rFonts w:eastAsia="Calibri"/>
          <w:spacing w:val="-2"/>
          <w:szCs w:val="24"/>
        </w:rPr>
        <w:t>standard</w:t>
      </w:r>
      <w:r w:rsidRPr="00D2052A">
        <w:rPr>
          <w:rFonts w:eastAsia="Calibri"/>
          <w:spacing w:val="-1"/>
          <w:szCs w:val="24"/>
        </w:rPr>
        <w:t xml:space="preserve"> </w:t>
      </w:r>
      <w:r w:rsidRPr="00D2052A">
        <w:rPr>
          <w:rFonts w:eastAsia="Calibri"/>
          <w:spacing w:val="-2"/>
          <w:szCs w:val="24"/>
        </w:rPr>
        <w:t>CCXL</w:t>
      </w:r>
      <w:r w:rsidRPr="00D2052A">
        <w:rPr>
          <w:rFonts w:eastAsia="Calibri"/>
          <w:spacing w:val="-1"/>
          <w:szCs w:val="24"/>
        </w:rPr>
        <w:t xml:space="preserve"> procedure</w:t>
      </w:r>
      <w:r w:rsidRPr="00D2052A">
        <w:rPr>
          <w:rFonts w:eastAsia="Calibri"/>
          <w:spacing w:val="-2"/>
          <w:szCs w:val="24"/>
        </w:rPr>
        <w:t xml:space="preserve"> </w:t>
      </w:r>
      <w:r w:rsidRPr="00D2052A">
        <w:rPr>
          <w:rFonts w:eastAsia="Calibri"/>
          <w:spacing w:val="-1"/>
          <w:szCs w:val="24"/>
        </w:rPr>
        <w:t>over</w:t>
      </w:r>
      <w:r w:rsidRPr="00D2052A">
        <w:rPr>
          <w:rFonts w:eastAsia="Calibri"/>
          <w:spacing w:val="1"/>
          <w:szCs w:val="24"/>
        </w:rPr>
        <w:t xml:space="preserve"> </w:t>
      </w:r>
      <w:r w:rsidRPr="00D2052A">
        <w:rPr>
          <w:rFonts w:eastAsia="Calibri"/>
          <w:spacing w:val="-2"/>
          <w:szCs w:val="24"/>
        </w:rPr>
        <w:t>12</w:t>
      </w:r>
      <w:r w:rsidRPr="00D2052A">
        <w:rPr>
          <w:rFonts w:eastAsia="Calibri"/>
          <w:spacing w:val="-3"/>
          <w:szCs w:val="24"/>
        </w:rPr>
        <w:t xml:space="preserve"> </w:t>
      </w:r>
      <w:r w:rsidRPr="00D2052A">
        <w:rPr>
          <w:rFonts w:eastAsia="Calibri"/>
          <w:spacing w:val="-2"/>
          <w:szCs w:val="24"/>
        </w:rPr>
        <w:t>months</w:t>
      </w:r>
      <w:r w:rsidRPr="00D2052A">
        <w:rPr>
          <w:rFonts w:eastAsia="Calibri"/>
          <w:spacing w:val="-1"/>
          <w:szCs w:val="24"/>
        </w:rPr>
        <w:t xml:space="preserve"> </w:t>
      </w:r>
      <w:r w:rsidRPr="00D2052A">
        <w:rPr>
          <w:rFonts w:eastAsia="Calibri"/>
          <w:szCs w:val="24"/>
        </w:rPr>
        <w:t>or</w:t>
      </w:r>
      <w:r w:rsidRPr="00D2052A">
        <w:rPr>
          <w:rFonts w:eastAsia="Calibri"/>
          <w:spacing w:val="73"/>
          <w:szCs w:val="24"/>
        </w:rPr>
        <w:t xml:space="preserve"> </w:t>
      </w:r>
      <w:r w:rsidRPr="00D2052A">
        <w:rPr>
          <w:rFonts w:eastAsia="Calibri"/>
          <w:spacing w:val="-1"/>
          <w:szCs w:val="24"/>
        </w:rPr>
        <w:t>longer</w:t>
      </w:r>
      <w:r w:rsidRPr="00D2052A">
        <w:rPr>
          <w:rFonts w:eastAsia="Calibri"/>
          <w:spacing w:val="1"/>
          <w:szCs w:val="24"/>
        </w:rPr>
        <w:t xml:space="preserve"> </w:t>
      </w:r>
      <w:r w:rsidRPr="00D2052A">
        <w:rPr>
          <w:rFonts w:eastAsia="Calibri"/>
          <w:spacing w:val="-1"/>
          <w:szCs w:val="24"/>
        </w:rPr>
        <w:t>is shown</w:t>
      </w:r>
      <w:r w:rsidRPr="00D2052A">
        <w:rPr>
          <w:rFonts w:eastAsia="Calibri"/>
          <w:spacing w:val="-3"/>
          <w:szCs w:val="24"/>
        </w:rPr>
        <w:t xml:space="preserve"> </w:t>
      </w:r>
      <w:r w:rsidRPr="00D2052A">
        <w:rPr>
          <w:rFonts w:eastAsia="Calibri"/>
          <w:spacing w:val="-1"/>
          <w:szCs w:val="24"/>
        </w:rPr>
        <w:t>in</w:t>
      </w:r>
      <w:r w:rsidRPr="00D2052A">
        <w:rPr>
          <w:rFonts w:eastAsia="Calibri"/>
          <w:spacing w:val="-3"/>
          <w:szCs w:val="24"/>
        </w:rPr>
        <w:t xml:space="preserve"> </w:t>
      </w:r>
      <w:r w:rsidR="00DE7CD3">
        <w:rPr>
          <w:rFonts w:eastAsia="Calibri"/>
          <w:spacing w:val="-2"/>
          <w:szCs w:val="24"/>
        </w:rPr>
        <w:t>Table 2</w:t>
      </w:r>
      <w:r w:rsidRPr="00D2052A">
        <w:rPr>
          <w:rFonts w:eastAsia="Calibri"/>
          <w:spacing w:val="-3"/>
          <w:szCs w:val="24"/>
        </w:rPr>
        <w:t>.</w:t>
      </w:r>
    </w:p>
    <w:p w:rsidR="00687D99" w:rsidRPr="00C75CD5" w:rsidRDefault="00DE7CD3" w:rsidP="00C75CD5">
      <w:pPr>
        <w:autoSpaceDE w:val="0"/>
        <w:autoSpaceDN w:val="0"/>
        <w:adjustRightInd w:val="0"/>
        <w:rPr>
          <w:rFonts w:eastAsia="Calibri"/>
          <w:b/>
          <w:color w:val="000000"/>
          <w:sz w:val="20"/>
        </w:rPr>
      </w:pPr>
      <w:r w:rsidRPr="00C75CD5">
        <w:rPr>
          <w:rFonts w:eastAsia="Calibri"/>
          <w:b/>
          <w:color w:val="000000"/>
          <w:sz w:val="20"/>
        </w:rPr>
        <w:t>Table 2</w:t>
      </w:r>
      <w:r w:rsidR="00554094" w:rsidRPr="00C75CD5">
        <w:rPr>
          <w:rFonts w:eastAsia="Calibri"/>
          <w:b/>
          <w:color w:val="000000"/>
          <w:sz w:val="20"/>
        </w:rPr>
        <w:t xml:space="preserve"> </w:t>
      </w:r>
      <w:r w:rsidRPr="00C75CD5">
        <w:rPr>
          <w:rFonts w:eastAsia="Calibri"/>
          <w:b/>
          <w:color w:val="000000"/>
          <w:sz w:val="20"/>
        </w:rPr>
        <w:t xml:space="preserve"> Evidence profile: Overall clinical effects of standard CCXL as measured in key included systematic reviews and randomised trials with 12 months follow</w:t>
      </w:r>
      <w:r w:rsidR="00687D99" w:rsidRPr="00C75CD5">
        <w:rPr>
          <w:rFonts w:eastAsia="Calibri"/>
          <w:b/>
          <w:color w:val="000000"/>
          <w:sz w:val="20"/>
        </w:rPr>
        <w:t xml:space="preserve"> </w:t>
      </w:r>
      <w:r w:rsidRPr="00C75CD5">
        <w:rPr>
          <w:rFonts w:eastAsia="Calibri"/>
          <w:b/>
          <w:color w:val="000000"/>
          <w:sz w:val="20"/>
        </w:rPr>
        <w:t xml:space="preserve">up or greater </w:t>
      </w:r>
    </w:p>
    <w:tbl>
      <w:tblPr>
        <w:tblStyle w:val="TableGrid"/>
        <w:tblW w:w="0" w:type="auto"/>
        <w:tblInd w:w="40" w:type="dxa"/>
        <w:tblLook w:val="04A0" w:firstRow="1" w:lastRow="0" w:firstColumn="1" w:lastColumn="0" w:noHBand="0" w:noVBand="1"/>
        <w:tblDescription w:val="An evidence summary of key results for the standard CCXL procedure over 12 months or longer "/>
      </w:tblPr>
      <w:tblGrid>
        <w:gridCol w:w="1486"/>
        <w:gridCol w:w="1701"/>
        <w:gridCol w:w="1417"/>
        <w:gridCol w:w="1985"/>
        <w:gridCol w:w="2268"/>
      </w:tblGrid>
      <w:tr w:rsidR="002B5DE2" w:rsidRPr="00554094" w:rsidTr="0035615B">
        <w:trPr>
          <w:tblHeader/>
        </w:trPr>
        <w:tc>
          <w:tcPr>
            <w:tcW w:w="1486"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b/>
                <w:sz w:val="20"/>
              </w:rPr>
            </w:pPr>
            <w:r w:rsidRPr="00554094">
              <w:rPr>
                <w:rFonts w:ascii="Times New Roman" w:eastAsia="Calibri" w:hAnsi="Times New Roman" w:cs="Times New Roman"/>
                <w:b/>
                <w:sz w:val="20"/>
              </w:rPr>
              <w:t>Outcomes (units)</w:t>
            </w:r>
          </w:p>
        </w:tc>
        <w:tc>
          <w:tcPr>
            <w:tcW w:w="1701"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b/>
                <w:sz w:val="20"/>
              </w:rPr>
            </w:pPr>
            <w:r w:rsidRPr="00554094">
              <w:rPr>
                <w:rFonts w:ascii="Times New Roman" w:eastAsia="Calibri" w:hAnsi="Times New Roman" w:cs="Times New Roman"/>
                <w:b/>
                <w:sz w:val="20"/>
              </w:rPr>
              <w:t>Participants (studies)</w:t>
            </w:r>
          </w:p>
        </w:tc>
        <w:tc>
          <w:tcPr>
            <w:tcW w:w="1417"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b/>
                <w:sz w:val="20"/>
              </w:rPr>
            </w:pPr>
            <w:r w:rsidRPr="00554094">
              <w:rPr>
                <w:rFonts w:ascii="Times New Roman" w:eastAsia="Calibri" w:hAnsi="Times New Roman" w:cs="Times New Roman"/>
                <w:b/>
                <w:sz w:val="20"/>
              </w:rPr>
              <w:t>Type of study</w:t>
            </w:r>
          </w:p>
        </w:tc>
        <w:tc>
          <w:tcPr>
            <w:tcW w:w="1985" w:type="dxa"/>
          </w:tcPr>
          <w:p w:rsidR="002B5DE2" w:rsidRPr="00554094" w:rsidRDefault="002B5DE2" w:rsidP="0049458D">
            <w:pPr>
              <w:kinsoku w:val="0"/>
              <w:overflowPunct w:val="0"/>
              <w:autoSpaceDE w:val="0"/>
              <w:autoSpaceDN w:val="0"/>
              <w:adjustRightInd w:val="0"/>
              <w:ind w:right="34"/>
              <w:rPr>
                <w:rFonts w:ascii="Times New Roman" w:eastAsia="Calibri" w:hAnsi="Times New Roman" w:cs="Times New Roman"/>
                <w:b/>
                <w:sz w:val="20"/>
              </w:rPr>
            </w:pPr>
            <w:r w:rsidRPr="00554094">
              <w:rPr>
                <w:rFonts w:ascii="Times New Roman" w:eastAsia="Calibri" w:hAnsi="Times New Roman" w:cs="Times New Roman"/>
                <w:b/>
                <w:sz w:val="20"/>
              </w:rPr>
              <w:t>Quality of evidence (GRADE)</w:t>
            </w:r>
          </w:p>
        </w:tc>
        <w:tc>
          <w:tcPr>
            <w:tcW w:w="2268"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b/>
                <w:sz w:val="20"/>
              </w:rPr>
            </w:pPr>
            <w:r w:rsidRPr="00554094">
              <w:rPr>
                <w:rFonts w:ascii="Times New Roman" w:eastAsia="Calibri" w:hAnsi="Times New Roman" w:cs="Times New Roman"/>
                <w:b/>
                <w:sz w:val="20"/>
              </w:rPr>
              <w:t>Effect (summary)</w:t>
            </w:r>
          </w:p>
        </w:tc>
      </w:tr>
      <w:tr w:rsidR="002B5DE2" w:rsidRPr="00554094" w:rsidTr="0049458D">
        <w:tc>
          <w:tcPr>
            <w:tcW w:w="1486"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Corrected visual acuity (</w:t>
            </w:r>
            <w:proofErr w:type="spellStart"/>
            <w:r w:rsidRPr="00554094">
              <w:rPr>
                <w:rFonts w:ascii="Times New Roman" w:eastAsia="Calibri" w:hAnsi="Times New Roman" w:cs="Times New Roman"/>
                <w:sz w:val="20"/>
              </w:rPr>
              <w:t>logMAR</w:t>
            </w:r>
            <w:proofErr w:type="spellEnd"/>
            <w:r w:rsidRPr="00554094">
              <w:rPr>
                <w:rFonts w:ascii="Times New Roman" w:eastAsia="Calibri" w:hAnsi="Times New Roman" w:cs="Times New Roman"/>
                <w:sz w:val="20"/>
              </w:rPr>
              <w:t>)</w:t>
            </w:r>
          </w:p>
        </w:tc>
        <w:tc>
          <w:tcPr>
            <w:tcW w:w="1701"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 xml:space="preserve">Craig 2014; </w:t>
            </w:r>
            <w:proofErr w:type="spellStart"/>
            <w:r w:rsidRPr="00554094">
              <w:rPr>
                <w:rFonts w:ascii="Times New Roman" w:hAnsi="Times New Roman" w:cs="Times New Roman"/>
                <w:sz w:val="20"/>
                <w:szCs w:val="20"/>
              </w:rPr>
              <w:t>Meiri</w:t>
            </w:r>
            <w:proofErr w:type="spellEnd"/>
            <w:r w:rsidRPr="00554094">
              <w:rPr>
                <w:rFonts w:ascii="Times New Roman" w:hAnsi="Times New Roman" w:cs="Times New Roman"/>
                <w:sz w:val="20"/>
                <w:szCs w:val="20"/>
              </w:rPr>
              <w:t xml:space="preserve"> 2016</w:t>
            </w:r>
          </w:p>
        </w:tc>
        <w:tc>
          <w:tcPr>
            <w:tcW w:w="1417" w:type="dxa"/>
          </w:tcPr>
          <w:p w:rsidR="002B5DE2" w:rsidRPr="00554094" w:rsidRDefault="0049458D" w:rsidP="0049458D">
            <w:pPr>
              <w:pStyle w:val="Default"/>
              <w:rPr>
                <w:rFonts w:ascii="Times New Roman" w:eastAsia="Calibri" w:hAnsi="Times New Roman" w:cs="Times New Roman"/>
                <w:sz w:val="20"/>
                <w:szCs w:val="20"/>
              </w:rPr>
            </w:pPr>
            <w:r>
              <w:rPr>
                <w:rFonts w:ascii="Times New Roman" w:hAnsi="Times New Roman" w:cs="Times New Roman"/>
                <w:sz w:val="20"/>
                <w:szCs w:val="20"/>
              </w:rPr>
              <w:t>Meta-analysis (RCTs and NRS)</w:t>
            </w:r>
          </w:p>
        </w:tc>
        <w:tc>
          <w:tcPr>
            <w:tcW w:w="1985"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Low</w:t>
            </w:r>
          </w:p>
        </w:tc>
        <w:tc>
          <w:tcPr>
            <w:tcW w:w="2268"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–0.1 at 12&amp;24 months</w:t>
            </w:r>
          </w:p>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hAnsi="Times New Roman" w:cs="Times New Roman"/>
                <w:sz w:val="20"/>
              </w:rPr>
              <w:t>–0.09 at &gt;36 months</w:t>
            </w:r>
          </w:p>
        </w:tc>
      </w:tr>
      <w:tr w:rsidR="002B5DE2" w:rsidRPr="00554094" w:rsidTr="0049458D">
        <w:tc>
          <w:tcPr>
            <w:tcW w:w="1486"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p>
        </w:tc>
        <w:tc>
          <w:tcPr>
            <w:tcW w:w="1701"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Li 2015 </w:t>
            </w:r>
          </w:p>
        </w:tc>
        <w:tc>
          <w:tcPr>
            <w:tcW w:w="1417"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Meta-analysis (RCTs) </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–0.1 (3–36 months) </w:t>
            </w:r>
          </w:p>
        </w:tc>
      </w:tr>
      <w:tr w:rsidR="002B5DE2" w:rsidRPr="00554094" w:rsidTr="0049458D">
        <w:trPr>
          <w:trHeight w:val="971"/>
        </w:trPr>
        <w:tc>
          <w:tcPr>
            <w:tcW w:w="1486"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p>
        </w:tc>
        <w:tc>
          <w:tcPr>
            <w:tcW w:w="1701" w:type="dxa"/>
          </w:tcPr>
          <w:p w:rsidR="002B5DE2" w:rsidRPr="00554094" w:rsidRDefault="002B5DE2" w:rsidP="0049458D">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#997 </w:t>
            </w:r>
            <w:proofErr w:type="spellStart"/>
            <w:r w:rsidRPr="00554094">
              <w:rPr>
                <w:rFonts w:ascii="Times New Roman" w:hAnsi="Times New Roman" w:cs="Times New Roman"/>
                <w:sz w:val="20"/>
                <w:szCs w:val="20"/>
              </w:rPr>
              <w:t>Seyedian</w:t>
            </w:r>
            <w:proofErr w:type="spellEnd"/>
            <w:r w:rsidRPr="00554094">
              <w:rPr>
                <w:rFonts w:ascii="Times New Roman" w:hAnsi="Times New Roman" w:cs="Times New Roman"/>
                <w:sz w:val="20"/>
                <w:szCs w:val="20"/>
              </w:rPr>
              <w:t xml:space="preserve"> 2015 #1204,1205 Wittig-Silva 2008 and 20014 </w:t>
            </w:r>
          </w:p>
        </w:tc>
        <w:tc>
          <w:tcPr>
            <w:tcW w:w="1417"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RCTs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–0.1 at 12 months</w:t>
            </w:r>
          </w:p>
        </w:tc>
      </w:tr>
      <w:tr w:rsidR="002B5DE2" w:rsidRPr="00554094" w:rsidTr="0049458D">
        <w:tc>
          <w:tcPr>
            <w:tcW w:w="1486"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Unc</w:t>
            </w:r>
            <w:r w:rsidR="00554094">
              <w:rPr>
                <w:rFonts w:ascii="Times New Roman" w:hAnsi="Times New Roman" w:cs="Times New Roman"/>
                <w:sz w:val="20"/>
                <w:szCs w:val="20"/>
              </w:rPr>
              <w:t>orrected visual acuity (</w:t>
            </w:r>
            <w:proofErr w:type="spellStart"/>
            <w:r w:rsidR="00554094">
              <w:rPr>
                <w:rFonts w:ascii="Times New Roman" w:hAnsi="Times New Roman" w:cs="Times New Roman"/>
                <w:sz w:val="20"/>
                <w:szCs w:val="20"/>
              </w:rPr>
              <w:t>logMAR</w:t>
            </w:r>
            <w:proofErr w:type="spellEnd"/>
            <w:r w:rsidR="00554094">
              <w:rPr>
                <w:rFonts w:ascii="Times New Roman" w:hAnsi="Times New Roman" w:cs="Times New Roman"/>
                <w:sz w:val="20"/>
                <w:szCs w:val="20"/>
              </w:rPr>
              <w:t>)</w:t>
            </w:r>
          </w:p>
        </w:tc>
        <w:tc>
          <w:tcPr>
            <w:tcW w:w="1701" w:type="dxa"/>
          </w:tcPr>
          <w:p w:rsidR="002B5DE2" w:rsidRPr="00554094" w:rsidRDefault="0049458D" w:rsidP="0049458D">
            <w:pPr>
              <w:pStyle w:val="Default"/>
              <w:rPr>
                <w:rFonts w:ascii="Times New Roman" w:eastAsia="Calibri" w:hAnsi="Times New Roman" w:cs="Times New Roman"/>
                <w:sz w:val="20"/>
                <w:szCs w:val="20"/>
              </w:rPr>
            </w:pPr>
            <w:r>
              <w:rPr>
                <w:rFonts w:ascii="Times New Roman" w:hAnsi="Times New Roman" w:cs="Times New Roman"/>
                <w:sz w:val="20"/>
                <w:szCs w:val="20"/>
              </w:rPr>
              <w:t xml:space="preserve">Craig 2014; </w:t>
            </w:r>
            <w:proofErr w:type="spellStart"/>
            <w:r>
              <w:rPr>
                <w:rFonts w:ascii="Times New Roman" w:hAnsi="Times New Roman" w:cs="Times New Roman"/>
                <w:sz w:val="20"/>
                <w:szCs w:val="20"/>
              </w:rPr>
              <w:t>Meiri</w:t>
            </w:r>
            <w:proofErr w:type="spellEnd"/>
            <w:r>
              <w:rPr>
                <w:rFonts w:ascii="Times New Roman" w:hAnsi="Times New Roman" w:cs="Times New Roman"/>
                <w:sz w:val="20"/>
                <w:szCs w:val="20"/>
              </w:rPr>
              <w:t xml:space="preserve"> 2016</w:t>
            </w:r>
          </w:p>
        </w:tc>
        <w:tc>
          <w:tcPr>
            <w:tcW w:w="1417"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Meta-analysis (RCTs and NRS)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–0.1 to –0.2 at 12&amp;24 months </w:t>
            </w:r>
          </w:p>
          <w:p w:rsidR="002B5DE2" w:rsidRPr="00554094" w:rsidRDefault="002B5DE2" w:rsidP="0049458D">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hAnsi="Times New Roman" w:cs="Times New Roman"/>
                <w:sz w:val="20"/>
              </w:rPr>
              <w:t xml:space="preserve">–0.1 at &gt;36 months: </w:t>
            </w:r>
          </w:p>
        </w:tc>
      </w:tr>
      <w:tr w:rsidR="002B5DE2" w:rsidRPr="00554094" w:rsidTr="0049458D">
        <w:tc>
          <w:tcPr>
            <w:tcW w:w="1486"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p>
        </w:tc>
        <w:tc>
          <w:tcPr>
            <w:tcW w:w="1701"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Li 2015 </w:t>
            </w:r>
          </w:p>
        </w:tc>
        <w:tc>
          <w:tcPr>
            <w:tcW w:w="1417" w:type="dxa"/>
          </w:tcPr>
          <w:p w:rsidR="002B5DE2" w:rsidRPr="00554094" w:rsidRDefault="0049458D" w:rsidP="00171B46">
            <w:pPr>
              <w:pStyle w:val="Default"/>
              <w:rPr>
                <w:rFonts w:ascii="Times New Roman" w:hAnsi="Times New Roman" w:cs="Times New Roman"/>
                <w:sz w:val="20"/>
                <w:szCs w:val="20"/>
              </w:rPr>
            </w:pPr>
            <w:r>
              <w:rPr>
                <w:rFonts w:ascii="Times New Roman" w:hAnsi="Times New Roman" w:cs="Times New Roman"/>
                <w:sz w:val="20"/>
                <w:szCs w:val="20"/>
              </w:rPr>
              <w:t>Meta-analysis (RCTs)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–0.18</w:t>
            </w:r>
            <w:r w:rsidR="0049458D">
              <w:rPr>
                <w:rFonts w:ascii="Times New Roman" w:hAnsi="Times New Roman" w:cs="Times New Roman"/>
                <w:sz w:val="20"/>
                <w:szCs w:val="20"/>
              </w:rPr>
              <w:t xml:space="preserve"> </w:t>
            </w:r>
            <w:r w:rsidRPr="00554094">
              <w:rPr>
                <w:rFonts w:ascii="Times New Roman" w:hAnsi="Times New Roman" w:cs="Times New Roman"/>
                <w:sz w:val="20"/>
                <w:szCs w:val="20"/>
              </w:rPr>
              <w:t xml:space="preserve">(3–36 months) </w:t>
            </w:r>
          </w:p>
        </w:tc>
      </w:tr>
      <w:tr w:rsidR="002B5DE2" w:rsidRPr="00554094" w:rsidTr="0049458D">
        <w:tc>
          <w:tcPr>
            <w:tcW w:w="1486"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p>
        </w:tc>
        <w:tc>
          <w:tcPr>
            <w:tcW w:w="1701"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#1204,1205 Wittig-Silva 2008 and 20014 </w:t>
            </w:r>
          </w:p>
        </w:tc>
        <w:tc>
          <w:tcPr>
            <w:tcW w:w="1417"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RCTs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–0.1 at 12 months </w:t>
            </w:r>
          </w:p>
        </w:tc>
      </w:tr>
      <w:tr w:rsidR="002B5DE2" w:rsidRPr="00554094" w:rsidTr="0049458D">
        <w:tc>
          <w:tcPr>
            <w:tcW w:w="1486"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Max K (D)</w:t>
            </w:r>
          </w:p>
        </w:tc>
        <w:tc>
          <w:tcPr>
            <w:tcW w:w="1701"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 xml:space="preserve">Craig 2014; </w:t>
            </w:r>
            <w:proofErr w:type="spellStart"/>
            <w:r w:rsidRPr="00554094">
              <w:rPr>
                <w:rFonts w:ascii="Times New Roman" w:hAnsi="Times New Roman" w:cs="Times New Roman"/>
                <w:sz w:val="20"/>
                <w:szCs w:val="20"/>
              </w:rPr>
              <w:t>Meiri</w:t>
            </w:r>
            <w:proofErr w:type="spellEnd"/>
            <w:r w:rsidRPr="00554094">
              <w:rPr>
                <w:rFonts w:ascii="Times New Roman" w:hAnsi="Times New Roman" w:cs="Times New Roman"/>
                <w:sz w:val="20"/>
                <w:szCs w:val="20"/>
              </w:rPr>
              <w:t xml:space="preserve"> 2016</w:t>
            </w:r>
          </w:p>
        </w:tc>
        <w:tc>
          <w:tcPr>
            <w:tcW w:w="1417"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Meta-analysis (RCTs and NRS)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49458D"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Relative to baseline/</w:t>
            </w:r>
            <w:proofErr w:type="spellStart"/>
            <w:r w:rsidRPr="00554094">
              <w:rPr>
                <w:rFonts w:ascii="Times New Roman" w:hAnsi="Times New Roman" w:cs="Times New Roman"/>
                <w:sz w:val="20"/>
                <w:szCs w:val="20"/>
              </w:rPr>
              <w:t>preCCXL</w:t>
            </w:r>
            <w:proofErr w:type="spellEnd"/>
            <w:r w:rsidRPr="00554094">
              <w:rPr>
                <w:rFonts w:ascii="Times New Roman" w:hAnsi="Times New Roman" w:cs="Times New Roman"/>
                <w:sz w:val="20"/>
                <w:szCs w:val="20"/>
              </w:rPr>
              <w:t>:</w:t>
            </w:r>
          </w:p>
          <w:p w:rsidR="0049458D"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–1 at 12&amp;24 months</w:t>
            </w:r>
          </w:p>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–0.4 at &gt; 36 months </w:t>
            </w:r>
          </w:p>
        </w:tc>
      </w:tr>
      <w:tr w:rsidR="002B5DE2" w:rsidRPr="00554094" w:rsidTr="0049458D">
        <w:tc>
          <w:tcPr>
            <w:tcW w:w="1486" w:type="dxa"/>
          </w:tcPr>
          <w:p w:rsidR="002B5DE2" w:rsidRPr="00554094" w:rsidRDefault="002B5DE2" w:rsidP="00171B46">
            <w:pPr>
              <w:pStyle w:val="Default"/>
              <w:rPr>
                <w:rFonts w:ascii="Times New Roman" w:hAnsi="Times New Roman" w:cs="Times New Roman"/>
                <w:sz w:val="20"/>
                <w:szCs w:val="20"/>
              </w:rPr>
            </w:pPr>
          </w:p>
        </w:tc>
        <w:tc>
          <w:tcPr>
            <w:tcW w:w="1701"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Li 2015</w:t>
            </w:r>
          </w:p>
        </w:tc>
        <w:tc>
          <w:tcPr>
            <w:tcW w:w="1417"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Meta-analysis (RCTs)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49458D"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Relative to controls:</w:t>
            </w:r>
          </w:p>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–2.05 D (3–36 months) </w:t>
            </w:r>
          </w:p>
        </w:tc>
      </w:tr>
      <w:tr w:rsidR="002B5DE2" w:rsidRPr="00554094" w:rsidTr="0049458D">
        <w:tc>
          <w:tcPr>
            <w:tcW w:w="1486" w:type="dxa"/>
          </w:tcPr>
          <w:p w:rsidR="002B5DE2" w:rsidRPr="00554094" w:rsidRDefault="002B5DE2" w:rsidP="00171B46">
            <w:pPr>
              <w:pStyle w:val="Default"/>
              <w:rPr>
                <w:rFonts w:ascii="Times New Roman" w:hAnsi="Times New Roman" w:cs="Times New Roman"/>
                <w:sz w:val="20"/>
                <w:szCs w:val="20"/>
              </w:rPr>
            </w:pPr>
          </w:p>
        </w:tc>
        <w:tc>
          <w:tcPr>
            <w:tcW w:w="1701" w:type="dxa"/>
          </w:tcPr>
          <w:p w:rsidR="00687D99" w:rsidRPr="00554094" w:rsidRDefault="002B5DE2" w:rsidP="00554094">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#997 </w:t>
            </w:r>
            <w:proofErr w:type="spellStart"/>
            <w:r w:rsidRPr="00554094">
              <w:rPr>
                <w:rFonts w:ascii="Times New Roman" w:hAnsi="Times New Roman" w:cs="Times New Roman"/>
                <w:sz w:val="20"/>
                <w:szCs w:val="20"/>
              </w:rPr>
              <w:t>Seyedian</w:t>
            </w:r>
            <w:proofErr w:type="spellEnd"/>
            <w:r w:rsidRPr="00554094">
              <w:rPr>
                <w:rFonts w:ascii="Times New Roman" w:hAnsi="Times New Roman" w:cs="Times New Roman"/>
                <w:sz w:val="20"/>
                <w:szCs w:val="20"/>
              </w:rPr>
              <w:t xml:space="preserve"> 2015 #1204,1205 Wittig-Silva 2008 and 20014</w:t>
            </w:r>
          </w:p>
        </w:tc>
        <w:tc>
          <w:tcPr>
            <w:tcW w:w="1417"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RCTs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49458D" w:rsidRDefault="002B5DE2" w:rsidP="00554094">
            <w:pPr>
              <w:pStyle w:val="Default"/>
              <w:rPr>
                <w:rFonts w:ascii="Times New Roman" w:hAnsi="Times New Roman" w:cs="Times New Roman"/>
                <w:sz w:val="20"/>
                <w:szCs w:val="20"/>
              </w:rPr>
            </w:pPr>
            <w:r w:rsidRPr="00554094">
              <w:rPr>
                <w:rFonts w:ascii="Times New Roman" w:hAnsi="Times New Roman" w:cs="Times New Roman"/>
                <w:sz w:val="20"/>
                <w:szCs w:val="20"/>
              </w:rPr>
              <w:t>Relative to baseline and/or controls (up to 36 months):</w:t>
            </w:r>
          </w:p>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–1 to –2 D</w:t>
            </w:r>
          </w:p>
        </w:tc>
      </w:tr>
      <w:tr w:rsidR="002B5DE2" w:rsidRPr="00554094" w:rsidTr="0035615B">
        <w:trPr>
          <w:tblHeader/>
        </w:trPr>
        <w:tc>
          <w:tcPr>
            <w:tcW w:w="1486"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Spherical equivalent refractive error (D) </w:t>
            </w:r>
          </w:p>
        </w:tc>
        <w:tc>
          <w:tcPr>
            <w:tcW w:w="1701"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 xml:space="preserve">Craig 2014; </w:t>
            </w:r>
            <w:proofErr w:type="spellStart"/>
            <w:r w:rsidRPr="00554094">
              <w:rPr>
                <w:rFonts w:ascii="Times New Roman" w:hAnsi="Times New Roman" w:cs="Times New Roman"/>
                <w:sz w:val="20"/>
                <w:szCs w:val="20"/>
              </w:rPr>
              <w:t>Meiri</w:t>
            </w:r>
            <w:proofErr w:type="spellEnd"/>
            <w:r w:rsidRPr="00554094">
              <w:rPr>
                <w:rFonts w:ascii="Times New Roman" w:hAnsi="Times New Roman" w:cs="Times New Roman"/>
                <w:sz w:val="20"/>
                <w:szCs w:val="20"/>
              </w:rPr>
              <w:t xml:space="preserve"> 2016</w:t>
            </w:r>
          </w:p>
        </w:tc>
        <w:tc>
          <w:tcPr>
            <w:tcW w:w="1417"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Meta-analysis (RCTs and NRS)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49458D"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Relative to baseline:</w:t>
            </w:r>
          </w:p>
          <w:p w:rsidR="0049458D"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0.1–0.5 at 12 months</w:t>
            </w:r>
          </w:p>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0.7 at 24 months </w:t>
            </w:r>
          </w:p>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hAnsi="Times New Roman" w:cs="Times New Roman"/>
                <w:sz w:val="20"/>
              </w:rPr>
              <w:t xml:space="preserve">0.5 at &gt;36 months </w:t>
            </w:r>
          </w:p>
        </w:tc>
      </w:tr>
      <w:tr w:rsidR="002B5DE2" w:rsidRPr="00554094" w:rsidTr="0049458D">
        <w:tc>
          <w:tcPr>
            <w:tcW w:w="1486" w:type="dxa"/>
          </w:tcPr>
          <w:p w:rsidR="002B5DE2" w:rsidRPr="00554094" w:rsidRDefault="002B5DE2" w:rsidP="00171B46">
            <w:pPr>
              <w:pStyle w:val="Default"/>
              <w:rPr>
                <w:rFonts w:ascii="Times New Roman" w:hAnsi="Times New Roman" w:cs="Times New Roman"/>
                <w:sz w:val="20"/>
                <w:szCs w:val="20"/>
              </w:rPr>
            </w:pPr>
          </w:p>
        </w:tc>
        <w:tc>
          <w:tcPr>
            <w:tcW w:w="1701" w:type="dxa"/>
          </w:tcPr>
          <w:p w:rsidR="002B5DE2" w:rsidRPr="00554094" w:rsidRDefault="00554094" w:rsidP="00554094">
            <w:pPr>
              <w:pStyle w:val="Default"/>
              <w:rPr>
                <w:rFonts w:ascii="Times New Roman" w:eastAsia="Calibri" w:hAnsi="Times New Roman" w:cs="Times New Roman"/>
                <w:sz w:val="20"/>
                <w:szCs w:val="20"/>
              </w:rPr>
            </w:pPr>
            <w:r>
              <w:rPr>
                <w:rFonts w:ascii="Times New Roman" w:hAnsi="Times New Roman" w:cs="Times New Roman"/>
                <w:sz w:val="20"/>
                <w:szCs w:val="20"/>
              </w:rPr>
              <w:t>Li 2015</w:t>
            </w:r>
          </w:p>
        </w:tc>
        <w:tc>
          <w:tcPr>
            <w:tcW w:w="1417"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Meta-analysis (RCTs)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49458D"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Relative to controls:</w:t>
            </w:r>
          </w:p>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–0.96 (3–36 months) </w:t>
            </w:r>
          </w:p>
        </w:tc>
      </w:tr>
      <w:tr w:rsidR="002B5DE2" w:rsidRPr="00554094" w:rsidTr="0049458D">
        <w:tc>
          <w:tcPr>
            <w:tcW w:w="1486" w:type="dxa"/>
          </w:tcPr>
          <w:p w:rsidR="002B5DE2" w:rsidRPr="00554094" w:rsidRDefault="002B5DE2" w:rsidP="00171B46">
            <w:pPr>
              <w:pStyle w:val="Default"/>
              <w:rPr>
                <w:rFonts w:ascii="Times New Roman" w:hAnsi="Times New Roman" w:cs="Times New Roman"/>
                <w:sz w:val="20"/>
                <w:szCs w:val="20"/>
              </w:rPr>
            </w:pPr>
          </w:p>
        </w:tc>
        <w:tc>
          <w:tcPr>
            <w:tcW w:w="1701"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#997 </w:t>
            </w:r>
            <w:proofErr w:type="spellStart"/>
            <w:r w:rsidRPr="00554094">
              <w:rPr>
                <w:rFonts w:ascii="Times New Roman" w:hAnsi="Times New Roman" w:cs="Times New Roman"/>
                <w:sz w:val="20"/>
                <w:szCs w:val="20"/>
              </w:rPr>
              <w:t>Seyedian</w:t>
            </w:r>
            <w:proofErr w:type="spellEnd"/>
            <w:r w:rsidRPr="00554094">
              <w:rPr>
                <w:rFonts w:ascii="Times New Roman" w:hAnsi="Times New Roman" w:cs="Times New Roman"/>
                <w:sz w:val="20"/>
                <w:szCs w:val="20"/>
              </w:rPr>
              <w:t xml:space="preserve"> 2015 #1204,1205 Wittig-Silva 2008 and 20014 </w:t>
            </w:r>
          </w:p>
        </w:tc>
        <w:tc>
          <w:tcPr>
            <w:tcW w:w="1417" w:type="dxa"/>
          </w:tcPr>
          <w:p w:rsidR="002B5DE2" w:rsidRPr="00554094" w:rsidRDefault="002B5DE2" w:rsidP="0049458D">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RCTs</w:t>
            </w:r>
          </w:p>
        </w:tc>
        <w:tc>
          <w:tcPr>
            <w:tcW w:w="1985" w:type="dxa"/>
          </w:tcPr>
          <w:p w:rsidR="002B5DE2" w:rsidRPr="00554094" w:rsidRDefault="002B5DE2" w:rsidP="00171B46">
            <w:pPr>
              <w:kinsoku w:val="0"/>
              <w:overflowPunct w:val="0"/>
              <w:autoSpaceDE w:val="0"/>
              <w:autoSpaceDN w:val="0"/>
              <w:adjustRightInd w:val="0"/>
              <w:ind w:right="204"/>
              <w:rPr>
                <w:rFonts w:ascii="Times New Roman" w:eastAsia="Calibri" w:hAnsi="Times New Roman" w:cs="Times New Roman"/>
                <w:sz w:val="20"/>
              </w:rPr>
            </w:pPr>
            <w:r w:rsidRPr="00554094">
              <w:rPr>
                <w:rFonts w:ascii="Times New Roman" w:eastAsia="Calibri" w:hAnsi="Times New Roman" w:cs="Times New Roman"/>
                <w:sz w:val="20"/>
              </w:rPr>
              <w:t>Low</w:t>
            </w:r>
          </w:p>
        </w:tc>
        <w:tc>
          <w:tcPr>
            <w:tcW w:w="2268"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Little change to baseline and/or controls</w:t>
            </w:r>
          </w:p>
        </w:tc>
      </w:tr>
      <w:tr w:rsidR="002B5DE2" w:rsidRPr="00554094" w:rsidTr="0049458D">
        <w:tc>
          <w:tcPr>
            <w:tcW w:w="1486" w:type="dxa"/>
          </w:tcPr>
          <w:p w:rsidR="002B5DE2" w:rsidRPr="00554094" w:rsidRDefault="002B5DE2" w:rsidP="00554094">
            <w:pPr>
              <w:pStyle w:val="Default"/>
              <w:rPr>
                <w:rFonts w:ascii="Times New Roman" w:hAnsi="Times New Roman" w:cs="Times New Roman"/>
                <w:sz w:val="20"/>
                <w:szCs w:val="20"/>
              </w:rPr>
            </w:pPr>
            <w:r w:rsidRPr="00554094">
              <w:rPr>
                <w:rFonts w:ascii="Times New Roman" w:hAnsi="Times New Roman" w:cs="Times New Roman"/>
                <w:sz w:val="20"/>
                <w:szCs w:val="20"/>
              </w:rPr>
              <w:t>Quality of life</w:t>
            </w:r>
          </w:p>
        </w:tc>
        <w:tc>
          <w:tcPr>
            <w:tcW w:w="1701" w:type="dxa"/>
          </w:tcPr>
          <w:p w:rsidR="002B5DE2" w:rsidRPr="00554094" w:rsidRDefault="002B5DE2" w:rsidP="00554094">
            <w:pPr>
              <w:pStyle w:val="Default"/>
              <w:rPr>
                <w:rFonts w:ascii="Times New Roman" w:hAnsi="Times New Roman" w:cs="Times New Roman"/>
                <w:sz w:val="20"/>
                <w:szCs w:val="20"/>
              </w:rPr>
            </w:pPr>
            <w:r w:rsidRPr="00554094">
              <w:rPr>
                <w:rFonts w:ascii="Times New Roman" w:hAnsi="Times New Roman" w:cs="Times New Roman"/>
                <w:sz w:val="20"/>
                <w:szCs w:val="20"/>
              </w:rPr>
              <w:t>NRS</w:t>
            </w:r>
          </w:p>
        </w:tc>
        <w:tc>
          <w:tcPr>
            <w:tcW w:w="1417" w:type="dxa"/>
          </w:tcPr>
          <w:p w:rsidR="002B5DE2" w:rsidRPr="00554094" w:rsidRDefault="002B5DE2" w:rsidP="00171B46">
            <w:pPr>
              <w:pStyle w:val="Default"/>
              <w:rPr>
                <w:rFonts w:ascii="Times New Roman" w:hAnsi="Times New Roman" w:cs="Times New Roman"/>
                <w:sz w:val="20"/>
                <w:szCs w:val="20"/>
              </w:rPr>
            </w:pPr>
          </w:p>
        </w:tc>
        <w:tc>
          <w:tcPr>
            <w:tcW w:w="1985" w:type="dxa"/>
          </w:tcPr>
          <w:p w:rsidR="002B5DE2" w:rsidRPr="00554094" w:rsidRDefault="002B5DE2" w:rsidP="00554094">
            <w:pPr>
              <w:pStyle w:val="Default"/>
              <w:rPr>
                <w:rFonts w:ascii="Times New Roman" w:eastAsia="Calibri" w:hAnsi="Times New Roman" w:cs="Times New Roman"/>
                <w:sz w:val="20"/>
                <w:szCs w:val="20"/>
              </w:rPr>
            </w:pPr>
            <w:r w:rsidRPr="00554094">
              <w:rPr>
                <w:rFonts w:ascii="Times New Roman" w:hAnsi="Times New Roman" w:cs="Times New Roman"/>
                <w:sz w:val="20"/>
                <w:szCs w:val="20"/>
              </w:rPr>
              <w:t>Very low</w:t>
            </w:r>
          </w:p>
        </w:tc>
        <w:tc>
          <w:tcPr>
            <w:tcW w:w="2268" w:type="dxa"/>
          </w:tcPr>
          <w:p w:rsidR="002B5DE2" w:rsidRPr="00554094" w:rsidRDefault="002B5DE2" w:rsidP="00171B46">
            <w:pPr>
              <w:pStyle w:val="Default"/>
              <w:rPr>
                <w:rFonts w:ascii="Times New Roman" w:hAnsi="Times New Roman" w:cs="Times New Roman"/>
                <w:sz w:val="20"/>
                <w:szCs w:val="20"/>
              </w:rPr>
            </w:pPr>
            <w:r w:rsidRPr="00554094">
              <w:rPr>
                <w:rFonts w:ascii="Times New Roman" w:hAnsi="Times New Roman" w:cs="Times New Roman"/>
                <w:sz w:val="20"/>
                <w:szCs w:val="20"/>
              </w:rPr>
              <w:t xml:space="preserve">Some improvements for people with CCXL compared to those with rigid contact lenses </w:t>
            </w:r>
          </w:p>
        </w:tc>
      </w:tr>
    </w:tbl>
    <w:p w:rsidR="00B83F77" w:rsidRPr="00806A9C" w:rsidRDefault="00D2052A" w:rsidP="00806A9C">
      <w:pPr>
        <w:kinsoku w:val="0"/>
        <w:overflowPunct w:val="0"/>
        <w:autoSpaceDE w:val="0"/>
        <w:autoSpaceDN w:val="0"/>
        <w:adjustRightInd w:val="0"/>
        <w:spacing w:before="240" w:after="240"/>
        <w:ind w:right="204"/>
        <w:rPr>
          <w:rFonts w:eastAsia="Calibri"/>
          <w:bCs/>
          <w:spacing w:val="-1"/>
          <w:szCs w:val="24"/>
        </w:rPr>
      </w:pPr>
      <w:r w:rsidRPr="00D2052A">
        <w:rPr>
          <w:rFonts w:eastAsia="Calibri"/>
          <w:szCs w:val="24"/>
        </w:rPr>
        <w:t>On</w:t>
      </w:r>
      <w:r w:rsidRPr="00D2052A">
        <w:rPr>
          <w:rFonts w:eastAsia="Calibri"/>
          <w:spacing w:val="-3"/>
          <w:szCs w:val="24"/>
        </w:rPr>
        <w:t xml:space="preserve"> </w:t>
      </w:r>
      <w:r w:rsidRPr="00D2052A">
        <w:rPr>
          <w:rFonts w:eastAsia="Calibri"/>
          <w:spacing w:val="-2"/>
          <w:szCs w:val="24"/>
        </w:rPr>
        <w:t xml:space="preserve">the </w:t>
      </w:r>
      <w:r w:rsidRPr="00D2052A">
        <w:rPr>
          <w:rFonts w:eastAsia="Calibri"/>
          <w:spacing w:val="-1"/>
          <w:szCs w:val="24"/>
        </w:rPr>
        <w:t xml:space="preserve">basis </w:t>
      </w:r>
      <w:r w:rsidRPr="00D2052A">
        <w:rPr>
          <w:rFonts w:eastAsia="Calibri"/>
          <w:szCs w:val="24"/>
        </w:rPr>
        <w:t>of</w:t>
      </w:r>
      <w:r w:rsidRPr="00D2052A">
        <w:rPr>
          <w:rFonts w:eastAsia="Calibri"/>
          <w:spacing w:val="-3"/>
          <w:szCs w:val="24"/>
        </w:rPr>
        <w:t xml:space="preserve"> </w:t>
      </w:r>
      <w:r w:rsidRPr="00D2052A">
        <w:rPr>
          <w:rFonts w:eastAsia="Calibri"/>
          <w:spacing w:val="-2"/>
          <w:szCs w:val="24"/>
        </w:rPr>
        <w:t>this</w:t>
      </w:r>
      <w:r w:rsidRPr="00D2052A">
        <w:rPr>
          <w:rFonts w:eastAsia="Calibri"/>
          <w:spacing w:val="-1"/>
          <w:szCs w:val="24"/>
        </w:rPr>
        <w:t xml:space="preserve"> evidence</w:t>
      </w:r>
      <w:r w:rsidRPr="00D2052A">
        <w:rPr>
          <w:rFonts w:eastAsia="Calibri"/>
          <w:spacing w:val="-2"/>
          <w:szCs w:val="24"/>
        </w:rPr>
        <w:t xml:space="preserve"> </w:t>
      </w:r>
      <w:r w:rsidRPr="00D2052A">
        <w:rPr>
          <w:rFonts w:eastAsia="Calibri"/>
          <w:spacing w:val="-1"/>
          <w:szCs w:val="24"/>
        </w:rPr>
        <w:t>profile</w:t>
      </w:r>
      <w:r w:rsidRPr="00B83F77">
        <w:rPr>
          <w:rFonts w:eastAsia="Calibri"/>
          <w:spacing w:val="-1"/>
          <w:szCs w:val="24"/>
        </w:rPr>
        <w:t>,</w:t>
      </w:r>
      <w:r w:rsidRPr="00B83F77">
        <w:rPr>
          <w:rFonts w:eastAsia="Calibri"/>
          <w:szCs w:val="24"/>
        </w:rPr>
        <w:t xml:space="preserve"> </w:t>
      </w:r>
      <w:r w:rsidRPr="00B83F77">
        <w:rPr>
          <w:rFonts w:eastAsia="Calibri"/>
          <w:bCs/>
          <w:szCs w:val="24"/>
        </w:rPr>
        <w:t>it</w:t>
      </w:r>
      <w:r w:rsidRPr="00B83F77">
        <w:rPr>
          <w:rFonts w:eastAsia="Calibri"/>
          <w:bCs/>
          <w:spacing w:val="3"/>
          <w:szCs w:val="24"/>
        </w:rPr>
        <w:t xml:space="preserve"> </w:t>
      </w:r>
      <w:r w:rsidRPr="00B83F77">
        <w:rPr>
          <w:rFonts w:eastAsia="Calibri"/>
          <w:bCs/>
          <w:szCs w:val="24"/>
        </w:rPr>
        <w:t>is</w:t>
      </w:r>
      <w:r w:rsidRPr="00B83F77">
        <w:rPr>
          <w:rFonts w:eastAsia="Calibri"/>
          <w:bCs/>
          <w:spacing w:val="-1"/>
          <w:szCs w:val="24"/>
        </w:rPr>
        <w:t xml:space="preserve"> </w:t>
      </w:r>
      <w:r w:rsidRPr="00B83F77">
        <w:rPr>
          <w:rFonts w:eastAsia="Calibri"/>
          <w:bCs/>
          <w:spacing w:val="-2"/>
          <w:szCs w:val="24"/>
        </w:rPr>
        <w:t>suggested</w:t>
      </w:r>
      <w:r w:rsidRPr="00B83F77">
        <w:rPr>
          <w:rFonts w:eastAsia="Calibri"/>
          <w:bCs/>
          <w:spacing w:val="-1"/>
          <w:szCs w:val="24"/>
        </w:rPr>
        <w:t xml:space="preserve"> that,</w:t>
      </w:r>
      <w:r w:rsidRPr="00B83F77">
        <w:rPr>
          <w:rFonts w:eastAsia="Calibri"/>
          <w:bCs/>
          <w:spacing w:val="1"/>
          <w:szCs w:val="24"/>
        </w:rPr>
        <w:t xml:space="preserve"> </w:t>
      </w:r>
      <w:r w:rsidRPr="00B83F77">
        <w:rPr>
          <w:rFonts w:eastAsia="Calibri"/>
          <w:bCs/>
          <w:spacing w:val="-1"/>
          <w:szCs w:val="24"/>
        </w:rPr>
        <w:t>relative</w:t>
      </w:r>
      <w:r w:rsidRPr="00B83F77">
        <w:rPr>
          <w:rFonts w:eastAsia="Calibri"/>
          <w:bCs/>
          <w:spacing w:val="-4"/>
          <w:szCs w:val="24"/>
        </w:rPr>
        <w:t xml:space="preserve"> </w:t>
      </w:r>
      <w:r w:rsidRPr="00B83F77">
        <w:rPr>
          <w:rFonts w:eastAsia="Calibri"/>
          <w:bCs/>
          <w:spacing w:val="1"/>
          <w:szCs w:val="24"/>
        </w:rPr>
        <w:t>to</w:t>
      </w:r>
      <w:r w:rsidRPr="00B83F77">
        <w:rPr>
          <w:rFonts w:eastAsia="Calibri"/>
          <w:bCs/>
          <w:spacing w:val="-3"/>
          <w:szCs w:val="24"/>
        </w:rPr>
        <w:t xml:space="preserve"> </w:t>
      </w:r>
      <w:r w:rsidRPr="00B83F77">
        <w:rPr>
          <w:rFonts w:eastAsia="Calibri"/>
          <w:bCs/>
          <w:spacing w:val="1"/>
          <w:szCs w:val="24"/>
        </w:rPr>
        <w:t>the</w:t>
      </w:r>
      <w:r w:rsidRPr="00B83F77">
        <w:rPr>
          <w:rFonts w:eastAsia="Calibri"/>
          <w:bCs/>
          <w:spacing w:val="-4"/>
          <w:szCs w:val="24"/>
        </w:rPr>
        <w:t xml:space="preserve"> </w:t>
      </w:r>
      <w:r w:rsidRPr="00B83F77">
        <w:rPr>
          <w:rFonts w:eastAsia="Calibri"/>
          <w:bCs/>
          <w:spacing w:val="-2"/>
          <w:szCs w:val="24"/>
        </w:rPr>
        <w:t>current</w:t>
      </w:r>
      <w:r w:rsidRPr="00B83F77">
        <w:rPr>
          <w:rFonts w:eastAsia="Calibri"/>
          <w:bCs/>
          <w:spacing w:val="59"/>
          <w:szCs w:val="24"/>
        </w:rPr>
        <w:t xml:space="preserve"> </w:t>
      </w:r>
      <w:r w:rsidRPr="00B83F77">
        <w:rPr>
          <w:rFonts w:eastAsia="Calibri"/>
          <w:bCs/>
          <w:spacing w:val="-1"/>
          <w:szCs w:val="24"/>
        </w:rPr>
        <w:t>treatment</w:t>
      </w:r>
      <w:r w:rsidRPr="00B83F77">
        <w:rPr>
          <w:rFonts w:eastAsia="Calibri"/>
          <w:bCs/>
          <w:spacing w:val="3"/>
          <w:szCs w:val="24"/>
        </w:rPr>
        <w:t xml:space="preserve"> </w:t>
      </w:r>
      <w:r w:rsidRPr="00B83F77">
        <w:rPr>
          <w:rFonts w:eastAsia="Calibri"/>
          <w:bCs/>
          <w:spacing w:val="-1"/>
          <w:szCs w:val="24"/>
        </w:rPr>
        <w:t>pathway,</w:t>
      </w:r>
      <w:r w:rsidRPr="00B83F77">
        <w:rPr>
          <w:rFonts w:eastAsia="Calibri"/>
          <w:bCs/>
          <w:spacing w:val="-2"/>
          <w:szCs w:val="24"/>
        </w:rPr>
        <w:t xml:space="preserve"> </w:t>
      </w:r>
      <w:r w:rsidRPr="00B83F77">
        <w:rPr>
          <w:rFonts w:eastAsia="Calibri"/>
          <w:bCs/>
          <w:spacing w:val="-3"/>
          <w:szCs w:val="24"/>
        </w:rPr>
        <w:t xml:space="preserve">CCXL </w:t>
      </w:r>
      <w:r w:rsidRPr="00B83F77">
        <w:rPr>
          <w:rFonts w:eastAsia="Calibri"/>
          <w:bCs/>
          <w:spacing w:val="1"/>
          <w:szCs w:val="24"/>
        </w:rPr>
        <w:t>has</w:t>
      </w:r>
      <w:r w:rsidRPr="00B83F77">
        <w:rPr>
          <w:rFonts w:eastAsia="Calibri"/>
          <w:bCs/>
          <w:spacing w:val="-6"/>
          <w:szCs w:val="24"/>
        </w:rPr>
        <w:t xml:space="preserve"> </w:t>
      </w:r>
      <w:r w:rsidRPr="00B83F77">
        <w:rPr>
          <w:rFonts w:eastAsia="Calibri"/>
          <w:bCs/>
          <w:spacing w:val="-1"/>
          <w:szCs w:val="24"/>
        </w:rPr>
        <w:t>non</w:t>
      </w:r>
      <w:r w:rsidR="00687D99">
        <w:rPr>
          <w:rFonts w:eastAsia="Calibri"/>
          <w:bCs/>
          <w:spacing w:val="-1"/>
          <w:szCs w:val="24"/>
        </w:rPr>
        <w:t>-</w:t>
      </w:r>
      <w:r w:rsidRPr="00B83F77">
        <w:rPr>
          <w:rFonts w:eastAsia="Calibri"/>
          <w:bCs/>
          <w:spacing w:val="-1"/>
          <w:szCs w:val="24"/>
        </w:rPr>
        <w:t xml:space="preserve">inferior </w:t>
      </w:r>
      <w:r w:rsidRPr="00B83F77">
        <w:rPr>
          <w:rFonts w:eastAsia="Calibri"/>
          <w:bCs/>
          <w:spacing w:val="-2"/>
          <w:szCs w:val="24"/>
        </w:rPr>
        <w:t>safety</w:t>
      </w:r>
      <w:r w:rsidRPr="00B83F77">
        <w:rPr>
          <w:rFonts w:eastAsia="Calibri"/>
          <w:bCs/>
          <w:spacing w:val="3"/>
          <w:szCs w:val="24"/>
        </w:rPr>
        <w:t xml:space="preserve"> </w:t>
      </w:r>
      <w:r w:rsidRPr="00B83F77">
        <w:rPr>
          <w:rFonts w:eastAsia="Calibri"/>
          <w:bCs/>
          <w:spacing w:val="-2"/>
          <w:szCs w:val="24"/>
        </w:rPr>
        <w:t>and</w:t>
      </w:r>
      <w:r w:rsidRPr="00B83F77">
        <w:rPr>
          <w:rFonts w:eastAsia="Calibri"/>
          <w:bCs/>
          <w:spacing w:val="-6"/>
          <w:szCs w:val="24"/>
        </w:rPr>
        <w:t xml:space="preserve"> </w:t>
      </w:r>
      <w:r w:rsidRPr="00B83F77">
        <w:rPr>
          <w:rFonts w:eastAsia="Calibri"/>
          <w:bCs/>
          <w:szCs w:val="24"/>
        </w:rPr>
        <w:t>non</w:t>
      </w:r>
      <w:r w:rsidR="00687D99">
        <w:rPr>
          <w:rFonts w:eastAsia="Calibri"/>
          <w:bCs/>
          <w:szCs w:val="24"/>
        </w:rPr>
        <w:t>-</w:t>
      </w:r>
      <w:r w:rsidRPr="00B83F77">
        <w:rPr>
          <w:rFonts w:eastAsia="Calibri"/>
          <w:bCs/>
          <w:szCs w:val="24"/>
        </w:rPr>
        <w:t>inferior</w:t>
      </w:r>
      <w:r w:rsidRPr="00B83F77">
        <w:rPr>
          <w:rFonts w:eastAsia="Calibri"/>
          <w:bCs/>
          <w:spacing w:val="-6"/>
          <w:szCs w:val="24"/>
        </w:rPr>
        <w:t xml:space="preserve"> </w:t>
      </w:r>
      <w:r w:rsidRPr="00B83F77">
        <w:rPr>
          <w:rFonts w:eastAsia="Calibri"/>
          <w:bCs/>
          <w:spacing w:val="-2"/>
          <w:szCs w:val="24"/>
        </w:rPr>
        <w:t>(possibly</w:t>
      </w:r>
      <w:r w:rsidRPr="00B83F77">
        <w:rPr>
          <w:rFonts w:eastAsia="Calibri"/>
          <w:bCs/>
          <w:spacing w:val="3"/>
          <w:szCs w:val="24"/>
        </w:rPr>
        <w:t xml:space="preserve"> </w:t>
      </w:r>
      <w:r w:rsidRPr="00B83F77">
        <w:rPr>
          <w:rFonts w:eastAsia="Calibri"/>
          <w:bCs/>
          <w:spacing w:val="-1"/>
          <w:szCs w:val="24"/>
        </w:rPr>
        <w:t>superior)</w:t>
      </w:r>
      <w:r w:rsidRPr="00B83F77">
        <w:rPr>
          <w:rFonts w:eastAsia="Calibri"/>
          <w:bCs/>
          <w:spacing w:val="51"/>
          <w:szCs w:val="24"/>
        </w:rPr>
        <w:t xml:space="preserve"> </w:t>
      </w:r>
      <w:r w:rsidRPr="00B83F77">
        <w:rPr>
          <w:rFonts w:eastAsia="Calibri"/>
          <w:bCs/>
          <w:spacing w:val="-1"/>
          <w:szCs w:val="24"/>
        </w:rPr>
        <w:t>effectiveness.</w:t>
      </w:r>
      <w:r w:rsidRPr="00B83F77">
        <w:rPr>
          <w:rFonts w:eastAsia="Calibri"/>
          <w:bCs/>
          <w:spacing w:val="-2"/>
          <w:szCs w:val="24"/>
        </w:rPr>
        <w:t xml:space="preserve"> Considerable</w:t>
      </w:r>
      <w:r w:rsidRPr="00B83F77">
        <w:rPr>
          <w:rFonts w:eastAsia="Calibri"/>
          <w:bCs/>
          <w:spacing w:val="-4"/>
          <w:szCs w:val="24"/>
        </w:rPr>
        <w:t xml:space="preserve"> </w:t>
      </w:r>
      <w:r w:rsidRPr="00B83F77">
        <w:rPr>
          <w:rFonts w:eastAsia="Calibri"/>
          <w:bCs/>
          <w:spacing w:val="-1"/>
          <w:szCs w:val="24"/>
        </w:rPr>
        <w:t xml:space="preserve">further </w:t>
      </w:r>
      <w:r w:rsidRPr="00B83F77">
        <w:rPr>
          <w:rFonts w:eastAsia="Calibri"/>
          <w:bCs/>
          <w:spacing w:val="-2"/>
          <w:szCs w:val="24"/>
        </w:rPr>
        <w:t>comparative</w:t>
      </w:r>
      <w:r w:rsidRPr="00B83F77">
        <w:rPr>
          <w:rFonts w:eastAsia="Calibri"/>
          <w:bCs/>
          <w:spacing w:val="-4"/>
          <w:szCs w:val="24"/>
        </w:rPr>
        <w:t xml:space="preserve"> </w:t>
      </w:r>
      <w:r w:rsidRPr="00B83F77">
        <w:rPr>
          <w:rFonts w:eastAsia="Calibri"/>
          <w:bCs/>
          <w:szCs w:val="24"/>
        </w:rPr>
        <w:t>data</w:t>
      </w:r>
      <w:r w:rsidRPr="00B83F77">
        <w:rPr>
          <w:rFonts w:eastAsia="Calibri"/>
          <w:bCs/>
          <w:spacing w:val="-6"/>
          <w:szCs w:val="24"/>
        </w:rPr>
        <w:t xml:space="preserve"> </w:t>
      </w:r>
      <w:r w:rsidRPr="00B83F77">
        <w:rPr>
          <w:rFonts w:eastAsia="Calibri"/>
          <w:bCs/>
          <w:spacing w:val="-1"/>
          <w:szCs w:val="24"/>
        </w:rPr>
        <w:t xml:space="preserve">would </w:t>
      </w:r>
      <w:r w:rsidRPr="00B83F77">
        <w:rPr>
          <w:rFonts w:eastAsia="Calibri"/>
          <w:bCs/>
          <w:spacing w:val="-3"/>
          <w:szCs w:val="24"/>
        </w:rPr>
        <w:t>be</w:t>
      </w:r>
      <w:r w:rsidRPr="00B83F77">
        <w:rPr>
          <w:rFonts w:eastAsia="Calibri"/>
          <w:bCs/>
          <w:spacing w:val="-4"/>
          <w:szCs w:val="24"/>
        </w:rPr>
        <w:t xml:space="preserve"> </w:t>
      </w:r>
      <w:r w:rsidRPr="00B83F77">
        <w:rPr>
          <w:rFonts w:eastAsia="Calibri"/>
          <w:bCs/>
          <w:szCs w:val="24"/>
        </w:rPr>
        <w:t>required</w:t>
      </w:r>
      <w:r w:rsidRPr="00B83F77">
        <w:rPr>
          <w:rFonts w:eastAsia="Calibri"/>
          <w:bCs/>
          <w:spacing w:val="-6"/>
          <w:szCs w:val="24"/>
        </w:rPr>
        <w:t xml:space="preserve"> </w:t>
      </w:r>
      <w:r w:rsidRPr="00B83F77">
        <w:rPr>
          <w:rFonts w:eastAsia="Calibri"/>
          <w:bCs/>
          <w:spacing w:val="-1"/>
          <w:szCs w:val="24"/>
        </w:rPr>
        <w:t>to</w:t>
      </w:r>
      <w:r w:rsidRPr="00B83F77">
        <w:rPr>
          <w:rFonts w:eastAsia="Calibri"/>
          <w:bCs/>
          <w:spacing w:val="2"/>
          <w:szCs w:val="24"/>
        </w:rPr>
        <w:t xml:space="preserve"> </w:t>
      </w:r>
      <w:r w:rsidRPr="00B83F77">
        <w:rPr>
          <w:rFonts w:eastAsia="Calibri"/>
          <w:bCs/>
          <w:szCs w:val="24"/>
        </w:rPr>
        <w:t>make</w:t>
      </w:r>
      <w:r w:rsidRPr="00B83F77">
        <w:rPr>
          <w:rFonts w:eastAsia="Calibri"/>
          <w:bCs/>
          <w:spacing w:val="-4"/>
          <w:szCs w:val="24"/>
        </w:rPr>
        <w:t xml:space="preserve"> </w:t>
      </w:r>
      <w:r w:rsidRPr="00B83F77">
        <w:rPr>
          <w:rFonts w:eastAsia="Calibri"/>
          <w:bCs/>
          <w:szCs w:val="24"/>
        </w:rPr>
        <w:t>a</w:t>
      </w:r>
      <w:r w:rsidRPr="00B83F77">
        <w:rPr>
          <w:rFonts w:eastAsia="Calibri"/>
          <w:bCs/>
          <w:spacing w:val="81"/>
          <w:szCs w:val="24"/>
        </w:rPr>
        <w:t xml:space="preserve"> </w:t>
      </w:r>
      <w:r w:rsidRPr="00B83F77">
        <w:rPr>
          <w:rFonts w:eastAsia="Calibri"/>
          <w:bCs/>
          <w:spacing w:val="-1"/>
          <w:szCs w:val="24"/>
        </w:rPr>
        <w:t>more</w:t>
      </w:r>
      <w:r w:rsidRPr="00B83F77">
        <w:rPr>
          <w:rFonts w:eastAsia="Calibri"/>
          <w:bCs/>
          <w:spacing w:val="-4"/>
          <w:szCs w:val="24"/>
        </w:rPr>
        <w:t xml:space="preserve"> </w:t>
      </w:r>
      <w:r w:rsidRPr="00B83F77">
        <w:rPr>
          <w:rFonts w:eastAsia="Calibri"/>
          <w:bCs/>
          <w:spacing w:val="-1"/>
          <w:szCs w:val="24"/>
        </w:rPr>
        <w:t>definitive</w:t>
      </w:r>
      <w:r w:rsidRPr="00B83F77">
        <w:rPr>
          <w:rFonts w:eastAsia="Calibri"/>
          <w:bCs/>
          <w:spacing w:val="-4"/>
          <w:szCs w:val="24"/>
        </w:rPr>
        <w:t xml:space="preserve"> </w:t>
      </w:r>
      <w:r w:rsidRPr="00B83F77">
        <w:rPr>
          <w:rFonts w:eastAsia="Calibri"/>
          <w:bCs/>
          <w:spacing w:val="-1"/>
          <w:szCs w:val="24"/>
        </w:rPr>
        <w:t>conclusion</w:t>
      </w:r>
      <w:r w:rsidRPr="00B83F77">
        <w:rPr>
          <w:rFonts w:eastAsia="Calibri"/>
          <w:bCs/>
          <w:szCs w:val="24"/>
        </w:rPr>
        <w:t xml:space="preserve"> </w:t>
      </w:r>
      <w:r w:rsidRPr="00B83F77">
        <w:rPr>
          <w:rFonts w:eastAsia="Calibri"/>
          <w:bCs/>
          <w:spacing w:val="-1"/>
          <w:szCs w:val="24"/>
        </w:rPr>
        <w:t>relative</w:t>
      </w:r>
      <w:r w:rsidRPr="00B83F77">
        <w:rPr>
          <w:rFonts w:eastAsia="Calibri"/>
          <w:bCs/>
          <w:spacing w:val="-4"/>
          <w:szCs w:val="24"/>
        </w:rPr>
        <w:t xml:space="preserve"> </w:t>
      </w:r>
      <w:r w:rsidRPr="00B83F77">
        <w:rPr>
          <w:rFonts w:eastAsia="Calibri"/>
          <w:bCs/>
          <w:spacing w:val="-1"/>
          <w:szCs w:val="24"/>
        </w:rPr>
        <w:t>to</w:t>
      </w:r>
      <w:r w:rsidRPr="00B83F77">
        <w:rPr>
          <w:rFonts w:eastAsia="Calibri"/>
          <w:bCs/>
          <w:spacing w:val="-3"/>
          <w:szCs w:val="24"/>
        </w:rPr>
        <w:t xml:space="preserve"> </w:t>
      </w:r>
      <w:r w:rsidRPr="00B83F77">
        <w:rPr>
          <w:rFonts w:eastAsia="Calibri"/>
          <w:bCs/>
          <w:spacing w:val="1"/>
          <w:szCs w:val="24"/>
        </w:rPr>
        <w:t>the</w:t>
      </w:r>
      <w:r w:rsidRPr="00B83F77">
        <w:rPr>
          <w:rFonts w:eastAsia="Calibri"/>
          <w:bCs/>
          <w:spacing w:val="-4"/>
          <w:szCs w:val="24"/>
        </w:rPr>
        <w:t xml:space="preserve"> </w:t>
      </w:r>
      <w:r w:rsidRPr="00B83F77">
        <w:rPr>
          <w:rFonts w:eastAsia="Calibri"/>
          <w:bCs/>
          <w:spacing w:val="-2"/>
          <w:szCs w:val="24"/>
        </w:rPr>
        <w:t>conventional</w:t>
      </w:r>
      <w:r w:rsidRPr="00B83F77">
        <w:rPr>
          <w:rFonts w:eastAsia="Calibri"/>
          <w:bCs/>
          <w:spacing w:val="2"/>
          <w:szCs w:val="24"/>
        </w:rPr>
        <w:t xml:space="preserve"> </w:t>
      </w:r>
      <w:r w:rsidRPr="00B83F77">
        <w:rPr>
          <w:rFonts w:eastAsia="Calibri"/>
          <w:bCs/>
          <w:spacing w:val="-2"/>
          <w:szCs w:val="24"/>
        </w:rPr>
        <w:t>management</w:t>
      </w:r>
      <w:r w:rsidRPr="00B83F77">
        <w:rPr>
          <w:rFonts w:eastAsia="Calibri"/>
          <w:bCs/>
          <w:spacing w:val="11"/>
          <w:szCs w:val="24"/>
        </w:rPr>
        <w:t xml:space="preserve"> </w:t>
      </w:r>
      <w:r w:rsidRPr="00B83F77">
        <w:rPr>
          <w:rFonts w:eastAsia="Calibri"/>
          <w:bCs/>
          <w:spacing w:val="-1"/>
          <w:szCs w:val="24"/>
        </w:rPr>
        <w:t>pathway.</w:t>
      </w:r>
    </w:p>
    <w:p w:rsidR="00D2052A" w:rsidRPr="00806A9C" w:rsidRDefault="00687D99" w:rsidP="00806A9C">
      <w:pPr>
        <w:kinsoku w:val="0"/>
        <w:overflowPunct w:val="0"/>
        <w:autoSpaceDE w:val="0"/>
        <w:autoSpaceDN w:val="0"/>
        <w:adjustRightInd w:val="0"/>
        <w:spacing w:after="240"/>
        <w:ind w:left="40" w:right="139"/>
        <w:rPr>
          <w:rFonts w:eastAsia="Calibri"/>
          <w:szCs w:val="24"/>
        </w:rPr>
      </w:pPr>
      <w:r>
        <w:rPr>
          <w:rFonts w:eastAsia="Calibri"/>
          <w:spacing w:val="-1"/>
          <w:szCs w:val="24"/>
        </w:rPr>
        <w:t>K</w:t>
      </w:r>
      <w:r w:rsidR="00D2052A" w:rsidRPr="00D2052A">
        <w:rPr>
          <w:rFonts w:eastAsia="Calibri"/>
          <w:spacing w:val="-1"/>
          <w:szCs w:val="24"/>
        </w:rPr>
        <w:t>eratoconus</w:t>
      </w:r>
      <w:r w:rsidR="00D2052A" w:rsidRPr="00D2052A">
        <w:rPr>
          <w:rFonts w:eastAsia="Calibri"/>
          <w:spacing w:val="51"/>
          <w:szCs w:val="24"/>
        </w:rPr>
        <w:t xml:space="preserve"> </w:t>
      </w:r>
      <w:r w:rsidR="00D2052A" w:rsidRPr="00D2052A">
        <w:rPr>
          <w:rFonts w:eastAsia="Calibri"/>
          <w:spacing w:val="-1"/>
          <w:szCs w:val="24"/>
        </w:rPr>
        <w:t>and other</w:t>
      </w:r>
      <w:r w:rsidR="00D2052A" w:rsidRPr="00D2052A">
        <w:rPr>
          <w:rFonts w:eastAsia="Calibri"/>
          <w:spacing w:val="1"/>
          <w:szCs w:val="24"/>
        </w:rPr>
        <w:t xml:space="preserve"> </w:t>
      </w:r>
      <w:r w:rsidR="00D2052A" w:rsidRPr="00D2052A">
        <w:rPr>
          <w:rFonts w:eastAsia="Calibri"/>
          <w:spacing w:val="-2"/>
          <w:szCs w:val="24"/>
        </w:rPr>
        <w:t>corneal</w:t>
      </w:r>
      <w:r w:rsidR="00D2052A" w:rsidRPr="00D2052A">
        <w:rPr>
          <w:rFonts w:eastAsia="Calibri"/>
          <w:spacing w:val="-1"/>
          <w:szCs w:val="24"/>
        </w:rPr>
        <w:t xml:space="preserve"> </w:t>
      </w:r>
      <w:proofErr w:type="spellStart"/>
      <w:r w:rsidR="00D2052A" w:rsidRPr="00D2052A">
        <w:rPr>
          <w:rFonts w:eastAsia="Calibri"/>
          <w:spacing w:val="-1"/>
          <w:szCs w:val="24"/>
        </w:rPr>
        <w:t>ectasias</w:t>
      </w:r>
      <w:proofErr w:type="spellEnd"/>
      <w:r w:rsidR="00D2052A" w:rsidRPr="00D2052A">
        <w:rPr>
          <w:rFonts w:eastAsia="Calibri"/>
          <w:spacing w:val="-1"/>
          <w:szCs w:val="24"/>
        </w:rPr>
        <w:t xml:space="preserve"> present</w:t>
      </w:r>
      <w:r w:rsidR="00D2052A" w:rsidRPr="00D2052A">
        <w:rPr>
          <w:rFonts w:eastAsia="Calibri"/>
          <w:spacing w:val="-3"/>
          <w:szCs w:val="24"/>
        </w:rPr>
        <w:t xml:space="preserve"> </w:t>
      </w:r>
      <w:r w:rsidR="00D2052A" w:rsidRPr="00D2052A">
        <w:rPr>
          <w:rFonts w:eastAsia="Calibri"/>
          <w:spacing w:val="-1"/>
          <w:szCs w:val="24"/>
        </w:rPr>
        <w:t>specific</w:t>
      </w:r>
      <w:r w:rsidR="00D2052A" w:rsidRPr="00D2052A">
        <w:rPr>
          <w:rFonts w:eastAsia="Calibri"/>
          <w:szCs w:val="24"/>
        </w:rPr>
        <w:t xml:space="preserve"> </w:t>
      </w:r>
      <w:r w:rsidR="00D2052A" w:rsidRPr="00D2052A">
        <w:rPr>
          <w:rFonts w:eastAsia="Calibri"/>
          <w:spacing w:val="-1"/>
          <w:szCs w:val="24"/>
        </w:rPr>
        <w:t xml:space="preserve">challenges </w:t>
      </w:r>
      <w:r w:rsidR="00D2052A" w:rsidRPr="00D2052A">
        <w:rPr>
          <w:rFonts w:eastAsia="Calibri"/>
          <w:spacing w:val="-2"/>
          <w:szCs w:val="24"/>
        </w:rPr>
        <w:t>for</w:t>
      </w:r>
      <w:r w:rsidR="00D2052A" w:rsidRPr="00D2052A">
        <w:rPr>
          <w:rFonts w:eastAsia="Calibri"/>
          <w:spacing w:val="1"/>
          <w:szCs w:val="24"/>
        </w:rPr>
        <w:t xml:space="preserve"> </w:t>
      </w:r>
      <w:r w:rsidR="00D2052A" w:rsidRPr="00D2052A">
        <w:rPr>
          <w:rFonts w:eastAsia="Calibri"/>
          <w:spacing w:val="-1"/>
          <w:szCs w:val="24"/>
        </w:rPr>
        <w:t>conducting</w:t>
      </w:r>
      <w:r w:rsidR="00D2052A" w:rsidRPr="00D2052A">
        <w:rPr>
          <w:rFonts w:eastAsia="Calibri"/>
          <w:spacing w:val="1"/>
          <w:szCs w:val="24"/>
        </w:rPr>
        <w:t xml:space="preserve"> </w:t>
      </w:r>
      <w:r w:rsidR="00D2052A" w:rsidRPr="00D2052A">
        <w:rPr>
          <w:rFonts w:eastAsia="Calibri"/>
          <w:spacing w:val="-1"/>
          <w:szCs w:val="24"/>
        </w:rPr>
        <w:t>well-designed</w:t>
      </w:r>
      <w:r w:rsidR="00D2052A" w:rsidRPr="00D2052A">
        <w:rPr>
          <w:rFonts w:eastAsia="Calibri"/>
          <w:spacing w:val="45"/>
          <w:szCs w:val="24"/>
        </w:rPr>
        <w:t xml:space="preserve"> </w:t>
      </w:r>
      <w:r w:rsidR="00D2052A" w:rsidRPr="00D2052A">
        <w:rPr>
          <w:rFonts w:eastAsia="Calibri"/>
          <w:spacing w:val="-1"/>
          <w:szCs w:val="24"/>
        </w:rPr>
        <w:t>randomised controlled trials.</w:t>
      </w:r>
      <w:r w:rsidR="00D2052A" w:rsidRPr="00D2052A">
        <w:rPr>
          <w:rFonts w:eastAsia="Calibri"/>
          <w:spacing w:val="-3"/>
          <w:szCs w:val="24"/>
        </w:rPr>
        <w:t xml:space="preserve"> </w:t>
      </w:r>
      <w:r w:rsidR="00D2052A" w:rsidRPr="00D2052A">
        <w:rPr>
          <w:rFonts w:eastAsia="Calibri"/>
          <w:spacing w:val="1"/>
          <w:szCs w:val="24"/>
        </w:rPr>
        <w:t>The</w:t>
      </w:r>
      <w:r w:rsidR="00D2052A" w:rsidRPr="00D2052A">
        <w:rPr>
          <w:rFonts w:eastAsia="Calibri"/>
          <w:spacing w:val="-2"/>
          <w:szCs w:val="24"/>
        </w:rPr>
        <w:t xml:space="preserve"> </w:t>
      </w:r>
      <w:r w:rsidR="00D2052A" w:rsidRPr="00D2052A">
        <w:rPr>
          <w:rFonts w:eastAsia="Calibri"/>
          <w:spacing w:val="-1"/>
          <w:szCs w:val="24"/>
        </w:rPr>
        <w:t>disease</w:t>
      </w:r>
      <w:r w:rsidR="00D2052A" w:rsidRPr="00D2052A">
        <w:rPr>
          <w:rFonts w:eastAsia="Calibri"/>
          <w:spacing w:val="-2"/>
          <w:szCs w:val="24"/>
        </w:rPr>
        <w:t xml:space="preserve"> </w:t>
      </w:r>
      <w:r w:rsidR="00D2052A" w:rsidRPr="00D2052A">
        <w:rPr>
          <w:rFonts w:eastAsia="Calibri"/>
          <w:spacing w:val="-1"/>
          <w:szCs w:val="24"/>
        </w:rPr>
        <w:t>progression</w:t>
      </w:r>
      <w:r w:rsidR="00D2052A" w:rsidRPr="00D2052A">
        <w:rPr>
          <w:rFonts w:eastAsia="Calibri"/>
          <w:spacing w:val="-3"/>
          <w:szCs w:val="24"/>
        </w:rPr>
        <w:t xml:space="preserve"> </w:t>
      </w:r>
      <w:r w:rsidR="00D2052A" w:rsidRPr="00D2052A">
        <w:rPr>
          <w:rFonts w:eastAsia="Calibri"/>
          <w:spacing w:val="-2"/>
          <w:szCs w:val="24"/>
        </w:rPr>
        <w:t>of</w:t>
      </w:r>
      <w:r w:rsidR="00D2052A" w:rsidRPr="00D2052A">
        <w:rPr>
          <w:rFonts w:eastAsia="Calibri"/>
          <w:spacing w:val="-3"/>
          <w:szCs w:val="24"/>
        </w:rPr>
        <w:t xml:space="preserve"> </w:t>
      </w:r>
      <w:r w:rsidR="00D2052A" w:rsidRPr="00D2052A">
        <w:rPr>
          <w:rFonts w:eastAsia="Calibri"/>
          <w:spacing w:val="-1"/>
          <w:szCs w:val="24"/>
        </w:rPr>
        <w:t>keratoconus is often</w:t>
      </w:r>
      <w:r w:rsidR="00D2052A" w:rsidRPr="00D2052A">
        <w:rPr>
          <w:rFonts w:eastAsia="Calibri"/>
          <w:spacing w:val="-3"/>
          <w:szCs w:val="24"/>
        </w:rPr>
        <w:t xml:space="preserve"> </w:t>
      </w:r>
      <w:r w:rsidR="00D2052A" w:rsidRPr="00D2052A">
        <w:rPr>
          <w:rFonts w:eastAsia="Calibri"/>
          <w:spacing w:val="-1"/>
          <w:szCs w:val="24"/>
        </w:rPr>
        <w:t>slow,</w:t>
      </w:r>
      <w:r w:rsidR="00D2052A" w:rsidRPr="00D2052A">
        <w:rPr>
          <w:rFonts w:eastAsia="Calibri"/>
          <w:spacing w:val="-3"/>
          <w:szCs w:val="24"/>
        </w:rPr>
        <w:t xml:space="preserve"> </w:t>
      </w:r>
      <w:r w:rsidR="00D2052A" w:rsidRPr="00D2052A">
        <w:rPr>
          <w:rFonts w:eastAsia="Calibri"/>
          <w:spacing w:val="-1"/>
          <w:szCs w:val="24"/>
        </w:rPr>
        <w:t>and</w:t>
      </w:r>
      <w:r w:rsidR="00D2052A" w:rsidRPr="00D2052A">
        <w:rPr>
          <w:rFonts w:eastAsia="Calibri"/>
          <w:spacing w:val="47"/>
          <w:szCs w:val="24"/>
        </w:rPr>
        <w:t xml:space="preserve"> </w:t>
      </w:r>
      <w:r w:rsidR="00D2052A" w:rsidRPr="00D2052A">
        <w:rPr>
          <w:rFonts w:eastAsia="Calibri"/>
          <w:spacing w:val="-2"/>
          <w:szCs w:val="24"/>
        </w:rPr>
        <w:t>10-20</w:t>
      </w:r>
      <w:r w:rsidR="00D2052A" w:rsidRPr="00D2052A">
        <w:rPr>
          <w:rFonts w:eastAsia="Calibri"/>
          <w:spacing w:val="-3"/>
          <w:szCs w:val="24"/>
        </w:rPr>
        <w:t xml:space="preserve"> </w:t>
      </w:r>
      <w:r w:rsidR="00D2052A" w:rsidRPr="00D2052A">
        <w:rPr>
          <w:rFonts w:eastAsia="Calibri"/>
          <w:spacing w:val="-1"/>
          <w:szCs w:val="24"/>
        </w:rPr>
        <w:t xml:space="preserve">years </w:t>
      </w:r>
      <w:r w:rsidR="00D2052A" w:rsidRPr="00D2052A">
        <w:rPr>
          <w:rFonts w:eastAsia="Calibri"/>
          <w:szCs w:val="24"/>
        </w:rPr>
        <w:t>may</w:t>
      </w:r>
      <w:r w:rsidR="00D2052A" w:rsidRPr="00D2052A">
        <w:rPr>
          <w:rFonts w:eastAsia="Calibri"/>
          <w:spacing w:val="-3"/>
          <w:szCs w:val="24"/>
        </w:rPr>
        <w:t xml:space="preserve"> </w:t>
      </w:r>
      <w:r w:rsidR="00D2052A" w:rsidRPr="00D2052A">
        <w:rPr>
          <w:rFonts w:eastAsia="Calibri"/>
          <w:spacing w:val="-1"/>
          <w:szCs w:val="24"/>
        </w:rPr>
        <w:t>elapse</w:t>
      </w:r>
      <w:r w:rsidR="00D2052A" w:rsidRPr="00D2052A">
        <w:rPr>
          <w:rFonts w:eastAsia="Calibri"/>
          <w:spacing w:val="-2"/>
          <w:szCs w:val="24"/>
        </w:rPr>
        <w:t xml:space="preserve"> between</w:t>
      </w:r>
      <w:r w:rsidR="00D2052A" w:rsidRPr="00D2052A">
        <w:rPr>
          <w:rFonts w:eastAsia="Calibri"/>
          <w:spacing w:val="-3"/>
          <w:szCs w:val="24"/>
        </w:rPr>
        <w:t xml:space="preserve"> </w:t>
      </w:r>
      <w:r w:rsidR="00D2052A" w:rsidRPr="00D2052A">
        <w:rPr>
          <w:rFonts w:eastAsia="Calibri"/>
          <w:spacing w:val="-1"/>
          <w:szCs w:val="24"/>
        </w:rPr>
        <w:t xml:space="preserve">diagnosis and </w:t>
      </w:r>
      <w:r w:rsidR="00D2052A" w:rsidRPr="00D2052A">
        <w:rPr>
          <w:rFonts w:eastAsia="Calibri"/>
          <w:spacing w:val="-2"/>
          <w:szCs w:val="24"/>
        </w:rPr>
        <w:t>corneal</w:t>
      </w:r>
      <w:r w:rsidR="00D2052A" w:rsidRPr="00D2052A">
        <w:rPr>
          <w:rFonts w:eastAsia="Calibri"/>
          <w:spacing w:val="-1"/>
          <w:szCs w:val="24"/>
        </w:rPr>
        <w:t xml:space="preserve"> transplant,</w:t>
      </w:r>
      <w:r w:rsidR="00D2052A" w:rsidRPr="00D2052A">
        <w:rPr>
          <w:rFonts w:eastAsia="Calibri"/>
          <w:spacing w:val="-3"/>
          <w:szCs w:val="24"/>
        </w:rPr>
        <w:t xml:space="preserve"> </w:t>
      </w:r>
      <w:r w:rsidR="00D2052A" w:rsidRPr="00D2052A">
        <w:rPr>
          <w:rFonts w:eastAsia="Calibri"/>
          <w:spacing w:val="-2"/>
          <w:szCs w:val="24"/>
        </w:rPr>
        <w:t>which</w:t>
      </w:r>
      <w:r w:rsidR="00D2052A" w:rsidRPr="00D2052A">
        <w:rPr>
          <w:rFonts w:eastAsia="Calibri"/>
          <w:spacing w:val="-3"/>
          <w:szCs w:val="24"/>
        </w:rPr>
        <w:t xml:space="preserve"> </w:t>
      </w:r>
      <w:r w:rsidR="00D2052A" w:rsidRPr="00D2052A">
        <w:rPr>
          <w:rFonts w:eastAsia="Calibri"/>
          <w:spacing w:val="-1"/>
          <w:szCs w:val="24"/>
        </w:rPr>
        <w:t>is difficult</w:t>
      </w:r>
      <w:r w:rsidR="00D2052A" w:rsidRPr="00D2052A">
        <w:rPr>
          <w:rFonts w:eastAsia="Calibri"/>
          <w:spacing w:val="-2"/>
          <w:szCs w:val="24"/>
        </w:rPr>
        <w:t xml:space="preserve"> </w:t>
      </w:r>
      <w:r w:rsidR="00D2052A" w:rsidRPr="00D2052A">
        <w:rPr>
          <w:rFonts w:eastAsia="Calibri"/>
          <w:spacing w:val="-1"/>
          <w:szCs w:val="24"/>
        </w:rPr>
        <w:t>to</w:t>
      </w:r>
      <w:r w:rsidR="00D2052A" w:rsidRPr="00D2052A">
        <w:rPr>
          <w:rFonts w:eastAsia="Calibri"/>
          <w:spacing w:val="67"/>
          <w:szCs w:val="24"/>
        </w:rPr>
        <w:t xml:space="preserve"> </w:t>
      </w:r>
      <w:r w:rsidR="00D2052A" w:rsidRPr="00D2052A">
        <w:rPr>
          <w:rFonts w:eastAsia="Calibri"/>
          <w:spacing w:val="-1"/>
          <w:szCs w:val="24"/>
        </w:rPr>
        <w:t>capture</w:t>
      </w:r>
      <w:r w:rsidR="00D2052A" w:rsidRPr="00D2052A">
        <w:rPr>
          <w:rFonts w:eastAsia="Calibri"/>
          <w:spacing w:val="-2"/>
          <w:szCs w:val="24"/>
        </w:rPr>
        <w:t xml:space="preserve"> </w:t>
      </w:r>
      <w:r w:rsidR="00D2052A" w:rsidRPr="00D2052A">
        <w:rPr>
          <w:rFonts w:eastAsia="Calibri"/>
          <w:spacing w:val="-1"/>
          <w:szCs w:val="24"/>
        </w:rPr>
        <w:t>in</w:t>
      </w:r>
      <w:r w:rsidR="00D2052A" w:rsidRPr="00D2052A">
        <w:rPr>
          <w:rFonts w:eastAsia="Calibri"/>
          <w:spacing w:val="-3"/>
          <w:szCs w:val="24"/>
        </w:rPr>
        <w:t xml:space="preserve"> </w:t>
      </w:r>
      <w:r w:rsidR="00D2052A" w:rsidRPr="00D2052A">
        <w:rPr>
          <w:rFonts w:eastAsia="Calibri"/>
          <w:szCs w:val="24"/>
        </w:rPr>
        <w:t>a</w:t>
      </w:r>
      <w:r w:rsidR="00D2052A" w:rsidRPr="00D2052A">
        <w:rPr>
          <w:rFonts w:eastAsia="Calibri"/>
          <w:spacing w:val="2"/>
          <w:szCs w:val="24"/>
        </w:rPr>
        <w:t xml:space="preserve"> </w:t>
      </w:r>
      <w:r w:rsidR="00D2052A" w:rsidRPr="00D2052A">
        <w:rPr>
          <w:rFonts w:eastAsia="Calibri"/>
          <w:spacing w:val="-1"/>
          <w:szCs w:val="24"/>
        </w:rPr>
        <w:t>clinical</w:t>
      </w:r>
      <w:r w:rsidR="00D2052A" w:rsidRPr="00D2052A">
        <w:rPr>
          <w:rFonts w:eastAsia="Calibri"/>
          <w:szCs w:val="24"/>
        </w:rPr>
        <w:t xml:space="preserve"> </w:t>
      </w:r>
      <w:r w:rsidR="00D2052A" w:rsidRPr="00D2052A">
        <w:rPr>
          <w:rFonts w:eastAsia="Calibri"/>
          <w:spacing w:val="-2"/>
          <w:szCs w:val="24"/>
        </w:rPr>
        <w:t>trial.</w:t>
      </w:r>
      <w:r w:rsidR="00D2052A" w:rsidRPr="00D2052A">
        <w:rPr>
          <w:rFonts w:eastAsia="Calibri"/>
          <w:spacing w:val="-3"/>
          <w:szCs w:val="24"/>
        </w:rPr>
        <w:t xml:space="preserve"> </w:t>
      </w:r>
      <w:r w:rsidR="00D2052A" w:rsidRPr="00D2052A">
        <w:rPr>
          <w:rFonts w:eastAsia="Calibri"/>
          <w:spacing w:val="-1"/>
          <w:szCs w:val="24"/>
        </w:rPr>
        <w:t>The</w:t>
      </w:r>
      <w:r w:rsidR="00D2052A" w:rsidRPr="00D2052A">
        <w:rPr>
          <w:rFonts w:eastAsia="Calibri"/>
          <w:spacing w:val="-2"/>
          <w:szCs w:val="24"/>
        </w:rPr>
        <w:t xml:space="preserve"> applicant</w:t>
      </w:r>
      <w:r w:rsidR="00D2052A" w:rsidRPr="00D2052A">
        <w:rPr>
          <w:rFonts w:eastAsia="Calibri"/>
          <w:spacing w:val="-3"/>
          <w:szCs w:val="24"/>
        </w:rPr>
        <w:t xml:space="preserve"> </w:t>
      </w:r>
      <w:r w:rsidR="00D2052A" w:rsidRPr="00D2052A">
        <w:rPr>
          <w:rFonts w:eastAsia="Calibri"/>
          <w:spacing w:val="-1"/>
          <w:szCs w:val="24"/>
        </w:rPr>
        <w:t xml:space="preserve">has advised </w:t>
      </w:r>
      <w:r w:rsidR="00D2052A" w:rsidRPr="00D2052A">
        <w:rPr>
          <w:rFonts w:eastAsia="Calibri"/>
          <w:spacing w:val="-2"/>
          <w:szCs w:val="24"/>
        </w:rPr>
        <w:t>that</w:t>
      </w:r>
      <w:r w:rsidR="00D2052A" w:rsidRPr="00D2052A">
        <w:rPr>
          <w:rFonts w:eastAsia="Calibri"/>
          <w:spacing w:val="-3"/>
          <w:szCs w:val="24"/>
        </w:rPr>
        <w:t xml:space="preserve"> </w:t>
      </w:r>
      <w:r w:rsidR="00D2052A" w:rsidRPr="00D2052A">
        <w:rPr>
          <w:rFonts w:eastAsia="Calibri"/>
          <w:spacing w:val="-1"/>
          <w:szCs w:val="24"/>
        </w:rPr>
        <w:t>additional long-term</w:t>
      </w:r>
      <w:r w:rsidR="00D2052A" w:rsidRPr="00D2052A">
        <w:rPr>
          <w:rFonts w:eastAsia="Calibri"/>
          <w:spacing w:val="-2"/>
          <w:szCs w:val="24"/>
        </w:rPr>
        <w:t xml:space="preserve"> trials</w:t>
      </w:r>
      <w:r w:rsidR="00D2052A" w:rsidRPr="00D2052A">
        <w:rPr>
          <w:rFonts w:eastAsia="Calibri"/>
          <w:spacing w:val="-1"/>
          <w:szCs w:val="24"/>
        </w:rPr>
        <w:t xml:space="preserve"> </w:t>
      </w:r>
      <w:r w:rsidR="00D2052A" w:rsidRPr="00D2052A">
        <w:rPr>
          <w:rFonts w:eastAsia="Calibri"/>
          <w:spacing w:val="-2"/>
          <w:szCs w:val="24"/>
        </w:rPr>
        <w:t>with</w:t>
      </w:r>
      <w:r w:rsidR="00D2052A" w:rsidRPr="00D2052A">
        <w:rPr>
          <w:rFonts w:eastAsia="Calibri"/>
          <w:spacing w:val="91"/>
          <w:szCs w:val="24"/>
        </w:rPr>
        <w:t xml:space="preserve"> </w:t>
      </w:r>
      <w:r w:rsidR="00D2052A" w:rsidRPr="00D2052A">
        <w:rPr>
          <w:rFonts w:eastAsia="Calibri"/>
          <w:szCs w:val="24"/>
        </w:rPr>
        <w:t>an</w:t>
      </w:r>
      <w:r w:rsidR="00D2052A" w:rsidRPr="00D2052A">
        <w:rPr>
          <w:rFonts w:eastAsia="Calibri"/>
          <w:spacing w:val="-3"/>
          <w:szCs w:val="24"/>
        </w:rPr>
        <w:t xml:space="preserve"> </w:t>
      </w:r>
      <w:r w:rsidR="00D2052A" w:rsidRPr="00D2052A">
        <w:rPr>
          <w:rFonts w:eastAsia="Calibri"/>
          <w:spacing w:val="-1"/>
          <w:szCs w:val="24"/>
        </w:rPr>
        <w:t>untreated control arm</w:t>
      </w:r>
      <w:r w:rsidR="00D2052A" w:rsidRPr="00D2052A">
        <w:rPr>
          <w:rFonts w:eastAsia="Calibri"/>
          <w:spacing w:val="-2"/>
          <w:szCs w:val="24"/>
        </w:rPr>
        <w:t xml:space="preserve"> </w:t>
      </w:r>
      <w:r w:rsidR="00D2052A" w:rsidRPr="00D2052A">
        <w:rPr>
          <w:rFonts w:eastAsia="Calibri"/>
          <w:spacing w:val="-1"/>
          <w:szCs w:val="24"/>
        </w:rPr>
        <w:t>would</w:t>
      </w:r>
      <w:r w:rsidR="00D2052A" w:rsidRPr="00D2052A">
        <w:rPr>
          <w:rFonts w:eastAsia="Calibri"/>
          <w:szCs w:val="24"/>
        </w:rPr>
        <w:t xml:space="preserve"> </w:t>
      </w:r>
      <w:r w:rsidR="00D2052A" w:rsidRPr="00D2052A">
        <w:rPr>
          <w:rFonts w:eastAsia="Calibri"/>
          <w:spacing w:val="-2"/>
          <w:szCs w:val="24"/>
        </w:rPr>
        <w:t>be unlikely</w:t>
      </w:r>
      <w:r w:rsidR="00D2052A" w:rsidRPr="00D2052A">
        <w:rPr>
          <w:rFonts w:eastAsia="Calibri"/>
          <w:spacing w:val="-3"/>
          <w:szCs w:val="24"/>
        </w:rPr>
        <w:t xml:space="preserve"> </w:t>
      </w:r>
      <w:r w:rsidR="00D2052A" w:rsidRPr="00D2052A">
        <w:rPr>
          <w:rFonts w:eastAsia="Calibri"/>
          <w:spacing w:val="-1"/>
          <w:szCs w:val="24"/>
        </w:rPr>
        <w:t xml:space="preserve">to </w:t>
      </w:r>
      <w:r w:rsidR="00D2052A" w:rsidRPr="00D2052A">
        <w:rPr>
          <w:rFonts w:eastAsia="Calibri"/>
          <w:spacing w:val="-2"/>
          <w:szCs w:val="24"/>
        </w:rPr>
        <w:t xml:space="preserve">be </w:t>
      </w:r>
      <w:r w:rsidR="00D2052A" w:rsidRPr="00D2052A">
        <w:rPr>
          <w:rFonts w:eastAsia="Calibri"/>
          <w:spacing w:val="-1"/>
          <w:szCs w:val="24"/>
        </w:rPr>
        <w:t>approved</w:t>
      </w:r>
      <w:r w:rsidR="00D2052A" w:rsidRPr="00D2052A">
        <w:rPr>
          <w:rFonts w:eastAsia="Calibri"/>
          <w:spacing w:val="6"/>
          <w:szCs w:val="24"/>
        </w:rPr>
        <w:t xml:space="preserve"> </w:t>
      </w:r>
      <w:r w:rsidR="00D2052A" w:rsidRPr="00D2052A">
        <w:rPr>
          <w:rFonts w:eastAsia="Calibri"/>
          <w:spacing w:val="-2"/>
          <w:szCs w:val="24"/>
        </w:rPr>
        <w:t>by</w:t>
      </w:r>
      <w:r w:rsidR="00D2052A" w:rsidRPr="00D2052A">
        <w:rPr>
          <w:rFonts w:eastAsia="Calibri"/>
          <w:spacing w:val="-3"/>
          <w:szCs w:val="24"/>
        </w:rPr>
        <w:t xml:space="preserve"> </w:t>
      </w:r>
      <w:r w:rsidR="00D2052A" w:rsidRPr="00D2052A">
        <w:rPr>
          <w:rFonts w:eastAsia="Calibri"/>
          <w:szCs w:val="24"/>
        </w:rPr>
        <w:t>an</w:t>
      </w:r>
      <w:r w:rsidR="00D2052A" w:rsidRPr="00D2052A">
        <w:rPr>
          <w:rFonts w:eastAsia="Calibri"/>
          <w:spacing w:val="-3"/>
          <w:szCs w:val="24"/>
        </w:rPr>
        <w:t xml:space="preserve"> </w:t>
      </w:r>
      <w:r w:rsidR="00D2052A" w:rsidRPr="00D2052A">
        <w:rPr>
          <w:rFonts w:eastAsia="Calibri"/>
          <w:spacing w:val="-1"/>
          <w:szCs w:val="24"/>
        </w:rPr>
        <w:t>ethics</w:t>
      </w:r>
      <w:r w:rsidR="00D2052A" w:rsidRPr="00D2052A">
        <w:rPr>
          <w:rFonts w:eastAsia="Calibri"/>
          <w:szCs w:val="24"/>
        </w:rPr>
        <w:t xml:space="preserve"> </w:t>
      </w:r>
      <w:r w:rsidR="00D2052A" w:rsidRPr="00D2052A">
        <w:rPr>
          <w:rFonts w:eastAsia="Calibri"/>
          <w:spacing w:val="-1"/>
          <w:szCs w:val="24"/>
        </w:rPr>
        <w:t>committee,</w:t>
      </w:r>
      <w:r w:rsidR="00D2052A" w:rsidRPr="00D2052A">
        <w:rPr>
          <w:rFonts w:eastAsia="Calibri"/>
          <w:spacing w:val="-2"/>
          <w:szCs w:val="24"/>
        </w:rPr>
        <w:t xml:space="preserve"> </w:t>
      </w:r>
      <w:r w:rsidR="00D2052A" w:rsidRPr="00D2052A">
        <w:rPr>
          <w:rFonts w:eastAsia="Calibri"/>
          <w:spacing w:val="-1"/>
          <w:szCs w:val="24"/>
        </w:rPr>
        <w:t>and</w:t>
      </w:r>
      <w:r w:rsidR="00D2052A" w:rsidRPr="00D2052A">
        <w:rPr>
          <w:rFonts w:eastAsia="Calibri"/>
          <w:spacing w:val="43"/>
          <w:szCs w:val="24"/>
        </w:rPr>
        <w:t xml:space="preserve"> </w:t>
      </w:r>
      <w:r w:rsidR="00D2052A" w:rsidRPr="00D2052A">
        <w:rPr>
          <w:rFonts w:eastAsia="Calibri"/>
          <w:spacing w:val="-1"/>
          <w:szCs w:val="24"/>
        </w:rPr>
        <w:t xml:space="preserve">investigators </w:t>
      </w:r>
      <w:r w:rsidR="00D2052A" w:rsidRPr="00D2052A">
        <w:rPr>
          <w:rFonts w:eastAsia="Calibri"/>
          <w:szCs w:val="24"/>
        </w:rPr>
        <w:t>on</w:t>
      </w:r>
      <w:r w:rsidR="00D2052A" w:rsidRPr="00D2052A">
        <w:rPr>
          <w:rFonts w:eastAsia="Calibri"/>
          <w:spacing w:val="-3"/>
          <w:szCs w:val="24"/>
        </w:rPr>
        <w:t xml:space="preserve"> </w:t>
      </w:r>
      <w:r w:rsidR="00D2052A" w:rsidRPr="00D2052A">
        <w:rPr>
          <w:rFonts w:eastAsia="Calibri"/>
          <w:spacing w:val="-1"/>
          <w:szCs w:val="24"/>
        </w:rPr>
        <w:t>trials that</w:t>
      </w:r>
      <w:r w:rsidR="00D2052A" w:rsidRPr="00D2052A">
        <w:rPr>
          <w:rFonts w:eastAsia="Calibri"/>
          <w:spacing w:val="-3"/>
          <w:szCs w:val="24"/>
        </w:rPr>
        <w:t xml:space="preserve"> </w:t>
      </w:r>
      <w:r w:rsidR="00D2052A" w:rsidRPr="00D2052A">
        <w:rPr>
          <w:rFonts w:eastAsia="Calibri"/>
          <w:spacing w:val="-1"/>
          <w:szCs w:val="24"/>
        </w:rPr>
        <w:t>are</w:t>
      </w:r>
      <w:r w:rsidR="00D2052A" w:rsidRPr="00D2052A">
        <w:rPr>
          <w:rFonts w:eastAsia="Calibri"/>
          <w:spacing w:val="-2"/>
          <w:szCs w:val="24"/>
        </w:rPr>
        <w:t xml:space="preserve"> </w:t>
      </w:r>
      <w:r w:rsidR="00D2052A" w:rsidRPr="00D2052A">
        <w:rPr>
          <w:rFonts w:eastAsia="Calibri"/>
          <w:spacing w:val="-1"/>
          <w:szCs w:val="24"/>
        </w:rPr>
        <w:t>currently</w:t>
      </w:r>
      <w:r w:rsidR="00D2052A" w:rsidRPr="00D2052A">
        <w:rPr>
          <w:rFonts w:eastAsia="Calibri"/>
          <w:spacing w:val="-3"/>
          <w:szCs w:val="24"/>
        </w:rPr>
        <w:t xml:space="preserve"> </w:t>
      </w:r>
      <w:r w:rsidR="00D2052A" w:rsidRPr="00D2052A">
        <w:rPr>
          <w:rFonts w:eastAsia="Calibri"/>
          <w:spacing w:val="-1"/>
          <w:szCs w:val="24"/>
        </w:rPr>
        <w:t>under</w:t>
      </w:r>
      <w:r w:rsidR="00D2052A" w:rsidRPr="00D2052A">
        <w:rPr>
          <w:rFonts w:eastAsia="Calibri"/>
          <w:spacing w:val="3"/>
          <w:szCs w:val="24"/>
        </w:rPr>
        <w:t xml:space="preserve"> </w:t>
      </w:r>
      <w:r w:rsidR="00D2052A" w:rsidRPr="00D2052A">
        <w:rPr>
          <w:rFonts w:eastAsia="Calibri"/>
          <w:spacing w:val="-1"/>
          <w:szCs w:val="24"/>
        </w:rPr>
        <w:t>way</w:t>
      </w:r>
      <w:r w:rsidR="00D2052A" w:rsidRPr="00D2052A">
        <w:rPr>
          <w:rFonts w:eastAsia="Calibri"/>
          <w:spacing w:val="-3"/>
          <w:szCs w:val="24"/>
        </w:rPr>
        <w:t xml:space="preserve"> </w:t>
      </w:r>
      <w:r w:rsidR="00D2052A" w:rsidRPr="00D2052A">
        <w:rPr>
          <w:rFonts w:eastAsia="Calibri"/>
          <w:spacing w:val="-2"/>
          <w:szCs w:val="24"/>
        </w:rPr>
        <w:t xml:space="preserve">have </w:t>
      </w:r>
      <w:r w:rsidR="00D2052A" w:rsidRPr="00D2052A">
        <w:rPr>
          <w:rFonts w:eastAsia="Calibri"/>
          <w:spacing w:val="-1"/>
          <w:szCs w:val="24"/>
        </w:rPr>
        <w:t>presented preliminary</w:t>
      </w:r>
      <w:r w:rsidR="00D2052A" w:rsidRPr="00D2052A">
        <w:rPr>
          <w:rFonts w:eastAsia="Calibri"/>
          <w:spacing w:val="-3"/>
          <w:szCs w:val="24"/>
        </w:rPr>
        <w:t xml:space="preserve"> </w:t>
      </w:r>
      <w:r w:rsidR="00D2052A" w:rsidRPr="00D2052A">
        <w:rPr>
          <w:rFonts w:eastAsia="Calibri"/>
          <w:spacing w:val="-1"/>
          <w:szCs w:val="24"/>
        </w:rPr>
        <w:t>reports</w:t>
      </w:r>
      <w:r w:rsidR="00D2052A" w:rsidRPr="00D2052A">
        <w:rPr>
          <w:rFonts w:eastAsia="Calibri"/>
          <w:spacing w:val="-6"/>
          <w:szCs w:val="24"/>
        </w:rPr>
        <w:t xml:space="preserve"> </w:t>
      </w:r>
      <w:r w:rsidR="00D2052A" w:rsidRPr="00D2052A">
        <w:rPr>
          <w:rFonts w:eastAsia="Calibri"/>
          <w:szCs w:val="24"/>
        </w:rPr>
        <w:t>at</w:t>
      </w:r>
      <w:r w:rsidR="00D2052A" w:rsidRPr="00D2052A">
        <w:rPr>
          <w:rFonts w:eastAsia="Calibri"/>
          <w:spacing w:val="51"/>
          <w:szCs w:val="24"/>
        </w:rPr>
        <w:t xml:space="preserve"> </w:t>
      </w:r>
      <w:r w:rsidR="00D2052A" w:rsidRPr="00D2052A">
        <w:rPr>
          <w:rFonts w:eastAsia="Calibri"/>
          <w:spacing w:val="-1"/>
          <w:szCs w:val="24"/>
        </w:rPr>
        <w:t>ophthalmic</w:t>
      </w:r>
      <w:r w:rsidR="00D2052A" w:rsidRPr="00D2052A">
        <w:rPr>
          <w:rFonts w:eastAsia="Calibri"/>
          <w:spacing w:val="1"/>
          <w:szCs w:val="24"/>
        </w:rPr>
        <w:t xml:space="preserve"> </w:t>
      </w:r>
      <w:r w:rsidR="00D2052A" w:rsidRPr="00D2052A">
        <w:rPr>
          <w:rFonts w:eastAsia="Calibri"/>
          <w:spacing w:val="-1"/>
          <w:szCs w:val="24"/>
        </w:rPr>
        <w:t>meetings that</w:t>
      </w:r>
      <w:r w:rsidR="00D2052A" w:rsidRPr="00D2052A">
        <w:rPr>
          <w:rFonts w:eastAsia="Calibri"/>
          <w:spacing w:val="-3"/>
          <w:szCs w:val="24"/>
        </w:rPr>
        <w:t xml:space="preserve"> </w:t>
      </w:r>
      <w:r w:rsidR="00D2052A" w:rsidRPr="00D2052A">
        <w:rPr>
          <w:rFonts w:eastAsia="Calibri"/>
          <w:spacing w:val="-2"/>
          <w:szCs w:val="24"/>
        </w:rPr>
        <w:t xml:space="preserve">the </w:t>
      </w:r>
      <w:r w:rsidR="00D2052A" w:rsidRPr="00D2052A">
        <w:rPr>
          <w:rFonts w:eastAsia="Calibri"/>
          <w:spacing w:val="-1"/>
          <w:szCs w:val="24"/>
        </w:rPr>
        <w:t>trials have</w:t>
      </w:r>
      <w:r w:rsidR="00D2052A" w:rsidRPr="00D2052A">
        <w:rPr>
          <w:rFonts w:eastAsia="Calibri"/>
          <w:spacing w:val="-2"/>
          <w:szCs w:val="24"/>
        </w:rPr>
        <w:t xml:space="preserve"> discontinued</w:t>
      </w:r>
      <w:r w:rsidR="00D2052A" w:rsidRPr="00D2052A">
        <w:rPr>
          <w:rFonts w:eastAsia="Calibri"/>
          <w:spacing w:val="-1"/>
          <w:szCs w:val="24"/>
        </w:rPr>
        <w:t xml:space="preserve"> </w:t>
      </w:r>
      <w:r w:rsidR="00D2052A" w:rsidRPr="00D2052A">
        <w:rPr>
          <w:rFonts w:eastAsia="Calibri"/>
          <w:spacing w:val="-2"/>
          <w:szCs w:val="24"/>
        </w:rPr>
        <w:t>their</w:t>
      </w:r>
      <w:r w:rsidR="00D2052A" w:rsidRPr="00D2052A">
        <w:rPr>
          <w:rFonts w:eastAsia="Calibri"/>
          <w:spacing w:val="1"/>
          <w:szCs w:val="24"/>
        </w:rPr>
        <w:t xml:space="preserve"> </w:t>
      </w:r>
      <w:r w:rsidR="00D2052A" w:rsidRPr="00D2052A">
        <w:rPr>
          <w:rFonts w:eastAsia="Calibri"/>
          <w:spacing w:val="-1"/>
          <w:szCs w:val="24"/>
        </w:rPr>
        <w:t>control</w:t>
      </w:r>
      <w:r w:rsidR="00D2052A" w:rsidRPr="00D2052A">
        <w:rPr>
          <w:rFonts w:eastAsia="Calibri"/>
          <w:spacing w:val="-6"/>
          <w:szCs w:val="24"/>
        </w:rPr>
        <w:t xml:space="preserve"> </w:t>
      </w:r>
      <w:r w:rsidR="00D2052A" w:rsidRPr="00D2052A">
        <w:rPr>
          <w:rFonts w:eastAsia="Calibri"/>
          <w:szCs w:val="24"/>
        </w:rPr>
        <w:t>arms.</w:t>
      </w:r>
      <w:r w:rsidR="00D2052A" w:rsidRPr="00D2052A">
        <w:rPr>
          <w:rFonts w:eastAsia="Calibri"/>
          <w:spacing w:val="-8"/>
          <w:szCs w:val="24"/>
        </w:rPr>
        <w:t xml:space="preserve"> </w:t>
      </w:r>
      <w:r w:rsidR="00D2052A" w:rsidRPr="00D2052A">
        <w:rPr>
          <w:rFonts w:eastAsia="Calibri"/>
          <w:spacing w:val="-1"/>
          <w:szCs w:val="24"/>
        </w:rPr>
        <w:t>Further</w:t>
      </w:r>
      <w:r w:rsidR="00D2052A" w:rsidRPr="00D2052A">
        <w:rPr>
          <w:rFonts w:eastAsia="Calibri"/>
          <w:spacing w:val="1"/>
          <w:szCs w:val="24"/>
        </w:rPr>
        <w:t xml:space="preserve"> </w:t>
      </w:r>
      <w:r w:rsidR="00D2052A" w:rsidRPr="00D2052A">
        <w:rPr>
          <w:rFonts w:eastAsia="Calibri"/>
          <w:spacing w:val="-2"/>
          <w:szCs w:val="24"/>
        </w:rPr>
        <w:t>data</w:t>
      </w:r>
      <w:r w:rsidR="00D2052A" w:rsidRPr="00D2052A">
        <w:rPr>
          <w:rFonts w:eastAsia="Calibri"/>
          <w:spacing w:val="1"/>
          <w:szCs w:val="24"/>
        </w:rPr>
        <w:t xml:space="preserve"> </w:t>
      </w:r>
      <w:r w:rsidR="00D2052A" w:rsidRPr="00D2052A">
        <w:rPr>
          <w:rFonts w:eastAsia="Calibri"/>
          <w:spacing w:val="-1"/>
          <w:szCs w:val="24"/>
        </w:rPr>
        <w:t>is</w:t>
      </w:r>
      <w:r w:rsidR="00D2052A" w:rsidRPr="00D2052A">
        <w:rPr>
          <w:rFonts w:eastAsia="Calibri"/>
          <w:spacing w:val="65"/>
          <w:szCs w:val="24"/>
        </w:rPr>
        <w:t xml:space="preserve"> </w:t>
      </w:r>
      <w:r w:rsidR="00D2052A" w:rsidRPr="00D2052A">
        <w:rPr>
          <w:rFonts w:eastAsia="Calibri"/>
          <w:szCs w:val="24"/>
        </w:rPr>
        <w:t>more</w:t>
      </w:r>
      <w:r w:rsidR="00D2052A" w:rsidRPr="00D2052A">
        <w:rPr>
          <w:rFonts w:eastAsia="Calibri"/>
          <w:spacing w:val="-2"/>
          <w:szCs w:val="24"/>
        </w:rPr>
        <w:t xml:space="preserve"> </w:t>
      </w:r>
      <w:r w:rsidR="00D2052A" w:rsidRPr="00D2052A">
        <w:rPr>
          <w:rFonts w:eastAsia="Calibri"/>
          <w:spacing w:val="-1"/>
          <w:szCs w:val="24"/>
        </w:rPr>
        <w:t>likely</w:t>
      </w:r>
      <w:r w:rsidR="00D2052A" w:rsidRPr="00D2052A">
        <w:rPr>
          <w:rFonts w:eastAsia="Calibri"/>
          <w:spacing w:val="-3"/>
          <w:szCs w:val="24"/>
        </w:rPr>
        <w:t xml:space="preserve"> </w:t>
      </w:r>
      <w:r w:rsidR="00D2052A" w:rsidRPr="00D2052A">
        <w:rPr>
          <w:rFonts w:eastAsia="Calibri"/>
          <w:spacing w:val="-1"/>
          <w:szCs w:val="24"/>
        </w:rPr>
        <w:t xml:space="preserve">to </w:t>
      </w:r>
      <w:r w:rsidR="00D2052A" w:rsidRPr="00D2052A">
        <w:rPr>
          <w:rFonts w:eastAsia="Calibri"/>
          <w:szCs w:val="24"/>
        </w:rPr>
        <w:t>come</w:t>
      </w:r>
      <w:r w:rsidR="00D2052A" w:rsidRPr="00D2052A">
        <w:rPr>
          <w:rFonts w:eastAsia="Calibri"/>
          <w:spacing w:val="-2"/>
          <w:szCs w:val="24"/>
        </w:rPr>
        <w:t xml:space="preserve"> </w:t>
      </w:r>
      <w:r w:rsidR="00D2052A" w:rsidRPr="00D2052A">
        <w:rPr>
          <w:rFonts w:eastAsia="Calibri"/>
          <w:spacing w:val="-1"/>
          <w:szCs w:val="24"/>
        </w:rPr>
        <w:t>from</w:t>
      </w:r>
      <w:r w:rsidR="00D2052A" w:rsidRPr="00D2052A">
        <w:rPr>
          <w:rFonts w:eastAsia="Calibri"/>
          <w:spacing w:val="-2"/>
          <w:szCs w:val="24"/>
        </w:rPr>
        <w:t xml:space="preserve"> </w:t>
      </w:r>
      <w:r w:rsidR="00D2052A" w:rsidRPr="00D2052A">
        <w:rPr>
          <w:rFonts w:eastAsia="Calibri"/>
          <w:spacing w:val="-1"/>
          <w:szCs w:val="24"/>
        </w:rPr>
        <w:t>registry</w:t>
      </w:r>
      <w:r w:rsidR="00D2052A" w:rsidRPr="00D2052A">
        <w:rPr>
          <w:rFonts w:eastAsia="Calibri"/>
          <w:spacing w:val="-3"/>
          <w:szCs w:val="24"/>
        </w:rPr>
        <w:t xml:space="preserve"> </w:t>
      </w:r>
      <w:r w:rsidR="00D2052A" w:rsidRPr="00D2052A">
        <w:rPr>
          <w:rFonts w:eastAsia="Calibri"/>
          <w:spacing w:val="-1"/>
          <w:szCs w:val="24"/>
        </w:rPr>
        <w:t>studies.</w:t>
      </w:r>
      <w:r w:rsidR="00D2052A" w:rsidRPr="00D2052A">
        <w:rPr>
          <w:rFonts w:eastAsia="Calibri"/>
          <w:spacing w:val="-3"/>
          <w:szCs w:val="24"/>
        </w:rPr>
        <w:t xml:space="preserve"> </w:t>
      </w:r>
      <w:r w:rsidR="00D2052A" w:rsidRPr="00D2052A">
        <w:rPr>
          <w:rFonts w:eastAsia="Calibri"/>
          <w:szCs w:val="24"/>
        </w:rPr>
        <w:t>A</w:t>
      </w:r>
      <w:r w:rsidR="00D2052A" w:rsidRPr="00D2052A">
        <w:rPr>
          <w:rFonts w:eastAsia="Calibri"/>
          <w:spacing w:val="-1"/>
          <w:szCs w:val="24"/>
        </w:rPr>
        <w:t xml:space="preserve"> CCXL</w:t>
      </w:r>
      <w:r w:rsidR="00D2052A" w:rsidRPr="00D2052A">
        <w:rPr>
          <w:rFonts w:eastAsia="Calibri"/>
          <w:spacing w:val="3"/>
          <w:szCs w:val="24"/>
        </w:rPr>
        <w:t xml:space="preserve"> </w:t>
      </w:r>
      <w:r w:rsidR="00D2052A" w:rsidRPr="00D2052A">
        <w:rPr>
          <w:rFonts w:eastAsia="Calibri"/>
          <w:spacing w:val="-2"/>
          <w:szCs w:val="24"/>
        </w:rPr>
        <w:t>register</w:t>
      </w:r>
      <w:r w:rsidR="00D2052A" w:rsidRPr="00D2052A">
        <w:rPr>
          <w:rFonts w:eastAsia="Calibri"/>
          <w:spacing w:val="1"/>
          <w:szCs w:val="24"/>
        </w:rPr>
        <w:t xml:space="preserve"> </w:t>
      </w:r>
      <w:r w:rsidR="00D2052A" w:rsidRPr="00D2052A">
        <w:rPr>
          <w:rFonts w:eastAsia="Calibri"/>
          <w:spacing w:val="-1"/>
          <w:szCs w:val="24"/>
        </w:rPr>
        <w:t>has recently</w:t>
      </w:r>
      <w:r w:rsidR="00D2052A" w:rsidRPr="00D2052A">
        <w:rPr>
          <w:rFonts w:eastAsia="Calibri"/>
          <w:spacing w:val="-3"/>
          <w:szCs w:val="24"/>
        </w:rPr>
        <w:t xml:space="preserve"> </w:t>
      </w:r>
      <w:r w:rsidR="00D2052A" w:rsidRPr="00D2052A">
        <w:rPr>
          <w:rFonts w:eastAsia="Calibri"/>
          <w:spacing w:val="-2"/>
          <w:szCs w:val="24"/>
        </w:rPr>
        <w:t>been</w:t>
      </w:r>
      <w:r w:rsidR="00D2052A" w:rsidRPr="00D2052A">
        <w:rPr>
          <w:rFonts w:eastAsia="Calibri"/>
          <w:spacing w:val="-3"/>
          <w:szCs w:val="24"/>
        </w:rPr>
        <w:t xml:space="preserve"> </w:t>
      </w:r>
      <w:r w:rsidR="00D2052A" w:rsidRPr="00D2052A">
        <w:rPr>
          <w:rFonts w:eastAsia="Calibri"/>
          <w:szCs w:val="24"/>
        </w:rPr>
        <w:t>set</w:t>
      </w:r>
      <w:r w:rsidR="00D2052A" w:rsidRPr="00D2052A">
        <w:rPr>
          <w:rFonts w:eastAsia="Calibri"/>
          <w:spacing w:val="-3"/>
          <w:szCs w:val="24"/>
        </w:rPr>
        <w:t xml:space="preserve"> </w:t>
      </w:r>
      <w:r w:rsidR="00D2052A" w:rsidRPr="00D2052A">
        <w:rPr>
          <w:rFonts w:eastAsia="Calibri"/>
          <w:spacing w:val="-1"/>
          <w:szCs w:val="24"/>
        </w:rPr>
        <w:t>up</w:t>
      </w:r>
      <w:r w:rsidR="00D2052A" w:rsidRPr="00D2052A">
        <w:rPr>
          <w:rFonts w:eastAsia="Calibri"/>
          <w:spacing w:val="-3"/>
          <w:szCs w:val="24"/>
        </w:rPr>
        <w:t xml:space="preserve"> </w:t>
      </w:r>
      <w:r w:rsidR="00D2052A" w:rsidRPr="00D2052A">
        <w:rPr>
          <w:rFonts w:eastAsia="Calibri"/>
          <w:szCs w:val="24"/>
        </w:rPr>
        <w:t>at</w:t>
      </w:r>
      <w:r w:rsidR="00CA58DA">
        <w:rPr>
          <w:rFonts w:eastAsia="Calibri"/>
          <w:szCs w:val="24"/>
        </w:rPr>
        <w:t xml:space="preserve"> </w:t>
      </w:r>
      <w:r w:rsidR="00D2052A" w:rsidRPr="00D2052A">
        <w:rPr>
          <w:rFonts w:eastAsia="Calibri"/>
          <w:spacing w:val="-2"/>
          <w:szCs w:val="24"/>
        </w:rPr>
        <w:t xml:space="preserve">the </w:t>
      </w:r>
      <w:r w:rsidR="00D2052A" w:rsidRPr="00D2052A">
        <w:rPr>
          <w:rFonts w:eastAsia="Calibri"/>
          <w:spacing w:val="-1"/>
          <w:szCs w:val="24"/>
        </w:rPr>
        <w:t>University</w:t>
      </w:r>
      <w:r w:rsidR="00D2052A" w:rsidRPr="00D2052A">
        <w:rPr>
          <w:rFonts w:eastAsia="Calibri"/>
          <w:spacing w:val="-3"/>
          <w:szCs w:val="24"/>
        </w:rPr>
        <w:t xml:space="preserve"> </w:t>
      </w:r>
      <w:r w:rsidR="00D2052A" w:rsidRPr="00D2052A">
        <w:rPr>
          <w:rFonts w:eastAsia="Calibri"/>
          <w:szCs w:val="24"/>
        </w:rPr>
        <w:t>of</w:t>
      </w:r>
      <w:r w:rsidR="00D2052A" w:rsidRPr="00D2052A">
        <w:rPr>
          <w:rFonts w:eastAsia="Calibri"/>
          <w:spacing w:val="-3"/>
          <w:szCs w:val="24"/>
        </w:rPr>
        <w:t xml:space="preserve"> </w:t>
      </w:r>
      <w:r w:rsidR="00D2052A" w:rsidRPr="00D2052A">
        <w:rPr>
          <w:rFonts w:eastAsia="Calibri"/>
          <w:spacing w:val="-1"/>
          <w:szCs w:val="24"/>
        </w:rPr>
        <w:t xml:space="preserve">NSW </w:t>
      </w:r>
      <w:r w:rsidR="00D2052A" w:rsidRPr="00D2052A">
        <w:rPr>
          <w:rFonts w:eastAsia="Calibri"/>
          <w:spacing w:val="-2"/>
          <w:szCs w:val="24"/>
        </w:rPr>
        <w:t>but</w:t>
      </w:r>
      <w:r w:rsidR="00D2052A" w:rsidRPr="00D2052A">
        <w:rPr>
          <w:rFonts w:eastAsia="Calibri"/>
          <w:spacing w:val="2"/>
          <w:szCs w:val="24"/>
        </w:rPr>
        <w:t xml:space="preserve"> </w:t>
      </w:r>
      <w:r w:rsidR="00D2052A" w:rsidRPr="00D2052A">
        <w:rPr>
          <w:rFonts w:eastAsia="Calibri"/>
          <w:spacing w:val="-1"/>
          <w:szCs w:val="24"/>
        </w:rPr>
        <w:t>has not</w:t>
      </w:r>
      <w:r w:rsidR="00D2052A" w:rsidRPr="00D2052A">
        <w:rPr>
          <w:rFonts w:eastAsia="Calibri"/>
          <w:spacing w:val="-3"/>
          <w:szCs w:val="24"/>
        </w:rPr>
        <w:t xml:space="preserve"> </w:t>
      </w:r>
      <w:r w:rsidR="00D2052A" w:rsidRPr="00D2052A">
        <w:rPr>
          <w:rFonts w:eastAsia="Calibri"/>
          <w:spacing w:val="-2"/>
          <w:szCs w:val="24"/>
        </w:rPr>
        <w:t>yet</w:t>
      </w:r>
      <w:r w:rsidR="00D2052A" w:rsidRPr="00D2052A">
        <w:rPr>
          <w:rFonts w:eastAsia="Calibri"/>
          <w:spacing w:val="-3"/>
          <w:szCs w:val="24"/>
        </w:rPr>
        <w:t xml:space="preserve"> </w:t>
      </w:r>
      <w:r w:rsidR="00D2052A" w:rsidRPr="00D2052A">
        <w:rPr>
          <w:rFonts w:eastAsia="Calibri"/>
          <w:spacing w:val="-1"/>
          <w:szCs w:val="24"/>
        </w:rPr>
        <w:t>collected any</w:t>
      </w:r>
      <w:r w:rsidR="00D2052A" w:rsidRPr="00D2052A">
        <w:rPr>
          <w:rFonts w:eastAsia="Calibri"/>
          <w:spacing w:val="-3"/>
          <w:szCs w:val="24"/>
        </w:rPr>
        <w:t xml:space="preserve"> </w:t>
      </w:r>
      <w:r w:rsidR="00D2052A" w:rsidRPr="00D2052A">
        <w:rPr>
          <w:rFonts w:eastAsia="Calibri"/>
          <w:spacing w:val="-1"/>
          <w:szCs w:val="24"/>
        </w:rPr>
        <w:t>data.</w:t>
      </w:r>
    </w:p>
    <w:p w:rsidR="00F37B9C" w:rsidRPr="00C75CD5" w:rsidRDefault="00F37B9C" w:rsidP="00CA58DA">
      <w:pPr>
        <w:tabs>
          <w:tab w:val="left" w:pos="720"/>
          <w:tab w:val="left" w:pos="1140"/>
        </w:tabs>
        <w:spacing w:after="120"/>
        <w:rPr>
          <w:szCs w:val="24"/>
          <w:u w:val="single"/>
        </w:rPr>
      </w:pPr>
      <w:r w:rsidRPr="00C75CD5">
        <w:rPr>
          <w:szCs w:val="24"/>
          <w:u w:val="single"/>
        </w:rPr>
        <w:t xml:space="preserve">Clinical </w:t>
      </w:r>
      <w:r w:rsidR="0049458D" w:rsidRPr="00C75CD5">
        <w:rPr>
          <w:szCs w:val="24"/>
          <w:u w:val="single"/>
        </w:rPr>
        <w:t>c</w:t>
      </w:r>
      <w:r w:rsidRPr="00C75CD5">
        <w:rPr>
          <w:szCs w:val="24"/>
          <w:u w:val="single"/>
        </w:rPr>
        <w:t>laim</w:t>
      </w:r>
    </w:p>
    <w:p w:rsidR="00D2052A" w:rsidRPr="00171B46" w:rsidRDefault="00D2052A" w:rsidP="00171B46">
      <w:pPr>
        <w:rPr>
          <w:rFonts w:eastAsia="Calibri"/>
        </w:rPr>
      </w:pPr>
      <w:r w:rsidRPr="00171B46">
        <w:rPr>
          <w:rFonts w:eastAsia="Calibri"/>
        </w:rPr>
        <w:t>The complication rate of cross linking is relatively low and certainly much less than</w:t>
      </w:r>
      <w:r w:rsidR="00171B46" w:rsidRPr="00171B46">
        <w:rPr>
          <w:rFonts w:eastAsia="Calibri"/>
        </w:rPr>
        <w:t xml:space="preserve"> </w:t>
      </w:r>
      <w:r w:rsidRPr="00171B46">
        <w:rPr>
          <w:rFonts w:eastAsia="Calibri"/>
        </w:rPr>
        <w:t>corneal transplantation. Overall visual loss from the condition should be significantly</w:t>
      </w:r>
      <w:r w:rsidR="00171B46" w:rsidRPr="00171B46">
        <w:rPr>
          <w:rFonts w:eastAsia="Calibri"/>
        </w:rPr>
        <w:t xml:space="preserve"> </w:t>
      </w:r>
      <w:r w:rsidRPr="00171B46">
        <w:rPr>
          <w:rFonts w:eastAsia="Calibri"/>
        </w:rPr>
        <w:t>reduced.</w:t>
      </w:r>
    </w:p>
    <w:p w:rsidR="00BC1364" w:rsidRPr="00F715D1" w:rsidRDefault="00BC1364" w:rsidP="00F715D1">
      <w:pPr>
        <w:pStyle w:val="Heading1"/>
      </w:pPr>
      <w:r w:rsidRPr="00F715D1">
        <w:t>Economic evaluation</w:t>
      </w:r>
    </w:p>
    <w:p w:rsidR="00511440" w:rsidRPr="00460FD2" w:rsidRDefault="00171B46" w:rsidP="00171B46">
      <w:pPr>
        <w:autoSpaceDE w:val="0"/>
        <w:autoSpaceDN w:val="0"/>
        <w:adjustRightInd w:val="0"/>
        <w:spacing w:after="240"/>
        <w:rPr>
          <w:rFonts w:eastAsiaTheme="minorHAnsi"/>
          <w:color w:val="000000"/>
          <w:szCs w:val="24"/>
          <w:lang w:eastAsia="en-US"/>
        </w:rPr>
      </w:pPr>
      <w:r>
        <w:rPr>
          <w:rFonts w:eastAsiaTheme="minorHAnsi"/>
          <w:color w:val="000000"/>
          <w:szCs w:val="24"/>
          <w:lang w:eastAsia="en-US"/>
        </w:rPr>
        <w:t xml:space="preserve">The application presented a cost utility analysis. </w:t>
      </w:r>
      <w:r w:rsidR="00511440" w:rsidRPr="00460FD2">
        <w:rPr>
          <w:rFonts w:eastAsiaTheme="minorHAnsi"/>
          <w:color w:val="000000"/>
          <w:szCs w:val="24"/>
          <w:lang w:eastAsia="en-US"/>
        </w:rPr>
        <w:t xml:space="preserve">The model was calibrated against the number of corneal grafts currently occurring (between 300 and 400 per year) and the current number of CCXL treatments per year (around 2 000 per year). </w:t>
      </w:r>
    </w:p>
    <w:p w:rsidR="00511440" w:rsidRPr="00460FD2" w:rsidRDefault="00511440" w:rsidP="00806A9C">
      <w:pPr>
        <w:autoSpaceDE w:val="0"/>
        <w:autoSpaceDN w:val="0"/>
        <w:adjustRightInd w:val="0"/>
        <w:spacing w:after="240"/>
        <w:rPr>
          <w:rFonts w:eastAsiaTheme="minorHAnsi"/>
          <w:color w:val="000000"/>
          <w:szCs w:val="24"/>
          <w:lang w:eastAsia="en-US"/>
        </w:rPr>
      </w:pPr>
      <w:r w:rsidRPr="00460FD2">
        <w:rPr>
          <w:rFonts w:eastAsiaTheme="minorHAnsi"/>
          <w:color w:val="000000"/>
          <w:szCs w:val="24"/>
          <w:lang w:eastAsia="en-US"/>
        </w:rPr>
        <w:t xml:space="preserve">The overall costs and outcomes, and incremental costs and outcomes as calculated for the intervention and comparator in the model, and using the base case assumptions, are shown in </w:t>
      </w:r>
      <w:r w:rsidR="00171B46">
        <w:rPr>
          <w:rFonts w:eastAsiaTheme="minorHAnsi"/>
          <w:color w:val="000000"/>
          <w:szCs w:val="24"/>
          <w:lang w:eastAsia="en-US"/>
        </w:rPr>
        <w:t>T</w:t>
      </w:r>
      <w:r w:rsidR="00BB1347">
        <w:rPr>
          <w:rFonts w:eastAsiaTheme="minorHAnsi"/>
          <w:color w:val="000000"/>
          <w:szCs w:val="24"/>
          <w:lang w:eastAsia="en-US"/>
        </w:rPr>
        <w:t>able 3</w:t>
      </w:r>
      <w:r w:rsidRPr="00460FD2">
        <w:rPr>
          <w:rFonts w:eastAsiaTheme="minorHAnsi"/>
          <w:color w:val="000000"/>
          <w:szCs w:val="24"/>
          <w:lang w:eastAsia="en-US"/>
        </w:rPr>
        <w:t>. This indicates that CCXL treatment pathway has a lower cost and higher incremental benefits compared to the current treatment pathway.</w:t>
      </w:r>
    </w:p>
    <w:p w:rsidR="00511440" w:rsidRPr="00171B46" w:rsidRDefault="00171B46" w:rsidP="00511440">
      <w:pPr>
        <w:pStyle w:val="Default"/>
        <w:rPr>
          <w:b/>
          <w:sz w:val="20"/>
          <w:szCs w:val="20"/>
        </w:rPr>
      </w:pPr>
      <w:r w:rsidRPr="00171B46">
        <w:rPr>
          <w:b/>
          <w:sz w:val="20"/>
          <w:szCs w:val="20"/>
        </w:rPr>
        <w:t xml:space="preserve">Table </w:t>
      </w:r>
      <w:proofErr w:type="gramStart"/>
      <w:r w:rsidR="00BB1347">
        <w:rPr>
          <w:b/>
          <w:sz w:val="20"/>
          <w:szCs w:val="20"/>
        </w:rPr>
        <w:t>3</w:t>
      </w:r>
      <w:r w:rsidR="00554094">
        <w:rPr>
          <w:b/>
          <w:sz w:val="20"/>
          <w:szCs w:val="20"/>
        </w:rPr>
        <w:t xml:space="preserve">  </w:t>
      </w:r>
      <w:r w:rsidR="00511440" w:rsidRPr="00171B46">
        <w:rPr>
          <w:b/>
          <w:sz w:val="20"/>
          <w:szCs w:val="20"/>
        </w:rPr>
        <w:t>Incremental</w:t>
      </w:r>
      <w:proofErr w:type="gramEnd"/>
      <w:r w:rsidR="00511440" w:rsidRPr="00171B46">
        <w:rPr>
          <w:b/>
          <w:sz w:val="20"/>
          <w:szCs w:val="20"/>
        </w:rPr>
        <w:t xml:space="preserve"> cost </w:t>
      </w:r>
      <w:r w:rsidR="0075401A">
        <w:rPr>
          <w:b/>
          <w:sz w:val="20"/>
          <w:szCs w:val="20"/>
        </w:rPr>
        <w:t>effectiveness ratio, discounted</w:t>
      </w:r>
    </w:p>
    <w:tbl>
      <w:tblPr>
        <w:tblStyle w:val="TableGrid"/>
        <w:tblW w:w="0" w:type="auto"/>
        <w:tblLook w:val="04A0" w:firstRow="1" w:lastRow="0" w:firstColumn="1" w:lastColumn="0" w:noHBand="0" w:noVBand="1"/>
        <w:tblDescription w:val="The overall costs and outcomes, and incremental costs and outcomes as calculated for the intervention and comparator in the model, and using the base case assumptions, are shown in Table 3. "/>
      </w:tblPr>
      <w:tblGrid>
        <w:gridCol w:w="1539"/>
        <w:gridCol w:w="1536"/>
        <w:gridCol w:w="1540"/>
        <w:gridCol w:w="1549"/>
        <w:gridCol w:w="1541"/>
        <w:gridCol w:w="1537"/>
      </w:tblGrid>
      <w:tr w:rsidR="00511440" w:rsidRPr="00460FD2" w:rsidTr="0035615B">
        <w:trPr>
          <w:tblHeader/>
        </w:trPr>
        <w:tc>
          <w:tcPr>
            <w:tcW w:w="1539" w:type="dxa"/>
          </w:tcPr>
          <w:p w:rsidR="00511440" w:rsidRPr="00460FD2" w:rsidRDefault="00511440" w:rsidP="009924FA">
            <w:pPr>
              <w:rPr>
                <w:rFonts w:ascii="Times New Roman" w:hAnsi="Times New Roman"/>
                <w:b/>
                <w:sz w:val="20"/>
              </w:rPr>
            </w:pPr>
          </w:p>
        </w:tc>
        <w:tc>
          <w:tcPr>
            <w:tcW w:w="1536" w:type="dxa"/>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b/>
                <w:sz w:val="20"/>
              </w:rPr>
              <w:t>Cost</w:t>
            </w:r>
          </w:p>
        </w:tc>
        <w:tc>
          <w:tcPr>
            <w:tcW w:w="1540" w:type="dxa"/>
          </w:tcPr>
          <w:p w:rsidR="00511440" w:rsidRPr="00460FD2" w:rsidRDefault="00511440" w:rsidP="009924FA">
            <w:pPr>
              <w:autoSpaceDE w:val="0"/>
              <w:autoSpaceDN w:val="0"/>
              <w:adjustRightInd w:val="0"/>
              <w:rPr>
                <w:rFonts w:ascii="Times New Roman" w:eastAsiaTheme="minorHAnsi" w:hAnsi="Times New Roman"/>
                <w:b/>
                <w:sz w:val="20"/>
              </w:rPr>
            </w:pPr>
            <w:r w:rsidRPr="00460FD2">
              <w:rPr>
                <w:rFonts w:ascii="Times New Roman" w:eastAsiaTheme="minorHAnsi" w:hAnsi="Times New Roman"/>
                <w:b/>
                <w:sz w:val="20"/>
              </w:rPr>
              <w:t>Incremental</w:t>
            </w:r>
          </w:p>
          <w:p w:rsidR="00511440" w:rsidRPr="00460FD2" w:rsidRDefault="00511440" w:rsidP="009924FA">
            <w:pPr>
              <w:rPr>
                <w:rFonts w:ascii="Times New Roman" w:hAnsi="Times New Roman"/>
                <w:b/>
                <w:sz w:val="20"/>
              </w:rPr>
            </w:pPr>
            <w:r w:rsidRPr="00460FD2">
              <w:rPr>
                <w:rFonts w:ascii="Times New Roman" w:eastAsiaTheme="minorHAnsi" w:hAnsi="Times New Roman"/>
                <w:b/>
                <w:sz w:val="20"/>
              </w:rPr>
              <w:t>Cost ($)</w:t>
            </w:r>
          </w:p>
        </w:tc>
        <w:tc>
          <w:tcPr>
            <w:tcW w:w="1549" w:type="dxa"/>
          </w:tcPr>
          <w:p w:rsidR="00511440" w:rsidRPr="00460FD2" w:rsidRDefault="00511440" w:rsidP="009924FA">
            <w:pPr>
              <w:rPr>
                <w:rFonts w:ascii="Times New Roman" w:hAnsi="Times New Roman"/>
                <w:b/>
                <w:sz w:val="20"/>
              </w:rPr>
            </w:pPr>
            <w:r w:rsidRPr="00460FD2">
              <w:rPr>
                <w:rFonts w:ascii="Times New Roman" w:eastAsiaTheme="minorHAnsi" w:hAnsi="Times New Roman"/>
                <w:b/>
                <w:sz w:val="20"/>
              </w:rPr>
              <w:t>Effectiveness (QALYs)</w:t>
            </w:r>
          </w:p>
        </w:tc>
        <w:tc>
          <w:tcPr>
            <w:tcW w:w="1541" w:type="dxa"/>
          </w:tcPr>
          <w:p w:rsidR="00511440" w:rsidRPr="00460FD2" w:rsidRDefault="00511440" w:rsidP="009924FA">
            <w:pPr>
              <w:autoSpaceDE w:val="0"/>
              <w:autoSpaceDN w:val="0"/>
              <w:adjustRightInd w:val="0"/>
              <w:rPr>
                <w:rFonts w:ascii="Times New Roman" w:eastAsiaTheme="minorHAnsi" w:hAnsi="Times New Roman"/>
                <w:b/>
                <w:sz w:val="20"/>
              </w:rPr>
            </w:pPr>
            <w:r w:rsidRPr="00460FD2">
              <w:rPr>
                <w:rFonts w:ascii="Times New Roman" w:eastAsiaTheme="minorHAnsi" w:hAnsi="Times New Roman"/>
                <w:b/>
                <w:sz w:val="20"/>
              </w:rPr>
              <w:t>Incremental</w:t>
            </w:r>
          </w:p>
          <w:p w:rsidR="00511440" w:rsidRPr="00460FD2" w:rsidRDefault="00511440" w:rsidP="009924FA">
            <w:pPr>
              <w:rPr>
                <w:rFonts w:ascii="Times New Roman" w:hAnsi="Times New Roman"/>
                <w:b/>
                <w:sz w:val="20"/>
              </w:rPr>
            </w:pPr>
            <w:r w:rsidRPr="00460FD2">
              <w:rPr>
                <w:rFonts w:ascii="Times New Roman" w:eastAsiaTheme="minorHAnsi" w:hAnsi="Times New Roman"/>
                <w:b/>
                <w:sz w:val="20"/>
              </w:rPr>
              <w:t>effectiveness</w:t>
            </w:r>
          </w:p>
        </w:tc>
        <w:tc>
          <w:tcPr>
            <w:tcW w:w="1537" w:type="dxa"/>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b/>
                <w:sz w:val="20"/>
              </w:rPr>
              <w:t>ICER</w:t>
            </w:r>
          </w:p>
        </w:tc>
      </w:tr>
      <w:tr w:rsidR="00511440" w:rsidRPr="00460FD2" w:rsidTr="009924FA">
        <w:tc>
          <w:tcPr>
            <w:tcW w:w="1539" w:type="dxa"/>
          </w:tcPr>
          <w:p w:rsidR="00511440" w:rsidRPr="00460FD2" w:rsidRDefault="00511440" w:rsidP="009924FA">
            <w:pPr>
              <w:rPr>
                <w:rFonts w:ascii="Times New Roman" w:hAnsi="Times New Roman"/>
                <w:b/>
                <w:sz w:val="20"/>
              </w:rPr>
            </w:pPr>
            <w:r w:rsidRPr="00460FD2">
              <w:rPr>
                <w:rFonts w:ascii="Times New Roman" w:eastAsiaTheme="minorHAnsi" w:hAnsi="Times New Roman"/>
                <w:sz w:val="20"/>
              </w:rPr>
              <w:t>Intervention</w:t>
            </w:r>
          </w:p>
        </w:tc>
        <w:tc>
          <w:tcPr>
            <w:tcW w:w="1536" w:type="dxa"/>
            <w:vAlign w:val="center"/>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sz w:val="20"/>
              </w:rPr>
              <w:t>21,926,707</w:t>
            </w:r>
          </w:p>
        </w:tc>
        <w:tc>
          <w:tcPr>
            <w:tcW w:w="1540" w:type="dxa"/>
            <w:vAlign w:val="center"/>
          </w:tcPr>
          <w:p w:rsidR="00511440" w:rsidRPr="00460FD2" w:rsidRDefault="00511440" w:rsidP="009924FA">
            <w:pPr>
              <w:jc w:val="center"/>
              <w:rPr>
                <w:rFonts w:ascii="Times New Roman" w:hAnsi="Times New Roman"/>
                <w:b/>
                <w:sz w:val="20"/>
              </w:rPr>
            </w:pPr>
          </w:p>
        </w:tc>
        <w:tc>
          <w:tcPr>
            <w:tcW w:w="1549" w:type="dxa"/>
            <w:vAlign w:val="center"/>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sz w:val="20"/>
              </w:rPr>
              <w:t>145,145</w:t>
            </w:r>
          </w:p>
        </w:tc>
        <w:tc>
          <w:tcPr>
            <w:tcW w:w="1541" w:type="dxa"/>
            <w:vAlign w:val="center"/>
          </w:tcPr>
          <w:p w:rsidR="00511440" w:rsidRPr="00460FD2" w:rsidRDefault="00511440" w:rsidP="009924FA">
            <w:pPr>
              <w:jc w:val="center"/>
              <w:rPr>
                <w:rFonts w:ascii="Times New Roman" w:hAnsi="Times New Roman"/>
                <w:b/>
                <w:sz w:val="20"/>
              </w:rPr>
            </w:pPr>
          </w:p>
        </w:tc>
        <w:tc>
          <w:tcPr>
            <w:tcW w:w="1537" w:type="dxa"/>
            <w:vAlign w:val="center"/>
          </w:tcPr>
          <w:p w:rsidR="00511440" w:rsidRPr="00460FD2" w:rsidRDefault="00511440" w:rsidP="009924FA">
            <w:pPr>
              <w:jc w:val="center"/>
              <w:rPr>
                <w:rFonts w:ascii="Times New Roman" w:hAnsi="Times New Roman"/>
                <w:b/>
                <w:sz w:val="20"/>
              </w:rPr>
            </w:pPr>
          </w:p>
        </w:tc>
      </w:tr>
      <w:tr w:rsidR="00511440" w:rsidRPr="00460FD2" w:rsidTr="009924FA">
        <w:tc>
          <w:tcPr>
            <w:tcW w:w="1539" w:type="dxa"/>
          </w:tcPr>
          <w:p w:rsidR="00511440" w:rsidRPr="00460FD2" w:rsidRDefault="00511440" w:rsidP="009924FA">
            <w:pPr>
              <w:rPr>
                <w:rFonts w:ascii="Times New Roman" w:hAnsi="Times New Roman"/>
                <w:b/>
                <w:sz w:val="20"/>
              </w:rPr>
            </w:pPr>
            <w:r w:rsidRPr="00460FD2">
              <w:rPr>
                <w:rFonts w:ascii="Times New Roman" w:eastAsiaTheme="minorHAnsi" w:hAnsi="Times New Roman"/>
                <w:sz w:val="20"/>
              </w:rPr>
              <w:t>Comparator</w:t>
            </w:r>
          </w:p>
        </w:tc>
        <w:tc>
          <w:tcPr>
            <w:tcW w:w="1536" w:type="dxa"/>
            <w:vAlign w:val="center"/>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sz w:val="20"/>
              </w:rPr>
              <w:t>23,057,646</w:t>
            </w:r>
          </w:p>
        </w:tc>
        <w:tc>
          <w:tcPr>
            <w:tcW w:w="1540" w:type="dxa"/>
            <w:vAlign w:val="center"/>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sz w:val="20"/>
              </w:rPr>
              <w:t>-1,130,939</w:t>
            </w:r>
          </w:p>
        </w:tc>
        <w:tc>
          <w:tcPr>
            <w:tcW w:w="1549" w:type="dxa"/>
            <w:vAlign w:val="center"/>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sz w:val="20"/>
              </w:rPr>
              <w:t>144,877</w:t>
            </w:r>
          </w:p>
        </w:tc>
        <w:tc>
          <w:tcPr>
            <w:tcW w:w="1541" w:type="dxa"/>
            <w:vAlign w:val="center"/>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sz w:val="20"/>
              </w:rPr>
              <w:t>268</w:t>
            </w:r>
          </w:p>
        </w:tc>
        <w:tc>
          <w:tcPr>
            <w:tcW w:w="1537" w:type="dxa"/>
            <w:vAlign w:val="center"/>
          </w:tcPr>
          <w:p w:rsidR="00511440" w:rsidRPr="00460FD2" w:rsidRDefault="00511440" w:rsidP="009924FA">
            <w:pPr>
              <w:jc w:val="center"/>
              <w:rPr>
                <w:rFonts w:ascii="Times New Roman" w:hAnsi="Times New Roman"/>
                <w:b/>
                <w:sz w:val="20"/>
              </w:rPr>
            </w:pPr>
            <w:r w:rsidRPr="00460FD2">
              <w:rPr>
                <w:rFonts w:ascii="Times New Roman" w:eastAsiaTheme="minorHAnsi" w:hAnsi="Times New Roman"/>
                <w:sz w:val="20"/>
              </w:rPr>
              <w:t>-4,215</w:t>
            </w:r>
          </w:p>
        </w:tc>
      </w:tr>
    </w:tbl>
    <w:p w:rsidR="00171B46" w:rsidRPr="00460FD2" w:rsidRDefault="00171B46" w:rsidP="00806A9C">
      <w:pPr>
        <w:autoSpaceDE w:val="0"/>
        <w:autoSpaceDN w:val="0"/>
        <w:adjustRightInd w:val="0"/>
        <w:spacing w:before="240"/>
        <w:rPr>
          <w:rFonts w:eastAsiaTheme="minorHAnsi"/>
          <w:color w:val="000000"/>
          <w:szCs w:val="24"/>
          <w:lang w:eastAsia="en-US"/>
        </w:rPr>
      </w:pPr>
      <w:r>
        <w:rPr>
          <w:rFonts w:eastAsiaTheme="minorHAnsi"/>
          <w:color w:val="000000"/>
          <w:szCs w:val="24"/>
          <w:lang w:eastAsia="en-US"/>
        </w:rPr>
        <w:t>The application</w:t>
      </w:r>
      <w:r w:rsidRPr="00460FD2">
        <w:rPr>
          <w:rFonts w:eastAsiaTheme="minorHAnsi"/>
          <w:color w:val="000000"/>
          <w:szCs w:val="24"/>
          <w:lang w:eastAsia="en-US"/>
        </w:rPr>
        <w:t xml:space="preserve"> noted that with respect to CCXL, the Incremental Cost Effectiveness Ratio (ICER) is an imperfect measure of value because it results in improved outcomes at a lower cost. Although </w:t>
      </w:r>
      <w:r>
        <w:rPr>
          <w:rFonts w:eastAsiaTheme="minorHAnsi"/>
          <w:color w:val="000000"/>
          <w:szCs w:val="24"/>
          <w:lang w:eastAsia="en-US"/>
        </w:rPr>
        <w:t xml:space="preserve">the </w:t>
      </w:r>
      <w:r w:rsidRPr="00460FD2">
        <w:rPr>
          <w:rFonts w:eastAsiaTheme="minorHAnsi"/>
          <w:color w:val="000000"/>
          <w:szCs w:val="24"/>
          <w:lang w:eastAsia="en-US"/>
        </w:rPr>
        <w:t xml:space="preserve">CCXL treatment pathway ‘front loads’ treatment costs, there is an incremental saving as it avoids corneal transplants which are significantly more expensive due to hospital and eye bank fees. The benefit attributed to CCXL is also likely understated as the utility measures do not reflect the improved quality of life from not undergoing an </w:t>
      </w:r>
      <w:r w:rsidRPr="00460FD2">
        <w:rPr>
          <w:rFonts w:eastAsiaTheme="minorHAnsi"/>
          <w:color w:val="000000"/>
          <w:szCs w:val="24"/>
          <w:lang w:eastAsia="en-US"/>
        </w:rPr>
        <w:lastRenderedPageBreak/>
        <w:t>invasive surgical procedure, or experiencing life as a young person without deteriorating vision. Data limitations prevent allowances being made for these factors in the analysis.</w:t>
      </w:r>
    </w:p>
    <w:p w:rsidR="00511440" w:rsidRPr="00460FD2" w:rsidRDefault="00511440" w:rsidP="00171B46">
      <w:pPr>
        <w:autoSpaceDE w:val="0"/>
        <w:autoSpaceDN w:val="0"/>
        <w:adjustRightInd w:val="0"/>
        <w:spacing w:before="240"/>
        <w:rPr>
          <w:rFonts w:eastAsiaTheme="minorHAnsi"/>
          <w:color w:val="000000"/>
          <w:szCs w:val="24"/>
          <w:lang w:eastAsia="en-US"/>
        </w:rPr>
      </w:pPr>
      <w:r w:rsidRPr="00460FD2">
        <w:rPr>
          <w:rFonts w:eastAsiaTheme="minorHAnsi"/>
          <w:color w:val="000000"/>
          <w:szCs w:val="24"/>
          <w:lang w:eastAsia="en-US"/>
        </w:rPr>
        <w:t xml:space="preserve">A sensitivity analysis </w:t>
      </w:r>
      <w:r w:rsidR="00171B46">
        <w:rPr>
          <w:rFonts w:eastAsiaTheme="minorHAnsi"/>
          <w:color w:val="000000"/>
          <w:szCs w:val="24"/>
          <w:lang w:eastAsia="en-US"/>
        </w:rPr>
        <w:t>showed</w:t>
      </w:r>
      <w:r w:rsidRPr="00460FD2">
        <w:rPr>
          <w:rFonts w:eastAsiaTheme="minorHAnsi"/>
          <w:color w:val="000000"/>
          <w:szCs w:val="24"/>
          <w:lang w:eastAsia="en-US"/>
        </w:rPr>
        <w:t xml:space="preserve">: </w:t>
      </w:r>
    </w:p>
    <w:p w:rsidR="00511440" w:rsidRPr="00E5408B" w:rsidRDefault="00511440" w:rsidP="0049590A">
      <w:pPr>
        <w:widowControl w:val="0"/>
        <w:numPr>
          <w:ilvl w:val="0"/>
          <w:numId w:val="31"/>
        </w:numPr>
        <w:rPr>
          <w:rFonts w:eastAsiaTheme="minorHAnsi"/>
          <w:color w:val="000000"/>
          <w:szCs w:val="24"/>
          <w:lang w:eastAsia="en-US"/>
        </w:rPr>
      </w:pPr>
      <w:r w:rsidRPr="00E5408B">
        <w:rPr>
          <w:rFonts w:eastAsiaTheme="minorHAnsi"/>
          <w:color w:val="000000"/>
          <w:szCs w:val="24"/>
          <w:lang w:eastAsia="en-US"/>
        </w:rPr>
        <w:t>The incremental cost of the CCXL treatment pathway is highly sensitive to the discount rate used because, compared to the current treatment pathway, under CCXL a larger proportion of treatment costs are incurred on diagnosis.</w:t>
      </w:r>
    </w:p>
    <w:p w:rsidR="00511440" w:rsidRPr="00E5408B" w:rsidRDefault="00511440" w:rsidP="00E5408B">
      <w:pPr>
        <w:pStyle w:val="ListParagraph"/>
        <w:numPr>
          <w:ilvl w:val="0"/>
          <w:numId w:val="33"/>
        </w:numPr>
        <w:autoSpaceDE w:val="0"/>
        <w:autoSpaceDN w:val="0"/>
        <w:adjustRightInd w:val="0"/>
        <w:rPr>
          <w:rFonts w:eastAsiaTheme="minorHAnsi"/>
          <w:color w:val="000000"/>
          <w:szCs w:val="24"/>
          <w:lang w:eastAsia="en-US"/>
        </w:rPr>
      </w:pPr>
      <w:r w:rsidRPr="00E5408B">
        <w:rPr>
          <w:rFonts w:eastAsiaTheme="minorHAnsi"/>
          <w:color w:val="000000"/>
          <w:szCs w:val="24"/>
          <w:lang w:eastAsia="en-US"/>
        </w:rPr>
        <w:t xml:space="preserve">Increasing the number of treatments for individuals previously diagnosed with corneal ectatic disorders, has a significant impact on the costs of the CCXL pathway. </w:t>
      </w:r>
    </w:p>
    <w:p w:rsidR="00511440" w:rsidRPr="00806A9C" w:rsidRDefault="00511440" w:rsidP="00806A9C">
      <w:pPr>
        <w:pStyle w:val="ListParagraph"/>
        <w:numPr>
          <w:ilvl w:val="0"/>
          <w:numId w:val="33"/>
        </w:numPr>
        <w:autoSpaceDE w:val="0"/>
        <w:autoSpaceDN w:val="0"/>
        <w:adjustRightInd w:val="0"/>
        <w:spacing w:after="240"/>
        <w:rPr>
          <w:rFonts w:eastAsiaTheme="minorHAnsi"/>
          <w:color w:val="000000"/>
          <w:szCs w:val="24"/>
          <w:lang w:eastAsia="en-US"/>
        </w:rPr>
      </w:pPr>
      <w:r w:rsidRPr="00E5408B">
        <w:rPr>
          <w:rFonts w:eastAsiaTheme="minorHAnsi"/>
          <w:color w:val="000000"/>
          <w:szCs w:val="24"/>
          <w:lang w:eastAsia="en-US"/>
        </w:rPr>
        <w:t>Changing the costs of CCXL treatment has significant impacts on the results. Applying a range of 30 per</w:t>
      </w:r>
      <w:r w:rsidR="00687D99">
        <w:rPr>
          <w:rFonts w:eastAsiaTheme="minorHAnsi"/>
          <w:color w:val="000000"/>
          <w:szCs w:val="24"/>
          <w:lang w:eastAsia="en-US"/>
        </w:rPr>
        <w:t xml:space="preserve"> </w:t>
      </w:r>
      <w:r w:rsidRPr="00E5408B">
        <w:rPr>
          <w:rFonts w:eastAsiaTheme="minorHAnsi"/>
          <w:color w:val="000000"/>
          <w:szCs w:val="24"/>
          <w:lang w:eastAsia="en-US"/>
        </w:rPr>
        <w:t>cent either side implies costs could be between $4.1</w:t>
      </w:r>
      <w:r w:rsidR="00171B46" w:rsidRPr="00E5408B">
        <w:rPr>
          <w:rFonts w:eastAsiaTheme="minorHAnsi"/>
          <w:color w:val="000000"/>
          <w:szCs w:val="24"/>
          <w:lang w:eastAsia="en-US"/>
        </w:rPr>
        <w:t> </w:t>
      </w:r>
      <w:r w:rsidRPr="00E5408B">
        <w:rPr>
          <w:rFonts w:eastAsiaTheme="minorHAnsi"/>
          <w:color w:val="000000"/>
          <w:szCs w:val="24"/>
          <w:lang w:eastAsia="en-US"/>
        </w:rPr>
        <w:t>million lower under the CCXL pathway or $7.1 million higher in prese</w:t>
      </w:r>
      <w:r w:rsidR="0075401A">
        <w:rPr>
          <w:rFonts w:eastAsiaTheme="minorHAnsi"/>
          <w:color w:val="000000"/>
          <w:szCs w:val="24"/>
          <w:lang w:eastAsia="en-US"/>
        </w:rPr>
        <w:t>nt value terms (over 50 years).</w:t>
      </w:r>
    </w:p>
    <w:p w:rsidR="00511440" w:rsidRPr="00511440" w:rsidRDefault="00511440" w:rsidP="00171B46">
      <w:pPr>
        <w:kinsoku w:val="0"/>
        <w:overflowPunct w:val="0"/>
        <w:autoSpaceDE w:val="0"/>
        <w:autoSpaceDN w:val="0"/>
        <w:adjustRightInd w:val="0"/>
        <w:spacing w:line="239" w:lineRule="exact"/>
        <w:ind w:left="39"/>
        <w:rPr>
          <w:rFonts w:ascii="Calisto MT" w:eastAsia="Calibri" w:hAnsi="Calisto MT" w:cs="Calisto MT"/>
          <w:spacing w:val="-1"/>
          <w:sz w:val="21"/>
          <w:szCs w:val="21"/>
        </w:rPr>
      </w:pPr>
      <w:r w:rsidRPr="00460FD2">
        <w:rPr>
          <w:rFonts w:eastAsiaTheme="minorHAnsi"/>
          <w:color w:val="000000"/>
          <w:szCs w:val="24"/>
          <w:lang w:eastAsia="en-US"/>
        </w:rPr>
        <w:t>Overall</w:t>
      </w:r>
      <w:r w:rsidR="00171B46">
        <w:rPr>
          <w:rFonts w:eastAsiaTheme="minorHAnsi"/>
          <w:color w:val="000000"/>
          <w:szCs w:val="24"/>
          <w:lang w:eastAsia="en-US"/>
        </w:rPr>
        <w:t>, the application stated that</w:t>
      </w:r>
      <w:r w:rsidRPr="00460FD2">
        <w:rPr>
          <w:rFonts w:eastAsiaTheme="minorHAnsi"/>
          <w:color w:val="000000"/>
          <w:szCs w:val="24"/>
          <w:lang w:eastAsia="en-US"/>
        </w:rPr>
        <w:t xml:space="preserve"> the </w:t>
      </w:r>
      <w:r w:rsidR="00171B46">
        <w:rPr>
          <w:rFonts w:eastAsiaTheme="minorHAnsi"/>
          <w:color w:val="000000"/>
          <w:szCs w:val="24"/>
          <w:lang w:eastAsia="en-US"/>
        </w:rPr>
        <w:t>service</w:t>
      </w:r>
      <w:r w:rsidRPr="00460FD2">
        <w:rPr>
          <w:rFonts w:eastAsiaTheme="minorHAnsi"/>
          <w:color w:val="000000"/>
          <w:szCs w:val="24"/>
          <w:lang w:eastAsia="en-US"/>
        </w:rPr>
        <w:t xml:space="preserve"> generally has incremental benefits (increased QALYs) across the range of scenarios tested.</w:t>
      </w:r>
    </w:p>
    <w:p w:rsidR="00BC1364" w:rsidRPr="00F715D1" w:rsidRDefault="00BC1364" w:rsidP="00F715D1">
      <w:pPr>
        <w:pStyle w:val="Heading1"/>
      </w:pPr>
      <w:r w:rsidRPr="00F715D1">
        <w:t>Financial/budgetary impacts</w:t>
      </w:r>
    </w:p>
    <w:p w:rsidR="00511440" w:rsidRPr="00460FD2" w:rsidRDefault="00511440" w:rsidP="00806A9C">
      <w:pPr>
        <w:autoSpaceDE w:val="0"/>
        <w:autoSpaceDN w:val="0"/>
        <w:adjustRightInd w:val="0"/>
        <w:spacing w:after="240"/>
        <w:rPr>
          <w:rFonts w:eastAsiaTheme="minorHAnsi"/>
          <w:color w:val="000000"/>
          <w:szCs w:val="24"/>
          <w:lang w:eastAsia="en-US"/>
        </w:rPr>
      </w:pPr>
      <w:r w:rsidRPr="00460FD2">
        <w:rPr>
          <w:rFonts w:eastAsiaTheme="minorHAnsi"/>
          <w:color w:val="000000"/>
          <w:szCs w:val="24"/>
          <w:lang w:eastAsia="en-US"/>
        </w:rPr>
        <w:t xml:space="preserve">An epidemiological approach was been used to estimate the financial implications of the introduction of CCXL. </w:t>
      </w:r>
    </w:p>
    <w:p w:rsidR="00511440" w:rsidRPr="00460FD2" w:rsidRDefault="00511440" w:rsidP="00806A9C">
      <w:pPr>
        <w:tabs>
          <w:tab w:val="left" w:pos="720"/>
          <w:tab w:val="left" w:pos="1140"/>
        </w:tabs>
        <w:spacing w:after="240"/>
        <w:rPr>
          <w:rFonts w:eastAsiaTheme="minorHAnsi"/>
          <w:color w:val="000000"/>
          <w:szCs w:val="24"/>
          <w:lang w:eastAsia="en-US"/>
        </w:rPr>
      </w:pPr>
      <w:r w:rsidRPr="00460FD2">
        <w:rPr>
          <w:rFonts w:eastAsiaTheme="minorHAnsi"/>
          <w:color w:val="000000"/>
          <w:szCs w:val="24"/>
          <w:lang w:eastAsia="en-US"/>
        </w:rPr>
        <w:t>The estimated potential patient population for people who might receive CCXL at some point in their lives is around 12,000. Forecasts change in line with expected population growth and changes in the stage of the disease for each person.</w:t>
      </w:r>
    </w:p>
    <w:p w:rsidR="00511440" w:rsidRPr="00460FD2" w:rsidRDefault="00511440" w:rsidP="00806A9C">
      <w:pPr>
        <w:autoSpaceDE w:val="0"/>
        <w:autoSpaceDN w:val="0"/>
        <w:adjustRightInd w:val="0"/>
        <w:spacing w:after="240"/>
        <w:rPr>
          <w:rFonts w:eastAsiaTheme="minorHAnsi"/>
          <w:color w:val="000000"/>
          <w:szCs w:val="24"/>
          <w:lang w:eastAsia="en-US"/>
        </w:rPr>
      </w:pPr>
      <w:r w:rsidRPr="00460FD2">
        <w:rPr>
          <w:rFonts w:eastAsiaTheme="minorHAnsi"/>
          <w:color w:val="000000"/>
          <w:szCs w:val="24"/>
          <w:lang w:eastAsia="en-US"/>
        </w:rPr>
        <w:t>Given CCXL activity to date, 1,642 treatments are estimated to occur in 2016-17 and then taper down substantially as much higher levels currently being treated are not believed to be sustainable.</w:t>
      </w:r>
    </w:p>
    <w:p w:rsidR="00511440" w:rsidRPr="00460FD2" w:rsidRDefault="00511440" w:rsidP="00806A9C">
      <w:pPr>
        <w:autoSpaceDE w:val="0"/>
        <w:autoSpaceDN w:val="0"/>
        <w:adjustRightInd w:val="0"/>
        <w:spacing w:after="240"/>
        <w:rPr>
          <w:rFonts w:eastAsiaTheme="minorHAnsi"/>
          <w:color w:val="000000"/>
          <w:szCs w:val="24"/>
          <w:lang w:eastAsia="en-US"/>
        </w:rPr>
      </w:pPr>
      <w:r w:rsidRPr="00460FD2">
        <w:rPr>
          <w:rFonts w:eastAsiaTheme="minorHAnsi"/>
          <w:color w:val="000000"/>
          <w:szCs w:val="24"/>
          <w:lang w:eastAsia="en-US"/>
        </w:rPr>
        <w:t>The financial implications to the MBS resulting from the proposed listing of CCXL are summarised i</w:t>
      </w:r>
      <w:r w:rsidR="00BB1347">
        <w:rPr>
          <w:rFonts w:eastAsiaTheme="minorHAnsi"/>
          <w:color w:val="000000"/>
          <w:szCs w:val="24"/>
          <w:lang w:eastAsia="en-US"/>
        </w:rPr>
        <w:t>n Table 4</w:t>
      </w:r>
      <w:r w:rsidRPr="00460FD2">
        <w:rPr>
          <w:rFonts w:eastAsiaTheme="minorHAnsi"/>
          <w:color w:val="000000"/>
          <w:szCs w:val="24"/>
          <w:lang w:eastAsia="en-US"/>
        </w:rPr>
        <w:t>. The estimated cost to the MBS of CCXL is $2.5 million, which tapers off and stabilises around $600,000 thereafter. This is reducible by approximately $65,000 annually as a result of avoided corneal grafts and associated complications.</w:t>
      </w:r>
    </w:p>
    <w:p w:rsidR="00511440" w:rsidRPr="0088453C" w:rsidRDefault="00BB1347" w:rsidP="00511440">
      <w:pPr>
        <w:pStyle w:val="Default"/>
        <w:rPr>
          <w:b/>
          <w:sz w:val="20"/>
          <w:szCs w:val="20"/>
        </w:rPr>
      </w:pPr>
      <w:r>
        <w:rPr>
          <w:b/>
          <w:sz w:val="20"/>
          <w:szCs w:val="20"/>
        </w:rPr>
        <w:t xml:space="preserve">Table </w:t>
      </w:r>
      <w:proofErr w:type="gramStart"/>
      <w:r>
        <w:rPr>
          <w:b/>
          <w:sz w:val="20"/>
          <w:szCs w:val="20"/>
        </w:rPr>
        <w:t>4</w:t>
      </w:r>
      <w:r w:rsidR="00554094">
        <w:rPr>
          <w:b/>
          <w:sz w:val="20"/>
          <w:szCs w:val="20"/>
        </w:rPr>
        <w:t xml:space="preserve">  </w:t>
      </w:r>
      <w:r w:rsidR="00511440" w:rsidRPr="0088453C">
        <w:rPr>
          <w:b/>
          <w:sz w:val="20"/>
          <w:szCs w:val="20"/>
        </w:rPr>
        <w:t>Total</w:t>
      </w:r>
      <w:proofErr w:type="gramEnd"/>
      <w:r w:rsidR="00511440" w:rsidRPr="0088453C">
        <w:rPr>
          <w:b/>
          <w:sz w:val="20"/>
          <w:szCs w:val="20"/>
        </w:rPr>
        <w:t xml:space="preserve"> costs </w:t>
      </w:r>
      <w:r w:rsidR="0075401A">
        <w:rPr>
          <w:b/>
          <w:sz w:val="20"/>
          <w:szCs w:val="20"/>
        </w:rPr>
        <w:t>to the MBS associated with CCXL</w:t>
      </w:r>
    </w:p>
    <w:tbl>
      <w:tblPr>
        <w:tblStyle w:val="TableGrid"/>
        <w:tblW w:w="0" w:type="auto"/>
        <w:tblLook w:val="04A0" w:firstRow="1" w:lastRow="0" w:firstColumn="1" w:lastColumn="0" w:noHBand="0" w:noVBand="1"/>
        <w:tblDescription w:val="The financial implications to the MBS resulting from the proposed listing of CCXL are summarised in Table 4. "/>
      </w:tblPr>
      <w:tblGrid>
        <w:gridCol w:w="1951"/>
        <w:gridCol w:w="1559"/>
        <w:gridCol w:w="1418"/>
        <w:gridCol w:w="1417"/>
        <w:gridCol w:w="1418"/>
        <w:gridCol w:w="1479"/>
      </w:tblGrid>
      <w:tr w:rsidR="00511440" w:rsidRPr="00460FD2" w:rsidTr="0035615B">
        <w:trPr>
          <w:tblHeader/>
        </w:trPr>
        <w:tc>
          <w:tcPr>
            <w:tcW w:w="1951" w:type="dxa"/>
          </w:tcPr>
          <w:p w:rsidR="00511440" w:rsidRPr="00460FD2" w:rsidRDefault="00511440" w:rsidP="0088453C">
            <w:pPr>
              <w:rPr>
                <w:rFonts w:ascii="Times New Roman" w:hAnsi="Times New Roman"/>
                <w:b/>
                <w:sz w:val="20"/>
              </w:rPr>
            </w:pPr>
          </w:p>
        </w:tc>
        <w:tc>
          <w:tcPr>
            <w:tcW w:w="1559" w:type="dxa"/>
          </w:tcPr>
          <w:p w:rsidR="00511440" w:rsidRPr="00460FD2" w:rsidRDefault="00511440" w:rsidP="0088453C">
            <w:pPr>
              <w:rPr>
                <w:rFonts w:ascii="Times New Roman" w:hAnsi="Times New Roman"/>
                <w:b/>
                <w:sz w:val="20"/>
              </w:rPr>
            </w:pPr>
            <w:r w:rsidRPr="00460FD2">
              <w:rPr>
                <w:rFonts w:ascii="Times New Roman" w:eastAsiaTheme="minorHAnsi" w:hAnsi="Times New Roman"/>
                <w:b/>
                <w:sz w:val="20"/>
              </w:rPr>
              <w:t>2016-2017</w:t>
            </w:r>
          </w:p>
        </w:tc>
        <w:tc>
          <w:tcPr>
            <w:tcW w:w="1418" w:type="dxa"/>
          </w:tcPr>
          <w:p w:rsidR="00511440" w:rsidRPr="00460FD2" w:rsidRDefault="00511440" w:rsidP="0088453C">
            <w:pPr>
              <w:rPr>
                <w:rFonts w:ascii="Times New Roman" w:hAnsi="Times New Roman"/>
                <w:b/>
                <w:sz w:val="20"/>
              </w:rPr>
            </w:pPr>
            <w:r w:rsidRPr="00460FD2">
              <w:rPr>
                <w:rFonts w:ascii="Times New Roman" w:eastAsiaTheme="minorHAnsi" w:hAnsi="Times New Roman"/>
                <w:b/>
                <w:sz w:val="20"/>
              </w:rPr>
              <w:t>2017-2018</w:t>
            </w:r>
          </w:p>
        </w:tc>
        <w:tc>
          <w:tcPr>
            <w:tcW w:w="1417" w:type="dxa"/>
          </w:tcPr>
          <w:p w:rsidR="00511440" w:rsidRPr="00460FD2" w:rsidRDefault="00511440" w:rsidP="0088453C">
            <w:pPr>
              <w:rPr>
                <w:rFonts w:ascii="Times New Roman" w:hAnsi="Times New Roman"/>
                <w:b/>
                <w:sz w:val="20"/>
              </w:rPr>
            </w:pPr>
            <w:r w:rsidRPr="00460FD2">
              <w:rPr>
                <w:rFonts w:ascii="Times New Roman" w:eastAsiaTheme="minorHAnsi" w:hAnsi="Times New Roman"/>
                <w:b/>
                <w:sz w:val="20"/>
              </w:rPr>
              <w:t>2018-2019</w:t>
            </w:r>
          </w:p>
        </w:tc>
        <w:tc>
          <w:tcPr>
            <w:tcW w:w="1418" w:type="dxa"/>
          </w:tcPr>
          <w:p w:rsidR="00511440" w:rsidRPr="00460FD2" w:rsidRDefault="00511440" w:rsidP="0088453C">
            <w:pPr>
              <w:rPr>
                <w:rFonts w:ascii="Times New Roman" w:hAnsi="Times New Roman"/>
                <w:b/>
                <w:sz w:val="20"/>
              </w:rPr>
            </w:pPr>
            <w:r w:rsidRPr="00460FD2">
              <w:rPr>
                <w:rFonts w:ascii="Times New Roman" w:eastAsiaTheme="minorHAnsi" w:hAnsi="Times New Roman"/>
                <w:b/>
                <w:sz w:val="20"/>
              </w:rPr>
              <w:t>2019-2020</w:t>
            </w:r>
          </w:p>
        </w:tc>
        <w:tc>
          <w:tcPr>
            <w:tcW w:w="1479" w:type="dxa"/>
          </w:tcPr>
          <w:p w:rsidR="00511440" w:rsidRPr="00460FD2" w:rsidRDefault="00511440" w:rsidP="0088453C">
            <w:pPr>
              <w:jc w:val="center"/>
              <w:rPr>
                <w:rFonts w:ascii="Times New Roman" w:hAnsi="Times New Roman"/>
                <w:b/>
                <w:sz w:val="20"/>
              </w:rPr>
            </w:pPr>
            <w:r w:rsidRPr="00460FD2">
              <w:rPr>
                <w:rFonts w:ascii="Times New Roman" w:eastAsiaTheme="minorHAnsi" w:hAnsi="Times New Roman"/>
                <w:b/>
                <w:sz w:val="20"/>
              </w:rPr>
              <w:t>2020-2021</w:t>
            </w:r>
          </w:p>
        </w:tc>
      </w:tr>
      <w:tr w:rsidR="00511440" w:rsidRPr="00460FD2" w:rsidTr="009924FA">
        <w:tc>
          <w:tcPr>
            <w:tcW w:w="1951" w:type="dxa"/>
          </w:tcPr>
          <w:p w:rsidR="00511440" w:rsidRPr="0088453C" w:rsidRDefault="00511440" w:rsidP="0088453C">
            <w:pPr>
              <w:autoSpaceDE w:val="0"/>
              <w:autoSpaceDN w:val="0"/>
              <w:adjustRightInd w:val="0"/>
              <w:rPr>
                <w:rFonts w:ascii="Times New Roman" w:eastAsiaTheme="minorHAnsi" w:hAnsi="Times New Roman"/>
                <w:b/>
                <w:sz w:val="20"/>
              </w:rPr>
            </w:pPr>
            <w:r w:rsidRPr="0088453C">
              <w:rPr>
                <w:rFonts w:ascii="Times New Roman" w:eastAsiaTheme="minorHAnsi" w:hAnsi="Times New Roman"/>
                <w:b/>
                <w:sz w:val="20"/>
              </w:rPr>
              <w:t>Preliminary consultations</w:t>
            </w:r>
          </w:p>
        </w:tc>
        <w:tc>
          <w:tcPr>
            <w:tcW w:w="1559"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$140,473 </w:t>
            </w:r>
          </w:p>
          <w:p w:rsidR="00511440" w:rsidRPr="00460FD2" w:rsidRDefault="00511440" w:rsidP="0088453C">
            <w:pPr>
              <w:jc w:val="center"/>
              <w:rPr>
                <w:rFonts w:ascii="Times New Roman" w:hAnsi="Times New Roman"/>
                <w:b/>
                <w:sz w:val="20"/>
              </w:rPr>
            </w:pPr>
          </w:p>
        </w:tc>
        <w:tc>
          <w:tcPr>
            <w:tcW w:w="1418"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$38,583 </w:t>
            </w:r>
          </w:p>
          <w:p w:rsidR="00511440" w:rsidRPr="00460FD2" w:rsidRDefault="00511440" w:rsidP="0088453C">
            <w:pPr>
              <w:jc w:val="center"/>
              <w:rPr>
                <w:rFonts w:ascii="Times New Roman" w:hAnsi="Times New Roman"/>
                <w:b/>
                <w:sz w:val="20"/>
              </w:rPr>
            </w:pPr>
          </w:p>
        </w:tc>
        <w:tc>
          <w:tcPr>
            <w:tcW w:w="1417"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$30,883 </w:t>
            </w:r>
          </w:p>
          <w:p w:rsidR="00511440" w:rsidRPr="00460FD2" w:rsidRDefault="00511440" w:rsidP="0088453C">
            <w:pPr>
              <w:jc w:val="center"/>
              <w:rPr>
                <w:rFonts w:ascii="Times New Roman" w:hAnsi="Times New Roman"/>
                <w:b/>
                <w:sz w:val="20"/>
              </w:rPr>
            </w:pPr>
          </w:p>
        </w:tc>
        <w:tc>
          <w:tcPr>
            <w:tcW w:w="1418"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$32,338 </w:t>
            </w:r>
          </w:p>
          <w:p w:rsidR="00511440" w:rsidRPr="00460FD2" w:rsidRDefault="00511440" w:rsidP="0088453C">
            <w:pPr>
              <w:jc w:val="center"/>
              <w:rPr>
                <w:rFonts w:ascii="Times New Roman" w:hAnsi="Times New Roman"/>
                <w:b/>
                <w:sz w:val="20"/>
              </w:rPr>
            </w:pPr>
          </w:p>
        </w:tc>
        <w:tc>
          <w:tcPr>
            <w:tcW w:w="1479"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$33,279 </w:t>
            </w:r>
          </w:p>
          <w:p w:rsidR="00511440" w:rsidRPr="00460FD2" w:rsidRDefault="00511440" w:rsidP="0088453C">
            <w:pPr>
              <w:jc w:val="center"/>
              <w:rPr>
                <w:rFonts w:ascii="Times New Roman" w:hAnsi="Times New Roman"/>
                <w:b/>
                <w:sz w:val="20"/>
              </w:rPr>
            </w:pPr>
          </w:p>
        </w:tc>
      </w:tr>
      <w:tr w:rsidR="00511440" w:rsidRPr="00460FD2" w:rsidTr="0088453C">
        <w:trPr>
          <w:trHeight w:val="100"/>
        </w:trPr>
        <w:tc>
          <w:tcPr>
            <w:tcW w:w="1951" w:type="dxa"/>
          </w:tcPr>
          <w:p w:rsidR="00511440" w:rsidRPr="0088453C" w:rsidRDefault="00511440" w:rsidP="0088453C">
            <w:pPr>
              <w:rPr>
                <w:rFonts w:ascii="Times New Roman" w:hAnsi="Times New Roman"/>
                <w:b/>
                <w:sz w:val="20"/>
              </w:rPr>
            </w:pPr>
            <w:r w:rsidRPr="0088453C">
              <w:rPr>
                <w:rFonts w:ascii="Times New Roman" w:eastAsiaTheme="minorHAnsi" w:hAnsi="Times New Roman"/>
                <w:b/>
                <w:sz w:val="20"/>
              </w:rPr>
              <w:t>CCXL procedures</w:t>
            </w:r>
          </w:p>
        </w:tc>
        <w:tc>
          <w:tcPr>
            <w:tcW w:w="1559" w:type="dxa"/>
            <w:vAlign w:val="center"/>
          </w:tcPr>
          <w:p w:rsidR="00511440" w:rsidRPr="0088453C"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$2,134,600 </w:t>
            </w:r>
          </w:p>
        </w:tc>
        <w:tc>
          <w:tcPr>
            <w:tcW w:w="1418" w:type="dxa"/>
            <w:vAlign w:val="center"/>
          </w:tcPr>
          <w:p w:rsidR="00511440" w:rsidRPr="0088453C"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$586,300 </w:t>
            </w:r>
          </w:p>
        </w:tc>
        <w:tc>
          <w:tcPr>
            <w:tcW w:w="1417" w:type="dxa"/>
            <w:vAlign w:val="center"/>
          </w:tcPr>
          <w:p w:rsidR="00511440" w:rsidRPr="0088453C"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$469,300 </w:t>
            </w:r>
          </w:p>
        </w:tc>
        <w:tc>
          <w:tcPr>
            <w:tcW w:w="1418" w:type="dxa"/>
            <w:vAlign w:val="center"/>
          </w:tcPr>
          <w:p w:rsidR="00511440" w:rsidRPr="0088453C"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$491,400 </w:t>
            </w:r>
          </w:p>
        </w:tc>
        <w:tc>
          <w:tcPr>
            <w:tcW w:w="1479" w:type="dxa"/>
            <w:vAlign w:val="center"/>
          </w:tcPr>
          <w:p w:rsidR="00511440" w:rsidRPr="0088453C"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$505,700 </w:t>
            </w:r>
          </w:p>
        </w:tc>
      </w:tr>
      <w:tr w:rsidR="00511440" w:rsidRPr="00460FD2" w:rsidTr="009924FA">
        <w:tc>
          <w:tcPr>
            <w:tcW w:w="1951" w:type="dxa"/>
          </w:tcPr>
          <w:p w:rsidR="00511440" w:rsidRPr="0088453C" w:rsidRDefault="00511440" w:rsidP="0088453C">
            <w:pPr>
              <w:rPr>
                <w:rFonts w:ascii="Times New Roman" w:hAnsi="Times New Roman"/>
                <w:b/>
                <w:sz w:val="20"/>
              </w:rPr>
            </w:pPr>
            <w:r w:rsidRPr="0088453C">
              <w:rPr>
                <w:rFonts w:ascii="Times New Roman" w:eastAsiaTheme="minorHAnsi" w:hAnsi="Times New Roman"/>
                <w:b/>
                <w:sz w:val="20"/>
              </w:rPr>
              <w:t>Follow up consultations after 1 year</w:t>
            </w:r>
          </w:p>
        </w:tc>
        <w:tc>
          <w:tcPr>
            <w:tcW w:w="1559"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$211,818 </w:t>
            </w:r>
          </w:p>
          <w:p w:rsidR="00511440" w:rsidRPr="00460FD2" w:rsidRDefault="00511440" w:rsidP="0088453C">
            <w:pPr>
              <w:jc w:val="center"/>
              <w:rPr>
                <w:rFonts w:ascii="Times New Roman" w:hAnsi="Times New Roman"/>
                <w:b/>
                <w:sz w:val="20"/>
              </w:rPr>
            </w:pPr>
          </w:p>
        </w:tc>
        <w:tc>
          <w:tcPr>
            <w:tcW w:w="1418"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$58,179 </w:t>
            </w:r>
          </w:p>
          <w:p w:rsidR="00511440" w:rsidRPr="00460FD2" w:rsidRDefault="00511440" w:rsidP="0088453C">
            <w:pPr>
              <w:jc w:val="center"/>
              <w:rPr>
                <w:rFonts w:ascii="Times New Roman" w:hAnsi="Times New Roman"/>
                <w:b/>
                <w:sz w:val="20"/>
              </w:rPr>
            </w:pPr>
          </w:p>
        </w:tc>
        <w:tc>
          <w:tcPr>
            <w:tcW w:w="1417"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$46,569 </w:t>
            </w:r>
          </w:p>
          <w:p w:rsidR="00511440" w:rsidRPr="00460FD2" w:rsidRDefault="00511440" w:rsidP="0088453C">
            <w:pPr>
              <w:jc w:val="center"/>
              <w:rPr>
                <w:rFonts w:ascii="Times New Roman" w:hAnsi="Times New Roman"/>
                <w:b/>
                <w:sz w:val="20"/>
              </w:rPr>
            </w:pPr>
          </w:p>
        </w:tc>
        <w:tc>
          <w:tcPr>
            <w:tcW w:w="1418"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$48,762 </w:t>
            </w:r>
          </w:p>
          <w:p w:rsidR="00511440" w:rsidRPr="00460FD2" w:rsidRDefault="00511440" w:rsidP="0088453C">
            <w:pPr>
              <w:jc w:val="center"/>
              <w:rPr>
                <w:rFonts w:ascii="Times New Roman" w:hAnsi="Times New Roman"/>
                <w:b/>
                <w:sz w:val="20"/>
              </w:rPr>
            </w:pPr>
          </w:p>
        </w:tc>
        <w:tc>
          <w:tcPr>
            <w:tcW w:w="1479"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$50,181 </w:t>
            </w:r>
          </w:p>
          <w:p w:rsidR="00511440" w:rsidRPr="00460FD2" w:rsidRDefault="00511440" w:rsidP="0088453C">
            <w:pPr>
              <w:jc w:val="center"/>
              <w:rPr>
                <w:rFonts w:ascii="Times New Roman" w:hAnsi="Times New Roman"/>
                <w:b/>
                <w:sz w:val="20"/>
              </w:rPr>
            </w:pPr>
          </w:p>
        </w:tc>
      </w:tr>
      <w:tr w:rsidR="00511440" w:rsidRPr="00460FD2" w:rsidTr="009924FA">
        <w:tc>
          <w:tcPr>
            <w:tcW w:w="1951" w:type="dxa"/>
          </w:tcPr>
          <w:p w:rsidR="00511440" w:rsidRPr="00460FD2" w:rsidRDefault="00511440" w:rsidP="0088453C">
            <w:pPr>
              <w:rPr>
                <w:rFonts w:ascii="Times New Roman" w:eastAsiaTheme="minorHAnsi" w:hAnsi="Times New Roman"/>
                <w:b/>
                <w:sz w:val="20"/>
              </w:rPr>
            </w:pPr>
            <w:r w:rsidRPr="00460FD2">
              <w:rPr>
                <w:rFonts w:ascii="Times New Roman" w:eastAsiaTheme="minorHAnsi" w:hAnsi="Times New Roman"/>
                <w:b/>
                <w:sz w:val="20"/>
              </w:rPr>
              <w:t>Total cost to the MBS</w:t>
            </w:r>
          </w:p>
        </w:tc>
        <w:tc>
          <w:tcPr>
            <w:tcW w:w="1559"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$2,486,891 </w:t>
            </w:r>
          </w:p>
          <w:p w:rsidR="00511440" w:rsidRPr="00460FD2" w:rsidRDefault="00511440" w:rsidP="0088453C">
            <w:pPr>
              <w:jc w:val="center"/>
              <w:rPr>
                <w:rFonts w:ascii="Times New Roman" w:eastAsiaTheme="minorHAnsi" w:hAnsi="Times New Roman"/>
                <w:b/>
                <w:sz w:val="20"/>
              </w:rPr>
            </w:pPr>
          </w:p>
        </w:tc>
        <w:tc>
          <w:tcPr>
            <w:tcW w:w="1418"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$683,062 </w:t>
            </w:r>
          </w:p>
          <w:p w:rsidR="00511440" w:rsidRPr="00460FD2" w:rsidRDefault="00511440" w:rsidP="0088453C">
            <w:pPr>
              <w:jc w:val="center"/>
              <w:rPr>
                <w:rFonts w:ascii="Times New Roman" w:eastAsiaTheme="minorHAnsi" w:hAnsi="Times New Roman"/>
                <w:b/>
                <w:sz w:val="20"/>
              </w:rPr>
            </w:pPr>
          </w:p>
        </w:tc>
        <w:tc>
          <w:tcPr>
            <w:tcW w:w="1417"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$546,753 </w:t>
            </w:r>
          </w:p>
          <w:p w:rsidR="00511440" w:rsidRPr="00460FD2" w:rsidRDefault="00511440" w:rsidP="0088453C">
            <w:pPr>
              <w:jc w:val="center"/>
              <w:rPr>
                <w:rFonts w:ascii="Times New Roman" w:eastAsiaTheme="minorHAnsi" w:hAnsi="Times New Roman"/>
                <w:b/>
                <w:sz w:val="20"/>
              </w:rPr>
            </w:pPr>
          </w:p>
        </w:tc>
        <w:tc>
          <w:tcPr>
            <w:tcW w:w="1418"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$572,500 </w:t>
            </w:r>
          </w:p>
          <w:p w:rsidR="00511440" w:rsidRPr="00460FD2" w:rsidRDefault="00511440" w:rsidP="0088453C">
            <w:pPr>
              <w:jc w:val="center"/>
              <w:rPr>
                <w:rFonts w:ascii="Times New Roman" w:eastAsiaTheme="minorHAnsi" w:hAnsi="Times New Roman"/>
                <w:b/>
                <w:sz w:val="20"/>
              </w:rPr>
            </w:pPr>
          </w:p>
        </w:tc>
        <w:tc>
          <w:tcPr>
            <w:tcW w:w="1479" w:type="dxa"/>
            <w:vAlign w:val="center"/>
          </w:tcPr>
          <w:p w:rsidR="00511440" w:rsidRPr="00460FD2" w:rsidRDefault="00511440" w:rsidP="0088453C">
            <w:pPr>
              <w:pStyle w:val="Default"/>
              <w:jc w:val="center"/>
              <w:rPr>
                <w:rFonts w:ascii="Times New Roman" w:hAnsi="Times New Roman" w:cs="Times New Roman"/>
                <w:sz w:val="20"/>
                <w:szCs w:val="20"/>
              </w:rPr>
            </w:pPr>
            <w:r w:rsidRPr="00460FD2">
              <w:rPr>
                <w:rFonts w:ascii="Times New Roman" w:hAnsi="Times New Roman" w:cs="Times New Roman"/>
                <w:sz w:val="20"/>
                <w:szCs w:val="20"/>
              </w:rPr>
              <w:t xml:space="preserve">$589,160 </w:t>
            </w:r>
          </w:p>
          <w:p w:rsidR="00511440" w:rsidRPr="00460FD2" w:rsidRDefault="00511440" w:rsidP="0088453C">
            <w:pPr>
              <w:jc w:val="center"/>
              <w:rPr>
                <w:rFonts w:ascii="Times New Roman" w:eastAsiaTheme="minorHAnsi" w:hAnsi="Times New Roman"/>
                <w:b/>
                <w:sz w:val="20"/>
              </w:rPr>
            </w:pPr>
          </w:p>
        </w:tc>
      </w:tr>
    </w:tbl>
    <w:p w:rsidR="00A00F9B" w:rsidRDefault="00511440" w:rsidP="00806A9C">
      <w:pPr>
        <w:autoSpaceDE w:val="0"/>
        <w:autoSpaceDN w:val="0"/>
        <w:adjustRightInd w:val="0"/>
        <w:spacing w:before="240" w:after="240"/>
        <w:rPr>
          <w:rFonts w:eastAsiaTheme="minorHAnsi"/>
        </w:rPr>
      </w:pPr>
      <w:r w:rsidRPr="00460FD2">
        <w:rPr>
          <w:rFonts w:eastAsiaTheme="minorHAnsi"/>
          <w:color w:val="000000"/>
          <w:szCs w:val="24"/>
          <w:lang w:eastAsia="en-US"/>
        </w:rPr>
        <w:t xml:space="preserve">The financial cost to the MBS depends on the listed cost of CCXL. This has been subject to sensitivity testing by increasing the listed price from $1,300 to $1,500, and reducing it to $900. </w:t>
      </w:r>
      <w:r w:rsidRPr="00460FD2">
        <w:rPr>
          <w:rFonts w:eastAsiaTheme="minorHAnsi"/>
        </w:rPr>
        <w:t>This results in costs to the MBS of $4.4 million in 2016-17, falling to $648,000 in 2020-21 if the listed price is $1,500. If the listed price is $900 then the cost to the MBS is $2.9 million in 2016-17, falling to $421,000 in 2020-21</w:t>
      </w:r>
      <w:r w:rsidR="004B264C">
        <w:rPr>
          <w:rFonts w:eastAsiaTheme="minorHAnsi"/>
        </w:rPr>
        <w:t>.</w:t>
      </w:r>
    </w:p>
    <w:p w:rsidR="00A00F9B" w:rsidRPr="0088453C" w:rsidRDefault="00A00F9B" w:rsidP="0075401A">
      <w:pPr>
        <w:rPr>
          <w:rFonts w:eastAsiaTheme="minorHAnsi"/>
          <w:color w:val="000000"/>
          <w:szCs w:val="24"/>
          <w:lang w:eastAsia="en-US"/>
        </w:rPr>
      </w:pPr>
      <w:r>
        <w:rPr>
          <w:rFonts w:eastAsiaTheme="minorHAnsi"/>
        </w:rPr>
        <w:t>The applicant</w:t>
      </w:r>
      <w:r w:rsidR="00554094">
        <w:rPr>
          <w:rFonts w:eastAsiaTheme="minorHAnsi"/>
        </w:rPr>
        <w:t>’s</w:t>
      </w:r>
      <w:r>
        <w:rPr>
          <w:rFonts w:eastAsiaTheme="minorHAnsi"/>
        </w:rPr>
        <w:t xml:space="preserve"> pre</w:t>
      </w:r>
      <w:r w:rsidR="00687D99">
        <w:rPr>
          <w:rFonts w:eastAsiaTheme="minorHAnsi"/>
        </w:rPr>
        <w:t>-</w:t>
      </w:r>
      <w:r>
        <w:rPr>
          <w:rFonts w:eastAsiaTheme="minorHAnsi"/>
        </w:rPr>
        <w:t>MSAC response noted that</w:t>
      </w:r>
      <w:r>
        <w:t xml:space="preserve"> the saving in “grafts avoided” may be underestimated. Throughout a lifetime patients may require more than one graft per eye but the corneal graft registry from which the data is derived may record failed previous graft as </w:t>
      </w:r>
      <w:r>
        <w:lastRenderedPageBreak/>
        <w:t xml:space="preserve">the graft indication rather than go back to the fundamental diagnosis of Keratoconus. Other surgery subsequent to the graft may include cataract surgery, refractive </w:t>
      </w:r>
      <w:proofErr w:type="spellStart"/>
      <w:r>
        <w:t>keratoplasty</w:t>
      </w:r>
      <w:proofErr w:type="spellEnd"/>
      <w:r>
        <w:t xml:space="preserve"> [for high degrees of post graft astigmatism] and glaucoma surgery [there is a significant increase in the incidence of glaucoma post corneal graft].</w:t>
      </w:r>
    </w:p>
    <w:p w:rsidR="006A0D97" w:rsidRPr="00F715D1" w:rsidRDefault="006A0D97" w:rsidP="00F715D1">
      <w:pPr>
        <w:pStyle w:val="Heading1"/>
      </w:pPr>
      <w:r w:rsidRPr="00F715D1">
        <w:t>Key issues from ESC for MSAC</w:t>
      </w:r>
    </w:p>
    <w:p w:rsidR="0092550B" w:rsidRPr="001901CD" w:rsidRDefault="0092550B" w:rsidP="0088453C">
      <w:pPr>
        <w:pStyle w:val="BodyText"/>
        <w:spacing w:after="0"/>
      </w:pPr>
      <w:r w:rsidRPr="001901CD">
        <w:t>ESC noted that MSAC had previously accepted the safety and clinical effectiveness of CCXL in the proposed population at its July 2016 meeting. In addition, ESC noted that MSAC had deferred its advice on public funding and had requested the following information to enable it to finalise its advice:</w:t>
      </w:r>
    </w:p>
    <w:p w:rsidR="0092550B" w:rsidRPr="001901CD" w:rsidRDefault="0092550B" w:rsidP="0049590A">
      <w:pPr>
        <w:widowControl w:val="0"/>
        <w:numPr>
          <w:ilvl w:val="0"/>
          <w:numId w:val="31"/>
        </w:numPr>
      </w:pPr>
      <w:r w:rsidRPr="001901CD">
        <w:t xml:space="preserve">a </w:t>
      </w:r>
      <w:r w:rsidRPr="0049590A">
        <w:rPr>
          <w:snapToGrid w:val="0"/>
          <w:lang w:eastAsia="en-US"/>
        </w:rPr>
        <w:t>more</w:t>
      </w:r>
      <w:r w:rsidRPr="001901CD">
        <w:t xml:space="preserve"> detailed rationale for the proposed fee;</w:t>
      </w:r>
    </w:p>
    <w:p w:rsidR="0092550B" w:rsidRPr="001901CD" w:rsidRDefault="0092550B" w:rsidP="0049590A">
      <w:pPr>
        <w:widowControl w:val="0"/>
        <w:numPr>
          <w:ilvl w:val="0"/>
          <w:numId w:val="31"/>
        </w:numPr>
      </w:pPr>
      <w:r w:rsidRPr="001901CD">
        <w:t xml:space="preserve">an </w:t>
      </w:r>
      <w:r w:rsidRPr="0049590A">
        <w:rPr>
          <w:snapToGrid w:val="0"/>
          <w:lang w:eastAsia="en-US"/>
        </w:rPr>
        <w:t>assessment</w:t>
      </w:r>
      <w:r w:rsidRPr="001901CD">
        <w:t xml:space="preserve"> by ESC comparing the revised modelled economic evaluation with the version initially developed, and examining the sensitivity of these models to variations in the proposed fee;</w:t>
      </w:r>
    </w:p>
    <w:p w:rsidR="0092550B" w:rsidRPr="001901CD" w:rsidRDefault="0092550B" w:rsidP="0049590A">
      <w:pPr>
        <w:widowControl w:val="0"/>
        <w:numPr>
          <w:ilvl w:val="0"/>
          <w:numId w:val="31"/>
        </w:numPr>
      </w:pPr>
      <w:r w:rsidRPr="0049590A">
        <w:rPr>
          <w:snapToGrid w:val="0"/>
          <w:lang w:eastAsia="en-US"/>
        </w:rPr>
        <w:t>clarification</w:t>
      </w:r>
      <w:r w:rsidRPr="001901CD">
        <w:t xml:space="preserve"> from the </w:t>
      </w:r>
      <w:r w:rsidR="007D6C04">
        <w:t>TGA</w:t>
      </w:r>
      <w:r w:rsidRPr="001901CD">
        <w:t xml:space="preserve"> regarding the consequences of the riboflavin eye drops, used in rendering this service, not being listed on</w:t>
      </w:r>
      <w:r w:rsidR="007D6C04">
        <w:t xml:space="preserve"> the ARTG</w:t>
      </w:r>
      <w:r w:rsidRPr="001901CD">
        <w:t>;</w:t>
      </w:r>
    </w:p>
    <w:p w:rsidR="0092550B" w:rsidRPr="001901CD" w:rsidRDefault="0092550B" w:rsidP="0049590A">
      <w:pPr>
        <w:widowControl w:val="0"/>
        <w:numPr>
          <w:ilvl w:val="0"/>
          <w:numId w:val="31"/>
        </w:numPr>
      </w:pPr>
      <w:r w:rsidRPr="001901CD">
        <w:t xml:space="preserve">an </w:t>
      </w:r>
      <w:r w:rsidRPr="0049590A">
        <w:rPr>
          <w:snapToGrid w:val="0"/>
          <w:lang w:eastAsia="en-US"/>
        </w:rPr>
        <w:t>update</w:t>
      </w:r>
      <w:r w:rsidRPr="001901CD">
        <w:t xml:space="preserve"> on why several large well-designed clinical trials have discontinued their control arms; and</w:t>
      </w:r>
    </w:p>
    <w:p w:rsidR="0092550B" w:rsidRPr="001901CD" w:rsidRDefault="0092550B" w:rsidP="0049590A">
      <w:pPr>
        <w:widowControl w:val="0"/>
        <w:numPr>
          <w:ilvl w:val="0"/>
          <w:numId w:val="31"/>
        </w:numPr>
      </w:pPr>
      <w:proofErr w:type="gramStart"/>
      <w:r w:rsidRPr="001901CD">
        <w:t>data</w:t>
      </w:r>
      <w:proofErr w:type="gramEnd"/>
      <w:r w:rsidRPr="001901CD">
        <w:t xml:space="preserve"> </w:t>
      </w:r>
      <w:r w:rsidRPr="0049590A">
        <w:rPr>
          <w:snapToGrid w:val="0"/>
          <w:lang w:eastAsia="en-US"/>
        </w:rPr>
        <w:t>cited</w:t>
      </w:r>
      <w:r w:rsidRPr="001901CD">
        <w:t xml:space="preserve"> in the pre-MSAC response said to be available in patients with </w:t>
      </w:r>
      <w:proofErr w:type="spellStart"/>
      <w:r w:rsidRPr="001901CD">
        <w:t>ectasias</w:t>
      </w:r>
      <w:proofErr w:type="spellEnd"/>
      <w:r w:rsidRPr="001901CD">
        <w:t xml:space="preserve"> other than keratoconus. </w:t>
      </w:r>
    </w:p>
    <w:p w:rsidR="0092550B" w:rsidRPr="001901CD" w:rsidRDefault="0092550B" w:rsidP="0088453C">
      <w:pPr>
        <w:pStyle w:val="BodyText"/>
        <w:spacing w:before="120"/>
      </w:pPr>
      <w:r w:rsidRPr="001901CD">
        <w:t xml:space="preserve">ESC noted that both legal advice and clarification from the TGA had been sought regarding the status of riboflavin eye drops and the consequences of the product not being registered on the ARTG. ESC noted advice that there is neither an issue with the TGA nor a legal issue with a service being listed on the MBS for which not all components are listed on the ARTG. ESC noted that the policy area also has no issues with the listing of the service without any brand of riboflavin being listed on the ARTG. ESC considered that this advice addressed concerns around the individual components required to render this service. </w:t>
      </w:r>
    </w:p>
    <w:p w:rsidR="0092550B" w:rsidRPr="001901CD" w:rsidRDefault="0092550B" w:rsidP="0092550B">
      <w:pPr>
        <w:pStyle w:val="BodyText"/>
      </w:pPr>
      <w:r w:rsidRPr="001901CD">
        <w:t xml:space="preserve">ESC considered the revised economic evaluation and noted concerns around the uncertainty of the prevalence of keratoconus and its impact on the model. ESC considered that these concerns were addressed in the sensitivity analysis. </w:t>
      </w:r>
    </w:p>
    <w:p w:rsidR="0092550B" w:rsidRPr="001901CD" w:rsidRDefault="0092550B" w:rsidP="0092550B">
      <w:pPr>
        <w:pStyle w:val="BodyText"/>
      </w:pPr>
      <w:r w:rsidRPr="001901CD">
        <w:t xml:space="preserve">ESC considered the time horizon and the age of onset of keratoconus appropriate in the revised economic model. </w:t>
      </w:r>
    </w:p>
    <w:p w:rsidR="0092550B" w:rsidRPr="001901CD" w:rsidRDefault="0092550B" w:rsidP="0092550B">
      <w:pPr>
        <w:pStyle w:val="BodyText"/>
      </w:pPr>
      <w:r w:rsidRPr="001901CD">
        <w:t xml:space="preserve">ESC noted that it was assumed that successful CCXL treatment halts corneal ectatic disorders’ progression but does not lead to disease improvement and hence the utility weights after CCXL remain constant. ESC considered that there may be utility benefits in stopping progression but that this was hard to quantify. ESC noted the utility values for vision quality of life and considered them to be appropriate as they were closely linked to actual scores of patients reported in the data sources identified. </w:t>
      </w:r>
    </w:p>
    <w:p w:rsidR="0092550B" w:rsidRPr="001901CD" w:rsidRDefault="0092550B" w:rsidP="0092550B">
      <w:pPr>
        <w:pStyle w:val="BodyText"/>
      </w:pPr>
      <w:r w:rsidRPr="001901CD">
        <w:t>ESC questioned why no out</w:t>
      </w:r>
      <w:r w:rsidR="006F7697">
        <w:t>-</w:t>
      </w:r>
      <w:r w:rsidRPr="001901CD">
        <w:t>of</w:t>
      </w:r>
      <w:r w:rsidR="006F7697">
        <w:t>-</w:t>
      </w:r>
      <w:r w:rsidRPr="001901CD">
        <w:t>pocket costs were included in the revised economic model. ESC noted that out</w:t>
      </w:r>
      <w:r w:rsidR="006F7697">
        <w:t>-</w:t>
      </w:r>
      <w:r w:rsidRPr="001901CD">
        <w:t>of</w:t>
      </w:r>
      <w:r w:rsidR="006F7697">
        <w:t>-</w:t>
      </w:r>
      <w:r w:rsidRPr="001901CD">
        <w:t xml:space="preserve">pocket costs for ophthalmologists can be significant. </w:t>
      </w:r>
    </w:p>
    <w:p w:rsidR="0092550B" w:rsidRPr="001901CD" w:rsidRDefault="0092550B" w:rsidP="0092550B">
      <w:pPr>
        <w:pStyle w:val="BodyText"/>
      </w:pPr>
      <w:r w:rsidRPr="001901CD">
        <w:t xml:space="preserve">ESC noted that the revised economic model assumed that there was no backlog of cases and questioned the impact of this assumption on expected future financial costs. </w:t>
      </w:r>
    </w:p>
    <w:p w:rsidR="0092550B" w:rsidRPr="001901CD" w:rsidRDefault="0092550B" w:rsidP="0092550B">
      <w:pPr>
        <w:pStyle w:val="BodyText"/>
      </w:pPr>
      <w:r w:rsidRPr="001901CD">
        <w:t xml:space="preserve">ESC noted that the costs of glasses and other incidentals were not included in the revised economic model. ESC considered that inclusion of such costs is likely to favour CCXL. </w:t>
      </w:r>
    </w:p>
    <w:p w:rsidR="0092550B" w:rsidRPr="001901CD" w:rsidRDefault="0092550B" w:rsidP="0092550B">
      <w:pPr>
        <w:pStyle w:val="BodyText"/>
      </w:pPr>
      <w:r w:rsidRPr="001901CD">
        <w:t xml:space="preserve">ESC questioned the presentation of both discounted and undiscounted costs of the different treatment pathways. ESC noted that guidelines for preparing applications for MSAC specify </w:t>
      </w:r>
      <w:r w:rsidRPr="001901CD">
        <w:lastRenderedPageBreak/>
        <w:t xml:space="preserve">that costs and benefits should be discounted at an annual rate of 5% which was used in the base case. </w:t>
      </w:r>
    </w:p>
    <w:p w:rsidR="0092550B" w:rsidRPr="001901CD" w:rsidRDefault="0092550B" w:rsidP="0092550B">
      <w:pPr>
        <w:pStyle w:val="BodyText"/>
      </w:pPr>
      <w:r w:rsidRPr="001901CD">
        <w:t xml:space="preserve">ESC noted that calculation of QALYs uses vision-related quality of life instruments rather than more global measures. </w:t>
      </w:r>
    </w:p>
    <w:p w:rsidR="0092550B" w:rsidRPr="001901CD" w:rsidRDefault="0092550B" w:rsidP="0092550B">
      <w:pPr>
        <w:pStyle w:val="BodyText"/>
      </w:pPr>
      <w:r w:rsidRPr="001901CD">
        <w:t xml:space="preserve">ESC noted that the revised model indicates that the CCXL treatment pathway is more effective and lower cost than the current treatment pathway. </w:t>
      </w:r>
    </w:p>
    <w:p w:rsidR="0092550B" w:rsidRPr="001901CD" w:rsidRDefault="0092550B" w:rsidP="0088453C">
      <w:pPr>
        <w:pStyle w:val="BodyText"/>
        <w:spacing w:after="0"/>
      </w:pPr>
      <w:r w:rsidRPr="001901CD">
        <w:t xml:space="preserve">ESC noted that the </w:t>
      </w:r>
      <w:r>
        <w:t>revised assessment report</w:t>
      </w:r>
      <w:r w:rsidRPr="001901CD">
        <w:t xml:space="preserve"> failed to provide comparative information on the economic model initially developed and the revised model. On manual inspection ESC noted the new model:</w:t>
      </w:r>
    </w:p>
    <w:p w:rsidR="0092550B" w:rsidRPr="001901CD" w:rsidRDefault="0092550B" w:rsidP="0049590A">
      <w:pPr>
        <w:widowControl w:val="0"/>
        <w:numPr>
          <w:ilvl w:val="0"/>
          <w:numId w:val="31"/>
        </w:numPr>
      </w:pPr>
      <w:r w:rsidRPr="0049590A">
        <w:rPr>
          <w:snapToGrid w:val="0"/>
          <w:lang w:eastAsia="en-US"/>
        </w:rPr>
        <w:t>decreased</w:t>
      </w:r>
      <w:r w:rsidRPr="001901CD">
        <w:t xml:space="preserve"> the utility value for vision quality of life for patients with a corneal graft based upon data from the Australian Corneal Graft Registry Report 2015 (0.87 in the initial model versus 0.83 in the current model);</w:t>
      </w:r>
    </w:p>
    <w:p w:rsidR="0092550B" w:rsidRPr="001901CD" w:rsidRDefault="0092550B" w:rsidP="0049590A">
      <w:pPr>
        <w:widowControl w:val="0"/>
        <w:numPr>
          <w:ilvl w:val="0"/>
          <w:numId w:val="31"/>
        </w:numPr>
      </w:pPr>
      <w:r w:rsidRPr="0049590A">
        <w:rPr>
          <w:snapToGrid w:val="0"/>
          <w:lang w:eastAsia="en-US"/>
        </w:rPr>
        <w:t>decreased</w:t>
      </w:r>
      <w:r w:rsidRPr="001901CD">
        <w:t xml:space="preserve"> the number of predicted procedures in 2015/2016 (2,600 versus 2,100);</w:t>
      </w:r>
    </w:p>
    <w:p w:rsidR="0092550B" w:rsidRPr="001901CD" w:rsidRDefault="0092550B" w:rsidP="0049590A">
      <w:pPr>
        <w:widowControl w:val="0"/>
        <w:numPr>
          <w:ilvl w:val="0"/>
          <w:numId w:val="31"/>
        </w:numPr>
      </w:pPr>
      <w:r w:rsidRPr="0049590A">
        <w:rPr>
          <w:snapToGrid w:val="0"/>
          <w:lang w:eastAsia="en-US"/>
        </w:rPr>
        <w:t>increased</w:t>
      </w:r>
      <w:r w:rsidRPr="001901CD">
        <w:t xml:space="preserve"> corneal graft costs due to inclusion of hospital and eye bank costs (~$1866 versus ~$5525); and</w:t>
      </w:r>
    </w:p>
    <w:p w:rsidR="0092550B" w:rsidRPr="001901CD" w:rsidRDefault="0092550B" w:rsidP="0049590A">
      <w:pPr>
        <w:widowControl w:val="0"/>
        <w:numPr>
          <w:ilvl w:val="0"/>
          <w:numId w:val="31"/>
        </w:numPr>
      </w:pPr>
      <w:proofErr w:type="gramStart"/>
      <w:r w:rsidRPr="0049590A">
        <w:rPr>
          <w:snapToGrid w:val="0"/>
          <w:lang w:eastAsia="en-US"/>
        </w:rPr>
        <w:t>assumed</w:t>
      </w:r>
      <w:proofErr w:type="gramEnd"/>
      <w:r w:rsidRPr="001901CD">
        <w:t xml:space="preserve"> 2 services per patient rather than 1.5.</w:t>
      </w:r>
    </w:p>
    <w:p w:rsidR="0092550B" w:rsidRPr="001901CD" w:rsidRDefault="0092550B" w:rsidP="0088453C">
      <w:pPr>
        <w:pStyle w:val="BodyText"/>
        <w:spacing w:before="120"/>
      </w:pPr>
      <w:r w:rsidRPr="001901CD">
        <w:t xml:space="preserve">ESC considered the changes identified to be appropriate. ESC also noted that a sensitivity analysis on the MBS fee was included with the cost of the procedure having a significant impact on the model. </w:t>
      </w:r>
    </w:p>
    <w:p w:rsidR="0092550B" w:rsidRPr="001901CD" w:rsidRDefault="0092550B" w:rsidP="0092550B">
      <w:pPr>
        <w:pStyle w:val="BodyText"/>
      </w:pPr>
      <w:r w:rsidRPr="001901CD">
        <w:t xml:space="preserve">ESC requested that MSAC be provided with a table clearly outlining changes made to the initial model by the contracted assessment group responsible for this application. ESC advised that the table should also include responses to the information requirements specified by MSAC at its July 2016 meeting. </w:t>
      </w:r>
    </w:p>
    <w:p w:rsidR="0092550B" w:rsidRPr="001901CD" w:rsidRDefault="0092550B" w:rsidP="0092550B">
      <w:pPr>
        <w:pStyle w:val="BodyText"/>
      </w:pPr>
      <w:r w:rsidRPr="001901CD">
        <w:t xml:space="preserve">ESC noted that a key driver of the financial estimates is the number of expected procedures. ESC considered that this was an area of uncertainty with inputs based on estimates and prevalence and population data. ESC noted that the potential for earlier diagnosis of patients with corneal ectatic disorders may increase the number of procedures undertaken.  </w:t>
      </w:r>
    </w:p>
    <w:p w:rsidR="0092550B" w:rsidRPr="001901CD" w:rsidRDefault="0092550B" w:rsidP="0092550B">
      <w:pPr>
        <w:pStyle w:val="BodyText"/>
      </w:pPr>
      <w:r w:rsidRPr="001901CD">
        <w:t xml:space="preserve">ESC noted that the MBS item was not restricted to a specific CCXL procedure. ESC considered that this was appropriate as the methodology for CCXL appears to be evolving with variations in the procedure performed under the same name. ESC noted that as the variations relate to both the complexity and duration of the procedure it would be appropriate to review the fee for CCXL two years post listing or if trial evidence on new procedures becomes available.  </w:t>
      </w:r>
    </w:p>
    <w:p w:rsidR="0092550B" w:rsidRPr="001901CD" w:rsidRDefault="0092550B" w:rsidP="0092550B">
      <w:pPr>
        <w:pStyle w:val="BodyText"/>
      </w:pPr>
      <w:r w:rsidRPr="001901CD">
        <w:t xml:space="preserve">ESC noted that MSAC’s question regarding the rationale for the proposed fee remained unaddressed. </w:t>
      </w:r>
    </w:p>
    <w:p w:rsidR="0092550B" w:rsidRPr="001901CD" w:rsidRDefault="0092550B" w:rsidP="0092550B">
      <w:pPr>
        <w:pStyle w:val="BodyText"/>
      </w:pPr>
      <w:r w:rsidRPr="001901CD">
        <w:t xml:space="preserve">ESC noted comments from the applicant in </w:t>
      </w:r>
      <w:r w:rsidR="00554094">
        <w:t>its</w:t>
      </w:r>
      <w:r w:rsidRPr="001901CD">
        <w:t xml:space="preserve"> pre-ESC response that the control arms of recent clinical trials have likely been discontinued due to investigator concern that they are denying patients potentially effective treatment. ESC considered that while further information is required to answer MSAC’s question it is unlikely that the outcome will affect the cost-effectiveness of CCXL.</w:t>
      </w:r>
    </w:p>
    <w:p w:rsidR="0092550B" w:rsidRPr="001901CD" w:rsidRDefault="0092550B" w:rsidP="0092550B">
      <w:pPr>
        <w:pStyle w:val="BodyText"/>
      </w:pPr>
      <w:r w:rsidRPr="001901CD">
        <w:t xml:space="preserve">ESC noted that no further data on patients with </w:t>
      </w:r>
      <w:proofErr w:type="spellStart"/>
      <w:r w:rsidRPr="001901CD">
        <w:t>ectasias</w:t>
      </w:r>
      <w:proofErr w:type="spellEnd"/>
      <w:r w:rsidRPr="001901CD">
        <w:t xml:space="preserve"> other than keratoconus has been provided. </w:t>
      </w:r>
    </w:p>
    <w:p w:rsidR="0092550B" w:rsidRPr="001901CD" w:rsidRDefault="0092550B" w:rsidP="0092550B">
      <w:pPr>
        <w:pStyle w:val="BodyText"/>
      </w:pPr>
      <w:r w:rsidRPr="001901CD">
        <w:t xml:space="preserve">From a consumer perspective, CCXL was noted to be an important and valued procedure. ESC noted that consumers may question why riboflavin is not registered on the ARTG. </w:t>
      </w:r>
    </w:p>
    <w:p w:rsidR="00D90A38" w:rsidRPr="00F715D1" w:rsidRDefault="00BC1364" w:rsidP="00F715D1">
      <w:pPr>
        <w:pStyle w:val="Heading1"/>
      </w:pPr>
      <w:r w:rsidRPr="00F715D1">
        <w:lastRenderedPageBreak/>
        <w:t>Other significant factors</w:t>
      </w:r>
    </w:p>
    <w:p w:rsidR="00BC1364" w:rsidRPr="0088453C" w:rsidRDefault="00BC1364" w:rsidP="00F715D1">
      <w:pPr>
        <w:spacing w:after="240"/>
        <w:rPr>
          <w:szCs w:val="24"/>
        </w:rPr>
      </w:pPr>
      <w:r w:rsidRPr="0088453C">
        <w:rPr>
          <w:szCs w:val="24"/>
        </w:rPr>
        <w:t>Nil</w:t>
      </w:r>
    </w:p>
    <w:p w:rsidR="00BC1364" w:rsidRPr="00F715D1" w:rsidRDefault="00BC1364" w:rsidP="00F715D1">
      <w:pPr>
        <w:pStyle w:val="Heading1"/>
      </w:pPr>
      <w:r w:rsidRPr="00F715D1">
        <w:t xml:space="preserve">Applicant’s comments on MSAC’s </w:t>
      </w:r>
      <w:r w:rsidR="00DA56AA" w:rsidRPr="00F715D1">
        <w:t>Public Summary Document</w:t>
      </w:r>
    </w:p>
    <w:p w:rsidR="00BC1364" w:rsidRPr="00BC4234" w:rsidRDefault="00BC4234" w:rsidP="00F715D1">
      <w:pPr>
        <w:spacing w:after="240"/>
        <w:rPr>
          <w:szCs w:val="24"/>
        </w:rPr>
      </w:pPr>
      <w:r w:rsidRPr="00BC4234">
        <w:rPr>
          <w:szCs w:val="24"/>
        </w:rPr>
        <w:t>The applicant had no comments.</w:t>
      </w:r>
    </w:p>
    <w:p w:rsidR="00BC1364" w:rsidRPr="00F715D1" w:rsidRDefault="00271F18" w:rsidP="00F715D1">
      <w:pPr>
        <w:pStyle w:val="Heading1"/>
      </w:pPr>
      <w:r w:rsidRPr="00F715D1">
        <w:t>Further information on MSAC</w:t>
      </w:r>
    </w:p>
    <w:p w:rsidR="00BC1364" w:rsidRPr="0030716F"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SAC website" w:history="1">
        <w:r w:rsidR="00BC2667" w:rsidRPr="00F715D1">
          <w:rPr>
            <w:rStyle w:val="Hyperlink"/>
            <w:szCs w:val="24"/>
          </w:rPr>
          <w:t>visit the MSAC website</w:t>
        </w:r>
      </w:hyperlink>
      <w:r w:rsidR="0030716F">
        <w:rPr>
          <w:rStyle w:val="Hyperlink"/>
          <w:szCs w:val="24"/>
          <w:u w:val="none"/>
        </w:rPr>
        <w:t>.</w:t>
      </w:r>
    </w:p>
    <w:sectPr w:rsidR="00BC1364" w:rsidRPr="0030716F" w:rsidSect="00271F18">
      <w:footerReference w:type="defaul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347" w:rsidRDefault="00413347" w:rsidP="00065623">
      <w:r>
        <w:separator/>
      </w:r>
    </w:p>
  </w:endnote>
  <w:endnote w:type="continuationSeparator" w:id="0">
    <w:p w:rsidR="00413347" w:rsidRDefault="00413347"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655004" w:rsidRDefault="00655004">
        <w:pPr>
          <w:pStyle w:val="Footer"/>
          <w:jc w:val="right"/>
        </w:pPr>
        <w:r>
          <w:fldChar w:fldCharType="begin"/>
        </w:r>
        <w:r>
          <w:instrText xml:space="preserve"> PAGE   \* MERGEFORMAT </w:instrText>
        </w:r>
        <w:r>
          <w:fldChar w:fldCharType="separate"/>
        </w:r>
        <w:r w:rsidR="00574AEE">
          <w:rPr>
            <w:noProof/>
          </w:rPr>
          <w:t>1</w:t>
        </w:r>
        <w:r>
          <w:rPr>
            <w:noProof/>
          </w:rPr>
          <w:fldChar w:fldCharType="end"/>
        </w:r>
      </w:p>
    </w:sdtContent>
  </w:sdt>
  <w:p w:rsidR="00655004" w:rsidRDefault="00655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347" w:rsidRDefault="00413347" w:rsidP="00065623">
      <w:r>
        <w:separator/>
      </w:r>
    </w:p>
  </w:footnote>
  <w:footnote w:type="continuationSeparator" w:id="0">
    <w:p w:rsidR="00413347" w:rsidRDefault="00413347" w:rsidP="00065623">
      <w:r>
        <w:continuationSeparator/>
      </w:r>
    </w:p>
  </w:footnote>
  <w:footnote w:id="1">
    <w:p w:rsidR="00FA51C7" w:rsidRPr="001810F4" w:rsidRDefault="00FA51C7" w:rsidP="00FA51C7">
      <w:pPr>
        <w:pStyle w:val="FootnoteText"/>
      </w:pPr>
      <w:r>
        <w:rPr>
          <w:rStyle w:val="FootnoteReference"/>
        </w:rPr>
        <w:footnoteRef/>
      </w:r>
      <w:r>
        <w:t xml:space="preserve"> LASIK: Laser-Assisted </w:t>
      </w:r>
      <w:r>
        <w:rPr>
          <w:i/>
        </w:rPr>
        <w:t xml:space="preserve">In Situ </w:t>
      </w:r>
      <w:proofErr w:type="spellStart"/>
      <w:r>
        <w:t>Keratomileusis</w:t>
      </w:r>
      <w:proofErr w:type="spellEnd"/>
      <w:r>
        <w:t xml:space="preserve"> (commonly referred to as laser eye surgery)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479" w:hanging="361"/>
      </w:pPr>
      <w:rPr>
        <w:rFonts w:ascii="Symbol" w:hAnsi="Symbol" w:cs="Symbol"/>
        <w:b w:val="0"/>
        <w:bCs w:val="0"/>
        <w:sz w:val="22"/>
        <w:szCs w:val="22"/>
      </w:rPr>
    </w:lvl>
    <w:lvl w:ilvl="1">
      <w:numFmt w:val="bullet"/>
      <w:lvlText w:val="•"/>
      <w:lvlJc w:val="left"/>
      <w:pPr>
        <w:ind w:left="1447" w:hanging="361"/>
      </w:pPr>
    </w:lvl>
    <w:lvl w:ilvl="2">
      <w:numFmt w:val="bullet"/>
      <w:lvlText w:val="•"/>
      <w:lvlJc w:val="left"/>
      <w:pPr>
        <w:ind w:left="2416" w:hanging="361"/>
      </w:pPr>
    </w:lvl>
    <w:lvl w:ilvl="3">
      <w:numFmt w:val="bullet"/>
      <w:lvlText w:val="•"/>
      <w:lvlJc w:val="left"/>
      <w:pPr>
        <w:ind w:left="3384" w:hanging="361"/>
      </w:pPr>
    </w:lvl>
    <w:lvl w:ilvl="4">
      <w:numFmt w:val="bullet"/>
      <w:lvlText w:val="•"/>
      <w:lvlJc w:val="left"/>
      <w:pPr>
        <w:ind w:left="4353" w:hanging="361"/>
      </w:pPr>
    </w:lvl>
    <w:lvl w:ilvl="5">
      <w:numFmt w:val="bullet"/>
      <w:lvlText w:val="•"/>
      <w:lvlJc w:val="left"/>
      <w:pPr>
        <w:ind w:left="5321" w:hanging="361"/>
      </w:pPr>
    </w:lvl>
    <w:lvl w:ilvl="6">
      <w:numFmt w:val="bullet"/>
      <w:lvlText w:val="•"/>
      <w:lvlJc w:val="left"/>
      <w:pPr>
        <w:ind w:left="6290" w:hanging="361"/>
      </w:pPr>
    </w:lvl>
    <w:lvl w:ilvl="7">
      <w:numFmt w:val="bullet"/>
      <w:lvlText w:val="•"/>
      <w:lvlJc w:val="left"/>
      <w:pPr>
        <w:ind w:left="7258" w:hanging="361"/>
      </w:pPr>
    </w:lvl>
    <w:lvl w:ilvl="8">
      <w:numFmt w:val="bullet"/>
      <w:lvlText w:val="•"/>
      <w:lvlJc w:val="left"/>
      <w:pPr>
        <w:ind w:left="8227" w:hanging="361"/>
      </w:pPr>
    </w:lvl>
  </w:abstractNum>
  <w:abstractNum w:abstractNumId="1">
    <w:nsid w:val="00000403"/>
    <w:multiLevelType w:val="multilevel"/>
    <w:tmpl w:val="00000886"/>
    <w:lvl w:ilvl="0">
      <w:numFmt w:val="bullet"/>
      <w:lvlText w:val=""/>
      <w:lvlJc w:val="left"/>
      <w:pPr>
        <w:ind w:left="479" w:hanging="361"/>
      </w:pPr>
      <w:rPr>
        <w:rFonts w:ascii="Symbol" w:hAnsi="Symbol" w:cs="Symbol"/>
        <w:b w:val="0"/>
        <w:bCs w:val="0"/>
        <w:sz w:val="22"/>
        <w:szCs w:val="22"/>
      </w:rPr>
    </w:lvl>
    <w:lvl w:ilvl="1">
      <w:numFmt w:val="bullet"/>
      <w:lvlText w:val="•"/>
      <w:lvlJc w:val="left"/>
      <w:pPr>
        <w:ind w:left="1451" w:hanging="361"/>
      </w:pPr>
    </w:lvl>
    <w:lvl w:ilvl="2">
      <w:numFmt w:val="bullet"/>
      <w:lvlText w:val="•"/>
      <w:lvlJc w:val="left"/>
      <w:pPr>
        <w:ind w:left="2424" w:hanging="361"/>
      </w:pPr>
    </w:lvl>
    <w:lvl w:ilvl="3">
      <w:numFmt w:val="bullet"/>
      <w:lvlText w:val="•"/>
      <w:lvlJc w:val="left"/>
      <w:pPr>
        <w:ind w:left="3396" w:hanging="361"/>
      </w:pPr>
    </w:lvl>
    <w:lvl w:ilvl="4">
      <w:numFmt w:val="bullet"/>
      <w:lvlText w:val="•"/>
      <w:lvlJc w:val="left"/>
      <w:pPr>
        <w:ind w:left="4369" w:hanging="361"/>
      </w:pPr>
    </w:lvl>
    <w:lvl w:ilvl="5">
      <w:numFmt w:val="bullet"/>
      <w:lvlText w:val="•"/>
      <w:lvlJc w:val="left"/>
      <w:pPr>
        <w:ind w:left="5341" w:hanging="361"/>
      </w:pPr>
    </w:lvl>
    <w:lvl w:ilvl="6">
      <w:numFmt w:val="bullet"/>
      <w:lvlText w:val="•"/>
      <w:lvlJc w:val="left"/>
      <w:pPr>
        <w:ind w:left="6314" w:hanging="361"/>
      </w:pPr>
    </w:lvl>
    <w:lvl w:ilvl="7">
      <w:numFmt w:val="bullet"/>
      <w:lvlText w:val="•"/>
      <w:lvlJc w:val="left"/>
      <w:pPr>
        <w:ind w:left="7286" w:hanging="361"/>
      </w:pPr>
    </w:lvl>
    <w:lvl w:ilvl="8">
      <w:numFmt w:val="bullet"/>
      <w:lvlText w:val="•"/>
      <w:lvlJc w:val="left"/>
      <w:pPr>
        <w:ind w:left="8259" w:hanging="361"/>
      </w:pPr>
    </w:lvl>
  </w:abstractNum>
  <w:abstractNum w:abstractNumId="2">
    <w:nsid w:val="018320BC"/>
    <w:multiLevelType w:val="hybridMultilevel"/>
    <w:tmpl w:val="07E08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752DA5"/>
    <w:multiLevelType w:val="hybridMultilevel"/>
    <w:tmpl w:val="2882836C"/>
    <w:lvl w:ilvl="0" w:tplc="F96C3D2A">
      <w:start w:val="1"/>
      <w:numFmt w:val="bullet"/>
      <w:lvlText w:val=""/>
      <w:lvlJc w:val="left"/>
      <w:pPr>
        <w:ind w:left="454" w:hanging="341"/>
      </w:pPr>
      <w:rPr>
        <w:rFonts w:ascii="Wingdings 3" w:hAnsi="Wingdings 3" w:hint="default"/>
        <w:b/>
        <w:i w:val="0"/>
      </w:rPr>
    </w:lvl>
    <w:lvl w:ilvl="1" w:tplc="056EB79C">
      <w:start w:val="1"/>
      <w:numFmt w:val="bullet"/>
      <w:pStyle w:val="ListBullet2"/>
      <w:lvlText w:val=""/>
      <w:lvlJc w:val="left"/>
      <w:pPr>
        <w:ind w:left="907" w:hanging="34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7F710D8"/>
    <w:multiLevelType w:val="hybridMultilevel"/>
    <w:tmpl w:val="DFE84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FBA0B51"/>
    <w:multiLevelType w:val="hybridMultilevel"/>
    <w:tmpl w:val="47D047FC"/>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6F27BD"/>
    <w:multiLevelType w:val="hybridMultilevel"/>
    <w:tmpl w:val="9080E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4"/>
  </w:num>
  <w:num w:numId="4">
    <w:abstractNumId w:val="20"/>
  </w:num>
  <w:num w:numId="5">
    <w:abstractNumId w:val="12"/>
  </w:num>
  <w:num w:numId="6">
    <w:abstractNumId w:val="19"/>
  </w:num>
  <w:num w:numId="7">
    <w:abstractNumId w:val="23"/>
  </w:num>
  <w:num w:numId="8">
    <w:abstractNumId w:val="14"/>
  </w:num>
  <w:num w:numId="9">
    <w:abstractNumId w:val="31"/>
  </w:num>
  <w:num w:numId="10">
    <w:abstractNumId w:val="3"/>
  </w:num>
  <w:num w:numId="11">
    <w:abstractNumId w:val="22"/>
  </w:num>
  <w:num w:numId="12">
    <w:abstractNumId w:val="24"/>
  </w:num>
  <w:num w:numId="13">
    <w:abstractNumId w:val="7"/>
  </w:num>
  <w:num w:numId="14">
    <w:abstractNumId w:val="28"/>
  </w:num>
  <w:num w:numId="15">
    <w:abstractNumId w:val="21"/>
  </w:num>
  <w:num w:numId="16">
    <w:abstractNumId w:val="25"/>
  </w:num>
  <w:num w:numId="17">
    <w:abstractNumId w:val="16"/>
  </w:num>
  <w:num w:numId="18">
    <w:abstractNumId w:val="17"/>
  </w:num>
  <w:num w:numId="19">
    <w:abstractNumId w:val="27"/>
  </w:num>
  <w:num w:numId="20">
    <w:abstractNumId w:val="26"/>
  </w:num>
  <w:num w:numId="21">
    <w:abstractNumId w:val="6"/>
  </w:num>
  <w:num w:numId="22">
    <w:abstractNumId w:val="11"/>
  </w:num>
  <w:num w:numId="23">
    <w:abstractNumId w:val="5"/>
  </w:num>
  <w:num w:numId="24">
    <w:abstractNumId w:val="10"/>
  </w:num>
  <w:num w:numId="25">
    <w:abstractNumId w:val="8"/>
  </w:num>
  <w:num w:numId="26">
    <w:abstractNumId w:val="1"/>
  </w:num>
  <w:num w:numId="27">
    <w:abstractNumId w:val="0"/>
  </w:num>
  <w:num w:numId="28">
    <w:abstractNumId w:val="5"/>
    <w:lvlOverride w:ilvl="0">
      <w:startOverride w:val="1"/>
    </w:lvlOverride>
  </w:num>
  <w:num w:numId="29">
    <w:abstractNumId w:val="30"/>
  </w:num>
  <w:num w:numId="30">
    <w:abstractNumId w:val="29"/>
  </w:num>
  <w:num w:numId="31">
    <w:abstractNumId w:val="15"/>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47606"/>
    <w:rsid w:val="000507A1"/>
    <w:rsid w:val="00052D3F"/>
    <w:rsid w:val="00065623"/>
    <w:rsid w:val="000756B9"/>
    <w:rsid w:val="00077669"/>
    <w:rsid w:val="00081205"/>
    <w:rsid w:val="00096B67"/>
    <w:rsid w:val="00096DAF"/>
    <w:rsid w:val="000C2F47"/>
    <w:rsid w:val="000D6C00"/>
    <w:rsid w:val="000E4E04"/>
    <w:rsid w:val="000F0F9D"/>
    <w:rsid w:val="000F14B4"/>
    <w:rsid w:val="000F75DF"/>
    <w:rsid w:val="001328FA"/>
    <w:rsid w:val="00147481"/>
    <w:rsid w:val="00147AAF"/>
    <w:rsid w:val="001552C0"/>
    <w:rsid w:val="001640B1"/>
    <w:rsid w:val="00171B46"/>
    <w:rsid w:val="0018435E"/>
    <w:rsid w:val="0019012E"/>
    <w:rsid w:val="001B74B2"/>
    <w:rsid w:val="001E106F"/>
    <w:rsid w:val="002041A1"/>
    <w:rsid w:val="002054F0"/>
    <w:rsid w:val="002159B5"/>
    <w:rsid w:val="00230D6B"/>
    <w:rsid w:val="00232068"/>
    <w:rsid w:val="002330F2"/>
    <w:rsid w:val="00243D9E"/>
    <w:rsid w:val="00253B66"/>
    <w:rsid w:val="002576B8"/>
    <w:rsid w:val="00261DF1"/>
    <w:rsid w:val="00264C9C"/>
    <w:rsid w:val="00271F18"/>
    <w:rsid w:val="00282779"/>
    <w:rsid w:val="0028334D"/>
    <w:rsid w:val="00292130"/>
    <w:rsid w:val="002B5DE2"/>
    <w:rsid w:val="002B7FFA"/>
    <w:rsid w:val="002C2BCF"/>
    <w:rsid w:val="002C4315"/>
    <w:rsid w:val="002F279D"/>
    <w:rsid w:val="002F43B8"/>
    <w:rsid w:val="0030716F"/>
    <w:rsid w:val="00336856"/>
    <w:rsid w:val="00340F3F"/>
    <w:rsid w:val="0034554D"/>
    <w:rsid w:val="00352224"/>
    <w:rsid w:val="003543D6"/>
    <w:rsid w:val="0035615B"/>
    <w:rsid w:val="003671E6"/>
    <w:rsid w:val="003735C5"/>
    <w:rsid w:val="00384272"/>
    <w:rsid w:val="00386D67"/>
    <w:rsid w:val="003945B8"/>
    <w:rsid w:val="003959DD"/>
    <w:rsid w:val="003D7F29"/>
    <w:rsid w:val="00405A6B"/>
    <w:rsid w:val="00407B1F"/>
    <w:rsid w:val="0041184F"/>
    <w:rsid w:val="00413347"/>
    <w:rsid w:val="00414C57"/>
    <w:rsid w:val="00416C91"/>
    <w:rsid w:val="0041758C"/>
    <w:rsid w:val="00433CDD"/>
    <w:rsid w:val="004539DE"/>
    <w:rsid w:val="00461479"/>
    <w:rsid w:val="00470D18"/>
    <w:rsid w:val="004841E5"/>
    <w:rsid w:val="004942D4"/>
    <w:rsid w:val="0049458D"/>
    <w:rsid w:val="0049590A"/>
    <w:rsid w:val="004A2CF1"/>
    <w:rsid w:val="004B14FD"/>
    <w:rsid w:val="004B264C"/>
    <w:rsid w:val="004B3011"/>
    <w:rsid w:val="004C3035"/>
    <w:rsid w:val="004C307F"/>
    <w:rsid w:val="004D16C4"/>
    <w:rsid w:val="004E0A84"/>
    <w:rsid w:val="004E4BA8"/>
    <w:rsid w:val="004F340F"/>
    <w:rsid w:val="004F7B7C"/>
    <w:rsid w:val="00511440"/>
    <w:rsid w:val="0051274E"/>
    <w:rsid w:val="0052243D"/>
    <w:rsid w:val="00532435"/>
    <w:rsid w:val="00550354"/>
    <w:rsid w:val="00554063"/>
    <w:rsid w:val="00554094"/>
    <w:rsid w:val="00571236"/>
    <w:rsid w:val="00574AEE"/>
    <w:rsid w:val="0059205F"/>
    <w:rsid w:val="00592E7E"/>
    <w:rsid w:val="005953A1"/>
    <w:rsid w:val="005A4362"/>
    <w:rsid w:val="005A69E9"/>
    <w:rsid w:val="005D0332"/>
    <w:rsid w:val="005D0D8C"/>
    <w:rsid w:val="005E467D"/>
    <w:rsid w:val="0061147A"/>
    <w:rsid w:val="006129C4"/>
    <w:rsid w:val="0064585A"/>
    <w:rsid w:val="00655004"/>
    <w:rsid w:val="006568AC"/>
    <w:rsid w:val="006621F7"/>
    <w:rsid w:val="006776AE"/>
    <w:rsid w:val="00687D99"/>
    <w:rsid w:val="006A0D97"/>
    <w:rsid w:val="006A5058"/>
    <w:rsid w:val="006B1F86"/>
    <w:rsid w:val="006C0A91"/>
    <w:rsid w:val="006C14D9"/>
    <w:rsid w:val="006F7697"/>
    <w:rsid w:val="007054BB"/>
    <w:rsid w:val="00707064"/>
    <w:rsid w:val="00716FF6"/>
    <w:rsid w:val="00730683"/>
    <w:rsid w:val="0075261F"/>
    <w:rsid w:val="0075401A"/>
    <w:rsid w:val="0075468E"/>
    <w:rsid w:val="007665D8"/>
    <w:rsid w:val="00766E36"/>
    <w:rsid w:val="007765F4"/>
    <w:rsid w:val="00776633"/>
    <w:rsid w:val="00784D53"/>
    <w:rsid w:val="0079048A"/>
    <w:rsid w:val="00797797"/>
    <w:rsid w:val="007A63C9"/>
    <w:rsid w:val="007B32D1"/>
    <w:rsid w:val="007B7095"/>
    <w:rsid w:val="007D24E1"/>
    <w:rsid w:val="007D44EE"/>
    <w:rsid w:val="007D6288"/>
    <w:rsid w:val="007D6C04"/>
    <w:rsid w:val="007E1257"/>
    <w:rsid w:val="007F4CE9"/>
    <w:rsid w:val="007F4E20"/>
    <w:rsid w:val="00806A9C"/>
    <w:rsid w:val="0081208E"/>
    <w:rsid w:val="00821D62"/>
    <w:rsid w:val="00822C7E"/>
    <w:rsid w:val="00847060"/>
    <w:rsid w:val="00847A36"/>
    <w:rsid w:val="008529CC"/>
    <w:rsid w:val="00856A33"/>
    <w:rsid w:val="008675CE"/>
    <w:rsid w:val="0088453C"/>
    <w:rsid w:val="00892620"/>
    <w:rsid w:val="008C7D37"/>
    <w:rsid w:val="008D0D7B"/>
    <w:rsid w:val="008D5885"/>
    <w:rsid w:val="008E69AA"/>
    <w:rsid w:val="00923FA2"/>
    <w:rsid w:val="0092550B"/>
    <w:rsid w:val="0094513E"/>
    <w:rsid w:val="0096060D"/>
    <w:rsid w:val="00974A50"/>
    <w:rsid w:val="0097585A"/>
    <w:rsid w:val="009924B0"/>
    <w:rsid w:val="009942C9"/>
    <w:rsid w:val="009A5456"/>
    <w:rsid w:val="009B35C4"/>
    <w:rsid w:val="009B7D68"/>
    <w:rsid w:val="009C630A"/>
    <w:rsid w:val="009D6082"/>
    <w:rsid w:val="009E0D98"/>
    <w:rsid w:val="009E6EC5"/>
    <w:rsid w:val="00A00F9B"/>
    <w:rsid w:val="00A068A1"/>
    <w:rsid w:val="00A1207D"/>
    <w:rsid w:val="00A12FD8"/>
    <w:rsid w:val="00A2566C"/>
    <w:rsid w:val="00A346FC"/>
    <w:rsid w:val="00A5496C"/>
    <w:rsid w:val="00A846F2"/>
    <w:rsid w:val="00A84F93"/>
    <w:rsid w:val="00AB1AC5"/>
    <w:rsid w:val="00AB3BFC"/>
    <w:rsid w:val="00AC4F2E"/>
    <w:rsid w:val="00AD0C37"/>
    <w:rsid w:val="00AD385F"/>
    <w:rsid w:val="00AE6E2A"/>
    <w:rsid w:val="00B03285"/>
    <w:rsid w:val="00B31E9C"/>
    <w:rsid w:val="00B35595"/>
    <w:rsid w:val="00B51C6D"/>
    <w:rsid w:val="00B57E7D"/>
    <w:rsid w:val="00B83DD2"/>
    <w:rsid w:val="00B83F77"/>
    <w:rsid w:val="00B86D64"/>
    <w:rsid w:val="00B95009"/>
    <w:rsid w:val="00BA4AC5"/>
    <w:rsid w:val="00BB1347"/>
    <w:rsid w:val="00BC1364"/>
    <w:rsid w:val="00BC2667"/>
    <w:rsid w:val="00BC4234"/>
    <w:rsid w:val="00BC7DE9"/>
    <w:rsid w:val="00BF479B"/>
    <w:rsid w:val="00C02577"/>
    <w:rsid w:val="00C204FB"/>
    <w:rsid w:val="00C20BEE"/>
    <w:rsid w:val="00C2158D"/>
    <w:rsid w:val="00C425AB"/>
    <w:rsid w:val="00C57FD7"/>
    <w:rsid w:val="00C67DD2"/>
    <w:rsid w:val="00C725CB"/>
    <w:rsid w:val="00C75CD5"/>
    <w:rsid w:val="00C76F5C"/>
    <w:rsid w:val="00C90776"/>
    <w:rsid w:val="00C96BAD"/>
    <w:rsid w:val="00CA58DA"/>
    <w:rsid w:val="00CA6944"/>
    <w:rsid w:val="00CB0B78"/>
    <w:rsid w:val="00CB0F8E"/>
    <w:rsid w:val="00CB7E7D"/>
    <w:rsid w:val="00CC2911"/>
    <w:rsid w:val="00CD449A"/>
    <w:rsid w:val="00CF0C6D"/>
    <w:rsid w:val="00CF7307"/>
    <w:rsid w:val="00CF7C68"/>
    <w:rsid w:val="00D124FA"/>
    <w:rsid w:val="00D2052A"/>
    <w:rsid w:val="00D340DE"/>
    <w:rsid w:val="00D55723"/>
    <w:rsid w:val="00D62FAD"/>
    <w:rsid w:val="00D64355"/>
    <w:rsid w:val="00D70450"/>
    <w:rsid w:val="00D83BFD"/>
    <w:rsid w:val="00D90A38"/>
    <w:rsid w:val="00DA0515"/>
    <w:rsid w:val="00DA171E"/>
    <w:rsid w:val="00DA56AA"/>
    <w:rsid w:val="00DB5833"/>
    <w:rsid w:val="00DD2858"/>
    <w:rsid w:val="00DE7CD3"/>
    <w:rsid w:val="00E03E33"/>
    <w:rsid w:val="00E059E0"/>
    <w:rsid w:val="00E07809"/>
    <w:rsid w:val="00E3642A"/>
    <w:rsid w:val="00E415C4"/>
    <w:rsid w:val="00E50016"/>
    <w:rsid w:val="00E50EAA"/>
    <w:rsid w:val="00E5408B"/>
    <w:rsid w:val="00E64EFD"/>
    <w:rsid w:val="00E656D6"/>
    <w:rsid w:val="00E83487"/>
    <w:rsid w:val="00E977EE"/>
    <w:rsid w:val="00EA2F24"/>
    <w:rsid w:val="00EA67A2"/>
    <w:rsid w:val="00EB2B0F"/>
    <w:rsid w:val="00EB630F"/>
    <w:rsid w:val="00EB6B6F"/>
    <w:rsid w:val="00EC4F98"/>
    <w:rsid w:val="00ED6995"/>
    <w:rsid w:val="00F12F02"/>
    <w:rsid w:val="00F30583"/>
    <w:rsid w:val="00F32E0D"/>
    <w:rsid w:val="00F35134"/>
    <w:rsid w:val="00F37B9C"/>
    <w:rsid w:val="00F41812"/>
    <w:rsid w:val="00F44C48"/>
    <w:rsid w:val="00F715D1"/>
    <w:rsid w:val="00F72715"/>
    <w:rsid w:val="00F73333"/>
    <w:rsid w:val="00F841E5"/>
    <w:rsid w:val="00F95D8F"/>
    <w:rsid w:val="00FA51C7"/>
    <w:rsid w:val="00FB2C66"/>
    <w:rsid w:val="00FB350A"/>
    <w:rsid w:val="00FB4C5D"/>
    <w:rsid w:val="00FE1C3F"/>
    <w:rsid w:val="00FE5D59"/>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List Bullet 2" w:uiPriority="3"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99"/>
    <w:unhideWhenUsed/>
    <w:rsid w:val="00461479"/>
    <w:pPr>
      <w:spacing w:after="120"/>
    </w:pPr>
  </w:style>
  <w:style w:type="character" w:customStyle="1" w:styleId="BodyTextChar">
    <w:name w:val="Body Text Char"/>
    <w:basedOn w:val="DefaultParagraphFont"/>
    <w:link w:val="BodyText"/>
    <w:uiPriority w:val="99"/>
    <w:rsid w:val="00461479"/>
    <w:rPr>
      <w:rFonts w:eastAsia="Times New Roman"/>
      <w:sz w:val="24"/>
      <w:szCs w:val="20"/>
    </w:rPr>
  </w:style>
  <w:style w:type="table" w:styleId="TableGrid">
    <w:name w:val="Table Grid"/>
    <w:basedOn w:val="TableNormal"/>
    <w:uiPriority w:val="59"/>
    <w:locked/>
    <w:rsid w:val="0051144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511440"/>
    <w:rPr>
      <w:rFonts w:ascii="Arial Narrow" w:hAnsi="Arial Narrow"/>
      <w:sz w:val="20"/>
      <w:szCs w:val="24"/>
      <w:lang w:eastAsia="en-US"/>
    </w:rPr>
  </w:style>
  <w:style w:type="character" w:customStyle="1" w:styleId="TabletextChar">
    <w:name w:val="Table text Char"/>
    <w:basedOn w:val="DefaultParagraphFont"/>
    <w:link w:val="Tabletext"/>
    <w:rsid w:val="00511440"/>
    <w:rPr>
      <w:rFonts w:ascii="Arial Narrow" w:eastAsia="Times New Roman" w:hAnsi="Arial Narrow"/>
      <w:sz w:val="20"/>
      <w:szCs w:val="24"/>
      <w:lang w:eastAsia="en-US"/>
    </w:rPr>
  </w:style>
  <w:style w:type="paragraph" w:styleId="ListBullet2">
    <w:name w:val="List Bullet 2"/>
    <w:basedOn w:val="List2"/>
    <w:uiPriority w:val="3"/>
    <w:qFormat/>
    <w:rsid w:val="0092550B"/>
    <w:pPr>
      <w:keepLines/>
      <w:numPr>
        <w:ilvl w:val="1"/>
        <w:numId w:val="32"/>
      </w:numPr>
      <w:tabs>
        <w:tab w:val="num" w:pos="360"/>
        <w:tab w:val="num" w:pos="1080"/>
      </w:tabs>
      <w:spacing w:before="80" w:line="259" w:lineRule="auto"/>
      <w:ind w:left="1080" w:hanging="360"/>
      <w:contextualSpacing w:val="0"/>
    </w:pPr>
    <w:rPr>
      <w:rFonts w:asciiTheme="minorHAnsi" w:hAnsiTheme="minorHAnsi"/>
      <w:sz w:val="20"/>
      <w:szCs w:val="24"/>
    </w:rPr>
  </w:style>
  <w:style w:type="paragraph" w:styleId="List2">
    <w:name w:val="List 2"/>
    <w:basedOn w:val="Normal"/>
    <w:uiPriority w:val="99"/>
    <w:semiHidden/>
    <w:unhideWhenUsed/>
    <w:rsid w:val="0092550B"/>
    <w:pPr>
      <w:ind w:left="566" w:hanging="283"/>
      <w:contextualSpacing/>
    </w:pPr>
  </w:style>
  <w:style w:type="paragraph" w:styleId="BlockText">
    <w:name w:val="Block Text"/>
    <w:basedOn w:val="BodyText"/>
    <w:next w:val="BodyText"/>
    <w:uiPriority w:val="99"/>
    <w:semiHidden/>
    <w:rsid w:val="004841E5"/>
    <w:pPr>
      <w:spacing w:before="180" w:after="0" w:line="259" w:lineRule="auto"/>
      <w:ind w:left="1440" w:right="1440"/>
    </w:pPr>
    <w:rPr>
      <w:rFonts w:asciiTheme="minorHAnsi" w:hAnsiTheme="minorHAns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List Bullet 2" w:uiPriority="3"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BodyText">
    <w:name w:val="Body Text"/>
    <w:basedOn w:val="Normal"/>
    <w:link w:val="BodyTextChar"/>
    <w:uiPriority w:val="99"/>
    <w:unhideWhenUsed/>
    <w:rsid w:val="00461479"/>
    <w:pPr>
      <w:spacing w:after="120"/>
    </w:pPr>
  </w:style>
  <w:style w:type="character" w:customStyle="1" w:styleId="BodyTextChar">
    <w:name w:val="Body Text Char"/>
    <w:basedOn w:val="DefaultParagraphFont"/>
    <w:link w:val="BodyText"/>
    <w:uiPriority w:val="99"/>
    <w:rsid w:val="00461479"/>
    <w:rPr>
      <w:rFonts w:eastAsia="Times New Roman"/>
      <w:sz w:val="24"/>
      <w:szCs w:val="20"/>
    </w:rPr>
  </w:style>
  <w:style w:type="table" w:styleId="TableGrid">
    <w:name w:val="Table Grid"/>
    <w:basedOn w:val="TableNormal"/>
    <w:uiPriority w:val="59"/>
    <w:locked/>
    <w:rsid w:val="0051144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511440"/>
    <w:rPr>
      <w:rFonts w:ascii="Arial Narrow" w:hAnsi="Arial Narrow"/>
      <w:sz w:val="20"/>
      <w:szCs w:val="24"/>
      <w:lang w:eastAsia="en-US"/>
    </w:rPr>
  </w:style>
  <w:style w:type="character" w:customStyle="1" w:styleId="TabletextChar">
    <w:name w:val="Table text Char"/>
    <w:basedOn w:val="DefaultParagraphFont"/>
    <w:link w:val="Tabletext"/>
    <w:rsid w:val="00511440"/>
    <w:rPr>
      <w:rFonts w:ascii="Arial Narrow" w:eastAsia="Times New Roman" w:hAnsi="Arial Narrow"/>
      <w:sz w:val="20"/>
      <w:szCs w:val="24"/>
      <w:lang w:eastAsia="en-US"/>
    </w:rPr>
  </w:style>
  <w:style w:type="paragraph" w:styleId="ListBullet2">
    <w:name w:val="List Bullet 2"/>
    <w:basedOn w:val="List2"/>
    <w:uiPriority w:val="3"/>
    <w:qFormat/>
    <w:rsid w:val="0092550B"/>
    <w:pPr>
      <w:keepLines/>
      <w:numPr>
        <w:ilvl w:val="1"/>
        <w:numId w:val="32"/>
      </w:numPr>
      <w:tabs>
        <w:tab w:val="num" w:pos="360"/>
        <w:tab w:val="num" w:pos="1080"/>
      </w:tabs>
      <w:spacing w:before="80" w:line="259" w:lineRule="auto"/>
      <w:ind w:left="1080" w:hanging="360"/>
      <w:contextualSpacing w:val="0"/>
    </w:pPr>
    <w:rPr>
      <w:rFonts w:asciiTheme="minorHAnsi" w:hAnsiTheme="minorHAnsi"/>
      <w:sz w:val="20"/>
      <w:szCs w:val="24"/>
    </w:rPr>
  </w:style>
  <w:style w:type="paragraph" w:styleId="List2">
    <w:name w:val="List 2"/>
    <w:basedOn w:val="Normal"/>
    <w:uiPriority w:val="99"/>
    <w:semiHidden/>
    <w:unhideWhenUsed/>
    <w:rsid w:val="0092550B"/>
    <w:pPr>
      <w:ind w:left="566" w:hanging="283"/>
      <w:contextualSpacing/>
    </w:pPr>
  </w:style>
  <w:style w:type="paragraph" w:styleId="BlockText">
    <w:name w:val="Block Text"/>
    <w:basedOn w:val="BodyText"/>
    <w:next w:val="BodyText"/>
    <w:uiPriority w:val="99"/>
    <w:semiHidden/>
    <w:rsid w:val="004841E5"/>
    <w:pPr>
      <w:spacing w:before="180" w:after="0" w:line="259" w:lineRule="auto"/>
      <w:ind w:left="1440" w:right="1440"/>
    </w:pPr>
    <w:rPr>
      <w:rFonts w:asciiTheme="minorHAnsi" w:hAnsi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1392-publi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da.gov/downloads/AdvisoryCommittees/CommitteesMeetingMaterials/Drugs/DermatologicandOphthalmicDrugsAdvisoryCommittee/UCM43502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392-publi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48D1-1DC3-4725-995B-8F5E5C54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4841</Words>
  <Characters>27153</Characters>
  <Application>Microsoft Office Word</Application>
  <DocSecurity>0</DocSecurity>
  <Lines>226</Lines>
  <Paragraphs>63</Paragraphs>
  <ScaleCrop>false</ScaleCrop>
  <Company/>
  <LinksUpToDate>false</LinksUpToDate>
  <CharactersWithSpaces>31931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1392-FinalPSD-April2017-accessible</dc:title>
  <dc:creator/>
  <cp:lastModifiedBy/>
  <cp:revision>1</cp:revision>
  <dcterms:created xsi:type="dcterms:W3CDTF">2017-06-20T05:43:00Z</dcterms:created>
  <dcterms:modified xsi:type="dcterms:W3CDTF">2017-06-20T05:44:00Z</dcterms:modified>
</cp:coreProperties>
</file>