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11E4A" w14:textId="77777777" w:rsidR="00BC1364" w:rsidRPr="00707064" w:rsidRDefault="00C67DD2" w:rsidP="00E37FEE">
      <w:pPr>
        <w:spacing w:after="240"/>
        <w:jc w:val="center"/>
        <w:rPr>
          <w:b/>
          <w:i/>
          <w:szCs w:val="24"/>
          <w:highlight w:val="yellow"/>
        </w:rPr>
      </w:pPr>
      <w:r>
        <w:rPr>
          <w:rFonts w:ascii="Arial" w:hAnsi="Arial" w:cs="Arial"/>
          <w:b/>
          <w:noProof/>
          <w:color w:val="000080"/>
          <w:sz w:val="28"/>
          <w:szCs w:val="28"/>
        </w:rPr>
        <w:drawing>
          <wp:inline distT="0" distB="0" distL="0" distR="0" wp14:anchorId="17C78A33" wp14:editId="5D0D96D9">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DB0550A" w14:textId="77777777" w:rsidR="00BC1364" w:rsidRPr="00E563A0" w:rsidRDefault="00BF479B" w:rsidP="00E563A0">
      <w:pPr>
        <w:pStyle w:val="Title"/>
      </w:pPr>
      <w:r w:rsidRPr="00E563A0">
        <w:t>Public Summary Document</w:t>
      </w:r>
    </w:p>
    <w:p w14:paraId="76694C09" w14:textId="77777777" w:rsidR="00BC1364" w:rsidRPr="00E563A0" w:rsidRDefault="00BC1364" w:rsidP="00E563A0">
      <w:pPr>
        <w:pStyle w:val="Subtitle"/>
      </w:pPr>
      <w:r w:rsidRPr="00E563A0">
        <w:t xml:space="preserve">Application No. </w:t>
      </w:r>
      <w:r w:rsidR="00B9099B" w:rsidRPr="00E563A0">
        <w:t>1</w:t>
      </w:r>
      <w:r w:rsidR="00833EA2" w:rsidRPr="00E563A0">
        <w:t>39</w:t>
      </w:r>
      <w:r w:rsidR="00EF60DD" w:rsidRPr="00E563A0">
        <w:t>2</w:t>
      </w:r>
      <w:r w:rsidRPr="00E563A0">
        <w:t xml:space="preserve"> – </w:t>
      </w:r>
      <w:r w:rsidR="00C00794" w:rsidRPr="00E563A0">
        <w:t>Corneal Collagen Cross Linking as early intervention in progressive keratoconus</w:t>
      </w:r>
    </w:p>
    <w:p w14:paraId="50BBDDE4" w14:textId="77777777" w:rsidR="00BC1364" w:rsidRPr="00A8163B" w:rsidRDefault="00B35595" w:rsidP="00E37FEE">
      <w:pPr>
        <w:spacing w:after="240"/>
        <w:ind w:left="3600" w:hanging="3600"/>
        <w:rPr>
          <w:rStyle w:val="Strong"/>
        </w:rPr>
      </w:pPr>
      <w:r w:rsidRPr="00A8163B">
        <w:rPr>
          <w:rStyle w:val="Strong"/>
        </w:rPr>
        <w:t>Applicant</w:t>
      </w:r>
      <w:r w:rsidR="00BC1364" w:rsidRPr="00A8163B">
        <w:rPr>
          <w:rStyle w:val="Strong"/>
        </w:rPr>
        <w:t>:</w:t>
      </w:r>
      <w:r w:rsidR="00BC1364" w:rsidRPr="00A8163B">
        <w:rPr>
          <w:rStyle w:val="Strong"/>
        </w:rPr>
        <w:tab/>
      </w:r>
      <w:r w:rsidR="00EF60DD" w:rsidRPr="00A8163B">
        <w:rPr>
          <w:rStyle w:val="Strong"/>
        </w:rPr>
        <w:t>Royal Australian and New Zealand College of Ophthalmologists (RANZCO)</w:t>
      </w:r>
    </w:p>
    <w:p w14:paraId="6F6DDFED" w14:textId="77777777" w:rsidR="00BC1364" w:rsidRPr="00A8163B" w:rsidRDefault="00BC1364" w:rsidP="00E37FEE">
      <w:pPr>
        <w:spacing w:after="240"/>
        <w:rPr>
          <w:rStyle w:val="Strong"/>
        </w:rPr>
      </w:pPr>
      <w:r w:rsidRPr="00A8163B">
        <w:rPr>
          <w:rStyle w:val="Strong"/>
        </w:rPr>
        <w:t>Date of MSAC consideration:</w:t>
      </w:r>
      <w:r w:rsidRPr="00A8163B">
        <w:rPr>
          <w:rStyle w:val="Strong"/>
        </w:rPr>
        <w:tab/>
      </w:r>
      <w:r w:rsidR="00C67DD2" w:rsidRPr="00A8163B">
        <w:rPr>
          <w:rStyle w:val="Strong"/>
        </w:rPr>
        <w:t xml:space="preserve">MSAC </w:t>
      </w:r>
      <w:r w:rsidR="00B35595" w:rsidRPr="00A8163B">
        <w:rPr>
          <w:rStyle w:val="Strong"/>
        </w:rPr>
        <w:t>6</w:t>
      </w:r>
      <w:r w:rsidR="00EB6B6F" w:rsidRPr="00A8163B">
        <w:rPr>
          <w:rStyle w:val="Strong"/>
        </w:rPr>
        <w:t xml:space="preserve">7th </w:t>
      </w:r>
      <w:r w:rsidRPr="00A8163B">
        <w:rPr>
          <w:rStyle w:val="Strong"/>
        </w:rPr>
        <w:t xml:space="preserve">Meeting, </w:t>
      </w:r>
      <w:r w:rsidR="00B35595" w:rsidRPr="00A8163B">
        <w:rPr>
          <w:rStyle w:val="Strong"/>
        </w:rPr>
        <w:t>2</w:t>
      </w:r>
      <w:r w:rsidR="00EB6B6F" w:rsidRPr="00A8163B">
        <w:rPr>
          <w:rStyle w:val="Strong"/>
        </w:rPr>
        <w:t>8</w:t>
      </w:r>
      <w:r w:rsidR="00B35595" w:rsidRPr="00A8163B">
        <w:rPr>
          <w:rStyle w:val="Strong"/>
        </w:rPr>
        <w:t>-2</w:t>
      </w:r>
      <w:r w:rsidR="00EB6B6F" w:rsidRPr="00A8163B">
        <w:rPr>
          <w:rStyle w:val="Strong"/>
        </w:rPr>
        <w:t>9</w:t>
      </w:r>
      <w:r w:rsidR="00B35595" w:rsidRPr="00A8163B">
        <w:rPr>
          <w:rStyle w:val="Strong"/>
        </w:rPr>
        <w:t xml:space="preserve"> </w:t>
      </w:r>
      <w:r w:rsidR="00EB6B6F" w:rsidRPr="00A8163B">
        <w:rPr>
          <w:rStyle w:val="Strong"/>
        </w:rPr>
        <w:t>July 2016</w:t>
      </w:r>
    </w:p>
    <w:p w14:paraId="7CF8D8D6" w14:textId="4D1AEC5A" w:rsidR="00227B0F" w:rsidRPr="00227B0F" w:rsidRDefault="006A0D97" w:rsidP="00E37FEE">
      <w:pPr>
        <w:spacing w:after="240"/>
        <w:rPr>
          <w:color w:val="0000FF"/>
          <w:szCs w:val="24"/>
          <w:u w:val="single"/>
        </w:rPr>
      </w:pPr>
      <w:r>
        <w:rPr>
          <w:szCs w:val="24"/>
        </w:rPr>
        <w:t xml:space="preserve">Context for decision: MSAC makes its advice in accordance with its Terms of Reference, see at </w:t>
      </w:r>
      <w:hyperlink r:id="rId10" w:history="1">
        <w:r w:rsidR="00E563A0" w:rsidRPr="00E563A0">
          <w:rPr>
            <w:rStyle w:val="Hyperlink"/>
            <w:szCs w:val="24"/>
          </w:rPr>
          <w:t>MSAC Website</w:t>
        </w:r>
      </w:hyperlink>
    </w:p>
    <w:p w14:paraId="36C3EB1F" w14:textId="77777777" w:rsidR="003D7F29" w:rsidRPr="00A8163B" w:rsidRDefault="003D7F29" w:rsidP="00A8163B">
      <w:pPr>
        <w:pStyle w:val="Heading1"/>
      </w:pPr>
      <w:r w:rsidRPr="00A8163B">
        <w:t>Purpose of application</w:t>
      </w:r>
      <w:r w:rsidR="00822C7E" w:rsidRPr="00A8163B">
        <w:t xml:space="preserve"> and links to other applications</w:t>
      </w:r>
    </w:p>
    <w:p w14:paraId="0C7AA144" w14:textId="57D9E1AD" w:rsidR="003D7F29" w:rsidRPr="00E37FEE" w:rsidRDefault="00E37FEE" w:rsidP="00E37FEE">
      <w:pPr>
        <w:spacing w:after="240"/>
      </w:pPr>
      <w:r>
        <w:rPr>
          <w:color w:val="000000"/>
        </w:rPr>
        <w:t>A</w:t>
      </w:r>
      <w:r w:rsidR="00C00794">
        <w:rPr>
          <w:color w:val="000000"/>
        </w:rPr>
        <w:t>n application requesting a</w:t>
      </w:r>
      <w:r w:rsidR="00C00794" w:rsidRPr="004803FE">
        <w:rPr>
          <w:color w:val="000000"/>
        </w:rPr>
        <w:t xml:space="preserve"> new M</w:t>
      </w:r>
      <w:r w:rsidR="00C00794">
        <w:rPr>
          <w:color w:val="000000"/>
        </w:rPr>
        <w:t xml:space="preserve">edicare </w:t>
      </w:r>
      <w:r w:rsidR="00C00794" w:rsidRPr="004803FE">
        <w:rPr>
          <w:color w:val="000000"/>
        </w:rPr>
        <w:t>B</w:t>
      </w:r>
      <w:r w:rsidR="00C00794">
        <w:rPr>
          <w:color w:val="000000"/>
        </w:rPr>
        <w:t xml:space="preserve">enefit </w:t>
      </w:r>
      <w:r w:rsidR="00C00794" w:rsidRPr="004803FE">
        <w:rPr>
          <w:color w:val="000000"/>
        </w:rPr>
        <w:t>S</w:t>
      </w:r>
      <w:r w:rsidR="00C00794">
        <w:rPr>
          <w:color w:val="000000"/>
        </w:rPr>
        <w:t>chedule (MBS)</w:t>
      </w:r>
      <w:r w:rsidR="00C00794" w:rsidRPr="004803FE">
        <w:rPr>
          <w:color w:val="000000"/>
        </w:rPr>
        <w:t xml:space="preserve"> listing of </w:t>
      </w:r>
      <w:r w:rsidR="00C00794" w:rsidRPr="00784BAD">
        <w:rPr>
          <w:szCs w:val="24"/>
        </w:rPr>
        <w:t>C</w:t>
      </w:r>
      <w:r w:rsidR="00F375CA">
        <w:rPr>
          <w:szCs w:val="24"/>
        </w:rPr>
        <w:t>orneal Collagen Cross Linking (</w:t>
      </w:r>
      <w:r w:rsidR="00182148">
        <w:rPr>
          <w:szCs w:val="24"/>
        </w:rPr>
        <w:t>CCXL</w:t>
      </w:r>
      <w:r w:rsidR="00C00794" w:rsidRPr="00784BAD">
        <w:rPr>
          <w:szCs w:val="24"/>
        </w:rPr>
        <w:t xml:space="preserve">) </w:t>
      </w:r>
      <w:r w:rsidR="00C00794" w:rsidRPr="00C00794">
        <w:rPr>
          <w:szCs w:val="24"/>
        </w:rPr>
        <w:t xml:space="preserve">as early intervention in progressive keratoconus </w:t>
      </w:r>
      <w:r w:rsidR="00C00794">
        <w:t>was received by the Department of Health from RANZCO</w:t>
      </w:r>
      <w:r w:rsidR="00C00794" w:rsidRPr="004803FE">
        <w:t>.</w:t>
      </w:r>
    </w:p>
    <w:p w14:paraId="4B11A283" w14:textId="457EA1E8" w:rsidR="00E977EE" w:rsidRPr="00A8163B" w:rsidRDefault="00E977EE" w:rsidP="00A8163B">
      <w:pPr>
        <w:pStyle w:val="Heading1"/>
      </w:pPr>
      <w:r w:rsidRPr="00A8163B">
        <w:t>MSAC’s advice to the Minister</w:t>
      </w:r>
    </w:p>
    <w:p w14:paraId="1ED169C7" w14:textId="26162131" w:rsidR="00D14EAB" w:rsidRPr="00D14EAB" w:rsidRDefault="00D14EAB" w:rsidP="00E37FEE">
      <w:pPr>
        <w:spacing w:after="240"/>
        <w:rPr>
          <w:szCs w:val="24"/>
        </w:rPr>
      </w:pPr>
      <w:r w:rsidRPr="00D14EAB">
        <w:rPr>
          <w:szCs w:val="24"/>
        </w:rPr>
        <w:t>After considering the available evidence presented in relation to safe</w:t>
      </w:r>
      <w:r w:rsidR="00182148">
        <w:rPr>
          <w:szCs w:val="24"/>
        </w:rPr>
        <w:t xml:space="preserve">ty, clinical effectiveness and </w:t>
      </w:r>
      <w:r w:rsidRPr="00D14EAB">
        <w:rPr>
          <w:szCs w:val="24"/>
        </w:rPr>
        <w:t xml:space="preserve">cost effectiveness, MSAC deferred </w:t>
      </w:r>
      <w:r w:rsidR="00D01A07">
        <w:rPr>
          <w:szCs w:val="24"/>
        </w:rPr>
        <w:t xml:space="preserve">its advice to the Minister on </w:t>
      </w:r>
      <w:r w:rsidRPr="00D14EAB">
        <w:rPr>
          <w:szCs w:val="24"/>
        </w:rPr>
        <w:t xml:space="preserve">public funding for </w:t>
      </w:r>
      <w:r w:rsidR="00182148">
        <w:rPr>
          <w:szCs w:val="24"/>
        </w:rPr>
        <w:t>CCXL</w:t>
      </w:r>
      <w:r w:rsidRPr="00D14EAB">
        <w:rPr>
          <w:szCs w:val="24"/>
        </w:rPr>
        <w:t xml:space="preserve"> in patients with corneal ectatic disorders due to concerns that the revised economic model had not been adequately verified and that the riboflavin drops used in rendering this service were not registered on the Australian Register of Therapeutic Goods (ARTG). </w:t>
      </w:r>
    </w:p>
    <w:p w14:paraId="62D3B927" w14:textId="77777777" w:rsidR="00D14EAB" w:rsidRPr="00D14EAB" w:rsidRDefault="00D14EAB" w:rsidP="00E37FEE">
      <w:pPr>
        <w:spacing w:after="240"/>
        <w:rPr>
          <w:szCs w:val="24"/>
        </w:rPr>
      </w:pPr>
      <w:r w:rsidRPr="00D14EAB">
        <w:rPr>
          <w:szCs w:val="24"/>
        </w:rPr>
        <w:t>MSAC requested the following information to enable it to finalise its advice:</w:t>
      </w:r>
    </w:p>
    <w:p w14:paraId="6F730068" w14:textId="77777777" w:rsidR="00D14EAB" w:rsidRPr="00D14EAB" w:rsidRDefault="00D14EAB" w:rsidP="00E37FEE">
      <w:pPr>
        <w:pStyle w:val="ListParagraph"/>
        <w:numPr>
          <w:ilvl w:val="0"/>
          <w:numId w:val="41"/>
        </w:numPr>
        <w:spacing w:after="240"/>
        <w:ind w:left="318" w:hanging="219"/>
        <w:rPr>
          <w:szCs w:val="24"/>
        </w:rPr>
      </w:pPr>
      <w:r w:rsidRPr="00D14EAB">
        <w:rPr>
          <w:szCs w:val="24"/>
        </w:rPr>
        <w:t xml:space="preserve">a more detailed rationale for the proposed fee, including the range of applicable protocols to render the service, </w:t>
      </w:r>
      <w:r w:rsidR="00F03659">
        <w:rPr>
          <w:szCs w:val="24"/>
        </w:rPr>
        <w:t xml:space="preserve">and how these </w:t>
      </w:r>
      <w:r w:rsidRPr="00D14EAB">
        <w:rPr>
          <w:szCs w:val="24"/>
        </w:rPr>
        <w:t>range in both complexity and duration</w:t>
      </w:r>
    </w:p>
    <w:p w14:paraId="29E37D8F" w14:textId="77777777" w:rsidR="00D14EAB" w:rsidRPr="00D14EAB" w:rsidRDefault="00D14EAB" w:rsidP="00E37FEE">
      <w:pPr>
        <w:pStyle w:val="ListParagraph"/>
        <w:numPr>
          <w:ilvl w:val="0"/>
          <w:numId w:val="41"/>
        </w:numPr>
        <w:spacing w:after="240"/>
        <w:ind w:left="318" w:hanging="219"/>
        <w:rPr>
          <w:szCs w:val="24"/>
        </w:rPr>
      </w:pPr>
      <w:r w:rsidRPr="00D14EAB">
        <w:rPr>
          <w:szCs w:val="24"/>
        </w:rPr>
        <w:t>an assessment by its Evaluation Sub-Committee (ESC) comparing the revised modelled economic evaluation with the version initially developed, and examining the sensitivity of these models to variations in the proposed fee</w:t>
      </w:r>
    </w:p>
    <w:p w14:paraId="1754A075" w14:textId="77777777" w:rsidR="006263B1" w:rsidRDefault="00D14EAB" w:rsidP="00E37FEE">
      <w:pPr>
        <w:pStyle w:val="ListParagraph"/>
        <w:numPr>
          <w:ilvl w:val="0"/>
          <w:numId w:val="41"/>
        </w:numPr>
        <w:spacing w:after="240"/>
        <w:ind w:left="318" w:hanging="219"/>
        <w:rPr>
          <w:szCs w:val="24"/>
        </w:rPr>
      </w:pPr>
      <w:r w:rsidRPr="00D14EAB">
        <w:rPr>
          <w:szCs w:val="24"/>
        </w:rPr>
        <w:t xml:space="preserve">clarification from the Therapeutic Goods Administration (TGA) regarding the consequences of the varying regulatory status of the </w:t>
      </w:r>
      <w:r w:rsidR="00D01A07">
        <w:rPr>
          <w:szCs w:val="24"/>
        </w:rPr>
        <w:t xml:space="preserve">codependent </w:t>
      </w:r>
      <w:r w:rsidRPr="00D14EAB">
        <w:rPr>
          <w:szCs w:val="24"/>
        </w:rPr>
        <w:t xml:space="preserve">ultraviolet lamp device and the </w:t>
      </w:r>
      <w:r w:rsidR="00D01A07">
        <w:rPr>
          <w:szCs w:val="24"/>
        </w:rPr>
        <w:t xml:space="preserve">various </w:t>
      </w:r>
      <w:r w:rsidRPr="00D14EAB">
        <w:rPr>
          <w:szCs w:val="24"/>
        </w:rPr>
        <w:t>riboflavin eye drop</w:t>
      </w:r>
      <w:r w:rsidR="00D01A07">
        <w:rPr>
          <w:szCs w:val="24"/>
        </w:rPr>
        <w:t xml:space="preserve"> options</w:t>
      </w:r>
      <w:r w:rsidR="00F479DE">
        <w:rPr>
          <w:szCs w:val="24"/>
        </w:rPr>
        <w:t xml:space="preserve"> used in rendering the service</w:t>
      </w:r>
    </w:p>
    <w:p w14:paraId="249C6340" w14:textId="77777777" w:rsidR="00F03659" w:rsidRDefault="002C2135" w:rsidP="00E37FEE">
      <w:pPr>
        <w:pStyle w:val="ListParagraph"/>
        <w:numPr>
          <w:ilvl w:val="0"/>
          <w:numId w:val="41"/>
        </w:numPr>
        <w:spacing w:after="240"/>
        <w:ind w:left="318" w:hanging="219"/>
        <w:rPr>
          <w:szCs w:val="24"/>
        </w:rPr>
      </w:pPr>
      <w:r w:rsidRPr="00D14EAB">
        <w:rPr>
          <w:szCs w:val="24"/>
        </w:rPr>
        <w:t>MSAC</w:t>
      </w:r>
      <w:r>
        <w:rPr>
          <w:szCs w:val="24"/>
        </w:rPr>
        <w:t xml:space="preserve"> noted</w:t>
      </w:r>
      <w:r w:rsidRPr="00D14EAB">
        <w:rPr>
          <w:szCs w:val="24"/>
        </w:rPr>
        <w:t xml:space="preserve"> reports that several large well-designed clinical trials due to report in 2016–17 have discontinued their control arms.</w:t>
      </w:r>
      <w:r>
        <w:rPr>
          <w:szCs w:val="24"/>
        </w:rPr>
        <w:t xml:space="preserve">  Any further assessment of this application may want to address the progress of those trials</w:t>
      </w:r>
      <w:r w:rsidR="00F03659" w:rsidRPr="00D14EAB">
        <w:rPr>
          <w:szCs w:val="24"/>
        </w:rPr>
        <w:t>.</w:t>
      </w:r>
    </w:p>
    <w:p w14:paraId="54743357" w14:textId="09A9FADA" w:rsidR="006263B1" w:rsidRDefault="00F03659" w:rsidP="00E37FEE">
      <w:pPr>
        <w:pStyle w:val="ListParagraph"/>
        <w:numPr>
          <w:ilvl w:val="0"/>
          <w:numId w:val="41"/>
        </w:numPr>
        <w:spacing w:after="240"/>
        <w:ind w:left="318" w:hanging="219"/>
        <w:rPr>
          <w:szCs w:val="24"/>
        </w:rPr>
      </w:pPr>
      <w:r>
        <w:rPr>
          <w:szCs w:val="24"/>
        </w:rPr>
        <w:t>Data cited in the pre-MSAC response said to be available in patients with ectasias other than keratoconus.</w:t>
      </w:r>
      <w:r w:rsidR="00E37FEE">
        <w:rPr>
          <w:szCs w:val="24"/>
        </w:rPr>
        <w:t xml:space="preserve"> </w:t>
      </w:r>
    </w:p>
    <w:p w14:paraId="590937CA" w14:textId="77777777" w:rsidR="00E37FEE" w:rsidRPr="00E37FEE" w:rsidRDefault="00E37FEE" w:rsidP="00E37FEE">
      <w:pPr>
        <w:spacing w:after="240"/>
        <w:ind w:left="99"/>
        <w:rPr>
          <w:szCs w:val="24"/>
        </w:rPr>
      </w:pPr>
    </w:p>
    <w:p w14:paraId="74CEFE68" w14:textId="1294AEB9" w:rsidR="00550354" w:rsidRPr="00A8163B" w:rsidRDefault="00550354" w:rsidP="00A8163B">
      <w:pPr>
        <w:pStyle w:val="Heading1"/>
      </w:pPr>
      <w:r w:rsidRPr="00A8163B">
        <w:lastRenderedPageBreak/>
        <w:t xml:space="preserve">Summary of consideration and rationale for MSAC’s advice </w:t>
      </w:r>
    </w:p>
    <w:p w14:paraId="3A17C2D1" w14:textId="3A041B75" w:rsidR="00D14EAB" w:rsidRPr="00D14EAB" w:rsidRDefault="00182148" w:rsidP="00E37FEE">
      <w:pPr>
        <w:spacing w:after="240"/>
        <w:rPr>
          <w:szCs w:val="24"/>
        </w:rPr>
      </w:pPr>
      <w:r>
        <w:rPr>
          <w:szCs w:val="24"/>
        </w:rPr>
        <w:t>CCXL</w:t>
      </w:r>
      <w:r w:rsidR="00D14EAB" w:rsidRPr="00D14EAB">
        <w:rPr>
          <w:szCs w:val="24"/>
        </w:rPr>
        <w:t xml:space="preserve"> is a novel treatment claimed to halt progression of corneal ectasia (bulging of the cornea that can cause significant visual impairment). Treatment involves soaking of the cornea with a solution of riboflavin 0.1% and dextran. An ultraviolet A light source is then shone onto the cornea. This increases inter molecular bonds between collagen fibres and stiffens the cornea reducing the risk of ectasia progression.  </w:t>
      </w:r>
    </w:p>
    <w:p w14:paraId="6AB8E18F" w14:textId="6CFFB08B" w:rsidR="00D14EAB" w:rsidRPr="00D14EAB" w:rsidRDefault="00D14EAB" w:rsidP="00E37FEE">
      <w:pPr>
        <w:spacing w:after="240"/>
        <w:rPr>
          <w:szCs w:val="24"/>
        </w:rPr>
      </w:pPr>
      <w:r w:rsidRPr="00D14EAB">
        <w:rPr>
          <w:szCs w:val="24"/>
        </w:rPr>
        <w:t xml:space="preserve">The intended use of </w:t>
      </w:r>
      <w:r w:rsidR="00182148">
        <w:rPr>
          <w:szCs w:val="24"/>
        </w:rPr>
        <w:t>CCXL</w:t>
      </w:r>
      <w:r w:rsidRPr="00D14EAB">
        <w:rPr>
          <w:szCs w:val="24"/>
        </w:rPr>
        <w:t xml:space="preserve"> is in patients with corneal ectatic disorders with evidence of disease progression. Keratoconus accounts for approximately 90% of these disorders, with an estimated prevalence of one in 2000, or 0.05% of the population. The onset of keratoconus can occur anywhere between the ages of 8 and 45</w:t>
      </w:r>
      <w:r w:rsidR="00D01A07">
        <w:rPr>
          <w:szCs w:val="24"/>
        </w:rPr>
        <w:t>years</w:t>
      </w:r>
      <w:r w:rsidRPr="00D14EAB">
        <w:rPr>
          <w:szCs w:val="24"/>
        </w:rPr>
        <w:t>, with the majority of cases o</w:t>
      </w:r>
      <w:r w:rsidR="00376575">
        <w:rPr>
          <w:szCs w:val="24"/>
        </w:rPr>
        <w:t>ccurring in patients aged 16-30</w:t>
      </w:r>
      <w:r w:rsidRPr="00D14EAB">
        <w:rPr>
          <w:szCs w:val="24"/>
        </w:rPr>
        <w:t xml:space="preserve">years of age. MSAC acknowledged the consumer feedback from the consultation process highlighting the value patients with these disorders place on reducing progression of visual impairment. </w:t>
      </w:r>
    </w:p>
    <w:p w14:paraId="3731D6C0" w14:textId="2824AD53" w:rsidR="00D14EAB" w:rsidRPr="00D14EAB" w:rsidRDefault="00D14EAB" w:rsidP="00E37FEE">
      <w:pPr>
        <w:spacing w:after="240"/>
        <w:rPr>
          <w:szCs w:val="24"/>
        </w:rPr>
      </w:pPr>
      <w:r w:rsidRPr="00D14EAB">
        <w:rPr>
          <w:szCs w:val="24"/>
        </w:rPr>
        <w:t>Once progression of a corneal ectatic disorder has been identified, current treatment involves attempting to improve vision firstly with glasses or soft contact lenses before progressing to hard contact lenses. If hard contact lenses cannot be fitted or are unsuitable</w:t>
      </w:r>
      <w:r w:rsidR="00D01A07">
        <w:rPr>
          <w:szCs w:val="24"/>
        </w:rPr>
        <w:t>,</w:t>
      </w:r>
      <w:r w:rsidRPr="00D14EAB">
        <w:rPr>
          <w:szCs w:val="24"/>
        </w:rPr>
        <w:t xml:space="preserve"> the patient may require corneal transplantation. </w:t>
      </w:r>
    </w:p>
    <w:p w14:paraId="72B05361" w14:textId="221A0120" w:rsidR="00D14EAB" w:rsidRPr="00D14EAB" w:rsidRDefault="00D14EAB" w:rsidP="00E37FEE">
      <w:pPr>
        <w:spacing w:after="240"/>
        <w:rPr>
          <w:szCs w:val="24"/>
        </w:rPr>
      </w:pPr>
      <w:r w:rsidRPr="00D14EAB">
        <w:rPr>
          <w:szCs w:val="24"/>
        </w:rPr>
        <w:t xml:space="preserve">MSAC accepted that </w:t>
      </w:r>
      <w:r w:rsidR="00182148">
        <w:rPr>
          <w:szCs w:val="24"/>
        </w:rPr>
        <w:t>CCXL</w:t>
      </w:r>
      <w:r w:rsidRPr="00D14EAB">
        <w:rPr>
          <w:szCs w:val="24"/>
        </w:rPr>
        <w:t xml:space="preserve"> is intended as a first</w:t>
      </w:r>
      <w:r w:rsidR="00D01A07">
        <w:rPr>
          <w:szCs w:val="24"/>
        </w:rPr>
        <w:t>-</w:t>
      </w:r>
      <w:r w:rsidRPr="00D14EAB">
        <w:rPr>
          <w:szCs w:val="24"/>
        </w:rPr>
        <w:t xml:space="preserve">line treatment once there is evidence of disease progression. The proposed treatment pathway utilises </w:t>
      </w:r>
      <w:r w:rsidR="00182148">
        <w:rPr>
          <w:szCs w:val="24"/>
        </w:rPr>
        <w:t>CCXL</w:t>
      </w:r>
      <w:r w:rsidRPr="00D14EAB">
        <w:rPr>
          <w:szCs w:val="24"/>
        </w:rPr>
        <w:t xml:space="preserve"> as preventive treatment (intending to halt the progression of the disease). MSAC</w:t>
      </w:r>
      <w:r w:rsidR="00D01A07">
        <w:rPr>
          <w:szCs w:val="24"/>
        </w:rPr>
        <w:t xml:space="preserve"> therefore</w:t>
      </w:r>
      <w:r w:rsidRPr="00D14EAB">
        <w:rPr>
          <w:szCs w:val="24"/>
        </w:rPr>
        <w:t xml:space="preserve"> considered the</w:t>
      </w:r>
      <w:r w:rsidR="00D01A07">
        <w:rPr>
          <w:szCs w:val="24"/>
        </w:rPr>
        <w:t xml:space="preserve"> early interventions in the</w:t>
      </w:r>
      <w:r w:rsidRPr="00D14EAB">
        <w:rPr>
          <w:szCs w:val="24"/>
        </w:rPr>
        <w:t xml:space="preserve"> current treatment pathway</w:t>
      </w:r>
      <w:r w:rsidR="00D01A07">
        <w:rPr>
          <w:szCs w:val="24"/>
        </w:rPr>
        <w:t xml:space="preserve"> to be the</w:t>
      </w:r>
      <w:r w:rsidRPr="00D14EAB">
        <w:rPr>
          <w:szCs w:val="24"/>
        </w:rPr>
        <w:t xml:space="preserve"> appropriate comparator</w:t>
      </w:r>
      <w:r w:rsidR="00D01A07">
        <w:rPr>
          <w:szCs w:val="24"/>
        </w:rPr>
        <w:t>s</w:t>
      </w:r>
      <w:r w:rsidRPr="00D14EAB">
        <w:rPr>
          <w:szCs w:val="24"/>
        </w:rPr>
        <w:t xml:space="preserve">.  </w:t>
      </w:r>
    </w:p>
    <w:p w14:paraId="2CB1C453" w14:textId="5AA9F666" w:rsidR="00D14EAB" w:rsidRPr="00D14EAB" w:rsidRDefault="00D14EAB" w:rsidP="00E37FEE">
      <w:pPr>
        <w:spacing w:after="240"/>
        <w:rPr>
          <w:szCs w:val="24"/>
        </w:rPr>
      </w:pPr>
      <w:r w:rsidRPr="00D14EAB">
        <w:rPr>
          <w:szCs w:val="24"/>
        </w:rPr>
        <w:t xml:space="preserve">In considering the evidence for efficacy and safety of </w:t>
      </w:r>
      <w:r w:rsidR="00182148">
        <w:rPr>
          <w:szCs w:val="24"/>
        </w:rPr>
        <w:t>CCXL</w:t>
      </w:r>
      <w:r w:rsidR="00F03659">
        <w:rPr>
          <w:szCs w:val="24"/>
        </w:rPr>
        <w:t>,</w:t>
      </w:r>
      <w:r w:rsidRPr="00D14EAB">
        <w:rPr>
          <w:szCs w:val="24"/>
        </w:rPr>
        <w:t xml:space="preserve"> MSAC noted that the few published randomised controlled trials (RCTs) available were small and of low quality. The evidence base presented primarily consisted of non-randomised studies which analysed </w:t>
      </w:r>
      <w:r w:rsidR="00182148">
        <w:rPr>
          <w:szCs w:val="24"/>
        </w:rPr>
        <w:t>CCXL</w:t>
      </w:r>
      <w:r w:rsidRPr="00D14EAB">
        <w:rPr>
          <w:szCs w:val="24"/>
        </w:rPr>
        <w:t xml:space="preserve"> results at various time points after the procedure compared to baseline. Comparisons with the current treatment pathway are therefore either not possible or difficult due to limitations in the quality of the evidence available. MSAC also noted that all evidence available was f</w:t>
      </w:r>
      <w:r w:rsidR="00F479DE">
        <w:rPr>
          <w:szCs w:val="24"/>
        </w:rPr>
        <w:t>or patients with keratoconus. In the pre-MSAC response, the applicant noted that some data were available for other conditions, though these were not included with the response.</w:t>
      </w:r>
    </w:p>
    <w:p w14:paraId="44A4D4C6" w14:textId="4DEE0336" w:rsidR="00D14EAB" w:rsidRPr="00D14EAB" w:rsidRDefault="00D14EAB" w:rsidP="00E37FEE">
      <w:pPr>
        <w:spacing w:after="240"/>
        <w:rPr>
          <w:szCs w:val="24"/>
        </w:rPr>
      </w:pPr>
      <w:r w:rsidRPr="00D14EAB">
        <w:rPr>
          <w:szCs w:val="24"/>
        </w:rPr>
        <w:t xml:space="preserve">Three systematic reviews and meta-analyses (Craig JA et al 2014, Li J et al 2015 and Meiri Z et al 2016) formed the basis of the safety and efficacy effect estimates in the contracted assessment report. These were supplemented with the findings of RCTs and non-randomised studies which had been excluded from or published after these reviews. MSAC noted that the Craig JA et al 2014 review on the safety and efficacy of epithelium-off </w:t>
      </w:r>
      <w:r w:rsidR="00182148">
        <w:rPr>
          <w:szCs w:val="24"/>
        </w:rPr>
        <w:t>CCXL</w:t>
      </w:r>
      <w:r w:rsidRPr="00D14EAB">
        <w:rPr>
          <w:szCs w:val="24"/>
        </w:rPr>
        <w:t xml:space="preserve"> was used as the basis of approval of this </w:t>
      </w:r>
      <w:r w:rsidR="00D01A07">
        <w:rPr>
          <w:szCs w:val="24"/>
        </w:rPr>
        <w:t>intervention</w:t>
      </w:r>
      <w:r w:rsidR="00D01A07" w:rsidRPr="00D14EAB">
        <w:rPr>
          <w:szCs w:val="24"/>
        </w:rPr>
        <w:t xml:space="preserve"> </w:t>
      </w:r>
      <w:r w:rsidRPr="00D14EAB">
        <w:rPr>
          <w:szCs w:val="24"/>
        </w:rPr>
        <w:t xml:space="preserve">in the United Kingdom. MSAC was advised that approval had also been granted in the United States, Europe and New Zealand. </w:t>
      </w:r>
    </w:p>
    <w:p w14:paraId="0C295228" w14:textId="3BB9F476" w:rsidR="00D14EAB" w:rsidRPr="00D14EAB" w:rsidRDefault="00D14EAB" w:rsidP="00E37FEE">
      <w:pPr>
        <w:spacing w:after="240"/>
        <w:rPr>
          <w:szCs w:val="24"/>
        </w:rPr>
      </w:pPr>
      <w:r w:rsidRPr="00D14EAB">
        <w:rPr>
          <w:szCs w:val="24"/>
        </w:rPr>
        <w:t xml:space="preserve">MSAC noted that adverse events and complications after </w:t>
      </w:r>
      <w:r w:rsidR="00182148">
        <w:rPr>
          <w:szCs w:val="24"/>
        </w:rPr>
        <w:t>CCXL</w:t>
      </w:r>
      <w:r w:rsidRPr="00D14EAB">
        <w:rPr>
          <w:szCs w:val="24"/>
        </w:rPr>
        <w:t xml:space="preserve"> </w:t>
      </w:r>
      <w:r w:rsidR="00D01A07">
        <w:rPr>
          <w:szCs w:val="24"/>
        </w:rPr>
        <w:t>we</w:t>
      </w:r>
      <w:r w:rsidRPr="00D14EAB">
        <w:rPr>
          <w:szCs w:val="24"/>
        </w:rPr>
        <w:t xml:space="preserve">re not well reported in </w:t>
      </w:r>
      <w:r w:rsidR="00D01A07">
        <w:rPr>
          <w:szCs w:val="24"/>
        </w:rPr>
        <w:t xml:space="preserve">the </w:t>
      </w:r>
      <w:r w:rsidRPr="00D14EAB">
        <w:rPr>
          <w:szCs w:val="24"/>
        </w:rPr>
        <w:t xml:space="preserve">RCTs and hence there are few comparative safety data available. The contracted assessment indicated that a range of adverse events have been reported with </w:t>
      </w:r>
      <w:r w:rsidR="00182148">
        <w:rPr>
          <w:szCs w:val="24"/>
        </w:rPr>
        <w:t>CCXL</w:t>
      </w:r>
      <w:r w:rsidR="00AC657D">
        <w:rPr>
          <w:szCs w:val="24"/>
        </w:rPr>
        <w:t>,</w:t>
      </w:r>
      <w:r w:rsidRPr="00D14EAB">
        <w:rPr>
          <w:szCs w:val="24"/>
        </w:rPr>
        <w:t xml:space="preserve"> but these </w:t>
      </w:r>
      <w:r w:rsidR="00AC657D">
        <w:rPr>
          <w:szCs w:val="24"/>
        </w:rPr>
        <w:t>we</w:t>
      </w:r>
      <w:r w:rsidRPr="00D14EAB">
        <w:rPr>
          <w:szCs w:val="24"/>
        </w:rPr>
        <w:t>re generally minor and transient in nature. Minor corneal haze was found to be common but was noted to resolve over time. A small number of cases of serious corneal oedema, infection, repeat surgery and stromal scarring were also reported. Despite the lack of direct comparative safety data, MSAC considered that on aggregate it was reasonable to assume from the available evidence that the absolute complication rate arising from the procedure is low.</w:t>
      </w:r>
    </w:p>
    <w:p w14:paraId="71005B41" w14:textId="3CC5A40E" w:rsidR="00D14EAB" w:rsidRPr="00D14EAB" w:rsidRDefault="00D14EAB" w:rsidP="00E37FEE">
      <w:pPr>
        <w:spacing w:after="240"/>
        <w:rPr>
          <w:szCs w:val="24"/>
        </w:rPr>
      </w:pPr>
      <w:r w:rsidRPr="00D14EAB">
        <w:rPr>
          <w:szCs w:val="24"/>
        </w:rPr>
        <w:lastRenderedPageBreak/>
        <w:t>MSAC was however concerned that</w:t>
      </w:r>
      <w:r w:rsidR="00AC657D">
        <w:rPr>
          <w:szCs w:val="24"/>
        </w:rPr>
        <w:t>,</w:t>
      </w:r>
      <w:r w:rsidRPr="00D14EAB">
        <w:rPr>
          <w:szCs w:val="24"/>
        </w:rPr>
        <w:t xml:space="preserve"> while the ultraviolet lamp device</w:t>
      </w:r>
      <w:r w:rsidR="002C2135">
        <w:rPr>
          <w:szCs w:val="24"/>
        </w:rPr>
        <w:t>s are</w:t>
      </w:r>
      <w:r w:rsidR="000A5B70">
        <w:rPr>
          <w:szCs w:val="24"/>
        </w:rPr>
        <w:t xml:space="preserve"> </w:t>
      </w:r>
      <w:r w:rsidR="00AC657D">
        <w:rPr>
          <w:szCs w:val="24"/>
        </w:rPr>
        <w:t>included</w:t>
      </w:r>
      <w:r w:rsidR="00AC657D" w:rsidRPr="00D14EAB">
        <w:rPr>
          <w:szCs w:val="24"/>
        </w:rPr>
        <w:t xml:space="preserve"> </w:t>
      </w:r>
      <w:r w:rsidR="00AC657D">
        <w:rPr>
          <w:szCs w:val="24"/>
        </w:rPr>
        <w:t>i</w:t>
      </w:r>
      <w:r w:rsidRPr="00D14EAB">
        <w:rPr>
          <w:szCs w:val="24"/>
        </w:rPr>
        <w:t>n the ARTG, the 0.1% riboflavin eye drops used in rendering this service are not. The riboflavin drops are accessed via the</w:t>
      </w:r>
      <w:r w:rsidR="00AC657D">
        <w:rPr>
          <w:szCs w:val="24"/>
        </w:rPr>
        <w:t xml:space="preserve"> TGA’s</w:t>
      </w:r>
      <w:r w:rsidRPr="00D14EAB">
        <w:rPr>
          <w:szCs w:val="24"/>
        </w:rPr>
        <w:t xml:space="preserve"> </w:t>
      </w:r>
      <w:r w:rsidR="00402FA7">
        <w:rPr>
          <w:szCs w:val="24"/>
        </w:rPr>
        <w:t>S</w:t>
      </w:r>
      <w:r w:rsidRPr="00D14EAB">
        <w:rPr>
          <w:szCs w:val="24"/>
        </w:rPr>
        <w:t xml:space="preserve">pecial </w:t>
      </w:r>
      <w:r w:rsidR="00402FA7">
        <w:rPr>
          <w:szCs w:val="24"/>
        </w:rPr>
        <w:t>A</w:t>
      </w:r>
      <w:r w:rsidRPr="00D14EAB">
        <w:rPr>
          <w:szCs w:val="24"/>
        </w:rPr>
        <w:t xml:space="preserve">ccess </w:t>
      </w:r>
      <w:r w:rsidR="00402FA7">
        <w:rPr>
          <w:szCs w:val="24"/>
        </w:rPr>
        <w:t>S</w:t>
      </w:r>
      <w:r w:rsidRPr="00D14EAB">
        <w:rPr>
          <w:szCs w:val="24"/>
        </w:rPr>
        <w:t xml:space="preserve">cheme. This means that the quality, safety and efficacy of these drops has not been </w:t>
      </w:r>
      <w:r w:rsidR="00AC657D">
        <w:rPr>
          <w:szCs w:val="24"/>
        </w:rPr>
        <w:t>formally</w:t>
      </w:r>
      <w:r w:rsidR="000A5B70">
        <w:rPr>
          <w:szCs w:val="24"/>
        </w:rPr>
        <w:t xml:space="preserve"> </w:t>
      </w:r>
      <w:r w:rsidR="00402FA7">
        <w:rPr>
          <w:szCs w:val="24"/>
        </w:rPr>
        <w:t>evaluated</w:t>
      </w:r>
      <w:r w:rsidR="00402FA7" w:rsidRPr="00D14EAB">
        <w:rPr>
          <w:szCs w:val="24"/>
        </w:rPr>
        <w:t xml:space="preserve"> </w:t>
      </w:r>
      <w:r w:rsidRPr="00D14EAB">
        <w:rPr>
          <w:szCs w:val="24"/>
        </w:rPr>
        <w:t>by the TGA</w:t>
      </w:r>
      <w:r w:rsidR="00402FA7">
        <w:rPr>
          <w:szCs w:val="24"/>
        </w:rPr>
        <w:t xml:space="preserve"> and places responsibility for use of an unapproved product on the prescribing physician in terms of safety and efficacy</w:t>
      </w:r>
      <w:r w:rsidR="00402FA7" w:rsidRPr="00D14EAB">
        <w:rPr>
          <w:szCs w:val="24"/>
        </w:rPr>
        <w:t xml:space="preserve">. </w:t>
      </w:r>
      <w:r w:rsidR="00402FA7">
        <w:rPr>
          <w:szCs w:val="24"/>
        </w:rPr>
        <w:t>Special access requests are processed by the TGA on a per patient basis, placing an additional administrative burden on the prescriber to obtain the necessary approvals</w:t>
      </w:r>
      <w:r w:rsidRPr="00D14EAB">
        <w:rPr>
          <w:szCs w:val="24"/>
        </w:rPr>
        <w:t xml:space="preserve">. MSAC noted that there have been no adverse events for the riboflavin solution recorded </w:t>
      </w:r>
      <w:r w:rsidR="00AC657D">
        <w:rPr>
          <w:szCs w:val="24"/>
        </w:rPr>
        <w:t>i</w:t>
      </w:r>
      <w:r w:rsidRPr="00D14EAB">
        <w:rPr>
          <w:szCs w:val="24"/>
        </w:rPr>
        <w:t>n the TGA database of adverse event notifications. MSAC requested clarification from the TGA regarding the consequences of the varying regulatory status of these two components of this service.</w:t>
      </w:r>
    </w:p>
    <w:p w14:paraId="35B9C6A3" w14:textId="77777777" w:rsidR="00402FA7" w:rsidRDefault="00D14EAB" w:rsidP="00E37FEE">
      <w:pPr>
        <w:spacing w:after="240"/>
        <w:rPr>
          <w:szCs w:val="24"/>
        </w:rPr>
      </w:pPr>
      <w:r w:rsidRPr="00D14EAB">
        <w:rPr>
          <w:szCs w:val="24"/>
        </w:rPr>
        <w:t xml:space="preserve">In considering the efficacy of </w:t>
      </w:r>
      <w:r w:rsidR="00182148">
        <w:rPr>
          <w:szCs w:val="24"/>
        </w:rPr>
        <w:t>CCXL</w:t>
      </w:r>
      <w:r w:rsidRPr="00D14EAB">
        <w:rPr>
          <w:szCs w:val="24"/>
        </w:rPr>
        <w:t xml:space="preserve">, MSAC was concerned that the presented clinical data did not definitively demonstrate that </w:t>
      </w:r>
      <w:r w:rsidR="00182148">
        <w:rPr>
          <w:szCs w:val="24"/>
        </w:rPr>
        <w:t>CCXL</w:t>
      </w:r>
      <w:r w:rsidRPr="00D14EAB">
        <w:rPr>
          <w:szCs w:val="24"/>
        </w:rPr>
        <w:t xml:space="preserve"> delays the need for a corneal transplant. MSAC recognised that due to the extended period of time between diagnosis and transplant</w:t>
      </w:r>
    </w:p>
    <w:p w14:paraId="0C2ED9CD" w14:textId="3091D975" w:rsidR="00D14EAB" w:rsidRPr="00D14EAB" w:rsidRDefault="00D14EAB" w:rsidP="00E37FEE">
      <w:pPr>
        <w:spacing w:after="240"/>
        <w:rPr>
          <w:szCs w:val="24"/>
        </w:rPr>
      </w:pPr>
      <w:r w:rsidRPr="00D14EAB">
        <w:rPr>
          <w:szCs w:val="24"/>
        </w:rPr>
        <w:t xml:space="preserve">(10–20years) it was unlikely that RCT data answering this question would become available. MSAC noted that two studies which reviewed registry data (Sandvik GF et al 2015, Godefrooij DA et al 2016) indicated that there was a reduction in the number of corneal transplants for patients with keratoconus in the years since the introduction of </w:t>
      </w:r>
      <w:r w:rsidR="00182148">
        <w:rPr>
          <w:szCs w:val="24"/>
        </w:rPr>
        <w:t>CCXL</w:t>
      </w:r>
      <w:r w:rsidRPr="00D14EAB">
        <w:rPr>
          <w:szCs w:val="24"/>
        </w:rPr>
        <w:t>. However, MSAC was concerned that these were observational studies and hence other factors could be driving the reductions seen</w:t>
      </w:r>
      <w:r w:rsidR="00AC657D">
        <w:rPr>
          <w:szCs w:val="24"/>
        </w:rPr>
        <w:t>, for example the time between increases in CCXL and decreases in corneal transplant did not match the plausible time course of disease progression</w:t>
      </w:r>
      <w:r w:rsidRPr="00D14EAB">
        <w:rPr>
          <w:szCs w:val="24"/>
        </w:rPr>
        <w:t xml:space="preserve">. MSAC noted that a </w:t>
      </w:r>
      <w:r w:rsidR="00182148">
        <w:rPr>
          <w:szCs w:val="24"/>
        </w:rPr>
        <w:t>CCXL</w:t>
      </w:r>
      <w:r w:rsidRPr="00D14EAB">
        <w:rPr>
          <w:szCs w:val="24"/>
        </w:rPr>
        <w:t xml:space="preserve"> register has recently been set up at the University </w:t>
      </w:r>
      <w:r w:rsidR="00325996" w:rsidRPr="00D14EAB">
        <w:rPr>
          <w:szCs w:val="24"/>
        </w:rPr>
        <w:t>of</w:t>
      </w:r>
      <w:r w:rsidR="00325996">
        <w:rPr>
          <w:szCs w:val="24"/>
        </w:rPr>
        <w:t xml:space="preserve"> Sydney</w:t>
      </w:r>
      <w:r w:rsidRPr="00D14EAB">
        <w:rPr>
          <w:szCs w:val="24"/>
        </w:rPr>
        <w:t>.</w:t>
      </w:r>
      <w:r w:rsidR="00227B0F" w:rsidRPr="00D14EAB">
        <w:rPr>
          <w:szCs w:val="24"/>
        </w:rPr>
        <w:t xml:space="preserve"> </w:t>
      </w:r>
    </w:p>
    <w:p w14:paraId="7B29ACAF" w14:textId="0ED25694" w:rsidR="00D14EAB" w:rsidRPr="00D14EAB" w:rsidRDefault="00D14EAB" w:rsidP="00E37FEE">
      <w:pPr>
        <w:spacing w:after="240"/>
        <w:rPr>
          <w:szCs w:val="24"/>
        </w:rPr>
      </w:pPr>
      <w:r w:rsidRPr="00D14EAB">
        <w:rPr>
          <w:szCs w:val="24"/>
        </w:rPr>
        <w:t xml:space="preserve">As comparisons with the current treatment pathway were not possible, the efficacy of </w:t>
      </w:r>
      <w:r w:rsidR="00182148">
        <w:rPr>
          <w:szCs w:val="24"/>
        </w:rPr>
        <w:t>CCXL</w:t>
      </w:r>
      <w:r w:rsidRPr="00D14EAB">
        <w:rPr>
          <w:szCs w:val="24"/>
        </w:rPr>
        <w:t xml:space="preserve"> per se was reviewed. MSAC accepted that the evidence available, while limited, does show that </w:t>
      </w:r>
      <w:r w:rsidR="00182148">
        <w:rPr>
          <w:szCs w:val="24"/>
        </w:rPr>
        <w:t>CCXL</w:t>
      </w:r>
      <w:r w:rsidRPr="00D14EAB">
        <w:rPr>
          <w:szCs w:val="24"/>
        </w:rPr>
        <w:t xml:space="preserve"> leads to improvements </w:t>
      </w:r>
      <w:r w:rsidR="00AC657D">
        <w:rPr>
          <w:szCs w:val="24"/>
        </w:rPr>
        <w:t xml:space="preserve">over baseline </w:t>
      </w:r>
      <w:r w:rsidRPr="00D14EAB">
        <w:rPr>
          <w:szCs w:val="24"/>
        </w:rPr>
        <w:t>in corrected visual acuity, uncorrected visual acuity, Kmax and spherical equivalent refractive error. These improvements were maintained over at least 2years with one study (Raiskup F et al 2015) indicating that im</w:t>
      </w:r>
      <w:r w:rsidR="00376575">
        <w:rPr>
          <w:szCs w:val="24"/>
        </w:rPr>
        <w:t>provements remain evident at 10</w:t>
      </w:r>
      <w:r w:rsidRPr="00D14EAB">
        <w:rPr>
          <w:szCs w:val="24"/>
        </w:rPr>
        <w:t xml:space="preserve">years. </w:t>
      </w:r>
    </w:p>
    <w:p w14:paraId="1860505A" w14:textId="36502576" w:rsidR="00D14EAB" w:rsidRPr="00D14EAB" w:rsidRDefault="00D14EAB" w:rsidP="00E37FEE">
      <w:pPr>
        <w:spacing w:after="240"/>
        <w:rPr>
          <w:szCs w:val="24"/>
        </w:rPr>
      </w:pPr>
      <w:r w:rsidRPr="00D14EAB">
        <w:rPr>
          <w:szCs w:val="24"/>
        </w:rPr>
        <w:t>MSAC noted that some additional, but very low quality, data on quality of life (QOL) was also identified, suggesting possible QOL improvements</w:t>
      </w:r>
      <w:r w:rsidR="00AC657D">
        <w:rPr>
          <w:szCs w:val="24"/>
        </w:rPr>
        <w:t xml:space="preserve"> over baseline</w:t>
      </w:r>
      <w:r w:rsidRPr="00D14EAB">
        <w:rPr>
          <w:szCs w:val="24"/>
        </w:rPr>
        <w:t xml:space="preserve"> in those who have undergone </w:t>
      </w:r>
      <w:r w:rsidR="00182148">
        <w:rPr>
          <w:szCs w:val="24"/>
        </w:rPr>
        <w:t>CCXL</w:t>
      </w:r>
      <w:r w:rsidRPr="00D14EAB">
        <w:rPr>
          <w:szCs w:val="24"/>
        </w:rPr>
        <w:t xml:space="preserve"> compared to those with contact lenses.</w:t>
      </w:r>
    </w:p>
    <w:p w14:paraId="454BCAD2" w14:textId="2A856964" w:rsidR="00D14EAB" w:rsidRPr="00D14EAB" w:rsidRDefault="00D14EAB" w:rsidP="00E37FEE">
      <w:pPr>
        <w:spacing w:after="240"/>
        <w:rPr>
          <w:szCs w:val="24"/>
        </w:rPr>
      </w:pPr>
      <w:r w:rsidRPr="00D14EAB">
        <w:rPr>
          <w:szCs w:val="24"/>
        </w:rPr>
        <w:t xml:space="preserve">Scant data pertaining to the use of </w:t>
      </w:r>
      <w:r w:rsidR="00182148">
        <w:rPr>
          <w:szCs w:val="24"/>
        </w:rPr>
        <w:t>CCXL</w:t>
      </w:r>
      <w:r w:rsidRPr="00D14EAB">
        <w:rPr>
          <w:szCs w:val="24"/>
        </w:rPr>
        <w:t xml:space="preserve"> in children and adolescents were evident. MSAC noted that</w:t>
      </w:r>
      <w:r w:rsidR="00AC657D">
        <w:rPr>
          <w:szCs w:val="24"/>
        </w:rPr>
        <w:t>,</w:t>
      </w:r>
      <w:r w:rsidRPr="00D14EAB">
        <w:rPr>
          <w:szCs w:val="24"/>
        </w:rPr>
        <w:t xml:space="preserve"> where the procedure has been attempted in this population, the outcomes have been similar to those for adults or all ages. However, MSAC noted that there was emerging evidence which indicated that the effect of halting disease progression in this population might not be as sustained as in adults (Godefrooij DA et al 2016, Chatzis N and Hafezi F 2012)</w:t>
      </w:r>
      <w:r w:rsidR="00402FA7">
        <w:rPr>
          <w:szCs w:val="24"/>
        </w:rPr>
        <w:t xml:space="preserve"> in particular incidence of disease progression in 22% of treated eyes cited by </w:t>
      </w:r>
      <w:r w:rsidR="00402FA7" w:rsidRPr="00D14EAB">
        <w:rPr>
          <w:szCs w:val="24"/>
        </w:rPr>
        <w:t>Godefrooij DA et al 2016</w:t>
      </w:r>
      <w:r w:rsidRPr="00D14EAB">
        <w:rPr>
          <w:szCs w:val="24"/>
        </w:rPr>
        <w:t>.</w:t>
      </w:r>
      <w:r w:rsidR="00227B0F" w:rsidRPr="00D14EAB">
        <w:rPr>
          <w:szCs w:val="24"/>
        </w:rPr>
        <w:t xml:space="preserve"> </w:t>
      </w:r>
    </w:p>
    <w:p w14:paraId="20B90AA3" w14:textId="67E42F7A" w:rsidR="00D14EAB" w:rsidRPr="00D14EAB" w:rsidRDefault="00D14EAB" w:rsidP="00E37FEE">
      <w:pPr>
        <w:spacing w:after="240"/>
        <w:rPr>
          <w:szCs w:val="24"/>
        </w:rPr>
      </w:pPr>
      <w:r w:rsidRPr="00D14EAB">
        <w:rPr>
          <w:szCs w:val="24"/>
        </w:rPr>
        <w:t xml:space="preserve">MSAC noted that research on </w:t>
      </w:r>
      <w:r w:rsidR="00182148">
        <w:rPr>
          <w:szCs w:val="24"/>
        </w:rPr>
        <w:t>CCXL</w:t>
      </w:r>
      <w:r w:rsidRPr="00D14EAB">
        <w:rPr>
          <w:szCs w:val="24"/>
        </w:rPr>
        <w:t xml:space="preserve"> continues with over 70 trials, primarily focusing on procedure variations, currently registered in clinicaltrials.gov. MSAC considered that it was unlikely that these trials would provide long-term efficacy data as most were to be conducted over a one-year period and involved surrogate outcomes. MSAC was concerned with reports that several large well-designed clinical trials due to report in 2016–17 have discontinued their control arms. MSAC considered that details about the reasons for the premature cessation of these trials may assist in </w:t>
      </w:r>
      <w:r w:rsidR="007F66B0">
        <w:rPr>
          <w:szCs w:val="24"/>
        </w:rPr>
        <w:t>its</w:t>
      </w:r>
      <w:r w:rsidR="007F66B0" w:rsidRPr="00D14EAB">
        <w:rPr>
          <w:szCs w:val="24"/>
        </w:rPr>
        <w:t xml:space="preserve"> </w:t>
      </w:r>
      <w:r w:rsidRPr="00D14EAB">
        <w:rPr>
          <w:szCs w:val="24"/>
        </w:rPr>
        <w:t xml:space="preserve">assessment of the current application. </w:t>
      </w:r>
    </w:p>
    <w:p w14:paraId="40B25395" w14:textId="37FE48A4" w:rsidR="00D14EAB" w:rsidRPr="00D14EAB" w:rsidRDefault="00D14EAB" w:rsidP="00E37FEE">
      <w:pPr>
        <w:spacing w:after="240"/>
        <w:rPr>
          <w:szCs w:val="24"/>
        </w:rPr>
      </w:pPr>
      <w:r w:rsidRPr="00D14EAB">
        <w:rPr>
          <w:szCs w:val="24"/>
        </w:rPr>
        <w:lastRenderedPageBreak/>
        <w:t>MSAC noted that both ESC and the applicant had reviewed the original economic model for this application and raised a number of concerns. A revised economic model was subsequently submitted however the timing did not allow review by ESC or the applicant. MSAC noted that the revised model included inputs to address a number of the issues initially raised. However, MSAC was concerned that variations between the two models indicated the incremental cost per QALY was unstable. MSAC was also unable to determine the extent to which cost effectiveness was driven by avoidance of corneal transplant</w:t>
      </w:r>
      <w:r w:rsidR="007F66B0">
        <w:rPr>
          <w:szCs w:val="24"/>
        </w:rPr>
        <w:t xml:space="preserve"> and requested that the revised economic evaluation enable a comparison with and without inclusion of corneal transplants avoided</w:t>
      </w:r>
      <w:r w:rsidRPr="00D14EAB">
        <w:rPr>
          <w:szCs w:val="24"/>
        </w:rPr>
        <w:t xml:space="preserve">. MSAC noted that the study by Salmon H et al 2015, which was used to inform the structure and assumptions of the revised model, indicated that the effect of </w:t>
      </w:r>
      <w:r w:rsidR="00182148">
        <w:rPr>
          <w:szCs w:val="24"/>
        </w:rPr>
        <w:t>CCXL</w:t>
      </w:r>
      <w:r w:rsidRPr="00D14EAB">
        <w:rPr>
          <w:szCs w:val="24"/>
        </w:rPr>
        <w:t xml:space="preserve"> after 5years was a key driver of cost effectiveness</w:t>
      </w:r>
      <w:r w:rsidR="007F66B0">
        <w:rPr>
          <w:szCs w:val="24"/>
        </w:rPr>
        <w:t>, although there were no clinical data to support any assumptions made after three years</w:t>
      </w:r>
      <w:r w:rsidR="007F66B0" w:rsidRPr="00D14EAB">
        <w:rPr>
          <w:szCs w:val="24"/>
        </w:rPr>
        <w:t xml:space="preserve">. </w:t>
      </w:r>
      <w:r w:rsidR="007F66B0">
        <w:rPr>
          <w:szCs w:val="24"/>
        </w:rPr>
        <w:t>MSAC considered that the utility weights, their origin and their application in the economic model also needed adjustment</w:t>
      </w:r>
      <w:r w:rsidRPr="00D14EAB">
        <w:rPr>
          <w:szCs w:val="24"/>
        </w:rPr>
        <w:t xml:space="preserve">. MSAC requested that ESC review the revised model and compare it with the version initially developed as </w:t>
      </w:r>
      <w:r w:rsidR="00AC657D">
        <w:rPr>
          <w:szCs w:val="24"/>
        </w:rPr>
        <w:t>MSAC</w:t>
      </w:r>
      <w:r w:rsidRPr="00D14EAB">
        <w:rPr>
          <w:szCs w:val="24"/>
        </w:rPr>
        <w:t xml:space="preserve"> was concerned that the revised economic model had not been adequately verified. MSAC also requested that ESC examine the sensitivity of these models to variations in the proposed fee. </w:t>
      </w:r>
    </w:p>
    <w:p w14:paraId="0E7BD095" w14:textId="313595F1" w:rsidR="00D14EAB" w:rsidRPr="00D14EAB" w:rsidRDefault="00D14EAB" w:rsidP="00E37FEE">
      <w:pPr>
        <w:spacing w:after="240"/>
        <w:rPr>
          <w:szCs w:val="24"/>
        </w:rPr>
      </w:pPr>
      <w:r w:rsidRPr="00D14EAB">
        <w:rPr>
          <w:szCs w:val="24"/>
        </w:rPr>
        <w:t xml:space="preserve">MSAC noted that the proposed fee for this service had not yet been agreed. The Protocol Advisory Sub-Committee had suggested a value between $900 and $1300 based upon the current fees for cataract surgery and corneal transplant MBS items, respectively. However, MSAC was concerned about </w:t>
      </w:r>
      <w:r w:rsidR="00AC657D">
        <w:rPr>
          <w:szCs w:val="24"/>
        </w:rPr>
        <w:t>using</w:t>
      </w:r>
      <w:r w:rsidRPr="00D14EAB">
        <w:rPr>
          <w:szCs w:val="24"/>
        </w:rPr>
        <w:t xml:space="preserve"> these MBS items</w:t>
      </w:r>
      <w:r w:rsidR="00AC657D">
        <w:rPr>
          <w:szCs w:val="24"/>
        </w:rPr>
        <w:t xml:space="preserve"> as fee-setting benchmarks</w:t>
      </w:r>
      <w:r w:rsidRPr="00D14EAB">
        <w:rPr>
          <w:szCs w:val="24"/>
        </w:rPr>
        <w:t xml:space="preserve">, noting that the fees may be higher than appropriate for </w:t>
      </w:r>
      <w:r w:rsidR="00182148">
        <w:rPr>
          <w:szCs w:val="24"/>
        </w:rPr>
        <w:t>CCXL</w:t>
      </w:r>
      <w:r w:rsidRPr="00D14EAB">
        <w:rPr>
          <w:szCs w:val="24"/>
        </w:rPr>
        <w:t xml:space="preserve">. MSAC noted that Godefrooij DA et al 2016 detailed the costs associated with </w:t>
      </w:r>
      <w:r w:rsidR="00182148">
        <w:rPr>
          <w:szCs w:val="24"/>
        </w:rPr>
        <w:t>CCXL</w:t>
      </w:r>
      <w:r w:rsidRPr="00D14EAB">
        <w:rPr>
          <w:szCs w:val="24"/>
        </w:rPr>
        <w:t xml:space="preserve"> in clinical practice for 43 patients (86 eyes) in the Netherlands. Costs varied depending on who was undertaking the procedure (optometrist versus ophthalmologist) and the protocol used to render the service. MSAC requested that a revised fee for </w:t>
      </w:r>
      <w:r w:rsidR="00182148">
        <w:rPr>
          <w:szCs w:val="24"/>
        </w:rPr>
        <w:t>CCXL</w:t>
      </w:r>
      <w:r w:rsidRPr="00D14EAB">
        <w:rPr>
          <w:szCs w:val="24"/>
        </w:rPr>
        <w:t xml:space="preserve"> be developed with the rationale for the costs and charges detailed. </w:t>
      </w:r>
    </w:p>
    <w:p w14:paraId="2168EA16" w14:textId="6FC61AA3" w:rsidR="00D26292" w:rsidRDefault="00D26292" w:rsidP="00E37FEE">
      <w:pPr>
        <w:spacing w:after="240"/>
        <w:rPr>
          <w:szCs w:val="24"/>
        </w:rPr>
      </w:pPr>
      <w:r w:rsidRPr="00D14EAB" w:rsidDel="00216184">
        <w:rPr>
          <w:szCs w:val="24"/>
        </w:rPr>
        <w:t xml:space="preserve">MSAC noted </w:t>
      </w:r>
      <w:r>
        <w:rPr>
          <w:szCs w:val="24"/>
        </w:rPr>
        <w:t xml:space="preserve">further </w:t>
      </w:r>
      <w:r w:rsidRPr="00D14EAB" w:rsidDel="00216184">
        <w:rPr>
          <w:szCs w:val="24"/>
        </w:rPr>
        <w:t xml:space="preserve">that as variations of the </w:t>
      </w:r>
      <w:r w:rsidDel="00216184">
        <w:rPr>
          <w:szCs w:val="24"/>
        </w:rPr>
        <w:t>CCXL</w:t>
      </w:r>
      <w:r w:rsidRPr="00D14EAB" w:rsidDel="00216184">
        <w:rPr>
          <w:szCs w:val="24"/>
        </w:rPr>
        <w:t xml:space="preserve"> p</w:t>
      </w:r>
      <w:r w:rsidR="000A5B70">
        <w:rPr>
          <w:szCs w:val="24"/>
        </w:rPr>
        <w:t>rocedure exist, ranging in both complexity</w:t>
      </w:r>
      <w:r w:rsidRPr="00D14EAB" w:rsidDel="00216184">
        <w:rPr>
          <w:szCs w:val="24"/>
        </w:rPr>
        <w:t xml:space="preserve"> and duration, the revised fee should </w:t>
      </w:r>
      <w:r w:rsidR="002C2135">
        <w:rPr>
          <w:szCs w:val="24"/>
        </w:rPr>
        <w:t xml:space="preserve">also </w:t>
      </w:r>
      <w:r w:rsidRPr="00D14EAB" w:rsidDel="00216184">
        <w:rPr>
          <w:szCs w:val="24"/>
        </w:rPr>
        <w:t>take</w:t>
      </w:r>
      <w:r>
        <w:rPr>
          <w:szCs w:val="24"/>
        </w:rPr>
        <w:t xml:space="preserve"> </w:t>
      </w:r>
      <w:r w:rsidRPr="00D14EAB" w:rsidDel="00216184">
        <w:rPr>
          <w:szCs w:val="24"/>
        </w:rPr>
        <w:t>into account the range of applicable protocols currently available to render the service.</w:t>
      </w:r>
    </w:p>
    <w:p w14:paraId="192BC4C4" w14:textId="03A5C04B" w:rsidR="00D14EAB" w:rsidRPr="00D14EAB" w:rsidRDefault="00D14EAB" w:rsidP="00E37FEE">
      <w:pPr>
        <w:spacing w:after="240"/>
        <w:rPr>
          <w:szCs w:val="24"/>
        </w:rPr>
      </w:pPr>
      <w:r w:rsidRPr="00D14EAB">
        <w:rPr>
          <w:szCs w:val="24"/>
        </w:rPr>
        <w:t xml:space="preserve">MSAC considered whether the proposed MBS item descriptor should be restricted to patients with keratoconus as data for the use of </w:t>
      </w:r>
      <w:r w:rsidR="00182148">
        <w:rPr>
          <w:szCs w:val="24"/>
        </w:rPr>
        <w:t>CCXL</w:t>
      </w:r>
      <w:r w:rsidRPr="00D14EAB">
        <w:rPr>
          <w:szCs w:val="24"/>
        </w:rPr>
        <w:t xml:space="preserve"> in other corneal ectatic disorders was not presented. MSAC foreshadowed that </w:t>
      </w:r>
      <w:r w:rsidR="00AC657D">
        <w:rPr>
          <w:szCs w:val="24"/>
        </w:rPr>
        <w:t>any</w:t>
      </w:r>
      <w:r w:rsidR="00AC657D" w:rsidRPr="00D14EAB">
        <w:rPr>
          <w:szCs w:val="24"/>
        </w:rPr>
        <w:t xml:space="preserve"> </w:t>
      </w:r>
      <w:r w:rsidRPr="00D14EAB">
        <w:rPr>
          <w:szCs w:val="24"/>
        </w:rPr>
        <w:t xml:space="preserve">MBS item </w:t>
      </w:r>
      <w:r w:rsidR="00AC657D">
        <w:rPr>
          <w:szCs w:val="24"/>
        </w:rPr>
        <w:t xml:space="preserve">descriptor </w:t>
      </w:r>
      <w:r w:rsidRPr="00D14EAB">
        <w:rPr>
          <w:szCs w:val="24"/>
        </w:rPr>
        <w:t xml:space="preserve">would remain inclusive of other corneal ectatic disorders and requested that the applicant provide data on other ectasias referred to in their pre-MSAC response to assist in informing this decision. MSAC also foreshadowed that the item would not be restricted to one service per lifetime per eye, as not enough data was currently available on long-term disease progression to inform this restriction. MSAC noted that </w:t>
      </w:r>
      <w:r w:rsidR="00F03659">
        <w:rPr>
          <w:szCs w:val="24"/>
        </w:rPr>
        <w:t>the department had received advice</w:t>
      </w:r>
      <w:r w:rsidRPr="00D14EAB">
        <w:rPr>
          <w:szCs w:val="24"/>
        </w:rPr>
        <w:t xml:space="preserve"> of use of </w:t>
      </w:r>
      <w:r w:rsidR="00182148">
        <w:rPr>
          <w:szCs w:val="24"/>
        </w:rPr>
        <w:t>CCXL</w:t>
      </w:r>
      <w:r w:rsidRPr="00D14EAB">
        <w:rPr>
          <w:szCs w:val="24"/>
        </w:rPr>
        <w:t xml:space="preserve"> in patients with post-LASIK</w:t>
      </w:r>
      <w:r w:rsidR="00471DF6">
        <w:rPr>
          <w:rStyle w:val="FootnoteReference"/>
          <w:szCs w:val="24"/>
        </w:rPr>
        <w:footnoteReference w:id="1"/>
      </w:r>
      <w:r w:rsidRPr="00D14EAB">
        <w:rPr>
          <w:szCs w:val="24"/>
        </w:rPr>
        <w:t xml:space="preserve"> ectasia and foreshadowed that wording may be required in </w:t>
      </w:r>
      <w:r w:rsidR="00AC657D">
        <w:rPr>
          <w:szCs w:val="24"/>
        </w:rPr>
        <w:t>any</w:t>
      </w:r>
      <w:r w:rsidR="00AC657D" w:rsidRPr="00D14EAB">
        <w:rPr>
          <w:szCs w:val="24"/>
        </w:rPr>
        <w:t xml:space="preserve"> </w:t>
      </w:r>
      <w:r w:rsidRPr="00D14EAB">
        <w:rPr>
          <w:szCs w:val="24"/>
        </w:rPr>
        <w:t xml:space="preserve">descriptor to exclude use in this population for </w:t>
      </w:r>
      <w:r w:rsidR="00D26292">
        <w:rPr>
          <w:szCs w:val="24"/>
        </w:rPr>
        <w:t>a CCXL</w:t>
      </w:r>
      <w:r w:rsidR="00D26292" w:rsidRPr="00D14EAB">
        <w:rPr>
          <w:szCs w:val="24"/>
        </w:rPr>
        <w:t xml:space="preserve"> </w:t>
      </w:r>
      <w:r w:rsidRPr="00D14EAB">
        <w:rPr>
          <w:szCs w:val="24"/>
        </w:rPr>
        <w:t xml:space="preserve">item. MSAC also foreshadowed that it would be reasonable to require mandatory recording of services provided </w:t>
      </w:r>
      <w:r w:rsidR="00AC657D">
        <w:rPr>
          <w:szCs w:val="24"/>
        </w:rPr>
        <w:t xml:space="preserve">and their outcomes </w:t>
      </w:r>
      <w:r w:rsidRPr="00D14EAB">
        <w:rPr>
          <w:szCs w:val="24"/>
        </w:rPr>
        <w:t xml:space="preserve">on a </w:t>
      </w:r>
      <w:r w:rsidR="00182148">
        <w:rPr>
          <w:szCs w:val="24"/>
        </w:rPr>
        <w:t>CCXL</w:t>
      </w:r>
      <w:r w:rsidRPr="00D14EAB">
        <w:rPr>
          <w:szCs w:val="24"/>
        </w:rPr>
        <w:t xml:space="preserve"> register. </w:t>
      </w:r>
    </w:p>
    <w:p w14:paraId="26FD1E04" w14:textId="1DF8C21F" w:rsidR="00E523B1" w:rsidRDefault="00D14EAB" w:rsidP="00E37FEE">
      <w:pPr>
        <w:spacing w:after="240"/>
        <w:rPr>
          <w:szCs w:val="24"/>
        </w:rPr>
      </w:pPr>
      <w:r w:rsidRPr="00D14EAB">
        <w:rPr>
          <w:szCs w:val="24"/>
        </w:rPr>
        <w:t>MSAC was satisfied that</w:t>
      </w:r>
      <w:r w:rsidR="00AC657D">
        <w:rPr>
          <w:szCs w:val="24"/>
        </w:rPr>
        <w:t>,</w:t>
      </w:r>
      <w:r w:rsidRPr="00D14EAB">
        <w:rPr>
          <w:szCs w:val="24"/>
        </w:rPr>
        <w:t xml:space="preserve"> on the basis of the evidence presented</w:t>
      </w:r>
      <w:r w:rsidR="00AC657D">
        <w:rPr>
          <w:szCs w:val="24"/>
        </w:rPr>
        <w:t>,</w:t>
      </w:r>
      <w:r w:rsidRPr="00D14EAB">
        <w:rPr>
          <w:szCs w:val="24"/>
        </w:rPr>
        <w:t xml:space="preserve"> </w:t>
      </w:r>
      <w:r w:rsidR="00182148">
        <w:rPr>
          <w:szCs w:val="24"/>
        </w:rPr>
        <w:t>CCXL</w:t>
      </w:r>
      <w:r w:rsidRPr="00D14EAB">
        <w:rPr>
          <w:szCs w:val="24"/>
        </w:rPr>
        <w:t xml:space="preserve"> has acceptable safety and clinical effectiveness in the proposed population. However, MSAC was unable to support public funding at this time due to concerns that the revised economic model had not been adequately verified and that the riboflavin drops used were not registered </w:t>
      </w:r>
      <w:r w:rsidR="00AC657D">
        <w:rPr>
          <w:szCs w:val="24"/>
        </w:rPr>
        <w:t>i</w:t>
      </w:r>
      <w:r w:rsidRPr="00D14EAB">
        <w:rPr>
          <w:szCs w:val="24"/>
        </w:rPr>
        <w:t xml:space="preserve">n the ARTG. </w:t>
      </w:r>
    </w:p>
    <w:p w14:paraId="3F284063" w14:textId="76A4AFE7" w:rsidR="00D14EAB" w:rsidRPr="00D14EAB" w:rsidRDefault="00D14EAB" w:rsidP="00E37FEE">
      <w:pPr>
        <w:spacing w:after="240"/>
        <w:rPr>
          <w:szCs w:val="24"/>
        </w:rPr>
      </w:pPr>
      <w:r w:rsidRPr="00D14EAB">
        <w:rPr>
          <w:szCs w:val="24"/>
        </w:rPr>
        <w:lastRenderedPageBreak/>
        <w:t>MSAC requested the following information before it could finalise its advice:</w:t>
      </w:r>
    </w:p>
    <w:p w14:paraId="063ADDC0" w14:textId="77777777" w:rsidR="00D14EAB" w:rsidRPr="00D14EAB" w:rsidRDefault="00D14EAB" w:rsidP="00E37FEE">
      <w:pPr>
        <w:pStyle w:val="ListParagraph"/>
        <w:numPr>
          <w:ilvl w:val="0"/>
          <w:numId w:val="41"/>
        </w:numPr>
        <w:spacing w:after="240"/>
        <w:ind w:left="318" w:hanging="219"/>
        <w:rPr>
          <w:szCs w:val="24"/>
        </w:rPr>
      </w:pPr>
      <w:r w:rsidRPr="00D14EAB">
        <w:rPr>
          <w:szCs w:val="24"/>
        </w:rPr>
        <w:t>a more detailed rationale for the proposed fee, including across the range of applicable protocols to render the service, which range in both complexity and duration</w:t>
      </w:r>
    </w:p>
    <w:p w14:paraId="1B59C2AE" w14:textId="77777777" w:rsidR="00D14EAB" w:rsidRPr="00D14EAB" w:rsidRDefault="00D14EAB" w:rsidP="00E37FEE">
      <w:pPr>
        <w:pStyle w:val="ListParagraph"/>
        <w:numPr>
          <w:ilvl w:val="0"/>
          <w:numId w:val="41"/>
        </w:numPr>
        <w:spacing w:after="240"/>
        <w:ind w:left="318" w:hanging="219"/>
        <w:rPr>
          <w:szCs w:val="24"/>
        </w:rPr>
      </w:pPr>
      <w:r w:rsidRPr="00D14EAB">
        <w:rPr>
          <w:szCs w:val="24"/>
        </w:rPr>
        <w:t>an assessment by ESC comparing the revised modelled economic evaluation with the version initially developed, and examining the sensitivity of these models to variations in the proposed fee</w:t>
      </w:r>
    </w:p>
    <w:p w14:paraId="5D8E3BF7" w14:textId="77777777" w:rsidR="00D26292" w:rsidRDefault="00D14EAB" w:rsidP="00E37FEE">
      <w:pPr>
        <w:pStyle w:val="ListParagraph"/>
        <w:numPr>
          <w:ilvl w:val="0"/>
          <w:numId w:val="41"/>
        </w:numPr>
        <w:spacing w:after="240"/>
        <w:ind w:left="318" w:hanging="219"/>
        <w:rPr>
          <w:szCs w:val="24"/>
        </w:rPr>
      </w:pPr>
      <w:r w:rsidRPr="00D14EAB">
        <w:rPr>
          <w:szCs w:val="24"/>
        </w:rPr>
        <w:t xml:space="preserve">clarification from the TGA regarding the consequences of the varying regulatory status of the ultraviolet lamp device and the </w:t>
      </w:r>
      <w:r w:rsidR="00AC657D">
        <w:rPr>
          <w:szCs w:val="24"/>
        </w:rPr>
        <w:t xml:space="preserve">various </w:t>
      </w:r>
      <w:r w:rsidRPr="00D14EAB">
        <w:rPr>
          <w:szCs w:val="24"/>
        </w:rPr>
        <w:t>riboflavin eye drop</w:t>
      </w:r>
      <w:r w:rsidR="00AC657D">
        <w:rPr>
          <w:szCs w:val="24"/>
        </w:rPr>
        <w:t xml:space="preserve"> option</w:t>
      </w:r>
      <w:r w:rsidRPr="00D14EAB">
        <w:rPr>
          <w:szCs w:val="24"/>
        </w:rPr>
        <w:t>s used in rendering the service</w:t>
      </w:r>
    </w:p>
    <w:p w14:paraId="604337F3" w14:textId="16D69711" w:rsidR="00D14EAB" w:rsidRPr="008D4CF4" w:rsidRDefault="002C2135" w:rsidP="00E37FEE">
      <w:pPr>
        <w:pStyle w:val="ListParagraph"/>
        <w:numPr>
          <w:ilvl w:val="0"/>
          <w:numId w:val="41"/>
        </w:numPr>
        <w:spacing w:after="240"/>
        <w:ind w:left="318" w:hanging="219"/>
        <w:rPr>
          <w:szCs w:val="24"/>
        </w:rPr>
      </w:pPr>
      <w:r w:rsidRPr="00D14EAB">
        <w:rPr>
          <w:szCs w:val="24"/>
        </w:rPr>
        <w:t xml:space="preserve">MSAC </w:t>
      </w:r>
      <w:r>
        <w:rPr>
          <w:szCs w:val="24"/>
        </w:rPr>
        <w:t>noted</w:t>
      </w:r>
      <w:r w:rsidRPr="00D14EAB">
        <w:rPr>
          <w:szCs w:val="24"/>
        </w:rPr>
        <w:t xml:space="preserve"> reports that several large well-designed clinical trials due to report in 2016–17 have discontinued their control arms.</w:t>
      </w:r>
      <w:r>
        <w:rPr>
          <w:szCs w:val="24"/>
        </w:rPr>
        <w:t xml:space="preserve">  Any further assessment of this application may want to address the progress of those trials.</w:t>
      </w:r>
    </w:p>
    <w:p w14:paraId="09E8EE24" w14:textId="1EB596D6" w:rsidR="00BC1364" w:rsidRPr="00A8163B" w:rsidRDefault="00BC1364" w:rsidP="00A8163B">
      <w:pPr>
        <w:pStyle w:val="Heading1"/>
      </w:pPr>
      <w:r w:rsidRPr="00A8163B">
        <w:t>Background</w:t>
      </w:r>
    </w:p>
    <w:p w14:paraId="749B0FB3" w14:textId="37596882" w:rsidR="00D14EAB" w:rsidRPr="00227B0F" w:rsidRDefault="00E23A30" w:rsidP="00E37FEE">
      <w:pPr>
        <w:spacing w:after="240"/>
        <w:rPr>
          <w:szCs w:val="24"/>
        </w:rPr>
      </w:pPr>
      <w:r w:rsidRPr="00E23A30">
        <w:rPr>
          <w:szCs w:val="24"/>
        </w:rPr>
        <w:t>MSAC has not previously considered Corneal Collagen Cross Linking.</w:t>
      </w:r>
    </w:p>
    <w:p w14:paraId="196965ED" w14:textId="5AE80923" w:rsidR="00BC1364" w:rsidRPr="00A8163B" w:rsidRDefault="00BC1364" w:rsidP="00A8163B">
      <w:pPr>
        <w:pStyle w:val="Heading1"/>
      </w:pPr>
      <w:r w:rsidRPr="00A8163B">
        <w:t>Prerequisites to implementation of any funding advice</w:t>
      </w:r>
    </w:p>
    <w:p w14:paraId="44894566" w14:textId="12B361AE" w:rsidR="00BC1364" w:rsidRPr="00227B0F" w:rsidRDefault="00F375CA" w:rsidP="00227B0F">
      <w:pPr>
        <w:spacing w:after="240"/>
      </w:pPr>
      <w:r>
        <w:t xml:space="preserve">The </w:t>
      </w:r>
      <w:r w:rsidR="00182148">
        <w:t>CCXL</w:t>
      </w:r>
      <w:r w:rsidR="00613AC3" w:rsidRPr="00784BAD">
        <w:t xml:space="preserve"> procedure requires 0.1% riboflavin eye drops, which are not currently registered on the Australian Register of Therapeutic Goods</w:t>
      </w:r>
      <w:r w:rsidR="002C2135">
        <w:t>.</w:t>
      </w:r>
      <w:r w:rsidR="00613AC3" w:rsidRPr="00784BAD">
        <w:t xml:space="preserve"> </w:t>
      </w:r>
      <w:r w:rsidR="003F36DA" w:rsidRPr="00D14EAB">
        <w:rPr>
          <w:szCs w:val="24"/>
        </w:rPr>
        <w:t xml:space="preserve">The riboflavin drops </w:t>
      </w:r>
      <w:r w:rsidR="003F36DA">
        <w:rPr>
          <w:szCs w:val="24"/>
        </w:rPr>
        <w:t>may be</w:t>
      </w:r>
      <w:r w:rsidR="003F36DA" w:rsidRPr="00D14EAB">
        <w:rPr>
          <w:szCs w:val="24"/>
        </w:rPr>
        <w:t xml:space="preserve"> accessed via the</w:t>
      </w:r>
      <w:r w:rsidR="003F36DA">
        <w:rPr>
          <w:szCs w:val="24"/>
        </w:rPr>
        <w:t xml:space="preserve"> TGA’s</w:t>
      </w:r>
      <w:r w:rsidR="003F36DA" w:rsidRPr="00D14EAB">
        <w:rPr>
          <w:szCs w:val="24"/>
        </w:rPr>
        <w:t xml:space="preserve"> </w:t>
      </w:r>
      <w:r w:rsidR="003F36DA">
        <w:rPr>
          <w:szCs w:val="24"/>
        </w:rPr>
        <w:t>S</w:t>
      </w:r>
      <w:r w:rsidR="003F36DA" w:rsidRPr="00D14EAB">
        <w:rPr>
          <w:szCs w:val="24"/>
        </w:rPr>
        <w:t xml:space="preserve">pecial </w:t>
      </w:r>
      <w:r w:rsidR="003F36DA">
        <w:rPr>
          <w:szCs w:val="24"/>
        </w:rPr>
        <w:t>A</w:t>
      </w:r>
      <w:r w:rsidR="003F36DA" w:rsidRPr="00D14EAB">
        <w:rPr>
          <w:szCs w:val="24"/>
        </w:rPr>
        <w:t xml:space="preserve">ccess </w:t>
      </w:r>
      <w:r w:rsidR="003F36DA">
        <w:rPr>
          <w:szCs w:val="24"/>
        </w:rPr>
        <w:t>S</w:t>
      </w:r>
      <w:r w:rsidR="003F36DA" w:rsidRPr="00D14EAB">
        <w:rPr>
          <w:szCs w:val="24"/>
        </w:rPr>
        <w:t>cheme.</w:t>
      </w:r>
    </w:p>
    <w:p w14:paraId="442BA9DD" w14:textId="604D3B71" w:rsidR="00BC1364" w:rsidRPr="00A8163B" w:rsidRDefault="00BC1364" w:rsidP="00A8163B">
      <w:pPr>
        <w:pStyle w:val="Heading1"/>
      </w:pPr>
      <w:r w:rsidRPr="00A8163B">
        <w:t>Proposal for public funding</w:t>
      </w:r>
    </w:p>
    <w:p w14:paraId="26902713" w14:textId="0DEE5B1C" w:rsidR="007656A8" w:rsidRPr="007656A8" w:rsidRDefault="00C65C25" w:rsidP="00E37FEE">
      <w:pPr>
        <w:tabs>
          <w:tab w:val="left" w:pos="720"/>
          <w:tab w:val="left" w:pos="1140"/>
        </w:tabs>
        <w:spacing w:after="240"/>
        <w:rPr>
          <w:szCs w:val="24"/>
        </w:rPr>
      </w:pPr>
      <w:r>
        <w:rPr>
          <w:szCs w:val="24"/>
        </w:rPr>
        <w:t>The application</w:t>
      </w:r>
      <w:r w:rsidR="00E23A30" w:rsidRPr="007656A8">
        <w:rPr>
          <w:szCs w:val="24"/>
        </w:rPr>
        <w:t xml:space="preserve"> proposed</w:t>
      </w:r>
      <w:r w:rsidR="007656A8" w:rsidRPr="007656A8">
        <w:rPr>
          <w:szCs w:val="24"/>
        </w:rPr>
        <w:t xml:space="preserve"> </w:t>
      </w:r>
      <w:r w:rsidR="00DB66AD">
        <w:rPr>
          <w:szCs w:val="24"/>
        </w:rPr>
        <w:t xml:space="preserve">fee </w:t>
      </w:r>
      <w:r w:rsidR="007656A8" w:rsidRPr="007656A8">
        <w:rPr>
          <w:szCs w:val="24"/>
        </w:rPr>
        <w:t>and MBS item descriptor</w:t>
      </w:r>
      <w:r w:rsidR="00E23A30" w:rsidRPr="007656A8">
        <w:rPr>
          <w:szCs w:val="24"/>
        </w:rPr>
        <w:t xml:space="preserve"> </w:t>
      </w:r>
      <w:r w:rsidR="00DB66AD">
        <w:rPr>
          <w:szCs w:val="24"/>
        </w:rPr>
        <w:t>is</w:t>
      </w:r>
      <w:r w:rsidR="00F21117">
        <w:rPr>
          <w:szCs w:val="24"/>
        </w:rPr>
        <w:t xml:space="preserve"> shown</w:t>
      </w:r>
      <w:r w:rsidR="00DB66AD">
        <w:rPr>
          <w:szCs w:val="24"/>
        </w:rPr>
        <w:t xml:space="preserve"> </w:t>
      </w:r>
      <w:r w:rsidR="00F21117">
        <w:rPr>
          <w:szCs w:val="24"/>
        </w:rPr>
        <w:t>in Table 1.</w:t>
      </w:r>
    </w:p>
    <w:p w14:paraId="0337CFA9" w14:textId="77777777" w:rsidR="007656A8" w:rsidRPr="008D4CF4" w:rsidRDefault="00F21117" w:rsidP="008D4CF4">
      <w:pPr>
        <w:tabs>
          <w:tab w:val="left" w:pos="720"/>
          <w:tab w:val="left" w:pos="1140"/>
        </w:tabs>
        <w:rPr>
          <w:rFonts w:ascii="Arial Narrow" w:hAnsi="Arial Narrow"/>
          <w:b/>
          <w:sz w:val="20"/>
        </w:rPr>
      </w:pPr>
      <w:r w:rsidRPr="008D4CF4">
        <w:rPr>
          <w:rFonts w:ascii="Arial Narrow" w:hAnsi="Arial Narrow"/>
          <w:b/>
          <w:sz w:val="20"/>
        </w:rPr>
        <w:t xml:space="preserve">Table </w:t>
      </w:r>
      <w:r w:rsidR="00DB66AD" w:rsidRPr="008D4CF4">
        <w:rPr>
          <w:rFonts w:ascii="Arial Narrow" w:hAnsi="Arial Narrow"/>
          <w:b/>
          <w:sz w:val="20"/>
        </w:rPr>
        <w:t xml:space="preserve">1 - Proposed MBS item descriptor for corneal collagen cross-linking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1 Proposed MBS item descriptor for corneal collagen cross-linking"/>
      </w:tblPr>
      <w:tblGrid>
        <w:gridCol w:w="8789"/>
      </w:tblGrid>
      <w:tr w:rsidR="00DB66AD" w:rsidRPr="00784BAD" w14:paraId="4673299C" w14:textId="77777777" w:rsidTr="00C65C25">
        <w:tc>
          <w:tcPr>
            <w:tcW w:w="8789" w:type="dxa"/>
            <w:shd w:val="clear" w:color="auto" w:fill="auto"/>
            <w:tcMar>
              <w:left w:w="57" w:type="dxa"/>
              <w:right w:w="57" w:type="dxa"/>
            </w:tcMar>
          </w:tcPr>
          <w:p w14:paraId="0F262C03" w14:textId="77777777" w:rsidR="00DB66AD" w:rsidRPr="00C65C25" w:rsidRDefault="00C65C25" w:rsidP="00E37FEE">
            <w:pPr>
              <w:pStyle w:val="TableDataColumnHeading"/>
              <w:spacing w:before="0" w:after="240" w:line="240" w:lineRule="auto"/>
              <w:rPr>
                <w:rFonts w:ascii="Times New Roman" w:hAnsi="Times New Roman"/>
                <w:color w:val="auto"/>
                <w:sz w:val="20"/>
                <w:szCs w:val="24"/>
              </w:rPr>
            </w:pPr>
            <w:r w:rsidRPr="00C65C25">
              <w:rPr>
                <w:rFonts w:ascii="Times New Roman" w:hAnsi="Times New Roman"/>
                <w:color w:val="auto"/>
                <w:sz w:val="20"/>
                <w:szCs w:val="24"/>
              </w:rPr>
              <w:t>Category 3 – Therapeutic Procedures – Ophthalmology Services</w:t>
            </w:r>
          </w:p>
        </w:tc>
      </w:tr>
      <w:tr w:rsidR="00C65C25" w:rsidRPr="00784BAD" w14:paraId="1EBD0334" w14:textId="77777777" w:rsidTr="000C4BBA">
        <w:trPr>
          <w:trHeight w:val="1228"/>
        </w:trPr>
        <w:tc>
          <w:tcPr>
            <w:tcW w:w="8789" w:type="dxa"/>
            <w:shd w:val="clear" w:color="auto" w:fill="auto"/>
            <w:tcMar>
              <w:left w:w="57" w:type="dxa"/>
              <w:right w:w="57" w:type="dxa"/>
            </w:tcMar>
          </w:tcPr>
          <w:p w14:paraId="4B103132" w14:textId="77777777" w:rsidR="00C65C25" w:rsidRPr="00784BAD" w:rsidRDefault="00C65C25" w:rsidP="00E37FEE">
            <w:pPr>
              <w:pStyle w:val="TableUnit"/>
              <w:spacing w:before="0" w:after="240" w:line="240" w:lineRule="auto"/>
              <w:jc w:val="left"/>
              <w:rPr>
                <w:rFonts w:ascii="Times New Roman" w:hAnsi="Times New Roman"/>
                <w:sz w:val="20"/>
                <w:szCs w:val="24"/>
              </w:rPr>
            </w:pPr>
            <w:r w:rsidRPr="00784BAD">
              <w:rPr>
                <w:rFonts w:ascii="Times New Roman" w:eastAsia="Arial Narrow" w:hAnsi="Times New Roman"/>
                <w:sz w:val="20"/>
                <w:szCs w:val="24"/>
              </w:rPr>
              <w:t>MBS [item</w:t>
            </w:r>
            <w:r w:rsidRPr="00784BAD">
              <w:rPr>
                <w:rFonts w:ascii="Times New Roman" w:eastAsia="Arial Narrow" w:hAnsi="Times New Roman"/>
                <w:spacing w:val="-4"/>
                <w:sz w:val="20"/>
                <w:szCs w:val="24"/>
              </w:rPr>
              <w:t xml:space="preserve"> </w:t>
            </w:r>
            <w:r w:rsidRPr="00784BAD">
              <w:rPr>
                <w:rFonts w:ascii="Times New Roman" w:eastAsia="Arial Narrow" w:hAnsi="Times New Roman"/>
                <w:spacing w:val="-1"/>
                <w:sz w:val="20"/>
                <w:szCs w:val="24"/>
              </w:rPr>
              <w:t>number]</w:t>
            </w:r>
          </w:p>
          <w:p w14:paraId="473C17BE" w14:textId="77777777" w:rsidR="00C65C25" w:rsidRPr="00784BAD" w:rsidRDefault="00C65C25" w:rsidP="00E37FEE">
            <w:pPr>
              <w:pStyle w:val="TableDataEntries"/>
              <w:spacing w:before="0" w:after="240" w:line="240" w:lineRule="auto"/>
              <w:jc w:val="left"/>
              <w:rPr>
                <w:rFonts w:ascii="Times New Roman" w:hAnsi="Times New Roman"/>
                <w:sz w:val="20"/>
                <w:szCs w:val="24"/>
              </w:rPr>
            </w:pPr>
            <w:r w:rsidRPr="00784BAD">
              <w:rPr>
                <w:rFonts w:ascii="Times New Roman" w:hAnsi="Times New Roman"/>
                <w:spacing w:val="-1"/>
                <w:sz w:val="20"/>
                <w:szCs w:val="24"/>
              </w:rPr>
              <w:t>Corneal</w:t>
            </w:r>
            <w:r w:rsidRPr="00784BAD">
              <w:rPr>
                <w:rFonts w:ascii="Times New Roman" w:hAnsi="Times New Roman"/>
                <w:sz w:val="20"/>
                <w:szCs w:val="24"/>
              </w:rPr>
              <w:t xml:space="preserve"> </w:t>
            </w:r>
            <w:r w:rsidRPr="00784BAD">
              <w:rPr>
                <w:rFonts w:ascii="Times New Roman" w:hAnsi="Times New Roman"/>
                <w:spacing w:val="-1"/>
                <w:sz w:val="20"/>
                <w:szCs w:val="24"/>
              </w:rPr>
              <w:t>Collagen</w:t>
            </w:r>
            <w:r w:rsidRPr="00784BAD">
              <w:rPr>
                <w:rFonts w:ascii="Times New Roman" w:hAnsi="Times New Roman"/>
                <w:spacing w:val="-8"/>
                <w:sz w:val="20"/>
                <w:szCs w:val="24"/>
              </w:rPr>
              <w:t xml:space="preserve"> </w:t>
            </w:r>
            <w:r w:rsidRPr="00784BAD">
              <w:rPr>
                <w:rFonts w:ascii="Times New Roman" w:hAnsi="Times New Roman"/>
                <w:spacing w:val="-1"/>
                <w:sz w:val="20"/>
                <w:szCs w:val="24"/>
              </w:rPr>
              <w:t>Cross</w:t>
            </w:r>
            <w:r w:rsidRPr="00784BAD">
              <w:rPr>
                <w:rFonts w:ascii="Times New Roman" w:hAnsi="Times New Roman"/>
                <w:sz w:val="20"/>
                <w:szCs w:val="24"/>
              </w:rPr>
              <w:t xml:space="preserve"> </w:t>
            </w:r>
            <w:r w:rsidRPr="00784BAD">
              <w:rPr>
                <w:rFonts w:ascii="Times New Roman" w:hAnsi="Times New Roman"/>
                <w:spacing w:val="-1"/>
                <w:sz w:val="20"/>
                <w:szCs w:val="24"/>
              </w:rPr>
              <w:t>Linking,</w:t>
            </w:r>
            <w:r w:rsidRPr="00784BAD">
              <w:rPr>
                <w:rFonts w:ascii="Times New Roman" w:hAnsi="Times New Roman"/>
                <w:spacing w:val="-3"/>
                <w:sz w:val="20"/>
                <w:szCs w:val="24"/>
              </w:rPr>
              <w:t xml:space="preserve"> </w:t>
            </w:r>
            <w:r w:rsidRPr="00784BAD">
              <w:rPr>
                <w:rFonts w:ascii="Times New Roman" w:hAnsi="Times New Roman"/>
                <w:spacing w:val="1"/>
                <w:sz w:val="20"/>
                <w:szCs w:val="24"/>
              </w:rPr>
              <w:t>for</w:t>
            </w:r>
            <w:r w:rsidRPr="00784BAD">
              <w:rPr>
                <w:rFonts w:ascii="Times New Roman" w:hAnsi="Times New Roman"/>
                <w:spacing w:val="-3"/>
                <w:sz w:val="20"/>
                <w:szCs w:val="24"/>
              </w:rPr>
              <w:t xml:space="preserve"> </w:t>
            </w:r>
            <w:r w:rsidRPr="00784BAD">
              <w:rPr>
                <w:rFonts w:ascii="Times New Roman" w:hAnsi="Times New Roman"/>
                <w:spacing w:val="-2"/>
                <w:sz w:val="20"/>
                <w:szCs w:val="24"/>
              </w:rPr>
              <w:t>patients</w:t>
            </w:r>
            <w:r w:rsidRPr="00784BAD">
              <w:rPr>
                <w:rFonts w:ascii="Times New Roman" w:hAnsi="Times New Roman"/>
                <w:spacing w:val="3"/>
                <w:sz w:val="20"/>
                <w:szCs w:val="24"/>
              </w:rPr>
              <w:t xml:space="preserve"> </w:t>
            </w:r>
            <w:r w:rsidRPr="00784BAD">
              <w:rPr>
                <w:rFonts w:ascii="Times New Roman" w:hAnsi="Times New Roman"/>
                <w:spacing w:val="-1"/>
                <w:sz w:val="20"/>
                <w:szCs w:val="24"/>
              </w:rPr>
              <w:t>with</w:t>
            </w:r>
            <w:r w:rsidRPr="00784BAD">
              <w:rPr>
                <w:rFonts w:ascii="Times New Roman" w:hAnsi="Times New Roman"/>
                <w:spacing w:val="-6"/>
                <w:sz w:val="20"/>
                <w:szCs w:val="24"/>
              </w:rPr>
              <w:t xml:space="preserve"> </w:t>
            </w:r>
            <w:r w:rsidRPr="00784BAD">
              <w:rPr>
                <w:rFonts w:ascii="Times New Roman" w:hAnsi="Times New Roman"/>
                <w:spacing w:val="-1"/>
                <w:sz w:val="20"/>
                <w:szCs w:val="24"/>
              </w:rPr>
              <w:t>corneal ectatic disorders</w:t>
            </w:r>
            <w:r w:rsidRPr="00784BAD">
              <w:rPr>
                <w:rFonts w:ascii="Times New Roman" w:hAnsi="Times New Roman"/>
                <w:sz w:val="20"/>
                <w:szCs w:val="24"/>
              </w:rPr>
              <w:t xml:space="preserve"> with</w:t>
            </w:r>
            <w:r w:rsidRPr="00784BAD">
              <w:rPr>
                <w:rFonts w:ascii="Times New Roman" w:hAnsi="Times New Roman"/>
                <w:spacing w:val="3"/>
                <w:sz w:val="20"/>
                <w:szCs w:val="24"/>
              </w:rPr>
              <w:t xml:space="preserve"> </w:t>
            </w:r>
            <w:r w:rsidRPr="00784BAD">
              <w:rPr>
                <w:rFonts w:ascii="Times New Roman" w:hAnsi="Times New Roman"/>
                <w:spacing w:val="-1"/>
                <w:sz w:val="20"/>
                <w:szCs w:val="24"/>
              </w:rPr>
              <w:t>evidence</w:t>
            </w:r>
            <w:r w:rsidRPr="00784BAD">
              <w:rPr>
                <w:rFonts w:ascii="Times New Roman" w:hAnsi="Times New Roman"/>
                <w:sz w:val="20"/>
                <w:szCs w:val="24"/>
              </w:rPr>
              <w:t xml:space="preserve"> </w:t>
            </w:r>
            <w:r w:rsidRPr="00784BAD">
              <w:rPr>
                <w:rFonts w:ascii="Times New Roman" w:hAnsi="Times New Roman"/>
                <w:spacing w:val="-3"/>
                <w:sz w:val="20"/>
                <w:szCs w:val="24"/>
              </w:rPr>
              <w:t>of</w:t>
            </w:r>
            <w:r w:rsidRPr="00784BAD">
              <w:rPr>
                <w:rFonts w:ascii="Times New Roman" w:hAnsi="Times New Roman"/>
                <w:spacing w:val="4"/>
                <w:sz w:val="20"/>
                <w:szCs w:val="24"/>
              </w:rPr>
              <w:t xml:space="preserve"> </w:t>
            </w:r>
            <w:r w:rsidRPr="00784BAD">
              <w:rPr>
                <w:rFonts w:ascii="Times New Roman" w:hAnsi="Times New Roman"/>
                <w:spacing w:val="-1"/>
                <w:sz w:val="20"/>
                <w:szCs w:val="24"/>
              </w:rPr>
              <w:t>progression</w:t>
            </w:r>
          </w:p>
          <w:p w14:paraId="67679FEC" w14:textId="77777777" w:rsidR="00C65C25" w:rsidRPr="00784BAD" w:rsidRDefault="00C65C25" w:rsidP="00E37FEE">
            <w:pPr>
              <w:pStyle w:val="TableDataEntries"/>
              <w:spacing w:before="0" w:after="240" w:line="240" w:lineRule="auto"/>
              <w:jc w:val="left"/>
              <w:rPr>
                <w:rFonts w:ascii="Times New Roman" w:hAnsi="Times New Roman"/>
                <w:sz w:val="20"/>
                <w:szCs w:val="24"/>
              </w:rPr>
            </w:pPr>
            <w:r w:rsidRPr="00784BAD">
              <w:rPr>
                <w:rFonts w:ascii="Times New Roman" w:hAnsi="Times New Roman"/>
                <w:sz w:val="20"/>
                <w:szCs w:val="24"/>
              </w:rPr>
              <w:t>Fee:</w:t>
            </w:r>
            <w:r w:rsidRPr="00784BAD">
              <w:rPr>
                <w:rFonts w:ascii="Times New Roman" w:hAnsi="Times New Roman"/>
                <w:spacing w:val="2"/>
                <w:sz w:val="20"/>
                <w:szCs w:val="24"/>
              </w:rPr>
              <w:t xml:space="preserve"> </w:t>
            </w:r>
            <w:r w:rsidRPr="00784BAD">
              <w:rPr>
                <w:rFonts w:ascii="Times New Roman" w:hAnsi="Times New Roman"/>
                <w:spacing w:val="-1"/>
                <w:sz w:val="20"/>
                <w:szCs w:val="24"/>
              </w:rPr>
              <w:t>$1500</w:t>
            </w:r>
            <w:r w:rsidRPr="00784BAD">
              <w:rPr>
                <w:rFonts w:ascii="Times New Roman" w:hAnsi="Times New Roman"/>
                <w:sz w:val="20"/>
                <w:szCs w:val="24"/>
              </w:rPr>
              <w:t xml:space="preserve"> </w:t>
            </w:r>
          </w:p>
          <w:p w14:paraId="0D6F2104" w14:textId="77777777" w:rsidR="00C65C25" w:rsidRDefault="00C65C25" w:rsidP="00E37FEE">
            <w:pPr>
              <w:pStyle w:val="TableDataEntries"/>
              <w:spacing w:before="0" w:after="240" w:line="240" w:lineRule="auto"/>
              <w:jc w:val="left"/>
              <w:rPr>
                <w:rFonts w:ascii="Times New Roman" w:hAnsi="Times New Roman"/>
                <w:spacing w:val="-1"/>
                <w:sz w:val="20"/>
                <w:szCs w:val="24"/>
              </w:rPr>
            </w:pPr>
            <w:r w:rsidRPr="00784BAD">
              <w:rPr>
                <w:rFonts w:ascii="Times New Roman" w:hAnsi="Times New Roman"/>
                <w:spacing w:val="-1"/>
                <w:sz w:val="20"/>
                <w:szCs w:val="24"/>
              </w:rPr>
              <w:t>Anaes.</w:t>
            </w:r>
          </w:p>
          <w:p w14:paraId="7B5248BA" w14:textId="77777777" w:rsidR="005A5929" w:rsidRPr="00784BAD" w:rsidRDefault="005A5929" w:rsidP="00E37FEE">
            <w:pPr>
              <w:pStyle w:val="TableDataEntries"/>
              <w:spacing w:before="0" w:after="240" w:line="240" w:lineRule="auto"/>
              <w:jc w:val="left"/>
              <w:rPr>
                <w:rFonts w:ascii="Times New Roman" w:hAnsi="Times New Roman"/>
                <w:sz w:val="20"/>
                <w:szCs w:val="24"/>
              </w:rPr>
            </w:pPr>
          </w:p>
        </w:tc>
      </w:tr>
      <w:tr w:rsidR="004372A7" w:rsidRPr="00784BAD" w14:paraId="24CDA052" w14:textId="77777777" w:rsidTr="00603B7A">
        <w:trPr>
          <w:trHeight w:val="1550"/>
        </w:trPr>
        <w:tc>
          <w:tcPr>
            <w:tcW w:w="8789" w:type="dxa"/>
            <w:shd w:val="clear" w:color="auto" w:fill="auto"/>
            <w:tcMar>
              <w:left w:w="57" w:type="dxa"/>
              <w:right w:w="57" w:type="dxa"/>
            </w:tcMar>
          </w:tcPr>
          <w:p w14:paraId="5430B0A4" w14:textId="77777777" w:rsidR="004372A7" w:rsidRPr="00A74D4C" w:rsidRDefault="004372A7" w:rsidP="00E37FEE">
            <w:pPr>
              <w:pStyle w:val="TableDataEntries"/>
              <w:spacing w:before="0" w:after="240" w:line="240" w:lineRule="auto"/>
              <w:jc w:val="left"/>
              <w:rPr>
                <w:rFonts w:ascii="Times New Roman" w:hAnsi="Times New Roman"/>
                <w:sz w:val="20"/>
                <w:szCs w:val="24"/>
              </w:rPr>
            </w:pPr>
            <w:r w:rsidRPr="00A74D4C">
              <w:rPr>
                <w:rFonts w:ascii="Times New Roman" w:hAnsi="Times New Roman"/>
                <w:spacing w:val="-1"/>
                <w:sz w:val="20"/>
                <w:szCs w:val="24"/>
              </w:rPr>
              <w:t>Explanatory</w:t>
            </w:r>
            <w:r w:rsidRPr="00A74D4C">
              <w:rPr>
                <w:rFonts w:ascii="Times New Roman" w:hAnsi="Times New Roman"/>
                <w:sz w:val="20"/>
                <w:szCs w:val="24"/>
              </w:rPr>
              <w:t xml:space="preserve"> </w:t>
            </w:r>
            <w:r w:rsidRPr="00A74D4C">
              <w:rPr>
                <w:rFonts w:ascii="Times New Roman" w:hAnsi="Times New Roman"/>
                <w:spacing w:val="-1"/>
                <w:sz w:val="20"/>
                <w:szCs w:val="24"/>
              </w:rPr>
              <w:t>Note:</w:t>
            </w:r>
          </w:p>
          <w:p w14:paraId="6AF559BE" w14:textId="77777777" w:rsidR="004372A7" w:rsidRDefault="004372A7" w:rsidP="00E37FEE">
            <w:pPr>
              <w:pStyle w:val="TableDataEntries"/>
              <w:spacing w:before="0" w:after="240" w:line="240" w:lineRule="auto"/>
              <w:jc w:val="left"/>
              <w:rPr>
                <w:rFonts w:ascii="Times New Roman" w:hAnsi="Times New Roman"/>
                <w:spacing w:val="-1"/>
                <w:sz w:val="20"/>
                <w:szCs w:val="24"/>
              </w:rPr>
            </w:pPr>
            <w:r w:rsidRPr="00A74D4C">
              <w:rPr>
                <w:rFonts w:ascii="Times New Roman" w:hAnsi="Times New Roman"/>
                <w:spacing w:val="-1"/>
                <w:sz w:val="20"/>
                <w:szCs w:val="24"/>
              </w:rPr>
              <w:t>Evidence</w:t>
            </w:r>
            <w:r w:rsidRPr="00A74D4C">
              <w:rPr>
                <w:rFonts w:ascii="Times New Roman" w:hAnsi="Times New Roman"/>
                <w:spacing w:val="11"/>
                <w:sz w:val="20"/>
                <w:szCs w:val="24"/>
              </w:rPr>
              <w:t xml:space="preserve"> </w:t>
            </w:r>
            <w:r w:rsidRPr="00A74D4C">
              <w:rPr>
                <w:rFonts w:ascii="Times New Roman" w:hAnsi="Times New Roman"/>
                <w:sz w:val="20"/>
                <w:szCs w:val="24"/>
              </w:rPr>
              <w:t>of</w:t>
            </w:r>
            <w:r w:rsidRPr="00A74D4C">
              <w:rPr>
                <w:rFonts w:ascii="Times New Roman" w:hAnsi="Times New Roman"/>
                <w:spacing w:val="8"/>
                <w:sz w:val="20"/>
                <w:szCs w:val="24"/>
              </w:rPr>
              <w:t xml:space="preserve"> </w:t>
            </w:r>
            <w:r w:rsidRPr="00A74D4C">
              <w:rPr>
                <w:rFonts w:ascii="Times New Roman" w:hAnsi="Times New Roman"/>
                <w:spacing w:val="-1"/>
                <w:sz w:val="20"/>
                <w:szCs w:val="24"/>
              </w:rPr>
              <w:t>progression</w:t>
            </w:r>
            <w:r w:rsidRPr="00A74D4C">
              <w:rPr>
                <w:rFonts w:ascii="Times New Roman" w:hAnsi="Times New Roman"/>
                <w:spacing w:val="12"/>
                <w:sz w:val="20"/>
                <w:szCs w:val="24"/>
              </w:rPr>
              <w:t xml:space="preserve"> </w:t>
            </w:r>
            <w:r w:rsidRPr="00A74D4C">
              <w:rPr>
                <w:rFonts w:ascii="Times New Roman" w:hAnsi="Times New Roman"/>
                <w:sz w:val="20"/>
                <w:szCs w:val="24"/>
              </w:rPr>
              <w:t>in</w:t>
            </w:r>
            <w:r w:rsidRPr="00A74D4C">
              <w:rPr>
                <w:rFonts w:ascii="Times New Roman" w:hAnsi="Times New Roman"/>
                <w:spacing w:val="12"/>
                <w:sz w:val="20"/>
                <w:szCs w:val="24"/>
              </w:rPr>
              <w:t xml:space="preserve"> </w:t>
            </w:r>
            <w:r w:rsidRPr="00A74D4C">
              <w:rPr>
                <w:rFonts w:ascii="Times New Roman" w:hAnsi="Times New Roman"/>
                <w:spacing w:val="-1"/>
                <w:sz w:val="20"/>
                <w:szCs w:val="24"/>
              </w:rPr>
              <w:t>patients</w:t>
            </w:r>
            <w:r w:rsidRPr="00A74D4C">
              <w:rPr>
                <w:rFonts w:ascii="Times New Roman" w:hAnsi="Times New Roman"/>
                <w:spacing w:val="6"/>
                <w:sz w:val="20"/>
                <w:szCs w:val="24"/>
              </w:rPr>
              <w:t xml:space="preserve"> </w:t>
            </w:r>
            <w:r w:rsidRPr="00A74D4C">
              <w:rPr>
                <w:rFonts w:ascii="Times New Roman" w:hAnsi="Times New Roman"/>
                <w:spacing w:val="-1"/>
                <w:sz w:val="20"/>
                <w:szCs w:val="24"/>
              </w:rPr>
              <w:t>over</w:t>
            </w:r>
            <w:r w:rsidRPr="00A74D4C">
              <w:rPr>
                <w:rFonts w:ascii="Times New Roman" w:hAnsi="Times New Roman"/>
                <w:spacing w:val="9"/>
                <w:sz w:val="20"/>
                <w:szCs w:val="24"/>
              </w:rPr>
              <w:t xml:space="preserve"> </w:t>
            </w:r>
            <w:r w:rsidRPr="00A74D4C">
              <w:rPr>
                <w:rFonts w:ascii="Times New Roman" w:hAnsi="Times New Roman"/>
                <w:sz w:val="20"/>
                <w:szCs w:val="24"/>
              </w:rPr>
              <w:t>the</w:t>
            </w:r>
            <w:r w:rsidRPr="00A74D4C">
              <w:rPr>
                <w:rFonts w:ascii="Times New Roman" w:hAnsi="Times New Roman"/>
                <w:spacing w:val="12"/>
                <w:sz w:val="20"/>
                <w:szCs w:val="24"/>
              </w:rPr>
              <w:t xml:space="preserve"> </w:t>
            </w:r>
            <w:r w:rsidRPr="00A74D4C">
              <w:rPr>
                <w:rFonts w:ascii="Times New Roman" w:hAnsi="Times New Roman"/>
                <w:sz w:val="20"/>
                <w:szCs w:val="24"/>
              </w:rPr>
              <w:t>age</w:t>
            </w:r>
            <w:r w:rsidRPr="00A74D4C">
              <w:rPr>
                <w:rFonts w:ascii="Times New Roman" w:hAnsi="Times New Roman"/>
                <w:spacing w:val="5"/>
                <w:sz w:val="20"/>
                <w:szCs w:val="24"/>
              </w:rPr>
              <w:t xml:space="preserve"> </w:t>
            </w:r>
            <w:r w:rsidRPr="00A74D4C">
              <w:rPr>
                <w:rFonts w:ascii="Times New Roman" w:hAnsi="Times New Roman"/>
                <w:sz w:val="20"/>
                <w:szCs w:val="24"/>
              </w:rPr>
              <w:t>of</w:t>
            </w:r>
            <w:r w:rsidRPr="00A74D4C">
              <w:rPr>
                <w:rFonts w:ascii="Times New Roman" w:hAnsi="Times New Roman"/>
                <w:spacing w:val="8"/>
                <w:sz w:val="20"/>
                <w:szCs w:val="24"/>
              </w:rPr>
              <w:t xml:space="preserve"> </w:t>
            </w:r>
            <w:r w:rsidRPr="00A74D4C">
              <w:rPr>
                <w:rFonts w:ascii="Times New Roman" w:hAnsi="Times New Roman"/>
                <w:spacing w:val="-1"/>
                <w:sz w:val="20"/>
                <w:szCs w:val="24"/>
              </w:rPr>
              <w:t>twenty</w:t>
            </w:r>
            <w:r w:rsidRPr="00A74D4C">
              <w:rPr>
                <w:rFonts w:ascii="Times New Roman" w:hAnsi="Times New Roman"/>
                <w:spacing w:val="12"/>
                <w:sz w:val="20"/>
                <w:szCs w:val="24"/>
              </w:rPr>
              <w:t xml:space="preserve"> </w:t>
            </w:r>
            <w:r w:rsidRPr="00A74D4C">
              <w:rPr>
                <w:rFonts w:ascii="Times New Roman" w:hAnsi="Times New Roman"/>
                <w:spacing w:val="-1"/>
                <w:sz w:val="20"/>
                <w:szCs w:val="24"/>
              </w:rPr>
              <w:t>five</w:t>
            </w:r>
            <w:r w:rsidRPr="00A74D4C">
              <w:rPr>
                <w:rFonts w:ascii="Times New Roman" w:hAnsi="Times New Roman"/>
                <w:spacing w:val="11"/>
                <w:sz w:val="20"/>
                <w:szCs w:val="24"/>
              </w:rPr>
              <w:t xml:space="preserve"> </w:t>
            </w:r>
            <w:r w:rsidRPr="00A74D4C">
              <w:rPr>
                <w:rFonts w:ascii="Times New Roman" w:hAnsi="Times New Roman"/>
                <w:sz w:val="20"/>
                <w:szCs w:val="24"/>
              </w:rPr>
              <w:t>is</w:t>
            </w:r>
            <w:r w:rsidRPr="00A74D4C">
              <w:rPr>
                <w:rFonts w:ascii="Times New Roman" w:hAnsi="Times New Roman"/>
                <w:spacing w:val="3"/>
                <w:sz w:val="20"/>
                <w:szCs w:val="24"/>
              </w:rPr>
              <w:t xml:space="preserve"> </w:t>
            </w:r>
            <w:r w:rsidRPr="00A74D4C">
              <w:rPr>
                <w:rFonts w:ascii="Times New Roman" w:hAnsi="Times New Roman"/>
                <w:sz w:val="20"/>
                <w:szCs w:val="24"/>
              </w:rPr>
              <w:t>determined</w:t>
            </w:r>
            <w:r w:rsidRPr="00A74D4C">
              <w:rPr>
                <w:rFonts w:ascii="Times New Roman" w:hAnsi="Times New Roman"/>
                <w:spacing w:val="10"/>
                <w:sz w:val="20"/>
                <w:szCs w:val="24"/>
              </w:rPr>
              <w:t xml:space="preserve"> </w:t>
            </w:r>
            <w:r w:rsidRPr="00A74D4C">
              <w:rPr>
                <w:rFonts w:ascii="Times New Roman" w:hAnsi="Times New Roman"/>
                <w:sz w:val="20"/>
                <w:szCs w:val="24"/>
              </w:rPr>
              <w:t>by</w:t>
            </w:r>
            <w:r w:rsidRPr="00A74D4C">
              <w:rPr>
                <w:rFonts w:ascii="Times New Roman" w:hAnsi="Times New Roman"/>
                <w:spacing w:val="5"/>
                <w:sz w:val="20"/>
                <w:szCs w:val="24"/>
              </w:rPr>
              <w:t xml:space="preserve"> </w:t>
            </w:r>
            <w:r w:rsidRPr="00A74D4C">
              <w:rPr>
                <w:rFonts w:ascii="Times New Roman" w:hAnsi="Times New Roman"/>
                <w:sz w:val="20"/>
                <w:szCs w:val="24"/>
              </w:rPr>
              <w:t>the</w:t>
            </w:r>
            <w:r w:rsidRPr="00A74D4C">
              <w:rPr>
                <w:rFonts w:ascii="Times New Roman" w:hAnsi="Times New Roman"/>
                <w:spacing w:val="12"/>
                <w:sz w:val="20"/>
                <w:szCs w:val="24"/>
              </w:rPr>
              <w:t xml:space="preserve"> </w:t>
            </w:r>
            <w:r w:rsidRPr="00A74D4C">
              <w:rPr>
                <w:rFonts w:ascii="Times New Roman" w:hAnsi="Times New Roman"/>
                <w:spacing w:val="-2"/>
                <w:sz w:val="20"/>
                <w:szCs w:val="24"/>
              </w:rPr>
              <w:t>patient</w:t>
            </w:r>
            <w:r w:rsidRPr="00A74D4C">
              <w:rPr>
                <w:rFonts w:ascii="Times New Roman" w:hAnsi="Times New Roman"/>
                <w:spacing w:val="14"/>
                <w:sz w:val="20"/>
                <w:szCs w:val="24"/>
              </w:rPr>
              <w:t xml:space="preserve"> </w:t>
            </w:r>
            <w:r w:rsidRPr="00A74D4C">
              <w:rPr>
                <w:rFonts w:ascii="Times New Roman" w:hAnsi="Times New Roman"/>
                <w:spacing w:val="-1"/>
                <w:sz w:val="20"/>
                <w:szCs w:val="24"/>
              </w:rPr>
              <w:t>history</w:t>
            </w:r>
            <w:r w:rsidRPr="00A74D4C">
              <w:rPr>
                <w:rFonts w:ascii="Times New Roman" w:hAnsi="Times New Roman"/>
                <w:spacing w:val="10"/>
                <w:sz w:val="20"/>
                <w:szCs w:val="24"/>
              </w:rPr>
              <w:t xml:space="preserve"> </w:t>
            </w:r>
            <w:r w:rsidRPr="00A74D4C">
              <w:rPr>
                <w:rFonts w:ascii="Times New Roman" w:hAnsi="Times New Roman"/>
                <w:spacing w:val="-1"/>
                <w:sz w:val="20"/>
                <w:szCs w:val="24"/>
              </w:rPr>
              <w:t>including</w:t>
            </w:r>
            <w:r w:rsidRPr="00A74D4C">
              <w:rPr>
                <w:rFonts w:ascii="Times New Roman" w:hAnsi="Times New Roman"/>
                <w:spacing w:val="12"/>
                <w:sz w:val="20"/>
                <w:szCs w:val="24"/>
              </w:rPr>
              <w:t xml:space="preserve"> </w:t>
            </w:r>
            <w:r w:rsidRPr="00A74D4C">
              <w:rPr>
                <w:rFonts w:ascii="Times New Roman" w:hAnsi="Times New Roman"/>
                <w:sz w:val="20"/>
                <w:szCs w:val="24"/>
              </w:rPr>
              <w:t>an</w:t>
            </w:r>
            <w:r w:rsidRPr="00A74D4C">
              <w:rPr>
                <w:rFonts w:ascii="Times New Roman" w:hAnsi="Times New Roman"/>
                <w:spacing w:val="5"/>
                <w:sz w:val="20"/>
                <w:szCs w:val="24"/>
              </w:rPr>
              <w:t xml:space="preserve"> </w:t>
            </w:r>
            <w:r w:rsidRPr="00A74D4C">
              <w:rPr>
                <w:rFonts w:ascii="Times New Roman" w:hAnsi="Times New Roman"/>
                <w:spacing w:val="-1"/>
                <w:sz w:val="20"/>
                <w:szCs w:val="24"/>
              </w:rPr>
              <w:t>objective</w:t>
            </w:r>
            <w:r w:rsidRPr="00A74D4C">
              <w:rPr>
                <w:rFonts w:ascii="Times New Roman" w:hAnsi="Times New Roman"/>
                <w:spacing w:val="49"/>
                <w:sz w:val="20"/>
                <w:szCs w:val="24"/>
              </w:rPr>
              <w:t xml:space="preserve"> </w:t>
            </w:r>
            <w:r w:rsidRPr="00A74D4C">
              <w:rPr>
                <w:rFonts w:ascii="Times New Roman" w:hAnsi="Times New Roman"/>
                <w:spacing w:val="-1"/>
                <w:sz w:val="20"/>
                <w:szCs w:val="24"/>
              </w:rPr>
              <w:t>change</w:t>
            </w:r>
            <w:r w:rsidRPr="00A74D4C">
              <w:rPr>
                <w:rFonts w:ascii="Times New Roman" w:hAnsi="Times New Roman"/>
                <w:sz w:val="20"/>
                <w:szCs w:val="24"/>
              </w:rPr>
              <w:t xml:space="preserve"> in </w:t>
            </w:r>
            <w:r w:rsidRPr="00A74D4C">
              <w:rPr>
                <w:rFonts w:ascii="Times New Roman" w:hAnsi="Times New Roman"/>
                <w:spacing w:val="-1"/>
                <w:sz w:val="20"/>
                <w:szCs w:val="24"/>
              </w:rPr>
              <w:t>tomography</w:t>
            </w:r>
            <w:r w:rsidRPr="00A74D4C">
              <w:rPr>
                <w:rFonts w:ascii="Times New Roman" w:hAnsi="Times New Roman"/>
                <w:spacing w:val="-3"/>
                <w:sz w:val="20"/>
                <w:szCs w:val="24"/>
              </w:rPr>
              <w:t xml:space="preserve"> </w:t>
            </w:r>
            <w:r w:rsidRPr="00A74D4C">
              <w:rPr>
                <w:rFonts w:ascii="Times New Roman" w:hAnsi="Times New Roman"/>
                <w:sz w:val="20"/>
                <w:szCs w:val="24"/>
              </w:rPr>
              <w:t>or</w:t>
            </w:r>
            <w:r w:rsidRPr="00A74D4C">
              <w:rPr>
                <w:rFonts w:ascii="Times New Roman" w:hAnsi="Times New Roman"/>
                <w:spacing w:val="-6"/>
                <w:sz w:val="20"/>
                <w:szCs w:val="24"/>
              </w:rPr>
              <w:t xml:space="preserve"> </w:t>
            </w:r>
            <w:r w:rsidRPr="00A74D4C">
              <w:rPr>
                <w:rFonts w:ascii="Times New Roman" w:hAnsi="Times New Roman"/>
                <w:sz w:val="20"/>
                <w:szCs w:val="24"/>
              </w:rPr>
              <w:t>refraction</w:t>
            </w:r>
            <w:r w:rsidRPr="00A74D4C">
              <w:rPr>
                <w:rFonts w:ascii="Times New Roman" w:hAnsi="Times New Roman"/>
                <w:spacing w:val="-6"/>
                <w:sz w:val="20"/>
                <w:szCs w:val="24"/>
              </w:rPr>
              <w:t xml:space="preserve"> </w:t>
            </w:r>
            <w:r w:rsidRPr="00A74D4C">
              <w:rPr>
                <w:rFonts w:ascii="Times New Roman" w:hAnsi="Times New Roman"/>
                <w:sz w:val="20"/>
                <w:szCs w:val="24"/>
              </w:rPr>
              <w:t>over</w:t>
            </w:r>
            <w:r w:rsidRPr="00A74D4C">
              <w:rPr>
                <w:rFonts w:ascii="Times New Roman" w:hAnsi="Times New Roman"/>
                <w:spacing w:val="-3"/>
                <w:sz w:val="20"/>
                <w:szCs w:val="24"/>
              </w:rPr>
              <w:t xml:space="preserve"> </w:t>
            </w:r>
            <w:r w:rsidRPr="00A74D4C">
              <w:rPr>
                <w:rFonts w:ascii="Times New Roman" w:hAnsi="Times New Roman"/>
                <w:spacing w:val="-1"/>
                <w:sz w:val="20"/>
                <w:szCs w:val="24"/>
              </w:rPr>
              <w:t>time. Evidence</w:t>
            </w:r>
            <w:r w:rsidRPr="00A74D4C">
              <w:rPr>
                <w:rFonts w:ascii="Times New Roman" w:hAnsi="Times New Roman"/>
                <w:spacing w:val="34"/>
                <w:sz w:val="20"/>
                <w:szCs w:val="24"/>
              </w:rPr>
              <w:t xml:space="preserve"> </w:t>
            </w:r>
            <w:r w:rsidRPr="00A74D4C">
              <w:rPr>
                <w:rFonts w:ascii="Times New Roman" w:hAnsi="Times New Roman"/>
                <w:sz w:val="20"/>
                <w:szCs w:val="24"/>
              </w:rPr>
              <w:t>of</w:t>
            </w:r>
            <w:r w:rsidRPr="00A74D4C">
              <w:rPr>
                <w:rFonts w:ascii="Times New Roman" w:hAnsi="Times New Roman"/>
                <w:spacing w:val="37"/>
                <w:sz w:val="20"/>
                <w:szCs w:val="24"/>
              </w:rPr>
              <w:t xml:space="preserve"> </w:t>
            </w:r>
            <w:r w:rsidRPr="00A74D4C">
              <w:rPr>
                <w:rFonts w:ascii="Times New Roman" w:hAnsi="Times New Roman"/>
                <w:spacing w:val="-1"/>
                <w:sz w:val="20"/>
                <w:szCs w:val="24"/>
              </w:rPr>
              <w:t>progression</w:t>
            </w:r>
            <w:r w:rsidRPr="00A74D4C">
              <w:rPr>
                <w:rFonts w:ascii="Times New Roman" w:hAnsi="Times New Roman"/>
                <w:spacing w:val="35"/>
                <w:sz w:val="20"/>
                <w:szCs w:val="24"/>
              </w:rPr>
              <w:t xml:space="preserve"> </w:t>
            </w:r>
            <w:r w:rsidRPr="00A74D4C">
              <w:rPr>
                <w:rFonts w:ascii="Times New Roman" w:hAnsi="Times New Roman"/>
                <w:sz w:val="20"/>
                <w:szCs w:val="24"/>
              </w:rPr>
              <w:t>in</w:t>
            </w:r>
            <w:r w:rsidRPr="00A74D4C">
              <w:rPr>
                <w:rFonts w:ascii="Times New Roman" w:hAnsi="Times New Roman"/>
                <w:spacing w:val="37"/>
                <w:sz w:val="20"/>
                <w:szCs w:val="24"/>
              </w:rPr>
              <w:t xml:space="preserve"> </w:t>
            </w:r>
            <w:r w:rsidRPr="00A74D4C">
              <w:rPr>
                <w:rFonts w:ascii="Times New Roman" w:hAnsi="Times New Roman"/>
                <w:spacing w:val="-1"/>
                <w:sz w:val="20"/>
                <w:szCs w:val="24"/>
              </w:rPr>
              <w:t>patients</w:t>
            </w:r>
            <w:r w:rsidRPr="00A74D4C">
              <w:rPr>
                <w:rFonts w:ascii="Times New Roman" w:hAnsi="Times New Roman"/>
                <w:spacing w:val="37"/>
                <w:sz w:val="20"/>
                <w:szCs w:val="24"/>
              </w:rPr>
              <w:t xml:space="preserve"> </w:t>
            </w:r>
            <w:r w:rsidRPr="00A74D4C">
              <w:rPr>
                <w:rFonts w:ascii="Times New Roman" w:hAnsi="Times New Roman"/>
                <w:sz w:val="20"/>
                <w:szCs w:val="24"/>
              </w:rPr>
              <w:t>aged</w:t>
            </w:r>
            <w:r w:rsidRPr="00A74D4C">
              <w:rPr>
                <w:rFonts w:ascii="Times New Roman" w:hAnsi="Times New Roman"/>
                <w:spacing w:val="32"/>
                <w:sz w:val="20"/>
                <w:szCs w:val="24"/>
              </w:rPr>
              <w:t xml:space="preserve"> </w:t>
            </w:r>
            <w:r w:rsidRPr="00A74D4C">
              <w:rPr>
                <w:rFonts w:ascii="Times New Roman" w:hAnsi="Times New Roman"/>
                <w:spacing w:val="-1"/>
                <w:sz w:val="20"/>
                <w:szCs w:val="24"/>
              </w:rPr>
              <w:t>twenty</w:t>
            </w:r>
            <w:r w:rsidRPr="00A74D4C">
              <w:rPr>
                <w:rFonts w:ascii="Times New Roman" w:hAnsi="Times New Roman"/>
                <w:spacing w:val="37"/>
                <w:sz w:val="20"/>
                <w:szCs w:val="24"/>
              </w:rPr>
              <w:t xml:space="preserve"> </w:t>
            </w:r>
            <w:r w:rsidRPr="00A74D4C">
              <w:rPr>
                <w:rFonts w:ascii="Times New Roman" w:hAnsi="Times New Roman"/>
                <w:spacing w:val="-1"/>
                <w:sz w:val="20"/>
                <w:szCs w:val="24"/>
              </w:rPr>
              <w:t>five</w:t>
            </w:r>
            <w:r w:rsidRPr="00A74D4C">
              <w:rPr>
                <w:rFonts w:ascii="Times New Roman" w:hAnsi="Times New Roman"/>
                <w:spacing w:val="35"/>
                <w:sz w:val="20"/>
                <w:szCs w:val="24"/>
              </w:rPr>
              <w:t xml:space="preserve"> </w:t>
            </w:r>
            <w:r w:rsidRPr="00A74D4C">
              <w:rPr>
                <w:rFonts w:ascii="Times New Roman" w:hAnsi="Times New Roman"/>
                <w:spacing w:val="-1"/>
                <w:sz w:val="20"/>
                <w:szCs w:val="24"/>
              </w:rPr>
              <w:t>years</w:t>
            </w:r>
            <w:r w:rsidRPr="00A74D4C">
              <w:rPr>
                <w:rFonts w:ascii="Times New Roman" w:hAnsi="Times New Roman"/>
                <w:spacing w:val="33"/>
                <w:sz w:val="20"/>
                <w:szCs w:val="24"/>
              </w:rPr>
              <w:t xml:space="preserve"> </w:t>
            </w:r>
            <w:r w:rsidRPr="00A74D4C">
              <w:rPr>
                <w:rFonts w:ascii="Times New Roman" w:hAnsi="Times New Roman"/>
                <w:sz w:val="20"/>
                <w:szCs w:val="24"/>
              </w:rPr>
              <w:t>or</w:t>
            </w:r>
            <w:r w:rsidRPr="00A74D4C">
              <w:rPr>
                <w:rFonts w:ascii="Times New Roman" w:hAnsi="Times New Roman"/>
                <w:spacing w:val="38"/>
                <w:sz w:val="20"/>
                <w:szCs w:val="24"/>
              </w:rPr>
              <w:t xml:space="preserve"> </w:t>
            </w:r>
            <w:r w:rsidRPr="00A74D4C">
              <w:rPr>
                <w:rFonts w:ascii="Times New Roman" w:hAnsi="Times New Roman"/>
                <w:spacing w:val="-1"/>
                <w:sz w:val="20"/>
                <w:szCs w:val="24"/>
              </w:rPr>
              <w:t>younger</w:t>
            </w:r>
            <w:r w:rsidRPr="00A74D4C">
              <w:rPr>
                <w:rFonts w:ascii="Times New Roman" w:hAnsi="Times New Roman"/>
                <w:spacing w:val="30"/>
                <w:sz w:val="20"/>
                <w:szCs w:val="24"/>
              </w:rPr>
              <w:t xml:space="preserve"> </w:t>
            </w:r>
            <w:r w:rsidRPr="00A74D4C">
              <w:rPr>
                <w:rFonts w:ascii="Times New Roman" w:hAnsi="Times New Roman"/>
                <w:sz w:val="20"/>
                <w:szCs w:val="24"/>
              </w:rPr>
              <w:t>is</w:t>
            </w:r>
            <w:r w:rsidRPr="00A74D4C">
              <w:rPr>
                <w:rFonts w:ascii="Times New Roman" w:hAnsi="Times New Roman"/>
                <w:spacing w:val="37"/>
                <w:sz w:val="20"/>
                <w:szCs w:val="24"/>
              </w:rPr>
              <w:t xml:space="preserve"> </w:t>
            </w:r>
            <w:r w:rsidRPr="00A74D4C">
              <w:rPr>
                <w:rFonts w:ascii="Times New Roman" w:hAnsi="Times New Roman"/>
                <w:sz w:val="20"/>
                <w:szCs w:val="24"/>
              </w:rPr>
              <w:t>determined</w:t>
            </w:r>
            <w:r w:rsidRPr="00A74D4C">
              <w:rPr>
                <w:rFonts w:ascii="Times New Roman" w:hAnsi="Times New Roman"/>
                <w:spacing w:val="34"/>
                <w:sz w:val="20"/>
                <w:szCs w:val="24"/>
              </w:rPr>
              <w:t xml:space="preserve"> </w:t>
            </w:r>
            <w:r w:rsidRPr="00A74D4C">
              <w:rPr>
                <w:rFonts w:ascii="Times New Roman" w:hAnsi="Times New Roman"/>
                <w:sz w:val="20"/>
                <w:szCs w:val="24"/>
              </w:rPr>
              <w:t>by</w:t>
            </w:r>
            <w:r w:rsidRPr="00A74D4C">
              <w:rPr>
                <w:rFonts w:ascii="Times New Roman" w:hAnsi="Times New Roman"/>
                <w:spacing w:val="34"/>
                <w:sz w:val="20"/>
                <w:szCs w:val="24"/>
              </w:rPr>
              <w:t xml:space="preserve"> </w:t>
            </w:r>
            <w:r w:rsidRPr="00A74D4C">
              <w:rPr>
                <w:rFonts w:ascii="Times New Roman" w:hAnsi="Times New Roman"/>
                <w:spacing w:val="-1"/>
                <w:sz w:val="20"/>
                <w:szCs w:val="24"/>
              </w:rPr>
              <w:t>patient</w:t>
            </w:r>
            <w:r w:rsidRPr="00A74D4C">
              <w:rPr>
                <w:rFonts w:ascii="Times New Roman" w:hAnsi="Times New Roman"/>
                <w:spacing w:val="38"/>
                <w:sz w:val="20"/>
                <w:szCs w:val="24"/>
              </w:rPr>
              <w:t xml:space="preserve"> </w:t>
            </w:r>
            <w:r w:rsidRPr="00A74D4C">
              <w:rPr>
                <w:rFonts w:ascii="Times New Roman" w:hAnsi="Times New Roman"/>
                <w:spacing w:val="-1"/>
                <w:sz w:val="20"/>
                <w:szCs w:val="24"/>
              </w:rPr>
              <w:t>history</w:t>
            </w:r>
            <w:r w:rsidRPr="00A74D4C">
              <w:rPr>
                <w:rFonts w:ascii="Times New Roman" w:hAnsi="Times New Roman"/>
                <w:spacing w:val="33"/>
                <w:sz w:val="20"/>
                <w:szCs w:val="24"/>
              </w:rPr>
              <w:t xml:space="preserve"> </w:t>
            </w:r>
            <w:r w:rsidRPr="00A74D4C">
              <w:rPr>
                <w:rFonts w:ascii="Times New Roman" w:hAnsi="Times New Roman"/>
                <w:sz w:val="20"/>
                <w:szCs w:val="24"/>
              </w:rPr>
              <w:t>including</w:t>
            </w:r>
            <w:r w:rsidRPr="00A74D4C">
              <w:rPr>
                <w:rFonts w:ascii="Times New Roman" w:hAnsi="Times New Roman"/>
                <w:spacing w:val="36"/>
                <w:sz w:val="20"/>
                <w:szCs w:val="24"/>
              </w:rPr>
              <w:t xml:space="preserve"> </w:t>
            </w:r>
            <w:r w:rsidRPr="00A74D4C">
              <w:rPr>
                <w:rFonts w:ascii="Times New Roman" w:hAnsi="Times New Roman"/>
                <w:sz w:val="20"/>
                <w:szCs w:val="24"/>
              </w:rPr>
              <w:t>an</w:t>
            </w:r>
            <w:r w:rsidRPr="00A74D4C">
              <w:rPr>
                <w:rFonts w:ascii="Times New Roman" w:hAnsi="Times New Roman"/>
                <w:spacing w:val="47"/>
                <w:sz w:val="20"/>
                <w:szCs w:val="24"/>
              </w:rPr>
              <w:t xml:space="preserve"> </w:t>
            </w:r>
            <w:r w:rsidRPr="00A74D4C">
              <w:rPr>
                <w:rFonts w:ascii="Times New Roman" w:hAnsi="Times New Roman"/>
                <w:sz w:val="20"/>
                <w:szCs w:val="24"/>
              </w:rPr>
              <w:t>objective</w:t>
            </w:r>
            <w:r w:rsidRPr="00A74D4C">
              <w:rPr>
                <w:rFonts w:ascii="Times New Roman" w:hAnsi="Times New Roman"/>
                <w:spacing w:val="5"/>
                <w:sz w:val="20"/>
                <w:szCs w:val="24"/>
              </w:rPr>
              <w:t xml:space="preserve"> </w:t>
            </w:r>
            <w:r w:rsidRPr="00A74D4C">
              <w:rPr>
                <w:rFonts w:ascii="Times New Roman" w:hAnsi="Times New Roman"/>
                <w:spacing w:val="-1"/>
                <w:sz w:val="20"/>
                <w:szCs w:val="24"/>
              </w:rPr>
              <w:t>change</w:t>
            </w:r>
            <w:r w:rsidRPr="00A74D4C">
              <w:rPr>
                <w:rFonts w:ascii="Times New Roman" w:hAnsi="Times New Roman"/>
                <w:spacing w:val="2"/>
                <w:sz w:val="20"/>
                <w:szCs w:val="24"/>
              </w:rPr>
              <w:t xml:space="preserve"> </w:t>
            </w:r>
            <w:r w:rsidRPr="00A74D4C">
              <w:rPr>
                <w:rFonts w:ascii="Times New Roman" w:hAnsi="Times New Roman"/>
                <w:sz w:val="20"/>
                <w:szCs w:val="24"/>
              </w:rPr>
              <w:t>in</w:t>
            </w:r>
            <w:r w:rsidRPr="00A74D4C">
              <w:rPr>
                <w:rFonts w:ascii="Times New Roman" w:hAnsi="Times New Roman"/>
                <w:spacing w:val="5"/>
                <w:sz w:val="20"/>
                <w:szCs w:val="24"/>
              </w:rPr>
              <w:t xml:space="preserve"> </w:t>
            </w:r>
            <w:r w:rsidRPr="00A74D4C">
              <w:rPr>
                <w:rFonts w:ascii="Times New Roman" w:hAnsi="Times New Roman"/>
                <w:spacing w:val="-1"/>
                <w:sz w:val="20"/>
                <w:szCs w:val="24"/>
              </w:rPr>
              <w:t>tomography</w:t>
            </w:r>
            <w:r w:rsidRPr="00A74D4C">
              <w:rPr>
                <w:rFonts w:ascii="Times New Roman" w:hAnsi="Times New Roman"/>
                <w:spacing w:val="1"/>
                <w:sz w:val="20"/>
                <w:szCs w:val="24"/>
              </w:rPr>
              <w:t xml:space="preserve"> </w:t>
            </w:r>
            <w:r w:rsidRPr="00A74D4C">
              <w:rPr>
                <w:rFonts w:ascii="Times New Roman" w:hAnsi="Times New Roman"/>
                <w:sz w:val="20"/>
                <w:szCs w:val="24"/>
              </w:rPr>
              <w:t>or</w:t>
            </w:r>
            <w:r w:rsidRPr="00A74D4C">
              <w:rPr>
                <w:rFonts w:ascii="Times New Roman" w:hAnsi="Times New Roman"/>
                <w:spacing w:val="1"/>
                <w:sz w:val="20"/>
                <w:szCs w:val="24"/>
              </w:rPr>
              <w:t xml:space="preserve"> </w:t>
            </w:r>
            <w:r w:rsidRPr="00A74D4C">
              <w:rPr>
                <w:rFonts w:ascii="Times New Roman" w:hAnsi="Times New Roman"/>
                <w:spacing w:val="-1"/>
                <w:sz w:val="20"/>
                <w:szCs w:val="24"/>
              </w:rPr>
              <w:t>refraction</w:t>
            </w:r>
            <w:r w:rsidRPr="00A74D4C">
              <w:rPr>
                <w:rFonts w:ascii="Times New Roman" w:hAnsi="Times New Roman"/>
                <w:spacing w:val="5"/>
                <w:sz w:val="20"/>
                <w:szCs w:val="24"/>
              </w:rPr>
              <w:t xml:space="preserve"> </w:t>
            </w:r>
            <w:r w:rsidRPr="00A74D4C">
              <w:rPr>
                <w:rFonts w:ascii="Times New Roman" w:hAnsi="Times New Roman"/>
                <w:spacing w:val="-1"/>
                <w:sz w:val="20"/>
                <w:szCs w:val="24"/>
              </w:rPr>
              <w:t>over</w:t>
            </w:r>
            <w:r w:rsidRPr="00A74D4C">
              <w:rPr>
                <w:rFonts w:ascii="Times New Roman" w:hAnsi="Times New Roman"/>
                <w:spacing w:val="7"/>
                <w:sz w:val="20"/>
                <w:szCs w:val="24"/>
              </w:rPr>
              <w:t xml:space="preserve"> </w:t>
            </w:r>
            <w:r w:rsidRPr="00A74D4C">
              <w:rPr>
                <w:rFonts w:ascii="Times New Roman" w:hAnsi="Times New Roman"/>
                <w:sz w:val="20"/>
                <w:szCs w:val="24"/>
              </w:rPr>
              <w:t>time</w:t>
            </w:r>
            <w:r w:rsidRPr="00A74D4C">
              <w:rPr>
                <w:rFonts w:ascii="Times New Roman" w:hAnsi="Times New Roman"/>
                <w:spacing w:val="5"/>
                <w:sz w:val="20"/>
                <w:szCs w:val="24"/>
              </w:rPr>
              <w:t xml:space="preserve"> </w:t>
            </w:r>
            <w:r w:rsidRPr="00A74D4C">
              <w:rPr>
                <w:rFonts w:ascii="Times New Roman" w:hAnsi="Times New Roman"/>
                <w:sz w:val="20"/>
                <w:szCs w:val="24"/>
              </w:rPr>
              <w:t>and/or</w:t>
            </w:r>
            <w:r w:rsidRPr="00A74D4C">
              <w:rPr>
                <w:rFonts w:ascii="Times New Roman" w:hAnsi="Times New Roman"/>
                <w:spacing w:val="1"/>
                <w:sz w:val="20"/>
                <w:szCs w:val="24"/>
              </w:rPr>
              <w:t xml:space="preserve"> </w:t>
            </w:r>
            <w:r w:rsidRPr="00A74D4C">
              <w:rPr>
                <w:rFonts w:ascii="Times New Roman" w:hAnsi="Times New Roman"/>
                <w:spacing w:val="-1"/>
                <w:sz w:val="20"/>
                <w:szCs w:val="24"/>
              </w:rPr>
              <w:t>posterior</w:t>
            </w:r>
            <w:r w:rsidRPr="00A74D4C">
              <w:rPr>
                <w:rFonts w:ascii="Times New Roman" w:hAnsi="Times New Roman"/>
                <w:spacing w:val="2"/>
                <w:sz w:val="20"/>
                <w:szCs w:val="24"/>
              </w:rPr>
              <w:t xml:space="preserve"> </w:t>
            </w:r>
            <w:r w:rsidRPr="00A74D4C">
              <w:rPr>
                <w:rFonts w:ascii="Times New Roman" w:hAnsi="Times New Roman"/>
                <w:sz w:val="20"/>
                <w:szCs w:val="24"/>
              </w:rPr>
              <w:t>elevation</w:t>
            </w:r>
            <w:r w:rsidRPr="00A74D4C">
              <w:rPr>
                <w:rFonts w:ascii="Times New Roman" w:hAnsi="Times New Roman"/>
                <w:spacing w:val="5"/>
                <w:sz w:val="20"/>
                <w:szCs w:val="24"/>
              </w:rPr>
              <w:t xml:space="preserve"> </w:t>
            </w:r>
            <w:r w:rsidRPr="00A74D4C">
              <w:rPr>
                <w:rFonts w:ascii="Times New Roman" w:hAnsi="Times New Roman"/>
                <w:sz w:val="20"/>
                <w:szCs w:val="24"/>
              </w:rPr>
              <w:t>data</w:t>
            </w:r>
            <w:r w:rsidRPr="00A74D4C">
              <w:rPr>
                <w:rFonts w:ascii="Times New Roman" w:hAnsi="Times New Roman"/>
                <w:spacing w:val="4"/>
                <w:sz w:val="20"/>
                <w:szCs w:val="24"/>
              </w:rPr>
              <w:t xml:space="preserve"> </w:t>
            </w:r>
            <w:r w:rsidRPr="00A74D4C">
              <w:rPr>
                <w:rFonts w:ascii="Times New Roman" w:hAnsi="Times New Roman"/>
                <w:sz w:val="20"/>
                <w:szCs w:val="24"/>
              </w:rPr>
              <w:t>and</w:t>
            </w:r>
            <w:r w:rsidRPr="00A74D4C">
              <w:rPr>
                <w:rFonts w:ascii="Times New Roman" w:hAnsi="Times New Roman"/>
                <w:spacing w:val="2"/>
                <w:sz w:val="20"/>
                <w:szCs w:val="24"/>
              </w:rPr>
              <w:t xml:space="preserve"> </w:t>
            </w:r>
            <w:r w:rsidRPr="00A74D4C">
              <w:rPr>
                <w:rFonts w:ascii="Times New Roman" w:hAnsi="Times New Roman"/>
                <w:sz w:val="20"/>
                <w:szCs w:val="24"/>
              </w:rPr>
              <w:t>objective</w:t>
            </w:r>
            <w:r w:rsidRPr="00A74D4C">
              <w:rPr>
                <w:rFonts w:ascii="Times New Roman" w:hAnsi="Times New Roman"/>
                <w:spacing w:val="5"/>
                <w:sz w:val="20"/>
                <w:szCs w:val="24"/>
              </w:rPr>
              <w:t xml:space="preserve"> </w:t>
            </w:r>
            <w:r w:rsidRPr="00A74D4C">
              <w:rPr>
                <w:rFonts w:ascii="Times New Roman" w:hAnsi="Times New Roman"/>
                <w:spacing w:val="-1"/>
                <w:sz w:val="20"/>
                <w:szCs w:val="24"/>
              </w:rPr>
              <w:t>documented</w:t>
            </w:r>
            <w:r w:rsidRPr="00A74D4C">
              <w:rPr>
                <w:rFonts w:ascii="Times New Roman" w:hAnsi="Times New Roman"/>
                <w:spacing w:val="71"/>
                <w:sz w:val="20"/>
                <w:szCs w:val="24"/>
              </w:rPr>
              <w:t xml:space="preserve"> </w:t>
            </w:r>
            <w:r w:rsidRPr="00A74D4C">
              <w:rPr>
                <w:rFonts w:ascii="Times New Roman" w:hAnsi="Times New Roman"/>
                <w:spacing w:val="-1"/>
                <w:sz w:val="20"/>
                <w:szCs w:val="24"/>
              </w:rPr>
              <w:t>progression</w:t>
            </w:r>
            <w:r w:rsidRPr="00A74D4C">
              <w:rPr>
                <w:rFonts w:ascii="Times New Roman" w:hAnsi="Times New Roman"/>
                <w:sz w:val="20"/>
                <w:szCs w:val="24"/>
              </w:rPr>
              <w:t xml:space="preserve"> at</w:t>
            </w:r>
            <w:r w:rsidRPr="00A74D4C">
              <w:rPr>
                <w:rFonts w:ascii="Times New Roman" w:hAnsi="Times New Roman"/>
                <w:spacing w:val="3"/>
                <w:sz w:val="20"/>
                <w:szCs w:val="24"/>
              </w:rPr>
              <w:t xml:space="preserve"> </w:t>
            </w:r>
            <w:r w:rsidRPr="00A74D4C">
              <w:rPr>
                <w:rFonts w:ascii="Times New Roman" w:hAnsi="Times New Roman"/>
                <w:sz w:val="20"/>
                <w:szCs w:val="24"/>
              </w:rPr>
              <w:t>a</w:t>
            </w:r>
            <w:r w:rsidRPr="00A74D4C">
              <w:rPr>
                <w:rFonts w:ascii="Times New Roman" w:hAnsi="Times New Roman"/>
                <w:spacing w:val="-4"/>
                <w:sz w:val="20"/>
                <w:szCs w:val="24"/>
              </w:rPr>
              <w:t xml:space="preserve"> </w:t>
            </w:r>
            <w:r w:rsidRPr="00A74D4C">
              <w:rPr>
                <w:rFonts w:ascii="Times New Roman" w:hAnsi="Times New Roman"/>
                <w:spacing w:val="-1"/>
                <w:sz w:val="20"/>
                <w:szCs w:val="24"/>
              </w:rPr>
              <w:t>subclinical</w:t>
            </w:r>
            <w:r w:rsidRPr="00A74D4C">
              <w:rPr>
                <w:rFonts w:ascii="Times New Roman" w:hAnsi="Times New Roman"/>
                <w:sz w:val="20"/>
                <w:szCs w:val="24"/>
              </w:rPr>
              <w:t xml:space="preserve"> </w:t>
            </w:r>
            <w:r w:rsidRPr="00A74D4C">
              <w:rPr>
                <w:rFonts w:ascii="Times New Roman" w:hAnsi="Times New Roman"/>
                <w:spacing w:val="-1"/>
                <w:sz w:val="20"/>
                <w:szCs w:val="24"/>
              </w:rPr>
              <w:t>level.</w:t>
            </w:r>
          </w:p>
          <w:p w14:paraId="6180C9E1" w14:textId="77777777" w:rsidR="005A5929" w:rsidRPr="00784BAD" w:rsidRDefault="005A5929" w:rsidP="00E37FEE">
            <w:pPr>
              <w:pStyle w:val="TableDataEntries"/>
              <w:spacing w:before="0" w:after="240" w:line="240" w:lineRule="auto"/>
              <w:jc w:val="left"/>
              <w:rPr>
                <w:rFonts w:ascii="Times New Roman" w:hAnsi="Times New Roman"/>
                <w:i/>
                <w:sz w:val="20"/>
                <w:szCs w:val="24"/>
              </w:rPr>
            </w:pPr>
          </w:p>
        </w:tc>
      </w:tr>
    </w:tbl>
    <w:p w14:paraId="7F8C2C9F" w14:textId="77777777" w:rsidR="000C4BBA" w:rsidRDefault="000C4BBA" w:rsidP="00E37FEE">
      <w:pPr>
        <w:pStyle w:val="BodyText"/>
        <w:spacing w:before="0" w:after="240" w:line="240" w:lineRule="auto"/>
        <w:rPr>
          <w:rFonts w:ascii="Times New Roman" w:hAnsi="Times New Roman"/>
          <w:sz w:val="24"/>
          <w:szCs w:val="24"/>
        </w:rPr>
      </w:pPr>
    </w:p>
    <w:p w14:paraId="649186EC" w14:textId="0C29FAB8" w:rsidR="00B55B8A" w:rsidRDefault="000C4BBA" w:rsidP="00E37FEE">
      <w:pPr>
        <w:pStyle w:val="BodyText"/>
        <w:spacing w:before="0" w:after="240" w:line="240" w:lineRule="auto"/>
        <w:rPr>
          <w:rFonts w:ascii="Times New Roman" w:hAnsi="Times New Roman"/>
          <w:sz w:val="24"/>
          <w:szCs w:val="24"/>
        </w:rPr>
      </w:pPr>
      <w:r>
        <w:rPr>
          <w:rFonts w:ascii="Times New Roman" w:hAnsi="Times New Roman"/>
          <w:sz w:val="24"/>
          <w:szCs w:val="24"/>
        </w:rPr>
        <w:t>The application</w:t>
      </w:r>
      <w:r w:rsidRPr="00784BAD">
        <w:rPr>
          <w:rFonts w:ascii="Times New Roman" w:hAnsi="Times New Roman"/>
          <w:sz w:val="24"/>
          <w:szCs w:val="24"/>
        </w:rPr>
        <w:t xml:space="preserve"> proposed fee is $1500. PASC suggested a fee of $900-$1300 would be appropriate (between the cost of cataract surgery and corneal transplant). During the public consultation, consumers advised that currently, they are being charged between $2000–3000 per eye ($4000–$6000 for both eyes). </w:t>
      </w:r>
    </w:p>
    <w:p w14:paraId="09116FC0" w14:textId="41842B80" w:rsidR="005A5929" w:rsidRPr="0045582A" w:rsidRDefault="00F375CA" w:rsidP="00E37FEE">
      <w:pPr>
        <w:pStyle w:val="BodyText"/>
        <w:spacing w:before="0" w:after="240" w:line="240" w:lineRule="auto"/>
        <w:rPr>
          <w:rFonts w:ascii="Times New Roman" w:hAnsi="Times New Roman"/>
          <w:sz w:val="24"/>
          <w:szCs w:val="24"/>
        </w:rPr>
      </w:pPr>
      <w:r>
        <w:rPr>
          <w:rFonts w:ascii="Times New Roman" w:hAnsi="Times New Roman"/>
          <w:sz w:val="24"/>
          <w:szCs w:val="24"/>
        </w:rPr>
        <w:lastRenderedPageBreak/>
        <w:t xml:space="preserve">The </w:t>
      </w:r>
      <w:r w:rsidR="00182148">
        <w:rPr>
          <w:rFonts w:ascii="Times New Roman" w:hAnsi="Times New Roman"/>
          <w:sz w:val="24"/>
          <w:szCs w:val="24"/>
        </w:rPr>
        <w:t>CCXL</w:t>
      </w:r>
      <w:r w:rsidR="00B55B8A" w:rsidRPr="00B55B8A">
        <w:rPr>
          <w:rFonts w:ascii="Times New Roman" w:hAnsi="Times New Roman"/>
          <w:sz w:val="24"/>
          <w:szCs w:val="24"/>
        </w:rPr>
        <w:t xml:space="preserve"> procedure can be performed in day surgery facilities or other facilities that have adequate air handling systems and sterile conditions.</w:t>
      </w:r>
    </w:p>
    <w:p w14:paraId="72DBDAEB" w14:textId="41EC9D0F" w:rsidR="00BC1364" w:rsidRPr="00A8163B" w:rsidRDefault="00BC1364" w:rsidP="00A8163B">
      <w:pPr>
        <w:pStyle w:val="Heading1"/>
      </w:pPr>
      <w:r w:rsidRPr="00A8163B">
        <w:t xml:space="preserve">Summary of </w:t>
      </w:r>
      <w:r w:rsidR="003D7F29" w:rsidRPr="00A8163B">
        <w:t>Public Consultation</w:t>
      </w:r>
      <w:r w:rsidRPr="00A8163B">
        <w:t xml:space="preserve"> Feedback</w:t>
      </w:r>
      <w:r w:rsidR="003D7F29" w:rsidRPr="00A8163B">
        <w:t>/Consumer Issues</w:t>
      </w:r>
    </w:p>
    <w:p w14:paraId="43FA30D8" w14:textId="2D5212C8" w:rsidR="0058426A" w:rsidRPr="00784BAD" w:rsidRDefault="0058426A" w:rsidP="00E37FEE">
      <w:pPr>
        <w:spacing w:after="240"/>
      </w:pPr>
      <w:r w:rsidRPr="00784BAD">
        <w:t>PASC received three responses from peak bodies, two responses from organisations, 14</w:t>
      </w:r>
      <w:r w:rsidR="00A74D4C">
        <w:t> </w:t>
      </w:r>
      <w:r w:rsidRPr="00784BAD">
        <w:t>responses from specialists, 20 responses from consumers and 12 responses from carers.</w:t>
      </w:r>
    </w:p>
    <w:p w14:paraId="7030B318" w14:textId="77777777" w:rsidR="0058426A" w:rsidRPr="00784BAD" w:rsidRDefault="0058426A" w:rsidP="00E37FEE">
      <w:pPr>
        <w:spacing w:after="240"/>
        <w:rPr>
          <w:szCs w:val="24"/>
        </w:rPr>
      </w:pPr>
      <w:r w:rsidRPr="00784BAD">
        <w:rPr>
          <w:szCs w:val="24"/>
        </w:rPr>
        <w:t>Consultation feedback for the proposal</w:t>
      </w:r>
      <w:r w:rsidR="00D154DA">
        <w:rPr>
          <w:szCs w:val="24"/>
        </w:rPr>
        <w:t xml:space="preserve"> was positive. </w:t>
      </w:r>
      <w:r w:rsidRPr="00784BAD">
        <w:rPr>
          <w:szCs w:val="24"/>
        </w:rPr>
        <w:t>Issues raised in the responses were:</w:t>
      </w:r>
    </w:p>
    <w:p w14:paraId="17539DC0" w14:textId="77777777" w:rsidR="0058426A" w:rsidRPr="00784BAD" w:rsidRDefault="0058426A" w:rsidP="00E37FEE">
      <w:pPr>
        <w:pStyle w:val="ListParagraph"/>
        <w:numPr>
          <w:ilvl w:val="0"/>
          <w:numId w:val="26"/>
        </w:numPr>
        <w:spacing w:after="240"/>
      </w:pPr>
      <w:r w:rsidRPr="00784BAD">
        <w:rPr>
          <w:color w:val="000000"/>
        </w:rPr>
        <w:t>The proposed population should be expanded to patients with corneal ectatic disorders.</w:t>
      </w:r>
    </w:p>
    <w:p w14:paraId="7DD7964E" w14:textId="77777777" w:rsidR="0058426A" w:rsidRPr="00784BAD" w:rsidRDefault="0058426A" w:rsidP="00E37FEE">
      <w:pPr>
        <w:pStyle w:val="ListParagraph"/>
        <w:numPr>
          <w:ilvl w:val="0"/>
          <w:numId w:val="26"/>
        </w:numPr>
        <w:spacing w:after="240"/>
      </w:pPr>
      <w:r w:rsidRPr="00784BAD">
        <w:t>C</w:t>
      </w:r>
      <w:r w:rsidRPr="00784BAD">
        <w:rPr>
          <w:color w:val="000000"/>
        </w:rPr>
        <w:t>orrective lenses including hard lenses only address the sympt</w:t>
      </w:r>
      <w:r w:rsidR="00D154DA">
        <w:rPr>
          <w:color w:val="000000"/>
        </w:rPr>
        <w:t xml:space="preserve">oms of the medical condition. </w:t>
      </w:r>
      <w:r w:rsidRPr="00784BAD">
        <w:rPr>
          <w:color w:val="000000"/>
        </w:rPr>
        <w:t xml:space="preserve">The two treatments for the medical condition are the proposed procedure and penetrating corneal grafts, therefore the </w:t>
      </w:r>
      <w:r w:rsidRPr="00784BAD">
        <w:t xml:space="preserve">procedure should be used as a first line treatment. </w:t>
      </w:r>
    </w:p>
    <w:p w14:paraId="52AE1A15" w14:textId="77777777" w:rsidR="0058426A" w:rsidRPr="00784BAD" w:rsidRDefault="0058426A" w:rsidP="00E37FEE">
      <w:pPr>
        <w:pStyle w:val="ListParagraph"/>
        <w:numPr>
          <w:ilvl w:val="0"/>
          <w:numId w:val="26"/>
        </w:numPr>
        <w:spacing w:after="240"/>
      </w:pPr>
      <w:r w:rsidRPr="00784BAD">
        <w:t xml:space="preserve">Additional measures should be used to determine evidence of progression of the medical condition in patients under 25 as there is a high risk of rapid progression in this population group.  These measures may include posterior elevation data and objective documented progression at a subclinical level.  </w:t>
      </w:r>
    </w:p>
    <w:p w14:paraId="2AD7CCD1" w14:textId="6F95D39B" w:rsidR="00BC1364" w:rsidRPr="00227B0F" w:rsidRDefault="0058426A" w:rsidP="00E37FEE">
      <w:pPr>
        <w:pStyle w:val="ListParagraph"/>
        <w:numPr>
          <w:ilvl w:val="0"/>
          <w:numId w:val="26"/>
        </w:numPr>
        <w:spacing w:after="240"/>
      </w:pPr>
      <w:r w:rsidRPr="00784BAD">
        <w:t>The MBS Item fee should be revised from $1500 to greater than $2000 to reflect current procedure costs.</w:t>
      </w:r>
    </w:p>
    <w:p w14:paraId="309A87C6" w14:textId="794F8CFC" w:rsidR="00BC1364" w:rsidRPr="00A8163B" w:rsidRDefault="00BC1364" w:rsidP="00A8163B">
      <w:pPr>
        <w:pStyle w:val="Heading1"/>
      </w:pPr>
      <w:r w:rsidRPr="00A8163B">
        <w:t>Proposed intervention’s place in clinical management</w:t>
      </w:r>
    </w:p>
    <w:p w14:paraId="33578BD3" w14:textId="77777777" w:rsidR="00D154DA" w:rsidRPr="00D154DA" w:rsidRDefault="00182148" w:rsidP="00E37FEE">
      <w:pPr>
        <w:autoSpaceDE w:val="0"/>
        <w:autoSpaceDN w:val="0"/>
        <w:adjustRightInd w:val="0"/>
        <w:spacing w:after="240"/>
        <w:rPr>
          <w:rFonts w:eastAsia="Calibri"/>
          <w:color w:val="000000"/>
          <w:szCs w:val="24"/>
        </w:rPr>
      </w:pPr>
      <w:r>
        <w:rPr>
          <w:rFonts w:eastAsia="Calibri"/>
          <w:color w:val="000000"/>
          <w:szCs w:val="24"/>
        </w:rPr>
        <w:t>CCXL</w:t>
      </w:r>
      <w:r w:rsidR="00D154DA" w:rsidRPr="00D154DA">
        <w:rPr>
          <w:rFonts w:eastAsia="Calibri"/>
          <w:color w:val="000000"/>
          <w:szCs w:val="24"/>
        </w:rPr>
        <w:t xml:space="preserve"> will be used in patient</w:t>
      </w:r>
      <w:r w:rsidR="00D154DA">
        <w:rPr>
          <w:rFonts w:eastAsia="Calibri"/>
          <w:color w:val="000000"/>
          <w:szCs w:val="24"/>
        </w:rPr>
        <w:t>s with corneal ectatic disorder</w:t>
      </w:r>
      <w:r w:rsidR="00D154DA" w:rsidRPr="00D154DA">
        <w:rPr>
          <w:rFonts w:eastAsia="Calibri"/>
          <w:color w:val="000000"/>
          <w:szCs w:val="24"/>
        </w:rPr>
        <w:t>s (primar</w:t>
      </w:r>
      <w:r w:rsidR="00F03659">
        <w:rPr>
          <w:rFonts w:eastAsia="Calibri"/>
          <w:color w:val="000000"/>
          <w:szCs w:val="24"/>
        </w:rPr>
        <w:t>i</w:t>
      </w:r>
      <w:r w:rsidR="00D154DA" w:rsidRPr="00D154DA">
        <w:rPr>
          <w:rFonts w:eastAsia="Calibri"/>
          <w:color w:val="000000"/>
          <w:szCs w:val="24"/>
        </w:rPr>
        <w:t>ly keratoconus) with evidence of progression of the disease.</w:t>
      </w:r>
    </w:p>
    <w:p w14:paraId="409BEFC6" w14:textId="39FB425B" w:rsidR="00D154DA" w:rsidRDefault="00D154DA" w:rsidP="00E37FEE">
      <w:pPr>
        <w:autoSpaceDE w:val="0"/>
        <w:autoSpaceDN w:val="0"/>
        <w:adjustRightInd w:val="0"/>
        <w:spacing w:after="240"/>
        <w:rPr>
          <w:rFonts w:eastAsia="Calibri"/>
          <w:color w:val="000000"/>
          <w:szCs w:val="24"/>
        </w:rPr>
      </w:pPr>
      <w:r w:rsidRPr="00D154DA">
        <w:rPr>
          <w:rFonts w:eastAsia="Calibri"/>
          <w:color w:val="000000"/>
          <w:szCs w:val="24"/>
        </w:rPr>
        <w:t>Kerat</w:t>
      </w:r>
      <w:r w:rsidR="00A44FBD">
        <w:rPr>
          <w:rFonts w:eastAsia="Calibri"/>
          <w:color w:val="000000"/>
          <w:szCs w:val="24"/>
        </w:rPr>
        <w:t>oc</w:t>
      </w:r>
      <w:r w:rsidRPr="00D154DA">
        <w:rPr>
          <w:rFonts w:eastAsia="Calibri"/>
          <w:color w:val="000000"/>
          <w:szCs w:val="24"/>
        </w:rPr>
        <w:t>onus accounts for 90 per cent of patients with corneal ectatic disorders, with an estimated prevalence of one in 2000, or 0.05 per cent of the population.</w:t>
      </w:r>
    </w:p>
    <w:p w14:paraId="394A5BC4" w14:textId="77777777" w:rsidR="000B6956" w:rsidRPr="004B2B03" w:rsidRDefault="000B6956" w:rsidP="00E37FEE">
      <w:pPr>
        <w:autoSpaceDE w:val="0"/>
        <w:autoSpaceDN w:val="0"/>
        <w:adjustRightInd w:val="0"/>
        <w:spacing w:after="240"/>
        <w:rPr>
          <w:rFonts w:eastAsia="Calibri"/>
          <w:color w:val="000000"/>
          <w:szCs w:val="24"/>
        </w:rPr>
      </w:pPr>
      <w:r w:rsidRPr="004B2B03">
        <w:rPr>
          <w:rFonts w:eastAsia="Calibri"/>
          <w:color w:val="000000"/>
          <w:szCs w:val="24"/>
        </w:rPr>
        <w:t>The current approach to treating patient</w:t>
      </w:r>
      <w:r w:rsidR="00D154DA">
        <w:rPr>
          <w:rFonts w:eastAsia="Calibri"/>
          <w:color w:val="000000"/>
          <w:szCs w:val="24"/>
        </w:rPr>
        <w:t>s with corneal ectatic disorder</w:t>
      </w:r>
      <w:r w:rsidRPr="004B2B03">
        <w:rPr>
          <w:rFonts w:eastAsia="Calibri"/>
          <w:color w:val="000000"/>
          <w:szCs w:val="24"/>
        </w:rPr>
        <w:t xml:space="preserve">s involves, in the first instance, attempting to improve the patient’s vision with glasses (or soft contact lenses), if possible. If the condition progresses, and the glasses/soft contact lenses no longer improve the patient’s vision, hard contact lenses are fitted. If the lenses cannot be fitted, or are unsuccessful, patients undergo penetrating corneal graft. Some patients currently access corneal collagen cross-linking as an alternative to corneal grafting by self-funding the procedure. </w:t>
      </w:r>
    </w:p>
    <w:p w14:paraId="03B93C2E" w14:textId="40A73D53" w:rsidR="00F93545" w:rsidRPr="004B2B03" w:rsidRDefault="000B6956" w:rsidP="00E37FEE">
      <w:pPr>
        <w:spacing w:after="240"/>
        <w:rPr>
          <w:rFonts w:eastAsia="Calibri"/>
          <w:color w:val="000000"/>
          <w:szCs w:val="24"/>
        </w:rPr>
      </w:pPr>
      <w:r w:rsidRPr="004B2B03">
        <w:rPr>
          <w:rFonts w:eastAsia="Calibri"/>
          <w:color w:val="000000"/>
          <w:szCs w:val="24"/>
        </w:rPr>
        <w:t xml:space="preserve">Under the proposed </w:t>
      </w:r>
      <w:r w:rsidR="00F375CA">
        <w:rPr>
          <w:rFonts w:eastAsia="Calibri"/>
          <w:color w:val="000000"/>
          <w:szCs w:val="24"/>
        </w:rPr>
        <w:t xml:space="preserve">clinical management algorithm, </w:t>
      </w:r>
      <w:r w:rsidR="00182148">
        <w:rPr>
          <w:rFonts w:eastAsia="Calibri"/>
          <w:color w:val="000000"/>
          <w:szCs w:val="24"/>
        </w:rPr>
        <w:t>CCXL</w:t>
      </w:r>
      <w:r w:rsidRPr="004B2B03">
        <w:rPr>
          <w:rFonts w:eastAsia="Calibri"/>
          <w:color w:val="000000"/>
          <w:szCs w:val="24"/>
        </w:rPr>
        <w:t xml:space="preserve"> would be used as a first line treatment once there is evidence of progression, regardless of whether glasses or contact lenses have been tried. The proposed tr</w:t>
      </w:r>
      <w:r w:rsidR="00F375CA">
        <w:rPr>
          <w:rFonts w:eastAsia="Calibri"/>
          <w:color w:val="000000"/>
          <w:szCs w:val="24"/>
        </w:rPr>
        <w:t xml:space="preserve">eatment pathway utilises </w:t>
      </w:r>
      <w:r w:rsidR="00182148">
        <w:rPr>
          <w:rFonts w:eastAsia="Calibri"/>
          <w:color w:val="000000"/>
          <w:szCs w:val="24"/>
        </w:rPr>
        <w:t>CCXL</w:t>
      </w:r>
      <w:r w:rsidRPr="004B2B03">
        <w:rPr>
          <w:rFonts w:eastAsia="Calibri"/>
          <w:color w:val="000000"/>
          <w:szCs w:val="24"/>
        </w:rPr>
        <w:t xml:space="preserve"> as a preventative treatment (intending to halt the progress of the disease early). It involves gla</w:t>
      </w:r>
      <w:r w:rsidR="00F375CA">
        <w:rPr>
          <w:rFonts w:eastAsia="Calibri"/>
          <w:color w:val="000000"/>
          <w:szCs w:val="24"/>
        </w:rPr>
        <w:t xml:space="preserve">sses/soft contact lenses, then </w:t>
      </w:r>
      <w:r w:rsidR="00182148">
        <w:rPr>
          <w:rFonts w:eastAsia="Calibri"/>
          <w:color w:val="000000"/>
          <w:szCs w:val="24"/>
        </w:rPr>
        <w:t>CCXL</w:t>
      </w:r>
      <w:r w:rsidRPr="004B2B03">
        <w:rPr>
          <w:rFonts w:eastAsia="Calibri"/>
          <w:color w:val="000000"/>
          <w:szCs w:val="24"/>
        </w:rPr>
        <w:t>, then hard contact lenses and then penetrating corneal</w:t>
      </w:r>
      <w:r w:rsidR="00F93545">
        <w:rPr>
          <w:rFonts w:eastAsia="Calibri"/>
          <w:color w:val="000000"/>
          <w:szCs w:val="24"/>
        </w:rPr>
        <w:t xml:space="preserve"> graft.</w:t>
      </w:r>
    </w:p>
    <w:p w14:paraId="4C029129" w14:textId="2927BA7D" w:rsidR="00F93545" w:rsidRPr="00A8163B" w:rsidRDefault="00BC1364" w:rsidP="00A8163B">
      <w:pPr>
        <w:pStyle w:val="Heading1"/>
      </w:pPr>
      <w:r w:rsidRPr="00A8163B">
        <w:t xml:space="preserve">Comparator </w:t>
      </w:r>
    </w:p>
    <w:p w14:paraId="2F021CDC" w14:textId="0E8FC6AD" w:rsidR="0045582A" w:rsidRPr="008D4CF4" w:rsidRDefault="00F93545" w:rsidP="00E37FEE">
      <w:pPr>
        <w:spacing w:after="240"/>
        <w:rPr>
          <w:color w:val="FF0000"/>
          <w:szCs w:val="24"/>
        </w:rPr>
      </w:pPr>
      <w:r w:rsidRPr="00F93545">
        <w:rPr>
          <w:szCs w:val="24"/>
        </w:rPr>
        <w:t>The current treatment pathway involves attempting to improve the patient’s vision with glasses or soft contact lenses, and if no improvement or deterioration then hard contact lenses. If hard contact lenses cannot be fitted or are unsuccessful, then patients undertake penetrating corneal graft.</w:t>
      </w:r>
    </w:p>
    <w:p w14:paraId="22C4580A" w14:textId="4F47C533" w:rsidR="00BC1364" w:rsidRPr="00A8163B" w:rsidRDefault="00BC1364" w:rsidP="00A8163B">
      <w:pPr>
        <w:pStyle w:val="Heading1"/>
      </w:pPr>
      <w:r w:rsidRPr="00A8163B">
        <w:t>Comparative safety</w:t>
      </w:r>
    </w:p>
    <w:p w14:paraId="783C712E" w14:textId="0F650FAB" w:rsidR="008156EC" w:rsidRDefault="00BB19D5" w:rsidP="00E37FEE">
      <w:pPr>
        <w:spacing w:after="240"/>
      </w:pPr>
      <w:r w:rsidRPr="00784BAD">
        <w:t xml:space="preserve">Adverse </w:t>
      </w:r>
      <w:r w:rsidR="00F375CA">
        <w:t xml:space="preserve">events and complications after </w:t>
      </w:r>
      <w:r w:rsidR="00182148">
        <w:t>CCXL</w:t>
      </w:r>
      <w:r w:rsidRPr="00784BAD">
        <w:t xml:space="preserve"> are not well reported in </w:t>
      </w:r>
      <w:r w:rsidR="008156EC">
        <w:t xml:space="preserve">the </w:t>
      </w:r>
      <w:r w:rsidRPr="00784BAD">
        <w:t xml:space="preserve">randomised trials, so there are few comparative safety data. A range of adverse events </w:t>
      </w:r>
      <w:r w:rsidR="008156EC">
        <w:t>were</w:t>
      </w:r>
      <w:r w:rsidRPr="00784BAD">
        <w:t xml:space="preserve"> described but these are generally min</w:t>
      </w:r>
      <w:r w:rsidR="008156EC">
        <w:t>or and transient. Corneal haze wa</w:t>
      </w:r>
      <w:r w:rsidRPr="00784BAD">
        <w:t>s common but resolves over time.</w:t>
      </w:r>
    </w:p>
    <w:p w14:paraId="39A24116" w14:textId="3316DA4E" w:rsidR="00D154DA" w:rsidRPr="00227B0F" w:rsidRDefault="008156EC" w:rsidP="00227B0F">
      <w:pPr>
        <w:spacing w:after="240"/>
      </w:pPr>
      <w:r>
        <w:lastRenderedPageBreak/>
        <w:t>The assessment report stated that it was not</w:t>
      </w:r>
      <w:r w:rsidR="00BB19D5" w:rsidRPr="00784BAD">
        <w:t xml:space="preserve"> possible to assess </w:t>
      </w:r>
      <w:r>
        <w:t xml:space="preserve">the </w:t>
      </w:r>
      <w:r w:rsidR="00F375CA">
        <w:t xml:space="preserve">safety of </w:t>
      </w:r>
      <w:r w:rsidR="00182148">
        <w:t>CCXL</w:t>
      </w:r>
      <w:r w:rsidR="00BB19D5" w:rsidRPr="00784BAD">
        <w:t xml:space="preserve"> relative to the conventional management pat</w:t>
      </w:r>
      <w:r w:rsidR="00F375CA">
        <w:t xml:space="preserve">hway without </w:t>
      </w:r>
      <w:r w:rsidR="00182148">
        <w:t>CCXL</w:t>
      </w:r>
      <w:r w:rsidR="00F85270">
        <w:t>. Therefore, at</w:t>
      </w:r>
      <w:r w:rsidR="00F375CA">
        <w:t xml:space="preserve"> best, </w:t>
      </w:r>
      <w:r w:rsidR="00182148">
        <w:t>CCXL</w:t>
      </w:r>
      <w:r w:rsidR="00BB19D5" w:rsidRPr="00784BAD">
        <w:t xml:space="preserve"> can be assessed to be non-inferior wi</w:t>
      </w:r>
      <w:r>
        <w:t>th respect to safety</w:t>
      </w:r>
      <w:r w:rsidR="00BB19D5" w:rsidRPr="00784BAD">
        <w:t xml:space="preserve">. </w:t>
      </w:r>
    </w:p>
    <w:p w14:paraId="5C6933E4" w14:textId="363725CF" w:rsidR="00BC1364" w:rsidRPr="00A8163B" w:rsidRDefault="00BC1364" w:rsidP="00A8163B">
      <w:pPr>
        <w:pStyle w:val="Heading1"/>
      </w:pPr>
      <w:r w:rsidRPr="00A8163B">
        <w:t>Comparative effectiveness</w:t>
      </w:r>
    </w:p>
    <w:p w14:paraId="3BBF948B" w14:textId="7CB255BB" w:rsidR="008156EC" w:rsidRPr="00227B0F" w:rsidRDefault="00B55B8A" w:rsidP="00227B0F">
      <w:pPr>
        <w:pStyle w:val="BodyText"/>
        <w:spacing w:before="0" w:after="240" w:line="240" w:lineRule="auto"/>
        <w:rPr>
          <w:rFonts w:ascii="Times New Roman" w:hAnsi="Times New Roman"/>
          <w:sz w:val="24"/>
          <w:szCs w:val="24"/>
          <w:lang w:eastAsia="en-US"/>
        </w:rPr>
      </w:pPr>
      <w:r>
        <w:rPr>
          <w:rFonts w:ascii="Times New Roman" w:hAnsi="Times New Roman"/>
          <w:sz w:val="24"/>
          <w:szCs w:val="24"/>
          <w:lang w:eastAsia="en-US"/>
        </w:rPr>
        <w:t>The included studies</w:t>
      </w:r>
      <w:r w:rsidRPr="00B55B8A">
        <w:rPr>
          <w:rFonts w:ascii="Times New Roman" w:hAnsi="Times New Roman"/>
          <w:sz w:val="24"/>
          <w:szCs w:val="24"/>
          <w:lang w:eastAsia="en-US"/>
        </w:rPr>
        <w:t xml:space="preserve"> comprised 7 randomised controlled trials, 8 systematic reviews and 50</w:t>
      </w:r>
      <w:r w:rsidR="005A5929">
        <w:rPr>
          <w:rFonts w:ascii="Times New Roman" w:hAnsi="Times New Roman"/>
          <w:sz w:val="24"/>
          <w:szCs w:val="24"/>
          <w:lang w:eastAsia="en-US"/>
        </w:rPr>
        <w:t> </w:t>
      </w:r>
      <w:r w:rsidRPr="00B55B8A">
        <w:rPr>
          <w:rFonts w:ascii="Times New Roman" w:hAnsi="Times New Roman"/>
          <w:sz w:val="24"/>
          <w:szCs w:val="24"/>
          <w:lang w:eastAsia="en-US"/>
        </w:rPr>
        <w:t>nonrandomised studies (cohort studies and case series).</w:t>
      </w:r>
      <w:r>
        <w:rPr>
          <w:rFonts w:ascii="Times New Roman" w:hAnsi="Times New Roman"/>
          <w:sz w:val="24"/>
          <w:szCs w:val="24"/>
          <w:lang w:eastAsia="en-US"/>
        </w:rPr>
        <w:t xml:space="preserve"> </w:t>
      </w:r>
      <w:r w:rsidRPr="00B55B8A">
        <w:rPr>
          <w:rFonts w:ascii="Times New Roman" w:hAnsi="Times New Roman"/>
          <w:sz w:val="24"/>
          <w:szCs w:val="24"/>
          <w:lang w:eastAsia="en-US"/>
        </w:rPr>
        <w:t>Primary effectiveness outcome measures analysed were best corrected visual acuity, uncorrected visual acuity, corneal topography, and spherical equivalent refractive error.</w:t>
      </w:r>
    </w:p>
    <w:p w14:paraId="3FB2764F" w14:textId="77777777" w:rsidR="005A5929" w:rsidRPr="005A5929" w:rsidRDefault="00F85270" w:rsidP="00E37FEE">
      <w:pPr>
        <w:spacing w:after="240"/>
      </w:pPr>
      <w:r>
        <w:t>A</w:t>
      </w:r>
      <w:r w:rsidRPr="00F85270">
        <w:t xml:space="preserve"> summary of key results for</w:t>
      </w:r>
      <w:r>
        <w:t xml:space="preserve"> the</w:t>
      </w:r>
      <w:r w:rsidR="00F375CA">
        <w:t xml:space="preserve"> standard </w:t>
      </w:r>
      <w:r w:rsidR="00182148">
        <w:t>CCXL</w:t>
      </w:r>
      <w:r w:rsidRPr="00F85270">
        <w:t xml:space="preserve"> procedure over 12 months or longer is shown in</w:t>
      </w:r>
      <w:r>
        <w:t xml:space="preserve"> Table 2.</w:t>
      </w:r>
      <w:bookmarkStart w:id="0" w:name="_Toc450313069"/>
    </w:p>
    <w:p w14:paraId="3C71780F" w14:textId="77777777" w:rsidR="008156EC" w:rsidRPr="008D4CF4" w:rsidRDefault="008156EC" w:rsidP="008D4CF4">
      <w:pPr>
        <w:pStyle w:val="Caption"/>
        <w:keepLines/>
        <w:numPr>
          <w:ilvl w:val="0"/>
          <w:numId w:val="27"/>
        </w:numPr>
        <w:jc w:val="left"/>
        <w:outlineLvl w:val="9"/>
        <w:rPr>
          <w:rFonts w:cs="Times New Roman"/>
        </w:rPr>
      </w:pPr>
      <w:r w:rsidRPr="008D4CF4">
        <w:rPr>
          <w:rFonts w:cs="Times New Roman"/>
        </w:rPr>
        <w:lastRenderedPageBreak/>
        <w:t xml:space="preserve">Table 2 Evidence profile: Overall </w:t>
      </w:r>
      <w:r w:rsidRPr="008D4CF4">
        <w:rPr>
          <w:rFonts w:cs="Times New Roman"/>
          <w:snapToGrid w:val="0"/>
        </w:rPr>
        <w:t xml:space="preserve">clinical effects of standard </w:t>
      </w:r>
      <w:r w:rsidR="00182148" w:rsidRPr="008D4CF4">
        <w:rPr>
          <w:rFonts w:cs="Times New Roman"/>
          <w:snapToGrid w:val="0"/>
        </w:rPr>
        <w:t>CCXL</w:t>
      </w:r>
      <w:r w:rsidRPr="008D4CF4">
        <w:rPr>
          <w:rFonts w:cs="Times New Roman"/>
          <w:snapToGrid w:val="0"/>
        </w:rPr>
        <w:t xml:space="preserve"> as measured in key included systematic reviews and randomised trials with 12 months followup or greater</w:t>
      </w:r>
      <w:bookmarkEnd w:id="0"/>
    </w:p>
    <w:tbl>
      <w:tblPr>
        <w:tblW w:w="4917" w:type="pct"/>
        <w:tblLook w:val="04A0" w:firstRow="1" w:lastRow="0" w:firstColumn="1" w:lastColumn="0" w:noHBand="0" w:noVBand="1"/>
        <w:tblDescription w:val="Table 2 Evidende profile: Overall clinical effects of standard CCXL as measured in key included systematic reviews and randomised trials with 12 month follow up or greater"/>
      </w:tblPr>
      <w:tblGrid>
        <w:gridCol w:w="1051"/>
        <w:gridCol w:w="2409"/>
        <w:gridCol w:w="1843"/>
        <w:gridCol w:w="992"/>
        <w:gridCol w:w="2693"/>
      </w:tblGrid>
      <w:tr w:rsidR="00F85270" w:rsidRPr="00784BAD" w14:paraId="42E48F89" w14:textId="77777777" w:rsidTr="00F85270">
        <w:tc>
          <w:tcPr>
            <w:tcW w:w="584" w:type="pct"/>
            <w:tcBorders>
              <w:bottom w:val="single" w:sz="8" w:space="0" w:color="FFFFFF" w:themeColor="background1"/>
            </w:tcBorders>
            <w:shd w:val="clear" w:color="auto" w:fill="6F6652"/>
            <w:tcMar>
              <w:left w:w="57" w:type="dxa"/>
              <w:right w:w="57" w:type="dxa"/>
            </w:tcMar>
          </w:tcPr>
          <w:p w14:paraId="6817BC9A" w14:textId="77777777" w:rsidR="00F85270" w:rsidRPr="00784BAD" w:rsidRDefault="00F85270" w:rsidP="00E37FEE">
            <w:pPr>
              <w:pStyle w:val="TableDataColumnHeading"/>
              <w:spacing w:before="0" w:after="240" w:line="240" w:lineRule="auto"/>
              <w:jc w:val="left"/>
              <w:rPr>
                <w:rFonts w:ascii="Times New Roman" w:hAnsi="Times New Roman"/>
                <w:sz w:val="18"/>
              </w:rPr>
            </w:pPr>
            <w:r w:rsidRPr="00784BAD">
              <w:rPr>
                <w:rFonts w:ascii="Times New Roman" w:hAnsi="Times New Roman"/>
                <w:sz w:val="18"/>
              </w:rPr>
              <w:t>Outcomes (units)</w:t>
            </w:r>
          </w:p>
        </w:tc>
        <w:tc>
          <w:tcPr>
            <w:tcW w:w="1340" w:type="pct"/>
            <w:tcBorders>
              <w:bottom w:val="single" w:sz="8" w:space="0" w:color="FFFFFF" w:themeColor="background1"/>
            </w:tcBorders>
            <w:shd w:val="clear" w:color="auto" w:fill="6F6652"/>
            <w:tcMar>
              <w:left w:w="57" w:type="dxa"/>
              <w:right w:w="57" w:type="dxa"/>
            </w:tcMar>
          </w:tcPr>
          <w:p w14:paraId="71AB4206" w14:textId="77777777" w:rsidR="00F85270" w:rsidRPr="00784BAD" w:rsidRDefault="00F85270" w:rsidP="00E37FEE">
            <w:pPr>
              <w:pStyle w:val="TableDataColumnHeading"/>
              <w:spacing w:before="0" w:after="240" w:line="240" w:lineRule="auto"/>
              <w:rPr>
                <w:rFonts w:ascii="Times New Roman" w:hAnsi="Times New Roman"/>
                <w:sz w:val="18"/>
              </w:rPr>
            </w:pPr>
            <w:r w:rsidRPr="00784BAD">
              <w:rPr>
                <w:rFonts w:ascii="Times New Roman" w:hAnsi="Times New Roman"/>
                <w:sz w:val="18"/>
              </w:rPr>
              <w:t>Participants (studies)</w:t>
            </w:r>
          </w:p>
          <w:p w14:paraId="5210D777" w14:textId="77777777" w:rsidR="00F85270" w:rsidRPr="00784BAD" w:rsidRDefault="00F85270" w:rsidP="00E37FEE">
            <w:pPr>
              <w:pStyle w:val="TableDataColumnHeading"/>
              <w:spacing w:before="0" w:after="240" w:line="240" w:lineRule="auto"/>
              <w:rPr>
                <w:rFonts w:ascii="Times New Roman" w:hAnsi="Times New Roman"/>
                <w:sz w:val="18"/>
              </w:rPr>
            </w:pPr>
          </w:p>
        </w:tc>
        <w:tc>
          <w:tcPr>
            <w:tcW w:w="1025" w:type="pct"/>
            <w:tcBorders>
              <w:bottom w:val="single" w:sz="8" w:space="0" w:color="FFFFFF" w:themeColor="background1"/>
            </w:tcBorders>
            <w:shd w:val="clear" w:color="auto" w:fill="6F6652"/>
            <w:tcMar>
              <w:left w:w="57" w:type="dxa"/>
              <w:right w:w="57" w:type="dxa"/>
            </w:tcMar>
          </w:tcPr>
          <w:p w14:paraId="6B26D0A9" w14:textId="77777777" w:rsidR="00F85270" w:rsidRPr="00784BAD" w:rsidRDefault="00F85270" w:rsidP="00E37FEE">
            <w:pPr>
              <w:pStyle w:val="TableDataColumnHeading"/>
              <w:spacing w:before="0" w:after="240" w:line="240" w:lineRule="auto"/>
              <w:rPr>
                <w:rFonts w:ascii="Times New Roman" w:hAnsi="Times New Roman"/>
                <w:sz w:val="18"/>
              </w:rPr>
            </w:pPr>
            <w:r w:rsidRPr="00784BAD">
              <w:rPr>
                <w:rFonts w:ascii="Times New Roman" w:hAnsi="Times New Roman"/>
                <w:sz w:val="18"/>
              </w:rPr>
              <w:t>Type of study</w:t>
            </w:r>
          </w:p>
        </w:tc>
        <w:tc>
          <w:tcPr>
            <w:tcW w:w="552" w:type="pct"/>
            <w:tcBorders>
              <w:bottom w:val="single" w:sz="8" w:space="0" w:color="FFFFFF" w:themeColor="background1"/>
            </w:tcBorders>
            <w:shd w:val="clear" w:color="auto" w:fill="6F6652"/>
            <w:tcMar>
              <w:left w:w="57" w:type="dxa"/>
              <w:right w:w="57" w:type="dxa"/>
            </w:tcMar>
          </w:tcPr>
          <w:p w14:paraId="4B1FDAD4" w14:textId="77777777" w:rsidR="00F85270" w:rsidRPr="00784BAD" w:rsidRDefault="00F85270" w:rsidP="00E37FEE">
            <w:pPr>
              <w:pStyle w:val="TableDataColumnHeading"/>
              <w:spacing w:before="0" w:after="240" w:line="240" w:lineRule="auto"/>
              <w:rPr>
                <w:rFonts w:ascii="Times New Roman" w:hAnsi="Times New Roman"/>
                <w:sz w:val="18"/>
              </w:rPr>
            </w:pPr>
            <w:r w:rsidRPr="00784BAD">
              <w:rPr>
                <w:rFonts w:ascii="Times New Roman" w:hAnsi="Times New Roman"/>
                <w:sz w:val="18"/>
              </w:rPr>
              <w:t>Quality of evidence (GRADE)</w:t>
            </w:r>
            <w:r w:rsidRPr="00784BAD">
              <w:rPr>
                <w:rFonts w:ascii="Times New Roman" w:hAnsi="Times New Roman"/>
                <w:sz w:val="18"/>
                <w:vertAlign w:val="superscript"/>
              </w:rPr>
              <w:t>a</w:t>
            </w:r>
          </w:p>
        </w:tc>
        <w:tc>
          <w:tcPr>
            <w:tcW w:w="1498" w:type="pct"/>
            <w:tcBorders>
              <w:bottom w:val="single" w:sz="8" w:space="0" w:color="FFFFFF" w:themeColor="background1"/>
            </w:tcBorders>
            <w:shd w:val="clear" w:color="auto" w:fill="6F6652"/>
            <w:tcMar>
              <w:left w:w="57" w:type="dxa"/>
              <w:right w:w="57" w:type="dxa"/>
            </w:tcMar>
          </w:tcPr>
          <w:p w14:paraId="201AE58A" w14:textId="77777777" w:rsidR="00F85270" w:rsidRPr="00784BAD" w:rsidRDefault="00F85270" w:rsidP="00E37FEE">
            <w:pPr>
              <w:pStyle w:val="TableDataColumnHeading"/>
              <w:spacing w:before="0" w:after="240" w:line="240" w:lineRule="auto"/>
              <w:rPr>
                <w:rFonts w:ascii="Times New Roman" w:hAnsi="Times New Roman"/>
                <w:sz w:val="18"/>
              </w:rPr>
            </w:pPr>
            <w:r w:rsidRPr="00784BAD">
              <w:rPr>
                <w:rFonts w:ascii="Times New Roman" w:hAnsi="Times New Roman"/>
                <w:sz w:val="18"/>
              </w:rPr>
              <w:t xml:space="preserve">Effect (summary) </w:t>
            </w:r>
          </w:p>
        </w:tc>
      </w:tr>
      <w:tr w:rsidR="00F85270" w:rsidRPr="00784BAD" w14:paraId="246BA65C" w14:textId="77777777" w:rsidTr="00F85270">
        <w:tc>
          <w:tcPr>
            <w:tcW w:w="584"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556361A5" w14:textId="77777777" w:rsidR="00F85270" w:rsidRPr="00784BAD" w:rsidRDefault="00F85270" w:rsidP="00E37FEE">
            <w:pPr>
              <w:pStyle w:val="TableTextEntries"/>
              <w:keepNext/>
              <w:spacing w:before="0" w:after="240" w:line="240" w:lineRule="auto"/>
              <w:rPr>
                <w:rFonts w:ascii="Times New Roman" w:hAnsi="Times New Roman"/>
                <w:sz w:val="18"/>
              </w:rPr>
            </w:pPr>
            <w:r w:rsidRPr="00784BAD">
              <w:rPr>
                <w:rFonts w:ascii="Times New Roman" w:hAnsi="Times New Roman"/>
                <w:sz w:val="18"/>
              </w:rPr>
              <w:t>Corrected visual acuity (logMAR)</w:t>
            </w:r>
          </w:p>
        </w:tc>
        <w:tc>
          <w:tcPr>
            <w:tcW w:w="1340"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60A5DFD7"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 xml:space="preserve">Craig 2014; Meiri 2016 </w:t>
            </w:r>
          </w:p>
        </w:tc>
        <w:tc>
          <w:tcPr>
            <w:tcW w:w="1025"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56892055"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 xml:space="preserve">Meta-analysis </w:t>
            </w:r>
            <w:r w:rsidRPr="00784BAD">
              <w:rPr>
                <w:rFonts w:ascii="Times New Roman" w:hAnsi="Times New Roman"/>
                <w:sz w:val="18"/>
              </w:rPr>
              <w:br/>
              <w:t>(RCTs and NRS)</w:t>
            </w:r>
          </w:p>
        </w:tc>
        <w:tc>
          <w:tcPr>
            <w:tcW w:w="552"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65AA45ED"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Low</w:t>
            </w:r>
          </w:p>
        </w:tc>
        <w:tc>
          <w:tcPr>
            <w:tcW w:w="1498"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50498843"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–0.1 at 12&amp;24 months:</w:t>
            </w:r>
          </w:p>
          <w:p w14:paraId="2FFD5326"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 xml:space="preserve">–0.09 at </w:t>
            </w:r>
            <w:r w:rsidRPr="00784BAD">
              <w:rPr>
                <w:rFonts w:ascii="Times New Roman" w:hAnsi="Times New Roman"/>
                <w:sz w:val="18"/>
                <w:u w:val="single"/>
              </w:rPr>
              <w:t>&gt;</w:t>
            </w:r>
            <w:r w:rsidRPr="00784BAD">
              <w:rPr>
                <w:rFonts w:ascii="Times New Roman" w:hAnsi="Times New Roman"/>
                <w:sz w:val="18"/>
              </w:rPr>
              <w:t xml:space="preserve">36 months: </w:t>
            </w:r>
          </w:p>
        </w:tc>
      </w:tr>
      <w:tr w:rsidR="00F85270" w:rsidRPr="00784BAD" w14:paraId="2DEB7108" w14:textId="77777777" w:rsidTr="00F85270">
        <w:tc>
          <w:tcPr>
            <w:tcW w:w="584"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50D9CAD2" w14:textId="77777777" w:rsidR="00F85270" w:rsidRPr="00784BAD" w:rsidRDefault="00F85270" w:rsidP="00E37FEE">
            <w:pPr>
              <w:pStyle w:val="TableTextEntries"/>
              <w:keepNext/>
              <w:spacing w:before="0" w:after="240" w:line="240" w:lineRule="auto"/>
              <w:rPr>
                <w:rFonts w:ascii="Times New Roman" w:hAnsi="Times New Roman"/>
                <w:sz w:val="18"/>
              </w:rPr>
            </w:pPr>
          </w:p>
        </w:tc>
        <w:tc>
          <w:tcPr>
            <w:tcW w:w="1340"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4E46CB5B"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 xml:space="preserve">Li 2015 </w:t>
            </w:r>
          </w:p>
        </w:tc>
        <w:tc>
          <w:tcPr>
            <w:tcW w:w="1025"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0CF43F93"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 xml:space="preserve">Meta-analysis </w:t>
            </w:r>
            <w:r w:rsidRPr="00784BAD">
              <w:rPr>
                <w:rFonts w:ascii="Times New Roman" w:hAnsi="Times New Roman"/>
                <w:sz w:val="18"/>
              </w:rPr>
              <w:br/>
              <w:t>(RCTs)</w:t>
            </w:r>
          </w:p>
        </w:tc>
        <w:tc>
          <w:tcPr>
            <w:tcW w:w="552"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113791E5"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Low</w:t>
            </w:r>
          </w:p>
        </w:tc>
        <w:tc>
          <w:tcPr>
            <w:tcW w:w="1498"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1BE4A71B"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–0.1 (3–36 months)</w:t>
            </w:r>
          </w:p>
        </w:tc>
      </w:tr>
      <w:tr w:rsidR="00F85270" w:rsidRPr="00784BAD" w14:paraId="17644747" w14:textId="77777777" w:rsidTr="00F85270">
        <w:tc>
          <w:tcPr>
            <w:tcW w:w="584"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3C5BF88D" w14:textId="77777777" w:rsidR="00F85270" w:rsidRPr="00784BAD" w:rsidRDefault="00F85270" w:rsidP="00E37FEE">
            <w:pPr>
              <w:pStyle w:val="TableTextEntries"/>
              <w:keepNext/>
              <w:spacing w:before="0" w:after="240" w:line="240" w:lineRule="auto"/>
              <w:rPr>
                <w:rFonts w:ascii="Times New Roman" w:hAnsi="Times New Roman"/>
                <w:sz w:val="18"/>
              </w:rPr>
            </w:pPr>
          </w:p>
        </w:tc>
        <w:tc>
          <w:tcPr>
            <w:tcW w:w="1340"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2F5B1F5A"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#997 Seyedian 2015</w:t>
            </w:r>
            <w:r w:rsidRPr="00784BAD">
              <w:rPr>
                <w:rFonts w:ascii="Times New Roman" w:hAnsi="Times New Roman"/>
                <w:sz w:val="18"/>
              </w:rPr>
              <w:br/>
              <w:t xml:space="preserve">#1204,1205 Wittig-Silva 2008 and 20014 </w:t>
            </w:r>
          </w:p>
        </w:tc>
        <w:tc>
          <w:tcPr>
            <w:tcW w:w="1025"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55CE8946"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RCTs</w:t>
            </w:r>
          </w:p>
        </w:tc>
        <w:tc>
          <w:tcPr>
            <w:tcW w:w="552"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6F752A81"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Low</w:t>
            </w:r>
          </w:p>
        </w:tc>
        <w:tc>
          <w:tcPr>
            <w:tcW w:w="1498"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7CEC7C2A"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–0.1 at 12 months;</w:t>
            </w:r>
          </w:p>
        </w:tc>
      </w:tr>
      <w:tr w:rsidR="00F85270" w:rsidRPr="00784BAD" w14:paraId="6CD21F5E" w14:textId="77777777" w:rsidTr="00F85270">
        <w:tc>
          <w:tcPr>
            <w:tcW w:w="584"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7D0F378C" w14:textId="77777777" w:rsidR="00F85270" w:rsidRPr="00784BAD" w:rsidRDefault="00F85270" w:rsidP="00E37FEE">
            <w:pPr>
              <w:pStyle w:val="TableTextEntries"/>
              <w:keepNext/>
              <w:spacing w:before="0" w:after="240" w:line="240" w:lineRule="auto"/>
              <w:rPr>
                <w:rFonts w:ascii="Times New Roman" w:hAnsi="Times New Roman"/>
                <w:sz w:val="18"/>
              </w:rPr>
            </w:pPr>
            <w:r w:rsidRPr="00784BAD">
              <w:rPr>
                <w:rFonts w:ascii="Times New Roman" w:hAnsi="Times New Roman"/>
                <w:sz w:val="18"/>
              </w:rPr>
              <w:t>Uncorrected visual acuity (logMAR)</w:t>
            </w:r>
          </w:p>
        </w:tc>
        <w:tc>
          <w:tcPr>
            <w:tcW w:w="1340"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4BD2DE02"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 xml:space="preserve">Craig 2014; Meiri 2016 </w:t>
            </w:r>
          </w:p>
        </w:tc>
        <w:tc>
          <w:tcPr>
            <w:tcW w:w="1025"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739BDF25"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 xml:space="preserve">Meta-analysis </w:t>
            </w:r>
            <w:r w:rsidRPr="00784BAD">
              <w:rPr>
                <w:rFonts w:ascii="Times New Roman" w:hAnsi="Times New Roman"/>
                <w:sz w:val="18"/>
              </w:rPr>
              <w:br/>
              <w:t>(RCTs and NRS)</w:t>
            </w:r>
          </w:p>
        </w:tc>
        <w:tc>
          <w:tcPr>
            <w:tcW w:w="552"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3DCC8846"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Low</w:t>
            </w:r>
          </w:p>
        </w:tc>
        <w:tc>
          <w:tcPr>
            <w:tcW w:w="1498"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6A94CCC1"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–0.1 to –0.2 at 12&amp;24 months</w:t>
            </w:r>
          </w:p>
          <w:p w14:paraId="697FF475"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 xml:space="preserve">–0.1 at </w:t>
            </w:r>
            <w:r w:rsidRPr="00784BAD">
              <w:rPr>
                <w:rFonts w:ascii="Times New Roman" w:hAnsi="Times New Roman"/>
                <w:sz w:val="18"/>
                <w:u w:val="single"/>
              </w:rPr>
              <w:t>&gt;</w:t>
            </w:r>
            <w:r w:rsidRPr="00784BAD">
              <w:rPr>
                <w:rFonts w:ascii="Times New Roman" w:hAnsi="Times New Roman"/>
                <w:sz w:val="18"/>
              </w:rPr>
              <w:t xml:space="preserve"> 36 months: </w:t>
            </w:r>
          </w:p>
        </w:tc>
      </w:tr>
      <w:tr w:rsidR="00F85270" w:rsidRPr="00784BAD" w14:paraId="7247DA6D" w14:textId="77777777" w:rsidTr="00F85270">
        <w:tc>
          <w:tcPr>
            <w:tcW w:w="584"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540A4472" w14:textId="77777777" w:rsidR="00F85270" w:rsidRPr="00784BAD" w:rsidRDefault="00F85270" w:rsidP="00E37FEE">
            <w:pPr>
              <w:pStyle w:val="TableTextEntries"/>
              <w:keepNext/>
              <w:spacing w:before="0" w:after="240" w:line="240" w:lineRule="auto"/>
              <w:rPr>
                <w:rFonts w:ascii="Times New Roman" w:hAnsi="Times New Roman"/>
                <w:sz w:val="18"/>
              </w:rPr>
            </w:pPr>
          </w:p>
        </w:tc>
        <w:tc>
          <w:tcPr>
            <w:tcW w:w="1340"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28F0A773"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Li 2015</w:t>
            </w:r>
          </w:p>
        </w:tc>
        <w:tc>
          <w:tcPr>
            <w:tcW w:w="1025"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3354BF0B"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 xml:space="preserve">Meta-analysis </w:t>
            </w:r>
            <w:r w:rsidRPr="00784BAD">
              <w:rPr>
                <w:rFonts w:ascii="Times New Roman" w:hAnsi="Times New Roman"/>
                <w:sz w:val="18"/>
              </w:rPr>
              <w:br/>
              <w:t>(RCTs)</w:t>
            </w:r>
          </w:p>
        </w:tc>
        <w:tc>
          <w:tcPr>
            <w:tcW w:w="552"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5531E1C9"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Low</w:t>
            </w:r>
          </w:p>
        </w:tc>
        <w:tc>
          <w:tcPr>
            <w:tcW w:w="1498"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75AFBF39"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–0.18(3–36 months)</w:t>
            </w:r>
          </w:p>
        </w:tc>
      </w:tr>
      <w:tr w:rsidR="00F85270" w:rsidRPr="00784BAD" w14:paraId="5A27861D" w14:textId="77777777" w:rsidTr="00F85270">
        <w:tc>
          <w:tcPr>
            <w:tcW w:w="584"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49937704" w14:textId="77777777" w:rsidR="00F85270" w:rsidRPr="00784BAD" w:rsidRDefault="00F85270" w:rsidP="00E37FEE">
            <w:pPr>
              <w:pStyle w:val="TableTextEntries"/>
              <w:keepNext/>
              <w:spacing w:before="0" w:after="240" w:line="240" w:lineRule="auto"/>
              <w:rPr>
                <w:rFonts w:ascii="Times New Roman" w:hAnsi="Times New Roman"/>
                <w:sz w:val="18"/>
              </w:rPr>
            </w:pPr>
          </w:p>
        </w:tc>
        <w:tc>
          <w:tcPr>
            <w:tcW w:w="1340"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3949B230"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#1204,1205 Wittig-Silva 2008 and 20014</w:t>
            </w:r>
          </w:p>
        </w:tc>
        <w:tc>
          <w:tcPr>
            <w:tcW w:w="1025"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5B45BE31"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RCTs</w:t>
            </w:r>
          </w:p>
        </w:tc>
        <w:tc>
          <w:tcPr>
            <w:tcW w:w="552"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1D9E4714"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Low</w:t>
            </w:r>
          </w:p>
        </w:tc>
        <w:tc>
          <w:tcPr>
            <w:tcW w:w="1498"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5C19859C"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 xml:space="preserve">–0.1 at 12 months </w:t>
            </w:r>
          </w:p>
        </w:tc>
      </w:tr>
      <w:tr w:rsidR="00F85270" w:rsidRPr="00784BAD" w14:paraId="5C430CEB" w14:textId="77777777" w:rsidTr="00F85270">
        <w:tc>
          <w:tcPr>
            <w:tcW w:w="584"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3950FB93" w14:textId="77777777" w:rsidR="00F85270" w:rsidRPr="00784BAD" w:rsidRDefault="00F85270" w:rsidP="00E37FEE">
            <w:pPr>
              <w:pStyle w:val="TableTextEntries"/>
              <w:keepNext/>
              <w:spacing w:before="0" w:after="240" w:line="240" w:lineRule="auto"/>
              <w:rPr>
                <w:rFonts w:ascii="Times New Roman" w:hAnsi="Times New Roman"/>
                <w:sz w:val="18"/>
              </w:rPr>
            </w:pPr>
            <w:r w:rsidRPr="00784BAD">
              <w:rPr>
                <w:rFonts w:ascii="Times New Roman" w:hAnsi="Times New Roman"/>
                <w:sz w:val="18"/>
              </w:rPr>
              <w:t xml:space="preserve">Max K (D) </w:t>
            </w:r>
          </w:p>
        </w:tc>
        <w:tc>
          <w:tcPr>
            <w:tcW w:w="1340"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72D00599"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 xml:space="preserve">Craig 2014; Meiri 2016 </w:t>
            </w:r>
          </w:p>
        </w:tc>
        <w:tc>
          <w:tcPr>
            <w:tcW w:w="1025"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3173BE90"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 xml:space="preserve">Meta-analysis </w:t>
            </w:r>
            <w:r w:rsidRPr="00784BAD">
              <w:rPr>
                <w:rFonts w:ascii="Times New Roman" w:hAnsi="Times New Roman"/>
                <w:sz w:val="18"/>
              </w:rPr>
              <w:br/>
              <w:t>(RCTs and NRS)</w:t>
            </w:r>
          </w:p>
        </w:tc>
        <w:tc>
          <w:tcPr>
            <w:tcW w:w="552"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40625714"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Low</w:t>
            </w:r>
          </w:p>
        </w:tc>
        <w:tc>
          <w:tcPr>
            <w:tcW w:w="1498"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17B38005"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Relative to baseline/preC</w:t>
            </w:r>
            <w:r w:rsidR="00182148">
              <w:rPr>
                <w:rFonts w:ascii="Times New Roman" w:hAnsi="Times New Roman"/>
                <w:sz w:val="18"/>
              </w:rPr>
              <w:t>CCXL</w:t>
            </w:r>
            <w:r w:rsidRPr="00784BAD">
              <w:rPr>
                <w:rFonts w:ascii="Times New Roman" w:hAnsi="Times New Roman"/>
                <w:sz w:val="18"/>
              </w:rPr>
              <w:t>:</w:t>
            </w:r>
            <w:r w:rsidRPr="00784BAD">
              <w:rPr>
                <w:rFonts w:ascii="Times New Roman" w:hAnsi="Times New Roman"/>
                <w:sz w:val="18"/>
              </w:rPr>
              <w:br/>
              <w:t>–1 at 12&amp;24 months</w:t>
            </w:r>
            <w:r w:rsidRPr="00784BAD">
              <w:rPr>
                <w:rFonts w:ascii="Times New Roman" w:eastAsia="MingLiU" w:hAnsi="Times New Roman"/>
                <w:sz w:val="18"/>
              </w:rPr>
              <w:br/>
            </w:r>
            <w:r w:rsidRPr="00784BAD">
              <w:rPr>
                <w:rFonts w:ascii="Times New Roman" w:hAnsi="Times New Roman"/>
                <w:sz w:val="18"/>
              </w:rPr>
              <w:t xml:space="preserve">–0.4 at </w:t>
            </w:r>
            <w:r w:rsidRPr="00784BAD">
              <w:rPr>
                <w:rFonts w:ascii="Times New Roman" w:hAnsi="Times New Roman"/>
                <w:sz w:val="18"/>
                <w:szCs w:val="22"/>
                <w:u w:val="single"/>
              </w:rPr>
              <w:t>&gt;</w:t>
            </w:r>
            <w:r w:rsidRPr="00784BAD">
              <w:rPr>
                <w:rFonts w:ascii="Times New Roman" w:hAnsi="Times New Roman"/>
                <w:sz w:val="18"/>
              </w:rPr>
              <w:t xml:space="preserve"> 36 months </w:t>
            </w:r>
          </w:p>
        </w:tc>
      </w:tr>
      <w:tr w:rsidR="00F85270" w:rsidRPr="00784BAD" w14:paraId="2F2BE7B1" w14:textId="77777777" w:rsidTr="00F85270">
        <w:tc>
          <w:tcPr>
            <w:tcW w:w="584"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135369B1" w14:textId="77777777" w:rsidR="00F85270" w:rsidRPr="00784BAD" w:rsidRDefault="00F85270" w:rsidP="00E37FEE">
            <w:pPr>
              <w:pStyle w:val="TableTextEntries"/>
              <w:keepNext/>
              <w:spacing w:before="0" w:after="240" w:line="240" w:lineRule="auto"/>
              <w:rPr>
                <w:rFonts w:ascii="Times New Roman" w:hAnsi="Times New Roman"/>
                <w:sz w:val="18"/>
              </w:rPr>
            </w:pPr>
          </w:p>
        </w:tc>
        <w:tc>
          <w:tcPr>
            <w:tcW w:w="1340"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020A685F"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 xml:space="preserve">Li 2015 </w:t>
            </w:r>
          </w:p>
        </w:tc>
        <w:tc>
          <w:tcPr>
            <w:tcW w:w="1025"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6452B969"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 xml:space="preserve">Meta-analysis </w:t>
            </w:r>
            <w:r w:rsidRPr="00784BAD">
              <w:rPr>
                <w:rFonts w:ascii="Times New Roman" w:hAnsi="Times New Roman"/>
                <w:sz w:val="18"/>
              </w:rPr>
              <w:br/>
              <w:t>(RCTs)</w:t>
            </w:r>
          </w:p>
        </w:tc>
        <w:tc>
          <w:tcPr>
            <w:tcW w:w="552"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549FD420"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Low</w:t>
            </w:r>
          </w:p>
        </w:tc>
        <w:tc>
          <w:tcPr>
            <w:tcW w:w="1498"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1299BE72"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Relative to controls:</w:t>
            </w:r>
            <w:r w:rsidRPr="00784BAD">
              <w:rPr>
                <w:rFonts w:ascii="Times New Roman" w:hAnsi="Times New Roman"/>
                <w:sz w:val="18"/>
              </w:rPr>
              <w:br/>
              <w:t>–2.05 D (3–36 months)</w:t>
            </w:r>
          </w:p>
        </w:tc>
      </w:tr>
      <w:tr w:rsidR="00F85270" w:rsidRPr="00784BAD" w14:paraId="2F81AF61" w14:textId="77777777" w:rsidTr="00F85270">
        <w:tc>
          <w:tcPr>
            <w:tcW w:w="584"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426447B1" w14:textId="77777777" w:rsidR="00F85270" w:rsidRPr="00784BAD" w:rsidRDefault="00F85270" w:rsidP="00E37FEE">
            <w:pPr>
              <w:pStyle w:val="TableTextEntries"/>
              <w:keepNext/>
              <w:spacing w:before="0" w:after="240" w:line="240" w:lineRule="auto"/>
              <w:rPr>
                <w:rFonts w:ascii="Times New Roman" w:hAnsi="Times New Roman"/>
                <w:sz w:val="18"/>
              </w:rPr>
            </w:pPr>
          </w:p>
        </w:tc>
        <w:tc>
          <w:tcPr>
            <w:tcW w:w="1340"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1C1F3BB4"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#997 Seyedian 2015</w:t>
            </w:r>
            <w:r w:rsidRPr="00784BAD">
              <w:rPr>
                <w:rFonts w:ascii="Times New Roman" w:hAnsi="Times New Roman"/>
                <w:sz w:val="18"/>
              </w:rPr>
              <w:br/>
              <w:t>#1204,1205 Wittig-Silva 2008 and 20014</w:t>
            </w:r>
          </w:p>
        </w:tc>
        <w:tc>
          <w:tcPr>
            <w:tcW w:w="1025"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7542192B"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 xml:space="preserve">RCTs </w:t>
            </w:r>
          </w:p>
        </w:tc>
        <w:tc>
          <w:tcPr>
            <w:tcW w:w="552"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03CC69FB"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Low</w:t>
            </w:r>
          </w:p>
        </w:tc>
        <w:tc>
          <w:tcPr>
            <w:tcW w:w="1498"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540A7043"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Relative to baseline and/or controls (up to 36 months):</w:t>
            </w:r>
            <w:r w:rsidRPr="00784BAD">
              <w:rPr>
                <w:rFonts w:ascii="Times New Roman" w:hAnsi="Times New Roman"/>
                <w:sz w:val="18"/>
              </w:rPr>
              <w:br/>
              <w:t xml:space="preserve">–1 to –2 D </w:t>
            </w:r>
          </w:p>
        </w:tc>
      </w:tr>
      <w:tr w:rsidR="00F85270" w:rsidRPr="00784BAD" w14:paraId="7D128E0B" w14:textId="77777777" w:rsidTr="00F85270">
        <w:tc>
          <w:tcPr>
            <w:tcW w:w="584"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1D31EB71" w14:textId="77777777" w:rsidR="00F85270" w:rsidRPr="00784BAD" w:rsidRDefault="00F85270" w:rsidP="00E37FEE">
            <w:pPr>
              <w:pStyle w:val="TableTextEntries"/>
              <w:keepNext/>
              <w:spacing w:before="0" w:after="240" w:line="240" w:lineRule="auto"/>
              <w:rPr>
                <w:rFonts w:ascii="Times New Roman" w:hAnsi="Times New Roman"/>
                <w:sz w:val="18"/>
              </w:rPr>
            </w:pPr>
            <w:r w:rsidRPr="00784BAD">
              <w:rPr>
                <w:rFonts w:ascii="Times New Roman" w:hAnsi="Times New Roman"/>
                <w:sz w:val="18"/>
              </w:rPr>
              <w:t>Spherical equivalent refractive error (D)</w:t>
            </w:r>
          </w:p>
        </w:tc>
        <w:tc>
          <w:tcPr>
            <w:tcW w:w="1340"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1F22014E"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 xml:space="preserve">Craig 2014; Meiri 2016 </w:t>
            </w:r>
          </w:p>
        </w:tc>
        <w:tc>
          <w:tcPr>
            <w:tcW w:w="1025"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7698CA1A"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 xml:space="preserve">Meta-analysis </w:t>
            </w:r>
            <w:r w:rsidRPr="00784BAD">
              <w:rPr>
                <w:rFonts w:ascii="Times New Roman" w:hAnsi="Times New Roman"/>
                <w:sz w:val="18"/>
              </w:rPr>
              <w:br/>
              <w:t>(RCTs and NRS)</w:t>
            </w:r>
          </w:p>
        </w:tc>
        <w:tc>
          <w:tcPr>
            <w:tcW w:w="552"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5E8E2D32"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Low</w:t>
            </w:r>
          </w:p>
        </w:tc>
        <w:tc>
          <w:tcPr>
            <w:tcW w:w="1498"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0F68CAC8"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Relative to baseline:</w:t>
            </w:r>
            <w:r w:rsidRPr="00784BAD">
              <w:rPr>
                <w:rFonts w:ascii="Times New Roman" w:hAnsi="Times New Roman"/>
                <w:sz w:val="18"/>
              </w:rPr>
              <w:br/>
              <w:t xml:space="preserve">0.1–0.5 at 12 months </w:t>
            </w:r>
            <w:r w:rsidRPr="00784BAD">
              <w:rPr>
                <w:rFonts w:ascii="Times New Roman" w:eastAsia="MingLiU" w:hAnsi="Times New Roman"/>
                <w:sz w:val="18"/>
              </w:rPr>
              <w:br/>
            </w:r>
            <w:r w:rsidRPr="00784BAD">
              <w:rPr>
                <w:rFonts w:ascii="Times New Roman" w:hAnsi="Times New Roman"/>
                <w:sz w:val="18"/>
              </w:rPr>
              <w:t>0.7 at 24 months</w:t>
            </w:r>
          </w:p>
          <w:p w14:paraId="4238188C"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 xml:space="preserve">0.5 at </w:t>
            </w:r>
            <w:r w:rsidRPr="00784BAD">
              <w:rPr>
                <w:rFonts w:ascii="Times New Roman" w:hAnsi="Times New Roman"/>
                <w:sz w:val="18"/>
                <w:u w:val="single"/>
              </w:rPr>
              <w:t>&gt;</w:t>
            </w:r>
            <w:r w:rsidRPr="00784BAD">
              <w:rPr>
                <w:rFonts w:ascii="Times New Roman" w:hAnsi="Times New Roman"/>
                <w:sz w:val="18"/>
              </w:rPr>
              <w:t xml:space="preserve">36 months </w:t>
            </w:r>
          </w:p>
        </w:tc>
      </w:tr>
      <w:tr w:rsidR="00F85270" w:rsidRPr="00784BAD" w14:paraId="35F58C4A" w14:textId="77777777" w:rsidTr="00F85270">
        <w:tc>
          <w:tcPr>
            <w:tcW w:w="584"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4BE03E5F" w14:textId="77777777" w:rsidR="00F85270" w:rsidRPr="00784BAD" w:rsidRDefault="00F85270" w:rsidP="00E37FEE">
            <w:pPr>
              <w:pStyle w:val="TableTextEntries"/>
              <w:keepNext/>
              <w:spacing w:before="0" w:after="240" w:line="240" w:lineRule="auto"/>
              <w:rPr>
                <w:rFonts w:ascii="Times New Roman" w:hAnsi="Times New Roman"/>
                <w:sz w:val="18"/>
              </w:rPr>
            </w:pPr>
          </w:p>
        </w:tc>
        <w:tc>
          <w:tcPr>
            <w:tcW w:w="1340"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74C59E72"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 xml:space="preserve">Li 2015 </w:t>
            </w:r>
          </w:p>
        </w:tc>
        <w:tc>
          <w:tcPr>
            <w:tcW w:w="1025"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5C5C76BF"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 xml:space="preserve">Meta-analysis </w:t>
            </w:r>
            <w:r w:rsidRPr="00784BAD">
              <w:rPr>
                <w:rFonts w:ascii="Times New Roman" w:hAnsi="Times New Roman"/>
                <w:sz w:val="18"/>
              </w:rPr>
              <w:br/>
              <w:t>(RCTs)</w:t>
            </w:r>
          </w:p>
        </w:tc>
        <w:tc>
          <w:tcPr>
            <w:tcW w:w="552"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624456A0"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Low</w:t>
            </w:r>
          </w:p>
        </w:tc>
        <w:tc>
          <w:tcPr>
            <w:tcW w:w="1498" w:type="pct"/>
            <w:tcBorders>
              <w:top w:val="single" w:sz="8" w:space="0" w:color="FFFFFF" w:themeColor="background1"/>
              <w:bottom w:val="single" w:sz="8" w:space="0" w:color="FFFFFF" w:themeColor="background1"/>
            </w:tcBorders>
            <w:shd w:val="clear" w:color="auto" w:fill="EEECE1" w:themeFill="background2"/>
            <w:tcMar>
              <w:left w:w="57" w:type="dxa"/>
              <w:right w:w="57" w:type="dxa"/>
            </w:tcMar>
          </w:tcPr>
          <w:p w14:paraId="72BC1EC6"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Relative to controls:</w:t>
            </w:r>
            <w:r w:rsidRPr="00784BAD">
              <w:rPr>
                <w:rFonts w:ascii="Times New Roman" w:hAnsi="Times New Roman"/>
                <w:sz w:val="18"/>
              </w:rPr>
              <w:br/>
              <w:t>–0.96  (3–36 months)</w:t>
            </w:r>
          </w:p>
        </w:tc>
      </w:tr>
      <w:tr w:rsidR="00F85270" w:rsidRPr="00784BAD" w14:paraId="4347A480" w14:textId="77777777" w:rsidTr="00F85270">
        <w:tc>
          <w:tcPr>
            <w:tcW w:w="584" w:type="pct"/>
            <w:tcBorders>
              <w:top w:val="single" w:sz="8" w:space="0" w:color="FFFFFF" w:themeColor="background1"/>
              <w:bottom w:val="single" w:sz="6" w:space="0" w:color="6F6652"/>
            </w:tcBorders>
            <w:shd w:val="clear" w:color="auto" w:fill="EEECE1" w:themeFill="background2"/>
            <w:tcMar>
              <w:left w:w="57" w:type="dxa"/>
              <w:right w:w="57" w:type="dxa"/>
            </w:tcMar>
          </w:tcPr>
          <w:p w14:paraId="2813BE30" w14:textId="77777777" w:rsidR="00F85270" w:rsidRPr="00784BAD" w:rsidRDefault="00F85270" w:rsidP="00E37FEE">
            <w:pPr>
              <w:pStyle w:val="TableTextEntries"/>
              <w:keepNext/>
              <w:spacing w:before="0" w:after="240" w:line="240" w:lineRule="auto"/>
              <w:rPr>
                <w:rFonts w:ascii="Times New Roman" w:hAnsi="Times New Roman"/>
                <w:sz w:val="18"/>
              </w:rPr>
            </w:pPr>
          </w:p>
        </w:tc>
        <w:tc>
          <w:tcPr>
            <w:tcW w:w="1340" w:type="pct"/>
            <w:tcBorders>
              <w:top w:val="single" w:sz="8" w:space="0" w:color="FFFFFF" w:themeColor="background1"/>
              <w:bottom w:val="single" w:sz="6" w:space="0" w:color="6F6652"/>
            </w:tcBorders>
            <w:shd w:val="clear" w:color="auto" w:fill="EEECE1" w:themeFill="background2"/>
            <w:tcMar>
              <w:left w:w="57" w:type="dxa"/>
              <w:right w:w="57" w:type="dxa"/>
            </w:tcMar>
          </w:tcPr>
          <w:p w14:paraId="1873FFF9"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#997 Seyedian 2015</w:t>
            </w:r>
            <w:r w:rsidRPr="00784BAD">
              <w:rPr>
                <w:rFonts w:ascii="Times New Roman" w:hAnsi="Times New Roman"/>
                <w:sz w:val="18"/>
              </w:rPr>
              <w:br/>
              <w:t xml:space="preserve">#1204,1205 Wittig-Silva 2008 and 20014 </w:t>
            </w:r>
          </w:p>
        </w:tc>
        <w:tc>
          <w:tcPr>
            <w:tcW w:w="1025" w:type="pct"/>
            <w:tcBorders>
              <w:top w:val="single" w:sz="8" w:space="0" w:color="FFFFFF" w:themeColor="background1"/>
              <w:bottom w:val="single" w:sz="6" w:space="0" w:color="6F6652"/>
            </w:tcBorders>
            <w:shd w:val="clear" w:color="auto" w:fill="EEECE1" w:themeFill="background2"/>
            <w:tcMar>
              <w:left w:w="57" w:type="dxa"/>
              <w:right w:w="57" w:type="dxa"/>
            </w:tcMar>
          </w:tcPr>
          <w:p w14:paraId="352FA057"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RCTs</w:t>
            </w:r>
          </w:p>
        </w:tc>
        <w:tc>
          <w:tcPr>
            <w:tcW w:w="552" w:type="pct"/>
            <w:tcBorders>
              <w:top w:val="single" w:sz="8" w:space="0" w:color="FFFFFF" w:themeColor="background1"/>
              <w:bottom w:val="single" w:sz="6" w:space="0" w:color="6F6652"/>
            </w:tcBorders>
            <w:shd w:val="clear" w:color="auto" w:fill="EEECE1" w:themeFill="background2"/>
            <w:tcMar>
              <w:left w:w="57" w:type="dxa"/>
              <w:right w:w="57" w:type="dxa"/>
            </w:tcMar>
          </w:tcPr>
          <w:p w14:paraId="7F26FBE0"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Low</w:t>
            </w:r>
          </w:p>
        </w:tc>
        <w:tc>
          <w:tcPr>
            <w:tcW w:w="1498" w:type="pct"/>
            <w:tcBorders>
              <w:top w:val="single" w:sz="8" w:space="0" w:color="FFFFFF" w:themeColor="background1"/>
              <w:bottom w:val="single" w:sz="6" w:space="0" w:color="6F6652"/>
            </w:tcBorders>
            <w:shd w:val="clear" w:color="auto" w:fill="EEECE1" w:themeFill="background2"/>
            <w:tcMar>
              <w:left w:w="57" w:type="dxa"/>
              <w:right w:w="57" w:type="dxa"/>
            </w:tcMar>
          </w:tcPr>
          <w:p w14:paraId="1599AB27" w14:textId="77777777" w:rsidR="00F85270" w:rsidRPr="00784BAD" w:rsidRDefault="00F85270" w:rsidP="00E37FEE">
            <w:pPr>
              <w:pStyle w:val="TableText"/>
              <w:keepLines/>
              <w:spacing w:before="0" w:after="240"/>
              <w:jc w:val="right"/>
              <w:rPr>
                <w:rFonts w:ascii="Times New Roman" w:hAnsi="Times New Roman"/>
                <w:sz w:val="18"/>
              </w:rPr>
            </w:pPr>
            <w:r w:rsidRPr="00784BAD">
              <w:rPr>
                <w:rFonts w:ascii="Times New Roman" w:hAnsi="Times New Roman"/>
                <w:sz w:val="18"/>
              </w:rPr>
              <w:t xml:space="preserve">Little change to baseline </w:t>
            </w:r>
            <w:r w:rsidRPr="00784BAD">
              <w:rPr>
                <w:rFonts w:ascii="Times New Roman" w:hAnsi="Times New Roman"/>
                <w:sz w:val="18"/>
              </w:rPr>
              <w:br/>
              <w:t>and/or controls</w:t>
            </w:r>
            <w:r w:rsidRPr="00784BAD">
              <w:rPr>
                <w:rFonts w:ascii="Times New Roman" w:hAnsi="Times New Roman"/>
                <w:sz w:val="18"/>
              </w:rPr>
              <w:br/>
            </w:r>
          </w:p>
        </w:tc>
      </w:tr>
      <w:tr w:rsidR="00F85270" w:rsidRPr="00784BAD" w14:paraId="2F8F1591" w14:textId="77777777" w:rsidTr="00F85270">
        <w:tc>
          <w:tcPr>
            <w:tcW w:w="584" w:type="pct"/>
            <w:tcBorders>
              <w:top w:val="single" w:sz="8" w:space="0" w:color="FFFFFF" w:themeColor="background1"/>
              <w:bottom w:val="single" w:sz="6" w:space="0" w:color="6F6652"/>
            </w:tcBorders>
            <w:shd w:val="clear" w:color="auto" w:fill="EEECE1" w:themeFill="background2"/>
            <w:tcMar>
              <w:left w:w="57" w:type="dxa"/>
              <w:right w:w="57" w:type="dxa"/>
            </w:tcMar>
          </w:tcPr>
          <w:p w14:paraId="2E7E9838" w14:textId="77777777" w:rsidR="00F85270" w:rsidRPr="00784BAD" w:rsidRDefault="00F85270" w:rsidP="00E37FEE">
            <w:pPr>
              <w:pStyle w:val="TableTextEntries"/>
              <w:keepNext/>
              <w:spacing w:before="0" w:after="240" w:line="240" w:lineRule="auto"/>
              <w:rPr>
                <w:rFonts w:ascii="Times New Roman" w:hAnsi="Times New Roman"/>
                <w:sz w:val="18"/>
              </w:rPr>
            </w:pPr>
            <w:r w:rsidRPr="00784BAD">
              <w:rPr>
                <w:rFonts w:ascii="Times New Roman" w:hAnsi="Times New Roman"/>
                <w:sz w:val="18"/>
              </w:rPr>
              <w:t xml:space="preserve">Quality of life </w:t>
            </w:r>
          </w:p>
        </w:tc>
        <w:tc>
          <w:tcPr>
            <w:tcW w:w="1340" w:type="pct"/>
            <w:tcBorders>
              <w:top w:val="single" w:sz="8" w:space="0" w:color="FFFFFF" w:themeColor="background1"/>
              <w:bottom w:val="single" w:sz="6" w:space="0" w:color="6F6652"/>
            </w:tcBorders>
            <w:shd w:val="clear" w:color="auto" w:fill="EEECE1" w:themeFill="background2"/>
            <w:tcMar>
              <w:left w:w="57" w:type="dxa"/>
              <w:right w:w="57" w:type="dxa"/>
            </w:tcMar>
          </w:tcPr>
          <w:p w14:paraId="49A26E64"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NRS</w:t>
            </w:r>
          </w:p>
        </w:tc>
        <w:tc>
          <w:tcPr>
            <w:tcW w:w="1025" w:type="pct"/>
            <w:tcBorders>
              <w:top w:val="single" w:sz="8" w:space="0" w:color="FFFFFF" w:themeColor="background1"/>
              <w:bottom w:val="single" w:sz="6" w:space="0" w:color="6F6652"/>
            </w:tcBorders>
            <w:shd w:val="clear" w:color="auto" w:fill="EEECE1" w:themeFill="background2"/>
            <w:tcMar>
              <w:left w:w="57" w:type="dxa"/>
              <w:right w:w="57" w:type="dxa"/>
            </w:tcMar>
          </w:tcPr>
          <w:p w14:paraId="7771C831" w14:textId="77777777" w:rsidR="00F85270" w:rsidRPr="00784BAD" w:rsidRDefault="00F85270" w:rsidP="00E37FEE">
            <w:pPr>
              <w:pStyle w:val="TableUnit"/>
              <w:spacing w:before="0" w:after="240" w:line="240" w:lineRule="auto"/>
              <w:rPr>
                <w:rFonts w:ascii="Times New Roman" w:hAnsi="Times New Roman"/>
                <w:sz w:val="18"/>
              </w:rPr>
            </w:pPr>
          </w:p>
        </w:tc>
        <w:tc>
          <w:tcPr>
            <w:tcW w:w="552" w:type="pct"/>
            <w:tcBorders>
              <w:top w:val="single" w:sz="8" w:space="0" w:color="FFFFFF" w:themeColor="background1"/>
              <w:bottom w:val="single" w:sz="6" w:space="0" w:color="6F6652"/>
            </w:tcBorders>
            <w:shd w:val="clear" w:color="auto" w:fill="EEECE1" w:themeFill="background2"/>
            <w:tcMar>
              <w:left w:w="57" w:type="dxa"/>
              <w:right w:w="57" w:type="dxa"/>
            </w:tcMar>
          </w:tcPr>
          <w:p w14:paraId="631A0625" w14:textId="77777777" w:rsidR="00F85270" w:rsidRPr="00784BAD" w:rsidRDefault="00F85270" w:rsidP="00E37FEE">
            <w:pPr>
              <w:pStyle w:val="TableUnit"/>
              <w:spacing w:before="0" w:after="240" w:line="240" w:lineRule="auto"/>
              <w:rPr>
                <w:rFonts w:ascii="Times New Roman" w:hAnsi="Times New Roman"/>
                <w:sz w:val="18"/>
              </w:rPr>
            </w:pPr>
            <w:r w:rsidRPr="00784BAD">
              <w:rPr>
                <w:rFonts w:ascii="Times New Roman" w:hAnsi="Times New Roman"/>
                <w:sz w:val="18"/>
              </w:rPr>
              <w:t>Very low</w:t>
            </w:r>
          </w:p>
        </w:tc>
        <w:tc>
          <w:tcPr>
            <w:tcW w:w="1498" w:type="pct"/>
            <w:tcBorders>
              <w:top w:val="single" w:sz="8" w:space="0" w:color="FFFFFF" w:themeColor="background1"/>
              <w:bottom w:val="single" w:sz="6" w:space="0" w:color="6F6652"/>
            </w:tcBorders>
            <w:shd w:val="clear" w:color="auto" w:fill="EEECE1" w:themeFill="background2"/>
            <w:tcMar>
              <w:left w:w="57" w:type="dxa"/>
              <w:right w:w="57" w:type="dxa"/>
            </w:tcMar>
          </w:tcPr>
          <w:p w14:paraId="786AAD81" w14:textId="77777777" w:rsidR="00F85270" w:rsidRPr="00784BAD" w:rsidRDefault="00F85270" w:rsidP="00E37FEE">
            <w:pPr>
              <w:pStyle w:val="TableText"/>
              <w:keepLines/>
              <w:spacing w:before="0" w:after="240"/>
              <w:jc w:val="right"/>
              <w:rPr>
                <w:rFonts w:ascii="Times New Roman" w:hAnsi="Times New Roman"/>
                <w:sz w:val="18"/>
              </w:rPr>
            </w:pPr>
            <w:r w:rsidRPr="00784BAD">
              <w:rPr>
                <w:rFonts w:ascii="Times New Roman" w:hAnsi="Times New Roman"/>
                <w:sz w:val="18"/>
              </w:rPr>
              <w:t>Some improvements for people with C</w:t>
            </w:r>
            <w:r w:rsidR="00182148">
              <w:rPr>
                <w:rFonts w:ascii="Times New Roman" w:hAnsi="Times New Roman"/>
                <w:sz w:val="18"/>
              </w:rPr>
              <w:t>CCXL</w:t>
            </w:r>
            <w:r w:rsidRPr="00784BAD">
              <w:rPr>
                <w:rFonts w:ascii="Times New Roman" w:hAnsi="Times New Roman"/>
                <w:sz w:val="18"/>
              </w:rPr>
              <w:t xml:space="preserve"> compared to those with rigid contact lenses   </w:t>
            </w:r>
          </w:p>
        </w:tc>
      </w:tr>
    </w:tbl>
    <w:p w14:paraId="1F3B1E24" w14:textId="77777777" w:rsidR="008156EC" w:rsidRPr="00784BAD" w:rsidRDefault="008156EC" w:rsidP="00E37FEE">
      <w:pPr>
        <w:pStyle w:val="BodyText"/>
        <w:keepNext/>
        <w:keepLines/>
        <w:spacing w:before="0" w:after="240" w:line="240" w:lineRule="auto"/>
        <w:rPr>
          <w:rFonts w:ascii="Times New Roman" w:hAnsi="Times New Roman"/>
          <w:sz w:val="18"/>
          <w:szCs w:val="16"/>
          <w:lang w:eastAsia="en-US"/>
        </w:rPr>
      </w:pPr>
      <w:r w:rsidRPr="00784BAD">
        <w:rPr>
          <w:rStyle w:val="NoteLabel"/>
          <w:rFonts w:ascii="Times New Roman" w:hAnsi="Times New Roman"/>
          <w:sz w:val="18"/>
          <w:lang w:eastAsia="en-US"/>
        </w:rPr>
        <w:t xml:space="preserve">a </w:t>
      </w:r>
      <w:r w:rsidRPr="00784BAD">
        <w:rPr>
          <w:rFonts w:ascii="Times New Roman" w:hAnsi="Times New Roman"/>
          <w:sz w:val="18"/>
          <w:szCs w:val="16"/>
          <w:lang w:eastAsia="en-US"/>
        </w:rPr>
        <w:t>Based on GRADE Working Group grades of evidence. However, the evidence collected for this review was all low quality and did not lend itself well to a formal GRADE analysis</w:t>
      </w:r>
      <w:r w:rsidRPr="00784BAD">
        <w:rPr>
          <w:rFonts w:ascii="Times New Roman" w:hAnsi="Times New Roman"/>
          <w:sz w:val="18"/>
          <w:szCs w:val="18"/>
        </w:rPr>
        <w:br/>
      </w:r>
      <w:r w:rsidRPr="00784BAD">
        <w:rPr>
          <w:rFonts w:ascii="Times New Roman" w:hAnsi="Times New Roman"/>
          <w:sz w:val="18"/>
          <w:szCs w:val="16"/>
          <w:lang w:eastAsia="en-US"/>
        </w:rPr>
        <w:t xml:space="preserve">High quality: We are very confident that the true effect lies close to that of the estimate of effect. </w:t>
      </w:r>
      <w:r w:rsidRPr="00784BAD">
        <w:rPr>
          <w:rFonts w:ascii="Times New Roman" w:hAnsi="Times New Roman"/>
          <w:sz w:val="18"/>
          <w:szCs w:val="16"/>
          <w:lang w:eastAsia="en-US"/>
        </w:rPr>
        <w:br/>
        <w:t>Moderate quality: We are moderately confident in the effect estimate: The true effect is likely to be close to the estimate of the effect, but there is a possibility that it is substantially different.</w:t>
      </w:r>
      <w:r w:rsidRPr="00784BAD">
        <w:rPr>
          <w:rFonts w:ascii="Times New Roman" w:hAnsi="Times New Roman"/>
          <w:sz w:val="18"/>
          <w:szCs w:val="18"/>
        </w:rPr>
        <w:t xml:space="preserve"> </w:t>
      </w:r>
      <w:r w:rsidRPr="00784BAD">
        <w:rPr>
          <w:rFonts w:ascii="Times New Roman" w:hAnsi="Times New Roman"/>
          <w:sz w:val="18"/>
          <w:szCs w:val="18"/>
        </w:rPr>
        <w:br/>
      </w:r>
      <w:r w:rsidRPr="00784BAD">
        <w:rPr>
          <w:rFonts w:ascii="Times New Roman" w:hAnsi="Times New Roman"/>
          <w:sz w:val="18"/>
          <w:szCs w:val="16"/>
          <w:lang w:eastAsia="en-US"/>
        </w:rPr>
        <w:t>Low quality: Our confidence in the effect estimate is limited: The true effect may be substantially different from the estimate of the effect.</w:t>
      </w:r>
      <w:r w:rsidRPr="00784BAD">
        <w:rPr>
          <w:rFonts w:ascii="Times New Roman" w:hAnsi="Times New Roman"/>
          <w:sz w:val="18"/>
          <w:szCs w:val="18"/>
        </w:rPr>
        <w:br/>
      </w:r>
      <w:r w:rsidRPr="00784BAD">
        <w:rPr>
          <w:rFonts w:ascii="Times New Roman" w:hAnsi="Times New Roman"/>
          <w:sz w:val="18"/>
          <w:szCs w:val="16"/>
          <w:lang w:eastAsia="en-US"/>
        </w:rPr>
        <w:t>Very low quality: We have very little confidence in the effect estimate: The true effect is likely to be substantially different from the estimate of effect.</w:t>
      </w:r>
    </w:p>
    <w:p w14:paraId="3A0002FA" w14:textId="77777777" w:rsidR="008156EC" w:rsidRDefault="008156EC" w:rsidP="00E37FEE">
      <w:pPr>
        <w:spacing w:after="240"/>
        <w:rPr>
          <w:rFonts w:ascii="Calisto MT" w:eastAsia="Calibri" w:hAnsi="Calisto MT" w:cs="Calisto MT"/>
          <w:color w:val="000000"/>
          <w:sz w:val="21"/>
          <w:szCs w:val="21"/>
        </w:rPr>
      </w:pPr>
    </w:p>
    <w:p w14:paraId="7AEEA7E9" w14:textId="608FD779" w:rsidR="00D07239" w:rsidRPr="00D07239" w:rsidRDefault="00D07239" w:rsidP="00227B0F">
      <w:pPr>
        <w:spacing w:after="240"/>
        <w:rPr>
          <w:szCs w:val="24"/>
        </w:rPr>
      </w:pPr>
      <w:r w:rsidRPr="00D07239">
        <w:rPr>
          <w:szCs w:val="24"/>
        </w:rPr>
        <w:t xml:space="preserve">On the basis of this evidence profile, </w:t>
      </w:r>
      <w:r>
        <w:rPr>
          <w:szCs w:val="24"/>
        </w:rPr>
        <w:t>the assessment report</w:t>
      </w:r>
      <w:r w:rsidRPr="00D07239">
        <w:rPr>
          <w:szCs w:val="24"/>
        </w:rPr>
        <w:t xml:space="preserve"> suggested that, relative to </w:t>
      </w:r>
      <w:r w:rsidR="00F375CA">
        <w:rPr>
          <w:szCs w:val="24"/>
        </w:rPr>
        <w:t xml:space="preserve">the current treatment pathway, </w:t>
      </w:r>
      <w:r w:rsidR="00182148">
        <w:rPr>
          <w:szCs w:val="24"/>
        </w:rPr>
        <w:t>CCXL</w:t>
      </w:r>
      <w:r w:rsidRPr="00D07239">
        <w:rPr>
          <w:szCs w:val="24"/>
        </w:rPr>
        <w:t xml:space="preserve"> has noninferior safety and noninferior (possibly superior) effectiveness.</w:t>
      </w:r>
    </w:p>
    <w:p w14:paraId="698FE579" w14:textId="094A366B" w:rsidR="00BC1364" w:rsidRPr="00D07239" w:rsidRDefault="00D07239" w:rsidP="00E37FEE">
      <w:pPr>
        <w:spacing w:after="240"/>
        <w:rPr>
          <w:szCs w:val="24"/>
        </w:rPr>
      </w:pPr>
      <w:r w:rsidRPr="00D07239">
        <w:rPr>
          <w:szCs w:val="24"/>
        </w:rPr>
        <w:t>Considerable further comparative data would be required to make a more definitive conclusion relative to the conventional management pathway.</w:t>
      </w:r>
      <w:r>
        <w:rPr>
          <w:szCs w:val="24"/>
        </w:rPr>
        <w:t xml:space="preserve"> </w:t>
      </w:r>
      <w:r w:rsidRPr="004B2B03">
        <w:rPr>
          <w:szCs w:val="24"/>
        </w:rPr>
        <w:t xml:space="preserve">The </w:t>
      </w:r>
      <w:r>
        <w:rPr>
          <w:szCs w:val="24"/>
        </w:rPr>
        <w:t>assessment report stated</w:t>
      </w:r>
      <w:r w:rsidRPr="004B2B03">
        <w:rPr>
          <w:szCs w:val="24"/>
        </w:rPr>
        <w:t xml:space="preserve"> that several large</w:t>
      </w:r>
      <w:r>
        <w:rPr>
          <w:szCs w:val="24"/>
        </w:rPr>
        <w:t xml:space="preserve"> </w:t>
      </w:r>
      <w:r w:rsidRPr="004B2B03">
        <w:rPr>
          <w:szCs w:val="24"/>
        </w:rPr>
        <w:t xml:space="preserve">clinical trials </w:t>
      </w:r>
      <w:r>
        <w:rPr>
          <w:szCs w:val="24"/>
        </w:rPr>
        <w:t xml:space="preserve">are </w:t>
      </w:r>
      <w:r w:rsidRPr="004B2B03">
        <w:rPr>
          <w:szCs w:val="24"/>
        </w:rPr>
        <w:t>due to report in 2016–17.</w:t>
      </w:r>
    </w:p>
    <w:p w14:paraId="087AF71F" w14:textId="1612138E" w:rsidR="00BC1364" w:rsidRPr="00A8163B" w:rsidRDefault="00BC1364" w:rsidP="00A8163B">
      <w:pPr>
        <w:pStyle w:val="Heading1"/>
      </w:pPr>
      <w:r w:rsidRPr="00A8163B">
        <w:t>Economic evaluation</w:t>
      </w:r>
    </w:p>
    <w:p w14:paraId="70670BB8" w14:textId="3DBD185A" w:rsidR="00DB5833" w:rsidRPr="005A5929" w:rsidRDefault="00B915E6" w:rsidP="00E37FEE">
      <w:pPr>
        <w:spacing w:after="240"/>
        <w:rPr>
          <w:szCs w:val="24"/>
        </w:rPr>
      </w:pPr>
      <w:r w:rsidRPr="00B915E6">
        <w:rPr>
          <w:szCs w:val="24"/>
        </w:rPr>
        <w:t>The a</w:t>
      </w:r>
      <w:r>
        <w:rPr>
          <w:szCs w:val="24"/>
        </w:rPr>
        <w:t>ssessment report presented a cost-utility analysis</w:t>
      </w:r>
      <w:r w:rsidR="00376575">
        <w:rPr>
          <w:szCs w:val="24"/>
        </w:rPr>
        <w:t xml:space="preserve"> over a time horizon of 50</w:t>
      </w:r>
      <w:r w:rsidR="000E3B33">
        <w:rPr>
          <w:szCs w:val="24"/>
        </w:rPr>
        <w:t>years to reflect the long-term impact of a disease for which there is a predictable number of diagnoses per year.</w:t>
      </w:r>
    </w:p>
    <w:p w14:paraId="3C39792C" w14:textId="77777777" w:rsidR="000E3B33" w:rsidRDefault="000E3B33" w:rsidP="00E37FEE">
      <w:pPr>
        <w:pStyle w:val="Default"/>
        <w:spacing w:after="240"/>
        <w:rPr>
          <w:color w:val="auto"/>
        </w:rPr>
      </w:pPr>
      <w:r w:rsidRPr="000E3B33">
        <w:rPr>
          <w:color w:val="auto"/>
        </w:rPr>
        <w:t>The overall costs and outcomes, and incremental costs and outcomes as calculated for the intervention and comparator in the model, and using the base case assumptio</w:t>
      </w:r>
      <w:r>
        <w:rPr>
          <w:color w:val="auto"/>
        </w:rPr>
        <w:t>ns, are shown in the Table 2</w:t>
      </w:r>
      <w:r w:rsidR="00F375CA">
        <w:rPr>
          <w:color w:val="auto"/>
        </w:rPr>
        <w:t xml:space="preserve">. This indicates that </w:t>
      </w:r>
      <w:r w:rsidR="00182148">
        <w:rPr>
          <w:color w:val="auto"/>
        </w:rPr>
        <w:t>CCXL</w:t>
      </w:r>
      <w:r w:rsidRPr="000E3B33">
        <w:rPr>
          <w:color w:val="auto"/>
        </w:rPr>
        <w:t xml:space="preserve"> treatment pathway has a lower cost and higher incremental benefits compared to the current treatment pathway.</w:t>
      </w:r>
    </w:p>
    <w:p w14:paraId="03EA530C" w14:textId="77777777" w:rsidR="000E3B33" w:rsidRPr="000E3B33" w:rsidRDefault="000E3B33" w:rsidP="00E37FEE">
      <w:pPr>
        <w:autoSpaceDE w:val="0"/>
        <w:autoSpaceDN w:val="0"/>
        <w:adjustRightInd w:val="0"/>
        <w:spacing w:after="240"/>
        <w:rPr>
          <w:rFonts w:ascii="Franklin Gothic Demi" w:eastAsia="Calibri" w:hAnsi="Franklin Gothic Demi" w:cs="Franklin Gothic Demi"/>
          <w:color w:val="000000"/>
          <w:szCs w:val="24"/>
        </w:rPr>
      </w:pPr>
    </w:p>
    <w:p w14:paraId="4F80A077" w14:textId="77777777" w:rsidR="000E3B33" w:rsidRPr="008D4CF4" w:rsidRDefault="000E3B33" w:rsidP="008D4CF4">
      <w:pPr>
        <w:autoSpaceDE w:val="0"/>
        <w:autoSpaceDN w:val="0"/>
        <w:adjustRightInd w:val="0"/>
        <w:rPr>
          <w:rFonts w:ascii="Arial Narrow" w:eastAsia="Calibri" w:hAnsi="Arial Narrow"/>
          <w:b/>
          <w:color w:val="000000"/>
          <w:sz w:val="20"/>
        </w:rPr>
      </w:pPr>
      <w:r w:rsidRPr="008D4CF4">
        <w:rPr>
          <w:rFonts w:ascii="Arial Narrow" w:eastAsia="Calibri" w:hAnsi="Arial Narrow"/>
          <w:b/>
          <w:color w:val="000000"/>
          <w:sz w:val="20"/>
        </w:rPr>
        <w:t>Table 2</w:t>
      </w:r>
      <w:r w:rsidRPr="008D4CF4">
        <w:rPr>
          <w:rFonts w:ascii="Arial Narrow" w:eastAsia="Calibri" w:hAnsi="Arial Narrow"/>
          <w:b/>
          <w:color w:val="000000"/>
          <w:sz w:val="20"/>
        </w:rPr>
        <w:tab/>
        <w:t xml:space="preserve"> Incremental cost effectiveness ratio, discounted </w:t>
      </w:r>
    </w:p>
    <w:tbl>
      <w:tblPr>
        <w:tblStyle w:val="TableGrid"/>
        <w:tblW w:w="0" w:type="auto"/>
        <w:tblLook w:val="04A0" w:firstRow="1" w:lastRow="0" w:firstColumn="1" w:lastColumn="0" w:noHBand="0" w:noVBand="1"/>
        <w:tblDescription w:val="Table 2 Incremental cost effectiveness ratio, discounted Costs data for the proposed intervention and comparator "/>
      </w:tblPr>
      <w:tblGrid>
        <w:gridCol w:w="1540"/>
        <w:gridCol w:w="1540"/>
        <w:gridCol w:w="1540"/>
        <w:gridCol w:w="1540"/>
        <w:gridCol w:w="1541"/>
        <w:gridCol w:w="1541"/>
      </w:tblGrid>
      <w:tr w:rsidR="000E3B33" w:rsidRPr="000E3B33" w14:paraId="57C85C5E" w14:textId="77777777" w:rsidTr="00227B0F">
        <w:trPr>
          <w:tblHeader/>
        </w:trPr>
        <w:tc>
          <w:tcPr>
            <w:tcW w:w="1540" w:type="dxa"/>
          </w:tcPr>
          <w:p w14:paraId="1498DC69" w14:textId="77777777" w:rsidR="000E3B33" w:rsidRPr="000E3B33" w:rsidRDefault="000E3B33" w:rsidP="00E37FEE">
            <w:pPr>
              <w:pStyle w:val="Default"/>
              <w:spacing w:after="240"/>
              <w:rPr>
                <w:b/>
                <w:color w:val="auto"/>
                <w:sz w:val="20"/>
                <w:szCs w:val="20"/>
              </w:rPr>
            </w:pPr>
          </w:p>
        </w:tc>
        <w:tc>
          <w:tcPr>
            <w:tcW w:w="1540" w:type="dxa"/>
          </w:tcPr>
          <w:p w14:paraId="474C6031" w14:textId="77777777" w:rsidR="000E3B33" w:rsidRPr="000E3B33" w:rsidRDefault="000E3B33" w:rsidP="00E37FEE">
            <w:pPr>
              <w:pStyle w:val="Default"/>
              <w:spacing w:after="240"/>
              <w:rPr>
                <w:b/>
                <w:color w:val="auto"/>
                <w:sz w:val="20"/>
                <w:szCs w:val="20"/>
              </w:rPr>
            </w:pPr>
            <w:r w:rsidRPr="000E3B33">
              <w:rPr>
                <w:b/>
                <w:color w:val="auto"/>
                <w:sz w:val="20"/>
                <w:szCs w:val="20"/>
              </w:rPr>
              <w:t>Cost ($)</w:t>
            </w:r>
          </w:p>
        </w:tc>
        <w:tc>
          <w:tcPr>
            <w:tcW w:w="1540" w:type="dxa"/>
          </w:tcPr>
          <w:p w14:paraId="58130C8B" w14:textId="77777777" w:rsidR="000E3B33" w:rsidRPr="000E3B33" w:rsidRDefault="000E3B33" w:rsidP="00E37FEE">
            <w:pPr>
              <w:pStyle w:val="Default"/>
              <w:spacing w:after="240"/>
              <w:rPr>
                <w:b/>
                <w:color w:val="auto"/>
                <w:sz w:val="20"/>
                <w:szCs w:val="20"/>
              </w:rPr>
            </w:pPr>
            <w:r w:rsidRPr="000E3B33">
              <w:rPr>
                <w:b/>
                <w:color w:val="auto"/>
                <w:sz w:val="20"/>
                <w:szCs w:val="20"/>
              </w:rPr>
              <w:t>Incremental cost ($)</w:t>
            </w:r>
          </w:p>
        </w:tc>
        <w:tc>
          <w:tcPr>
            <w:tcW w:w="1540" w:type="dxa"/>
          </w:tcPr>
          <w:p w14:paraId="6DD51B0B" w14:textId="77777777" w:rsidR="000E3B33" w:rsidRPr="000E3B33" w:rsidRDefault="000E3B33" w:rsidP="00E37FEE">
            <w:pPr>
              <w:pStyle w:val="Default"/>
              <w:spacing w:after="240"/>
              <w:rPr>
                <w:b/>
                <w:color w:val="auto"/>
                <w:sz w:val="20"/>
                <w:szCs w:val="20"/>
              </w:rPr>
            </w:pPr>
            <w:r w:rsidRPr="000E3B33">
              <w:rPr>
                <w:b/>
                <w:color w:val="auto"/>
                <w:sz w:val="20"/>
                <w:szCs w:val="20"/>
              </w:rPr>
              <w:t>Effectiveness (QALYs)</w:t>
            </w:r>
          </w:p>
        </w:tc>
        <w:tc>
          <w:tcPr>
            <w:tcW w:w="1541" w:type="dxa"/>
          </w:tcPr>
          <w:p w14:paraId="237B5A14" w14:textId="77777777" w:rsidR="000E3B33" w:rsidRPr="000E3B33" w:rsidRDefault="000E3B33" w:rsidP="00E37FEE">
            <w:pPr>
              <w:pStyle w:val="Default"/>
              <w:spacing w:after="240"/>
              <w:rPr>
                <w:b/>
                <w:color w:val="auto"/>
                <w:sz w:val="20"/>
                <w:szCs w:val="20"/>
              </w:rPr>
            </w:pPr>
            <w:r w:rsidRPr="000E3B33">
              <w:rPr>
                <w:b/>
                <w:color w:val="auto"/>
                <w:sz w:val="20"/>
                <w:szCs w:val="20"/>
              </w:rPr>
              <w:t>Incremental effectiveness</w:t>
            </w:r>
          </w:p>
        </w:tc>
        <w:tc>
          <w:tcPr>
            <w:tcW w:w="1541" w:type="dxa"/>
          </w:tcPr>
          <w:p w14:paraId="4E3B6617" w14:textId="77777777" w:rsidR="000E3B33" w:rsidRPr="000E3B33" w:rsidRDefault="000E3B33" w:rsidP="00E37FEE">
            <w:pPr>
              <w:pStyle w:val="Default"/>
              <w:spacing w:after="240"/>
              <w:rPr>
                <w:b/>
                <w:color w:val="auto"/>
                <w:sz w:val="20"/>
                <w:szCs w:val="20"/>
              </w:rPr>
            </w:pPr>
            <w:r w:rsidRPr="000E3B33">
              <w:rPr>
                <w:b/>
                <w:color w:val="auto"/>
                <w:sz w:val="20"/>
                <w:szCs w:val="20"/>
              </w:rPr>
              <w:t>ICER</w:t>
            </w:r>
          </w:p>
        </w:tc>
      </w:tr>
      <w:tr w:rsidR="000E3B33" w:rsidRPr="000E3B33" w14:paraId="0047E88F" w14:textId="77777777" w:rsidTr="000E3B33">
        <w:tc>
          <w:tcPr>
            <w:tcW w:w="1540" w:type="dxa"/>
          </w:tcPr>
          <w:p w14:paraId="3C8C5E16" w14:textId="77777777" w:rsidR="000E3B33" w:rsidRPr="000E3B33" w:rsidRDefault="000E3B33" w:rsidP="00E37FEE">
            <w:pPr>
              <w:pStyle w:val="Default"/>
              <w:spacing w:after="240"/>
              <w:rPr>
                <w:b/>
                <w:color w:val="auto"/>
                <w:sz w:val="20"/>
                <w:szCs w:val="20"/>
              </w:rPr>
            </w:pPr>
            <w:r w:rsidRPr="000E3B33">
              <w:rPr>
                <w:b/>
                <w:color w:val="auto"/>
                <w:sz w:val="20"/>
                <w:szCs w:val="20"/>
              </w:rPr>
              <w:t>Intervention</w:t>
            </w:r>
          </w:p>
        </w:tc>
        <w:tc>
          <w:tcPr>
            <w:tcW w:w="1540" w:type="dxa"/>
          </w:tcPr>
          <w:p w14:paraId="700246F5" w14:textId="77777777" w:rsidR="000E3B33" w:rsidRPr="000E3B33" w:rsidRDefault="000E3B33" w:rsidP="00E37FEE">
            <w:pPr>
              <w:pStyle w:val="Default"/>
              <w:spacing w:after="240"/>
              <w:rPr>
                <w:color w:val="auto"/>
                <w:sz w:val="20"/>
                <w:szCs w:val="20"/>
              </w:rPr>
            </w:pPr>
            <w:r w:rsidRPr="000E3B33">
              <w:rPr>
                <w:color w:val="auto"/>
                <w:sz w:val="20"/>
                <w:szCs w:val="20"/>
              </w:rPr>
              <w:t>21 926 707</w:t>
            </w:r>
          </w:p>
        </w:tc>
        <w:tc>
          <w:tcPr>
            <w:tcW w:w="1540" w:type="dxa"/>
          </w:tcPr>
          <w:p w14:paraId="22692476" w14:textId="77777777" w:rsidR="000E3B33" w:rsidRPr="000E3B33" w:rsidRDefault="000E3B33" w:rsidP="00E37FEE">
            <w:pPr>
              <w:pStyle w:val="Default"/>
              <w:spacing w:after="240"/>
              <w:rPr>
                <w:color w:val="auto"/>
                <w:sz w:val="20"/>
                <w:szCs w:val="20"/>
              </w:rPr>
            </w:pPr>
          </w:p>
        </w:tc>
        <w:tc>
          <w:tcPr>
            <w:tcW w:w="1540" w:type="dxa"/>
          </w:tcPr>
          <w:p w14:paraId="36A8754B" w14:textId="77777777" w:rsidR="000E3B33" w:rsidRPr="000E3B33" w:rsidRDefault="000E3B33" w:rsidP="00E37FEE">
            <w:pPr>
              <w:pStyle w:val="Default"/>
              <w:spacing w:after="240"/>
              <w:rPr>
                <w:color w:val="auto"/>
                <w:sz w:val="20"/>
                <w:szCs w:val="20"/>
              </w:rPr>
            </w:pPr>
            <w:r w:rsidRPr="000E3B33">
              <w:rPr>
                <w:color w:val="auto"/>
                <w:sz w:val="20"/>
                <w:szCs w:val="20"/>
              </w:rPr>
              <w:t>145 145</w:t>
            </w:r>
          </w:p>
        </w:tc>
        <w:tc>
          <w:tcPr>
            <w:tcW w:w="1541" w:type="dxa"/>
          </w:tcPr>
          <w:p w14:paraId="77A8A173" w14:textId="77777777" w:rsidR="000E3B33" w:rsidRPr="000E3B33" w:rsidRDefault="000E3B33" w:rsidP="00E37FEE">
            <w:pPr>
              <w:pStyle w:val="Default"/>
              <w:spacing w:after="240"/>
              <w:rPr>
                <w:color w:val="auto"/>
                <w:sz w:val="20"/>
                <w:szCs w:val="20"/>
              </w:rPr>
            </w:pPr>
          </w:p>
        </w:tc>
        <w:tc>
          <w:tcPr>
            <w:tcW w:w="1541" w:type="dxa"/>
          </w:tcPr>
          <w:p w14:paraId="1B46A580" w14:textId="77777777" w:rsidR="000E3B33" w:rsidRPr="000E3B33" w:rsidRDefault="000E3B33" w:rsidP="00E37FEE">
            <w:pPr>
              <w:pStyle w:val="Default"/>
              <w:spacing w:after="240"/>
              <w:rPr>
                <w:color w:val="auto"/>
                <w:sz w:val="20"/>
                <w:szCs w:val="20"/>
              </w:rPr>
            </w:pPr>
          </w:p>
        </w:tc>
      </w:tr>
      <w:tr w:rsidR="000E3B33" w:rsidRPr="000E3B33" w14:paraId="7B33B29C" w14:textId="77777777" w:rsidTr="000E3B33">
        <w:tc>
          <w:tcPr>
            <w:tcW w:w="1540" w:type="dxa"/>
          </w:tcPr>
          <w:p w14:paraId="61B16D3F" w14:textId="77777777" w:rsidR="000E3B33" w:rsidRPr="000E3B33" w:rsidRDefault="000E3B33" w:rsidP="00E37FEE">
            <w:pPr>
              <w:pStyle w:val="Default"/>
              <w:spacing w:after="240"/>
              <w:rPr>
                <w:b/>
                <w:color w:val="auto"/>
                <w:sz w:val="20"/>
                <w:szCs w:val="20"/>
              </w:rPr>
            </w:pPr>
            <w:r w:rsidRPr="000E3B33">
              <w:rPr>
                <w:b/>
                <w:color w:val="auto"/>
                <w:sz w:val="20"/>
                <w:szCs w:val="20"/>
              </w:rPr>
              <w:t>Comparator</w:t>
            </w:r>
          </w:p>
        </w:tc>
        <w:tc>
          <w:tcPr>
            <w:tcW w:w="1540" w:type="dxa"/>
          </w:tcPr>
          <w:p w14:paraId="6EB8E5AC" w14:textId="77777777" w:rsidR="000E3B33" w:rsidRPr="000E3B33" w:rsidRDefault="000E3B33" w:rsidP="00E37FEE">
            <w:pPr>
              <w:pStyle w:val="Default"/>
              <w:spacing w:after="240"/>
              <w:rPr>
                <w:color w:val="auto"/>
                <w:sz w:val="20"/>
                <w:szCs w:val="20"/>
              </w:rPr>
            </w:pPr>
            <w:r w:rsidRPr="000E3B33">
              <w:rPr>
                <w:color w:val="auto"/>
                <w:sz w:val="20"/>
                <w:szCs w:val="20"/>
              </w:rPr>
              <w:t>23 057 646</w:t>
            </w:r>
          </w:p>
        </w:tc>
        <w:tc>
          <w:tcPr>
            <w:tcW w:w="1540" w:type="dxa"/>
          </w:tcPr>
          <w:p w14:paraId="464FF344" w14:textId="77777777" w:rsidR="000E3B33" w:rsidRPr="000E3B33" w:rsidRDefault="000E3B33" w:rsidP="00E37FEE">
            <w:pPr>
              <w:pStyle w:val="Default"/>
              <w:spacing w:after="240"/>
              <w:rPr>
                <w:color w:val="auto"/>
                <w:sz w:val="20"/>
                <w:szCs w:val="20"/>
              </w:rPr>
            </w:pPr>
            <w:r w:rsidRPr="000E3B33">
              <w:rPr>
                <w:color w:val="auto"/>
                <w:sz w:val="20"/>
                <w:szCs w:val="20"/>
              </w:rPr>
              <w:t>-1 130 939</w:t>
            </w:r>
          </w:p>
        </w:tc>
        <w:tc>
          <w:tcPr>
            <w:tcW w:w="1540" w:type="dxa"/>
          </w:tcPr>
          <w:p w14:paraId="0434543E" w14:textId="77777777" w:rsidR="000E3B33" w:rsidRPr="000E3B33" w:rsidRDefault="000E3B33" w:rsidP="00E37FEE">
            <w:pPr>
              <w:pStyle w:val="Default"/>
              <w:spacing w:after="240"/>
              <w:rPr>
                <w:color w:val="auto"/>
                <w:sz w:val="20"/>
                <w:szCs w:val="20"/>
              </w:rPr>
            </w:pPr>
            <w:r w:rsidRPr="000E3B33">
              <w:rPr>
                <w:color w:val="auto"/>
                <w:sz w:val="20"/>
                <w:szCs w:val="20"/>
              </w:rPr>
              <w:t>144 877</w:t>
            </w:r>
          </w:p>
        </w:tc>
        <w:tc>
          <w:tcPr>
            <w:tcW w:w="1541" w:type="dxa"/>
          </w:tcPr>
          <w:p w14:paraId="66908E83" w14:textId="77777777" w:rsidR="000E3B33" w:rsidRPr="000E3B33" w:rsidRDefault="000E3B33" w:rsidP="00E37FEE">
            <w:pPr>
              <w:pStyle w:val="Default"/>
              <w:spacing w:after="240"/>
              <w:rPr>
                <w:color w:val="auto"/>
                <w:sz w:val="20"/>
                <w:szCs w:val="20"/>
              </w:rPr>
            </w:pPr>
            <w:r w:rsidRPr="000E3B33">
              <w:rPr>
                <w:color w:val="auto"/>
                <w:sz w:val="20"/>
                <w:szCs w:val="20"/>
              </w:rPr>
              <w:t>268</w:t>
            </w:r>
          </w:p>
        </w:tc>
        <w:tc>
          <w:tcPr>
            <w:tcW w:w="1541" w:type="dxa"/>
          </w:tcPr>
          <w:p w14:paraId="52B81613" w14:textId="77777777" w:rsidR="000E3B33" w:rsidRPr="000E3B33" w:rsidRDefault="000E3B33" w:rsidP="00E37FEE">
            <w:pPr>
              <w:pStyle w:val="Default"/>
              <w:spacing w:after="240"/>
              <w:rPr>
                <w:color w:val="auto"/>
                <w:sz w:val="20"/>
                <w:szCs w:val="20"/>
              </w:rPr>
            </w:pPr>
            <w:r w:rsidRPr="000E3B33">
              <w:rPr>
                <w:color w:val="auto"/>
                <w:sz w:val="20"/>
                <w:szCs w:val="20"/>
              </w:rPr>
              <w:t>-4 215</w:t>
            </w:r>
          </w:p>
        </w:tc>
      </w:tr>
    </w:tbl>
    <w:p w14:paraId="0754D441" w14:textId="05337253" w:rsidR="000E3B33" w:rsidRDefault="000E3B33" w:rsidP="008D4CF4">
      <w:pPr>
        <w:spacing w:before="240" w:after="240"/>
        <w:rPr>
          <w:szCs w:val="24"/>
        </w:rPr>
      </w:pPr>
      <w:r>
        <w:rPr>
          <w:szCs w:val="24"/>
        </w:rPr>
        <w:t xml:space="preserve">The assessment report </w:t>
      </w:r>
      <w:r w:rsidR="00F375CA">
        <w:rPr>
          <w:szCs w:val="24"/>
        </w:rPr>
        <w:t xml:space="preserve">noted that with respect to </w:t>
      </w:r>
      <w:r w:rsidR="00182148">
        <w:rPr>
          <w:szCs w:val="24"/>
        </w:rPr>
        <w:t>CCXL</w:t>
      </w:r>
      <w:r w:rsidRPr="000E3B33">
        <w:rPr>
          <w:szCs w:val="24"/>
        </w:rPr>
        <w:t>, the ICER is an imperfect measure of value because is results in improved outc</w:t>
      </w:r>
      <w:r w:rsidR="00F375CA">
        <w:rPr>
          <w:szCs w:val="24"/>
        </w:rPr>
        <w:t xml:space="preserve">omes at a lower cost. Although </w:t>
      </w:r>
      <w:r w:rsidR="00182148">
        <w:rPr>
          <w:szCs w:val="24"/>
        </w:rPr>
        <w:t>CCXL</w:t>
      </w:r>
      <w:r w:rsidRPr="000E3B33">
        <w:rPr>
          <w:szCs w:val="24"/>
        </w:rPr>
        <w:t xml:space="preserve"> treatment pathway ‘front loads’ treatment costs, there is an incremental saving as it avoids corneal transplants which are significantly more expensive due to hospital and eye bank f</w:t>
      </w:r>
      <w:r w:rsidR="00F375CA">
        <w:rPr>
          <w:szCs w:val="24"/>
        </w:rPr>
        <w:t xml:space="preserve">ees. The benefit attributed to </w:t>
      </w:r>
      <w:r w:rsidR="00182148">
        <w:rPr>
          <w:szCs w:val="24"/>
        </w:rPr>
        <w:t>CCXL</w:t>
      </w:r>
      <w:r w:rsidRPr="000E3B33">
        <w:rPr>
          <w:szCs w:val="24"/>
        </w:rPr>
        <w:t xml:space="preserve"> is also likely understated as the utility measures do not reflect the improved quality of life from not undergoing an invasive surgical procedure, or experiencing life as a young person without deteriorating vision. Data limitations prevent allowances being made for these factors in the analysis.</w:t>
      </w:r>
    </w:p>
    <w:p w14:paraId="5C5F7DEE" w14:textId="77777777" w:rsidR="005B52E3" w:rsidRPr="005B52E3" w:rsidRDefault="005B52E3" w:rsidP="00E37FEE">
      <w:pPr>
        <w:spacing w:after="240"/>
        <w:rPr>
          <w:szCs w:val="24"/>
        </w:rPr>
      </w:pPr>
      <w:r w:rsidRPr="005B52E3">
        <w:rPr>
          <w:szCs w:val="24"/>
        </w:rPr>
        <w:t xml:space="preserve">A sensitivity analysis was </w:t>
      </w:r>
      <w:r w:rsidR="000F600C">
        <w:rPr>
          <w:szCs w:val="24"/>
        </w:rPr>
        <w:t>conducted, t</w:t>
      </w:r>
      <w:r w:rsidRPr="005B52E3">
        <w:rPr>
          <w:szCs w:val="24"/>
        </w:rPr>
        <w:t>he key findings were:</w:t>
      </w:r>
    </w:p>
    <w:p w14:paraId="566EF5C4" w14:textId="77777777" w:rsidR="005B52E3" w:rsidRPr="005B52E3" w:rsidRDefault="000F600C" w:rsidP="00E37FEE">
      <w:pPr>
        <w:pStyle w:val="ListParagraph"/>
        <w:numPr>
          <w:ilvl w:val="0"/>
          <w:numId w:val="39"/>
        </w:numPr>
        <w:spacing w:after="240"/>
        <w:rPr>
          <w:szCs w:val="24"/>
        </w:rPr>
      </w:pPr>
      <w:r>
        <w:rPr>
          <w:szCs w:val="24"/>
        </w:rPr>
        <w:t>t</w:t>
      </w:r>
      <w:r w:rsidR="00F375CA">
        <w:rPr>
          <w:szCs w:val="24"/>
        </w:rPr>
        <w:t xml:space="preserve">he incremental cost of the </w:t>
      </w:r>
      <w:r w:rsidR="00182148">
        <w:rPr>
          <w:szCs w:val="24"/>
        </w:rPr>
        <w:t>CCXL</w:t>
      </w:r>
      <w:r w:rsidR="005B52E3" w:rsidRPr="005B52E3">
        <w:rPr>
          <w:szCs w:val="24"/>
        </w:rPr>
        <w:t xml:space="preserve"> treatment pathway is highly sensitivity to the discount rate used because, compared to the cu</w:t>
      </w:r>
      <w:r w:rsidR="00F375CA">
        <w:rPr>
          <w:szCs w:val="24"/>
        </w:rPr>
        <w:t xml:space="preserve">rrent treatment pathway, under </w:t>
      </w:r>
      <w:r w:rsidR="00182148">
        <w:rPr>
          <w:szCs w:val="24"/>
        </w:rPr>
        <w:t>CCXL</w:t>
      </w:r>
      <w:r w:rsidR="005B52E3" w:rsidRPr="005B52E3">
        <w:rPr>
          <w:szCs w:val="24"/>
        </w:rPr>
        <w:t xml:space="preserve"> a larger proportion of treatment costs are incurred on diagnosis.</w:t>
      </w:r>
    </w:p>
    <w:p w14:paraId="79D74607" w14:textId="77777777" w:rsidR="005B52E3" w:rsidRPr="005B52E3" w:rsidRDefault="000F600C" w:rsidP="00E37FEE">
      <w:pPr>
        <w:pStyle w:val="ListParagraph"/>
        <w:numPr>
          <w:ilvl w:val="0"/>
          <w:numId w:val="39"/>
        </w:numPr>
        <w:spacing w:after="240"/>
        <w:rPr>
          <w:szCs w:val="24"/>
        </w:rPr>
      </w:pPr>
      <w:r>
        <w:rPr>
          <w:szCs w:val="24"/>
        </w:rPr>
        <w:t>i</w:t>
      </w:r>
      <w:r w:rsidR="005B52E3" w:rsidRPr="005B52E3">
        <w:rPr>
          <w:szCs w:val="24"/>
        </w:rPr>
        <w:t>ncreasing the number of treatments for individuals previously diagnosed with corneal ectatic disorders, has a signific</w:t>
      </w:r>
      <w:r w:rsidR="00F375CA">
        <w:rPr>
          <w:szCs w:val="24"/>
        </w:rPr>
        <w:t xml:space="preserve">ant impact on the costs of the </w:t>
      </w:r>
      <w:r w:rsidR="00182148">
        <w:rPr>
          <w:szCs w:val="24"/>
        </w:rPr>
        <w:t>CCXL</w:t>
      </w:r>
      <w:r w:rsidR="005B52E3" w:rsidRPr="005B52E3">
        <w:rPr>
          <w:szCs w:val="24"/>
        </w:rPr>
        <w:t xml:space="preserve"> pathway.</w:t>
      </w:r>
    </w:p>
    <w:p w14:paraId="52A674FA" w14:textId="56844803" w:rsidR="005B52E3" w:rsidRPr="005B52E3" w:rsidRDefault="000F600C" w:rsidP="00E37FEE">
      <w:pPr>
        <w:pStyle w:val="ListParagraph"/>
        <w:numPr>
          <w:ilvl w:val="0"/>
          <w:numId w:val="39"/>
        </w:numPr>
        <w:spacing w:after="240"/>
        <w:rPr>
          <w:szCs w:val="24"/>
        </w:rPr>
      </w:pPr>
      <w:r>
        <w:rPr>
          <w:szCs w:val="24"/>
        </w:rPr>
        <w:t>c</w:t>
      </w:r>
      <w:r w:rsidR="00F375CA">
        <w:rPr>
          <w:szCs w:val="24"/>
        </w:rPr>
        <w:t xml:space="preserve">hanging the costs of </w:t>
      </w:r>
      <w:r w:rsidR="00182148">
        <w:rPr>
          <w:szCs w:val="24"/>
        </w:rPr>
        <w:t>CCXL</w:t>
      </w:r>
      <w:r w:rsidR="005B52E3" w:rsidRPr="005B52E3">
        <w:rPr>
          <w:szCs w:val="24"/>
        </w:rPr>
        <w:t xml:space="preserve"> treatment has significant impacts on the results. Applying a range of 30 per cent either side implies costs could be between $4.1</w:t>
      </w:r>
      <w:r w:rsidR="005B52E3">
        <w:rPr>
          <w:szCs w:val="24"/>
        </w:rPr>
        <w:t> </w:t>
      </w:r>
      <w:r w:rsidR="00F375CA">
        <w:rPr>
          <w:szCs w:val="24"/>
        </w:rPr>
        <w:t xml:space="preserve">million lower under the </w:t>
      </w:r>
      <w:r w:rsidR="00182148">
        <w:rPr>
          <w:szCs w:val="24"/>
        </w:rPr>
        <w:t>CCXL</w:t>
      </w:r>
      <w:r w:rsidR="005B52E3" w:rsidRPr="005B52E3">
        <w:rPr>
          <w:szCs w:val="24"/>
        </w:rPr>
        <w:t xml:space="preserve"> pathway or $7.1 million higher </w:t>
      </w:r>
      <w:r w:rsidR="00376575">
        <w:rPr>
          <w:szCs w:val="24"/>
        </w:rPr>
        <w:t>in present value terms (over 50</w:t>
      </w:r>
      <w:r w:rsidR="005B52E3" w:rsidRPr="005B52E3">
        <w:rPr>
          <w:szCs w:val="24"/>
        </w:rPr>
        <w:t>years).</w:t>
      </w:r>
    </w:p>
    <w:p w14:paraId="4782D600" w14:textId="35D9539F" w:rsidR="005B52E3" w:rsidRPr="008D4CF4" w:rsidRDefault="005B52E3" w:rsidP="00E37FEE">
      <w:pPr>
        <w:pStyle w:val="ListParagraph"/>
        <w:numPr>
          <w:ilvl w:val="0"/>
          <w:numId w:val="39"/>
        </w:numPr>
        <w:spacing w:after="240"/>
        <w:rPr>
          <w:szCs w:val="24"/>
        </w:rPr>
      </w:pPr>
      <w:r w:rsidRPr="005B52E3">
        <w:rPr>
          <w:szCs w:val="24"/>
        </w:rPr>
        <w:t>Overall the project generally has incremental benefits (increase QALYs) across the range of scenarios tested.</w:t>
      </w:r>
    </w:p>
    <w:p w14:paraId="3D3936A0" w14:textId="49525AEA" w:rsidR="00BC1364" w:rsidRPr="00A8163B" w:rsidRDefault="00BC1364" w:rsidP="00A8163B">
      <w:pPr>
        <w:pStyle w:val="Heading1"/>
      </w:pPr>
      <w:r w:rsidRPr="00A8163B">
        <w:lastRenderedPageBreak/>
        <w:t>Financial/budgetary impacts</w:t>
      </w:r>
    </w:p>
    <w:p w14:paraId="0699FA49" w14:textId="77769FFE" w:rsidR="00BB19D5" w:rsidRPr="00784BAD" w:rsidRDefault="00BB19D5" w:rsidP="00E37FEE">
      <w:pPr>
        <w:pStyle w:val="BodyText"/>
        <w:spacing w:before="0" w:after="240" w:line="240" w:lineRule="auto"/>
        <w:rPr>
          <w:rFonts w:ascii="Times New Roman" w:hAnsi="Times New Roman"/>
          <w:sz w:val="24"/>
        </w:rPr>
      </w:pPr>
      <w:r w:rsidRPr="00784BAD">
        <w:rPr>
          <w:rFonts w:ascii="Times New Roman" w:hAnsi="Times New Roman"/>
          <w:sz w:val="24"/>
        </w:rPr>
        <w:t xml:space="preserve">An epidemiological approach </w:t>
      </w:r>
      <w:r w:rsidR="0003739B">
        <w:rPr>
          <w:rFonts w:ascii="Times New Roman" w:hAnsi="Times New Roman"/>
          <w:sz w:val="24"/>
        </w:rPr>
        <w:t>was</w:t>
      </w:r>
      <w:r w:rsidRPr="00784BAD">
        <w:rPr>
          <w:rFonts w:ascii="Times New Roman" w:hAnsi="Times New Roman"/>
          <w:sz w:val="24"/>
        </w:rPr>
        <w:t xml:space="preserve"> used to estimate the financial impli</w:t>
      </w:r>
      <w:r w:rsidR="00F375CA">
        <w:rPr>
          <w:rFonts w:ascii="Times New Roman" w:hAnsi="Times New Roman"/>
          <w:sz w:val="24"/>
        </w:rPr>
        <w:t xml:space="preserve">cations of the introduction of </w:t>
      </w:r>
      <w:r w:rsidR="00182148">
        <w:rPr>
          <w:rFonts w:ascii="Times New Roman" w:hAnsi="Times New Roman"/>
          <w:sz w:val="24"/>
        </w:rPr>
        <w:t>CCXL</w:t>
      </w:r>
      <w:r w:rsidRPr="00784BAD">
        <w:rPr>
          <w:rFonts w:ascii="Times New Roman" w:hAnsi="Times New Roman"/>
          <w:sz w:val="24"/>
        </w:rPr>
        <w:t>.</w:t>
      </w:r>
    </w:p>
    <w:p w14:paraId="57F9A33B" w14:textId="1CE4BD13" w:rsidR="00BB19D5" w:rsidRPr="00784BAD" w:rsidRDefault="00F375CA" w:rsidP="00E37FEE">
      <w:pPr>
        <w:pStyle w:val="BodyText"/>
        <w:spacing w:before="0" w:after="240" w:line="240" w:lineRule="auto"/>
        <w:rPr>
          <w:rFonts w:ascii="Times New Roman" w:hAnsi="Times New Roman"/>
          <w:sz w:val="24"/>
        </w:rPr>
      </w:pPr>
      <w:r>
        <w:rPr>
          <w:rFonts w:ascii="Times New Roman" w:hAnsi="Times New Roman"/>
          <w:sz w:val="24"/>
        </w:rPr>
        <w:t xml:space="preserve">The expected use of </w:t>
      </w:r>
      <w:r w:rsidR="00182148">
        <w:rPr>
          <w:rFonts w:ascii="Times New Roman" w:hAnsi="Times New Roman"/>
          <w:sz w:val="24"/>
        </w:rPr>
        <w:t>CCXL</w:t>
      </w:r>
      <w:r w:rsidR="00BB19D5" w:rsidRPr="00784BAD">
        <w:rPr>
          <w:rFonts w:ascii="Times New Roman" w:hAnsi="Times New Roman"/>
          <w:sz w:val="24"/>
        </w:rPr>
        <w:t xml:space="preserve"> treatments depends both on the stock of potential patients in Australia, new patients that are diagnosed each year, and the suitability of C</w:t>
      </w:r>
      <w:r w:rsidR="00182148">
        <w:rPr>
          <w:rFonts w:ascii="Times New Roman" w:hAnsi="Times New Roman"/>
          <w:sz w:val="24"/>
        </w:rPr>
        <w:t>CXL</w:t>
      </w:r>
      <w:r w:rsidR="00BB19D5" w:rsidRPr="00784BAD">
        <w:rPr>
          <w:rFonts w:ascii="Times New Roman" w:hAnsi="Times New Roman"/>
          <w:sz w:val="24"/>
        </w:rPr>
        <w:t xml:space="preserve"> to their condition.</w:t>
      </w:r>
    </w:p>
    <w:p w14:paraId="1EF7E5F4" w14:textId="77777777" w:rsidR="00BB19D5" w:rsidRPr="00784BAD" w:rsidRDefault="00BB19D5" w:rsidP="00E37FEE">
      <w:pPr>
        <w:pStyle w:val="BodyText"/>
        <w:spacing w:before="0" w:after="240" w:line="240" w:lineRule="auto"/>
        <w:rPr>
          <w:rFonts w:ascii="Times New Roman" w:hAnsi="Times New Roman"/>
          <w:sz w:val="24"/>
        </w:rPr>
      </w:pPr>
      <w:r w:rsidRPr="00784BAD">
        <w:rPr>
          <w:rFonts w:ascii="Times New Roman" w:hAnsi="Times New Roman"/>
          <w:sz w:val="24"/>
        </w:rPr>
        <w:t xml:space="preserve">Not all people with corneal ectatic disorders in Australia need to be counted in the model as </w:t>
      </w:r>
      <w:r w:rsidR="00F375CA">
        <w:rPr>
          <w:rFonts w:ascii="Times New Roman" w:hAnsi="Times New Roman"/>
          <w:sz w:val="24"/>
        </w:rPr>
        <w:t xml:space="preserve">being potentially eligible for </w:t>
      </w:r>
      <w:r w:rsidR="00182148">
        <w:rPr>
          <w:rFonts w:ascii="Times New Roman" w:hAnsi="Times New Roman"/>
          <w:sz w:val="24"/>
        </w:rPr>
        <w:t>CCXL</w:t>
      </w:r>
      <w:r w:rsidRPr="00784BAD">
        <w:rPr>
          <w:rFonts w:ascii="Times New Roman" w:hAnsi="Times New Roman"/>
          <w:sz w:val="24"/>
        </w:rPr>
        <w:t xml:space="preserve"> primarily because:</w:t>
      </w:r>
    </w:p>
    <w:p w14:paraId="273D7B1D" w14:textId="77777777" w:rsidR="00BB19D5" w:rsidRPr="00784BAD" w:rsidRDefault="0003739B" w:rsidP="00E37FEE">
      <w:pPr>
        <w:pStyle w:val="ListBullet"/>
        <w:numPr>
          <w:ilvl w:val="0"/>
          <w:numId w:val="40"/>
        </w:numPr>
        <w:spacing w:before="0" w:after="240" w:line="240" w:lineRule="auto"/>
        <w:rPr>
          <w:rFonts w:ascii="Times New Roman" w:hAnsi="Times New Roman"/>
          <w:sz w:val="24"/>
        </w:rPr>
      </w:pPr>
      <w:r>
        <w:rPr>
          <w:rFonts w:ascii="Times New Roman" w:hAnsi="Times New Roman"/>
          <w:sz w:val="24"/>
        </w:rPr>
        <w:t>s</w:t>
      </w:r>
      <w:r w:rsidR="00F375CA">
        <w:rPr>
          <w:rFonts w:ascii="Times New Roman" w:hAnsi="Times New Roman"/>
          <w:sz w:val="24"/>
        </w:rPr>
        <w:t xml:space="preserve">ome will have already had </w:t>
      </w:r>
      <w:r w:rsidR="00182148">
        <w:rPr>
          <w:rFonts w:ascii="Times New Roman" w:hAnsi="Times New Roman"/>
          <w:sz w:val="24"/>
        </w:rPr>
        <w:t>CCXL</w:t>
      </w:r>
      <w:r w:rsidR="00BB19D5" w:rsidRPr="00784BAD">
        <w:rPr>
          <w:rFonts w:ascii="Times New Roman" w:hAnsi="Times New Roman"/>
          <w:sz w:val="24"/>
        </w:rPr>
        <w:t xml:space="preserve"> in one or two eyes.</w:t>
      </w:r>
    </w:p>
    <w:p w14:paraId="7CA8C739" w14:textId="77777777" w:rsidR="00BB19D5" w:rsidRPr="00784BAD" w:rsidRDefault="0003739B" w:rsidP="00E37FEE">
      <w:pPr>
        <w:pStyle w:val="ListBullet"/>
        <w:numPr>
          <w:ilvl w:val="0"/>
          <w:numId w:val="40"/>
        </w:numPr>
        <w:spacing w:before="0" w:after="240" w:line="240" w:lineRule="auto"/>
        <w:rPr>
          <w:rFonts w:ascii="Times New Roman" w:hAnsi="Times New Roman"/>
          <w:sz w:val="24"/>
        </w:rPr>
      </w:pPr>
      <w:r>
        <w:rPr>
          <w:rFonts w:ascii="Times New Roman" w:hAnsi="Times New Roman"/>
          <w:sz w:val="24"/>
        </w:rPr>
        <w:t>s</w:t>
      </w:r>
      <w:r w:rsidR="00BB19D5" w:rsidRPr="00784BAD">
        <w:rPr>
          <w:rFonts w:ascii="Times New Roman" w:hAnsi="Times New Roman"/>
          <w:sz w:val="24"/>
        </w:rPr>
        <w:t>ome will experience stabilisation of their condition rather than deterioration.</w:t>
      </w:r>
    </w:p>
    <w:p w14:paraId="71EFBEAE" w14:textId="77777777" w:rsidR="00BB19D5" w:rsidRPr="00784BAD" w:rsidRDefault="0003739B" w:rsidP="00E37FEE">
      <w:pPr>
        <w:pStyle w:val="ListBullet"/>
        <w:numPr>
          <w:ilvl w:val="0"/>
          <w:numId w:val="40"/>
        </w:numPr>
        <w:spacing w:before="0" w:after="240" w:line="240" w:lineRule="auto"/>
        <w:rPr>
          <w:rFonts w:ascii="Times New Roman" w:hAnsi="Times New Roman"/>
          <w:sz w:val="24"/>
        </w:rPr>
      </w:pPr>
      <w:r>
        <w:rPr>
          <w:rFonts w:ascii="Times New Roman" w:hAnsi="Times New Roman"/>
          <w:sz w:val="24"/>
        </w:rPr>
        <w:t>s</w:t>
      </w:r>
      <w:r w:rsidR="00BB19D5" w:rsidRPr="00784BAD">
        <w:rPr>
          <w:rFonts w:ascii="Times New Roman" w:hAnsi="Times New Roman"/>
          <w:sz w:val="24"/>
        </w:rPr>
        <w:t>ome will be too advanced in t</w:t>
      </w:r>
      <w:r w:rsidR="00F375CA">
        <w:rPr>
          <w:rFonts w:ascii="Times New Roman" w:hAnsi="Times New Roman"/>
          <w:sz w:val="24"/>
        </w:rPr>
        <w:t xml:space="preserve">heir condition to benefit from </w:t>
      </w:r>
      <w:r w:rsidR="00182148">
        <w:rPr>
          <w:rFonts w:ascii="Times New Roman" w:hAnsi="Times New Roman"/>
          <w:sz w:val="24"/>
        </w:rPr>
        <w:t>CCXL</w:t>
      </w:r>
      <w:r w:rsidR="00BB19D5" w:rsidRPr="00784BAD">
        <w:rPr>
          <w:rFonts w:ascii="Times New Roman" w:hAnsi="Times New Roman"/>
          <w:sz w:val="24"/>
        </w:rPr>
        <w:t xml:space="preserve"> and are likely to continue with the current treatment pathway and receive a corneal graft.</w:t>
      </w:r>
    </w:p>
    <w:p w14:paraId="1573057C" w14:textId="77777777" w:rsidR="00BB19D5" w:rsidRPr="00784BAD" w:rsidRDefault="00BB19D5" w:rsidP="00E37FEE">
      <w:pPr>
        <w:pStyle w:val="BodyText"/>
        <w:spacing w:before="0" w:after="240" w:line="240" w:lineRule="auto"/>
        <w:rPr>
          <w:rFonts w:ascii="Times New Roman" w:hAnsi="Times New Roman"/>
          <w:sz w:val="24"/>
        </w:rPr>
      </w:pPr>
      <w:r w:rsidRPr="00784BAD">
        <w:rPr>
          <w:rFonts w:ascii="Times New Roman" w:hAnsi="Times New Roman"/>
          <w:sz w:val="24"/>
        </w:rPr>
        <w:t>The utilisation model begins with an estimate of prevalence (1 in 2000, or 1 in 1625 people aged 15 and over). It then increases the prevalence pool estimate on an annual basis as new patients are deemed to be diagnosed, as the severity status of existing patients changes, and as patients die.</w:t>
      </w:r>
    </w:p>
    <w:p w14:paraId="78A62BA7" w14:textId="399C05C0" w:rsidR="00BB19D5" w:rsidRPr="00784BAD" w:rsidRDefault="00BB19D5" w:rsidP="00E37FEE">
      <w:pPr>
        <w:pStyle w:val="BodyText"/>
        <w:spacing w:before="0" w:after="240" w:line="240" w:lineRule="auto"/>
        <w:rPr>
          <w:rFonts w:ascii="Times New Roman" w:hAnsi="Times New Roman"/>
          <w:sz w:val="24"/>
        </w:rPr>
      </w:pPr>
      <w:r w:rsidRPr="00784BAD">
        <w:rPr>
          <w:rFonts w:ascii="Times New Roman" w:hAnsi="Times New Roman"/>
          <w:sz w:val="24"/>
        </w:rPr>
        <w:t xml:space="preserve">The estimated potential patient population </w:t>
      </w:r>
      <w:r w:rsidR="00860499">
        <w:rPr>
          <w:rFonts w:ascii="Times New Roman" w:hAnsi="Times New Roman"/>
          <w:sz w:val="24"/>
        </w:rPr>
        <w:t>shows around 12,</w:t>
      </w:r>
      <w:r w:rsidR="00F375CA">
        <w:rPr>
          <w:rFonts w:ascii="Times New Roman" w:hAnsi="Times New Roman"/>
          <w:sz w:val="24"/>
        </w:rPr>
        <w:t xml:space="preserve">000 people might receive </w:t>
      </w:r>
      <w:r w:rsidR="00182148">
        <w:rPr>
          <w:rFonts w:ascii="Times New Roman" w:hAnsi="Times New Roman"/>
          <w:sz w:val="24"/>
        </w:rPr>
        <w:t>CCXL</w:t>
      </w:r>
      <w:r w:rsidRPr="00784BAD">
        <w:rPr>
          <w:rFonts w:ascii="Times New Roman" w:hAnsi="Times New Roman"/>
          <w:sz w:val="24"/>
        </w:rPr>
        <w:t xml:space="preserve"> at some point in their lives. Forecasts change in line with expected population growth and changes in the stage</w:t>
      </w:r>
      <w:r w:rsidR="00860499">
        <w:rPr>
          <w:rFonts w:ascii="Times New Roman" w:hAnsi="Times New Roman"/>
          <w:sz w:val="24"/>
        </w:rPr>
        <w:t xml:space="preserve"> of the disease for each person. </w:t>
      </w:r>
      <w:r w:rsidRPr="00784BAD">
        <w:rPr>
          <w:rFonts w:ascii="Times New Roman" w:hAnsi="Times New Roman"/>
          <w:sz w:val="24"/>
        </w:rPr>
        <w:t>Those</w:t>
      </w:r>
      <w:r w:rsidR="00F375CA">
        <w:rPr>
          <w:rFonts w:ascii="Times New Roman" w:hAnsi="Times New Roman"/>
          <w:sz w:val="24"/>
        </w:rPr>
        <w:t xml:space="preserve"> that are estimated to receive </w:t>
      </w:r>
      <w:r w:rsidR="00182148">
        <w:rPr>
          <w:rFonts w:ascii="Times New Roman" w:hAnsi="Times New Roman"/>
          <w:sz w:val="24"/>
        </w:rPr>
        <w:t>CCXL</w:t>
      </w:r>
      <w:r w:rsidR="00376575">
        <w:rPr>
          <w:rFonts w:ascii="Times New Roman" w:hAnsi="Times New Roman"/>
          <w:sz w:val="24"/>
        </w:rPr>
        <w:t xml:space="preserve"> over the next 5</w:t>
      </w:r>
      <w:r w:rsidRPr="00784BAD">
        <w:rPr>
          <w:rFonts w:ascii="Times New Roman" w:hAnsi="Times New Roman"/>
          <w:sz w:val="24"/>
        </w:rPr>
        <w:t>years is estimated based on the evidence around progression of the disease following diagnosis, the distribution of disease severity in the literature previously mentioned, and suitability of alternative treatments such as corneal grafts.</w:t>
      </w:r>
    </w:p>
    <w:p w14:paraId="19E59C0F" w14:textId="77777777" w:rsidR="00BB19D5" w:rsidRPr="00784BAD" w:rsidRDefault="00F375CA" w:rsidP="00E37FEE">
      <w:pPr>
        <w:pStyle w:val="BodyText"/>
        <w:spacing w:before="0" w:after="240" w:line="240" w:lineRule="auto"/>
        <w:rPr>
          <w:rFonts w:ascii="Times New Roman" w:hAnsi="Times New Roman"/>
          <w:sz w:val="24"/>
        </w:rPr>
      </w:pPr>
      <w:r>
        <w:rPr>
          <w:rFonts w:ascii="Times New Roman" w:hAnsi="Times New Roman"/>
          <w:sz w:val="24"/>
        </w:rPr>
        <w:t xml:space="preserve">Given </w:t>
      </w:r>
      <w:r w:rsidR="00182148">
        <w:rPr>
          <w:rFonts w:ascii="Times New Roman" w:hAnsi="Times New Roman"/>
          <w:sz w:val="24"/>
        </w:rPr>
        <w:t>CCXL</w:t>
      </w:r>
      <w:r w:rsidR="00860499">
        <w:rPr>
          <w:rFonts w:ascii="Times New Roman" w:hAnsi="Times New Roman"/>
          <w:sz w:val="24"/>
        </w:rPr>
        <w:t xml:space="preserve"> activity to date, 1,</w:t>
      </w:r>
      <w:r w:rsidR="00BB19D5" w:rsidRPr="00784BAD">
        <w:rPr>
          <w:rFonts w:ascii="Times New Roman" w:hAnsi="Times New Roman"/>
          <w:sz w:val="24"/>
        </w:rPr>
        <w:t>642 treatments are estimated to occur in 2016-17 and then taper down substantially as much higher levels currently being treated are not believed to be sustainable.</w:t>
      </w:r>
    </w:p>
    <w:p w14:paraId="18A09EA1" w14:textId="77777777" w:rsidR="00BB19D5" w:rsidRPr="00784BAD" w:rsidRDefault="00BB19D5" w:rsidP="00E37FEE">
      <w:pPr>
        <w:pStyle w:val="BodyText"/>
        <w:spacing w:before="0" w:after="240" w:line="240" w:lineRule="auto"/>
        <w:rPr>
          <w:rFonts w:ascii="Times New Roman" w:hAnsi="Times New Roman"/>
          <w:sz w:val="24"/>
        </w:rPr>
      </w:pPr>
      <w:r w:rsidRPr="00784BAD">
        <w:rPr>
          <w:rFonts w:ascii="Times New Roman" w:hAnsi="Times New Roman"/>
          <w:sz w:val="24"/>
        </w:rPr>
        <w:t>The financial implications to the MBS resulting from the proposed listing o</w:t>
      </w:r>
      <w:r w:rsidR="00F375CA">
        <w:rPr>
          <w:rFonts w:ascii="Times New Roman" w:hAnsi="Times New Roman"/>
          <w:sz w:val="24"/>
        </w:rPr>
        <w:t xml:space="preserve">f </w:t>
      </w:r>
      <w:r w:rsidR="00182148">
        <w:rPr>
          <w:rFonts w:ascii="Times New Roman" w:hAnsi="Times New Roman"/>
          <w:sz w:val="24"/>
        </w:rPr>
        <w:t>CCXL</w:t>
      </w:r>
      <w:r w:rsidR="00860499">
        <w:rPr>
          <w:rFonts w:ascii="Times New Roman" w:hAnsi="Times New Roman"/>
          <w:sz w:val="24"/>
        </w:rPr>
        <w:t xml:space="preserve"> are summarised in Table 3</w:t>
      </w:r>
      <w:r w:rsidRPr="00784BAD">
        <w:rPr>
          <w:rFonts w:ascii="Times New Roman" w:hAnsi="Times New Roman"/>
          <w:sz w:val="24"/>
        </w:rPr>
        <w:t>. The estimated cost to the MBS of C</w:t>
      </w:r>
      <w:r w:rsidR="00182148">
        <w:rPr>
          <w:rFonts w:ascii="Times New Roman" w:hAnsi="Times New Roman"/>
          <w:sz w:val="24"/>
        </w:rPr>
        <w:t>CXL</w:t>
      </w:r>
      <w:r w:rsidRPr="00784BAD">
        <w:rPr>
          <w:rFonts w:ascii="Times New Roman" w:hAnsi="Times New Roman"/>
          <w:sz w:val="24"/>
        </w:rPr>
        <w:t xml:space="preserve"> is $2.5 million</w:t>
      </w:r>
      <w:r w:rsidR="00F03659">
        <w:rPr>
          <w:rFonts w:ascii="Times New Roman" w:hAnsi="Times New Roman"/>
          <w:sz w:val="24"/>
        </w:rPr>
        <w:t xml:space="preserve"> in the first financial year</w:t>
      </w:r>
      <w:r w:rsidRPr="00784BAD">
        <w:rPr>
          <w:rFonts w:ascii="Times New Roman" w:hAnsi="Times New Roman"/>
          <w:sz w:val="24"/>
        </w:rPr>
        <w:t>, which tapers off and stabilises</w:t>
      </w:r>
      <w:r w:rsidR="00860499">
        <w:rPr>
          <w:rFonts w:ascii="Times New Roman" w:hAnsi="Times New Roman"/>
          <w:sz w:val="24"/>
        </w:rPr>
        <w:t xml:space="preserve"> around $600,</w:t>
      </w:r>
      <w:r w:rsidRPr="00784BAD">
        <w:rPr>
          <w:rFonts w:ascii="Times New Roman" w:hAnsi="Times New Roman"/>
          <w:sz w:val="24"/>
        </w:rPr>
        <w:t>000 thereafter.</w:t>
      </w:r>
    </w:p>
    <w:p w14:paraId="64F23C49" w14:textId="77777777" w:rsidR="00BB19D5" w:rsidRPr="00784BAD" w:rsidRDefault="00BB19D5" w:rsidP="00E37FEE">
      <w:pPr>
        <w:pStyle w:val="BodyText"/>
        <w:spacing w:before="0" w:after="240" w:line="240" w:lineRule="auto"/>
        <w:rPr>
          <w:rFonts w:ascii="Times New Roman" w:hAnsi="Times New Roman"/>
          <w:sz w:val="24"/>
        </w:rPr>
      </w:pPr>
      <w:r w:rsidRPr="00784BAD">
        <w:rPr>
          <w:rFonts w:ascii="Times New Roman" w:hAnsi="Times New Roman"/>
          <w:sz w:val="24"/>
        </w:rPr>
        <w:t>This is</w:t>
      </w:r>
      <w:r w:rsidR="00860499">
        <w:rPr>
          <w:rFonts w:ascii="Times New Roman" w:hAnsi="Times New Roman"/>
          <w:sz w:val="24"/>
        </w:rPr>
        <w:t xml:space="preserve"> reducible by approximately $65,</w:t>
      </w:r>
      <w:r w:rsidRPr="00784BAD">
        <w:rPr>
          <w:rFonts w:ascii="Times New Roman" w:hAnsi="Times New Roman"/>
          <w:sz w:val="24"/>
        </w:rPr>
        <w:t>000 annually as a result of avoided corneal grafts and associated complications.</w:t>
      </w:r>
    </w:p>
    <w:p w14:paraId="3BFFA665" w14:textId="30A0E3F3" w:rsidR="00BB19D5" w:rsidRPr="008D4CF4" w:rsidRDefault="00860499" w:rsidP="00A8163B">
      <w:pPr>
        <w:rPr>
          <w:rFonts w:ascii="Arial Narrow" w:hAnsi="Arial Narrow"/>
          <w:b/>
          <w:sz w:val="20"/>
        </w:rPr>
      </w:pPr>
      <w:bookmarkStart w:id="1" w:name="_Toc450313073"/>
      <w:r w:rsidRPr="008D4CF4">
        <w:rPr>
          <w:rFonts w:ascii="Arial Narrow" w:hAnsi="Arial Narrow"/>
          <w:b/>
          <w:sz w:val="20"/>
        </w:rPr>
        <w:t>Table 3</w:t>
      </w:r>
      <w:r w:rsidR="00BB19D5" w:rsidRPr="008D4CF4">
        <w:rPr>
          <w:rFonts w:ascii="Arial Narrow" w:hAnsi="Arial Narrow"/>
          <w:b/>
          <w:sz w:val="20"/>
        </w:rPr>
        <w:tab/>
        <w:t>Total costs to the MBS associated with C</w:t>
      </w:r>
      <w:r w:rsidR="00182148" w:rsidRPr="008D4CF4">
        <w:rPr>
          <w:rFonts w:ascii="Arial Narrow" w:hAnsi="Arial Narrow"/>
          <w:b/>
          <w:sz w:val="20"/>
        </w:rPr>
        <w:t>CXL</w:t>
      </w:r>
      <w:bookmarkEnd w:id="1"/>
      <w:r w:rsidR="00BB19D5" w:rsidRPr="008D4CF4">
        <w:rPr>
          <w:rFonts w:ascii="Arial Narrow" w:hAnsi="Arial Narrow"/>
          <w:b/>
          <w:sz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able 3 Total costs to the MBS associated with CCXL"/>
      </w:tblPr>
      <w:tblGrid>
        <w:gridCol w:w="2286"/>
        <w:gridCol w:w="307"/>
        <w:gridCol w:w="1451"/>
        <w:gridCol w:w="1347"/>
        <w:gridCol w:w="1243"/>
        <w:gridCol w:w="1243"/>
        <w:gridCol w:w="1263"/>
      </w:tblGrid>
      <w:tr w:rsidR="00860499" w:rsidRPr="00860499" w14:paraId="184A0D06" w14:textId="77777777" w:rsidTr="00860499">
        <w:tc>
          <w:tcPr>
            <w:tcW w:w="1250" w:type="pct"/>
            <w:shd w:val="clear" w:color="auto" w:fill="auto"/>
            <w:tcMar>
              <w:left w:w="57" w:type="dxa"/>
              <w:right w:w="57" w:type="dxa"/>
            </w:tcMar>
          </w:tcPr>
          <w:p w14:paraId="599F3D6B" w14:textId="77777777" w:rsidR="00BB19D5" w:rsidRPr="00860499" w:rsidRDefault="00BB19D5" w:rsidP="00E37FEE">
            <w:pPr>
              <w:pStyle w:val="TableDataColumnHeading"/>
              <w:spacing w:before="0" w:after="240" w:line="240" w:lineRule="auto"/>
              <w:rPr>
                <w:rFonts w:ascii="Times New Roman" w:hAnsi="Times New Roman"/>
                <w:color w:val="auto"/>
                <w:sz w:val="20"/>
              </w:rPr>
            </w:pPr>
          </w:p>
        </w:tc>
        <w:tc>
          <w:tcPr>
            <w:tcW w:w="168" w:type="pct"/>
            <w:shd w:val="clear" w:color="auto" w:fill="auto"/>
            <w:tcMar>
              <w:left w:w="57" w:type="dxa"/>
              <w:right w:w="57" w:type="dxa"/>
            </w:tcMar>
          </w:tcPr>
          <w:p w14:paraId="4D040BB6" w14:textId="77777777" w:rsidR="00BB19D5" w:rsidRPr="00860499" w:rsidRDefault="00BB19D5" w:rsidP="00E37FEE">
            <w:pPr>
              <w:pStyle w:val="TableDataColumnHeading"/>
              <w:spacing w:before="0" w:after="240" w:line="240" w:lineRule="auto"/>
              <w:rPr>
                <w:rFonts w:ascii="Times New Roman" w:hAnsi="Times New Roman"/>
                <w:color w:val="auto"/>
                <w:sz w:val="20"/>
              </w:rPr>
            </w:pPr>
          </w:p>
        </w:tc>
        <w:tc>
          <w:tcPr>
            <w:tcW w:w="794" w:type="pct"/>
            <w:shd w:val="clear" w:color="auto" w:fill="auto"/>
            <w:tcMar>
              <w:left w:w="57" w:type="dxa"/>
              <w:right w:w="57" w:type="dxa"/>
            </w:tcMar>
          </w:tcPr>
          <w:p w14:paraId="2F4216CA" w14:textId="77777777" w:rsidR="00BB19D5" w:rsidRPr="00860499" w:rsidRDefault="00BB19D5" w:rsidP="00E37FEE">
            <w:pPr>
              <w:pStyle w:val="TableDataColumnHeading"/>
              <w:spacing w:before="0" w:after="240" w:line="240" w:lineRule="auto"/>
              <w:rPr>
                <w:rFonts w:ascii="Times New Roman" w:hAnsi="Times New Roman"/>
                <w:color w:val="auto"/>
                <w:sz w:val="20"/>
              </w:rPr>
            </w:pPr>
            <w:r w:rsidRPr="00860499">
              <w:rPr>
                <w:rFonts w:ascii="Times New Roman" w:hAnsi="Times New Roman"/>
                <w:color w:val="auto"/>
                <w:sz w:val="20"/>
              </w:rPr>
              <w:t>2016-17</w:t>
            </w:r>
          </w:p>
        </w:tc>
        <w:tc>
          <w:tcPr>
            <w:tcW w:w="737" w:type="pct"/>
            <w:shd w:val="clear" w:color="auto" w:fill="auto"/>
            <w:tcMar>
              <w:left w:w="57" w:type="dxa"/>
              <w:right w:w="57" w:type="dxa"/>
            </w:tcMar>
          </w:tcPr>
          <w:p w14:paraId="15711CC6" w14:textId="77777777" w:rsidR="00BB19D5" w:rsidRPr="00860499" w:rsidRDefault="00860499" w:rsidP="00E37FEE">
            <w:pPr>
              <w:pStyle w:val="TableDataColumnHeading"/>
              <w:spacing w:before="0" w:after="240" w:line="240" w:lineRule="auto"/>
              <w:rPr>
                <w:rFonts w:ascii="Times New Roman" w:hAnsi="Times New Roman"/>
                <w:color w:val="auto"/>
                <w:sz w:val="20"/>
              </w:rPr>
            </w:pPr>
            <w:r w:rsidRPr="00860499">
              <w:rPr>
                <w:rFonts w:ascii="Times New Roman" w:hAnsi="Times New Roman"/>
                <w:color w:val="auto"/>
                <w:sz w:val="20"/>
              </w:rPr>
              <w:t>2017-18</w:t>
            </w:r>
          </w:p>
        </w:tc>
        <w:tc>
          <w:tcPr>
            <w:tcW w:w="680" w:type="pct"/>
            <w:shd w:val="clear" w:color="auto" w:fill="auto"/>
            <w:tcMar>
              <w:left w:w="57" w:type="dxa"/>
              <w:right w:w="57" w:type="dxa"/>
            </w:tcMar>
          </w:tcPr>
          <w:p w14:paraId="2F69A628" w14:textId="77777777" w:rsidR="00BB19D5" w:rsidRPr="00860499" w:rsidRDefault="00BB19D5" w:rsidP="00E37FEE">
            <w:pPr>
              <w:pStyle w:val="TableDataColumnHeading"/>
              <w:spacing w:before="0" w:after="240" w:line="240" w:lineRule="auto"/>
              <w:rPr>
                <w:rFonts w:ascii="Times New Roman" w:hAnsi="Times New Roman"/>
                <w:color w:val="auto"/>
                <w:sz w:val="20"/>
              </w:rPr>
            </w:pPr>
            <w:r w:rsidRPr="00860499">
              <w:rPr>
                <w:rFonts w:ascii="Times New Roman" w:hAnsi="Times New Roman"/>
                <w:color w:val="auto"/>
                <w:sz w:val="20"/>
              </w:rPr>
              <w:t>2018-19</w:t>
            </w:r>
          </w:p>
        </w:tc>
        <w:tc>
          <w:tcPr>
            <w:tcW w:w="680" w:type="pct"/>
            <w:shd w:val="clear" w:color="auto" w:fill="auto"/>
            <w:tcMar>
              <w:left w:w="57" w:type="dxa"/>
              <w:right w:w="57" w:type="dxa"/>
            </w:tcMar>
          </w:tcPr>
          <w:p w14:paraId="0318184A" w14:textId="77777777" w:rsidR="00BB19D5" w:rsidRPr="00860499" w:rsidRDefault="00BB19D5" w:rsidP="00E37FEE">
            <w:pPr>
              <w:pStyle w:val="TableDataColumnHeading"/>
              <w:spacing w:before="0" w:after="240" w:line="240" w:lineRule="auto"/>
              <w:rPr>
                <w:rFonts w:ascii="Times New Roman" w:hAnsi="Times New Roman"/>
                <w:color w:val="auto"/>
                <w:sz w:val="20"/>
              </w:rPr>
            </w:pPr>
            <w:r w:rsidRPr="00860499">
              <w:rPr>
                <w:rFonts w:ascii="Times New Roman" w:hAnsi="Times New Roman"/>
                <w:color w:val="auto"/>
                <w:sz w:val="20"/>
              </w:rPr>
              <w:t>2019-20</w:t>
            </w:r>
          </w:p>
        </w:tc>
        <w:tc>
          <w:tcPr>
            <w:tcW w:w="691" w:type="pct"/>
            <w:shd w:val="clear" w:color="auto" w:fill="auto"/>
            <w:tcMar>
              <w:left w:w="57" w:type="dxa"/>
              <w:right w:w="57" w:type="dxa"/>
            </w:tcMar>
          </w:tcPr>
          <w:p w14:paraId="4E68747F" w14:textId="77777777" w:rsidR="00BB19D5" w:rsidRPr="00860499" w:rsidRDefault="00BB19D5" w:rsidP="00E37FEE">
            <w:pPr>
              <w:pStyle w:val="TableDataColumnHeading"/>
              <w:spacing w:before="0" w:after="240" w:line="240" w:lineRule="auto"/>
              <w:rPr>
                <w:rFonts w:ascii="Times New Roman" w:hAnsi="Times New Roman"/>
                <w:color w:val="auto"/>
                <w:sz w:val="20"/>
              </w:rPr>
            </w:pPr>
            <w:r w:rsidRPr="00860499">
              <w:rPr>
                <w:rFonts w:ascii="Times New Roman" w:hAnsi="Times New Roman"/>
                <w:color w:val="auto"/>
                <w:sz w:val="20"/>
              </w:rPr>
              <w:t>2020-21</w:t>
            </w:r>
          </w:p>
        </w:tc>
      </w:tr>
      <w:tr w:rsidR="00BB19D5" w:rsidRPr="00784BAD" w14:paraId="0A42BCDB" w14:textId="77777777" w:rsidTr="00860499">
        <w:tc>
          <w:tcPr>
            <w:tcW w:w="1250" w:type="pct"/>
            <w:shd w:val="clear" w:color="auto" w:fill="auto"/>
            <w:tcMar>
              <w:left w:w="57" w:type="dxa"/>
              <w:right w:w="57" w:type="dxa"/>
            </w:tcMar>
          </w:tcPr>
          <w:p w14:paraId="6BE26456" w14:textId="77777777" w:rsidR="00BB19D5" w:rsidRPr="00784BAD" w:rsidRDefault="00BB19D5" w:rsidP="00E37FEE">
            <w:pPr>
              <w:pStyle w:val="TableDataEntries"/>
              <w:spacing w:before="0" w:after="240" w:line="240" w:lineRule="auto"/>
              <w:jc w:val="left"/>
              <w:rPr>
                <w:rFonts w:ascii="Times New Roman" w:hAnsi="Times New Roman"/>
                <w:sz w:val="20"/>
              </w:rPr>
            </w:pPr>
            <w:r w:rsidRPr="00784BAD">
              <w:rPr>
                <w:rFonts w:ascii="Times New Roman" w:hAnsi="Times New Roman"/>
                <w:sz w:val="20"/>
              </w:rPr>
              <w:t>Preliminary consultations</w:t>
            </w:r>
          </w:p>
        </w:tc>
        <w:tc>
          <w:tcPr>
            <w:tcW w:w="168" w:type="pct"/>
            <w:shd w:val="clear" w:color="auto" w:fill="auto"/>
            <w:tcMar>
              <w:left w:w="57" w:type="dxa"/>
              <w:right w:w="57" w:type="dxa"/>
            </w:tcMar>
            <w:vAlign w:val="bottom"/>
          </w:tcPr>
          <w:p w14:paraId="67302A2E" w14:textId="77777777" w:rsidR="00BB19D5" w:rsidRPr="00784BAD" w:rsidRDefault="00BB19D5" w:rsidP="00E37FEE">
            <w:pPr>
              <w:pStyle w:val="TableDataEntries"/>
              <w:spacing w:before="0" w:after="240" w:line="240" w:lineRule="auto"/>
              <w:rPr>
                <w:rFonts w:ascii="Times New Roman" w:hAnsi="Times New Roman"/>
                <w:sz w:val="20"/>
              </w:rPr>
            </w:pPr>
          </w:p>
        </w:tc>
        <w:tc>
          <w:tcPr>
            <w:tcW w:w="794" w:type="pct"/>
            <w:shd w:val="clear" w:color="auto" w:fill="auto"/>
            <w:tcMar>
              <w:left w:w="57" w:type="dxa"/>
              <w:right w:w="57" w:type="dxa"/>
            </w:tcMar>
            <w:vAlign w:val="bottom"/>
          </w:tcPr>
          <w:p w14:paraId="3DCF1920" w14:textId="77777777" w:rsidR="00BB19D5" w:rsidRPr="00784BAD" w:rsidRDefault="00BB19D5" w:rsidP="00E37FEE">
            <w:pPr>
              <w:pStyle w:val="TableDataEntries"/>
              <w:spacing w:before="0" w:after="240" w:line="240" w:lineRule="auto"/>
              <w:rPr>
                <w:rFonts w:ascii="Times New Roman" w:hAnsi="Times New Roman"/>
                <w:sz w:val="20"/>
              </w:rPr>
            </w:pPr>
            <w:r w:rsidRPr="00784BAD">
              <w:rPr>
                <w:rFonts w:ascii="Times New Roman" w:hAnsi="Times New Roman"/>
                <w:sz w:val="20"/>
              </w:rPr>
              <w:t xml:space="preserve"> $ 140 473 </w:t>
            </w:r>
          </w:p>
        </w:tc>
        <w:tc>
          <w:tcPr>
            <w:tcW w:w="737" w:type="pct"/>
            <w:shd w:val="clear" w:color="auto" w:fill="auto"/>
            <w:tcMar>
              <w:left w:w="57" w:type="dxa"/>
              <w:right w:w="57" w:type="dxa"/>
            </w:tcMar>
            <w:vAlign w:val="bottom"/>
          </w:tcPr>
          <w:p w14:paraId="4D03C87A" w14:textId="77777777" w:rsidR="00BB19D5" w:rsidRPr="00784BAD" w:rsidRDefault="00BB19D5" w:rsidP="00E37FEE">
            <w:pPr>
              <w:pStyle w:val="TableDataEntries"/>
              <w:spacing w:before="0" w:after="240" w:line="240" w:lineRule="auto"/>
              <w:rPr>
                <w:rFonts w:ascii="Times New Roman" w:hAnsi="Times New Roman"/>
                <w:sz w:val="20"/>
              </w:rPr>
            </w:pPr>
            <w:r w:rsidRPr="00784BAD">
              <w:rPr>
                <w:rFonts w:ascii="Times New Roman" w:hAnsi="Times New Roman"/>
                <w:sz w:val="20"/>
              </w:rPr>
              <w:t xml:space="preserve"> $38 583 </w:t>
            </w:r>
          </w:p>
        </w:tc>
        <w:tc>
          <w:tcPr>
            <w:tcW w:w="680" w:type="pct"/>
            <w:shd w:val="clear" w:color="auto" w:fill="auto"/>
            <w:tcMar>
              <w:left w:w="57" w:type="dxa"/>
              <w:right w:w="57" w:type="dxa"/>
            </w:tcMar>
            <w:vAlign w:val="bottom"/>
          </w:tcPr>
          <w:p w14:paraId="252EC0B8" w14:textId="77777777" w:rsidR="00BB19D5" w:rsidRPr="00784BAD" w:rsidRDefault="00BB19D5" w:rsidP="00E37FEE">
            <w:pPr>
              <w:pStyle w:val="TableDataEntries"/>
              <w:spacing w:before="0" w:after="240" w:line="240" w:lineRule="auto"/>
              <w:rPr>
                <w:rFonts w:ascii="Times New Roman" w:hAnsi="Times New Roman"/>
                <w:sz w:val="20"/>
              </w:rPr>
            </w:pPr>
            <w:r w:rsidRPr="00784BAD">
              <w:rPr>
                <w:rFonts w:ascii="Times New Roman" w:hAnsi="Times New Roman"/>
                <w:sz w:val="20"/>
              </w:rPr>
              <w:t xml:space="preserve"> $30 883 </w:t>
            </w:r>
          </w:p>
        </w:tc>
        <w:tc>
          <w:tcPr>
            <w:tcW w:w="680" w:type="pct"/>
            <w:shd w:val="clear" w:color="auto" w:fill="auto"/>
            <w:tcMar>
              <w:left w:w="57" w:type="dxa"/>
              <w:right w:w="57" w:type="dxa"/>
            </w:tcMar>
            <w:vAlign w:val="bottom"/>
          </w:tcPr>
          <w:p w14:paraId="0DA428DD" w14:textId="77777777" w:rsidR="00BB19D5" w:rsidRPr="00784BAD" w:rsidRDefault="00BB19D5" w:rsidP="00E37FEE">
            <w:pPr>
              <w:pStyle w:val="TableDataEntries"/>
              <w:spacing w:before="0" w:after="240" w:line="240" w:lineRule="auto"/>
              <w:rPr>
                <w:rFonts w:ascii="Times New Roman" w:hAnsi="Times New Roman"/>
                <w:sz w:val="20"/>
              </w:rPr>
            </w:pPr>
            <w:r w:rsidRPr="00784BAD">
              <w:rPr>
                <w:rFonts w:ascii="Times New Roman" w:hAnsi="Times New Roman"/>
                <w:sz w:val="20"/>
              </w:rPr>
              <w:t xml:space="preserve"> $32 338 </w:t>
            </w:r>
          </w:p>
        </w:tc>
        <w:tc>
          <w:tcPr>
            <w:tcW w:w="691" w:type="pct"/>
            <w:shd w:val="clear" w:color="auto" w:fill="auto"/>
            <w:tcMar>
              <w:left w:w="57" w:type="dxa"/>
              <w:right w:w="57" w:type="dxa"/>
            </w:tcMar>
            <w:vAlign w:val="bottom"/>
          </w:tcPr>
          <w:p w14:paraId="6DC06DD7" w14:textId="77777777" w:rsidR="00BB19D5" w:rsidRPr="00784BAD" w:rsidRDefault="00BB19D5" w:rsidP="00E37FEE">
            <w:pPr>
              <w:pStyle w:val="TableDataEntries"/>
              <w:spacing w:before="0" w:after="240" w:line="240" w:lineRule="auto"/>
              <w:rPr>
                <w:rFonts w:ascii="Times New Roman" w:hAnsi="Times New Roman"/>
                <w:sz w:val="20"/>
              </w:rPr>
            </w:pPr>
            <w:r w:rsidRPr="00784BAD">
              <w:rPr>
                <w:rFonts w:ascii="Times New Roman" w:hAnsi="Times New Roman"/>
                <w:sz w:val="20"/>
              </w:rPr>
              <w:t xml:space="preserve"> $33 279 </w:t>
            </w:r>
          </w:p>
        </w:tc>
      </w:tr>
      <w:tr w:rsidR="00BB19D5" w:rsidRPr="00784BAD" w14:paraId="33305A39" w14:textId="77777777" w:rsidTr="00860499">
        <w:tc>
          <w:tcPr>
            <w:tcW w:w="1250" w:type="pct"/>
            <w:shd w:val="clear" w:color="auto" w:fill="auto"/>
            <w:tcMar>
              <w:left w:w="57" w:type="dxa"/>
              <w:right w:w="57" w:type="dxa"/>
            </w:tcMar>
          </w:tcPr>
          <w:p w14:paraId="3D53D8D4" w14:textId="77777777" w:rsidR="00BB19D5" w:rsidRPr="00784BAD" w:rsidRDefault="00BB19D5" w:rsidP="00E37FEE">
            <w:pPr>
              <w:pStyle w:val="TableDataEntries"/>
              <w:spacing w:before="0" w:after="240" w:line="240" w:lineRule="auto"/>
              <w:jc w:val="left"/>
              <w:rPr>
                <w:rFonts w:ascii="Times New Roman" w:hAnsi="Times New Roman"/>
                <w:sz w:val="20"/>
              </w:rPr>
            </w:pPr>
            <w:r w:rsidRPr="00784BAD">
              <w:rPr>
                <w:rFonts w:ascii="Times New Roman" w:hAnsi="Times New Roman"/>
                <w:sz w:val="20"/>
              </w:rPr>
              <w:t>C</w:t>
            </w:r>
            <w:r w:rsidR="00182148">
              <w:rPr>
                <w:rFonts w:ascii="Times New Roman" w:hAnsi="Times New Roman"/>
                <w:sz w:val="20"/>
              </w:rPr>
              <w:t>CCXL</w:t>
            </w:r>
            <w:r w:rsidRPr="00784BAD">
              <w:rPr>
                <w:rFonts w:ascii="Times New Roman" w:hAnsi="Times New Roman"/>
                <w:sz w:val="20"/>
              </w:rPr>
              <w:t xml:space="preserve"> procedures</w:t>
            </w:r>
          </w:p>
        </w:tc>
        <w:tc>
          <w:tcPr>
            <w:tcW w:w="168" w:type="pct"/>
            <w:shd w:val="clear" w:color="auto" w:fill="auto"/>
            <w:tcMar>
              <w:left w:w="57" w:type="dxa"/>
              <w:right w:w="57" w:type="dxa"/>
            </w:tcMar>
            <w:vAlign w:val="bottom"/>
          </w:tcPr>
          <w:p w14:paraId="54B20A7E" w14:textId="77777777" w:rsidR="00BB19D5" w:rsidRPr="00784BAD" w:rsidRDefault="00BB19D5" w:rsidP="00E37FEE">
            <w:pPr>
              <w:pStyle w:val="TableDataEntries"/>
              <w:spacing w:before="0" w:after="240" w:line="240" w:lineRule="auto"/>
              <w:rPr>
                <w:rFonts w:ascii="Times New Roman" w:hAnsi="Times New Roman"/>
                <w:sz w:val="20"/>
              </w:rPr>
            </w:pPr>
          </w:p>
        </w:tc>
        <w:tc>
          <w:tcPr>
            <w:tcW w:w="794" w:type="pct"/>
            <w:shd w:val="clear" w:color="auto" w:fill="auto"/>
            <w:tcMar>
              <w:left w:w="57" w:type="dxa"/>
              <w:right w:w="57" w:type="dxa"/>
            </w:tcMar>
            <w:vAlign w:val="bottom"/>
          </w:tcPr>
          <w:p w14:paraId="4D495692" w14:textId="77777777" w:rsidR="00BB19D5" w:rsidRPr="00784BAD" w:rsidRDefault="00BB19D5" w:rsidP="00E37FEE">
            <w:pPr>
              <w:pStyle w:val="TableDataEntries"/>
              <w:spacing w:before="0" w:after="240" w:line="240" w:lineRule="auto"/>
              <w:rPr>
                <w:rFonts w:ascii="Times New Roman" w:hAnsi="Times New Roman"/>
                <w:sz w:val="20"/>
              </w:rPr>
            </w:pPr>
            <w:r w:rsidRPr="00784BAD">
              <w:rPr>
                <w:rFonts w:ascii="Times New Roman" w:hAnsi="Times New Roman"/>
                <w:sz w:val="20"/>
              </w:rPr>
              <w:t xml:space="preserve"> $ 2 134 600 </w:t>
            </w:r>
          </w:p>
        </w:tc>
        <w:tc>
          <w:tcPr>
            <w:tcW w:w="737" w:type="pct"/>
            <w:shd w:val="clear" w:color="auto" w:fill="auto"/>
            <w:tcMar>
              <w:left w:w="57" w:type="dxa"/>
              <w:right w:w="57" w:type="dxa"/>
            </w:tcMar>
            <w:vAlign w:val="bottom"/>
          </w:tcPr>
          <w:p w14:paraId="118AEDDE" w14:textId="77777777" w:rsidR="00BB19D5" w:rsidRPr="00784BAD" w:rsidRDefault="00BB19D5" w:rsidP="00E37FEE">
            <w:pPr>
              <w:pStyle w:val="TableDataEntries"/>
              <w:spacing w:before="0" w:after="240" w:line="240" w:lineRule="auto"/>
              <w:rPr>
                <w:rFonts w:ascii="Times New Roman" w:hAnsi="Times New Roman"/>
                <w:sz w:val="20"/>
              </w:rPr>
            </w:pPr>
            <w:r w:rsidRPr="00784BAD">
              <w:rPr>
                <w:rFonts w:ascii="Times New Roman" w:hAnsi="Times New Roman"/>
                <w:sz w:val="20"/>
              </w:rPr>
              <w:t xml:space="preserve"> $ 586 300 </w:t>
            </w:r>
          </w:p>
        </w:tc>
        <w:tc>
          <w:tcPr>
            <w:tcW w:w="680" w:type="pct"/>
            <w:shd w:val="clear" w:color="auto" w:fill="auto"/>
            <w:tcMar>
              <w:left w:w="57" w:type="dxa"/>
              <w:right w:w="57" w:type="dxa"/>
            </w:tcMar>
            <w:vAlign w:val="bottom"/>
          </w:tcPr>
          <w:p w14:paraId="19D4146C" w14:textId="77777777" w:rsidR="00BB19D5" w:rsidRPr="00784BAD" w:rsidRDefault="00BB19D5" w:rsidP="00E37FEE">
            <w:pPr>
              <w:pStyle w:val="TableDataEntries"/>
              <w:spacing w:before="0" w:after="240" w:line="240" w:lineRule="auto"/>
              <w:rPr>
                <w:rFonts w:ascii="Times New Roman" w:hAnsi="Times New Roman"/>
                <w:sz w:val="20"/>
              </w:rPr>
            </w:pPr>
            <w:r w:rsidRPr="00784BAD">
              <w:rPr>
                <w:rFonts w:ascii="Times New Roman" w:hAnsi="Times New Roman"/>
                <w:sz w:val="20"/>
              </w:rPr>
              <w:t xml:space="preserve"> $469 300 </w:t>
            </w:r>
          </w:p>
        </w:tc>
        <w:tc>
          <w:tcPr>
            <w:tcW w:w="680" w:type="pct"/>
            <w:shd w:val="clear" w:color="auto" w:fill="auto"/>
            <w:tcMar>
              <w:left w:w="57" w:type="dxa"/>
              <w:right w:w="57" w:type="dxa"/>
            </w:tcMar>
            <w:vAlign w:val="bottom"/>
          </w:tcPr>
          <w:p w14:paraId="7820449A" w14:textId="77777777" w:rsidR="00BB19D5" w:rsidRPr="00784BAD" w:rsidRDefault="00BB19D5" w:rsidP="00E37FEE">
            <w:pPr>
              <w:pStyle w:val="TableDataEntries"/>
              <w:spacing w:before="0" w:after="240" w:line="240" w:lineRule="auto"/>
              <w:rPr>
                <w:rFonts w:ascii="Times New Roman" w:hAnsi="Times New Roman"/>
                <w:sz w:val="20"/>
              </w:rPr>
            </w:pPr>
            <w:r w:rsidRPr="00784BAD">
              <w:rPr>
                <w:rFonts w:ascii="Times New Roman" w:hAnsi="Times New Roman"/>
                <w:sz w:val="20"/>
              </w:rPr>
              <w:t xml:space="preserve"> $ 491 400 </w:t>
            </w:r>
          </w:p>
        </w:tc>
        <w:tc>
          <w:tcPr>
            <w:tcW w:w="691" w:type="pct"/>
            <w:shd w:val="clear" w:color="auto" w:fill="auto"/>
            <w:tcMar>
              <w:left w:w="57" w:type="dxa"/>
              <w:right w:w="57" w:type="dxa"/>
            </w:tcMar>
            <w:vAlign w:val="bottom"/>
          </w:tcPr>
          <w:p w14:paraId="08F4D231" w14:textId="77777777" w:rsidR="00BB19D5" w:rsidRPr="00784BAD" w:rsidRDefault="00BB19D5" w:rsidP="00E37FEE">
            <w:pPr>
              <w:pStyle w:val="TableDataEntries"/>
              <w:spacing w:before="0" w:after="240" w:line="240" w:lineRule="auto"/>
              <w:rPr>
                <w:rFonts w:ascii="Times New Roman" w:hAnsi="Times New Roman"/>
                <w:sz w:val="20"/>
              </w:rPr>
            </w:pPr>
            <w:r w:rsidRPr="00784BAD">
              <w:rPr>
                <w:rFonts w:ascii="Times New Roman" w:hAnsi="Times New Roman"/>
                <w:sz w:val="20"/>
              </w:rPr>
              <w:t xml:space="preserve"> $ 505 700 </w:t>
            </w:r>
          </w:p>
        </w:tc>
      </w:tr>
      <w:tr w:rsidR="00BB19D5" w:rsidRPr="00784BAD" w14:paraId="6E068CBB" w14:textId="77777777" w:rsidTr="00860499">
        <w:tc>
          <w:tcPr>
            <w:tcW w:w="1250" w:type="pct"/>
            <w:shd w:val="clear" w:color="auto" w:fill="auto"/>
            <w:tcMar>
              <w:left w:w="57" w:type="dxa"/>
              <w:right w:w="57" w:type="dxa"/>
            </w:tcMar>
          </w:tcPr>
          <w:p w14:paraId="61020DED" w14:textId="77777777" w:rsidR="00BB19D5" w:rsidRPr="00784BAD" w:rsidRDefault="00BB19D5" w:rsidP="00E37FEE">
            <w:pPr>
              <w:pStyle w:val="TableDataEntries"/>
              <w:spacing w:before="0" w:after="240" w:line="240" w:lineRule="auto"/>
              <w:jc w:val="left"/>
              <w:rPr>
                <w:rFonts w:ascii="Times New Roman" w:hAnsi="Times New Roman"/>
                <w:sz w:val="20"/>
              </w:rPr>
            </w:pPr>
            <w:r w:rsidRPr="00784BAD">
              <w:rPr>
                <w:rFonts w:ascii="Times New Roman" w:hAnsi="Times New Roman"/>
                <w:sz w:val="20"/>
              </w:rPr>
              <w:t>Follow up consultations after 1 year</w:t>
            </w:r>
          </w:p>
        </w:tc>
        <w:tc>
          <w:tcPr>
            <w:tcW w:w="168" w:type="pct"/>
            <w:shd w:val="clear" w:color="auto" w:fill="auto"/>
            <w:tcMar>
              <w:left w:w="57" w:type="dxa"/>
              <w:right w:w="57" w:type="dxa"/>
            </w:tcMar>
            <w:vAlign w:val="bottom"/>
          </w:tcPr>
          <w:p w14:paraId="26DD3968" w14:textId="77777777" w:rsidR="00BB19D5" w:rsidRPr="00784BAD" w:rsidRDefault="00BB19D5" w:rsidP="00E37FEE">
            <w:pPr>
              <w:pStyle w:val="TableDataEntries"/>
              <w:spacing w:before="0" w:after="240" w:line="240" w:lineRule="auto"/>
              <w:rPr>
                <w:rFonts w:ascii="Times New Roman" w:hAnsi="Times New Roman"/>
                <w:sz w:val="20"/>
              </w:rPr>
            </w:pPr>
          </w:p>
        </w:tc>
        <w:tc>
          <w:tcPr>
            <w:tcW w:w="794" w:type="pct"/>
            <w:shd w:val="clear" w:color="auto" w:fill="auto"/>
            <w:tcMar>
              <w:left w:w="57" w:type="dxa"/>
              <w:right w:w="57" w:type="dxa"/>
            </w:tcMar>
            <w:vAlign w:val="bottom"/>
          </w:tcPr>
          <w:p w14:paraId="0FF00B5F" w14:textId="77777777" w:rsidR="00BB19D5" w:rsidRPr="00784BAD" w:rsidRDefault="00BB19D5" w:rsidP="00E37FEE">
            <w:pPr>
              <w:pStyle w:val="TableDataEntries"/>
              <w:spacing w:before="0" w:after="240" w:line="240" w:lineRule="auto"/>
              <w:rPr>
                <w:rFonts w:ascii="Times New Roman" w:hAnsi="Times New Roman"/>
                <w:sz w:val="20"/>
              </w:rPr>
            </w:pPr>
            <w:r w:rsidRPr="00784BAD">
              <w:rPr>
                <w:rFonts w:ascii="Times New Roman" w:hAnsi="Times New Roman"/>
                <w:sz w:val="20"/>
              </w:rPr>
              <w:t xml:space="preserve"> $211 818 </w:t>
            </w:r>
          </w:p>
        </w:tc>
        <w:tc>
          <w:tcPr>
            <w:tcW w:w="737" w:type="pct"/>
            <w:shd w:val="clear" w:color="auto" w:fill="auto"/>
            <w:tcMar>
              <w:left w:w="57" w:type="dxa"/>
              <w:right w:w="57" w:type="dxa"/>
            </w:tcMar>
            <w:vAlign w:val="bottom"/>
          </w:tcPr>
          <w:p w14:paraId="06F10505" w14:textId="77777777" w:rsidR="00BB19D5" w:rsidRPr="00784BAD" w:rsidRDefault="00BB19D5" w:rsidP="00E37FEE">
            <w:pPr>
              <w:pStyle w:val="TableDataEntries"/>
              <w:spacing w:before="0" w:after="240" w:line="240" w:lineRule="auto"/>
              <w:rPr>
                <w:rFonts w:ascii="Times New Roman" w:hAnsi="Times New Roman"/>
                <w:sz w:val="20"/>
              </w:rPr>
            </w:pPr>
            <w:r w:rsidRPr="00784BAD">
              <w:rPr>
                <w:rFonts w:ascii="Times New Roman" w:hAnsi="Times New Roman"/>
                <w:sz w:val="20"/>
              </w:rPr>
              <w:t xml:space="preserve"> $  58 179 </w:t>
            </w:r>
          </w:p>
        </w:tc>
        <w:tc>
          <w:tcPr>
            <w:tcW w:w="680" w:type="pct"/>
            <w:shd w:val="clear" w:color="auto" w:fill="auto"/>
            <w:tcMar>
              <w:left w:w="57" w:type="dxa"/>
              <w:right w:w="57" w:type="dxa"/>
            </w:tcMar>
            <w:vAlign w:val="bottom"/>
          </w:tcPr>
          <w:p w14:paraId="675A4B8F" w14:textId="77777777" w:rsidR="00BB19D5" w:rsidRPr="00784BAD" w:rsidRDefault="00BB19D5" w:rsidP="00E37FEE">
            <w:pPr>
              <w:pStyle w:val="TableDataEntries"/>
              <w:spacing w:before="0" w:after="240" w:line="240" w:lineRule="auto"/>
              <w:rPr>
                <w:rFonts w:ascii="Times New Roman" w:hAnsi="Times New Roman"/>
                <w:sz w:val="20"/>
              </w:rPr>
            </w:pPr>
            <w:r w:rsidRPr="00784BAD">
              <w:rPr>
                <w:rFonts w:ascii="Times New Roman" w:hAnsi="Times New Roman"/>
                <w:sz w:val="20"/>
              </w:rPr>
              <w:t xml:space="preserve"> $ 46 569 </w:t>
            </w:r>
          </w:p>
        </w:tc>
        <w:tc>
          <w:tcPr>
            <w:tcW w:w="680" w:type="pct"/>
            <w:shd w:val="clear" w:color="auto" w:fill="auto"/>
            <w:tcMar>
              <w:left w:w="57" w:type="dxa"/>
              <w:right w:w="57" w:type="dxa"/>
            </w:tcMar>
            <w:vAlign w:val="bottom"/>
          </w:tcPr>
          <w:p w14:paraId="0E119660" w14:textId="77777777" w:rsidR="00BB19D5" w:rsidRPr="00784BAD" w:rsidRDefault="00BB19D5" w:rsidP="00E37FEE">
            <w:pPr>
              <w:pStyle w:val="TableDataEntries"/>
              <w:spacing w:before="0" w:after="240" w:line="240" w:lineRule="auto"/>
              <w:rPr>
                <w:rFonts w:ascii="Times New Roman" w:hAnsi="Times New Roman"/>
                <w:sz w:val="20"/>
              </w:rPr>
            </w:pPr>
            <w:r w:rsidRPr="00784BAD">
              <w:rPr>
                <w:rFonts w:ascii="Times New Roman" w:hAnsi="Times New Roman"/>
                <w:sz w:val="20"/>
              </w:rPr>
              <w:t xml:space="preserve"> $ 48 762 </w:t>
            </w:r>
          </w:p>
        </w:tc>
        <w:tc>
          <w:tcPr>
            <w:tcW w:w="691" w:type="pct"/>
            <w:shd w:val="clear" w:color="auto" w:fill="auto"/>
            <w:tcMar>
              <w:left w:w="57" w:type="dxa"/>
              <w:right w:w="57" w:type="dxa"/>
            </w:tcMar>
            <w:vAlign w:val="bottom"/>
          </w:tcPr>
          <w:p w14:paraId="53C2AA27" w14:textId="77777777" w:rsidR="00BB19D5" w:rsidRPr="00784BAD" w:rsidRDefault="00BB19D5" w:rsidP="00E37FEE">
            <w:pPr>
              <w:pStyle w:val="TableDataEntries"/>
              <w:spacing w:before="0" w:after="240" w:line="240" w:lineRule="auto"/>
              <w:rPr>
                <w:rFonts w:ascii="Times New Roman" w:hAnsi="Times New Roman"/>
                <w:sz w:val="20"/>
              </w:rPr>
            </w:pPr>
            <w:r w:rsidRPr="00784BAD">
              <w:rPr>
                <w:rFonts w:ascii="Times New Roman" w:hAnsi="Times New Roman"/>
                <w:sz w:val="20"/>
              </w:rPr>
              <w:t xml:space="preserve"> $ 50 181 </w:t>
            </w:r>
          </w:p>
        </w:tc>
      </w:tr>
      <w:tr w:rsidR="00BB19D5" w:rsidRPr="00784BAD" w14:paraId="0FB9F32C" w14:textId="77777777" w:rsidTr="00860499">
        <w:tc>
          <w:tcPr>
            <w:tcW w:w="1250" w:type="pct"/>
            <w:shd w:val="clear" w:color="auto" w:fill="auto"/>
            <w:tcMar>
              <w:left w:w="57" w:type="dxa"/>
              <w:right w:w="57" w:type="dxa"/>
            </w:tcMar>
          </w:tcPr>
          <w:p w14:paraId="0C51D7B9" w14:textId="77777777" w:rsidR="00BB19D5" w:rsidRPr="00784BAD" w:rsidRDefault="00BB19D5" w:rsidP="00E37FEE">
            <w:pPr>
              <w:pStyle w:val="TableDataEntries"/>
              <w:spacing w:before="0" w:after="240" w:line="240" w:lineRule="auto"/>
              <w:jc w:val="left"/>
              <w:rPr>
                <w:rFonts w:ascii="Times New Roman" w:hAnsi="Times New Roman"/>
                <w:sz w:val="20"/>
              </w:rPr>
            </w:pPr>
            <w:r w:rsidRPr="00784BAD">
              <w:rPr>
                <w:rFonts w:ascii="Times New Roman" w:hAnsi="Times New Roman"/>
                <w:sz w:val="20"/>
              </w:rPr>
              <w:t>Total cost to the MBS</w:t>
            </w:r>
          </w:p>
        </w:tc>
        <w:tc>
          <w:tcPr>
            <w:tcW w:w="168" w:type="pct"/>
            <w:shd w:val="clear" w:color="auto" w:fill="auto"/>
            <w:tcMar>
              <w:left w:w="57" w:type="dxa"/>
              <w:right w:w="57" w:type="dxa"/>
            </w:tcMar>
            <w:vAlign w:val="bottom"/>
          </w:tcPr>
          <w:p w14:paraId="3ACD9C5D" w14:textId="77777777" w:rsidR="00BB19D5" w:rsidRPr="00784BAD" w:rsidRDefault="00BB19D5" w:rsidP="00E37FEE">
            <w:pPr>
              <w:pStyle w:val="TableDataEntries"/>
              <w:spacing w:before="0" w:after="240" w:line="240" w:lineRule="auto"/>
              <w:rPr>
                <w:rFonts w:ascii="Times New Roman" w:hAnsi="Times New Roman"/>
                <w:sz w:val="20"/>
              </w:rPr>
            </w:pPr>
          </w:p>
        </w:tc>
        <w:tc>
          <w:tcPr>
            <w:tcW w:w="794" w:type="pct"/>
            <w:shd w:val="clear" w:color="auto" w:fill="auto"/>
            <w:tcMar>
              <w:left w:w="57" w:type="dxa"/>
              <w:right w:w="57" w:type="dxa"/>
            </w:tcMar>
            <w:vAlign w:val="bottom"/>
          </w:tcPr>
          <w:p w14:paraId="7CF4728C" w14:textId="77777777" w:rsidR="00BB19D5" w:rsidRPr="00784BAD" w:rsidRDefault="00BB19D5" w:rsidP="00E37FEE">
            <w:pPr>
              <w:pStyle w:val="TableDataEntries"/>
              <w:spacing w:before="0" w:after="240" w:line="240" w:lineRule="auto"/>
              <w:rPr>
                <w:rFonts w:ascii="Times New Roman" w:hAnsi="Times New Roman"/>
                <w:b/>
                <w:sz w:val="20"/>
              </w:rPr>
            </w:pPr>
            <w:r w:rsidRPr="00784BAD">
              <w:rPr>
                <w:rFonts w:ascii="Times New Roman" w:hAnsi="Times New Roman"/>
                <w:b/>
                <w:sz w:val="20"/>
              </w:rPr>
              <w:t xml:space="preserve"> $2 486 891 </w:t>
            </w:r>
          </w:p>
        </w:tc>
        <w:tc>
          <w:tcPr>
            <w:tcW w:w="737" w:type="pct"/>
            <w:shd w:val="clear" w:color="auto" w:fill="auto"/>
            <w:tcMar>
              <w:left w:w="57" w:type="dxa"/>
              <w:right w:w="57" w:type="dxa"/>
            </w:tcMar>
            <w:vAlign w:val="bottom"/>
          </w:tcPr>
          <w:p w14:paraId="48DB7219" w14:textId="77777777" w:rsidR="00BB19D5" w:rsidRPr="00784BAD" w:rsidRDefault="00BB19D5" w:rsidP="00E37FEE">
            <w:pPr>
              <w:pStyle w:val="TableDataEntries"/>
              <w:spacing w:before="0" w:after="240" w:line="240" w:lineRule="auto"/>
              <w:rPr>
                <w:rFonts w:ascii="Times New Roman" w:hAnsi="Times New Roman"/>
                <w:b/>
                <w:sz w:val="20"/>
              </w:rPr>
            </w:pPr>
            <w:r w:rsidRPr="00784BAD">
              <w:rPr>
                <w:rFonts w:ascii="Times New Roman" w:hAnsi="Times New Roman"/>
                <w:b/>
                <w:sz w:val="20"/>
              </w:rPr>
              <w:t xml:space="preserve"> $683 062 </w:t>
            </w:r>
          </w:p>
        </w:tc>
        <w:tc>
          <w:tcPr>
            <w:tcW w:w="680" w:type="pct"/>
            <w:shd w:val="clear" w:color="auto" w:fill="auto"/>
            <w:tcMar>
              <w:left w:w="57" w:type="dxa"/>
              <w:right w:w="57" w:type="dxa"/>
            </w:tcMar>
            <w:vAlign w:val="bottom"/>
          </w:tcPr>
          <w:p w14:paraId="25B5120F" w14:textId="77777777" w:rsidR="00BB19D5" w:rsidRPr="00784BAD" w:rsidRDefault="00BB19D5" w:rsidP="00E37FEE">
            <w:pPr>
              <w:pStyle w:val="TableDataEntries"/>
              <w:spacing w:before="0" w:after="240" w:line="240" w:lineRule="auto"/>
              <w:rPr>
                <w:rFonts w:ascii="Times New Roman" w:hAnsi="Times New Roman"/>
                <w:b/>
                <w:sz w:val="20"/>
              </w:rPr>
            </w:pPr>
            <w:r w:rsidRPr="00784BAD">
              <w:rPr>
                <w:rFonts w:ascii="Times New Roman" w:hAnsi="Times New Roman"/>
                <w:b/>
                <w:sz w:val="20"/>
              </w:rPr>
              <w:t xml:space="preserve"> $546 753 </w:t>
            </w:r>
          </w:p>
        </w:tc>
        <w:tc>
          <w:tcPr>
            <w:tcW w:w="680" w:type="pct"/>
            <w:shd w:val="clear" w:color="auto" w:fill="auto"/>
            <w:tcMar>
              <w:left w:w="57" w:type="dxa"/>
              <w:right w:w="57" w:type="dxa"/>
            </w:tcMar>
            <w:vAlign w:val="bottom"/>
          </w:tcPr>
          <w:p w14:paraId="2E828F49" w14:textId="77777777" w:rsidR="00BB19D5" w:rsidRPr="00784BAD" w:rsidRDefault="00BB19D5" w:rsidP="00E37FEE">
            <w:pPr>
              <w:pStyle w:val="TableDataEntries"/>
              <w:spacing w:before="0" w:after="240" w:line="240" w:lineRule="auto"/>
              <w:rPr>
                <w:rFonts w:ascii="Times New Roman" w:hAnsi="Times New Roman"/>
                <w:b/>
                <w:sz w:val="20"/>
              </w:rPr>
            </w:pPr>
            <w:r w:rsidRPr="00784BAD">
              <w:rPr>
                <w:rFonts w:ascii="Times New Roman" w:hAnsi="Times New Roman"/>
                <w:b/>
                <w:sz w:val="20"/>
              </w:rPr>
              <w:t xml:space="preserve"> $572 500 </w:t>
            </w:r>
          </w:p>
        </w:tc>
        <w:tc>
          <w:tcPr>
            <w:tcW w:w="691" w:type="pct"/>
            <w:shd w:val="clear" w:color="auto" w:fill="auto"/>
            <w:tcMar>
              <w:left w:w="57" w:type="dxa"/>
              <w:right w:w="57" w:type="dxa"/>
            </w:tcMar>
            <w:vAlign w:val="bottom"/>
          </w:tcPr>
          <w:p w14:paraId="61BFA215" w14:textId="77777777" w:rsidR="00BB19D5" w:rsidRPr="00784BAD" w:rsidRDefault="00BB19D5" w:rsidP="00E37FEE">
            <w:pPr>
              <w:pStyle w:val="TableDataEntries"/>
              <w:spacing w:before="0" w:after="240" w:line="240" w:lineRule="auto"/>
              <w:rPr>
                <w:rFonts w:ascii="Times New Roman" w:hAnsi="Times New Roman"/>
                <w:b/>
                <w:sz w:val="20"/>
              </w:rPr>
            </w:pPr>
            <w:r w:rsidRPr="00784BAD">
              <w:rPr>
                <w:rFonts w:ascii="Times New Roman" w:hAnsi="Times New Roman"/>
                <w:b/>
                <w:sz w:val="20"/>
              </w:rPr>
              <w:t xml:space="preserve"> $589 160 </w:t>
            </w:r>
          </w:p>
        </w:tc>
      </w:tr>
    </w:tbl>
    <w:p w14:paraId="26588F99" w14:textId="77777777" w:rsidR="00A8163B" w:rsidRDefault="00A8163B" w:rsidP="00A8163B">
      <w:pPr>
        <w:pStyle w:val="Heading1"/>
        <w:numPr>
          <w:ilvl w:val="0"/>
          <w:numId w:val="0"/>
        </w:numPr>
        <w:ind w:left="720"/>
      </w:pPr>
    </w:p>
    <w:p w14:paraId="71B0D636" w14:textId="77777777" w:rsidR="00A8163B" w:rsidRDefault="00A8163B">
      <w:pPr>
        <w:rPr>
          <w:rFonts w:ascii="Arial" w:hAnsi="Arial"/>
          <w:b/>
          <w:bCs/>
          <w:szCs w:val="28"/>
        </w:rPr>
      </w:pPr>
      <w:r>
        <w:br w:type="page"/>
      </w:r>
    </w:p>
    <w:p w14:paraId="1FDBB07F" w14:textId="2E89A5F8" w:rsidR="00C90F65" w:rsidRPr="00A8163B" w:rsidRDefault="006A0D97" w:rsidP="00A8163B">
      <w:pPr>
        <w:pStyle w:val="Heading1"/>
        <w:ind w:left="720"/>
      </w:pPr>
      <w:r w:rsidRPr="00A8163B">
        <w:lastRenderedPageBreak/>
        <w:t>Key issues from ESC for MSAC</w:t>
      </w:r>
    </w:p>
    <w:p w14:paraId="30B20E02" w14:textId="71A93467" w:rsidR="00BB19D5" w:rsidRPr="008D4CF4" w:rsidRDefault="00BB19D5" w:rsidP="00E37FEE">
      <w:pPr>
        <w:pStyle w:val="ListParagraph"/>
        <w:spacing w:after="240"/>
        <w:ind w:left="0"/>
        <w:rPr>
          <w:szCs w:val="24"/>
        </w:rPr>
      </w:pPr>
      <w:r w:rsidRPr="00784BAD">
        <w:rPr>
          <w:szCs w:val="24"/>
        </w:rPr>
        <w:t>ESC advised that the key issues below would be most r</w:t>
      </w:r>
      <w:r w:rsidR="00C90F65">
        <w:rPr>
          <w:szCs w:val="24"/>
        </w:rPr>
        <w:t>elevant to MSAC decision-making.</w:t>
      </w:r>
    </w:p>
    <w:p w14:paraId="39D039F2" w14:textId="77777777" w:rsidR="00BB19D5" w:rsidRPr="00784BAD" w:rsidRDefault="00BB19D5" w:rsidP="00E37FEE">
      <w:pPr>
        <w:spacing w:after="240"/>
      </w:pPr>
      <w:r w:rsidRPr="00784BAD">
        <w:t>C</w:t>
      </w:r>
      <w:r w:rsidR="00182148">
        <w:t>CXL</w:t>
      </w:r>
      <w:r w:rsidRPr="00784BAD">
        <w:t xml:space="preserve"> offers</w:t>
      </w:r>
      <w:r>
        <w:t>, at best,</w:t>
      </w:r>
      <w:r w:rsidRPr="00784BAD">
        <w:t xml:space="preserve"> non-inferior safety and non-inferior, possibly superior, effectiveness, </w:t>
      </w:r>
      <w:r>
        <w:t xml:space="preserve">relative to the current treatment pathway, </w:t>
      </w:r>
      <w:r w:rsidRPr="00784BAD">
        <w:t>based on low level clinical evidence</w:t>
      </w:r>
      <w:r>
        <w:t>. Considerable further comparative data would be required to make a more definitive conclusion relative to conventional management pathway. ESC added</w:t>
      </w:r>
      <w:r w:rsidRPr="00784BAD">
        <w:t xml:space="preserve"> the following caveats:  </w:t>
      </w:r>
    </w:p>
    <w:p w14:paraId="044BBCE1" w14:textId="4D7A5D9D" w:rsidR="00BB19D5" w:rsidRPr="00784BAD" w:rsidRDefault="00BB19D5" w:rsidP="00E37FEE">
      <w:pPr>
        <w:pStyle w:val="ListParagraph"/>
        <w:numPr>
          <w:ilvl w:val="1"/>
          <w:numId w:val="35"/>
        </w:numPr>
        <w:spacing w:after="240"/>
        <w:ind w:left="709" w:hanging="425"/>
      </w:pPr>
      <w:r>
        <w:t>T</w:t>
      </w:r>
      <w:r w:rsidRPr="00784BAD">
        <w:t>here were no true long-ter</w:t>
      </w:r>
      <w:r w:rsidR="00376575">
        <w:t>m follow-up data (longer than 3</w:t>
      </w:r>
      <w:r w:rsidRPr="00784BAD">
        <w:t>years) that tested the durability of the procedure or the outcomes in terms of corneal grafts avoided.  There was no evidence on which to base an assessment of whether patients had an inadequate or less-than-permanent response, or the risk of eventual disease progression;</w:t>
      </w:r>
    </w:p>
    <w:p w14:paraId="6899AD8C" w14:textId="77777777" w:rsidR="00BB19D5" w:rsidRPr="00784BAD" w:rsidRDefault="00BB19D5" w:rsidP="00E37FEE">
      <w:pPr>
        <w:pStyle w:val="ListParagraph"/>
        <w:numPr>
          <w:ilvl w:val="1"/>
          <w:numId w:val="35"/>
        </w:numPr>
        <w:spacing w:after="240"/>
        <w:ind w:left="709" w:hanging="425"/>
      </w:pPr>
      <w:r w:rsidRPr="00784BAD">
        <w:t xml:space="preserve">100% of the clinical data were collected in patients with keratoconus, which, while the most prevalent of the </w:t>
      </w:r>
      <w:r w:rsidRPr="00784BAD">
        <w:rPr>
          <w:szCs w:val="24"/>
        </w:rPr>
        <w:t xml:space="preserve">corneal ectatic disorders, </w:t>
      </w:r>
      <w:r w:rsidRPr="00784BAD">
        <w:t>constitutes only 90% of Australian patients</w:t>
      </w:r>
      <w:r>
        <w:t xml:space="preserve"> with </w:t>
      </w:r>
      <w:r w:rsidRPr="00784BAD">
        <w:rPr>
          <w:szCs w:val="24"/>
        </w:rPr>
        <w:t>corneal ectatic disorders</w:t>
      </w:r>
      <w:r w:rsidRPr="00784BAD">
        <w:t>;</w:t>
      </w:r>
    </w:p>
    <w:p w14:paraId="6AA3BB55" w14:textId="77777777" w:rsidR="00BB19D5" w:rsidRPr="00784BAD" w:rsidRDefault="00BB19D5" w:rsidP="00E37FEE">
      <w:pPr>
        <w:pStyle w:val="ListParagraph"/>
        <w:numPr>
          <w:ilvl w:val="1"/>
          <w:numId w:val="35"/>
        </w:numPr>
        <w:spacing w:after="240"/>
        <w:ind w:left="709" w:hanging="425"/>
      </w:pPr>
      <w:r w:rsidRPr="00784BAD">
        <w:t>There was an overall lack of evidence for comparative safety.  Adverse events were not well reported in the clinical evidence; in particular there was a lack of data to support the safety of the C</w:t>
      </w:r>
      <w:r w:rsidR="00182148">
        <w:t>CXL</w:t>
      </w:r>
      <w:r w:rsidRPr="00784BAD">
        <w:t xml:space="preserve"> procedure, the types of events observed, their frequency and grade, especially with respect to complications and also in comparison with conventional management.  </w:t>
      </w:r>
    </w:p>
    <w:p w14:paraId="65315D84" w14:textId="792D9CE7" w:rsidR="00BB19D5" w:rsidRPr="00784BAD" w:rsidRDefault="00BB19D5" w:rsidP="00E37FEE">
      <w:pPr>
        <w:pStyle w:val="ListParagraph"/>
        <w:numPr>
          <w:ilvl w:val="1"/>
          <w:numId w:val="35"/>
        </w:numPr>
        <w:spacing w:after="240"/>
        <w:ind w:left="709" w:hanging="425"/>
      </w:pPr>
      <w:r w:rsidRPr="00784BAD">
        <w:t xml:space="preserve">Nonetheless several large, apparently well-designed clinical trials registered in clinicaltrials.gov are due to report in 2016–17. </w:t>
      </w:r>
    </w:p>
    <w:p w14:paraId="31DD7D00" w14:textId="77777777" w:rsidR="00BB19D5" w:rsidRPr="00784BAD" w:rsidRDefault="00BB19D5" w:rsidP="00E37FEE">
      <w:pPr>
        <w:spacing w:after="240"/>
      </w:pPr>
      <w:r w:rsidRPr="00784BAD">
        <w:t>The economic model was uncertain in multiple respects, including the inputs, numbers, outcomes and the extent of current use</w:t>
      </w:r>
      <w:r>
        <w:t xml:space="preserve"> and thus numbers eligible for future use</w:t>
      </w:r>
      <w:r w:rsidRPr="00784BAD">
        <w:t>.</w:t>
      </w:r>
      <w:r>
        <w:t xml:space="preserve"> ESC queried the validity of including the costs of C</w:t>
      </w:r>
      <w:r w:rsidR="00182148">
        <w:t>CXL</w:t>
      </w:r>
      <w:r>
        <w:t xml:space="preserve"> procedure in the current (comparator) management pathway, a</w:t>
      </w:r>
      <w:r w:rsidRPr="00784BAD">
        <w:t>lso</w:t>
      </w:r>
      <w:r>
        <w:t>, the modelling for number of diagnoses per year does not account for permanent net overseas migration;</w:t>
      </w:r>
    </w:p>
    <w:p w14:paraId="19113FFF" w14:textId="77777777" w:rsidR="00BB19D5" w:rsidRPr="00784BAD" w:rsidRDefault="00BB19D5" w:rsidP="00E37FEE">
      <w:pPr>
        <w:pStyle w:val="ListParagraph"/>
        <w:numPr>
          <w:ilvl w:val="1"/>
          <w:numId w:val="36"/>
        </w:numPr>
        <w:spacing w:after="240"/>
        <w:ind w:left="709" w:hanging="425"/>
      </w:pPr>
      <w:r w:rsidRPr="00784BAD">
        <w:t>The application did not specify costs of other resources used in the C</w:t>
      </w:r>
      <w:r w:rsidR="00182148">
        <w:t>CXL</w:t>
      </w:r>
      <w:r w:rsidRPr="00784BAD">
        <w:t xml:space="preserve"> procedure.  These should be included in the inputs to the economic model; </w:t>
      </w:r>
    </w:p>
    <w:p w14:paraId="45D0C8B1" w14:textId="6BD74E41" w:rsidR="00BB19D5" w:rsidRPr="00784BAD" w:rsidRDefault="00376575" w:rsidP="00E37FEE">
      <w:pPr>
        <w:pStyle w:val="ListParagraph"/>
        <w:numPr>
          <w:ilvl w:val="1"/>
          <w:numId w:val="36"/>
        </w:numPr>
        <w:spacing w:after="240"/>
        <w:ind w:left="709" w:hanging="425"/>
      </w:pPr>
      <w:r>
        <w:t>The 50</w:t>
      </w:r>
      <w:r w:rsidR="00BB19D5" w:rsidRPr="00784BAD">
        <w:t xml:space="preserve">year modelled time horizon was appropriate for the target population but was otherwise unsupported by the clinical data;  </w:t>
      </w:r>
    </w:p>
    <w:p w14:paraId="75B00AD6" w14:textId="20340352" w:rsidR="00BB19D5" w:rsidRPr="00784BAD" w:rsidRDefault="00BB19D5" w:rsidP="00E37FEE">
      <w:pPr>
        <w:pStyle w:val="ListParagraph"/>
        <w:numPr>
          <w:ilvl w:val="1"/>
          <w:numId w:val="36"/>
        </w:numPr>
        <w:spacing w:after="240"/>
        <w:ind w:left="709" w:hanging="425"/>
      </w:pPr>
      <w:r w:rsidRPr="00784BAD">
        <w:t>The model lacked clinical evidence for the estimates of rates of d</w:t>
      </w:r>
      <w:r w:rsidR="00376575">
        <w:t>isease progression over 5 or 10</w:t>
      </w:r>
      <w:r w:rsidRPr="00784BAD">
        <w:t>years;</w:t>
      </w:r>
    </w:p>
    <w:p w14:paraId="7D9C9A17" w14:textId="77777777" w:rsidR="00BB19D5" w:rsidRPr="00784BAD" w:rsidRDefault="00BB19D5" w:rsidP="00E37FEE">
      <w:pPr>
        <w:pStyle w:val="ListParagraph"/>
        <w:numPr>
          <w:ilvl w:val="1"/>
          <w:numId w:val="36"/>
        </w:numPr>
        <w:spacing w:after="240"/>
        <w:ind w:left="709" w:hanging="425"/>
      </w:pPr>
      <w:r w:rsidRPr="00784BAD">
        <w:t>The model assumes a 0% failure rate, which was unsupported and considered unlik</w:t>
      </w:r>
      <w:r w:rsidR="00F375CA">
        <w:t xml:space="preserve">ely.  Evidence-based rates for </w:t>
      </w:r>
      <w:r w:rsidR="00182148">
        <w:t>CCXL</w:t>
      </w:r>
      <w:r w:rsidRPr="00784BAD">
        <w:t xml:space="preserve"> failure and complications should be incorporated in the model;  </w:t>
      </w:r>
    </w:p>
    <w:p w14:paraId="05668B6C" w14:textId="58422981" w:rsidR="00BB19D5" w:rsidRPr="00784BAD" w:rsidRDefault="00BB19D5" w:rsidP="00E37FEE">
      <w:pPr>
        <w:pStyle w:val="ListParagraph"/>
        <w:numPr>
          <w:ilvl w:val="1"/>
          <w:numId w:val="36"/>
        </w:numPr>
        <w:spacing w:after="240"/>
        <w:ind w:left="709" w:hanging="425"/>
      </w:pPr>
      <w:r w:rsidRPr="00784BAD">
        <w:t>The ICER did not reflect patient utilities including prefe</w:t>
      </w:r>
      <w:r w:rsidR="00227B0F">
        <w:t>rence to avoid corneal grafts.</w:t>
      </w:r>
    </w:p>
    <w:p w14:paraId="67094121" w14:textId="30DCDDA3" w:rsidR="00BB19D5" w:rsidRPr="00784BAD" w:rsidRDefault="00F375CA" w:rsidP="00E37FEE">
      <w:pPr>
        <w:spacing w:after="240"/>
      </w:pPr>
      <w:r>
        <w:t xml:space="preserve">The applicant’s claim that </w:t>
      </w:r>
      <w:r w:rsidR="00182148">
        <w:t>CCXL</w:t>
      </w:r>
      <w:r w:rsidR="00BB19D5" w:rsidRPr="00784BAD">
        <w:t xml:space="preserve"> had become, in effect, the standard of care for this indication (based on a reported 70% uptake rate) was not independently verified for Australian patients nor supported with d</w:t>
      </w:r>
      <w:r w:rsidR="00BB19D5">
        <w:t>ependable</w:t>
      </w:r>
      <w:r w:rsidR="00BB19D5" w:rsidRPr="00784BAD">
        <w:t xml:space="preserve"> health outcomes data.  This flowed on to uncertainty in the utilis</w:t>
      </w:r>
      <w:r w:rsidR="00227B0F">
        <w:t>ation and financial estimates.</w:t>
      </w:r>
    </w:p>
    <w:p w14:paraId="69148227" w14:textId="77777777" w:rsidR="00BB19D5" w:rsidRPr="00784BAD" w:rsidRDefault="00BB19D5" w:rsidP="00E37FEE">
      <w:pPr>
        <w:spacing w:after="240"/>
      </w:pPr>
      <w:r w:rsidRPr="00784BAD">
        <w:t xml:space="preserve">With respect to the age of </w:t>
      </w:r>
      <w:r w:rsidR="00F375CA">
        <w:t xml:space="preserve">the patients who would receive </w:t>
      </w:r>
      <w:r w:rsidR="00182148">
        <w:t>CCXL</w:t>
      </w:r>
      <w:r w:rsidRPr="00784BAD">
        <w:t xml:space="preserve"> treatment:</w:t>
      </w:r>
    </w:p>
    <w:p w14:paraId="52D1F2F9" w14:textId="77777777" w:rsidR="00BB19D5" w:rsidRPr="00784BAD" w:rsidRDefault="00BB19D5" w:rsidP="00E37FEE">
      <w:pPr>
        <w:pStyle w:val="ListParagraph"/>
        <w:numPr>
          <w:ilvl w:val="1"/>
          <w:numId w:val="37"/>
        </w:numPr>
        <w:spacing w:after="240"/>
        <w:ind w:left="709" w:hanging="425"/>
      </w:pPr>
      <w:r w:rsidRPr="00784BAD">
        <w:t>The applicant did not adequately specify the age group of the intended population.  Nor was evidence presented for the age of disease onset of keratoconus or other types of ectatic disorders;</w:t>
      </w:r>
    </w:p>
    <w:p w14:paraId="5B632E5F" w14:textId="77777777" w:rsidR="00BB19D5" w:rsidRPr="00784BAD" w:rsidRDefault="00BB19D5" w:rsidP="00E37FEE">
      <w:pPr>
        <w:pStyle w:val="ListParagraph"/>
        <w:numPr>
          <w:ilvl w:val="1"/>
          <w:numId w:val="37"/>
        </w:numPr>
        <w:spacing w:after="240"/>
        <w:ind w:left="709" w:hanging="425"/>
      </w:pPr>
      <w:r w:rsidRPr="00784BAD">
        <w:lastRenderedPageBreak/>
        <w:t>ESC noted the apparently young age of diagnosis for the conditions but that relatively few clinical data were available in that patient age group;</w:t>
      </w:r>
    </w:p>
    <w:p w14:paraId="06F6CC48" w14:textId="77777777" w:rsidR="00BB19D5" w:rsidRPr="00784BAD" w:rsidRDefault="00BB19D5" w:rsidP="00E37FEE">
      <w:pPr>
        <w:pStyle w:val="ListParagraph"/>
        <w:numPr>
          <w:ilvl w:val="1"/>
          <w:numId w:val="37"/>
        </w:numPr>
        <w:spacing w:after="240"/>
        <w:ind w:left="709" w:hanging="425"/>
      </w:pPr>
      <w:r w:rsidRPr="00784BAD">
        <w:t>In general the clinical evidence represented patients with variable/heterogeneous age and disease severity;</w:t>
      </w:r>
    </w:p>
    <w:p w14:paraId="4D5907A6" w14:textId="1DE4301E" w:rsidR="00BB19D5" w:rsidRPr="00784BAD" w:rsidRDefault="00BB19D5" w:rsidP="00E37FEE">
      <w:pPr>
        <w:pStyle w:val="ListParagraph"/>
        <w:numPr>
          <w:ilvl w:val="1"/>
          <w:numId w:val="37"/>
        </w:numPr>
        <w:spacing w:after="240"/>
        <w:ind w:left="709" w:hanging="425"/>
      </w:pPr>
      <w:r w:rsidRPr="00784BAD">
        <w:t>MSAC may wish to consider, once the above information is available, whether patient age should be specifi</w:t>
      </w:r>
      <w:r w:rsidR="00227B0F">
        <w:t>ed in the MBS item descriptor.</w:t>
      </w:r>
    </w:p>
    <w:p w14:paraId="3DA882CE" w14:textId="572962AF" w:rsidR="00BB19D5" w:rsidRPr="00784BAD" w:rsidRDefault="00BB19D5" w:rsidP="00E37FEE">
      <w:pPr>
        <w:spacing w:after="240"/>
      </w:pPr>
      <w:r w:rsidRPr="00784BAD">
        <w:t>The clinical algorithm propo</w:t>
      </w:r>
      <w:r w:rsidR="00F375CA">
        <w:t xml:space="preserve">sed should be modified to show </w:t>
      </w:r>
      <w:r w:rsidR="00182148">
        <w:t>CCXL</w:t>
      </w:r>
      <w:r w:rsidRPr="00784BAD">
        <w:t xml:space="preserve"> either at or before the trial of glasses and/or soft contact lenses</w:t>
      </w:r>
      <w:r>
        <w:t>, given that the procedure is proposed as first line management</w:t>
      </w:r>
      <w:r w:rsidR="00227B0F">
        <w:t>.</w:t>
      </w:r>
    </w:p>
    <w:p w14:paraId="47A91C9F" w14:textId="69BBC996" w:rsidR="00BB19D5" w:rsidRPr="00784BAD" w:rsidRDefault="00BB19D5" w:rsidP="00E37FEE">
      <w:pPr>
        <w:spacing w:after="240"/>
      </w:pPr>
      <w:r w:rsidRPr="00784BAD">
        <w:t xml:space="preserve">The application would benefit from including more detail to support the natural history of the conditions being treated, including rates, with evidence, of expected progression to corneal transplant; need for other interventions; and time to progression in the second eye.  </w:t>
      </w:r>
    </w:p>
    <w:p w14:paraId="3DBBDDA6" w14:textId="77777777" w:rsidR="00BB19D5" w:rsidRPr="00784BAD" w:rsidRDefault="00BB19D5" w:rsidP="00E37FEE">
      <w:pPr>
        <w:spacing w:after="240"/>
      </w:pPr>
      <w:r w:rsidRPr="00784BAD">
        <w:t>With respect to an appropriate MBS item descriptor:</w:t>
      </w:r>
    </w:p>
    <w:p w14:paraId="6B32F3A2" w14:textId="77777777" w:rsidR="00BB19D5" w:rsidRPr="00784BAD" w:rsidRDefault="00BB19D5" w:rsidP="00E37FEE">
      <w:pPr>
        <w:pStyle w:val="ListParagraph"/>
        <w:numPr>
          <w:ilvl w:val="1"/>
          <w:numId w:val="38"/>
        </w:numPr>
        <w:spacing w:after="240"/>
        <w:ind w:left="709" w:hanging="425"/>
      </w:pPr>
      <w:r w:rsidRPr="00784BAD">
        <w:t xml:space="preserve">Anaesthetic drops to be used during the procedure should be specified in the descriptor.  </w:t>
      </w:r>
    </w:p>
    <w:p w14:paraId="10DFB6A3" w14:textId="529951AC" w:rsidR="00BB19D5" w:rsidRPr="00784BAD" w:rsidRDefault="00BB19D5" w:rsidP="00E37FEE">
      <w:pPr>
        <w:pStyle w:val="ListParagraph"/>
        <w:numPr>
          <w:ilvl w:val="1"/>
          <w:numId w:val="38"/>
        </w:numPr>
        <w:spacing w:after="240"/>
        <w:ind w:left="709" w:hanging="425"/>
      </w:pPr>
      <w:r w:rsidRPr="00784BAD">
        <w:t xml:space="preserve">MSAC may also wish to consider including a once per lifetime per eye treatment criterion.  </w:t>
      </w:r>
    </w:p>
    <w:p w14:paraId="2C96076A" w14:textId="5EDF1830" w:rsidR="00BB19D5" w:rsidRPr="00784BAD" w:rsidRDefault="00BB19D5" w:rsidP="00E37FEE">
      <w:pPr>
        <w:spacing w:after="240"/>
      </w:pPr>
      <w:r w:rsidRPr="00784BAD">
        <w:t>A number of other interventions were likely to be co-administered with C</w:t>
      </w:r>
      <w:r w:rsidR="00182148">
        <w:t>CXL</w:t>
      </w:r>
      <w:r w:rsidRPr="00784BAD">
        <w:t xml:space="preserve">, including at least two that are not MBS items </w:t>
      </w:r>
      <w:r w:rsidRPr="00A352A2">
        <w:t>(</w:t>
      </w:r>
      <w:r w:rsidRPr="00C90F65">
        <w:rPr>
          <w:szCs w:val="24"/>
        </w:rPr>
        <w:t>ultrasonic pachymetry and partial coherence laser inferometry</w:t>
      </w:r>
      <w:r w:rsidRPr="00A352A2">
        <w:t>).</w:t>
      </w:r>
    </w:p>
    <w:p w14:paraId="12A740E8" w14:textId="77777777" w:rsidR="00BB19D5" w:rsidRPr="00784BAD" w:rsidRDefault="00BB19D5" w:rsidP="00E37FEE">
      <w:pPr>
        <w:spacing w:after="240"/>
      </w:pPr>
      <w:r w:rsidRPr="00784BAD">
        <w:t xml:space="preserve">The proposed fee is $1500. PASC suggested $900-$1300 (a range defined by current cataract surgery and corneal transplant items).  However, consumers advise the procedure currently costs $2000–3000 per eye ($4000–$6000 for both eyes) suggesting that patient out of pocket costs may be high.  </w:t>
      </w:r>
    </w:p>
    <w:p w14:paraId="6797B427" w14:textId="45DB5D7D" w:rsidR="006A0D97" w:rsidRPr="006A0D97" w:rsidRDefault="00BB19D5" w:rsidP="00E37FEE">
      <w:pPr>
        <w:spacing w:after="240"/>
      </w:pPr>
      <w:r w:rsidRPr="00784BAD">
        <w:t>The C</w:t>
      </w:r>
      <w:r w:rsidR="00182148">
        <w:t>CXL</w:t>
      </w:r>
      <w:r w:rsidRPr="00784BAD">
        <w:t xml:space="preserve"> procedure requires 0.1% riboflavin eye drops, which are not currently registered on the Australian Register of Therapeutic Goods and would either need to be approved by TGA or </w:t>
      </w:r>
      <w:r>
        <w:t xml:space="preserve">continue to be </w:t>
      </w:r>
      <w:r w:rsidRPr="00784BAD">
        <w:t>supplied under th</w:t>
      </w:r>
      <w:r w:rsidR="00227B0F">
        <w:t>e TGA’s Special Access Scheme.</w:t>
      </w:r>
    </w:p>
    <w:p w14:paraId="5E32039F" w14:textId="4D172960" w:rsidR="00D90A38" w:rsidRPr="00A8163B" w:rsidRDefault="00BC1364" w:rsidP="00A8163B">
      <w:pPr>
        <w:pStyle w:val="Heading1"/>
      </w:pPr>
      <w:r w:rsidRPr="00A8163B">
        <w:t>Other significant factors</w:t>
      </w:r>
    </w:p>
    <w:p w14:paraId="0C65C2A8" w14:textId="0C9B3114" w:rsidR="00BC1364" w:rsidRPr="00707064" w:rsidRDefault="00BC1364" w:rsidP="008D4CF4">
      <w:pPr>
        <w:spacing w:after="240"/>
        <w:rPr>
          <w:szCs w:val="24"/>
        </w:rPr>
      </w:pPr>
      <w:r w:rsidRPr="00732856">
        <w:rPr>
          <w:szCs w:val="24"/>
        </w:rPr>
        <w:t>Nil</w:t>
      </w:r>
      <w:r w:rsidR="009D5A48">
        <w:rPr>
          <w:szCs w:val="24"/>
        </w:rPr>
        <w:t>.</w:t>
      </w:r>
    </w:p>
    <w:p w14:paraId="332D88C9" w14:textId="4ADE44BC" w:rsidR="00BC1364" w:rsidRPr="00A8163B" w:rsidRDefault="00BC1364" w:rsidP="00A8163B">
      <w:pPr>
        <w:pStyle w:val="Heading1"/>
      </w:pPr>
      <w:r w:rsidRPr="00A8163B">
        <w:t xml:space="preserve">Applicant’s comments on MSAC’s </w:t>
      </w:r>
      <w:r w:rsidR="00DA56AA" w:rsidRPr="00A8163B">
        <w:t>Public Summary Document</w:t>
      </w:r>
    </w:p>
    <w:p w14:paraId="1C9122D1" w14:textId="2FAFC813" w:rsidR="00BC1364" w:rsidRPr="00227B0F" w:rsidRDefault="00875B33" w:rsidP="00E37FEE">
      <w:pPr>
        <w:spacing w:after="240"/>
        <w:rPr>
          <w:szCs w:val="24"/>
        </w:rPr>
      </w:pPr>
      <w:r>
        <w:rPr>
          <w:szCs w:val="24"/>
        </w:rPr>
        <w:t>Keratoconus is a disease primarily starting in the late teenage years or early twenties. Some cases are mild and manageable by simple measures such as glasses and contact lenses. A significant percentage however go on to need corneal transplantation. Indeed Keratoconus is the commonest single indication for corneal transplantation [Australian Corneal Graft registry]. Although transplants are relatively successful in the very long term the rate of failure increases and so a percentage of patients end up with severe disability .A treatment to prevent this sequence of events is highly desirable, and as an intervention in young people comparable to childhood immunisation and fluoridation of water.</w:t>
      </w:r>
    </w:p>
    <w:p w14:paraId="7489C83A" w14:textId="5A0EE2C7" w:rsidR="00BC1364" w:rsidRPr="00A8163B" w:rsidRDefault="00271F18" w:rsidP="00A8163B">
      <w:pPr>
        <w:pStyle w:val="Heading1"/>
      </w:pPr>
      <w:r w:rsidRPr="00A8163B">
        <w:t>Further information on MSAC</w:t>
      </w:r>
    </w:p>
    <w:p w14:paraId="64D3433E" w14:textId="621F3C6A" w:rsidR="00BC1364" w:rsidRPr="00DD2858" w:rsidRDefault="00271F18" w:rsidP="00E37FEE">
      <w:pPr>
        <w:spacing w:after="240"/>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w:t>
      </w:r>
      <w:hyperlink r:id="rId11" w:tooltip="This is a link to the MSAC website" w:history="1">
        <w:r w:rsidR="00E563A0">
          <w:rPr>
            <w:rStyle w:val="Hyperlink"/>
            <w:color w:val="auto"/>
            <w:szCs w:val="24"/>
          </w:rPr>
          <w:t>MSA</w:t>
        </w:r>
        <w:bookmarkStart w:id="2" w:name="_GoBack"/>
        <w:bookmarkEnd w:id="2"/>
        <w:r w:rsidR="00E563A0">
          <w:rPr>
            <w:rStyle w:val="Hyperlink"/>
            <w:color w:val="auto"/>
            <w:szCs w:val="24"/>
          </w:rPr>
          <w:t>C Website</w:t>
        </w:r>
      </w:hyperlink>
      <w:r w:rsidR="00E563A0">
        <w:rPr>
          <w:szCs w:val="24"/>
        </w:rPr>
        <w:t>.</w:t>
      </w:r>
    </w:p>
    <w:sectPr w:rsidR="00BC1364" w:rsidRPr="00DD2858" w:rsidSect="00271F18">
      <w:headerReference w:type="even" r:id="rId12"/>
      <w:headerReference w:type="default" r:id="rId13"/>
      <w:footerReference w:type="even" r:id="rId14"/>
      <w:footerReference w:type="default" r:id="rId15"/>
      <w:headerReference w:type="first" r:id="rId16"/>
      <w:footerReference w:type="first" r:id="rId17"/>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205491" w15:done="0"/>
  <w15:commentEx w15:paraId="3F5903D6" w15:done="0"/>
  <w15:commentEx w15:paraId="54F4F55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487EF" w14:textId="77777777" w:rsidR="006F4A0F" w:rsidRDefault="006F4A0F" w:rsidP="00065623">
      <w:r>
        <w:separator/>
      </w:r>
    </w:p>
  </w:endnote>
  <w:endnote w:type="continuationSeparator" w:id="0">
    <w:p w14:paraId="7529848E" w14:textId="77777777" w:rsidR="006F4A0F" w:rsidRDefault="006F4A0F"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11C27" w14:textId="77777777" w:rsidR="00246F6E" w:rsidRDefault="00246F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378C3EDD" w14:textId="77777777" w:rsidR="00352224" w:rsidRDefault="00352224">
        <w:pPr>
          <w:pStyle w:val="Footer"/>
          <w:jc w:val="right"/>
        </w:pPr>
        <w:r>
          <w:fldChar w:fldCharType="begin"/>
        </w:r>
        <w:r>
          <w:instrText xml:space="preserve"> PAGE   \* MERGEFORMAT </w:instrText>
        </w:r>
        <w:r>
          <w:fldChar w:fldCharType="separate"/>
        </w:r>
        <w:r w:rsidR="00345254">
          <w:rPr>
            <w:noProof/>
          </w:rPr>
          <w:t>5</w:t>
        </w:r>
        <w:r>
          <w:rPr>
            <w:noProof/>
          </w:rPr>
          <w:fldChar w:fldCharType="end"/>
        </w:r>
      </w:p>
    </w:sdtContent>
  </w:sdt>
  <w:p w14:paraId="1A5478BB" w14:textId="77777777" w:rsidR="00BC1364" w:rsidRDefault="00BC13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FF89C" w14:textId="77777777" w:rsidR="00246F6E" w:rsidRDefault="00246F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C51D7" w14:textId="77777777" w:rsidR="006F4A0F" w:rsidRDefault="006F4A0F" w:rsidP="00065623">
      <w:r>
        <w:separator/>
      </w:r>
    </w:p>
  </w:footnote>
  <w:footnote w:type="continuationSeparator" w:id="0">
    <w:p w14:paraId="3C82C4C5" w14:textId="77777777" w:rsidR="006F4A0F" w:rsidRDefault="006F4A0F" w:rsidP="00065623">
      <w:r>
        <w:continuationSeparator/>
      </w:r>
    </w:p>
  </w:footnote>
  <w:footnote w:id="1">
    <w:p w14:paraId="634623A0" w14:textId="77777777" w:rsidR="00471DF6" w:rsidRDefault="00471DF6" w:rsidP="00471DF6">
      <w:pPr>
        <w:pStyle w:val="FootnoteText"/>
      </w:pPr>
      <w:r>
        <w:rPr>
          <w:rStyle w:val="FootnoteReference"/>
        </w:rPr>
        <w:footnoteRef/>
      </w:r>
      <w:r>
        <w:t xml:space="preserve"> LASIK: L</w:t>
      </w:r>
      <w:r w:rsidRPr="00BB0851">
        <w:t>aser-</w:t>
      </w:r>
      <w:r>
        <w:t>A</w:t>
      </w:r>
      <w:r w:rsidRPr="00BB0851">
        <w:t xml:space="preserve">ssisted </w:t>
      </w:r>
      <w:r w:rsidRPr="00BB0851">
        <w:rPr>
          <w:i/>
        </w:rPr>
        <w:t xml:space="preserve">In Situ </w:t>
      </w:r>
      <w:r>
        <w:t>K</w:t>
      </w:r>
      <w:r w:rsidRPr="00BB0851">
        <w:t>eratomileusis</w:t>
      </w:r>
      <w:r>
        <w:t xml:space="preserve"> (commonly referred to as laser eye surgery)</w:t>
      </w:r>
    </w:p>
    <w:p w14:paraId="14D19442" w14:textId="77777777" w:rsidR="00471DF6" w:rsidRDefault="00471DF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68327" w14:textId="77777777" w:rsidR="00246F6E" w:rsidRDefault="00246F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E2A4F" w14:textId="77777777" w:rsidR="00246F6E" w:rsidRDefault="00246F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35FE0" w14:textId="77777777" w:rsidR="00246F6E" w:rsidRDefault="00246F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1A6F"/>
    <w:multiLevelType w:val="hybridMultilevel"/>
    <w:tmpl w:val="92F2F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5EE0FF9"/>
    <w:multiLevelType w:val="hybridMultilevel"/>
    <w:tmpl w:val="0B4A6024"/>
    <w:lvl w:ilvl="0" w:tplc="FA588B4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BFF3A35"/>
    <w:multiLevelType w:val="hybridMultilevel"/>
    <w:tmpl w:val="7DBE4F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1A5EBA"/>
    <w:multiLevelType w:val="hybridMultilevel"/>
    <w:tmpl w:val="85DA6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D53CA7"/>
    <w:multiLevelType w:val="hybridMultilevel"/>
    <w:tmpl w:val="3EB89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1535386"/>
    <w:multiLevelType w:val="multilevel"/>
    <w:tmpl w:val="D3EC8D5C"/>
    <w:styleLink w:val="TableListNumbers"/>
    <w:lvl w:ilvl="0">
      <w:start w:val="1"/>
      <w:numFmt w:val="lowerRoman"/>
      <w:pStyle w:val="TableListNumber"/>
      <w:lvlText w:val="(%1)"/>
      <w:lvlJc w:val="left"/>
      <w:pPr>
        <w:tabs>
          <w:tab w:val="num" w:pos="170"/>
        </w:tabs>
        <w:ind w:left="170" w:hanging="170"/>
      </w:pPr>
      <w:rPr>
        <w:rFonts w:hint="default"/>
      </w:rPr>
    </w:lvl>
    <w:lvl w:ilvl="1">
      <w:start w:val="1"/>
      <w:numFmt w:val="lowerLetter"/>
      <w:pStyle w:val="TableListNumber2"/>
      <w:lvlText w:val="%2)"/>
      <w:lvlJc w:val="left"/>
      <w:pPr>
        <w:tabs>
          <w:tab w:val="num" w:pos="340"/>
        </w:tabs>
        <w:ind w:left="340" w:hanging="17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420612FA"/>
    <w:multiLevelType w:val="hybridMultilevel"/>
    <w:tmpl w:val="827AF080"/>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9D6B50"/>
    <w:multiLevelType w:val="hybridMultilevel"/>
    <w:tmpl w:val="5126B828"/>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4A3E7B"/>
    <w:multiLevelType w:val="hybridMultilevel"/>
    <w:tmpl w:val="13089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42E221A"/>
    <w:multiLevelType w:val="multilevel"/>
    <w:tmpl w:val="567ADE74"/>
    <w:styleLink w:val="TableListBullets"/>
    <w:lvl w:ilvl="0">
      <w:start w:val="1"/>
      <w:numFmt w:val="bullet"/>
      <w:pStyle w:val="TableListBullet"/>
      <w:lvlText w:val="■"/>
      <w:lvlJc w:val="left"/>
      <w:pPr>
        <w:tabs>
          <w:tab w:val="num" w:pos="170"/>
        </w:tabs>
        <w:ind w:left="170" w:hanging="170"/>
      </w:pPr>
      <w:rPr>
        <w:rFonts w:ascii="Franklin Gothic Book" w:hAnsi="Franklin Gothic Book"/>
        <w:color w:val="8064A2" w:themeColor="accent4"/>
        <w:spacing w:val="0"/>
        <w:w w:val="100"/>
        <w:position w:val="3"/>
        <w:sz w:val="12"/>
      </w:rPr>
    </w:lvl>
    <w:lvl w:ilvl="1">
      <w:start w:val="1"/>
      <w:numFmt w:val="bullet"/>
      <w:pStyle w:val="TableListBullet2"/>
      <w:lvlText w:val="–"/>
      <w:lvlJc w:val="left"/>
      <w:pPr>
        <w:tabs>
          <w:tab w:val="num" w:pos="340"/>
        </w:tabs>
        <w:ind w:left="340" w:hanging="170"/>
      </w:pPr>
      <w:rPr>
        <w:rFonts w:ascii="Arial"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6787896"/>
    <w:multiLevelType w:val="multilevel"/>
    <w:tmpl w:val="567ADE74"/>
    <w:numStyleLink w:val="TableListBullets"/>
  </w:abstractNum>
  <w:abstractNum w:abstractNumId="26">
    <w:nsid w:val="584A5B6D"/>
    <w:multiLevelType w:val="hybridMultilevel"/>
    <w:tmpl w:val="8AE4EAC2"/>
    <w:lvl w:ilvl="0" w:tplc="A0DCA098">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097700"/>
    <w:multiLevelType w:val="hybridMultilevel"/>
    <w:tmpl w:val="06822932"/>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6FBA0B51"/>
    <w:multiLevelType w:val="hybridMultilevel"/>
    <w:tmpl w:val="0A8267A2"/>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18120EA"/>
    <w:multiLevelType w:val="multilevel"/>
    <w:tmpl w:val="CB3EC8D0"/>
    <w:styleLink w:val="ListBullets"/>
    <w:lvl w:ilvl="0">
      <w:start w:val="1"/>
      <w:numFmt w:val="bullet"/>
      <w:pStyle w:val="ListBullet"/>
      <w:lvlText w:val="■"/>
      <w:lvlJc w:val="left"/>
      <w:pPr>
        <w:tabs>
          <w:tab w:val="num" w:pos="284"/>
        </w:tabs>
        <w:ind w:left="284" w:hanging="284"/>
      </w:pPr>
      <w:rPr>
        <w:rFonts w:ascii="Franklin Gothic Demi" w:hAnsi="Franklin Gothic Demi" w:hint="default"/>
        <w:color w:val="8064A2" w:themeColor="accent4"/>
        <w:position w:val="3"/>
        <w:sz w:val="16"/>
      </w:rPr>
    </w:lvl>
    <w:lvl w:ilvl="1">
      <w:start w:val="1"/>
      <w:numFmt w:val="bullet"/>
      <w:pStyle w:val="ListBullet2"/>
      <w:lvlText w:val="–"/>
      <w:lvlJc w:val="left"/>
      <w:pPr>
        <w:tabs>
          <w:tab w:val="num" w:pos="567"/>
        </w:tabs>
        <w:ind w:left="567" w:hanging="283"/>
      </w:pPr>
      <w:rPr>
        <w:rFonts w:hint="default"/>
      </w:rPr>
    </w:lvl>
    <w:lvl w:ilvl="2">
      <w:start w:val="1"/>
      <w:numFmt w:val="bullet"/>
      <w:pStyle w:val="ListBullet3"/>
      <w:lvlText w:val="…"/>
      <w:lvlJc w:val="left"/>
      <w:pPr>
        <w:tabs>
          <w:tab w:val="num" w:pos="907"/>
        </w:tabs>
        <w:ind w:left="907" w:hanging="340"/>
      </w:pPr>
      <w:rPr>
        <w:rFonts w:ascii="Calisto MT" w:hAnsi="Calisto MT" w:hint="default"/>
        <w:color w:val="8064A2" w:themeColor="accent4"/>
        <w:position w:val="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AD63964"/>
    <w:multiLevelType w:val="hybridMultilevel"/>
    <w:tmpl w:val="FF3C5F34"/>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3A0DF8"/>
    <w:multiLevelType w:val="multilevel"/>
    <w:tmpl w:val="E6863C72"/>
    <w:lvl w:ilvl="0">
      <w:start w:val="1"/>
      <w:numFmt w:val="none"/>
      <w:lvlRestart w:val="0"/>
      <w:suff w:val="nothing"/>
      <w:lvlText w:val="%1"/>
      <w:lvlJc w:val="left"/>
      <w:pPr>
        <w:ind w:left="0" w:firstLine="0"/>
      </w:pPr>
      <w:rPr>
        <w:rFonts w:ascii="Calibri" w:hAnsi="Calibri" w:cs="Garamond" w:hint="default"/>
        <w:b/>
        <w:i w:val="0"/>
        <w:color w:val="9BBB59" w:themeColor="accent3"/>
        <w:position w:val="4"/>
      </w:rPr>
    </w:lvl>
    <w:lvl w:ilvl="1">
      <w:start w:val="1"/>
      <w:numFmt w:val="lowerLetter"/>
      <w:lvlText w:val="%1%2"/>
      <w:lvlJc w:val="left"/>
      <w:pPr>
        <w:tabs>
          <w:tab w:val="num" w:pos="170"/>
        </w:tabs>
        <w:ind w:left="170" w:hanging="170"/>
      </w:pPr>
      <w:rPr>
        <w:rFonts w:hint="default"/>
        <w:b/>
        <w:i w:val="0"/>
        <w:color w:val="9BBB59"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abstractNum w:abstractNumId="41">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2"/>
  </w:num>
  <w:num w:numId="3">
    <w:abstractNumId w:val="2"/>
  </w:num>
  <w:num w:numId="4">
    <w:abstractNumId w:val="27"/>
  </w:num>
  <w:num w:numId="5">
    <w:abstractNumId w:val="13"/>
  </w:num>
  <w:num w:numId="6">
    <w:abstractNumId w:val="24"/>
  </w:num>
  <w:num w:numId="7">
    <w:abstractNumId w:val="30"/>
  </w:num>
  <w:num w:numId="8">
    <w:abstractNumId w:val="19"/>
  </w:num>
  <w:num w:numId="9">
    <w:abstractNumId w:val="41"/>
  </w:num>
  <w:num w:numId="10">
    <w:abstractNumId w:val="1"/>
  </w:num>
  <w:num w:numId="11">
    <w:abstractNumId w:val="29"/>
  </w:num>
  <w:num w:numId="12">
    <w:abstractNumId w:val="31"/>
  </w:num>
  <w:num w:numId="13">
    <w:abstractNumId w:val="6"/>
  </w:num>
  <w:num w:numId="14">
    <w:abstractNumId w:val="36"/>
  </w:num>
  <w:num w:numId="15">
    <w:abstractNumId w:val="28"/>
  </w:num>
  <w:num w:numId="16">
    <w:abstractNumId w:val="32"/>
  </w:num>
  <w:num w:numId="17">
    <w:abstractNumId w:val="20"/>
  </w:num>
  <w:num w:numId="18">
    <w:abstractNumId w:val="21"/>
  </w:num>
  <w:num w:numId="19">
    <w:abstractNumId w:val="34"/>
  </w:num>
  <w:num w:numId="20">
    <w:abstractNumId w:val="33"/>
  </w:num>
  <w:num w:numId="21">
    <w:abstractNumId w:val="4"/>
  </w:num>
  <w:num w:numId="22">
    <w:abstractNumId w:val="12"/>
  </w:num>
  <w:num w:numId="23">
    <w:abstractNumId w:val="3"/>
  </w:num>
  <w:num w:numId="24">
    <w:abstractNumId w:val="11"/>
  </w:num>
  <w:num w:numId="25">
    <w:abstractNumId w:val="8"/>
  </w:num>
  <w:num w:numId="26">
    <w:abstractNumId w:val="0"/>
  </w:num>
  <w:num w:numId="27">
    <w:abstractNumId w:val="40"/>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15"/>
  </w:num>
  <w:num w:numId="31">
    <w:abstractNumId w:val="23"/>
  </w:num>
  <w:num w:numId="32">
    <w:abstractNumId w:val="25"/>
  </w:num>
  <w:num w:numId="33">
    <w:abstractNumId w:val="38"/>
  </w:num>
  <w:num w:numId="34">
    <w:abstractNumId w:val="5"/>
  </w:num>
  <w:num w:numId="35">
    <w:abstractNumId w:val="16"/>
  </w:num>
  <w:num w:numId="36">
    <w:abstractNumId w:val="17"/>
  </w:num>
  <w:num w:numId="37">
    <w:abstractNumId w:val="35"/>
  </w:num>
  <w:num w:numId="38">
    <w:abstractNumId w:val="39"/>
  </w:num>
  <w:num w:numId="39">
    <w:abstractNumId w:val="14"/>
  </w:num>
  <w:num w:numId="40">
    <w:abstractNumId w:val="9"/>
  </w:num>
  <w:num w:numId="41">
    <w:abstractNumId w:val="18"/>
  </w:num>
  <w:num w:numId="42">
    <w:abstractNumId w:val="7"/>
  </w:num>
  <w:num w:numId="43">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3739B"/>
    <w:rsid w:val="00042F11"/>
    <w:rsid w:val="00047606"/>
    <w:rsid w:val="00052FAD"/>
    <w:rsid w:val="00065623"/>
    <w:rsid w:val="000756B9"/>
    <w:rsid w:val="00096B67"/>
    <w:rsid w:val="00096DAF"/>
    <w:rsid w:val="000A11F9"/>
    <w:rsid w:val="000A51E4"/>
    <w:rsid w:val="000A5B70"/>
    <w:rsid w:val="000B6956"/>
    <w:rsid w:val="000C2F47"/>
    <w:rsid w:val="000C4BBA"/>
    <w:rsid w:val="000C6B40"/>
    <w:rsid w:val="000D6C00"/>
    <w:rsid w:val="000E3B33"/>
    <w:rsid w:val="000E4E04"/>
    <w:rsid w:val="000F14B4"/>
    <w:rsid w:val="000F391E"/>
    <w:rsid w:val="000F600C"/>
    <w:rsid w:val="000F75DF"/>
    <w:rsid w:val="001328FA"/>
    <w:rsid w:val="00147AAF"/>
    <w:rsid w:val="001552C0"/>
    <w:rsid w:val="001640B1"/>
    <w:rsid w:val="00182148"/>
    <w:rsid w:val="0018435E"/>
    <w:rsid w:val="002041A1"/>
    <w:rsid w:val="002054F0"/>
    <w:rsid w:val="00227B0F"/>
    <w:rsid w:val="00230D6B"/>
    <w:rsid w:val="00232068"/>
    <w:rsid w:val="002330F2"/>
    <w:rsid w:val="00243D9E"/>
    <w:rsid w:val="00246F6E"/>
    <w:rsid w:val="00253B66"/>
    <w:rsid w:val="00254CF9"/>
    <w:rsid w:val="00261DF1"/>
    <w:rsid w:val="00271F18"/>
    <w:rsid w:val="00282779"/>
    <w:rsid w:val="0028334D"/>
    <w:rsid w:val="002B7FFA"/>
    <w:rsid w:val="002C2135"/>
    <w:rsid w:val="002C2BCF"/>
    <w:rsid w:val="002E4AF9"/>
    <w:rsid w:val="002F279D"/>
    <w:rsid w:val="002F43B8"/>
    <w:rsid w:val="00320D06"/>
    <w:rsid w:val="00325996"/>
    <w:rsid w:val="00336856"/>
    <w:rsid w:val="00345254"/>
    <w:rsid w:val="0034554D"/>
    <w:rsid w:val="00352224"/>
    <w:rsid w:val="003671E6"/>
    <w:rsid w:val="00376575"/>
    <w:rsid w:val="00384272"/>
    <w:rsid w:val="00386D67"/>
    <w:rsid w:val="003945B8"/>
    <w:rsid w:val="003D7F29"/>
    <w:rsid w:val="003F36DA"/>
    <w:rsid w:val="00402FA7"/>
    <w:rsid w:val="00405A6B"/>
    <w:rsid w:val="00407B1F"/>
    <w:rsid w:val="00414C57"/>
    <w:rsid w:val="0041758C"/>
    <w:rsid w:val="00420DE9"/>
    <w:rsid w:val="004372A7"/>
    <w:rsid w:val="00437CFA"/>
    <w:rsid w:val="00442254"/>
    <w:rsid w:val="004539DE"/>
    <w:rsid w:val="0045582A"/>
    <w:rsid w:val="00455E04"/>
    <w:rsid w:val="00471DF6"/>
    <w:rsid w:val="004A2CF1"/>
    <w:rsid w:val="004B2B03"/>
    <w:rsid w:val="004C3035"/>
    <w:rsid w:val="004C307F"/>
    <w:rsid w:val="004E4BA8"/>
    <w:rsid w:val="004F340F"/>
    <w:rsid w:val="004F7B7C"/>
    <w:rsid w:val="0052243D"/>
    <w:rsid w:val="00531C81"/>
    <w:rsid w:val="00532435"/>
    <w:rsid w:val="0053288F"/>
    <w:rsid w:val="005402B2"/>
    <w:rsid w:val="00550354"/>
    <w:rsid w:val="00556B02"/>
    <w:rsid w:val="00571236"/>
    <w:rsid w:val="005840D3"/>
    <w:rsid w:val="0058426A"/>
    <w:rsid w:val="005953A1"/>
    <w:rsid w:val="005A5929"/>
    <w:rsid w:val="005B52E3"/>
    <w:rsid w:val="005D0332"/>
    <w:rsid w:val="005D0D8C"/>
    <w:rsid w:val="005E474D"/>
    <w:rsid w:val="00613AC3"/>
    <w:rsid w:val="006263B1"/>
    <w:rsid w:val="006776AE"/>
    <w:rsid w:val="006A0D97"/>
    <w:rsid w:val="006B1F86"/>
    <w:rsid w:val="006C0A91"/>
    <w:rsid w:val="006F4A0F"/>
    <w:rsid w:val="007054BB"/>
    <w:rsid w:val="00707064"/>
    <w:rsid w:val="00730683"/>
    <w:rsid w:val="00732856"/>
    <w:rsid w:val="0075261F"/>
    <w:rsid w:val="0075468E"/>
    <w:rsid w:val="007656A8"/>
    <w:rsid w:val="00765E44"/>
    <w:rsid w:val="007665D8"/>
    <w:rsid w:val="00766E36"/>
    <w:rsid w:val="007722BF"/>
    <w:rsid w:val="007765F4"/>
    <w:rsid w:val="00776633"/>
    <w:rsid w:val="00784D53"/>
    <w:rsid w:val="00797797"/>
    <w:rsid w:val="007A215B"/>
    <w:rsid w:val="007A63C9"/>
    <w:rsid w:val="007B32D1"/>
    <w:rsid w:val="007B7095"/>
    <w:rsid w:val="007D24E1"/>
    <w:rsid w:val="007F4CE9"/>
    <w:rsid w:val="007F4E20"/>
    <w:rsid w:val="007F66B0"/>
    <w:rsid w:val="008156EC"/>
    <w:rsid w:val="00822C7E"/>
    <w:rsid w:val="00833EA2"/>
    <w:rsid w:val="00847060"/>
    <w:rsid w:val="00856A33"/>
    <w:rsid w:val="00860499"/>
    <w:rsid w:val="00875B33"/>
    <w:rsid w:val="00892620"/>
    <w:rsid w:val="008C7D37"/>
    <w:rsid w:val="008D4CF4"/>
    <w:rsid w:val="008D5885"/>
    <w:rsid w:val="00916EBC"/>
    <w:rsid w:val="00923FA2"/>
    <w:rsid w:val="009461B5"/>
    <w:rsid w:val="0096060D"/>
    <w:rsid w:val="00974A50"/>
    <w:rsid w:val="0097585A"/>
    <w:rsid w:val="009924B0"/>
    <w:rsid w:val="009942C9"/>
    <w:rsid w:val="009B35C4"/>
    <w:rsid w:val="009C630A"/>
    <w:rsid w:val="009D5A48"/>
    <w:rsid w:val="009E0D98"/>
    <w:rsid w:val="009F4192"/>
    <w:rsid w:val="00A068A1"/>
    <w:rsid w:val="00A1207D"/>
    <w:rsid w:val="00A12FD8"/>
    <w:rsid w:val="00A346FC"/>
    <w:rsid w:val="00A44FBD"/>
    <w:rsid w:val="00A74D4C"/>
    <w:rsid w:val="00A8163B"/>
    <w:rsid w:val="00A84F93"/>
    <w:rsid w:val="00AB1AC5"/>
    <w:rsid w:val="00AB3BFC"/>
    <w:rsid w:val="00AC4F2E"/>
    <w:rsid w:val="00AC657D"/>
    <w:rsid w:val="00AD0C37"/>
    <w:rsid w:val="00AD385F"/>
    <w:rsid w:val="00AE6E2A"/>
    <w:rsid w:val="00B16BD9"/>
    <w:rsid w:val="00B31E9C"/>
    <w:rsid w:val="00B35595"/>
    <w:rsid w:val="00B51C6D"/>
    <w:rsid w:val="00B55B8A"/>
    <w:rsid w:val="00B86D64"/>
    <w:rsid w:val="00B9099B"/>
    <w:rsid w:val="00B915E6"/>
    <w:rsid w:val="00B91882"/>
    <w:rsid w:val="00BA4AC5"/>
    <w:rsid w:val="00BB19D5"/>
    <w:rsid w:val="00BC1364"/>
    <w:rsid w:val="00BC7DE9"/>
    <w:rsid w:val="00BF479B"/>
    <w:rsid w:val="00C00794"/>
    <w:rsid w:val="00C02577"/>
    <w:rsid w:val="00C204FB"/>
    <w:rsid w:val="00C20BEE"/>
    <w:rsid w:val="00C2158D"/>
    <w:rsid w:val="00C65C25"/>
    <w:rsid w:val="00C67DD2"/>
    <w:rsid w:val="00C725CB"/>
    <w:rsid w:val="00C76F5C"/>
    <w:rsid w:val="00C90F65"/>
    <w:rsid w:val="00C94087"/>
    <w:rsid w:val="00C96BAD"/>
    <w:rsid w:val="00CA6944"/>
    <w:rsid w:val="00CB0F8E"/>
    <w:rsid w:val="00CB7E7D"/>
    <w:rsid w:val="00CC2911"/>
    <w:rsid w:val="00CF0C6D"/>
    <w:rsid w:val="00CF7307"/>
    <w:rsid w:val="00CF7C68"/>
    <w:rsid w:val="00D01A07"/>
    <w:rsid w:val="00D07239"/>
    <w:rsid w:val="00D124FA"/>
    <w:rsid w:val="00D14EAB"/>
    <w:rsid w:val="00D154DA"/>
    <w:rsid w:val="00D26292"/>
    <w:rsid w:val="00D340DE"/>
    <w:rsid w:val="00D55723"/>
    <w:rsid w:val="00D62FAD"/>
    <w:rsid w:val="00D70450"/>
    <w:rsid w:val="00D83BFD"/>
    <w:rsid w:val="00D90A38"/>
    <w:rsid w:val="00DA0515"/>
    <w:rsid w:val="00DA171E"/>
    <w:rsid w:val="00DA56AA"/>
    <w:rsid w:val="00DB5833"/>
    <w:rsid w:val="00DB66AD"/>
    <w:rsid w:val="00DD2858"/>
    <w:rsid w:val="00E03E33"/>
    <w:rsid w:val="00E23A30"/>
    <w:rsid w:val="00E3642A"/>
    <w:rsid w:val="00E37FEE"/>
    <w:rsid w:val="00E415C4"/>
    <w:rsid w:val="00E50016"/>
    <w:rsid w:val="00E50EAA"/>
    <w:rsid w:val="00E523B1"/>
    <w:rsid w:val="00E563A0"/>
    <w:rsid w:val="00E656D6"/>
    <w:rsid w:val="00E977EE"/>
    <w:rsid w:val="00EA67A2"/>
    <w:rsid w:val="00EB6B6F"/>
    <w:rsid w:val="00EC4F98"/>
    <w:rsid w:val="00ED3D0C"/>
    <w:rsid w:val="00ED556D"/>
    <w:rsid w:val="00EF60DD"/>
    <w:rsid w:val="00F03659"/>
    <w:rsid w:val="00F06FF9"/>
    <w:rsid w:val="00F12F02"/>
    <w:rsid w:val="00F21117"/>
    <w:rsid w:val="00F32E0D"/>
    <w:rsid w:val="00F35134"/>
    <w:rsid w:val="00F375CA"/>
    <w:rsid w:val="00F41812"/>
    <w:rsid w:val="00F4333A"/>
    <w:rsid w:val="00F479DE"/>
    <w:rsid w:val="00F523B5"/>
    <w:rsid w:val="00F73333"/>
    <w:rsid w:val="00F85270"/>
    <w:rsid w:val="00F93545"/>
    <w:rsid w:val="00F95D8F"/>
    <w:rsid w:val="00FA5AC7"/>
    <w:rsid w:val="00FB350A"/>
    <w:rsid w:val="00FE5106"/>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961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qFormat="1"/>
    <w:lsdException w:name="footnote reference" w:locked="1" w:semiHidden="0" w:uiPriority="0" w:unhideWhenUsed="0"/>
    <w:lsdException w:name="List Bullet" w:uiPriority="2" w:qFormat="1"/>
    <w:lsdException w:name="List Bullet 2" w:uiPriority="2"/>
    <w:lsdException w:name="List Bullet 3" w:uiPriority="2"/>
    <w:lsdException w:name="Title" w:locked="1" w:semiHidden="0" w:uiPriority="0" w:unhideWhenUsed="0" w:qFormat="1"/>
    <w:lsdException w:name="Default Paragraph Font" w:locked="1" w:semiHidden="0" w:uiPriority="0" w:unhideWhenUsed="0"/>
    <w:lsdException w:name="Body Text" w:uiPriority="2"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345254"/>
    <w:pPr>
      <w:keepNext/>
      <w:keepLines/>
      <w:numPr>
        <w:numId w:val="43"/>
      </w:numPr>
      <w:ind w:left="36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5254"/>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TableDataEntries">
    <w:name w:val="Table Data Entries"/>
    <w:basedOn w:val="Normal"/>
    <w:uiPriority w:val="11"/>
    <w:rsid w:val="00DB66AD"/>
    <w:pPr>
      <w:keepLines/>
      <w:spacing w:before="40" w:after="40" w:line="200" w:lineRule="atLeast"/>
      <w:jc w:val="right"/>
    </w:pPr>
    <w:rPr>
      <w:rFonts w:ascii="Franklin Gothic Book" w:hAnsi="Franklin Gothic Book"/>
      <w:sz w:val="16"/>
      <w:szCs w:val="18"/>
      <w:lang w:eastAsia="en-US"/>
    </w:rPr>
  </w:style>
  <w:style w:type="paragraph" w:customStyle="1" w:styleId="TableDataColumnHeading">
    <w:name w:val="Table Data Column Heading"/>
    <w:basedOn w:val="TableDataEntries"/>
    <w:uiPriority w:val="11"/>
    <w:rsid w:val="00DB66AD"/>
    <w:pPr>
      <w:keepNext/>
      <w:spacing w:before="80" w:after="80"/>
    </w:pPr>
    <w:rPr>
      <w:rFonts w:ascii="Franklin Gothic Demi" w:hAnsi="Franklin Gothic Demi"/>
      <w:color w:val="FFFFFF"/>
    </w:rPr>
  </w:style>
  <w:style w:type="paragraph" w:customStyle="1" w:styleId="TableUnit">
    <w:name w:val="Table Unit"/>
    <w:basedOn w:val="TableDataColumnHeading"/>
    <w:next w:val="TableDataEntries"/>
    <w:uiPriority w:val="11"/>
    <w:rsid w:val="00DB66AD"/>
    <w:rPr>
      <w:rFonts w:ascii="Franklin Gothic Book" w:hAnsi="Franklin Gothic Book"/>
      <w:color w:val="auto"/>
      <w:szCs w:val="17"/>
    </w:rPr>
  </w:style>
  <w:style w:type="paragraph" w:customStyle="1" w:styleId="ChartText">
    <w:name w:val="Chart Text"/>
    <w:basedOn w:val="Normal"/>
    <w:link w:val="ChartTextChar"/>
    <w:uiPriority w:val="23"/>
    <w:rsid w:val="000B6956"/>
    <w:pPr>
      <w:keepLines/>
      <w:spacing w:after="80" w:line="200" w:lineRule="atLeast"/>
    </w:pPr>
    <w:rPr>
      <w:rFonts w:ascii="Franklin Gothic Medium" w:hAnsi="Franklin Gothic Medium"/>
      <w:sz w:val="16"/>
      <w:szCs w:val="18"/>
      <w:lang w:eastAsia="en-US"/>
    </w:rPr>
  </w:style>
  <w:style w:type="character" w:customStyle="1" w:styleId="ChartTextChar">
    <w:name w:val="Chart Text Char"/>
    <w:link w:val="ChartText"/>
    <w:uiPriority w:val="23"/>
    <w:rsid w:val="000B6956"/>
    <w:rPr>
      <w:rFonts w:ascii="Franklin Gothic Medium" w:eastAsia="Times New Roman" w:hAnsi="Franklin Gothic Medium"/>
      <w:sz w:val="16"/>
      <w:szCs w:val="18"/>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99"/>
    <w:unhideWhenUsed/>
    <w:qFormat/>
    <w:locked/>
    <w:rsid w:val="00BB19D5"/>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99"/>
    <w:rsid w:val="00BB19D5"/>
    <w:rPr>
      <w:rFonts w:ascii="Arial Narrow" w:eastAsia="Times New Roman" w:hAnsi="Arial Narrow" w:cs="Arial"/>
      <w:b/>
      <w:bCs/>
      <w:iCs/>
      <w:sz w:val="20"/>
      <w:szCs w:val="20"/>
      <w:lang w:eastAsia="en-US"/>
    </w:rPr>
  </w:style>
  <w:style w:type="paragraph" w:styleId="BodyText">
    <w:name w:val="Body Text"/>
    <w:basedOn w:val="Normal"/>
    <w:link w:val="BodyTextChar"/>
    <w:uiPriority w:val="2"/>
    <w:qFormat/>
    <w:rsid w:val="00BB19D5"/>
    <w:pPr>
      <w:spacing w:before="140" w:line="280" w:lineRule="atLeast"/>
    </w:pPr>
    <w:rPr>
      <w:rFonts w:asciiTheme="minorHAnsi" w:hAnsiTheme="minorHAnsi"/>
      <w:sz w:val="21"/>
      <w:szCs w:val="21"/>
    </w:rPr>
  </w:style>
  <w:style w:type="character" w:customStyle="1" w:styleId="BodyTextChar">
    <w:name w:val="Body Text Char"/>
    <w:basedOn w:val="DefaultParagraphFont"/>
    <w:link w:val="BodyText"/>
    <w:uiPriority w:val="2"/>
    <w:rsid w:val="00BB19D5"/>
    <w:rPr>
      <w:rFonts w:asciiTheme="minorHAnsi" w:eastAsia="Times New Roman" w:hAnsiTheme="minorHAnsi"/>
      <w:sz w:val="21"/>
      <w:szCs w:val="21"/>
    </w:rPr>
  </w:style>
  <w:style w:type="paragraph" w:customStyle="1" w:styleId="TableTextEntries">
    <w:name w:val="Table Text Entries"/>
    <w:basedOn w:val="BodyText"/>
    <w:uiPriority w:val="13"/>
    <w:rsid w:val="00BB19D5"/>
    <w:pPr>
      <w:keepLines/>
      <w:spacing w:before="80" w:after="80" w:line="200" w:lineRule="atLeast"/>
    </w:pPr>
    <w:rPr>
      <w:rFonts w:ascii="Franklin Gothic Book" w:hAnsi="Franklin Gothic Book"/>
      <w:sz w:val="16"/>
      <w:szCs w:val="18"/>
      <w:lang w:eastAsia="en-US"/>
    </w:rPr>
  </w:style>
  <w:style w:type="character" w:customStyle="1" w:styleId="NoteLabel">
    <w:name w:val="Note Label"/>
    <w:uiPriority w:val="15"/>
    <w:rsid w:val="00BB19D5"/>
    <w:rPr>
      <w:rFonts w:ascii="Franklin Gothic Demi" w:hAnsi="Franklin Gothic Demi"/>
      <w:b w:val="0"/>
      <w:i w:val="0"/>
      <w:color w:val="8064A2" w:themeColor="accent4"/>
      <w:position w:val="4"/>
      <w:sz w:val="14"/>
      <w:szCs w:val="16"/>
    </w:rPr>
  </w:style>
  <w:style w:type="paragraph" w:customStyle="1" w:styleId="TableText">
    <w:name w:val="TableText"/>
    <w:basedOn w:val="Normal"/>
    <w:link w:val="TableTextChar"/>
    <w:rsid w:val="00BB19D5"/>
    <w:pPr>
      <w:keepNext/>
      <w:spacing w:before="20" w:after="20"/>
    </w:pPr>
    <w:rPr>
      <w:rFonts w:ascii="Arial Narrow" w:hAnsi="Arial Narrow"/>
      <w:color w:val="000000"/>
      <w:sz w:val="20"/>
      <w:szCs w:val="21"/>
    </w:rPr>
  </w:style>
  <w:style w:type="character" w:customStyle="1" w:styleId="TableTextChar">
    <w:name w:val="TableText Char"/>
    <w:link w:val="TableText"/>
    <w:rsid w:val="00BB19D5"/>
    <w:rPr>
      <w:rFonts w:ascii="Arial Narrow" w:eastAsia="Times New Roman" w:hAnsi="Arial Narrow"/>
      <w:color w:val="000000"/>
      <w:sz w:val="20"/>
      <w:szCs w:val="21"/>
    </w:rPr>
  </w:style>
  <w:style w:type="paragraph" w:customStyle="1" w:styleId="Source">
    <w:name w:val="Source"/>
    <w:basedOn w:val="Normal"/>
    <w:next w:val="BodyText"/>
    <w:link w:val="SourceChar"/>
    <w:uiPriority w:val="16"/>
    <w:rsid w:val="00BB19D5"/>
    <w:pPr>
      <w:keepLines/>
      <w:spacing w:before="40" w:after="60" w:line="180" w:lineRule="atLeast"/>
    </w:pPr>
    <w:rPr>
      <w:rFonts w:ascii="Franklin Gothic Book" w:hAnsi="Franklin Gothic Book"/>
      <w:sz w:val="14"/>
      <w:szCs w:val="16"/>
      <w:lang w:eastAsia="en-US"/>
    </w:rPr>
  </w:style>
  <w:style w:type="character" w:customStyle="1" w:styleId="SourceChar">
    <w:name w:val="Source Char"/>
    <w:basedOn w:val="DefaultParagraphFont"/>
    <w:link w:val="Source"/>
    <w:uiPriority w:val="16"/>
    <w:locked/>
    <w:rsid w:val="00BB19D5"/>
    <w:rPr>
      <w:rFonts w:ascii="Franklin Gothic Book" w:eastAsia="Times New Roman" w:hAnsi="Franklin Gothic Book"/>
      <w:sz w:val="14"/>
      <w:szCs w:val="16"/>
      <w:lang w:eastAsia="en-US"/>
    </w:rPr>
  </w:style>
  <w:style w:type="paragraph" w:customStyle="1" w:styleId="Note">
    <w:name w:val="Note"/>
    <w:basedOn w:val="TableTextEntries"/>
    <w:next w:val="Source"/>
    <w:link w:val="NoteCharChar"/>
    <w:uiPriority w:val="15"/>
    <w:rsid w:val="00BB19D5"/>
    <w:pPr>
      <w:spacing w:before="40" w:after="0" w:line="180" w:lineRule="atLeast"/>
    </w:pPr>
    <w:rPr>
      <w:sz w:val="14"/>
      <w:szCs w:val="16"/>
    </w:rPr>
  </w:style>
  <w:style w:type="character" w:customStyle="1" w:styleId="NoteCharChar">
    <w:name w:val="Note Char Char"/>
    <w:link w:val="Note"/>
    <w:uiPriority w:val="15"/>
    <w:rsid w:val="00BB19D5"/>
    <w:rPr>
      <w:rFonts w:ascii="Franklin Gothic Book" w:eastAsia="Times New Roman" w:hAnsi="Franklin Gothic Book"/>
      <w:sz w:val="14"/>
      <w:szCs w:val="16"/>
      <w:lang w:eastAsia="en-US"/>
    </w:rPr>
  </w:style>
  <w:style w:type="paragraph" w:customStyle="1" w:styleId="TableFigNotes0">
    <w:name w:val="TableFigNotes+0"/>
    <w:basedOn w:val="Normal"/>
    <w:rsid w:val="00BB19D5"/>
    <w:pPr>
      <w:keepNext/>
      <w:keepLines/>
      <w:ind w:left="720"/>
    </w:pPr>
    <w:rPr>
      <w:rFonts w:ascii="Arial Narrow" w:hAnsi="Arial Narrow"/>
      <w:color w:val="000000"/>
      <w:sz w:val="18"/>
      <w:szCs w:val="18"/>
    </w:rPr>
  </w:style>
  <w:style w:type="numbering" w:customStyle="1" w:styleId="ListBullets">
    <w:name w:val="ListBullets"/>
    <w:uiPriority w:val="99"/>
    <w:rsid w:val="00BB19D5"/>
    <w:pPr>
      <w:numPr>
        <w:numId w:val="33"/>
      </w:numPr>
    </w:pPr>
  </w:style>
  <w:style w:type="paragraph" w:styleId="ListBullet3">
    <w:name w:val="List Bullet 3"/>
    <w:basedOn w:val="ListBullet2"/>
    <w:uiPriority w:val="2"/>
    <w:rsid w:val="00BB19D5"/>
    <w:pPr>
      <w:numPr>
        <w:ilvl w:val="2"/>
      </w:numPr>
      <w:tabs>
        <w:tab w:val="clear" w:pos="907"/>
        <w:tab w:val="num" w:pos="2160"/>
      </w:tabs>
      <w:ind w:left="2160" w:hanging="360"/>
    </w:pPr>
  </w:style>
  <w:style w:type="paragraph" w:styleId="ListBullet">
    <w:name w:val="List Bullet"/>
    <w:basedOn w:val="BodyText"/>
    <w:link w:val="ListBulletChar"/>
    <w:uiPriority w:val="2"/>
    <w:qFormat/>
    <w:rsid w:val="00BB19D5"/>
    <w:pPr>
      <w:numPr>
        <w:numId w:val="33"/>
      </w:numPr>
      <w:spacing w:before="70"/>
    </w:pPr>
  </w:style>
  <w:style w:type="paragraph" w:styleId="ListBullet2">
    <w:name w:val="List Bullet 2"/>
    <w:basedOn w:val="ListBullet"/>
    <w:uiPriority w:val="2"/>
    <w:rsid w:val="00BB19D5"/>
    <w:pPr>
      <w:numPr>
        <w:ilvl w:val="1"/>
      </w:numPr>
      <w:tabs>
        <w:tab w:val="clear" w:pos="567"/>
        <w:tab w:val="num" w:pos="1440"/>
      </w:tabs>
      <w:spacing w:before="40"/>
      <w:ind w:left="568" w:hanging="284"/>
    </w:pPr>
  </w:style>
  <w:style w:type="paragraph" w:customStyle="1" w:styleId="TableTextColumnHeading">
    <w:name w:val="Table Text Column Heading"/>
    <w:basedOn w:val="TableDataColumnHeading"/>
    <w:uiPriority w:val="13"/>
    <w:rsid w:val="00BB19D5"/>
    <w:pPr>
      <w:jc w:val="left"/>
    </w:pPr>
  </w:style>
  <w:style w:type="paragraph" w:customStyle="1" w:styleId="TableListBullet">
    <w:name w:val="Table List Bullet"/>
    <w:basedOn w:val="TableTextEntries"/>
    <w:uiPriority w:val="14"/>
    <w:rsid w:val="00BB19D5"/>
    <w:pPr>
      <w:numPr>
        <w:numId w:val="32"/>
      </w:numPr>
      <w:spacing w:line="210" w:lineRule="atLeast"/>
    </w:pPr>
    <w:rPr>
      <w:szCs w:val="19"/>
    </w:rPr>
  </w:style>
  <w:style w:type="paragraph" w:customStyle="1" w:styleId="TableListBullet2">
    <w:name w:val="Table List Bullet 2"/>
    <w:basedOn w:val="TableListBullet"/>
    <w:uiPriority w:val="14"/>
    <w:rsid w:val="00BB19D5"/>
    <w:pPr>
      <w:numPr>
        <w:ilvl w:val="1"/>
      </w:numPr>
    </w:pPr>
  </w:style>
  <w:style w:type="paragraph" w:customStyle="1" w:styleId="TableListNumber">
    <w:name w:val="Table List Number"/>
    <w:basedOn w:val="TableTextEntries"/>
    <w:uiPriority w:val="14"/>
    <w:rsid w:val="00BB19D5"/>
    <w:pPr>
      <w:numPr>
        <w:numId w:val="30"/>
      </w:numPr>
      <w:spacing w:before="40" w:after="40"/>
    </w:pPr>
    <w:rPr>
      <w:szCs w:val="19"/>
    </w:rPr>
  </w:style>
  <w:style w:type="paragraph" w:customStyle="1" w:styleId="TableListNumber2">
    <w:name w:val="Table List Number 2"/>
    <w:basedOn w:val="TableListNumber"/>
    <w:uiPriority w:val="14"/>
    <w:rsid w:val="00BB19D5"/>
    <w:pPr>
      <w:numPr>
        <w:ilvl w:val="1"/>
      </w:numPr>
    </w:pPr>
  </w:style>
  <w:style w:type="numbering" w:customStyle="1" w:styleId="TableListBullets">
    <w:name w:val="TableListBullets"/>
    <w:uiPriority w:val="99"/>
    <w:rsid w:val="00BB19D5"/>
    <w:pPr>
      <w:numPr>
        <w:numId w:val="31"/>
      </w:numPr>
    </w:pPr>
  </w:style>
  <w:style w:type="numbering" w:customStyle="1" w:styleId="TableListNumbers">
    <w:name w:val="TableListNumbers"/>
    <w:uiPriority w:val="99"/>
    <w:rsid w:val="00BB19D5"/>
    <w:pPr>
      <w:numPr>
        <w:numId w:val="30"/>
      </w:numPr>
    </w:pPr>
  </w:style>
  <w:style w:type="character" w:customStyle="1" w:styleId="ListBulletChar">
    <w:name w:val="List Bullet Char"/>
    <w:link w:val="ListBullet"/>
    <w:uiPriority w:val="2"/>
    <w:locked/>
    <w:rsid w:val="00BB19D5"/>
    <w:rPr>
      <w:rFonts w:asciiTheme="minorHAnsi" w:eastAsia="Times New Roman" w:hAnsiTheme="minorHAnsi"/>
      <w:sz w:val="21"/>
      <w:szCs w:val="21"/>
    </w:rPr>
  </w:style>
  <w:style w:type="table" w:styleId="TableGrid">
    <w:name w:val="Table Grid"/>
    <w:basedOn w:val="TableNormal"/>
    <w:locked/>
    <w:rsid w:val="000E3B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D14EAB"/>
    <w:rPr>
      <w:rFonts w:eastAsia="Times New Roman"/>
      <w:sz w:val="24"/>
      <w:szCs w:val="20"/>
    </w:rPr>
  </w:style>
  <w:style w:type="paragraph" w:styleId="EndnoteText">
    <w:name w:val="endnote text"/>
    <w:basedOn w:val="Normal"/>
    <w:link w:val="EndnoteTextChar"/>
    <w:uiPriority w:val="99"/>
    <w:semiHidden/>
    <w:unhideWhenUsed/>
    <w:rsid w:val="00471DF6"/>
    <w:rPr>
      <w:sz w:val="20"/>
    </w:rPr>
  </w:style>
  <w:style w:type="character" w:customStyle="1" w:styleId="EndnoteTextChar">
    <w:name w:val="Endnote Text Char"/>
    <w:basedOn w:val="DefaultParagraphFont"/>
    <w:link w:val="EndnoteText"/>
    <w:uiPriority w:val="99"/>
    <w:semiHidden/>
    <w:rsid w:val="00471DF6"/>
    <w:rPr>
      <w:rFonts w:eastAsia="Times New Roman"/>
      <w:sz w:val="20"/>
      <w:szCs w:val="20"/>
    </w:rPr>
  </w:style>
  <w:style w:type="character" w:styleId="EndnoteReference">
    <w:name w:val="endnote reference"/>
    <w:basedOn w:val="DefaultParagraphFont"/>
    <w:uiPriority w:val="99"/>
    <w:semiHidden/>
    <w:unhideWhenUsed/>
    <w:rsid w:val="00471DF6"/>
    <w:rPr>
      <w:vertAlign w:val="superscript"/>
    </w:rPr>
  </w:style>
  <w:style w:type="paragraph" w:styleId="Subtitle">
    <w:name w:val="Subtitle"/>
    <w:basedOn w:val="Normal"/>
    <w:next w:val="Normal"/>
    <w:link w:val="SubtitleChar"/>
    <w:qFormat/>
    <w:locked/>
    <w:rsid w:val="00E563A0"/>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E563A0"/>
    <w:rPr>
      <w:rFonts w:ascii="Arial" w:eastAsia="Times New Roman" w:hAnsi="Arial" w:cs="Arial"/>
      <w:b/>
      <w:bCs/>
      <w:i/>
      <w:color w:val="000080"/>
      <w:sz w:val="28"/>
      <w:szCs w:val="28"/>
    </w:rPr>
  </w:style>
  <w:style w:type="paragraph" w:styleId="Title">
    <w:name w:val="Title"/>
    <w:basedOn w:val="Normal"/>
    <w:next w:val="Normal"/>
    <w:link w:val="TitleChar"/>
    <w:qFormat/>
    <w:locked/>
    <w:rsid w:val="00E563A0"/>
    <w:pPr>
      <w:spacing w:after="240"/>
      <w:jc w:val="center"/>
    </w:pPr>
    <w:rPr>
      <w:rFonts w:ascii="Arial" w:hAnsi="Arial" w:cs="Arial"/>
      <w:b/>
      <w:bCs/>
      <w:color w:val="000080"/>
      <w:sz w:val="36"/>
      <w:szCs w:val="36"/>
    </w:rPr>
  </w:style>
  <w:style w:type="character" w:customStyle="1" w:styleId="TitleChar">
    <w:name w:val="Title Char"/>
    <w:basedOn w:val="DefaultParagraphFont"/>
    <w:link w:val="Title"/>
    <w:rsid w:val="00E563A0"/>
    <w:rPr>
      <w:rFonts w:ascii="Arial" w:eastAsia="Times New Roman" w:hAnsi="Arial" w:cs="Arial"/>
      <w:b/>
      <w:bCs/>
      <w:color w:val="000080"/>
      <w:sz w:val="36"/>
      <w:szCs w:val="36"/>
    </w:rPr>
  </w:style>
  <w:style w:type="character" w:styleId="Strong">
    <w:name w:val="Strong"/>
    <w:qFormat/>
    <w:locked/>
    <w:rsid w:val="00A8163B"/>
    <w:rPr>
      <w:rFonts w:ascii="Arial" w:hAnsi="Arial" w:cs="Arial"/>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qFormat="1"/>
    <w:lsdException w:name="footnote reference" w:locked="1" w:semiHidden="0" w:uiPriority="0" w:unhideWhenUsed="0"/>
    <w:lsdException w:name="List Bullet" w:uiPriority="2" w:qFormat="1"/>
    <w:lsdException w:name="List Bullet 2" w:uiPriority="2"/>
    <w:lsdException w:name="List Bullet 3" w:uiPriority="2"/>
    <w:lsdException w:name="Title" w:locked="1" w:semiHidden="0" w:uiPriority="0" w:unhideWhenUsed="0" w:qFormat="1"/>
    <w:lsdException w:name="Default Paragraph Font" w:locked="1" w:semiHidden="0" w:uiPriority="0" w:unhideWhenUsed="0"/>
    <w:lsdException w:name="Body Text" w:uiPriority="2"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345254"/>
    <w:pPr>
      <w:keepNext/>
      <w:keepLines/>
      <w:numPr>
        <w:numId w:val="43"/>
      </w:numPr>
      <w:ind w:left="36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5254"/>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TableDataEntries">
    <w:name w:val="Table Data Entries"/>
    <w:basedOn w:val="Normal"/>
    <w:uiPriority w:val="11"/>
    <w:rsid w:val="00DB66AD"/>
    <w:pPr>
      <w:keepLines/>
      <w:spacing w:before="40" w:after="40" w:line="200" w:lineRule="atLeast"/>
      <w:jc w:val="right"/>
    </w:pPr>
    <w:rPr>
      <w:rFonts w:ascii="Franklin Gothic Book" w:hAnsi="Franklin Gothic Book"/>
      <w:sz w:val="16"/>
      <w:szCs w:val="18"/>
      <w:lang w:eastAsia="en-US"/>
    </w:rPr>
  </w:style>
  <w:style w:type="paragraph" w:customStyle="1" w:styleId="TableDataColumnHeading">
    <w:name w:val="Table Data Column Heading"/>
    <w:basedOn w:val="TableDataEntries"/>
    <w:uiPriority w:val="11"/>
    <w:rsid w:val="00DB66AD"/>
    <w:pPr>
      <w:keepNext/>
      <w:spacing w:before="80" w:after="80"/>
    </w:pPr>
    <w:rPr>
      <w:rFonts w:ascii="Franklin Gothic Demi" w:hAnsi="Franklin Gothic Demi"/>
      <w:color w:val="FFFFFF"/>
    </w:rPr>
  </w:style>
  <w:style w:type="paragraph" w:customStyle="1" w:styleId="TableUnit">
    <w:name w:val="Table Unit"/>
    <w:basedOn w:val="TableDataColumnHeading"/>
    <w:next w:val="TableDataEntries"/>
    <w:uiPriority w:val="11"/>
    <w:rsid w:val="00DB66AD"/>
    <w:rPr>
      <w:rFonts w:ascii="Franklin Gothic Book" w:hAnsi="Franklin Gothic Book"/>
      <w:color w:val="auto"/>
      <w:szCs w:val="17"/>
    </w:rPr>
  </w:style>
  <w:style w:type="paragraph" w:customStyle="1" w:styleId="ChartText">
    <w:name w:val="Chart Text"/>
    <w:basedOn w:val="Normal"/>
    <w:link w:val="ChartTextChar"/>
    <w:uiPriority w:val="23"/>
    <w:rsid w:val="000B6956"/>
    <w:pPr>
      <w:keepLines/>
      <w:spacing w:after="80" w:line="200" w:lineRule="atLeast"/>
    </w:pPr>
    <w:rPr>
      <w:rFonts w:ascii="Franklin Gothic Medium" w:hAnsi="Franklin Gothic Medium"/>
      <w:sz w:val="16"/>
      <w:szCs w:val="18"/>
      <w:lang w:eastAsia="en-US"/>
    </w:rPr>
  </w:style>
  <w:style w:type="character" w:customStyle="1" w:styleId="ChartTextChar">
    <w:name w:val="Chart Text Char"/>
    <w:link w:val="ChartText"/>
    <w:uiPriority w:val="23"/>
    <w:rsid w:val="000B6956"/>
    <w:rPr>
      <w:rFonts w:ascii="Franklin Gothic Medium" w:eastAsia="Times New Roman" w:hAnsi="Franklin Gothic Medium"/>
      <w:sz w:val="16"/>
      <w:szCs w:val="18"/>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99"/>
    <w:unhideWhenUsed/>
    <w:qFormat/>
    <w:locked/>
    <w:rsid w:val="00BB19D5"/>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99"/>
    <w:rsid w:val="00BB19D5"/>
    <w:rPr>
      <w:rFonts w:ascii="Arial Narrow" w:eastAsia="Times New Roman" w:hAnsi="Arial Narrow" w:cs="Arial"/>
      <w:b/>
      <w:bCs/>
      <w:iCs/>
      <w:sz w:val="20"/>
      <w:szCs w:val="20"/>
      <w:lang w:eastAsia="en-US"/>
    </w:rPr>
  </w:style>
  <w:style w:type="paragraph" w:styleId="BodyText">
    <w:name w:val="Body Text"/>
    <w:basedOn w:val="Normal"/>
    <w:link w:val="BodyTextChar"/>
    <w:uiPriority w:val="2"/>
    <w:qFormat/>
    <w:rsid w:val="00BB19D5"/>
    <w:pPr>
      <w:spacing w:before="140" w:line="280" w:lineRule="atLeast"/>
    </w:pPr>
    <w:rPr>
      <w:rFonts w:asciiTheme="minorHAnsi" w:hAnsiTheme="minorHAnsi"/>
      <w:sz w:val="21"/>
      <w:szCs w:val="21"/>
    </w:rPr>
  </w:style>
  <w:style w:type="character" w:customStyle="1" w:styleId="BodyTextChar">
    <w:name w:val="Body Text Char"/>
    <w:basedOn w:val="DefaultParagraphFont"/>
    <w:link w:val="BodyText"/>
    <w:uiPriority w:val="2"/>
    <w:rsid w:val="00BB19D5"/>
    <w:rPr>
      <w:rFonts w:asciiTheme="minorHAnsi" w:eastAsia="Times New Roman" w:hAnsiTheme="minorHAnsi"/>
      <w:sz w:val="21"/>
      <w:szCs w:val="21"/>
    </w:rPr>
  </w:style>
  <w:style w:type="paragraph" w:customStyle="1" w:styleId="TableTextEntries">
    <w:name w:val="Table Text Entries"/>
    <w:basedOn w:val="BodyText"/>
    <w:uiPriority w:val="13"/>
    <w:rsid w:val="00BB19D5"/>
    <w:pPr>
      <w:keepLines/>
      <w:spacing w:before="80" w:after="80" w:line="200" w:lineRule="atLeast"/>
    </w:pPr>
    <w:rPr>
      <w:rFonts w:ascii="Franklin Gothic Book" w:hAnsi="Franklin Gothic Book"/>
      <w:sz w:val="16"/>
      <w:szCs w:val="18"/>
      <w:lang w:eastAsia="en-US"/>
    </w:rPr>
  </w:style>
  <w:style w:type="character" w:customStyle="1" w:styleId="NoteLabel">
    <w:name w:val="Note Label"/>
    <w:uiPriority w:val="15"/>
    <w:rsid w:val="00BB19D5"/>
    <w:rPr>
      <w:rFonts w:ascii="Franklin Gothic Demi" w:hAnsi="Franklin Gothic Demi"/>
      <w:b w:val="0"/>
      <w:i w:val="0"/>
      <w:color w:val="8064A2" w:themeColor="accent4"/>
      <w:position w:val="4"/>
      <w:sz w:val="14"/>
      <w:szCs w:val="16"/>
    </w:rPr>
  </w:style>
  <w:style w:type="paragraph" w:customStyle="1" w:styleId="TableText">
    <w:name w:val="TableText"/>
    <w:basedOn w:val="Normal"/>
    <w:link w:val="TableTextChar"/>
    <w:rsid w:val="00BB19D5"/>
    <w:pPr>
      <w:keepNext/>
      <w:spacing w:before="20" w:after="20"/>
    </w:pPr>
    <w:rPr>
      <w:rFonts w:ascii="Arial Narrow" w:hAnsi="Arial Narrow"/>
      <w:color w:val="000000"/>
      <w:sz w:val="20"/>
      <w:szCs w:val="21"/>
    </w:rPr>
  </w:style>
  <w:style w:type="character" w:customStyle="1" w:styleId="TableTextChar">
    <w:name w:val="TableText Char"/>
    <w:link w:val="TableText"/>
    <w:rsid w:val="00BB19D5"/>
    <w:rPr>
      <w:rFonts w:ascii="Arial Narrow" w:eastAsia="Times New Roman" w:hAnsi="Arial Narrow"/>
      <w:color w:val="000000"/>
      <w:sz w:val="20"/>
      <w:szCs w:val="21"/>
    </w:rPr>
  </w:style>
  <w:style w:type="paragraph" w:customStyle="1" w:styleId="Source">
    <w:name w:val="Source"/>
    <w:basedOn w:val="Normal"/>
    <w:next w:val="BodyText"/>
    <w:link w:val="SourceChar"/>
    <w:uiPriority w:val="16"/>
    <w:rsid w:val="00BB19D5"/>
    <w:pPr>
      <w:keepLines/>
      <w:spacing w:before="40" w:after="60" w:line="180" w:lineRule="atLeast"/>
    </w:pPr>
    <w:rPr>
      <w:rFonts w:ascii="Franklin Gothic Book" w:hAnsi="Franklin Gothic Book"/>
      <w:sz w:val="14"/>
      <w:szCs w:val="16"/>
      <w:lang w:eastAsia="en-US"/>
    </w:rPr>
  </w:style>
  <w:style w:type="character" w:customStyle="1" w:styleId="SourceChar">
    <w:name w:val="Source Char"/>
    <w:basedOn w:val="DefaultParagraphFont"/>
    <w:link w:val="Source"/>
    <w:uiPriority w:val="16"/>
    <w:locked/>
    <w:rsid w:val="00BB19D5"/>
    <w:rPr>
      <w:rFonts w:ascii="Franklin Gothic Book" w:eastAsia="Times New Roman" w:hAnsi="Franklin Gothic Book"/>
      <w:sz w:val="14"/>
      <w:szCs w:val="16"/>
      <w:lang w:eastAsia="en-US"/>
    </w:rPr>
  </w:style>
  <w:style w:type="paragraph" w:customStyle="1" w:styleId="Note">
    <w:name w:val="Note"/>
    <w:basedOn w:val="TableTextEntries"/>
    <w:next w:val="Source"/>
    <w:link w:val="NoteCharChar"/>
    <w:uiPriority w:val="15"/>
    <w:rsid w:val="00BB19D5"/>
    <w:pPr>
      <w:spacing w:before="40" w:after="0" w:line="180" w:lineRule="atLeast"/>
    </w:pPr>
    <w:rPr>
      <w:sz w:val="14"/>
      <w:szCs w:val="16"/>
    </w:rPr>
  </w:style>
  <w:style w:type="character" w:customStyle="1" w:styleId="NoteCharChar">
    <w:name w:val="Note Char Char"/>
    <w:link w:val="Note"/>
    <w:uiPriority w:val="15"/>
    <w:rsid w:val="00BB19D5"/>
    <w:rPr>
      <w:rFonts w:ascii="Franklin Gothic Book" w:eastAsia="Times New Roman" w:hAnsi="Franklin Gothic Book"/>
      <w:sz w:val="14"/>
      <w:szCs w:val="16"/>
      <w:lang w:eastAsia="en-US"/>
    </w:rPr>
  </w:style>
  <w:style w:type="paragraph" w:customStyle="1" w:styleId="TableFigNotes0">
    <w:name w:val="TableFigNotes+0"/>
    <w:basedOn w:val="Normal"/>
    <w:rsid w:val="00BB19D5"/>
    <w:pPr>
      <w:keepNext/>
      <w:keepLines/>
      <w:ind w:left="720"/>
    </w:pPr>
    <w:rPr>
      <w:rFonts w:ascii="Arial Narrow" w:hAnsi="Arial Narrow"/>
      <w:color w:val="000000"/>
      <w:sz w:val="18"/>
      <w:szCs w:val="18"/>
    </w:rPr>
  </w:style>
  <w:style w:type="numbering" w:customStyle="1" w:styleId="ListBullets">
    <w:name w:val="ListBullets"/>
    <w:uiPriority w:val="99"/>
    <w:rsid w:val="00BB19D5"/>
    <w:pPr>
      <w:numPr>
        <w:numId w:val="33"/>
      </w:numPr>
    </w:pPr>
  </w:style>
  <w:style w:type="paragraph" w:styleId="ListBullet3">
    <w:name w:val="List Bullet 3"/>
    <w:basedOn w:val="ListBullet2"/>
    <w:uiPriority w:val="2"/>
    <w:rsid w:val="00BB19D5"/>
    <w:pPr>
      <w:numPr>
        <w:ilvl w:val="2"/>
      </w:numPr>
      <w:tabs>
        <w:tab w:val="clear" w:pos="907"/>
        <w:tab w:val="num" w:pos="2160"/>
      </w:tabs>
      <w:ind w:left="2160" w:hanging="360"/>
    </w:pPr>
  </w:style>
  <w:style w:type="paragraph" w:styleId="ListBullet">
    <w:name w:val="List Bullet"/>
    <w:basedOn w:val="BodyText"/>
    <w:link w:val="ListBulletChar"/>
    <w:uiPriority w:val="2"/>
    <w:qFormat/>
    <w:rsid w:val="00BB19D5"/>
    <w:pPr>
      <w:numPr>
        <w:numId w:val="33"/>
      </w:numPr>
      <w:spacing w:before="70"/>
    </w:pPr>
  </w:style>
  <w:style w:type="paragraph" w:styleId="ListBullet2">
    <w:name w:val="List Bullet 2"/>
    <w:basedOn w:val="ListBullet"/>
    <w:uiPriority w:val="2"/>
    <w:rsid w:val="00BB19D5"/>
    <w:pPr>
      <w:numPr>
        <w:ilvl w:val="1"/>
      </w:numPr>
      <w:tabs>
        <w:tab w:val="clear" w:pos="567"/>
        <w:tab w:val="num" w:pos="1440"/>
      </w:tabs>
      <w:spacing w:before="40"/>
      <w:ind w:left="568" w:hanging="284"/>
    </w:pPr>
  </w:style>
  <w:style w:type="paragraph" w:customStyle="1" w:styleId="TableTextColumnHeading">
    <w:name w:val="Table Text Column Heading"/>
    <w:basedOn w:val="TableDataColumnHeading"/>
    <w:uiPriority w:val="13"/>
    <w:rsid w:val="00BB19D5"/>
    <w:pPr>
      <w:jc w:val="left"/>
    </w:pPr>
  </w:style>
  <w:style w:type="paragraph" w:customStyle="1" w:styleId="TableListBullet">
    <w:name w:val="Table List Bullet"/>
    <w:basedOn w:val="TableTextEntries"/>
    <w:uiPriority w:val="14"/>
    <w:rsid w:val="00BB19D5"/>
    <w:pPr>
      <w:numPr>
        <w:numId w:val="32"/>
      </w:numPr>
      <w:spacing w:line="210" w:lineRule="atLeast"/>
    </w:pPr>
    <w:rPr>
      <w:szCs w:val="19"/>
    </w:rPr>
  </w:style>
  <w:style w:type="paragraph" w:customStyle="1" w:styleId="TableListBullet2">
    <w:name w:val="Table List Bullet 2"/>
    <w:basedOn w:val="TableListBullet"/>
    <w:uiPriority w:val="14"/>
    <w:rsid w:val="00BB19D5"/>
    <w:pPr>
      <w:numPr>
        <w:ilvl w:val="1"/>
      </w:numPr>
    </w:pPr>
  </w:style>
  <w:style w:type="paragraph" w:customStyle="1" w:styleId="TableListNumber">
    <w:name w:val="Table List Number"/>
    <w:basedOn w:val="TableTextEntries"/>
    <w:uiPriority w:val="14"/>
    <w:rsid w:val="00BB19D5"/>
    <w:pPr>
      <w:numPr>
        <w:numId w:val="30"/>
      </w:numPr>
      <w:spacing w:before="40" w:after="40"/>
    </w:pPr>
    <w:rPr>
      <w:szCs w:val="19"/>
    </w:rPr>
  </w:style>
  <w:style w:type="paragraph" w:customStyle="1" w:styleId="TableListNumber2">
    <w:name w:val="Table List Number 2"/>
    <w:basedOn w:val="TableListNumber"/>
    <w:uiPriority w:val="14"/>
    <w:rsid w:val="00BB19D5"/>
    <w:pPr>
      <w:numPr>
        <w:ilvl w:val="1"/>
      </w:numPr>
    </w:pPr>
  </w:style>
  <w:style w:type="numbering" w:customStyle="1" w:styleId="TableListBullets">
    <w:name w:val="TableListBullets"/>
    <w:uiPriority w:val="99"/>
    <w:rsid w:val="00BB19D5"/>
    <w:pPr>
      <w:numPr>
        <w:numId w:val="31"/>
      </w:numPr>
    </w:pPr>
  </w:style>
  <w:style w:type="numbering" w:customStyle="1" w:styleId="TableListNumbers">
    <w:name w:val="TableListNumbers"/>
    <w:uiPriority w:val="99"/>
    <w:rsid w:val="00BB19D5"/>
    <w:pPr>
      <w:numPr>
        <w:numId w:val="30"/>
      </w:numPr>
    </w:pPr>
  </w:style>
  <w:style w:type="character" w:customStyle="1" w:styleId="ListBulletChar">
    <w:name w:val="List Bullet Char"/>
    <w:link w:val="ListBullet"/>
    <w:uiPriority w:val="2"/>
    <w:locked/>
    <w:rsid w:val="00BB19D5"/>
    <w:rPr>
      <w:rFonts w:asciiTheme="minorHAnsi" w:eastAsia="Times New Roman" w:hAnsiTheme="minorHAnsi"/>
      <w:sz w:val="21"/>
      <w:szCs w:val="21"/>
    </w:rPr>
  </w:style>
  <w:style w:type="table" w:styleId="TableGrid">
    <w:name w:val="Table Grid"/>
    <w:basedOn w:val="TableNormal"/>
    <w:locked/>
    <w:rsid w:val="000E3B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D14EAB"/>
    <w:rPr>
      <w:rFonts w:eastAsia="Times New Roman"/>
      <w:sz w:val="24"/>
      <w:szCs w:val="20"/>
    </w:rPr>
  </w:style>
  <w:style w:type="paragraph" w:styleId="EndnoteText">
    <w:name w:val="endnote text"/>
    <w:basedOn w:val="Normal"/>
    <w:link w:val="EndnoteTextChar"/>
    <w:uiPriority w:val="99"/>
    <w:semiHidden/>
    <w:unhideWhenUsed/>
    <w:rsid w:val="00471DF6"/>
    <w:rPr>
      <w:sz w:val="20"/>
    </w:rPr>
  </w:style>
  <w:style w:type="character" w:customStyle="1" w:styleId="EndnoteTextChar">
    <w:name w:val="Endnote Text Char"/>
    <w:basedOn w:val="DefaultParagraphFont"/>
    <w:link w:val="EndnoteText"/>
    <w:uiPriority w:val="99"/>
    <w:semiHidden/>
    <w:rsid w:val="00471DF6"/>
    <w:rPr>
      <w:rFonts w:eastAsia="Times New Roman"/>
      <w:sz w:val="20"/>
      <w:szCs w:val="20"/>
    </w:rPr>
  </w:style>
  <w:style w:type="character" w:styleId="EndnoteReference">
    <w:name w:val="endnote reference"/>
    <w:basedOn w:val="DefaultParagraphFont"/>
    <w:uiPriority w:val="99"/>
    <w:semiHidden/>
    <w:unhideWhenUsed/>
    <w:rsid w:val="00471DF6"/>
    <w:rPr>
      <w:vertAlign w:val="superscript"/>
    </w:rPr>
  </w:style>
  <w:style w:type="paragraph" w:styleId="Subtitle">
    <w:name w:val="Subtitle"/>
    <w:basedOn w:val="Normal"/>
    <w:next w:val="Normal"/>
    <w:link w:val="SubtitleChar"/>
    <w:qFormat/>
    <w:locked/>
    <w:rsid w:val="00E563A0"/>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E563A0"/>
    <w:rPr>
      <w:rFonts w:ascii="Arial" w:eastAsia="Times New Roman" w:hAnsi="Arial" w:cs="Arial"/>
      <w:b/>
      <w:bCs/>
      <w:i/>
      <w:color w:val="000080"/>
      <w:sz w:val="28"/>
      <w:szCs w:val="28"/>
    </w:rPr>
  </w:style>
  <w:style w:type="paragraph" w:styleId="Title">
    <w:name w:val="Title"/>
    <w:basedOn w:val="Normal"/>
    <w:next w:val="Normal"/>
    <w:link w:val="TitleChar"/>
    <w:qFormat/>
    <w:locked/>
    <w:rsid w:val="00E563A0"/>
    <w:pPr>
      <w:spacing w:after="240"/>
      <w:jc w:val="center"/>
    </w:pPr>
    <w:rPr>
      <w:rFonts w:ascii="Arial" w:hAnsi="Arial" w:cs="Arial"/>
      <w:b/>
      <w:bCs/>
      <w:color w:val="000080"/>
      <w:sz w:val="36"/>
      <w:szCs w:val="36"/>
    </w:rPr>
  </w:style>
  <w:style w:type="character" w:customStyle="1" w:styleId="TitleChar">
    <w:name w:val="Title Char"/>
    <w:basedOn w:val="DefaultParagraphFont"/>
    <w:link w:val="Title"/>
    <w:rsid w:val="00E563A0"/>
    <w:rPr>
      <w:rFonts w:ascii="Arial" w:eastAsia="Times New Roman" w:hAnsi="Arial" w:cs="Arial"/>
      <w:b/>
      <w:bCs/>
      <w:color w:val="000080"/>
      <w:sz w:val="36"/>
      <w:szCs w:val="36"/>
    </w:rPr>
  </w:style>
  <w:style w:type="character" w:styleId="Strong">
    <w:name w:val="Strong"/>
    <w:qFormat/>
    <w:locked/>
    <w:rsid w:val="00A8163B"/>
    <w:rPr>
      <w:rFonts w:ascii="Arial" w:hAnsi="Arial" w:cs="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353721">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D:\Users\limbfl\AppData\Local\Temp\1\notesFE1A2F\www.msac.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75B0B-E20B-449C-8440-BB2980887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5164</Words>
  <Characters>28308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1392 PSD</vt:lpstr>
    </vt:vector>
  </TitlesOfParts>
  <LinksUpToDate>false</LinksUpToDate>
  <CharactersWithSpaces>33406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1392 PSD</dc:title>
  <dc:creator/>
  <cp:lastModifiedBy/>
  <cp:revision>1</cp:revision>
  <dcterms:created xsi:type="dcterms:W3CDTF">2016-10-18T21:59:00Z</dcterms:created>
  <dcterms:modified xsi:type="dcterms:W3CDTF">2016-10-18T21:59:00Z</dcterms:modified>
</cp:coreProperties>
</file>