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3426F" w14:textId="120676FB" w:rsidR="003B2589" w:rsidRPr="006672D2" w:rsidRDefault="00747517" w:rsidP="006672D2">
      <w:pPr>
        <w:spacing w:before="120" w:after="120"/>
        <w:jc w:val="center"/>
        <w:rPr>
          <w:rFonts w:ascii="Arial" w:hAnsi="Arial" w:cs="Arial"/>
          <w:b/>
          <w:bCs/>
          <w:i/>
          <w:color w:val="000080"/>
          <w:sz w:val="28"/>
          <w:szCs w:val="28"/>
        </w:rPr>
      </w:pPr>
      <w:r w:rsidRPr="00A36DE2">
        <w:rPr>
          <w:noProof/>
        </w:rPr>
        <w:drawing>
          <wp:inline distT="0" distB="0" distL="0" distR="0" wp14:anchorId="7EB000B9" wp14:editId="4118B537">
            <wp:extent cx="5731510" cy="1805940"/>
            <wp:effectExtent l="0" t="0" r="0" b="0"/>
            <wp:docPr id="1" name="Picture 1" descr="M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SA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05940"/>
                    </a:xfrm>
                    <a:prstGeom prst="rect">
                      <a:avLst/>
                    </a:prstGeom>
                    <a:noFill/>
                    <a:ln>
                      <a:noFill/>
                    </a:ln>
                  </pic:spPr>
                </pic:pic>
              </a:graphicData>
            </a:graphic>
          </wp:inline>
        </w:drawing>
      </w:r>
      <w:r w:rsidR="003B0302">
        <w:rPr>
          <w:rFonts w:ascii="Arial" w:hAnsi="Arial" w:cs="Arial"/>
          <w:b/>
          <w:bCs/>
          <w:i/>
          <w:color w:val="000080"/>
          <w:sz w:val="28"/>
          <w:szCs w:val="28"/>
        </w:rPr>
        <w:t xml:space="preserve">Application </w:t>
      </w:r>
      <w:r w:rsidR="003B2589" w:rsidRPr="006672D2">
        <w:rPr>
          <w:rFonts w:ascii="Arial" w:hAnsi="Arial" w:cs="Arial"/>
          <w:b/>
          <w:bCs/>
          <w:i/>
          <w:color w:val="000080"/>
          <w:sz w:val="28"/>
          <w:szCs w:val="28"/>
        </w:rPr>
        <w:t xml:space="preserve">1649 – </w:t>
      </w:r>
      <w:bookmarkStart w:id="0" w:name="_Hlk78872579"/>
      <w:r w:rsidR="003B2589" w:rsidRPr="006672D2">
        <w:rPr>
          <w:rFonts w:ascii="Arial" w:hAnsi="Arial" w:cs="Arial"/>
          <w:b/>
          <w:bCs/>
          <w:i/>
          <w:color w:val="000080"/>
          <w:sz w:val="28"/>
          <w:szCs w:val="28"/>
        </w:rPr>
        <w:t>Modification of wording of minimally invasive glaucoma surgery (MIGS) existing item number to encompass the use of a microcatheter</w:t>
      </w:r>
    </w:p>
    <w:bookmarkEnd w:id="0"/>
    <w:p w14:paraId="1F456B50" w14:textId="5F165C89" w:rsidR="006B241A" w:rsidRPr="00747517" w:rsidRDefault="003B2589" w:rsidP="00276865">
      <w:pPr>
        <w:tabs>
          <w:tab w:val="left" w:pos="3402"/>
        </w:tabs>
        <w:spacing w:before="240"/>
        <w:ind w:left="3400" w:hanging="3400"/>
        <w:rPr>
          <w:rFonts w:ascii="Arial" w:hAnsi="Arial" w:cs="Arial"/>
          <w:b/>
          <w:szCs w:val="24"/>
        </w:rPr>
      </w:pPr>
      <w:r w:rsidRPr="00747517">
        <w:rPr>
          <w:rFonts w:ascii="Arial" w:hAnsi="Arial" w:cs="Arial"/>
          <w:b/>
          <w:szCs w:val="24"/>
        </w:rPr>
        <w:t>Applicant:</w:t>
      </w:r>
      <w:r w:rsidR="00C823F7">
        <w:rPr>
          <w:rFonts w:ascii="Arial" w:hAnsi="Arial" w:cs="Arial"/>
          <w:b/>
          <w:szCs w:val="24"/>
        </w:rPr>
        <w:tab/>
      </w:r>
      <w:r w:rsidRPr="005E7EF9">
        <w:rPr>
          <w:rFonts w:ascii="Arial" w:hAnsi="Arial" w:cs="Arial"/>
          <w:b/>
          <w:szCs w:val="24"/>
        </w:rPr>
        <w:t>Nova Eye Medical</w:t>
      </w:r>
      <w:r w:rsidR="00276865" w:rsidRPr="005E7EF9">
        <w:rPr>
          <w:rFonts w:ascii="Arial" w:hAnsi="Arial" w:cs="Arial"/>
          <w:b/>
          <w:szCs w:val="24"/>
        </w:rPr>
        <w:t xml:space="preserve"> Ltd</w:t>
      </w:r>
    </w:p>
    <w:p w14:paraId="453299BA" w14:textId="443A54CA" w:rsidR="00065623" w:rsidRPr="00747517" w:rsidRDefault="00676C49" w:rsidP="00276865">
      <w:pPr>
        <w:tabs>
          <w:tab w:val="left" w:pos="3686"/>
        </w:tabs>
        <w:spacing w:before="240" w:after="240"/>
        <w:rPr>
          <w:rFonts w:ascii="Arial" w:hAnsi="Arial" w:cs="Arial"/>
          <w:b/>
          <w:szCs w:val="24"/>
        </w:rPr>
      </w:pPr>
      <w:r w:rsidRPr="00747517">
        <w:rPr>
          <w:rFonts w:ascii="Arial" w:hAnsi="Arial" w:cs="Arial"/>
          <w:b/>
          <w:szCs w:val="24"/>
        </w:rPr>
        <w:t xml:space="preserve">Date of </w:t>
      </w:r>
      <w:r w:rsidR="00747517">
        <w:rPr>
          <w:rFonts w:ascii="Arial" w:hAnsi="Arial" w:cs="Arial"/>
          <w:b/>
          <w:szCs w:val="24"/>
        </w:rPr>
        <w:t>MSAC</w:t>
      </w:r>
      <w:r w:rsidRPr="00747517">
        <w:rPr>
          <w:rFonts w:ascii="Arial" w:hAnsi="Arial" w:cs="Arial"/>
          <w:b/>
          <w:szCs w:val="24"/>
        </w:rPr>
        <w:t xml:space="preserve"> </w:t>
      </w:r>
      <w:r w:rsidR="00065623" w:rsidRPr="00747517">
        <w:rPr>
          <w:rFonts w:ascii="Arial" w:hAnsi="Arial" w:cs="Arial"/>
          <w:b/>
          <w:szCs w:val="24"/>
        </w:rPr>
        <w:t>consideration:</w:t>
      </w:r>
      <w:r w:rsidR="00C164BD" w:rsidRPr="00747517">
        <w:rPr>
          <w:rFonts w:ascii="Arial" w:hAnsi="Arial" w:cs="Arial"/>
          <w:b/>
          <w:szCs w:val="24"/>
        </w:rPr>
        <w:t xml:space="preserve"> </w:t>
      </w:r>
      <w:r w:rsidR="00747517">
        <w:rPr>
          <w:rFonts w:ascii="Arial" w:hAnsi="Arial" w:cs="Arial"/>
          <w:b/>
          <w:szCs w:val="24"/>
        </w:rPr>
        <w:t>83</w:t>
      </w:r>
      <w:r w:rsidR="00747517" w:rsidRPr="00747517">
        <w:rPr>
          <w:rFonts w:ascii="Arial" w:hAnsi="Arial" w:cs="Arial"/>
          <w:b/>
          <w:szCs w:val="24"/>
          <w:vertAlign w:val="superscript"/>
        </w:rPr>
        <w:t>rd</w:t>
      </w:r>
      <w:r w:rsidR="00747517">
        <w:rPr>
          <w:rFonts w:ascii="Arial" w:hAnsi="Arial" w:cs="Arial"/>
          <w:b/>
          <w:szCs w:val="24"/>
        </w:rPr>
        <w:t xml:space="preserve"> MSAC Meeting, 25-26 November 2021</w:t>
      </w:r>
    </w:p>
    <w:p w14:paraId="3AB3FCE8" w14:textId="08FB87FB" w:rsidR="00263DCB" w:rsidRPr="00747517" w:rsidRDefault="00747517" w:rsidP="00747517">
      <w:pPr>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608A48B3" w14:textId="5063F8F6" w:rsidR="00576ED3" w:rsidRPr="00747517" w:rsidRDefault="00065623" w:rsidP="00747517">
      <w:pPr>
        <w:pStyle w:val="Heading1"/>
        <w:numPr>
          <w:ilvl w:val="0"/>
          <w:numId w:val="13"/>
        </w:numPr>
        <w:spacing w:before="360" w:after="120"/>
        <w:ind w:hanging="720"/>
        <w:jc w:val="both"/>
        <w:rPr>
          <w:rFonts w:ascii="Arial" w:hAnsi="Arial" w:cs="Arial"/>
        </w:rPr>
      </w:pPr>
      <w:r w:rsidRPr="00747517">
        <w:rPr>
          <w:rFonts w:ascii="Arial" w:hAnsi="Arial" w:cs="Arial"/>
        </w:rPr>
        <w:t>Purpose of application</w:t>
      </w:r>
    </w:p>
    <w:p w14:paraId="43BDA275" w14:textId="3EF1E81F" w:rsidR="008A1674" w:rsidRDefault="008A1674" w:rsidP="00AE0BAA">
      <w:pPr>
        <w:spacing w:before="240" w:after="240"/>
      </w:pPr>
      <w:r>
        <w:t>An application requesting to amend an existing M</w:t>
      </w:r>
      <w:r w:rsidR="00276865">
        <w:t xml:space="preserve">edicare </w:t>
      </w:r>
      <w:r>
        <w:t>B</w:t>
      </w:r>
      <w:r w:rsidR="00276865">
        <w:t xml:space="preserve">enefits </w:t>
      </w:r>
      <w:r>
        <w:t>S</w:t>
      </w:r>
      <w:r w:rsidR="00276865">
        <w:t>chedule (MBS)</w:t>
      </w:r>
      <w:r>
        <w:t xml:space="preserve"> item 42504</w:t>
      </w:r>
      <w:r w:rsidR="00215FC5">
        <w:t xml:space="preserve"> </w:t>
      </w:r>
      <w:r>
        <w:t>to</w:t>
      </w:r>
      <w:r w:rsidR="00215FC5">
        <w:t xml:space="preserve"> include</w:t>
      </w:r>
      <w:r>
        <w:t xml:space="preserve"> </w:t>
      </w:r>
      <w:r w:rsidR="00C823F7">
        <w:t>ab-interno canaloplasty (</w:t>
      </w:r>
      <w:r w:rsidRPr="008A1674">
        <w:t>ABiC</w:t>
      </w:r>
      <w:r w:rsidR="00C823F7">
        <w:t>)</w:t>
      </w:r>
      <w:r w:rsidRPr="008A1674">
        <w:t xml:space="preserve"> using a microcatheter </w:t>
      </w:r>
      <w:r>
        <w:t xml:space="preserve">to treat glaucoma was received from </w:t>
      </w:r>
      <w:r w:rsidR="0078213C" w:rsidRPr="005E7EF9">
        <w:t>Nova Eye Medical</w:t>
      </w:r>
      <w:r>
        <w:t xml:space="preserve"> by the Department of Health.</w:t>
      </w:r>
    </w:p>
    <w:p w14:paraId="6591FC0F" w14:textId="24DCF64A" w:rsidR="00747517" w:rsidRDefault="00747517" w:rsidP="00747517">
      <w:pPr>
        <w:pStyle w:val="Heading1"/>
        <w:rPr>
          <w:rFonts w:ascii="Arial" w:hAnsi="Arial" w:cs="Arial"/>
        </w:rPr>
      </w:pPr>
      <w:r>
        <w:rPr>
          <w:rFonts w:ascii="Arial" w:hAnsi="Arial" w:cs="Arial"/>
        </w:rPr>
        <w:t>2.</w:t>
      </w:r>
      <w:r>
        <w:rPr>
          <w:rFonts w:ascii="Arial" w:hAnsi="Arial" w:cs="Arial"/>
        </w:rPr>
        <w:tab/>
      </w:r>
      <w:r w:rsidRPr="007D0728">
        <w:rPr>
          <w:rFonts w:ascii="Arial" w:hAnsi="Arial" w:cs="Arial"/>
        </w:rPr>
        <w:t>MSAC’s advice to the Minister</w:t>
      </w:r>
    </w:p>
    <w:p w14:paraId="4BE135D8" w14:textId="7DFA5A3E" w:rsidR="006672D2" w:rsidRDefault="00886B19" w:rsidP="00886B19">
      <w:pPr>
        <w:spacing w:before="240" w:after="240"/>
      </w:pPr>
      <w:r w:rsidRPr="00886B19">
        <w:t xml:space="preserve">After considering the strength of the available evidence in relation to comparative safety, clinical </w:t>
      </w:r>
      <w:proofErr w:type="gramStart"/>
      <w:r w:rsidRPr="00886B19">
        <w:t>effectiveness</w:t>
      </w:r>
      <w:proofErr w:type="gramEnd"/>
      <w:r w:rsidRPr="00886B19">
        <w:t xml:space="preserve"> and cost-effectiveness, MSAC did not support amending MBS item 42504 to include ABiC using a microcatheter to treat glaucoma. MSAC advised there is insufficient evidence to demonstrate non-inferior safety and effectiveness of ABiC using a microcatheter compared with implantation of micro-bypass stents. MSAC advised that issues with the clinical evidence, including uncertainty in the reintervention rate and the likely potential that ABiC will be used adjunctive to (rather than substitute) insertion of micro-bypass stents, created significant uncertainty in the cost-effectiveness and financial estimates for ABiC using a microcatheter.</w:t>
      </w:r>
    </w:p>
    <w:tbl>
      <w:tblPr>
        <w:tblStyle w:val="TableGrid"/>
        <w:tblW w:w="0" w:type="auto"/>
        <w:tblLook w:val="04A0" w:firstRow="1" w:lastRow="0" w:firstColumn="1" w:lastColumn="0" w:noHBand="0" w:noVBand="1"/>
        <w:tblDescription w:val="Consumer summary of MSAC consideration"/>
      </w:tblPr>
      <w:tblGrid>
        <w:gridCol w:w="9016"/>
      </w:tblGrid>
      <w:tr w:rsidR="00886B19" w14:paraId="71C9F9D2" w14:textId="77777777" w:rsidTr="0091135D">
        <w:trPr>
          <w:tblHeader/>
        </w:trPr>
        <w:tc>
          <w:tcPr>
            <w:tcW w:w="9016" w:type="dxa"/>
          </w:tcPr>
          <w:p w14:paraId="2BB5A00E" w14:textId="712ECA60" w:rsidR="00886B19" w:rsidRPr="00886B19" w:rsidRDefault="00886B19" w:rsidP="00886B19">
            <w:pPr>
              <w:spacing w:before="120" w:after="120"/>
              <w:rPr>
                <w:rFonts w:ascii="Times New Roman" w:hAnsi="Times New Roman"/>
                <w:b/>
                <w:bCs/>
                <w:sz w:val="24"/>
                <w:szCs w:val="24"/>
              </w:rPr>
            </w:pPr>
            <w:r w:rsidRPr="00886B19">
              <w:rPr>
                <w:rFonts w:ascii="Times New Roman" w:hAnsi="Times New Roman"/>
                <w:b/>
                <w:bCs/>
                <w:sz w:val="24"/>
                <w:szCs w:val="24"/>
              </w:rPr>
              <w:t>Consumer summary</w:t>
            </w:r>
          </w:p>
        </w:tc>
      </w:tr>
      <w:tr w:rsidR="00886B19" w14:paraId="4F24D0A8" w14:textId="77777777" w:rsidTr="00886B19">
        <w:tc>
          <w:tcPr>
            <w:tcW w:w="9016" w:type="dxa"/>
          </w:tcPr>
          <w:p w14:paraId="13F66158" w14:textId="77777777" w:rsidR="00886B19" w:rsidRPr="00886B19" w:rsidRDefault="00886B19" w:rsidP="00BB2D79">
            <w:pPr>
              <w:spacing w:before="120" w:after="240"/>
              <w:rPr>
                <w:rFonts w:ascii="Times New Roman" w:hAnsi="Times New Roman"/>
                <w:sz w:val="24"/>
                <w:szCs w:val="24"/>
              </w:rPr>
            </w:pPr>
            <w:r w:rsidRPr="005E7EF9">
              <w:rPr>
                <w:rFonts w:ascii="Times New Roman" w:hAnsi="Times New Roman"/>
                <w:sz w:val="24"/>
                <w:szCs w:val="24"/>
              </w:rPr>
              <w:t>Nova Eye Medical</w:t>
            </w:r>
            <w:r w:rsidRPr="00731B59">
              <w:rPr>
                <w:rFonts w:ascii="Times New Roman" w:hAnsi="Times New Roman"/>
                <w:sz w:val="24"/>
                <w:szCs w:val="24"/>
              </w:rPr>
              <w:t xml:space="preserve"> applied</w:t>
            </w:r>
            <w:r w:rsidRPr="00886B19">
              <w:rPr>
                <w:rFonts w:ascii="Times New Roman" w:hAnsi="Times New Roman"/>
                <w:sz w:val="24"/>
                <w:szCs w:val="24"/>
              </w:rPr>
              <w:t xml:space="preserve"> to amend Medical Benefits Schedule (MBS) item 42504 to include ab-interno canaloplasty (ABiC) using a microcatheter to treat glaucoma. Currently, MBS item 42504 covers the implantation of micro-bypass stents for glaucoma treatment.</w:t>
            </w:r>
          </w:p>
          <w:p w14:paraId="6E01307A" w14:textId="0FED56A1" w:rsidR="00886B19" w:rsidRPr="00886B19" w:rsidRDefault="00886B19" w:rsidP="00886B19">
            <w:pPr>
              <w:spacing w:before="240" w:after="240"/>
              <w:rPr>
                <w:rFonts w:ascii="Times New Roman" w:hAnsi="Times New Roman"/>
                <w:sz w:val="24"/>
                <w:szCs w:val="24"/>
              </w:rPr>
            </w:pPr>
            <w:r w:rsidRPr="00886B19">
              <w:rPr>
                <w:rFonts w:ascii="Times New Roman" w:hAnsi="Times New Roman"/>
                <w:sz w:val="24"/>
                <w:szCs w:val="24"/>
              </w:rPr>
              <w:t>Glaucoma refers to a group of eye diseases where vision is lost due to damage to the optic nerve. This is usually caused by an increase in intraocular pressure (IOP), which is the fluid pressure of the eye. Fluid in the eye usually drain</w:t>
            </w:r>
            <w:r w:rsidR="008200EF">
              <w:rPr>
                <w:rFonts w:ascii="Times New Roman" w:hAnsi="Times New Roman"/>
                <w:sz w:val="24"/>
                <w:szCs w:val="24"/>
              </w:rPr>
              <w:t>s</w:t>
            </w:r>
            <w:r w:rsidRPr="00886B19">
              <w:rPr>
                <w:rFonts w:ascii="Times New Roman" w:hAnsi="Times New Roman"/>
                <w:sz w:val="24"/>
                <w:szCs w:val="24"/>
              </w:rPr>
              <w:t xml:space="preserve"> through the trabecular meshwork and canal of Schlemm – a circular canal found where the clear outer layer of the eye (cornea) and white of the eye (sclera) meet. If these become blocked, fluid builds up in the </w:t>
            </w:r>
            <w:r w:rsidRPr="00886B19">
              <w:rPr>
                <w:rFonts w:ascii="Times New Roman" w:hAnsi="Times New Roman"/>
                <w:sz w:val="24"/>
                <w:szCs w:val="24"/>
              </w:rPr>
              <w:lastRenderedPageBreak/>
              <w:t>eye</w:t>
            </w:r>
            <w:r w:rsidR="00050758">
              <w:rPr>
                <w:rFonts w:ascii="Times New Roman" w:hAnsi="Times New Roman"/>
                <w:sz w:val="24"/>
                <w:szCs w:val="24"/>
              </w:rPr>
              <w:t xml:space="preserve"> causing an increase in IOP</w:t>
            </w:r>
            <w:r w:rsidRPr="00886B19">
              <w:rPr>
                <w:rFonts w:ascii="Times New Roman" w:hAnsi="Times New Roman"/>
                <w:sz w:val="24"/>
                <w:szCs w:val="24"/>
              </w:rPr>
              <w:t>. Loss of sight from glaucoma usually happens gradually and is permanent.</w:t>
            </w:r>
          </w:p>
          <w:p w14:paraId="3EADAB69" w14:textId="749ECC8A" w:rsidR="00886B19" w:rsidRPr="00886B19" w:rsidRDefault="00886B19" w:rsidP="00886B19">
            <w:pPr>
              <w:spacing w:before="240" w:after="240"/>
              <w:rPr>
                <w:rFonts w:ascii="Times New Roman" w:hAnsi="Times New Roman"/>
                <w:sz w:val="24"/>
                <w:szCs w:val="24"/>
              </w:rPr>
            </w:pPr>
            <w:r w:rsidRPr="00886B19">
              <w:rPr>
                <w:rFonts w:ascii="Times New Roman" w:hAnsi="Times New Roman"/>
                <w:sz w:val="24"/>
                <w:szCs w:val="24"/>
              </w:rPr>
              <w:t>There are several minimally invasive glaucoma surgery (MIGS) options available for glaucoma treatment. One option, which is already in use, is to insert micro-bypass stents</w:t>
            </w:r>
            <w:r w:rsidR="000E317A">
              <w:rPr>
                <w:rFonts w:ascii="Times New Roman" w:hAnsi="Times New Roman"/>
                <w:sz w:val="24"/>
                <w:szCs w:val="24"/>
              </w:rPr>
              <w:t xml:space="preserve">, a tiny tube implanted </w:t>
            </w:r>
            <w:r w:rsidRPr="00886B19">
              <w:rPr>
                <w:rFonts w:ascii="Times New Roman" w:hAnsi="Times New Roman"/>
                <w:sz w:val="24"/>
                <w:szCs w:val="24"/>
              </w:rPr>
              <w:t xml:space="preserve">into the trabecular meshwork, which helps </w:t>
            </w:r>
            <w:r w:rsidR="000E317A">
              <w:rPr>
                <w:rFonts w:ascii="Times New Roman" w:hAnsi="Times New Roman"/>
                <w:sz w:val="24"/>
                <w:szCs w:val="24"/>
              </w:rPr>
              <w:t>to create a new pathway (</w:t>
            </w:r>
            <w:proofErr w:type="gramStart"/>
            <w:r w:rsidR="000E317A">
              <w:rPr>
                <w:rFonts w:ascii="Times New Roman" w:hAnsi="Times New Roman"/>
                <w:sz w:val="24"/>
                <w:szCs w:val="24"/>
              </w:rPr>
              <w:t>by pass</w:t>
            </w:r>
            <w:proofErr w:type="gramEnd"/>
            <w:r w:rsidR="000E317A">
              <w:rPr>
                <w:rFonts w:ascii="Times New Roman" w:hAnsi="Times New Roman"/>
                <w:sz w:val="24"/>
                <w:szCs w:val="24"/>
              </w:rPr>
              <w:t xml:space="preserve"> the meshwork) </w:t>
            </w:r>
            <w:r w:rsidR="004E53B3">
              <w:rPr>
                <w:rFonts w:ascii="Times New Roman" w:hAnsi="Times New Roman"/>
                <w:sz w:val="24"/>
                <w:szCs w:val="24"/>
              </w:rPr>
              <w:t>to allow the</w:t>
            </w:r>
            <w:r w:rsidR="000E317A">
              <w:rPr>
                <w:rFonts w:ascii="Times New Roman" w:hAnsi="Times New Roman"/>
                <w:sz w:val="24"/>
                <w:szCs w:val="24"/>
              </w:rPr>
              <w:t xml:space="preserve"> </w:t>
            </w:r>
            <w:r w:rsidR="004E53B3">
              <w:rPr>
                <w:rFonts w:ascii="Times New Roman" w:hAnsi="Times New Roman"/>
                <w:sz w:val="24"/>
                <w:szCs w:val="24"/>
              </w:rPr>
              <w:t xml:space="preserve">outflow of </w:t>
            </w:r>
            <w:r w:rsidRPr="00886B19">
              <w:rPr>
                <w:rFonts w:ascii="Times New Roman" w:hAnsi="Times New Roman"/>
                <w:sz w:val="24"/>
                <w:szCs w:val="24"/>
              </w:rPr>
              <w:t xml:space="preserve">fluid </w:t>
            </w:r>
            <w:r w:rsidR="004E53B3">
              <w:rPr>
                <w:rFonts w:ascii="Times New Roman" w:hAnsi="Times New Roman"/>
                <w:sz w:val="24"/>
                <w:szCs w:val="24"/>
              </w:rPr>
              <w:t>to reduce IOP</w:t>
            </w:r>
            <w:r w:rsidRPr="00886B19">
              <w:rPr>
                <w:rFonts w:ascii="Times New Roman" w:hAnsi="Times New Roman"/>
                <w:sz w:val="24"/>
                <w:szCs w:val="24"/>
              </w:rPr>
              <w:t xml:space="preserve">. A more recent option is </w:t>
            </w:r>
            <w:r w:rsidR="008200EF">
              <w:rPr>
                <w:rFonts w:ascii="Times New Roman" w:hAnsi="Times New Roman"/>
                <w:sz w:val="24"/>
                <w:szCs w:val="24"/>
              </w:rPr>
              <w:t xml:space="preserve">an ABiC procedure where </w:t>
            </w:r>
            <w:r w:rsidRPr="00886B19">
              <w:rPr>
                <w:rFonts w:ascii="Times New Roman" w:hAnsi="Times New Roman"/>
                <w:sz w:val="24"/>
                <w:szCs w:val="24"/>
              </w:rPr>
              <w:t>a microcatheter</w:t>
            </w:r>
            <w:r w:rsidR="00903528">
              <w:rPr>
                <w:rFonts w:ascii="Times New Roman" w:hAnsi="Times New Roman"/>
                <w:sz w:val="24"/>
                <w:szCs w:val="24"/>
              </w:rPr>
              <w:t xml:space="preserve"> (</w:t>
            </w:r>
            <w:r w:rsidRPr="00886B19">
              <w:rPr>
                <w:rFonts w:ascii="Times New Roman" w:hAnsi="Times New Roman"/>
                <w:sz w:val="24"/>
                <w:szCs w:val="24"/>
              </w:rPr>
              <w:t>a very thin tube</w:t>
            </w:r>
            <w:r w:rsidR="00903528">
              <w:rPr>
                <w:rFonts w:ascii="Times New Roman" w:hAnsi="Times New Roman"/>
                <w:sz w:val="24"/>
                <w:szCs w:val="24"/>
              </w:rPr>
              <w:t>)</w:t>
            </w:r>
            <w:r w:rsidR="008200EF">
              <w:rPr>
                <w:rFonts w:ascii="Times New Roman" w:hAnsi="Times New Roman"/>
                <w:sz w:val="24"/>
                <w:szCs w:val="24"/>
              </w:rPr>
              <w:t xml:space="preserve"> is inserted</w:t>
            </w:r>
            <w:r w:rsidRPr="00886B19">
              <w:rPr>
                <w:rFonts w:ascii="Times New Roman" w:hAnsi="Times New Roman"/>
                <w:sz w:val="24"/>
                <w:szCs w:val="24"/>
              </w:rPr>
              <w:t xml:space="preserve"> into the Schlemm’s canal</w:t>
            </w:r>
            <w:r w:rsidR="00903528">
              <w:rPr>
                <w:rFonts w:ascii="Times New Roman" w:hAnsi="Times New Roman"/>
                <w:sz w:val="24"/>
                <w:szCs w:val="24"/>
              </w:rPr>
              <w:t>. The insertion and removal of the microcatheter re-opens and widens the canal to help improve fluid drainage and reduce IOP.</w:t>
            </w:r>
            <w:r w:rsidR="006E1DF0">
              <w:rPr>
                <w:rFonts w:ascii="Times New Roman" w:hAnsi="Times New Roman"/>
                <w:sz w:val="24"/>
                <w:szCs w:val="24"/>
              </w:rPr>
              <w:t xml:space="preserve"> Unlike micro-bypass stents, the microcatheter does not stay in the eye. </w:t>
            </w:r>
          </w:p>
          <w:p w14:paraId="2795B4FC" w14:textId="18B10EC1" w:rsidR="00886B19" w:rsidRPr="00886B19" w:rsidRDefault="006E1DF0" w:rsidP="00886B19">
            <w:pPr>
              <w:spacing w:before="240" w:after="240"/>
              <w:rPr>
                <w:rFonts w:ascii="Times New Roman" w:hAnsi="Times New Roman"/>
                <w:sz w:val="24"/>
                <w:szCs w:val="24"/>
              </w:rPr>
            </w:pPr>
            <w:r>
              <w:rPr>
                <w:rFonts w:ascii="Times New Roman" w:hAnsi="Times New Roman"/>
                <w:sz w:val="24"/>
                <w:szCs w:val="24"/>
              </w:rPr>
              <w:t xml:space="preserve">MSAC noted some patients may prefer ABiC using a microcatheter instead of having a micro-bypass stent permanently implanted. However, </w:t>
            </w:r>
            <w:r w:rsidR="00886B19" w:rsidRPr="00886B19">
              <w:rPr>
                <w:rFonts w:ascii="Times New Roman" w:hAnsi="Times New Roman"/>
                <w:sz w:val="24"/>
                <w:szCs w:val="24"/>
              </w:rPr>
              <w:t xml:space="preserve">MSAC did not consider there was enough </w:t>
            </w:r>
            <w:r w:rsidR="00903528">
              <w:rPr>
                <w:rFonts w:ascii="Times New Roman" w:hAnsi="Times New Roman"/>
                <w:sz w:val="24"/>
                <w:szCs w:val="24"/>
              </w:rPr>
              <w:t>evidence</w:t>
            </w:r>
            <w:r w:rsidR="00903528" w:rsidRPr="00886B19">
              <w:rPr>
                <w:rFonts w:ascii="Times New Roman" w:hAnsi="Times New Roman"/>
                <w:sz w:val="24"/>
                <w:szCs w:val="24"/>
              </w:rPr>
              <w:t xml:space="preserve"> </w:t>
            </w:r>
            <w:r w:rsidR="00886B19" w:rsidRPr="00886B19">
              <w:rPr>
                <w:rFonts w:ascii="Times New Roman" w:hAnsi="Times New Roman"/>
                <w:sz w:val="24"/>
                <w:szCs w:val="24"/>
              </w:rPr>
              <w:t xml:space="preserve">to demonstrate that ABiC is as safe and effective as insertion of micro-bypass stents. </w:t>
            </w:r>
            <w:r w:rsidR="008A62CA">
              <w:rPr>
                <w:rFonts w:ascii="Times New Roman" w:hAnsi="Times New Roman"/>
                <w:sz w:val="24"/>
                <w:szCs w:val="24"/>
              </w:rPr>
              <w:t>Further,</w:t>
            </w:r>
            <w:r>
              <w:rPr>
                <w:rFonts w:ascii="Times New Roman" w:hAnsi="Times New Roman"/>
                <w:sz w:val="24"/>
                <w:szCs w:val="24"/>
              </w:rPr>
              <w:t xml:space="preserve"> MSAC noted that patients who are treated with ABiC using a microcatheter may </w:t>
            </w:r>
            <w:r w:rsidR="008A62CA">
              <w:rPr>
                <w:rFonts w:ascii="Times New Roman" w:hAnsi="Times New Roman"/>
                <w:sz w:val="24"/>
                <w:szCs w:val="24"/>
              </w:rPr>
              <w:t xml:space="preserve">subsequently require further retreatment and/or </w:t>
            </w:r>
            <w:r w:rsidR="009B0EED">
              <w:rPr>
                <w:rFonts w:ascii="Times New Roman" w:hAnsi="Times New Roman"/>
                <w:sz w:val="24"/>
                <w:szCs w:val="24"/>
              </w:rPr>
              <w:t>undergo another treatment such as insertion of</w:t>
            </w:r>
            <w:r w:rsidR="008A62CA">
              <w:rPr>
                <w:rFonts w:ascii="Times New Roman" w:hAnsi="Times New Roman"/>
                <w:sz w:val="24"/>
                <w:szCs w:val="24"/>
              </w:rPr>
              <w:t xml:space="preserve"> a micro-bypass stent. </w:t>
            </w:r>
            <w:r w:rsidR="00886B19" w:rsidRPr="00886B19">
              <w:rPr>
                <w:rFonts w:ascii="Times New Roman" w:hAnsi="Times New Roman"/>
                <w:sz w:val="24"/>
                <w:szCs w:val="24"/>
              </w:rPr>
              <w:t xml:space="preserve">MSAC </w:t>
            </w:r>
            <w:r w:rsidR="008A62CA">
              <w:rPr>
                <w:rFonts w:ascii="Times New Roman" w:hAnsi="Times New Roman"/>
                <w:sz w:val="24"/>
                <w:szCs w:val="24"/>
              </w:rPr>
              <w:t>noted there was no evidence to inform who would best be treated with ABiC using a microcatheter versus micro-bypass stents. Further, MSAC was uncertain about how many patients would use the service and the associated costs</w:t>
            </w:r>
            <w:r w:rsidR="00886B19" w:rsidRPr="00886B19">
              <w:rPr>
                <w:rFonts w:ascii="Times New Roman" w:hAnsi="Times New Roman"/>
                <w:sz w:val="24"/>
                <w:szCs w:val="24"/>
              </w:rPr>
              <w:t>.</w:t>
            </w:r>
          </w:p>
          <w:p w14:paraId="354CF938" w14:textId="4463D542" w:rsidR="00886B19" w:rsidRPr="00886B19" w:rsidRDefault="00886B19" w:rsidP="00BB2D79">
            <w:pPr>
              <w:spacing w:before="240" w:after="120"/>
              <w:rPr>
                <w:rFonts w:ascii="Times New Roman" w:hAnsi="Times New Roman"/>
                <w:b/>
                <w:bCs/>
                <w:sz w:val="24"/>
                <w:szCs w:val="24"/>
              </w:rPr>
            </w:pPr>
            <w:r w:rsidRPr="00886B19">
              <w:rPr>
                <w:rFonts w:ascii="Times New Roman" w:hAnsi="Times New Roman"/>
                <w:b/>
                <w:bCs/>
                <w:sz w:val="24"/>
                <w:szCs w:val="24"/>
              </w:rPr>
              <w:t>MSAC’s advice to the Commonwealth Minister for Health</w:t>
            </w:r>
          </w:p>
          <w:p w14:paraId="6C81EB17" w14:textId="32FCB61D" w:rsidR="00886B19" w:rsidRDefault="00886B19" w:rsidP="00BB2D79">
            <w:pPr>
              <w:spacing w:before="120" w:after="240"/>
            </w:pPr>
            <w:r w:rsidRPr="00886B19">
              <w:rPr>
                <w:rFonts w:ascii="Times New Roman" w:hAnsi="Times New Roman"/>
                <w:sz w:val="24"/>
                <w:szCs w:val="24"/>
              </w:rPr>
              <w:t xml:space="preserve">MSAC did not support amending MBS item 42504 to include ABiC using a microcatheter. MSAC consider </w:t>
            </w:r>
            <w:r w:rsidR="006E1DF0">
              <w:rPr>
                <w:rFonts w:ascii="Times New Roman" w:hAnsi="Times New Roman"/>
                <w:sz w:val="24"/>
                <w:szCs w:val="24"/>
              </w:rPr>
              <w:t xml:space="preserve">that there was insufficient evidence to demonstrate that </w:t>
            </w:r>
            <w:r w:rsidRPr="00886B19">
              <w:rPr>
                <w:rFonts w:ascii="Times New Roman" w:hAnsi="Times New Roman"/>
                <w:sz w:val="24"/>
                <w:szCs w:val="24"/>
              </w:rPr>
              <w:t xml:space="preserve">ABiC </w:t>
            </w:r>
            <w:r w:rsidR="00903528">
              <w:rPr>
                <w:rFonts w:ascii="Times New Roman" w:hAnsi="Times New Roman"/>
                <w:sz w:val="24"/>
                <w:szCs w:val="24"/>
              </w:rPr>
              <w:t xml:space="preserve">using a microcatheter </w:t>
            </w:r>
            <w:r w:rsidR="006E1DF0">
              <w:rPr>
                <w:rFonts w:ascii="Times New Roman" w:hAnsi="Times New Roman"/>
                <w:sz w:val="24"/>
                <w:szCs w:val="24"/>
              </w:rPr>
              <w:t>is</w:t>
            </w:r>
            <w:r w:rsidRPr="00886B19">
              <w:rPr>
                <w:rFonts w:ascii="Times New Roman" w:hAnsi="Times New Roman"/>
                <w:sz w:val="24"/>
                <w:szCs w:val="24"/>
              </w:rPr>
              <w:t xml:space="preserve"> as safe and effective as micro-bypass </w:t>
            </w:r>
            <w:proofErr w:type="gramStart"/>
            <w:r w:rsidRPr="00886B19">
              <w:rPr>
                <w:rFonts w:ascii="Times New Roman" w:hAnsi="Times New Roman"/>
                <w:sz w:val="24"/>
                <w:szCs w:val="24"/>
              </w:rPr>
              <w:t>stents, and</w:t>
            </w:r>
            <w:proofErr w:type="gramEnd"/>
            <w:r w:rsidRPr="00886B19">
              <w:rPr>
                <w:rFonts w:ascii="Times New Roman" w:hAnsi="Times New Roman"/>
                <w:sz w:val="24"/>
                <w:szCs w:val="24"/>
              </w:rPr>
              <w:t xml:space="preserve"> was uncertain whether ABiC </w:t>
            </w:r>
            <w:r w:rsidR="00903528">
              <w:rPr>
                <w:rFonts w:ascii="Times New Roman" w:hAnsi="Times New Roman"/>
                <w:sz w:val="24"/>
                <w:szCs w:val="24"/>
              </w:rPr>
              <w:t xml:space="preserve">using a microcatheter </w:t>
            </w:r>
            <w:r w:rsidRPr="00886B19">
              <w:rPr>
                <w:rFonts w:ascii="Times New Roman" w:hAnsi="Times New Roman"/>
                <w:sz w:val="24"/>
                <w:szCs w:val="24"/>
              </w:rPr>
              <w:t>was good value for money.</w:t>
            </w:r>
          </w:p>
        </w:tc>
      </w:tr>
    </w:tbl>
    <w:p w14:paraId="6C3F1F87" w14:textId="0EA0AA3D" w:rsidR="00747517" w:rsidRPr="007D0728" w:rsidRDefault="00747517" w:rsidP="00747517">
      <w:pPr>
        <w:pStyle w:val="Heading1"/>
        <w:spacing w:before="240" w:after="240"/>
        <w:rPr>
          <w:rFonts w:ascii="Arial" w:hAnsi="Arial" w:cs="Arial"/>
        </w:rPr>
      </w:pPr>
      <w:r>
        <w:rPr>
          <w:rFonts w:ascii="Arial" w:hAnsi="Arial" w:cs="Arial"/>
        </w:rPr>
        <w:lastRenderedPageBreak/>
        <w:t>3.</w:t>
      </w:r>
      <w:r>
        <w:rPr>
          <w:rFonts w:ascii="Arial" w:hAnsi="Arial" w:cs="Arial"/>
        </w:rPr>
        <w:tab/>
      </w:r>
      <w:r w:rsidRPr="007D0728">
        <w:rPr>
          <w:rFonts w:ascii="Arial" w:hAnsi="Arial" w:cs="Arial"/>
        </w:rPr>
        <w:t xml:space="preserve">Summary of consideration and rationale for MSAC’s advice </w:t>
      </w:r>
    </w:p>
    <w:p w14:paraId="5165427F" w14:textId="07ACADE7" w:rsidR="00886B19" w:rsidRDefault="00886B19" w:rsidP="00886B19">
      <w:pPr>
        <w:pStyle w:val="Bullet"/>
        <w:numPr>
          <w:ilvl w:val="0"/>
          <w:numId w:val="0"/>
        </w:numPr>
        <w:tabs>
          <w:tab w:val="left" w:pos="720"/>
        </w:tabs>
        <w:rPr>
          <w:color w:val="auto"/>
        </w:rPr>
      </w:pPr>
      <w:r>
        <w:rPr>
          <w:color w:val="auto"/>
        </w:rPr>
        <w:t xml:space="preserve">MSAC noted this application from </w:t>
      </w:r>
      <w:r w:rsidRPr="005E7EF9">
        <w:rPr>
          <w:color w:val="auto"/>
        </w:rPr>
        <w:t>Nova Eye Medical</w:t>
      </w:r>
      <w:r>
        <w:rPr>
          <w:color w:val="auto"/>
        </w:rPr>
        <w:t xml:space="preserve"> requested that existing MBS item 42504, which encompasses implantation of micro-bypass stents as a standalone treatment for glaucoma, be amended to include ABiC using a microcatheter. Currently, MBS item 42504 excludes the use of a microcatheter. MSAC noted that ABiC using a microcatheter in conjunction with cataract surgery is being claimed under MBS item 42705, which encompasses implantation of micro-bypass stents in conjunction with cataract surgery. Unlike MBS item 42504, </w:t>
      </w:r>
      <w:r w:rsidR="00903528">
        <w:rPr>
          <w:color w:val="auto"/>
        </w:rPr>
        <w:t xml:space="preserve">the descriptor for MBS </w:t>
      </w:r>
      <w:r>
        <w:rPr>
          <w:color w:val="auto"/>
        </w:rPr>
        <w:t xml:space="preserve">item 42705 </w:t>
      </w:r>
      <w:r w:rsidR="00282DF6">
        <w:rPr>
          <w:color w:val="auto"/>
        </w:rPr>
        <w:t>could be interpreted as including the</w:t>
      </w:r>
      <w:r>
        <w:rPr>
          <w:color w:val="auto"/>
        </w:rPr>
        <w:t xml:space="preserve"> use of </w:t>
      </w:r>
      <w:r w:rsidR="00282DF6">
        <w:rPr>
          <w:color w:val="auto"/>
        </w:rPr>
        <w:t xml:space="preserve">a </w:t>
      </w:r>
      <w:r>
        <w:rPr>
          <w:color w:val="auto"/>
        </w:rPr>
        <w:t>microcatheter</w:t>
      </w:r>
      <w:r w:rsidR="00903528" w:rsidRPr="005E0A3B">
        <w:rPr>
          <w:szCs w:val="24"/>
        </w:rPr>
        <w:t xml:space="preserve">, but this </w:t>
      </w:r>
      <w:r w:rsidR="003444DE">
        <w:rPr>
          <w:szCs w:val="24"/>
        </w:rPr>
        <w:t>was</w:t>
      </w:r>
      <w:r w:rsidR="00903528" w:rsidRPr="005E0A3B">
        <w:rPr>
          <w:szCs w:val="24"/>
        </w:rPr>
        <w:t xml:space="preserve"> not the intent of the item</w:t>
      </w:r>
      <w:r>
        <w:rPr>
          <w:color w:val="auto"/>
        </w:rPr>
        <w:t>.</w:t>
      </w:r>
    </w:p>
    <w:p w14:paraId="34B4EDBC" w14:textId="60E92FE7" w:rsidR="00886B19" w:rsidRDefault="00886B19" w:rsidP="0091135D">
      <w:pPr>
        <w:pStyle w:val="Bullet"/>
        <w:numPr>
          <w:ilvl w:val="0"/>
          <w:numId w:val="0"/>
        </w:numPr>
        <w:tabs>
          <w:tab w:val="left" w:pos="720"/>
        </w:tabs>
        <w:spacing w:before="240"/>
        <w:rPr>
          <w:color w:val="auto"/>
        </w:rPr>
      </w:pPr>
      <w:r>
        <w:rPr>
          <w:color w:val="auto"/>
        </w:rPr>
        <w:t xml:space="preserve">MSAC noted the target population are patients with primary open angle glaucoma who have failed conservative treatment (or where conservative treatment is contraindicated), with or without concomitant cataracts. </w:t>
      </w:r>
      <w:r w:rsidR="00151067">
        <w:rPr>
          <w:color w:val="auto"/>
        </w:rPr>
        <w:t>G</w:t>
      </w:r>
      <w:r>
        <w:rPr>
          <w:color w:val="auto"/>
        </w:rPr>
        <w:t xml:space="preserve">laucoma occurs in </w:t>
      </w:r>
      <w:r w:rsidR="00151067">
        <w:rPr>
          <w:color w:val="auto"/>
        </w:rPr>
        <w:t>1.5</w:t>
      </w:r>
      <w:r>
        <w:rPr>
          <w:color w:val="auto"/>
        </w:rPr>
        <w:t xml:space="preserve">% of non-Indigenous </w:t>
      </w:r>
      <w:r w:rsidR="00151067">
        <w:rPr>
          <w:color w:val="auto"/>
        </w:rPr>
        <w:t xml:space="preserve">Australians </w:t>
      </w:r>
      <w:r w:rsidR="00DC76AB">
        <w:rPr>
          <w:color w:val="auto"/>
        </w:rPr>
        <w:br/>
      </w:r>
      <w:r w:rsidR="00151067">
        <w:rPr>
          <w:color w:val="auto"/>
        </w:rPr>
        <w:t>(&gt;50 years)</w:t>
      </w:r>
      <w:r>
        <w:rPr>
          <w:color w:val="auto"/>
        </w:rPr>
        <w:t xml:space="preserve"> and </w:t>
      </w:r>
      <w:r w:rsidR="00151067">
        <w:rPr>
          <w:color w:val="auto"/>
        </w:rPr>
        <w:t>0.6</w:t>
      </w:r>
      <w:r>
        <w:rPr>
          <w:color w:val="auto"/>
        </w:rPr>
        <w:t xml:space="preserve">% of Indigenous </w:t>
      </w:r>
      <w:r w:rsidR="00151067">
        <w:rPr>
          <w:color w:val="auto"/>
        </w:rPr>
        <w:t>Australians (&gt;</w:t>
      </w:r>
      <w:r>
        <w:rPr>
          <w:color w:val="auto"/>
        </w:rPr>
        <w:t>4</w:t>
      </w:r>
      <w:r w:rsidR="00151067">
        <w:rPr>
          <w:color w:val="auto"/>
        </w:rPr>
        <w:t>0</w:t>
      </w:r>
      <w:r>
        <w:rPr>
          <w:color w:val="auto"/>
        </w:rPr>
        <w:t xml:space="preserve"> years</w:t>
      </w:r>
      <w:r w:rsidR="00151067">
        <w:rPr>
          <w:color w:val="auto"/>
        </w:rPr>
        <w:t>)</w:t>
      </w:r>
      <w:r w:rsidR="00151067">
        <w:rPr>
          <w:rStyle w:val="FootnoteReference"/>
          <w:color w:val="auto"/>
        </w:rPr>
        <w:footnoteReference w:id="1"/>
      </w:r>
      <w:r>
        <w:rPr>
          <w:color w:val="auto"/>
        </w:rPr>
        <w:t>. It is a major cause of blindness if left untreated.</w:t>
      </w:r>
    </w:p>
    <w:p w14:paraId="1C1118D8" w14:textId="670B1AEE" w:rsidR="00886B19" w:rsidRDefault="00886B19" w:rsidP="0091135D">
      <w:pPr>
        <w:pStyle w:val="Bullet"/>
        <w:numPr>
          <w:ilvl w:val="0"/>
          <w:numId w:val="0"/>
        </w:numPr>
        <w:tabs>
          <w:tab w:val="left" w:pos="720"/>
        </w:tabs>
        <w:spacing w:before="240" w:after="240"/>
        <w:rPr>
          <w:color w:val="auto"/>
        </w:rPr>
      </w:pPr>
      <w:r>
        <w:rPr>
          <w:color w:val="auto"/>
        </w:rPr>
        <w:t xml:space="preserve">MSAC noted consultation feedback was generally supportive for this application. MSAC agreed that ABiC using a microcatheter device may be useful for paediatric </w:t>
      </w:r>
      <w:proofErr w:type="gramStart"/>
      <w:r>
        <w:rPr>
          <w:color w:val="auto"/>
        </w:rPr>
        <w:t>patients, but</w:t>
      </w:r>
      <w:proofErr w:type="gramEnd"/>
      <w:r>
        <w:rPr>
          <w:color w:val="auto"/>
        </w:rPr>
        <w:t xml:space="preserve"> </w:t>
      </w:r>
      <w:r>
        <w:rPr>
          <w:color w:val="auto"/>
        </w:rPr>
        <w:lastRenderedPageBreak/>
        <w:t xml:space="preserve">considered this to be a rare </w:t>
      </w:r>
      <w:r w:rsidR="002D48A5">
        <w:rPr>
          <w:color w:val="auto"/>
        </w:rPr>
        <w:t>sub</w:t>
      </w:r>
      <w:r>
        <w:rPr>
          <w:color w:val="auto"/>
        </w:rPr>
        <w:t>group as glaucoma is typically a degenerative disorder that mainly affects patients that are over 45 years of age. MSAC also queried why funding ABiC using a microcatheter device would benefit rural patients, as the procedure can only be performed by trained and specialised ophthalmologists that are usually based in major city centres.</w:t>
      </w:r>
    </w:p>
    <w:p w14:paraId="56F2DE40" w14:textId="56C887EE" w:rsidR="00886B19" w:rsidRDefault="00886B19" w:rsidP="0091135D">
      <w:pPr>
        <w:pStyle w:val="Bullet"/>
        <w:numPr>
          <w:ilvl w:val="0"/>
          <w:numId w:val="0"/>
        </w:numPr>
        <w:tabs>
          <w:tab w:val="left" w:pos="720"/>
        </w:tabs>
        <w:spacing w:before="240" w:after="240"/>
        <w:rPr>
          <w:color w:val="auto"/>
        </w:rPr>
      </w:pPr>
      <w:r>
        <w:rPr>
          <w:color w:val="auto"/>
        </w:rPr>
        <w:t xml:space="preserve">MSAC noted that micro-bypass stents, which are left in-situ, are included on the Protheses List (PL). However, the microcatheter device manufactured by the </w:t>
      </w:r>
      <w:r w:rsidRPr="00731B59">
        <w:rPr>
          <w:color w:val="auto"/>
        </w:rPr>
        <w:t>applicant</w:t>
      </w:r>
      <w:r w:rsidRPr="005E7EF9">
        <w:rPr>
          <w:color w:val="auto"/>
        </w:rPr>
        <w:t>, iTrack</w:t>
      </w:r>
      <w:r w:rsidRPr="00731B59">
        <w:rPr>
          <w:color w:val="auto"/>
        </w:rPr>
        <w:t>,</w:t>
      </w:r>
      <w:r>
        <w:rPr>
          <w:color w:val="auto"/>
        </w:rPr>
        <w:t xml:space="preserve"> is not listed on the PL. As a result, the cost of the microcatheter is currently an out-of-pocket (OOP) cost borne by the patient. MSAC noted that an application for listing </w:t>
      </w:r>
      <w:r w:rsidRPr="00731B59">
        <w:rPr>
          <w:color w:val="auto"/>
        </w:rPr>
        <w:t xml:space="preserve">the </w:t>
      </w:r>
      <w:r w:rsidRPr="005E7EF9">
        <w:rPr>
          <w:color w:val="auto"/>
        </w:rPr>
        <w:t>iTrack</w:t>
      </w:r>
      <w:r w:rsidRPr="00731B59">
        <w:rPr>
          <w:color w:val="auto"/>
        </w:rPr>
        <w:t xml:space="preserve"> microcatheter</w:t>
      </w:r>
      <w:r>
        <w:rPr>
          <w:color w:val="auto"/>
        </w:rPr>
        <w:t xml:space="preserve"> on the PL has been submitted for consideration by the Protheses List Advisory Committee (PLAC).</w:t>
      </w:r>
    </w:p>
    <w:p w14:paraId="3E45178A" w14:textId="42599207" w:rsidR="00886B19" w:rsidRDefault="00886B19" w:rsidP="0091135D">
      <w:pPr>
        <w:pStyle w:val="BulletBeforeDash"/>
        <w:numPr>
          <w:ilvl w:val="0"/>
          <w:numId w:val="0"/>
        </w:numPr>
        <w:tabs>
          <w:tab w:val="left" w:pos="720"/>
        </w:tabs>
        <w:spacing w:before="240" w:after="240"/>
        <w:rPr>
          <w:color w:val="auto"/>
        </w:rPr>
      </w:pPr>
      <w:r>
        <w:t xml:space="preserve">MSAC noted the clinical management algorithm </w:t>
      </w:r>
      <w:r w:rsidR="00B61403">
        <w:t>but considered there was insufficient evidence to define the clinical place of ABiC using a microcatheter in the treatment pathway for</w:t>
      </w:r>
      <w:r w:rsidR="00B61403" w:rsidRPr="00B61403">
        <w:t xml:space="preserve"> glaucoma patients who have failed conservative treatment</w:t>
      </w:r>
      <w:r w:rsidR="00B61403">
        <w:t>. MSAC considered that ABiC using a microcatheter may provide a standalone treatment option</w:t>
      </w:r>
      <w:r w:rsidR="00064DDE">
        <w:t xml:space="preserve"> that could be used</w:t>
      </w:r>
      <w:r w:rsidR="00B61403">
        <w:t xml:space="preserve"> as</w:t>
      </w:r>
      <w:r w:rsidR="00064DDE">
        <w:t xml:space="preserve"> either </w:t>
      </w:r>
      <w:r w:rsidR="00B61403">
        <w:t xml:space="preserve">a bridge to or </w:t>
      </w:r>
      <w:r w:rsidR="00B61403" w:rsidRPr="00B61403">
        <w:t>to potentially avoid the need for stent insertion or more invasive trabeculectomy</w:t>
      </w:r>
      <w:r>
        <w:t xml:space="preserve">. MSAC also considered </w:t>
      </w:r>
      <w:r w:rsidR="00B61403">
        <w:t xml:space="preserve">that </w:t>
      </w:r>
      <w:r>
        <w:t xml:space="preserve">there </w:t>
      </w:r>
      <w:r w:rsidR="00CD543D">
        <w:t>was</w:t>
      </w:r>
      <w:r>
        <w:t xml:space="preserve"> insufficient </w:t>
      </w:r>
      <w:r w:rsidR="00CD543D">
        <w:t xml:space="preserve">evidence and guidance to inform </w:t>
      </w:r>
      <w:r>
        <w:t xml:space="preserve">clinical </w:t>
      </w:r>
      <w:r w:rsidR="00CD543D">
        <w:t>decision</w:t>
      </w:r>
      <w:r w:rsidR="00B61403">
        <w:t>s</w:t>
      </w:r>
      <w:r w:rsidR="00CD543D">
        <w:t xml:space="preserve"> on whether ABiC using a microcatheter or a micro-bypass stent is used for initial intervention and </w:t>
      </w:r>
      <w:r w:rsidR="00B61403">
        <w:t>the choice of procedure at reintervention</w:t>
      </w:r>
      <w:r w:rsidR="00445012">
        <w:t>.</w:t>
      </w:r>
      <w:r>
        <w:t xml:space="preserve"> </w:t>
      </w:r>
      <w:r w:rsidR="00064DDE">
        <w:t>Further,</w:t>
      </w:r>
      <w:r w:rsidR="007F5079">
        <w:rPr>
          <w:color w:val="auto"/>
        </w:rPr>
        <w:t xml:space="preserve"> glaucoma treatment is moving towards a multi-procedure approach, not just a single, standalone treatment as suggested by the application.</w:t>
      </w:r>
    </w:p>
    <w:p w14:paraId="7BA4DE3F" w14:textId="5A3DEF74" w:rsidR="00886B19" w:rsidRDefault="00886B19" w:rsidP="0091135D">
      <w:pPr>
        <w:pStyle w:val="Bullet"/>
        <w:numPr>
          <w:ilvl w:val="0"/>
          <w:numId w:val="0"/>
        </w:numPr>
        <w:tabs>
          <w:tab w:val="left" w:pos="720"/>
        </w:tabs>
        <w:spacing w:before="240" w:after="240"/>
        <w:rPr>
          <w:color w:val="auto"/>
        </w:rPr>
      </w:pPr>
      <w:r>
        <w:rPr>
          <w:color w:val="auto"/>
        </w:rPr>
        <w:t xml:space="preserve">MSAC considered the evidence base for ABiC using a microcatheter, which comprised seven case series studies, </w:t>
      </w:r>
      <w:r w:rsidRPr="005E7EF9">
        <w:rPr>
          <w:color w:val="auto"/>
        </w:rPr>
        <w:t>was limited and of low quality</w:t>
      </w:r>
      <w:r w:rsidRPr="00731B59">
        <w:rPr>
          <w:color w:val="auto"/>
        </w:rPr>
        <w:t xml:space="preserve">. </w:t>
      </w:r>
      <w:r w:rsidRPr="005E7EF9">
        <w:rPr>
          <w:color w:val="auto"/>
        </w:rPr>
        <w:t xml:space="preserve">There was a lack of studies reporting success/failure rate of treatment and </w:t>
      </w:r>
      <w:r w:rsidR="002D48A5" w:rsidRPr="005E7EF9">
        <w:rPr>
          <w:color w:val="auto"/>
        </w:rPr>
        <w:t xml:space="preserve">rate of </w:t>
      </w:r>
      <w:r w:rsidRPr="005E7EF9">
        <w:rPr>
          <w:color w:val="auto"/>
        </w:rPr>
        <w:t>reoperation</w:t>
      </w:r>
      <w:r w:rsidR="002D48A5" w:rsidRPr="005E7EF9">
        <w:rPr>
          <w:color w:val="auto"/>
        </w:rPr>
        <w:t xml:space="preserve"> following standalone ABiC</w:t>
      </w:r>
      <w:r w:rsidR="00AF21DF" w:rsidRPr="005E7EF9">
        <w:rPr>
          <w:color w:val="auto"/>
        </w:rPr>
        <w:t xml:space="preserve"> using a microcatheter</w:t>
      </w:r>
      <w:r w:rsidR="002D48A5" w:rsidRPr="005E7EF9">
        <w:rPr>
          <w:color w:val="auto"/>
        </w:rPr>
        <w:t xml:space="preserve">, or </w:t>
      </w:r>
      <w:r w:rsidR="00AF21DF" w:rsidRPr="005E7EF9">
        <w:rPr>
          <w:color w:val="auto"/>
        </w:rPr>
        <w:t xml:space="preserve">combined </w:t>
      </w:r>
      <w:r w:rsidR="002D48A5" w:rsidRPr="005E7EF9">
        <w:rPr>
          <w:color w:val="auto"/>
        </w:rPr>
        <w:t>cataract plus ABiC procedures</w:t>
      </w:r>
      <w:r w:rsidRPr="005E7EF9">
        <w:rPr>
          <w:color w:val="auto"/>
        </w:rPr>
        <w:t>.</w:t>
      </w:r>
      <w:r>
        <w:rPr>
          <w:color w:val="auto"/>
        </w:rPr>
        <w:t xml:space="preserve"> Further, as there were no studies directly comparing ABiC using a microcatheter with the insertion of a micro-bypass stent into the trabecular network, only naïve comparisons were possible. MSAC noted the population was pooled and included patients receiving glaucoma surgery with and without concomitant cataract surgery. The population was not stratified by the severity of glaucoma and often not able to be stratified by the presence/absence of cataract surgery. Therefore, MSAC considered the impact of cataract surgery on the safety and effectiveness of ABiC using a microcatheter to be uncertain (cataract surgery may bias results or obscure differences in the data). MSAC also noted the available evidence base lacked data on health-related quality of life or quality of life, and rarely reported adverse events.</w:t>
      </w:r>
      <w:r w:rsidR="000337D6">
        <w:rPr>
          <w:color w:val="auto"/>
        </w:rPr>
        <w:t xml:space="preserve"> </w:t>
      </w:r>
      <w:r w:rsidR="000337D6" w:rsidRPr="005E7EF9">
        <w:rPr>
          <w:color w:val="auto"/>
        </w:rPr>
        <w:t>MSAC noted there is a clinical trial (TRIDENT</w:t>
      </w:r>
      <w:r w:rsidR="000337D6" w:rsidRPr="005E7EF9">
        <w:rPr>
          <w:rStyle w:val="FootnoteReference"/>
          <w:color w:val="auto"/>
        </w:rPr>
        <w:footnoteReference w:id="2"/>
      </w:r>
      <w:r w:rsidR="000337D6" w:rsidRPr="005E7EF9">
        <w:rPr>
          <w:color w:val="auto"/>
        </w:rPr>
        <w:t>) comparing ABiC using another microcatheter device to micro-bypass stents, but this is not due for completion until 2023 at the earliest</w:t>
      </w:r>
      <w:r w:rsidR="000337D6" w:rsidRPr="00731B59">
        <w:rPr>
          <w:color w:val="auto"/>
        </w:rPr>
        <w:t>.</w:t>
      </w:r>
    </w:p>
    <w:p w14:paraId="7EEF2446" w14:textId="1F6E6551" w:rsidR="00886B19" w:rsidRDefault="00886B19" w:rsidP="0091135D">
      <w:pPr>
        <w:pStyle w:val="Bullet"/>
        <w:numPr>
          <w:ilvl w:val="0"/>
          <w:numId w:val="0"/>
        </w:numPr>
        <w:tabs>
          <w:tab w:val="left" w:pos="720"/>
        </w:tabs>
        <w:spacing w:before="240" w:after="240"/>
        <w:rPr>
          <w:color w:val="auto"/>
        </w:rPr>
      </w:pPr>
      <w:r>
        <w:rPr>
          <w:color w:val="auto"/>
        </w:rPr>
        <w:t xml:space="preserve">MSAC noted the pre-MSAC response claimed the lack of prospective, comparative data was not a concern because of 10 years of real-world data; in 2020–2021, </w:t>
      </w:r>
      <w:r w:rsidR="00731B59" w:rsidRPr="005E7EF9">
        <w:rPr>
          <w:b/>
          <w:bCs/>
          <w:color w:val="auto"/>
        </w:rPr>
        <w:t>redacted</w:t>
      </w:r>
      <w:r w:rsidRPr="005E7EF9">
        <w:rPr>
          <w:color w:val="auto"/>
        </w:rPr>
        <w:t xml:space="preserve"> iTrack</w:t>
      </w:r>
      <w:r>
        <w:rPr>
          <w:color w:val="auto"/>
        </w:rPr>
        <w:t xml:space="preserve"> procedures were performed around the world. However, MSAC agreed with the rejoinder response which </w:t>
      </w:r>
      <w:r w:rsidR="000337D6">
        <w:rPr>
          <w:color w:val="auto"/>
        </w:rPr>
        <w:t xml:space="preserve">highlighted </w:t>
      </w:r>
      <w:r>
        <w:rPr>
          <w:color w:val="auto"/>
        </w:rPr>
        <w:t>that naïve comparisons and retrospective studies are considered a low-level of evidence susceptible to potential risks of bias and uncertainties.</w:t>
      </w:r>
    </w:p>
    <w:p w14:paraId="374F8857" w14:textId="3E51118C" w:rsidR="00886B19" w:rsidRDefault="00886B19" w:rsidP="0091135D">
      <w:pPr>
        <w:pStyle w:val="Bullet"/>
        <w:numPr>
          <w:ilvl w:val="0"/>
          <w:numId w:val="0"/>
        </w:numPr>
        <w:tabs>
          <w:tab w:val="left" w:pos="720"/>
        </w:tabs>
        <w:spacing w:before="240" w:after="240"/>
        <w:rPr>
          <w:color w:val="auto"/>
        </w:rPr>
      </w:pPr>
      <w:r>
        <w:rPr>
          <w:color w:val="auto"/>
        </w:rPr>
        <w:t xml:space="preserve">Regarding </w:t>
      </w:r>
      <w:r w:rsidR="000337D6">
        <w:rPr>
          <w:color w:val="auto"/>
        </w:rPr>
        <w:t xml:space="preserve">the naïve comparison of </w:t>
      </w:r>
      <w:r>
        <w:rPr>
          <w:color w:val="auto"/>
        </w:rPr>
        <w:t>safety, MSAC noted that, overall, ABiC using a microcatheter appear</w:t>
      </w:r>
      <w:r w:rsidR="000337D6">
        <w:rPr>
          <w:color w:val="auto"/>
        </w:rPr>
        <w:t>ed</w:t>
      </w:r>
      <w:r>
        <w:rPr>
          <w:color w:val="auto"/>
        </w:rPr>
        <w:t xml:space="preserve"> to have equivalent short-term safety </w:t>
      </w:r>
      <w:r w:rsidR="000337D6">
        <w:rPr>
          <w:color w:val="auto"/>
        </w:rPr>
        <w:t xml:space="preserve">compared </w:t>
      </w:r>
      <w:r>
        <w:rPr>
          <w:color w:val="auto"/>
        </w:rPr>
        <w:t xml:space="preserve">to MIGS using a </w:t>
      </w:r>
      <w:r>
        <w:rPr>
          <w:color w:val="auto"/>
        </w:rPr>
        <w:lastRenderedPageBreak/>
        <w:t xml:space="preserve">micro-bypass stent. Additionally, the rates of some adverse events reported in the studies – specifically, intraoperative bleeding, incorrect device position and postoperative </w:t>
      </w:r>
      <w:proofErr w:type="spellStart"/>
      <w:r>
        <w:rPr>
          <w:color w:val="auto"/>
        </w:rPr>
        <w:t>hyphema</w:t>
      </w:r>
      <w:proofErr w:type="spellEnd"/>
      <w:r>
        <w:rPr>
          <w:color w:val="auto"/>
        </w:rPr>
        <w:t xml:space="preserve"> – were marginally higher for micro-bypass stents with concomitant cataract surgery. However, MSAC considered the long-term safety of ABiC using a microcatheter was uncertain. MSAC noted that endothelial cell loss (ECL) </w:t>
      </w:r>
      <w:r w:rsidR="000337D6">
        <w:rPr>
          <w:color w:val="auto"/>
        </w:rPr>
        <w:t>is</w:t>
      </w:r>
      <w:r>
        <w:rPr>
          <w:color w:val="auto"/>
        </w:rPr>
        <w:t xml:space="preserve"> an important safety outcome. The pre-MSAC response claimed that ECL after one year is less for the microcatheter device (3.2%) than micro-bypass stents (4.2%). MSAC considered this may be </w:t>
      </w:r>
      <w:r w:rsidR="00787F56">
        <w:rPr>
          <w:color w:val="auto"/>
        </w:rPr>
        <w:t>because</w:t>
      </w:r>
      <w:r>
        <w:rPr>
          <w:color w:val="auto"/>
        </w:rPr>
        <w:t xml:space="preserve"> nothing is left in-situ following ABiC using a </w:t>
      </w:r>
      <w:proofErr w:type="gramStart"/>
      <w:r>
        <w:rPr>
          <w:color w:val="auto"/>
        </w:rPr>
        <w:t>microcatheter, but</w:t>
      </w:r>
      <w:proofErr w:type="gramEnd"/>
      <w:r>
        <w:rPr>
          <w:color w:val="auto"/>
        </w:rPr>
        <w:t xml:space="preserve"> decided there was insufficient follow-up on ECL for ABiC using a microcatheter to determine its long-term safety; the maximum length of follow</w:t>
      </w:r>
      <w:r w:rsidR="00E84C75">
        <w:rPr>
          <w:color w:val="auto"/>
        </w:rPr>
        <w:t>-</w:t>
      </w:r>
      <w:r>
        <w:rPr>
          <w:color w:val="auto"/>
        </w:rPr>
        <w:t>up in the intervention studies was only 24 months.</w:t>
      </w:r>
    </w:p>
    <w:p w14:paraId="6998147F" w14:textId="3A13D463" w:rsidR="00886B19" w:rsidRDefault="00886B19" w:rsidP="0091135D">
      <w:pPr>
        <w:pStyle w:val="Bullet"/>
        <w:numPr>
          <w:ilvl w:val="0"/>
          <w:numId w:val="0"/>
        </w:numPr>
        <w:tabs>
          <w:tab w:val="left" w:pos="720"/>
        </w:tabs>
        <w:spacing w:before="240" w:after="240"/>
        <w:rPr>
          <w:color w:val="auto"/>
        </w:rPr>
      </w:pPr>
      <w:r>
        <w:rPr>
          <w:color w:val="auto"/>
        </w:rPr>
        <w:t xml:space="preserve">Regarding the </w:t>
      </w:r>
      <w:r w:rsidR="00C95739">
        <w:rPr>
          <w:color w:val="auto"/>
        </w:rPr>
        <w:t xml:space="preserve">naïve comparison of </w:t>
      </w:r>
      <w:r>
        <w:rPr>
          <w:color w:val="auto"/>
        </w:rPr>
        <w:t xml:space="preserve">clinical effectiveness, MSAC noted </w:t>
      </w:r>
      <w:r w:rsidR="00787F56">
        <w:rPr>
          <w:color w:val="auto"/>
        </w:rPr>
        <w:t xml:space="preserve">the </w:t>
      </w:r>
      <w:r w:rsidR="00E84C75">
        <w:rPr>
          <w:color w:val="auto"/>
        </w:rPr>
        <w:t xml:space="preserve">uncertainty regarding </w:t>
      </w:r>
      <w:r w:rsidR="00787F56">
        <w:rPr>
          <w:color w:val="auto"/>
        </w:rPr>
        <w:t xml:space="preserve">reoperation rates for ABiC using a </w:t>
      </w:r>
      <w:r w:rsidR="00A80AC5">
        <w:rPr>
          <w:color w:val="auto"/>
        </w:rPr>
        <w:t xml:space="preserve">microcatheter. MSAC also noted </w:t>
      </w:r>
      <w:r w:rsidR="00787F56">
        <w:rPr>
          <w:color w:val="auto"/>
        </w:rPr>
        <w:t>the pre-MSAC response provided new evidence on reoperation rates</w:t>
      </w:r>
      <w:r w:rsidR="00E84C75">
        <w:rPr>
          <w:color w:val="auto"/>
        </w:rPr>
        <w:t xml:space="preserve"> that indicated the</w:t>
      </w:r>
      <w:r>
        <w:rPr>
          <w:color w:val="auto"/>
        </w:rPr>
        <w:t xml:space="preserve"> reoperation rate </w:t>
      </w:r>
      <w:r w:rsidR="00E84C75">
        <w:rPr>
          <w:color w:val="auto"/>
        </w:rPr>
        <w:t xml:space="preserve">was </w:t>
      </w:r>
      <w:r w:rsidR="00731B59">
        <w:rPr>
          <w:b/>
          <w:bCs/>
          <w:color w:val="auto"/>
        </w:rPr>
        <w:t>redacted</w:t>
      </w:r>
      <w:r w:rsidRPr="005E7EF9">
        <w:rPr>
          <w:color w:val="auto"/>
        </w:rPr>
        <w:t xml:space="preserve">% </w:t>
      </w:r>
      <w:r w:rsidR="00E84C75" w:rsidRPr="005E7EF9">
        <w:rPr>
          <w:color w:val="auto"/>
        </w:rPr>
        <w:t xml:space="preserve">for patients with mild-moderate glaucoma </w:t>
      </w:r>
      <w:r w:rsidRPr="005E7EF9">
        <w:rPr>
          <w:color w:val="auto"/>
        </w:rPr>
        <w:t xml:space="preserve">and </w:t>
      </w:r>
      <w:r w:rsidR="00731B59">
        <w:rPr>
          <w:b/>
          <w:bCs/>
          <w:color w:val="auto"/>
        </w:rPr>
        <w:t>redacted</w:t>
      </w:r>
      <w:r w:rsidRPr="005E7EF9">
        <w:rPr>
          <w:color w:val="auto"/>
        </w:rPr>
        <w:t>%</w:t>
      </w:r>
      <w:r w:rsidR="00E84C75" w:rsidRPr="005E7EF9">
        <w:rPr>
          <w:color w:val="auto"/>
        </w:rPr>
        <w:t xml:space="preserve"> for patients with severe glaucoma,</w:t>
      </w:r>
      <w:r w:rsidRPr="005E7EF9">
        <w:rPr>
          <w:color w:val="auto"/>
        </w:rPr>
        <w:t xml:space="preserve"> after 3 years</w:t>
      </w:r>
      <w:r w:rsidRPr="00731B59">
        <w:rPr>
          <w:color w:val="auto"/>
        </w:rPr>
        <w:t>.</w:t>
      </w:r>
      <w:r w:rsidR="00E84C75">
        <w:rPr>
          <w:color w:val="auto"/>
        </w:rPr>
        <w:t xml:space="preserve"> MSAC considered that the reoperation rate appear</w:t>
      </w:r>
      <w:r w:rsidR="00256E24">
        <w:rPr>
          <w:color w:val="auto"/>
        </w:rPr>
        <w:t>ed</w:t>
      </w:r>
      <w:r w:rsidR="00E84C75">
        <w:rPr>
          <w:color w:val="auto"/>
        </w:rPr>
        <w:t xml:space="preserve"> to be low but remained uncertain as the data was from small single arm studies with short follow-up.</w:t>
      </w:r>
      <w:r>
        <w:rPr>
          <w:color w:val="auto"/>
        </w:rPr>
        <w:t xml:space="preserve"> For both the intervention and the comparator, the decrease in intraocular pressure was greater in those who had concomitant cataract surgery than those who had the standalone procedure. MSAC considered this to be expected, as drainage is improved following cataract removal. Conversely, there was a greater decrease in medication use for those who received the standalone glaucoma procedures. While visual acuity was sustained following the standalone procedures, it was improved in those who also had concomitant cataract surgery. MSAC also considered this to be expected as cataract surgery results in a new lens. </w:t>
      </w:r>
      <w:r w:rsidR="00A80AC5">
        <w:rPr>
          <w:color w:val="auto"/>
        </w:rPr>
        <w:t>D</w:t>
      </w:r>
      <w:r w:rsidR="00305C33">
        <w:rPr>
          <w:color w:val="auto"/>
        </w:rPr>
        <w:t xml:space="preserve">ue to the limited </w:t>
      </w:r>
      <w:proofErr w:type="gramStart"/>
      <w:r w:rsidR="00305C33">
        <w:rPr>
          <w:color w:val="auto"/>
        </w:rPr>
        <w:t>low quality</w:t>
      </w:r>
      <w:proofErr w:type="gramEnd"/>
      <w:r w:rsidR="00305C33">
        <w:rPr>
          <w:color w:val="auto"/>
        </w:rPr>
        <w:t xml:space="preserve"> evidence and lack of direct comparative evidence, </w:t>
      </w:r>
      <w:r>
        <w:rPr>
          <w:color w:val="auto"/>
        </w:rPr>
        <w:t>MSAC considered the</w:t>
      </w:r>
      <w:r w:rsidR="00305C33">
        <w:rPr>
          <w:color w:val="auto"/>
        </w:rPr>
        <w:t xml:space="preserve"> claim of</w:t>
      </w:r>
      <w:r>
        <w:rPr>
          <w:color w:val="auto"/>
        </w:rPr>
        <w:t xml:space="preserve"> non-inferior</w:t>
      </w:r>
      <w:r w:rsidR="00305C33">
        <w:rPr>
          <w:color w:val="auto"/>
        </w:rPr>
        <w:t xml:space="preserve"> effectiveness</w:t>
      </w:r>
      <w:r>
        <w:rPr>
          <w:color w:val="auto"/>
        </w:rPr>
        <w:t xml:space="preserve"> to be uncertain.</w:t>
      </w:r>
    </w:p>
    <w:p w14:paraId="0A573484" w14:textId="4FF7E22F" w:rsidR="00886B19" w:rsidRDefault="00886B19" w:rsidP="0091135D">
      <w:pPr>
        <w:pStyle w:val="NormalBeforeBullet"/>
        <w:spacing w:before="240"/>
      </w:pPr>
      <w:r>
        <w:t xml:space="preserve">MSAC noted that a cost minimisation analysis </w:t>
      </w:r>
      <w:r w:rsidR="00297C65">
        <w:t xml:space="preserve">(CMA) </w:t>
      </w:r>
      <w:r>
        <w:t>was presented, based on the assumptions that:</w:t>
      </w:r>
    </w:p>
    <w:p w14:paraId="4E866BDE" w14:textId="06255214" w:rsidR="00886B19" w:rsidRDefault="00886B19" w:rsidP="00886B19">
      <w:pPr>
        <w:pStyle w:val="Bullet"/>
        <w:numPr>
          <w:ilvl w:val="0"/>
          <w:numId w:val="32"/>
        </w:numPr>
        <w:tabs>
          <w:tab w:val="left" w:pos="720"/>
        </w:tabs>
        <w:rPr>
          <w:color w:val="auto"/>
        </w:rPr>
      </w:pPr>
      <w:r>
        <w:rPr>
          <w:color w:val="auto"/>
        </w:rPr>
        <w:t xml:space="preserve">the cost of the microcatheter and micro-bypass stent was the same and costed based on the average PL benefit for micro-bypass stents </w:t>
      </w:r>
      <w:r w:rsidRPr="005E7EF9">
        <w:rPr>
          <w:color w:val="auto"/>
        </w:rPr>
        <w:t>(</w:t>
      </w:r>
      <w:r w:rsidR="00305C33" w:rsidRPr="005E7EF9">
        <w:rPr>
          <w:color w:val="auto"/>
        </w:rPr>
        <w:t>$1,350/unit</w:t>
      </w:r>
      <w:r w:rsidRPr="005E7EF9">
        <w:rPr>
          <w:color w:val="auto"/>
        </w:rPr>
        <w:t>)</w:t>
      </w:r>
    </w:p>
    <w:p w14:paraId="15E4FB2B" w14:textId="228D266C" w:rsidR="00886B19" w:rsidRDefault="00886B19" w:rsidP="00886B19">
      <w:pPr>
        <w:pStyle w:val="Bullet"/>
        <w:numPr>
          <w:ilvl w:val="0"/>
          <w:numId w:val="32"/>
        </w:numPr>
        <w:tabs>
          <w:tab w:val="left" w:pos="720"/>
        </w:tabs>
        <w:rPr>
          <w:color w:val="auto"/>
        </w:rPr>
      </w:pPr>
      <w:r>
        <w:rPr>
          <w:color w:val="auto"/>
        </w:rPr>
        <w:t>the pre-surgical assessment cost was the same</w:t>
      </w:r>
    </w:p>
    <w:p w14:paraId="1C07C684" w14:textId="3BF1E74D" w:rsidR="00305C33" w:rsidRDefault="00305C33" w:rsidP="00886B19">
      <w:pPr>
        <w:pStyle w:val="Bullet"/>
        <w:numPr>
          <w:ilvl w:val="0"/>
          <w:numId w:val="32"/>
        </w:numPr>
        <w:tabs>
          <w:tab w:val="left" w:pos="720"/>
        </w:tabs>
        <w:rPr>
          <w:color w:val="auto"/>
        </w:rPr>
      </w:pPr>
      <w:r>
        <w:rPr>
          <w:color w:val="auto"/>
        </w:rPr>
        <w:t>the MBS fees for ABiC using a microcatheter and implantation of a micro-bypass stent were the same ($310.15 for the standalone procedure and $939.60 for the procedure with concomitant cataract surgery)</w:t>
      </w:r>
    </w:p>
    <w:p w14:paraId="0C845A18" w14:textId="77777777" w:rsidR="00886B19" w:rsidRDefault="00886B19" w:rsidP="00256E24">
      <w:pPr>
        <w:pStyle w:val="BulletLast"/>
        <w:numPr>
          <w:ilvl w:val="0"/>
          <w:numId w:val="32"/>
        </w:numPr>
      </w:pPr>
      <w:r>
        <w:t>ABiC using a microcatheter has non-inferior effectiveness and safety compared to micro-bypass stent insertion (very uncertain, based on a naïve comparison using very low-quality evidence).</w:t>
      </w:r>
    </w:p>
    <w:p w14:paraId="7AEA784E" w14:textId="1903BF73" w:rsidR="00886B19" w:rsidRDefault="00886B19" w:rsidP="0091135D">
      <w:pPr>
        <w:pStyle w:val="Bullet"/>
        <w:numPr>
          <w:ilvl w:val="0"/>
          <w:numId w:val="0"/>
        </w:numPr>
        <w:tabs>
          <w:tab w:val="left" w:pos="720"/>
        </w:tabs>
        <w:spacing w:before="240" w:after="240"/>
        <w:rPr>
          <w:color w:val="auto"/>
        </w:rPr>
      </w:pPr>
      <w:r>
        <w:rPr>
          <w:color w:val="auto"/>
        </w:rPr>
        <w:t xml:space="preserve">MSAC noted </w:t>
      </w:r>
      <w:r w:rsidR="00297C65">
        <w:rPr>
          <w:color w:val="auto"/>
        </w:rPr>
        <w:t>a</w:t>
      </w:r>
      <w:r>
        <w:rPr>
          <w:color w:val="auto"/>
        </w:rPr>
        <w:t xml:space="preserve"> key driver of the model was the rate of reoperation.</w:t>
      </w:r>
      <w:r w:rsidR="00297C65" w:rsidRPr="00297C65">
        <w:t xml:space="preserve"> </w:t>
      </w:r>
      <w:r w:rsidR="00297C65" w:rsidRPr="00297C65">
        <w:rPr>
          <w:color w:val="auto"/>
        </w:rPr>
        <w:t xml:space="preserve">MSAC noted </w:t>
      </w:r>
      <w:r w:rsidR="00297C65">
        <w:rPr>
          <w:color w:val="auto"/>
        </w:rPr>
        <w:t>the</w:t>
      </w:r>
      <w:r w:rsidR="00297C65" w:rsidRPr="00297C65">
        <w:rPr>
          <w:color w:val="auto"/>
        </w:rPr>
        <w:t xml:space="preserve"> rates of reoperation </w:t>
      </w:r>
      <w:r w:rsidR="00297C65">
        <w:rPr>
          <w:color w:val="auto"/>
        </w:rPr>
        <w:t xml:space="preserve">in the CMA </w:t>
      </w:r>
      <w:r w:rsidR="00297C65" w:rsidRPr="00297C65">
        <w:rPr>
          <w:color w:val="auto"/>
        </w:rPr>
        <w:t xml:space="preserve">for ABiC using a microcatheter </w:t>
      </w:r>
      <w:r w:rsidR="00297C65" w:rsidRPr="005E7EF9">
        <w:rPr>
          <w:color w:val="auto"/>
        </w:rPr>
        <w:t>(6.9%)</w:t>
      </w:r>
      <w:r w:rsidR="00297C65" w:rsidRPr="00460BE2">
        <w:rPr>
          <w:color w:val="auto"/>
        </w:rPr>
        <w:t xml:space="preserve"> </w:t>
      </w:r>
      <w:r w:rsidR="00297C65" w:rsidRPr="00297C65">
        <w:rPr>
          <w:color w:val="auto"/>
        </w:rPr>
        <w:t xml:space="preserve">and micro-bypass stents </w:t>
      </w:r>
      <w:r w:rsidR="00297C65" w:rsidRPr="005E7EF9">
        <w:rPr>
          <w:color w:val="auto"/>
        </w:rPr>
        <w:t>(4.1%)</w:t>
      </w:r>
      <w:r w:rsidR="00297C65" w:rsidRPr="00731B59">
        <w:rPr>
          <w:color w:val="auto"/>
        </w:rPr>
        <w:t xml:space="preserve"> </w:t>
      </w:r>
      <w:r w:rsidR="00297C65" w:rsidRPr="00297C65">
        <w:rPr>
          <w:color w:val="auto"/>
        </w:rPr>
        <w:t xml:space="preserve">seen from two </w:t>
      </w:r>
      <w:r w:rsidR="00A513D2">
        <w:rPr>
          <w:color w:val="auto"/>
        </w:rPr>
        <w:t xml:space="preserve">published </w:t>
      </w:r>
      <w:r w:rsidR="00297C65" w:rsidRPr="00297C65">
        <w:rPr>
          <w:color w:val="auto"/>
        </w:rPr>
        <w:t xml:space="preserve">retrospective studies. As a result, the base case analysis estimated the incremental cost of ABiC using a microcatheter versus micro-bypass stents to be </w:t>
      </w:r>
      <w:r w:rsidR="00297C65" w:rsidRPr="005E7EF9">
        <w:rPr>
          <w:color w:val="auto"/>
        </w:rPr>
        <w:t>$43</w:t>
      </w:r>
      <w:r w:rsidR="00297C65" w:rsidRPr="00DC4091">
        <w:rPr>
          <w:color w:val="auto"/>
        </w:rPr>
        <w:t xml:space="preserve"> </w:t>
      </w:r>
      <w:r w:rsidR="00297C65" w:rsidRPr="00297C65">
        <w:rPr>
          <w:color w:val="auto"/>
        </w:rPr>
        <w:t xml:space="preserve">for the standalone procedure, and </w:t>
      </w:r>
      <w:r w:rsidR="00297C65" w:rsidRPr="005E7EF9">
        <w:rPr>
          <w:color w:val="auto"/>
        </w:rPr>
        <w:t>$61</w:t>
      </w:r>
      <w:r w:rsidR="00297C65" w:rsidRPr="00460BE2">
        <w:rPr>
          <w:color w:val="auto"/>
        </w:rPr>
        <w:t xml:space="preserve"> </w:t>
      </w:r>
      <w:r w:rsidR="00297C65" w:rsidRPr="00297C65">
        <w:rPr>
          <w:color w:val="auto"/>
        </w:rPr>
        <w:t>for the procedure with concomitant cataract surgery.</w:t>
      </w:r>
      <w:r>
        <w:rPr>
          <w:color w:val="auto"/>
        </w:rPr>
        <w:t xml:space="preserve"> The model allowed for the microcatheter to have the same rate of reoperation as micro-bypass stents, but MSAC considered that the microcatheter reoperation rate may be higher in the long term due to </w:t>
      </w:r>
      <w:r w:rsidR="00E67AF9">
        <w:rPr>
          <w:color w:val="auto"/>
        </w:rPr>
        <w:t xml:space="preserve">the potential </w:t>
      </w:r>
      <w:r w:rsidR="00365826">
        <w:rPr>
          <w:color w:val="auto"/>
        </w:rPr>
        <w:t xml:space="preserve">use </w:t>
      </w:r>
      <w:r w:rsidR="00E67AF9">
        <w:rPr>
          <w:color w:val="auto"/>
        </w:rPr>
        <w:t xml:space="preserve">for </w:t>
      </w:r>
      <w:r>
        <w:rPr>
          <w:color w:val="auto"/>
        </w:rPr>
        <w:t>re</w:t>
      </w:r>
      <w:r w:rsidR="00E67AF9">
        <w:rPr>
          <w:color w:val="auto"/>
        </w:rPr>
        <w:t xml:space="preserve">peat </w:t>
      </w:r>
      <w:r>
        <w:rPr>
          <w:color w:val="auto"/>
        </w:rPr>
        <w:t xml:space="preserve">dilation. MSAC </w:t>
      </w:r>
      <w:r w:rsidR="00297C65">
        <w:rPr>
          <w:color w:val="auto"/>
        </w:rPr>
        <w:t xml:space="preserve">also </w:t>
      </w:r>
      <w:r>
        <w:rPr>
          <w:color w:val="auto"/>
        </w:rPr>
        <w:t xml:space="preserve">noted that the studies reported a wide range of </w:t>
      </w:r>
      <w:r w:rsidR="0093791D">
        <w:rPr>
          <w:color w:val="auto"/>
        </w:rPr>
        <w:t xml:space="preserve">rate of </w:t>
      </w:r>
      <w:r>
        <w:rPr>
          <w:color w:val="auto"/>
        </w:rPr>
        <w:t>reoperation, with severe glaucoma having a higher rate of reoperation than mild or moderate glaucoma.</w:t>
      </w:r>
      <w:r w:rsidR="007B200C" w:rsidRPr="007B200C">
        <w:rPr>
          <w:color w:val="auto"/>
        </w:rPr>
        <w:t xml:space="preserve"> </w:t>
      </w:r>
      <w:r w:rsidR="007B200C">
        <w:rPr>
          <w:color w:val="auto"/>
        </w:rPr>
        <w:t xml:space="preserve">Further, MSAC questioned whether a </w:t>
      </w:r>
      <w:r w:rsidR="007B200C">
        <w:rPr>
          <w:color w:val="auto"/>
        </w:rPr>
        <w:lastRenderedPageBreak/>
        <w:t xml:space="preserve">CMA </w:t>
      </w:r>
      <w:r w:rsidR="00A513D2">
        <w:rPr>
          <w:color w:val="auto"/>
        </w:rPr>
        <w:t xml:space="preserve">was </w:t>
      </w:r>
      <w:r w:rsidR="007B200C">
        <w:rPr>
          <w:color w:val="auto"/>
        </w:rPr>
        <w:t xml:space="preserve">appropriate given the uncertainty regarding the clinical place of ABiC using a microcatheter, including the likely potential that ABiC using a microcatheter may be used as a bridge to or adjunctive to (rather than substitute) implantation of a micro-bypass stent.  </w:t>
      </w:r>
    </w:p>
    <w:p w14:paraId="4E23DDC5" w14:textId="25C7AE90" w:rsidR="00297C65" w:rsidRPr="00A50E03" w:rsidRDefault="00297C65" w:rsidP="0091135D">
      <w:pPr>
        <w:pStyle w:val="Bullet"/>
        <w:numPr>
          <w:ilvl w:val="0"/>
          <w:numId w:val="0"/>
        </w:numPr>
        <w:tabs>
          <w:tab w:val="left" w:pos="720"/>
        </w:tabs>
        <w:spacing w:before="240" w:after="240"/>
        <w:rPr>
          <w:color w:val="FF0000"/>
        </w:rPr>
      </w:pPr>
      <w:r>
        <w:rPr>
          <w:color w:val="auto"/>
        </w:rPr>
        <w:t xml:space="preserve">MSAC noted another key driver of the model was the cost of the microcatheter. MSAC noted there was no justification presented as to why the cost of the microcatheter would be the same as that for micro-bypass stents. MSAC noted the applicant had proposed </w:t>
      </w:r>
      <w:r w:rsidR="00A513D2">
        <w:rPr>
          <w:color w:val="auto"/>
        </w:rPr>
        <w:t>to</w:t>
      </w:r>
      <w:r>
        <w:rPr>
          <w:color w:val="auto"/>
        </w:rPr>
        <w:t xml:space="preserve"> reduce </w:t>
      </w:r>
      <w:r w:rsidR="00A513D2">
        <w:rPr>
          <w:color w:val="auto"/>
        </w:rPr>
        <w:t xml:space="preserve">the </w:t>
      </w:r>
      <w:r>
        <w:rPr>
          <w:color w:val="auto"/>
        </w:rPr>
        <w:t xml:space="preserve">cost for the </w:t>
      </w:r>
      <w:r w:rsidRPr="005E7EF9">
        <w:rPr>
          <w:color w:val="auto"/>
        </w:rPr>
        <w:t xml:space="preserve">iTrack </w:t>
      </w:r>
      <w:r w:rsidRPr="00272BDE">
        <w:rPr>
          <w:color w:val="auto"/>
        </w:rPr>
        <w:t>microcatheter</w:t>
      </w:r>
      <w:r>
        <w:rPr>
          <w:color w:val="auto"/>
        </w:rPr>
        <w:t xml:space="preserve"> to </w:t>
      </w:r>
      <w:r w:rsidRPr="005E7EF9">
        <w:rPr>
          <w:color w:val="auto"/>
        </w:rPr>
        <w:t>$</w:t>
      </w:r>
      <w:r w:rsidR="00460BE2" w:rsidRPr="005E7EF9">
        <w:rPr>
          <w:b/>
          <w:bCs/>
          <w:color w:val="auto"/>
        </w:rPr>
        <w:t>redacted</w:t>
      </w:r>
      <w:r w:rsidRPr="005E7EF9">
        <w:rPr>
          <w:color w:val="auto"/>
        </w:rPr>
        <w:t>/unit</w:t>
      </w:r>
      <w:r>
        <w:rPr>
          <w:color w:val="auto"/>
        </w:rPr>
        <w:t xml:space="preserve"> which was equivalent to the PL benefit for the Hydrus and XEN micro-bypass stent and therefore would not achieve cost-neutrality. MSAC questioned why this could not be reduced further; if the cost of the microcatheter was to decrease by 20% </w:t>
      </w:r>
      <w:r w:rsidRPr="0078327D">
        <w:rPr>
          <w:color w:val="auto"/>
        </w:rPr>
        <w:t>(to $1,080)</w:t>
      </w:r>
      <w:r w:rsidRPr="00460BE2">
        <w:rPr>
          <w:color w:val="auto"/>
        </w:rPr>
        <w:t xml:space="preserve">, </w:t>
      </w:r>
      <w:r>
        <w:rPr>
          <w:color w:val="auto"/>
        </w:rPr>
        <w:t>the comparison would become favourable.</w:t>
      </w:r>
    </w:p>
    <w:p w14:paraId="101653A2" w14:textId="2E174905" w:rsidR="00886B19" w:rsidRDefault="00886B19" w:rsidP="0091135D">
      <w:pPr>
        <w:pStyle w:val="BulletBeforeDash"/>
        <w:numPr>
          <w:ilvl w:val="0"/>
          <w:numId w:val="0"/>
        </w:numPr>
        <w:tabs>
          <w:tab w:val="left" w:pos="720"/>
        </w:tabs>
        <w:spacing w:before="240" w:after="240"/>
        <w:rPr>
          <w:color w:val="auto"/>
        </w:rPr>
      </w:pPr>
      <w:r>
        <w:t xml:space="preserve">MSAC considered that incorporating ABiC using a microcatheter device in MBS item 42504 should not alter the impact on the MBS, as it would require the same surgeons that are needed for MIGS with micro-bypass stents; </w:t>
      </w:r>
      <w:r w:rsidR="0093791D">
        <w:t xml:space="preserve">use of </w:t>
      </w:r>
      <w:r>
        <w:t>this</w:t>
      </w:r>
      <w:r w:rsidR="0093791D">
        <w:t xml:space="preserve"> item</w:t>
      </w:r>
      <w:r>
        <w:t xml:space="preserve"> is currently restricted to approximately 50 specialised ophthalmologists already trained in MIGS. However, this is only</w:t>
      </w:r>
      <w:r w:rsidR="0093791D">
        <w:t xml:space="preserve"> applicable</w:t>
      </w:r>
      <w:r>
        <w:t xml:space="preserve"> if the rate of reintervention is not high, and MSAC considered this rate to be uncertain. MSAC also considered it likely that ABiC using a microcatheter device would require subsequent definitive surgery (</w:t>
      </w:r>
      <w:proofErr w:type="gramStart"/>
      <w:r>
        <w:t>i.e.</w:t>
      </w:r>
      <w:proofErr w:type="gramEnd"/>
      <w:r>
        <w:t xml:space="preserve"> trabeculectomy) if the disease were to progress.</w:t>
      </w:r>
    </w:p>
    <w:p w14:paraId="439314BD" w14:textId="4638945D" w:rsidR="00886B19" w:rsidRDefault="00886B19" w:rsidP="0091135D">
      <w:pPr>
        <w:pStyle w:val="BulletLast"/>
        <w:numPr>
          <w:ilvl w:val="0"/>
          <w:numId w:val="0"/>
        </w:numPr>
        <w:tabs>
          <w:tab w:val="left" w:pos="720"/>
        </w:tabs>
        <w:spacing w:before="240"/>
        <w:rPr>
          <w:color w:val="auto"/>
        </w:rPr>
      </w:pPr>
      <w:r>
        <w:rPr>
          <w:color w:val="auto"/>
        </w:rPr>
        <w:t xml:space="preserve">MSAC noted the estimated net cost to the MBS </w:t>
      </w:r>
      <w:r w:rsidRPr="005C3D2A">
        <w:rPr>
          <w:color w:val="auto"/>
        </w:rPr>
        <w:t>is $705.83–$1,104</w:t>
      </w:r>
      <w:r>
        <w:rPr>
          <w:color w:val="auto"/>
        </w:rPr>
        <w:t xml:space="preserve"> over 5 years for the standalone procedure, and $19,937–$31,219 over 5 years for the procedure with concomitant cataract surgery. MSAC noted the number of patients estimated to undergo ABiC using a microcatheter was based on the current utilisation of MBS item 42705 (micro-bypass stent insertion in conjunction with cataract surgery), as well as a 10% substitution for existing MIGS (this rate was defended by three glaucoma surgeons</w:t>
      </w:r>
      <w:r w:rsidR="005648DC">
        <w:rPr>
          <w:color w:val="auto"/>
        </w:rPr>
        <w:t xml:space="preserve"> in the pre-MSAC response</w:t>
      </w:r>
      <w:r>
        <w:rPr>
          <w:color w:val="auto"/>
        </w:rPr>
        <w:t xml:space="preserve">). However, MSAC considered the utilisation rate to be uncertain, as ABiC using a microcatheter </w:t>
      </w:r>
      <w:r w:rsidRPr="0078327D">
        <w:rPr>
          <w:color w:val="auto"/>
        </w:rPr>
        <w:t>is a technically challenging procedure</w:t>
      </w:r>
      <w:r w:rsidRPr="00460BE2">
        <w:rPr>
          <w:color w:val="auto"/>
        </w:rPr>
        <w:t xml:space="preserve"> that</w:t>
      </w:r>
      <w:r>
        <w:rPr>
          <w:color w:val="auto"/>
        </w:rPr>
        <w:t xml:space="preserve"> would only be performed by specialised surgeons. MSAC</w:t>
      </w:r>
      <w:r w:rsidR="007B200C">
        <w:rPr>
          <w:color w:val="auto"/>
        </w:rPr>
        <w:t xml:space="preserve"> considered that uncertainty in the clinical place, reoperation rates and choice of reintervention procedure created significant uncertainty in</w:t>
      </w:r>
      <w:r>
        <w:rPr>
          <w:color w:val="auto"/>
        </w:rPr>
        <w:t xml:space="preserve"> the utilisation and estimated financial impact to the MBS.</w:t>
      </w:r>
    </w:p>
    <w:p w14:paraId="7A0D533C" w14:textId="0F5C4FC6" w:rsidR="00747517" w:rsidRPr="00886B19" w:rsidRDefault="00886B19" w:rsidP="0091135D">
      <w:pPr>
        <w:pStyle w:val="BulletLast"/>
        <w:numPr>
          <w:ilvl w:val="0"/>
          <w:numId w:val="0"/>
        </w:numPr>
        <w:tabs>
          <w:tab w:val="left" w:pos="720"/>
        </w:tabs>
        <w:spacing w:before="240"/>
        <w:rPr>
          <w:color w:val="auto"/>
        </w:rPr>
      </w:pPr>
      <w:r>
        <w:rPr>
          <w:color w:val="auto"/>
        </w:rPr>
        <w:t xml:space="preserve">Overall, MSAC considered there was insufficient evidence to </w:t>
      </w:r>
      <w:r w:rsidR="00F83D65">
        <w:rPr>
          <w:color w:val="auto"/>
        </w:rPr>
        <w:t xml:space="preserve">demonstrate </w:t>
      </w:r>
      <w:r>
        <w:rPr>
          <w:color w:val="auto"/>
        </w:rPr>
        <w:t>that ABiC using a microcatheter device offered clear benefit in safety, effectiveness</w:t>
      </w:r>
      <w:r w:rsidR="00365826">
        <w:rPr>
          <w:color w:val="auto"/>
        </w:rPr>
        <w:t>, together with an increased</w:t>
      </w:r>
      <w:r w:rsidR="005648DC">
        <w:rPr>
          <w:color w:val="auto"/>
        </w:rPr>
        <w:t xml:space="preserve"> </w:t>
      </w:r>
      <w:r w:rsidR="00365826">
        <w:rPr>
          <w:color w:val="auto"/>
        </w:rPr>
        <w:t>need for</w:t>
      </w:r>
      <w:r>
        <w:rPr>
          <w:color w:val="auto"/>
        </w:rPr>
        <w:t xml:space="preserve"> reoperation compared to permanent implantable stents. MSAC also </w:t>
      </w:r>
      <w:r w:rsidR="005648DC">
        <w:rPr>
          <w:color w:val="auto"/>
        </w:rPr>
        <w:t>noted</w:t>
      </w:r>
      <w:r>
        <w:rPr>
          <w:color w:val="auto"/>
        </w:rPr>
        <w:t xml:space="preserve"> there are several MIGS options </w:t>
      </w:r>
      <w:r w:rsidR="005648DC">
        <w:rPr>
          <w:color w:val="auto"/>
        </w:rPr>
        <w:t xml:space="preserve">currently </w:t>
      </w:r>
      <w:r>
        <w:rPr>
          <w:color w:val="auto"/>
        </w:rPr>
        <w:t xml:space="preserve">available to patients. MSAC advised that issues with the clinical evidence, including uncertainty in the reintervention rate and the likely potential that ABiC using a microcatheter will be used adjunctive to (rather than substitute) insertion of micro-bypass stents, created significant uncertainty in the cost-effectiveness and financial estimates for the procedure. Additionally, </w:t>
      </w:r>
      <w:r w:rsidR="000820B1" w:rsidRPr="0078327D">
        <w:rPr>
          <w:color w:val="auto"/>
        </w:rPr>
        <w:t>as the cost of the microcatheter is likely to be borne as</w:t>
      </w:r>
      <w:r w:rsidR="00F83D65" w:rsidRPr="0078327D">
        <w:rPr>
          <w:color w:val="auto"/>
        </w:rPr>
        <w:t xml:space="preserve"> </w:t>
      </w:r>
      <w:r w:rsidR="000820B1" w:rsidRPr="0078327D">
        <w:rPr>
          <w:color w:val="auto"/>
        </w:rPr>
        <w:t>an</w:t>
      </w:r>
      <w:r w:rsidRPr="0078327D">
        <w:rPr>
          <w:color w:val="auto"/>
        </w:rPr>
        <w:t xml:space="preserve"> OOP costs </w:t>
      </w:r>
      <w:r w:rsidR="000820B1" w:rsidRPr="0078327D">
        <w:rPr>
          <w:color w:val="auto"/>
        </w:rPr>
        <w:t xml:space="preserve">by </w:t>
      </w:r>
      <w:r w:rsidRPr="0078327D">
        <w:rPr>
          <w:color w:val="auto"/>
        </w:rPr>
        <w:t>patients,</w:t>
      </w:r>
      <w:r>
        <w:rPr>
          <w:color w:val="auto"/>
        </w:rPr>
        <w:t xml:space="preserve"> MSAC considered there may only be a small group of patients </w:t>
      </w:r>
      <w:r w:rsidRPr="0078327D">
        <w:rPr>
          <w:color w:val="auto"/>
        </w:rPr>
        <w:t>who would choose this procedure</w:t>
      </w:r>
      <w:r w:rsidR="00243C58" w:rsidRPr="0078327D">
        <w:rPr>
          <w:color w:val="auto"/>
        </w:rPr>
        <w:t xml:space="preserve"> and concerns about potential OOP for patients was not outweighed</w:t>
      </w:r>
      <w:r w:rsidR="00243C58" w:rsidRPr="00460BE2">
        <w:rPr>
          <w:color w:val="auto"/>
        </w:rPr>
        <w:t xml:space="preserve"> </w:t>
      </w:r>
      <w:r w:rsidR="00243C58">
        <w:rPr>
          <w:color w:val="auto"/>
        </w:rPr>
        <w:t>by the lack of evidence of comparative safety and effectiveness</w:t>
      </w:r>
      <w:r>
        <w:rPr>
          <w:color w:val="auto"/>
        </w:rPr>
        <w:t>.</w:t>
      </w:r>
      <w:r w:rsidR="001F3097">
        <w:rPr>
          <w:color w:val="auto"/>
        </w:rPr>
        <w:t xml:space="preserve"> MSAC considered that any resubmission would require </w:t>
      </w:r>
      <w:r w:rsidR="001F3097" w:rsidRPr="0078327D">
        <w:rPr>
          <w:color w:val="auto"/>
        </w:rPr>
        <w:t>prospective comparative trial data (including outcomes such as medication effect, reintervention rates and procedures), revised clinical algorithm and supporting evidence to appropriately define the clinical place of ABiC using a microcatheter, along with updated economic model and financial estimates</w:t>
      </w:r>
      <w:r w:rsidR="001F3097" w:rsidRPr="00460BE2">
        <w:rPr>
          <w:color w:val="auto"/>
        </w:rPr>
        <w:t xml:space="preserve"> </w:t>
      </w:r>
      <w:r w:rsidR="001F3097">
        <w:rPr>
          <w:color w:val="auto"/>
        </w:rPr>
        <w:t xml:space="preserve">that reflect the clinical place of ABiC using a microcatheter. </w:t>
      </w:r>
    </w:p>
    <w:p w14:paraId="53FA4BDF" w14:textId="561FC7BA" w:rsidR="00B52FCF" w:rsidRPr="00747517" w:rsidRDefault="00747517" w:rsidP="00747517">
      <w:pPr>
        <w:pStyle w:val="Heading1"/>
        <w:spacing w:before="240" w:after="240"/>
        <w:rPr>
          <w:rFonts w:ascii="Arial" w:hAnsi="Arial" w:cs="Arial"/>
        </w:rPr>
      </w:pPr>
      <w:r>
        <w:rPr>
          <w:rFonts w:ascii="Arial" w:hAnsi="Arial" w:cs="Arial"/>
        </w:rPr>
        <w:lastRenderedPageBreak/>
        <w:t>4.</w:t>
      </w:r>
      <w:r>
        <w:rPr>
          <w:rFonts w:ascii="Arial" w:hAnsi="Arial" w:cs="Arial"/>
        </w:rPr>
        <w:tab/>
      </w:r>
      <w:r w:rsidR="00065623" w:rsidRPr="00747517">
        <w:rPr>
          <w:rFonts w:ascii="Arial" w:hAnsi="Arial" w:cs="Arial"/>
        </w:rPr>
        <w:t>Background</w:t>
      </w:r>
    </w:p>
    <w:p w14:paraId="1BAE1B0C" w14:textId="1D4EEAB6" w:rsidR="008A1674" w:rsidRDefault="008A1674" w:rsidP="008A1674">
      <w:r w:rsidRPr="00215FC5">
        <w:t>This is the first submission</w:t>
      </w:r>
      <w:r w:rsidR="00984C31" w:rsidRPr="00215FC5">
        <w:t xml:space="preserve"> (Department Contracted Assessment Report [DCAR])</w:t>
      </w:r>
      <w:r w:rsidR="00215FC5" w:rsidRPr="00215FC5">
        <w:t xml:space="preserve"> </w:t>
      </w:r>
      <w:r w:rsidR="007006BE">
        <w:t xml:space="preserve">to MSAC </w:t>
      </w:r>
      <w:r w:rsidR="002A29EA">
        <w:t xml:space="preserve">seeking MBS funding </w:t>
      </w:r>
      <w:r w:rsidR="007006BE">
        <w:t xml:space="preserve">for </w:t>
      </w:r>
      <w:r w:rsidR="00215FC5" w:rsidRPr="00215FC5">
        <w:rPr>
          <w:szCs w:val="24"/>
        </w:rPr>
        <w:t>ABiC using a microcatheter device to treat glaucoma.</w:t>
      </w:r>
      <w:r w:rsidR="00984C31" w:rsidRPr="00215FC5">
        <w:t xml:space="preserve"> </w:t>
      </w:r>
    </w:p>
    <w:p w14:paraId="0E62EDC2" w14:textId="021CAC16" w:rsidR="00984C31" w:rsidRDefault="00984C31" w:rsidP="006672D2">
      <w:pPr>
        <w:spacing w:before="240"/>
        <w:rPr>
          <w:iCs/>
        </w:rPr>
      </w:pPr>
      <w:r>
        <w:rPr>
          <w:iCs/>
        </w:rPr>
        <w:t>MSAC has previously considered and supported MBS listing of minimally invasive glaucoma surgical procedures, specifically micro-bypass glaucoma surgery (MBGS) with implantation of a drainage device (</w:t>
      </w:r>
      <w:proofErr w:type="gramStart"/>
      <w:r>
        <w:rPr>
          <w:iCs/>
        </w:rPr>
        <w:t>i.e.</w:t>
      </w:r>
      <w:proofErr w:type="gramEnd"/>
      <w:r>
        <w:rPr>
          <w:iCs/>
        </w:rPr>
        <w:t xml:space="preserve"> micro-bypass stent). </w:t>
      </w:r>
    </w:p>
    <w:p w14:paraId="55355D52" w14:textId="7E0776B7" w:rsidR="00984C31" w:rsidRPr="004B18DB" w:rsidRDefault="00984C31" w:rsidP="006672D2">
      <w:pPr>
        <w:widowControl w:val="0"/>
        <w:snapToGrid w:val="0"/>
        <w:spacing w:before="240"/>
        <w:rPr>
          <w:iCs/>
          <w:szCs w:val="24"/>
          <w:highlight w:val="yellow"/>
        </w:rPr>
      </w:pPr>
      <w:r w:rsidRPr="004B18DB">
        <w:rPr>
          <w:iCs/>
          <w:szCs w:val="24"/>
        </w:rPr>
        <w:t>In November 2017, MSAC supported MBS listing for the insertion of trabecular MBGS devices and suprachoroidal MBGS</w:t>
      </w:r>
      <w:r w:rsidR="002A29EA">
        <w:rPr>
          <w:rStyle w:val="FootnoteReference"/>
          <w:iCs/>
          <w:szCs w:val="24"/>
        </w:rPr>
        <w:footnoteReference w:id="3"/>
      </w:r>
      <w:r w:rsidRPr="004B18DB">
        <w:rPr>
          <w:iCs/>
          <w:szCs w:val="24"/>
        </w:rPr>
        <w:t xml:space="preserve"> devices (MSAC Applications </w:t>
      </w:r>
      <w:hyperlink r:id="rId10" w:history="1">
        <w:r w:rsidRPr="00066143">
          <w:rPr>
            <w:rStyle w:val="Hyperlink"/>
            <w:iCs/>
            <w:szCs w:val="24"/>
          </w:rPr>
          <w:t>1483</w:t>
        </w:r>
      </w:hyperlink>
      <w:r w:rsidRPr="004B18DB">
        <w:rPr>
          <w:iCs/>
          <w:szCs w:val="24"/>
        </w:rPr>
        <w:t xml:space="preserve"> and </w:t>
      </w:r>
      <w:hyperlink r:id="rId11" w:history="1">
        <w:r w:rsidRPr="00D35115">
          <w:rPr>
            <w:rStyle w:val="Hyperlink"/>
            <w:iCs/>
            <w:szCs w:val="24"/>
          </w:rPr>
          <w:t>1496</w:t>
        </w:r>
      </w:hyperlink>
      <w:r w:rsidRPr="004B18DB">
        <w:rPr>
          <w:iCs/>
          <w:szCs w:val="24"/>
        </w:rPr>
        <w:t xml:space="preserve">, respectively) for patients with open angle glaucoma undergoing concomitant cataract surgery. This resulted in </w:t>
      </w:r>
      <w:r w:rsidR="00F83D65">
        <w:rPr>
          <w:iCs/>
          <w:szCs w:val="24"/>
        </w:rPr>
        <w:t xml:space="preserve">MBS </w:t>
      </w:r>
      <w:r w:rsidRPr="004B18DB">
        <w:rPr>
          <w:iCs/>
          <w:szCs w:val="24"/>
        </w:rPr>
        <w:t xml:space="preserve">item 42705, initially allocated an interim item </w:t>
      </w:r>
      <w:proofErr w:type="gramStart"/>
      <w:r w:rsidRPr="004B18DB">
        <w:rPr>
          <w:iCs/>
          <w:szCs w:val="24"/>
        </w:rPr>
        <w:t>number</w:t>
      </w:r>
      <w:proofErr w:type="gramEnd"/>
      <w:r w:rsidRPr="004B18DB">
        <w:rPr>
          <w:iCs/>
          <w:szCs w:val="24"/>
        </w:rPr>
        <w:t xml:space="preserve"> and amended to a permanent listing on 1 November 2018. </w:t>
      </w:r>
    </w:p>
    <w:p w14:paraId="5D35D799" w14:textId="370205E7" w:rsidR="00984C31" w:rsidRPr="004B18DB" w:rsidRDefault="00984C31" w:rsidP="006672D2">
      <w:pPr>
        <w:widowControl w:val="0"/>
        <w:snapToGrid w:val="0"/>
        <w:spacing w:before="240"/>
        <w:rPr>
          <w:iCs/>
          <w:szCs w:val="24"/>
          <w:lang w:val="en-US"/>
        </w:rPr>
      </w:pPr>
      <w:r w:rsidRPr="004B18DB">
        <w:rPr>
          <w:iCs/>
          <w:szCs w:val="24"/>
        </w:rPr>
        <w:t xml:space="preserve">In August 2019, MSAC recommended a service for the insertion of trabecular MBGS devices in a standalone procedure (MSAC Application </w:t>
      </w:r>
      <w:hyperlink r:id="rId12" w:history="1">
        <w:r w:rsidRPr="00D35115">
          <w:rPr>
            <w:rStyle w:val="Hyperlink"/>
            <w:iCs/>
            <w:szCs w:val="24"/>
          </w:rPr>
          <w:t>1541</w:t>
        </w:r>
      </w:hyperlink>
      <w:r w:rsidRPr="004B18DB">
        <w:rPr>
          <w:iCs/>
          <w:szCs w:val="24"/>
        </w:rPr>
        <w:t xml:space="preserve">). </w:t>
      </w:r>
      <w:r w:rsidR="00F83D65">
        <w:rPr>
          <w:iCs/>
          <w:szCs w:val="24"/>
        </w:rPr>
        <w:t>MBS i</w:t>
      </w:r>
      <w:r w:rsidRPr="004B18DB">
        <w:rPr>
          <w:iCs/>
          <w:szCs w:val="24"/>
        </w:rPr>
        <w:t>tem 42504 was listed on 1 May 2020.</w:t>
      </w:r>
    </w:p>
    <w:p w14:paraId="483CBA0F" w14:textId="33BB68F0" w:rsidR="00984C31" w:rsidRDefault="002A29EA" w:rsidP="006672D2">
      <w:pPr>
        <w:spacing w:before="240"/>
      </w:pPr>
      <w:r>
        <w:t>MSAC application 1649 was</w:t>
      </w:r>
      <w:r w:rsidR="00FF00E6">
        <w:t xml:space="preserve"> subsequently</w:t>
      </w:r>
      <w:r>
        <w:t xml:space="preserve"> submitted to amend MBS item 42504</w:t>
      </w:r>
      <w:r w:rsidR="004752F8">
        <w:t xml:space="preserve"> (standalone MBGS procedure)</w:t>
      </w:r>
      <w:r>
        <w:t xml:space="preserve"> to include ABiC using a microcatheter </w:t>
      </w:r>
      <w:r w:rsidR="00FF00E6">
        <w:t xml:space="preserve">but did not </w:t>
      </w:r>
      <w:r w:rsidR="00DF4D38" w:rsidRPr="00F87054">
        <w:t>request amendment of MBS item 42705</w:t>
      </w:r>
      <w:r w:rsidR="00FF00E6">
        <w:t xml:space="preserve"> (MBGS </w:t>
      </w:r>
      <w:r w:rsidR="00DF4D38" w:rsidRPr="00F87054">
        <w:t>in conjunction with cataract surgery</w:t>
      </w:r>
      <w:r w:rsidR="00FF00E6">
        <w:t>)</w:t>
      </w:r>
      <w:r w:rsidR="004752F8">
        <w:t>. During development of the PICO Confirmation for MSAC application 1649, the applicant a</w:t>
      </w:r>
      <w:r>
        <w:t>dv</w:t>
      </w:r>
      <w:r w:rsidR="004752F8">
        <w:t>is</w:t>
      </w:r>
      <w:r>
        <w:t>e</w:t>
      </w:r>
      <w:r w:rsidR="004752F8">
        <w:t>d</w:t>
      </w:r>
      <w:r>
        <w:t xml:space="preserve"> </w:t>
      </w:r>
      <w:r>
        <w:rPr>
          <w:szCs w:val="24"/>
        </w:rPr>
        <w:t>that ABiC using a microcatheter is currently being performed in conjunction with cataract surgery under MBS item 42705</w:t>
      </w:r>
      <w:r w:rsidR="00DF4D38" w:rsidRPr="00F87054">
        <w:t xml:space="preserve">. </w:t>
      </w:r>
      <w:r w:rsidR="006E4A99" w:rsidRPr="00F87054">
        <w:t xml:space="preserve">As the use of </w:t>
      </w:r>
      <w:r w:rsidR="006E4A99">
        <w:t>ABiC</w:t>
      </w:r>
      <w:r w:rsidR="006E4A99" w:rsidRPr="00F87054">
        <w:t xml:space="preserve"> </w:t>
      </w:r>
      <w:r w:rsidR="006E4A99">
        <w:t>with</w:t>
      </w:r>
      <w:r w:rsidR="006E4A99" w:rsidRPr="00F87054">
        <w:t xml:space="preserve"> a microcatheter in conjunction with cataract surgery </w:t>
      </w:r>
      <w:r w:rsidR="006E4A99">
        <w:t xml:space="preserve">has </w:t>
      </w:r>
      <w:r w:rsidR="006E4A99" w:rsidRPr="00F87054">
        <w:t>not previously been considered by MSAC</w:t>
      </w:r>
      <w:r w:rsidR="006E4A99">
        <w:t xml:space="preserve"> (</w:t>
      </w:r>
      <w:proofErr w:type="gramStart"/>
      <w:r w:rsidR="006E4A99">
        <w:t>i.e.</w:t>
      </w:r>
      <w:proofErr w:type="gramEnd"/>
      <w:r w:rsidR="006E4A99">
        <w:t xml:space="preserve"> was not assessed as part of MSAC application 1483)</w:t>
      </w:r>
      <w:r w:rsidR="006E4A99" w:rsidRPr="00F87054">
        <w:t>, as per the ratified PICO</w:t>
      </w:r>
      <w:r w:rsidR="006E4A99">
        <w:t>,</w:t>
      </w:r>
      <w:r w:rsidR="006E4A99" w:rsidRPr="00F87054">
        <w:t xml:space="preserve"> it was agreed that </w:t>
      </w:r>
      <w:r w:rsidR="006E4A99">
        <w:t xml:space="preserve">MSAC application 1649 would assess the use of ABiC using a microcatheter as a standalone procedure and in conjunction with cataract surgery. </w:t>
      </w:r>
    </w:p>
    <w:p w14:paraId="4CB4FE7F" w14:textId="2A18D9E7" w:rsidR="00F7484F" w:rsidRPr="00747517" w:rsidRDefault="00747517" w:rsidP="00747517">
      <w:pPr>
        <w:pStyle w:val="Heading1"/>
        <w:spacing w:before="240" w:after="240"/>
        <w:rPr>
          <w:rFonts w:ascii="Arial" w:hAnsi="Arial" w:cs="Arial"/>
        </w:rPr>
      </w:pPr>
      <w:r>
        <w:rPr>
          <w:rFonts w:ascii="Arial" w:hAnsi="Arial" w:cs="Arial"/>
        </w:rPr>
        <w:t>5.</w:t>
      </w:r>
      <w:r>
        <w:rPr>
          <w:rFonts w:ascii="Arial" w:hAnsi="Arial" w:cs="Arial"/>
        </w:rPr>
        <w:tab/>
      </w:r>
      <w:r w:rsidR="00065623" w:rsidRPr="00747517">
        <w:rPr>
          <w:rFonts w:ascii="Arial" w:hAnsi="Arial" w:cs="Arial"/>
        </w:rPr>
        <w:t>Prerequisites to implementation of any funding advice</w:t>
      </w:r>
    </w:p>
    <w:p w14:paraId="2533F5BE" w14:textId="754634CF" w:rsidR="004B18DB" w:rsidRDefault="008A1674" w:rsidP="004B18DB">
      <w:r w:rsidRPr="004B18DB">
        <w:t xml:space="preserve">Items on the Australian Register of Therapeutic Goods (ARTG) that are relevant to this application are shown in </w:t>
      </w:r>
      <w:r w:rsidR="004B18DB" w:rsidRPr="004B18DB">
        <w:fldChar w:fldCharType="begin"/>
      </w:r>
      <w:r w:rsidR="004B18DB" w:rsidRPr="004B18DB">
        <w:instrText xml:space="preserve"> REF _Ref80613025 \h </w:instrText>
      </w:r>
      <w:r w:rsidR="004B18DB">
        <w:instrText xml:space="preserve"> \* MERGEFORMAT </w:instrText>
      </w:r>
      <w:r w:rsidR="004B18DB" w:rsidRPr="004B18DB">
        <w:fldChar w:fldCharType="separate"/>
      </w:r>
      <w:r w:rsidR="004B18DB" w:rsidRPr="004B18DB">
        <w:t xml:space="preserve">Table </w:t>
      </w:r>
      <w:r w:rsidR="004B18DB" w:rsidRPr="004B18DB">
        <w:rPr>
          <w:noProof/>
        </w:rPr>
        <w:t>1</w:t>
      </w:r>
      <w:r w:rsidR="004B18DB" w:rsidRPr="004B18DB">
        <w:fldChar w:fldCharType="end"/>
      </w:r>
      <w:r w:rsidR="004B18DB" w:rsidRPr="0078327D">
        <w:t xml:space="preserve">. Other microcatheter devices such as the OMNI Surgical system and VISCO630 system by </w:t>
      </w:r>
      <w:proofErr w:type="spellStart"/>
      <w:r w:rsidR="004B18DB" w:rsidRPr="0078327D">
        <w:t>SightSciences</w:t>
      </w:r>
      <w:proofErr w:type="spellEnd"/>
      <w:r w:rsidR="004B18DB" w:rsidRPr="0078327D">
        <w:t xml:space="preserve"> were not identified on the ARTG.</w:t>
      </w:r>
      <w:r w:rsidR="004B18DB" w:rsidRPr="00460BE2">
        <w:t xml:space="preserve"> </w:t>
      </w:r>
    </w:p>
    <w:p w14:paraId="556743FA" w14:textId="614FEA63" w:rsidR="004B18DB" w:rsidRPr="00F87054" w:rsidRDefault="004B18DB" w:rsidP="006672D2">
      <w:pPr>
        <w:pStyle w:val="Caption"/>
        <w:spacing w:before="240"/>
      </w:pPr>
      <w:bookmarkStart w:id="1" w:name="_Ref80613025"/>
      <w:bookmarkStart w:id="2" w:name="_Ref80613018"/>
      <w:bookmarkStart w:id="3" w:name="_Toc81257843"/>
      <w:r w:rsidRPr="00F87054">
        <w:t xml:space="preserve">Table </w:t>
      </w:r>
      <w:fldSimple w:instr=" SEQ Table \* ARABIC ">
        <w:r>
          <w:rPr>
            <w:noProof/>
          </w:rPr>
          <w:t>1</w:t>
        </w:r>
      </w:fldSimple>
      <w:bookmarkEnd w:id="1"/>
      <w:r w:rsidRPr="00F87054">
        <w:t xml:space="preserve"> </w:t>
      </w:r>
      <w:r w:rsidRPr="00F87054">
        <w:tab/>
        <w:t>Microcatheter devices included on the ARTG</w:t>
      </w:r>
      <w:bookmarkEnd w:id="2"/>
      <w:bookmarkEnd w:id="3"/>
    </w:p>
    <w:tbl>
      <w:tblPr>
        <w:tblStyle w:val="TableGrid"/>
        <w:tblW w:w="9072" w:type="dxa"/>
        <w:tblInd w:w="-5" w:type="dxa"/>
        <w:tblCellMar>
          <w:left w:w="28" w:type="dxa"/>
          <w:right w:w="28" w:type="dxa"/>
        </w:tblCellMar>
        <w:tblLook w:val="04A0" w:firstRow="1" w:lastRow="0" w:firstColumn="1" w:lastColumn="0" w:noHBand="0" w:noVBand="1"/>
        <w:tblCaption w:val="Table 1 Microcatheter devices included on the ARTG"/>
        <w:tblDescription w:val="Provides the ARTG listing for iTrack"/>
      </w:tblPr>
      <w:tblGrid>
        <w:gridCol w:w="1049"/>
        <w:gridCol w:w="1036"/>
        <w:gridCol w:w="1488"/>
        <w:gridCol w:w="1639"/>
        <w:gridCol w:w="3860"/>
      </w:tblGrid>
      <w:tr w:rsidR="00D35115" w:rsidRPr="00F87054" w14:paraId="3AFBF849" w14:textId="77777777" w:rsidTr="00D35115">
        <w:trPr>
          <w:tblHeader/>
        </w:trPr>
        <w:tc>
          <w:tcPr>
            <w:tcW w:w="1049" w:type="dxa"/>
          </w:tcPr>
          <w:p w14:paraId="75A7B25F" w14:textId="77777777" w:rsidR="00D35115" w:rsidRPr="00D35115" w:rsidRDefault="00D35115" w:rsidP="00D35115">
            <w:pPr>
              <w:pStyle w:val="Tabletextboldleft"/>
            </w:pPr>
            <w:r w:rsidRPr="00D35115">
              <w:t xml:space="preserve">ARTG no. </w:t>
            </w:r>
          </w:p>
        </w:tc>
        <w:tc>
          <w:tcPr>
            <w:tcW w:w="1036" w:type="dxa"/>
          </w:tcPr>
          <w:p w14:paraId="3D72DD93" w14:textId="0C631327" w:rsidR="00D35115" w:rsidRPr="00D35115" w:rsidRDefault="00D35115" w:rsidP="00D35115">
            <w:pPr>
              <w:pStyle w:val="Tabletextboldleft"/>
            </w:pPr>
            <w:r w:rsidRPr="00D35115">
              <w:t>Product</w:t>
            </w:r>
          </w:p>
        </w:tc>
        <w:tc>
          <w:tcPr>
            <w:tcW w:w="1488" w:type="dxa"/>
          </w:tcPr>
          <w:p w14:paraId="7AAB1C00" w14:textId="77777777" w:rsidR="00D35115" w:rsidRPr="00D35115" w:rsidRDefault="00D35115" w:rsidP="00D35115">
            <w:pPr>
              <w:pStyle w:val="Tabletextboldleft"/>
            </w:pPr>
            <w:r w:rsidRPr="00D35115">
              <w:t>Manufacturer</w:t>
            </w:r>
          </w:p>
        </w:tc>
        <w:tc>
          <w:tcPr>
            <w:tcW w:w="1639" w:type="dxa"/>
          </w:tcPr>
          <w:p w14:paraId="115E36C5" w14:textId="77777777" w:rsidR="00D35115" w:rsidRPr="00D35115" w:rsidRDefault="00D35115" w:rsidP="00D35115">
            <w:pPr>
              <w:pStyle w:val="Tabletextboldleft"/>
            </w:pPr>
            <w:r w:rsidRPr="00D35115">
              <w:t>Product category / GMDN</w:t>
            </w:r>
          </w:p>
        </w:tc>
        <w:tc>
          <w:tcPr>
            <w:tcW w:w="3860" w:type="dxa"/>
          </w:tcPr>
          <w:p w14:paraId="6667E653" w14:textId="77777777" w:rsidR="00D35115" w:rsidRPr="00D35115" w:rsidRDefault="00D35115" w:rsidP="00D35115">
            <w:pPr>
              <w:pStyle w:val="Tabletextboldleft"/>
            </w:pPr>
            <w:r w:rsidRPr="00D35115">
              <w:t>Intended purpose</w:t>
            </w:r>
          </w:p>
        </w:tc>
      </w:tr>
      <w:tr w:rsidR="00D35115" w:rsidRPr="00F87054" w14:paraId="64CF029F" w14:textId="77777777" w:rsidTr="00D35115">
        <w:tc>
          <w:tcPr>
            <w:tcW w:w="1049" w:type="dxa"/>
          </w:tcPr>
          <w:p w14:paraId="6F70E534" w14:textId="77777777" w:rsidR="00D35115" w:rsidRPr="0078327D" w:rsidRDefault="00D35115" w:rsidP="002A1331">
            <w:pPr>
              <w:pStyle w:val="Tabletext"/>
              <w:ind w:left="113"/>
            </w:pPr>
            <w:r w:rsidRPr="0078327D">
              <w:t>244570</w:t>
            </w:r>
          </w:p>
        </w:tc>
        <w:tc>
          <w:tcPr>
            <w:tcW w:w="1036" w:type="dxa"/>
          </w:tcPr>
          <w:p w14:paraId="5915F02E" w14:textId="2CD1E2B6" w:rsidR="00D35115" w:rsidRPr="0078327D" w:rsidRDefault="00D35115" w:rsidP="002A1331">
            <w:pPr>
              <w:pStyle w:val="Tabletext"/>
              <w:ind w:left="113"/>
            </w:pPr>
            <w:r w:rsidRPr="0078327D">
              <w:t>iTrack</w:t>
            </w:r>
          </w:p>
        </w:tc>
        <w:tc>
          <w:tcPr>
            <w:tcW w:w="1488" w:type="dxa"/>
          </w:tcPr>
          <w:p w14:paraId="39ABEAF4" w14:textId="2F9EA234" w:rsidR="00D35115" w:rsidRPr="0078327D" w:rsidRDefault="00D35115" w:rsidP="002A1331">
            <w:pPr>
              <w:pStyle w:val="Tabletext"/>
              <w:ind w:left="113"/>
            </w:pPr>
            <w:proofErr w:type="spellStart"/>
            <w:r w:rsidRPr="0078327D">
              <w:t>Ellex</w:t>
            </w:r>
            <w:proofErr w:type="spellEnd"/>
            <w:r w:rsidRPr="0078327D">
              <w:t xml:space="preserve"> </w:t>
            </w:r>
            <w:proofErr w:type="spellStart"/>
            <w:r w:rsidRPr="0078327D">
              <w:t>iScience</w:t>
            </w:r>
            <w:proofErr w:type="spellEnd"/>
            <w:r w:rsidRPr="0078327D">
              <w:t xml:space="preserve"> (iTrack) (parent company Nova Eye Medical)</w:t>
            </w:r>
          </w:p>
        </w:tc>
        <w:tc>
          <w:tcPr>
            <w:tcW w:w="1639" w:type="dxa"/>
          </w:tcPr>
          <w:p w14:paraId="13616F1B" w14:textId="77777777" w:rsidR="00D35115" w:rsidRPr="0078327D" w:rsidRDefault="00D35115" w:rsidP="002A1331">
            <w:pPr>
              <w:pStyle w:val="Tabletext"/>
              <w:ind w:left="113"/>
            </w:pPr>
            <w:r w:rsidRPr="0078327D">
              <w:t xml:space="preserve">Medical device (Class </w:t>
            </w:r>
            <w:proofErr w:type="spellStart"/>
            <w:r w:rsidRPr="0078327D">
              <w:t>IIa</w:t>
            </w:r>
            <w:proofErr w:type="spellEnd"/>
            <w:r w:rsidRPr="0078327D">
              <w:t>)</w:t>
            </w:r>
          </w:p>
        </w:tc>
        <w:tc>
          <w:tcPr>
            <w:tcW w:w="3860" w:type="dxa"/>
          </w:tcPr>
          <w:p w14:paraId="1BF017D5" w14:textId="77777777" w:rsidR="00D35115" w:rsidRPr="0078327D" w:rsidRDefault="00D35115" w:rsidP="002A1331">
            <w:pPr>
              <w:pStyle w:val="Tabletext"/>
              <w:ind w:left="113"/>
            </w:pPr>
            <w:r w:rsidRPr="0078327D">
              <w:t xml:space="preserve">Fluid infusion and aspiration during surgery, catheterisation and </w:t>
            </w:r>
            <w:proofErr w:type="spellStart"/>
            <w:r w:rsidRPr="0078327D">
              <w:t>viscodilation</w:t>
            </w:r>
            <w:proofErr w:type="spellEnd"/>
            <w:r w:rsidRPr="0078327D">
              <w:t xml:space="preserve"> of Schlemm’s canal, placement of a tensioning suture within the canal to reduce the IOP of patients with glaucoma</w:t>
            </w:r>
          </w:p>
        </w:tc>
      </w:tr>
    </w:tbl>
    <w:p w14:paraId="6FFDF71A" w14:textId="5DC56F38" w:rsidR="00B21DED" w:rsidRPr="00B21DED" w:rsidRDefault="00B21DED" w:rsidP="00066143">
      <w:pPr>
        <w:pStyle w:val="Tablenotes"/>
      </w:pPr>
      <w:r w:rsidRPr="00B21DED">
        <w:rPr>
          <w:color w:val="000000" w:themeColor="text1"/>
        </w:rPr>
        <w:t xml:space="preserve">Source: </w:t>
      </w:r>
      <w:hyperlink r:id="rId13" w:history="1">
        <w:r w:rsidRPr="00066143">
          <w:rPr>
            <w:rStyle w:val="Hyperlink"/>
            <w:iCs/>
          </w:rPr>
          <w:t>ARTG website</w:t>
        </w:r>
      </w:hyperlink>
      <w:r w:rsidRPr="00066143">
        <w:rPr>
          <w:iCs/>
          <w:color w:val="000000" w:themeColor="text1"/>
        </w:rPr>
        <w:t xml:space="preserve">, accessed </w:t>
      </w:r>
      <w:r w:rsidRPr="00066143">
        <w:rPr>
          <w:iCs/>
        </w:rPr>
        <w:t xml:space="preserve">29 July 2021 </w:t>
      </w:r>
    </w:p>
    <w:p w14:paraId="74A46919" w14:textId="77777777" w:rsidR="004B18DB" w:rsidRPr="00B21DED" w:rsidRDefault="004B18DB" w:rsidP="00066143">
      <w:pPr>
        <w:pStyle w:val="Tablenotes"/>
      </w:pPr>
      <w:r w:rsidRPr="00B21DED">
        <w:t>Abbreviations: ARTG = Australian Register of Therapeutic Goods, GMDN = Global Medical Device Nomenclature, IOP = intraocular pressure</w:t>
      </w:r>
    </w:p>
    <w:p w14:paraId="36E07551" w14:textId="7697EDE9" w:rsidR="008A6C0C" w:rsidRPr="00747517" w:rsidRDefault="00747517" w:rsidP="00747517">
      <w:pPr>
        <w:pStyle w:val="Heading1"/>
        <w:spacing w:before="240" w:after="240"/>
        <w:rPr>
          <w:rFonts w:ascii="Arial" w:hAnsi="Arial" w:cs="Arial"/>
        </w:rPr>
      </w:pPr>
      <w:r>
        <w:rPr>
          <w:rFonts w:ascii="Arial" w:hAnsi="Arial" w:cs="Arial"/>
        </w:rPr>
        <w:lastRenderedPageBreak/>
        <w:t>6.</w:t>
      </w:r>
      <w:r>
        <w:rPr>
          <w:rFonts w:ascii="Arial" w:hAnsi="Arial" w:cs="Arial"/>
        </w:rPr>
        <w:tab/>
      </w:r>
      <w:r w:rsidR="00065623" w:rsidRPr="00747517">
        <w:rPr>
          <w:rFonts w:ascii="Arial" w:hAnsi="Arial" w:cs="Arial"/>
        </w:rPr>
        <w:t>Proposal for public funding</w:t>
      </w:r>
    </w:p>
    <w:p w14:paraId="2295394B" w14:textId="20CD773A" w:rsidR="00AB400E" w:rsidRDefault="00D34258" w:rsidP="00D35115">
      <w:pPr>
        <w:rPr>
          <w:iCs/>
        </w:rPr>
      </w:pPr>
      <w:r w:rsidRPr="00F87054">
        <w:t xml:space="preserve">The applicant </w:t>
      </w:r>
      <w:r>
        <w:t>proposed amending the</w:t>
      </w:r>
      <w:r w:rsidRPr="00F87054">
        <w:t xml:space="preserve"> existing MBS item 42504</w:t>
      </w:r>
      <w:r>
        <w:t>,</w:t>
      </w:r>
      <w:r>
        <w:rPr>
          <w:u w:color="FF0000"/>
        </w:rPr>
        <w:t xml:space="preserve"> which is currently for </w:t>
      </w:r>
      <w:r w:rsidRPr="00F87054">
        <w:t>implantation of micro-bypass stents</w:t>
      </w:r>
      <w:r w:rsidRPr="00F87054" w:rsidDel="00D63A7A">
        <w:rPr>
          <w:u w:color="FF0000"/>
        </w:rPr>
        <w:t xml:space="preserve"> </w:t>
      </w:r>
      <w:r w:rsidRPr="00F87054">
        <w:rPr>
          <w:u w:color="FF0000"/>
        </w:rPr>
        <w:t>as a standalone procedure for the treatment of glaucoma,</w:t>
      </w:r>
      <w:r w:rsidRPr="00F87054">
        <w:t xml:space="preserve"> to include </w:t>
      </w:r>
      <w:r>
        <w:t>ABiC</w:t>
      </w:r>
      <w:r w:rsidRPr="00F87054">
        <w:t xml:space="preserve"> using a microcatheter device</w:t>
      </w:r>
      <w:r>
        <w:t xml:space="preserve"> as shown in</w:t>
      </w:r>
      <w:r w:rsidRPr="00F87054">
        <w:t xml:space="preserve"> </w:t>
      </w:r>
      <w:r w:rsidRPr="00F87054">
        <w:fldChar w:fldCharType="begin"/>
      </w:r>
      <w:r w:rsidRPr="00F87054">
        <w:instrText xml:space="preserve"> REF _Ref74140340 \h </w:instrText>
      </w:r>
      <w:r w:rsidRPr="00F87054">
        <w:fldChar w:fldCharType="separate"/>
      </w:r>
      <w:r w:rsidRPr="00F87054">
        <w:t xml:space="preserve">Table </w:t>
      </w:r>
      <w:r>
        <w:rPr>
          <w:noProof/>
        </w:rPr>
        <w:t>2</w:t>
      </w:r>
      <w:r w:rsidRPr="00F87054">
        <w:fldChar w:fldCharType="end"/>
      </w:r>
      <w:r w:rsidRPr="00F87054">
        <w:t>.</w:t>
      </w:r>
      <w:r w:rsidR="00AB400E" w:rsidRPr="00F12CC3">
        <w:rPr>
          <w:color w:val="000000" w:themeColor="text1"/>
        </w:rPr>
        <w:t xml:space="preserve"> </w:t>
      </w:r>
    </w:p>
    <w:p w14:paraId="73282301" w14:textId="3CF2FC68" w:rsidR="00DF4D38" w:rsidRDefault="00DF4D38" w:rsidP="006672D2">
      <w:pPr>
        <w:spacing w:before="240"/>
      </w:pPr>
      <w:r>
        <w:t xml:space="preserve">The item descriptor for </w:t>
      </w:r>
      <w:r w:rsidRPr="00F87054">
        <w:t xml:space="preserve">MBS item 42705, </w:t>
      </w:r>
      <w:r>
        <w:t>for</w:t>
      </w:r>
      <w:r w:rsidRPr="00F87054">
        <w:t xml:space="preserve"> implantation of micro-bypass stents performed in conjunction with cataract surgery</w:t>
      </w:r>
      <w:r>
        <w:t xml:space="preserve"> is shown in </w:t>
      </w:r>
      <w:r>
        <w:fldChar w:fldCharType="begin"/>
      </w:r>
      <w:r>
        <w:instrText xml:space="preserve"> REF _Ref74140155 \h </w:instrText>
      </w:r>
      <w:r>
        <w:fldChar w:fldCharType="separate"/>
      </w:r>
      <w:r w:rsidRPr="00F87054">
        <w:t xml:space="preserve">Table </w:t>
      </w:r>
      <w:r>
        <w:rPr>
          <w:noProof/>
        </w:rPr>
        <w:t>3</w:t>
      </w:r>
      <w:r>
        <w:fldChar w:fldCharType="end"/>
      </w:r>
      <w:r w:rsidRPr="00F87054">
        <w:t xml:space="preserve">. </w:t>
      </w:r>
      <w:r>
        <w:t xml:space="preserve">Although the </w:t>
      </w:r>
      <w:r w:rsidRPr="00F87054">
        <w:t xml:space="preserve">applicant did not request amendment of </w:t>
      </w:r>
      <w:r>
        <w:t xml:space="preserve">MBS item 420705 </w:t>
      </w:r>
      <w:r w:rsidRPr="00F87054">
        <w:t xml:space="preserve">to include </w:t>
      </w:r>
      <w:r>
        <w:t>ABiC</w:t>
      </w:r>
      <w:r w:rsidRPr="00F87054">
        <w:t xml:space="preserve"> using a microcatheter device</w:t>
      </w:r>
      <w:r w:rsidRPr="00D35115">
        <w:t>, as noted the safety and effectiveness ABiC using a microcatheter in this population has not</w:t>
      </w:r>
      <w:r>
        <w:t xml:space="preserve"> previously been considered by MSAC and has been included as</w:t>
      </w:r>
      <w:r w:rsidRPr="00F87054">
        <w:t xml:space="preserve"> part of this assessment.</w:t>
      </w:r>
    </w:p>
    <w:p w14:paraId="3C8FC1E6" w14:textId="6B84F88A" w:rsidR="00D34258" w:rsidRDefault="00D34258" w:rsidP="006672D2">
      <w:pPr>
        <w:pStyle w:val="Caption"/>
        <w:tabs>
          <w:tab w:val="left" w:pos="1134"/>
        </w:tabs>
        <w:spacing w:before="240"/>
      </w:pPr>
      <w:bookmarkStart w:id="4" w:name="_Ref74140340"/>
      <w:bookmarkStart w:id="5" w:name="_Toc81257831"/>
      <w:r w:rsidRPr="00F87054">
        <w:t xml:space="preserve">Table </w:t>
      </w:r>
      <w:fldSimple w:instr=" SEQ Table \* ARABIC ">
        <w:r>
          <w:rPr>
            <w:noProof/>
          </w:rPr>
          <w:t>2</w:t>
        </w:r>
      </w:fldSimple>
      <w:bookmarkEnd w:id="4"/>
      <w:r>
        <w:t xml:space="preserve">  </w:t>
      </w:r>
      <w:r w:rsidRPr="00F87054">
        <w:t>Proposed amendment to MBS item 42504 descriptor</w:t>
      </w:r>
      <w:bookmarkEnd w:id="5"/>
    </w:p>
    <w:tbl>
      <w:tblPr>
        <w:tblStyle w:val="TableGrid"/>
        <w:tblW w:w="5000" w:type="pct"/>
        <w:tblLook w:val="04A0" w:firstRow="1" w:lastRow="0" w:firstColumn="1" w:lastColumn="0" w:noHBand="0" w:noVBand="1"/>
        <w:tblCaption w:val="MBS item 42504"/>
        <w:tblDescription w:val="Category 3&#10;Glaucoma, implantation of a micro-bypass surgery stent system or insertion of a microcatheter into the trabecular meshwork, if:&#10;(a) conservative therapies have failed, are likely to fail, or are contraindicated; and&#10;(b) the service is performed by a specialist with training that is recognised by the Conjoint Committee for the Recognition of Training in Micro-Bypass Glaucoma Surgery&#10;&#10;Fee: $310.15 Benefit: 75% = $232.65 85% = $263.65&#10;"/>
      </w:tblPr>
      <w:tblGrid>
        <w:gridCol w:w="9016"/>
      </w:tblGrid>
      <w:tr w:rsidR="00D34258" w:rsidRPr="00F87054" w14:paraId="73A1FE5D" w14:textId="77777777" w:rsidTr="00D34258">
        <w:tc>
          <w:tcPr>
            <w:tcW w:w="5000" w:type="pct"/>
          </w:tcPr>
          <w:p w14:paraId="1294DAFE" w14:textId="77777777" w:rsidR="00D34258" w:rsidRPr="00F87054" w:rsidRDefault="00D34258" w:rsidP="002A1331">
            <w:pPr>
              <w:pStyle w:val="Tabletext"/>
            </w:pPr>
            <w:r w:rsidRPr="00F87054">
              <w:t>Category 3</w:t>
            </w:r>
          </w:p>
        </w:tc>
      </w:tr>
      <w:tr w:rsidR="00D34258" w:rsidRPr="00F87054" w14:paraId="34228D8C" w14:textId="77777777" w:rsidTr="00D34258">
        <w:tc>
          <w:tcPr>
            <w:tcW w:w="5000" w:type="pct"/>
          </w:tcPr>
          <w:p w14:paraId="28A8298D" w14:textId="77777777" w:rsidR="00D34258" w:rsidRPr="00F87054" w:rsidRDefault="00D34258" w:rsidP="002A1331">
            <w:pPr>
              <w:pStyle w:val="Tabletext"/>
              <w:rPr>
                <w:b/>
              </w:rPr>
            </w:pPr>
            <w:r w:rsidRPr="00F87054">
              <w:rPr>
                <w:b/>
              </w:rPr>
              <w:t>MBS item 42504</w:t>
            </w:r>
          </w:p>
          <w:p w14:paraId="5FD92A36" w14:textId="77777777" w:rsidR="00D34258" w:rsidRPr="00D34258" w:rsidRDefault="00D34258" w:rsidP="00D34258">
            <w:pPr>
              <w:pStyle w:val="Tabletext"/>
              <w:rPr>
                <w:color w:val="0000FF"/>
              </w:rPr>
            </w:pPr>
            <w:r>
              <w:t xml:space="preserve">Glaucoma, </w:t>
            </w:r>
            <w:r w:rsidRPr="00D34258">
              <w:rPr>
                <w:color w:val="0000FF"/>
              </w:rPr>
              <w:t>minimally invasive surgery of the trabecular meshwork involving</w:t>
            </w:r>
          </w:p>
          <w:p w14:paraId="2935454A" w14:textId="77777777" w:rsidR="00D34258" w:rsidRPr="00D34258" w:rsidRDefault="00D34258" w:rsidP="00D34258">
            <w:pPr>
              <w:pStyle w:val="Tabletext"/>
              <w:rPr>
                <w:color w:val="0000FF"/>
              </w:rPr>
            </w:pPr>
            <w:r w:rsidRPr="00D34258">
              <w:rPr>
                <w:color w:val="0000FF"/>
              </w:rPr>
              <w:t>(</w:t>
            </w:r>
            <w:proofErr w:type="spellStart"/>
            <w:r w:rsidRPr="00D34258">
              <w:rPr>
                <w:color w:val="0000FF"/>
              </w:rPr>
              <w:t>i</w:t>
            </w:r>
            <w:proofErr w:type="spellEnd"/>
            <w:r w:rsidRPr="00D34258">
              <w:rPr>
                <w:color w:val="0000FF"/>
              </w:rPr>
              <w:t>) implantation of a micro</w:t>
            </w:r>
            <w:r w:rsidRPr="00D34258">
              <w:rPr>
                <w:color w:val="0000FF"/>
              </w:rPr>
              <w:noBreakHyphen/>
              <w:t>bypass surgery stent system; or</w:t>
            </w:r>
          </w:p>
          <w:p w14:paraId="28DFEF8A" w14:textId="71CEF222" w:rsidR="00D34258" w:rsidRPr="00F87054" w:rsidRDefault="00D34258" w:rsidP="006672D2">
            <w:pPr>
              <w:pStyle w:val="Tabletext"/>
              <w:spacing w:before="240" w:after="240"/>
            </w:pPr>
            <w:r w:rsidRPr="00D34258">
              <w:rPr>
                <w:color w:val="0000FF"/>
              </w:rPr>
              <w:t xml:space="preserve">(ii) insertion of a microcatheter, with administration of a viscoelastic solution </w:t>
            </w:r>
            <w:r w:rsidRPr="00D34258">
              <w:rPr>
                <w:strike/>
              </w:rPr>
              <w:t xml:space="preserve">implantation of a micro-bypass surgery stent system </w:t>
            </w:r>
            <w:r w:rsidRPr="00D34258">
              <w:rPr>
                <w:strike/>
                <w:color w:val="FF0000"/>
              </w:rPr>
              <w:t xml:space="preserve">or insertion of a microcatheter </w:t>
            </w:r>
            <w:r w:rsidRPr="00D34258">
              <w:rPr>
                <w:strike/>
              </w:rPr>
              <w:t>into the trabecular meshwork</w:t>
            </w:r>
            <w:r>
              <w:t xml:space="preserve">, </w:t>
            </w:r>
            <w:r w:rsidRPr="00AB400E">
              <w:rPr>
                <w:color w:val="0000FF"/>
              </w:rPr>
              <w:t>if:</w:t>
            </w:r>
          </w:p>
          <w:p w14:paraId="2C81D633" w14:textId="71126AD3" w:rsidR="00D34258" w:rsidRPr="00F87054" w:rsidRDefault="00D34258" w:rsidP="006672D2">
            <w:pPr>
              <w:pStyle w:val="Tabletext"/>
              <w:spacing w:before="240" w:after="240"/>
            </w:pPr>
            <w:r>
              <w:t>(a)</w:t>
            </w:r>
            <w:r w:rsidRPr="00F87054">
              <w:t>conservative therapies have failed, are likely to fail, or are contraindicated; and</w:t>
            </w:r>
          </w:p>
          <w:p w14:paraId="71808737" w14:textId="628B5F92" w:rsidR="00D34258" w:rsidRPr="00F87054" w:rsidRDefault="00D34258" w:rsidP="002A1331">
            <w:pPr>
              <w:pStyle w:val="Tabletext"/>
            </w:pPr>
            <w:r w:rsidRPr="00F87054">
              <w:t>(b) the service is performed by a specialist with training that is recognised by the Conjoint Committee for the Recognition of Training in Micro-Bypass Glaucoma Surgery</w:t>
            </w:r>
          </w:p>
          <w:p w14:paraId="5429DB18" w14:textId="17DE5DBA" w:rsidR="00D34258" w:rsidRPr="006672D2" w:rsidRDefault="00D34258" w:rsidP="006672D2">
            <w:pPr>
              <w:pStyle w:val="Tabletext"/>
              <w:spacing w:before="240" w:after="240"/>
              <w:rPr>
                <w:b/>
              </w:rPr>
            </w:pPr>
            <w:r w:rsidRPr="00F87054">
              <w:rPr>
                <w:b/>
              </w:rPr>
              <w:t>Multiple Operation Rule</w:t>
            </w:r>
          </w:p>
          <w:p w14:paraId="44F1F5D3" w14:textId="659BA7DB" w:rsidR="00D34258" w:rsidRPr="00F87054" w:rsidRDefault="00D34258" w:rsidP="002A1331">
            <w:pPr>
              <w:pStyle w:val="Tabletext"/>
            </w:pPr>
            <w:r w:rsidRPr="00F87054">
              <w:t>(</w:t>
            </w:r>
            <w:proofErr w:type="spellStart"/>
            <w:r w:rsidRPr="00F87054">
              <w:t>Anaes</w:t>
            </w:r>
            <w:proofErr w:type="spellEnd"/>
            <w:r w:rsidRPr="00F87054">
              <w:t>.)</w:t>
            </w:r>
          </w:p>
          <w:p w14:paraId="2192F83A" w14:textId="1F837A4A" w:rsidR="00D34258" w:rsidRPr="006672D2" w:rsidRDefault="00D34258" w:rsidP="006672D2">
            <w:pPr>
              <w:pStyle w:val="Tabletext"/>
              <w:spacing w:before="240" w:after="240"/>
            </w:pPr>
            <w:r w:rsidRPr="00F87054">
              <w:t>Fee: $312.95 Benefit: 75% = $234.75 85% = $266.05</w:t>
            </w:r>
          </w:p>
          <w:p w14:paraId="04C5D254" w14:textId="11F73AC8" w:rsidR="00D34258" w:rsidRPr="006672D2" w:rsidRDefault="00D34258" w:rsidP="002A1331">
            <w:pPr>
              <w:pStyle w:val="Tabletext"/>
              <w:rPr>
                <w:u w:val="dotted" w:color="FF0000"/>
              </w:rPr>
            </w:pPr>
            <w:r w:rsidRPr="00F87054">
              <w:rPr>
                <w:b/>
                <w:u w:val="dotted" w:color="FF0000"/>
              </w:rPr>
              <w:t>Extended Medicare Safety Net Cap</w:t>
            </w:r>
            <w:r w:rsidRPr="00F87054">
              <w:rPr>
                <w:u w:val="dotted" w:color="FF0000"/>
              </w:rPr>
              <w:t>: $46.95</w:t>
            </w:r>
          </w:p>
        </w:tc>
      </w:tr>
    </w:tbl>
    <w:p w14:paraId="5DA73028" w14:textId="77777777" w:rsidR="00D35115" w:rsidRDefault="00B21DED" w:rsidP="00066143">
      <w:pPr>
        <w:pStyle w:val="Tablenotes"/>
      </w:pPr>
      <w:r w:rsidRPr="00D35115" w:rsidDel="00267CC7">
        <w:t>Source:</w:t>
      </w:r>
      <w:r w:rsidR="00D35115" w:rsidRPr="00D35115">
        <w:t xml:space="preserve"> Table</w:t>
      </w:r>
      <w:r w:rsidR="00D35115">
        <w:t xml:space="preserve"> 15, p37 of the DCAR with </w:t>
      </w:r>
      <w:r w:rsidR="00D34258" w:rsidRPr="00B21DED">
        <w:t xml:space="preserve">applicant proposed </w:t>
      </w:r>
      <w:r w:rsidR="00D35115">
        <w:t xml:space="preserve">amendments in </w:t>
      </w:r>
      <w:r w:rsidR="00D35115" w:rsidRPr="00D35115">
        <w:rPr>
          <w:color w:val="FF0000"/>
        </w:rPr>
        <w:t xml:space="preserve">red text </w:t>
      </w:r>
      <w:r w:rsidR="00D35115">
        <w:t xml:space="preserve">and Department proposed amendments in </w:t>
      </w:r>
      <w:r w:rsidR="00D35115" w:rsidRPr="00D35115">
        <w:rPr>
          <w:color w:val="0000FF"/>
        </w:rPr>
        <w:t>b</w:t>
      </w:r>
      <w:r w:rsidR="00D34258" w:rsidRPr="00B21DED">
        <w:rPr>
          <w:color w:val="0000FF"/>
        </w:rPr>
        <w:t xml:space="preserve">lue text </w:t>
      </w:r>
      <w:r w:rsidR="00D34258" w:rsidRPr="00B21DED">
        <w:t xml:space="preserve">and strikethrough indicates amendment suggested by the Department.  </w:t>
      </w:r>
    </w:p>
    <w:p w14:paraId="3974FF6A" w14:textId="09D223D0" w:rsidR="00B21DED" w:rsidRPr="006672D2" w:rsidRDefault="00D35115" w:rsidP="00066143">
      <w:pPr>
        <w:pStyle w:val="Tablenotes"/>
        <w:rPr>
          <w:bCs/>
          <w:snapToGrid/>
        </w:rPr>
      </w:pPr>
      <w:r>
        <w:t xml:space="preserve">Note: </w:t>
      </w:r>
      <w:r w:rsidR="00D34258" w:rsidRPr="00B21DED">
        <w:rPr>
          <w:rStyle w:val="TablenotesChar"/>
          <w:bCs/>
        </w:rPr>
        <w:t>Fee values ($) updated as of July 1</w:t>
      </w:r>
      <w:r w:rsidR="00D34258" w:rsidRPr="00B21DED">
        <w:rPr>
          <w:rStyle w:val="TablenotesChar"/>
          <w:bCs/>
          <w:vertAlign w:val="superscript"/>
        </w:rPr>
        <w:t>st</w:t>
      </w:r>
      <w:proofErr w:type="gramStart"/>
      <w:r w:rsidR="00D34258" w:rsidRPr="00B21DED">
        <w:rPr>
          <w:rStyle w:val="TablenotesChar"/>
          <w:bCs/>
        </w:rPr>
        <w:t xml:space="preserve"> 2021</w:t>
      </w:r>
      <w:proofErr w:type="gramEnd"/>
      <w:r w:rsidR="00D34258" w:rsidRPr="00B21DED">
        <w:rPr>
          <w:rStyle w:val="TablenotesChar"/>
          <w:bCs/>
        </w:rPr>
        <w:t xml:space="preserve">. </w:t>
      </w:r>
    </w:p>
    <w:p w14:paraId="0B052EC4" w14:textId="77777777" w:rsidR="00DF4D38" w:rsidRPr="00F87054" w:rsidRDefault="00DF4D38" w:rsidP="006672D2">
      <w:pPr>
        <w:pStyle w:val="Caption"/>
        <w:tabs>
          <w:tab w:val="left" w:pos="1134"/>
        </w:tabs>
        <w:spacing w:before="240"/>
        <w:ind w:left="1134" w:hanging="1134"/>
      </w:pPr>
      <w:bookmarkStart w:id="6" w:name="_Ref74140155"/>
      <w:bookmarkStart w:id="7" w:name="_Toc81257832"/>
      <w:r w:rsidRPr="00F87054">
        <w:t xml:space="preserve">Table </w:t>
      </w:r>
      <w:fldSimple w:instr=" SEQ Table \* ARABIC ">
        <w:r>
          <w:rPr>
            <w:noProof/>
          </w:rPr>
          <w:t>3</w:t>
        </w:r>
      </w:fldSimple>
      <w:bookmarkEnd w:id="6"/>
      <w:r w:rsidRPr="00F87054">
        <w:tab/>
        <w:t>MBS item 42705 descriptor</w:t>
      </w:r>
      <w:bookmarkEnd w:id="7"/>
    </w:p>
    <w:tbl>
      <w:tblPr>
        <w:tblStyle w:val="TableGrid"/>
        <w:tblW w:w="5000" w:type="pct"/>
        <w:tblLook w:val="04A0" w:firstRow="1" w:lastRow="0" w:firstColumn="1" w:lastColumn="0" w:noHBand="0" w:noVBand="1"/>
        <w:tblCaption w:val="MBS item 42705"/>
        <w:tblDescription w:val="LENS EXTRACTION AND INSERTION OF INTRAOCULAR LENS, excluding surgery performed for the correction of refractive error except for anisometropia greater than 3 dioptres following the removal of cataract in the first eye, performed in association with insertion of a trans-trabecular drainage device or devices, in a patient diagnosed with open angle glaucoma who is not adequately responsive to topical anti-glaucoma medications or who is intolerant of anti-glaucoma medication.&#10;Fee: $939.60 Benefit: 75% = $704.70 85% = $854.90&#10;"/>
      </w:tblPr>
      <w:tblGrid>
        <w:gridCol w:w="9016"/>
      </w:tblGrid>
      <w:tr w:rsidR="00DF4D38" w:rsidRPr="00F87054" w14:paraId="06AF0F88" w14:textId="77777777" w:rsidTr="002A1331">
        <w:trPr>
          <w:cantSplit/>
          <w:tblHeader/>
        </w:trPr>
        <w:tc>
          <w:tcPr>
            <w:tcW w:w="5000" w:type="pct"/>
          </w:tcPr>
          <w:p w14:paraId="60DFD9B0" w14:textId="77777777" w:rsidR="00DF4D38" w:rsidRPr="00F87054" w:rsidRDefault="00DF4D38" w:rsidP="002A1331">
            <w:pPr>
              <w:pStyle w:val="Tabletext"/>
            </w:pPr>
            <w:r w:rsidRPr="00F87054">
              <w:t>Category 3</w:t>
            </w:r>
          </w:p>
        </w:tc>
      </w:tr>
      <w:tr w:rsidR="00DF4D38" w:rsidRPr="00F87054" w14:paraId="297E2689" w14:textId="77777777" w:rsidTr="002A1331">
        <w:trPr>
          <w:cantSplit/>
          <w:tblHeader/>
        </w:trPr>
        <w:tc>
          <w:tcPr>
            <w:tcW w:w="5000" w:type="pct"/>
          </w:tcPr>
          <w:p w14:paraId="04F378AD" w14:textId="77777777" w:rsidR="00DF4D38" w:rsidRPr="00F87054" w:rsidRDefault="00DF4D38" w:rsidP="002A1331">
            <w:pPr>
              <w:pStyle w:val="Tabletext"/>
              <w:rPr>
                <w:b/>
                <w:u w:color="FF0000"/>
              </w:rPr>
            </w:pPr>
            <w:r w:rsidRPr="00F87054">
              <w:rPr>
                <w:b/>
                <w:u w:color="FF0000"/>
              </w:rPr>
              <w:t>MBS item 42705</w:t>
            </w:r>
          </w:p>
          <w:p w14:paraId="5E241F83" w14:textId="47B3848E" w:rsidR="00DF4D38" w:rsidRPr="006672D2" w:rsidRDefault="00DF4D38" w:rsidP="002A1331">
            <w:pPr>
              <w:pStyle w:val="Tabletext"/>
              <w:rPr>
                <w:u w:color="FF0000"/>
              </w:rPr>
            </w:pPr>
            <w:r w:rsidRPr="00F87054">
              <w:rPr>
                <w:u w:color="FF0000"/>
              </w:rPr>
              <w:t>LENS EXTRACTION AND INSERTION OF INTRAOCULAR LENS, excluding surgery performed for the correction of refractive error except for anisometropia greater than 3 dioptres following the removal of cataract in the first eye, performed in association with insertion of a trans-trabecular drainage device or devices, in a patient diagnosed with open angle glaucoma who is not adequately responsive to topical antiglaucoma medications or who is intolerant of antiglaucoma medication.</w:t>
            </w:r>
          </w:p>
          <w:p w14:paraId="0287644E" w14:textId="4CF11F51" w:rsidR="00DF4D38" w:rsidRPr="006672D2" w:rsidRDefault="00DF4D38" w:rsidP="006672D2">
            <w:pPr>
              <w:pStyle w:val="Tabletext"/>
              <w:spacing w:before="240" w:after="240"/>
              <w:rPr>
                <w:b/>
              </w:rPr>
            </w:pPr>
            <w:r w:rsidRPr="00F87054">
              <w:rPr>
                <w:b/>
              </w:rPr>
              <w:t>Multiple Operation Rule</w:t>
            </w:r>
          </w:p>
          <w:p w14:paraId="1CF88DF7" w14:textId="26AF10B0" w:rsidR="00DF4D38" w:rsidRPr="006672D2" w:rsidRDefault="00DF4D38" w:rsidP="002A1331">
            <w:pPr>
              <w:pStyle w:val="Tabletext"/>
            </w:pPr>
            <w:r w:rsidRPr="00F87054">
              <w:t>(</w:t>
            </w:r>
            <w:proofErr w:type="spellStart"/>
            <w:r w:rsidRPr="00F87054">
              <w:t>Anaes</w:t>
            </w:r>
            <w:proofErr w:type="spellEnd"/>
            <w:r w:rsidRPr="00F87054">
              <w:t>.)</w:t>
            </w:r>
          </w:p>
          <w:p w14:paraId="533428E5" w14:textId="25200A4E" w:rsidR="00DF4D38" w:rsidRPr="00F87054" w:rsidRDefault="00DF4D38" w:rsidP="006672D2">
            <w:pPr>
              <w:pStyle w:val="Tabletext"/>
              <w:spacing w:before="240" w:after="240"/>
              <w:rPr>
                <w:u w:val="dotted" w:color="FF0000"/>
              </w:rPr>
            </w:pPr>
            <w:r w:rsidRPr="00F87054">
              <w:rPr>
                <w:u w:val="dotted" w:color="FF0000"/>
              </w:rPr>
              <w:t>Fee: $948.05 Benefit: 75% = $711.05 85% = $863.35</w:t>
            </w:r>
          </w:p>
          <w:p w14:paraId="1311B5F5" w14:textId="77777777" w:rsidR="00DF4D38" w:rsidRPr="00F87054" w:rsidRDefault="00DF4D38" w:rsidP="002A1331">
            <w:pPr>
              <w:pStyle w:val="Tabletext"/>
              <w:rPr>
                <w:u w:val="dotted" w:color="FF0000"/>
              </w:rPr>
            </w:pPr>
            <w:r w:rsidRPr="00F87054">
              <w:rPr>
                <w:b/>
                <w:u w:val="dotted" w:color="FF0000"/>
              </w:rPr>
              <w:t>Extended Medicare Safety Net Cap</w:t>
            </w:r>
            <w:r w:rsidRPr="00F87054">
              <w:rPr>
                <w:u w:val="dotted" w:color="FF0000"/>
              </w:rPr>
              <w:t>: $142.25</w:t>
            </w:r>
          </w:p>
        </w:tc>
      </w:tr>
    </w:tbl>
    <w:p w14:paraId="671F177C" w14:textId="1A12F1E9" w:rsidR="00B21DED" w:rsidRPr="00B21DED" w:rsidDel="00267CC7" w:rsidRDefault="00B21DED" w:rsidP="00066143">
      <w:pPr>
        <w:pStyle w:val="Tablenotes"/>
      </w:pPr>
      <w:r w:rsidRPr="00D35115" w:rsidDel="00267CC7">
        <w:t xml:space="preserve">Source: </w:t>
      </w:r>
      <w:r w:rsidR="00D35115" w:rsidRPr="00D35115">
        <w:t xml:space="preserve">Table 16, </w:t>
      </w:r>
      <w:proofErr w:type="spellStart"/>
      <w:r w:rsidR="00D35115" w:rsidRPr="00D35115">
        <w:t>pg</w:t>
      </w:r>
      <w:proofErr w:type="spellEnd"/>
      <w:r w:rsidR="00D35115" w:rsidRPr="00D35115">
        <w:t xml:space="preserve"> 37 of the DCAR.</w:t>
      </w:r>
    </w:p>
    <w:p w14:paraId="14B718E8" w14:textId="5F60DA2C" w:rsidR="00DE4F24" w:rsidRPr="006672D2" w:rsidRDefault="00DF4D38" w:rsidP="00066143">
      <w:pPr>
        <w:pStyle w:val="Tablenotes"/>
        <w:rPr>
          <w:bCs/>
          <w:snapToGrid/>
        </w:rPr>
      </w:pPr>
      <w:r w:rsidRPr="00B21DED">
        <w:t xml:space="preserve">Notes: </w:t>
      </w:r>
      <w:r w:rsidRPr="00B21DED">
        <w:rPr>
          <w:rStyle w:val="TablenotesChar"/>
          <w:bCs/>
        </w:rPr>
        <w:t>Fee values ($) updated as of July 1</w:t>
      </w:r>
      <w:r w:rsidRPr="00B21DED">
        <w:rPr>
          <w:rStyle w:val="TablenotesChar"/>
          <w:bCs/>
          <w:vertAlign w:val="superscript"/>
        </w:rPr>
        <w:t>st</w:t>
      </w:r>
      <w:proofErr w:type="gramStart"/>
      <w:r w:rsidRPr="00B21DED">
        <w:rPr>
          <w:rStyle w:val="TablenotesChar"/>
          <w:bCs/>
        </w:rPr>
        <w:t xml:space="preserve"> 2021</w:t>
      </w:r>
      <w:proofErr w:type="gramEnd"/>
      <w:r w:rsidRPr="00B21DED">
        <w:rPr>
          <w:rStyle w:val="TablenotesChar"/>
          <w:bCs/>
        </w:rPr>
        <w:t xml:space="preserve">. </w:t>
      </w:r>
    </w:p>
    <w:p w14:paraId="25A53313" w14:textId="77777777" w:rsidR="00DE4F24" w:rsidRPr="00DE4F24" w:rsidRDefault="00DE4F24" w:rsidP="006672D2">
      <w:pPr>
        <w:pStyle w:val="Heading2"/>
        <w:spacing w:before="240"/>
      </w:pPr>
      <w:r w:rsidRPr="00DE4F24">
        <w:lastRenderedPageBreak/>
        <w:t>Other funding</w:t>
      </w:r>
    </w:p>
    <w:p w14:paraId="4DA516C0" w14:textId="5FB4CE49" w:rsidR="00DE4F24" w:rsidRPr="00F87054" w:rsidRDefault="00DE4F24" w:rsidP="00DE4F24">
      <w:r w:rsidRPr="00F87054">
        <w:t xml:space="preserve">The applicant has </w:t>
      </w:r>
      <w:proofErr w:type="gramStart"/>
      <w:r w:rsidRPr="00F87054">
        <w:t>submitted an application</w:t>
      </w:r>
      <w:proofErr w:type="gramEnd"/>
      <w:r w:rsidRPr="00F87054">
        <w:t xml:space="preserve"> to PLAC seeking to list the </w:t>
      </w:r>
      <w:r w:rsidRPr="0078327D">
        <w:t>iTrack</w:t>
      </w:r>
      <w:r w:rsidRPr="00F87054">
        <w:t xml:space="preserve"> microcatheter device on the PL for funding by private health insurers. The PLAC is responsible for considering applications for the PL</w:t>
      </w:r>
      <w:r>
        <w:t>.</w:t>
      </w:r>
    </w:p>
    <w:p w14:paraId="5B2B1A02" w14:textId="5C6AE18A" w:rsidR="00775963" w:rsidRPr="00747517" w:rsidRDefault="00DE4F24" w:rsidP="00747517">
      <w:pPr>
        <w:pStyle w:val="Heading1"/>
        <w:spacing w:before="240" w:after="240"/>
        <w:ind w:left="720" w:hanging="720"/>
        <w:rPr>
          <w:rFonts w:ascii="Arial" w:hAnsi="Arial" w:cs="Arial"/>
        </w:rPr>
      </w:pPr>
      <w:r w:rsidRPr="00747517">
        <w:rPr>
          <w:rFonts w:ascii="Arial" w:hAnsi="Arial" w:cs="Arial"/>
        </w:rPr>
        <w:t xml:space="preserve"> </w:t>
      </w:r>
      <w:r w:rsidR="00747517">
        <w:rPr>
          <w:rFonts w:ascii="Arial" w:hAnsi="Arial" w:cs="Arial"/>
        </w:rPr>
        <w:t>7.</w:t>
      </w:r>
      <w:r w:rsidR="00747517">
        <w:rPr>
          <w:rFonts w:ascii="Arial" w:hAnsi="Arial" w:cs="Arial"/>
        </w:rPr>
        <w:tab/>
      </w:r>
      <w:r w:rsidR="00775963" w:rsidRPr="00747517">
        <w:rPr>
          <w:rFonts w:ascii="Arial" w:hAnsi="Arial" w:cs="Arial"/>
        </w:rPr>
        <w:t xml:space="preserve">Summary of </w:t>
      </w:r>
      <w:r w:rsidR="00C219C5" w:rsidRPr="00747517">
        <w:rPr>
          <w:rFonts w:ascii="Arial" w:hAnsi="Arial" w:cs="Arial"/>
        </w:rPr>
        <w:t>p</w:t>
      </w:r>
      <w:r w:rsidR="00775963" w:rsidRPr="00747517">
        <w:rPr>
          <w:rFonts w:ascii="Arial" w:hAnsi="Arial" w:cs="Arial"/>
        </w:rPr>
        <w:t xml:space="preserve">ublic </w:t>
      </w:r>
      <w:r w:rsidR="00C219C5" w:rsidRPr="00747517">
        <w:rPr>
          <w:rFonts w:ascii="Arial" w:hAnsi="Arial" w:cs="Arial"/>
        </w:rPr>
        <w:t>c</w:t>
      </w:r>
      <w:r w:rsidR="00775963" w:rsidRPr="00747517">
        <w:rPr>
          <w:rFonts w:ascii="Arial" w:hAnsi="Arial" w:cs="Arial"/>
        </w:rPr>
        <w:t xml:space="preserve">onsultation </w:t>
      </w:r>
      <w:r w:rsidR="00C219C5" w:rsidRPr="00747517">
        <w:rPr>
          <w:rFonts w:ascii="Arial" w:hAnsi="Arial" w:cs="Arial"/>
        </w:rPr>
        <w:t>f</w:t>
      </w:r>
      <w:r w:rsidR="00775963" w:rsidRPr="00747517">
        <w:rPr>
          <w:rFonts w:ascii="Arial" w:hAnsi="Arial" w:cs="Arial"/>
        </w:rPr>
        <w:t>eedback/</w:t>
      </w:r>
      <w:r w:rsidR="00C219C5" w:rsidRPr="00747517">
        <w:rPr>
          <w:rFonts w:ascii="Arial" w:hAnsi="Arial" w:cs="Arial"/>
        </w:rPr>
        <w:t>c</w:t>
      </w:r>
      <w:r w:rsidR="00775963" w:rsidRPr="00747517">
        <w:rPr>
          <w:rFonts w:ascii="Arial" w:hAnsi="Arial" w:cs="Arial"/>
        </w:rPr>
        <w:t xml:space="preserve">onsumer </w:t>
      </w:r>
      <w:r w:rsidR="00C219C5" w:rsidRPr="00747517">
        <w:rPr>
          <w:rFonts w:ascii="Arial" w:hAnsi="Arial" w:cs="Arial"/>
        </w:rPr>
        <w:t>i</w:t>
      </w:r>
      <w:r w:rsidR="00775963" w:rsidRPr="00747517">
        <w:rPr>
          <w:rFonts w:ascii="Arial" w:hAnsi="Arial" w:cs="Arial"/>
        </w:rPr>
        <w:t>ssues</w:t>
      </w:r>
    </w:p>
    <w:p w14:paraId="6A217E1F" w14:textId="2AFC6C6C" w:rsidR="00171239" w:rsidRPr="005974A2" w:rsidRDefault="00C219C5" w:rsidP="00171239">
      <w:pPr>
        <w:rPr>
          <w:iCs/>
        </w:rPr>
      </w:pPr>
      <w:r>
        <w:t>Consultation feedback was</w:t>
      </w:r>
      <w:r w:rsidR="009E5AD9">
        <w:t xml:space="preserve"> received from </w:t>
      </w:r>
      <w:r w:rsidR="009E5AD9">
        <w:rPr>
          <w:iCs/>
        </w:rPr>
        <w:t>t</w:t>
      </w:r>
      <w:r w:rsidR="00171239">
        <w:rPr>
          <w:iCs/>
        </w:rPr>
        <w:t>hree organisations</w:t>
      </w:r>
      <w:r w:rsidR="009E5AD9">
        <w:rPr>
          <w:iCs/>
        </w:rPr>
        <w:t xml:space="preserve">: </w:t>
      </w:r>
      <w:r w:rsidR="009E5AD9" w:rsidRPr="009E5AD9">
        <w:rPr>
          <w:iCs/>
        </w:rPr>
        <w:t>Australian Society of Ophthalmologists Ltd. (ASO)</w:t>
      </w:r>
      <w:r w:rsidR="009E5AD9">
        <w:rPr>
          <w:iCs/>
        </w:rPr>
        <w:t>, Private Healthcare Australia (PHA),</w:t>
      </w:r>
      <w:r w:rsidR="009E5AD9" w:rsidRPr="009E5AD9">
        <w:t xml:space="preserve"> </w:t>
      </w:r>
      <w:r w:rsidR="009E5AD9">
        <w:t xml:space="preserve">and </w:t>
      </w:r>
      <w:r w:rsidR="009E5AD9" w:rsidRPr="009E5AD9">
        <w:rPr>
          <w:iCs/>
        </w:rPr>
        <w:t>Royal Australian and New Zealand College of Ophthalmologists</w:t>
      </w:r>
      <w:r w:rsidR="009E5AD9">
        <w:rPr>
          <w:iCs/>
        </w:rPr>
        <w:t xml:space="preserve"> (RANZCO)</w:t>
      </w:r>
      <w:r w:rsidR="00171239">
        <w:rPr>
          <w:iCs/>
        </w:rPr>
        <w:t xml:space="preserve">. </w:t>
      </w:r>
      <w:r w:rsidR="009E5AD9" w:rsidRPr="00D35115">
        <w:t>No feedback was received from consumer organisations or individual consumers or carers for this application</w:t>
      </w:r>
      <w:r w:rsidR="009E5AD9" w:rsidRPr="007F0EC2">
        <w:rPr>
          <w:i/>
          <w:iCs/>
        </w:rPr>
        <w:t>.</w:t>
      </w:r>
      <w:r w:rsidR="009E5AD9">
        <w:rPr>
          <w:i/>
          <w:iCs/>
        </w:rPr>
        <w:t xml:space="preserve"> </w:t>
      </w:r>
      <w:r w:rsidR="00171239">
        <w:rPr>
          <w:iCs/>
        </w:rPr>
        <w:t xml:space="preserve">Responses were generally supportive of the application. </w:t>
      </w:r>
      <w:r w:rsidR="00D35115">
        <w:rPr>
          <w:iCs/>
        </w:rPr>
        <w:t>Feedback suggested</w:t>
      </w:r>
      <w:r w:rsidR="00171239">
        <w:rPr>
          <w:iCs/>
        </w:rPr>
        <w:t xml:space="preserve"> that the expected utilisation of </w:t>
      </w:r>
      <w:r w:rsidR="00171239">
        <w:rPr>
          <w:u w:color="FF0000"/>
        </w:rPr>
        <w:t xml:space="preserve">intervention in the application would likely to be an underestimation. It </w:t>
      </w:r>
      <w:r w:rsidR="00D35115">
        <w:rPr>
          <w:u w:color="FF0000"/>
        </w:rPr>
        <w:t>was also suggested that</w:t>
      </w:r>
      <w:r w:rsidR="00171239">
        <w:rPr>
          <w:u w:color="FF0000"/>
        </w:rPr>
        <w:t xml:space="preserve"> ABiC using a microcatheter device </w:t>
      </w:r>
      <w:r w:rsidR="00D35115">
        <w:rPr>
          <w:u w:color="FF0000"/>
        </w:rPr>
        <w:t>may benefit</w:t>
      </w:r>
      <w:r w:rsidR="00171239">
        <w:rPr>
          <w:u w:color="FF0000"/>
        </w:rPr>
        <w:t xml:space="preserve"> paediatric patients and patients in rural or remote locations. One response questioned the strength of evidence for the clinical effectiveness of ABiC using a microcatheter; </w:t>
      </w:r>
      <w:proofErr w:type="gramStart"/>
      <w:r w:rsidR="00171239">
        <w:rPr>
          <w:u w:color="FF0000"/>
        </w:rPr>
        <w:t>and also</w:t>
      </w:r>
      <w:proofErr w:type="gramEnd"/>
      <w:r w:rsidR="00171239">
        <w:rPr>
          <w:u w:color="FF0000"/>
        </w:rPr>
        <w:t xml:space="preserve"> considered that patients who failed the intervention should remain eligible for MIGS stent implantation.</w:t>
      </w:r>
    </w:p>
    <w:p w14:paraId="647036DB" w14:textId="688A030D" w:rsidR="00BF0DFE" w:rsidRPr="00747517" w:rsidRDefault="00747517" w:rsidP="00747517">
      <w:pPr>
        <w:pStyle w:val="Heading1"/>
        <w:spacing w:before="240" w:after="240"/>
        <w:ind w:left="720" w:hanging="720"/>
        <w:rPr>
          <w:rFonts w:ascii="Arial" w:hAnsi="Arial" w:cs="Arial"/>
        </w:rPr>
      </w:pPr>
      <w:r>
        <w:rPr>
          <w:rFonts w:ascii="Arial" w:hAnsi="Arial" w:cs="Arial"/>
        </w:rPr>
        <w:t>8.</w:t>
      </w:r>
      <w:r>
        <w:rPr>
          <w:rFonts w:ascii="Arial" w:hAnsi="Arial" w:cs="Arial"/>
        </w:rPr>
        <w:tab/>
      </w:r>
      <w:r w:rsidR="00065623" w:rsidRPr="00747517">
        <w:rPr>
          <w:rFonts w:ascii="Arial" w:hAnsi="Arial" w:cs="Arial"/>
        </w:rPr>
        <w:t>Proposed intervention’s place in clinical management</w:t>
      </w:r>
    </w:p>
    <w:p w14:paraId="24FBF850" w14:textId="77777777" w:rsidR="00747517" w:rsidRDefault="00747517" w:rsidP="00747517">
      <w:pPr>
        <w:pStyle w:val="Heading2"/>
      </w:pPr>
      <w:r>
        <w:t>Description of Proposed Intervention</w:t>
      </w:r>
    </w:p>
    <w:p w14:paraId="7171DBB8" w14:textId="77777777" w:rsidR="00747517" w:rsidRDefault="00747517" w:rsidP="00747517">
      <w:r w:rsidRPr="00F87054">
        <w:t xml:space="preserve">The proposed medical service is </w:t>
      </w:r>
      <w:r>
        <w:t>ABiC</w:t>
      </w:r>
      <w:r w:rsidRPr="00F87054">
        <w:t xml:space="preserve"> using a microcatheter for glaucoma treatment </w:t>
      </w:r>
      <w:r>
        <w:t xml:space="preserve">which can be </w:t>
      </w:r>
      <w:r w:rsidRPr="00F87054">
        <w:t xml:space="preserve">performed as a standalone procedure or in conjunction with cataract surgery. The microcatheter is inserted ab-internally (via the cornea) into Schlemm’s canal in the trabecular meshwork via the anterior chamber. The microcatheter serves to dilate the canal, perforate any adhesions, and resolve any herniations. </w:t>
      </w:r>
      <w:r w:rsidRPr="0078327D">
        <w:t xml:space="preserve">On retraction of the device, a viscoelastic solution (active component hyaluronic acid) is administered to the canal. This solution chemically dilates the canal, trabecular </w:t>
      </w:r>
      <w:proofErr w:type="gramStart"/>
      <w:r w:rsidRPr="0078327D">
        <w:t>meshwork</w:t>
      </w:r>
      <w:proofErr w:type="gramEnd"/>
      <w:r w:rsidRPr="0078327D" w:rsidDel="00984DB5">
        <w:t xml:space="preserve"> </w:t>
      </w:r>
      <w:r w:rsidRPr="0078327D">
        <w:t>and collector channel ostia.</w:t>
      </w:r>
      <w:r w:rsidRPr="00460BE2">
        <w:t xml:space="preserve"> </w:t>
      </w:r>
    </w:p>
    <w:p w14:paraId="0098C764" w14:textId="77777777" w:rsidR="00747517" w:rsidRDefault="00747517" w:rsidP="006672D2">
      <w:pPr>
        <w:pStyle w:val="Heading2"/>
        <w:spacing w:before="240"/>
      </w:pPr>
      <w:r>
        <w:t>Description of Medical Condition</w:t>
      </w:r>
    </w:p>
    <w:p w14:paraId="0025E9F3" w14:textId="77777777" w:rsidR="00747517" w:rsidRPr="00984C31" w:rsidRDefault="00747517" w:rsidP="00747517">
      <w:pPr>
        <w:tabs>
          <w:tab w:val="left" w:pos="720"/>
          <w:tab w:val="left" w:pos="1140"/>
        </w:tabs>
        <w:rPr>
          <w:szCs w:val="24"/>
        </w:rPr>
      </w:pPr>
      <w:r w:rsidRPr="00984C31">
        <w:rPr>
          <w:szCs w:val="24"/>
        </w:rPr>
        <w:t>The population of interest for ABiC using a microcatheter device is patients with glaucoma with or without concurrent cataract surgery. Glaucoma is a disease process involving progressive atrophy of the optic nerve, loss of retinal cells and, ultimately, blindness. Older age, family history and prior ocular trauma are risk factors for the development of glaucoma. Globally, the prevalence of glaucoma is 3.54% in individuals aged 40–80 years</w:t>
      </w:r>
      <w:r>
        <w:rPr>
          <w:rStyle w:val="FootnoteReference"/>
          <w:szCs w:val="24"/>
        </w:rPr>
        <w:footnoteReference w:id="4"/>
      </w:r>
      <w:r w:rsidRPr="00984C31">
        <w:rPr>
          <w:szCs w:val="24"/>
        </w:rPr>
        <w:t>. The prevalence of glaucoma in Australia is estimated to be 1.5% in non-Indigenous Australians (≥50 years) and 0.6% in Indigenous Australians (≥40 years)</w:t>
      </w:r>
      <w:r>
        <w:rPr>
          <w:rStyle w:val="FootnoteReference"/>
          <w:szCs w:val="24"/>
        </w:rPr>
        <w:footnoteReference w:id="5"/>
      </w:r>
      <w:r w:rsidRPr="00984C31">
        <w:rPr>
          <w:szCs w:val="24"/>
        </w:rPr>
        <w:t>. Because of the aging population, the prevalence of glaucoma in Australia is expected to increase significantly, and by 2025 is it estimated that 379,000 individuals would have primary open-angle glaucoma (OAG)</w:t>
      </w:r>
      <w:r>
        <w:rPr>
          <w:rStyle w:val="FootnoteReference"/>
          <w:szCs w:val="24"/>
        </w:rPr>
        <w:footnoteReference w:id="6"/>
      </w:r>
      <w:r w:rsidRPr="00984C31">
        <w:rPr>
          <w:szCs w:val="24"/>
        </w:rPr>
        <w:t>.</w:t>
      </w:r>
    </w:p>
    <w:p w14:paraId="600B1479" w14:textId="5848DBD1" w:rsidR="008A1674" w:rsidRDefault="008A1674" w:rsidP="00747517">
      <w:pPr>
        <w:spacing w:before="240"/>
      </w:pPr>
      <w:r w:rsidRPr="00D80CB5">
        <w:t xml:space="preserve">The clinical management algorithm and the proposed place of </w:t>
      </w:r>
      <w:r w:rsidR="00715229" w:rsidRPr="00D80CB5">
        <w:t xml:space="preserve">ABiC using a </w:t>
      </w:r>
      <w:r w:rsidR="003B5EEF" w:rsidRPr="00D80CB5">
        <w:t>microc</w:t>
      </w:r>
      <w:r w:rsidR="003B5EEF">
        <w:t>atheter</w:t>
      </w:r>
      <w:r w:rsidR="00715229" w:rsidRPr="00D80CB5">
        <w:t xml:space="preserve"> to treat glaucoma as a standalone procedure or in conjunction with cataract surgery is </w:t>
      </w:r>
      <w:r w:rsidRPr="00D80CB5">
        <w:t xml:space="preserve">presented in </w:t>
      </w:r>
      <w:r w:rsidR="00715229" w:rsidRPr="00D80CB5">
        <w:fldChar w:fldCharType="begin"/>
      </w:r>
      <w:r w:rsidR="00715229" w:rsidRPr="00D80CB5">
        <w:instrText xml:space="preserve"> REF _Ref71633591 \h </w:instrText>
      </w:r>
      <w:r w:rsidR="00D80CB5">
        <w:instrText xml:space="preserve"> \* MERGEFORMAT </w:instrText>
      </w:r>
      <w:r w:rsidR="00715229" w:rsidRPr="00D80CB5">
        <w:fldChar w:fldCharType="separate"/>
      </w:r>
      <w:r w:rsidR="00715229" w:rsidRPr="00D80CB5">
        <w:t xml:space="preserve">Figure </w:t>
      </w:r>
      <w:r w:rsidR="00715229" w:rsidRPr="00D80CB5">
        <w:rPr>
          <w:noProof/>
        </w:rPr>
        <w:t>1</w:t>
      </w:r>
      <w:r w:rsidR="00715229" w:rsidRPr="00D80CB5">
        <w:fldChar w:fldCharType="end"/>
      </w:r>
      <w:r w:rsidR="00715229" w:rsidRPr="00D80CB5">
        <w:t xml:space="preserve"> and </w:t>
      </w:r>
      <w:r w:rsidR="00715229" w:rsidRPr="00D80CB5">
        <w:fldChar w:fldCharType="begin"/>
      </w:r>
      <w:r w:rsidR="00715229" w:rsidRPr="00D80CB5">
        <w:instrText xml:space="preserve"> REF _Ref71633590 \h </w:instrText>
      </w:r>
      <w:r w:rsidR="00D80CB5">
        <w:instrText xml:space="preserve"> \* MERGEFORMAT </w:instrText>
      </w:r>
      <w:r w:rsidR="00715229" w:rsidRPr="00D80CB5">
        <w:fldChar w:fldCharType="separate"/>
      </w:r>
      <w:r w:rsidR="00715229" w:rsidRPr="00D80CB5">
        <w:t xml:space="preserve">Figure </w:t>
      </w:r>
      <w:r w:rsidR="00715229" w:rsidRPr="00D80CB5">
        <w:rPr>
          <w:noProof/>
        </w:rPr>
        <w:t>2</w:t>
      </w:r>
      <w:r w:rsidR="00715229" w:rsidRPr="00D80CB5">
        <w:fldChar w:fldCharType="end"/>
      </w:r>
      <w:r w:rsidR="00715229" w:rsidRPr="00D80CB5">
        <w:t>.</w:t>
      </w:r>
    </w:p>
    <w:p w14:paraId="16DBBB50" w14:textId="7CF1D307" w:rsidR="00715229" w:rsidRPr="00F87054" w:rsidRDefault="00715229" w:rsidP="006672D2">
      <w:pPr>
        <w:spacing w:before="240"/>
      </w:pPr>
      <w:r w:rsidRPr="00F87054">
        <w:t xml:space="preserve">The applicant proposed that </w:t>
      </w:r>
      <w:r>
        <w:t xml:space="preserve">the </w:t>
      </w:r>
      <w:r w:rsidRPr="00F87054">
        <w:t xml:space="preserve">MBS listing of </w:t>
      </w:r>
      <w:r>
        <w:t>ABiC</w:t>
      </w:r>
      <w:r w:rsidRPr="00F87054">
        <w:t xml:space="preserve"> using a microcatheter would provide an alternative intervention to the currently MBS listed micro-bypass stent insertion for the treatment of patients with glaucoma. Surgical intervention, including </w:t>
      </w:r>
      <w:r>
        <w:t>ABiC</w:t>
      </w:r>
      <w:r w:rsidRPr="00F87054">
        <w:t xml:space="preserve"> with a </w:t>
      </w:r>
      <w:r w:rsidRPr="00F87054">
        <w:lastRenderedPageBreak/>
        <w:t>microcatheter, would be available as a standalone procedure or for patients simultaneously undergoing cataract surgery. This service is offered when other medical therapies have failed or where there are compliance issues with medications</w:t>
      </w:r>
      <w:r>
        <w:t>.</w:t>
      </w:r>
      <w:r w:rsidRPr="00F87054">
        <w:t xml:space="preserve"> </w:t>
      </w:r>
    </w:p>
    <w:p w14:paraId="5760ACE6" w14:textId="17CE49BD" w:rsidR="00D80CB5" w:rsidRDefault="00D80CB5" w:rsidP="006672D2">
      <w:pPr>
        <w:spacing w:before="240"/>
      </w:pPr>
      <w:r w:rsidRPr="00F87054">
        <w:t xml:space="preserve">The procedures involving </w:t>
      </w:r>
      <w:r>
        <w:t>ABiC</w:t>
      </w:r>
      <w:r w:rsidRPr="00F87054">
        <w:t xml:space="preserve"> using microcatheter devices and insertion of micro-bypass stents both aim to reduce IOP by increasing aqueous humour outflow from the anterior chamber through the Schlemm’s canal. Key differences are that the proposed intervention involves </w:t>
      </w:r>
      <w:r>
        <w:t xml:space="preserve">the </w:t>
      </w:r>
      <w:r w:rsidRPr="00F87054">
        <w:t>temporary insertion of a microcatheter to inject a viscoelastic substance to dilate the Schlemm’s canal</w:t>
      </w:r>
      <w:r>
        <w:t>,</w:t>
      </w:r>
      <w:r w:rsidRPr="00F87054">
        <w:t xml:space="preserve"> whereas the comparator involves the permanent implantation of a micro-bypass stent in the eye. </w:t>
      </w:r>
    </w:p>
    <w:p w14:paraId="1ACEF25A" w14:textId="24D6754B" w:rsidR="00715229" w:rsidRPr="00F87054" w:rsidRDefault="00715229" w:rsidP="0001543E">
      <w:pPr>
        <w:pStyle w:val="Caption"/>
        <w:spacing w:before="240"/>
      </w:pPr>
      <w:bookmarkStart w:id="8" w:name="_Ref71633591"/>
      <w:bookmarkStart w:id="9" w:name="_Toc81257915"/>
      <w:r w:rsidRPr="00F87054">
        <w:t xml:space="preserve">Figure </w:t>
      </w:r>
      <w:fldSimple w:instr=" SEQ Figure \* ARABIC ">
        <w:r>
          <w:rPr>
            <w:noProof/>
          </w:rPr>
          <w:t>1</w:t>
        </w:r>
      </w:fldSimple>
      <w:bookmarkEnd w:id="8"/>
      <w:r w:rsidRPr="00F87054">
        <w:tab/>
        <w:t xml:space="preserve">Proposed clinical management algorithm for patients without </w:t>
      </w:r>
      <w:r>
        <w:t>concurrent</w:t>
      </w:r>
      <w:r w:rsidRPr="00F87054">
        <w:t xml:space="preserve"> cataract pathology</w:t>
      </w:r>
      <w:bookmarkEnd w:id="9"/>
    </w:p>
    <w:p w14:paraId="10343706" w14:textId="77777777" w:rsidR="00715229" w:rsidRPr="00F87054" w:rsidRDefault="00715229" w:rsidP="00066143">
      <w:pPr>
        <w:pStyle w:val="Tablenotes"/>
        <w:rPr>
          <w:rStyle w:val="TablenotesChar0"/>
          <w:b/>
          <w:bCs/>
        </w:rPr>
      </w:pPr>
      <w:r w:rsidRPr="00F87054">
        <w:rPr>
          <w:noProof/>
          <w:lang w:eastAsia="en-AU"/>
        </w:rPr>
        <w:drawing>
          <wp:inline distT="0" distB="0" distL="0" distR="0" wp14:anchorId="44C945AF" wp14:editId="78831EB7">
            <wp:extent cx="5731510" cy="5927725"/>
            <wp:effectExtent l="19050" t="19050" r="21590" b="15875"/>
            <wp:docPr id="12" name="Picture 12" descr="Proposed clinical management algorithm for patients without concomitant catara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oposed clinical management algorithm for patients without concomitant cataract "/>
                    <pic:cNvPicPr/>
                  </pic:nvPicPr>
                  <pic:blipFill>
                    <a:blip r:embed="rId14">
                      <a:extLst>
                        <a:ext uri="{28A0092B-C50C-407E-A947-70E740481C1C}">
                          <a14:useLocalDpi xmlns:a14="http://schemas.microsoft.com/office/drawing/2010/main" val="0"/>
                        </a:ext>
                      </a:extLst>
                    </a:blip>
                    <a:stretch>
                      <a:fillRect/>
                    </a:stretch>
                  </pic:blipFill>
                  <pic:spPr>
                    <a:xfrm>
                      <a:off x="0" y="0"/>
                      <a:ext cx="5731510" cy="5927725"/>
                    </a:xfrm>
                    <a:prstGeom prst="rect">
                      <a:avLst/>
                    </a:prstGeom>
                    <a:ln>
                      <a:solidFill>
                        <a:schemeClr val="bg1">
                          <a:lumMod val="85000"/>
                        </a:schemeClr>
                      </a:solidFill>
                    </a:ln>
                  </pic:spPr>
                </pic:pic>
              </a:graphicData>
            </a:graphic>
          </wp:inline>
        </w:drawing>
      </w:r>
    </w:p>
    <w:p w14:paraId="65577906" w14:textId="06A95CB5" w:rsidR="00B21DED" w:rsidRPr="00B21DED" w:rsidRDefault="00B21DED" w:rsidP="00066143">
      <w:pPr>
        <w:pStyle w:val="Tablenotes"/>
        <w:rPr>
          <w:rStyle w:val="TablenotesChar0"/>
          <w:bCs/>
        </w:rPr>
      </w:pPr>
      <w:r w:rsidRPr="00B43FCA">
        <w:rPr>
          <w:rStyle w:val="TablenotesChar0"/>
          <w:bCs/>
        </w:rPr>
        <w:t xml:space="preserve">Source: </w:t>
      </w:r>
      <w:r w:rsidR="00B43FCA" w:rsidRPr="00B43FCA">
        <w:rPr>
          <w:rStyle w:val="TablenotesChar0"/>
          <w:bCs/>
        </w:rPr>
        <w:t>Figure 4, p46 of the DCAR</w:t>
      </w:r>
    </w:p>
    <w:p w14:paraId="3E2F89DE" w14:textId="77777777" w:rsidR="00715229" w:rsidRPr="00B21DED" w:rsidRDefault="00715229" w:rsidP="00066143">
      <w:pPr>
        <w:pStyle w:val="Tablenotes"/>
        <w:rPr>
          <w:rStyle w:val="TablenotesChar0"/>
          <w:bCs/>
        </w:rPr>
      </w:pPr>
      <w:r w:rsidRPr="00B21DED">
        <w:t>Abbreviations: ABiC = ab-interno canaloplasty, OAG = open angle glaucoma</w:t>
      </w:r>
    </w:p>
    <w:p w14:paraId="40C8D554" w14:textId="77777777" w:rsidR="00715229" w:rsidRPr="00F87054" w:rsidRDefault="00715229" w:rsidP="00066143">
      <w:pPr>
        <w:pStyle w:val="Tablenotes"/>
        <w:rPr>
          <w:rStyle w:val="TablenotesChar0"/>
        </w:rPr>
      </w:pPr>
      <w:r w:rsidRPr="00B21DED">
        <w:rPr>
          <w:rStyle w:val="TablenotesChar0"/>
          <w:bCs/>
        </w:rPr>
        <w:t>Note: Filtering</w:t>
      </w:r>
      <w:r w:rsidRPr="00F87054">
        <w:rPr>
          <w:rStyle w:val="TablenotesChar0"/>
        </w:rPr>
        <w:t xml:space="preserve"> surgery is alternatively known as trabeculectomy</w:t>
      </w:r>
    </w:p>
    <w:p w14:paraId="62AF3F8C" w14:textId="0840412D" w:rsidR="00715229" w:rsidRPr="00F87054" w:rsidRDefault="00715229" w:rsidP="00715229">
      <w:pPr>
        <w:pStyle w:val="Caption"/>
      </w:pPr>
      <w:bookmarkStart w:id="10" w:name="_Ref71633590"/>
      <w:bookmarkStart w:id="11" w:name="_Toc81257914"/>
      <w:r w:rsidRPr="00F87054">
        <w:lastRenderedPageBreak/>
        <w:t xml:space="preserve">Figure </w:t>
      </w:r>
      <w:fldSimple w:instr=" SEQ Figure \* ARABIC ">
        <w:r>
          <w:rPr>
            <w:noProof/>
          </w:rPr>
          <w:t>2</w:t>
        </w:r>
      </w:fldSimple>
      <w:bookmarkEnd w:id="10"/>
      <w:r w:rsidRPr="00F87054">
        <w:tab/>
        <w:t xml:space="preserve">Current clinical management algorithm for patients with </w:t>
      </w:r>
      <w:r>
        <w:t>concurrent</w:t>
      </w:r>
      <w:r w:rsidRPr="00F87054">
        <w:t xml:space="preserve"> cataract pathology</w:t>
      </w:r>
      <w:bookmarkEnd w:id="11"/>
    </w:p>
    <w:p w14:paraId="7825D2BF" w14:textId="77777777" w:rsidR="00715229" w:rsidRPr="00F87054" w:rsidRDefault="00715229" w:rsidP="00066143">
      <w:pPr>
        <w:pStyle w:val="Tablenotes"/>
        <w:rPr>
          <w:rStyle w:val="TablenotesChar0"/>
          <w:b/>
          <w:bCs/>
        </w:rPr>
      </w:pPr>
      <w:r w:rsidRPr="00F87054">
        <w:rPr>
          <w:noProof/>
          <w:lang w:eastAsia="en-AU"/>
        </w:rPr>
        <w:drawing>
          <wp:inline distT="0" distB="0" distL="0" distR="0" wp14:anchorId="37A637DB" wp14:editId="7EB9983C">
            <wp:extent cx="5731510" cy="5641975"/>
            <wp:effectExtent l="19050" t="19050" r="21590" b="15875"/>
            <wp:docPr id="11" name="Picture 11" descr="Current clinical management algorithm for patients with concomitant cataract pa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rrent clinical management algorithm for patients with concomitant cataract pathology"/>
                    <pic:cNvPicPr/>
                  </pic:nvPicPr>
                  <pic:blipFill>
                    <a:blip r:embed="rId15">
                      <a:extLst>
                        <a:ext uri="{28A0092B-C50C-407E-A947-70E740481C1C}">
                          <a14:useLocalDpi xmlns:a14="http://schemas.microsoft.com/office/drawing/2010/main" val="0"/>
                        </a:ext>
                      </a:extLst>
                    </a:blip>
                    <a:stretch>
                      <a:fillRect/>
                    </a:stretch>
                  </pic:blipFill>
                  <pic:spPr>
                    <a:xfrm>
                      <a:off x="0" y="0"/>
                      <a:ext cx="5731510" cy="5641975"/>
                    </a:xfrm>
                    <a:prstGeom prst="rect">
                      <a:avLst/>
                    </a:prstGeom>
                    <a:ln>
                      <a:solidFill>
                        <a:schemeClr val="bg1">
                          <a:lumMod val="85000"/>
                        </a:schemeClr>
                      </a:solidFill>
                    </a:ln>
                  </pic:spPr>
                </pic:pic>
              </a:graphicData>
            </a:graphic>
          </wp:inline>
        </w:drawing>
      </w:r>
    </w:p>
    <w:p w14:paraId="1428EDA5" w14:textId="75F7ECED" w:rsidR="00B21DED" w:rsidRPr="00B21DED" w:rsidRDefault="00B21DED" w:rsidP="00066143">
      <w:pPr>
        <w:pStyle w:val="Tablenotes"/>
        <w:rPr>
          <w:rStyle w:val="TablenotesChar0"/>
          <w:bCs/>
        </w:rPr>
      </w:pPr>
      <w:r w:rsidRPr="00B43FCA">
        <w:rPr>
          <w:rStyle w:val="TablenotesChar0"/>
          <w:bCs/>
        </w:rPr>
        <w:t xml:space="preserve">Source: </w:t>
      </w:r>
      <w:r w:rsidR="00B43FCA" w:rsidRPr="00B43FCA">
        <w:rPr>
          <w:rStyle w:val="TablenotesChar0"/>
          <w:bCs/>
        </w:rPr>
        <w:t>Figure 3, p45 of the DCAR</w:t>
      </w:r>
      <w:r w:rsidRPr="00B21DED">
        <w:rPr>
          <w:rStyle w:val="TablenotesChar0"/>
          <w:bCs/>
        </w:rPr>
        <w:t xml:space="preserve"> </w:t>
      </w:r>
    </w:p>
    <w:p w14:paraId="5E12D103" w14:textId="77777777" w:rsidR="00715229" w:rsidRPr="00B21DED" w:rsidRDefault="00715229" w:rsidP="00066143">
      <w:pPr>
        <w:pStyle w:val="Tablenotes"/>
        <w:rPr>
          <w:rStyle w:val="TablenotesChar0"/>
          <w:bCs/>
        </w:rPr>
      </w:pPr>
      <w:r w:rsidRPr="00B21DED">
        <w:t>Abbreviations: ABiC = ab-interno canaloplasty, OAG = open angle glaucoma</w:t>
      </w:r>
    </w:p>
    <w:p w14:paraId="12E94206" w14:textId="77777777" w:rsidR="00715229" w:rsidRPr="00B21DED" w:rsidRDefault="00715229" w:rsidP="00066143">
      <w:pPr>
        <w:pStyle w:val="Tablenotes"/>
        <w:rPr>
          <w:rStyle w:val="TablenotesChar0"/>
          <w:bCs/>
        </w:rPr>
      </w:pPr>
      <w:r w:rsidRPr="00B21DED">
        <w:rPr>
          <w:rStyle w:val="TablenotesChar0"/>
          <w:bCs/>
        </w:rPr>
        <w:t>Note: Filtering surgery is alternatively known as trabeculectomy</w:t>
      </w:r>
    </w:p>
    <w:p w14:paraId="208C88A5" w14:textId="6344E403" w:rsidR="008A1674" w:rsidRPr="00747517" w:rsidRDefault="00747517" w:rsidP="00747517">
      <w:pPr>
        <w:pStyle w:val="Heading1"/>
        <w:spacing w:before="240" w:after="240"/>
        <w:ind w:left="720" w:hanging="720"/>
        <w:rPr>
          <w:rFonts w:ascii="Arial" w:hAnsi="Arial" w:cs="Arial"/>
        </w:rPr>
      </w:pPr>
      <w:r>
        <w:rPr>
          <w:rFonts w:ascii="Arial" w:hAnsi="Arial" w:cs="Arial"/>
        </w:rPr>
        <w:t>9.</w:t>
      </w:r>
      <w:r>
        <w:rPr>
          <w:rFonts w:ascii="Arial" w:hAnsi="Arial" w:cs="Arial"/>
        </w:rPr>
        <w:tab/>
      </w:r>
      <w:r w:rsidR="008A1674" w:rsidRPr="00747517">
        <w:rPr>
          <w:rFonts w:ascii="Arial" w:hAnsi="Arial" w:cs="Arial"/>
        </w:rPr>
        <w:t xml:space="preserve">Comparator </w:t>
      </w:r>
    </w:p>
    <w:p w14:paraId="37ADCDCB" w14:textId="2B1D5E22" w:rsidR="006F05B2" w:rsidRPr="00F87054" w:rsidRDefault="006F05B2" w:rsidP="006F05B2">
      <w:r w:rsidRPr="00F87054">
        <w:t xml:space="preserve">Where </w:t>
      </w:r>
      <w:r>
        <w:t>ABiC</w:t>
      </w:r>
      <w:r w:rsidRPr="00F87054">
        <w:t xml:space="preserve"> using a microcatheter is performed as a standalone procedure, the nominated comparator is </w:t>
      </w:r>
      <w:r>
        <w:t xml:space="preserve">the </w:t>
      </w:r>
      <w:r w:rsidRPr="00F87054">
        <w:t>insertion of a micro-bypass stent into the trabecular meshwork</w:t>
      </w:r>
      <w:r>
        <w:t xml:space="preserve"> (MBS item 42504)</w:t>
      </w:r>
      <w:r w:rsidRPr="00F87054">
        <w:t xml:space="preserve">. Where </w:t>
      </w:r>
      <w:r>
        <w:t>ABiC</w:t>
      </w:r>
      <w:r w:rsidRPr="00F87054">
        <w:t xml:space="preserve"> using a microcatheter is performed in conjunction with cataract surgery, the nominated comparator is </w:t>
      </w:r>
      <w:r>
        <w:t xml:space="preserve">the </w:t>
      </w:r>
      <w:r w:rsidRPr="00F87054">
        <w:t>insertion of a micro-bypass stent into the trabecular meshwork</w:t>
      </w:r>
      <w:r w:rsidRPr="00F87054" w:rsidDel="00984DB5">
        <w:t xml:space="preserve"> </w:t>
      </w:r>
      <w:r w:rsidRPr="00F87054">
        <w:t>at the same time when the cataract surgery is performed</w:t>
      </w:r>
      <w:r>
        <w:t xml:space="preserve"> (MBS item 42705)</w:t>
      </w:r>
      <w:r w:rsidRPr="00F87054">
        <w:t xml:space="preserve">. </w:t>
      </w:r>
    </w:p>
    <w:p w14:paraId="484034F5" w14:textId="3DB373D6" w:rsidR="00443F1D" w:rsidRPr="00AE0BAA" w:rsidRDefault="006F05B2" w:rsidP="00AE0BAA">
      <w:pPr>
        <w:spacing w:before="240"/>
      </w:pPr>
      <w:r w:rsidRPr="00F87054">
        <w:t>Surgeons performing the micro-bypass stent insertion procedure must be registered with the Conjoint Committee for the Recognition of Training in Micro-bypass Glaucoma Surgery. In Australia, approximately 50 ophthalmologists are trained in stent insertion.</w:t>
      </w:r>
    </w:p>
    <w:p w14:paraId="16B26CCA" w14:textId="3C8C5B29" w:rsidR="008A1674" w:rsidRPr="00747517" w:rsidRDefault="00747517" w:rsidP="00747517">
      <w:pPr>
        <w:pStyle w:val="Heading1"/>
        <w:spacing w:before="240" w:after="240"/>
        <w:ind w:left="720" w:hanging="720"/>
        <w:rPr>
          <w:rFonts w:ascii="Arial" w:hAnsi="Arial" w:cs="Arial"/>
        </w:rPr>
      </w:pPr>
      <w:r>
        <w:rPr>
          <w:rFonts w:ascii="Arial" w:hAnsi="Arial" w:cs="Arial"/>
        </w:rPr>
        <w:lastRenderedPageBreak/>
        <w:t>10.</w:t>
      </w:r>
      <w:r>
        <w:rPr>
          <w:rFonts w:ascii="Arial" w:hAnsi="Arial" w:cs="Arial"/>
        </w:rPr>
        <w:tab/>
      </w:r>
      <w:r w:rsidR="008A1674" w:rsidRPr="00747517">
        <w:rPr>
          <w:rFonts w:ascii="Arial" w:hAnsi="Arial" w:cs="Arial"/>
        </w:rPr>
        <w:t>Comparative safety</w:t>
      </w:r>
    </w:p>
    <w:p w14:paraId="47D561D3" w14:textId="43E369DF" w:rsidR="0099729D" w:rsidRPr="00F87054" w:rsidRDefault="002A1331" w:rsidP="0099729D">
      <w:r>
        <w:t xml:space="preserve">No </w:t>
      </w:r>
      <w:r w:rsidRPr="00F87054">
        <w:t xml:space="preserve">direct comparative evidence between </w:t>
      </w:r>
      <w:r>
        <w:t>ABiC</w:t>
      </w:r>
      <w:r w:rsidRPr="00F87054">
        <w:t xml:space="preserve"> using a microcatheter and micro-bypass stents</w:t>
      </w:r>
      <w:r>
        <w:t xml:space="preserve"> was identified through the systematic literature review. In total, seven (7) case series studies </w:t>
      </w:r>
      <w:r w:rsidR="00B66A2D" w:rsidRPr="00F87054">
        <w:t>(545 eyes from 407 participants)</w:t>
      </w:r>
      <w:r w:rsidR="00B66A2D">
        <w:t xml:space="preserve"> </w:t>
      </w:r>
      <w:r>
        <w:t>were identified for the intervention, ABiC using a microcatheter to treat glaucoma</w:t>
      </w:r>
      <w:r w:rsidR="00240D4B">
        <w:t xml:space="preserve"> (</w:t>
      </w:r>
      <w:r w:rsidR="00240D4B">
        <w:fldChar w:fldCharType="begin"/>
      </w:r>
      <w:r w:rsidR="00240D4B">
        <w:instrText xml:space="preserve"> REF _Ref399236533 \h </w:instrText>
      </w:r>
      <w:r w:rsidR="00240D4B">
        <w:fldChar w:fldCharType="separate"/>
      </w:r>
      <w:r w:rsidR="00240D4B" w:rsidRPr="00F87054">
        <w:t xml:space="preserve">Table </w:t>
      </w:r>
      <w:r w:rsidR="00240D4B">
        <w:rPr>
          <w:noProof/>
        </w:rPr>
        <w:t>4</w:t>
      </w:r>
      <w:r w:rsidR="00240D4B">
        <w:fldChar w:fldCharType="end"/>
      </w:r>
      <w:r w:rsidR="00240D4B">
        <w:t>)</w:t>
      </w:r>
      <w:r>
        <w:t xml:space="preserve">. </w:t>
      </w:r>
      <w:r w:rsidR="00B66A2D">
        <w:t>In</w:t>
      </w:r>
      <w:r w:rsidR="0099729D" w:rsidRPr="00F87054">
        <w:t xml:space="preserve"> the </w:t>
      </w:r>
      <w:r w:rsidR="0099729D">
        <w:t>7</w:t>
      </w:r>
      <w:r w:rsidR="0099729D" w:rsidRPr="00F87054">
        <w:t xml:space="preserve"> cases series studies</w:t>
      </w:r>
      <w:r w:rsidR="00B66A2D">
        <w:t xml:space="preserve">, </w:t>
      </w:r>
      <w:r w:rsidR="0099729D" w:rsidRPr="00F87054">
        <w:t xml:space="preserve">patients underwent </w:t>
      </w:r>
      <w:r w:rsidR="0099729D">
        <w:t>ABiC</w:t>
      </w:r>
      <w:r w:rsidR="0099729D" w:rsidRPr="00F87054">
        <w:t xml:space="preserve"> with the </w:t>
      </w:r>
      <w:r w:rsidR="0099729D" w:rsidRPr="0078327D">
        <w:t>iTrack</w:t>
      </w:r>
      <w:r w:rsidR="0099729D" w:rsidRPr="00F87054">
        <w:t xml:space="preserve"> device (n = 134 eyes of 114 patients, k = 3), the VISCO360 device</w:t>
      </w:r>
      <w:r w:rsidR="0001543E">
        <w:br/>
      </w:r>
      <w:r w:rsidR="0099729D" w:rsidRPr="00F87054">
        <w:t xml:space="preserve">(n = 286 eyes of 201 participants, k = 2), the VISCO360 or OMNI surgical system </w:t>
      </w:r>
      <w:r w:rsidR="0001543E">
        <w:br/>
      </w:r>
      <w:r w:rsidR="0099729D" w:rsidRPr="00F87054">
        <w:t xml:space="preserve">(n = 89 eyes of 64 participants, k = 1), or </w:t>
      </w:r>
      <w:r w:rsidR="0099729D">
        <w:t>ABiC</w:t>
      </w:r>
      <w:r w:rsidR="0099729D" w:rsidRPr="00F87054">
        <w:t xml:space="preserve"> with the device not reported </w:t>
      </w:r>
      <w:r w:rsidR="0001543E">
        <w:br/>
      </w:r>
      <w:r w:rsidR="0099729D" w:rsidRPr="00F87054">
        <w:t>(n = 36 eyes of 28 participants, k = 1). Two studies also compared standalone and cataract-combined procedures. Across all the included studies, the maximum length of follow up was up to 24-month</w:t>
      </w:r>
      <w:r w:rsidR="00922B6A">
        <w:t>s</w:t>
      </w:r>
      <w:r w:rsidR="0099729D" w:rsidRPr="00F87054">
        <w:t xml:space="preserve">. Mean participant age ranged from 70–76 years (k = 5) (participant ages ranging from 43–91 years, k = 7). Reported outcomes include IOP (k = 7), change in medication (k = 7), visual acuity (k = 3), surgical success (k = 2) and surgical failure or need for secondary glaucoma surgery (k = 4). </w:t>
      </w:r>
    </w:p>
    <w:p w14:paraId="4DAA02BD" w14:textId="004BC5D0" w:rsidR="0099729D" w:rsidRPr="00F87054" w:rsidRDefault="0099729D" w:rsidP="006672D2">
      <w:pPr>
        <w:spacing w:before="240"/>
      </w:pPr>
      <w:r>
        <w:t>Due to the limitations in the evidence base for the intervention,</w:t>
      </w:r>
      <w:r w:rsidR="002A1331" w:rsidRPr="00F87054">
        <w:t xml:space="preserve"> only a naïve comparison between the intervention and the comparator was possible. </w:t>
      </w:r>
      <w:r w:rsidRPr="00F87054">
        <w:t xml:space="preserve">Seven </w:t>
      </w:r>
      <w:r>
        <w:t xml:space="preserve">(7) </w:t>
      </w:r>
      <w:r w:rsidRPr="00F87054">
        <w:t xml:space="preserve">studies </w:t>
      </w:r>
      <w:r w:rsidR="00B66A2D">
        <w:t>(</w:t>
      </w:r>
      <w:r w:rsidR="00B66A2D" w:rsidRPr="00F87054">
        <w:t>633 eyes from 521 participants</w:t>
      </w:r>
      <w:r w:rsidR="00B66A2D">
        <w:t xml:space="preserve">) </w:t>
      </w:r>
      <w:r w:rsidRPr="00F87054">
        <w:t xml:space="preserve">on micro-bypass stents (the comparator device, including </w:t>
      </w:r>
      <w:proofErr w:type="spellStart"/>
      <w:r w:rsidRPr="00F87054">
        <w:t>iStent</w:t>
      </w:r>
      <w:proofErr w:type="spellEnd"/>
      <w:r w:rsidRPr="00F87054">
        <w:t xml:space="preserve">, </w:t>
      </w:r>
      <w:proofErr w:type="spellStart"/>
      <w:r w:rsidRPr="00F87054">
        <w:t>iStent</w:t>
      </w:r>
      <w:proofErr w:type="spellEnd"/>
      <w:r w:rsidRPr="00F87054">
        <w:t xml:space="preserve"> inject, Hydrus and XEN gel stent) with or without cataract surgery were included</w:t>
      </w:r>
      <w:r w:rsidR="00240D4B">
        <w:t xml:space="preserve"> (</w:t>
      </w:r>
      <w:r w:rsidR="00240D4B">
        <w:fldChar w:fldCharType="begin"/>
      </w:r>
      <w:r w:rsidR="00240D4B">
        <w:instrText xml:space="preserve"> REF _Ref399236533 \h </w:instrText>
      </w:r>
      <w:r w:rsidR="00240D4B">
        <w:fldChar w:fldCharType="separate"/>
      </w:r>
      <w:r w:rsidR="00240D4B" w:rsidRPr="00F87054">
        <w:t xml:space="preserve">Table </w:t>
      </w:r>
      <w:r w:rsidR="00240D4B">
        <w:rPr>
          <w:noProof/>
        </w:rPr>
        <w:t>4</w:t>
      </w:r>
      <w:r w:rsidR="00240D4B">
        <w:fldChar w:fldCharType="end"/>
      </w:r>
      <w:r w:rsidR="00240D4B">
        <w:t>)</w:t>
      </w:r>
      <w:r w:rsidRPr="00F87054">
        <w:t xml:space="preserve">. All </w:t>
      </w:r>
      <w:r w:rsidR="007E7070">
        <w:t xml:space="preserve">comparator </w:t>
      </w:r>
      <w:r w:rsidRPr="00F87054">
        <w:t xml:space="preserve">studies provided single arm data, of which two were extracted from </w:t>
      </w:r>
      <w:r>
        <w:t>randomised clinical trials (R</w:t>
      </w:r>
      <w:r w:rsidRPr="00F87054">
        <w:t>CT</w:t>
      </w:r>
      <w:r>
        <w:t>)</w:t>
      </w:r>
      <w:r w:rsidRPr="00F87054">
        <w:t xml:space="preserve">. Comparisons from the RCTs were not relevant to this assessment as they were designed to compare combined micro-bypass stent implantation to cataract surgery alone or </w:t>
      </w:r>
      <w:r>
        <w:t>to compare</w:t>
      </w:r>
      <w:r w:rsidRPr="00F87054">
        <w:t xml:space="preserve"> the safety and effectiveness of varying numbers of implanted stents. Therefore, the relevant arm of the RCTs was extracted and considered as case series data. </w:t>
      </w:r>
      <w:r w:rsidR="00B66A2D">
        <w:t>F</w:t>
      </w:r>
      <w:r w:rsidRPr="00F87054">
        <w:t>ollow-up times rang</w:t>
      </w:r>
      <w:r w:rsidR="00B66A2D">
        <w:t xml:space="preserve">ed </w:t>
      </w:r>
      <w:r w:rsidRPr="00F87054">
        <w:t>from 12–48 months. Sample sizes varied from 21 to 226 participants. The mean age of participants ranged from 65–78 years (k = 6). Four studies performed micro-bypass stent implantation concurrent to cataract surgery</w:t>
      </w:r>
      <w:r>
        <w:t>,</w:t>
      </w:r>
      <w:r w:rsidRPr="00F87054">
        <w:t xml:space="preserve"> and 4 studies performed micro-bypass stent implantation as a standalone procedure. One study provided data on both standalone and combined procedures. This was the only study with comparative data between standalone and combined procedures of a micro-bypass stent device (XEN gel stent). All studies reported on IOP, change in medication burden, and safety. Three studies assessed visual acuity. Surgical failure or need for secondary surgeries was reported by most studies (k = 6); however, surgical success was only reported by 2 studies. Two of the included comparator studies were also studies (RCTs) included in MSAC application 1483; one of these was also included in MSAC application 1496. Both applications were submission-based assessments performed in 2017. </w:t>
      </w:r>
    </w:p>
    <w:p w14:paraId="44CB215A" w14:textId="2D1484D2" w:rsidR="0099729D" w:rsidRDefault="0099729D" w:rsidP="006672D2">
      <w:pPr>
        <w:tabs>
          <w:tab w:val="left" w:pos="720"/>
          <w:tab w:val="left" w:pos="1140"/>
        </w:tabs>
        <w:spacing w:before="240"/>
      </w:pPr>
      <w:r>
        <w:t xml:space="preserve">Key features of the included studies are summarised in </w:t>
      </w:r>
      <w:r>
        <w:fldChar w:fldCharType="begin"/>
      </w:r>
      <w:r>
        <w:instrText xml:space="preserve"> REF _Ref399236533 \h </w:instrText>
      </w:r>
      <w:r>
        <w:fldChar w:fldCharType="separate"/>
      </w:r>
      <w:r w:rsidRPr="00F87054">
        <w:t xml:space="preserve">Table </w:t>
      </w:r>
      <w:r>
        <w:rPr>
          <w:noProof/>
        </w:rPr>
        <w:t>4</w:t>
      </w:r>
      <w:r>
        <w:fldChar w:fldCharType="end"/>
      </w:r>
      <w:r>
        <w:t>.</w:t>
      </w:r>
    </w:p>
    <w:p w14:paraId="03275760" w14:textId="678217E4" w:rsidR="00AA615A" w:rsidRPr="00AA615A" w:rsidRDefault="0099729D" w:rsidP="00AA615A">
      <w:pPr>
        <w:pStyle w:val="Caption"/>
        <w:rPr>
          <w:snapToGrid w:val="0"/>
        </w:rPr>
      </w:pPr>
      <w:bookmarkStart w:id="12" w:name="_Ref399236533"/>
      <w:bookmarkStart w:id="13" w:name="_Toc81257849"/>
      <w:bookmarkStart w:id="14" w:name="_Ref84578791"/>
      <w:r w:rsidRPr="00F87054">
        <w:lastRenderedPageBreak/>
        <w:t xml:space="preserve">Table </w:t>
      </w:r>
      <w:fldSimple w:instr=" SEQ Table \* ARABIC ">
        <w:r>
          <w:rPr>
            <w:noProof/>
          </w:rPr>
          <w:t>4</w:t>
        </w:r>
      </w:fldSimple>
      <w:bookmarkEnd w:id="12"/>
      <w:r w:rsidRPr="00F87054">
        <w:tab/>
      </w:r>
      <w:r w:rsidRPr="00F87054">
        <w:rPr>
          <w:snapToGrid w:val="0"/>
        </w:rPr>
        <w:t>Key features of the included evidence on ABiC using a microcatheter (intervention) and micro-bypass stents (comparator)</w:t>
      </w:r>
      <w:bookmarkEnd w:id="13"/>
      <w:bookmarkEnd w:id="14"/>
    </w:p>
    <w:tbl>
      <w:tblPr>
        <w:tblStyle w:val="TableGrid1"/>
        <w:tblW w:w="5028" w:type="pct"/>
        <w:tblLook w:val="04A0" w:firstRow="1" w:lastRow="0" w:firstColumn="1" w:lastColumn="0" w:noHBand="0" w:noVBand="1"/>
        <w:tblCaption w:val="Table 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538"/>
        <w:gridCol w:w="1230"/>
        <w:gridCol w:w="1112"/>
        <w:gridCol w:w="615"/>
        <w:gridCol w:w="809"/>
        <w:gridCol w:w="872"/>
        <w:gridCol w:w="811"/>
        <w:gridCol w:w="1675"/>
        <w:gridCol w:w="1404"/>
      </w:tblGrid>
      <w:tr w:rsidR="0099729D" w:rsidRPr="00F87054" w14:paraId="3A982756" w14:textId="77777777" w:rsidTr="00E36D22">
        <w:trPr>
          <w:cnfStyle w:val="100000000000" w:firstRow="1" w:lastRow="0" w:firstColumn="0" w:lastColumn="0" w:oddVBand="0" w:evenVBand="0" w:oddHBand="0" w:evenHBand="0" w:firstRowFirstColumn="0" w:firstRowLastColumn="0" w:lastRowFirstColumn="0" w:lastRowLastColumn="0"/>
          <w:trHeight w:val="487"/>
          <w:tblHeader/>
        </w:trPr>
        <w:tc>
          <w:tcPr>
            <w:tcW w:w="297" w:type="pct"/>
            <w:shd w:val="clear" w:color="auto" w:fill="D9D9D9" w:themeFill="background1" w:themeFillShade="D9"/>
            <w:vAlign w:val="center"/>
          </w:tcPr>
          <w:p w14:paraId="445C771F" w14:textId="77777777" w:rsidR="0099729D" w:rsidRPr="00F87054" w:rsidRDefault="0099729D" w:rsidP="00AA615A">
            <w:pPr>
              <w:pStyle w:val="Tabletext"/>
              <w:keepNext/>
              <w:keepLines/>
              <w:jc w:val="center"/>
              <w:rPr>
                <w:b/>
                <w:bCs/>
                <w:snapToGrid w:val="0"/>
              </w:rPr>
            </w:pPr>
          </w:p>
        </w:tc>
        <w:tc>
          <w:tcPr>
            <w:tcW w:w="692" w:type="pct"/>
            <w:shd w:val="clear" w:color="auto" w:fill="D9D9D9" w:themeFill="background1" w:themeFillShade="D9"/>
            <w:vAlign w:val="center"/>
          </w:tcPr>
          <w:p w14:paraId="2A52B049" w14:textId="77777777" w:rsidR="0099729D" w:rsidRPr="00F87054" w:rsidRDefault="0099729D" w:rsidP="00AA615A">
            <w:pPr>
              <w:pStyle w:val="Tabletext"/>
              <w:keepNext/>
              <w:keepLines/>
              <w:jc w:val="center"/>
              <w:rPr>
                <w:b/>
                <w:bCs/>
                <w:snapToGrid w:val="0"/>
              </w:rPr>
            </w:pPr>
            <w:r w:rsidRPr="00F87054">
              <w:rPr>
                <w:b/>
                <w:bCs/>
                <w:snapToGrid w:val="0"/>
              </w:rPr>
              <w:t>Study</w:t>
            </w:r>
          </w:p>
        </w:tc>
        <w:tc>
          <w:tcPr>
            <w:tcW w:w="620" w:type="pct"/>
            <w:shd w:val="clear" w:color="auto" w:fill="D9D9D9" w:themeFill="background1" w:themeFillShade="D9"/>
            <w:vAlign w:val="center"/>
          </w:tcPr>
          <w:p w14:paraId="4141BA0F" w14:textId="77777777" w:rsidR="0099729D" w:rsidRPr="00F87054" w:rsidRDefault="0099729D" w:rsidP="00AA615A">
            <w:pPr>
              <w:pStyle w:val="Tabletext"/>
              <w:keepNext/>
              <w:keepLines/>
              <w:jc w:val="center"/>
              <w:rPr>
                <w:b/>
                <w:bCs/>
                <w:snapToGrid w:val="0"/>
              </w:rPr>
            </w:pPr>
            <w:r w:rsidRPr="00F87054">
              <w:rPr>
                <w:b/>
                <w:bCs/>
                <w:snapToGrid w:val="0"/>
              </w:rPr>
              <w:t>Device</w:t>
            </w:r>
          </w:p>
        </w:tc>
        <w:tc>
          <w:tcPr>
            <w:tcW w:w="346" w:type="pct"/>
            <w:shd w:val="clear" w:color="auto" w:fill="D9D9D9" w:themeFill="background1" w:themeFillShade="D9"/>
            <w:vAlign w:val="center"/>
          </w:tcPr>
          <w:p w14:paraId="118BAD9D" w14:textId="77777777" w:rsidR="0099729D" w:rsidRPr="00F87054" w:rsidRDefault="0099729D" w:rsidP="00AA615A">
            <w:pPr>
              <w:pStyle w:val="Tabletext"/>
              <w:keepNext/>
              <w:keepLines/>
              <w:jc w:val="center"/>
              <w:rPr>
                <w:b/>
                <w:bCs/>
                <w:snapToGrid w:val="0"/>
              </w:rPr>
            </w:pPr>
            <w:r w:rsidRPr="00F87054">
              <w:rPr>
                <w:b/>
                <w:bCs/>
                <w:snapToGrid w:val="0"/>
              </w:rPr>
              <w:t>SA/C</w:t>
            </w:r>
          </w:p>
        </w:tc>
        <w:tc>
          <w:tcPr>
            <w:tcW w:w="446" w:type="pct"/>
            <w:shd w:val="clear" w:color="auto" w:fill="D9D9D9" w:themeFill="background1" w:themeFillShade="D9"/>
            <w:vAlign w:val="center"/>
          </w:tcPr>
          <w:p w14:paraId="3690238C" w14:textId="77777777" w:rsidR="0099729D" w:rsidRPr="00F87054" w:rsidRDefault="0099729D" w:rsidP="00AA615A">
            <w:pPr>
              <w:pStyle w:val="Tabletext"/>
              <w:keepNext/>
              <w:keepLines/>
              <w:jc w:val="center"/>
              <w:rPr>
                <w:b/>
                <w:bCs/>
                <w:snapToGrid w:val="0"/>
              </w:rPr>
            </w:pPr>
            <w:r w:rsidRPr="00F87054">
              <w:rPr>
                <w:b/>
                <w:bCs/>
                <w:snapToGrid w:val="0"/>
              </w:rPr>
              <w:t>N (p/e)</w:t>
            </w:r>
          </w:p>
        </w:tc>
        <w:tc>
          <w:tcPr>
            <w:tcW w:w="481" w:type="pct"/>
            <w:shd w:val="clear" w:color="auto" w:fill="D9D9D9" w:themeFill="background1" w:themeFillShade="D9"/>
            <w:vAlign w:val="center"/>
          </w:tcPr>
          <w:p w14:paraId="52B07E96" w14:textId="77777777" w:rsidR="0099729D" w:rsidRPr="00F87054" w:rsidRDefault="0099729D" w:rsidP="00AA615A">
            <w:pPr>
              <w:pStyle w:val="Tabletext"/>
              <w:keepNext/>
              <w:keepLines/>
              <w:jc w:val="center"/>
              <w:rPr>
                <w:b/>
                <w:bCs/>
                <w:snapToGrid w:val="0"/>
              </w:rPr>
            </w:pPr>
            <w:r w:rsidRPr="00F87054">
              <w:rPr>
                <w:b/>
                <w:bCs/>
                <w:snapToGrid w:val="0"/>
              </w:rPr>
              <w:t>Study duration</w:t>
            </w:r>
          </w:p>
        </w:tc>
        <w:tc>
          <w:tcPr>
            <w:tcW w:w="454" w:type="pct"/>
            <w:shd w:val="clear" w:color="auto" w:fill="D9D9D9" w:themeFill="background1" w:themeFillShade="D9"/>
            <w:vAlign w:val="center"/>
          </w:tcPr>
          <w:p w14:paraId="57F51A54" w14:textId="77777777" w:rsidR="0099729D" w:rsidRPr="00F87054" w:rsidRDefault="0099729D" w:rsidP="00AA615A">
            <w:pPr>
              <w:pStyle w:val="Tabletext"/>
              <w:keepNext/>
              <w:keepLines/>
              <w:jc w:val="center"/>
              <w:rPr>
                <w:b/>
                <w:bCs/>
                <w:snapToGrid w:val="0"/>
              </w:rPr>
            </w:pPr>
            <w:r w:rsidRPr="00F87054">
              <w:rPr>
                <w:b/>
                <w:bCs/>
                <w:snapToGrid w:val="0"/>
              </w:rPr>
              <w:t>Risk of bias (max. 20)</w:t>
            </w:r>
          </w:p>
        </w:tc>
        <w:tc>
          <w:tcPr>
            <w:tcW w:w="882" w:type="pct"/>
            <w:shd w:val="clear" w:color="auto" w:fill="D9D9D9" w:themeFill="background1" w:themeFillShade="D9"/>
            <w:vAlign w:val="center"/>
          </w:tcPr>
          <w:p w14:paraId="7100008C" w14:textId="77777777" w:rsidR="0099729D" w:rsidRPr="00F87054" w:rsidRDefault="0099729D" w:rsidP="00AA615A">
            <w:pPr>
              <w:pStyle w:val="Tabletext"/>
              <w:keepNext/>
              <w:keepLines/>
              <w:jc w:val="center"/>
              <w:rPr>
                <w:b/>
                <w:bCs/>
                <w:snapToGrid w:val="0"/>
              </w:rPr>
            </w:pPr>
            <w:r w:rsidRPr="00F87054">
              <w:rPr>
                <w:b/>
                <w:bCs/>
                <w:snapToGrid w:val="0"/>
              </w:rPr>
              <w:t>Patient population</w:t>
            </w:r>
          </w:p>
        </w:tc>
        <w:tc>
          <w:tcPr>
            <w:tcW w:w="781" w:type="pct"/>
            <w:shd w:val="clear" w:color="auto" w:fill="D9D9D9" w:themeFill="background1" w:themeFillShade="D9"/>
            <w:vAlign w:val="center"/>
          </w:tcPr>
          <w:p w14:paraId="2821FA9D" w14:textId="77777777" w:rsidR="0099729D" w:rsidRPr="00F87054" w:rsidRDefault="0099729D" w:rsidP="00AA615A">
            <w:pPr>
              <w:pStyle w:val="Tabletext"/>
              <w:keepNext/>
              <w:keepLines/>
              <w:jc w:val="center"/>
              <w:rPr>
                <w:b/>
                <w:bCs/>
                <w:snapToGrid w:val="0"/>
              </w:rPr>
            </w:pPr>
            <w:r w:rsidRPr="00F87054">
              <w:rPr>
                <w:b/>
                <w:bCs/>
                <w:snapToGrid w:val="0"/>
              </w:rPr>
              <w:t>Key outcome(s)</w:t>
            </w:r>
          </w:p>
        </w:tc>
      </w:tr>
      <w:tr w:rsidR="0099729D" w:rsidRPr="00F87054" w14:paraId="3997ECB8" w14:textId="77777777" w:rsidTr="00E36D22">
        <w:trPr>
          <w:cantSplit/>
          <w:trHeight w:val="719"/>
        </w:trPr>
        <w:tc>
          <w:tcPr>
            <w:tcW w:w="297" w:type="pct"/>
            <w:vMerge w:val="restart"/>
            <w:shd w:val="clear" w:color="auto" w:fill="D9D9D9" w:themeFill="background1" w:themeFillShade="D9"/>
            <w:textDirection w:val="btLr"/>
            <w:vAlign w:val="center"/>
          </w:tcPr>
          <w:p w14:paraId="7A29E0F6" w14:textId="77777777" w:rsidR="0099729D" w:rsidRPr="00F87054" w:rsidRDefault="0099729D" w:rsidP="00AA615A">
            <w:pPr>
              <w:pStyle w:val="Tabletext"/>
              <w:keepNext/>
              <w:keepLines/>
              <w:jc w:val="center"/>
              <w:rPr>
                <w:b/>
                <w:snapToGrid w:val="0"/>
              </w:rPr>
            </w:pPr>
            <w:r w:rsidRPr="00F87054">
              <w:rPr>
                <w:b/>
                <w:snapToGrid w:val="0"/>
              </w:rPr>
              <w:t>Intervention</w:t>
            </w:r>
          </w:p>
        </w:tc>
        <w:tc>
          <w:tcPr>
            <w:tcW w:w="692" w:type="pct"/>
            <w:vAlign w:val="center"/>
          </w:tcPr>
          <w:p w14:paraId="33A82B96" w14:textId="02C23C2B" w:rsidR="0099729D" w:rsidRPr="00F87054" w:rsidRDefault="00960ECD" w:rsidP="00AA615A">
            <w:pPr>
              <w:pStyle w:val="Tabletext"/>
              <w:keepNext/>
              <w:keepLines/>
              <w:rPr>
                <w:snapToGrid w:val="0"/>
              </w:rPr>
            </w:pPr>
            <w:proofErr w:type="spellStart"/>
            <w:r w:rsidRPr="00960ECD">
              <w:rPr>
                <w:snapToGrid w:val="0"/>
              </w:rPr>
              <w:t>Davids</w:t>
            </w:r>
            <w:proofErr w:type="spellEnd"/>
            <w:r w:rsidRPr="00960ECD">
              <w:rPr>
                <w:snapToGrid w:val="0"/>
              </w:rPr>
              <w:t xml:space="preserve"> et al., 2019</w:t>
            </w:r>
          </w:p>
        </w:tc>
        <w:tc>
          <w:tcPr>
            <w:tcW w:w="620" w:type="pct"/>
            <w:vAlign w:val="center"/>
          </w:tcPr>
          <w:p w14:paraId="559CFAD3" w14:textId="77777777" w:rsidR="0099729D" w:rsidRPr="00F87054" w:rsidRDefault="0099729D" w:rsidP="00AA615A">
            <w:pPr>
              <w:pStyle w:val="Tabletext"/>
              <w:keepNext/>
              <w:keepLines/>
              <w:jc w:val="center"/>
              <w:rPr>
                <w:snapToGrid w:val="0"/>
              </w:rPr>
            </w:pPr>
            <w:r w:rsidRPr="00F87054">
              <w:rPr>
                <w:snapToGrid w:val="0"/>
              </w:rPr>
              <w:t>NR</w:t>
            </w:r>
          </w:p>
        </w:tc>
        <w:tc>
          <w:tcPr>
            <w:tcW w:w="346" w:type="pct"/>
            <w:vAlign w:val="center"/>
          </w:tcPr>
          <w:p w14:paraId="024F489F" w14:textId="3D466E8E" w:rsidR="0099729D" w:rsidRPr="00F87054" w:rsidRDefault="0099729D" w:rsidP="00AA615A">
            <w:pPr>
              <w:pStyle w:val="Tabletext"/>
              <w:keepNext/>
              <w:keepLines/>
              <w:jc w:val="center"/>
              <w:rPr>
                <w:snapToGrid w:val="0"/>
              </w:rPr>
            </w:pPr>
            <w:r w:rsidRPr="00F87054">
              <w:rPr>
                <w:snapToGrid w:val="0"/>
              </w:rPr>
              <w:t>SA vs C</w:t>
            </w:r>
          </w:p>
        </w:tc>
        <w:tc>
          <w:tcPr>
            <w:tcW w:w="446" w:type="pct"/>
            <w:vAlign w:val="center"/>
          </w:tcPr>
          <w:p w14:paraId="36A1B8AE" w14:textId="77777777" w:rsidR="0099729D" w:rsidRPr="00F87054" w:rsidRDefault="0099729D" w:rsidP="00AA615A">
            <w:pPr>
              <w:pStyle w:val="Tabletext"/>
              <w:keepNext/>
              <w:keepLines/>
              <w:jc w:val="center"/>
              <w:rPr>
                <w:snapToGrid w:val="0"/>
              </w:rPr>
            </w:pPr>
            <w:r w:rsidRPr="00F87054">
              <w:rPr>
                <w:snapToGrid w:val="0"/>
              </w:rPr>
              <w:t>28/36</w:t>
            </w:r>
          </w:p>
        </w:tc>
        <w:tc>
          <w:tcPr>
            <w:tcW w:w="481" w:type="pct"/>
            <w:vAlign w:val="center"/>
          </w:tcPr>
          <w:p w14:paraId="7536B889" w14:textId="77777777" w:rsidR="0099729D" w:rsidRPr="00F87054" w:rsidRDefault="0099729D" w:rsidP="00AA615A">
            <w:pPr>
              <w:pStyle w:val="Tabletext"/>
              <w:keepNext/>
              <w:keepLines/>
              <w:jc w:val="center"/>
              <w:rPr>
                <w:snapToGrid w:val="0"/>
              </w:rPr>
            </w:pPr>
            <w:r w:rsidRPr="00F87054">
              <w:rPr>
                <w:snapToGrid w:val="0"/>
              </w:rPr>
              <w:t>12m</w:t>
            </w:r>
          </w:p>
        </w:tc>
        <w:tc>
          <w:tcPr>
            <w:tcW w:w="454" w:type="pct"/>
            <w:vAlign w:val="center"/>
          </w:tcPr>
          <w:p w14:paraId="4F5261FF" w14:textId="77777777" w:rsidR="0099729D" w:rsidRPr="00F87054" w:rsidRDefault="0099729D" w:rsidP="00AA615A">
            <w:pPr>
              <w:pStyle w:val="Tabletext"/>
              <w:keepNext/>
              <w:keepLines/>
              <w:jc w:val="center"/>
              <w:rPr>
                <w:snapToGrid w:val="0"/>
              </w:rPr>
            </w:pPr>
            <w:r w:rsidRPr="00F87054">
              <w:rPr>
                <w:snapToGrid w:val="0"/>
              </w:rPr>
              <w:t>15</w:t>
            </w:r>
          </w:p>
        </w:tc>
        <w:tc>
          <w:tcPr>
            <w:tcW w:w="882" w:type="pct"/>
            <w:vAlign w:val="center"/>
          </w:tcPr>
          <w:p w14:paraId="268641CA" w14:textId="77777777" w:rsidR="0099729D" w:rsidRPr="00F87054" w:rsidRDefault="0099729D" w:rsidP="00AA615A">
            <w:pPr>
              <w:pStyle w:val="Tabletext"/>
              <w:keepNext/>
              <w:keepLines/>
              <w:jc w:val="center"/>
              <w:rPr>
                <w:snapToGrid w:val="0"/>
              </w:rPr>
            </w:pPr>
            <w:r w:rsidRPr="00F87054">
              <w:rPr>
                <w:snapToGrid w:val="0"/>
              </w:rPr>
              <w:t>OAG</w:t>
            </w:r>
          </w:p>
        </w:tc>
        <w:tc>
          <w:tcPr>
            <w:tcW w:w="781" w:type="pct"/>
            <w:vAlign w:val="center"/>
          </w:tcPr>
          <w:p w14:paraId="0796A72C" w14:textId="77777777" w:rsidR="0099729D" w:rsidRPr="00F87054" w:rsidRDefault="0099729D" w:rsidP="00AA615A">
            <w:pPr>
              <w:pStyle w:val="Tabletext"/>
              <w:keepNext/>
              <w:keepLines/>
              <w:jc w:val="center"/>
              <w:rPr>
                <w:snapToGrid w:val="0"/>
              </w:rPr>
            </w:pPr>
            <w:r w:rsidRPr="00F87054">
              <w:rPr>
                <w:snapToGrid w:val="0"/>
              </w:rPr>
              <w:t>IOP, Med, VA, Failure/SS</w:t>
            </w:r>
          </w:p>
        </w:tc>
      </w:tr>
      <w:tr w:rsidR="0099729D" w:rsidRPr="00F87054" w14:paraId="7C5C17F0" w14:textId="77777777" w:rsidTr="00E36D22">
        <w:trPr>
          <w:trHeight w:val="270"/>
        </w:trPr>
        <w:tc>
          <w:tcPr>
            <w:tcW w:w="297" w:type="pct"/>
            <w:vMerge/>
            <w:shd w:val="clear" w:color="auto" w:fill="D9D9D9" w:themeFill="background1" w:themeFillShade="D9"/>
            <w:vAlign w:val="center"/>
          </w:tcPr>
          <w:p w14:paraId="14612F5B" w14:textId="77777777" w:rsidR="0099729D" w:rsidRPr="00F87054" w:rsidRDefault="0099729D" w:rsidP="00AA615A">
            <w:pPr>
              <w:pStyle w:val="Tabletext"/>
              <w:keepNext/>
              <w:keepLines/>
              <w:jc w:val="center"/>
              <w:rPr>
                <w:b/>
                <w:snapToGrid w:val="0"/>
              </w:rPr>
            </w:pPr>
          </w:p>
        </w:tc>
        <w:tc>
          <w:tcPr>
            <w:tcW w:w="692" w:type="pct"/>
            <w:vAlign w:val="center"/>
          </w:tcPr>
          <w:p w14:paraId="6F6267BC" w14:textId="2B1E44A9" w:rsidR="0099729D" w:rsidRPr="00F87054" w:rsidRDefault="00960ECD" w:rsidP="00AA615A">
            <w:pPr>
              <w:pStyle w:val="Tabletext"/>
              <w:keepNext/>
              <w:keepLines/>
              <w:rPr>
                <w:snapToGrid w:val="0"/>
              </w:rPr>
            </w:pPr>
            <w:r w:rsidRPr="00960ECD">
              <w:rPr>
                <w:snapToGrid w:val="0"/>
              </w:rPr>
              <w:t>Hughes and Traynor, 2020</w:t>
            </w:r>
          </w:p>
        </w:tc>
        <w:tc>
          <w:tcPr>
            <w:tcW w:w="620" w:type="pct"/>
            <w:vAlign w:val="center"/>
          </w:tcPr>
          <w:p w14:paraId="2D32818C" w14:textId="4EB7B403" w:rsidR="0099729D" w:rsidRPr="00F87054" w:rsidRDefault="0099729D" w:rsidP="00AA615A">
            <w:pPr>
              <w:pStyle w:val="Tabletext"/>
              <w:keepNext/>
              <w:keepLines/>
              <w:jc w:val="center"/>
              <w:rPr>
                <w:snapToGrid w:val="0"/>
              </w:rPr>
            </w:pPr>
            <w:r w:rsidRPr="00F87054">
              <w:rPr>
                <w:snapToGrid w:val="0"/>
              </w:rPr>
              <w:t>VISCO360/ OMNI Surgical system</w:t>
            </w:r>
          </w:p>
        </w:tc>
        <w:tc>
          <w:tcPr>
            <w:tcW w:w="346" w:type="pct"/>
            <w:vAlign w:val="center"/>
          </w:tcPr>
          <w:p w14:paraId="05A0A138" w14:textId="77777777" w:rsidR="0099729D" w:rsidRPr="00F87054" w:rsidRDefault="0099729D" w:rsidP="00AA615A">
            <w:pPr>
              <w:pStyle w:val="Tabletext"/>
              <w:keepNext/>
              <w:keepLines/>
              <w:jc w:val="center"/>
              <w:rPr>
                <w:snapToGrid w:val="0"/>
              </w:rPr>
            </w:pPr>
            <w:r w:rsidRPr="00F87054">
              <w:rPr>
                <w:snapToGrid w:val="0"/>
              </w:rPr>
              <w:t>SA vs C</w:t>
            </w:r>
          </w:p>
        </w:tc>
        <w:tc>
          <w:tcPr>
            <w:tcW w:w="446" w:type="pct"/>
            <w:vAlign w:val="center"/>
          </w:tcPr>
          <w:p w14:paraId="7E558E26" w14:textId="77777777" w:rsidR="0099729D" w:rsidRPr="00F87054" w:rsidRDefault="0099729D" w:rsidP="00AA615A">
            <w:pPr>
              <w:pStyle w:val="Tabletext"/>
              <w:keepNext/>
              <w:keepLines/>
              <w:jc w:val="center"/>
              <w:rPr>
                <w:snapToGrid w:val="0"/>
              </w:rPr>
            </w:pPr>
            <w:r w:rsidRPr="00F87054">
              <w:rPr>
                <w:snapToGrid w:val="0"/>
              </w:rPr>
              <w:t>64/89</w:t>
            </w:r>
          </w:p>
        </w:tc>
        <w:tc>
          <w:tcPr>
            <w:tcW w:w="481" w:type="pct"/>
            <w:vAlign w:val="center"/>
          </w:tcPr>
          <w:p w14:paraId="333B3979" w14:textId="77777777" w:rsidR="0099729D" w:rsidRPr="00F87054" w:rsidRDefault="0099729D" w:rsidP="00AA615A">
            <w:pPr>
              <w:pStyle w:val="Tabletext"/>
              <w:keepNext/>
              <w:keepLines/>
              <w:jc w:val="center"/>
              <w:rPr>
                <w:snapToGrid w:val="0"/>
              </w:rPr>
            </w:pPr>
            <w:r w:rsidRPr="00F87054">
              <w:rPr>
                <w:snapToGrid w:val="0"/>
              </w:rPr>
              <w:t>18m</w:t>
            </w:r>
          </w:p>
        </w:tc>
        <w:tc>
          <w:tcPr>
            <w:tcW w:w="454" w:type="pct"/>
            <w:vAlign w:val="center"/>
          </w:tcPr>
          <w:p w14:paraId="02189F91" w14:textId="77777777" w:rsidR="0099729D" w:rsidRPr="00F87054" w:rsidRDefault="0099729D" w:rsidP="00AA615A">
            <w:pPr>
              <w:pStyle w:val="Tabletext"/>
              <w:keepNext/>
              <w:keepLines/>
              <w:jc w:val="center"/>
              <w:rPr>
                <w:snapToGrid w:val="0"/>
              </w:rPr>
            </w:pPr>
            <w:r w:rsidRPr="00F87054">
              <w:rPr>
                <w:snapToGrid w:val="0"/>
              </w:rPr>
              <w:t>17</w:t>
            </w:r>
          </w:p>
        </w:tc>
        <w:tc>
          <w:tcPr>
            <w:tcW w:w="882" w:type="pct"/>
            <w:vAlign w:val="center"/>
          </w:tcPr>
          <w:p w14:paraId="05AE3188" w14:textId="77777777" w:rsidR="0099729D" w:rsidRPr="00F87054" w:rsidRDefault="0099729D" w:rsidP="00AA615A">
            <w:pPr>
              <w:pStyle w:val="Tabletext"/>
              <w:keepNext/>
              <w:keepLines/>
              <w:jc w:val="center"/>
              <w:rPr>
                <w:snapToGrid w:val="0"/>
              </w:rPr>
            </w:pPr>
            <w:r w:rsidRPr="00F87054">
              <w:rPr>
                <w:snapToGrid w:val="0"/>
              </w:rPr>
              <w:t>OAG</w:t>
            </w:r>
          </w:p>
        </w:tc>
        <w:tc>
          <w:tcPr>
            <w:tcW w:w="781" w:type="pct"/>
            <w:vAlign w:val="center"/>
          </w:tcPr>
          <w:p w14:paraId="06AED633" w14:textId="77777777" w:rsidR="0099729D" w:rsidRPr="00F87054" w:rsidRDefault="0099729D" w:rsidP="00AA615A">
            <w:pPr>
              <w:pStyle w:val="Tabletext"/>
              <w:keepNext/>
              <w:keepLines/>
              <w:jc w:val="center"/>
              <w:rPr>
                <w:snapToGrid w:val="0"/>
              </w:rPr>
            </w:pPr>
            <w:r w:rsidRPr="00F87054">
              <w:rPr>
                <w:snapToGrid w:val="0"/>
              </w:rPr>
              <w:t>IOP, Med, Failure/SS</w:t>
            </w:r>
          </w:p>
        </w:tc>
      </w:tr>
      <w:tr w:rsidR="0099729D" w:rsidRPr="00F87054" w14:paraId="59F27C9E" w14:textId="77777777" w:rsidTr="00E36D22">
        <w:trPr>
          <w:trHeight w:val="270"/>
        </w:trPr>
        <w:tc>
          <w:tcPr>
            <w:tcW w:w="297" w:type="pct"/>
            <w:vMerge/>
            <w:shd w:val="clear" w:color="auto" w:fill="D9D9D9" w:themeFill="background1" w:themeFillShade="D9"/>
            <w:vAlign w:val="center"/>
          </w:tcPr>
          <w:p w14:paraId="740F56B0" w14:textId="77777777" w:rsidR="0099729D" w:rsidRPr="00F87054" w:rsidRDefault="0099729D" w:rsidP="00AA615A">
            <w:pPr>
              <w:pStyle w:val="Tabletext"/>
              <w:keepNext/>
              <w:keepLines/>
              <w:jc w:val="center"/>
              <w:rPr>
                <w:b/>
                <w:snapToGrid w:val="0"/>
              </w:rPr>
            </w:pPr>
          </w:p>
        </w:tc>
        <w:tc>
          <w:tcPr>
            <w:tcW w:w="692" w:type="pct"/>
            <w:vAlign w:val="center"/>
          </w:tcPr>
          <w:p w14:paraId="0B7D84AB" w14:textId="1B119595" w:rsidR="0099729D" w:rsidRPr="000466D0" w:rsidRDefault="00960ECD" w:rsidP="00AA615A">
            <w:pPr>
              <w:pStyle w:val="Tabletext"/>
              <w:keepNext/>
              <w:keepLines/>
              <w:rPr>
                <w:snapToGrid w:val="0"/>
              </w:rPr>
            </w:pPr>
            <w:r w:rsidRPr="000466D0">
              <w:rPr>
                <w:snapToGrid w:val="0"/>
              </w:rPr>
              <w:t>Gallardo, 2021</w:t>
            </w:r>
          </w:p>
        </w:tc>
        <w:tc>
          <w:tcPr>
            <w:tcW w:w="620" w:type="pct"/>
            <w:vAlign w:val="center"/>
          </w:tcPr>
          <w:p w14:paraId="695748CB" w14:textId="466E3566" w:rsidR="0099729D" w:rsidRPr="000466D0" w:rsidRDefault="0099729D" w:rsidP="00AA615A">
            <w:pPr>
              <w:pStyle w:val="Tabletext"/>
              <w:keepNext/>
              <w:keepLines/>
              <w:jc w:val="center"/>
              <w:rPr>
                <w:snapToGrid w:val="0"/>
              </w:rPr>
            </w:pPr>
            <w:r w:rsidRPr="000466D0">
              <w:rPr>
                <w:snapToGrid w:val="0"/>
              </w:rPr>
              <w:t>iTrack</w:t>
            </w:r>
          </w:p>
        </w:tc>
        <w:tc>
          <w:tcPr>
            <w:tcW w:w="346" w:type="pct"/>
            <w:vAlign w:val="center"/>
          </w:tcPr>
          <w:p w14:paraId="5490882F" w14:textId="77777777" w:rsidR="0099729D" w:rsidRPr="000466D0" w:rsidRDefault="0099729D" w:rsidP="00AA615A">
            <w:pPr>
              <w:pStyle w:val="Tabletext"/>
              <w:keepNext/>
              <w:keepLines/>
              <w:jc w:val="center"/>
              <w:rPr>
                <w:snapToGrid w:val="0"/>
              </w:rPr>
            </w:pPr>
            <w:r w:rsidRPr="000466D0">
              <w:rPr>
                <w:snapToGrid w:val="0"/>
              </w:rPr>
              <w:t>SA vs C</w:t>
            </w:r>
          </w:p>
        </w:tc>
        <w:tc>
          <w:tcPr>
            <w:tcW w:w="446" w:type="pct"/>
            <w:vAlign w:val="center"/>
          </w:tcPr>
          <w:p w14:paraId="47C55741" w14:textId="77777777" w:rsidR="0099729D" w:rsidRPr="000466D0" w:rsidRDefault="0099729D" w:rsidP="00AA615A">
            <w:pPr>
              <w:pStyle w:val="Tabletext"/>
              <w:keepNext/>
              <w:keepLines/>
              <w:jc w:val="center"/>
              <w:rPr>
                <w:snapToGrid w:val="0"/>
              </w:rPr>
            </w:pPr>
            <w:r w:rsidRPr="000466D0">
              <w:rPr>
                <w:snapToGrid w:val="0"/>
              </w:rPr>
              <w:t>53/60</w:t>
            </w:r>
          </w:p>
        </w:tc>
        <w:tc>
          <w:tcPr>
            <w:tcW w:w="481" w:type="pct"/>
            <w:vAlign w:val="center"/>
          </w:tcPr>
          <w:p w14:paraId="78B12CD4" w14:textId="77777777" w:rsidR="0099729D" w:rsidRPr="000466D0" w:rsidRDefault="0099729D" w:rsidP="00AA615A">
            <w:pPr>
              <w:pStyle w:val="Tabletext"/>
              <w:keepNext/>
              <w:keepLines/>
              <w:jc w:val="center"/>
              <w:rPr>
                <w:snapToGrid w:val="0"/>
              </w:rPr>
            </w:pPr>
            <w:r w:rsidRPr="000466D0">
              <w:rPr>
                <w:snapToGrid w:val="0"/>
              </w:rPr>
              <w:t>24m</w:t>
            </w:r>
          </w:p>
        </w:tc>
        <w:tc>
          <w:tcPr>
            <w:tcW w:w="454" w:type="pct"/>
            <w:vAlign w:val="center"/>
          </w:tcPr>
          <w:p w14:paraId="4011C783" w14:textId="77777777" w:rsidR="0099729D" w:rsidRPr="000466D0" w:rsidRDefault="0099729D" w:rsidP="00AA615A">
            <w:pPr>
              <w:pStyle w:val="Tabletext"/>
              <w:keepNext/>
              <w:keepLines/>
              <w:jc w:val="center"/>
              <w:rPr>
                <w:snapToGrid w:val="0"/>
              </w:rPr>
            </w:pPr>
            <w:r w:rsidRPr="000466D0">
              <w:rPr>
                <w:snapToGrid w:val="0"/>
              </w:rPr>
              <w:t>14</w:t>
            </w:r>
          </w:p>
        </w:tc>
        <w:tc>
          <w:tcPr>
            <w:tcW w:w="882" w:type="pct"/>
            <w:vAlign w:val="center"/>
          </w:tcPr>
          <w:p w14:paraId="051FC83B" w14:textId="77777777" w:rsidR="0099729D" w:rsidRPr="000466D0" w:rsidRDefault="0099729D" w:rsidP="00AA615A">
            <w:pPr>
              <w:pStyle w:val="Tabletext"/>
              <w:keepNext/>
              <w:keepLines/>
              <w:jc w:val="center"/>
              <w:rPr>
                <w:snapToGrid w:val="0"/>
              </w:rPr>
            </w:pPr>
            <w:r w:rsidRPr="000466D0">
              <w:rPr>
                <w:snapToGrid w:val="0"/>
              </w:rPr>
              <w:t>OAG</w:t>
            </w:r>
          </w:p>
        </w:tc>
        <w:tc>
          <w:tcPr>
            <w:tcW w:w="781" w:type="pct"/>
            <w:vAlign w:val="center"/>
          </w:tcPr>
          <w:p w14:paraId="2F513888" w14:textId="77777777" w:rsidR="0099729D" w:rsidRPr="000466D0" w:rsidRDefault="0099729D" w:rsidP="00AA615A">
            <w:pPr>
              <w:pStyle w:val="Tabletext"/>
              <w:keepNext/>
              <w:keepLines/>
              <w:jc w:val="center"/>
              <w:rPr>
                <w:snapToGrid w:val="0"/>
              </w:rPr>
            </w:pPr>
            <w:r w:rsidRPr="000466D0">
              <w:rPr>
                <w:snapToGrid w:val="0"/>
              </w:rPr>
              <w:t>IOP, Med, VA</w:t>
            </w:r>
          </w:p>
        </w:tc>
      </w:tr>
      <w:tr w:rsidR="0099729D" w:rsidRPr="00F87054" w14:paraId="3E07CD06" w14:textId="77777777" w:rsidTr="00E36D22">
        <w:trPr>
          <w:trHeight w:val="283"/>
        </w:trPr>
        <w:tc>
          <w:tcPr>
            <w:tcW w:w="297" w:type="pct"/>
            <w:vMerge/>
            <w:shd w:val="clear" w:color="auto" w:fill="D9D9D9" w:themeFill="background1" w:themeFillShade="D9"/>
            <w:vAlign w:val="center"/>
          </w:tcPr>
          <w:p w14:paraId="46A3909D" w14:textId="77777777" w:rsidR="0099729D" w:rsidRPr="00F87054" w:rsidRDefault="0099729D" w:rsidP="00AA615A">
            <w:pPr>
              <w:pStyle w:val="Tabletext"/>
              <w:keepNext/>
              <w:keepLines/>
              <w:jc w:val="center"/>
              <w:rPr>
                <w:b/>
                <w:snapToGrid w:val="0"/>
              </w:rPr>
            </w:pPr>
          </w:p>
        </w:tc>
        <w:tc>
          <w:tcPr>
            <w:tcW w:w="692" w:type="pct"/>
            <w:vAlign w:val="center"/>
          </w:tcPr>
          <w:p w14:paraId="0BEFC15D" w14:textId="2EB684D7" w:rsidR="0099729D" w:rsidRPr="000466D0" w:rsidRDefault="00960ECD" w:rsidP="00AA615A">
            <w:pPr>
              <w:pStyle w:val="Tabletext"/>
              <w:keepNext/>
              <w:keepLines/>
              <w:rPr>
                <w:snapToGrid w:val="0"/>
              </w:rPr>
            </w:pPr>
            <w:proofErr w:type="spellStart"/>
            <w:r w:rsidRPr="000466D0">
              <w:rPr>
                <w:snapToGrid w:val="0"/>
              </w:rPr>
              <w:t>Gillmann</w:t>
            </w:r>
            <w:proofErr w:type="spellEnd"/>
            <w:r w:rsidRPr="000466D0">
              <w:rPr>
                <w:snapToGrid w:val="0"/>
              </w:rPr>
              <w:t xml:space="preserve"> et al., 2021</w:t>
            </w:r>
          </w:p>
        </w:tc>
        <w:tc>
          <w:tcPr>
            <w:tcW w:w="620" w:type="pct"/>
            <w:vAlign w:val="center"/>
          </w:tcPr>
          <w:p w14:paraId="07D9B699" w14:textId="54EB6792" w:rsidR="0099729D" w:rsidRPr="000466D0" w:rsidRDefault="0099729D" w:rsidP="00AA615A">
            <w:pPr>
              <w:pStyle w:val="Tabletext"/>
              <w:keepNext/>
              <w:keepLines/>
              <w:jc w:val="center"/>
              <w:rPr>
                <w:snapToGrid w:val="0"/>
              </w:rPr>
            </w:pPr>
            <w:r w:rsidRPr="000466D0">
              <w:rPr>
                <w:snapToGrid w:val="0"/>
              </w:rPr>
              <w:t>iTrack</w:t>
            </w:r>
          </w:p>
        </w:tc>
        <w:tc>
          <w:tcPr>
            <w:tcW w:w="346" w:type="pct"/>
            <w:vAlign w:val="center"/>
          </w:tcPr>
          <w:p w14:paraId="463ECCB2" w14:textId="77777777" w:rsidR="0099729D" w:rsidRPr="000466D0" w:rsidRDefault="0099729D" w:rsidP="00AA615A">
            <w:pPr>
              <w:pStyle w:val="Tabletext"/>
              <w:keepNext/>
              <w:keepLines/>
              <w:jc w:val="center"/>
              <w:rPr>
                <w:snapToGrid w:val="0"/>
              </w:rPr>
            </w:pPr>
            <w:r w:rsidRPr="000466D0">
              <w:rPr>
                <w:snapToGrid w:val="0"/>
              </w:rPr>
              <w:t>C</w:t>
            </w:r>
          </w:p>
        </w:tc>
        <w:tc>
          <w:tcPr>
            <w:tcW w:w="446" w:type="pct"/>
            <w:vAlign w:val="center"/>
          </w:tcPr>
          <w:p w14:paraId="723F9C95" w14:textId="77777777" w:rsidR="0099729D" w:rsidRPr="000466D0" w:rsidRDefault="0099729D" w:rsidP="00AA615A">
            <w:pPr>
              <w:pStyle w:val="Tabletext"/>
              <w:keepNext/>
              <w:keepLines/>
              <w:jc w:val="center"/>
              <w:rPr>
                <w:snapToGrid w:val="0"/>
              </w:rPr>
            </w:pPr>
            <w:r w:rsidRPr="000466D0">
              <w:rPr>
                <w:snapToGrid w:val="0"/>
              </w:rPr>
              <w:t>41/54</w:t>
            </w:r>
          </w:p>
        </w:tc>
        <w:tc>
          <w:tcPr>
            <w:tcW w:w="481" w:type="pct"/>
            <w:vAlign w:val="center"/>
          </w:tcPr>
          <w:p w14:paraId="0D66EAC1" w14:textId="77777777" w:rsidR="0099729D" w:rsidRPr="000466D0" w:rsidRDefault="0099729D" w:rsidP="00AA615A">
            <w:pPr>
              <w:pStyle w:val="Tabletext"/>
              <w:keepNext/>
              <w:keepLines/>
              <w:jc w:val="center"/>
              <w:rPr>
                <w:snapToGrid w:val="0"/>
              </w:rPr>
            </w:pPr>
            <w:r w:rsidRPr="000466D0">
              <w:rPr>
                <w:snapToGrid w:val="0"/>
              </w:rPr>
              <w:t>12m</w:t>
            </w:r>
          </w:p>
        </w:tc>
        <w:tc>
          <w:tcPr>
            <w:tcW w:w="454" w:type="pct"/>
            <w:vAlign w:val="center"/>
          </w:tcPr>
          <w:p w14:paraId="4048B3DF" w14:textId="77777777" w:rsidR="0099729D" w:rsidRPr="000466D0" w:rsidRDefault="0099729D" w:rsidP="00AA615A">
            <w:pPr>
              <w:pStyle w:val="Tabletext"/>
              <w:keepNext/>
              <w:keepLines/>
              <w:jc w:val="center"/>
              <w:rPr>
                <w:snapToGrid w:val="0"/>
              </w:rPr>
            </w:pPr>
            <w:r w:rsidRPr="000466D0">
              <w:rPr>
                <w:snapToGrid w:val="0"/>
              </w:rPr>
              <w:t>14</w:t>
            </w:r>
          </w:p>
        </w:tc>
        <w:tc>
          <w:tcPr>
            <w:tcW w:w="882" w:type="pct"/>
            <w:vAlign w:val="center"/>
          </w:tcPr>
          <w:p w14:paraId="40294FF9" w14:textId="77777777" w:rsidR="0099729D" w:rsidRPr="000466D0" w:rsidRDefault="0099729D" w:rsidP="00AA615A">
            <w:pPr>
              <w:pStyle w:val="Tabletext"/>
              <w:keepNext/>
              <w:keepLines/>
              <w:jc w:val="center"/>
              <w:rPr>
                <w:snapToGrid w:val="0"/>
              </w:rPr>
            </w:pPr>
            <w:r w:rsidRPr="000466D0">
              <w:rPr>
                <w:snapToGrid w:val="0"/>
              </w:rPr>
              <w:t>OAG/PXG/PG</w:t>
            </w:r>
          </w:p>
        </w:tc>
        <w:tc>
          <w:tcPr>
            <w:tcW w:w="781" w:type="pct"/>
            <w:vAlign w:val="center"/>
          </w:tcPr>
          <w:p w14:paraId="0BEDD4C2" w14:textId="77777777" w:rsidR="0099729D" w:rsidRPr="000466D0" w:rsidRDefault="0099729D" w:rsidP="00AA615A">
            <w:pPr>
              <w:pStyle w:val="Tabletext"/>
              <w:keepNext/>
              <w:keepLines/>
              <w:jc w:val="center"/>
              <w:rPr>
                <w:snapToGrid w:val="0"/>
              </w:rPr>
            </w:pPr>
            <w:r w:rsidRPr="000466D0">
              <w:rPr>
                <w:snapToGrid w:val="0"/>
              </w:rPr>
              <w:t>IOP, Med, Success, Failure/SS</w:t>
            </w:r>
          </w:p>
        </w:tc>
      </w:tr>
      <w:tr w:rsidR="0099729D" w:rsidRPr="00F87054" w14:paraId="4EA0FD2A" w14:textId="77777777" w:rsidTr="00E36D22">
        <w:trPr>
          <w:trHeight w:val="270"/>
        </w:trPr>
        <w:tc>
          <w:tcPr>
            <w:tcW w:w="297" w:type="pct"/>
            <w:vMerge/>
            <w:shd w:val="clear" w:color="auto" w:fill="D9D9D9" w:themeFill="background1" w:themeFillShade="D9"/>
            <w:vAlign w:val="center"/>
          </w:tcPr>
          <w:p w14:paraId="4C514202" w14:textId="77777777" w:rsidR="0099729D" w:rsidRPr="00F87054" w:rsidRDefault="0099729D" w:rsidP="00AA615A">
            <w:pPr>
              <w:pStyle w:val="Tabletext"/>
              <w:keepNext/>
              <w:keepLines/>
              <w:jc w:val="center"/>
              <w:rPr>
                <w:b/>
                <w:snapToGrid w:val="0"/>
              </w:rPr>
            </w:pPr>
          </w:p>
        </w:tc>
        <w:tc>
          <w:tcPr>
            <w:tcW w:w="692" w:type="pct"/>
            <w:vAlign w:val="center"/>
          </w:tcPr>
          <w:p w14:paraId="645E36F8" w14:textId="2D483678" w:rsidR="0099729D" w:rsidRPr="00F87054" w:rsidRDefault="00960ECD" w:rsidP="00AA615A">
            <w:pPr>
              <w:pStyle w:val="Tabletext"/>
              <w:keepNext/>
              <w:keepLines/>
              <w:rPr>
                <w:snapToGrid w:val="0"/>
              </w:rPr>
            </w:pPr>
            <w:proofErr w:type="spellStart"/>
            <w:r w:rsidRPr="00960ECD">
              <w:rPr>
                <w:snapToGrid w:val="0"/>
              </w:rPr>
              <w:t>Körber</w:t>
            </w:r>
            <w:proofErr w:type="spellEnd"/>
            <w:r w:rsidRPr="00960ECD">
              <w:rPr>
                <w:snapToGrid w:val="0"/>
              </w:rPr>
              <w:t>, 2018</w:t>
            </w:r>
          </w:p>
        </w:tc>
        <w:tc>
          <w:tcPr>
            <w:tcW w:w="620" w:type="pct"/>
            <w:vAlign w:val="center"/>
          </w:tcPr>
          <w:p w14:paraId="0D6FA5AF" w14:textId="716EE194" w:rsidR="0099729D" w:rsidRPr="00F87054" w:rsidRDefault="0099729D" w:rsidP="00AA615A">
            <w:pPr>
              <w:pStyle w:val="Tabletext"/>
              <w:keepNext/>
              <w:keepLines/>
              <w:jc w:val="center"/>
              <w:rPr>
                <w:snapToGrid w:val="0"/>
              </w:rPr>
            </w:pPr>
            <w:r w:rsidRPr="00F87054">
              <w:rPr>
                <w:snapToGrid w:val="0"/>
              </w:rPr>
              <w:t>iTrack</w:t>
            </w:r>
          </w:p>
        </w:tc>
        <w:tc>
          <w:tcPr>
            <w:tcW w:w="346" w:type="pct"/>
            <w:vAlign w:val="center"/>
          </w:tcPr>
          <w:p w14:paraId="0F33D908" w14:textId="77777777" w:rsidR="0099729D" w:rsidRPr="00F87054" w:rsidRDefault="0099729D" w:rsidP="00AA615A">
            <w:pPr>
              <w:pStyle w:val="Tabletext"/>
              <w:keepNext/>
              <w:keepLines/>
              <w:jc w:val="center"/>
              <w:rPr>
                <w:snapToGrid w:val="0"/>
              </w:rPr>
            </w:pPr>
            <w:r w:rsidRPr="00F87054">
              <w:rPr>
                <w:snapToGrid w:val="0"/>
              </w:rPr>
              <w:t>T</w:t>
            </w:r>
          </w:p>
        </w:tc>
        <w:tc>
          <w:tcPr>
            <w:tcW w:w="446" w:type="pct"/>
            <w:vAlign w:val="center"/>
          </w:tcPr>
          <w:p w14:paraId="5319D30F" w14:textId="77777777" w:rsidR="0099729D" w:rsidRPr="00F87054" w:rsidRDefault="0099729D" w:rsidP="00AA615A">
            <w:pPr>
              <w:pStyle w:val="Tabletext"/>
              <w:keepNext/>
              <w:keepLines/>
              <w:jc w:val="center"/>
              <w:rPr>
                <w:snapToGrid w:val="0"/>
              </w:rPr>
            </w:pPr>
            <w:r w:rsidRPr="00F87054">
              <w:rPr>
                <w:snapToGrid w:val="0"/>
              </w:rPr>
              <w:t>20/20</w:t>
            </w:r>
          </w:p>
        </w:tc>
        <w:tc>
          <w:tcPr>
            <w:tcW w:w="481" w:type="pct"/>
            <w:vAlign w:val="center"/>
          </w:tcPr>
          <w:p w14:paraId="20C2C769" w14:textId="77777777" w:rsidR="0099729D" w:rsidRPr="00F87054" w:rsidRDefault="0099729D" w:rsidP="00AA615A">
            <w:pPr>
              <w:pStyle w:val="Tabletext"/>
              <w:keepNext/>
              <w:keepLines/>
              <w:jc w:val="center"/>
              <w:rPr>
                <w:snapToGrid w:val="0"/>
              </w:rPr>
            </w:pPr>
            <w:r w:rsidRPr="00F87054">
              <w:rPr>
                <w:snapToGrid w:val="0"/>
              </w:rPr>
              <w:t>12m</w:t>
            </w:r>
          </w:p>
        </w:tc>
        <w:tc>
          <w:tcPr>
            <w:tcW w:w="454" w:type="pct"/>
            <w:vAlign w:val="center"/>
          </w:tcPr>
          <w:p w14:paraId="6B68BC44" w14:textId="77777777" w:rsidR="0099729D" w:rsidRPr="00F87054" w:rsidRDefault="0099729D" w:rsidP="00AA615A">
            <w:pPr>
              <w:pStyle w:val="Tabletext"/>
              <w:keepNext/>
              <w:keepLines/>
              <w:jc w:val="center"/>
              <w:rPr>
                <w:snapToGrid w:val="0"/>
              </w:rPr>
            </w:pPr>
            <w:r w:rsidRPr="00F87054">
              <w:rPr>
                <w:snapToGrid w:val="0"/>
              </w:rPr>
              <w:t>11</w:t>
            </w:r>
          </w:p>
        </w:tc>
        <w:tc>
          <w:tcPr>
            <w:tcW w:w="882" w:type="pct"/>
            <w:vAlign w:val="center"/>
          </w:tcPr>
          <w:p w14:paraId="2C0B7497" w14:textId="77777777" w:rsidR="0099729D" w:rsidRPr="00F87054" w:rsidRDefault="0099729D" w:rsidP="00AA615A">
            <w:pPr>
              <w:pStyle w:val="Tabletext"/>
              <w:keepNext/>
              <w:keepLines/>
              <w:jc w:val="center"/>
              <w:rPr>
                <w:snapToGrid w:val="0"/>
              </w:rPr>
            </w:pPr>
            <w:r w:rsidRPr="00F87054">
              <w:rPr>
                <w:snapToGrid w:val="0"/>
              </w:rPr>
              <w:t>OAG</w:t>
            </w:r>
          </w:p>
        </w:tc>
        <w:tc>
          <w:tcPr>
            <w:tcW w:w="781" w:type="pct"/>
            <w:vAlign w:val="center"/>
          </w:tcPr>
          <w:p w14:paraId="4E84904F" w14:textId="77777777" w:rsidR="0099729D" w:rsidRPr="00F87054" w:rsidRDefault="0099729D" w:rsidP="00AA615A">
            <w:pPr>
              <w:pStyle w:val="Tabletext"/>
              <w:keepNext/>
              <w:keepLines/>
              <w:jc w:val="center"/>
              <w:rPr>
                <w:snapToGrid w:val="0"/>
              </w:rPr>
            </w:pPr>
            <w:r w:rsidRPr="00F87054">
              <w:rPr>
                <w:snapToGrid w:val="0"/>
              </w:rPr>
              <w:t>IOP, Med</w:t>
            </w:r>
          </w:p>
        </w:tc>
      </w:tr>
      <w:tr w:rsidR="0099729D" w:rsidRPr="00F87054" w14:paraId="14E561FA" w14:textId="77777777" w:rsidTr="00E36D22">
        <w:trPr>
          <w:trHeight w:val="270"/>
        </w:trPr>
        <w:tc>
          <w:tcPr>
            <w:tcW w:w="297" w:type="pct"/>
            <w:vMerge/>
            <w:shd w:val="clear" w:color="auto" w:fill="D9D9D9" w:themeFill="background1" w:themeFillShade="D9"/>
            <w:vAlign w:val="center"/>
          </w:tcPr>
          <w:p w14:paraId="111D25A1" w14:textId="77777777" w:rsidR="0099729D" w:rsidRPr="00F87054" w:rsidRDefault="0099729D" w:rsidP="00AA615A">
            <w:pPr>
              <w:pStyle w:val="Tabletext"/>
              <w:keepNext/>
              <w:keepLines/>
              <w:jc w:val="center"/>
              <w:rPr>
                <w:b/>
                <w:snapToGrid w:val="0"/>
              </w:rPr>
            </w:pPr>
          </w:p>
        </w:tc>
        <w:tc>
          <w:tcPr>
            <w:tcW w:w="692" w:type="pct"/>
            <w:vAlign w:val="center"/>
          </w:tcPr>
          <w:p w14:paraId="26393E26" w14:textId="3CB25F40" w:rsidR="0099729D" w:rsidRPr="00F87054" w:rsidRDefault="00960ECD" w:rsidP="00AA615A">
            <w:pPr>
              <w:pStyle w:val="Tabletext"/>
              <w:keepNext/>
              <w:keepLines/>
              <w:rPr>
                <w:snapToGrid w:val="0"/>
              </w:rPr>
            </w:pPr>
            <w:proofErr w:type="spellStart"/>
            <w:r w:rsidRPr="00960ECD">
              <w:rPr>
                <w:snapToGrid w:val="0"/>
              </w:rPr>
              <w:t>Ondrejka</w:t>
            </w:r>
            <w:proofErr w:type="spellEnd"/>
            <w:r w:rsidRPr="00960ECD">
              <w:rPr>
                <w:snapToGrid w:val="0"/>
              </w:rPr>
              <w:t xml:space="preserve"> and </w:t>
            </w:r>
            <w:proofErr w:type="spellStart"/>
            <w:r w:rsidRPr="00960ECD">
              <w:rPr>
                <w:snapToGrid w:val="0"/>
              </w:rPr>
              <w:t>Körber</w:t>
            </w:r>
            <w:proofErr w:type="spellEnd"/>
            <w:r w:rsidRPr="00960ECD">
              <w:rPr>
                <w:snapToGrid w:val="0"/>
              </w:rPr>
              <w:t>, 2019</w:t>
            </w:r>
          </w:p>
        </w:tc>
        <w:tc>
          <w:tcPr>
            <w:tcW w:w="620" w:type="pct"/>
            <w:vAlign w:val="center"/>
          </w:tcPr>
          <w:p w14:paraId="7D11F52B" w14:textId="7881A875" w:rsidR="0099729D" w:rsidRPr="00F87054" w:rsidRDefault="0099729D" w:rsidP="00AA615A">
            <w:pPr>
              <w:pStyle w:val="Tabletext"/>
              <w:keepNext/>
              <w:keepLines/>
              <w:jc w:val="center"/>
              <w:rPr>
                <w:snapToGrid w:val="0"/>
              </w:rPr>
            </w:pPr>
            <w:r w:rsidRPr="00F87054">
              <w:rPr>
                <w:snapToGrid w:val="0"/>
              </w:rPr>
              <w:t>VISCO360</w:t>
            </w:r>
          </w:p>
        </w:tc>
        <w:tc>
          <w:tcPr>
            <w:tcW w:w="346" w:type="pct"/>
            <w:vAlign w:val="center"/>
          </w:tcPr>
          <w:p w14:paraId="34F769C2" w14:textId="77777777" w:rsidR="0099729D" w:rsidRPr="00F87054" w:rsidRDefault="0099729D" w:rsidP="00AA615A">
            <w:pPr>
              <w:pStyle w:val="Tabletext"/>
              <w:keepNext/>
              <w:keepLines/>
              <w:jc w:val="center"/>
              <w:rPr>
                <w:snapToGrid w:val="0"/>
              </w:rPr>
            </w:pPr>
            <w:r w:rsidRPr="00F87054">
              <w:rPr>
                <w:snapToGrid w:val="0"/>
              </w:rPr>
              <w:t>T</w:t>
            </w:r>
          </w:p>
        </w:tc>
        <w:tc>
          <w:tcPr>
            <w:tcW w:w="446" w:type="pct"/>
            <w:vAlign w:val="center"/>
          </w:tcPr>
          <w:p w14:paraId="12A10A20" w14:textId="77777777" w:rsidR="0099729D" w:rsidRPr="00F87054" w:rsidRDefault="0099729D" w:rsidP="00AA615A">
            <w:pPr>
              <w:pStyle w:val="Tabletext"/>
              <w:keepNext/>
              <w:keepLines/>
              <w:jc w:val="center"/>
              <w:rPr>
                <w:snapToGrid w:val="0"/>
              </w:rPr>
            </w:pPr>
            <w:r w:rsidRPr="00F87054">
              <w:rPr>
                <w:snapToGrid w:val="0"/>
              </w:rPr>
              <w:t>71/106</w:t>
            </w:r>
          </w:p>
        </w:tc>
        <w:tc>
          <w:tcPr>
            <w:tcW w:w="481" w:type="pct"/>
            <w:vAlign w:val="center"/>
          </w:tcPr>
          <w:p w14:paraId="470E2E83" w14:textId="77777777" w:rsidR="0099729D" w:rsidRPr="00F87054" w:rsidRDefault="0099729D" w:rsidP="00AA615A">
            <w:pPr>
              <w:pStyle w:val="Tabletext"/>
              <w:keepNext/>
              <w:keepLines/>
              <w:jc w:val="center"/>
              <w:rPr>
                <w:snapToGrid w:val="0"/>
              </w:rPr>
            </w:pPr>
            <w:r w:rsidRPr="00F87054">
              <w:rPr>
                <w:snapToGrid w:val="0"/>
              </w:rPr>
              <w:t>12m</w:t>
            </w:r>
          </w:p>
        </w:tc>
        <w:tc>
          <w:tcPr>
            <w:tcW w:w="454" w:type="pct"/>
            <w:vAlign w:val="center"/>
          </w:tcPr>
          <w:p w14:paraId="061B3CF9" w14:textId="77777777" w:rsidR="0099729D" w:rsidRPr="00F87054" w:rsidRDefault="0099729D" w:rsidP="00AA615A">
            <w:pPr>
              <w:pStyle w:val="Tabletext"/>
              <w:keepNext/>
              <w:keepLines/>
              <w:jc w:val="center"/>
              <w:rPr>
                <w:snapToGrid w:val="0"/>
              </w:rPr>
            </w:pPr>
            <w:r w:rsidRPr="00F87054">
              <w:rPr>
                <w:snapToGrid w:val="0"/>
              </w:rPr>
              <w:t>16</w:t>
            </w:r>
          </w:p>
        </w:tc>
        <w:tc>
          <w:tcPr>
            <w:tcW w:w="882" w:type="pct"/>
            <w:vAlign w:val="center"/>
          </w:tcPr>
          <w:p w14:paraId="5DFEC6B7" w14:textId="77777777" w:rsidR="0099729D" w:rsidRPr="00F87054" w:rsidRDefault="0099729D" w:rsidP="00AA615A">
            <w:pPr>
              <w:pStyle w:val="Tabletext"/>
              <w:keepNext/>
              <w:keepLines/>
              <w:jc w:val="center"/>
              <w:rPr>
                <w:snapToGrid w:val="0"/>
              </w:rPr>
            </w:pPr>
            <w:r w:rsidRPr="00F87054">
              <w:rPr>
                <w:snapToGrid w:val="0"/>
              </w:rPr>
              <w:t>OAG</w:t>
            </w:r>
          </w:p>
        </w:tc>
        <w:tc>
          <w:tcPr>
            <w:tcW w:w="781" w:type="pct"/>
            <w:vAlign w:val="center"/>
          </w:tcPr>
          <w:p w14:paraId="121A4568" w14:textId="77777777" w:rsidR="0099729D" w:rsidRPr="00F87054" w:rsidRDefault="0099729D" w:rsidP="00AA615A">
            <w:pPr>
              <w:pStyle w:val="Tabletext"/>
              <w:keepNext/>
              <w:keepLines/>
              <w:jc w:val="center"/>
              <w:rPr>
                <w:snapToGrid w:val="0"/>
              </w:rPr>
            </w:pPr>
            <w:r w:rsidRPr="00F87054">
              <w:rPr>
                <w:snapToGrid w:val="0"/>
              </w:rPr>
              <w:t>IOP, Med, VA</w:t>
            </w:r>
          </w:p>
        </w:tc>
      </w:tr>
      <w:tr w:rsidR="0099729D" w:rsidRPr="00F87054" w14:paraId="2E3AC58A" w14:textId="77777777" w:rsidTr="00E36D22">
        <w:trPr>
          <w:trHeight w:val="270"/>
        </w:trPr>
        <w:tc>
          <w:tcPr>
            <w:tcW w:w="297" w:type="pct"/>
            <w:vMerge/>
            <w:shd w:val="clear" w:color="auto" w:fill="D9D9D9" w:themeFill="background1" w:themeFillShade="D9"/>
            <w:vAlign w:val="center"/>
          </w:tcPr>
          <w:p w14:paraId="3EEC7A54" w14:textId="77777777" w:rsidR="0099729D" w:rsidRPr="00F87054" w:rsidRDefault="0099729D" w:rsidP="00AA615A">
            <w:pPr>
              <w:pStyle w:val="Tabletext"/>
              <w:keepNext/>
              <w:keepLines/>
              <w:jc w:val="center"/>
              <w:rPr>
                <w:b/>
                <w:snapToGrid w:val="0"/>
              </w:rPr>
            </w:pPr>
          </w:p>
        </w:tc>
        <w:tc>
          <w:tcPr>
            <w:tcW w:w="692" w:type="pct"/>
            <w:vAlign w:val="center"/>
          </w:tcPr>
          <w:p w14:paraId="111DBF70" w14:textId="53178072" w:rsidR="0099729D" w:rsidRPr="00F87054" w:rsidRDefault="00960ECD" w:rsidP="00AA615A">
            <w:pPr>
              <w:pStyle w:val="Tabletext"/>
              <w:keepNext/>
              <w:keepLines/>
              <w:rPr>
                <w:snapToGrid w:val="0"/>
              </w:rPr>
            </w:pPr>
            <w:r w:rsidRPr="00960ECD">
              <w:rPr>
                <w:snapToGrid w:val="0"/>
              </w:rPr>
              <w:t>Tracer et al., 2020</w:t>
            </w:r>
          </w:p>
        </w:tc>
        <w:tc>
          <w:tcPr>
            <w:tcW w:w="620" w:type="pct"/>
            <w:vAlign w:val="center"/>
          </w:tcPr>
          <w:p w14:paraId="3D45D3C6" w14:textId="21289AC0" w:rsidR="0099729D" w:rsidRPr="00F87054" w:rsidRDefault="0099729D" w:rsidP="00AA615A">
            <w:pPr>
              <w:pStyle w:val="Tabletext"/>
              <w:keepNext/>
              <w:keepLines/>
              <w:jc w:val="center"/>
              <w:rPr>
                <w:snapToGrid w:val="0"/>
              </w:rPr>
            </w:pPr>
            <w:r w:rsidRPr="00F87054">
              <w:rPr>
                <w:snapToGrid w:val="0"/>
              </w:rPr>
              <w:t>VISCO360</w:t>
            </w:r>
          </w:p>
        </w:tc>
        <w:tc>
          <w:tcPr>
            <w:tcW w:w="346" w:type="pct"/>
            <w:vAlign w:val="center"/>
          </w:tcPr>
          <w:p w14:paraId="3ADA3396" w14:textId="77777777" w:rsidR="0099729D" w:rsidRPr="00F87054" w:rsidRDefault="0099729D" w:rsidP="00AA615A">
            <w:pPr>
              <w:pStyle w:val="Tabletext"/>
              <w:keepNext/>
              <w:keepLines/>
              <w:jc w:val="center"/>
              <w:rPr>
                <w:snapToGrid w:val="0"/>
              </w:rPr>
            </w:pPr>
            <w:r w:rsidRPr="00F87054">
              <w:rPr>
                <w:snapToGrid w:val="0"/>
              </w:rPr>
              <w:t>C</w:t>
            </w:r>
          </w:p>
        </w:tc>
        <w:tc>
          <w:tcPr>
            <w:tcW w:w="446" w:type="pct"/>
            <w:vAlign w:val="center"/>
          </w:tcPr>
          <w:p w14:paraId="5FF9E778" w14:textId="77777777" w:rsidR="0099729D" w:rsidRPr="00F87054" w:rsidRDefault="0099729D" w:rsidP="00AA615A">
            <w:pPr>
              <w:pStyle w:val="Tabletext"/>
              <w:keepNext/>
              <w:keepLines/>
              <w:jc w:val="center"/>
              <w:rPr>
                <w:snapToGrid w:val="0"/>
              </w:rPr>
            </w:pPr>
            <w:r w:rsidRPr="00F87054">
              <w:rPr>
                <w:snapToGrid w:val="0"/>
              </w:rPr>
              <w:t>130/180</w:t>
            </w:r>
          </w:p>
        </w:tc>
        <w:tc>
          <w:tcPr>
            <w:tcW w:w="481" w:type="pct"/>
            <w:vAlign w:val="center"/>
          </w:tcPr>
          <w:p w14:paraId="1131C89A" w14:textId="77777777" w:rsidR="0099729D" w:rsidRPr="00F87054" w:rsidRDefault="0099729D" w:rsidP="00AA615A">
            <w:pPr>
              <w:pStyle w:val="Tabletext"/>
              <w:keepNext/>
              <w:keepLines/>
              <w:jc w:val="center"/>
              <w:rPr>
                <w:snapToGrid w:val="0"/>
              </w:rPr>
            </w:pPr>
            <w:r w:rsidRPr="00F87054">
              <w:rPr>
                <w:snapToGrid w:val="0"/>
              </w:rPr>
              <w:t>12m</w:t>
            </w:r>
          </w:p>
        </w:tc>
        <w:tc>
          <w:tcPr>
            <w:tcW w:w="454" w:type="pct"/>
            <w:vAlign w:val="center"/>
          </w:tcPr>
          <w:p w14:paraId="3DE985E6" w14:textId="77777777" w:rsidR="0099729D" w:rsidRPr="00F87054" w:rsidRDefault="0099729D" w:rsidP="00AA615A">
            <w:pPr>
              <w:pStyle w:val="Tabletext"/>
              <w:keepNext/>
              <w:keepLines/>
              <w:jc w:val="center"/>
              <w:rPr>
                <w:snapToGrid w:val="0"/>
              </w:rPr>
            </w:pPr>
            <w:r w:rsidRPr="00F87054">
              <w:rPr>
                <w:snapToGrid w:val="0"/>
              </w:rPr>
              <w:t>16</w:t>
            </w:r>
          </w:p>
        </w:tc>
        <w:tc>
          <w:tcPr>
            <w:tcW w:w="882" w:type="pct"/>
            <w:vAlign w:val="center"/>
          </w:tcPr>
          <w:p w14:paraId="42C2AD1C" w14:textId="77777777" w:rsidR="0099729D" w:rsidRPr="00F87054" w:rsidRDefault="0099729D" w:rsidP="00AA615A">
            <w:pPr>
              <w:pStyle w:val="Tabletext"/>
              <w:keepNext/>
              <w:keepLines/>
              <w:jc w:val="center"/>
              <w:rPr>
                <w:snapToGrid w:val="0"/>
              </w:rPr>
            </w:pPr>
            <w:r w:rsidRPr="00F87054">
              <w:rPr>
                <w:snapToGrid w:val="0"/>
              </w:rPr>
              <w:t>OAG/PXG/PG/other</w:t>
            </w:r>
          </w:p>
        </w:tc>
        <w:tc>
          <w:tcPr>
            <w:tcW w:w="781" w:type="pct"/>
            <w:vAlign w:val="center"/>
          </w:tcPr>
          <w:p w14:paraId="4177DBDF" w14:textId="77777777" w:rsidR="0099729D" w:rsidRPr="00F87054" w:rsidRDefault="0099729D" w:rsidP="00AA615A">
            <w:pPr>
              <w:pStyle w:val="Tabletext"/>
              <w:keepNext/>
              <w:keepLines/>
              <w:jc w:val="center"/>
              <w:rPr>
                <w:snapToGrid w:val="0"/>
              </w:rPr>
            </w:pPr>
            <w:r w:rsidRPr="00F87054">
              <w:rPr>
                <w:snapToGrid w:val="0"/>
              </w:rPr>
              <w:t>IOP, Med, Failure/SS</w:t>
            </w:r>
          </w:p>
        </w:tc>
      </w:tr>
      <w:tr w:rsidR="0099729D" w:rsidRPr="00F87054" w14:paraId="6D2A6060" w14:textId="77777777" w:rsidTr="00E36D22">
        <w:trPr>
          <w:cantSplit/>
          <w:trHeight w:val="282"/>
        </w:trPr>
        <w:tc>
          <w:tcPr>
            <w:tcW w:w="297" w:type="pct"/>
            <w:vMerge w:val="restart"/>
            <w:shd w:val="clear" w:color="auto" w:fill="D9D9D9" w:themeFill="background1" w:themeFillShade="D9"/>
            <w:textDirection w:val="btLr"/>
            <w:vAlign w:val="center"/>
          </w:tcPr>
          <w:p w14:paraId="1FB91C92" w14:textId="412855E8" w:rsidR="0099729D" w:rsidRPr="00240D4B" w:rsidRDefault="0099729D" w:rsidP="00AA615A">
            <w:pPr>
              <w:pStyle w:val="Tabletext"/>
              <w:keepNext/>
              <w:keepLines/>
              <w:jc w:val="center"/>
              <w:rPr>
                <w:b/>
                <w:snapToGrid w:val="0"/>
                <w:vertAlign w:val="superscript"/>
              </w:rPr>
            </w:pPr>
            <w:r w:rsidRPr="00F87054">
              <w:rPr>
                <w:b/>
                <w:snapToGrid w:val="0"/>
              </w:rPr>
              <w:t>Comparator</w:t>
            </w:r>
            <w:r w:rsidR="00240D4B">
              <w:rPr>
                <w:rStyle w:val="FootnoteReference"/>
                <w:b/>
                <w:snapToGrid w:val="0"/>
              </w:rPr>
              <w:footnoteReference w:id="7"/>
            </w:r>
          </w:p>
        </w:tc>
        <w:tc>
          <w:tcPr>
            <w:tcW w:w="692" w:type="pct"/>
            <w:vAlign w:val="center"/>
          </w:tcPr>
          <w:p w14:paraId="1B89D3EC" w14:textId="70CF42A0" w:rsidR="0099729D" w:rsidRPr="00F87054" w:rsidRDefault="00960ECD" w:rsidP="00AA615A">
            <w:pPr>
              <w:pStyle w:val="Tabletext"/>
              <w:keepNext/>
              <w:keepLines/>
              <w:rPr>
                <w:snapToGrid w:val="0"/>
              </w:rPr>
            </w:pPr>
            <w:bookmarkStart w:id="15" w:name="_Ref79399462"/>
            <w:r w:rsidRPr="00960ECD">
              <w:rPr>
                <w:snapToGrid w:val="0"/>
              </w:rPr>
              <w:t>Katz et al., 2015</w:t>
            </w:r>
            <w:r w:rsidR="0099729D" w:rsidRPr="00F87054">
              <w:rPr>
                <w:rStyle w:val="FootnoteReference"/>
                <w:snapToGrid w:val="0"/>
              </w:rPr>
              <w:footnoteReference w:id="8"/>
            </w:r>
            <w:bookmarkEnd w:id="15"/>
          </w:p>
        </w:tc>
        <w:tc>
          <w:tcPr>
            <w:tcW w:w="620" w:type="pct"/>
            <w:vAlign w:val="center"/>
          </w:tcPr>
          <w:p w14:paraId="1193D822" w14:textId="2DC5702C" w:rsidR="0099729D" w:rsidRPr="00F87054" w:rsidRDefault="0099729D" w:rsidP="00AA615A">
            <w:pPr>
              <w:pStyle w:val="Tabletext"/>
              <w:keepNext/>
              <w:keepLines/>
              <w:jc w:val="center"/>
              <w:rPr>
                <w:snapToGrid w:val="0"/>
              </w:rPr>
            </w:pPr>
            <w:proofErr w:type="spellStart"/>
            <w:r w:rsidRPr="00F87054">
              <w:rPr>
                <w:snapToGrid w:val="0"/>
              </w:rPr>
              <w:t>iStent</w:t>
            </w:r>
            <w:proofErr w:type="spellEnd"/>
          </w:p>
        </w:tc>
        <w:tc>
          <w:tcPr>
            <w:tcW w:w="346" w:type="pct"/>
            <w:vAlign w:val="center"/>
          </w:tcPr>
          <w:p w14:paraId="6FD74A32" w14:textId="77777777" w:rsidR="0099729D" w:rsidRPr="00F87054" w:rsidRDefault="0099729D" w:rsidP="00AA615A">
            <w:pPr>
              <w:pStyle w:val="Tabletext"/>
              <w:keepNext/>
              <w:keepLines/>
              <w:jc w:val="center"/>
              <w:rPr>
                <w:snapToGrid w:val="0"/>
              </w:rPr>
            </w:pPr>
            <w:r w:rsidRPr="00F87054">
              <w:rPr>
                <w:snapToGrid w:val="0"/>
              </w:rPr>
              <w:t>SA</w:t>
            </w:r>
          </w:p>
        </w:tc>
        <w:tc>
          <w:tcPr>
            <w:tcW w:w="446" w:type="pct"/>
            <w:vAlign w:val="center"/>
          </w:tcPr>
          <w:p w14:paraId="314642B2" w14:textId="77777777" w:rsidR="0099729D" w:rsidRPr="00F87054" w:rsidRDefault="0099729D" w:rsidP="00AA615A">
            <w:pPr>
              <w:pStyle w:val="Tabletext"/>
              <w:keepNext/>
              <w:keepLines/>
              <w:jc w:val="center"/>
              <w:rPr>
                <w:snapToGrid w:val="0"/>
              </w:rPr>
            </w:pPr>
            <w:r w:rsidRPr="00F87054">
              <w:rPr>
                <w:snapToGrid w:val="0"/>
              </w:rPr>
              <w:t>38/38</w:t>
            </w:r>
          </w:p>
        </w:tc>
        <w:tc>
          <w:tcPr>
            <w:tcW w:w="481" w:type="pct"/>
            <w:vAlign w:val="center"/>
          </w:tcPr>
          <w:p w14:paraId="6F797B1B" w14:textId="77777777" w:rsidR="0099729D" w:rsidRPr="00F87054" w:rsidRDefault="0099729D" w:rsidP="00AA615A">
            <w:pPr>
              <w:pStyle w:val="Tabletext"/>
              <w:keepNext/>
              <w:keepLines/>
              <w:jc w:val="center"/>
              <w:rPr>
                <w:snapToGrid w:val="0"/>
              </w:rPr>
            </w:pPr>
            <w:r w:rsidRPr="00F87054">
              <w:rPr>
                <w:snapToGrid w:val="0"/>
              </w:rPr>
              <w:t>18m</w:t>
            </w:r>
          </w:p>
        </w:tc>
        <w:tc>
          <w:tcPr>
            <w:tcW w:w="454" w:type="pct"/>
            <w:vAlign w:val="center"/>
          </w:tcPr>
          <w:p w14:paraId="2274AFD9" w14:textId="77777777" w:rsidR="0099729D" w:rsidRPr="00F87054" w:rsidRDefault="0099729D" w:rsidP="00AA615A">
            <w:pPr>
              <w:pStyle w:val="Tabletext"/>
              <w:keepNext/>
              <w:keepLines/>
              <w:jc w:val="center"/>
              <w:rPr>
                <w:snapToGrid w:val="0"/>
              </w:rPr>
            </w:pPr>
            <w:r w:rsidRPr="00F87054">
              <w:rPr>
                <w:snapToGrid w:val="0"/>
              </w:rPr>
              <w:t>19</w:t>
            </w:r>
          </w:p>
        </w:tc>
        <w:tc>
          <w:tcPr>
            <w:tcW w:w="882" w:type="pct"/>
            <w:vAlign w:val="center"/>
          </w:tcPr>
          <w:p w14:paraId="718AE72E" w14:textId="77777777" w:rsidR="0099729D" w:rsidRPr="00F87054" w:rsidRDefault="0099729D" w:rsidP="00AA615A">
            <w:pPr>
              <w:pStyle w:val="Tabletext"/>
              <w:keepNext/>
              <w:keepLines/>
              <w:jc w:val="center"/>
              <w:rPr>
                <w:snapToGrid w:val="0"/>
              </w:rPr>
            </w:pPr>
            <w:r w:rsidRPr="00F87054">
              <w:rPr>
                <w:snapToGrid w:val="0"/>
              </w:rPr>
              <w:t>OAG</w:t>
            </w:r>
          </w:p>
        </w:tc>
        <w:tc>
          <w:tcPr>
            <w:tcW w:w="781" w:type="pct"/>
            <w:vAlign w:val="center"/>
          </w:tcPr>
          <w:p w14:paraId="78D3B742" w14:textId="77777777" w:rsidR="0099729D" w:rsidRPr="00F87054" w:rsidRDefault="0099729D" w:rsidP="00AA615A">
            <w:pPr>
              <w:pStyle w:val="Tabletext"/>
              <w:keepNext/>
              <w:keepLines/>
              <w:jc w:val="center"/>
              <w:rPr>
                <w:snapToGrid w:val="0"/>
              </w:rPr>
            </w:pPr>
            <w:r w:rsidRPr="00F87054">
              <w:rPr>
                <w:snapToGrid w:val="0"/>
              </w:rPr>
              <w:t>IOP, Med, VA, Failure/SS</w:t>
            </w:r>
          </w:p>
        </w:tc>
      </w:tr>
      <w:tr w:rsidR="0099729D" w:rsidRPr="00F87054" w14:paraId="73679146" w14:textId="77777777" w:rsidTr="00E36D22">
        <w:trPr>
          <w:trHeight w:val="270"/>
        </w:trPr>
        <w:tc>
          <w:tcPr>
            <w:tcW w:w="297" w:type="pct"/>
            <w:vMerge/>
            <w:shd w:val="clear" w:color="auto" w:fill="D9D9D9" w:themeFill="background1" w:themeFillShade="D9"/>
            <w:vAlign w:val="center"/>
          </w:tcPr>
          <w:p w14:paraId="0DC03764" w14:textId="77777777" w:rsidR="0099729D" w:rsidRPr="00F87054" w:rsidRDefault="0099729D" w:rsidP="00AA615A">
            <w:pPr>
              <w:pStyle w:val="Tabletext"/>
              <w:keepNext/>
              <w:keepLines/>
              <w:jc w:val="center"/>
              <w:rPr>
                <w:snapToGrid w:val="0"/>
              </w:rPr>
            </w:pPr>
          </w:p>
        </w:tc>
        <w:tc>
          <w:tcPr>
            <w:tcW w:w="692" w:type="pct"/>
            <w:vAlign w:val="center"/>
          </w:tcPr>
          <w:p w14:paraId="2219BC30" w14:textId="50A982FE" w:rsidR="0099729D" w:rsidRPr="00F87054" w:rsidRDefault="00960ECD" w:rsidP="00AA615A">
            <w:pPr>
              <w:pStyle w:val="Tabletext"/>
              <w:keepNext/>
              <w:keepLines/>
              <w:rPr>
                <w:snapToGrid w:val="0"/>
              </w:rPr>
            </w:pPr>
            <w:r w:rsidRPr="00960ECD">
              <w:rPr>
                <w:snapToGrid w:val="0"/>
              </w:rPr>
              <w:t>Ferguson et al., 2017</w:t>
            </w:r>
          </w:p>
        </w:tc>
        <w:tc>
          <w:tcPr>
            <w:tcW w:w="620" w:type="pct"/>
            <w:vAlign w:val="center"/>
          </w:tcPr>
          <w:p w14:paraId="50555481" w14:textId="0A6D1936" w:rsidR="0099729D" w:rsidRPr="00F87054" w:rsidRDefault="0099729D" w:rsidP="00AA615A">
            <w:pPr>
              <w:pStyle w:val="Tabletext"/>
              <w:keepNext/>
              <w:keepLines/>
              <w:jc w:val="center"/>
              <w:rPr>
                <w:snapToGrid w:val="0"/>
              </w:rPr>
            </w:pPr>
            <w:proofErr w:type="spellStart"/>
            <w:r w:rsidRPr="00F87054">
              <w:rPr>
                <w:snapToGrid w:val="0"/>
              </w:rPr>
              <w:t>iStent</w:t>
            </w:r>
            <w:proofErr w:type="spellEnd"/>
          </w:p>
        </w:tc>
        <w:tc>
          <w:tcPr>
            <w:tcW w:w="346" w:type="pct"/>
            <w:vAlign w:val="center"/>
          </w:tcPr>
          <w:p w14:paraId="7497B53F" w14:textId="77777777" w:rsidR="0099729D" w:rsidRPr="00F87054" w:rsidRDefault="0099729D" w:rsidP="00AA615A">
            <w:pPr>
              <w:pStyle w:val="Tabletext"/>
              <w:keepNext/>
              <w:keepLines/>
              <w:jc w:val="center"/>
              <w:rPr>
                <w:snapToGrid w:val="0"/>
              </w:rPr>
            </w:pPr>
            <w:r w:rsidRPr="00F87054">
              <w:rPr>
                <w:snapToGrid w:val="0"/>
              </w:rPr>
              <w:t>C</w:t>
            </w:r>
          </w:p>
        </w:tc>
        <w:tc>
          <w:tcPr>
            <w:tcW w:w="446" w:type="pct"/>
            <w:vAlign w:val="center"/>
          </w:tcPr>
          <w:p w14:paraId="7B1130A9" w14:textId="77777777" w:rsidR="0099729D" w:rsidRPr="00F87054" w:rsidRDefault="0099729D" w:rsidP="00AA615A">
            <w:pPr>
              <w:pStyle w:val="Tabletext"/>
              <w:keepNext/>
              <w:keepLines/>
              <w:jc w:val="center"/>
              <w:rPr>
                <w:snapToGrid w:val="0"/>
              </w:rPr>
            </w:pPr>
            <w:r w:rsidRPr="00F87054">
              <w:rPr>
                <w:snapToGrid w:val="0"/>
              </w:rPr>
              <w:t>66/115</w:t>
            </w:r>
          </w:p>
        </w:tc>
        <w:tc>
          <w:tcPr>
            <w:tcW w:w="481" w:type="pct"/>
            <w:vAlign w:val="center"/>
          </w:tcPr>
          <w:p w14:paraId="5D84D07C" w14:textId="77777777" w:rsidR="0099729D" w:rsidRPr="00F87054" w:rsidRDefault="0099729D" w:rsidP="00AA615A">
            <w:pPr>
              <w:pStyle w:val="Tabletext"/>
              <w:keepNext/>
              <w:keepLines/>
              <w:jc w:val="center"/>
              <w:rPr>
                <w:snapToGrid w:val="0"/>
              </w:rPr>
            </w:pPr>
            <w:r w:rsidRPr="00F87054">
              <w:rPr>
                <w:snapToGrid w:val="0"/>
              </w:rPr>
              <w:t>24m</w:t>
            </w:r>
          </w:p>
        </w:tc>
        <w:tc>
          <w:tcPr>
            <w:tcW w:w="454" w:type="pct"/>
            <w:vAlign w:val="center"/>
          </w:tcPr>
          <w:p w14:paraId="4B3F0016" w14:textId="77777777" w:rsidR="0099729D" w:rsidRPr="00F87054" w:rsidRDefault="0099729D" w:rsidP="00AA615A">
            <w:pPr>
              <w:pStyle w:val="Tabletext"/>
              <w:keepNext/>
              <w:keepLines/>
              <w:jc w:val="center"/>
              <w:rPr>
                <w:snapToGrid w:val="0"/>
              </w:rPr>
            </w:pPr>
            <w:r w:rsidRPr="00F87054">
              <w:rPr>
                <w:snapToGrid w:val="0"/>
              </w:rPr>
              <w:t>15</w:t>
            </w:r>
          </w:p>
        </w:tc>
        <w:tc>
          <w:tcPr>
            <w:tcW w:w="882" w:type="pct"/>
            <w:vAlign w:val="center"/>
          </w:tcPr>
          <w:p w14:paraId="4AF31A11" w14:textId="77777777" w:rsidR="0099729D" w:rsidRPr="00F87054" w:rsidRDefault="0099729D" w:rsidP="00AA615A">
            <w:pPr>
              <w:pStyle w:val="Tabletext"/>
              <w:keepNext/>
              <w:keepLines/>
              <w:jc w:val="center"/>
              <w:rPr>
                <w:snapToGrid w:val="0"/>
              </w:rPr>
            </w:pPr>
            <w:r w:rsidRPr="00F87054">
              <w:rPr>
                <w:snapToGrid w:val="0"/>
              </w:rPr>
              <w:t>PXG</w:t>
            </w:r>
          </w:p>
        </w:tc>
        <w:tc>
          <w:tcPr>
            <w:tcW w:w="781" w:type="pct"/>
            <w:vAlign w:val="center"/>
          </w:tcPr>
          <w:p w14:paraId="6B3BE25A" w14:textId="77777777" w:rsidR="0099729D" w:rsidRPr="00F87054" w:rsidRDefault="0099729D" w:rsidP="00AA615A">
            <w:pPr>
              <w:pStyle w:val="Tabletext"/>
              <w:keepNext/>
              <w:keepLines/>
              <w:jc w:val="center"/>
              <w:rPr>
                <w:snapToGrid w:val="0"/>
              </w:rPr>
            </w:pPr>
            <w:r w:rsidRPr="00F87054">
              <w:rPr>
                <w:snapToGrid w:val="0"/>
              </w:rPr>
              <w:t>IOP, Med, Failure/SS</w:t>
            </w:r>
          </w:p>
        </w:tc>
      </w:tr>
      <w:tr w:rsidR="0099729D" w:rsidRPr="00F87054" w14:paraId="253E5383" w14:textId="77777777" w:rsidTr="00E36D22">
        <w:trPr>
          <w:trHeight w:val="270"/>
        </w:trPr>
        <w:tc>
          <w:tcPr>
            <w:tcW w:w="297" w:type="pct"/>
            <w:vMerge/>
            <w:shd w:val="clear" w:color="auto" w:fill="D9D9D9" w:themeFill="background1" w:themeFillShade="D9"/>
            <w:vAlign w:val="center"/>
          </w:tcPr>
          <w:p w14:paraId="673D30ED" w14:textId="77777777" w:rsidR="0099729D" w:rsidRPr="00F87054" w:rsidRDefault="0099729D" w:rsidP="00AA615A">
            <w:pPr>
              <w:pStyle w:val="Tabletext"/>
              <w:keepNext/>
              <w:keepLines/>
              <w:jc w:val="center"/>
              <w:rPr>
                <w:snapToGrid w:val="0"/>
              </w:rPr>
            </w:pPr>
          </w:p>
        </w:tc>
        <w:tc>
          <w:tcPr>
            <w:tcW w:w="692" w:type="pct"/>
            <w:vAlign w:val="center"/>
          </w:tcPr>
          <w:p w14:paraId="318ACFBC" w14:textId="55875CF4" w:rsidR="0099729D" w:rsidRPr="00F87054" w:rsidRDefault="00960ECD" w:rsidP="00AA615A">
            <w:pPr>
              <w:pStyle w:val="Tabletext"/>
              <w:keepNext/>
              <w:keepLines/>
              <w:rPr>
                <w:snapToGrid w:val="0"/>
              </w:rPr>
            </w:pPr>
            <w:r w:rsidRPr="00960ECD">
              <w:rPr>
                <w:snapToGrid w:val="0"/>
              </w:rPr>
              <w:t>Lindstrom et al., 2020</w:t>
            </w:r>
          </w:p>
        </w:tc>
        <w:tc>
          <w:tcPr>
            <w:tcW w:w="620" w:type="pct"/>
            <w:vAlign w:val="center"/>
          </w:tcPr>
          <w:p w14:paraId="35503EC2" w14:textId="166CDC33" w:rsidR="0099729D" w:rsidRPr="00F87054" w:rsidRDefault="0099729D" w:rsidP="00AA615A">
            <w:pPr>
              <w:pStyle w:val="Tabletext"/>
              <w:keepNext/>
              <w:keepLines/>
              <w:jc w:val="center"/>
              <w:rPr>
                <w:snapToGrid w:val="0"/>
              </w:rPr>
            </w:pPr>
            <w:proofErr w:type="spellStart"/>
            <w:r w:rsidRPr="00F87054">
              <w:rPr>
                <w:snapToGrid w:val="0"/>
              </w:rPr>
              <w:t>iStent</w:t>
            </w:r>
            <w:proofErr w:type="spellEnd"/>
            <w:r w:rsidRPr="00F87054">
              <w:rPr>
                <w:snapToGrid w:val="0"/>
              </w:rPr>
              <w:t xml:space="preserve"> inject</w:t>
            </w:r>
          </w:p>
        </w:tc>
        <w:tc>
          <w:tcPr>
            <w:tcW w:w="346" w:type="pct"/>
            <w:vAlign w:val="center"/>
          </w:tcPr>
          <w:p w14:paraId="62845BAF" w14:textId="77777777" w:rsidR="0099729D" w:rsidRPr="00F87054" w:rsidRDefault="0099729D" w:rsidP="00AA615A">
            <w:pPr>
              <w:pStyle w:val="Tabletext"/>
              <w:keepNext/>
              <w:keepLines/>
              <w:jc w:val="center"/>
              <w:rPr>
                <w:snapToGrid w:val="0"/>
              </w:rPr>
            </w:pPr>
            <w:r w:rsidRPr="00F87054">
              <w:rPr>
                <w:snapToGrid w:val="0"/>
              </w:rPr>
              <w:t>SA</w:t>
            </w:r>
          </w:p>
        </w:tc>
        <w:tc>
          <w:tcPr>
            <w:tcW w:w="446" w:type="pct"/>
            <w:vAlign w:val="center"/>
          </w:tcPr>
          <w:p w14:paraId="0ABE4628" w14:textId="77777777" w:rsidR="0099729D" w:rsidRPr="00F87054" w:rsidRDefault="0099729D" w:rsidP="00AA615A">
            <w:pPr>
              <w:pStyle w:val="Tabletext"/>
              <w:keepNext/>
              <w:keepLines/>
              <w:jc w:val="center"/>
              <w:rPr>
                <w:snapToGrid w:val="0"/>
              </w:rPr>
            </w:pPr>
            <w:r w:rsidRPr="00F87054">
              <w:rPr>
                <w:snapToGrid w:val="0"/>
              </w:rPr>
              <w:t>57/57</w:t>
            </w:r>
          </w:p>
        </w:tc>
        <w:tc>
          <w:tcPr>
            <w:tcW w:w="481" w:type="pct"/>
            <w:vAlign w:val="center"/>
          </w:tcPr>
          <w:p w14:paraId="4096307E" w14:textId="77777777" w:rsidR="0099729D" w:rsidRPr="00F87054" w:rsidRDefault="0099729D" w:rsidP="00AA615A">
            <w:pPr>
              <w:pStyle w:val="Tabletext"/>
              <w:keepNext/>
              <w:keepLines/>
              <w:jc w:val="center"/>
              <w:rPr>
                <w:snapToGrid w:val="0"/>
              </w:rPr>
            </w:pPr>
            <w:r w:rsidRPr="00F87054">
              <w:rPr>
                <w:snapToGrid w:val="0"/>
              </w:rPr>
              <w:t>48m</w:t>
            </w:r>
          </w:p>
        </w:tc>
        <w:tc>
          <w:tcPr>
            <w:tcW w:w="454" w:type="pct"/>
            <w:vAlign w:val="center"/>
          </w:tcPr>
          <w:p w14:paraId="5CCF21F2" w14:textId="77777777" w:rsidR="0099729D" w:rsidRPr="00F87054" w:rsidRDefault="0099729D" w:rsidP="00AA615A">
            <w:pPr>
              <w:pStyle w:val="Tabletext"/>
              <w:keepNext/>
              <w:keepLines/>
              <w:jc w:val="center"/>
              <w:rPr>
                <w:snapToGrid w:val="0"/>
              </w:rPr>
            </w:pPr>
            <w:r w:rsidRPr="00F87054">
              <w:rPr>
                <w:snapToGrid w:val="0"/>
              </w:rPr>
              <w:t>16</w:t>
            </w:r>
          </w:p>
        </w:tc>
        <w:tc>
          <w:tcPr>
            <w:tcW w:w="882" w:type="pct"/>
            <w:vAlign w:val="center"/>
          </w:tcPr>
          <w:p w14:paraId="11562865" w14:textId="77777777" w:rsidR="0099729D" w:rsidRPr="00F87054" w:rsidRDefault="0099729D" w:rsidP="00AA615A">
            <w:pPr>
              <w:pStyle w:val="Tabletext"/>
              <w:keepNext/>
              <w:keepLines/>
              <w:jc w:val="center"/>
              <w:rPr>
                <w:snapToGrid w:val="0"/>
              </w:rPr>
            </w:pPr>
            <w:r w:rsidRPr="00F87054">
              <w:rPr>
                <w:snapToGrid w:val="0"/>
              </w:rPr>
              <w:t>OAG</w:t>
            </w:r>
          </w:p>
        </w:tc>
        <w:tc>
          <w:tcPr>
            <w:tcW w:w="781" w:type="pct"/>
            <w:vAlign w:val="center"/>
          </w:tcPr>
          <w:p w14:paraId="31585840" w14:textId="77777777" w:rsidR="0099729D" w:rsidRPr="00F87054" w:rsidRDefault="0099729D" w:rsidP="00AA615A">
            <w:pPr>
              <w:pStyle w:val="Tabletext"/>
              <w:keepNext/>
              <w:keepLines/>
              <w:jc w:val="center"/>
              <w:rPr>
                <w:snapToGrid w:val="0"/>
              </w:rPr>
            </w:pPr>
            <w:r w:rsidRPr="00F87054">
              <w:rPr>
                <w:snapToGrid w:val="0"/>
              </w:rPr>
              <w:t>IOP, Med, VA, Failure/SS</w:t>
            </w:r>
          </w:p>
        </w:tc>
      </w:tr>
      <w:tr w:rsidR="0099729D" w:rsidRPr="00F87054" w14:paraId="0F76B28B" w14:textId="77777777" w:rsidTr="00E36D22">
        <w:trPr>
          <w:trHeight w:val="270"/>
        </w:trPr>
        <w:tc>
          <w:tcPr>
            <w:tcW w:w="297" w:type="pct"/>
            <w:vMerge/>
            <w:shd w:val="clear" w:color="auto" w:fill="D9D9D9" w:themeFill="background1" w:themeFillShade="D9"/>
            <w:vAlign w:val="center"/>
          </w:tcPr>
          <w:p w14:paraId="63168E45" w14:textId="77777777" w:rsidR="0099729D" w:rsidRPr="00F87054" w:rsidRDefault="0099729D" w:rsidP="00AA615A">
            <w:pPr>
              <w:pStyle w:val="Tabletext"/>
              <w:keepNext/>
              <w:keepLines/>
              <w:jc w:val="center"/>
              <w:rPr>
                <w:snapToGrid w:val="0"/>
              </w:rPr>
            </w:pPr>
          </w:p>
        </w:tc>
        <w:tc>
          <w:tcPr>
            <w:tcW w:w="692" w:type="pct"/>
            <w:vAlign w:val="center"/>
          </w:tcPr>
          <w:p w14:paraId="735CEA6B" w14:textId="27E41F81" w:rsidR="0099729D" w:rsidRPr="00F87054" w:rsidRDefault="00960ECD" w:rsidP="00AA615A">
            <w:pPr>
              <w:pStyle w:val="Tabletext"/>
              <w:keepNext/>
              <w:keepLines/>
              <w:rPr>
                <w:snapToGrid w:val="0"/>
              </w:rPr>
            </w:pPr>
            <w:r w:rsidRPr="00960ECD">
              <w:rPr>
                <w:snapToGrid w:val="0"/>
              </w:rPr>
              <w:t>Gandolfi et al., 2016</w:t>
            </w:r>
            <w:r w:rsidR="0099729D" w:rsidRPr="00F87054">
              <w:rPr>
                <w:snapToGrid w:val="0"/>
                <w:vertAlign w:val="superscript"/>
              </w:rPr>
              <w:fldChar w:fldCharType="begin"/>
            </w:r>
            <w:r w:rsidR="0099729D" w:rsidRPr="00F87054">
              <w:rPr>
                <w:snapToGrid w:val="0"/>
                <w:vertAlign w:val="superscript"/>
              </w:rPr>
              <w:instrText xml:space="preserve"> NOTEREF _Ref79399462 \h  \* MERGEFORMAT </w:instrText>
            </w:r>
            <w:r w:rsidR="0099729D" w:rsidRPr="00F87054">
              <w:rPr>
                <w:snapToGrid w:val="0"/>
                <w:vertAlign w:val="superscript"/>
              </w:rPr>
            </w:r>
            <w:r w:rsidR="0099729D" w:rsidRPr="00F87054">
              <w:rPr>
                <w:snapToGrid w:val="0"/>
                <w:vertAlign w:val="superscript"/>
              </w:rPr>
              <w:fldChar w:fldCharType="separate"/>
            </w:r>
            <w:r w:rsidR="0099729D">
              <w:rPr>
                <w:snapToGrid w:val="0"/>
                <w:vertAlign w:val="superscript"/>
              </w:rPr>
              <w:t>3</w:t>
            </w:r>
            <w:r w:rsidR="0099729D" w:rsidRPr="00F87054">
              <w:rPr>
                <w:snapToGrid w:val="0"/>
                <w:vertAlign w:val="superscript"/>
              </w:rPr>
              <w:fldChar w:fldCharType="end"/>
            </w:r>
          </w:p>
        </w:tc>
        <w:tc>
          <w:tcPr>
            <w:tcW w:w="620" w:type="pct"/>
            <w:vAlign w:val="center"/>
          </w:tcPr>
          <w:p w14:paraId="4E9A06A7" w14:textId="6948511D" w:rsidR="0099729D" w:rsidRPr="00F87054" w:rsidRDefault="0099729D" w:rsidP="00AA615A">
            <w:pPr>
              <w:pStyle w:val="Tabletext"/>
              <w:keepNext/>
              <w:keepLines/>
              <w:jc w:val="center"/>
              <w:rPr>
                <w:snapToGrid w:val="0"/>
              </w:rPr>
            </w:pPr>
            <w:r w:rsidRPr="00F87054">
              <w:rPr>
                <w:snapToGrid w:val="0"/>
              </w:rPr>
              <w:t>Hydrus</w:t>
            </w:r>
          </w:p>
        </w:tc>
        <w:tc>
          <w:tcPr>
            <w:tcW w:w="346" w:type="pct"/>
            <w:vAlign w:val="center"/>
          </w:tcPr>
          <w:p w14:paraId="05FE1135" w14:textId="77777777" w:rsidR="0099729D" w:rsidRPr="00F87054" w:rsidRDefault="0099729D" w:rsidP="00AA615A">
            <w:pPr>
              <w:pStyle w:val="Tabletext"/>
              <w:keepNext/>
              <w:keepLines/>
              <w:jc w:val="center"/>
              <w:rPr>
                <w:snapToGrid w:val="0"/>
              </w:rPr>
            </w:pPr>
            <w:r w:rsidRPr="00F87054">
              <w:rPr>
                <w:snapToGrid w:val="0"/>
              </w:rPr>
              <w:t>SA</w:t>
            </w:r>
          </w:p>
        </w:tc>
        <w:tc>
          <w:tcPr>
            <w:tcW w:w="446" w:type="pct"/>
            <w:vAlign w:val="center"/>
          </w:tcPr>
          <w:p w14:paraId="7EE6DE3D" w14:textId="77777777" w:rsidR="0099729D" w:rsidRPr="00F87054" w:rsidRDefault="0099729D" w:rsidP="00AA615A">
            <w:pPr>
              <w:pStyle w:val="Tabletext"/>
              <w:keepNext/>
              <w:keepLines/>
              <w:jc w:val="center"/>
              <w:rPr>
                <w:snapToGrid w:val="0"/>
              </w:rPr>
            </w:pPr>
            <w:r w:rsidRPr="00F87054">
              <w:rPr>
                <w:snapToGrid w:val="0"/>
              </w:rPr>
              <w:t>21/21</w:t>
            </w:r>
          </w:p>
        </w:tc>
        <w:tc>
          <w:tcPr>
            <w:tcW w:w="481" w:type="pct"/>
            <w:vAlign w:val="center"/>
          </w:tcPr>
          <w:p w14:paraId="79E8CF01" w14:textId="77777777" w:rsidR="0099729D" w:rsidRPr="00F87054" w:rsidRDefault="0099729D" w:rsidP="00AA615A">
            <w:pPr>
              <w:pStyle w:val="Tabletext"/>
              <w:keepNext/>
              <w:keepLines/>
              <w:jc w:val="center"/>
              <w:rPr>
                <w:snapToGrid w:val="0"/>
              </w:rPr>
            </w:pPr>
            <w:r w:rsidRPr="00F87054">
              <w:rPr>
                <w:snapToGrid w:val="0"/>
              </w:rPr>
              <w:t>24m</w:t>
            </w:r>
          </w:p>
        </w:tc>
        <w:tc>
          <w:tcPr>
            <w:tcW w:w="454" w:type="pct"/>
            <w:vAlign w:val="center"/>
          </w:tcPr>
          <w:p w14:paraId="735A5B83" w14:textId="77777777" w:rsidR="0099729D" w:rsidRPr="00F87054" w:rsidRDefault="0099729D" w:rsidP="00AA615A">
            <w:pPr>
              <w:pStyle w:val="Tabletext"/>
              <w:keepNext/>
              <w:keepLines/>
              <w:jc w:val="center"/>
              <w:rPr>
                <w:snapToGrid w:val="0"/>
              </w:rPr>
            </w:pPr>
            <w:r w:rsidRPr="00F87054">
              <w:rPr>
                <w:snapToGrid w:val="0"/>
              </w:rPr>
              <w:t>11</w:t>
            </w:r>
          </w:p>
        </w:tc>
        <w:tc>
          <w:tcPr>
            <w:tcW w:w="882" w:type="pct"/>
            <w:vAlign w:val="center"/>
          </w:tcPr>
          <w:p w14:paraId="6C759E0F" w14:textId="77777777" w:rsidR="0099729D" w:rsidRPr="00F87054" w:rsidRDefault="0099729D" w:rsidP="00AA615A">
            <w:pPr>
              <w:pStyle w:val="Tabletext"/>
              <w:keepNext/>
              <w:keepLines/>
              <w:jc w:val="center"/>
              <w:rPr>
                <w:snapToGrid w:val="0"/>
              </w:rPr>
            </w:pPr>
            <w:r w:rsidRPr="00F87054">
              <w:rPr>
                <w:snapToGrid w:val="0"/>
              </w:rPr>
              <w:t>OAG/PXG/PG</w:t>
            </w:r>
          </w:p>
        </w:tc>
        <w:tc>
          <w:tcPr>
            <w:tcW w:w="781" w:type="pct"/>
            <w:vAlign w:val="center"/>
          </w:tcPr>
          <w:p w14:paraId="773D8DD2" w14:textId="77777777" w:rsidR="0099729D" w:rsidRPr="00F87054" w:rsidRDefault="0099729D" w:rsidP="00AA615A">
            <w:pPr>
              <w:pStyle w:val="Tabletext"/>
              <w:keepNext/>
              <w:keepLines/>
              <w:jc w:val="center"/>
              <w:rPr>
                <w:snapToGrid w:val="0"/>
              </w:rPr>
            </w:pPr>
            <w:r w:rsidRPr="00F87054">
              <w:rPr>
                <w:snapToGrid w:val="0"/>
              </w:rPr>
              <w:t>IOP, Med, VA, Success, Failure/SS</w:t>
            </w:r>
          </w:p>
        </w:tc>
      </w:tr>
      <w:tr w:rsidR="0099729D" w:rsidRPr="00F87054" w14:paraId="1C475C15" w14:textId="77777777" w:rsidTr="00E36D22">
        <w:trPr>
          <w:trHeight w:val="270"/>
        </w:trPr>
        <w:tc>
          <w:tcPr>
            <w:tcW w:w="297" w:type="pct"/>
            <w:vMerge/>
            <w:shd w:val="clear" w:color="auto" w:fill="D9D9D9" w:themeFill="background1" w:themeFillShade="D9"/>
            <w:vAlign w:val="center"/>
          </w:tcPr>
          <w:p w14:paraId="57AC3EB5" w14:textId="77777777" w:rsidR="0099729D" w:rsidRPr="00F87054" w:rsidRDefault="0099729D" w:rsidP="00AA615A">
            <w:pPr>
              <w:pStyle w:val="Tabletext"/>
              <w:keepNext/>
              <w:keepLines/>
              <w:jc w:val="center"/>
              <w:rPr>
                <w:snapToGrid w:val="0"/>
              </w:rPr>
            </w:pPr>
          </w:p>
        </w:tc>
        <w:tc>
          <w:tcPr>
            <w:tcW w:w="692" w:type="pct"/>
            <w:vAlign w:val="center"/>
          </w:tcPr>
          <w:p w14:paraId="05EE9926" w14:textId="6C5262B0" w:rsidR="0099729D" w:rsidRPr="00F87054" w:rsidRDefault="00960ECD" w:rsidP="00AA615A">
            <w:pPr>
              <w:pStyle w:val="Tabletext"/>
              <w:keepNext/>
              <w:keepLines/>
              <w:rPr>
                <w:snapToGrid w:val="0"/>
              </w:rPr>
            </w:pPr>
            <w:r w:rsidRPr="00960ECD">
              <w:rPr>
                <w:snapToGrid w:val="0"/>
              </w:rPr>
              <w:t>Pfeiffer et al., 2015</w:t>
            </w:r>
            <w:r w:rsidR="0099729D" w:rsidRPr="00F87054">
              <w:rPr>
                <w:rStyle w:val="FootnoteReference"/>
                <w:snapToGrid w:val="0"/>
              </w:rPr>
              <w:footnoteReference w:id="9"/>
            </w:r>
            <w:r w:rsidR="0099729D" w:rsidRPr="00F87054">
              <w:rPr>
                <w:snapToGrid w:val="0"/>
                <w:vertAlign w:val="superscript"/>
              </w:rPr>
              <w:t>,</w:t>
            </w:r>
            <w:r w:rsidR="0099729D" w:rsidRPr="00F87054">
              <w:rPr>
                <w:snapToGrid w:val="0"/>
                <w:vertAlign w:val="superscript"/>
              </w:rPr>
              <w:fldChar w:fldCharType="begin"/>
            </w:r>
            <w:r w:rsidR="0099729D" w:rsidRPr="00F87054">
              <w:rPr>
                <w:snapToGrid w:val="0"/>
                <w:vertAlign w:val="superscript"/>
              </w:rPr>
              <w:instrText xml:space="preserve"> NOTEREF _Ref79399462 \h  \* MERGEFORMAT </w:instrText>
            </w:r>
            <w:r w:rsidR="0099729D" w:rsidRPr="00F87054">
              <w:rPr>
                <w:snapToGrid w:val="0"/>
                <w:vertAlign w:val="superscript"/>
              </w:rPr>
            </w:r>
            <w:r w:rsidR="0099729D" w:rsidRPr="00F87054">
              <w:rPr>
                <w:snapToGrid w:val="0"/>
                <w:vertAlign w:val="superscript"/>
              </w:rPr>
              <w:fldChar w:fldCharType="separate"/>
            </w:r>
            <w:r w:rsidR="0099729D">
              <w:rPr>
                <w:snapToGrid w:val="0"/>
                <w:vertAlign w:val="superscript"/>
              </w:rPr>
              <w:t>3</w:t>
            </w:r>
            <w:r w:rsidR="0099729D" w:rsidRPr="00F87054">
              <w:rPr>
                <w:snapToGrid w:val="0"/>
                <w:vertAlign w:val="superscript"/>
              </w:rPr>
              <w:fldChar w:fldCharType="end"/>
            </w:r>
          </w:p>
        </w:tc>
        <w:tc>
          <w:tcPr>
            <w:tcW w:w="620" w:type="pct"/>
            <w:vAlign w:val="center"/>
          </w:tcPr>
          <w:p w14:paraId="2D75EFCB" w14:textId="165CB568" w:rsidR="0099729D" w:rsidRPr="00F87054" w:rsidRDefault="0099729D" w:rsidP="00AA615A">
            <w:pPr>
              <w:pStyle w:val="Tabletext"/>
              <w:keepNext/>
              <w:keepLines/>
              <w:jc w:val="center"/>
              <w:rPr>
                <w:snapToGrid w:val="0"/>
              </w:rPr>
            </w:pPr>
            <w:r w:rsidRPr="00F87054">
              <w:rPr>
                <w:snapToGrid w:val="0"/>
              </w:rPr>
              <w:t>Hydrus</w:t>
            </w:r>
          </w:p>
        </w:tc>
        <w:tc>
          <w:tcPr>
            <w:tcW w:w="346" w:type="pct"/>
            <w:vAlign w:val="center"/>
          </w:tcPr>
          <w:p w14:paraId="207CFFF0" w14:textId="77777777" w:rsidR="0099729D" w:rsidRPr="00F87054" w:rsidRDefault="0099729D" w:rsidP="00AA615A">
            <w:pPr>
              <w:pStyle w:val="Tabletext"/>
              <w:keepNext/>
              <w:keepLines/>
              <w:jc w:val="center"/>
              <w:rPr>
                <w:snapToGrid w:val="0"/>
              </w:rPr>
            </w:pPr>
            <w:r w:rsidRPr="00F87054">
              <w:rPr>
                <w:snapToGrid w:val="0"/>
              </w:rPr>
              <w:t>C</w:t>
            </w:r>
          </w:p>
        </w:tc>
        <w:tc>
          <w:tcPr>
            <w:tcW w:w="446" w:type="pct"/>
            <w:vAlign w:val="center"/>
          </w:tcPr>
          <w:p w14:paraId="76734EB6" w14:textId="77777777" w:rsidR="0099729D" w:rsidRPr="00F87054" w:rsidRDefault="0099729D" w:rsidP="00AA615A">
            <w:pPr>
              <w:pStyle w:val="Tabletext"/>
              <w:keepNext/>
              <w:keepLines/>
              <w:jc w:val="center"/>
              <w:rPr>
                <w:snapToGrid w:val="0"/>
              </w:rPr>
            </w:pPr>
            <w:r w:rsidRPr="00F87054">
              <w:rPr>
                <w:snapToGrid w:val="0"/>
              </w:rPr>
              <w:t>50/50</w:t>
            </w:r>
          </w:p>
        </w:tc>
        <w:tc>
          <w:tcPr>
            <w:tcW w:w="481" w:type="pct"/>
            <w:vAlign w:val="center"/>
          </w:tcPr>
          <w:p w14:paraId="409F829F" w14:textId="77777777" w:rsidR="0099729D" w:rsidRPr="00F87054" w:rsidRDefault="0099729D" w:rsidP="00AA615A">
            <w:pPr>
              <w:pStyle w:val="Tabletext"/>
              <w:keepNext/>
              <w:keepLines/>
              <w:jc w:val="center"/>
              <w:rPr>
                <w:snapToGrid w:val="0"/>
              </w:rPr>
            </w:pPr>
            <w:r w:rsidRPr="00F87054">
              <w:rPr>
                <w:snapToGrid w:val="0"/>
              </w:rPr>
              <w:t>24m</w:t>
            </w:r>
          </w:p>
        </w:tc>
        <w:tc>
          <w:tcPr>
            <w:tcW w:w="454" w:type="pct"/>
            <w:vAlign w:val="center"/>
          </w:tcPr>
          <w:p w14:paraId="4262D3D2" w14:textId="77777777" w:rsidR="0099729D" w:rsidRPr="00F87054" w:rsidRDefault="0099729D" w:rsidP="00AA615A">
            <w:pPr>
              <w:pStyle w:val="Tabletext"/>
              <w:keepNext/>
              <w:keepLines/>
              <w:jc w:val="center"/>
              <w:rPr>
                <w:snapToGrid w:val="0"/>
              </w:rPr>
            </w:pPr>
            <w:r w:rsidRPr="00F87054">
              <w:rPr>
                <w:snapToGrid w:val="0"/>
              </w:rPr>
              <w:t>19</w:t>
            </w:r>
          </w:p>
        </w:tc>
        <w:tc>
          <w:tcPr>
            <w:tcW w:w="882" w:type="pct"/>
            <w:vAlign w:val="center"/>
          </w:tcPr>
          <w:p w14:paraId="6464F2C2" w14:textId="77777777" w:rsidR="0099729D" w:rsidRPr="00F87054" w:rsidRDefault="0099729D" w:rsidP="00AA615A">
            <w:pPr>
              <w:pStyle w:val="Tabletext"/>
              <w:keepNext/>
              <w:keepLines/>
              <w:jc w:val="center"/>
              <w:rPr>
                <w:snapToGrid w:val="0"/>
              </w:rPr>
            </w:pPr>
            <w:r w:rsidRPr="00F87054">
              <w:rPr>
                <w:snapToGrid w:val="0"/>
              </w:rPr>
              <w:t>OAG/ PXG</w:t>
            </w:r>
          </w:p>
        </w:tc>
        <w:tc>
          <w:tcPr>
            <w:tcW w:w="781" w:type="pct"/>
            <w:vAlign w:val="center"/>
          </w:tcPr>
          <w:p w14:paraId="0FC1E3A8" w14:textId="77777777" w:rsidR="0099729D" w:rsidRPr="00F87054" w:rsidRDefault="0099729D" w:rsidP="00AA615A">
            <w:pPr>
              <w:pStyle w:val="Tabletext"/>
              <w:keepNext/>
              <w:keepLines/>
              <w:jc w:val="center"/>
              <w:rPr>
                <w:snapToGrid w:val="0"/>
              </w:rPr>
            </w:pPr>
            <w:r w:rsidRPr="00F87054">
              <w:rPr>
                <w:snapToGrid w:val="0"/>
              </w:rPr>
              <w:t>IOP, Med, Failure/SS</w:t>
            </w:r>
          </w:p>
        </w:tc>
      </w:tr>
      <w:tr w:rsidR="0099729D" w:rsidRPr="00F87054" w14:paraId="7E822473" w14:textId="77777777" w:rsidTr="00E36D22">
        <w:trPr>
          <w:trHeight w:val="270"/>
        </w:trPr>
        <w:tc>
          <w:tcPr>
            <w:tcW w:w="297" w:type="pct"/>
            <w:vMerge/>
            <w:shd w:val="clear" w:color="auto" w:fill="D9D9D9" w:themeFill="background1" w:themeFillShade="D9"/>
            <w:vAlign w:val="center"/>
          </w:tcPr>
          <w:p w14:paraId="78A44002" w14:textId="77777777" w:rsidR="0099729D" w:rsidRPr="00F87054" w:rsidRDefault="0099729D" w:rsidP="00AA615A">
            <w:pPr>
              <w:pStyle w:val="Tabletext"/>
              <w:keepNext/>
              <w:keepLines/>
              <w:jc w:val="center"/>
              <w:rPr>
                <w:snapToGrid w:val="0"/>
              </w:rPr>
            </w:pPr>
          </w:p>
        </w:tc>
        <w:tc>
          <w:tcPr>
            <w:tcW w:w="692" w:type="pct"/>
            <w:vAlign w:val="center"/>
          </w:tcPr>
          <w:p w14:paraId="50387746" w14:textId="1654BE57" w:rsidR="0099729D" w:rsidRPr="00F87054" w:rsidRDefault="003D004A" w:rsidP="00AA615A">
            <w:pPr>
              <w:pStyle w:val="Tabletext"/>
              <w:keepNext/>
              <w:keepLines/>
              <w:rPr>
                <w:snapToGrid w:val="0"/>
              </w:rPr>
            </w:pPr>
            <w:r w:rsidRPr="003D004A">
              <w:rPr>
                <w:snapToGrid w:val="0"/>
              </w:rPr>
              <w:t>Karimi et al., 2019</w:t>
            </w:r>
          </w:p>
        </w:tc>
        <w:tc>
          <w:tcPr>
            <w:tcW w:w="620" w:type="pct"/>
            <w:vAlign w:val="center"/>
          </w:tcPr>
          <w:p w14:paraId="21449DA9" w14:textId="7DA81186" w:rsidR="0099729D" w:rsidRPr="00F87054" w:rsidRDefault="0099729D" w:rsidP="00AA615A">
            <w:pPr>
              <w:pStyle w:val="Tabletext"/>
              <w:keepNext/>
              <w:keepLines/>
              <w:jc w:val="center"/>
              <w:rPr>
                <w:snapToGrid w:val="0"/>
              </w:rPr>
            </w:pPr>
            <w:r w:rsidRPr="00F87054">
              <w:rPr>
                <w:snapToGrid w:val="0"/>
              </w:rPr>
              <w:t>XEN gel stent</w:t>
            </w:r>
          </w:p>
        </w:tc>
        <w:tc>
          <w:tcPr>
            <w:tcW w:w="346" w:type="pct"/>
            <w:vAlign w:val="center"/>
          </w:tcPr>
          <w:p w14:paraId="60611F14" w14:textId="77777777" w:rsidR="0099729D" w:rsidRPr="00F87054" w:rsidRDefault="0099729D" w:rsidP="00AA615A">
            <w:pPr>
              <w:pStyle w:val="Tabletext"/>
              <w:keepNext/>
              <w:keepLines/>
              <w:jc w:val="center"/>
              <w:rPr>
                <w:snapToGrid w:val="0"/>
              </w:rPr>
            </w:pPr>
            <w:r w:rsidRPr="00F87054">
              <w:rPr>
                <w:snapToGrid w:val="0"/>
              </w:rPr>
              <w:t>SA vs C</w:t>
            </w:r>
          </w:p>
        </w:tc>
        <w:tc>
          <w:tcPr>
            <w:tcW w:w="446" w:type="pct"/>
            <w:vAlign w:val="center"/>
          </w:tcPr>
          <w:p w14:paraId="08F2356F" w14:textId="77777777" w:rsidR="0099729D" w:rsidRPr="00F87054" w:rsidRDefault="0099729D" w:rsidP="00AA615A">
            <w:pPr>
              <w:pStyle w:val="Tabletext"/>
              <w:keepNext/>
              <w:keepLines/>
              <w:jc w:val="center"/>
              <w:rPr>
                <w:snapToGrid w:val="0"/>
              </w:rPr>
            </w:pPr>
            <w:r w:rsidRPr="00F87054">
              <w:rPr>
                <w:snapToGrid w:val="0"/>
              </w:rPr>
              <w:t>226/259</w:t>
            </w:r>
          </w:p>
        </w:tc>
        <w:tc>
          <w:tcPr>
            <w:tcW w:w="481" w:type="pct"/>
            <w:vAlign w:val="center"/>
          </w:tcPr>
          <w:p w14:paraId="4EF89DC5" w14:textId="77777777" w:rsidR="0099729D" w:rsidRPr="00F87054" w:rsidRDefault="0099729D" w:rsidP="00AA615A">
            <w:pPr>
              <w:pStyle w:val="Tabletext"/>
              <w:keepNext/>
              <w:keepLines/>
              <w:jc w:val="center"/>
              <w:rPr>
                <w:snapToGrid w:val="0"/>
              </w:rPr>
            </w:pPr>
            <w:r w:rsidRPr="00F87054">
              <w:rPr>
                <w:snapToGrid w:val="0"/>
              </w:rPr>
              <w:t>18m</w:t>
            </w:r>
          </w:p>
        </w:tc>
        <w:tc>
          <w:tcPr>
            <w:tcW w:w="454" w:type="pct"/>
            <w:vAlign w:val="center"/>
          </w:tcPr>
          <w:p w14:paraId="32C95C1E" w14:textId="77777777" w:rsidR="0099729D" w:rsidRPr="00F87054" w:rsidRDefault="0099729D" w:rsidP="00AA615A">
            <w:pPr>
              <w:pStyle w:val="Tabletext"/>
              <w:keepNext/>
              <w:keepLines/>
              <w:jc w:val="center"/>
              <w:rPr>
                <w:snapToGrid w:val="0"/>
              </w:rPr>
            </w:pPr>
            <w:r w:rsidRPr="00F87054">
              <w:rPr>
                <w:snapToGrid w:val="0"/>
              </w:rPr>
              <w:t>15</w:t>
            </w:r>
          </w:p>
        </w:tc>
        <w:tc>
          <w:tcPr>
            <w:tcW w:w="882" w:type="pct"/>
            <w:vAlign w:val="center"/>
          </w:tcPr>
          <w:p w14:paraId="71DFC4A9" w14:textId="77777777" w:rsidR="0099729D" w:rsidRPr="00F87054" w:rsidRDefault="0099729D" w:rsidP="00AA615A">
            <w:pPr>
              <w:pStyle w:val="Tabletext"/>
              <w:keepNext/>
              <w:keepLines/>
              <w:jc w:val="center"/>
              <w:rPr>
                <w:snapToGrid w:val="0"/>
              </w:rPr>
            </w:pPr>
            <w:r w:rsidRPr="00F87054">
              <w:rPr>
                <w:snapToGrid w:val="0"/>
              </w:rPr>
              <w:t>OAG/PXG/PG/other</w:t>
            </w:r>
          </w:p>
        </w:tc>
        <w:tc>
          <w:tcPr>
            <w:tcW w:w="781" w:type="pct"/>
            <w:vAlign w:val="center"/>
          </w:tcPr>
          <w:p w14:paraId="30887876" w14:textId="77777777" w:rsidR="0099729D" w:rsidRPr="00F87054" w:rsidRDefault="0099729D" w:rsidP="00AA615A">
            <w:pPr>
              <w:pStyle w:val="Tabletext"/>
              <w:keepNext/>
              <w:keepLines/>
              <w:jc w:val="center"/>
              <w:rPr>
                <w:snapToGrid w:val="0"/>
              </w:rPr>
            </w:pPr>
            <w:r w:rsidRPr="00F87054">
              <w:rPr>
                <w:snapToGrid w:val="0"/>
              </w:rPr>
              <w:t>IOP, Med, Success, Failure/SS</w:t>
            </w:r>
          </w:p>
        </w:tc>
      </w:tr>
      <w:tr w:rsidR="0099729D" w:rsidRPr="00F87054" w14:paraId="3B8DE662" w14:textId="77777777" w:rsidTr="00E36D22">
        <w:trPr>
          <w:trHeight w:val="270"/>
        </w:trPr>
        <w:tc>
          <w:tcPr>
            <w:tcW w:w="297" w:type="pct"/>
            <w:vMerge/>
            <w:shd w:val="clear" w:color="auto" w:fill="D9D9D9" w:themeFill="background1" w:themeFillShade="D9"/>
            <w:vAlign w:val="center"/>
          </w:tcPr>
          <w:p w14:paraId="61BD4AF5" w14:textId="77777777" w:rsidR="0099729D" w:rsidRPr="00F87054" w:rsidRDefault="0099729D" w:rsidP="00AA615A">
            <w:pPr>
              <w:pStyle w:val="Tabletext"/>
              <w:keepNext/>
              <w:keepLines/>
              <w:jc w:val="center"/>
              <w:rPr>
                <w:snapToGrid w:val="0"/>
              </w:rPr>
            </w:pPr>
          </w:p>
        </w:tc>
        <w:tc>
          <w:tcPr>
            <w:tcW w:w="692" w:type="pct"/>
            <w:vAlign w:val="center"/>
          </w:tcPr>
          <w:p w14:paraId="35F18A85" w14:textId="26700457" w:rsidR="0099729D" w:rsidRPr="00F87054" w:rsidRDefault="003D004A" w:rsidP="00AA615A">
            <w:pPr>
              <w:pStyle w:val="Tabletext"/>
              <w:keepNext/>
              <w:keepLines/>
              <w:rPr>
                <w:snapToGrid w:val="0"/>
              </w:rPr>
            </w:pPr>
            <w:r w:rsidRPr="003D004A">
              <w:rPr>
                <w:snapToGrid w:val="0"/>
              </w:rPr>
              <w:t>Fernández-García et al., 2020</w:t>
            </w:r>
          </w:p>
        </w:tc>
        <w:tc>
          <w:tcPr>
            <w:tcW w:w="620" w:type="pct"/>
            <w:vAlign w:val="center"/>
          </w:tcPr>
          <w:p w14:paraId="0E5BF147" w14:textId="33B52B1B" w:rsidR="0099729D" w:rsidRPr="00F87054" w:rsidRDefault="0099729D" w:rsidP="00AA615A">
            <w:pPr>
              <w:pStyle w:val="Tabletext"/>
              <w:keepNext/>
              <w:keepLines/>
              <w:jc w:val="center"/>
              <w:rPr>
                <w:snapToGrid w:val="0"/>
              </w:rPr>
            </w:pPr>
            <w:r w:rsidRPr="00F87054">
              <w:rPr>
                <w:snapToGrid w:val="0"/>
              </w:rPr>
              <w:t>XEN gel stent</w:t>
            </w:r>
          </w:p>
        </w:tc>
        <w:tc>
          <w:tcPr>
            <w:tcW w:w="346" w:type="pct"/>
            <w:vAlign w:val="center"/>
          </w:tcPr>
          <w:p w14:paraId="7843E5EA" w14:textId="77777777" w:rsidR="0099729D" w:rsidRPr="00F87054" w:rsidRDefault="0099729D" w:rsidP="00AA615A">
            <w:pPr>
              <w:pStyle w:val="Tabletext"/>
              <w:keepNext/>
              <w:keepLines/>
              <w:jc w:val="center"/>
              <w:rPr>
                <w:snapToGrid w:val="0"/>
              </w:rPr>
            </w:pPr>
            <w:r w:rsidRPr="00F87054">
              <w:rPr>
                <w:snapToGrid w:val="0"/>
              </w:rPr>
              <w:t>T</w:t>
            </w:r>
          </w:p>
        </w:tc>
        <w:tc>
          <w:tcPr>
            <w:tcW w:w="446" w:type="pct"/>
            <w:vAlign w:val="center"/>
          </w:tcPr>
          <w:p w14:paraId="5FD839E4" w14:textId="77777777" w:rsidR="0099729D" w:rsidRPr="00F87054" w:rsidRDefault="0099729D" w:rsidP="00AA615A">
            <w:pPr>
              <w:pStyle w:val="Tabletext"/>
              <w:keepNext/>
              <w:keepLines/>
              <w:jc w:val="center"/>
              <w:rPr>
                <w:snapToGrid w:val="0"/>
              </w:rPr>
            </w:pPr>
            <w:r w:rsidRPr="00F87054">
              <w:rPr>
                <w:snapToGrid w:val="0"/>
              </w:rPr>
              <w:t>63/93</w:t>
            </w:r>
          </w:p>
        </w:tc>
        <w:tc>
          <w:tcPr>
            <w:tcW w:w="481" w:type="pct"/>
            <w:vAlign w:val="center"/>
          </w:tcPr>
          <w:p w14:paraId="0531D1A6" w14:textId="77777777" w:rsidR="0099729D" w:rsidRPr="00F87054" w:rsidRDefault="0099729D" w:rsidP="00AA615A">
            <w:pPr>
              <w:pStyle w:val="Tabletext"/>
              <w:keepNext/>
              <w:keepLines/>
              <w:jc w:val="center"/>
              <w:rPr>
                <w:snapToGrid w:val="0"/>
              </w:rPr>
            </w:pPr>
            <w:r w:rsidRPr="00F87054">
              <w:rPr>
                <w:snapToGrid w:val="0"/>
              </w:rPr>
              <w:t>36m</w:t>
            </w:r>
          </w:p>
        </w:tc>
        <w:tc>
          <w:tcPr>
            <w:tcW w:w="454" w:type="pct"/>
            <w:vAlign w:val="center"/>
          </w:tcPr>
          <w:p w14:paraId="63447D68" w14:textId="77777777" w:rsidR="0099729D" w:rsidRPr="00F87054" w:rsidRDefault="0099729D" w:rsidP="00AA615A">
            <w:pPr>
              <w:pStyle w:val="Tabletext"/>
              <w:keepNext/>
              <w:keepLines/>
              <w:jc w:val="center"/>
              <w:rPr>
                <w:snapToGrid w:val="0"/>
              </w:rPr>
            </w:pPr>
            <w:r w:rsidRPr="00F87054">
              <w:rPr>
                <w:snapToGrid w:val="0"/>
              </w:rPr>
              <w:t>15</w:t>
            </w:r>
          </w:p>
        </w:tc>
        <w:tc>
          <w:tcPr>
            <w:tcW w:w="882" w:type="pct"/>
            <w:vAlign w:val="center"/>
          </w:tcPr>
          <w:p w14:paraId="558BF026" w14:textId="77777777" w:rsidR="0099729D" w:rsidRPr="00F87054" w:rsidRDefault="0099729D" w:rsidP="00AA615A">
            <w:pPr>
              <w:pStyle w:val="Tabletext"/>
              <w:keepNext/>
              <w:keepLines/>
              <w:jc w:val="center"/>
              <w:rPr>
                <w:snapToGrid w:val="0"/>
              </w:rPr>
            </w:pPr>
            <w:r w:rsidRPr="00F87054">
              <w:rPr>
                <w:snapToGrid w:val="0"/>
              </w:rPr>
              <w:t>OAG</w:t>
            </w:r>
          </w:p>
        </w:tc>
        <w:tc>
          <w:tcPr>
            <w:tcW w:w="781" w:type="pct"/>
            <w:vAlign w:val="center"/>
          </w:tcPr>
          <w:p w14:paraId="7488B4D3" w14:textId="77777777" w:rsidR="0099729D" w:rsidRPr="00F87054" w:rsidRDefault="0099729D" w:rsidP="00AA615A">
            <w:pPr>
              <w:pStyle w:val="Tabletext"/>
              <w:keepNext/>
              <w:keepLines/>
              <w:jc w:val="center"/>
              <w:rPr>
                <w:snapToGrid w:val="0"/>
              </w:rPr>
            </w:pPr>
            <w:r w:rsidRPr="00F87054">
              <w:rPr>
                <w:snapToGrid w:val="0"/>
              </w:rPr>
              <w:t>IOP, Med</w:t>
            </w:r>
          </w:p>
        </w:tc>
      </w:tr>
    </w:tbl>
    <w:p w14:paraId="19E2BF63" w14:textId="77777777" w:rsidR="0099729D" w:rsidRPr="0099729D" w:rsidRDefault="0099729D" w:rsidP="00066143">
      <w:pPr>
        <w:pStyle w:val="Tablenotes0"/>
      </w:pPr>
      <w:r w:rsidRPr="0099729D">
        <w:t>Source: Table 20, p54 of the DCAR</w:t>
      </w:r>
    </w:p>
    <w:p w14:paraId="6A175E51" w14:textId="0738363F" w:rsidR="00D26E35" w:rsidRDefault="0099729D" w:rsidP="00066143">
      <w:pPr>
        <w:pStyle w:val="Tablenotes0"/>
      </w:pPr>
      <w:r w:rsidRPr="0099729D">
        <w:rPr>
          <w:bCs/>
        </w:rPr>
        <w:t>Abbreviations:</w:t>
      </w:r>
      <w:r w:rsidRPr="00F87054">
        <w:t xml:space="preserve"> C = glaucoma procedure combined with cataract surgery, e = eyes, IOP = intraocular pressure, m = months, med = medication burden, T = total cohort including both SA and C population, N = sample size, NR = not reported, OAG = open angle glaucoma, p = participants, PG = pigmentary glaucoma, PXG = </w:t>
      </w:r>
      <w:proofErr w:type="spellStart"/>
      <w:r w:rsidRPr="00F87054">
        <w:t>pseudoexfoliative</w:t>
      </w:r>
      <w:proofErr w:type="spellEnd"/>
      <w:r w:rsidRPr="00F87054">
        <w:t xml:space="preserve"> glaucoma, SA = standalone procedure, SS = secondary surgery, VA = visual acuity</w:t>
      </w:r>
    </w:p>
    <w:p w14:paraId="2D7EB074" w14:textId="1F8305A8" w:rsidR="00D26E35" w:rsidRDefault="00D26E35" w:rsidP="00D26E35">
      <w:r>
        <w:t xml:space="preserve">The pre-ESC response suggested that the </w:t>
      </w:r>
      <w:r w:rsidRPr="00D26E35">
        <w:t xml:space="preserve">study by </w:t>
      </w:r>
      <w:proofErr w:type="spellStart"/>
      <w:r w:rsidRPr="00D26E35">
        <w:t>Davids</w:t>
      </w:r>
      <w:proofErr w:type="spellEnd"/>
      <w:r w:rsidRPr="00D26E35">
        <w:t xml:space="preserve"> et al. (2019) and publications for XEN Gel Stent</w:t>
      </w:r>
      <w:r>
        <w:t xml:space="preserve"> should be excluded</w:t>
      </w:r>
      <w:r w:rsidR="00615F7C">
        <w:t>,</w:t>
      </w:r>
      <w:r>
        <w:t xml:space="preserve"> and a study by </w:t>
      </w:r>
      <w:r w:rsidRPr="00D26E35">
        <w:t>Lewis et al.</w:t>
      </w:r>
      <w:r w:rsidR="00615F7C">
        <w:t xml:space="preserve"> (2011)</w:t>
      </w:r>
      <w:r w:rsidR="00615F7C">
        <w:rPr>
          <w:rStyle w:val="FootnoteReference"/>
        </w:rPr>
        <w:footnoteReference w:id="10"/>
      </w:r>
      <w:r w:rsidRPr="00D26E35">
        <w:t xml:space="preserve"> </w:t>
      </w:r>
      <w:r>
        <w:t xml:space="preserve">should have been </w:t>
      </w:r>
      <w:r>
        <w:lastRenderedPageBreak/>
        <w:t xml:space="preserve">included. The rejoinder clarified that the inclusion of </w:t>
      </w:r>
      <w:proofErr w:type="spellStart"/>
      <w:r w:rsidRPr="00D26E35">
        <w:t>Davids</w:t>
      </w:r>
      <w:proofErr w:type="spellEnd"/>
      <w:r w:rsidRPr="00D26E35">
        <w:t xml:space="preserve"> et al. (2019) and publications for XEN Gel Stent </w:t>
      </w:r>
      <w:r>
        <w:t xml:space="preserve">were appropriate as these meet the pre-defined PICO criteria. Further the PICO is specific to the ABiC procedure and excluded </w:t>
      </w:r>
      <w:r w:rsidRPr="003B5EEF">
        <w:t>ab-</w:t>
      </w:r>
      <w:proofErr w:type="spellStart"/>
      <w:r w:rsidRPr="003B5EEF">
        <w:t>externo</w:t>
      </w:r>
      <w:proofErr w:type="spellEnd"/>
      <w:r w:rsidRPr="003B5EEF">
        <w:t xml:space="preserve"> canaloplasty with a tensioning suture,</w:t>
      </w:r>
      <w:r>
        <w:t xml:space="preserve"> as guided by the applicant during the PICO development. On this basis the study by Lewis et al</w:t>
      </w:r>
      <w:r w:rsidR="00922B6A">
        <w:t>.</w:t>
      </w:r>
      <w:r>
        <w:t xml:space="preserve"> is not appropriate for inclusion </w:t>
      </w:r>
      <w:r w:rsidRPr="00D26E35">
        <w:t>(</w:t>
      </w:r>
      <w:proofErr w:type="gramStart"/>
      <w:r>
        <w:t>i.e.</w:t>
      </w:r>
      <w:proofErr w:type="gramEnd"/>
      <w:r>
        <w:t xml:space="preserve"> the study was </w:t>
      </w:r>
      <w:r w:rsidRPr="00D26E35">
        <w:t>perform</w:t>
      </w:r>
      <w:r>
        <w:t>ed using</w:t>
      </w:r>
      <w:r w:rsidRPr="00D26E35">
        <w:t xml:space="preserve"> ab-</w:t>
      </w:r>
      <w:proofErr w:type="spellStart"/>
      <w:r w:rsidRPr="00D26E35">
        <w:t>externo</w:t>
      </w:r>
      <w:proofErr w:type="spellEnd"/>
      <w:r w:rsidRPr="00D26E35">
        <w:t xml:space="preserve"> canaloplasty with a tensioning suture)</w:t>
      </w:r>
      <w:r>
        <w:t>.</w:t>
      </w:r>
    </w:p>
    <w:p w14:paraId="6551A673" w14:textId="4435E055" w:rsidR="002B3F42" w:rsidRDefault="00E91BB4" w:rsidP="0091135D">
      <w:pPr>
        <w:spacing w:before="240"/>
      </w:pPr>
      <w:r>
        <w:t>The pre-MSAC response provided new data from two unpublished studies</w:t>
      </w:r>
      <w:r w:rsidR="00B26BD8">
        <w:t xml:space="preserve"> </w:t>
      </w:r>
      <w:r>
        <w:t>and one recently published study</w:t>
      </w:r>
      <w:r w:rsidR="002B3F42">
        <w:t>:</w:t>
      </w:r>
    </w:p>
    <w:p w14:paraId="7486CFF1" w14:textId="6FD16443" w:rsidR="002B3F42" w:rsidRPr="000466D0" w:rsidRDefault="002B3F42" w:rsidP="002B3F42">
      <w:pPr>
        <w:pStyle w:val="ListParagraph"/>
        <w:numPr>
          <w:ilvl w:val="0"/>
          <w:numId w:val="33"/>
        </w:numPr>
      </w:pPr>
      <w:r w:rsidRPr="000466D0">
        <w:t>Gallardo (unpublished) –</w:t>
      </w:r>
      <w:r w:rsidR="00B26BD8" w:rsidRPr="000466D0">
        <w:t xml:space="preserve"> </w:t>
      </w:r>
      <w:proofErr w:type="gramStart"/>
      <w:r w:rsidR="00B26BD8" w:rsidRPr="000466D0">
        <w:t>36 month</w:t>
      </w:r>
      <w:proofErr w:type="gramEnd"/>
      <w:r w:rsidR="00B26BD8" w:rsidRPr="000466D0">
        <w:t xml:space="preserve"> data from</w:t>
      </w:r>
      <w:r w:rsidRPr="000466D0">
        <w:t xml:space="preserve"> </w:t>
      </w:r>
      <w:r w:rsidR="00B26BD8" w:rsidRPr="000466D0">
        <w:t xml:space="preserve">a </w:t>
      </w:r>
      <w:r w:rsidRPr="000466D0">
        <w:t>retrospective case series study of patients with glaucoma treated with iTrack ab-interno canaloplasty as a standalone procedure (n=</w:t>
      </w:r>
      <w:r w:rsidR="008A78C9" w:rsidRPr="000466D0">
        <w:rPr>
          <w:b/>
          <w:bCs/>
        </w:rPr>
        <w:t>redacted</w:t>
      </w:r>
      <w:r w:rsidR="008A78C9" w:rsidRPr="000466D0">
        <w:t xml:space="preserve"> </w:t>
      </w:r>
      <w:r w:rsidRPr="000466D0">
        <w:t>eyes) or in combination with cataract surgery (n=</w:t>
      </w:r>
      <w:r w:rsidR="008A78C9" w:rsidRPr="000466D0">
        <w:rPr>
          <w:b/>
          <w:bCs/>
        </w:rPr>
        <w:t>redacted</w:t>
      </w:r>
      <w:r w:rsidR="008A78C9" w:rsidRPr="000466D0">
        <w:t xml:space="preserve"> </w:t>
      </w:r>
      <w:r w:rsidRPr="000466D0">
        <w:t xml:space="preserve">eyes). </w:t>
      </w:r>
      <w:r w:rsidR="00B26BD8" w:rsidRPr="000466D0">
        <w:t xml:space="preserve">The 24 month published data (Gallardo </w:t>
      </w:r>
      <w:r w:rsidRPr="000466D0">
        <w:t xml:space="preserve">2021) </w:t>
      </w:r>
      <w:r w:rsidR="00B26BD8" w:rsidRPr="000466D0">
        <w:t xml:space="preserve">was </w:t>
      </w:r>
      <w:r w:rsidRPr="000466D0">
        <w:t>included in the DCAR</w:t>
      </w:r>
      <w:r w:rsidR="00B26BD8" w:rsidRPr="000466D0">
        <w:t>.</w:t>
      </w:r>
    </w:p>
    <w:p w14:paraId="04FF5509" w14:textId="15662CB3" w:rsidR="002B3F42" w:rsidRPr="000466D0" w:rsidRDefault="002B3F42" w:rsidP="002B3F42">
      <w:pPr>
        <w:pStyle w:val="ListParagraph"/>
        <w:numPr>
          <w:ilvl w:val="0"/>
          <w:numId w:val="33"/>
        </w:numPr>
      </w:pPr>
      <w:proofErr w:type="spellStart"/>
      <w:r w:rsidRPr="000466D0">
        <w:t>Koerber</w:t>
      </w:r>
      <w:proofErr w:type="spellEnd"/>
      <w:r w:rsidRPr="000466D0">
        <w:t xml:space="preserve"> </w:t>
      </w:r>
      <w:r w:rsidR="00B26BD8" w:rsidRPr="000466D0">
        <w:t xml:space="preserve">and </w:t>
      </w:r>
      <w:proofErr w:type="spellStart"/>
      <w:r w:rsidR="00B26BD8" w:rsidRPr="000466D0">
        <w:t>Ondrejka</w:t>
      </w:r>
      <w:proofErr w:type="spellEnd"/>
      <w:r w:rsidRPr="000466D0">
        <w:t xml:space="preserve"> (unpublished)</w:t>
      </w:r>
      <w:r w:rsidR="00B26BD8" w:rsidRPr="000466D0">
        <w:t xml:space="preserve"> - retrospective case series study of </w:t>
      </w:r>
      <w:r w:rsidR="008A78C9" w:rsidRPr="000466D0">
        <w:rPr>
          <w:b/>
          <w:bCs/>
        </w:rPr>
        <w:t>redacted</w:t>
      </w:r>
      <w:r w:rsidR="008A78C9" w:rsidRPr="000466D0">
        <w:t xml:space="preserve"> </w:t>
      </w:r>
      <w:r w:rsidR="00B26BD8" w:rsidRPr="000466D0">
        <w:t>patients (</w:t>
      </w:r>
      <w:r w:rsidR="008A78C9" w:rsidRPr="000466D0">
        <w:t>n=</w:t>
      </w:r>
      <w:r w:rsidR="008A78C9" w:rsidRPr="000466D0">
        <w:rPr>
          <w:b/>
          <w:bCs/>
        </w:rPr>
        <w:t>redacted</w:t>
      </w:r>
      <w:r w:rsidR="008A78C9" w:rsidRPr="000466D0">
        <w:t xml:space="preserve"> </w:t>
      </w:r>
      <w:r w:rsidR="00B26BD8" w:rsidRPr="000466D0">
        <w:t>eyes) with glaucoma were treated with ABiC performed as a standalone procedure (n=</w:t>
      </w:r>
      <w:r w:rsidR="008A78C9" w:rsidRPr="000466D0">
        <w:rPr>
          <w:b/>
          <w:bCs/>
        </w:rPr>
        <w:t>redacted</w:t>
      </w:r>
      <w:r w:rsidR="008A78C9" w:rsidRPr="000466D0">
        <w:t xml:space="preserve"> </w:t>
      </w:r>
      <w:r w:rsidR="00B26BD8" w:rsidRPr="000466D0">
        <w:t>eyes) or combined with cataract surgery (n=</w:t>
      </w:r>
      <w:r w:rsidR="008A78C9" w:rsidRPr="000466D0">
        <w:rPr>
          <w:b/>
          <w:bCs/>
        </w:rPr>
        <w:t>redacted</w:t>
      </w:r>
      <w:r w:rsidR="008A78C9" w:rsidRPr="000466D0">
        <w:t xml:space="preserve"> </w:t>
      </w:r>
      <w:r w:rsidR="00B26BD8" w:rsidRPr="000466D0">
        <w:t>eyes).</w:t>
      </w:r>
    </w:p>
    <w:p w14:paraId="19AEBD81" w14:textId="617CD878" w:rsidR="00E91BB4" w:rsidRPr="009D7E4F" w:rsidRDefault="002B3F42" w:rsidP="00A50E03">
      <w:pPr>
        <w:pStyle w:val="ListParagraph"/>
        <w:numPr>
          <w:ilvl w:val="0"/>
          <w:numId w:val="33"/>
        </w:numPr>
      </w:pPr>
      <w:proofErr w:type="spellStart"/>
      <w:r w:rsidRPr="009D7E4F">
        <w:t>Khaimi</w:t>
      </w:r>
      <w:proofErr w:type="spellEnd"/>
      <w:r w:rsidRPr="009D7E4F">
        <w:t xml:space="preserve"> (2021)</w:t>
      </w:r>
      <w:r w:rsidRPr="009D7E4F">
        <w:rPr>
          <w:rStyle w:val="FootnoteReference"/>
        </w:rPr>
        <w:footnoteReference w:id="11"/>
      </w:r>
      <w:r w:rsidRPr="009D7E4F">
        <w:t xml:space="preserve"> - retrospective case series study of patients with controlled mild or moderate glaucoma who underwent </w:t>
      </w:r>
      <w:r w:rsidRPr="000466D0">
        <w:t>iTrack</w:t>
      </w:r>
      <w:r w:rsidRPr="009D7E4F">
        <w:t xml:space="preserve"> ab-interno canaloplasty as a standalone procedure (n=34 eyes) or in combination with cataract surgery (n=11 eyes)</w:t>
      </w:r>
      <w:r w:rsidR="00E91BB4" w:rsidRPr="009D7E4F">
        <w:t xml:space="preserve">. </w:t>
      </w:r>
    </w:p>
    <w:p w14:paraId="10D2245E" w14:textId="77777777" w:rsidR="0099729D" w:rsidRPr="00F87054" w:rsidRDefault="0099729D" w:rsidP="006672D2">
      <w:pPr>
        <w:pStyle w:val="Heading2"/>
        <w:spacing w:before="240"/>
      </w:pPr>
      <w:r w:rsidRPr="00F87054">
        <w:t>Adverse events and complications</w:t>
      </w:r>
    </w:p>
    <w:p w14:paraId="472F8C4F" w14:textId="69F15ECB" w:rsidR="00920D98" w:rsidRPr="0091135D" w:rsidRDefault="0099729D" w:rsidP="0091135D">
      <w:r w:rsidRPr="00F87054">
        <w:t xml:space="preserve">Adverse events were rarely reported among the included studies. Thirty-one various adverse events were reported </w:t>
      </w:r>
      <w:r>
        <w:t xml:space="preserve">and extracted from </w:t>
      </w:r>
      <w:r w:rsidRPr="00F87054">
        <w:t xml:space="preserve">14 studies. As most adverse events were only reported by a singular study each, </w:t>
      </w:r>
      <w:r>
        <w:t xml:space="preserve">a </w:t>
      </w:r>
      <w:r w:rsidRPr="00F87054">
        <w:t>comparative analysis was not possible. Four adverse events were reported by more than one stud</w:t>
      </w:r>
      <w:r>
        <w:t>y</w:t>
      </w:r>
      <w:r w:rsidRPr="00F87054">
        <w:t xml:space="preserve">. Thus, these 4 adverse events (intraoperative bleeding, device failure or malposition, </w:t>
      </w:r>
      <w:proofErr w:type="spellStart"/>
      <w:r w:rsidRPr="00F87054">
        <w:t>hyphema</w:t>
      </w:r>
      <w:proofErr w:type="spellEnd"/>
      <w:r w:rsidRPr="00F87054">
        <w:t xml:space="preserve"> and postoperative IOP spikes) </w:t>
      </w:r>
      <w:r>
        <w:t>were</w:t>
      </w:r>
      <w:r w:rsidRPr="00F87054">
        <w:t xml:space="preserve"> the focus of the assessment (</w:t>
      </w:r>
      <w:r w:rsidRPr="00F87054">
        <w:fldChar w:fldCharType="begin"/>
      </w:r>
      <w:r w:rsidRPr="00F87054">
        <w:instrText xml:space="preserve"> REF _Ref81227417 \h </w:instrText>
      </w:r>
      <w:r w:rsidRPr="00F87054">
        <w:fldChar w:fldCharType="separate"/>
      </w:r>
      <w:r w:rsidR="00F677D5" w:rsidRPr="00F87054">
        <w:t xml:space="preserve">Table </w:t>
      </w:r>
      <w:r w:rsidR="00F677D5">
        <w:rPr>
          <w:noProof/>
        </w:rPr>
        <w:t>5</w:t>
      </w:r>
      <w:r w:rsidRPr="00F87054">
        <w:fldChar w:fldCharType="end"/>
      </w:r>
      <w:r w:rsidRPr="00F87054">
        <w:t xml:space="preserve">). </w:t>
      </w:r>
      <w:bookmarkStart w:id="16" w:name="_Ref81227417"/>
      <w:bookmarkStart w:id="17" w:name="_Toc81257833"/>
      <w:r w:rsidR="00920D98">
        <w:br w:type="page"/>
      </w:r>
    </w:p>
    <w:p w14:paraId="223FA0B2" w14:textId="24901983" w:rsidR="0099729D" w:rsidRPr="00F87054" w:rsidRDefault="0099729D" w:rsidP="006672D2">
      <w:pPr>
        <w:pStyle w:val="Caption"/>
        <w:spacing w:before="240"/>
      </w:pPr>
      <w:r w:rsidRPr="00F87054">
        <w:lastRenderedPageBreak/>
        <w:t xml:space="preserve">Table </w:t>
      </w:r>
      <w:fldSimple w:instr=" SEQ Table \* ARABIC ">
        <w:r w:rsidR="00F677D5">
          <w:rPr>
            <w:noProof/>
          </w:rPr>
          <w:t>5</w:t>
        </w:r>
      </w:fldSimple>
      <w:bookmarkEnd w:id="16"/>
      <w:r w:rsidRPr="00F87054">
        <w:tab/>
        <w:t>Most commonly reported outcomes across included studies</w:t>
      </w:r>
      <w:bookmarkEnd w:id="17"/>
    </w:p>
    <w:tbl>
      <w:tblPr>
        <w:tblStyle w:val="TableGrid1"/>
        <w:tblW w:w="9045" w:type="dxa"/>
        <w:tblLook w:val="04A0" w:firstRow="1" w:lastRow="0" w:firstColumn="1" w:lastColumn="0" w:noHBand="0" w:noVBand="1"/>
        <w:tblDescription w:val="Most commonly reported outcomes across included studies"/>
      </w:tblPr>
      <w:tblGrid>
        <w:gridCol w:w="2273"/>
        <w:gridCol w:w="3386"/>
        <w:gridCol w:w="3386"/>
      </w:tblGrid>
      <w:tr w:rsidR="0099729D" w:rsidRPr="00F87054" w14:paraId="5CFF96BC" w14:textId="77777777" w:rsidTr="00F677D5">
        <w:trPr>
          <w:cnfStyle w:val="100000000000" w:firstRow="1" w:lastRow="0" w:firstColumn="0" w:lastColumn="0" w:oddVBand="0" w:evenVBand="0" w:oddHBand="0" w:evenHBand="0" w:firstRowFirstColumn="0" w:firstRowLastColumn="0" w:lastRowFirstColumn="0" w:lastRowLastColumn="0"/>
          <w:trHeight w:val="160"/>
        </w:trPr>
        <w:tc>
          <w:tcPr>
            <w:tcW w:w="2273" w:type="dxa"/>
            <w:shd w:val="clear" w:color="auto" w:fill="D9D9D9" w:themeFill="background1" w:themeFillShade="D9"/>
          </w:tcPr>
          <w:p w14:paraId="7E04A18E" w14:textId="77777777" w:rsidR="0099729D" w:rsidRPr="00F87054" w:rsidRDefault="0099729D" w:rsidP="00F677D5">
            <w:pPr>
              <w:pStyle w:val="Tabletext"/>
              <w:rPr>
                <w:b/>
                <w:bCs/>
              </w:rPr>
            </w:pPr>
            <w:r w:rsidRPr="00F87054">
              <w:rPr>
                <w:b/>
                <w:bCs/>
              </w:rPr>
              <w:t>Intraoperative adverse events</w:t>
            </w:r>
          </w:p>
        </w:tc>
        <w:tc>
          <w:tcPr>
            <w:tcW w:w="3386" w:type="dxa"/>
            <w:shd w:val="clear" w:color="auto" w:fill="D9D9D9" w:themeFill="background1" w:themeFillShade="D9"/>
          </w:tcPr>
          <w:p w14:paraId="12B6BD13" w14:textId="77777777" w:rsidR="0099729D" w:rsidRPr="00F87054" w:rsidRDefault="0099729D" w:rsidP="00F677D5">
            <w:pPr>
              <w:pStyle w:val="Tabletext"/>
              <w:rPr>
                <w:b/>
                <w:bCs/>
              </w:rPr>
            </w:pPr>
            <w:r w:rsidRPr="00F87054">
              <w:rPr>
                <w:b/>
                <w:bCs/>
              </w:rPr>
              <w:t xml:space="preserve">Intervention </w:t>
            </w:r>
          </w:p>
        </w:tc>
        <w:tc>
          <w:tcPr>
            <w:tcW w:w="3386" w:type="dxa"/>
            <w:shd w:val="clear" w:color="auto" w:fill="D9D9D9" w:themeFill="background1" w:themeFillShade="D9"/>
          </w:tcPr>
          <w:p w14:paraId="07803861" w14:textId="77777777" w:rsidR="0099729D" w:rsidRPr="00F87054" w:rsidRDefault="0099729D" w:rsidP="00F677D5">
            <w:pPr>
              <w:pStyle w:val="Tabletext"/>
              <w:rPr>
                <w:b/>
                <w:bCs/>
              </w:rPr>
            </w:pPr>
            <w:r w:rsidRPr="00F87054">
              <w:rPr>
                <w:b/>
                <w:bCs/>
              </w:rPr>
              <w:t xml:space="preserve">Comparator </w:t>
            </w:r>
          </w:p>
        </w:tc>
      </w:tr>
      <w:tr w:rsidR="0099729D" w:rsidRPr="00F87054" w14:paraId="7BE08249" w14:textId="77777777" w:rsidTr="00F677D5">
        <w:trPr>
          <w:trHeight w:val="434"/>
        </w:trPr>
        <w:tc>
          <w:tcPr>
            <w:tcW w:w="2273" w:type="dxa"/>
          </w:tcPr>
          <w:p w14:paraId="54469EA9" w14:textId="77777777" w:rsidR="0099729D" w:rsidRPr="00F87054" w:rsidRDefault="0099729D" w:rsidP="00F677D5">
            <w:pPr>
              <w:pStyle w:val="Tabletext"/>
            </w:pPr>
            <w:r w:rsidRPr="00F87054">
              <w:t>Intraoperative bleeding</w:t>
            </w:r>
          </w:p>
        </w:tc>
        <w:tc>
          <w:tcPr>
            <w:tcW w:w="3386" w:type="dxa"/>
          </w:tcPr>
          <w:p w14:paraId="3441969B" w14:textId="77777777" w:rsidR="0099729D" w:rsidRPr="00F87054" w:rsidRDefault="0099729D" w:rsidP="00F677D5">
            <w:pPr>
              <w:pStyle w:val="Tabletext"/>
            </w:pPr>
            <w:r w:rsidRPr="00F87054">
              <w:t xml:space="preserve">[T] 1.7% </w:t>
            </w:r>
            <w:r w:rsidRPr="004B2DB2">
              <w:fldChar w:fldCharType="begin">
                <w:fldData xml:space="preserve">PEVuZE5vdGU+PENpdGU+PEF1dGhvcj5HYWxsYXJkbzwvQXV0aG9yPjxZZWFyPjIwMjE8L1llYXI+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</w:fldData>
              </w:fldChar>
            </w:r>
            <w:r w:rsidRPr="00DC4091">
              <w:instrText xml:space="preserve"> ADDIN EN.CITE </w:instrText>
            </w:r>
            <w:r w:rsidRPr="000466D0">
              <w:fldChar w:fldCharType="begin">
                <w:fldData xml:space="preserve">PEVuZE5vdGU+PENpdGU+PEF1dGhvcj5HYWxsYXJkbzwvQXV0aG9yPjxZZWFyPjIwMjE8L1llYXI+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</w:fldData>
              </w:fldChar>
            </w:r>
            <w:r w:rsidRPr="00DC4091">
              <w:instrText xml:space="preserve"> ADDIN EN.CITE.DATA </w:instrText>
            </w:r>
            <w:r w:rsidRPr="000466D0">
              <w:fldChar w:fldCharType="end"/>
            </w:r>
            <w:r w:rsidRPr="000466D0">
              <w:fldChar w:fldCharType="separate"/>
            </w:r>
            <w:r w:rsidRPr="004B2DB2">
              <w:t>(</w:t>
            </w:r>
            <w:hyperlink w:anchor="_ENREF_46" w:tooltip="Gallardo, 2021 #75" w:history="1">
              <w:r w:rsidRPr="000466D0">
                <w:t>Gallardo, 2021</w:t>
              </w:r>
            </w:hyperlink>
            <w:r w:rsidRPr="004B2DB2">
              <w:t>)</w:t>
            </w:r>
            <w:r w:rsidRPr="004B2DB2">
              <w:fldChar w:fldCharType="end"/>
            </w:r>
          </w:p>
          <w:p w14:paraId="533B90A6" w14:textId="77777777" w:rsidR="0099729D" w:rsidRPr="00F87054" w:rsidRDefault="0099729D" w:rsidP="00F677D5">
            <w:pPr>
              <w:pStyle w:val="Tabletext"/>
            </w:pPr>
            <w:r w:rsidRPr="00F87054">
              <w:t xml:space="preserve">[T] 100.0% </w:t>
            </w:r>
            <w:r w:rsidRPr="00F87054">
              <w:fldChar w:fldCharType="begin">
                <w:fldData xml:space="preserve">PEVuZE5vdGU+PENpdGU+PEF1dGhvcj5EYXZpZHM8L0F1dGhvcj48WWVhcj4yMDE5PC9ZZWFyPjxS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</w:fldData>
              </w:fldChar>
            </w:r>
            <w:r w:rsidRPr="00F87054">
              <w:instrText xml:space="preserve"> ADDIN EN.CITE </w:instrText>
            </w:r>
            <w:r w:rsidRPr="00F87054">
              <w:fldChar w:fldCharType="begin">
                <w:fldData xml:space="preserve">PEVuZE5vdGU+PENpdGU+PEF1dGhvcj5EYXZpZHM8L0F1dGhvcj48WWVhcj4yMDE5PC9ZZWFyPjxS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</w:fldData>
              </w:fldChar>
            </w:r>
            <w:r w:rsidRPr="00F87054">
              <w:instrText xml:space="preserve"> ADDIN EN.CITE.DATA </w:instrText>
            </w:r>
            <w:r w:rsidRPr="00F87054">
              <w:fldChar w:fldCharType="end"/>
            </w:r>
            <w:r w:rsidRPr="00F87054">
              <w:fldChar w:fldCharType="separate"/>
            </w:r>
            <w:r w:rsidRPr="00F87054">
              <w:t>(</w:t>
            </w:r>
            <w:hyperlink w:anchor="_ENREF_27" w:tooltip="Davids, 2019 #54" w:history="1">
              <w:r w:rsidRPr="00F87054">
                <w:t>Davids et al., 2019</w:t>
              </w:r>
            </w:hyperlink>
            <w:r w:rsidRPr="00F87054">
              <w:t>)</w:t>
            </w:r>
            <w:r w:rsidRPr="00F87054">
              <w:fldChar w:fldCharType="end"/>
            </w:r>
          </w:p>
          <w:p w14:paraId="2F291010" w14:textId="77777777" w:rsidR="0099729D" w:rsidRPr="00F87054" w:rsidRDefault="0099729D" w:rsidP="00F677D5">
            <w:pPr>
              <w:pStyle w:val="Tabletext"/>
            </w:pPr>
            <w:r w:rsidRPr="00F87054">
              <w:t xml:space="preserve">[C] 100.0% </w:t>
            </w:r>
            <w:r w:rsidRPr="004B2DB2">
              <w:fldChar w:fldCharType="begin"/>
            </w:r>
            <w:r w:rsidRPr="00DC4091">
              <w:instrText xml:space="preserve"> ADDIN EN.CITE &lt;EndNote&gt;&lt;Cite&gt;&lt;Author&gt;Gillmann&lt;/Author&gt;&lt;Year&gt;2021&lt;/Year&gt;&lt;RecNum&gt;256&lt;/RecNum&gt;&lt;DisplayText&gt;(Gillmann et al., 2021)&lt;/DisplayText&gt;&lt;record&gt;&lt;rec-number&gt;256&lt;/rec-number&gt;&lt;foreign-keys&gt;&lt;key app="EN" db-id="xeawtvfeytsawue9dsa5a5xjeevw20w0e2sp" timestamp="1625805973"&gt;256&lt;/key&gt;&lt;/foreign-keys&gt;&lt;ref-type name="Journal Article"&gt;17&lt;/ref-type&gt;&lt;contributors&gt;&lt;authors&gt;&lt;author&gt;Gillmann, Kevin&lt;/author&gt;&lt;author&gt;Aref, Amr&lt;/author&gt;&lt;author&gt;Niegowski, Laëtitia Jessy&lt;/author&gt;&lt;author&gt;Baumgartner, Jean-Marc&lt;/author&gt;&lt;/authors&gt;&lt;/contributors&gt;&lt;titles&gt;&lt;title&gt;Combined Ab interno viscocanaloplasty (ABiC) in open-angle glaucoma: 12-month outcomes&lt;/title&gt;&lt;secondary-title&gt;International Ophthalmology&lt;/secondary-title&gt;&lt;/titles&gt;&lt;periodical&gt;&lt;full-title&gt;International Ophthalmology&lt;/full-title&gt;&lt;/periodical&gt;&lt;pages&gt;1-7&lt;/pages&gt;&lt;dates&gt;&lt;year&gt;2021&lt;/year&gt;&lt;/dates&gt;&lt;isbn&gt;1573-2630&lt;/isbn&gt;&lt;urls&gt;&lt;/urls&gt;&lt;/record&gt;&lt;/Cite&gt;&lt;/EndNote&gt;</w:instrText>
            </w:r>
            <w:r w:rsidRPr="000466D0">
              <w:fldChar w:fldCharType="separate"/>
            </w:r>
            <w:r w:rsidRPr="004B2DB2">
              <w:t>(</w:t>
            </w:r>
            <w:hyperlink w:anchor="_ENREF_52" w:tooltip="Gillmann, 2021 #256" w:history="1">
              <w:r w:rsidRPr="000466D0">
                <w:t>Gillmann et al., 2021</w:t>
              </w:r>
            </w:hyperlink>
            <w:r w:rsidRPr="004B2DB2">
              <w:t>)</w:t>
            </w:r>
            <w:r w:rsidRPr="004B2DB2">
              <w:fldChar w:fldCharType="end"/>
            </w:r>
          </w:p>
        </w:tc>
        <w:tc>
          <w:tcPr>
            <w:tcW w:w="3386" w:type="dxa"/>
          </w:tcPr>
          <w:p w14:paraId="555A14E5" w14:textId="77777777" w:rsidR="0099729D" w:rsidRPr="00F87054" w:rsidRDefault="0099729D" w:rsidP="00F677D5">
            <w:pPr>
              <w:pStyle w:val="Tabletext"/>
            </w:pPr>
            <w:r w:rsidRPr="00F87054">
              <w:t>NI</w:t>
            </w:r>
          </w:p>
        </w:tc>
      </w:tr>
      <w:tr w:rsidR="0099729D" w:rsidRPr="00F87054" w14:paraId="3624D930" w14:textId="77777777" w:rsidTr="00F677D5">
        <w:trPr>
          <w:trHeight w:val="434"/>
        </w:trPr>
        <w:tc>
          <w:tcPr>
            <w:tcW w:w="2273" w:type="dxa"/>
          </w:tcPr>
          <w:p w14:paraId="6EF31657" w14:textId="77777777" w:rsidR="0099729D" w:rsidRPr="00F87054" w:rsidRDefault="0099729D" w:rsidP="00F677D5">
            <w:pPr>
              <w:pStyle w:val="Tabletext"/>
            </w:pPr>
            <w:r w:rsidRPr="00F87054">
              <w:t>Failure/multiple attempts at stent implantation or microcatheter insertion</w:t>
            </w:r>
          </w:p>
        </w:tc>
        <w:tc>
          <w:tcPr>
            <w:tcW w:w="3386" w:type="dxa"/>
          </w:tcPr>
          <w:p w14:paraId="7EACF020" w14:textId="77777777" w:rsidR="0099729D" w:rsidRPr="00F87054" w:rsidRDefault="0099729D" w:rsidP="00F677D5">
            <w:pPr>
              <w:pStyle w:val="Tabletext"/>
            </w:pPr>
            <w:r w:rsidRPr="00F87054">
              <w:t xml:space="preserve">[C] 0.9% </w:t>
            </w:r>
            <w:r w:rsidRPr="00F87054">
              <w:fldChar w:fldCharType="begin"/>
            </w:r>
            <w:r w:rsidRPr="00F87054">
              <w:instrText xml:space="preserve"> ADDIN EN.CITE &lt;EndNote&gt;&lt;Cite&gt;&lt;Author&gt;Ondrejka&lt;/Author&gt;&lt;Year&gt;2019&lt;/Year&gt;&lt;RecNum&gt;126&lt;/RecNum&gt;&lt;DisplayText&gt;(Ondrejka and Körber, 2019)&lt;/DisplayText&gt;&lt;record&gt;&lt;rec-number&gt;126&lt;/rec-number&gt;&lt;foreign-keys&gt;&lt;key app="EN" db-id="xeawtvfeytsawue9dsa5a5xjeevw20w0e2sp" timestamp="1621914035"&gt;126&lt;/key&gt;&lt;/foreign-keys&gt;&lt;ref-type name="Journal Article"&gt;17&lt;/ref-type&gt;&lt;contributors&gt;&lt;authors&gt;&lt;author&gt;Ondrejka, S.&lt;/author&gt;&lt;author&gt;Körber, N.&lt;/author&gt;&lt;/authors&gt;&lt;/contributors&gt;&lt;titles&gt;&lt;title&gt;360° ab-interno Schlemm&amp;apos;s canal viscodilation in primary open-angle glaucoma&lt;/title&gt;&lt;secondary-title&gt;Clin Ophthalmol&lt;/secondary-title&gt;&lt;/titles&gt;&lt;periodical&gt;&lt;full-title&gt;Clin Ophthalmol&lt;/full-title&gt;&lt;/periodical&gt;&lt;pages&gt;1235-1246&lt;/pages&gt;&lt;volume&gt;13&lt;/volume&gt;&lt;keywords&gt;&lt;keyword&gt;360-degree trabeculotomy&lt;/keyword&gt;&lt;keyword&gt;Poag&lt;/keyword&gt;&lt;keyword&gt;Visco360®&lt;/keyword&gt;&lt;keyword&gt;blebless, MIGS&lt;/keyword&gt;&lt;keyword&gt;canaloplasty&lt;/keyword&gt;&lt;keyword&gt;discussed in this article. The authors report no conflicts of interest in this work.&lt;/keyword&gt;&lt;keyword&gt;Glaucoma, Open-Angle&lt;/keyword&gt;&lt;keyword&gt;Glaucoma&lt;/keyword&gt;&lt;/keywords&gt;&lt;dates&gt;&lt;year&gt;2019&lt;/year&gt;&lt;pub-dates&gt;&lt;date&gt;2019&lt;/date&gt;&lt;/pub-dates&gt;&lt;/dates&gt;&lt;isbn&gt;1177-5467 (Print) 1177-5467&lt;/isbn&gt;&lt;accession-num&gt;rayyan-170597979&lt;/accession-num&gt;&lt;urls&gt;&lt;related-urls&gt;&lt;url&gt;https://www.dovepress.com/getfile.php?fileID=51230&lt;/url&gt;&lt;/related-urls&gt;&lt;/urls&gt;&lt;custom1&gt;1177-5483 Ondrejka, Simon Körber, Norbert Journal Article Clin Ophthalmol. 2019 Jul 15;13:1235-1246. doi: 10.2147/OPTH.S203917. eCollection 2019. RAYYAN-INCLUSION: {&amp;quot;Alvin&amp;quot;=&amp;gt;&amp;quot;Included&amp;quot;, &amp;quot;Lucy&amp;quot;=&amp;gt;&amp;quot;Included&amp;quot;}&lt;/custom1&gt;&lt;language&gt;eng&lt;/language&gt;&lt;/record&gt;&lt;/Cite&gt;&lt;/EndNote&gt;</w:instrText>
            </w:r>
            <w:r w:rsidRPr="00F87054">
              <w:fldChar w:fldCharType="separate"/>
            </w:r>
            <w:r w:rsidRPr="00F87054">
              <w:t>(</w:t>
            </w:r>
            <w:hyperlink w:anchor="_ENREF_113" w:tooltip="Ondrejka, 2019 #126" w:history="1">
              <w:r w:rsidRPr="00F87054">
                <w:t>Ondrejka and Körber, 2019</w:t>
              </w:r>
            </w:hyperlink>
            <w:r w:rsidRPr="00F87054">
              <w:t>)</w:t>
            </w:r>
            <w:r w:rsidRPr="00F87054">
              <w:fldChar w:fldCharType="end"/>
            </w:r>
          </w:p>
          <w:p w14:paraId="4B850AD0" w14:textId="77777777" w:rsidR="0099729D" w:rsidRPr="00F87054" w:rsidRDefault="0099729D" w:rsidP="00F677D5">
            <w:pPr>
              <w:pStyle w:val="Tabletext"/>
            </w:pPr>
            <w:r w:rsidRPr="00F87054">
              <w:t>*Device malfunction</w:t>
            </w:r>
          </w:p>
        </w:tc>
        <w:tc>
          <w:tcPr>
            <w:tcW w:w="3386" w:type="dxa"/>
          </w:tcPr>
          <w:p w14:paraId="49FCABE6" w14:textId="77777777" w:rsidR="0099729D" w:rsidRPr="00F87054" w:rsidRDefault="0099729D" w:rsidP="00F677D5">
            <w:pPr>
              <w:pStyle w:val="Tabletext"/>
            </w:pPr>
            <w:r w:rsidRPr="00F87054">
              <w:t xml:space="preserve">[C] 4.0% </w:t>
            </w:r>
            <w:r w:rsidRPr="00F87054">
              <w:fldChar w:fldCharType="begin">
                <w:fldData xml:space="preserve">PEVuZE5vdGU+PENpdGU+PEF1dGhvcj5QZmVpZmZlcjwvQXV0aG9yPjxZZWFyPjIwMTU8L1llYXI+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</w:fldData>
              </w:fldChar>
            </w:r>
            <w:r w:rsidRPr="00F87054">
              <w:instrText xml:space="preserve"> ADDIN EN.CITE </w:instrText>
            </w:r>
            <w:r w:rsidRPr="00F87054">
              <w:fldChar w:fldCharType="begin">
                <w:fldData xml:space="preserve">PEVuZE5vdGU+PENpdGU+PEF1dGhvcj5QZmVpZmZlcjwvQXV0aG9yPjxZZWFyPjIwMTU8L1llYXI+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</w:fldData>
              </w:fldChar>
            </w:r>
            <w:r w:rsidRPr="00F87054">
              <w:instrText xml:space="preserve"> ADDIN EN.CITE.DATA </w:instrText>
            </w:r>
            <w:r w:rsidRPr="00F87054">
              <w:fldChar w:fldCharType="end"/>
            </w:r>
            <w:r w:rsidRPr="00F87054">
              <w:fldChar w:fldCharType="separate"/>
            </w:r>
            <w:r w:rsidRPr="00F87054">
              <w:t>(</w:t>
            </w:r>
            <w:hyperlink w:anchor="_ENREF_117" w:tooltip="Pfeiffer, 2015 #37" w:history="1">
              <w:r w:rsidRPr="00F87054">
                <w:t>Pfeiffer et al., 2015</w:t>
              </w:r>
            </w:hyperlink>
            <w:r w:rsidRPr="00F87054">
              <w:t>)</w:t>
            </w:r>
            <w:r w:rsidRPr="00F87054">
              <w:fldChar w:fldCharType="end"/>
            </w:r>
          </w:p>
          <w:p w14:paraId="7D5B6454" w14:textId="77777777" w:rsidR="0099729D" w:rsidRPr="00F87054" w:rsidRDefault="0099729D" w:rsidP="00F677D5">
            <w:pPr>
              <w:pStyle w:val="Tabletext"/>
            </w:pPr>
            <w:r w:rsidRPr="00F87054">
              <w:t xml:space="preserve">[T] 1.1% </w:t>
            </w:r>
            <w:r w:rsidRPr="00F87054">
              <w:fldChar w:fldCharType="begin">
                <w:fldData xml:space="preserve">PEVuZE5vdGU+PENpdGU+PEF1dGhvcj5GZXJuw6FuZGV6LUdhcmPDrWE8L0F1dGhvcj48WWVhcj4y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</w:fldData>
              </w:fldChar>
            </w:r>
            <w:r w:rsidRPr="00F87054">
              <w:instrText xml:space="preserve"> ADDIN EN.CITE </w:instrText>
            </w:r>
            <w:r w:rsidRPr="00F87054">
              <w:fldChar w:fldCharType="begin">
                <w:fldData xml:space="preserve">PEVuZE5vdGU+PENpdGU+PEF1dGhvcj5GZXJuw6FuZGV6LUdhcmPDrWE8L0F1dGhvcj48WWVhcj4y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</w:fldData>
              </w:fldChar>
            </w:r>
            <w:r w:rsidRPr="00F87054">
              <w:instrText xml:space="preserve"> ADDIN EN.CITE.DATA </w:instrText>
            </w:r>
            <w:r w:rsidRPr="00F87054">
              <w:fldChar w:fldCharType="end"/>
            </w:r>
            <w:r w:rsidRPr="00F87054">
              <w:fldChar w:fldCharType="separate"/>
            </w:r>
            <w:r w:rsidRPr="00F87054">
              <w:t>(</w:t>
            </w:r>
            <w:hyperlink w:anchor="_ENREF_43" w:tooltip="Fernández-García, 2020 #73" w:history="1">
              <w:r w:rsidRPr="00F87054">
                <w:t>Fernández-García et al., 2020</w:t>
              </w:r>
            </w:hyperlink>
            <w:r w:rsidRPr="00F87054">
              <w:t>)</w:t>
            </w:r>
            <w:r w:rsidRPr="00F87054">
              <w:fldChar w:fldCharType="end"/>
            </w:r>
          </w:p>
        </w:tc>
      </w:tr>
      <w:tr w:rsidR="0099729D" w:rsidRPr="00F87054" w14:paraId="162F6AC7" w14:textId="77777777" w:rsidTr="00F677D5">
        <w:trPr>
          <w:trHeight w:val="302"/>
        </w:trPr>
        <w:tc>
          <w:tcPr>
            <w:tcW w:w="2273" w:type="dxa"/>
            <w:shd w:val="clear" w:color="auto" w:fill="D9D9D9" w:themeFill="background1" w:themeFillShade="D9"/>
          </w:tcPr>
          <w:p w14:paraId="3EACC4DA" w14:textId="77777777" w:rsidR="0099729D" w:rsidRPr="00F87054" w:rsidRDefault="0099729D" w:rsidP="00F677D5">
            <w:pPr>
              <w:pStyle w:val="Tabletext"/>
              <w:rPr>
                <w:b/>
                <w:bCs/>
              </w:rPr>
            </w:pPr>
            <w:r w:rsidRPr="00F87054">
              <w:rPr>
                <w:b/>
                <w:bCs/>
              </w:rPr>
              <w:t>Postoperative adverse events</w:t>
            </w:r>
          </w:p>
        </w:tc>
        <w:tc>
          <w:tcPr>
            <w:tcW w:w="3386" w:type="dxa"/>
            <w:shd w:val="clear" w:color="auto" w:fill="D9D9D9" w:themeFill="background1" w:themeFillShade="D9"/>
          </w:tcPr>
          <w:p w14:paraId="0508C4CD" w14:textId="77777777" w:rsidR="0099729D" w:rsidRPr="00F87054" w:rsidRDefault="0099729D" w:rsidP="00F677D5">
            <w:pPr>
              <w:pStyle w:val="Tabletext"/>
              <w:rPr>
                <w:b/>
                <w:bCs/>
              </w:rPr>
            </w:pPr>
            <w:r w:rsidRPr="00F87054">
              <w:rPr>
                <w:b/>
                <w:bCs/>
              </w:rPr>
              <w:t xml:space="preserve">Intervention </w:t>
            </w:r>
          </w:p>
        </w:tc>
        <w:tc>
          <w:tcPr>
            <w:tcW w:w="3386" w:type="dxa"/>
            <w:shd w:val="clear" w:color="auto" w:fill="D9D9D9" w:themeFill="background1" w:themeFillShade="D9"/>
          </w:tcPr>
          <w:p w14:paraId="3C72ABA3" w14:textId="77777777" w:rsidR="0099729D" w:rsidRPr="00F87054" w:rsidRDefault="0099729D" w:rsidP="00F677D5">
            <w:pPr>
              <w:pStyle w:val="Tabletext"/>
              <w:rPr>
                <w:b/>
                <w:bCs/>
              </w:rPr>
            </w:pPr>
            <w:r w:rsidRPr="00F87054">
              <w:rPr>
                <w:b/>
                <w:bCs/>
              </w:rPr>
              <w:t>Comparator</w:t>
            </w:r>
          </w:p>
        </w:tc>
      </w:tr>
      <w:tr w:rsidR="0099729D" w:rsidRPr="00F87054" w14:paraId="0A2D6CB7" w14:textId="77777777" w:rsidTr="00F677D5">
        <w:trPr>
          <w:trHeight w:val="1044"/>
        </w:trPr>
        <w:tc>
          <w:tcPr>
            <w:tcW w:w="2273" w:type="dxa"/>
          </w:tcPr>
          <w:p w14:paraId="3420109C" w14:textId="77777777" w:rsidR="0099729D" w:rsidRPr="00F87054" w:rsidRDefault="0099729D" w:rsidP="00F677D5">
            <w:pPr>
              <w:pStyle w:val="Tabletext"/>
            </w:pPr>
            <w:proofErr w:type="spellStart"/>
            <w:r w:rsidRPr="00F87054">
              <w:t>Hyphema</w:t>
            </w:r>
            <w:proofErr w:type="spellEnd"/>
          </w:p>
        </w:tc>
        <w:tc>
          <w:tcPr>
            <w:tcW w:w="3386" w:type="dxa"/>
          </w:tcPr>
          <w:p w14:paraId="4D2A12FA" w14:textId="77777777" w:rsidR="0099729D" w:rsidRPr="00F87054" w:rsidRDefault="0099729D" w:rsidP="00F677D5">
            <w:pPr>
              <w:pStyle w:val="Tabletext"/>
            </w:pPr>
            <w:r w:rsidRPr="00F87054">
              <w:t xml:space="preserve">[T] 12.3% (&lt;3 mm) </w:t>
            </w:r>
            <w:r w:rsidRPr="00F87054">
              <w:fldChar w:fldCharType="begin"/>
            </w:r>
            <w:r w:rsidRPr="00F87054">
              <w:instrText xml:space="preserve"> ADDIN EN.CITE &lt;EndNote&gt;&lt;Cite&gt;&lt;Author&gt;Ondrejka&lt;/Author&gt;&lt;Year&gt;2019&lt;/Year&gt;&lt;RecNum&gt;126&lt;/RecNum&gt;&lt;DisplayText&gt;(Ondrejka and Körber, 2019)&lt;/DisplayText&gt;&lt;record&gt;&lt;rec-number&gt;126&lt;/rec-number&gt;&lt;foreign-keys&gt;&lt;key app="EN" db-id="xeawtvfeytsawue9dsa5a5xjeevw20w0e2sp" timestamp="1621914035"&gt;126&lt;/key&gt;&lt;/foreign-keys&gt;&lt;ref-type name="Journal Article"&gt;17&lt;/ref-type&gt;&lt;contributors&gt;&lt;authors&gt;&lt;author&gt;Ondrejka, S.&lt;/author&gt;&lt;author&gt;Körber, N.&lt;/author&gt;&lt;/authors&gt;&lt;/contributors&gt;&lt;titles&gt;&lt;title&gt;360° ab-interno Schlemm&amp;apos;s canal viscodilation in primary open-angle glaucoma&lt;/title&gt;&lt;secondary-title&gt;Clin Ophthalmol&lt;/secondary-title&gt;&lt;/titles&gt;&lt;periodical&gt;&lt;full-title&gt;Clin Ophthalmol&lt;/full-title&gt;&lt;/periodical&gt;&lt;pages&gt;1235-1246&lt;/pages&gt;&lt;volume&gt;13&lt;/volume&gt;&lt;keywords&gt;&lt;keyword&gt;360-degree trabeculotomy&lt;/keyword&gt;&lt;keyword&gt;Poag&lt;/keyword&gt;&lt;keyword&gt;Visco360®&lt;/keyword&gt;&lt;keyword&gt;blebless, MIGS&lt;/keyword&gt;&lt;keyword&gt;canaloplasty&lt;/keyword&gt;&lt;keyword&gt;discussed in this article. The authors report no conflicts of interest in this work.&lt;/keyword&gt;&lt;keyword&gt;Glaucoma, Open-Angle&lt;/keyword&gt;&lt;keyword&gt;Glaucoma&lt;/keyword&gt;&lt;/keywords&gt;&lt;dates&gt;&lt;year&gt;2019&lt;/year&gt;&lt;pub-dates&gt;&lt;date&gt;2019&lt;/date&gt;&lt;/pub-dates&gt;&lt;/dates&gt;&lt;isbn&gt;1177-5467 (Print) 1177-5467&lt;/isbn&gt;&lt;accession-num&gt;rayyan-170597979&lt;/accession-num&gt;&lt;urls&gt;&lt;related-urls&gt;&lt;url&gt;https://www.dovepress.com/getfile.php?fileID=51230&lt;/url&gt;&lt;/related-urls&gt;&lt;/urls&gt;&lt;custom1&gt;1177-5483 Ondrejka, Simon Körber, Norbert Journal Article Clin Ophthalmol. 2019 Jul 15;13:1235-1246. doi: 10.2147/OPTH.S203917. eCollection 2019. RAYYAN-INCLUSION: {&amp;quot;Alvin&amp;quot;=&amp;gt;&amp;quot;Included&amp;quot;, &amp;quot;Lucy&amp;quot;=&amp;gt;&amp;quot;Included&amp;quot;}&lt;/custom1&gt;&lt;language&gt;eng&lt;/language&gt;&lt;/record&gt;&lt;/Cite&gt;&lt;/EndNote&gt;</w:instrText>
            </w:r>
            <w:r w:rsidRPr="00F87054">
              <w:fldChar w:fldCharType="separate"/>
            </w:r>
            <w:r w:rsidRPr="00F87054">
              <w:t>(</w:t>
            </w:r>
            <w:hyperlink w:anchor="_ENREF_113" w:tooltip="Ondrejka, 2019 #126" w:history="1">
              <w:r w:rsidRPr="00F87054">
                <w:t>Ondrejka and Körber, 2019</w:t>
              </w:r>
            </w:hyperlink>
            <w:r w:rsidRPr="00F87054">
              <w:t>)</w:t>
            </w:r>
            <w:r w:rsidRPr="00F87054">
              <w:fldChar w:fldCharType="end"/>
            </w:r>
          </w:p>
          <w:p w14:paraId="6226E6A5" w14:textId="77777777" w:rsidR="0099729D" w:rsidRPr="00F87054" w:rsidRDefault="0099729D" w:rsidP="00F677D5">
            <w:pPr>
              <w:pStyle w:val="Tabletext"/>
            </w:pPr>
            <w:r w:rsidRPr="00F87054">
              <w:t xml:space="preserve">[T] 0.0% </w:t>
            </w:r>
            <w:r w:rsidRPr="00F87054">
              <w:fldChar w:fldCharType="begin"/>
            </w:r>
            <w:r w:rsidRPr="00F87054">
              <w:instrText xml:space="preserve"> ADDIN EN.CITE &lt;EndNote&gt;&lt;Cite&gt;&lt;Author&gt;Hughes&lt;/Author&gt;&lt;Year&gt;2020&lt;/Year&gt;&lt;RecNum&gt;100&lt;/RecNum&gt;&lt;DisplayText&gt;(Hughes and Traynor, 2020)&lt;/DisplayText&gt;&lt;record&gt;&lt;rec-number&gt;100&lt;/rec-number&gt;&lt;foreign-keys&gt;&lt;key app="EN" db-id="xeawtvfeytsawue9dsa5a5xjeevw20w0e2sp" timestamp="1621914035"&gt;100&lt;/key&gt;&lt;/foreign-keys&gt;&lt;ref-type name="Journal Article"&gt;17&lt;/ref-type&gt;&lt;contributors&gt;&lt;authors&gt;&lt;author&gt;Hughes, T.&lt;/author&gt;&lt;author&gt;Traynor, M.&lt;/author&gt;&lt;/authors&gt;&lt;/contributors&gt;&lt;titles&gt;&lt;title&gt;Clinical Results of Ab Interno Canaloplasty in Patients with Open-Angle Glaucoma&lt;/title&gt;&lt;secondary-title&gt;Clin Ophthalmol&lt;/secondary-title&gt;&lt;/titles&gt;&lt;periodical&gt;&lt;full-title&gt;Clin Ophthalmol&lt;/full-title&gt;&lt;/periodical&gt;&lt;pages&gt;3641-3650&lt;/pages&gt;&lt;volume&gt;14&lt;/volume&gt;&lt;keywords&gt;&lt;keyword&gt;Migs&lt;/keyword&gt;&lt;keyword&gt;Omni&lt;/keyword&gt;&lt;keyword&gt;Visco360&lt;/keyword&gt;&lt;keyword&gt;ab interno&lt;/keyword&gt;&lt;keyword&gt;canaloplasty&lt;/keyword&gt;&lt;keyword&gt;glaucoma surgery&lt;/keyword&gt;&lt;keyword&gt;open angle glaucoma&lt;/keyword&gt;&lt;keyword&gt;viscodilation&lt;/keyword&gt;&lt;keyword&gt;this project. The authors report no other potential conflicts of interest for this&lt;/keyword&gt;&lt;keyword&gt;work.&lt;/keyword&gt;&lt;keyword&gt;Glaucoma, Open-Angle&lt;/keyword&gt;&lt;keyword&gt;Glaucoma&lt;/keyword&gt;&lt;/keywords&gt;&lt;dates&gt;&lt;year&gt;2020&lt;/year&gt;&lt;pub-dates&gt;&lt;date&gt;2020&lt;/date&gt;&lt;/pub-dates&gt;&lt;/dates&gt;&lt;isbn&gt;1177-5467 (Print) 1177-5467&lt;/isbn&gt;&lt;accession-num&gt;rayyan-170597902&lt;/accession-num&gt;&lt;urls&gt;&lt;related-urls&gt;&lt;url&gt;https://www.ncbi.nlm.nih.gov/pmc/articles/PMC7605963/pdf/opth-14-3641.pdf&lt;/url&gt;&lt;/related-urls&gt;&lt;/urls&gt;&lt;custom1&gt;1177-5483 Hughes, Trevor Orcid: 0000-0002-4721-7042 Traynor, Matthew Orcid: 0000-0003-4815-7501 Journal Article Clin Ophthalmol. 2020 Oct 29;14:3641-3650. doi: 10.2147/OPTH.S275087. eCollection 2020. RAYYAN-INCLUSION: {&amp;quot;Alvin&amp;quot;=&amp;gt;&amp;quot;Included&amp;quot;, &amp;quot;Lucy&amp;quot;=&amp;gt;&amp;quot;Included&amp;quot;}&lt;/custom1&gt;&lt;language&gt;eng&lt;/language&gt;&lt;/record&gt;&lt;/Cite&gt;&lt;/EndNote&gt;</w:instrText>
            </w:r>
            <w:r w:rsidRPr="00F87054">
              <w:fldChar w:fldCharType="separate"/>
            </w:r>
            <w:r w:rsidRPr="00F87054">
              <w:t>(</w:t>
            </w:r>
            <w:hyperlink w:anchor="_ENREF_73" w:tooltip="Hughes, 2020 #100" w:history="1">
              <w:r w:rsidRPr="00F87054">
                <w:t>Hughes and Traynor, 2020</w:t>
              </w:r>
            </w:hyperlink>
            <w:r w:rsidRPr="00F87054">
              <w:t>)</w:t>
            </w:r>
            <w:r w:rsidRPr="00F87054">
              <w:fldChar w:fldCharType="end"/>
            </w:r>
          </w:p>
          <w:p w14:paraId="096B4261" w14:textId="77777777" w:rsidR="0099729D" w:rsidRPr="00F87054" w:rsidRDefault="0099729D" w:rsidP="00F677D5">
            <w:pPr>
              <w:pStyle w:val="Tabletext"/>
            </w:pPr>
            <w:r w:rsidRPr="00F87054">
              <w:t xml:space="preserve">[T] 2.8% </w:t>
            </w:r>
            <w:r w:rsidRPr="00F87054">
              <w:fldChar w:fldCharType="begin">
                <w:fldData xml:space="preserve">PEVuZE5vdGU+PENpdGU+PEF1dGhvcj5EYXZpZHM8L0F1dGhvcj48WWVhcj4yMDE5PC9ZZWFyPjxS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</w:fldData>
              </w:fldChar>
            </w:r>
            <w:r w:rsidRPr="00F87054">
              <w:instrText xml:space="preserve"> ADDIN EN.CITE </w:instrText>
            </w:r>
            <w:r w:rsidRPr="00F87054">
              <w:fldChar w:fldCharType="begin">
                <w:fldData xml:space="preserve">PEVuZE5vdGU+PENpdGU+PEF1dGhvcj5EYXZpZHM8L0F1dGhvcj48WWVhcj4yMDE5PC9ZZWFyPjxS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</w:fldData>
              </w:fldChar>
            </w:r>
            <w:r w:rsidRPr="00F87054">
              <w:instrText xml:space="preserve"> ADDIN EN.CITE.DATA </w:instrText>
            </w:r>
            <w:r w:rsidRPr="00F87054">
              <w:fldChar w:fldCharType="end"/>
            </w:r>
            <w:r w:rsidRPr="00F87054">
              <w:fldChar w:fldCharType="separate"/>
            </w:r>
            <w:r w:rsidRPr="00F87054">
              <w:t>(</w:t>
            </w:r>
            <w:hyperlink w:anchor="_ENREF_27" w:tooltip="Davids, 2019 #54" w:history="1">
              <w:r w:rsidRPr="00F87054">
                <w:t>Davids et al., 2019</w:t>
              </w:r>
            </w:hyperlink>
            <w:r w:rsidRPr="00F87054">
              <w:t>)</w:t>
            </w:r>
            <w:r w:rsidRPr="00F87054">
              <w:fldChar w:fldCharType="end"/>
            </w:r>
          </w:p>
          <w:p w14:paraId="72DE2F12" w14:textId="77777777" w:rsidR="0099729D" w:rsidRPr="00F87054" w:rsidRDefault="0099729D" w:rsidP="00F677D5">
            <w:pPr>
              <w:pStyle w:val="Tabletext"/>
            </w:pPr>
            <w:r w:rsidRPr="00F87054">
              <w:t>[C] 1.7% (&lt;</w:t>
            </w:r>
            <w:proofErr w:type="gramStart"/>
            <w:r w:rsidRPr="00F87054">
              <w:t>30 day</w:t>
            </w:r>
            <w:proofErr w:type="gramEnd"/>
            <w:r w:rsidRPr="00F87054">
              <w:t xml:space="preserve"> FU) </w:t>
            </w:r>
            <w:r w:rsidRPr="00F87054">
              <w:fldChar w:fldCharType="begin">
                <w:fldData xml:space="preserve">PEVuZE5vdGU+PENpdGU+PEF1dGhvcj5UcmFjZXI8L0F1dGhvcj48WWVhcj4yMDIwPC9ZZWFyPjxS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=
</w:fldData>
              </w:fldChar>
            </w:r>
            <w:r w:rsidRPr="00F87054">
              <w:instrText xml:space="preserve"> ADDIN EN.CITE </w:instrText>
            </w:r>
            <w:r w:rsidRPr="00F87054">
              <w:fldChar w:fldCharType="begin">
                <w:fldData xml:space="preserve">PEVuZE5vdGU+PENpdGU+PEF1dGhvcj5UcmFjZXI8L0F1dGhvcj48WWVhcj4yMDIwPC9ZZWFyPjxS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=
</w:fldData>
              </w:fldChar>
            </w:r>
            <w:r w:rsidRPr="00F87054">
              <w:instrText xml:space="preserve"> ADDIN EN.CITE.DATA </w:instrText>
            </w:r>
            <w:r w:rsidRPr="00F87054">
              <w:fldChar w:fldCharType="end"/>
            </w:r>
            <w:r w:rsidRPr="00F87054">
              <w:fldChar w:fldCharType="separate"/>
            </w:r>
            <w:r w:rsidRPr="00F87054">
              <w:t>(</w:t>
            </w:r>
            <w:hyperlink w:anchor="_ENREF_148" w:tooltip="Tracer, 2020 #160" w:history="1">
              <w:r w:rsidRPr="00F87054">
                <w:t>Tracer et al., 2020</w:t>
              </w:r>
            </w:hyperlink>
            <w:r w:rsidRPr="00F87054">
              <w:t>)</w:t>
            </w:r>
            <w:r w:rsidRPr="00F87054">
              <w:fldChar w:fldCharType="end"/>
            </w:r>
          </w:p>
        </w:tc>
        <w:tc>
          <w:tcPr>
            <w:tcW w:w="3386" w:type="dxa"/>
          </w:tcPr>
          <w:p w14:paraId="50C0A958" w14:textId="77777777" w:rsidR="0099729D" w:rsidRPr="00F87054" w:rsidRDefault="0099729D" w:rsidP="00F677D5">
            <w:pPr>
              <w:pStyle w:val="Tabletext"/>
            </w:pPr>
            <w:r w:rsidRPr="00F87054">
              <w:t xml:space="preserve">[SA] 19.0% </w:t>
            </w:r>
            <w:r w:rsidRPr="00F87054">
              <w:fldChar w:fldCharType="begin"/>
            </w:r>
            <w:r w:rsidRPr="00F87054">
              <w:instrText xml:space="preserve"> ADDIN EN.CITE &lt;EndNote&gt;&lt;Cite&gt;&lt;Author&gt;Gandolfi&lt;/Author&gt;&lt;Year&gt;2016&lt;/Year&gt;&lt;RecNum&gt;253&lt;/RecNum&gt;&lt;DisplayText&gt;(Gandolfi et al., 2016)&lt;/DisplayText&gt;&lt;record&gt;&lt;rec-number&gt;253&lt;/rec-number&gt;&lt;foreign-keys&gt;&lt;key app="EN" db-id="xeawtvfeytsawue9dsa5a5xjeevw20w0e2sp" timestamp="1625798755"&gt;253&lt;/key&gt;&lt;/foreign-keys&gt;&lt;ref-type name="Journal Article"&gt;17&lt;/ref-type&gt;&lt;contributors&gt;&lt;authors&gt;&lt;author&gt;Gandolfi, Stefano A.&lt;/author&gt;&lt;author&gt;Ungaro, Nicola&lt;/author&gt;&lt;author&gt;Ghirardini, Stella&lt;/author&gt;&lt;author&gt;Tardini, Maria Grazia&lt;/author&gt;&lt;author&gt;Mora, Paolo&lt;/author&gt;&lt;/authors&gt;&lt;secondary-authors&gt;&lt;author&gt;Ferreras, Antonio&lt;/author&gt;&lt;/secondary-authors&gt;&lt;/contributors&gt;&lt;titles&gt;&lt;title&gt;Comparison of Surgical Outcomes between Canaloplasty and Schlemm’s Canal Scaffold at 24 Months’ Follow-Up&lt;/title&gt;&lt;secondary-title&gt;Journal of Ophthalmology&lt;/secondary-title&gt;&lt;/titles&gt;&lt;periodical&gt;&lt;full-title&gt;Journal of ophthalmology&lt;/full-title&gt;&lt;/periodical&gt;&lt;pages&gt;3410469&lt;/pages&gt;&lt;volume&gt;2016&lt;/volume&gt;&lt;dates&gt;&lt;year&gt;2016&lt;/year&gt;&lt;pub-dates&gt;&lt;date&gt;2016/02/16&lt;/date&gt;&lt;/pub-dates&gt;&lt;/dates&gt;&lt;publisher&gt;Hindawi Publishing Corporation&lt;/publisher&gt;&lt;isbn&gt;2090-004X&lt;/isbn&gt;&lt;urls&gt;&lt;related-urls&gt;&lt;url&gt;https://doi.org/10.1155/2016/3410469&lt;/url&gt;&lt;/related-urls&gt;&lt;/urls&gt;&lt;electronic-resource-num&gt;10.1155/2016/3410469&lt;/electronic-resource-num&gt;&lt;/record&gt;&lt;/Cite&gt;&lt;/EndNote&gt;</w:instrText>
            </w:r>
            <w:r w:rsidRPr="00F87054">
              <w:fldChar w:fldCharType="separate"/>
            </w:r>
            <w:r w:rsidRPr="00F87054">
              <w:t>(</w:t>
            </w:r>
            <w:hyperlink w:anchor="_ENREF_51" w:tooltip="Gandolfi, 2016 #253" w:history="1">
              <w:r w:rsidRPr="00F87054">
                <w:t>Gandolfi et al., 2016</w:t>
              </w:r>
            </w:hyperlink>
            <w:r w:rsidRPr="00F87054">
              <w:t>)</w:t>
            </w:r>
            <w:r w:rsidRPr="00F87054">
              <w:fldChar w:fldCharType="end"/>
            </w:r>
          </w:p>
        </w:tc>
      </w:tr>
      <w:tr w:rsidR="0099729D" w:rsidRPr="00F87054" w14:paraId="16E9FA46" w14:textId="77777777" w:rsidTr="00F677D5">
        <w:trPr>
          <w:trHeight w:val="565"/>
        </w:trPr>
        <w:tc>
          <w:tcPr>
            <w:tcW w:w="2273" w:type="dxa"/>
          </w:tcPr>
          <w:p w14:paraId="0BB0507F" w14:textId="77777777" w:rsidR="0099729D" w:rsidRPr="00F87054" w:rsidRDefault="0099729D" w:rsidP="00F677D5">
            <w:pPr>
              <w:pStyle w:val="Tabletext"/>
            </w:pPr>
            <w:r w:rsidRPr="00F87054">
              <w:t>Postoperative IOP spikes</w:t>
            </w:r>
          </w:p>
        </w:tc>
        <w:tc>
          <w:tcPr>
            <w:tcW w:w="3386" w:type="dxa"/>
          </w:tcPr>
          <w:p w14:paraId="060CCB77" w14:textId="77777777" w:rsidR="0099729D" w:rsidRPr="00F87054" w:rsidRDefault="0099729D" w:rsidP="00F677D5">
            <w:pPr>
              <w:pStyle w:val="Tabletext"/>
            </w:pPr>
            <w:r w:rsidRPr="00F87054">
              <w:t xml:space="preserve">[T] 0.9% (≥10 mmHg) </w:t>
            </w:r>
            <w:r w:rsidRPr="00F87054">
              <w:fldChar w:fldCharType="begin"/>
            </w:r>
            <w:r w:rsidRPr="00F87054">
              <w:instrText xml:space="preserve"> ADDIN EN.CITE &lt;EndNote&gt;&lt;Cite&gt;&lt;Author&gt;Ondrejka&lt;/Author&gt;&lt;Year&gt;2019&lt;/Year&gt;&lt;RecNum&gt;126&lt;/RecNum&gt;&lt;DisplayText&gt;(Ondrejka and Körber, 2019)&lt;/DisplayText&gt;&lt;record&gt;&lt;rec-number&gt;126&lt;/rec-number&gt;&lt;foreign-keys&gt;&lt;key app="EN" db-id="xeawtvfeytsawue9dsa5a5xjeevw20w0e2sp" timestamp="1621914035"&gt;126&lt;/key&gt;&lt;/foreign-keys&gt;&lt;ref-type name="Journal Article"&gt;17&lt;/ref-type&gt;&lt;contributors&gt;&lt;authors&gt;&lt;author&gt;Ondrejka, S.&lt;/author&gt;&lt;author&gt;Körber, N.&lt;/author&gt;&lt;/authors&gt;&lt;/contributors&gt;&lt;titles&gt;&lt;title&gt;360° ab-interno Schlemm&amp;apos;s canal viscodilation in primary open-angle glaucoma&lt;/title&gt;&lt;secondary-title&gt;Clin Ophthalmol&lt;/secondary-title&gt;&lt;/titles&gt;&lt;periodical&gt;&lt;full-title&gt;Clin Ophthalmol&lt;/full-title&gt;&lt;/periodical&gt;&lt;pages&gt;1235-1246&lt;/pages&gt;&lt;volume&gt;13&lt;/volume&gt;&lt;keywords&gt;&lt;keyword&gt;360-degree trabeculotomy&lt;/keyword&gt;&lt;keyword&gt;Poag&lt;/keyword&gt;&lt;keyword&gt;Visco360®&lt;/keyword&gt;&lt;keyword&gt;blebless, MIGS&lt;/keyword&gt;&lt;keyword&gt;canaloplasty&lt;/keyword&gt;&lt;keyword&gt;discussed in this article. The authors report no conflicts of interest in this work.&lt;/keyword&gt;&lt;keyword&gt;Glaucoma, Open-Angle&lt;/keyword&gt;&lt;keyword&gt;Glaucoma&lt;/keyword&gt;&lt;/keywords&gt;&lt;dates&gt;&lt;year&gt;2019&lt;/year&gt;&lt;pub-dates&gt;&lt;date&gt;2019&lt;/date&gt;&lt;/pub-dates&gt;&lt;/dates&gt;&lt;isbn&gt;1177-5467 (Print) 1177-5467&lt;/isbn&gt;&lt;accession-num&gt;rayyan-170597979&lt;/accession-num&gt;&lt;urls&gt;&lt;related-urls&gt;&lt;url&gt;https://www.dovepress.com/getfile.php?fileID=51230&lt;/url&gt;&lt;/related-urls&gt;&lt;/urls&gt;&lt;custom1&gt;1177-5483 Ondrejka, Simon Körber, Norbert Journal Article Clin Ophthalmol. 2019 Jul 15;13:1235-1246. doi: 10.2147/OPTH.S203917. eCollection 2019. RAYYAN-INCLUSION: {&amp;quot;Alvin&amp;quot;=&amp;gt;&amp;quot;Included&amp;quot;, &amp;quot;Lucy&amp;quot;=&amp;gt;&amp;quot;Included&amp;quot;}&lt;/custom1&gt;&lt;language&gt;eng&lt;/language&gt;&lt;/record&gt;&lt;/Cite&gt;&lt;/EndNote&gt;</w:instrText>
            </w:r>
            <w:r w:rsidRPr="00F87054">
              <w:fldChar w:fldCharType="separate"/>
            </w:r>
            <w:r w:rsidRPr="00F87054">
              <w:t>(</w:t>
            </w:r>
            <w:hyperlink w:anchor="_ENREF_113" w:tooltip="Ondrejka, 2019 #126" w:history="1">
              <w:r w:rsidRPr="00F87054">
                <w:t>Ondrejka and Körber, 2019</w:t>
              </w:r>
            </w:hyperlink>
            <w:r w:rsidRPr="00F87054">
              <w:t>)</w:t>
            </w:r>
            <w:r w:rsidRPr="00F87054">
              <w:fldChar w:fldCharType="end"/>
            </w:r>
          </w:p>
          <w:p w14:paraId="33E657F7" w14:textId="77777777" w:rsidR="0099729D" w:rsidRPr="00F87054" w:rsidRDefault="0099729D" w:rsidP="00F677D5">
            <w:pPr>
              <w:pStyle w:val="Tabletext"/>
            </w:pPr>
            <w:r w:rsidRPr="00F87054">
              <w:t>[C] 7.0% (&lt;30 day) / 1.1% (&gt;</w:t>
            </w:r>
            <w:proofErr w:type="gramStart"/>
            <w:r w:rsidRPr="00F87054">
              <w:t>30 day</w:t>
            </w:r>
            <w:proofErr w:type="gramEnd"/>
            <w:r w:rsidRPr="00F87054">
              <w:t xml:space="preserve"> FU, 10 ≥mmHg) </w:t>
            </w:r>
            <w:r w:rsidRPr="00F87054">
              <w:fldChar w:fldCharType="begin">
                <w:fldData xml:space="preserve">PEVuZE5vdGU+PENpdGU+PEF1dGhvcj5UcmFjZXI8L0F1dGhvcj48WWVhcj4yMDIwPC9ZZWFyPjxS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=
</w:fldData>
              </w:fldChar>
            </w:r>
            <w:r w:rsidRPr="00F87054">
              <w:instrText xml:space="preserve"> ADDIN EN.CITE </w:instrText>
            </w:r>
            <w:r w:rsidRPr="00F87054">
              <w:fldChar w:fldCharType="begin">
                <w:fldData xml:space="preserve">PEVuZE5vdGU+PENpdGU+PEF1dGhvcj5UcmFjZXI8L0F1dGhvcj48WWVhcj4yMDIwPC9ZZWFyPjxS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=
</w:fldData>
              </w:fldChar>
            </w:r>
            <w:r w:rsidRPr="00F87054">
              <w:instrText xml:space="preserve"> ADDIN EN.CITE.DATA </w:instrText>
            </w:r>
            <w:r w:rsidRPr="00F87054">
              <w:fldChar w:fldCharType="end"/>
            </w:r>
            <w:r w:rsidRPr="00F87054">
              <w:fldChar w:fldCharType="separate"/>
            </w:r>
            <w:r w:rsidRPr="00F87054">
              <w:t>(</w:t>
            </w:r>
            <w:hyperlink w:anchor="_ENREF_148" w:tooltip="Tracer, 2020 #160" w:history="1">
              <w:r w:rsidRPr="00F87054">
                <w:t>Tracer et al., 2020</w:t>
              </w:r>
            </w:hyperlink>
            <w:r w:rsidRPr="00F87054">
              <w:t>)</w:t>
            </w:r>
            <w:r w:rsidRPr="00F87054">
              <w:fldChar w:fldCharType="end"/>
            </w:r>
          </w:p>
          <w:p w14:paraId="26C9805D" w14:textId="77777777" w:rsidR="0099729D" w:rsidRPr="00F87054" w:rsidRDefault="0099729D" w:rsidP="00F677D5">
            <w:pPr>
              <w:pStyle w:val="Tabletext"/>
            </w:pPr>
            <w:r w:rsidRPr="00F87054">
              <w:t xml:space="preserve">[C] 22.2% (&lt;1 month, &gt;30 mmHg) </w:t>
            </w:r>
            <w:r w:rsidRPr="00F87054">
              <w:fldChar w:fldCharType="begin"/>
            </w:r>
            <w:r w:rsidRPr="00F87054">
              <w:instrText xml:space="preserve"> ADDIN EN.CITE &lt;EndNote&gt;&lt;Cite&gt;&lt;Author&gt;Gillmann&lt;/Author&gt;&lt;Year&gt;2021&lt;/Year&gt;&lt;RecNum&gt;256&lt;/RecNum&gt;&lt;DisplayText&gt;(Gillmann et al., 2021)&lt;/DisplayText&gt;&lt;record&gt;&lt;rec-number&gt;256&lt;/rec-number&gt;&lt;foreign-keys&gt;&lt;key app="EN" db-id="xeawtvfeytsawue9dsa5a5xjeevw20w0e2sp" timestamp="1625805973"&gt;256&lt;/key&gt;&lt;/foreign-keys&gt;&lt;ref-type name="Journal Article"&gt;17&lt;/ref-type&gt;&lt;contributors&gt;&lt;authors&gt;&lt;author&gt;Gillmann, Kevin&lt;/author&gt;&lt;author&gt;Aref, Amr&lt;/author&gt;&lt;author&gt;Niegowski, Laëtitia Jessy&lt;/author&gt;&lt;author&gt;Baumgartner, Jean-Marc&lt;/author&gt;&lt;/authors&gt;&lt;/contributors&gt;&lt;titles&gt;&lt;title&gt;Combined Ab interno viscocanaloplasty (ABiC) in open-angle glaucoma: 12-month outcomes&lt;/title&gt;&lt;secondary-title&gt;International Ophthalmology&lt;/secondary-title&gt;&lt;/titles&gt;&lt;periodical&gt;&lt;full-title&gt;International Ophthalmology&lt;/full-title&gt;&lt;/periodical&gt;&lt;pages&gt;1-7&lt;/pages&gt;&lt;dates&gt;&lt;year&gt;2021&lt;/year&gt;&lt;/dates&gt;&lt;isbn&gt;1573-2630&lt;/isbn&gt;&lt;urls&gt;&lt;/urls&gt;&lt;/record&gt;&lt;/Cite&gt;&lt;/EndNote&gt;</w:instrText>
            </w:r>
            <w:r w:rsidRPr="00F87054">
              <w:fldChar w:fldCharType="separate"/>
            </w:r>
            <w:r w:rsidRPr="000466D0">
              <w:t>(</w:t>
            </w:r>
            <w:hyperlink w:anchor="_ENREF_52" w:tooltip="Gillmann, 2021 #256" w:history="1">
              <w:r w:rsidRPr="000466D0">
                <w:t>Gillmann et al., 2021</w:t>
              </w:r>
            </w:hyperlink>
            <w:r w:rsidRPr="00F87054">
              <w:t>)</w:t>
            </w:r>
            <w:r w:rsidRPr="00F87054">
              <w:fldChar w:fldCharType="end"/>
            </w:r>
          </w:p>
        </w:tc>
        <w:tc>
          <w:tcPr>
            <w:tcW w:w="3386" w:type="dxa"/>
          </w:tcPr>
          <w:p w14:paraId="1B4E3D43" w14:textId="77777777" w:rsidR="0099729D" w:rsidRPr="00F87054" w:rsidRDefault="0099729D" w:rsidP="00F677D5">
            <w:pPr>
              <w:pStyle w:val="Tabletext"/>
            </w:pPr>
            <w:r w:rsidRPr="00F87054">
              <w:t xml:space="preserve">[T] 12.7% (&gt;30 mmHg) </w:t>
            </w:r>
            <w:r w:rsidRPr="00F87054">
              <w:fldChar w:fldCharType="begin">
                <w:fldData xml:space="preserve">PEVuZE5vdGU+PENpdGU+PEF1dGhvcj5LYXJpbWk8L0F1dGhvcj48WWVhcj4yMDE5PC9ZZWFyPjxS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=
</w:fldData>
              </w:fldChar>
            </w:r>
            <w:r w:rsidRPr="00F87054">
              <w:instrText xml:space="preserve"> ADDIN EN.CITE </w:instrText>
            </w:r>
            <w:r w:rsidRPr="00F87054">
              <w:fldChar w:fldCharType="begin">
                <w:fldData xml:space="preserve">PEVuZE5vdGU+PENpdGU+PEF1dGhvcj5LYXJpbWk8L0F1dGhvcj48WWVhcj4yMDE5PC9ZZWFyPjxS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=
</w:fldData>
              </w:fldChar>
            </w:r>
            <w:r w:rsidRPr="00F87054">
              <w:instrText xml:space="preserve"> ADDIN EN.CITE.DATA </w:instrText>
            </w:r>
            <w:r w:rsidRPr="00F87054">
              <w:fldChar w:fldCharType="end"/>
            </w:r>
            <w:r w:rsidRPr="00F87054">
              <w:fldChar w:fldCharType="separate"/>
            </w:r>
            <w:r w:rsidRPr="00F87054">
              <w:t>(</w:t>
            </w:r>
            <w:hyperlink w:anchor="_ENREF_77" w:tooltip="Karimi, 2019 #104" w:history="1">
              <w:r w:rsidRPr="00F87054">
                <w:t>Karimi et al., 2019</w:t>
              </w:r>
            </w:hyperlink>
            <w:r w:rsidRPr="00F87054">
              <w:t>)</w:t>
            </w:r>
            <w:r w:rsidRPr="00F87054">
              <w:fldChar w:fldCharType="end"/>
            </w:r>
          </w:p>
          <w:p w14:paraId="23910623" w14:textId="77777777" w:rsidR="0099729D" w:rsidRPr="00F87054" w:rsidRDefault="0099729D" w:rsidP="00F677D5">
            <w:pPr>
              <w:pStyle w:val="Tabletext"/>
            </w:pPr>
            <w:r w:rsidRPr="00F87054">
              <w:t xml:space="preserve">[C] 6.0% (≥15 mmHg) </w:t>
            </w:r>
            <w:r w:rsidRPr="00F87054">
              <w:fldChar w:fldCharType="begin"/>
            </w:r>
            <w:r w:rsidRPr="00F87054">
              <w:instrText xml:space="preserve"> ADDIN EN.CITE &lt;EndNote&gt;&lt;Cite&gt;&lt;Author&gt;Ferguson&lt;/Author&gt;&lt;Year&gt;2017&lt;/Year&gt;&lt;RecNum&gt;70&lt;/RecNum&gt;&lt;DisplayText&gt;(Ferguson et al., 2017)&lt;/DisplayText&gt;&lt;record&gt;&lt;rec-number&gt;70&lt;/rec-number&gt;&lt;foreign-keys&gt;&lt;key app="EN" db-id="xeawtvfeytsawue9dsa5a5xjeevw20w0e2sp" timestamp="1621914035"&gt;70&lt;/key&gt;&lt;/foreign-keys&gt;&lt;ref-type name="Journal Article"&gt;17&lt;/ref-type&gt;&lt;contributors&gt;&lt;authors&gt;&lt;author&gt;Ferguson, T. J.&lt;/author&gt;&lt;author&gt;Swan, R.&lt;/author&gt;&lt;author&gt;Ibach, M.&lt;/author&gt;&lt;author&gt;Schweitzer, J.&lt;/author&gt;&lt;author&gt;Sudhagoni, R.&lt;/author&gt;&lt;author&gt;Berdahl, J. P.&lt;/author&gt;&lt;/authors&gt;&lt;/contributors&gt;&lt;titles&gt;&lt;title&gt;Trabecular microbypass stent implantation with cataract extraction in pseudoexfoliation glaucoma&lt;/title&gt;&lt;secondary-title&gt;J Cataract Refract Surg&lt;/secondary-title&gt;&lt;/titles&gt;&lt;periodical&gt;&lt;full-title&gt;J Cataract Refract Surg&lt;/full-title&gt;&lt;/periodical&gt;&lt;pages&gt;622-626&lt;/pages&gt;&lt;volume&gt;43&lt;/volume&gt;&lt;number&gt;5&lt;/number&gt;&lt;keywords&gt;&lt;keyword&gt;*Cataract Extraction&lt;/keyword&gt;&lt;keyword&gt;*Exfoliation Syndrome/surgery&lt;/keyword&gt;&lt;keyword&gt;Glaucoma, Open-Angle/surgery&lt;/keyword&gt;&lt;keyword&gt;Humans&lt;/keyword&gt;&lt;keyword&gt;Lens Implantation, Intraocular&lt;/keyword&gt;&lt;keyword&gt;Postoperative Period&lt;/keyword&gt;&lt;keyword&gt;Prosthesis Implantation&lt;/keyword&gt;&lt;keyword&gt;Retrospective Studies&lt;/keyword&gt;&lt;keyword&gt;*Stents&lt;/keyword&gt;&lt;keyword&gt;Cataract Extraction&lt;/keyword&gt;&lt;keyword&gt;Stents&lt;/keyword&gt;&lt;keyword&gt;Cataract&lt;/keyword&gt;&lt;keyword&gt;Glaucoma&lt;/keyword&gt;&lt;/keywords&gt;&lt;dates&gt;&lt;year&gt;2017&lt;/year&gt;&lt;pub-dates&gt;&lt;date&gt;2017&lt;/date&gt;&lt;/pub-dates&gt;&lt;/dates&gt;&lt;isbn&gt;0886-3350&lt;/isbn&gt;&lt;accession-num&gt;rayyan-170597836&lt;/accession-num&gt;&lt;urls&gt;&lt;/urls&gt;&lt;custom1&gt;1873-4502 Ferguson, Tanner J Swan, Russell Ibach, Mitch Schweitzer, Justin Sudhagoni, Ramu Berdahl, John P Journal Article United States J Cataract Refract Surg. 2017 May;43(5):622-626. doi: 10.1016/j.jcrs.2017.02.029. RAYYAN-INCLUSION: {&amp;quot;Alvin&amp;quot;=&amp;gt;&amp;quot;Included&amp;quot;, &amp;quot;Lucy&amp;quot;=&amp;gt;&amp;quot;Included&amp;quot;} | RAYYAN-EXCLUSION-REASONS: wrong population&lt;/custom1&gt;&lt;language&gt;eng&lt;/language&gt;&lt;/record&gt;&lt;/Cite&gt;&lt;/EndNote&gt;</w:instrText>
            </w:r>
            <w:r w:rsidRPr="00F87054">
              <w:fldChar w:fldCharType="separate"/>
            </w:r>
            <w:r w:rsidRPr="00F87054">
              <w:t>(</w:t>
            </w:r>
            <w:hyperlink w:anchor="_ENREF_41" w:tooltip="Ferguson, 2017 #70" w:history="1">
              <w:r w:rsidRPr="00F87054">
                <w:t>Ferguson et al., 2017</w:t>
              </w:r>
            </w:hyperlink>
            <w:r w:rsidRPr="00F87054">
              <w:t>)</w:t>
            </w:r>
            <w:r w:rsidRPr="00F87054">
              <w:fldChar w:fldCharType="end"/>
            </w:r>
          </w:p>
          <w:p w14:paraId="0DA53B8B" w14:textId="77777777" w:rsidR="0099729D" w:rsidRPr="00F87054" w:rsidRDefault="0099729D" w:rsidP="00F677D5">
            <w:pPr>
              <w:pStyle w:val="Tabletext"/>
            </w:pPr>
            <w:r w:rsidRPr="00F87054">
              <w:t xml:space="preserve">[SA] 4.8% </w:t>
            </w:r>
            <w:r w:rsidRPr="00F87054">
              <w:fldChar w:fldCharType="begin"/>
            </w:r>
            <w:r w:rsidRPr="00F87054">
              <w:instrText xml:space="preserve"> ADDIN EN.CITE &lt;EndNote&gt;&lt;Cite&gt;&lt;Author&gt;Gandolfi&lt;/Author&gt;&lt;Year&gt;2016&lt;/Year&gt;&lt;RecNum&gt;253&lt;/RecNum&gt;&lt;DisplayText&gt;(Gandolfi et al., 2016)&lt;/DisplayText&gt;&lt;record&gt;&lt;rec-number&gt;253&lt;/rec-number&gt;&lt;foreign-keys&gt;&lt;key app="EN" db-id="xeawtvfeytsawue9dsa5a5xjeevw20w0e2sp" timestamp="1625798755"&gt;253&lt;/key&gt;&lt;/foreign-keys&gt;&lt;ref-type name="Journal Article"&gt;17&lt;/ref-type&gt;&lt;contributors&gt;&lt;authors&gt;&lt;author&gt;Gandolfi, Stefano A.&lt;/author&gt;&lt;author&gt;Ungaro, Nicola&lt;/author&gt;&lt;author&gt;Ghirardini, Stella&lt;/author&gt;&lt;author&gt;Tardini, Maria Grazia&lt;/author&gt;&lt;author&gt;Mora, Paolo&lt;/author&gt;&lt;/authors&gt;&lt;secondary-authors&gt;&lt;author&gt;Ferreras, Antonio&lt;/author&gt;&lt;/secondary-authors&gt;&lt;/contributors&gt;&lt;titles&gt;&lt;title&gt;Comparison of Surgical Outcomes between Canaloplasty and Schlemm’s Canal Scaffold at 24 Months’ Follow-Up&lt;/title&gt;&lt;secondary-title&gt;Journal of Ophthalmology&lt;/secondary-title&gt;&lt;/titles&gt;&lt;periodical&gt;&lt;full-title&gt;Journal of ophthalmology&lt;/full-title&gt;&lt;/periodical&gt;&lt;pages&gt;3410469&lt;/pages&gt;&lt;volume&gt;2016&lt;/volume&gt;&lt;dates&gt;&lt;year&gt;2016&lt;/year&gt;&lt;pub-dates&gt;&lt;date&gt;2016/02/16&lt;/date&gt;&lt;/pub-dates&gt;&lt;/dates&gt;&lt;publisher&gt;Hindawi Publishing Corporation&lt;/publisher&gt;&lt;isbn&gt;2090-004X&lt;/isbn&gt;&lt;urls&gt;&lt;related-urls&gt;&lt;url&gt;https://doi.org/10.1155/2016/3410469&lt;/url&gt;&lt;/related-urls&gt;&lt;/urls&gt;&lt;electronic-resource-num&gt;10.1155/2016/3410469&lt;/electronic-resource-num&gt;&lt;/record&gt;&lt;/Cite&gt;&lt;/EndNote&gt;</w:instrText>
            </w:r>
            <w:r w:rsidRPr="00F87054">
              <w:fldChar w:fldCharType="separate"/>
            </w:r>
            <w:r w:rsidRPr="00F87054">
              <w:t>(</w:t>
            </w:r>
            <w:hyperlink w:anchor="_ENREF_51" w:tooltip="Gandolfi, 2016 #253" w:history="1">
              <w:r w:rsidRPr="00F87054">
                <w:t>Gandolfi et al., 2016</w:t>
              </w:r>
            </w:hyperlink>
            <w:r w:rsidRPr="00F87054">
              <w:t>)</w:t>
            </w:r>
            <w:r w:rsidRPr="00F87054">
              <w:fldChar w:fldCharType="end"/>
            </w:r>
          </w:p>
        </w:tc>
      </w:tr>
    </w:tbl>
    <w:p w14:paraId="45BA50C0" w14:textId="77777777" w:rsidR="00F677D5" w:rsidRPr="00F677D5" w:rsidRDefault="00F677D5" w:rsidP="00066143">
      <w:pPr>
        <w:pStyle w:val="Tablenotes0"/>
      </w:pPr>
      <w:r w:rsidRPr="00F677D5">
        <w:t xml:space="preserve">Source: Table 4, </w:t>
      </w:r>
      <w:proofErr w:type="spellStart"/>
      <w:r w:rsidRPr="00F677D5">
        <w:t>pg</w:t>
      </w:r>
      <w:proofErr w:type="spellEnd"/>
      <w:r w:rsidRPr="00F677D5">
        <w:t xml:space="preserve"> 23 of the DCAR</w:t>
      </w:r>
    </w:p>
    <w:p w14:paraId="2932FA71" w14:textId="3786B429" w:rsidR="0099729D" w:rsidRPr="00F87054" w:rsidRDefault="0099729D" w:rsidP="00066143">
      <w:pPr>
        <w:pStyle w:val="Tablenotes0"/>
      </w:pPr>
      <w:r w:rsidRPr="00F677D5">
        <w:rPr>
          <w:bCs/>
        </w:rPr>
        <w:t>Abbreviations:</w:t>
      </w:r>
      <w:r w:rsidRPr="00F87054">
        <w:t xml:space="preserve"> C = glaucoma procedure combined with cataract surgery, FU = follow-up, IOP = intraocular pressure, NI = no information, SA = standalone procedure, T = total cohort (mixed population of SA and C)</w:t>
      </w:r>
    </w:p>
    <w:p w14:paraId="23BE7E92" w14:textId="4FD37D7B" w:rsidR="0099729D" w:rsidRDefault="0099729D" w:rsidP="0099729D">
      <w:r w:rsidRPr="00F87054">
        <w:t xml:space="preserve">Among the 14 studies, more adverse events were reported </w:t>
      </w:r>
      <w:r w:rsidR="00F677D5">
        <w:t>in</w:t>
      </w:r>
      <w:r w:rsidRPr="00F87054">
        <w:t xml:space="preserve"> the comparator studies (n = 18) than then intervention studies (n = 8), noting a single micro-bypass stent study contributed 11 different adverse events </w:t>
      </w:r>
      <w:r w:rsidRPr="00F87054">
        <w:fldChar w:fldCharType="begin">
          <w:fldData xml:space="preserve">PEVuZE5vdGU+PENpdGU+PEF1dGhvcj5LYXJpbWk8L0F1dGhvcj48WWVhcj4yMDE5PC9ZZWFyPjxS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=
</w:fldData>
        </w:fldChar>
      </w:r>
      <w:r w:rsidRPr="00F87054">
        <w:instrText xml:space="preserve"> ADDIN EN.CITE </w:instrText>
      </w:r>
      <w:r w:rsidRPr="00F87054">
        <w:fldChar w:fldCharType="begin">
          <w:fldData xml:space="preserve">PEVuZE5vdGU+PENpdGU+PEF1dGhvcj5LYXJpbWk8L0F1dGhvcj48WWVhcj4yMDE5PC9ZZWFyPjxS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=
</w:fldData>
        </w:fldChar>
      </w:r>
      <w:r w:rsidRPr="00F87054">
        <w:instrText xml:space="preserve"> ADDIN EN.CITE.DATA </w:instrText>
      </w:r>
      <w:r w:rsidRPr="00F87054">
        <w:fldChar w:fldCharType="end"/>
      </w:r>
      <w:r w:rsidRPr="00F87054">
        <w:fldChar w:fldCharType="separate"/>
      </w:r>
      <w:r w:rsidRPr="00F87054">
        <w:t>(</w:t>
      </w:r>
      <w:hyperlink w:anchor="_ENREF_77" w:tooltip="Karimi, 2019 #104" w:history="1">
        <w:r w:rsidRPr="00F87054">
          <w:t>Karimi et al., 2019</w:t>
        </w:r>
      </w:hyperlink>
      <w:r w:rsidR="00F677D5">
        <w:rPr>
          <w:rStyle w:val="FootnoteReference"/>
        </w:rPr>
        <w:footnoteReference w:id="12"/>
      </w:r>
      <w:r w:rsidRPr="00F87054">
        <w:t>)</w:t>
      </w:r>
      <w:r w:rsidRPr="00F87054">
        <w:fldChar w:fldCharType="end"/>
      </w:r>
      <w:r w:rsidRPr="00F87054">
        <w:t xml:space="preserve">. Among reported intraoperative and postoperative events, multiple studies reported intraoperative bleeding, failure (or multiple attempts) to perform implantation or insertion of the device, </w:t>
      </w:r>
      <w:proofErr w:type="spellStart"/>
      <w:r w:rsidRPr="00F87054">
        <w:t>hyphema</w:t>
      </w:r>
      <w:proofErr w:type="spellEnd"/>
      <w:r w:rsidRPr="00F87054">
        <w:t xml:space="preserve"> and postoperative IOP spikes (</w:t>
      </w:r>
      <w:r w:rsidRPr="00F87054">
        <w:fldChar w:fldCharType="begin"/>
      </w:r>
      <w:r w:rsidRPr="00F87054">
        <w:instrText xml:space="preserve"> REF _Ref81227417 \h </w:instrText>
      </w:r>
      <w:r w:rsidRPr="00F87054">
        <w:fldChar w:fldCharType="separate"/>
      </w:r>
      <w:r w:rsidR="00960ECD" w:rsidRPr="00F87054">
        <w:t xml:space="preserve">Table </w:t>
      </w:r>
      <w:r w:rsidR="00960ECD">
        <w:rPr>
          <w:noProof/>
        </w:rPr>
        <w:t>5</w:t>
      </w:r>
      <w:r w:rsidRPr="00F87054">
        <w:fldChar w:fldCharType="end"/>
      </w:r>
      <w:r w:rsidRPr="00F87054">
        <w:t xml:space="preserve">). </w:t>
      </w:r>
    </w:p>
    <w:p w14:paraId="5E0A5F62" w14:textId="77777777" w:rsidR="0099729D" w:rsidRPr="00F87054" w:rsidRDefault="0099729D" w:rsidP="006672D2">
      <w:pPr>
        <w:spacing w:before="240"/>
      </w:pPr>
      <w:r w:rsidRPr="00F87054">
        <w:t xml:space="preserve">Among studies: </w:t>
      </w:r>
    </w:p>
    <w:p w14:paraId="4EFA2338" w14:textId="77777777" w:rsidR="0099729D" w:rsidRPr="00F87054" w:rsidRDefault="0099729D" w:rsidP="00F677D5">
      <w:pPr>
        <w:pStyle w:val="ListParagraph"/>
        <w:numPr>
          <w:ilvl w:val="0"/>
          <w:numId w:val="20"/>
        </w:numPr>
        <w:ind w:left="714" w:hanging="357"/>
        <w:jc w:val="both"/>
      </w:pPr>
      <w:r w:rsidRPr="00F87054">
        <w:t xml:space="preserve">Intraoperative bleeding was only reported by intervention studies (k = 3). </w:t>
      </w:r>
    </w:p>
    <w:p w14:paraId="6D25F568" w14:textId="77777777" w:rsidR="0099729D" w:rsidRPr="00F87054" w:rsidRDefault="0099729D" w:rsidP="00F677D5">
      <w:pPr>
        <w:pStyle w:val="ListParagraph"/>
        <w:numPr>
          <w:ilvl w:val="0"/>
          <w:numId w:val="20"/>
        </w:numPr>
        <w:ind w:left="714" w:hanging="357"/>
        <w:jc w:val="both"/>
      </w:pPr>
      <w:r w:rsidRPr="00F87054">
        <w:t xml:space="preserve">Both intervention (k = 1) and comparator (k = 2) studies reported failure or multiple attempts for the application of the device. </w:t>
      </w:r>
    </w:p>
    <w:p w14:paraId="64447D5B" w14:textId="77777777" w:rsidR="0099729D" w:rsidRPr="00F87054" w:rsidRDefault="0099729D" w:rsidP="00F677D5">
      <w:pPr>
        <w:pStyle w:val="ListParagraph"/>
        <w:numPr>
          <w:ilvl w:val="0"/>
          <w:numId w:val="20"/>
        </w:numPr>
        <w:ind w:left="714" w:hanging="357"/>
        <w:jc w:val="both"/>
      </w:pPr>
      <w:r w:rsidRPr="00F87054">
        <w:t xml:space="preserve">Intervention studies (k = 4) reported </w:t>
      </w:r>
      <w:proofErr w:type="spellStart"/>
      <w:r w:rsidRPr="00F87054">
        <w:t>hyphema</w:t>
      </w:r>
      <w:proofErr w:type="spellEnd"/>
      <w:r w:rsidRPr="00F87054">
        <w:t xml:space="preserve"> more often than comparator studies (k = 1). </w:t>
      </w:r>
    </w:p>
    <w:p w14:paraId="3289FF86" w14:textId="19CEF914" w:rsidR="0099729D" w:rsidRDefault="0099729D" w:rsidP="00F677D5">
      <w:pPr>
        <w:pStyle w:val="ListParagraph"/>
        <w:numPr>
          <w:ilvl w:val="0"/>
          <w:numId w:val="20"/>
        </w:numPr>
        <w:ind w:left="714" w:hanging="357"/>
        <w:jc w:val="both"/>
      </w:pPr>
      <w:r w:rsidRPr="00F87054">
        <w:t>Both intervention (k = 3) and comparator (k = 3) studies reported postoperative IOP spikes.</w:t>
      </w:r>
    </w:p>
    <w:p w14:paraId="731C8DFF" w14:textId="6CDAC8BA" w:rsidR="0099729D" w:rsidRDefault="0099729D" w:rsidP="00624B02">
      <w:pPr>
        <w:spacing w:before="240"/>
      </w:pPr>
      <w:r w:rsidRPr="00F87054">
        <w:t>Na</w:t>
      </w:r>
      <w:r w:rsidRPr="00F87054">
        <w:rPr>
          <w:rFonts w:cs="Calibri"/>
        </w:rPr>
        <w:t>ï</w:t>
      </w:r>
      <w:r w:rsidRPr="00F87054">
        <w:t>ve comparisons between the intervention and the comparator could be made where studies stratify results by procedure (</w:t>
      </w:r>
      <w:proofErr w:type="gramStart"/>
      <w:r w:rsidRPr="00F87054">
        <w:t>i.e.</w:t>
      </w:r>
      <w:proofErr w:type="gramEnd"/>
      <w:r w:rsidRPr="00F87054">
        <w:t xml:space="preserve"> standalone intervention against standalone comparator and combined intervention against combined comparator</w:t>
      </w:r>
      <w:r>
        <w:t>,</w:t>
      </w:r>
      <w:r w:rsidRPr="00F87054">
        <w:t xml:space="preserve"> </w:t>
      </w:r>
      <w:r w:rsidRPr="00F87054">
        <w:fldChar w:fldCharType="begin"/>
      </w:r>
      <w:r w:rsidRPr="00F87054">
        <w:instrText xml:space="preserve"> REF _Ref78885308 \h </w:instrText>
      </w:r>
      <w:r w:rsidRPr="00F87054">
        <w:fldChar w:fldCharType="separate"/>
      </w:r>
      <w:r w:rsidR="00960ECD" w:rsidRPr="00F87054">
        <w:t xml:space="preserve">Table </w:t>
      </w:r>
      <w:r w:rsidR="00960ECD">
        <w:rPr>
          <w:noProof/>
        </w:rPr>
        <w:t>6</w:t>
      </w:r>
      <w:r w:rsidRPr="00F87054">
        <w:fldChar w:fldCharType="end"/>
      </w:r>
      <w:r w:rsidRPr="00F87054">
        <w:t xml:space="preserve">). Intervention studies generally reported adverse events pooled from both standalone and combined cataract surgery study arms (k = 5). </w:t>
      </w:r>
      <w:r>
        <w:t>The r</w:t>
      </w:r>
      <w:r w:rsidRPr="00F87054">
        <w:t xml:space="preserve">emaining studies only included patients who underwent combined glaucoma and cataract surgery. Thus, the event rate for participants who underwent standalone procedures could not be compared between the intervention and comparator devices. More intraoperative adverse events were reported in the combined intervention </w:t>
      </w:r>
      <w:r w:rsidRPr="00F87054">
        <w:lastRenderedPageBreak/>
        <w:t>studies (4 adverse events, k = 2) than in the combined comparator studies (1 adverse event, k</w:t>
      </w:r>
      <w:r w:rsidR="00960ECD">
        <w:t> </w:t>
      </w:r>
      <w:r w:rsidRPr="00F87054">
        <w:t>= 2). Postoperative adverse events in intervention studies had a similar rate of reported adverse events (5 adverse events, range 8.7–27.9%, k = 2) relative to comparator studies (4</w:t>
      </w:r>
      <w:r w:rsidR="00960ECD">
        <w:t> </w:t>
      </w:r>
      <w:r w:rsidRPr="00F87054">
        <w:t xml:space="preserve">adverse events, range 6.0–22.9%, k = 2). </w:t>
      </w:r>
    </w:p>
    <w:p w14:paraId="29805311" w14:textId="2E9AEEC8" w:rsidR="0099729D" w:rsidRDefault="0099729D" w:rsidP="00624B02">
      <w:pPr>
        <w:spacing w:before="240"/>
      </w:pPr>
      <w:r w:rsidRPr="00F87054">
        <w:t>Due to the paucity of data in the current evidence base</w:t>
      </w:r>
      <w:r>
        <w:t>,</w:t>
      </w:r>
      <w:r w:rsidRPr="00F87054">
        <w:t xml:space="preserve"> it is unclear whether the adverse events reported in the included studies were attributable to the micro-bypass stent or the cataract surgery. It is assumed that cataract surgery itself has associated adverse events. Due to the limited data on standalone intervention procedures, it is unclear how the addition of cataract surgery affects the adverse event rates. </w:t>
      </w:r>
    </w:p>
    <w:p w14:paraId="790B2189" w14:textId="7F8450B1" w:rsidR="0099729D" w:rsidRDefault="0099729D" w:rsidP="00624B02">
      <w:pPr>
        <w:spacing w:before="240"/>
      </w:pPr>
      <w:r w:rsidRPr="00F87054">
        <w:fldChar w:fldCharType="begin"/>
      </w:r>
      <w:r w:rsidRPr="00F87054">
        <w:instrText xml:space="preserve"> REF _Ref78885308 \h </w:instrText>
      </w:r>
      <w:r w:rsidRPr="00F87054">
        <w:fldChar w:fldCharType="separate"/>
      </w:r>
      <w:r w:rsidR="00960ECD" w:rsidRPr="00F87054">
        <w:t xml:space="preserve">Table </w:t>
      </w:r>
      <w:r w:rsidR="00960ECD">
        <w:rPr>
          <w:noProof/>
        </w:rPr>
        <w:t>6</w:t>
      </w:r>
      <w:r w:rsidRPr="00F87054">
        <w:fldChar w:fldCharType="end"/>
      </w:r>
      <w:r w:rsidRPr="00F87054">
        <w:t xml:space="preserve"> presents comparative intraoperative and postoperative adverse event data</w:t>
      </w:r>
      <w:r>
        <w:t>,</w:t>
      </w:r>
      <w:r w:rsidRPr="00F87054">
        <w:t xml:space="preserve"> which has been stratified into standalone and combined subpopulations. Fewer postoperative adverse events were reported in the standalone micro-bypass stent studies (1 adverse event, range 0.0–1.8%, k = 2) compared to the combined micro-bypass stent studies (4 adverse events, range 6.0–22.9%, k = 2). Markedly large ranges of reported intraoperative events in combined intervention studies did not allow for meaningful conclusions to be drawn </w:t>
      </w:r>
      <w:r>
        <w:t>from the data</w:t>
      </w:r>
      <w:r w:rsidRPr="00F87054">
        <w:t xml:space="preserve"> (</w:t>
      </w:r>
      <w:r w:rsidRPr="00F87054">
        <w:fldChar w:fldCharType="begin"/>
      </w:r>
      <w:r w:rsidRPr="00F87054">
        <w:instrText xml:space="preserve"> REF _Ref78885308 \h </w:instrText>
      </w:r>
      <w:r w:rsidRPr="00F87054">
        <w:fldChar w:fldCharType="separate"/>
      </w:r>
      <w:r w:rsidR="00F677D5" w:rsidRPr="00F87054">
        <w:t xml:space="preserve">Table </w:t>
      </w:r>
      <w:r w:rsidR="00F677D5">
        <w:rPr>
          <w:noProof/>
        </w:rPr>
        <w:t>6</w:t>
      </w:r>
      <w:r w:rsidRPr="00F87054">
        <w:fldChar w:fldCharType="end"/>
      </w:r>
      <w:r w:rsidRPr="00F87054">
        <w:t xml:space="preserve">). In patients undergoing glaucoma surgery and concurrent cataract surgery, the data suggest similar numbers of postoperative adverse events in patients undergoing the intervention as the comparator devices. </w:t>
      </w:r>
    </w:p>
    <w:p w14:paraId="3B127ED4" w14:textId="13966233" w:rsidR="0099729D" w:rsidRPr="00F87054" w:rsidRDefault="0099729D" w:rsidP="00624B02">
      <w:pPr>
        <w:pStyle w:val="Caption"/>
        <w:keepNext w:val="0"/>
        <w:spacing w:before="240" w:after="0"/>
        <w:contextualSpacing/>
      </w:pPr>
      <w:bookmarkStart w:id="18" w:name="_Ref78885308"/>
      <w:bookmarkStart w:id="19" w:name="_Toc81257834"/>
      <w:r w:rsidRPr="00F87054">
        <w:t xml:space="preserve">Table </w:t>
      </w:r>
      <w:fldSimple w:instr=" SEQ Table \* ARABIC ">
        <w:r w:rsidR="00F677D5">
          <w:rPr>
            <w:noProof/>
          </w:rPr>
          <w:t>6</w:t>
        </w:r>
      </w:fldSimple>
      <w:bookmarkEnd w:id="18"/>
      <w:r w:rsidRPr="00F87054">
        <w:tab/>
        <w:t>Number of different reported adverse events and incidence of events stratified as standalone or combined cataract surgery</w:t>
      </w:r>
      <w:bookmarkEnd w:id="19"/>
    </w:p>
    <w:tbl>
      <w:tblPr>
        <w:tblStyle w:val="TableGridbeth6"/>
        <w:tblW w:w="9110" w:type="dxa"/>
        <w:tblLook w:val="04A0" w:firstRow="1" w:lastRow="0" w:firstColumn="1" w:lastColumn="0" w:noHBand="0" w:noVBand="1"/>
        <w:tblDescription w:val="Number of different reported adverse events and incidence of events stratified as standalone or combined cataract surgery"/>
      </w:tblPr>
      <w:tblGrid>
        <w:gridCol w:w="2263"/>
        <w:gridCol w:w="3261"/>
        <w:gridCol w:w="3586"/>
      </w:tblGrid>
      <w:tr w:rsidR="0099729D" w:rsidRPr="00F677D5" w14:paraId="255A60EE" w14:textId="77777777" w:rsidTr="00F677D5">
        <w:trPr>
          <w:cantSplit w:val="0"/>
          <w:trHeight w:val="577"/>
        </w:trPr>
        <w:tc>
          <w:tcPr>
            <w:tcW w:w="2263" w:type="dxa"/>
            <w:vMerge w:val="restart"/>
            <w:shd w:val="clear" w:color="auto" w:fill="BFBFBF" w:themeFill="background1" w:themeFillShade="BF"/>
            <w:vAlign w:val="center"/>
          </w:tcPr>
          <w:p w14:paraId="4F9860CF" w14:textId="77777777" w:rsidR="0099729D" w:rsidRPr="00F677D5" w:rsidRDefault="0099729D" w:rsidP="00F677D5">
            <w:pPr>
              <w:pStyle w:val="Tabletextboldleft"/>
            </w:pPr>
            <w:r w:rsidRPr="00F677D5">
              <w:t>Study</w:t>
            </w:r>
          </w:p>
        </w:tc>
        <w:tc>
          <w:tcPr>
            <w:tcW w:w="3261" w:type="dxa"/>
            <w:shd w:val="clear" w:color="auto" w:fill="BFBFBF" w:themeFill="background1" w:themeFillShade="BF"/>
          </w:tcPr>
          <w:p w14:paraId="23C6BE37" w14:textId="77777777" w:rsidR="0099729D" w:rsidRPr="00F677D5" w:rsidRDefault="0099729D" w:rsidP="00F677D5">
            <w:pPr>
              <w:pStyle w:val="Tabletextboldleft"/>
            </w:pPr>
            <w:r w:rsidRPr="00F677D5">
              <w:t>Intraoperative event number (patients reported %)</w:t>
            </w:r>
          </w:p>
        </w:tc>
        <w:tc>
          <w:tcPr>
            <w:tcW w:w="3586" w:type="dxa"/>
            <w:shd w:val="clear" w:color="auto" w:fill="BFBFBF" w:themeFill="background1" w:themeFillShade="BF"/>
          </w:tcPr>
          <w:p w14:paraId="1A7C15BB" w14:textId="77777777" w:rsidR="0099729D" w:rsidRPr="00F677D5" w:rsidRDefault="0099729D" w:rsidP="00F677D5">
            <w:pPr>
              <w:pStyle w:val="Tabletextboldleft"/>
            </w:pPr>
            <w:r w:rsidRPr="00F677D5">
              <w:t>Postoperative event number (patients reported %)</w:t>
            </w:r>
          </w:p>
        </w:tc>
      </w:tr>
      <w:tr w:rsidR="0099729D" w:rsidRPr="00F677D5" w14:paraId="13C18E87" w14:textId="77777777" w:rsidTr="00F677D5">
        <w:trPr>
          <w:cantSplit w:val="0"/>
          <w:trHeight w:val="414"/>
        </w:trPr>
        <w:tc>
          <w:tcPr>
            <w:tcW w:w="2263" w:type="dxa"/>
            <w:vMerge/>
            <w:shd w:val="clear" w:color="auto" w:fill="BFBFBF" w:themeFill="background1" w:themeFillShade="BF"/>
          </w:tcPr>
          <w:p w14:paraId="17455491" w14:textId="77777777" w:rsidR="0099729D" w:rsidRPr="00F677D5" w:rsidRDefault="0099729D" w:rsidP="00F677D5">
            <w:pPr>
              <w:pStyle w:val="Tabletextboldleft"/>
            </w:pPr>
          </w:p>
        </w:tc>
        <w:tc>
          <w:tcPr>
            <w:tcW w:w="3261" w:type="dxa"/>
            <w:shd w:val="clear" w:color="auto" w:fill="BFBFBF" w:themeFill="background1" w:themeFillShade="BF"/>
          </w:tcPr>
          <w:p w14:paraId="59CA0ACD" w14:textId="77777777" w:rsidR="0099729D" w:rsidRPr="00F677D5" w:rsidRDefault="0099729D" w:rsidP="00F677D5">
            <w:pPr>
              <w:pStyle w:val="Tabletextboldleft"/>
            </w:pPr>
            <w:r w:rsidRPr="00F677D5">
              <w:t>Pooled AEs (range any AE)</w:t>
            </w:r>
          </w:p>
        </w:tc>
        <w:tc>
          <w:tcPr>
            <w:tcW w:w="3586" w:type="dxa"/>
            <w:shd w:val="clear" w:color="auto" w:fill="BFBFBF" w:themeFill="background1" w:themeFillShade="BF"/>
          </w:tcPr>
          <w:p w14:paraId="370D494B" w14:textId="77777777" w:rsidR="0099729D" w:rsidRPr="00F677D5" w:rsidRDefault="0099729D" w:rsidP="00F677D5">
            <w:pPr>
              <w:pStyle w:val="Tabletextboldleft"/>
            </w:pPr>
            <w:r w:rsidRPr="00F677D5">
              <w:t>Pooled AEs (range any AE)</w:t>
            </w:r>
          </w:p>
        </w:tc>
      </w:tr>
      <w:tr w:rsidR="0099729D" w:rsidRPr="00F677D5" w14:paraId="153950E0" w14:textId="77777777" w:rsidTr="00F677D5">
        <w:trPr>
          <w:cantSplit w:val="0"/>
          <w:trHeight w:val="271"/>
        </w:trPr>
        <w:tc>
          <w:tcPr>
            <w:tcW w:w="2263" w:type="dxa"/>
            <w:shd w:val="clear" w:color="auto" w:fill="D9D9D9" w:themeFill="background1" w:themeFillShade="D9"/>
          </w:tcPr>
          <w:p w14:paraId="03858113" w14:textId="77777777" w:rsidR="0099729D" w:rsidRPr="00F677D5" w:rsidRDefault="0099729D" w:rsidP="00F677D5">
            <w:pPr>
              <w:pStyle w:val="Tabletextboldleft"/>
            </w:pPr>
            <w:r w:rsidRPr="00F677D5">
              <w:t>Intervention Combined</w:t>
            </w:r>
          </w:p>
        </w:tc>
        <w:tc>
          <w:tcPr>
            <w:tcW w:w="3261" w:type="dxa"/>
            <w:shd w:val="clear" w:color="auto" w:fill="D9D9D9" w:themeFill="background1" w:themeFillShade="D9"/>
          </w:tcPr>
          <w:p w14:paraId="33B579F0" w14:textId="77777777" w:rsidR="0099729D" w:rsidRPr="00F677D5" w:rsidRDefault="0099729D" w:rsidP="00F677D5">
            <w:pPr>
              <w:pStyle w:val="Tabletextboldleft"/>
            </w:pPr>
          </w:p>
        </w:tc>
        <w:tc>
          <w:tcPr>
            <w:tcW w:w="3586" w:type="dxa"/>
            <w:shd w:val="clear" w:color="auto" w:fill="D9D9D9" w:themeFill="background1" w:themeFillShade="D9"/>
          </w:tcPr>
          <w:p w14:paraId="5413C354" w14:textId="77777777" w:rsidR="0099729D" w:rsidRPr="00F677D5" w:rsidRDefault="0099729D" w:rsidP="00F677D5">
            <w:pPr>
              <w:pStyle w:val="Tabletextboldleft"/>
            </w:pPr>
          </w:p>
        </w:tc>
      </w:tr>
      <w:tr w:rsidR="0099729D" w:rsidRPr="00F677D5" w14:paraId="6A7804DA" w14:textId="77777777" w:rsidTr="00F677D5">
        <w:trPr>
          <w:cantSplit w:val="0"/>
          <w:trHeight w:val="258"/>
        </w:trPr>
        <w:tc>
          <w:tcPr>
            <w:tcW w:w="2263" w:type="dxa"/>
          </w:tcPr>
          <w:p w14:paraId="52E04F4E" w14:textId="254732EB" w:rsidR="0099729D" w:rsidRPr="003D580B" w:rsidRDefault="001E5EF1" w:rsidP="00F677D5">
            <w:pPr>
              <w:pStyle w:val="Tabletext"/>
              <w:rPr>
                <w:highlight w:val="yellow"/>
              </w:rPr>
            </w:pPr>
            <w:proofErr w:type="spellStart"/>
            <w:r w:rsidRPr="000466D0">
              <w:t>Gillmann</w:t>
            </w:r>
            <w:proofErr w:type="spellEnd"/>
            <w:r w:rsidRPr="000466D0">
              <w:t xml:space="preserve"> et al., 2021</w:t>
            </w:r>
          </w:p>
        </w:tc>
        <w:tc>
          <w:tcPr>
            <w:tcW w:w="3261" w:type="dxa"/>
            <w:vMerge w:val="restart"/>
            <w:vAlign w:val="center"/>
          </w:tcPr>
          <w:p w14:paraId="024F4A71" w14:textId="77777777" w:rsidR="0099729D" w:rsidRPr="00F677D5" w:rsidRDefault="0099729D" w:rsidP="00F677D5">
            <w:pPr>
              <w:pStyle w:val="Tabletext"/>
            </w:pPr>
            <w:r w:rsidRPr="00F677D5">
              <w:t>4* (0.0–100.0%)</w:t>
            </w:r>
          </w:p>
        </w:tc>
        <w:tc>
          <w:tcPr>
            <w:tcW w:w="3586" w:type="dxa"/>
            <w:vMerge w:val="restart"/>
            <w:vAlign w:val="center"/>
          </w:tcPr>
          <w:p w14:paraId="36E78221" w14:textId="77777777" w:rsidR="0099729D" w:rsidRPr="00F677D5" w:rsidRDefault="0099729D" w:rsidP="00F677D5">
            <w:pPr>
              <w:pStyle w:val="Tabletext"/>
            </w:pPr>
            <w:r w:rsidRPr="00F677D5">
              <w:t>5 (8.7–27.9%)</w:t>
            </w:r>
          </w:p>
        </w:tc>
      </w:tr>
      <w:tr w:rsidR="0099729D" w:rsidRPr="00F677D5" w14:paraId="79829B60" w14:textId="77777777" w:rsidTr="00F677D5">
        <w:trPr>
          <w:cantSplit w:val="0"/>
          <w:trHeight w:val="258"/>
        </w:trPr>
        <w:tc>
          <w:tcPr>
            <w:tcW w:w="2263" w:type="dxa"/>
          </w:tcPr>
          <w:p w14:paraId="195F2060" w14:textId="627D6398" w:rsidR="0099729D" w:rsidRPr="00F677D5" w:rsidRDefault="001E5EF1" w:rsidP="00F677D5">
            <w:pPr>
              <w:pStyle w:val="Tabletext"/>
            </w:pPr>
            <w:r w:rsidRPr="001E5EF1">
              <w:t>Tracer et al., 2020</w:t>
            </w:r>
          </w:p>
        </w:tc>
        <w:tc>
          <w:tcPr>
            <w:tcW w:w="3261" w:type="dxa"/>
            <w:vMerge/>
            <w:vAlign w:val="center"/>
          </w:tcPr>
          <w:p w14:paraId="7169BC0B" w14:textId="77777777" w:rsidR="0099729D" w:rsidRPr="00F677D5" w:rsidRDefault="0099729D" w:rsidP="00F677D5">
            <w:pPr>
              <w:pStyle w:val="Tabletext"/>
            </w:pPr>
          </w:p>
        </w:tc>
        <w:tc>
          <w:tcPr>
            <w:tcW w:w="3586" w:type="dxa"/>
            <w:vMerge/>
            <w:vAlign w:val="center"/>
          </w:tcPr>
          <w:p w14:paraId="005FE28B" w14:textId="77777777" w:rsidR="0099729D" w:rsidRPr="00F677D5" w:rsidRDefault="0099729D" w:rsidP="00F677D5">
            <w:pPr>
              <w:pStyle w:val="Tabletext"/>
              <w:rPr>
                <w:highlight w:val="yellow"/>
              </w:rPr>
            </w:pPr>
          </w:p>
        </w:tc>
      </w:tr>
      <w:tr w:rsidR="0099729D" w:rsidRPr="00F677D5" w14:paraId="644B1C84" w14:textId="77777777" w:rsidTr="00F677D5">
        <w:trPr>
          <w:cantSplit w:val="0"/>
          <w:trHeight w:val="271"/>
        </w:trPr>
        <w:tc>
          <w:tcPr>
            <w:tcW w:w="2263" w:type="dxa"/>
            <w:shd w:val="clear" w:color="auto" w:fill="D9D9D9" w:themeFill="background1" w:themeFillShade="D9"/>
          </w:tcPr>
          <w:p w14:paraId="228FAA83" w14:textId="77777777" w:rsidR="0099729D" w:rsidRPr="00F677D5" w:rsidRDefault="0099729D" w:rsidP="00F677D5">
            <w:pPr>
              <w:pStyle w:val="Tabletextboldleft"/>
            </w:pPr>
            <w:r w:rsidRPr="00F677D5">
              <w:t>Comparator combined</w:t>
            </w:r>
          </w:p>
        </w:tc>
        <w:tc>
          <w:tcPr>
            <w:tcW w:w="3261" w:type="dxa"/>
            <w:shd w:val="clear" w:color="auto" w:fill="D9D9D9" w:themeFill="background1" w:themeFillShade="D9"/>
          </w:tcPr>
          <w:p w14:paraId="7C8D3662" w14:textId="77777777" w:rsidR="0099729D" w:rsidRPr="00F677D5" w:rsidRDefault="0099729D" w:rsidP="00F677D5">
            <w:pPr>
              <w:pStyle w:val="Tabletext"/>
              <w:rPr>
                <w:highlight w:val="yellow"/>
              </w:rPr>
            </w:pPr>
          </w:p>
        </w:tc>
        <w:tc>
          <w:tcPr>
            <w:tcW w:w="3586" w:type="dxa"/>
            <w:shd w:val="clear" w:color="auto" w:fill="D9D9D9" w:themeFill="background1" w:themeFillShade="D9"/>
          </w:tcPr>
          <w:p w14:paraId="506C42CA" w14:textId="77777777" w:rsidR="0099729D" w:rsidRPr="00F677D5" w:rsidRDefault="0099729D" w:rsidP="00F677D5">
            <w:pPr>
              <w:pStyle w:val="Tabletext"/>
              <w:rPr>
                <w:highlight w:val="yellow"/>
              </w:rPr>
            </w:pPr>
          </w:p>
        </w:tc>
      </w:tr>
      <w:tr w:rsidR="0099729D" w:rsidRPr="00F677D5" w14:paraId="780ED977" w14:textId="77777777" w:rsidTr="00F677D5">
        <w:trPr>
          <w:cantSplit w:val="0"/>
          <w:trHeight w:val="258"/>
        </w:trPr>
        <w:tc>
          <w:tcPr>
            <w:tcW w:w="2263" w:type="dxa"/>
          </w:tcPr>
          <w:p w14:paraId="3091EBB1" w14:textId="666946A2" w:rsidR="0099729D" w:rsidRPr="00F677D5" w:rsidRDefault="001E5EF1" w:rsidP="00F677D5">
            <w:pPr>
              <w:pStyle w:val="Tabletext"/>
            </w:pPr>
            <w:r w:rsidRPr="001E5EF1">
              <w:t>Ferguson et al., 2017</w:t>
            </w:r>
          </w:p>
        </w:tc>
        <w:tc>
          <w:tcPr>
            <w:tcW w:w="3261" w:type="dxa"/>
            <w:vMerge w:val="restart"/>
            <w:vAlign w:val="center"/>
          </w:tcPr>
          <w:p w14:paraId="690BA2D1" w14:textId="77777777" w:rsidR="0099729D" w:rsidRPr="00F677D5" w:rsidRDefault="0099729D" w:rsidP="00F677D5">
            <w:pPr>
              <w:pStyle w:val="Tabletext"/>
              <w:rPr>
                <w:highlight w:val="yellow"/>
              </w:rPr>
            </w:pPr>
            <w:r w:rsidRPr="00F677D5">
              <w:t>1 (0.0–4.0%)</w:t>
            </w:r>
          </w:p>
        </w:tc>
        <w:tc>
          <w:tcPr>
            <w:tcW w:w="3586" w:type="dxa"/>
            <w:vMerge w:val="restart"/>
            <w:vAlign w:val="center"/>
          </w:tcPr>
          <w:p w14:paraId="7E720AA2" w14:textId="77777777" w:rsidR="0099729D" w:rsidRPr="00F677D5" w:rsidRDefault="0099729D" w:rsidP="00F677D5">
            <w:pPr>
              <w:pStyle w:val="Tabletext"/>
              <w:rPr>
                <w:highlight w:val="yellow"/>
              </w:rPr>
            </w:pPr>
            <w:r w:rsidRPr="00F677D5">
              <w:t>4 (6.0–22.9%)</w:t>
            </w:r>
          </w:p>
        </w:tc>
      </w:tr>
      <w:tr w:rsidR="0099729D" w:rsidRPr="00F677D5" w14:paraId="2BEBD258" w14:textId="77777777" w:rsidTr="00F677D5">
        <w:trPr>
          <w:cantSplit w:val="0"/>
          <w:trHeight w:val="258"/>
        </w:trPr>
        <w:tc>
          <w:tcPr>
            <w:tcW w:w="2263" w:type="dxa"/>
          </w:tcPr>
          <w:p w14:paraId="6CB9AABB" w14:textId="5714BCB9" w:rsidR="0099729D" w:rsidRPr="00F677D5" w:rsidRDefault="001E5EF1" w:rsidP="00F677D5">
            <w:pPr>
              <w:pStyle w:val="Tabletext"/>
            </w:pPr>
            <w:r w:rsidRPr="001E5EF1">
              <w:t>Pfeiffer et al., 2015</w:t>
            </w:r>
          </w:p>
        </w:tc>
        <w:tc>
          <w:tcPr>
            <w:tcW w:w="3261" w:type="dxa"/>
            <w:vMerge/>
            <w:vAlign w:val="center"/>
          </w:tcPr>
          <w:p w14:paraId="29D7B58E" w14:textId="77777777" w:rsidR="0099729D" w:rsidRPr="00F677D5" w:rsidRDefault="0099729D" w:rsidP="00F677D5">
            <w:pPr>
              <w:pStyle w:val="Tabletext"/>
              <w:rPr>
                <w:highlight w:val="yellow"/>
              </w:rPr>
            </w:pPr>
          </w:p>
        </w:tc>
        <w:tc>
          <w:tcPr>
            <w:tcW w:w="3586" w:type="dxa"/>
            <w:vMerge/>
            <w:vAlign w:val="center"/>
          </w:tcPr>
          <w:p w14:paraId="535CD889" w14:textId="77777777" w:rsidR="0099729D" w:rsidRPr="00F677D5" w:rsidRDefault="0099729D" w:rsidP="00F677D5">
            <w:pPr>
              <w:pStyle w:val="Tabletext"/>
              <w:rPr>
                <w:highlight w:val="yellow"/>
              </w:rPr>
            </w:pPr>
          </w:p>
        </w:tc>
      </w:tr>
      <w:tr w:rsidR="0099729D" w:rsidRPr="00F677D5" w14:paraId="7EFD2043" w14:textId="77777777" w:rsidTr="00F677D5">
        <w:trPr>
          <w:cantSplit w:val="0"/>
          <w:trHeight w:val="271"/>
        </w:trPr>
        <w:tc>
          <w:tcPr>
            <w:tcW w:w="2263" w:type="dxa"/>
            <w:shd w:val="clear" w:color="auto" w:fill="D9D9D9" w:themeFill="background1" w:themeFillShade="D9"/>
          </w:tcPr>
          <w:p w14:paraId="10F133E4" w14:textId="77777777" w:rsidR="0099729D" w:rsidRPr="00F677D5" w:rsidRDefault="0099729D" w:rsidP="00F677D5">
            <w:pPr>
              <w:pStyle w:val="Tabletextboldleft"/>
            </w:pPr>
            <w:r w:rsidRPr="00F677D5">
              <w:t>Comparator standalone</w:t>
            </w:r>
          </w:p>
        </w:tc>
        <w:tc>
          <w:tcPr>
            <w:tcW w:w="3261" w:type="dxa"/>
            <w:shd w:val="clear" w:color="auto" w:fill="D9D9D9" w:themeFill="background1" w:themeFillShade="D9"/>
          </w:tcPr>
          <w:p w14:paraId="106074F8" w14:textId="77777777" w:rsidR="0099729D" w:rsidRPr="00F677D5" w:rsidRDefault="0099729D" w:rsidP="00F677D5">
            <w:pPr>
              <w:pStyle w:val="Tabletext"/>
            </w:pPr>
          </w:p>
        </w:tc>
        <w:tc>
          <w:tcPr>
            <w:tcW w:w="3586" w:type="dxa"/>
            <w:shd w:val="clear" w:color="auto" w:fill="D9D9D9" w:themeFill="background1" w:themeFillShade="D9"/>
          </w:tcPr>
          <w:p w14:paraId="5F73F7FA" w14:textId="77777777" w:rsidR="0099729D" w:rsidRPr="00F677D5" w:rsidRDefault="0099729D" w:rsidP="00F677D5">
            <w:pPr>
              <w:pStyle w:val="Tabletext"/>
            </w:pPr>
          </w:p>
        </w:tc>
      </w:tr>
      <w:tr w:rsidR="0099729D" w:rsidRPr="00F677D5" w14:paraId="4B499709" w14:textId="77777777" w:rsidTr="00F677D5">
        <w:trPr>
          <w:cantSplit w:val="0"/>
          <w:trHeight w:val="327"/>
        </w:trPr>
        <w:tc>
          <w:tcPr>
            <w:tcW w:w="2263" w:type="dxa"/>
          </w:tcPr>
          <w:p w14:paraId="4FCBA080" w14:textId="3A02FFDA" w:rsidR="0099729D" w:rsidRPr="00F677D5" w:rsidRDefault="001E5EF1" w:rsidP="00F677D5">
            <w:pPr>
              <w:pStyle w:val="Tabletext"/>
            </w:pPr>
            <w:r w:rsidRPr="001E5EF1">
              <w:t>Katz et al., 2015</w:t>
            </w:r>
          </w:p>
        </w:tc>
        <w:tc>
          <w:tcPr>
            <w:tcW w:w="3261" w:type="dxa"/>
            <w:vMerge w:val="restart"/>
            <w:vAlign w:val="center"/>
          </w:tcPr>
          <w:p w14:paraId="51D93992" w14:textId="77777777" w:rsidR="0099729D" w:rsidRPr="00F677D5" w:rsidRDefault="0099729D" w:rsidP="00F677D5">
            <w:pPr>
              <w:pStyle w:val="Tabletext"/>
            </w:pPr>
            <w:r w:rsidRPr="00F677D5">
              <w:t>0 (0.0%)</w:t>
            </w:r>
          </w:p>
        </w:tc>
        <w:tc>
          <w:tcPr>
            <w:tcW w:w="3586" w:type="dxa"/>
            <w:vMerge w:val="restart"/>
            <w:vAlign w:val="center"/>
          </w:tcPr>
          <w:p w14:paraId="15828589" w14:textId="77777777" w:rsidR="0099729D" w:rsidRPr="00F677D5" w:rsidRDefault="0099729D" w:rsidP="00F677D5">
            <w:pPr>
              <w:pStyle w:val="Tabletext"/>
            </w:pPr>
            <w:r w:rsidRPr="00F677D5">
              <w:t>1 (0.0–1.8%)</w:t>
            </w:r>
          </w:p>
        </w:tc>
      </w:tr>
      <w:tr w:rsidR="0099729D" w:rsidRPr="00F677D5" w14:paraId="78A64C43" w14:textId="77777777" w:rsidTr="00F677D5">
        <w:trPr>
          <w:cantSplit w:val="0"/>
          <w:trHeight w:val="258"/>
        </w:trPr>
        <w:tc>
          <w:tcPr>
            <w:tcW w:w="2263" w:type="dxa"/>
          </w:tcPr>
          <w:p w14:paraId="61340BEF" w14:textId="241FB6DE" w:rsidR="0099729D" w:rsidRPr="00F677D5" w:rsidRDefault="001E5EF1" w:rsidP="00F677D5">
            <w:pPr>
              <w:pStyle w:val="Tabletext"/>
            </w:pPr>
            <w:r w:rsidRPr="001E5EF1">
              <w:t>Lindstrom et al., 2020</w:t>
            </w:r>
          </w:p>
        </w:tc>
        <w:tc>
          <w:tcPr>
            <w:tcW w:w="3261" w:type="dxa"/>
            <w:vMerge/>
            <w:vAlign w:val="center"/>
          </w:tcPr>
          <w:p w14:paraId="24BABD99" w14:textId="77777777" w:rsidR="0099729D" w:rsidRPr="00F677D5" w:rsidRDefault="0099729D" w:rsidP="00F677D5">
            <w:pPr>
              <w:pStyle w:val="Tabletext"/>
            </w:pPr>
          </w:p>
        </w:tc>
        <w:tc>
          <w:tcPr>
            <w:tcW w:w="3586" w:type="dxa"/>
            <w:vMerge/>
            <w:vAlign w:val="center"/>
          </w:tcPr>
          <w:p w14:paraId="2B084E08" w14:textId="77777777" w:rsidR="0099729D" w:rsidRPr="00F677D5" w:rsidRDefault="0099729D" w:rsidP="00F677D5">
            <w:pPr>
              <w:pStyle w:val="Tabletext"/>
            </w:pPr>
          </w:p>
        </w:tc>
      </w:tr>
    </w:tbl>
    <w:p w14:paraId="57423034" w14:textId="06686D5C" w:rsidR="00F677D5" w:rsidRPr="00F677D5" w:rsidRDefault="0099729D" w:rsidP="00066143">
      <w:pPr>
        <w:pStyle w:val="Tablenotes"/>
      </w:pPr>
      <w:r w:rsidRPr="00F677D5">
        <w:t xml:space="preserve">Source: </w:t>
      </w:r>
      <w:r w:rsidR="00F677D5" w:rsidRPr="00F677D5">
        <w:t xml:space="preserve">Table 5, </w:t>
      </w:r>
      <w:proofErr w:type="spellStart"/>
      <w:r w:rsidR="00F677D5" w:rsidRPr="00F677D5">
        <w:t>pg</w:t>
      </w:r>
      <w:proofErr w:type="spellEnd"/>
      <w:r w:rsidR="00F677D5" w:rsidRPr="00F677D5">
        <w:t xml:space="preserve"> 24 of the DCAR</w:t>
      </w:r>
    </w:p>
    <w:p w14:paraId="1EC8B1DC" w14:textId="511CC1C3" w:rsidR="0099729D" w:rsidRPr="00F677D5" w:rsidRDefault="0099729D" w:rsidP="00066143">
      <w:pPr>
        <w:pStyle w:val="Tablenotes"/>
      </w:pPr>
      <w:r w:rsidRPr="00F677D5">
        <w:t xml:space="preserve">Abbreviations: AEs = adverse events, NI = no information </w:t>
      </w:r>
    </w:p>
    <w:p w14:paraId="7508A9D7" w14:textId="77777777" w:rsidR="00E36D22" w:rsidRDefault="0099729D" w:rsidP="00066143">
      <w:pPr>
        <w:pStyle w:val="Tablenotes"/>
      </w:pPr>
      <w:r w:rsidRPr="00F677D5">
        <w:t>Notes: Event number refers to the number of different adverse events reported by the study. Several interventional studies are not presented here as</w:t>
      </w:r>
      <w:r w:rsidRPr="00F87054">
        <w:t xml:space="preserve"> they pooled standalone and combined cataract surgery patients and consequently were not useful for comparative analysis. The pooled AEs figures omit double reporting of AEs. </w:t>
      </w:r>
    </w:p>
    <w:p w14:paraId="145C00CB" w14:textId="10D27614" w:rsidR="0099729D" w:rsidRPr="00F87054" w:rsidRDefault="0099729D" w:rsidP="00066143">
      <w:pPr>
        <w:pStyle w:val="Tablenotes"/>
      </w:pPr>
      <w:r w:rsidRPr="00F87054">
        <w:t>*100% bleeding; 4.7% for any other AE</w:t>
      </w:r>
    </w:p>
    <w:p w14:paraId="2897243E" w14:textId="6FF1907C" w:rsidR="0099729D" w:rsidRPr="00F87054" w:rsidRDefault="0099729D" w:rsidP="00624B02">
      <w:pPr>
        <w:pStyle w:val="Heading2"/>
        <w:spacing w:before="240"/>
      </w:pPr>
      <w:r w:rsidRPr="00F87054">
        <w:t>Extended assessment of harms</w:t>
      </w:r>
    </w:p>
    <w:p w14:paraId="495636B7" w14:textId="5D1D4143" w:rsidR="0099729D" w:rsidRPr="00F87054" w:rsidRDefault="0099729D" w:rsidP="0099729D">
      <w:r w:rsidRPr="00F87054">
        <w:t xml:space="preserve">The extended assessment of harms identified ECL as a safety outcome to watch for over coming years. This outcome was highlighted due to the 2018 global recall of the </w:t>
      </w:r>
      <w:proofErr w:type="spellStart"/>
      <w:r w:rsidRPr="00F87054">
        <w:t>CyPass</w:t>
      </w:r>
      <w:proofErr w:type="spellEnd"/>
      <w:r w:rsidRPr="00F87054">
        <w:t xml:space="preserve"> </w:t>
      </w:r>
      <w:proofErr w:type="spellStart"/>
      <w:r w:rsidRPr="00F87054">
        <w:t>Microstent</w:t>
      </w:r>
      <w:proofErr w:type="spellEnd"/>
      <w:r w:rsidRPr="00F87054">
        <w:t xml:space="preserve"> device due to unacceptable ECL (&gt;30%) over a 5-year study (COMPASS-XT)</w:t>
      </w:r>
      <w:r w:rsidRPr="00F87054">
        <w:rPr>
          <w:rStyle w:val="FootnoteReference"/>
        </w:rPr>
        <w:footnoteReference w:id="13"/>
      </w:r>
      <w:r w:rsidRPr="00F87054">
        <w:t>. A non-systematic search was performed to identify intervention and comparator studies where high ECL levels were reported</w:t>
      </w:r>
      <w:r w:rsidR="00E36D22">
        <w:t xml:space="preserve"> (</w:t>
      </w:r>
      <w:r w:rsidR="00E36D22">
        <w:fldChar w:fldCharType="begin"/>
      </w:r>
      <w:r w:rsidR="00E36D22">
        <w:instrText xml:space="preserve"> REF _Ref76554239 \h </w:instrText>
      </w:r>
      <w:r w:rsidR="00E36D22">
        <w:fldChar w:fldCharType="separate"/>
      </w:r>
      <w:r w:rsidR="00E36D22" w:rsidRPr="00F87054">
        <w:t xml:space="preserve">Table </w:t>
      </w:r>
      <w:r w:rsidR="00E36D22">
        <w:rPr>
          <w:noProof/>
        </w:rPr>
        <w:t>7</w:t>
      </w:r>
      <w:r w:rsidR="00E36D22">
        <w:fldChar w:fldCharType="end"/>
      </w:r>
      <w:r w:rsidR="00E36D22">
        <w:t>)</w:t>
      </w:r>
      <w:r w:rsidRPr="00F87054">
        <w:t>. No studies on OMNI surgical system or VISCO360 microcatheter devices regarding ECL were identified. Only conference abstract</w:t>
      </w:r>
      <w:r>
        <w:t>s</w:t>
      </w:r>
      <w:r w:rsidRPr="00F87054">
        <w:t xml:space="preserve"> </w:t>
      </w:r>
      <w:r w:rsidRPr="00F87054">
        <w:lastRenderedPageBreak/>
        <w:t xml:space="preserve">were identified for </w:t>
      </w:r>
      <w:r w:rsidRPr="000466D0">
        <w:t>iTrack</w:t>
      </w:r>
      <w:r w:rsidRPr="00F87054">
        <w:t xml:space="preserve"> evidence. However, compared to the 5-year follow-up of patients in the COMPASS-XT study, the identified intervention </w:t>
      </w:r>
      <w:r w:rsidRPr="000466D0">
        <w:t>(iTrack)</w:t>
      </w:r>
      <w:r w:rsidRPr="00DC4091">
        <w:t xml:space="preserve"> </w:t>
      </w:r>
      <w:r w:rsidRPr="00F87054">
        <w:t>and comparator (</w:t>
      </w:r>
      <w:proofErr w:type="spellStart"/>
      <w:r w:rsidRPr="00F87054">
        <w:t>iStent</w:t>
      </w:r>
      <w:proofErr w:type="spellEnd"/>
      <w:r w:rsidRPr="00F87054">
        <w:t xml:space="preserve">, </w:t>
      </w:r>
      <w:proofErr w:type="spellStart"/>
      <w:r w:rsidRPr="00F87054">
        <w:t>iStent</w:t>
      </w:r>
      <w:proofErr w:type="spellEnd"/>
      <w:r w:rsidRPr="00F87054">
        <w:t xml:space="preserve"> inject, Hydrus, XEN gel stent) literature on ECL had considerably shorter follow-up times (6–36 months)</w:t>
      </w:r>
      <w:r w:rsidRPr="00F87054">
        <w:fldChar w:fldCharType="begin"/>
      </w:r>
      <w:r w:rsidRPr="00F87054">
        <w:instrText xml:space="preserve"> REF _Ref76554239 \h </w:instrText>
      </w:r>
      <w:r w:rsidRPr="00F87054">
        <w:fldChar w:fldCharType="end"/>
      </w:r>
      <w:r w:rsidRPr="00F87054">
        <w:t xml:space="preserve">, thus studies with longer follow-up times are necessary. </w:t>
      </w:r>
    </w:p>
    <w:p w14:paraId="7C5BFCD1" w14:textId="068F3AF3" w:rsidR="0099729D" w:rsidRDefault="0099729D" w:rsidP="00624B02">
      <w:pPr>
        <w:spacing w:before="240"/>
      </w:pPr>
      <w:r w:rsidRPr="00F87054">
        <w:t xml:space="preserve">The extended assessment of harms also identified 2 active/ongoing clinical trials of interest. One is a comparative multicentre RCT between </w:t>
      </w:r>
      <w:r>
        <w:t>ABiC</w:t>
      </w:r>
      <w:r w:rsidRPr="00F87054">
        <w:t xml:space="preserve"> using the OMNI surgical system and the </w:t>
      </w:r>
      <w:proofErr w:type="spellStart"/>
      <w:r w:rsidRPr="00F87054">
        <w:t>iStent</w:t>
      </w:r>
      <w:proofErr w:type="spellEnd"/>
      <w:r w:rsidRPr="00F87054">
        <w:t xml:space="preserve"> in adult patients with </w:t>
      </w:r>
      <w:proofErr w:type="spellStart"/>
      <w:r w:rsidRPr="00F87054">
        <w:t>pseudophakic</w:t>
      </w:r>
      <w:proofErr w:type="spellEnd"/>
      <w:r w:rsidRPr="00F87054">
        <w:t xml:space="preserve"> OAG eyes involved in the European TRIDENT trial (ClinicalTrials.gov: NCT04658095</w:t>
      </w:r>
      <w:r w:rsidRPr="00F87054">
        <w:rPr>
          <w:rStyle w:val="FootnoteReference"/>
        </w:rPr>
        <w:footnoteReference w:id="14"/>
      </w:r>
      <w:r w:rsidRPr="00F87054">
        <w:t xml:space="preserve">, sponsored by </w:t>
      </w:r>
      <w:proofErr w:type="spellStart"/>
      <w:r w:rsidRPr="00F87054">
        <w:t>SightSciences</w:t>
      </w:r>
      <w:proofErr w:type="spellEnd"/>
      <w:r w:rsidRPr="00F87054">
        <w:t xml:space="preserve">). The primary outcome to be investigated is mean unmedicated DIOP at 12 months follow-up. When published (estimated study completion July 2023), this German trial may provide the only comparative evidence. The inclusion criteria are unclear regarding the recruitment of patients with cataracts or undergoing concurrent cataract surgery. However, the title posits all patients will be </w:t>
      </w:r>
      <w:proofErr w:type="spellStart"/>
      <w:r w:rsidRPr="00F87054">
        <w:t>pseudophakic</w:t>
      </w:r>
      <w:proofErr w:type="spellEnd"/>
      <w:r w:rsidRPr="00F87054">
        <w:t xml:space="preserve"> and therefore</w:t>
      </w:r>
      <w:r>
        <w:t>,</w:t>
      </w:r>
      <w:r w:rsidRPr="00F87054">
        <w:t xml:space="preserve"> the surgeries are expected to be performed as standalone procedures. </w:t>
      </w:r>
    </w:p>
    <w:p w14:paraId="04146983" w14:textId="1705F47A" w:rsidR="00F677D5" w:rsidRPr="00F87054" w:rsidRDefault="00F677D5" w:rsidP="00624B02">
      <w:pPr>
        <w:pStyle w:val="Caption"/>
        <w:spacing w:before="240"/>
      </w:pPr>
      <w:bookmarkStart w:id="20" w:name="_Ref76554239"/>
      <w:bookmarkStart w:id="21" w:name="_Toc81257858"/>
      <w:r w:rsidRPr="00F87054">
        <w:t xml:space="preserve">Table </w:t>
      </w:r>
      <w:fldSimple w:instr=" SEQ Table \* ARABIC ">
        <w:r w:rsidR="00E36D22">
          <w:rPr>
            <w:noProof/>
          </w:rPr>
          <w:t>7</w:t>
        </w:r>
      </w:fldSimple>
      <w:bookmarkEnd w:id="20"/>
      <w:r w:rsidRPr="00F87054">
        <w:tab/>
        <w:t>Studies reporting on endothelial cell loss after iTrack or micro-bypass stent procedures (with or without cataract surgery).</w:t>
      </w:r>
      <w:bookmarkEnd w:id="21"/>
      <w:r w:rsidRPr="00F87054">
        <w:t xml:space="preserve"> </w:t>
      </w:r>
    </w:p>
    <w:tbl>
      <w:tblPr>
        <w:tblStyle w:val="TableGrid1"/>
        <w:tblW w:w="0" w:type="auto"/>
        <w:tblInd w:w="-5" w:type="dxa"/>
        <w:tblLook w:val="04A0" w:firstRow="1" w:lastRow="0" w:firstColumn="1" w:lastColumn="0" w:noHBand="0" w:noVBand="1"/>
        <w:tblDescription w:val="Studies reporting on endothelial cell loss after iTrack or micro-bypass stent procedures (with or without cataract surgery). "/>
      </w:tblPr>
      <w:tblGrid>
        <w:gridCol w:w="2907"/>
        <w:gridCol w:w="1658"/>
        <w:gridCol w:w="4343"/>
      </w:tblGrid>
      <w:tr w:rsidR="00F677D5" w:rsidRPr="00F87054" w14:paraId="2CCBD4F5" w14:textId="77777777" w:rsidTr="00E36D22">
        <w:trPr>
          <w:cnfStyle w:val="100000000000" w:firstRow="1" w:lastRow="0" w:firstColumn="0" w:lastColumn="0" w:oddVBand="0" w:evenVBand="0" w:oddHBand="0" w:evenHBand="0" w:firstRowFirstColumn="0" w:firstRowLastColumn="0" w:lastRowFirstColumn="0" w:lastRowLastColumn="0"/>
        </w:trPr>
        <w:tc>
          <w:tcPr>
            <w:tcW w:w="2907" w:type="dxa"/>
            <w:shd w:val="clear" w:color="auto" w:fill="BFBFBF" w:themeFill="background1" w:themeFillShade="BF"/>
          </w:tcPr>
          <w:p w14:paraId="1E208588" w14:textId="77777777" w:rsidR="00F677D5" w:rsidRPr="00F87054" w:rsidRDefault="00F677D5" w:rsidP="00920D98">
            <w:pPr>
              <w:pStyle w:val="Tabletext"/>
              <w:tabs>
                <w:tab w:val="left" w:pos="33"/>
              </w:tabs>
              <w:spacing w:before="0" w:after="0"/>
              <w:ind w:left="31"/>
              <w:rPr>
                <w:b/>
                <w:bCs/>
              </w:rPr>
            </w:pPr>
            <w:r w:rsidRPr="00F87054">
              <w:rPr>
                <w:b/>
                <w:bCs/>
              </w:rPr>
              <w:t>Device</w:t>
            </w:r>
          </w:p>
        </w:tc>
        <w:tc>
          <w:tcPr>
            <w:tcW w:w="1658" w:type="dxa"/>
            <w:shd w:val="clear" w:color="auto" w:fill="BFBFBF" w:themeFill="background1" w:themeFillShade="BF"/>
          </w:tcPr>
          <w:p w14:paraId="60AF7C0F" w14:textId="77777777" w:rsidR="00F677D5" w:rsidRPr="00F87054" w:rsidRDefault="00F677D5" w:rsidP="00920D98">
            <w:pPr>
              <w:pStyle w:val="Tabletext"/>
              <w:spacing w:before="0" w:after="0"/>
              <w:rPr>
                <w:b/>
                <w:bCs/>
              </w:rPr>
            </w:pPr>
            <w:r w:rsidRPr="00F87054">
              <w:rPr>
                <w:b/>
                <w:bCs/>
              </w:rPr>
              <w:t>Follow-up</w:t>
            </w:r>
          </w:p>
        </w:tc>
        <w:tc>
          <w:tcPr>
            <w:tcW w:w="4343" w:type="dxa"/>
            <w:shd w:val="clear" w:color="auto" w:fill="BFBFBF" w:themeFill="background1" w:themeFillShade="BF"/>
          </w:tcPr>
          <w:p w14:paraId="47373A7E" w14:textId="77777777" w:rsidR="00F677D5" w:rsidRPr="00F87054" w:rsidRDefault="00F677D5" w:rsidP="00920D98">
            <w:pPr>
              <w:pStyle w:val="Tabletext"/>
              <w:spacing w:before="0" w:after="0"/>
              <w:rPr>
                <w:b/>
                <w:bCs/>
              </w:rPr>
            </w:pPr>
            <w:r w:rsidRPr="00F87054">
              <w:rPr>
                <w:b/>
                <w:bCs/>
              </w:rPr>
              <w:t>Endothelial cell loss (ECL)</w:t>
            </w:r>
          </w:p>
        </w:tc>
      </w:tr>
      <w:tr w:rsidR="00F677D5" w:rsidRPr="00F87054" w14:paraId="280918A1" w14:textId="77777777" w:rsidTr="00E36D22">
        <w:tc>
          <w:tcPr>
            <w:tcW w:w="2907" w:type="dxa"/>
          </w:tcPr>
          <w:p w14:paraId="22B58509" w14:textId="6D4B409D" w:rsidR="00F677D5" w:rsidRPr="00F87054" w:rsidRDefault="00F677D5" w:rsidP="00920D98">
            <w:pPr>
              <w:pStyle w:val="Tabletext"/>
              <w:spacing w:before="0" w:after="0"/>
            </w:pPr>
            <w:r w:rsidRPr="00F87054">
              <w:t xml:space="preserve">ABiC </w:t>
            </w:r>
            <w:r w:rsidRPr="000466D0">
              <w:t>iTrack</w:t>
            </w:r>
          </w:p>
          <w:p w14:paraId="28BD6F6E" w14:textId="77777777" w:rsidR="00F677D5" w:rsidRPr="00F87054" w:rsidRDefault="00F677D5" w:rsidP="00920D98">
            <w:pPr>
              <w:pStyle w:val="Tabletext"/>
              <w:spacing w:before="0" w:after="0"/>
              <w:rPr>
                <w:i/>
              </w:rPr>
            </w:pPr>
            <w:r w:rsidRPr="00F87054">
              <w:t>Lubeck 2020 (conference abstract)</w:t>
            </w:r>
            <w:r w:rsidRPr="00F87054">
              <w:rPr>
                <w:vertAlign w:val="superscript"/>
              </w:rPr>
              <w:t xml:space="preserve"> †</w:t>
            </w:r>
            <w:r w:rsidRPr="00F87054">
              <w:rPr>
                <w:i/>
              </w:rPr>
              <w:t xml:space="preserve"> </w:t>
            </w:r>
          </w:p>
          <w:p w14:paraId="06689B8B" w14:textId="77777777" w:rsidR="00F677D5" w:rsidRPr="00F87054" w:rsidRDefault="00F677D5" w:rsidP="00920D98">
            <w:pPr>
              <w:pStyle w:val="Tabletext"/>
              <w:spacing w:before="0" w:after="0"/>
              <w:rPr>
                <w:i/>
              </w:rPr>
            </w:pPr>
          </w:p>
        </w:tc>
        <w:tc>
          <w:tcPr>
            <w:tcW w:w="1658" w:type="dxa"/>
          </w:tcPr>
          <w:p w14:paraId="7623C908" w14:textId="77777777" w:rsidR="00F677D5" w:rsidRPr="00F87054" w:rsidRDefault="00F677D5" w:rsidP="00920D98">
            <w:pPr>
              <w:pStyle w:val="Tabletext"/>
              <w:spacing w:before="0" w:after="0"/>
            </w:pPr>
            <w:r w:rsidRPr="00F87054">
              <w:t xml:space="preserve">6 months </w:t>
            </w:r>
          </w:p>
          <w:p w14:paraId="55E4382F" w14:textId="77777777" w:rsidR="00F677D5" w:rsidRPr="00F87054" w:rsidRDefault="00F677D5" w:rsidP="00920D98">
            <w:pPr>
              <w:pStyle w:val="Tabletext"/>
              <w:spacing w:before="0" w:after="0"/>
            </w:pPr>
            <w:r w:rsidRPr="00F87054">
              <w:t>n = unknown</w:t>
            </w:r>
          </w:p>
        </w:tc>
        <w:tc>
          <w:tcPr>
            <w:tcW w:w="4343" w:type="dxa"/>
          </w:tcPr>
          <w:p w14:paraId="2F4C3BB7" w14:textId="77777777" w:rsidR="00F677D5" w:rsidRPr="00F87054" w:rsidRDefault="00F677D5" w:rsidP="00920D98">
            <w:pPr>
              <w:pStyle w:val="Tabletext"/>
              <w:spacing w:before="0" w:after="0"/>
              <w:rPr>
                <w:u w:val="single"/>
              </w:rPr>
            </w:pPr>
            <w:r w:rsidRPr="00F87054">
              <w:rPr>
                <w:u w:val="single"/>
              </w:rPr>
              <w:t>ASCRS 2020:</w:t>
            </w:r>
          </w:p>
          <w:p w14:paraId="1A9BB0C0" w14:textId="02415AE8" w:rsidR="00F677D5" w:rsidRPr="00F87054" w:rsidRDefault="00F677D5" w:rsidP="00920D98">
            <w:pPr>
              <w:pStyle w:val="Tabletext"/>
              <w:spacing w:before="0" w:after="0"/>
            </w:pPr>
            <w:r w:rsidRPr="000466D0">
              <w:t>iTrack</w:t>
            </w:r>
            <w:r w:rsidRPr="00F87054">
              <w:t xml:space="preserve"> alone: 2%</w:t>
            </w:r>
          </w:p>
          <w:p w14:paraId="61D88459" w14:textId="339434FA" w:rsidR="00F677D5" w:rsidRPr="00F87054" w:rsidRDefault="00F677D5" w:rsidP="00920D98">
            <w:pPr>
              <w:pStyle w:val="Tabletext"/>
              <w:spacing w:before="0" w:after="0"/>
            </w:pPr>
            <w:r w:rsidRPr="000466D0">
              <w:t>iTrack</w:t>
            </w:r>
            <w:r w:rsidRPr="00F87054">
              <w:t xml:space="preserve"> combined: 5%</w:t>
            </w:r>
          </w:p>
          <w:p w14:paraId="4A5A38ED" w14:textId="77777777" w:rsidR="00F677D5" w:rsidRPr="00F87054" w:rsidRDefault="00F677D5" w:rsidP="00920D98">
            <w:pPr>
              <w:pStyle w:val="Tabletext"/>
              <w:spacing w:before="0" w:after="0"/>
            </w:pPr>
            <w:r w:rsidRPr="00F87054">
              <w:t xml:space="preserve">Cataract alone: 5% </w:t>
            </w:r>
          </w:p>
          <w:p w14:paraId="0246B9D6" w14:textId="77777777" w:rsidR="00F677D5" w:rsidRPr="00F87054" w:rsidRDefault="00F677D5" w:rsidP="00920D98">
            <w:pPr>
              <w:pStyle w:val="Tabletext"/>
              <w:spacing w:before="0" w:after="0"/>
              <w:rPr>
                <w:u w:val="single"/>
              </w:rPr>
            </w:pPr>
            <w:r w:rsidRPr="00F87054">
              <w:rPr>
                <w:u w:val="single"/>
              </w:rPr>
              <w:t>ESCRS 2020:</w:t>
            </w:r>
          </w:p>
          <w:p w14:paraId="6E540322" w14:textId="77777777" w:rsidR="00F677D5" w:rsidRPr="00F87054" w:rsidRDefault="00F677D5" w:rsidP="00920D98">
            <w:pPr>
              <w:pStyle w:val="Tabletext"/>
              <w:spacing w:before="0" w:after="0"/>
            </w:pPr>
            <w:r w:rsidRPr="00F87054">
              <w:t>5% at 12 months (ongoing to 36 months)</w:t>
            </w:r>
          </w:p>
        </w:tc>
      </w:tr>
      <w:tr w:rsidR="00F677D5" w:rsidRPr="00F87054" w14:paraId="17FFE084" w14:textId="77777777" w:rsidTr="00E36D22">
        <w:tc>
          <w:tcPr>
            <w:tcW w:w="2907" w:type="dxa"/>
          </w:tcPr>
          <w:p w14:paraId="0002AAD7" w14:textId="2913F452" w:rsidR="00F677D5" w:rsidRPr="00F87054" w:rsidRDefault="00F677D5" w:rsidP="00920D98">
            <w:pPr>
              <w:pStyle w:val="Tabletext"/>
              <w:spacing w:before="0" w:after="0"/>
            </w:pPr>
            <w:r w:rsidRPr="00F87054">
              <w:t xml:space="preserve">ABiC </w:t>
            </w:r>
            <w:r w:rsidRPr="000466D0">
              <w:t>iTrack</w:t>
            </w:r>
            <w:r w:rsidRPr="00F87054">
              <w:rPr>
                <w:vertAlign w:val="superscript"/>
              </w:rPr>
              <w:t xml:space="preserve"> </w:t>
            </w:r>
            <w:r w:rsidRPr="00F87054">
              <w:t>*</w:t>
            </w:r>
          </w:p>
          <w:p w14:paraId="01609F20" w14:textId="77777777" w:rsidR="00F677D5" w:rsidRPr="00F87054" w:rsidRDefault="00F677D5" w:rsidP="00920D98">
            <w:pPr>
              <w:pStyle w:val="Tabletext"/>
              <w:spacing w:before="0" w:after="0"/>
            </w:pPr>
          </w:p>
        </w:tc>
        <w:tc>
          <w:tcPr>
            <w:tcW w:w="1658" w:type="dxa"/>
          </w:tcPr>
          <w:p w14:paraId="72C537C2" w14:textId="77777777" w:rsidR="00F677D5" w:rsidRPr="00F87054" w:rsidRDefault="00F677D5" w:rsidP="00920D98">
            <w:pPr>
              <w:pStyle w:val="Tabletext"/>
              <w:spacing w:before="0" w:after="0"/>
            </w:pPr>
            <w:r w:rsidRPr="00F87054">
              <w:t>12 months</w:t>
            </w:r>
          </w:p>
          <w:p w14:paraId="12F910CD" w14:textId="77777777" w:rsidR="00F677D5" w:rsidRPr="00F87054" w:rsidRDefault="00F677D5" w:rsidP="00920D98">
            <w:pPr>
              <w:pStyle w:val="Tabletext"/>
              <w:spacing w:before="0" w:after="0"/>
            </w:pPr>
            <w:r w:rsidRPr="00F87054">
              <w:t>n = unknown</w:t>
            </w:r>
          </w:p>
        </w:tc>
        <w:tc>
          <w:tcPr>
            <w:tcW w:w="4343" w:type="dxa"/>
          </w:tcPr>
          <w:p w14:paraId="78065007" w14:textId="77777777" w:rsidR="00F677D5" w:rsidRPr="00F87054" w:rsidRDefault="00F677D5" w:rsidP="00920D98">
            <w:pPr>
              <w:pStyle w:val="Tabletext"/>
              <w:spacing w:before="0" w:after="0"/>
              <w:rPr>
                <w:u w:val="single"/>
              </w:rPr>
            </w:pPr>
            <w:r w:rsidRPr="00F87054">
              <w:rPr>
                <w:u w:val="single"/>
              </w:rPr>
              <w:t>ASCRS 2021:</w:t>
            </w:r>
          </w:p>
          <w:p w14:paraId="2539084B" w14:textId="32730943" w:rsidR="00F677D5" w:rsidRPr="00F87054" w:rsidRDefault="00F677D5" w:rsidP="00920D98">
            <w:pPr>
              <w:pStyle w:val="Tabletext"/>
              <w:spacing w:before="0" w:after="0"/>
            </w:pPr>
            <w:r w:rsidRPr="000466D0">
              <w:t>iTrack</w:t>
            </w:r>
            <w:r w:rsidRPr="00F87054">
              <w:t xml:space="preserve"> combined: 4.8% </w:t>
            </w:r>
            <w:r w:rsidRPr="00F87054">
              <w:fldChar w:fldCharType="begin"/>
            </w:r>
            <w:r w:rsidRPr="00F87054">
              <w:instrText xml:space="preserve"> ADDIN EN.CITE &lt;EndNote&gt;&lt;Cite&gt;&lt;Author&gt;Nova-Eye Medical&lt;/Author&gt;&lt;Year&gt;N.D.&lt;/Year&gt;&lt;RecNum&gt;331&lt;/RecNum&gt;&lt;DisplayText&gt;(Nova-Eye Medical, N.D.)&lt;/DisplayText&gt;&lt;record&gt;&lt;rec-number&gt;331&lt;/rec-number&gt;&lt;foreign-keys&gt;&lt;key app="EN" db-id="xeawtvfeytsawue9dsa5a5xjeevw20w0e2sp" timestamp="1628220423"&gt;331&lt;/key&gt;&lt;/foreign-keys&gt;&lt;ref-type name="Pamphlet"&gt;24&lt;/ref-type&gt;&lt;contributors&gt;&lt;authors&gt;&lt;author&gt;Nova-Eye Medical,&lt;/author&gt;&lt;/authors&gt;&lt;/contributors&gt;&lt;titles&gt;&lt;title&gt;Track™ MIGS Procedure Under Assessment for Public Funding via the Australian Government’s Medical Benefit Scheme&lt;/title&gt;&lt;/titles&gt;&lt;dates&gt;&lt;year&gt;N.D.&lt;/year&gt;&lt;/dates&gt;&lt;urls&gt;&lt;related-urls&gt;&lt;url&gt;https://glaucoma-itrack.com/uploads/Nova-Eye-Media-Release-MSAC-application.pdf&lt;/url&gt;&lt;/related-urls&gt;&lt;/urls&gt;&lt;/record&gt;&lt;/Cite&gt;&lt;/EndNote&gt;</w:instrText>
            </w:r>
            <w:r w:rsidRPr="00F87054">
              <w:fldChar w:fldCharType="separate"/>
            </w:r>
            <w:r w:rsidRPr="000466D0">
              <w:t>(</w:t>
            </w:r>
            <w:hyperlink w:anchor="_ENREF_111" w:tooltip="Nova-Eye Medical, N.D. #331" w:history="1">
              <w:r w:rsidRPr="000466D0">
                <w:t>Nova-Eye Medical, N.D.</w:t>
              </w:r>
            </w:hyperlink>
            <w:r w:rsidRPr="00F87054">
              <w:t>)</w:t>
            </w:r>
            <w:r w:rsidRPr="00F87054">
              <w:fldChar w:fldCharType="end"/>
            </w:r>
          </w:p>
        </w:tc>
      </w:tr>
      <w:tr w:rsidR="00F677D5" w:rsidRPr="00F87054" w14:paraId="41AC4B96" w14:textId="77777777" w:rsidTr="00E36D22">
        <w:tc>
          <w:tcPr>
            <w:tcW w:w="2907" w:type="dxa"/>
          </w:tcPr>
          <w:p w14:paraId="4E54F56E" w14:textId="4F3DEEC9" w:rsidR="00F677D5" w:rsidRPr="00F87054" w:rsidRDefault="00F677D5" w:rsidP="00920D98">
            <w:pPr>
              <w:pStyle w:val="Tabletext"/>
              <w:spacing w:before="0" w:after="0"/>
            </w:pPr>
            <w:proofErr w:type="spellStart"/>
            <w:r w:rsidRPr="00F87054">
              <w:t>iStent</w:t>
            </w:r>
            <w:proofErr w:type="spellEnd"/>
          </w:p>
          <w:p w14:paraId="2C584FC2" w14:textId="77777777" w:rsidR="00F677D5" w:rsidRPr="00F87054" w:rsidRDefault="00F677D5" w:rsidP="00920D98">
            <w:pPr>
              <w:pStyle w:val="Tabletext"/>
              <w:spacing w:before="0" w:after="0"/>
            </w:pPr>
            <w:r w:rsidRPr="00F87054">
              <w:fldChar w:fldCharType="begin"/>
            </w:r>
            <w:r w:rsidRPr="00F87054">
              <w:instrText xml:space="preserve"> ADDIN EN.CITE &lt;EndNote&gt;&lt;Cite&gt;&lt;Author&gt;Dorairaj&lt;/Author&gt;&lt;Year&gt;2020&lt;/Year&gt;&lt;RecNum&gt;270&lt;/RecNum&gt;&lt;DisplayText&gt;(Dorairaj and Balasubramani, 2020)&lt;/DisplayText&gt;&lt;record&gt;&lt;rec-number&gt;270&lt;/rec-number&gt;&lt;foreign-keys&gt;&lt;key app="EN" db-id="xeawtvfeytsawue9dsa5a5xjeevw20w0e2sp" timestamp="1626161882"&gt;270&lt;/key&gt;&lt;/foreign-keys&gt;&lt;ref-type name="Journal Article"&gt;17&lt;/ref-type&gt;&lt;contributors&gt;&lt;authors&gt;&lt;author&gt;Dorairaj, Syril&lt;/author&gt;&lt;author&gt;Balasubramani, Goundappa K.&lt;/author&gt;&lt;/authors&gt;&lt;/contributors&gt;&lt;titles&gt;&lt;title&gt;Corneal Endothelial Cell Changes After Phacoemulsification Combined with Excisional Goniotomy with the Kahook Dual Blade or iStent: A Prospective Fellow-Eye Comparison&lt;/title&gt;&lt;secondary-title&gt;Clinical ophthalmology (Auckland, N.Z.)&lt;/secondary-title&gt;&lt;alt-title&gt;Clin Ophthalmol&lt;/alt-title&gt;&lt;/titles&gt;&lt;alt-periodical&gt;&lt;full-title&gt;Clin Ophthalmol&lt;/full-title&gt;&lt;/alt-periodical&gt;&lt;pages&gt;4047-4053&lt;/pages&gt;&lt;volume&gt;14&lt;/volume&gt;&lt;keywords&gt;&lt;keyword&gt;Kahook Dual Blade&lt;/keyword&gt;&lt;keyword&gt;endothelial cell loss&lt;/keyword&gt;&lt;keyword&gt;excisional goniotomy&lt;/keyword&gt;&lt;keyword&gt;glaucoma&lt;/keyword&gt;&lt;keyword&gt;iStent trabecular microbypass stent&lt;/keyword&gt;&lt;/keywords&gt;&lt;dates&gt;&lt;year&gt;2020&lt;/year&gt;&lt;/dates&gt;&lt;publisher&gt;Dove&lt;/publisher&gt;&lt;isbn&gt;1177-5467&amp;#xD;1177-5483&lt;/isbn&gt;&lt;accession-num&gt;33262569&lt;/accession-num&gt;&lt;urls&gt;&lt;related-urls&gt;&lt;url&gt;https://pubmed.ncbi.nlm.nih.gov/33262569&lt;/url&gt;&lt;url&gt;https://www.ncbi.nlm.nih.gov/pmc/articles/PMC7700000/&lt;/url&gt;&lt;/related-urls&gt;&lt;/urls&gt;&lt;electronic-resource-num&gt;10.2147/OPTH.S263072&lt;/electronic-resource-num&gt;&lt;remote-database-name&gt;PubMed&lt;/remote-database-name&gt;&lt;language&gt;eng&lt;/language&gt;&lt;/record&gt;&lt;/Cite&gt;&lt;/EndNote&gt;</w:instrText>
            </w:r>
            <w:r w:rsidRPr="00F87054">
              <w:fldChar w:fldCharType="separate"/>
            </w:r>
            <w:r w:rsidRPr="00F87054">
              <w:t>(</w:t>
            </w:r>
            <w:hyperlink w:anchor="_ENREF_30" w:tooltip="Dorairaj, 2020 #270" w:history="1">
              <w:r w:rsidRPr="00F87054">
                <w:t>Dorairaj and Balasubramani, 2020</w:t>
              </w:r>
            </w:hyperlink>
            <w:r w:rsidRPr="00F87054">
              <w:t>)</w:t>
            </w:r>
            <w:r w:rsidRPr="00F87054">
              <w:fldChar w:fldCharType="end"/>
            </w:r>
          </w:p>
        </w:tc>
        <w:tc>
          <w:tcPr>
            <w:tcW w:w="1658" w:type="dxa"/>
          </w:tcPr>
          <w:p w14:paraId="52F8944D" w14:textId="15FE7634" w:rsidR="00F677D5" w:rsidRPr="00F87054" w:rsidRDefault="00F677D5" w:rsidP="00920D98">
            <w:pPr>
              <w:pStyle w:val="Tabletext"/>
              <w:spacing w:before="0" w:after="0"/>
            </w:pPr>
            <w:r w:rsidRPr="00F87054">
              <w:t xml:space="preserve">n = 21 subjects, 42 eyes (21 received combined </w:t>
            </w:r>
            <w:proofErr w:type="spellStart"/>
            <w:r w:rsidRPr="00F87054">
              <w:t>iStent</w:t>
            </w:r>
            <w:proofErr w:type="spellEnd"/>
            <w:r w:rsidRPr="00F87054">
              <w:t>)</w:t>
            </w:r>
          </w:p>
        </w:tc>
        <w:tc>
          <w:tcPr>
            <w:tcW w:w="4343" w:type="dxa"/>
          </w:tcPr>
          <w:p w14:paraId="255E2B1C" w14:textId="77777777" w:rsidR="00F677D5" w:rsidRPr="00F87054" w:rsidRDefault="00F677D5" w:rsidP="00920D98">
            <w:pPr>
              <w:pStyle w:val="Tabletext"/>
              <w:spacing w:before="0" w:after="0"/>
            </w:pPr>
            <w:r w:rsidRPr="00F87054">
              <w:t>Treatment combined: 9.0%</w:t>
            </w:r>
          </w:p>
          <w:p w14:paraId="28A8A28C" w14:textId="77777777" w:rsidR="00F677D5" w:rsidRPr="00F87054" w:rsidRDefault="00F677D5" w:rsidP="00920D98">
            <w:pPr>
              <w:pStyle w:val="Tabletext"/>
              <w:spacing w:before="0" w:after="0"/>
            </w:pPr>
            <w:r w:rsidRPr="00F87054">
              <w:t>KDB combined: 3.4%</w:t>
            </w:r>
          </w:p>
          <w:p w14:paraId="68709260" w14:textId="77777777" w:rsidR="00F677D5" w:rsidRPr="00F87054" w:rsidRDefault="00F677D5" w:rsidP="00920D98">
            <w:pPr>
              <w:pStyle w:val="Tabletext"/>
              <w:spacing w:before="0" w:after="0"/>
            </w:pPr>
            <w:r w:rsidRPr="00F87054">
              <w:t>Significantly different between groups</w:t>
            </w:r>
          </w:p>
        </w:tc>
      </w:tr>
      <w:tr w:rsidR="00F677D5" w:rsidRPr="00F87054" w14:paraId="17379614" w14:textId="77777777" w:rsidTr="00E36D22">
        <w:tc>
          <w:tcPr>
            <w:tcW w:w="2907" w:type="dxa"/>
          </w:tcPr>
          <w:p w14:paraId="09DC83C0" w14:textId="465D963C" w:rsidR="00F677D5" w:rsidRPr="00F87054" w:rsidRDefault="00F677D5" w:rsidP="00920D98">
            <w:pPr>
              <w:pStyle w:val="Tabletext"/>
              <w:spacing w:before="0" w:after="0"/>
            </w:pPr>
            <w:proofErr w:type="spellStart"/>
            <w:r w:rsidRPr="00F87054">
              <w:t>iStent</w:t>
            </w:r>
            <w:proofErr w:type="spellEnd"/>
            <w:r w:rsidRPr="00F87054">
              <w:t xml:space="preserve"> inject </w:t>
            </w:r>
          </w:p>
          <w:p w14:paraId="6BB71073" w14:textId="77777777" w:rsidR="00F677D5" w:rsidRPr="00F87054" w:rsidRDefault="00F677D5" w:rsidP="00920D98">
            <w:pPr>
              <w:pStyle w:val="Tabletext"/>
              <w:spacing w:before="0" w:after="0"/>
            </w:pPr>
            <w:r w:rsidRPr="00F87054">
              <w:fldChar w:fldCharType="begin"/>
            </w:r>
            <w:r w:rsidRPr="00F87054">
              <w:instrText xml:space="preserve"> ADDIN EN.CITE &lt;EndNote&gt;&lt;Cite&gt;&lt;Author&gt;Samuelson&lt;/Author&gt;&lt;Year&gt;2019&lt;/Year&gt;&lt;RecNum&gt;273&lt;/RecNum&gt;&lt;DisplayText&gt;(Samuelson et al., 2019)&lt;/DisplayText&gt;&lt;record&gt;&lt;rec-number&gt;273&lt;/rec-number&gt;&lt;foreign-keys&gt;&lt;key app="EN" db-id="xeawtvfeytsawue9dsa5a5xjeevw20w0e2sp" timestamp="1626162105"&gt;273&lt;/key&gt;&lt;/foreign-keys&gt;&lt;ref-type name="Journal Article"&gt;17&lt;/ref-type&gt;&lt;contributors&gt;&lt;authors&gt;&lt;author&gt;Samuelson, Thomas W&lt;/author&gt;&lt;author&gt;Sarkisian Jr, Steven R&lt;/author&gt;&lt;author&gt;Lubeck, David M&lt;/author&gt;&lt;author&gt;Stiles, Michael C&lt;/author&gt;&lt;author&gt;Duh, Yi-Jing&lt;/author&gt;&lt;author&gt;Romo, Eeke A&lt;/author&gt;&lt;author&gt;Giamporcaro, Jane Ellen&lt;/author&gt;&lt;author&gt;Hornbeak, Dana M&lt;/author&gt;&lt;author&gt;Katz, L Jay&lt;/author&gt;&lt;author&gt;Bartlett, William&lt;/author&gt;&lt;/authors&gt;&lt;/contributors&gt;&lt;titles&gt;&lt;title&gt;Prospective, randomized, controlled pivotal trial of an ab interno implanted trabecular micro-bypass in primary open-angle glaucoma and cataract: two-year results&lt;/title&gt;&lt;secondary-title&gt;Ophthalmology&lt;/secondary-title&gt;&lt;/titles&gt;&lt;periodical&gt;&lt;full-title&gt;Ophthalmology&lt;/full-title&gt;&lt;/periodical&gt;&lt;pages&gt;811-821&lt;/pages&gt;&lt;volume&gt;126&lt;/volume&gt;&lt;number&gt;6&lt;/number&gt;&lt;dates&gt;&lt;year&gt;2019&lt;/year&gt;&lt;/dates&gt;&lt;isbn&gt;0161-6420&lt;/isbn&gt;&lt;urls&gt;&lt;/urls&gt;&lt;/record&gt;&lt;/Cite&gt;&lt;/EndNote&gt;</w:instrText>
            </w:r>
            <w:r w:rsidRPr="00F87054">
              <w:fldChar w:fldCharType="separate"/>
            </w:r>
            <w:r w:rsidRPr="00F87054">
              <w:t>(</w:t>
            </w:r>
            <w:hyperlink w:anchor="_ENREF_128" w:tooltip="Samuelson, 2019 #273" w:history="1">
              <w:r w:rsidRPr="00F87054">
                <w:t>Samuelson et al., 2019</w:t>
              </w:r>
            </w:hyperlink>
            <w:r w:rsidRPr="00F87054">
              <w:t>)</w:t>
            </w:r>
            <w:r w:rsidRPr="00F87054">
              <w:fldChar w:fldCharType="end"/>
            </w:r>
            <w:r w:rsidRPr="00F87054">
              <w:t xml:space="preserve"> (RCT)</w:t>
            </w:r>
          </w:p>
          <w:p w14:paraId="68FEF25A" w14:textId="77777777" w:rsidR="00F677D5" w:rsidRPr="00F87054" w:rsidRDefault="00F677D5" w:rsidP="00920D98">
            <w:pPr>
              <w:pStyle w:val="Tabletext"/>
              <w:spacing w:before="0" w:after="0"/>
            </w:pPr>
          </w:p>
          <w:p w14:paraId="17A45A2A" w14:textId="0F594F0C" w:rsidR="00F677D5" w:rsidRPr="00F87054" w:rsidRDefault="00F677D5" w:rsidP="00920D98">
            <w:pPr>
              <w:pStyle w:val="Tabletext"/>
              <w:spacing w:before="0" w:after="0"/>
            </w:pPr>
            <w:r w:rsidRPr="00F87054">
              <w:rPr>
                <w:u w:val="single"/>
              </w:rPr>
              <w:t>Treatment group</w:t>
            </w:r>
            <w:r w:rsidRPr="00F87054">
              <w:t xml:space="preserve">: </w:t>
            </w:r>
            <w:proofErr w:type="spellStart"/>
            <w:r w:rsidRPr="00F87054">
              <w:t>iStent</w:t>
            </w:r>
            <w:proofErr w:type="spellEnd"/>
            <w:r w:rsidRPr="00F87054">
              <w:t xml:space="preserve"> inject and combined cataract surgery</w:t>
            </w:r>
          </w:p>
          <w:p w14:paraId="1723AD37" w14:textId="77777777" w:rsidR="00F677D5" w:rsidRPr="00F87054" w:rsidRDefault="00F677D5" w:rsidP="00920D98">
            <w:pPr>
              <w:pStyle w:val="Tabletext"/>
              <w:spacing w:before="0" w:after="0"/>
            </w:pPr>
            <w:r w:rsidRPr="00F87054">
              <w:rPr>
                <w:u w:val="single"/>
              </w:rPr>
              <w:t>Control group</w:t>
            </w:r>
            <w:r w:rsidRPr="00F87054">
              <w:t>: cataract surgery (no stent)</w:t>
            </w:r>
          </w:p>
        </w:tc>
        <w:tc>
          <w:tcPr>
            <w:tcW w:w="1658" w:type="dxa"/>
          </w:tcPr>
          <w:p w14:paraId="4EB8D40C" w14:textId="77777777" w:rsidR="00F677D5" w:rsidRPr="00F87054" w:rsidRDefault="00F677D5" w:rsidP="00920D98">
            <w:pPr>
              <w:pStyle w:val="Tabletext"/>
              <w:spacing w:before="0" w:after="0"/>
            </w:pPr>
            <w:r w:rsidRPr="00F87054">
              <w:t xml:space="preserve">24 months </w:t>
            </w:r>
          </w:p>
          <w:p w14:paraId="23ABABA0" w14:textId="77777777" w:rsidR="00F677D5" w:rsidRPr="00F87054" w:rsidRDefault="00F677D5" w:rsidP="00920D98">
            <w:pPr>
              <w:pStyle w:val="Tabletext"/>
              <w:spacing w:before="0" w:after="0"/>
            </w:pPr>
            <w:r w:rsidRPr="00F87054">
              <w:t>n = 505 eyes (387 treatment)</w:t>
            </w:r>
          </w:p>
        </w:tc>
        <w:tc>
          <w:tcPr>
            <w:tcW w:w="4343" w:type="dxa"/>
          </w:tcPr>
          <w:p w14:paraId="0BE3D5BF" w14:textId="77777777" w:rsidR="00F677D5" w:rsidRPr="00F87054" w:rsidRDefault="00F677D5" w:rsidP="00920D98">
            <w:pPr>
              <w:pStyle w:val="Tabletext"/>
              <w:spacing w:before="0" w:after="0"/>
            </w:pPr>
            <w:r w:rsidRPr="00F87054">
              <w:t xml:space="preserve">Treatment group: 13.1% ± 12.4% (CI 95% 14.4–11.8) </w:t>
            </w:r>
          </w:p>
          <w:p w14:paraId="3E8BB1D7" w14:textId="77777777" w:rsidR="00F677D5" w:rsidRPr="00F87054" w:rsidRDefault="00F677D5" w:rsidP="00920D98">
            <w:pPr>
              <w:pStyle w:val="Tabletext"/>
              <w:spacing w:before="0" w:after="0"/>
            </w:pPr>
            <w:r w:rsidRPr="00F87054">
              <w:t xml:space="preserve">Control group: 12.3% ± 12.7% (CI 95% 14.8–9.8%) </w:t>
            </w:r>
          </w:p>
          <w:p w14:paraId="10325A74" w14:textId="77777777" w:rsidR="00F677D5" w:rsidRPr="00F87054" w:rsidRDefault="00F677D5" w:rsidP="00920D98">
            <w:pPr>
              <w:pStyle w:val="Tabletext"/>
              <w:spacing w:before="0" w:after="0"/>
            </w:pPr>
          </w:p>
          <w:p w14:paraId="76C4C358" w14:textId="77777777" w:rsidR="00F677D5" w:rsidRPr="00F87054" w:rsidRDefault="00F677D5" w:rsidP="00920D98">
            <w:pPr>
              <w:pStyle w:val="Tabletext"/>
              <w:spacing w:before="0" w:after="0"/>
            </w:pPr>
            <w:r w:rsidRPr="00F87054">
              <w:t xml:space="preserve">Patients with &gt;30% loss </w:t>
            </w:r>
          </w:p>
          <w:p w14:paraId="7586F170" w14:textId="77777777" w:rsidR="00F677D5" w:rsidRPr="00F87054" w:rsidRDefault="00F677D5" w:rsidP="00920D98">
            <w:pPr>
              <w:pStyle w:val="Tabletext"/>
              <w:spacing w:before="0" w:after="0"/>
            </w:pPr>
            <w:r w:rsidRPr="00F87054">
              <w:t>Treatment group: 10.4%</w:t>
            </w:r>
          </w:p>
          <w:p w14:paraId="54E95A3C" w14:textId="77777777" w:rsidR="00F677D5" w:rsidRPr="00F87054" w:rsidRDefault="00F677D5" w:rsidP="00920D98">
            <w:pPr>
              <w:pStyle w:val="Tabletext"/>
              <w:spacing w:before="0" w:after="0"/>
            </w:pPr>
            <w:r w:rsidRPr="00F87054">
              <w:t>Control group: 9.5%</w:t>
            </w:r>
          </w:p>
        </w:tc>
      </w:tr>
      <w:tr w:rsidR="00F677D5" w:rsidRPr="00F87054" w14:paraId="54438D1D" w14:textId="77777777" w:rsidTr="00E36D22">
        <w:trPr>
          <w:trHeight w:val="77"/>
        </w:trPr>
        <w:tc>
          <w:tcPr>
            <w:tcW w:w="2907" w:type="dxa"/>
          </w:tcPr>
          <w:p w14:paraId="4A852E6B" w14:textId="703A2B44" w:rsidR="00F677D5" w:rsidRPr="00F87054" w:rsidRDefault="00F677D5" w:rsidP="00920D98">
            <w:pPr>
              <w:pStyle w:val="Tabletext"/>
              <w:spacing w:before="0" w:after="0"/>
            </w:pPr>
            <w:r w:rsidRPr="00F87054">
              <w:t xml:space="preserve">Hydrus </w:t>
            </w:r>
            <w:proofErr w:type="spellStart"/>
            <w:r w:rsidRPr="00F87054">
              <w:t>Microstent</w:t>
            </w:r>
            <w:proofErr w:type="spellEnd"/>
          </w:p>
          <w:p w14:paraId="72529EB4" w14:textId="77777777" w:rsidR="00F677D5" w:rsidRPr="00F87054" w:rsidRDefault="00F677D5" w:rsidP="00920D98">
            <w:pPr>
              <w:pStyle w:val="Tabletext"/>
              <w:spacing w:before="0" w:after="0"/>
            </w:pPr>
            <w:r w:rsidRPr="00F87054">
              <w:fldChar w:fldCharType="begin"/>
            </w:r>
            <w:r w:rsidRPr="00F87054">
              <w:instrText xml:space="preserve"> ADDIN EN.CITE &lt;EndNote&gt;&lt;Cite&gt;&lt;Author&gt;Ahmed&lt;/Author&gt;&lt;Year&gt;2021&lt;/Year&gt;&lt;RecNum&gt;274&lt;/RecNum&gt;&lt;DisplayText&gt;(Ahmed et al., 2021)&lt;/DisplayText&gt;&lt;record&gt;&lt;rec-number&gt;274&lt;/rec-number&gt;&lt;foreign-keys&gt;&lt;key app="EN" db-id="xeawtvfeytsawue9dsa5a5xjeevw20w0e2sp" timestamp="1626162228"&gt;274&lt;/key&gt;&lt;/foreign-keys&gt;&lt;ref-type name="Journal Article"&gt;17&lt;/ref-type&gt;&lt;contributors&gt;&lt;authors&gt;&lt;author&gt;Ahmed, Iqbal Ike K.&lt;/author&gt;&lt;author&gt;Rhee, Douglas J.&lt;/author&gt;&lt;author&gt;Jones, Jason&lt;/author&gt;&lt;author&gt;Singh, Inder Paul&lt;/author&gt;&lt;author&gt;Radcliffe, Nathan&lt;/author&gt;&lt;author&gt;Gazzard, Gus&lt;/author&gt;&lt;author&gt;Samuelson, Thomas W.&lt;/author&gt;&lt;author&gt;Ong, Jeb&lt;/author&gt;&lt;author&gt;Singh, Kuldev&lt;/author&gt;&lt;/authors&gt;&lt;/contributors&gt;&lt;titles&gt;&lt;title&gt;Three-Year Findings of the HORIZON Trial: A Schlemm Canal Microstent for Pressure Reduction in Primary Open-Angle Glaucoma and Cataract&lt;/title&gt;&lt;secondary-title&gt;Ophthalmology&lt;/secondary-title&gt;&lt;/titles&gt;&lt;periodical&gt;&lt;full-title&gt;Ophthalmology&lt;/full-title&gt;&lt;/periodical&gt;&lt;pages&gt;857-865&lt;/pages&gt;&lt;volume&gt;128&lt;/volume&gt;&lt;number&gt;6&lt;/number&gt;&lt;keywords&gt;&lt;keyword&gt;Cataract&lt;/keyword&gt;&lt;keyword&gt;Glaucoma&lt;/keyword&gt;&lt;keyword&gt;MIGS&lt;/keyword&gt;&lt;keyword&gt;Phacoemulsification&lt;/keyword&gt;&lt;keyword&gt;Schlemm microstent&lt;/keyword&gt;&lt;/keywords&gt;&lt;dates&gt;&lt;year&gt;2021&lt;/year&gt;&lt;pub-dates&gt;&lt;date&gt;2021/06/01/&lt;/date&gt;&lt;/pub-dates&gt;&lt;/dates&gt;&lt;isbn&gt;0161-6420&lt;/isbn&gt;&lt;urls&gt;&lt;related-urls&gt;&lt;url&gt;https://www.sciencedirect.com/science/article/pii/S0161642020310472&lt;/url&gt;&lt;/related-urls&gt;&lt;/urls&gt;&lt;electronic-resource-num&gt;https://doi.org/10.1016/j.ophtha.2020.11.004&lt;/electronic-resource-num&gt;&lt;/record&gt;&lt;/Cite&gt;&lt;/EndNote&gt;</w:instrText>
            </w:r>
            <w:r w:rsidRPr="00F87054">
              <w:fldChar w:fldCharType="separate"/>
            </w:r>
            <w:r w:rsidRPr="00F87054">
              <w:t>(</w:t>
            </w:r>
            <w:hyperlink w:anchor="_ENREF_3" w:tooltip="Ahmed, 2021 #274" w:history="1">
              <w:r w:rsidRPr="00F87054">
                <w:t>Ahmed et al., 2021</w:t>
              </w:r>
            </w:hyperlink>
            <w:r w:rsidRPr="00F87054">
              <w:t>)</w:t>
            </w:r>
            <w:r w:rsidRPr="00F87054">
              <w:fldChar w:fldCharType="end"/>
            </w:r>
            <w:r w:rsidRPr="00F87054">
              <w:t xml:space="preserve"> June 2021</w:t>
            </w:r>
          </w:p>
        </w:tc>
        <w:tc>
          <w:tcPr>
            <w:tcW w:w="1658" w:type="dxa"/>
          </w:tcPr>
          <w:p w14:paraId="669F4571" w14:textId="77777777" w:rsidR="00F677D5" w:rsidRPr="00F87054" w:rsidRDefault="00F677D5" w:rsidP="00920D98">
            <w:pPr>
              <w:pStyle w:val="Tabletext"/>
              <w:spacing w:before="0" w:after="0"/>
            </w:pPr>
            <w:r w:rsidRPr="00F87054">
              <w:t>3 years</w:t>
            </w:r>
          </w:p>
          <w:p w14:paraId="0737E92E" w14:textId="77777777" w:rsidR="00F677D5" w:rsidRPr="00F87054" w:rsidRDefault="00F677D5" w:rsidP="00920D98">
            <w:pPr>
              <w:pStyle w:val="Tabletext"/>
              <w:spacing w:before="0" w:after="0"/>
            </w:pPr>
            <w:r w:rsidRPr="00F87054">
              <w:t>n = 556 (369 treatment)</w:t>
            </w:r>
          </w:p>
        </w:tc>
        <w:tc>
          <w:tcPr>
            <w:tcW w:w="4343" w:type="dxa"/>
          </w:tcPr>
          <w:p w14:paraId="06F9371F" w14:textId="77777777" w:rsidR="00F677D5" w:rsidRPr="00F87054" w:rsidRDefault="00F677D5" w:rsidP="00920D98">
            <w:pPr>
              <w:pStyle w:val="Tabletext"/>
              <w:spacing w:before="0" w:after="0"/>
            </w:pPr>
            <w:r w:rsidRPr="00F87054">
              <w:t>Treatment combined: 15% (CI 95% 13–16%)</w:t>
            </w:r>
          </w:p>
          <w:p w14:paraId="21C45696" w14:textId="77777777" w:rsidR="00F677D5" w:rsidRPr="00F87054" w:rsidRDefault="00F677D5" w:rsidP="00920D98">
            <w:pPr>
              <w:pStyle w:val="Tabletext"/>
              <w:spacing w:before="0" w:after="0"/>
            </w:pPr>
            <w:r w:rsidRPr="00F87054">
              <w:t>Cataract alone:11% (CI 95% 9–13%)</w:t>
            </w:r>
          </w:p>
          <w:p w14:paraId="043A866C" w14:textId="77777777" w:rsidR="00F677D5" w:rsidRPr="00F87054" w:rsidRDefault="00F677D5" w:rsidP="00920D98">
            <w:pPr>
              <w:pStyle w:val="Tabletext"/>
              <w:spacing w:before="0" w:after="0"/>
            </w:pPr>
            <w:r w:rsidRPr="00F87054">
              <w:t>No significant difference between groups</w:t>
            </w:r>
          </w:p>
        </w:tc>
      </w:tr>
      <w:tr w:rsidR="00F677D5" w:rsidRPr="00F87054" w14:paraId="39CF509C" w14:textId="77777777" w:rsidTr="00E36D22">
        <w:tc>
          <w:tcPr>
            <w:tcW w:w="2907" w:type="dxa"/>
          </w:tcPr>
          <w:p w14:paraId="3E896DFF" w14:textId="029ABA7B" w:rsidR="00F677D5" w:rsidRPr="00F87054" w:rsidRDefault="00F677D5" w:rsidP="00920D98">
            <w:pPr>
              <w:pStyle w:val="Tabletext"/>
              <w:spacing w:before="0" w:after="0"/>
            </w:pPr>
            <w:r w:rsidRPr="00F87054">
              <w:t>XEN gel stent</w:t>
            </w:r>
          </w:p>
          <w:p w14:paraId="394DAF05" w14:textId="77777777" w:rsidR="00F677D5" w:rsidRPr="00F87054" w:rsidRDefault="00F677D5" w:rsidP="00920D98">
            <w:pPr>
              <w:pStyle w:val="Tabletext"/>
              <w:spacing w:before="0" w:after="0"/>
            </w:pPr>
            <w:r w:rsidRPr="00F87054">
              <w:fldChar w:fldCharType="begin">
                <w:fldData xml:space="preserve">PEVuZE5vdGU+PENpdGU+PEF1dGhvcj5HaWxsbWFubjwvQXV0aG9yPjxZZWFyPjIwMjA8L1llYXI+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</w:fldData>
              </w:fldChar>
            </w:r>
            <w:r w:rsidRPr="00F87054">
              <w:instrText xml:space="preserve"> ADDIN EN.CITE </w:instrText>
            </w:r>
            <w:r w:rsidRPr="00F87054">
              <w:fldChar w:fldCharType="begin">
                <w:fldData xml:space="preserve">PEVuZE5vdGU+PENpdGU+PEF1dGhvcj5HaWxsbWFubjwvQXV0aG9yPjxZZWFyPjIwMjA8L1llYXI+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</w:fldData>
              </w:fldChar>
            </w:r>
            <w:r w:rsidRPr="00F87054">
              <w:instrText xml:space="preserve"> ADDIN EN.CITE.DATA </w:instrText>
            </w:r>
            <w:r w:rsidRPr="00F87054">
              <w:fldChar w:fldCharType="end"/>
            </w:r>
            <w:r w:rsidRPr="00F87054">
              <w:fldChar w:fldCharType="separate"/>
            </w:r>
            <w:r w:rsidRPr="00F87054">
              <w:t>(</w:t>
            </w:r>
            <w:hyperlink w:anchor="_ENREF_54" w:tooltip="Gillmann, 2020 #83" w:history="1">
              <w:r w:rsidRPr="00F87054">
                <w:t>Gillmann et al., 2020</w:t>
              </w:r>
            </w:hyperlink>
            <w:r w:rsidRPr="00F87054">
              <w:t>)</w:t>
            </w:r>
            <w:r w:rsidRPr="00F87054">
              <w:fldChar w:fldCharType="end"/>
            </w:r>
          </w:p>
        </w:tc>
        <w:tc>
          <w:tcPr>
            <w:tcW w:w="1658" w:type="dxa"/>
          </w:tcPr>
          <w:p w14:paraId="7440356B" w14:textId="77777777" w:rsidR="00F677D5" w:rsidRPr="00F87054" w:rsidRDefault="00F677D5" w:rsidP="00920D98">
            <w:pPr>
              <w:pStyle w:val="Tabletext"/>
              <w:spacing w:before="0" w:after="0"/>
            </w:pPr>
            <w:r w:rsidRPr="00F87054">
              <w:t>2 years</w:t>
            </w:r>
          </w:p>
          <w:p w14:paraId="5E4E4B92" w14:textId="77777777" w:rsidR="00F677D5" w:rsidRPr="00F87054" w:rsidRDefault="00F677D5" w:rsidP="00920D98">
            <w:pPr>
              <w:pStyle w:val="Tabletext"/>
              <w:spacing w:before="0" w:after="0"/>
            </w:pPr>
            <w:r w:rsidRPr="00F87054">
              <w:t>N = 23 (17 combined)</w:t>
            </w:r>
          </w:p>
        </w:tc>
        <w:tc>
          <w:tcPr>
            <w:tcW w:w="4343" w:type="dxa"/>
          </w:tcPr>
          <w:p w14:paraId="7CB60A0F" w14:textId="04F0AE05" w:rsidR="00F677D5" w:rsidRPr="00F87054" w:rsidRDefault="00F677D5" w:rsidP="00920D98">
            <w:pPr>
              <w:pStyle w:val="Tabletext"/>
              <w:spacing w:before="0" w:after="0"/>
            </w:pPr>
            <w:r w:rsidRPr="00F87054">
              <w:t>XEN combined: 14.3%</w:t>
            </w:r>
          </w:p>
          <w:p w14:paraId="6EACE279" w14:textId="77777777" w:rsidR="00F677D5" w:rsidRPr="00F87054" w:rsidRDefault="00F677D5" w:rsidP="00920D98">
            <w:pPr>
              <w:pStyle w:val="Tabletext"/>
              <w:spacing w:before="0" w:after="0"/>
            </w:pPr>
            <w:r w:rsidRPr="00F87054">
              <w:t>Cataract alone:14.5%</w:t>
            </w:r>
          </w:p>
          <w:p w14:paraId="79793410" w14:textId="77777777" w:rsidR="00F677D5" w:rsidRPr="00F87054" w:rsidRDefault="00F677D5" w:rsidP="00920D98">
            <w:pPr>
              <w:pStyle w:val="Tabletext"/>
              <w:spacing w:before="0" w:after="0"/>
            </w:pPr>
            <w:r w:rsidRPr="00F87054">
              <w:t>No significant difference</w:t>
            </w:r>
          </w:p>
        </w:tc>
      </w:tr>
    </w:tbl>
    <w:p w14:paraId="7282987A" w14:textId="77777777" w:rsidR="00E36D22" w:rsidRPr="00E36D22" w:rsidRDefault="00E36D22" w:rsidP="00066143">
      <w:pPr>
        <w:pStyle w:val="Tablenotes0"/>
      </w:pPr>
      <w:r w:rsidRPr="00E36D22">
        <w:t>Source: Table 29, p74 of the DCAR</w:t>
      </w:r>
    </w:p>
    <w:p w14:paraId="615441D1" w14:textId="63ACAD56" w:rsidR="00F677D5" w:rsidRPr="00E36D22" w:rsidRDefault="00F677D5" w:rsidP="00066143">
      <w:pPr>
        <w:pStyle w:val="Tablenotes0"/>
      </w:pPr>
      <w:r w:rsidRPr="00E36D22">
        <w:t xml:space="preserve">Abbreviations: ABiC = ab-interno canaloplasty, ASCRS = American Society of Cataract and Refractive Surgery, ESCRS = </w:t>
      </w:r>
      <w:r w:rsidRPr="00E36D22">
        <w:rPr>
          <w:u w:val="single"/>
        </w:rPr>
        <w:t xml:space="preserve">European Society of Cataract and Refractive Surgery, </w:t>
      </w:r>
      <w:r w:rsidRPr="00E36D22">
        <w:t xml:space="preserve">KDB = </w:t>
      </w:r>
      <w:proofErr w:type="spellStart"/>
      <w:r w:rsidRPr="00E36D22">
        <w:t>kahook</w:t>
      </w:r>
      <w:proofErr w:type="spellEnd"/>
      <w:r w:rsidRPr="00E36D22">
        <w:t xml:space="preserve"> dual blade, n = number of patients, RCT = randomised controlled trial </w:t>
      </w:r>
    </w:p>
    <w:p w14:paraId="7B35DB18" w14:textId="50DD7206" w:rsidR="007C2D6A" w:rsidRDefault="00F677D5" w:rsidP="00066143">
      <w:pPr>
        <w:pStyle w:val="Tablenotes0"/>
      </w:pPr>
      <w:r w:rsidRPr="00E36D22">
        <w:rPr>
          <w:rFonts w:cs="Times New Roman"/>
          <w:bCs/>
          <w:color w:val="000000"/>
          <w:szCs w:val="18"/>
        </w:rPr>
        <w:t>Note:</w:t>
      </w:r>
      <w:r w:rsidRPr="00F87054">
        <w:rPr>
          <w:rFonts w:cs="Times New Roman"/>
          <w:color w:val="000000"/>
          <w:szCs w:val="18"/>
        </w:rPr>
        <w:t xml:space="preserve"> No literature on ECL after OMNI or VISCO360 was identified in the non-systematic literature search. </w:t>
      </w:r>
      <w:r w:rsidRPr="00F87054">
        <w:rPr>
          <w:rFonts w:cs="Times New Roman"/>
          <w:color w:val="000000"/>
          <w:szCs w:val="18"/>
        </w:rPr>
        <w:br/>
      </w:r>
      <w:r w:rsidRPr="00F87054">
        <w:rPr>
          <w:vertAlign w:val="superscript"/>
        </w:rPr>
        <w:t xml:space="preserve">† = </w:t>
      </w:r>
      <w:r w:rsidRPr="00F87054">
        <w:t>Additional data was planned to be presented at the ASCRS 2021 (July 23–27). These results were not available at the time of finalisation of the DCAR.</w:t>
      </w:r>
      <w:r w:rsidRPr="00F87054">
        <w:rPr>
          <w:i/>
        </w:rPr>
        <w:br/>
        <w:t xml:space="preserve">* = </w:t>
      </w:r>
      <w:r w:rsidRPr="00F87054">
        <w:t>(Data to be presented 13-17 August ASCRS Las Vegas</w:t>
      </w:r>
    </w:p>
    <w:p w14:paraId="3D8004EC" w14:textId="37FAEC76" w:rsidR="008A1674" w:rsidRPr="00747517" w:rsidRDefault="00747517" w:rsidP="00747517">
      <w:pPr>
        <w:pStyle w:val="Heading1"/>
        <w:spacing w:before="240" w:after="240"/>
        <w:ind w:left="720" w:hanging="720"/>
        <w:rPr>
          <w:rFonts w:ascii="Arial" w:hAnsi="Arial" w:cs="Arial"/>
        </w:rPr>
      </w:pPr>
      <w:r>
        <w:rPr>
          <w:rFonts w:ascii="Arial" w:hAnsi="Arial" w:cs="Arial"/>
        </w:rPr>
        <w:lastRenderedPageBreak/>
        <w:t>11.</w:t>
      </w:r>
      <w:r>
        <w:rPr>
          <w:rFonts w:ascii="Arial" w:hAnsi="Arial" w:cs="Arial"/>
        </w:rPr>
        <w:tab/>
      </w:r>
      <w:r w:rsidR="008A1674" w:rsidRPr="00747517">
        <w:rPr>
          <w:rFonts w:ascii="Arial" w:hAnsi="Arial" w:cs="Arial"/>
        </w:rPr>
        <w:t>Comparative effectiveness</w:t>
      </w:r>
    </w:p>
    <w:p w14:paraId="723FC0AA" w14:textId="77777777" w:rsidR="002F31E6" w:rsidRPr="00F87054" w:rsidRDefault="002F31E6" w:rsidP="00960ECD">
      <w:pPr>
        <w:pStyle w:val="Heading2"/>
      </w:pPr>
      <w:r w:rsidRPr="00F87054">
        <w:t>IOP reduction</w:t>
      </w:r>
    </w:p>
    <w:p w14:paraId="12CF305F" w14:textId="72B69297" w:rsidR="002F31E6" w:rsidRDefault="002F31E6" w:rsidP="002F31E6">
      <w:r w:rsidRPr="00F87054">
        <w:t xml:space="preserve">For intervention studies, large ranges of IOP reduction were reported in standalone (32.7–49.7% at 12 or 24 months, k = 3) and combined (21.8–39.8% at 12 or 24 months, k = 5) procedures. Among the comparator studies, the reporting of IOP reduction results was inconsistent with or without the </w:t>
      </w:r>
      <w:r>
        <w:t>concurrent</w:t>
      </w:r>
      <w:r w:rsidRPr="00F87054">
        <w:t xml:space="preserve"> cataract surgery. The standalone micro-bypass stents resulted in an IOP reduction of 27.0–42.2% at 12 or 24 months (k = 4). In combined procedures, the comparator devices resulted in an IOP reduction of 20.6–39.5% at 12 and 24 months (k = 4). The ranges, albeit large, were similar between devices (</w:t>
      </w:r>
      <w:r>
        <w:t>ABiC</w:t>
      </w:r>
      <w:r w:rsidRPr="00F87054">
        <w:t xml:space="preserve"> using a microcatheter and micro-bypass stents) and between devices used as standalone or combined procedures (</w:t>
      </w:r>
      <w:r w:rsidRPr="00F87054">
        <w:fldChar w:fldCharType="begin"/>
      </w:r>
      <w:r w:rsidRPr="00F87054">
        <w:instrText xml:space="preserve"> REF _Ref78892991 \h </w:instrText>
      </w:r>
      <w:r w:rsidRPr="00F87054">
        <w:fldChar w:fldCharType="separate"/>
      </w:r>
      <w:r w:rsidR="00960ECD" w:rsidRPr="00F87054">
        <w:t xml:space="preserve">Table </w:t>
      </w:r>
      <w:r w:rsidR="00960ECD">
        <w:rPr>
          <w:noProof/>
        </w:rPr>
        <w:t>8</w:t>
      </w:r>
      <w:r w:rsidRPr="00F87054">
        <w:fldChar w:fldCharType="end"/>
      </w:r>
      <w:r w:rsidRPr="00F87054">
        <w:t xml:space="preserve">). </w:t>
      </w:r>
    </w:p>
    <w:p w14:paraId="317F74AB" w14:textId="5B688282" w:rsidR="002F31E6" w:rsidRPr="00F87054" w:rsidRDefault="002F31E6" w:rsidP="00624B02">
      <w:pPr>
        <w:pStyle w:val="Caption"/>
        <w:spacing w:before="240"/>
      </w:pPr>
      <w:bookmarkStart w:id="22" w:name="_Ref78892991"/>
      <w:bookmarkStart w:id="23" w:name="_Toc81257835"/>
      <w:r w:rsidRPr="00F87054">
        <w:t xml:space="preserve">Table </w:t>
      </w:r>
      <w:fldSimple w:instr=" SEQ Table \* ARABIC ">
        <w:r w:rsidR="00960ECD">
          <w:rPr>
            <w:noProof/>
          </w:rPr>
          <w:t>8</w:t>
        </w:r>
      </w:fldSimple>
      <w:bookmarkEnd w:id="22"/>
      <w:r w:rsidRPr="00F87054">
        <w:t xml:space="preserve"> </w:t>
      </w:r>
      <w:r w:rsidRPr="00F87054">
        <w:tab/>
        <w:t xml:space="preserve">IOP reduction at </w:t>
      </w:r>
      <w:proofErr w:type="gramStart"/>
      <w:r w:rsidRPr="00F87054">
        <w:t>12 or 24 months</w:t>
      </w:r>
      <w:proofErr w:type="gramEnd"/>
      <w:r w:rsidRPr="00F87054">
        <w:t xml:space="preserve"> follow-up for procedures with intervention and comparator devices as standalone or combined cataract surgery</w:t>
      </w:r>
      <w:bookmarkEnd w:id="23"/>
    </w:p>
    <w:tbl>
      <w:tblPr>
        <w:tblStyle w:val="TableGridbeth6"/>
        <w:tblW w:w="0" w:type="auto"/>
        <w:tblLook w:val="04A0" w:firstRow="1" w:lastRow="0" w:firstColumn="1" w:lastColumn="0" w:noHBand="0" w:noVBand="1"/>
        <w:tblDescription w:val="IOP reduction at 12 or 24 months follow-up for procedures with intervention and comparator devices as standalone or combined cataract surgery"/>
      </w:tblPr>
      <w:tblGrid>
        <w:gridCol w:w="1980"/>
        <w:gridCol w:w="3118"/>
        <w:gridCol w:w="3918"/>
      </w:tblGrid>
      <w:tr w:rsidR="002F31E6" w:rsidRPr="00F87054" w14:paraId="2478C019" w14:textId="77777777" w:rsidTr="00F749F7">
        <w:trPr>
          <w:trHeight w:val="312"/>
        </w:trPr>
        <w:tc>
          <w:tcPr>
            <w:tcW w:w="1980" w:type="dxa"/>
            <w:shd w:val="clear" w:color="auto" w:fill="D9D9D9" w:themeFill="background1" w:themeFillShade="D9"/>
            <w:vAlign w:val="center"/>
          </w:tcPr>
          <w:p w14:paraId="01AB9AE4" w14:textId="77777777" w:rsidR="002F31E6" w:rsidRPr="00F87054" w:rsidRDefault="002F31E6" w:rsidP="00F749F7">
            <w:pPr>
              <w:pStyle w:val="Tabletext"/>
              <w:rPr>
                <w:b/>
                <w:bCs/>
              </w:rPr>
            </w:pPr>
          </w:p>
        </w:tc>
        <w:tc>
          <w:tcPr>
            <w:tcW w:w="3118" w:type="dxa"/>
            <w:shd w:val="clear" w:color="auto" w:fill="D9D9D9" w:themeFill="background1" w:themeFillShade="D9"/>
            <w:vAlign w:val="center"/>
          </w:tcPr>
          <w:p w14:paraId="2F61DD58" w14:textId="77777777" w:rsidR="002F31E6" w:rsidRPr="00F87054" w:rsidRDefault="002F31E6" w:rsidP="00F749F7">
            <w:pPr>
              <w:pStyle w:val="Tabletext"/>
              <w:rPr>
                <w:b/>
                <w:bCs/>
              </w:rPr>
            </w:pPr>
            <w:r w:rsidRPr="00F87054">
              <w:rPr>
                <w:b/>
                <w:bCs/>
              </w:rPr>
              <w:t>Standalone</w:t>
            </w:r>
          </w:p>
        </w:tc>
        <w:tc>
          <w:tcPr>
            <w:tcW w:w="3918" w:type="dxa"/>
            <w:shd w:val="clear" w:color="auto" w:fill="D9D9D9" w:themeFill="background1" w:themeFillShade="D9"/>
            <w:vAlign w:val="center"/>
          </w:tcPr>
          <w:p w14:paraId="58753B82" w14:textId="77777777" w:rsidR="002F31E6" w:rsidRPr="00F87054" w:rsidRDefault="002F31E6" w:rsidP="00F749F7">
            <w:pPr>
              <w:pStyle w:val="Tabletext"/>
              <w:rPr>
                <w:b/>
                <w:bCs/>
              </w:rPr>
            </w:pPr>
            <w:r w:rsidRPr="00F87054">
              <w:rPr>
                <w:b/>
                <w:bCs/>
              </w:rPr>
              <w:t>Combined cataract</w:t>
            </w:r>
          </w:p>
        </w:tc>
      </w:tr>
      <w:tr w:rsidR="002F31E6" w:rsidRPr="00F87054" w14:paraId="4122A105" w14:textId="77777777" w:rsidTr="00F749F7">
        <w:tc>
          <w:tcPr>
            <w:tcW w:w="1980" w:type="dxa"/>
            <w:shd w:val="clear" w:color="auto" w:fill="D9D9D9" w:themeFill="background1" w:themeFillShade="D9"/>
            <w:vAlign w:val="center"/>
          </w:tcPr>
          <w:p w14:paraId="476E38B4" w14:textId="77777777" w:rsidR="002F31E6" w:rsidRPr="00F87054" w:rsidRDefault="002F31E6" w:rsidP="00F749F7">
            <w:pPr>
              <w:pStyle w:val="Tabletext"/>
              <w:rPr>
                <w:b/>
                <w:bCs/>
              </w:rPr>
            </w:pPr>
            <w:r w:rsidRPr="00F87054">
              <w:rPr>
                <w:b/>
                <w:bCs/>
              </w:rPr>
              <w:t>Intervention</w:t>
            </w:r>
          </w:p>
        </w:tc>
        <w:tc>
          <w:tcPr>
            <w:tcW w:w="3118" w:type="dxa"/>
            <w:vAlign w:val="center"/>
          </w:tcPr>
          <w:p w14:paraId="6A821F04" w14:textId="77777777" w:rsidR="002F31E6" w:rsidRPr="00F87054" w:rsidRDefault="002F31E6" w:rsidP="00F749F7">
            <w:pPr>
              <w:pStyle w:val="Tabletext"/>
            </w:pPr>
            <w:r w:rsidRPr="00F87054">
              <w:t>32.7–49.7%</w:t>
            </w:r>
          </w:p>
        </w:tc>
        <w:tc>
          <w:tcPr>
            <w:tcW w:w="3918" w:type="dxa"/>
            <w:vAlign w:val="center"/>
          </w:tcPr>
          <w:p w14:paraId="1CECBD30" w14:textId="77777777" w:rsidR="002F31E6" w:rsidRPr="00F87054" w:rsidRDefault="002F31E6" w:rsidP="00F749F7">
            <w:pPr>
              <w:pStyle w:val="Tabletext"/>
            </w:pPr>
            <w:r w:rsidRPr="00F87054">
              <w:t>21.8–39.8%</w:t>
            </w:r>
          </w:p>
        </w:tc>
      </w:tr>
      <w:tr w:rsidR="002F31E6" w:rsidRPr="00F87054" w14:paraId="7119D7D4" w14:textId="77777777" w:rsidTr="00F749F7">
        <w:tc>
          <w:tcPr>
            <w:tcW w:w="1980" w:type="dxa"/>
            <w:shd w:val="clear" w:color="auto" w:fill="D9D9D9" w:themeFill="background1" w:themeFillShade="D9"/>
            <w:vAlign w:val="center"/>
          </w:tcPr>
          <w:p w14:paraId="68881AB3" w14:textId="77777777" w:rsidR="002F31E6" w:rsidRPr="00F87054" w:rsidRDefault="002F31E6" w:rsidP="00F749F7">
            <w:pPr>
              <w:pStyle w:val="Tabletext"/>
              <w:rPr>
                <w:b/>
                <w:bCs/>
              </w:rPr>
            </w:pPr>
            <w:r w:rsidRPr="00F87054">
              <w:rPr>
                <w:b/>
                <w:bCs/>
              </w:rPr>
              <w:t>Comparator</w:t>
            </w:r>
          </w:p>
        </w:tc>
        <w:tc>
          <w:tcPr>
            <w:tcW w:w="3118" w:type="dxa"/>
            <w:vAlign w:val="center"/>
          </w:tcPr>
          <w:p w14:paraId="487535B8" w14:textId="77777777" w:rsidR="002F31E6" w:rsidRPr="00F87054" w:rsidRDefault="002F31E6" w:rsidP="00F749F7">
            <w:pPr>
              <w:pStyle w:val="Tabletext"/>
            </w:pPr>
            <w:r w:rsidRPr="00F87054">
              <w:t>27.0–42.2%</w:t>
            </w:r>
          </w:p>
        </w:tc>
        <w:tc>
          <w:tcPr>
            <w:tcW w:w="3918" w:type="dxa"/>
            <w:vAlign w:val="center"/>
          </w:tcPr>
          <w:p w14:paraId="539AB4E0" w14:textId="77777777" w:rsidR="002F31E6" w:rsidRPr="00F87054" w:rsidRDefault="002F31E6" w:rsidP="00F749F7">
            <w:pPr>
              <w:pStyle w:val="Tabletext"/>
            </w:pPr>
            <w:r w:rsidRPr="00F87054">
              <w:t>20.6–39.5%</w:t>
            </w:r>
          </w:p>
        </w:tc>
      </w:tr>
    </w:tbl>
    <w:p w14:paraId="2AF90173" w14:textId="19E60765" w:rsidR="00960ECD" w:rsidRPr="00960ECD" w:rsidRDefault="00960ECD" w:rsidP="00066143">
      <w:pPr>
        <w:pStyle w:val="Tablenotes"/>
      </w:pPr>
      <w:r w:rsidRPr="00960ECD">
        <w:t xml:space="preserve">Source: Table 6, </w:t>
      </w:r>
      <w:proofErr w:type="spellStart"/>
      <w:r w:rsidRPr="00960ECD">
        <w:t>pg</w:t>
      </w:r>
      <w:proofErr w:type="spellEnd"/>
      <w:r w:rsidRPr="00960ECD">
        <w:t xml:space="preserve"> </w:t>
      </w:r>
      <w:r>
        <w:t>26</w:t>
      </w:r>
      <w:r w:rsidRPr="00960ECD">
        <w:t xml:space="preserve"> of the DCAR</w:t>
      </w:r>
    </w:p>
    <w:p w14:paraId="0779D3C9" w14:textId="7FF3F303" w:rsidR="002F31E6" w:rsidRDefault="002F31E6" w:rsidP="00066143">
      <w:pPr>
        <w:pStyle w:val="Tablenotes"/>
      </w:pPr>
      <w:r w:rsidRPr="00960ECD">
        <w:rPr>
          <w:bCs/>
        </w:rPr>
        <w:t>Note: Two</w:t>
      </w:r>
      <w:r w:rsidRPr="00F87054">
        <w:t xml:space="preserve"> intervention studies were not included in this table as they reported outcomes as a mixed population of patients who underwent standalone and combined cataract procedures. </w:t>
      </w:r>
    </w:p>
    <w:p w14:paraId="67BE6B8E" w14:textId="130AD1A9" w:rsidR="002F31E6" w:rsidRDefault="002F31E6" w:rsidP="00624B02">
      <w:pPr>
        <w:spacing w:before="240"/>
      </w:pPr>
      <w:r w:rsidRPr="00F87054">
        <w:t xml:space="preserve">The data generally indicate that average IOP reduction could be sustained between 12- and 24-months follow-up for both the intervention and comparator (k = 1 intervention, </w:t>
      </w:r>
      <w:r w:rsidR="00920D98">
        <w:br/>
      </w:r>
      <w:r w:rsidRPr="00F87054">
        <w:t xml:space="preserve">k = 4 comparator). Two comparator studies with longer follow-up periods indicate that IOP reduction may be sustained up to 36 and 48 months postoperatively </w:t>
      </w:r>
      <w:r w:rsidRPr="00F87054">
        <w:fldChar w:fldCharType="begin">
          <w:fldData xml:space="preserve">PEVuZE5vdGU+PENpdGU+PEF1dGhvcj5GZXJuw6FuZGV6LUdhcmPDrWE8L0F1dGhvcj48WWVhcj4y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</w:fldData>
        </w:fldChar>
      </w:r>
      <w:r w:rsidRPr="00F87054">
        <w:instrText xml:space="preserve"> ADDIN EN.CITE </w:instrText>
      </w:r>
      <w:r w:rsidRPr="00F87054">
        <w:fldChar w:fldCharType="begin">
          <w:fldData xml:space="preserve">PEVuZE5vdGU+PENpdGU+PEF1dGhvcj5GZXJuw6FuZGV6LUdhcmPDrWE8L0F1dGhvcj48WWVhcj4y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</w:fldData>
        </w:fldChar>
      </w:r>
      <w:r w:rsidRPr="00F87054">
        <w:instrText xml:space="preserve"> ADDIN EN.CITE.DATA </w:instrText>
      </w:r>
      <w:r w:rsidRPr="00F87054">
        <w:fldChar w:fldCharType="end"/>
      </w:r>
      <w:r w:rsidRPr="00F87054">
        <w:fldChar w:fldCharType="separate"/>
      </w:r>
      <w:r w:rsidRPr="00F87054">
        <w:t>(</w:t>
      </w:r>
      <w:hyperlink w:anchor="_ENREF_43" w:tooltip="Fernández-García, 2020 #73" w:history="1">
        <w:r w:rsidRPr="00F87054">
          <w:t>Fernández-García et al., 2020</w:t>
        </w:r>
      </w:hyperlink>
      <w:r w:rsidR="00926631">
        <w:rPr>
          <w:rStyle w:val="FootnoteReference"/>
        </w:rPr>
        <w:footnoteReference w:id="15"/>
      </w:r>
      <w:r w:rsidRPr="00F87054">
        <w:t xml:space="preserve">, </w:t>
      </w:r>
      <w:hyperlink w:anchor="_ENREF_98" w:tooltip="Lindstrom, 2020 #231" w:history="1">
        <w:r w:rsidRPr="00F87054">
          <w:t>Lindstrom et al., 2020</w:t>
        </w:r>
      </w:hyperlink>
      <w:r w:rsidR="00926631">
        <w:rPr>
          <w:rStyle w:val="FootnoteReference"/>
        </w:rPr>
        <w:footnoteReference w:id="16"/>
      </w:r>
      <w:r w:rsidRPr="00F87054">
        <w:t>)</w:t>
      </w:r>
      <w:r w:rsidRPr="00F87054">
        <w:fldChar w:fldCharType="end"/>
      </w:r>
      <w:r w:rsidRPr="00F87054">
        <w:t>. In some studies where IOP reduction was sustained, the medication use increased over follow-up times. Based on the current</w:t>
      </w:r>
      <w:r>
        <w:t>ly</w:t>
      </w:r>
      <w:r w:rsidRPr="00F87054">
        <w:t xml:space="preserve"> available data, it was unclear whether the sustained IOP reductions were solely due to the procedure or the combined effect with medication. One comparator and two intervention studies provided comparative IOP data between standalone and combined procedures. Studies drawing comparisons between arms reported that IOP reduction was similar between arms. Through naïve comparison of all 14 included studies, IOP reduction appeared to be slightly greater in the intervention studies compared to the comparator study. </w:t>
      </w:r>
    </w:p>
    <w:p w14:paraId="0F3126DE" w14:textId="77777777" w:rsidR="002F31E6" w:rsidRPr="00F87054" w:rsidRDefault="002F31E6" w:rsidP="00624B02">
      <w:pPr>
        <w:pStyle w:val="Heading2"/>
        <w:spacing w:before="240"/>
      </w:pPr>
      <w:r w:rsidRPr="00F87054">
        <w:t>Reduction of medication burden</w:t>
      </w:r>
    </w:p>
    <w:p w14:paraId="6BACC4EC" w14:textId="7E15D5E8" w:rsidR="002F31E6" w:rsidRDefault="002F31E6" w:rsidP="002F31E6">
      <w:r w:rsidRPr="00F87054">
        <w:t xml:space="preserve">A high level of inconsistency was observed </w:t>
      </w:r>
      <w:r w:rsidR="00F35756">
        <w:t xml:space="preserve">in the reported reduction in medication across the </w:t>
      </w:r>
      <w:r w:rsidRPr="00F35756">
        <w:t>studies</w:t>
      </w:r>
      <w:r w:rsidR="00F35756" w:rsidRPr="00F35756">
        <w:t xml:space="preserve"> on</w:t>
      </w:r>
      <w:r w:rsidR="00F35756">
        <w:t xml:space="preserve"> the use of a microcatheter in combination with cataract surgery</w:t>
      </w:r>
      <w:r w:rsidRPr="00F87054">
        <w:t xml:space="preserve"> (reduction in average medication 11.1–79.3%). Similarly, among </w:t>
      </w:r>
      <w:r w:rsidR="002D4D74">
        <w:t>the studies on the use of micro-bypass stents in combination with cataract surgery</w:t>
      </w:r>
      <w:r>
        <w:t>,</w:t>
      </w:r>
      <w:r w:rsidRPr="00F87054">
        <w:t xml:space="preserve"> the average medication reduction ranged from 51.1–83.4% at 12 months and 49.6–81.1% at 24 months. Although the reported reduction in medication use appears similar between intervention and comparator devices, the data either rely on a single study (standalone) </w:t>
      </w:r>
      <w:r w:rsidRPr="00DC4091">
        <w:fldChar w:fldCharType="begin">
          <w:fldData xml:space="preserve">PEVuZE5vdGU+PENpdGU+PEF1dGhvcj5HYWxsYXJkbzwvQXV0aG9yPjxZZWFyPjIwMjE8L1llYXI+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</w:fldData>
        </w:fldChar>
      </w:r>
      <w:r w:rsidRPr="00DC4091">
        <w:instrText xml:space="preserve"> ADDIN EN.CITE </w:instrText>
      </w:r>
      <w:r w:rsidRPr="000466D0">
        <w:fldChar w:fldCharType="begin">
          <w:fldData xml:space="preserve">PEVuZE5vdGU+PENpdGU+PEF1dGhvcj5HYWxsYXJkbzwvQXV0aG9yPjxZZWFyPjIwMjE8L1llYXI+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</w:fldData>
        </w:fldChar>
      </w:r>
      <w:r w:rsidRPr="00DC4091">
        <w:instrText xml:space="preserve"> ADDIN EN.CITE.DATA </w:instrText>
      </w:r>
      <w:r w:rsidRPr="000466D0">
        <w:fldChar w:fldCharType="end"/>
      </w:r>
      <w:r w:rsidRPr="000466D0">
        <w:fldChar w:fldCharType="separate"/>
      </w:r>
      <w:r w:rsidRPr="000466D0">
        <w:t>(</w:t>
      </w:r>
      <w:hyperlink w:anchor="_ENREF_46" w:tooltip="Gallardo, 2021 #75" w:history="1">
        <w:r w:rsidRPr="000466D0">
          <w:t>Gallardo, 2021</w:t>
        </w:r>
      </w:hyperlink>
      <w:r w:rsidR="00825B52" w:rsidRPr="00DC4091">
        <w:rPr>
          <w:rStyle w:val="FootnoteReference"/>
        </w:rPr>
        <w:footnoteReference w:id="17"/>
      </w:r>
      <w:r w:rsidRPr="00DC4091">
        <w:t>)</w:t>
      </w:r>
      <w:r w:rsidRPr="005E7EF9">
        <w:fldChar w:fldCharType="end"/>
      </w:r>
      <w:r w:rsidRPr="00F87054">
        <w:t xml:space="preserve"> or have distinctly large ranges (</w:t>
      </w:r>
      <w:r w:rsidRPr="00F87054">
        <w:fldChar w:fldCharType="begin"/>
      </w:r>
      <w:r w:rsidRPr="00F87054">
        <w:instrText xml:space="preserve"> REF _Ref78894453 \h </w:instrText>
      </w:r>
      <w:r w:rsidRPr="00F87054">
        <w:fldChar w:fldCharType="separate"/>
      </w:r>
      <w:r w:rsidR="006B4277" w:rsidRPr="00F87054">
        <w:t xml:space="preserve">Table </w:t>
      </w:r>
      <w:r w:rsidR="006B4277">
        <w:rPr>
          <w:noProof/>
        </w:rPr>
        <w:t>9</w:t>
      </w:r>
      <w:r w:rsidRPr="00F87054">
        <w:fldChar w:fldCharType="end"/>
      </w:r>
      <w:r w:rsidRPr="00F87054">
        <w:t xml:space="preserve">). </w:t>
      </w:r>
    </w:p>
    <w:p w14:paraId="5E0B8D5D" w14:textId="127F6E29" w:rsidR="002F31E6" w:rsidRDefault="002F31E6" w:rsidP="00624B02">
      <w:pPr>
        <w:spacing w:before="240"/>
      </w:pPr>
      <w:r w:rsidRPr="00F87054">
        <w:t xml:space="preserve">One intervention and one comparator study reported comparative data on reduced medication burden between the glaucoma procedures combined with cataract surgery and standalone. The intervention study </w:t>
      </w:r>
      <w:r w:rsidRPr="000466D0">
        <w:t>(iTrack)</w:t>
      </w:r>
      <w:r w:rsidRPr="00DC4091">
        <w:t xml:space="preserve"> </w:t>
      </w:r>
      <w:r w:rsidRPr="00F87054">
        <w:t xml:space="preserve">saw a greater reduction in average medication use in the </w:t>
      </w:r>
      <w:r w:rsidRPr="00F87054">
        <w:lastRenderedPageBreak/>
        <w:t xml:space="preserve">combined surgery group compared with the standalone group (70.4% and 53.3%, respectively). The comparator study (XEN gel) saw a similar reduction in average medication use with or without the combined cataract surgery (62.7% and 68.8%, respectively). These data indicate the impact of cataract surgery on medication burden may differ between intervention and comparator devices, however this remains </w:t>
      </w:r>
      <w:r>
        <w:t>uncertain</w:t>
      </w:r>
      <w:r w:rsidRPr="00F87054">
        <w:t xml:space="preserve"> due to the limited available evidence. </w:t>
      </w:r>
    </w:p>
    <w:p w14:paraId="7C3B1DE5" w14:textId="6AB62CE7" w:rsidR="002F31E6" w:rsidRPr="00F87054" w:rsidRDefault="002F31E6" w:rsidP="00624B02">
      <w:pPr>
        <w:pStyle w:val="Caption"/>
        <w:spacing w:before="240"/>
      </w:pPr>
      <w:bookmarkStart w:id="24" w:name="_Ref78894453"/>
      <w:bookmarkStart w:id="25" w:name="_Toc81257836"/>
      <w:r w:rsidRPr="00F87054">
        <w:t xml:space="preserve">Table </w:t>
      </w:r>
      <w:fldSimple w:instr=" SEQ Table \* ARABIC ">
        <w:r w:rsidR="006B4277">
          <w:rPr>
            <w:noProof/>
          </w:rPr>
          <w:t>9</w:t>
        </w:r>
      </w:fldSimple>
      <w:bookmarkEnd w:id="24"/>
      <w:r w:rsidRPr="00F87054">
        <w:tab/>
        <w:t xml:space="preserve"> Medication burden reduction at 12 months follow-up for procedures with intervention and comparator devices as standalone or combined cataract surgery</w:t>
      </w:r>
      <w:bookmarkEnd w:id="25"/>
    </w:p>
    <w:tbl>
      <w:tblPr>
        <w:tblStyle w:val="TableGridbeth6"/>
        <w:tblW w:w="0" w:type="auto"/>
        <w:tblLook w:val="04A0" w:firstRow="1" w:lastRow="0" w:firstColumn="1" w:lastColumn="0" w:noHBand="0" w:noVBand="1"/>
        <w:tblDescription w:val=" Medication burden reduction at 12 months follow-up for procedures with intervention and comparator devices as standalone or combined cataract surgery"/>
      </w:tblPr>
      <w:tblGrid>
        <w:gridCol w:w="1980"/>
        <w:gridCol w:w="3118"/>
        <w:gridCol w:w="3918"/>
      </w:tblGrid>
      <w:tr w:rsidR="002F31E6" w:rsidRPr="00F87054" w14:paraId="37CEF86C" w14:textId="77777777" w:rsidTr="00F749F7">
        <w:trPr>
          <w:trHeight w:val="312"/>
        </w:trPr>
        <w:tc>
          <w:tcPr>
            <w:tcW w:w="1980" w:type="dxa"/>
            <w:shd w:val="clear" w:color="auto" w:fill="D9D9D9" w:themeFill="background1" w:themeFillShade="D9"/>
            <w:vAlign w:val="center"/>
          </w:tcPr>
          <w:p w14:paraId="02F6D6BA" w14:textId="77777777" w:rsidR="002F31E6" w:rsidRPr="00F87054" w:rsidRDefault="002F31E6" w:rsidP="00F749F7">
            <w:pPr>
              <w:pStyle w:val="Tabletext"/>
              <w:rPr>
                <w:b/>
                <w:bCs/>
              </w:rPr>
            </w:pPr>
          </w:p>
        </w:tc>
        <w:tc>
          <w:tcPr>
            <w:tcW w:w="3118" w:type="dxa"/>
            <w:shd w:val="clear" w:color="auto" w:fill="D9D9D9" w:themeFill="background1" w:themeFillShade="D9"/>
            <w:vAlign w:val="center"/>
          </w:tcPr>
          <w:p w14:paraId="52984CD9" w14:textId="77777777" w:rsidR="002F31E6" w:rsidRPr="00F87054" w:rsidRDefault="002F31E6" w:rsidP="00F749F7">
            <w:pPr>
              <w:pStyle w:val="Tabletext"/>
              <w:rPr>
                <w:b/>
                <w:bCs/>
              </w:rPr>
            </w:pPr>
            <w:r w:rsidRPr="00F87054">
              <w:rPr>
                <w:b/>
                <w:bCs/>
              </w:rPr>
              <w:t>Standalone</w:t>
            </w:r>
          </w:p>
        </w:tc>
        <w:tc>
          <w:tcPr>
            <w:tcW w:w="3918" w:type="dxa"/>
            <w:shd w:val="clear" w:color="auto" w:fill="D9D9D9" w:themeFill="background1" w:themeFillShade="D9"/>
            <w:vAlign w:val="center"/>
          </w:tcPr>
          <w:p w14:paraId="37C91247" w14:textId="77777777" w:rsidR="002F31E6" w:rsidRPr="00F87054" w:rsidRDefault="002F31E6" w:rsidP="00F749F7">
            <w:pPr>
              <w:pStyle w:val="Tabletext"/>
              <w:rPr>
                <w:b/>
                <w:bCs/>
              </w:rPr>
            </w:pPr>
            <w:r w:rsidRPr="00F87054">
              <w:rPr>
                <w:b/>
                <w:bCs/>
              </w:rPr>
              <w:t>Combined cataract</w:t>
            </w:r>
          </w:p>
        </w:tc>
      </w:tr>
      <w:tr w:rsidR="002F31E6" w:rsidRPr="00F87054" w14:paraId="3020F00D" w14:textId="77777777" w:rsidTr="00F749F7">
        <w:tc>
          <w:tcPr>
            <w:tcW w:w="1980" w:type="dxa"/>
            <w:shd w:val="clear" w:color="auto" w:fill="D9D9D9" w:themeFill="background1" w:themeFillShade="D9"/>
            <w:vAlign w:val="center"/>
          </w:tcPr>
          <w:p w14:paraId="1A1D1DC7" w14:textId="77777777" w:rsidR="002F31E6" w:rsidRPr="00F87054" w:rsidRDefault="002F31E6" w:rsidP="00F749F7">
            <w:pPr>
              <w:pStyle w:val="Tabletext"/>
              <w:rPr>
                <w:b/>
                <w:bCs/>
              </w:rPr>
            </w:pPr>
            <w:r w:rsidRPr="00F87054">
              <w:rPr>
                <w:b/>
                <w:bCs/>
              </w:rPr>
              <w:t>Intervention</w:t>
            </w:r>
          </w:p>
        </w:tc>
        <w:tc>
          <w:tcPr>
            <w:tcW w:w="3118" w:type="dxa"/>
            <w:vAlign w:val="center"/>
          </w:tcPr>
          <w:p w14:paraId="6A0C2D43" w14:textId="77777777" w:rsidR="002F31E6" w:rsidRPr="00F87054" w:rsidRDefault="002F31E6" w:rsidP="00F749F7">
            <w:pPr>
              <w:pStyle w:val="Tabletext"/>
            </w:pPr>
            <w:r w:rsidRPr="00F87054">
              <w:t>53.3% (k = 1)</w:t>
            </w:r>
          </w:p>
        </w:tc>
        <w:tc>
          <w:tcPr>
            <w:tcW w:w="3918" w:type="dxa"/>
            <w:vAlign w:val="center"/>
          </w:tcPr>
          <w:p w14:paraId="7031589A" w14:textId="77777777" w:rsidR="002F31E6" w:rsidRPr="00F87054" w:rsidRDefault="002F31E6" w:rsidP="00F749F7">
            <w:pPr>
              <w:pStyle w:val="Tabletext"/>
            </w:pPr>
            <w:r w:rsidRPr="00F87054">
              <w:t>11.1–79.3% (k = 5)</w:t>
            </w:r>
          </w:p>
        </w:tc>
      </w:tr>
      <w:tr w:rsidR="002F31E6" w:rsidRPr="00F87054" w14:paraId="295CC817" w14:textId="77777777" w:rsidTr="00F749F7">
        <w:tc>
          <w:tcPr>
            <w:tcW w:w="1980" w:type="dxa"/>
            <w:shd w:val="clear" w:color="auto" w:fill="D9D9D9" w:themeFill="background1" w:themeFillShade="D9"/>
            <w:vAlign w:val="center"/>
          </w:tcPr>
          <w:p w14:paraId="7AA5EFF8" w14:textId="77777777" w:rsidR="002F31E6" w:rsidRPr="00F87054" w:rsidRDefault="002F31E6" w:rsidP="00F749F7">
            <w:pPr>
              <w:pStyle w:val="Tabletext"/>
              <w:rPr>
                <w:b/>
                <w:bCs/>
              </w:rPr>
            </w:pPr>
            <w:r w:rsidRPr="00F87054">
              <w:rPr>
                <w:b/>
                <w:bCs/>
              </w:rPr>
              <w:t>Comparator</w:t>
            </w:r>
          </w:p>
        </w:tc>
        <w:tc>
          <w:tcPr>
            <w:tcW w:w="3118" w:type="dxa"/>
            <w:vAlign w:val="center"/>
          </w:tcPr>
          <w:p w14:paraId="4AF407B6" w14:textId="77777777" w:rsidR="002F31E6" w:rsidRPr="00F87054" w:rsidRDefault="002F31E6" w:rsidP="00F749F7">
            <w:pPr>
              <w:pStyle w:val="Tabletext"/>
            </w:pPr>
            <w:r w:rsidRPr="00F87054">
              <w:t>68.8% (k = 1)</w:t>
            </w:r>
          </w:p>
        </w:tc>
        <w:tc>
          <w:tcPr>
            <w:tcW w:w="3918" w:type="dxa"/>
            <w:vAlign w:val="center"/>
          </w:tcPr>
          <w:p w14:paraId="0ED8AC75" w14:textId="77777777" w:rsidR="002F31E6" w:rsidRPr="00F87054" w:rsidRDefault="002F31E6" w:rsidP="00F749F7">
            <w:pPr>
              <w:pStyle w:val="Tabletext"/>
            </w:pPr>
            <w:r w:rsidRPr="00F87054">
              <w:t>51.1–83.4% (k = 4)</w:t>
            </w:r>
          </w:p>
        </w:tc>
      </w:tr>
    </w:tbl>
    <w:p w14:paraId="3E3C8AC7" w14:textId="09F8A031" w:rsidR="006B4277" w:rsidRPr="006B4277" w:rsidRDefault="006B4277" w:rsidP="00066143">
      <w:pPr>
        <w:pStyle w:val="Tablenotes"/>
      </w:pPr>
      <w:r w:rsidRPr="006B4277">
        <w:t xml:space="preserve">Source: Table 7, </w:t>
      </w:r>
      <w:proofErr w:type="spellStart"/>
      <w:r w:rsidRPr="006B4277">
        <w:t>pg</w:t>
      </w:r>
      <w:proofErr w:type="spellEnd"/>
      <w:r w:rsidRPr="006B4277">
        <w:t xml:space="preserve"> </w:t>
      </w:r>
      <w:r>
        <w:t xml:space="preserve">27 </w:t>
      </w:r>
      <w:r w:rsidRPr="006B4277">
        <w:t xml:space="preserve">of the DCAR </w:t>
      </w:r>
    </w:p>
    <w:p w14:paraId="6774EE0C" w14:textId="79BC1F96" w:rsidR="002F31E6" w:rsidRDefault="002F31E6" w:rsidP="00066143">
      <w:pPr>
        <w:pStyle w:val="Tablenotes"/>
      </w:pPr>
      <w:r w:rsidRPr="006B4277">
        <w:rPr>
          <w:bCs/>
        </w:rPr>
        <w:t>Note</w:t>
      </w:r>
      <w:r w:rsidRPr="00F87054">
        <w:t xml:space="preserve">: Two intervention studies were not included in this table as they reported outcomes as a mixed population of patients who underwent standalone and combined cataract procedures. </w:t>
      </w:r>
    </w:p>
    <w:p w14:paraId="0BDD3E72" w14:textId="77777777" w:rsidR="002F31E6" w:rsidRPr="00F87054" w:rsidRDefault="002F31E6" w:rsidP="00624B02">
      <w:pPr>
        <w:pStyle w:val="Heading2"/>
        <w:spacing w:before="240"/>
      </w:pPr>
      <w:r w:rsidRPr="00F87054">
        <w:t>Visual acuity</w:t>
      </w:r>
    </w:p>
    <w:p w14:paraId="41B14719" w14:textId="1C505324" w:rsidR="002F31E6" w:rsidRDefault="002F31E6" w:rsidP="002F31E6">
      <w:r w:rsidRPr="00F87054">
        <w:t>Visual acuity improved from baseline in groups of patients with cataracts. The standalone procedure w</w:t>
      </w:r>
      <w:r>
        <w:t>as</w:t>
      </w:r>
      <w:r w:rsidRPr="00F87054">
        <w:t xml:space="preserve"> able to sustain but not improve visual acuity compared with baseline. This finding was similar for both the intervention (k = 3) and comparator devices (k = 5), indicating that the devices are similarly effective. This is likely explained by the cataract surgery rather than the MIGS. </w:t>
      </w:r>
    </w:p>
    <w:p w14:paraId="49015FF3" w14:textId="77777777" w:rsidR="002F31E6" w:rsidRPr="00F87054" w:rsidRDefault="002F31E6" w:rsidP="00624B02">
      <w:pPr>
        <w:pStyle w:val="Heading2"/>
        <w:spacing w:before="240"/>
      </w:pPr>
      <w:r w:rsidRPr="00F87054">
        <w:t>Surgical success or failure</w:t>
      </w:r>
    </w:p>
    <w:p w14:paraId="78E56944" w14:textId="6F611811" w:rsidR="002F31E6" w:rsidRDefault="002F31E6" w:rsidP="002F31E6">
      <w:r w:rsidRPr="00F87054">
        <w:t xml:space="preserve">Surgical failure was defined differently among included studies. It </w:t>
      </w:r>
      <w:r>
        <w:t xml:space="preserve">is </w:t>
      </w:r>
      <w:r w:rsidRPr="00F87054">
        <w:t xml:space="preserve">generally related to the failure to meet predefined success criteria or </w:t>
      </w:r>
      <w:r>
        <w:t xml:space="preserve">the </w:t>
      </w:r>
      <w:r w:rsidRPr="00F87054">
        <w:t>requirement for additional surgeries. Failure and the need for secondary glaucoma surgeries w</w:t>
      </w:r>
      <w:r>
        <w:t>ere</w:t>
      </w:r>
      <w:r w:rsidRPr="00F87054">
        <w:t xml:space="preserve"> more commonly reported than was procedure success rates. In one intervention study, </w:t>
      </w:r>
      <w:r>
        <w:t xml:space="preserve">the </w:t>
      </w:r>
      <w:r w:rsidRPr="00F87054">
        <w:t xml:space="preserve">qualified success of the standalone procedure was considerably lower than was </w:t>
      </w:r>
      <w:r>
        <w:t xml:space="preserve">the </w:t>
      </w:r>
      <w:r w:rsidRPr="00F87054">
        <w:t xml:space="preserve">success of the combined procedures with cataract surgery (65% versus 93%). The study also noted that all failures had occurred in </w:t>
      </w:r>
      <w:r>
        <w:t>ABiC</w:t>
      </w:r>
      <w:r w:rsidRPr="00F87054">
        <w:t xml:space="preserve"> participants (8.3%). Varying definitions of surgical success and failure have prevented meaningful comparisons between the intervention and the comparator. </w:t>
      </w:r>
    </w:p>
    <w:p w14:paraId="033150F8" w14:textId="77777777" w:rsidR="002F31E6" w:rsidRPr="00F87054" w:rsidRDefault="002F31E6" w:rsidP="0091135D">
      <w:pPr>
        <w:pStyle w:val="Heading2"/>
        <w:spacing w:before="240"/>
      </w:pPr>
      <w:r w:rsidRPr="00F87054">
        <w:t>GRADE quality assessment</w:t>
      </w:r>
    </w:p>
    <w:p w14:paraId="7F1A3C3C" w14:textId="6F10E8EF" w:rsidR="00920D98" w:rsidRPr="0091135D" w:rsidRDefault="002F31E6" w:rsidP="0091135D">
      <w:r w:rsidRPr="00F87054">
        <w:t xml:space="preserve">The summary of findings </w:t>
      </w:r>
      <w:r w:rsidR="000A1E17">
        <w:t xml:space="preserve">for the intervention only </w:t>
      </w:r>
      <w:r w:rsidRPr="00F87054">
        <w:t xml:space="preserve">(critical and important outcomes, both benefits and harms) is shown in </w:t>
      </w:r>
      <w:r w:rsidRPr="000A1E17">
        <w:fldChar w:fldCharType="begin"/>
      </w:r>
      <w:r w:rsidRPr="000A1E17">
        <w:instrText xml:space="preserve"> REF _Ref421184437 \h  \* MERGEFORMAT </w:instrText>
      </w:r>
      <w:r w:rsidRPr="000A1E17">
        <w:fldChar w:fldCharType="separate"/>
      </w:r>
      <w:r w:rsidR="006B4277" w:rsidRPr="000A1E17">
        <w:t>Table 10</w:t>
      </w:r>
      <w:r w:rsidRPr="000A1E17">
        <w:fldChar w:fldCharType="end"/>
      </w:r>
      <w:r w:rsidRPr="000A1E17">
        <w:t xml:space="preserve">. GRADE </w:t>
      </w:r>
      <w:r w:rsidR="000A1E17" w:rsidRPr="000A1E17">
        <w:t>assessment was undertaken for the intervention arm only due to the limitations of the naïve comparison with the comparator. The assessment was severely limited by the very low quality of the evidence and the paucity of data among the evidence base for the intervention.</w:t>
      </w:r>
      <w:bookmarkStart w:id="26" w:name="_Ref421184437"/>
      <w:bookmarkStart w:id="27" w:name="_Toc81257837"/>
      <w:r w:rsidR="00920D98">
        <w:br w:type="page"/>
      </w:r>
    </w:p>
    <w:p w14:paraId="7DDE3FD0" w14:textId="211A0ABA" w:rsidR="002F31E6" w:rsidRPr="00F87054" w:rsidRDefault="002F31E6" w:rsidP="00624B02">
      <w:pPr>
        <w:pStyle w:val="Caption"/>
        <w:spacing w:before="240"/>
      </w:pPr>
      <w:r w:rsidRPr="00F87054">
        <w:lastRenderedPageBreak/>
        <w:t xml:space="preserve">Table </w:t>
      </w:r>
      <w:fldSimple w:instr=" SEQ Table \* ARABIC ">
        <w:r>
          <w:rPr>
            <w:noProof/>
          </w:rPr>
          <w:t>10</w:t>
        </w:r>
      </w:fldSimple>
      <w:bookmarkEnd w:id="26"/>
      <w:r w:rsidRPr="00F87054">
        <w:tab/>
        <w:t xml:space="preserve">Clinical benefits and harms of </w:t>
      </w:r>
      <w:r>
        <w:t>ABiC</w:t>
      </w:r>
      <w:r w:rsidRPr="00F87054">
        <w:t xml:space="preserve"> using a microcatheter, and as measured by the critical patient-relevant outcomes in the key studies</w:t>
      </w:r>
      <w:bookmarkEnd w:id="27"/>
      <w:r w:rsidRPr="00F87054">
        <w:t xml:space="preserve"> </w:t>
      </w:r>
    </w:p>
    <w:tbl>
      <w:tblPr>
        <w:tblStyle w:val="TableGrid110"/>
        <w:tblW w:w="0" w:type="auto"/>
        <w:tblLook w:val="04A0" w:firstRow="1" w:lastRow="0" w:firstColumn="1" w:lastColumn="0" w:noHBand="0" w:noVBand="1"/>
        <w:tblDescription w:val="Summary of findings table"/>
      </w:tblPr>
      <w:tblGrid>
        <w:gridCol w:w="1656"/>
        <w:gridCol w:w="1685"/>
        <w:gridCol w:w="1127"/>
        <w:gridCol w:w="848"/>
        <w:gridCol w:w="3700"/>
      </w:tblGrid>
      <w:tr w:rsidR="002F31E6" w:rsidRPr="00F87054" w14:paraId="798E028A" w14:textId="77777777" w:rsidTr="00F749F7">
        <w:trPr>
          <w:cnfStyle w:val="100000000000" w:firstRow="1" w:lastRow="0" w:firstColumn="0" w:lastColumn="0" w:oddVBand="0" w:evenVBand="0" w:oddHBand="0" w:evenHBand="0" w:firstRowFirstColumn="0" w:firstRowLastColumn="0" w:lastRowFirstColumn="0" w:lastRowLastColumn="0"/>
          <w:trHeight w:val="823"/>
          <w:tblHeader w:val="0"/>
        </w:trPr>
        <w:tc>
          <w:tcPr>
            <w:tcW w:w="1668" w:type="dxa"/>
          </w:tcPr>
          <w:p w14:paraId="52430373" w14:textId="77777777" w:rsidR="002F31E6" w:rsidRPr="00F87054" w:rsidRDefault="002F31E6" w:rsidP="00F749F7">
            <w:pPr>
              <w:pStyle w:val="Tabletext"/>
              <w:rPr>
                <w:b/>
                <w:bCs/>
                <w:lang w:val="en-AU"/>
              </w:rPr>
            </w:pPr>
            <w:r w:rsidRPr="00F87054">
              <w:rPr>
                <w:b/>
                <w:bCs/>
                <w:lang w:val="en-AU"/>
              </w:rPr>
              <w:t>Outcomes (units)</w:t>
            </w:r>
          </w:p>
          <w:p w14:paraId="6FE83A67" w14:textId="77777777" w:rsidR="002F31E6" w:rsidRPr="00F87054" w:rsidRDefault="002F31E6" w:rsidP="00F749F7">
            <w:pPr>
              <w:pStyle w:val="Tabletext"/>
              <w:rPr>
                <w:b/>
                <w:bCs/>
                <w:lang w:val="en-AU"/>
              </w:rPr>
            </w:pPr>
            <w:r w:rsidRPr="00F87054">
              <w:rPr>
                <w:b/>
                <w:bCs/>
                <w:lang w:val="en-AU"/>
              </w:rPr>
              <w:t>Follow-up</w:t>
            </w:r>
          </w:p>
        </w:tc>
        <w:tc>
          <w:tcPr>
            <w:tcW w:w="1701" w:type="dxa"/>
          </w:tcPr>
          <w:p w14:paraId="3B156346" w14:textId="77777777" w:rsidR="002F31E6" w:rsidRPr="00F87054" w:rsidRDefault="002F31E6" w:rsidP="00F749F7">
            <w:pPr>
              <w:pStyle w:val="Tabletext"/>
              <w:rPr>
                <w:b/>
                <w:bCs/>
                <w:lang w:val="en-AU"/>
              </w:rPr>
            </w:pPr>
            <w:r w:rsidRPr="00F87054">
              <w:rPr>
                <w:b/>
                <w:bCs/>
                <w:lang w:val="en-AU"/>
              </w:rPr>
              <w:t>Participants, eyes (studies)</w:t>
            </w:r>
          </w:p>
        </w:tc>
        <w:tc>
          <w:tcPr>
            <w:tcW w:w="1134" w:type="dxa"/>
          </w:tcPr>
          <w:p w14:paraId="3E8E56F6" w14:textId="77777777" w:rsidR="002F31E6" w:rsidRPr="00F87054" w:rsidRDefault="002F31E6" w:rsidP="00F749F7">
            <w:pPr>
              <w:pStyle w:val="Tabletext"/>
              <w:rPr>
                <w:b/>
                <w:bCs/>
                <w:lang w:val="en-AU"/>
              </w:rPr>
            </w:pPr>
            <w:r w:rsidRPr="00F87054">
              <w:rPr>
                <w:b/>
                <w:bCs/>
                <w:lang w:val="en-AU"/>
              </w:rPr>
              <w:t>Quality of evidence (GRADE)</w:t>
            </w:r>
          </w:p>
        </w:tc>
        <w:tc>
          <w:tcPr>
            <w:tcW w:w="850" w:type="dxa"/>
          </w:tcPr>
          <w:p w14:paraId="75AAEFBC" w14:textId="77777777" w:rsidR="002F31E6" w:rsidRPr="00F87054" w:rsidRDefault="002F31E6" w:rsidP="00F749F7">
            <w:pPr>
              <w:pStyle w:val="Tabletext"/>
              <w:rPr>
                <w:b/>
                <w:bCs/>
                <w:lang w:val="en-AU"/>
              </w:rPr>
            </w:pPr>
            <w:r w:rsidRPr="00F87054">
              <w:rPr>
                <w:b/>
                <w:bCs/>
                <w:lang w:val="en-AU"/>
              </w:rPr>
              <w:t>Risk of bias</w:t>
            </w:r>
          </w:p>
        </w:tc>
        <w:tc>
          <w:tcPr>
            <w:tcW w:w="3781" w:type="dxa"/>
          </w:tcPr>
          <w:p w14:paraId="39BBED5E" w14:textId="77777777" w:rsidR="002F31E6" w:rsidRPr="00F87054" w:rsidRDefault="002F31E6" w:rsidP="00F749F7">
            <w:pPr>
              <w:pStyle w:val="Tabletext"/>
              <w:rPr>
                <w:b/>
                <w:bCs/>
                <w:lang w:val="en-AU"/>
              </w:rPr>
            </w:pPr>
            <w:r w:rsidRPr="00F87054">
              <w:rPr>
                <w:b/>
                <w:bCs/>
                <w:lang w:val="en-AU"/>
              </w:rPr>
              <w:t>Range of effect</w:t>
            </w:r>
          </w:p>
        </w:tc>
      </w:tr>
      <w:tr w:rsidR="002F31E6" w:rsidRPr="00F87054" w14:paraId="6077EBAB" w14:textId="77777777" w:rsidTr="00F749F7">
        <w:trPr>
          <w:trHeight w:val="705"/>
        </w:trPr>
        <w:tc>
          <w:tcPr>
            <w:tcW w:w="1668" w:type="dxa"/>
          </w:tcPr>
          <w:p w14:paraId="58046EB4" w14:textId="77777777" w:rsidR="002F31E6" w:rsidRPr="00F87054" w:rsidRDefault="002F31E6" w:rsidP="00F749F7">
            <w:pPr>
              <w:pStyle w:val="Tabletext"/>
              <w:rPr>
                <w:lang w:val="en-AU"/>
              </w:rPr>
            </w:pPr>
            <w:r w:rsidRPr="00F87054">
              <w:rPr>
                <w:lang w:val="en-AU"/>
              </w:rPr>
              <w:t>IOP reduction (%), 12–24 months</w:t>
            </w:r>
          </w:p>
        </w:tc>
        <w:tc>
          <w:tcPr>
            <w:tcW w:w="1701" w:type="dxa"/>
          </w:tcPr>
          <w:p w14:paraId="3D17D1EC" w14:textId="77777777" w:rsidR="002F31E6" w:rsidRPr="00F87054" w:rsidRDefault="002F31E6" w:rsidP="00F749F7">
            <w:pPr>
              <w:pStyle w:val="Tabletext"/>
              <w:rPr>
                <w:lang w:val="en-AU"/>
              </w:rPr>
            </w:pPr>
            <w:r w:rsidRPr="00F87054">
              <w:rPr>
                <w:lang w:val="en-AU"/>
              </w:rPr>
              <w:t>407 participants, 545 eyes (k = 7)</w:t>
            </w:r>
          </w:p>
        </w:tc>
        <w:tc>
          <w:tcPr>
            <w:tcW w:w="1134" w:type="dxa"/>
          </w:tcPr>
          <w:p w14:paraId="55DD1F1A" w14:textId="77777777" w:rsidR="002F31E6" w:rsidRPr="00F87054" w:rsidRDefault="002F31E6" w:rsidP="00F749F7">
            <w:pPr>
              <w:pStyle w:val="Tabletext"/>
              <w:rPr>
                <w:lang w:val="en-AU"/>
              </w:rPr>
            </w:pPr>
            <w:r w:rsidRPr="00F87054">
              <w:rPr>
                <w:rFonts w:ascii="Cambria Math" w:hAnsi="Cambria Math"/>
                <w:color w:val="00B050"/>
                <w:lang w:val="en-AU"/>
              </w:rPr>
              <w:t>⨁</w:t>
            </w:r>
            <w:r w:rsidRPr="00F87054">
              <w:rPr>
                <w:rFonts w:ascii="Cambria Math" w:hAnsi="Cambria Math" w:cs="Cambria Math"/>
                <w:color w:val="C00000"/>
                <w:lang w:val="en-AU"/>
              </w:rPr>
              <w:t>⨀⨀⨀</w:t>
            </w:r>
          </w:p>
        </w:tc>
        <w:tc>
          <w:tcPr>
            <w:tcW w:w="850" w:type="dxa"/>
          </w:tcPr>
          <w:p w14:paraId="1EFF1684" w14:textId="77777777" w:rsidR="002F31E6" w:rsidRPr="00F87054" w:rsidRDefault="002F31E6" w:rsidP="00F749F7">
            <w:pPr>
              <w:pStyle w:val="Tabletext"/>
              <w:rPr>
                <w:lang w:val="en-AU"/>
              </w:rPr>
            </w:pPr>
            <w:r w:rsidRPr="00F87054">
              <w:rPr>
                <w:lang w:val="en-AU"/>
              </w:rPr>
              <w:t>Serious</w:t>
            </w:r>
          </w:p>
        </w:tc>
        <w:tc>
          <w:tcPr>
            <w:tcW w:w="3781" w:type="dxa"/>
          </w:tcPr>
          <w:p w14:paraId="3B0F9946" w14:textId="77777777" w:rsidR="002F31E6" w:rsidRPr="00F87054" w:rsidRDefault="002F31E6" w:rsidP="00F749F7">
            <w:pPr>
              <w:pStyle w:val="Tabletext"/>
              <w:rPr>
                <w:bCs/>
                <w:lang w:val="en-AU"/>
              </w:rPr>
            </w:pPr>
            <w:r w:rsidRPr="00F87054">
              <w:rPr>
                <w:bCs/>
                <w:lang w:val="en-AU"/>
              </w:rPr>
              <w:t>Reduction in average IOP: 21.8–49.7%</w:t>
            </w:r>
          </w:p>
        </w:tc>
      </w:tr>
      <w:tr w:rsidR="002F31E6" w:rsidRPr="00F87054" w14:paraId="6E0079F3" w14:textId="77777777" w:rsidTr="00F749F7">
        <w:trPr>
          <w:trHeight w:val="712"/>
        </w:trPr>
        <w:tc>
          <w:tcPr>
            <w:tcW w:w="1668" w:type="dxa"/>
          </w:tcPr>
          <w:p w14:paraId="7398E5C5" w14:textId="77777777" w:rsidR="002F31E6" w:rsidRPr="00F87054" w:rsidRDefault="002F31E6" w:rsidP="00F749F7">
            <w:pPr>
              <w:pStyle w:val="Tabletext"/>
              <w:rPr>
                <w:lang w:val="en-AU"/>
              </w:rPr>
            </w:pPr>
            <w:r w:rsidRPr="00F87054">
              <w:rPr>
                <w:lang w:val="en-AU"/>
              </w:rPr>
              <w:t>Medication burden (%), 12–24 months</w:t>
            </w:r>
          </w:p>
        </w:tc>
        <w:tc>
          <w:tcPr>
            <w:tcW w:w="1701" w:type="dxa"/>
          </w:tcPr>
          <w:p w14:paraId="4BB3B0ED" w14:textId="77777777" w:rsidR="002F31E6" w:rsidRPr="00F87054" w:rsidRDefault="002F31E6" w:rsidP="00F749F7">
            <w:pPr>
              <w:pStyle w:val="Tabletext"/>
              <w:rPr>
                <w:lang w:val="en-AU"/>
              </w:rPr>
            </w:pPr>
            <w:r w:rsidRPr="00F87054">
              <w:rPr>
                <w:lang w:val="en-AU"/>
              </w:rPr>
              <w:t>407 participants, 545 eyes (k = 7)</w:t>
            </w:r>
          </w:p>
        </w:tc>
        <w:tc>
          <w:tcPr>
            <w:tcW w:w="1134" w:type="dxa"/>
          </w:tcPr>
          <w:p w14:paraId="47973F67" w14:textId="77777777" w:rsidR="002F31E6" w:rsidRPr="00F87054" w:rsidRDefault="002F31E6" w:rsidP="00F749F7">
            <w:pPr>
              <w:pStyle w:val="Tabletext"/>
              <w:rPr>
                <w:lang w:val="en-AU"/>
              </w:rPr>
            </w:pPr>
            <w:r w:rsidRPr="00F87054">
              <w:rPr>
                <w:rFonts w:ascii="Cambria Math" w:hAnsi="Cambria Math"/>
                <w:color w:val="00B050"/>
                <w:lang w:val="en-AU"/>
              </w:rPr>
              <w:t>⨁</w:t>
            </w:r>
            <w:r w:rsidRPr="00F87054">
              <w:rPr>
                <w:rFonts w:ascii="Cambria Math" w:hAnsi="Cambria Math" w:cs="Cambria Math"/>
                <w:color w:val="C00000"/>
                <w:lang w:val="en-AU"/>
              </w:rPr>
              <w:t>⨀⨀⨀</w:t>
            </w:r>
          </w:p>
        </w:tc>
        <w:tc>
          <w:tcPr>
            <w:tcW w:w="850" w:type="dxa"/>
          </w:tcPr>
          <w:p w14:paraId="10681AF4" w14:textId="77777777" w:rsidR="002F31E6" w:rsidRPr="00F87054" w:rsidRDefault="002F31E6" w:rsidP="00F749F7">
            <w:pPr>
              <w:pStyle w:val="Tabletext"/>
              <w:rPr>
                <w:lang w:val="en-AU"/>
              </w:rPr>
            </w:pPr>
            <w:r w:rsidRPr="00F87054">
              <w:rPr>
                <w:lang w:val="en-AU"/>
              </w:rPr>
              <w:t>Serious</w:t>
            </w:r>
          </w:p>
        </w:tc>
        <w:tc>
          <w:tcPr>
            <w:tcW w:w="3781" w:type="dxa"/>
          </w:tcPr>
          <w:p w14:paraId="04DEAF87" w14:textId="77777777" w:rsidR="002F31E6" w:rsidRPr="00F87054" w:rsidRDefault="002F31E6" w:rsidP="00F749F7">
            <w:pPr>
              <w:pStyle w:val="Tabletext"/>
              <w:rPr>
                <w:bCs/>
                <w:lang w:val="en-AU"/>
              </w:rPr>
            </w:pPr>
            <w:r w:rsidRPr="00F87054">
              <w:rPr>
                <w:bCs/>
                <w:lang w:val="en-AU"/>
              </w:rPr>
              <w:t>Reduction in average medication use: 11.1–93.3%</w:t>
            </w:r>
          </w:p>
        </w:tc>
      </w:tr>
      <w:tr w:rsidR="002F31E6" w:rsidRPr="00F87054" w14:paraId="10A5C602" w14:textId="77777777" w:rsidTr="00F749F7">
        <w:trPr>
          <w:trHeight w:val="734"/>
        </w:trPr>
        <w:tc>
          <w:tcPr>
            <w:tcW w:w="1668" w:type="dxa"/>
          </w:tcPr>
          <w:p w14:paraId="23534A0D" w14:textId="77777777" w:rsidR="002F31E6" w:rsidRPr="00F87054" w:rsidRDefault="002F31E6" w:rsidP="00F749F7">
            <w:pPr>
              <w:pStyle w:val="Tabletext"/>
              <w:rPr>
                <w:lang w:val="en-AU"/>
              </w:rPr>
            </w:pPr>
            <w:r w:rsidRPr="00F87054">
              <w:rPr>
                <w:lang w:val="en-AU"/>
              </w:rPr>
              <w:t>Visual acuity (Snellen line loss)</w:t>
            </w:r>
          </w:p>
        </w:tc>
        <w:tc>
          <w:tcPr>
            <w:tcW w:w="1701" w:type="dxa"/>
          </w:tcPr>
          <w:p w14:paraId="4D4CA86B" w14:textId="77777777" w:rsidR="002F31E6" w:rsidRPr="00F87054" w:rsidRDefault="002F31E6" w:rsidP="00F749F7">
            <w:pPr>
              <w:pStyle w:val="Tabletext"/>
              <w:rPr>
                <w:lang w:val="en-AU"/>
              </w:rPr>
            </w:pPr>
            <w:r w:rsidRPr="00F87054">
              <w:rPr>
                <w:lang w:val="en-AU"/>
              </w:rPr>
              <w:t>124 participants, 166 eyes (k = 2)</w:t>
            </w:r>
          </w:p>
        </w:tc>
        <w:tc>
          <w:tcPr>
            <w:tcW w:w="1134" w:type="dxa"/>
          </w:tcPr>
          <w:p w14:paraId="10E5E698" w14:textId="77777777" w:rsidR="002F31E6" w:rsidRPr="00F87054" w:rsidRDefault="002F31E6" w:rsidP="00F749F7">
            <w:pPr>
              <w:pStyle w:val="Tabletext"/>
              <w:rPr>
                <w:lang w:val="en-AU"/>
              </w:rPr>
            </w:pPr>
            <w:r w:rsidRPr="00F87054">
              <w:rPr>
                <w:rFonts w:ascii="Cambria Math" w:hAnsi="Cambria Math"/>
                <w:color w:val="00B050"/>
                <w:lang w:val="en-AU"/>
              </w:rPr>
              <w:t>⨁</w:t>
            </w:r>
            <w:r w:rsidRPr="00F87054">
              <w:rPr>
                <w:rFonts w:ascii="Cambria Math" w:hAnsi="Cambria Math" w:cs="Cambria Math"/>
                <w:color w:val="C00000"/>
                <w:lang w:val="en-AU"/>
              </w:rPr>
              <w:t>⨀⨀⨀</w:t>
            </w:r>
          </w:p>
        </w:tc>
        <w:tc>
          <w:tcPr>
            <w:tcW w:w="850" w:type="dxa"/>
          </w:tcPr>
          <w:p w14:paraId="5ECC00E7" w14:textId="77777777" w:rsidR="002F31E6" w:rsidRPr="00F87054" w:rsidRDefault="002F31E6" w:rsidP="00F749F7">
            <w:pPr>
              <w:pStyle w:val="Tabletext"/>
              <w:rPr>
                <w:lang w:val="en-AU"/>
              </w:rPr>
            </w:pPr>
            <w:r w:rsidRPr="00F87054">
              <w:rPr>
                <w:lang w:val="en-AU"/>
              </w:rPr>
              <w:t>Serious</w:t>
            </w:r>
          </w:p>
        </w:tc>
        <w:tc>
          <w:tcPr>
            <w:tcW w:w="3781" w:type="dxa"/>
          </w:tcPr>
          <w:p w14:paraId="534B73C9" w14:textId="77777777" w:rsidR="002F31E6" w:rsidRPr="00F87054" w:rsidRDefault="002F31E6" w:rsidP="00F749F7">
            <w:pPr>
              <w:pStyle w:val="Tabletext"/>
              <w:rPr>
                <w:bCs/>
                <w:lang w:val="en-AU"/>
              </w:rPr>
            </w:pPr>
            <w:r w:rsidRPr="00F87054">
              <w:rPr>
                <w:bCs/>
                <w:lang w:val="en-AU"/>
              </w:rPr>
              <w:t>Loss of Snellen lines: No loss versus reported loss of between 1 and ≥2 Snellen lines</w:t>
            </w:r>
          </w:p>
        </w:tc>
      </w:tr>
      <w:tr w:rsidR="002F31E6" w:rsidRPr="00F87054" w14:paraId="61D71165" w14:textId="77777777" w:rsidTr="00F749F7">
        <w:trPr>
          <w:trHeight w:val="742"/>
        </w:trPr>
        <w:tc>
          <w:tcPr>
            <w:tcW w:w="1668" w:type="dxa"/>
          </w:tcPr>
          <w:p w14:paraId="42A9E1FD" w14:textId="77777777" w:rsidR="002F31E6" w:rsidRPr="00F87054" w:rsidRDefault="002F31E6" w:rsidP="00F749F7">
            <w:pPr>
              <w:pStyle w:val="Tabletext"/>
              <w:rPr>
                <w:lang w:val="en-AU"/>
              </w:rPr>
            </w:pPr>
            <w:r w:rsidRPr="00F87054">
              <w:rPr>
                <w:lang w:val="en-AU"/>
              </w:rPr>
              <w:t>Surgical success/failure (</w:t>
            </w:r>
            <w:proofErr w:type="gramStart"/>
            <w:r w:rsidRPr="00F87054">
              <w:rPr>
                <w:lang w:val="en-AU"/>
              </w:rPr>
              <w:t>%)*</w:t>
            </w:r>
            <w:proofErr w:type="gramEnd"/>
          </w:p>
        </w:tc>
        <w:tc>
          <w:tcPr>
            <w:tcW w:w="1701" w:type="dxa"/>
          </w:tcPr>
          <w:p w14:paraId="0A4F87A5" w14:textId="77777777" w:rsidR="002F31E6" w:rsidRPr="00F87054" w:rsidRDefault="002F31E6" w:rsidP="00F749F7">
            <w:pPr>
              <w:pStyle w:val="Tabletext"/>
              <w:rPr>
                <w:lang w:val="en-AU"/>
              </w:rPr>
            </w:pPr>
            <w:r w:rsidRPr="00F87054">
              <w:rPr>
                <w:lang w:val="en-AU"/>
              </w:rPr>
              <w:t>263 participants, 359 eyes (k = 4)</w:t>
            </w:r>
          </w:p>
        </w:tc>
        <w:tc>
          <w:tcPr>
            <w:tcW w:w="1134" w:type="dxa"/>
          </w:tcPr>
          <w:p w14:paraId="28138B87" w14:textId="77777777" w:rsidR="002F31E6" w:rsidRPr="00F87054" w:rsidRDefault="002F31E6" w:rsidP="00F749F7">
            <w:pPr>
              <w:pStyle w:val="Tabletext"/>
              <w:rPr>
                <w:lang w:val="en-AU"/>
              </w:rPr>
            </w:pPr>
            <w:r w:rsidRPr="00F87054">
              <w:rPr>
                <w:rFonts w:ascii="Cambria Math" w:hAnsi="Cambria Math"/>
                <w:color w:val="00B050"/>
                <w:lang w:val="en-AU"/>
              </w:rPr>
              <w:t>⨁</w:t>
            </w:r>
            <w:r w:rsidRPr="00F87054">
              <w:rPr>
                <w:rFonts w:ascii="Cambria Math" w:hAnsi="Cambria Math" w:cs="Cambria Math"/>
                <w:color w:val="C00000"/>
                <w:lang w:val="en-AU"/>
              </w:rPr>
              <w:t>⨀⨀⨀</w:t>
            </w:r>
          </w:p>
        </w:tc>
        <w:tc>
          <w:tcPr>
            <w:tcW w:w="850" w:type="dxa"/>
          </w:tcPr>
          <w:p w14:paraId="10DC7191" w14:textId="77777777" w:rsidR="002F31E6" w:rsidRPr="00F87054" w:rsidRDefault="002F31E6" w:rsidP="00F749F7">
            <w:pPr>
              <w:pStyle w:val="Tabletext"/>
              <w:rPr>
                <w:lang w:val="en-AU"/>
              </w:rPr>
            </w:pPr>
            <w:r w:rsidRPr="00F87054">
              <w:rPr>
                <w:lang w:val="en-AU"/>
              </w:rPr>
              <w:t>Serious</w:t>
            </w:r>
          </w:p>
        </w:tc>
        <w:tc>
          <w:tcPr>
            <w:tcW w:w="3781" w:type="dxa"/>
          </w:tcPr>
          <w:p w14:paraId="73FD9200" w14:textId="77777777" w:rsidR="002F31E6" w:rsidRPr="00F87054" w:rsidRDefault="002F31E6" w:rsidP="00F749F7">
            <w:pPr>
              <w:pStyle w:val="Tabletext"/>
              <w:rPr>
                <w:bCs/>
                <w:lang w:val="en-AU"/>
              </w:rPr>
            </w:pPr>
            <w:r w:rsidRPr="00F87054">
              <w:rPr>
                <w:bCs/>
                <w:color w:val="000000"/>
                <w:lang w:val="en-AU"/>
              </w:rPr>
              <w:t xml:space="preserve">Surgical success: 24%–93% </w:t>
            </w:r>
            <w:r w:rsidRPr="00F87054">
              <w:rPr>
                <w:bCs/>
                <w:color w:val="000000"/>
                <w:lang w:val="en-AU"/>
              </w:rPr>
              <w:br/>
              <w:t>Surgical failure: &lt;1%–38%</w:t>
            </w:r>
          </w:p>
        </w:tc>
      </w:tr>
      <w:tr w:rsidR="002F31E6" w:rsidRPr="00F87054" w14:paraId="731FC054" w14:textId="77777777" w:rsidTr="00F749F7">
        <w:trPr>
          <w:trHeight w:val="533"/>
        </w:trPr>
        <w:tc>
          <w:tcPr>
            <w:tcW w:w="1668" w:type="dxa"/>
          </w:tcPr>
          <w:p w14:paraId="12C3323A" w14:textId="77777777" w:rsidR="002F31E6" w:rsidRPr="00F87054" w:rsidRDefault="002F31E6" w:rsidP="00F749F7">
            <w:pPr>
              <w:pStyle w:val="Tabletext"/>
              <w:rPr>
                <w:lang w:val="en-AU"/>
              </w:rPr>
            </w:pPr>
            <w:r w:rsidRPr="00F87054">
              <w:rPr>
                <w:lang w:val="en-AU"/>
              </w:rPr>
              <w:t>Safety (%)</w:t>
            </w:r>
          </w:p>
        </w:tc>
        <w:tc>
          <w:tcPr>
            <w:tcW w:w="1701" w:type="dxa"/>
          </w:tcPr>
          <w:p w14:paraId="656A8913" w14:textId="77777777" w:rsidR="002F31E6" w:rsidRPr="00F87054" w:rsidRDefault="002F31E6" w:rsidP="00F749F7">
            <w:pPr>
              <w:pStyle w:val="Tabletext"/>
              <w:rPr>
                <w:lang w:val="en-AU"/>
              </w:rPr>
            </w:pPr>
            <w:r w:rsidRPr="00F87054">
              <w:rPr>
                <w:lang w:val="en-AU"/>
              </w:rPr>
              <w:t>407 participants, 545 eyes (k = 7)</w:t>
            </w:r>
          </w:p>
        </w:tc>
        <w:tc>
          <w:tcPr>
            <w:tcW w:w="1134" w:type="dxa"/>
          </w:tcPr>
          <w:p w14:paraId="43198BF9" w14:textId="77777777" w:rsidR="002F31E6" w:rsidRPr="00F87054" w:rsidRDefault="002F31E6" w:rsidP="00F749F7">
            <w:pPr>
              <w:pStyle w:val="Tabletext"/>
              <w:rPr>
                <w:lang w:val="en-AU"/>
              </w:rPr>
            </w:pPr>
            <w:r w:rsidRPr="00F87054">
              <w:rPr>
                <w:rFonts w:ascii="Cambria Math" w:hAnsi="Cambria Math"/>
                <w:color w:val="00B050"/>
                <w:lang w:val="en-AU"/>
              </w:rPr>
              <w:t>⨁</w:t>
            </w:r>
            <w:r w:rsidRPr="00F87054">
              <w:rPr>
                <w:rFonts w:ascii="Cambria Math" w:hAnsi="Cambria Math" w:cs="Cambria Math"/>
                <w:color w:val="C00000"/>
                <w:lang w:val="en-AU"/>
              </w:rPr>
              <w:t>⨀⨀⨀</w:t>
            </w:r>
          </w:p>
        </w:tc>
        <w:tc>
          <w:tcPr>
            <w:tcW w:w="850" w:type="dxa"/>
          </w:tcPr>
          <w:p w14:paraId="461BA2C7" w14:textId="77777777" w:rsidR="002F31E6" w:rsidRPr="00F87054" w:rsidRDefault="002F31E6" w:rsidP="00F749F7">
            <w:pPr>
              <w:pStyle w:val="Tabletext"/>
              <w:rPr>
                <w:lang w:val="en-AU"/>
              </w:rPr>
            </w:pPr>
            <w:r w:rsidRPr="00F87054">
              <w:rPr>
                <w:lang w:val="en-AU"/>
              </w:rPr>
              <w:t>Serious</w:t>
            </w:r>
          </w:p>
        </w:tc>
        <w:tc>
          <w:tcPr>
            <w:tcW w:w="3781" w:type="dxa"/>
          </w:tcPr>
          <w:p w14:paraId="2D408589" w14:textId="77777777" w:rsidR="002F31E6" w:rsidRPr="00F87054" w:rsidRDefault="002F31E6" w:rsidP="00F749F7">
            <w:pPr>
              <w:pStyle w:val="Tabletext"/>
              <w:rPr>
                <w:bCs/>
                <w:lang w:val="en-AU"/>
              </w:rPr>
            </w:pPr>
            <w:r w:rsidRPr="00F87054">
              <w:rPr>
                <w:bCs/>
                <w:lang w:val="en-AU"/>
              </w:rPr>
              <w:t>Intraoperative bleeding: 1.7–100% (k = 3)</w:t>
            </w:r>
          </w:p>
          <w:p w14:paraId="1F4F990F" w14:textId="77777777" w:rsidR="002F31E6" w:rsidRPr="00F87054" w:rsidRDefault="002F31E6" w:rsidP="00F749F7">
            <w:pPr>
              <w:pStyle w:val="Tabletext"/>
              <w:rPr>
                <w:bCs/>
                <w:lang w:val="en-AU"/>
              </w:rPr>
            </w:pPr>
            <w:proofErr w:type="spellStart"/>
            <w:r w:rsidRPr="00F87054">
              <w:rPr>
                <w:bCs/>
                <w:lang w:val="en-AU"/>
              </w:rPr>
              <w:t>Hyphema</w:t>
            </w:r>
            <w:proofErr w:type="spellEnd"/>
            <w:r w:rsidRPr="00F87054">
              <w:rPr>
                <w:bCs/>
                <w:lang w:val="en-AU"/>
              </w:rPr>
              <w:t>: 0–12.3% (k = 4)</w:t>
            </w:r>
          </w:p>
          <w:p w14:paraId="4BAFA872" w14:textId="77777777" w:rsidR="002F31E6" w:rsidRPr="00F87054" w:rsidRDefault="002F31E6" w:rsidP="00F749F7">
            <w:pPr>
              <w:pStyle w:val="Tabletext"/>
              <w:rPr>
                <w:bCs/>
                <w:lang w:val="en-AU"/>
              </w:rPr>
            </w:pPr>
            <w:r w:rsidRPr="00F87054">
              <w:rPr>
                <w:bCs/>
                <w:lang w:val="en-AU"/>
              </w:rPr>
              <w:t>Postoperative IOP spikes: 0.9–22.2% (k = 3)</w:t>
            </w:r>
          </w:p>
          <w:p w14:paraId="2CDDE8A5" w14:textId="77777777" w:rsidR="002F31E6" w:rsidRPr="00F87054" w:rsidRDefault="002F31E6" w:rsidP="00F749F7">
            <w:pPr>
              <w:pStyle w:val="Tabletext"/>
              <w:rPr>
                <w:bCs/>
                <w:lang w:val="en-AU"/>
              </w:rPr>
            </w:pPr>
            <w:r w:rsidRPr="00F87054">
              <w:rPr>
                <w:bCs/>
                <w:lang w:val="en-AU"/>
              </w:rPr>
              <w:t xml:space="preserve">Total number of reported intraoperative </w:t>
            </w:r>
            <w:proofErr w:type="spellStart"/>
            <w:r w:rsidRPr="00F87054">
              <w:rPr>
                <w:bCs/>
                <w:lang w:val="en-AU"/>
              </w:rPr>
              <w:t>Aes</w:t>
            </w:r>
            <w:proofErr w:type="spellEnd"/>
            <w:r w:rsidRPr="00F87054">
              <w:rPr>
                <w:bCs/>
                <w:lang w:val="en-AU"/>
              </w:rPr>
              <w:t>: 6 (k = 7)</w:t>
            </w:r>
          </w:p>
          <w:p w14:paraId="5832C381" w14:textId="77777777" w:rsidR="002F31E6" w:rsidRPr="00F87054" w:rsidRDefault="002F31E6" w:rsidP="00F749F7">
            <w:pPr>
              <w:pStyle w:val="Tabletext"/>
              <w:rPr>
                <w:bCs/>
                <w:lang w:val="en-AU"/>
              </w:rPr>
            </w:pPr>
            <w:r w:rsidRPr="00F87054">
              <w:rPr>
                <w:bCs/>
                <w:lang w:val="en-AU"/>
              </w:rPr>
              <w:t xml:space="preserve">Total number of reported postoperative </w:t>
            </w:r>
            <w:proofErr w:type="spellStart"/>
            <w:r w:rsidRPr="00F87054">
              <w:rPr>
                <w:bCs/>
                <w:lang w:val="en-AU"/>
              </w:rPr>
              <w:t>Aes</w:t>
            </w:r>
            <w:proofErr w:type="spellEnd"/>
            <w:r w:rsidRPr="00F87054">
              <w:rPr>
                <w:bCs/>
                <w:lang w:val="en-AU"/>
              </w:rPr>
              <w:t>: 8 (k = 7)</w:t>
            </w:r>
          </w:p>
          <w:p w14:paraId="2E83033B" w14:textId="77777777" w:rsidR="002F31E6" w:rsidRPr="00F87054" w:rsidRDefault="002F31E6" w:rsidP="00F749F7">
            <w:pPr>
              <w:pStyle w:val="Tabletext"/>
              <w:rPr>
                <w:bCs/>
                <w:lang w:val="en-AU"/>
              </w:rPr>
            </w:pPr>
            <w:r w:rsidRPr="00F87054">
              <w:rPr>
                <w:bCs/>
                <w:color w:val="000000" w:themeColor="text1"/>
                <w:lang w:val="en-AU"/>
              </w:rPr>
              <w:t>Reported number of intraoperative or postoperative events: (k = 1)</w:t>
            </w:r>
          </w:p>
        </w:tc>
      </w:tr>
    </w:tbl>
    <w:p w14:paraId="5431D856" w14:textId="77777777" w:rsidR="002F31E6" w:rsidRPr="002F31E6" w:rsidRDefault="002F31E6" w:rsidP="00066143">
      <w:pPr>
        <w:pStyle w:val="Tablenotes"/>
      </w:pPr>
      <w:r w:rsidRPr="002F31E6">
        <w:t xml:space="preserve">Source: Table 8, </w:t>
      </w:r>
      <w:proofErr w:type="spellStart"/>
      <w:r w:rsidRPr="002F31E6">
        <w:t>pg</w:t>
      </w:r>
      <w:proofErr w:type="spellEnd"/>
      <w:r w:rsidRPr="002F31E6">
        <w:t xml:space="preserve"> 28 of the DCAR</w:t>
      </w:r>
    </w:p>
    <w:p w14:paraId="242244D0" w14:textId="5E85F5C1" w:rsidR="002F31E6" w:rsidRPr="002F31E6" w:rsidRDefault="002F31E6" w:rsidP="00066143">
      <w:pPr>
        <w:pStyle w:val="Tablenotes"/>
      </w:pPr>
      <w:r w:rsidRPr="002F31E6">
        <w:t xml:space="preserve">Abbreviations: </w:t>
      </w:r>
      <w:proofErr w:type="spellStart"/>
      <w:r w:rsidRPr="002F31E6">
        <w:t>Aes</w:t>
      </w:r>
      <w:proofErr w:type="spellEnd"/>
      <w:r w:rsidRPr="002F31E6">
        <w:t xml:space="preserve"> = adverse events, IOP = intraocular pressure, GRADE Working Group grades of evidence </w:t>
      </w:r>
      <w:r w:rsidRPr="002F31E6">
        <w:fldChar w:fldCharType="begin">
          <w:fldData xml:space="preserve">PEVuZE5vdGU+PENpdGU+PEF1dGhvcj5HdXlhdHQ8L0F1dGhvcj48WWVhcj4yMDEzPC9ZZWFyPjxS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</w:fldData>
        </w:fldChar>
      </w:r>
      <w:r w:rsidRPr="002F31E6">
        <w:instrText xml:space="preserve"> ADDIN EN.CITE </w:instrText>
      </w:r>
      <w:r w:rsidRPr="002F31E6">
        <w:fldChar w:fldCharType="begin">
          <w:fldData xml:space="preserve">PEVuZE5vdGU+PENpdGU+PEF1dGhvcj5HdXlhdHQ8L0F1dGhvcj48WWVhcj4yMDEzPC9ZZWFyPjxS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</w:fldData>
        </w:fldChar>
      </w:r>
      <w:r w:rsidRPr="002F31E6">
        <w:instrText xml:space="preserve"> ADDIN EN.CITE.DATA </w:instrText>
      </w:r>
      <w:r w:rsidRPr="002F31E6">
        <w:fldChar w:fldCharType="end"/>
      </w:r>
      <w:r w:rsidRPr="002F31E6">
        <w:fldChar w:fldCharType="separate"/>
      </w:r>
      <w:r w:rsidRPr="002F31E6">
        <w:t>(</w:t>
      </w:r>
      <w:hyperlink w:anchor="_ENREF_66" w:tooltip="Guyatt, 2013 #257" w:history="1">
        <w:r w:rsidRPr="002F31E6">
          <w:t>Guyatt et al., 2013</w:t>
        </w:r>
      </w:hyperlink>
      <w:r w:rsidRPr="002F31E6">
        <w:t>)</w:t>
      </w:r>
      <w:r w:rsidRPr="002F31E6">
        <w:fldChar w:fldCharType="end"/>
      </w:r>
    </w:p>
    <w:p w14:paraId="51B6A16C" w14:textId="77777777" w:rsidR="002F31E6" w:rsidRPr="00F87054" w:rsidRDefault="002F31E6" w:rsidP="00066143">
      <w:pPr>
        <w:pStyle w:val="Tablenotes"/>
      </w:pPr>
      <w:r w:rsidRPr="002F31E6">
        <w:rPr>
          <w:bCs/>
        </w:rPr>
        <w:t>Note: * =</w:t>
      </w:r>
      <w:r w:rsidRPr="00F87054">
        <w:t xml:space="preserve"> Studies implemented different definitions of surgical success and failure, contributing to highly variable data. This GRADE table represents the intervention arm only. Studies of standalone, combination and mixed populations have been pooled together for this analysis. A more detailed GRADE table is available in </w:t>
      </w:r>
      <w:r w:rsidRPr="00F87054">
        <w:fldChar w:fldCharType="begin"/>
      </w:r>
      <w:r w:rsidRPr="00F87054">
        <w:instrText xml:space="preserve"> REF _Ref76987359 \h  \* MERGEFORMAT </w:instrText>
      </w:r>
      <w:r w:rsidRPr="00F87054">
        <w:fldChar w:fldCharType="separate"/>
      </w:r>
      <w:r w:rsidRPr="00F87054">
        <w:t xml:space="preserve">Table </w:t>
      </w:r>
      <w:r>
        <w:t>81</w:t>
      </w:r>
      <w:r w:rsidRPr="00F87054">
        <w:fldChar w:fldCharType="end"/>
      </w:r>
      <w:r w:rsidRPr="00F87054">
        <w:t>.</w:t>
      </w:r>
    </w:p>
    <w:p w14:paraId="665B9F79" w14:textId="77777777" w:rsidR="002F31E6" w:rsidRPr="00F87054" w:rsidRDefault="002F31E6" w:rsidP="00066143">
      <w:pPr>
        <w:pStyle w:val="Tablenotes"/>
      </w:pPr>
      <w:r w:rsidRPr="00F87054">
        <w:rPr>
          <w:rFonts w:ascii="Cambria Math" w:hAnsi="Cambria Math"/>
          <w:color w:val="00B050"/>
        </w:rPr>
        <w:t xml:space="preserve">⨁⨁⨁⨁ </w:t>
      </w:r>
      <w:r w:rsidRPr="00F87054">
        <w:rPr>
          <w:b/>
          <w:bCs/>
        </w:rPr>
        <w:t>High quality:</w:t>
      </w:r>
      <w:r w:rsidRPr="00F87054">
        <w:t xml:space="preserve"> We are very confident that the true effect lies close to that of the estimate of effect. </w:t>
      </w:r>
    </w:p>
    <w:p w14:paraId="6401CCBB" w14:textId="77777777" w:rsidR="002F31E6" w:rsidRPr="00F87054" w:rsidRDefault="002F31E6" w:rsidP="00066143">
      <w:pPr>
        <w:pStyle w:val="Tablenotes"/>
      </w:pPr>
      <w:r w:rsidRPr="00F87054">
        <w:rPr>
          <w:rFonts w:ascii="Cambria Math" w:hAnsi="Cambria Math"/>
          <w:color w:val="00B050"/>
        </w:rPr>
        <w:t>⨁⨁⨁</w:t>
      </w:r>
      <w:r w:rsidRPr="00F87054">
        <w:rPr>
          <w:rFonts w:ascii="Cambria Math" w:hAnsi="Cambria Math" w:cs="Cambria Math"/>
          <w:color w:val="C00000"/>
        </w:rPr>
        <w:t xml:space="preserve">⨀ </w:t>
      </w:r>
      <w:r w:rsidRPr="00F87054">
        <w:rPr>
          <w:b/>
          <w:bCs/>
        </w:rPr>
        <w:t>Moderate quality:</w:t>
      </w:r>
      <w:r w:rsidRPr="00F87054">
        <w:t xml:space="preserve"> We are moderately confident in the effect estimate: The true effect is likely to be close to the estimate of the effect, but there is a possibility that it is substantially different. </w:t>
      </w:r>
    </w:p>
    <w:p w14:paraId="341811BA" w14:textId="77777777" w:rsidR="002F31E6" w:rsidRPr="00F87054" w:rsidRDefault="002F31E6" w:rsidP="00066143">
      <w:pPr>
        <w:pStyle w:val="Tablenotes"/>
      </w:pPr>
      <w:r w:rsidRPr="00F87054">
        <w:rPr>
          <w:rFonts w:ascii="Cambria Math" w:hAnsi="Cambria Math"/>
          <w:color w:val="00B050"/>
        </w:rPr>
        <w:t>⨁⨁</w:t>
      </w:r>
      <w:r w:rsidRPr="00F87054">
        <w:rPr>
          <w:rFonts w:ascii="Cambria Math" w:hAnsi="Cambria Math" w:cs="Cambria Math"/>
          <w:color w:val="C00000"/>
        </w:rPr>
        <w:t xml:space="preserve">⨀⨀ </w:t>
      </w:r>
      <w:r w:rsidRPr="00F87054">
        <w:rPr>
          <w:b/>
          <w:bCs/>
        </w:rPr>
        <w:t>Low quality:</w:t>
      </w:r>
      <w:r w:rsidRPr="00F87054">
        <w:t xml:space="preserve"> Our confidence in the effect estimate is limited: The true effect may be substantially different from the estimate of the effect.</w:t>
      </w:r>
    </w:p>
    <w:p w14:paraId="1A6CE6B6" w14:textId="77777777" w:rsidR="002F31E6" w:rsidRPr="00F87054" w:rsidRDefault="002F31E6" w:rsidP="00066143">
      <w:pPr>
        <w:pStyle w:val="Tablenotes"/>
      </w:pPr>
      <w:r w:rsidRPr="00F87054">
        <w:rPr>
          <w:rFonts w:ascii="Cambria Math" w:hAnsi="Cambria Math"/>
          <w:color w:val="00B050"/>
        </w:rPr>
        <w:t>⨁</w:t>
      </w:r>
      <w:r w:rsidRPr="00F87054">
        <w:rPr>
          <w:rFonts w:ascii="Cambria Math" w:hAnsi="Cambria Math" w:cs="Cambria Math"/>
          <w:color w:val="C00000"/>
        </w:rPr>
        <w:t xml:space="preserve">⨀⨀⨀ </w:t>
      </w:r>
      <w:r w:rsidRPr="00F87054">
        <w:rPr>
          <w:b/>
          <w:bCs/>
        </w:rPr>
        <w:t>Very low quality:</w:t>
      </w:r>
      <w:r w:rsidRPr="00F87054">
        <w:t xml:space="preserve"> We have very little confidence in the effect estimate: The true effect is likely to be substantially different from the estimate of effect.</w:t>
      </w:r>
    </w:p>
    <w:p w14:paraId="614F8BCB" w14:textId="77777777" w:rsidR="008A1674" w:rsidRDefault="008A1674" w:rsidP="00624B02">
      <w:pPr>
        <w:pStyle w:val="Heading2"/>
        <w:spacing w:before="240"/>
      </w:pPr>
      <w:r>
        <w:t>Clinical claim</w:t>
      </w:r>
    </w:p>
    <w:p w14:paraId="7A706AD0" w14:textId="256A2098" w:rsidR="00B411FE" w:rsidRPr="00B02E35" w:rsidRDefault="00B21DED" w:rsidP="00B411FE">
      <w:r w:rsidRPr="00B21DED">
        <w:t xml:space="preserve">On the basis of the benefits and harms reported in the evidence base (summarised above), it is suggested </w:t>
      </w:r>
      <w:proofErr w:type="gramStart"/>
      <w:r w:rsidRPr="00B21DED">
        <w:t>that,</w:t>
      </w:r>
      <w:proofErr w:type="gramEnd"/>
      <w:r w:rsidRPr="00B21DED">
        <w:t xml:space="preserve"> relative to micro-bypass stents, ABiC using a microcatheter has uncertain safety and uncertain effectiveness due to the paucity and very low-quality of evidence.</w:t>
      </w:r>
    </w:p>
    <w:p w14:paraId="1A2CC11E" w14:textId="0C4E783B" w:rsidR="000632EF" w:rsidRPr="00FB229D" w:rsidRDefault="00FB229D" w:rsidP="00FB229D">
      <w:pPr>
        <w:pStyle w:val="Heading1"/>
        <w:spacing w:before="240" w:after="240"/>
        <w:ind w:left="720" w:hanging="720"/>
        <w:rPr>
          <w:rFonts w:ascii="Arial" w:hAnsi="Arial" w:cs="Arial"/>
        </w:rPr>
      </w:pPr>
      <w:r>
        <w:rPr>
          <w:rFonts w:ascii="Arial" w:hAnsi="Arial" w:cs="Arial"/>
        </w:rPr>
        <w:t>12.</w:t>
      </w:r>
      <w:r>
        <w:rPr>
          <w:rFonts w:ascii="Arial" w:hAnsi="Arial" w:cs="Arial"/>
        </w:rPr>
        <w:tab/>
      </w:r>
      <w:r w:rsidR="00065623" w:rsidRPr="00FB229D">
        <w:rPr>
          <w:rFonts w:ascii="Arial" w:hAnsi="Arial" w:cs="Arial"/>
        </w:rPr>
        <w:t>Economic evaluation</w:t>
      </w:r>
    </w:p>
    <w:p w14:paraId="24EDC4F4" w14:textId="76C514D4" w:rsidR="00920D98" w:rsidRPr="0091135D" w:rsidRDefault="00B21DED" w:rsidP="0091135D">
      <w:pPr>
        <w:rPr>
          <w:rFonts w:eastAsia="SimSun"/>
        </w:rPr>
      </w:pPr>
      <w:bookmarkStart w:id="28" w:name="_Ref379404328"/>
      <w:r w:rsidRPr="00F87054">
        <w:rPr>
          <w:rFonts w:eastAsia="SimSun"/>
        </w:rPr>
        <w:t xml:space="preserve">A CMA was performed for the comparison of </w:t>
      </w:r>
      <w:r>
        <w:rPr>
          <w:rFonts w:eastAsia="SimSun"/>
        </w:rPr>
        <w:t>ABiC</w:t>
      </w:r>
      <w:r w:rsidRPr="00F87054">
        <w:rPr>
          <w:rFonts w:eastAsia="SimSun"/>
        </w:rPr>
        <w:t xml:space="preserve"> using </w:t>
      </w:r>
      <w:r>
        <w:rPr>
          <w:rFonts w:eastAsia="SimSun"/>
        </w:rPr>
        <w:t xml:space="preserve">a </w:t>
      </w:r>
      <w:r w:rsidRPr="00F87054">
        <w:rPr>
          <w:rFonts w:eastAsia="SimSun"/>
        </w:rPr>
        <w:t xml:space="preserve">microcatheter and insertion of </w:t>
      </w:r>
      <w:r>
        <w:rPr>
          <w:rFonts w:eastAsia="SimSun"/>
        </w:rPr>
        <w:t xml:space="preserve">a </w:t>
      </w:r>
      <w:r w:rsidRPr="00F87054">
        <w:rPr>
          <w:rFonts w:eastAsia="SimSun"/>
        </w:rPr>
        <w:t>micro-bypass stent into the trabecular meshwork</w:t>
      </w:r>
      <w:r w:rsidRPr="00F87054" w:rsidDel="00984DB5">
        <w:rPr>
          <w:rFonts w:eastAsia="SimSun"/>
        </w:rPr>
        <w:t xml:space="preserve"> </w:t>
      </w:r>
      <w:r w:rsidRPr="00F87054">
        <w:rPr>
          <w:rFonts w:eastAsia="SimSun"/>
        </w:rPr>
        <w:t xml:space="preserve">as either a standalone procedure or in conjunction with cataract surgery. The main assumption in using CMA is the non-inferiority or equivalence in clinical effectiveness and safety of </w:t>
      </w:r>
      <w:r>
        <w:rPr>
          <w:rFonts w:eastAsia="SimSun"/>
        </w:rPr>
        <w:t>ABiC</w:t>
      </w:r>
      <w:r w:rsidRPr="00F87054">
        <w:rPr>
          <w:rFonts w:eastAsia="SimSun"/>
        </w:rPr>
        <w:t xml:space="preserve"> using a microcatheter compared to the insertion of a micro-bypass stent into the trabecular meshwork. Key information regarding the model and parameter inputs are outlined in </w:t>
      </w:r>
      <w:r w:rsidRPr="00F87054">
        <w:rPr>
          <w:rFonts w:eastAsia="SimSun"/>
        </w:rPr>
        <w:fldChar w:fldCharType="begin"/>
      </w:r>
      <w:r w:rsidRPr="00F87054">
        <w:rPr>
          <w:rFonts w:eastAsia="SimSun"/>
        </w:rPr>
        <w:instrText xml:space="preserve"> REF _Ref77150697 \h </w:instrText>
      </w:r>
      <w:r w:rsidRPr="00F87054">
        <w:rPr>
          <w:rFonts w:eastAsia="SimSun"/>
        </w:rPr>
      </w:r>
      <w:r w:rsidRPr="00F87054">
        <w:rPr>
          <w:rFonts w:eastAsia="SimSun"/>
        </w:rPr>
        <w:fldChar w:fldCharType="separate"/>
      </w:r>
      <w:r w:rsidR="001116CE" w:rsidRPr="00F87054">
        <w:t xml:space="preserve">Table </w:t>
      </w:r>
      <w:r w:rsidR="001116CE">
        <w:rPr>
          <w:noProof/>
        </w:rPr>
        <w:t>11</w:t>
      </w:r>
      <w:r w:rsidRPr="00F87054">
        <w:rPr>
          <w:rFonts w:eastAsia="SimSun"/>
        </w:rPr>
        <w:fldChar w:fldCharType="end"/>
      </w:r>
      <w:r w:rsidRPr="00F87054">
        <w:rPr>
          <w:rFonts w:eastAsia="SimSun"/>
        </w:rPr>
        <w:t>.</w:t>
      </w:r>
      <w:bookmarkStart w:id="29" w:name="_Ref77150697"/>
      <w:bookmarkStart w:id="30" w:name="_Ref77150675"/>
      <w:bookmarkStart w:id="31" w:name="_Toc81257838"/>
      <w:r w:rsidR="00920D98">
        <w:br w:type="page"/>
      </w:r>
    </w:p>
    <w:p w14:paraId="005802E1" w14:textId="2C85D29E" w:rsidR="00B21DED" w:rsidRPr="00F87054" w:rsidRDefault="00B21DED" w:rsidP="00624B02">
      <w:pPr>
        <w:pStyle w:val="Caption"/>
        <w:spacing w:before="240"/>
      </w:pPr>
      <w:r w:rsidRPr="00F87054">
        <w:lastRenderedPageBreak/>
        <w:t xml:space="preserve">Table </w:t>
      </w:r>
      <w:fldSimple w:instr=" SEQ Table \* ARABIC ">
        <w:r w:rsidR="00A45C31">
          <w:rPr>
            <w:noProof/>
          </w:rPr>
          <w:t>11</w:t>
        </w:r>
      </w:fldSimple>
      <w:bookmarkEnd w:id="28"/>
      <w:bookmarkEnd w:id="29"/>
      <w:r w:rsidRPr="00F87054">
        <w:tab/>
        <w:t>Summary of the economic evaluation</w:t>
      </w:r>
      <w:bookmarkEnd w:id="30"/>
      <w:bookmarkEnd w:id="31"/>
      <w:r w:rsidRPr="00F87054">
        <w:t xml:space="preserve"> </w:t>
      </w:r>
    </w:p>
    <w:tbl>
      <w:tblPr>
        <w:tblStyle w:val="TableGrid1"/>
        <w:tblW w:w="0" w:type="auto"/>
        <w:tblLook w:val="01E0" w:firstRow="1" w:lastRow="1" w:firstColumn="1" w:lastColumn="1" w:noHBand="0" w:noVBand="0"/>
        <w:tblCaption w:val="Table 11 Summary of the economic evaluation"/>
        <w:tblDescription w:val="This table describes the key constructs of the economic evaluation that is provided in the assessment report."/>
      </w:tblPr>
      <w:tblGrid>
        <w:gridCol w:w="3103"/>
        <w:gridCol w:w="5913"/>
      </w:tblGrid>
      <w:tr w:rsidR="00B21DED" w:rsidRPr="00F87054" w14:paraId="1257B8F1" w14:textId="77777777" w:rsidTr="00B21DED">
        <w:trPr>
          <w:cnfStyle w:val="100000000000" w:firstRow="1" w:lastRow="0" w:firstColumn="0" w:lastColumn="0" w:oddVBand="0" w:evenVBand="0" w:oddHBand="0" w:evenHBand="0" w:firstRowFirstColumn="0" w:firstRowLastColumn="0" w:lastRowFirstColumn="0" w:lastRowLastColumn="0"/>
          <w:trHeight w:val="20"/>
        </w:trPr>
        <w:tc>
          <w:tcPr>
            <w:tcW w:w="3103" w:type="dxa"/>
          </w:tcPr>
          <w:p w14:paraId="4B731E05" w14:textId="77777777" w:rsidR="00B21DED" w:rsidRPr="00F87054" w:rsidRDefault="00B21DED" w:rsidP="002A1331">
            <w:pPr>
              <w:pStyle w:val="Tabletext"/>
              <w:rPr>
                <w:b/>
              </w:rPr>
            </w:pPr>
            <w:r w:rsidRPr="00F87054">
              <w:rPr>
                <w:b/>
              </w:rPr>
              <w:t>Perspective</w:t>
            </w:r>
          </w:p>
        </w:tc>
        <w:tc>
          <w:tcPr>
            <w:tcW w:w="5913" w:type="dxa"/>
          </w:tcPr>
          <w:p w14:paraId="1A538D12" w14:textId="77777777" w:rsidR="00B21DED" w:rsidRPr="00F87054" w:rsidRDefault="00B21DED" w:rsidP="002A1331">
            <w:pPr>
              <w:pStyle w:val="Tabletext"/>
            </w:pPr>
            <w:r w:rsidRPr="00F87054">
              <w:t>Australian health care systems</w:t>
            </w:r>
          </w:p>
        </w:tc>
      </w:tr>
      <w:tr w:rsidR="00B21DED" w:rsidRPr="00F87054" w14:paraId="5B8EDCD6" w14:textId="77777777" w:rsidTr="00B21DED">
        <w:trPr>
          <w:trHeight w:val="20"/>
        </w:trPr>
        <w:tc>
          <w:tcPr>
            <w:tcW w:w="3103" w:type="dxa"/>
          </w:tcPr>
          <w:p w14:paraId="4A5EC161" w14:textId="77777777" w:rsidR="00B21DED" w:rsidRPr="00F87054" w:rsidRDefault="00B21DED" w:rsidP="002A1331">
            <w:pPr>
              <w:pStyle w:val="Tabletext"/>
              <w:rPr>
                <w:b/>
              </w:rPr>
            </w:pPr>
            <w:r w:rsidRPr="00F87054">
              <w:rPr>
                <w:b/>
              </w:rPr>
              <w:t>Comparator</w:t>
            </w:r>
          </w:p>
        </w:tc>
        <w:tc>
          <w:tcPr>
            <w:tcW w:w="5913" w:type="dxa"/>
          </w:tcPr>
          <w:p w14:paraId="302D792F" w14:textId="77777777" w:rsidR="00B21DED" w:rsidRPr="00F87054" w:rsidRDefault="00B21DED" w:rsidP="002A1331">
            <w:pPr>
              <w:pStyle w:val="Tabletext"/>
            </w:pPr>
            <w:r w:rsidRPr="00F87054">
              <w:t>Insertion of a micro-bypass stent into the trabecular meshwork as a standalone procedure (MBS item 42504) or in conjunction with cataract surgery (MBS item 42705).</w:t>
            </w:r>
          </w:p>
        </w:tc>
      </w:tr>
      <w:tr w:rsidR="00B21DED" w:rsidRPr="00F87054" w14:paraId="4EB48514" w14:textId="77777777" w:rsidTr="00B21DED">
        <w:trPr>
          <w:trHeight w:val="20"/>
        </w:trPr>
        <w:tc>
          <w:tcPr>
            <w:tcW w:w="3103" w:type="dxa"/>
          </w:tcPr>
          <w:p w14:paraId="12BAD2A4" w14:textId="77777777" w:rsidR="00B21DED" w:rsidRPr="00F87054" w:rsidRDefault="00B21DED" w:rsidP="002A1331">
            <w:pPr>
              <w:pStyle w:val="Tabletext"/>
              <w:rPr>
                <w:b/>
              </w:rPr>
            </w:pPr>
            <w:r w:rsidRPr="00F87054">
              <w:rPr>
                <w:b/>
              </w:rPr>
              <w:t>Type of economic evaluation</w:t>
            </w:r>
          </w:p>
        </w:tc>
        <w:tc>
          <w:tcPr>
            <w:tcW w:w="5913" w:type="dxa"/>
          </w:tcPr>
          <w:p w14:paraId="242F8957" w14:textId="77777777" w:rsidR="00B21DED" w:rsidRPr="00F87054" w:rsidRDefault="00B21DED" w:rsidP="002A1331">
            <w:pPr>
              <w:pStyle w:val="Tabletext"/>
            </w:pPr>
            <w:r w:rsidRPr="00F87054">
              <w:t>Cost minimisation analysis (CMA)</w:t>
            </w:r>
          </w:p>
        </w:tc>
      </w:tr>
      <w:tr w:rsidR="00B21DED" w:rsidRPr="00F87054" w14:paraId="1C8FB633" w14:textId="77777777" w:rsidTr="00B21DED">
        <w:trPr>
          <w:trHeight w:val="20"/>
        </w:trPr>
        <w:tc>
          <w:tcPr>
            <w:tcW w:w="3103" w:type="dxa"/>
          </w:tcPr>
          <w:p w14:paraId="7E622C20" w14:textId="77777777" w:rsidR="00B21DED" w:rsidRPr="00F87054" w:rsidRDefault="00B21DED" w:rsidP="002A1331">
            <w:pPr>
              <w:pStyle w:val="Tabletext"/>
              <w:rPr>
                <w:b/>
              </w:rPr>
            </w:pPr>
            <w:r w:rsidRPr="00F87054">
              <w:rPr>
                <w:b/>
              </w:rPr>
              <w:t>Sources of evidence</w:t>
            </w:r>
          </w:p>
        </w:tc>
        <w:tc>
          <w:tcPr>
            <w:tcW w:w="5913" w:type="dxa"/>
          </w:tcPr>
          <w:p w14:paraId="1743BBFE" w14:textId="77777777" w:rsidR="00B21DED" w:rsidRPr="00F87054" w:rsidRDefault="00B21DED" w:rsidP="002A1331">
            <w:pPr>
              <w:pStyle w:val="Tabletext"/>
            </w:pPr>
            <w:r w:rsidRPr="00F87054">
              <w:t>Clinical evidence presented in Section B</w:t>
            </w:r>
          </w:p>
        </w:tc>
      </w:tr>
      <w:tr w:rsidR="00B21DED" w:rsidRPr="00F87054" w14:paraId="149822AE" w14:textId="77777777" w:rsidTr="00B21DED">
        <w:trPr>
          <w:trHeight w:val="20"/>
        </w:trPr>
        <w:tc>
          <w:tcPr>
            <w:tcW w:w="3103" w:type="dxa"/>
            <w:hideMark/>
          </w:tcPr>
          <w:p w14:paraId="504D7B79" w14:textId="77777777" w:rsidR="00B21DED" w:rsidRPr="00F87054" w:rsidRDefault="00B21DED" w:rsidP="002A1331">
            <w:pPr>
              <w:pStyle w:val="Tabletext"/>
              <w:rPr>
                <w:b/>
              </w:rPr>
            </w:pPr>
            <w:r w:rsidRPr="00F87054">
              <w:rPr>
                <w:b/>
              </w:rPr>
              <w:t>Time horizon</w:t>
            </w:r>
          </w:p>
        </w:tc>
        <w:tc>
          <w:tcPr>
            <w:tcW w:w="5913" w:type="dxa"/>
          </w:tcPr>
          <w:p w14:paraId="4786AC98" w14:textId="77777777" w:rsidR="00B21DED" w:rsidRPr="00F87054" w:rsidRDefault="00B21DED" w:rsidP="002A1331">
            <w:pPr>
              <w:pStyle w:val="Tabletext"/>
            </w:pPr>
            <w:r w:rsidRPr="00F87054">
              <w:t>Not applicable</w:t>
            </w:r>
          </w:p>
        </w:tc>
      </w:tr>
      <w:tr w:rsidR="00B21DED" w:rsidRPr="00F87054" w14:paraId="3292041A" w14:textId="77777777" w:rsidTr="00B21DED">
        <w:trPr>
          <w:trHeight w:val="20"/>
        </w:trPr>
        <w:tc>
          <w:tcPr>
            <w:tcW w:w="3103" w:type="dxa"/>
            <w:hideMark/>
          </w:tcPr>
          <w:p w14:paraId="2B77306C" w14:textId="77777777" w:rsidR="00B21DED" w:rsidRPr="00F87054" w:rsidRDefault="00B21DED" w:rsidP="002A1331">
            <w:pPr>
              <w:pStyle w:val="Tabletext"/>
              <w:rPr>
                <w:b/>
              </w:rPr>
            </w:pPr>
            <w:r w:rsidRPr="00F87054">
              <w:rPr>
                <w:b/>
              </w:rPr>
              <w:t>Outcomes</w:t>
            </w:r>
          </w:p>
        </w:tc>
        <w:tc>
          <w:tcPr>
            <w:tcW w:w="5913" w:type="dxa"/>
          </w:tcPr>
          <w:p w14:paraId="16897674" w14:textId="77777777" w:rsidR="00B21DED" w:rsidRPr="00F87054" w:rsidRDefault="00B21DED" w:rsidP="002A1331">
            <w:pPr>
              <w:pStyle w:val="Tabletext"/>
            </w:pPr>
            <w:r w:rsidRPr="00F87054">
              <w:t>Cost differences</w:t>
            </w:r>
          </w:p>
        </w:tc>
      </w:tr>
      <w:tr w:rsidR="00B21DED" w:rsidRPr="00F87054" w14:paraId="62295A4B" w14:textId="77777777" w:rsidTr="00B21DED">
        <w:trPr>
          <w:trHeight w:val="20"/>
        </w:trPr>
        <w:tc>
          <w:tcPr>
            <w:tcW w:w="3103" w:type="dxa"/>
            <w:hideMark/>
          </w:tcPr>
          <w:p w14:paraId="26B4299F" w14:textId="77777777" w:rsidR="00B21DED" w:rsidRPr="00F87054" w:rsidRDefault="00B21DED" w:rsidP="002A1331">
            <w:pPr>
              <w:pStyle w:val="Tabletext"/>
              <w:rPr>
                <w:b/>
              </w:rPr>
            </w:pPr>
            <w:r w:rsidRPr="00F87054">
              <w:rPr>
                <w:b/>
              </w:rPr>
              <w:t>Methods used to generate results</w:t>
            </w:r>
          </w:p>
        </w:tc>
        <w:tc>
          <w:tcPr>
            <w:tcW w:w="5913" w:type="dxa"/>
          </w:tcPr>
          <w:p w14:paraId="68AD79DF" w14:textId="77777777" w:rsidR="00B21DED" w:rsidRPr="00F87054" w:rsidRDefault="00B21DED" w:rsidP="002A1331">
            <w:pPr>
              <w:pStyle w:val="Tabletext"/>
            </w:pPr>
            <w:r w:rsidRPr="00F87054">
              <w:t>Cost analysis</w:t>
            </w:r>
          </w:p>
        </w:tc>
      </w:tr>
      <w:tr w:rsidR="00B21DED" w:rsidRPr="00F87054" w14:paraId="70EF54A7" w14:textId="77777777" w:rsidTr="00B21DED">
        <w:trPr>
          <w:trHeight w:val="20"/>
        </w:trPr>
        <w:tc>
          <w:tcPr>
            <w:tcW w:w="3103" w:type="dxa"/>
            <w:hideMark/>
          </w:tcPr>
          <w:p w14:paraId="6779D9DE" w14:textId="77777777" w:rsidR="00B21DED" w:rsidRPr="00F87054" w:rsidRDefault="00B21DED" w:rsidP="002A1331">
            <w:pPr>
              <w:pStyle w:val="Tabletext"/>
              <w:rPr>
                <w:b/>
              </w:rPr>
            </w:pPr>
            <w:r w:rsidRPr="00F87054">
              <w:rPr>
                <w:b/>
              </w:rPr>
              <w:t>Discount rate</w:t>
            </w:r>
          </w:p>
        </w:tc>
        <w:tc>
          <w:tcPr>
            <w:tcW w:w="5913" w:type="dxa"/>
          </w:tcPr>
          <w:p w14:paraId="48A805B2" w14:textId="77777777" w:rsidR="00B21DED" w:rsidRPr="00F87054" w:rsidRDefault="00B21DED" w:rsidP="002A1331">
            <w:pPr>
              <w:pStyle w:val="Tabletext"/>
            </w:pPr>
            <w:r w:rsidRPr="00F87054">
              <w:t>Not applied</w:t>
            </w:r>
          </w:p>
        </w:tc>
      </w:tr>
      <w:tr w:rsidR="00B21DED" w:rsidRPr="00F87054" w14:paraId="3535D16A" w14:textId="77777777" w:rsidTr="00B21DED">
        <w:trPr>
          <w:trHeight w:val="20"/>
        </w:trPr>
        <w:tc>
          <w:tcPr>
            <w:tcW w:w="3103" w:type="dxa"/>
            <w:hideMark/>
          </w:tcPr>
          <w:p w14:paraId="288F8674" w14:textId="77777777" w:rsidR="00B21DED" w:rsidRPr="00F87054" w:rsidRDefault="00B21DED" w:rsidP="002A1331">
            <w:pPr>
              <w:pStyle w:val="Tabletext"/>
              <w:rPr>
                <w:b/>
              </w:rPr>
            </w:pPr>
            <w:r w:rsidRPr="00F87054">
              <w:rPr>
                <w:b/>
              </w:rPr>
              <w:t>Software packages used</w:t>
            </w:r>
          </w:p>
        </w:tc>
        <w:tc>
          <w:tcPr>
            <w:tcW w:w="5913" w:type="dxa"/>
          </w:tcPr>
          <w:p w14:paraId="2525C651" w14:textId="77777777" w:rsidR="00B21DED" w:rsidRPr="00F87054" w:rsidRDefault="00B21DED" w:rsidP="002A1331">
            <w:pPr>
              <w:pStyle w:val="Tabletext"/>
            </w:pPr>
            <w:r w:rsidRPr="00F87054">
              <w:t>Excel</w:t>
            </w:r>
          </w:p>
        </w:tc>
      </w:tr>
    </w:tbl>
    <w:p w14:paraId="5F10BCD2" w14:textId="21EF62A7" w:rsidR="00B21DED" w:rsidRPr="00B21DED" w:rsidRDefault="00B21DED" w:rsidP="00066143">
      <w:pPr>
        <w:pStyle w:val="Tablenotes0"/>
      </w:pPr>
      <w:r w:rsidRPr="00B21DED">
        <w:t xml:space="preserve">Source: Table </w:t>
      </w:r>
      <w:r>
        <w:t>9</w:t>
      </w:r>
      <w:r w:rsidRPr="00B21DED">
        <w:t>, p</w:t>
      </w:r>
      <w:r>
        <w:t>29</w:t>
      </w:r>
      <w:r w:rsidRPr="00B21DED">
        <w:t xml:space="preserve"> of the DCAR</w:t>
      </w:r>
    </w:p>
    <w:p w14:paraId="6CAFADFD" w14:textId="0DF0FA43" w:rsidR="00B21DED" w:rsidRPr="00F87054" w:rsidRDefault="00B21DED" w:rsidP="00B21DED">
      <w:pPr>
        <w:rPr>
          <w:rFonts w:eastAsia="SimSun"/>
        </w:rPr>
      </w:pPr>
      <w:r w:rsidRPr="00F87054">
        <w:rPr>
          <w:rFonts w:eastAsia="SimSun"/>
        </w:rPr>
        <w:t>The key assumption</w:t>
      </w:r>
      <w:r w:rsidR="00825B52">
        <w:rPr>
          <w:rFonts w:eastAsia="SimSun"/>
        </w:rPr>
        <w:t>s</w:t>
      </w:r>
      <w:r w:rsidRPr="00F87054">
        <w:rPr>
          <w:rFonts w:eastAsia="SimSun"/>
        </w:rPr>
        <w:t xml:space="preserve"> made during the economic analysis </w:t>
      </w:r>
      <w:r w:rsidR="00825B52">
        <w:rPr>
          <w:rFonts w:eastAsia="SimSun"/>
        </w:rPr>
        <w:t>are</w:t>
      </w:r>
      <w:r w:rsidRPr="00F87054">
        <w:rPr>
          <w:rFonts w:eastAsia="SimSun"/>
        </w:rPr>
        <w:t xml:space="preserve">: </w:t>
      </w:r>
    </w:p>
    <w:p w14:paraId="2AB2C4FD" w14:textId="77777777" w:rsidR="00B21DED" w:rsidRPr="00B21DED" w:rsidRDefault="00B21DED" w:rsidP="00B21DED">
      <w:pPr>
        <w:pStyle w:val="ListParagraph"/>
        <w:numPr>
          <w:ilvl w:val="0"/>
          <w:numId w:val="19"/>
        </w:numPr>
        <w:rPr>
          <w:rFonts w:eastAsia="SimSun"/>
        </w:rPr>
      </w:pPr>
      <w:r w:rsidRPr="00B21DED">
        <w:rPr>
          <w:rFonts w:eastAsia="SimSun"/>
        </w:rPr>
        <w:t>Equivalent or non-inferior clinical effectiveness and safety of ABiC using microcatheter compared with the insertion of the micro-bypass stent into the trabecular meshwork. This relies on the following assumptions:</w:t>
      </w:r>
    </w:p>
    <w:p w14:paraId="273BDDFA" w14:textId="5D2A42DD" w:rsidR="00B21DED" w:rsidRPr="00B21DED" w:rsidRDefault="00B21DED" w:rsidP="00B21DED">
      <w:pPr>
        <w:pStyle w:val="ListParagraph"/>
        <w:numPr>
          <w:ilvl w:val="1"/>
          <w:numId w:val="19"/>
        </w:numPr>
        <w:rPr>
          <w:rFonts w:eastAsia="SimSun"/>
        </w:rPr>
      </w:pPr>
      <w:r w:rsidRPr="00B21DED">
        <w:rPr>
          <w:rFonts w:eastAsia="SimSun"/>
        </w:rPr>
        <w:t xml:space="preserve">The cost of the microcatheter is </w:t>
      </w:r>
      <w:proofErr w:type="gramStart"/>
      <w:r w:rsidRPr="00B21DED">
        <w:rPr>
          <w:rFonts w:eastAsia="SimSun"/>
        </w:rPr>
        <w:t>similar to</w:t>
      </w:r>
      <w:proofErr w:type="gramEnd"/>
      <w:r w:rsidRPr="00B21DED">
        <w:rPr>
          <w:rFonts w:eastAsia="SimSun"/>
        </w:rPr>
        <w:t xml:space="preserve"> the cost of the micro-bypass stent. Microcatheter cost was based on the average cost of micro-bypass stents (Hydrus, </w:t>
      </w:r>
      <w:proofErr w:type="spellStart"/>
      <w:r w:rsidRPr="00B21DED">
        <w:rPr>
          <w:rFonts w:eastAsia="SimSun"/>
        </w:rPr>
        <w:t>iStent</w:t>
      </w:r>
      <w:proofErr w:type="spellEnd"/>
      <w:r w:rsidRPr="00B21DED">
        <w:rPr>
          <w:rFonts w:eastAsia="SimSun"/>
        </w:rPr>
        <w:t>, XEN45) on the PL.</w:t>
      </w:r>
    </w:p>
    <w:p w14:paraId="3EBF7EE9" w14:textId="77777777" w:rsidR="00B21DED" w:rsidRPr="00B21DED" w:rsidRDefault="00B21DED" w:rsidP="00B21DED">
      <w:pPr>
        <w:pStyle w:val="ListParagraph"/>
        <w:numPr>
          <w:ilvl w:val="1"/>
          <w:numId w:val="19"/>
        </w:numPr>
        <w:rPr>
          <w:rFonts w:eastAsia="SimSun"/>
        </w:rPr>
      </w:pPr>
      <w:r w:rsidRPr="00B21DED">
        <w:rPr>
          <w:rFonts w:eastAsia="SimSun"/>
        </w:rPr>
        <w:t>The presurgical assessment procedure for glaucoma patients with or without cataract pathology is generally the same for the intervention and the comparator. The costs were not included in CMA.</w:t>
      </w:r>
    </w:p>
    <w:p w14:paraId="5374883C" w14:textId="77777777" w:rsidR="00B21DED" w:rsidRPr="00B21DED" w:rsidRDefault="00B21DED" w:rsidP="00B21DED">
      <w:pPr>
        <w:pStyle w:val="ListParagraph"/>
        <w:numPr>
          <w:ilvl w:val="1"/>
          <w:numId w:val="19"/>
        </w:numPr>
        <w:rPr>
          <w:rFonts w:eastAsia="SimSun"/>
        </w:rPr>
      </w:pPr>
      <w:r w:rsidRPr="00B21DED">
        <w:rPr>
          <w:rFonts w:eastAsia="SimSun"/>
        </w:rPr>
        <w:t xml:space="preserve">The frequency of adverse events, and surgical and postsurgical complications associated with ABiC using microcatheter or micro-bypass stent implantation are low in frequency and generally resolve within the </w:t>
      </w:r>
      <w:proofErr w:type="gramStart"/>
      <w:r w:rsidRPr="00B21DED">
        <w:rPr>
          <w:rFonts w:eastAsia="SimSun"/>
        </w:rPr>
        <w:t>time period</w:t>
      </w:r>
      <w:proofErr w:type="gramEnd"/>
      <w:r w:rsidRPr="00B21DED">
        <w:rPr>
          <w:rFonts w:eastAsia="SimSun"/>
        </w:rPr>
        <w:t xml:space="preserve"> of the index hospitalisation.</w:t>
      </w:r>
    </w:p>
    <w:p w14:paraId="38D66B84" w14:textId="615B5C70" w:rsidR="00B21DED" w:rsidRPr="001116CE" w:rsidRDefault="00B21DED" w:rsidP="00624B02">
      <w:pPr>
        <w:spacing w:before="240"/>
        <w:rPr>
          <w:rFonts w:eastAsia="SimSun"/>
        </w:rPr>
      </w:pPr>
      <w:r w:rsidRPr="00F87054">
        <w:rPr>
          <w:rFonts w:eastAsia="SimSun"/>
        </w:rPr>
        <w:t xml:space="preserve">The costs associated with surgery (device and procedural costs), postoperative specialist consultation and reoperation were included in the CMA comparing ABiC using microcatheter with the insertion of </w:t>
      </w:r>
      <w:r>
        <w:rPr>
          <w:rFonts w:eastAsia="SimSun"/>
        </w:rPr>
        <w:t xml:space="preserve">the </w:t>
      </w:r>
      <w:r w:rsidRPr="00F87054">
        <w:rPr>
          <w:rFonts w:eastAsia="SimSun"/>
        </w:rPr>
        <w:t xml:space="preserve">micro-bypass stent into the trabecular meshwork. The incremental cost between </w:t>
      </w:r>
      <w:r>
        <w:rPr>
          <w:rFonts w:eastAsia="SimSun"/>
        </w:rPr>
        <w:t>ABiC</w:t>
      </w:r>
      <w:r w:rsidRPr="00F87054">
        <w:rPr>
          <w:rFonts w:eastAsia="SimSun"/>
        </w:rPr>
        <w:t xml:space="preserve"> using </w:t>
      </w:r>
      <w:r>
        <w:rPr>
          <w:rFonts w:eastAsia="SimSun"/>
        </w:rPr>
        <w:t xml:space="preserve">a </w:t>
      </w:r>
      <w:r w:rsidRPr="00F87054">
        <w:rPr>
          <w:rFonts w:eastAsia="SimSun"/>
        </w:rPr>
        <w:t xml:space="preserve">microcatheter and insertion of </w:t>
      </w:r>
      <w:r>
        <w:rPr>
          <w:rFonts w:eastAsia="SimSun"/>
        </w:rPr>
        <w:t xml:space="preserve">the </w:t>
      </w:r>
      <w:r w:rsidRPr="00F87054">
        <w:rPr>
          <w:rFonts w:eastAsia="SimSun"/>
        </w:rPr>
        <w:t xml:space="preserve">micro-bypass stent into the trabecular </w:t>
      </w:r>
      <w:r w:rsidRPr="001116CE">
        <w:rPr>
          <w:rFonts w:eastAsia="SimSun"/>
        </w:rPr>
        <w:t>meshwork</w:t>
      </w:r>
      <w:r w:rsidRPr="001116CE" w:rsidDel="00984DB5">
        <w:rPr>
          <w:rFonts w:eastAsia="SimSun"/>
        </w:rPr>
        <w:t xml:space="preserve"> </w:t>
      </w:r>
      <w:r w:rsidRPr="001116CE">
        <w:rPr>
          <w:rFonts w:eastAsia="SimSun"/>
        </w:rPr>
        <w:t xml:space="preserve">is presented in </w:t>
      </w:r>
      <w:r w:rsidRPr="001116CE">
        <w:rPr>
          <w:rFonts w:eastAsia="SimSun"/>
        </w:rPr>
        <w:fldChar w:fldCharType="begin"/>
      </w:r>
      <w:r w:rsidRPr="001116CE">
        <w:rPr>
          <w:rFonts w:eastAsia="SimSun"/>
        </w:rPr>
        <w:instrText xml:space="preserve"> REF _Ref77105034 \h  \* MERGEFORMAT </w:instrText>
      </w:r>
      <w:r w:rsidRPr="001116CE">
        <w:rPr>
          <w:rFonts w:eastAsia="SimSun"/>
        </w:rPr>
      </w:r>
      <w:r w:rsidRPr="001116CE">
        <w:rPr>
          <w:rFonts w:eastAsia="SimSun"/>
        </w:rPr>
        <w:fldChar w:fldCharType="separate"/>
      </w:r>
      <w:r w:rsidR="001116CE" w:rsidRPr="001116CE">
        <w:rPr>
          <w:rFonts w:eastAsia="SimSun"/>
        </w:rPr>
        <w:t>Table 12</w:t>
      </w:r>
      <w:r w:rsidRPr="001116CE">
        <w:rPr>
          <w:rFonts w:eastAsia="SimSun"/>
        </w:rPr>
        <w:fldChar w:fldCharType="end"/>
      </w:r>
      <w:r w:rsidRPr="001116CE">
        <w:rPr>
          <w:rFonts w:eastAsia="SimSun"/>
        </w:rPr>
        <w:t xml:space="preserve"> and </w:t>
      </w:r>
      <w:r w:rsidRPr="001116CE">
        <w:rPr>
          <w:rFonts w:eastAsia="SimSun"/>
        </w:rPr>
        <w:fldChar w:fldCharType="begin"/>
      </w:r>
      <w:r w:rsidRPr="001116CE">
        <w:rPr>
          <w:rFonts w:eastAsia="SimSun"/>
        </w:rPr>
        <w:instrText xml:space="preserve"> REF _Ref77105036 \h  \* MERGEFORMAT </w:instrText>
      </w:r>
      <w:r w:rsidRPr="001116CE">
        <w:rPr>
          <w:rFonts w:eastAsia="SimSun"/>
        </w:rPr>
      </w:r>
      <w:r w:rsidRPr="001116CE">
        <w:rPr>
          <w:rFonts w:eastAsia="SimSun"/>
        </w:rPr>
        <w:fldChar w:fldCharType="separate"/>
      </w:r>
      <w:r w:rsidR="001116CE" w:rsidRPr="001116CE">
        <w:rPr>
          <w:rFonts w:eastAsia="SimSun"/>
        </w:rPr>
        <w:t>Table 13</w:t>
      </w:r>
      <w:r w:rsidRPr="001116CE">
        <w:rPr>
          <w:rFonts w:eastAsia="SimSun"/>
        </w:rPr>
        <w:fldChar w:fldCharType="end"/>
      </w:r>
      <w:r w:rsidRPr="001116CE">
        <w:rPr>
          <w:rFonts w:eastAsia="SimSun"/>
        </w:rPr>
        <w:t>.</w:t>
      </w:r>
    </w:p>
    <w:p w14:paraId="14E769F1" w14:textId="354F327B" w:rsidR="00B21DED" w:rsidRPr="00F87054" w:rsidRDefault="00B21DED" w:rsidP="00624B02">
      <w:pPr>
        <w:pStyle w:val="Caption"/>
        <w:spacing w:before="240"/>
        <w:rPr>
          <w:rFonts w:eastAsia="SimSun"/>
        </w:rPr>
      </w:pPr>
      <w:bookmarkStart w:id="32" w:name="_Ref77105034"/>
      <w:bookmarkStart w:id="33" w:name="_Toc81257839"/>
      <w:bookmarkStart w:id="34" w:name="_Hlk79764688"/>
      <w:bookmarkStart w:id="35" w:name="_Ref10022489"/>
      <w:bookmarkStart w:id="36" w:name="_Toc10656624"/>
      <w:r w:rsidRPr="001116CE">
        <w:rPr>
          <w:rFonts w:eastAsia="SimSun"/>
        </w:rPr>
        <w:t xml:space="preserve">Table </w:t>
      </w:r>
      <w:r w:rsidRPr="001116CE">
        <w:rPr>
          <w:rFonts w:eastAsia="SimSun"/>
        </w:rPr>
        <w:fldChar w:fldCharType="begin"/>
      </w:r>
      <w:r w:rsidRPr="001116CE">
        <w:rPr>
          <w:rFonts w:eastAsia="SimSun"/>
        </w:rPr>
        <w:instrText xml:space="preserve"> SEQ Table \* ARABIC </w:instrText>
      </w:r>
      <w:r w:rsidRPr="001116CE">
        <w:rPr>
          <w:rFonts w:eastAsia="SimSun"/>
        </w:rPr>
        <w:fldChar w:fldCharType="separate"/>
      </w:r>
      <w:r w:rsidR="001116CE" w:rsidRPr="001116CE">
        <w:rPr>
          <w:rFonts w:eastAsia="SimSun"/>
          <w:noProof/>
        </w:rPr>
        <w:t>12</w:t>
      </w:r>
      <w:r w:rsidRPr="001116CE">
        <w:rPr>
          <w:rFonts w:eastAsia="SimSun"/>
        </w:rPr>
        <w:fldChar w:fldCharType="end"/>
      </w:r>
      <w:bookmarkEnd w:id="32"/>
      <w:r w:rsidRPr="001116CE">
        <w:rPr>
          <w:rFonts w:eastAsia="SimSun"/>
        </w:rPr>
        <w:tab/>
        <w:t>Result of</w:t>
      </w:r>
      <w:r w:rsidRPr="00F87054">
        <w:rPr>
          <w:rFonts w:eastAsia="SimSun"/>
        </w:rPr>
        <w:t xml:space="preserve"> cost-minimisation analysis comparing </w:t>
      </w:r>
      <w:r>
        <w:rPr>
          <w:rFonts w:eastAsia="SimSun"/>
        </w:rPr>
        <w:t>ABiC</w:t>
      </w:r>
      <w:r w:rsidRPr="00F87054">
        <w:rPr>
          <w:rFonts w:eastAsia="SimSun"/>
        </w:rPr>
        <w:t xml:space="preserve"> with microcatheter and insertion of micro-bypass stents as a </w:t>
      </w:r>
      <w:r w:rsidRPr="00F87054">
        <w:rPr>
          <w:rFonts w:eastAsia="SimSun"/>
          <w:u w:val="single"/>
        </w:rPr>
        <w:t>standalone procedure</w:t>
      </w:r>
      <w:r w:rsidRPr="00F87054">
        <w:rPr>
          <w:rFonts w:eastAsia="SimSun"/>
        </w:rPr>
        <w:t xml:space="preserve"> in patients with glaucoma</w:t>
      </w:r>
      <w:bookmarkEnd w:id="33"/>
    </w:p>
    <w:tbl>
      <w:tblPr>
        <w:tblStyle w:val="TableGridbeth11"/>
        <w:tblW w:w="9209" w:type="dxa"/>
        <w:tblLook w:val="04A0" w:firstRow="1" w:lastRow="0" w:firstColumn="1" w:lastColumn="0" w:noHBand="0" w:noVBand="1"/>
        <w:tblDescription w:val="Result of cost-minimisation analysis comparing ABiC with microcatheter and insertion of micro-bypass stents as a standalone procedure in patients with glaucoma"/>
      </w:tblPr>
      <w:tblGrid>
        <w:gridCol w:w="3964"/>
        <w:gridCol w:w="2127"/>
        <w:gridCol w:w="3118"/>
      </w:tblGrid>
      <w:tr w:rsidR="00B21DED" w:rsidRPr="00F87054" w14:paraId="776589E2" w14:textId="77777777" w:rsidTr="001116CE">
        <w:tc>
          <w:tcPr>
            <w:tcW w:w="3964" w:type="dxa"/>
            <w:shd w:val="clear" w:color="auto" w:fill="D9D9D9"/>
          </w:tcPr>
          <w:p w14:paraId="0CD804DE" w14:textId="77777777" w:rsidR="00B21DED" w:rsidRPr="00F87054" w:rsidRDefault="00B21DED" w:rsidP="001116CE">
            <w:pPr>
              <w:pStyle w:val="Tabletextboldleft"/>
              <w:ind w:left="0"/>
              <w:rPr>
                <w:rFonts w:eastAsia="SimSun"/>
              </w:rPr>
            </w:pPr>
            <w:r w:rsidRPr="00F87054">
              <w:rPr>
                <w:rFonts w:eastAsia="SimSun"/>
              </w:rPr>
              <w:t>Model base-case</w:t>
            </w:r>
          </w:p>
        </w:tc>
        <w:tc>
          <w:tcPr>
            <w:tcW w:w="2127" w:type="dxa"/>
            <w:shd w:val="clear" w:color="auto" w:fill="D9D9D9"/>
          </w:tcPr>
          <w:p w14:paraId="563F629B" w14:textId="78E1252C" w:rsidR="00B21DED" w:rsidRPr="00F87054" w:rsidRDefault="00B21DED" w:rsidP="001116CE">
            <w:pPr>
              <w:pStyle w:val="Tabletextboldleft"/>
              <w:ind w:left="0"/>
              <w:rPr>
                <w:rFonts w:eastAsia="SimSun"/>
              </w:rPr>
            </w:pPr>
            <w:r>
              <w:rPr>
                <w:rFonts w:eastAsia="SimSun"/>
              </w:rPr>
              <w:t>ABiC</w:t>
            </w:r>
            <w:r w:rsidRPr="00F87054">
              <w:rPr>
                <w:rFonts w:eastAsia="SimSun"/>
              </w:rPr>
              <w:t xml:space="preserve"> with microcatheter </w:t>
            </w:r>
            <w:r w:rsidRPr="000466D0">
              <w:rPr>
                <w:rFonts w:eastAsia="SimSun"/>
              </w:rPr>
              <w:t>(iTrack)</w:t>
            </w:r>
          </w:p>
        </w:tc>
        <w:tc>
          <w:tcPr>
            <w:tcW w:w="3118" w:type="dxa"/>
            <w:shd w:val="clear" w:color="auto" w:fill="D9D9D9"/>
          </w:tcPr>
          <w:p w14:paraId="58B6C9B8" w14:textId="2773D8D1" w:rsidR="00B21DED" w:rsidRPr="00F87054" w:rsidRDefault="00B21DED" w:rsidP="001116CE">
            <w:pPr>
              <w:pStyle w:val="Tabletextboldleft"/>
              <w:ind w:left="0"/>
              <w:rPr>
                <w:rFonts w:eastAsia="SimSun"/>
              </w:rPr>
            </w:pPr>
            <w:r w:rsidRPr="00F87054">
              <w:rPr>
                <w:rFonts w:eastAsia="SimSun"/>
              </w:rPr>
              <w:t>Micro-bypass stents (</w:t>
            </w:r>
            <w:proofErr w:type="spellStart"/>
            <w:r w:rsidRPr="00F87054">
              <w:rPr>
                <w:rFonts w:eastAsia="SimSun"/>
              </w:rPr>
              <w:t>iStent</w:t>
            </w:r>
            <w:proofErr w:type="spellEnd"/>
            <w:r w:rsidRPr="00F87054">
              <w:rPr>
                <w:rFonts w:eastAsia="SimSun"/>
              </w:rPr>
              <w:t xml:space="preserve">, </w:t>
            </w:r>
            <w:proofErr w:type="spellStart"/>
            <w:r w:rsidRPr="00F87054">
              <w:rPr>
                <w:rFonts w:eastAsia="SimSun"/>
              </w:rPr>
              <w:t>iStent</w:t>
            </w:r>
            <w:proofErr w:type="spellEnd"/>
            <w:r w:rsidRPr="00F87054">
              <w:rPr>
                <w:rFonts w:eastAsia="SimSun"/>
              </w:rPr>
              <w:t xml:space="preserve"> inject, Hydrus, XEN45)</w:t>
            </w:r>
          </w:p>
        </w:tc>
      </w:tr>
      <w:tr w:rsidR="00B21DED" w:rsidRPr="00F87054" w14:paraId="2B79ADA6" w14:textId="77777777" w:rsidTr="001116CE">
        <w:tc>
          <w:tcPr>
            <w:tcW w:w="3964" w:type="dxa"/>
            <w:shd w:val="clear" w:color="auto" w:fill="auto"/>
          </w:tcPr>
          <w:p w14:paraId="0D678E7A" w14:textId="77777777" w:rsidR="00B21DED" w:rsidRPr="00F87054" w:rsidRDefault="00B21DED" w:rsidP="001116CE">
            <w:pPr>
              <w:pStyle w:val="Tabletext"/>
              <w:ind w:left="31"/>
              <w:rPr>
                <w:rFonts w:eastAsia="SimSun"/>
              </w:rPr>
            </w:pPr>
            <w:r w:rsidRPr="00F87054">
              <w:rPr>
                <w:rFonts w:eastAsia="SimSun"/>
              </w:rPr>
              <w:t>Device cost</w:t>
            </w:r>
          </w:p>
        </w:tc>
        <w:tc>
          <w:tcPr>
            <w:tcW w:w="2127" w:type="dxa"/>
          </w:tcPr>
          <w:p w14:paraId="58D19D09" w14:textId="77777777" w:rsidR="00B21DED" w:rsidRPr="00573396" w:rsidRDefault="00B21DED" w:rsidP="001116CE">
            <w:pPr>
              <w:pStyle w:val="Tabletext"/>
              <w:ind w:left="60"/>
              <w:rPr>
                <w:rFonts w:eastAsia="SimSun"/>
                <w:highlight w:val="yellow"/>
              </w:rPr>
            </w:pPr>
            <w:r w:rsidRPr="008561D7">
              <w:rPr>
                <w:rFonts w:eastAsia="SimSun"/>
              </w:rPr>
              <w:t>$1,353.00</w:t>
            </w:r>
          </w:p>
        </w:tc>
        <w:tc>
          <w:tcPr>
            <w:tcW w:w="3118" w:type="dxa"/>
          </w:tcPr>
          <w:p w14:paraId="7C823D61" w14:textId="77777777" w:rsidR="00B21DED" w:rsidRPr="00F87054" w:rsidRDefault="00B21DED" w:rsidP="001116CE">
            <w:pPr>
              <w:pStyle w:val="Tabletext"/>
              <w:ind w:left="31"/>
              <w:rPr>
                <w:rFonts w:eastAsia="SimSun"/>
              </w:rPr>
            </w:pPr>
            <w:r w:rsidRPr="00F87054">
              <w:rPr>
                <w:rFonts w:eastAsia="SimSun"/>
              </w:rPr>
              <w:t>$</w:t>
            </w:r>
            <w:r w:rsidRPr="00F87054">
              <w:t>1,353.00 (average cost)</w:t>
            </w:r>
          </w:p>
        </w:tc>
      </w:tr>
      <w:tr w:rsidR="00B21DED" w:rsidRPr="00F87054" w14:paraId="0F36AC49" w14:textId="77777777" w:rsidTr="001116CE">
        <w:tc>
          <w:tcPr>
            <w:tcW w:w="3964" w:type="dxa"/>
            <w:shd w:val="clear" w:color="auto" w:fill="auto"/>
          </w:tcPr>
          <w:p w14:paraId="76077312" w14:textId="77777777" w:rsidR="00B21DED" w:rsidRPr="00F87054" w:rsidRDefault="00B21DED" w:rsidP="001116CE">
            <w:pPr>
              <w:pStyle w:val="Tabletext"/>
              <w:ind w:left="31"/>
              <w:rPr>
                <w:rFonts w:eastAsia="SimSun"/>
              </w:rPr>
            </w:pPr>
            <w:r w:rsidRPr="00F87054">
              <w:rPr>
                <w:rFonts w:eastAsia="SimSun"/>
              </w:rPr>
              <w:t>Intraocular viscoelastic fluid cost</w:t>
            </w:r>
          </w:p>
        </w:tc>
        <w:tc>
          <w:tcPr>
            <w:tcW w:w="2127" w:type="dxa"/>
          </w:tcPr>
          <w:p w14:paraId="16D67B78" w14:textId="77777777" w:rsidR="00B21DED" w:rsidRPr="00F87054" w:rsidRDefault="00B21DED" w:rsidP="001116CE">
            <w:pPr>
              <w:pStyle w:val="Tabletext"/>
              <w:ind w:left="60"/>
              <w:rPr>
                <w:rFonts w:eastAsia="SimSun"/>
              </w:rPr>
            </w:pPr>
            <w:r w:rsidRPr="00F87054">
              <w:rPr>
                <w:rFonts w:eastAsia="SimSun"/>
              </w:rPr>
              <w:t>$69.00</w:t>
            </w:r>
          </w:p>
        </w:tc>
        <w:tc>
          <w:tcPr>
            <w:tcW w:w="3118" w:type="dxa"/>
          </w:tcPr>
          <w:p w14:paraId="3D4B5CDF" w14:textId="77777777" w:rsidR="00B21DED" w:rsidRPr="00F87054" w:rsidRDefault="00B21DED" w:rsidP="001116CE">
            <w:pPr>
              <w:pStyle w:val="Tabletext"/>
              <w:ind w:left="31"/>
              <w:rPr>
                <w:rFonts w:eastAsia="SimSun"/>
              </w:rPr>
            </w:pPr>
            <w:r w:rsidRPr="00F87054">
              <w:rPr>
                <w:rFonts w:eastAsia="SimSun"/>
              </w:rPr>
              <w:t>$69.00</w:t>
            </w:r>
          </w:p>
        </w:tc>
      </w:tr>
      <w:tr w:rsidR="00B21DED" w:rsidRPr="00F87054" w14:paraId="710F152A" w14:textId="77777777" w:rsidTr="001116CE">
        <w:tc>
          <w:tcPr>
            <w:tcW w:w="3964" w:type="dxa"/>
            <w:shd w:val="clear" w:color="auto" w:fill="auto"/>
          </w:tcPr>
          <w:p w14:paraId="3F7C14C2" w14:textId="77777777" w:rsidR="00B21DED" w:rsidRPr="00F87054" w:rsidRDefault="00B21DED" w:rsidP="001116CE">
            <w:pPr>
              <w:pStyle w:val="Tabletext"/>
              <w:ind w:left="31"/>
              <w:rPr>
                <w:rFonts w:eastAsia="SimSun"/>
              </w:rPr>
            </w:pPr>
            <w:r w:rsidRPr="00F87054">
              <w:rPr>
                <w:rFonts w:eastAsia="SimSun"/>
              </w:rPr>
              <w:t>Procedure and related cost</w:t>
            </w:r>
          </w:p>
        </w:tc>
        <w:tc>
          <w:tcPr>
            <w:tcW w:w="2127" w:type="dxa"/>
          </w:tcPr>
          <w:p w14:paraId="16351EB6" w14:textId="77777777" w:rsidR="00B21DED" w:rsidRPr="00F87054" w:rsidRDefault="00B21DED" w:rsidP="001116CE">
            <w:pPr>
              <w:pStyle w:val="Tabletext"/>
              <w:ind w:left="60"/>
              <w:rPr>
                <w:rFonts w:eastAsia="SimSun"/>
              </w:rPr>
            </w:pPr>
            <w:r w:rsidRPr="00F87054">
              <w:rPr>
                <w:rFonts w:eastAsia="SimSun"/>
              </w:rPr>
              <w:t>$477.75</w:t>
            </w:r>
          </w:p>
        </w:tc>
        <w:tc>
          <w:tcPr>
            <w:tcW w:w="3118" w:type="dxa"/>
          </w:tcPr>
          <w:p w14:paraId="0EE7E37E" w14:textId="77777777" w:rsidR="00B21DED" w:rsidRPr="00F87054" w:rsidRDefault="00B21DED" w:rsidP="001116CE">
            <w:pPr>
              <w:pStyle w:val="Tabletext"/>
              <w:ind w:left="31"/>
              <w:rPr>
                <w:rFonts w:eastAsia="SimSun"/>
              </w:rPr>
            </w:pPr>
            <w:r w:rsidRPr="00F87054">
              <w:rPr>
                <w:rFonts w:eastAsia="SimSun"/>
              </w:rPr>
              <w:t>$477.75</w:t>
            </w:r>
          </w:p>
        </w:tc>
      </w:tr>
      <w:tr w:rsidR="00B21DED" w:rsidRPr="00F87054" w14:paraId="269595C0" w14:textId="77777777" w:rsidTr="001116CE">
        <w:tc>
          <w:tcPr>
            <w:tcW w:w="3964" w:type="dxa"/>
            <w:shd w:val="clear" w:color="auto" w:fill="auto"/>
          </w:tcPr>
          <w:p w14:paraId="6AABD588" w14:textId="77777777" w:rsidR="00B21DED" w:rsidRPr="00F87054" w:rsidRDefault="00B21DED" w:rsidP="001116CE">
            <w:pPr>
              <w:pStyle w:val="Tabletext"/>
              <w:ind w:left="31"/>
              <w:rPr>
                <w:rFonts w:eastAsia="SimSun"/>
              </w:rPr>
            </w:pPr>
            <w:r w:rsidRPr="00F87054">
              <w:rPr>
                <w:rFonts w:eastAsia="SimSun"/>
              </w:rPr>
              <w:t>Hospitalisation cost</w:t>
            </w:r>
          </w:p>
        </w:tc>
        <w:tc>
          <w:tcPr>
            <w:tcW w:w="2127" w:type="dxa"/>
          </w:tcPr>
          <w:p w14:paraId="5D2BA430" w14:textId="77777777" w:rsidR="00B21DED" w:rsidRPr="00F87054" w:rsidRDefault="00B21DED" w:rsidP="001116CE">
            <w:pPr>
              <w:pStyle w:val="Tabletext"/>
              <w:ind w:left="60"/>
              <w:rPr>
                <w:rFonts w:eastAsia="SimSun"/>
              </w:rPr>
            </w:pPr>
            <w:r w:rsidRPr="00F87054">
              <w:rPr>
                <w:rFonts w:eastAsia="SimSun"/>
              </w:rPr>
              <w:t>$1,260.00</w:t>
            </w:r>
          </w:p>
        </w:tc>
        <w:tc>
          <w:tcPr>
            <w:tcW w:w="3118" w:type="dxa"/>
          </w:tcPr>
          <w:p w14:paraId="6E46A0D9" w14:textId="77777777" w:rsidR="00B21DED" w:rsidRPr="00F87054" w:rsidRDefault="00B21DED" w:rsidP="001116CE">
            <w:pPr>
              <w:pStyle w:val="Tabletext"/>
              <w:ind w:left="31"/>
              <w:rPr>
                <w:rFonts w:eastAsia="SimSun"/>
              </w:rPr>
            </w:pPr>
            <w:r w:rsidRPr="00F87054">
              <w:rPr>
                <w:rFonts w:eastAsia="SimSun"/>
              </w:rPr>
              <w:t>$1,260.00</w:t>
            </w:r>
          </w:p>
        </w:tc>
      </w:tr>
      <w:tr w:rsidR="00B21DED" w:rsidRPr="00F87054" w14:paraId="0EA75AFA" w14:textId="77777777" w:rsidTr="001116CE">
        <w:tc>
          <w:tcPr>
            <w:tcW w:w="3964" w:type="dxa"/>
            <w:shd w:val="clear" w:color="auto" w:fill="auto"/>
          </w:tcPr>
          <w:p w14:paraId="539EB666" w14:textId="77777777" w:rsidR="00B21DED" w:rsidRPr="00F87054" w:rsidRDefault="00B21DED" w:rsidP="001116CE">
            <w:pPr>
              <w:pStyle w:val="Tabletext"/>
              <w:ind w:left="31"/>
              <w:rPr>
                <w:rFonts w:eastAsia="SimSun"/>
              </w:rPr>
            </w:pPr>
            <w:r w:rsidRPr="00F87054">
              <w:rPr>
                <w:rFonts w:eastAsia="SimSun"/>
              </w:rPr>
              <w:t>Pre- and post-surgical cost</w:t>
            </w:r>
          </w:p>
        </w:tc>
        <w:tc>
          <w:tcPr>
            <w:tcW w:w="2127" w:type="dxa"/>
          </w:tcPr>
          <w:p w14:paraId="0AC8441F" w14:textId="77777777" w:rsidR="00B21DED" w:rsidRPr="00F87054" w:rsidRDefault="00B21DED" w:rsidP="001116CE">
            <w:pPr>
              <w:pStyle w:val="Tabletext"/>
              <w:ind w:left="60"/>
              <w:rPr>
                <w:rFonts w:eastAsia="SimSun"/>
              </w:rPr>
            </w:pPr>
            <w:r w:rsidRPr="00F87054">
              <w:rPr>
                <w:rFonts w:eastAsia="SimSun"/>
              </w:rPr>
              <w:t>$271.95</w:t>
            </w:r>
          </w:p>
        </w:tc>
        <w:tc>
          <w:tcPr>
            <w:tcW w:w="3118" w:type="dxa"/>
          </w:tcPr>
          <w:p w14:paraId="3FE9FD4D" w14:textId="77777777" w:rsidR="00B21DED" w:rsidRPr="00F87054" w:rsidRDefault="00B21DED" w:rsidP="001116CE">
            <w:pPr>
              <w:pStyle w:val="Tabletext"/>
              <w:ind w:left="31"/>
              <w:rPr>
                <w:rFonts w:eastAsia="SimSun"/>
              </w:rPr>
            </w:pPr>
            <w:r w:rsidRPr="00F87054">
              <w:rPr>
                <w:rFonts w:eastAsia="SimSun"/>
              </w:rPr>
              <w:t>$271.95</w:t>
            </w:r>
          </w:p>
        </w:tc>
      </w:tr>
      <w:tr w:rsidR="00B21DED" w:rsidRPr="00F87054" w14:paraId="4D90B540" w14:textId="77777777" w:rsidTr="001116CE">
        <w:tc>
          <w:tcPr>
            <w:tcW w:w="3964" w:type="dxa"/>
            <w:shd w:val="clear" w:color="auto" w:fill="auto"/>
          </w:tcPr>
          <w:p w14:paraId="4559E0CB" w14:textId="77777777" w:rsidR="00B21DED" w:rsidRPr="00F87054" w:rsidRDefault="00B21DED" w:rsidP="001116CE">
            <w:pPr>
              <w:pStyle w:val="Tabletext"/>
              <w:ind w:left="31"/>
              <w:rPr>
                <w:rFonts w:eastAsia="SimSun"/>
              </w:rPr>
            </w:pPr>
            <w:r w:rsidRPr="00F87054">
              <w:rPr>
                <w:rFonts w:eastAsia="SimSun"/>
              </w:rPr>
              <w:t>Complication cost</w:t>
            </w:r>
          </w:p>
        </w:tc>
        <w:tc>
          <w:tcPr>
            <w:tcW w:w="2127" w:type="dxa"/>
          </w:tcPr>
          <w:p w14:paraId="24119986" w14:textId="77777777" w:rsidR="00B21DED" w:rsidRPr="00F87054" w:rsidRDefault="00B21DED" w:rsidP="001116CE">
            <w:pPr>
              <w:pStyle w:val="Tabletext"/>
              <w:ind w:left="60"/>
              <w:rPr>
                <w:rFonts w:eastAsia="SimSun"/>
              </w:rPr>
            </w:pPr>
            <w:r w:rsidRPr="00F87054">
              <w:rPr>
                <w:rFonts w:eastAsia="SimSun"/>
              </w:rPr>
              <w:t>$108.53</w:t>
            </w:r>
          </w:p>
        </w:tc>
        <w:tc>
          <w:tcPr>
            <w:tcW w:w="3118" w:type="dxa"/>
          </w:tcPr>
          <w:p w14:paraId="523B71FC" w14:textId="77777777" w:rsidR="00B21DED" w:rsidRPr="00F87054" w:rsidRDefault="00B21DED" w:rsidP="001116CE">
            <w:pPr>
              <w:pStyle w:val="Tabletext"/>
              <w:ind w:left="31"/>
              <w:rPr>
                <w:rFonts w:eastAsia="SimSun"/>
              </w:rPr>
            </w:pPr>
            <w:r w:rsidRPr="00F87054">
              <w:rPr>
                <w:rFonts w:eastAsia="SimSun"/>
              </w:rPr>
              <w:t>$65.14</w:t>
            </w:r>
          </w:p>
        </w:tc>
      </w:tr>
      <w:tr w:rsidR="00B21DED" w:rsidRPr="00F87054" w14:paraId="2EF73B07" w14:textId="77777777" w:rsidTr="001116CE">
        <w:tc>
          <w:tcPr>
            <w:tcW w:w="3964" w:type="dxa"/>
          </w:tcPr>
          <w:p w14:paraId="438636E2" w14:textId="77777777" w:rsidR="00B21DED" w:rsidRPr="00F87054" w:rsidRDefault="00B21DED" w:rsidP="001116CE">
            <w:pPr>
              <w:pStyle w:val="Tabletext"/>
              <w:ind w:left="31"/>
              <w:rPr>
                <w:rFonts w:eastAsia="SimSun"/>
              </w:rPr>
            </w:pPr>
            <w:r w:rsidRPr="00F87054">
              <w:rPr>
                <w:rFonts w:eastAsia="SimSun"/>
              </w:rPr>
              <w:t>Subtotal</w:t>
            </w:r>
          </w:p>
        </w:tc>
        <w:tc>
          <w:tcPr>
            <w:tcW w:w="2127" w:type="dxa"/>
          </w:tcPr>
          <w:p w14:paraId="0EF465C1" w14:textId="77777777" w:rsidR="00B21DED" w:rsidRPr="00F87054" w:rsidRDefault="00B21DED" w:rsidP="001116CE">
            <w:pPr>
              <w:pStyle w:val="Tabletext"/>
              <w:ind w:left="60"/>
              <w:rPr>
                <w:rFonts w:eastAsia="SimSun"/>
              </w:rPr>
            </w:pPr>
            <w:r w:rsidRPr="00F87054">
              <w:rPr>
                <w:rFonts w:eastAsia="SimSun"/>
              </w:rPr>
              <w:t>$3,540.23</w:t>
            </w:r>
          </w:p>
        </w:tc>
        <w:tc>
          <w:tcPr>
            <w:tcW w:w="3118" w:type="dxa"/>
          </w:tcPr>
          <w:p w14:paraId="50F054EF" w14:textId="77777777" w:rsidR="00B21DED" w:rsidRPr="00F87054" w:rsidRDefault="00B21DED" w:rsidP="001116CE">
            <w:pPr>
              <w:pStyle w:val="Tabletext"/>
              <w:ind w:left="31"/>
              <w:rPr>
                <w:rFonts w:eastAsia="SimSun"/>
              </w:rPr>
            </w:pPr>
            <w:r w:rsidRPr="00F87054">
              <w:rPr>
                <w:rFonts w:eastAsia="SimSun"/>
              </w:rPr>
              <w:t>$3,496.84</w:t>
            </w:r>
          </w:p>
        </w:tc>
      </w:tr>
      <w:tr w:rsidR="00B21DED" w:rsidRPr="00F87054" w14:paraId="6BC3A660" w14:textId="77777777" w:rsidTr="001116CE">
        <w:tc>
          <w:tcPr>
            <w:tcW w:w="3964" w:type="dxa"/>
          </w:tcPr>
          <w:p w14:paraId="5DA04C17" w14:textId="77777777" w:rsidR="00B21DED" w:rsidRPr="00F87054" w:rsidRDefault="00B21DED" w:rsidP="001116CE">
            <w:pPr>
              <w:pStyle w:val="Tabletext"/>
              <w:ind w:left="31"/>
              <w:rPr>
                <w:rFonts w:eastAsia="SimSun"/>
              </w:rPr>
            </w:pPr>
            <w:r w:rsidRPr="00F87054">
              <w:rPr>
                <w:rFonts w:eastAsia="SimSun"/>
              </w:rPr>
              <w:t>Incremental (microcatheter vs micro-bypass stent)</w:t>
            </w:r>
          </w:p>
        </w:tc>
        <w:tc>
          <w:tcPr>
            <w:tcW w:w="5245" w:type="dxa"/>
            <w:gridSpan w:val="2"/>
            <w:vAlign w:val="center"/>
          </w:tcPr>
          <w:p w14:paraId="6993F24F" w14:textId="77777777" w:rsidR="00B21DED" w:rsidRPr="00F87054" w:rsidRDefault="00B21DED" w:rsidP="001116CE">
            <w:pPr>
              <w:pStyle w:val="Tabletext"/>
              <w:ind w:left="60"/>
              <w:rPr>
                <w:rFonts w:eastAsia="SimSun"/>
              </w:rPr>
            </w:pPr>
            <w:r w:rsidRPr="00F87054">
              <w:rPr>
                <w:rFonts w:eastAsia="SimSun"/>
              </w:rPr>
              <w:t>$43.40</w:t>
            </w:r>
          </w:p>
        </w:tc>
      </w:tr>
    </w:tbl>
    <w:p w14:paraId="429167D5" w14:textId="77777777" w:rsidR="00B21DED" w:rsidRPr="00B21DED" w:rsidRDefault="00B21DED" w:rsidP="00066143">
      <w:pPr>
        <w:pStyle w:val="Tablenotes0"/>
      </w:pPr>
      <w:r w:rsidRPr="00B21DED">
        <w:t>Source: Table 10, p30 of the DCAR</w:t>
      </w:r>
    </w:p>
    <w:p w14:paraId="4BD29D5F" w14:textId="53280D41" w:rsidR="00B21DED" w:rsidRPr="00B21DED" w:rsidRDefault="00B21DED" w:rsidP="00066143">
      <w:pPr>
        <w:pStyle w:val="Tablenotes0"/>
        <w:contextualSpacing w:val="0"/>
      </w:pPr>
      <w:r w:rsidRPr="00B21DED">
        <w:t xml:space="preserve">Abbreviations: ABiC = ab-interno canaloplasty. </w:t>
      </w:r>
    </w:p>
    <w:p w14:paraId="69EC1FF3" w14:textId="41B20749" w:rsidR="00B21DED" w:rsidRPr="00F87054" w:rsidRDefault="00B21DED" w:rsidP="00B21DED">
      <w:pPr>
        <w:pStyle w:val="Caption"/>
        <w:rPr>
          <w:rFonts w:eastAsia="SimSun"/>
        </w:rPr>
      </w:pPr>
      <w:bookmarkStart w:id="37" w:name="_Ref77105036"/>
      <w:bookmarkStart w:id="38" w:name="_Toc81257840"/>
      <w:bookmarkStart w:id="39" w:name="_Hlk79764736"/>
      <w:bookmarkEnd w:id="34"/>
      <w:r w:rsidRPr="00F87054">
        <w:rPr>
          <w:rFonts w:eastAsia="SimSun"/>
        </w:rPr>
        <w:lastRenderedPageBreak/>
        <w:t xml:space="preserve">Table </w:t>
      </w:r>
      <w:r w:rsidRPr="00F87054">
        <w:rPr>
          <w:rFonts w:eastAsia="SimSun"/>
        </w:rPr>
        <w:fldChar w:fldCharType="begin"/>
      </w:r>
      <w:r w:rsidRPr="00F87054">
        <w:rPr>
          <w:rFonts w:eastAsia="SimSun"/>
        </w:rPr>
        <w:instrText xml:space="preserve"> SEQ Table \* ARABIC </w:instrText>
      </w:r>
      <w:r w:rsidRPr="00F87054">
        <w:rPr>
          <w:rFonts w:eastAsia="SimSun"/>
        </w:rPr>
        <w:fldChar w:fldCharType="separate"/>
      </w:r>
      <w:r w:rsidR="001116CE">
        <w:rPr>
          <w:rFonts w:eastAsia="SimSun"/>
          <w:noProof/>
        </w:rPr>
        <w:t>13</w:t>
      </w:r>
      <w:r w:rsidRPr="00F87054">
        <w:rPr>
          <w:rFonts w:eastAsia="SimSun"/>
        </w:rPr>
        <w:fldChar w:fldCharType="end"/>
      </w:r>
      <w:bookmarkEnd w:id="37"/>
      <w:r w:rsidRPr="00F87054">
        <w:rPr>
          <w:rFonts w:eastAsia="SimSun"/>
        </w:rPr>
        <w:tab/>
        <w:t xml:space="preserve">Result of cost-minimisation analysis comparing </w:t>
      </w:r>
      <w:r>
        <w:rPr>
          <w:rFonts w:eastAsia="SimSun"/>
        </w:rPr>
        <w:t>ABiC</w:t>
      </w:r>
      <w:r w:rsidRPr="00F87054">
        <w:rPr>
          <w:rFonts w:eastAsia="SimSun"/>
        </w:rPr>
        <w:t xml:space="preserve"> with microcatheter and insertion of micro-bypass stents </w:t>
      </w:r>
      <w:r w:rsidRPr="00F87054">
        <w:rPr>
          <w:rFonts w:eastAsia="SimSun"/>
          <w:u w:val="single"/>
        </w:rPr>
        <w:t>in conjunction with cataract surgery</w:t>
      </w:r>
      <w:r w:rsidRPr="00F87054">
        <w:rPr>
          <w:rFonts w:eastAsia="SimSun"/>
        </w:rPr>
        <w:t xml:space="preserve"> in patients with glaucoma</w:t>
      </w:r>
      <w:bookmarkEnd w:id="38"/>
    </w:p>
    <w:tbl>
      <w:tblPr>
        <w:tblStyle w:val="TableGridbeth12"/>
        <w:tblW w:w="9209" w:type="dxa"/>
        <w:tblLook w:val="04A0" w:firstRow="1" w:lastRow="0" w:firstColumn="1" w:lastColumn="0" w:noHBand="0" w:noVBand="1"/>
        <w:tblDescription w:val="Result of cost-minimisation analysis comparing ABiC with microcatheter and insertion of micro-bypass stents in conjunction with cataract surgery in patients with glaucoma"/>
      </w:tblPr>
      <w:tblGrid>
        <w:gridCol w:w="3964"/>
        <w:gridCol w:w="2268"/>
        <w:gridCol w:w="2977"/>
      </w:tblGrid>
      <w:tr w:rsidR="00B21DED" w:rsidRPr="00F87054" w14:paraId="57FDD820" w14:textId="77777777" w:rsidTr="001116CE">
        <w:tc>
          <w:tcPr>
            <w:tcW w:w="3964" w:type="dxa"/>
            <w:shd w:val="clear" w:color="auto" w:fill="D9D9D9"/>
          </w:tcPr>
          <w:p w14:paraId="22929056" w14:textId="77777777" w:rsidR="00B21DED" w:rsidRPr="00F87054" w:rsidRDefault="00B21DED" w:rsidP="001116CE">
            <w:pPr>
              <w:pStyle w:val="Tabletextboldleft"/>
              <w:ind w:left="31"/>
              <w:rPr>
                <w:rFonts w:eastAsia="SimSun"/>
              </w:rPr>
            </w:pPr>
            <w:r w:rsidRPr="00F87054">
              <w:rPr>
                <w:rFonts w:eastAsia="SimSun"/>
              </w:rPr>
              <w:t>Model base-case</w:t>
            </w:r>
          </w:p>
        </w:tc>
        <w:tc>
          <w:tcPr>
            <w:tcW w:w="2268" w:type="dxa"/>
            <w:shd w:val="clear" w:color="auto" w:fill="D9D9D9"/>
          </w:tcPr>
          <w:p w14:paraId="6BB7EBA9" w14:textId="142CFB88" w:rsidR="00B21DED" w:rsidRPr="00F87054" w:rsidRDefault="00B21DED" w:rsidP="001116CE">
            <w:pPr>
              <w:pStyle w:val="Tabletextboldleft"/>
              <w:ind w:left="31"/>
              <w:rPr>
                <w:rFonts w:eastAsia="SimSun"/>
              </w:rPr>
            </w:pPr>
            <w:r>
              <w:rPr>
                <w:rFonts w:eastAsia="SimSun"/>
              </w:rPr>
              <w:t>ABiC</w:t>
            </w:r>
            <w:r w:rsidRPr="00F87054">
              <w:rPr>
                <w:rFonts w:eastAsia="SimSun"/>
              </w:rPr>
              <w:t xml:space="preserve"> with microcatheter </w:t>
            </w:r>
            <w:r w:rsidRPr="000466D0">
              <w:rPr>
                <w:rFonts w:eastAsia="SimSun"/>
              </w:rPr>
              <w:t>(iTrack)</w:t>
            </w:r>
          </w:p>
        </w:tc>
        <w:tc>
          <w:tcPr>
            <w:tcW w:w="2977" w:type="dxa"/>
            <w:shd w:val="clear" w:color="auto" w:fill="D9D9D9"/>
          </w:tcPr>
          <w:p w14:paraId="09D8A9FC" w14:textId="153DB075" w:rsidR="00B21DED" w:rsidRPr="00F87054" w:rsidRDefault="00B21DED" w:rsidP="001116CE">
            <w:pPr>
              <w:pStyle w:val="Tabletextboldleft"/>
              <w:ind w:left="31"/>
              <w:rPr>
                <w:rFonts w:eastAsia="SimSun"/>
              </w:rPr>
            </w:pPr>
            <w:r w:rsidRPr="00F87054">
              <w:rPr>
                <w:rFonts w:eastAsia="SimSun"/>
              </w:rPr>
              <w:t>Micro-bypass stents (</w:t>
            </w:r>
            <w:proofErr w:type="spellStart"/>
            <w:r w:rsidRPr="00F87054">
              <w:rPr>
                <w:rFonts w:eastAsia="SimSun"/>
              </w:rPr>
              <w:t>iStent</w:t>
            </w:r>
            <w:proofErr w:type="spellEnd"/>
            <w:r w:rsidRPr="00F87054">
              <w:rPr>
                <w:rFonts w:eastAsia="SimSun"/>
              </w:rPr>
              <w:t xml:space="preserve">, </w:t>
            </w:r>
            <w:proofErr w:type="spellStart"/>
            <w:r w:rsidRPr="00F87054">
              <w:rPr>
                <w:rFonts w:eastAsia="SimSun"/>
              </w:rPr>
              <w:t>iStent</w:t>
            </w:r>
            <w:proofErr w:type="spellEnd"/>
            <w:r w:rsidRPr="00F87054">
              <w:rPr>
                <w:rFonts w:eastAsia="SimSun"/>
              </w:rPr>
              <w:t xml:space="preserve"> inject, Hydrus, XEN45)</w:t>
            </w:r>
          </w:p>
        </w:tc>
      </w:tr>
      <w:tr w:rsidR="00B21DED" w:rsidRPr="00F87054" w14:paraId="552F9A68" w14:textId="77777777" w:rsidTr="001116CE">
        <w:tc>
          <w:tcPr>
            <w:tcW w:w="3964" w:type="dxa"/>
            <w:shd w:val="clear" w:color="auto" w:fill="auto"/>
          </w:tcPr>
          <w:p w14:paraId="40592A94" w14:textId="77777777" w:rsidR="00B21DED" w:rsidRPr="00F87054" w:rsidRDefault="00B21DED" w:rsidP="001116CE">
            <w:pPr>
              <w:pStyle w:val="Tabletext"/>
              <w:ind w:left="31"/>
              <w:rPr>
                <w:rFonts w:eastAsia="SimSun"/>
              </w:rPr>
            </w:pPr>
            <w:r w:rsidRPr="00F87054">
              <w:rPr>
                <w:rFonts w:eastAsia="SimSun"/>
              </w:rPr>
              <w:t>Device cost</w:t>
            </w:r>
          </w:p>
        </w:tc>
        <w:tc>
          <w:tcPr>
            <w:tcW w:w="2268" w:type="dxa"/>
          </w:tcPr>
          <w:p w14:paraId="37C33945" w14:textId="77777777" w:rsidR="00B21DED" w:rsidRPr="00F87054" w:rsidRDefault="00B21DED" w:rsidP="001116CE">
            <w:pPr>
              <w:pStyle w:val="Tabletext"/>
              <w:ind w:left="31"/>
              <w:rPr>
                <w:rFonts w:eastAsia="SimSun"/>
              </w:rPr>
            </w:pPr>
            <w:r w:rsidRPr="00F87054">
              <w:rPr>
                <w:rFonts w:eastAsia="SimSun"/>
              </w:rPr>
              <w:t>$1422.00</w:t>
            </w:r>
          </w:p>
        </w:tc>
        <w:tc>
          <w:tcPr>
            <w:tcW w:w="2977" w:type="dxa"/>
          </w:tcPr>
          <w:p w14:paraId="5778ED2C" w14:textId="77777777" w:rsidR="00B21DED" w:rsidRPr="00F87054" w:rsidRDefault="00B21DED" w:rsidP="001116CE">
            <w:pPr>
              <w:pStyle w:val="Tabletext"/>
              <w:ind w:left="385"/>
              <w:rPr>
                <w:rFonts w:eastAsia="SimSun"/>
              </w:rPr>
            </w:pPr>
            <w:r w:rsidRPr="00F87054">
              <w:rPr>
                <w:rFonts w:eastAsia="SimSun"/>
              </w:rPr>
              <w:t>$1,422.00</w:t>
            </w:r>
          </w:p>
        </w:tc>
      </w:tr>
      <w:tr w:rsidR="00B21DED" w:rsidRPr="00F87054" w14:paraId="3B8E86B6" w14:textId="77777777" w:rsidTr="001116CE">
        <w:tc>
          <w:tcPr>
            <w:tcW w:w="3964" w:type="dxa"/>
            <w:shd w:val="clear" w:color="auto" w:fill="auto"/>
          </w:tcPr>
          <w:p w14:paraId="1E43776D" w14:textId="77777777" w:rsidR="00B21DED" w:rsidRPr="00F87054" w:rsidRDefault="00B21DED" w:rsidP="001116CE">
            <w:pPr>
              <w:pStyle w:val="Tabletext"/>
              <w:ind w:left="31"/>
              <w:rPr>
                <w:rFonts w:eastAsia="SimSun"/>
              </w:rPr>
            </w:pPr>
            <w:r w:rsidRPr="00F87054">
              <w:rPr>
                <w:rFonts w:eastAsia="SimSun"/>
              </w:rPr>
              <w:t>Intraocular viscoelastic fluid cost</w:t>
            </w:r>
          </w:p>
        </w:tc>
        <w:tc>
          <w:tcPr>
            <w:tcW w:w="2268" w:type="dxa"/>
          </w:tcPr>
          <w:p w14:paraId="1D495CCD" w14:textId="77777777" w:rsidR="00B21DED" w:rsidRPr="00F87054" w:rsidRDefault="00B21DED" w:rsidP="001116CE">
            <w:pPr>
              <w:pStyle w:val="Tabletext"/>
              <w:ind w:left="31"/>
              <w:rPr>
                <w:rFonts w:eastAsia="SimSun"/>
              </w:rPr>
            </w:pPr>
            <w:r w:rsidRPr="00F87054">
              <w:rPr>
                <w:rFonts w:eastAsia="SimSun"/>
              </w:rPr>
              <w:t>$69.00</w:t>
            </w:r>
          </w:p>
        </w:tc>
        <w:tc>
          <w:tcPr>
            <w:tcW w:w="2977" w:type="dxa"/>
          </w:tcPr>
          <w:p w14:paraId="2279F3E6" w14:textId="77777777" w:rsidR="00B21DED" w:rsidRPr="00F87054" w:rsidRDefault="00B21DED" w:rsidP="001116CE">
            <w:pPr>
              <w:pStyle w:val="Tabletext"/>
              <w:ind w:left="385"/>
              <w:rPr>
                <w:rFonts w:eastAsia="SimSun"/>
              </w:rPr>
            </w:pPr>
            <w:r w:rsidRPr="00F87054">
              <w:rPr>
                <w:rFonts w:eastAsia="SimSun"/>
              </w:rPr>
              <w:t>$69.00</w:t>
            </w:r>
          </w:p>
        </w:tc>
      </w:tr>
      <w:tr w:rsidR="00B21DED" w:rsidRPr="00F87054" w14:paraId="39E8D113" w14:textId="77777777" w:rsidTr="001116CE">
        <w:tc>
          <w:tcPr>
            <w:tcW w:w="3964" w:type="dxa"/>
            <w:shd w:val="clear" w:color="auto" w:fill="auto"/>
          </w:tcPr>
          <w:p w14:paraId="65D2CAE2" w14:textId="77777777" w:rsidR="00B21DED" w:rsidRPr="00F87054" w:rsidRDefault="00B21DED" w:rsidP="001116CE">
            <w:pPr>
              <w:pStyle w:val="Tabletext"/>
              <w:ind w:left="31"/>
              <w:rPr>
                <w:rFonts w:eastAsia="SimSun"/>
              </w:rPr>
            </w:pPr>
            <w:r w:rsidRPr="00F87054">
              <w:rPr>
                <w:rFonts w:eastAsia="SimSun"/>
              </w:rPr>
              <w:t>Procedure and related cost</w:t>
            </w:r>
          </w:p>
        </w:tc>
        <w:tc>
          <w:tcPr>
            <w:tcW w:w="2268" w:type="dxa"/>
          </w:tcPr>
          <w:p w14:paraId="62BE26FA" w14:textId="77777777" w:rsidR="00B21DED" w:rsidRPr="00F87054" w:rsidRDefault="00B21DED" w:rsidP="001116CE">
            <w:pPr>
              <w:pStyle w:val="Tabletext"/>
              <w:ind w:left="31"/>
              <w:rPr>
                <w:rFonts w:eastAsia="SimSun"/>
              </w:rPr>
            </w:pPr>
            <w:r w:rsidRPr="00F87054">
              <w:rPr>
                <w:rFonts w:eastAsia="SimSun"/>
              </w:rPr>
              <w:t>$1,112.85</w:t>
            </w:r>
          </w:p>
        </w:tc>
        <w:tc>
          <w:tcPr>
            <w:tcW w:w="2977" w:type="dxa"/>
          </w:tcPr>
          <w:p w14:paraId="33EA2DB9" w14:textId="77777777" w:rsidR="00B21DED" w:rsidRPr="00F87054" w:rsidRDefault="00B21DED" w:rsidP="001116CE">
            <w:pPr>
              <w:pStyle w:val="Tabletext"/>
              <w:ind w:left="385"/>
              <w:rPr>
                <w:rFonts w:eastAsia="SimSun"/>
              </w:rPr>
            </w:pPr>
            <w:r w:rsidRPr="00F87054">
              <w:rPr>
                <w:rFonts w:eastAsia="SimSun"/>
              </w:rPr>
              <w:t>$1,112.85</w:t>
            </w:r>
          </w:p>
        </w:tc>
      </w:tr>
      <w:tr w:rsidR="00B21DED" w:rsidRPr="00F87054" w14:paraId="73C6FBA7" w14:textId="77777777" w:rsidTr="001116CE">
        <w:tc>
          <w:tcPr>
            <w:tcW w:w="3964" w:type="dxa"/>
            <w:shd w:val="clear" w:color="auto" w:fill="auto"/>
          </w:tcPr>
          <w:p w14:paraId="33A98897" w14:textId="77777777" w:rsidR="00B21DED" w:rsidRPr="00F87054" w:rsidRDefault="00B21DED" w:rsidP="001116CE">
            <w:pPr>
              <w:pStyle w:val="Tabletext"/>
              <w:ind w:left="31"/>
              <w:rPr>
                <w:rFonts w:eastAsia="SimSun"/>
              </w:rPr>
            </w:pPr>
            <w:r w:rsidRPr="00F87054">
              <w:rPr>
                <w:rFonts w:eastAsia="SimSun"/>
              </w:rPr>
              <w:t>Hospitalisation cost</w:t>
            </w:r>
          </w:p>
        </w:tc>
        <w:tc>
          <w:tcPr>
            <w:tcW w:w="2268" w:type="dxa"/>
          </w:tcPr>
          <w:p w14:paraId="09E9D5A9" w14:textId="77777777" w:rsidR="00B21DED" w:rsidRPr="00F87054" w:rsidRDefault="00B21DED" w:rsidP="001116CE">
            <w:pPr>
              <w:pStyle w:val="Tabletext"/>
              <w:ind w:left="31"/>
              <w:rPr>
                <w:rFonts w:eastAsia="SimSun"/>
              </w:rPr>
            </w:pPr>
            <w:r w:rsidRPr="00F87054">
              <w:rPr>
                <w:rFonts w:eastAsia="SimSun"/>
              </w:rPr>
              <w:t>$1,260.00</w:t>
            </w:r>
          </w:p>
        </w:tc>
        <w:tc>
          <w:tcPr>
            <w:tcW w:w="2977" w:type="dxa"/>
          </w:tcPr>
          <w:p w14:paraId="6AB66ED6" w14:textId="77777777" w:rsidR="00B21DED" w:rsidRPr="00F87054" w:rsidRDefault="00B21DED" w:rsidP="001116CE">
            <w:pPr>
              <w:pStyle w:val="Tabletext"/>
              <w:ind w:left="385"/>
              <w:rPr>
                <w:rFonts w:eastAsia="SimSun"/>
              </w:rPr>
            </w:pPr>
            <w:r w:rsidRPr="00F87054">
              <w:rPr>
                <w:rFonts w:eastAsia="SimSun"/>
              </w:rPr>
              <w:t>$1,260.00</w:t>
            </w:r>
          </w:p>
        </w:tc>
      </w:tr>
      <w:tr w:rsidR="00B21DED" w:rsidRPr="00F87054" w14:paraId="7EC70488" w14:textId="77777777" w:rsidTr="001116CE">
        <w:tc>
          <w:tcPr>
            <w:tcW w:w="3964" w:type="dxa"/>
            <w:shd w:val="clear" w:color="auto" w:fill="auto"/>
          </w:tcPr>
          <w:p w14:paraId="33B135CC" w14:textId="77777777" w:rsidR="00B21DED" w:rsidRPr="00F87054" w:rsidRDefault="00B21DED" w:rsidP="001116CE">
            <w:pPr>
              <w:pStyle w:val="Tabletext"/>
              <w:ind w:left="31"/>
              <w:rPr>
                <w:rFonts w:eastAsia="SimSun"/>
              </w:rPr>
            </w:pPr>
            <w:r w:rsidRPr="00F87054">
              <w:rPr>
                <w:rFonts w:eastAsia="SimSun"/>
              </w:rPr>
              <w:t>Pre- and post-surgical cost</w:t>
            </w:r>
          </w:p>
        </w:tc>
        <w:tc>
          <w:tcPr>
            <w:tcW w:w="2268" w:type="dxa"/>
          </w:tcPr>
          <w:p w14:paraId="30699DF7" w14:textId="77777777" w:rsidR="00B21DED" w:rsidRPr="00F87054" w:rsidRDefault="00B21DED" w:rsidP="001116CE">
            <w:pPr>
              <w:pStyle w:val="Tabletext"/>
              <w:ind w:left="31"/>
              <w:rPr>
                <w:rFonts w:eastAsia="SimSun"/>
              </w:rPr>
            </w:pPr>
            <w:r w:rsidRPr="00F87054">
              <w:rPr>
                <w:rFonts w:eastAsia="SimSun"/>
              </w:rPr>
              <w:t>$271.95</w:t>
            </w:r>
          </w:p>
        </w:tc>
        <w:tc>
          <w:tcPr>
            <w:tcW w:w="2977" w:type="dxa"/>
          </w:tcPr>
          <w:p w14:paraId="5EDDD1D0" w14:textId="77777777" w:rsidR="00B21DED" w:rsidRPr="00F87054" w:rsidRDefault="00B21DED" w:rsidP="001116CE">
            <w:pPr>
              <w:pStyle w:val="Tabletext"/>
              <w:ind w:left="385"/>
              <w:rPr>
                <w:rFonts w:eastAsia="SimSun"/>
              </w:rPr>
            </w:pPr>
            <w:r w:rsidRPr="00F87054">
              <w:rPr>
                <w:rFonts w:eastAsia="SimSun"/>
              </w:rPr>
              <w:t>$271.95</w:t>
            </w:r>
          </w:p>
        </w:tc>
      </w:tr>
      <w:tr w:rsidR="00B21DED" w:rsidRPr="00F87054" w14:paraId="18B33D16" w14:textId="77777777" w:rsidTr="001116CE">
        <w:tc>
          <w:tcPr>
            <w:tcW w:w="3964" w:type="dxa"/>
            <w:shd w:val="clear" w:color="auto" w:fill="auto"/>
          </w:tcPr>
          <w:p w14:paraId="3405CBCB" w14:textId="77777777" w:rsidR="00B21DED" w:rsidRPr="00F87054" w:rsidRDefault="00B21DED" w:rsidP="001116CE">
            <w:pPr>
              <w:pStyle w:val="Tabletext"/>
              <w:ind w:left="31"/>
              <w:rPr>
                <w:rFonts w:eastAsia="SimSun"/>
              </w:rPr>
            </w:pPr>
            <w:r w:rsidRPr="00F87054">
              <w:rPr>
                <w:rFonts w:eastAsia="SimSun"/>
              </w:rPr>
              <w:t>Complication cost</w:t>
            </w:r>
          </w:p>
        </w:tc>
        <w:tc>
          <w:tcPr>
            <w:tcW w:w="2268" w:type="dxa"/>
          </w:tcPr>
          <w:p w14:paraId="5D680449" w14:textId="77777777" w:rsidR="00B21DED" w:rsidRPr="00F87054" w:rsidRDefault="00B21DED" w:rsidP="001116CE">
            <w:pPr>
              <w:pStyle w:val="Tabletext"/>
              <w:ind w:left="31"/>
              <w:rPr>
                <w:rFonts w:eastAsia="SimSun"/>
              </w:rPr>
            </w:pPr>
            <w:r w:rsidRPr="00F87054">
              <w:rPr>
                <w:rFonts w:eastAsia="SimSun"/>
              </w:rPr>
              <w:t>$152.36</w:t>
            </w:r>
          </w:p>
        </w:tc>
        <w:tc>
          <w:tcPr>
            <w:tcW w:w="2977" w:type="dxa"/>
          </w:tcPr>
          <w:p w14:paraId="7A7940AE" w14:textId="77777777" w:rsidR="00B21DED" w:rsidRPr="00F87054" w:rsidRDefault="00B21DED" w:rsidP="001116CE">
            <w:pPr>
              <w:pStyle w:val="Tabletext"/>
              <w:ind w:left="385"/>
              <w:rPr>
                <w:rFonts w:eastAsia="SimSun"/>
              </w:rPr>
            </w:pPr>
            <w:r w:rsidRPr="00F87054">
              <w:rPr>
                <w:rFonts w:eastAsia="SimSun"/>
              </w:rPr>
              <w:t>$91.44</w:t>
            </w:r>
          </w:p>
        </w:tc>
      </w:tr>
      <w:tr w:rsidR="00B21DED" w:rsidRPr="00F87054" w14:paraId="4F9CAA7A" w14:textId="77777777" w:rsidTr="001116CE">
        <w:tc>
          <w:tcPr>
            <w:tcW w:w="3964" w:type="dxa"/>
          </w:tcPr>
          <w:p w14:paraId="2F3B41CC" w14:textId="77777777" w:rsidR="00B21DED" w:rsidRPr="00F87054" w:rsidRDefault="00B21DED" w:rsidP="001116CE">
            <w:pPr>
              <w:pStyle w:val="Tabletext"/>
              <w:ind w:left="31"/>
              <w:rPr>
                <w:rFonts w:eastAsia="SimSun"/>
              </w:rPr>
            </w:pPr>
            <w:r w:rsidRPr="00F87054">
              <w:rPr>
                <w:rFonts w:eastAsia="SimSun"/>
              </w:rPr>
              <w:t>Subtotal</w:t>
            </w:r>
          </w:p>
        </w:tc>
        <w:tc>
          <w:tcPr>
            <w:tcW w:w="2268" w:type="dxa"/>
          </w:tcPr>
          <w:p w14:paraId="0F57E98F" w14:textId="77777777" w:rsidR="00B21DED" w:rsidRPr="00F87054" w:rsidRDefault="00B21DED" w:rsidP="001116CE">
            <w:pPr>
              <w:pStyle w:val="Tabletext"/>
              <w:ind w:left="31"/>
              <w:rPr>
                <w:rFonts w:eastAsia="SimSun"/>
              </w:rPr>
            </w:pPr>
            <w:r w:rsidRPr="00F87054">
              <w:rPr>
                <w:rFonts w:eastAsia="SimSun"/>
              </w:rPr>
              <w:t>$ 4,219.16</w:t>
            </w:r>
          </w:p>
        </w:tc>
        <w:tc>
          <w:tcPr>
            <w:tcW w:w="2977" w:type="dxa"/>
          </w:tcPr>
          <w:p w14:paraId="3AA7BA23" w14:textId="77777777" w:rsidR="00B21DED" w:rsidRPr="00F87054" w:rsidRDefault="00B21DED" w:rsidP="001116CE">
            <w:pPr>
              <w:pStyle w:val="Tabletext"/>
              <w:ind w:left="385"/>
              <w:rPr>
                <w:rFonts w:eastAsia="SimSun"/>
              </w:rPr>
            </w:pPr>
            <w:r w:rsidRPr="00F87054">
              <w:rPr>
                <w:rFonts w:eastAsia="SimSun"/>
              </w:rPr>
              <w:t>$4,158.24</w:t>
            </w:r>
          </w:p>
        </w:tc>
      </w:tr>
      <w:tr w:rsidR="00B21DED" w:rsidRPr="00F87054" w14:paraId="0139302D" w14:textId="77777777" w:rsidTr="001116CE">
        <w:tc>
          <w:tcPr>
            <w:tcW w:w="3964" w:type="dxa"/>
          </w:tcPr>
          <w:p w14:paraId="4844FB63" w14:textId="77777777" w:rsidR="00B21DED" w:rsidRPr="00F87054" w:rsidRDefault="00B21DED" w:rsidP="001116CE">
            <w:pPr>
              <w:pStyle w:val="Tabletext"/>
              <w:ind w:left="31"/>
              <w:rPr>
                <w:rFonts w:eastAsia="SimSun"/>
              </w:rPr>
            </w:pPr>
            <w:r w:rsidRPr="00F87054">
              <w:rPr>
                <w:rFonts w:eastAsia="SimSun"/>
              </w:rPr>
              <w:t>Incremental (microcatheter vs micro-bypass stent)</w:t>
            </w:r>
          </w:p>
        </w:tc>
        <w:tc>
          <w:tcPr>
            <w:tcW w:w="5245" w:type="dxa"/>
            <w:gridSpan w:val="2"/>
            <w:vAlign w:val="center"/>
          </w:tcPr>
          <w:p w14:paraId="196CE27A" w14:textId="77777777" w:rsidR="00B21DED" w:rsidRPr="00F87054" w:rsidRDefault="00B21DED" w:rsidP="001116CE">
            <w:pPr>
              <w:pStyle w:val="Tabletext"/>
              <w:ind w:left="31"/>
              <w:rPr>
                <w:rFonts w:eastAsia="SimSun"/>
              </w:rPr>
            </w:pPr>
            <w:r w:rsidRPr="00F87054">
              <w:rPr>
                <w:rFonts w:eastAsia="SimSun"/>
              </w:rPr>
              <w:t>$60.92</w:t>
            </w:r>
          </w:p>
        </w:tc>
      </w:tr>
    </w:tbl>
    <w:bookmarkEnd w:id="39"/>
    <w:p w14:paraId="6E7C2D20" w14:textId="7AF333A2" w:rsidR="00B21DED" w:rsidRPr="00B21DED" w:rsidRDefault="00B21DED" w:rsidP="00066143">
      <w:pPr>
        <w:pStyle w:val="Tablenotes0"/>
      </w:pPr>
      <w:r w:rsidRPr="00B21DED">
        <w:t>Source: Table 1</w:t>
      </w:r>
      <w:r>
        <w:t>1</w:t>
      </w:r>
      <w:r w:rsidRPr="00B21DED">
        <w:t>, p30 of the DCAR</w:t>
      </w:r>
    </w:p>
    <w:p w14:paraId="2CDC2487" w14:textId="77777777" w:rsidR="00B21DED" w:rsidRPr="00B21DED" w:rsidRDefault="00B21DED" w:rsidP="00066143">
      <w:pPr>
        <w:pStyle w:val="Tablenotes0"/>
      </w:pPr>
      <w:r w:rsidRPr="00B21DED">
        <w:t xml:space="preserve">Abbreviations: ABiC = ab-interno canaloplasty. </w:t>
      </w:r>
    </w:p>
    <w:bookmarkEnd w:id="35"/>
    <w:bookmarkEnd w:id="36"/>
    <w:p w14:paraId="4B24CBB2" w14:textId="050EBC08" w:rsidR="00F749F7" w:rsidRDefault="00F749F7" w:rsidP="00F749F7">
      <w:pPr>
        <w:rPr>
          <w:rFonts w:eastAsia="SimSun"/>
        </w:rPr>
      </w:pPr>
      <w:r w:rsidRPr="00F87054">
        <w:t xml:space="preserve">Sensitivity analyses were performed to investigate how various uncertainties on the prostheses costs and the reoperation rate impact the outcome of the economic evaluation of ABiC with microcatheter compared to micro-bypass stents. </w:t>
      </w:r>
      <w:r w:rsidRPr="00F87054">
        <w:rPr>
          <w:rFonts w:eastAsia="SimSun"/>
        </w:rPr>
        <w:t xml:space="preserve">The results are reported in </w:t>
      </w:r>
      <w:r w:rsidRPr="00F87054">
        <w:rPr>
          <w:rFonts w:eastAsia="SimSun"/>
        </w:rPr>
        <w:fldChar w:fldCharType="begin"/>
      </w:r>
      <w:r w:rsidRPr="00F87054">
        <w:rPr>
          <w:rFonts w:eastAsia="SimSun"/>
        </w:rPr>
        <w:instrText xml:space="preserve"> REF _Ref9846574 \h </w:instrText>
      </w:r>
      <w:r w:rsidRPr="00F87054">
        <w:rPr>
          <w:rFonts w:eastAsia="SimSun"/>
        </w:rPr>
      </w:r>
      <w:r w:rsidRPr="00F87054">
        <w:rPr>
          <w:rFonts w:eastAsia="SimSun"/>
        </w:rPr>
        <w:fldChar w:fldCharType="separate"/>
      </w:r>
      <w:r w:rsidRPr="00F87054">
        <w:rPr>
          <w:rFonts w:eastAsia="SimSun"/>
        </w:rPr>
        <w:t>Table</w:t>
      </w:r>
      <w:r>
        <w:rPr>
          <w:rFonts w:eastAsia="SimSun"/>
        </w:rPr>
        <w:t> </w:t>
      </w:r>
      <w:r>
        <w:rPr>
          <w:rFonts w:eastAsia="SimSun"/>
          <w:noProof/>
        </w:rPr>
        <w:t>14</w:t>
      </w:r>
      <w:r w:rsidRPr="00F87054">
        <w:rPr>
          <w:rFonts w:eastAsia="SimSun"/>
        </w:rPr>
        <w:fldChar w:fldCharType="end"/>
      </w:r>
      <w:r w:rsidRPr="00F87054">
        <w:rPr>
          <w:rFonts w:eastAsia="SimSun"/>
        </w:rPr>
        <w:t xml:space="preserve"> and </w:t>
      </w:r>
      <w:r w:rsidRPr="00F87054">
        <w:rPr>
          <w:rFonts w:eastAsia="SimSun"/>
        </w:rPr>
        <w:fldChar w:fldCharType="begin"/>
      </w:r>
      <w:r w:rsidRPr="00F87054">
        <w:rPr>
          <w:rFonts w:eastAsia="SimSun"/>
        </w:rPr>
        <w:instrText xml:space="preserve"> REF _Ref77175916 \h </w:instrText>
      </w:r>
      <w:r w:rsidRPr="00F87054">
        <w:rPr>
          <w:rFonts w:eastAsia="SimSun"/>
        </w:rPr>
      </w:r>
      <w:r w:rsidRPr="00F87054">
        <w:rPr>
          <w:rFonts w:eastAsia="SimSun"/>
        </w:rPr>
        <w:fldChar w:fldCharType="separate"/>
      </w:r>
      <w:r w:rsidRPr="00F87054">
        <w:rPr>
          <w:rFonts w:eastAsia="SimSun"/>
        </w:rPr>
        <w:t xml:space="preserve">Table </w:t>
      </w:r>
      <w:r>
        <w:rPr>
          <w:rFonts w:eastAsia="SimSun"/>
          <w:noProof/>
        </w:rPr>
        <w:t>15</w:t>
      </w:r>
      <w:r w:rsidRPr="00F87054">
        <w:rPr>
          <w:rFonts w:eastAsia="SimSun"/>
        </w:rPr>
        <w:fldChar w:fldCharType="end"/>
      </w:r>
      <w:r w:rsidRPr="00F87054">
        <w:rPr>
          <w:rFonts w:eastAsia="SimSun"/>
        </w:rPr>
        <w:t>.</w:t>
      </w:r>
    </w:p>
    <w:p w14:paraId="5DAA12C7" w14:textId="3583B7C8" w:rsidR="00F749F7" w:rsidRPr="00F87054" w:rsidRDefault="00F749F7" w:rsidP="00624B02">
      <w:pPr>
        <w:pStyle w:val="Caption"/>
        <w:spacing w:before="240"/>
        <w:rPr>
          <w:rFonts w:eastAsia="SimSun"/>
        </w:rPr>
      </w:pPr>
      <w:bookmarkStart w:id="40" w:name="_Ref9846574"/>
      <w:bookmarkStart w:id="41" w:name="_Toc10034481"/>
      <w:bookmarkStart w:id="42" w:name="_Toc10656700"/>
      <w:bookmarkStart w:id="43" w:name="_Toc81257870"/>
      <w:r w:rsidRPr="00F87054">
        <w:rPr>
          <w:rFonts w:eastAsia="SimSun"/>
        </w:rPr>
        <w:t xml:space="preserve">Table </w:t>
      </w:r>
      <w:r w:rsidRPr="00F87054">
        <w:rPr>
          <w:rFonts w:eastAsia="SimSun"/>
        </w:rPr>
        <w:fldChar w:fldCharType="begin"/>
      </w:r>
      <w:r w:rsidRPr="00F87054">
        <w:rPr>
          <w:rFonts w:eastAsia="SimSun"/>
        </w:rPr>
        <w:instrText xml:space="preserve"> SEQ Table \* ARABIC </w:instrText>
      </w:r>
      <w:r w:rsidRPr="00F87054">
        <w:rPr>
          <w:rFonts w:eastAsia="SimSun"/>
        </w:rPr>
        <w:fldChar w:fldCharType="separate"/>
      </w:r>
      <w:r>
        <w:rPr>
          <w:rFonts w:eastAsia="SimSun"/>
          <w:noProof/>
        </w:rPr>
        <w:t>14</w:t>
      </w:r>
      <w:r w:rsidRPr="00F87054">
        <w:rPr>
          <w:rFonts w:eastAsia="SimSun"/>
        </w:rPr>
        <w:fldChar w:fldCharType="end"/>
      </w:r>
      <w:bookmarkEnd w:id="40"/>
      <w:r w:rsidRPr="00F87054">
        <w:rPr>
          <w:rFonts w:eastAsia="SimSun"/>
        </w:rPr>
        <w:tab/>
        <w:t>Sensitivity analysis of the cost-minimisation model; inputs and results</w:t>
      </w:r>
      <w:bookmarkEnd w:id="41"/>
      <w:bookmarkEnd w:id="42"/>
      <w:r w:rsidRPr="00F87054">
        <w:rPr>
          <w:rFonts w:eastAsia="SimSun"/>
        </w:rPr>
        <w:t xml:space="preserve"> for standalone procedure</w:t>
      </w:r>
      <w:bookmarkEnd w:id="43"/>
    </w:p>
    <w:tbl>
      <w:tblPr>
        <w:tblStyle w:val="TableGrid23"/>
        <w:tblW w:w="0" w:type="auto"/>
        <w:tblLayout w:type="fixed"/>
        <w:tblCellMar>
          <w:left w:w="28" w:type="dxa"/>
          <w:right w:w="28" w:type="dxa"/>
        </w:tblCellMar>
        <w:tblLook w:val="04A0" w:firstRow="1" w:lastRow="0" w:firstColumn="1" w:lastColumn="0" w:noHBand="0" w:noVBand="1"/>
        <w:tblDescription w:val="Sensitivity analysis of the cost-minimisation model; inputs and results for standalone procedure"/>
      </w:tblPr>
      <w:tblGrid>
        <w:gridCol w:w="1696"/>
        <w:gridCol w:w="3861"/>
        <w:gridCol w:w="1129"/>
        <w:gridCol w:w="1134"/>
        <w:gridCol w:w="1196"/>
      </w:tblGrid>
      <w:tr w:rsidR="00F749F7" w:rsidRPr="00F87054" w14:paraId="0FE0F289" w14:textId="77777777" w:rsidTr="00F749F7">
        <w:trPr>
          <w:cnfStyle w:val="100000000000" w:firstRow="1" w:lastRow="0" w:firstColumn="0" w:lastColumn="0" w:oddVBand="0" w:evenVBand="0" w:oddHBand="0" w:evenHBand="0" w:firstRowFirstColumn="0" w:firstRowLastColumn="0" w:lastRowFirstColumn="0" w:lastRowLastColumn="0"/>
        </w:trPr>
        <w:tc>
          <w:tcPr>
            <w:tcW w:w="1696" w:type="dxa"/>
            <w:tcBorders>
              <w:right w:val="nil"/>
            </w:tcBorders>
            <w:shd w:val="clear" w:color="auto" w:fill="D9D9D9" w:themeFill="background1" w:themeFillShade="D9"/>
            <w:vAlign w:val="center"/>
          </w:tcPr>
          <w:p w14:paraId="609F4950" w14:textId="77777777" w:rsidR="00F749F7" w:rsidRPr="00F87054" w:rsidRDefault="00F749F7" w:rsidP="00920D98">
            <w:pPr>
              <w:pStyle w:val="Tabletext"/>
              <w:spacing w:before="0" w:after="0"/>
              <w:rPr>
                <w:b/>
                <w:bCs/>
              </w:rPr>
            </w:pPr>
            <w:bookmarkStart w:id="44" w:name="_Hlk78553703"/>
            <w:r w:rsidRPr="00F87054">
              <w:rPr>
                <w:b/>
                <w:bCs/>
              </w:rPr>
              <w:t>Inputs</w:t>
            </w:r>
          </w:p>
        </w:tc>
        <w:tc>
          <w:tcPr>
            <w:tcW w:w="3861" w:type="dxa"/>
            <w:tcBorders>
              <w:left w:val="nil"/>
            </w:tcBorders>
            <w:shd w:val="clear" w:color="auto" w:fill="D9D9D9" w:themeFill="background1" w:themeFillShade="D9"/>
            <w:vAlign w:val="center"/>
          </w:tcPr>
          <w:p w14:paraId="59CC66EA" w14:textId="77777777" w:rsidR="00F749F7" w:rsidRPr="00F87054" w:rsidRDefault="00F749F7" w:rsidP="00920D98">
            <w:pPr>
              <w:pStyle w:val="Tabletext"/>
              <w:spacing w:before="0" w:after="0"/>
              <w:rPr>
                <w:b/>
                <w:bCs/>
              </w:rPr>
            </w:pPr>
          </w:p>
        </w:tc>
        <w:tc>
          <w:tcPr>
            <w:tcW w:w="1129" w:type="dxa"/>
            <w:tcBorders>
              <w:right w:val="nil"/>
            </w:tcBorders>
            <w:shd w:val="clear" w:color="auto" w:fill="D9D9D9" w:themeFill="background1" w:themeFillShade="D9"/>
            <w:vAlign w:val="center"/>
          </w:tcPr>
          <w:p w14:paraId="11950B95" w14:textId="77777777" w:rsidR="00F749F7" w:rsidRPr="00F87054" w:rsidRDefault="00F749F7" w:rsidP="00920D98">
            <w:pPr>
              <w:pStyle w:val="Tabletext"/>
              <w:spacing w:before="0" w:after="0"/>
              <w:rPr>
                <w:b/>
                <w:bCs/>
              </w:rPr>
            </w:pPr>
            <w:r w:rsidRPr="00F87054">
              <w:rPr>
                <w:b/>
                <w:bCs/>
              </w:rPr>
              <w:t>Results</w:t>
            </w:r>
          </w:p>
        </w:tc>
        <w:tc>
          <w:tcPr>
            <w:tcW w:w="1134" w:type="dxa"/>
            <w:tcBorders>
              <w:left w:val="nil"/>
              <w:right w:val="nil"/>
            </w:tcBorders>
            <w:shd w:val="clear" w:color="auto" w:fill="D9D9D9" w:themeFill="background1" w:themeFillShade="D9"/>
            <w:vAlign w:val="center"/>
          </w:tcPr>
          <w:p w14:paraId="1DEA0E2D" w14:textId="77777777" w:rsidR="00F749F7" w:rsidRPr="00F87054" w:rsidRDefault="00F749F7" w:rsidP="00920D98">
            <w:pPr>
              <w:pStyle w:val="Tabletext"/>
              <w:spacing w:before="0" w:after="0"/>
              <w:rPr>
                <w:b/>
                <w:bCs/>
              </w:rPr>
            </w:pPr>
          </w:p>
        </w:tc>
        <w:tc>
          <w:tcPr>
            <w:tcW w:w="1196" w:type="dxa"/>
            <w:tcBorders>
              <w:left w:val="nil"/>
            </w:tcBorders>
            <w:shd w:val="clear" w:color="auto" w:fill="D9D9D9" w:themeFill="background1" w:themeFillShade="D9"/>
            <w:vAlign w:val="center"/>
          </w:tcPr>
          <w:p w14:paraId="372E8CEB" w14:textId="77777777" w:rsidR="00F749F7" w:rsidRPr="00F87054" w:rsidRDefault="00F749F7" w:rsidP="00920D98">
            <w:pPr>
              <w:pStyle w:val="Tabletext"/>
              <w:spacing w:before="0" w:after="0"/>
              <w:rPr>
                <w:b/>
                <w:bCs/>
              </w:rPr>
            </w:pPr>
          </w:p>
        </w:tc>
      </w:tr>
      <w:tr w:rsidR="00F749F7" w:rsidRPr="00F87054" w14:paraId="4F9BC760" w14:textId="77777777" w:rsidTr="00F749F7">
        <w:tc>
          <w:tcPr>
            <w:tcW w:w="1696" w:type="dxa"/>
            <w:tcBorders>
              <w:bottom w:val="single" w:sz="4" w:space="0" w:color="auto"/>
            </w:tcBorders>
            <w:shd w:val="clear" w:color="auto" w:fill="D9D9D9" w:themeFill="background1" w:themeFillShade="D9"/>
            <w:vAlign w:val="center"/>
          </w:tcPr>
          <w:p w14:paraId="43C5191B" w14:textId="77777777" w:rsidR="00F749F7" w:rsidRPr="00F87054" w:rsidRDefault="00F749F7" w:rsidP="00920D98">
            <w:pPr>
              <w:pStyle w:val="Tabletext"/>
              <w:spacing w:before="0" w:after="0"/>
            </w:pPr>
            <w:r w:rsidRPr="00F87054">
              <w:t xml:space="preserve">Cost category </w:t>
            </w:r>
          </w:p>
        </w:tc>
        <w:tc>
          <w:tcPr>
            <w:tcW w:w="3861" w:type="dxa"/>
            <w:shd w:val="clear" w:color="auto" w:fill="D9D9D9" w:themeFill="background1" w:themeFillShade="D9"/>
            <w:vAlign w:val="center"/>
          </w:tcPr>
          <w:p w14:paraId="7B610882" w14:textId="77777777" w:rsidR="00F749F7" w:rsidRPr="00F87054" w:rsidRDefault="00F749F7" w:rsidP="00920D98">
            <w:pPr>
              <w:pStyle w:val="Tabletext"/>
              <w:spacing w:before="0" w:after="0"/>
            </w:pPr>
            <w:r w:rsidRPr="00F87054">
              <w:t>Description of changes</w:t>
            </w:r>
          </w:p>
        </w:tc>
        <w:tc>
          <w:tcPr>
            <w:tcW w:w="1129" w:type="dxa"/>
            <w:shd w:val="clear" w:color="auto" w:fill="D9D9D9" w:themeFill="background1" w:themeFillShade="D9"/>
            <w:vAlign w:val="center"/>
          </w:tcPr>
          <w:p w14:paraId="54904C0D" w14:textId="77777777" w:rsidR="00F749F7" w:rsidRPr="00F87054" w:rsidRDefault="00F749F7" w:rsidP="00920D98">
            <w:pPr>
              <w:pStyle w:val="Tabletext"/>
              <w:spacing w:before="0" w:after="0"/>
            </w:pPr>
            <w:r w:rsidRPr="00F87054">
              <w:t xml:space="preserve">Incremental cost </w:t>
            </w:r>
          </w:p>
        </w:tc>
        <w:tc>
          <w:tcPr>
            <w:tcW w:w="1134" w:type="dxa"/>
            <w:shd w:val="clear" w:color="auto" w:fill="D9D9D9" w:themeFill="background1" w:themeFillShade="D9"/>
            <w:vAlign w:val="center"/>
          </w:tcPr>
          <w:p w14:paraId="3EC26D0F" w14:textId="77777777" w:rsidR="00F749F7" w:rsidRPr="00F87054" w:rsidRDefault="00F749F7" w:rsidP="00920D98">
            <w:pPr>
              <w:pStyle w:val="Tabletext"/>
              <w:spacing w:before="0" w:after="0"/>
            </w:pPr>
            <w:r w:rsidRPr="00F87054">
              <w:t>Change from base-case</w:t>
            </w:r>
          </w:p>
        </w:tc>
        <w:tc>
          <w:tcPr>
            <w:tcW w:w="1196" w:type="dxa"/>
            <w:tcBorders>
              <w:bottom w:val="single" w:sz="4" w:space="0" w:color="auto"/>
            </w:tcBorders>
            <w:shd w:val="clear" w:color="auto" w:fill="D9D9D9" w:themeFill="background1" w:themeFillShade="D9"/>
            <w:vAlign w:val="center"/>
          </w:tcPr>
          <w:p w14:paraId="43DEA63A" w14:textId="77777777" w:rsidR="00F749F7" w:rsidRPr="00F87054" w:rsidRDefault="00F749F7" w:rsidP="00920D98">
            <w:pPr>
              <w:pStyle w:val="Tabletext"/>
              <w:spacing w:before="0" w:after="0"/>
            </w:pPr>
            <w:r w:rsidRPr="00F87054">
              <w:t>Interpretation</w:t>
            </w:r>
          </w:p>
        </w:tc>
      </w:tr>
      <w:tr w:rsidR="00F749F7" w:rsidRPr="00F87054" w14:paraId="6DD97858" w14:textId="77777777" w:rsidTr="00F749F7">
        <w:tc>
          <w:tcPr>
            <w:tcW w:w="5557" w:type="dxa"/>
            <w:gridSpan w:val="2"/>
            <w:tcBorders>
              <w:bottom w:val="single" w:sz="4" w:space="0" w:color="auto"/>
            </w:tcBorders>
            <w:vAlign w:val="center"/>
          </w:tcPr>
          <w:p w14:paraId="263C9295" w14:textId="77777777" w:rsidR="00F749F7" w:rsidRPr="00F87054" w:rsidRDefault="00F749F7" w:rsidP="00920D98">
            <w:pPr>
              <w:pStyle w:val="Tabletext"/>
              <w:spacing w:before="0" w:after="0"/>
              <w:rPr>
                <w:b/>
                <w:bCs/>
              </w:rPr>
            </w:pPr>
            <w:r w:rsidRPr="00F87054">
              <w:rPr>
                <w:b/>
                <w:bCs/>
              </w:rPr>
              <w:t>Base case</w:t>
            </w:r>
          </w:p>
        </w:tc>
        <w:tc>
          <w:tcPr>
            <w:tcW w:w="1129" w:type="dxa"/>
            <w:vAlign w:val="center"/>
          </w:tcPr>
          <w:p w14:paraId="7CD01666" w14:textId="77777777" w:rsidR="00F749F7" w:rsidRPr="00F87054" w:rsidRDefault="00F749F7" w:rsidP="00920D98">
            <w:pPr>
              <w:pStyle w:val="Tabletext"/>
              <w:spacing w:before="0" w:after="0"/>
              <w:rPr>
                <w:b/>
                <w:bCs/>
              </w:rPr>
            </w:pPr>
            <w:r w:rsidRPr="00F87054">
              <w:rPr>
                <w:b/>
                <w:bCs/>
              </w:rPr>
              <w:t xml:space="preserve">$43.40 </w:t>
            </w:r>
          </w:p>
        </w:tc>
        <w:tc>
          <w:tcPr>
            <w:tcW w:w="1134" w:type="dxa"/>
            <w:vAlign w:val="center"/>
          </w:tcPr>
          <w:p w14:paraId="55F830B4" w14:textId="77777777" w:rsidR="00F749F7" w:rsidRPr="00F87054" w:rsidRDefault="00F749F7" w:rsidP="00920D98">
            <w:pPr>
              <w:pStyle w:val="Tabletext"/>
              <w:spacing w:before="0" w:after="0"/>
              <w:rPr>
                <w:b/>
                <w:bCs/>
              </w:rPr>
            </w:pPr>
            <w:r w:rsidRPr="00F87054">
              <w:rPr>
                <w:b/>
                <w:bCs/>
              </w:rPr>
              <w:t>n/a</w:t>
            </w:r>
          </w:p>
        </w:tc>
        <w:tc>
          <w:tcPr>
            <w:tcW w:w="1196" w:type="dxa"/>
            <w:tcBorders>
              <w:bottom w:val="single" w:sz="4" w:space="0" w:color="auto"/>
            </w:tcBorders>
            <w:vAlign w:val="center"/>
          </w:tcPr>
          <w:p w14:paraId="2D7147BA" w14:textId="77777777" w:rsidR="00F749F7" w:rsidRPr="00F87054" w:rsidRDefault="00F749F7" w:rsidP="00920D98">
            <w:pPr>
              <w:pStyle w:val="Tabletext"/>
              <w:spacing w:before="0" w:after="0"/>
              <w:rPr>
                <w:b/>
                <w:bCs/>
              </w:rPr>
            </w:pPr>
          </w:p>
        </w:tc>
      </w:tr>
      <w:tr w:rsidR="00F749F7" w:rsidRPr="00F87054" w14:paraId="36C74500" w14:textId="77777777" w:rsidTr="00F749F7">
        <w:tc>
          <w:tcPr>
            <w:tcW w:w="1696" w:type="dxa"/>
            <w:tcBorders>
              <w:bottom w:val="single" w:sz="4" w:space="0" w:color="auto"/>
            </w:tcBorders>
            <w:vAlign w:val="center"/>
          </w:tcPr>
          <w:p w14:paraId="4AEAB6A3" w14:textId="77777777" w:rsidR="00F749F7" w:rsidRPr="00F87054" w:rsidRDefault="00F749F7" w:rsidP="00920D98">
            <w:pPr>
              <w:pStyle w:val="Tabletext"/>
              <w:spacing w:before="0" w:after="0"/>
              <w:rPr>
                <w:bCs/>
              </w:rPr>
            </w:pPr>
            <w:bookmarkStart w:id="45" w:name="_Hlk77101025"/>
            <w:r w:rsidRPr="00F87054">
              <w:rPr>
                <w:bCs/>
              </w:rPr>
              <w:t>Prosthesis cost</w:t>
            </w:r>
          </w:p>
        </w:tc>
        <w:tc>
          <w:tcPr>
            <w:tcW w:w="3861" w:type="dxa"/>
            <w:vAlign w:val="center"/>
          </w:tcPr>
          <w:p w14:paraId="296D6FFF" w14:textId="77777777" w:rsidR="00F749F7" w:rsidRPr="00F87054" w:rsidRDefault="00F749F7" w:rsidP="00920D98">
            <w:pPr>
              <w:pStyle w:val="Tabletext"/>
              <w:spacing w:before="0" w:after="0"/>
              <w:rPr>
                <w:bCs/>
              </w:rPr>
            </w:pPr>
          </w:p>
        </w:tc>
        <w:tc>
          <w:tcPr>
            <w:tcW w:w="1129" w:type="dxa"/>
            <w:vAlign w:val="center"/>
          </w:tcPr>
          <w:p w14:paraId="666E48E0" w14:textId="77777777" w:rsidR="00F749F7" w:rsidRPr="00F87054" w:rsidRDefault="00F749F7" w:rsidP="00920D98">
            <w:pPr>
              <w:pStyle w:val="Tabletext"/>
              <w:spacing w:before="0" w:after="0"/>
              <w:rPr>
                <w:bCs/>
              </w:rPr>
            </w:pPr>
          </w:p>
        </w:tc>
        <w:tc>
          <w:tcPr>
            <w:tcW w:w="1134" w:type="dxa"/>
            <w:vAlign w:val="center"/>
          </w:tcPr>
          <w:p w14:paraId="2FEE9EE7" w14:textId="77777777" w:rsidR="00F749F7" w:rsidRPr="00F87054" w:rsidRDefault="00F749F7" w:rsidP="00920D98">
            <w:pPr>
              <w:pStyle w:val="Tabletext"/>
              <w:spacing w:before="0" w:after="0"/>
              <w:rPr>
                <w:bCs/>
              </w:rPr>
            </w:pPr>
          </w:p>
        </w:tc>
        <w:tc>
          <w:tcPr>
            <w:tcW w:w="1196" w:type="dxa"/>
            <w:tcBorders>
              <w:bottom w:val="single" w:sz="4" w:space="0" w:color="auto"/>
            </w:tcBorders>
            <w:vAlign w:val="center"/>
          </w:tcPr>
          <w:p w14:paraId="7052E27A" w14:textId="77777777" w:rsidR="00F749F7" w:rsidRPr="00F87054" w:rsidRDefault="00F749F7" w:rsidP="00920D98">
            <w:pPr>
              <w:pStyle w:val="Tabletext"/>
              <w:spacing w:before="0" w:after="0"/>
              <w:rPr>
                <w:bCs/>
              </w:rPr>
            </w:pPr>
          </w:p>
        </w:tc>
      </w:tr>
      <w:tr w:rsidR="00F749F7" w:rsidRPr="00F87054" w14:paraId="45B37746" w14:textId="77777777" w:rsidTr="00F749F7">
        <w:tc>
          <w:tcPr>
            <w:tcW w:w="1696" w:type="dxa"/>
            <w:tcBorders>
              <w:bottom w:val="single" w:sz="4" w:space="0" w:color="auto"/>
            </w:tcBorders>
            <w:vAlign w:val="center"/>
          </w:tcPr>
          <w:p w14:paraId="15AEF362" w14:textId="77777777" w:rsidR="00F749F7" w:rsidRPr="00F87054" w:rsidRDefault="00F749F7" w:rsidP="00920D98">
            <w:pPr>
              <w:pStyle w:val="Tabletext"/>
              <w:spacing w:before="0" w:after="0"/>
              <w:rPr>
                <w:bCs/>
              </w:rPr>
            </w:pPr>
          </w:p>
        </w:tc>
        <w:tc>
          <w:tcPr>
            <w:tcW w:w="3861" w:type="dxa"/>
            <w:vAlign w:val="center"/>
          </w:tcPr>
          <w:p w14:paraId="73BBBD08" w14:textId="32DBEEFB" w:rsidR="00F749F7" w:rsidRPr="00F87054" w:rsidRDefault="00F749F7" w:rsidP="00920D98">
            <w:pPr>
              <w:pStyle w:val="Tabletext"/>
              <w:spacing w:before="0" w:after="0"/>
              <w:rPr>
                <w:bCs/>
              </w:rPr>
            </w:pPr>
            <w:r w:rsidRPr="00F87054">
              <w:rPr>
                <w:bCs/>
              </w:rPr>
              <w:t xml:space="preserve">Microcatheter device cost </w:t>
            </w:r>
            <w:r w:rsidRPr="000466D0">
              <w:rPr>
                <w:bCs/>
              </w:rPr>
              <w:t>(iTrack)</w:t>
            </w:r>
            <w:r w:rsidRPr="00F87054">
              <w:rPr>
                <w:bCs/>
              </w:rPr>
              <w:t xml:space="preserve"> +20% of the average cost of the micro-bypass stent ($1,623.60)</w:t>
            </w:r>
          </w:p>
        </w:tc>
        <w:tc>
          <w:tcPr>
            <w:tcW w:w="1129" w:type="dxa"/>
            <w:vAlign w:val="center"/>
          </w:tcPr>
          <w:p w14:paraId="044FD239" w14:textId="77777777" w:rsidR="00F749F7" w:rsidRPr="00F87054" w:rsidRDefault="00F749F7" w:rsidP="00920D98">
            <w:pPr>
              <w:pStyle w:val="Tabletext"/>
              <w:spacing w:before="0" w:after="0"/>
              <w:rPr>
                <w:bCs/>
              </w:rPr>
            </w:pPr>
            <w:r w:rsidRPr="00F87054">
              <w:rPr>
                <w:bCs/>
              </w:rPr>
              <w:t>$314.00</w:t>
            </w:r>
          </w:p>
        </w:tc>
        <w:tc>
          <w:tcPr>
            <w:tcW w:w="1134" w:type="dxa"/>
            <w:vAlign w:val="center"/>
          </w:tcPr>
          <w:p w14:paraId="054080FE" w14:textId="77777777" w:rsidR="00F749F7" w:rsidRPr="00F87054" w:rsidRDefault="00F749F7" w:rsidP="00920D98">
            <w:pPr>
              <w:pStyle w:val="Tabletext"/>
              <w:spacing w:before="0" w:after="0"/>
              <w:rPr>
                <w:bCs/>
              </w:rPr>
            </w:pPr>
            <w:r w:rsidRPr="00F87054">
              <w:rPr>
                <w:bCs/>
              </w:rPr>
              <w:t>$270.60</w:t>
            </w:r>
          </w:p>
        </w:tc>
        <w:tc>
          <w:tcPr>
            <w:tcW w:w="1196" w:type="dxa"/>
            <w:tcBorders>
              <w:bottom w:val="single" w:sz="4" w:space="0" w:color="auto"/>
            </w:tcBorders>
            <w:vAlign w:val="center"/>
          </w:tcPr>
          <w:p w14:paraId="16A1512A" w14:textId="77777777" w:rsidR="00F749F7" w:rsidRPr="00F87054" w:rsidRDefault="00F749F7" w:rsidP="00920D98">
            <w:pPr>
              <w:pStyle w:val="Tabletext"/>
              <w:spacing w:before="0" w:after="0"/>
              <w:rPr>
                <w:bCs/>
              </w:rPr>
            </w:pPr>
            <w:r w:rsidRPr="00F87054">
              <w:rPr>
                <w:bCs/>
              </w:rPr>
              <w:t>Non-favourable</w:t>
            </w:r>
          </w:p>
        </w:tc>
      </w:tr>
      <w:tr w:rsidR="00F749F7" w:rsidRPr="00F87054" w14:paraId="150BC544" w14:textId="77777777" w:rsidTr="00F749F7">
        <w:tc>
          <w:tcPr>
            <w:tcW w:w="1696" w:type="dxa"/>
            <w:tcBorders>
              <w:bottom w:val="single" w:sz="4" w:space="0" w:color="auto"/>
            </w:tcBorders>
            <w:vAlign w:val="center"/>
          </w:tcPr>
          <w:p w14:paraId="10F3890E" w14:textId="77777777" w:rsidR="00F749F7" w:rsidRPr="00F87054" w:rsidRDefault="00F749F7" w:rsidP="00920D98">
            <w:pPr>
              <w:pStyle w:val="Tabletext"/>
              <w:spacing w:before="0" w:after="0"/>
              <w:rPr>
                <w:bCs/>
              </w:rPr>
            </w:pPr>
          </w:p>
        </w:tc>
        <w:tc>
          <w:tcPr>
            <w:tcW w:w="3861" w:type="dxa"/>
            <w:vAlign w:val="center"/>
          </w:tcPr>
          <w:p w14:paraId="69DDA2A5" w14:textId="54F8C453" w:rsidR="00F749F7" w:rsidRPr="00F87054" w:rsidRDefault="00F749F7" w:rsidP="00920D98">
            <w:pPr>
              <w:pStyle w:val="Tabletext"/>
              <w:spacing w:before="0" w:after="0"/>
              <w:rPr>
                <w:bCs/>
              </w:rPr>
            </w:pPr>
            <w:r w:rsidRPr="00F87054">
              <w:rPr>
                <w:bCs/>
              </w:rPr>
              <w:t xml:space="preserve">Microcatheter device cost </w:t>
            </w:r>
            <w:r w:rsidRPr="000466D0">
              <w:rPr>
                <w:bCs/>
              </w:rPr>
              <w:t>(iTrack)</w:t>
            </w:r>
            <w:r w:rsidRPr="00F87054">
              <w:rPr>
                <w:bCs/>
              </w:rPr>
              <w:t xml:space="preserve"> -20% of the average cost of the micro-bypass stent ($1,082.40)</w:t>
            </w:r>
          </w:p>
        </w:tc>
        <w:tc>
          <w:tcPr>
            <w:tcW w:w="1129" w:type="dxa"/>
            <w:vAlign w:val="center"/>
          </w:tcPr>
          <w:p w14:paraId="76B5757F" w14:textId="77777777" w:rsidR="00F749F7" w:rsidRPr="00F87054" w:rsidRDefault="00F749F7" w:rsidP="00920D98">
            <w:pPr>
              <w:pStyle w:val="Tabletext"/>
              <w:spacing w:before="0" w:after="0"/>
              <w:rPr>
                <w:bCs/>
              </w:rPr>
            </w:pPr>
            <w:r w:rsidRPr="00F87054" w:rsidDel="000A1694">
              <w:rPr>
                <w:bCs/>
              </w:rPr>
              <w:t>-$</w:t>
            </w:r>
            <w:r w:rsidRPr="00F87054">
              <w:rPr>
                <w:bCs/>
              </w:rPr>
              <w:t>227.20</w:t>
            </w:r>
          </w:p>
        </w:tc>
        <w:tc>
          <w:tcPr>
            <w:tcW w:w="1134" w:type="dxa"/>
            <w:vAlign w:val="center"/>
          </w:tcPr>
          <w:p w14:paraId="2A697602" w14:textId="77777777" w:rsidR="00F749F7" w:rsidRPr="00F87054" w:rsidRDefault="00F749F7" w:rsidP="00920D98">
            <w:pPr>
              <w:pStyle w:val="Tabletext"/>
              <w:spacing w:before="0" w:after="0"/>
              <w:rPr>
                <w:bCs/>
              </w:rPr>
            </w:pPr>
            <w:r w:rsidRPr="00F87054">
              <w:rPr>
                <w:bCs/>
              </w:rPr>
              <w:t>$-270.60</w:t>
            </w:r>
          </w:p>
        </w:tc>
        <w:tc>
          <w:tcPr>
            <w:tcW w:w="1196" w:type="dxa"/>
            <w:tcBorders>
              <w:bottom w:val="single" w:sz="4" w:space="0" w:color="auto"/>
            </w:tcBorders>
            <w:vAlign w:val="center"/>
          </w:tcPr>
          <w:p w14:paraId="2AE101B8" w14:textId="77777777" w:rsidR="00F749F7" w:rsidRPr="00F87054" w:rsidRDefault="00F749F7" w:rsidP="00920D98">
            <w:pPr>
              <w:pStyle w:val="Tabletext"/>
              <w:spacing w:before="0" w:after="0"/>
              <w:rPr>
                <w:bCs/>
              </w:rPr>
            </w:pPr>
            <w:r w:rsidRPr="00F87054">
              <w:rPr>
                <w:bCs/>
              </w:rPr>
              <w:t>Favourable</w:t>
            </w:r>
          </w:p>
        </w:tc>
      </w:tr>
      <w:tr w:rsidR="00F749F7" w:rsidRPr="00F87054" w14:paraId="329341B4" w14:textId="77777777" w:rsidTr="00F749F7">
        <w:tc>
          <w:tcPr>
            <w:tcW w:w="1696" w:type="dxa"/>
            <w:vAlign w:val="center"/>
          </w:tcPr>
          <w:p w14:paraId="7F9B77DF" w14:textId="77777777" w:rsidR="00F749F7" w:rsidRPr="00F87054" w:rsidRDefault="00F749F7" w:rsidP="00920D98">
            <w:pPr>
              <w:pStyle w:val="Tabletext"/>
              <w:spacing w:before="0" w:after="0"/>
            </w:pPr>
            <w:r w:rsidRPr="00F87054">
              <w:t xml:space="preserve">Cost of reoperations </w:t>
            </w:r>
          </w:p>
        </w:tc>
        <w:tc>
          <w:tcPr>
            <w:tcW w:w="3861" w:type="dxa"/>
            <w:vAlign w:val="center"/>
          </w:tcPr>
          <w:p w14:paraId="0A52B2BB" w14:textId="77777777" w:rsidR="00F749F7" w:rsidRPr="00F87054" w:rsidRDefault="00F749F7" w:rsidP="00920D98">
            <w:pPr>
              <w:pStyle w:val="Tabletext"/>
              <w:spacing w:before="0" w:after="0"/>
            </w:pPr>
            <w:r w:rsidRPr="00F87054">
              <w:t>Reoperation rate post-ABiC with microcatheter equivalent to that for micro-bypass stent insertion (4.1%)</w:t>
            </w:r>
          </w:p>
        </w:tc>
        <w:tc>
          <w:tcPr>
            <w:tcW w:w="1129" w:type="dxa"/>
            <w:vAlign w:val="center"/>
          </w:tcPr>
          <w:p w14:paraId="219F6835" w14:textId="77777777" w:rsidR="00F749F7" w:rsidRPr="00F87054" w:rsidRDefault="00F749F7" w:rsidP="00920D98">
            <w:pPr>
              <w:pStyle w:val="Tabletext"/>
              <w:spacing w:before="0" w:after="0"/>
            </w:pPr>
            <w:r w:rsidRPr="00F87054">
              <w:t>$0</w:t>
            </w:r>
          </w:p>
        </w:tc>
        <w:tc>
          <w:tcPr>
            <w:tcW w:w="1134" w:type="dxa"/>
            <w:vAlign w:val="center"/>
          </w:tcPr>
          <w:p w14:paraId="7B6D7C89" w14:textId="77777777" w:rsidR="00F749F7" w:rsidRPr="00F87054" w:rsidRDefault="00F749F7" w:rsidP="00920D98">
            <w:pPr>
              <w:pStyle w:val="Tabletext"/>
              <w:spacing w:before="0" w:after="0"/>
            </w:pPr>
            <w:r w:rsidRPr="00F87054">
              <w:t>-$43.40</w:t>
            </w:r>
          </w:p>
        </w:tc>
        <w:tc>
          <w:tcPr>
            <w:tcW w:w="1196" w:type="dxa"/>
            <w:tcBorders>
              <w:top w:val="single" w:sz="4" w:space="0" w:color="auto"/>
            </w:tcBorders>
            <w:vAlign w:val="center"/>
          </w:tcPr>
          <w:p w14:paraId="324F9852" w14:textId="77777777" w:rsidR="00F749F7" w:rsidRPr="00F87054" w:rsidRDefault="00F749F7" w:rsidP="00920D98">
            <w:pPr>
              <w:pStyle w:val="Tabletext"/>
              <w:spacing w:before="0" w:after="0"/>
            </w:pPr>
            <w:r w:rsidRPr="00F87054">
              <w:t xml:space="preserve">Favourable </w:t>
            </w:r>
          </w:p>
        </w:tc>
      </w:tr>
    </w:tbl>
    <w:bookmarkEnd w:id="44"/>
    <w:bookmarkEnd w:id="45"/>
    <w:p w14:paraId="19EE8733" w14:textId="77777777" w:rsidR="00F749F7" w:rsidRPr="00F749F7" w:rsidRDefault="00F749F7" w:rsidP="00066143">
      <w:pPr>
        <w:pStyle w:val="Tablenotes0"/>
      </w:pPr>
      <w:r w:rsidRPr="00F749F7">
        <w:t xml:space="preserve">Source: Table 41, </w:t>
      </w:r>
      <w:proofErr w:type="spellStart"/>
      <w:r w:rsidRPr="00F749F7">
        <w:t>pg</w:t>
      </w:r>
      <w:proofErr w:type="spellEnd"/>
      <w:r w:rsidRPr="00F749F7">
        <w:t xml:space="preserve"> 101 of the DCAR</w:t>
      </w:r>
    </w:p>
    <w:p w14:paraId="564C6DE8" w14:textId="03ACDEDD" w:rsidR="00F749F7" w:rsidRPr="00F749F7" w:rsidRDefault="00F749F7" w:rsidP="00066143">
      <w:pPr>
        <w:pStyle w:val="Tablenotes0"/>
      </w:pPr>
      <w:r w:rsidRPr="00F749F7">
        <w:t xml:space="preserve">Abbreviation: ABiC = ab-interno </w:t>
      </w:r>
      <w:proofErr w:type="gramStart"/>
      <w:r w:rsidRPr="00F749F7">
        <w:t>canaloplasty ;</w:t>
      </w:r>
      <w:proofErr w:type="gramEnd"/>
      <w:r w:rsidRPr="00F749F7">
        <w:t xml:space="preserve"> n/a = not applicable</w:t>
      </w:r>
    </w:p>
    <w:p w14:paraId="4D213D1D" w14:textId="77777777" w:rsidR="00F749F7" w:rsidRPr="00F87054" w:rsidRDefault="00F749F7" w:rsidP="00066143">
      <w:pPr>
        <w:pStyle w:val="Tablenotes0"/>
      </w:pPr>
      <w:r w:rsidRPr="00F749F7">
        <w:rPr>
          <w:bCs/>
        </w:rPr>
        <w:t>Notes: The favourable</w:t>
      </w:r>
      <w:r w:rsidRPr="00F87054">
        <w:t xml:space="preserve">/non-favourable interpretation relates to microcatheter relative to the comparator. </w:t>
      </w:r>
    </w:p>
    <w:p w14:paraId="798F473C" w14:textId="0B64E3C2" w:rsidR="00F749F7" w:rsidRPr="00F87054" w:rsidRDefault="00F749F7" w:rsidP="00F749F7">
      <w:pPr>
        <w:pStyle w:val="Caption"/>
        <w:rPr>
          <w:rFonts w:eastAsia="SimSun"/>
        </w:rPr>
      </w:pPr>
      <w:bookmarkStart w:id="46" w:name="_Ref77175916"/>
      <w:bookmarkStart w:id="47" w:name="_Toc81257871"/>
      <w:r w:rsidRPr="00F87054">
        <w:rPr>
          <w:rFonts w:eastAsia="SimSun"/>
        </w:rPr>
        <w:t xml:space="preserve">Table </w:t>
      </w:r>
      <w:r w:rsidRPr="00F87054">
        <w:rPr>
          <w:rFonts w:eastAsia="SimSun"/>
        </w:rPr>
        <w:fldChar w:fldCharType="begin"/>
      </w:r>
      <w:r w:rsidRPr="00F87054">
        <w:rPr>
          <w:rFonts w:eastAsia="SimSun"/>
        </w:rPr>
        <w:instrText xml:space="preserve"> SEQ Table \* ARABIC </w:instrText>
      </w:r>
      <w:r w:rsidRPr="00F87054">
        <w:rPr>
          <w:rFonts w:eastAsia="SimSun"/>
        </w:rPr>
        <w:fldChar w:fldCharType="separate"/>
      </w:r>
      <w:r>
        <w:rPr>
          <w:rFonts w:eastAsia="SimSun"/>
          <w:noProof/>
        </w:rPr>
        <w:t>15</w:t>
      </w:r>
      <w:r w:rsidRPr="00F87054">
        <w:rPr>
          <w:rFonts w:eastAsia="SimSun"/>
        </w:rPr>
        <w:fldChar w:fldCharType="end"/>
      </w:r>
      <w:bookmarkEnd w:id="46"/>
      <w:r w:rsidRPr="00F87054">
        <w:rPr>
          <w:rFonts w:eastAsia="SimSun"/>
        </w:rPr>
        <w:tab/>
        <w:t xml:space="preserve">Sensitivity analysis of the cost-minimisation model; inputs and results for procedure with </w:t>
      </w:r>
      <w:r>
        <w:rPr>
          <w:rFonts w:eastAsia="SimSun"/>
        </w:rPr>
        <w:t>concurrent</w:t>
      </w:r>
      <w:r w:rsidRPr="00F87054">
        <w:rPr>
          <w:rFonts w:eastAsia="SimSun"/>
        </w:rPr>
        <w:t xml:space="preserve"> cataract surgery</w:t>
      </w:r>
      <w:bookmarkEnd w:id="47"/>
    </w:p>
    <w:tbl>
      <w:tblPr>
        <w:tblStyle w:val="TableGrid23"/>
        <w:tblW w:w="0" w:type="auto"/>
        <w:tblLayout w:type="fixed"/>
        <w:tblCellMar>
          <w:left w:w="28" w:type="dxa"/>
          <w:right w:w="28" w:type="dxa"/>
        </w:tblCellMar>
        <w:tblLook w:val="04A0" w:firstRow="1" w:lastRow="0" w:firstColumn="1" w:lastColumn="0" w:noHBand="0" w:noVBand="1"/>
        <w:tblDescription w:val="Sensitivity analysis of the cost-minimisation model; inputs and results for procedure with concurrent cataract surgery"/>
      </w:tblPr>
      <w:tblGrid>
        <w:gridCol w:w="1413"/>
        <w:gridCol w:w="4252"/>
        <w:gridCol w:w="1021"/>
        <w:gridCol w:w="1134"/>
        <w:gridCol w:w="1196"/>
      </w:tblGrid>
      <w:tr w:rsidR="00F749F7" w:rsidRPr="00F87054" w14:paraId="18DF7B2F" w14:textId="77777777" w:rsidTr="00F749F7">
        <w:trPr>
          <w:cnfStyle w:val="100000000000" w:firstRow="1" w:lastRow="0" w:firstColumn="0" w:lastColumn="0" w:oddVBand="0" w:evenVBand="0" w:oddHBand="0" w:evenHBand="0" w:firstRowFirstColumn="0" w:firstRowLastColumn="0" w:lastRowFirstColumn="0" w:lastRowLastColumn="0"/>
          <w:tblHeader/>
        </w:trPr>
        <w:tc>
          <w:tcPr>
            <w:tcW w:w="1413" w:type="dxa"/>
            <w:tcBorders>
              <w:right w:val="nil"/>
            </w:tcBorders>
            <w:shd w:val="clear" w:color="auto" w:fill="D9D9D9" w:themeFill="background1" w:themeFillShade="D9"/>
            <w:vAlign w:val="center"/>
          </w:tcPr>
          <w:p w14:paraId="08ACD0DF" w14:textId="77777777" w:rsidR="00F749F7" w:rsidRPr="00F87054" w:rsidRDefault="00F749F7" w:rsidP="00920D98">
            <w:pPr>
              <w:pStyle w:val="Tabletext"/>
              <w:spacing w:before="0" w:after="0"/>
              <w:rPr>
                <w:b/>
                <w:bCs/>
              </w:rPr>
            </w:pPr>
            <w:r w:rsidRPr="00F87054">
              <w:rPr>
                <w:b/>
                <w:bCs/>
              </w:rPr>
              <w:t>Inputs</w:t>
            </w:r>
          </w:p>
        </w:tc>
        <w:tc>
          <w:tcPr>
            <w:tcW w:w="4252" w:type="dxa"/>
            <w:tcBorders>
              <w:left w:val="nil"/>
            </w:tcBorders>
            <w:shd w:val="clear" w:color="auto" w:fill="D9D9D9" w:themeFill="background1" w:themeFillShade="D9"/>
            <w:vAlign w:val="center"/>
          </w:tcPr>
          <w:p w14:paraId="68D5A917" w14:textId="77777777" w:rsidR="00F749F7" w:rsidRPr="00F87054" w:rsidRDefault="00F749F7" w:rsidP="00920D98">
            <w:pPr>
              <w:pStyle w:val="Tabletext"/>
              <w:spacing w:before="0" w:after="0"/>
              <w:rPr>
                <w:b/>
                <w:bCs/>
              </w:rPr>
            </w:pPr>
          </w:p>
        </w:tc>
        <w:tc>
          <w:tcPr>
            <w:tcW w:w="1021" w:type="dxa"/>
            <w:tcBorders>
              <w:right w:val="nil"/>
            </w:tcBorders>
            <w:shd w:val="clear" w:color="auto" w:fill="D9D9D9" w:themeFill="background1" w:themeFillShade="D9"/>
            <w:vAlign w:val="center"/>
          </w:tcPr>
          <w:p w14:paraId="67C4CC64" w14:textId="77777777" w:rsidR="00F749F7" w:rsidRPr="00F87054" w:rsidRDefault="00F749F7" w:rsidP="00920D98">
            <w:pPr>
              <w:pStyle w:val="Tabletext"/>
              <w:spacing w:before="0" w:after="0"/>
              <w:rPr>
                <w:b/>
                <w:bCs/>
              </w:rPr>
            </w:pPr>
            <w:r w:rsidRPr="00F87054">
              <w:rPr>
                <w:b/>
                <w:bCs/>
              </w:rPr>
              <w:t>Results</w:t>
            </w:r>
          </w:p>
        </w:tc>
        <w:tc>
          <w:tcPr>
            <w:tcW w:w="1134" w:type="dxa"/>
            <w:tcBorders>
              <w:left w:val="nil"/>
              <w:right w:val="nil"/>
            </w:tcBorders>
            <w:shd w:val="clear" w:color="auto" w:fill="D9D9D9" w:themeFill="background1" w:themeFillShade="D9"/>
            <w:vAlign w:val="center"/>
          </w:tcPr>
          <w:p w14:paraId="03E20DE5" w14:textId="77777777" w:rsidR="00F749F7" w:rsidRPr="00F87054" w:rsidRDefault="00F749F7" w:rsidP="00920D98">
            <w:pPr>
              <w:pStyle w:val="Tabletext"/>
              <w:spacing w:before="0" w:after="0"/>
              <w:rPr>
                <w:b/>
                <w:bCs/>
              </w:rPr>
            </w:pPr>
          </w:p>
        </w:tc>
        <w:tc>
          <w:tcPr>
            <w:tcW w:w="1196" w:type="dxa"/>
            <w:tcBorders>
              <w:left w:val="nil"/>
            </w:tcBorders>
            <w:shd w:val="clear" w:color="auto" w:fill="D9D9D9" w:themeFill="background1" w:themeFillShade="D9"/>
            <w:vAlign w:val="center"/>
          </w:tcPr>
          <w:p w14:paraId="123BBD72" w14:textId="77777777" w:rsidR="00F749F7" w:rsidRPr="00F87054" w:rsidRDefault="00F749F7" w:rsidP="00920D98">
            <w:pPr>
              <w:pStyle w:val="Tabletext"/>
              <w:spacing w:before="0" w:after="0"/>
              <w:rPr>
                <w:b/>
                <w:bCs/>
              </w:rPr>
            </w:pPr>
          </w:p>
        </w:tc>
      </w:tr>
      <w:tr w:rsidR="00F749F7" w:rsidRPr="00F87054" w14:paraId="1FAF7AAB" w14:textId="77777777" w:rsidTr="00F749F7">
        <w:trPr>
          <w:cnfStyle w:val="100000000000" w:firstRow="1" w:lastRow="0" w:firstColumn="0" w:lastColumn="0" w:oddVBand="0" w:evenVBand="0" w:oddHBand="0" w:evenHBand="0" w:firstRowFirstColumn="0" w:firstRowLastColumn="0" w:lastRowFirstColumn="0" w:lastRowLastColumn="0"/>
          <w:tblHeader/>
        </w:trPr>
        <w:tc>
          <w:tcPr>
            <w:tcW w:w="1413" w:type="dxa"/>
            <w:tcBorders>
              <w:bottom w:val="single" w:sz="4" w:space="0" w:color="auto"/>
            </w:tcBorders>
            <w:shd w:val="clear" w:color="auto" w:fill="D9D9D9" w:themeFill="background1" w:themeFillShade="D9"/>
            <w:vAlign w:val="center"/>
          </w:tcPr>
          <w:p w14:paraId="50857976" w14:textId="77777777" w:rsidR="00F749F7" w:rsidRPr="00F87054" w:rsidRDefault="00F749F7" w:rsidP="00920D98">
            <w:pPr>
              <w:pStyle w:val="Tabletext"/>
              <w:spacing w:before="0" w:after="0"/>
            </w:pPr>
            <w:r w:rsidRPr="00F87054">
              <w:t xml:space="preserve">Cost category </w:t>
            </w:r>
          </w:p>
        </w:tc>
        <w:tc>
          <w:tcPr>
            <w:tcW w:w="4252" w:type="dxa"/>
            <w:shd w:val="clear" w:color="auto" w:fill="D9D9D9" w:themeFill="background1" w:themeFillShade="D9"/>
            <w:vAlign w:val="center"/>
          </w:tcPr>
          <w:p w14:paraId="2B919755" w14:textId="77777777" w:rsidR="00F749F7" w:rsidRPr="00F87054" w:rsidRDefault="00F749F7" w:rsidP="00920D98">
            <w:pPr>
              <w:pStyle w:val="Tabletext"/>
              <w:spacing w:before="0" w:after="0"/>
            </w:pPr>
            <w:r w:rsidRPr="00F87054">
              <w:t>Description of changes</w:t>
            </w:r>
          </w:p>
        </w:tc>
        <w:tc>
          <w:tcPr>
            <w:tcW w:w="1021" w:type="dxa"/>
            <w:shd w:val="clear" w:color="auto" w:fill="D9D9D9" w:themeFill="background1" w:themeFillShade="D9"/>
            <w:vAlign w:val="center"/>
          </w:tcPr>
          <w:p w14:paraId="0B676E33" w14:textId="77777777" w:rsidR="00F749F7" w:rsidRPr="00F87054" w:rsidRDefault="00F749F7" w:rsidP="00920D98">
            <w:pPr>
              <w:pStyle w:val="Tabletext"/>
              <w:spacing w:before="0" w:after="0"/>
            </w:pPr>
            <w:r w:rsidRPr="00F87054">
              <w:t xml:space="preserve">Incremental cost </w:t>
            </w:r>
          </w:p>
        </w:tc>
        <w:tc>
          <w:tcPr>
            <w:tcW w:w="1134" w:type="dxa"/>
            <w:shd w:val="clear" w:color="auto" w:fill="D9D9D9" w:themeFill="background1" w:themeFillShade="D9"/>
            <w:vAlign w:val="center"/>
          </w:tcPr>
          <w:p w14:paraId="19FB5799" w14:textId="77777777" w:rsidR="00F749F7" w:rsidRPr="00F87054" w:rsidRDefault="00F749F7" w:rsidP="00920D98">
            <w:pPr>
              <w:pStyle w:val="Tabletext"/>
              <w:spacing w:before="0" w:after="0"/>
            </w:pPr>
            <w:r w:rsidRPr="00F87054">
              <w:t>Change from base-case</w:t>
            </w:r>
          </w:p>
        </w:tc>
        <w:tc>
          <w:tcPr>
            <w:tcW w:w="1196" w:type="dxa"/>
            <w:tcBorders>
              <w:bottom w:val="single" w:sz="4" w:space="0" w:color="auto"/>
            </w:tcBorders>
            <w:shd w:val="clear" w:color="auto" w:fill="D9D9D9" w:themeFill="background1" w:themeFillShade="D9"/>
            <w:vAlign w:val="center"/>
          </w:tcPr>
          <w:p w14:paraId="5A5C3D7B" w14:textId="77777777" w:rsidR="00F749F7" w:rsidRPr="00F87054" w:rsidRDefault="00F749F7" w:rsidP="00920D98">
            <w:pPr>
              <w:pStyle w:val="Tabletext"/>
              <w:spacing w:before="0" w:after="0"/>
            </w:pPr>
            <w:r w:rsidRPr="00F87054">
              <w:t>Interpretation</w:t>
            </w:r>
          </w:p>
        </w:tc>
      </w:tr>
      <w:tr w:rsidR="00F749F7" w:rsidRPr="00F87054" w14:paraId="39F658B9" w14:textId="77777777" w:rsidTr="00F749F7">
        <w:tc>
          <w:tcPr>
            <w:tcW w:w="5665" w:type="dxa"/>
            <w:gridSpan w:val="2"/>
            <w:tcBorders>
              <w:bottom w:val="single" w:sz="4" w:space="0" w:color="auto"/>
            </w:tcBorders>
            <w:vAlign w:val="center"/>
          </w:tcPr>
          <w:p w14:paraId="2A01A393" w14:textId="77777777" w:rsidR="00F749F7" w:rsidRPr="00F87054" w:rsidRDefault="00F749F7" w:rsidP="00920D98">
            <w:pPr>
              <w:pStyle w:val="Tabletext"/>
              <w:spacing w:before="0" w:after="0"/>
              <w:rPr>
                <w:b/>
                <w:bCs/>
              </w:rPr>
            </w:pPr>
            <w:r w:rsidRPr="00F87054">
              <w:rPr>
                <w:b/>
                <w:bCs/>
              </w:rPr>
              <w:t>Base case</w:t>
            </w:r>
          </w:p>
        </w:tc>
        <w:tc>
          <w:tcPr>
            <w:tcW w:w="1021" w:type="dxa"/>
            <w:vAlign w:val="center"/>
          </w:tcPr>
          <w:p w14:paraId="1BED13C0" w14:textId="77777777" w:rsidR="00F749F7" w:rsidRPr="00F87054" w:rsidRDefault="00F749F7" w:rsidP="00920D98">
            <w:pPr>
              <w:pStyle w:val="Tabletext"/>
              <w:spacing w:before="0" w:after="0"/>
              <w:rPr>
                <w:b/>
                <w:bCs/>
              </w:rPr>
            </w:pPr>
            <w:r w:rsidRPr="00F87054">
              <w:rPr>
                <w:b/>
                <w:bCs/>
              </w:rPr>
              <w:t>$60.92</w:t>
            </w:r>
          </w:p>
        </w:tc>
        <w:tc>
          <w:tcPr>
            <w:tcW w:w="1134" w:type="dxa"/>
            <w:vAlign w:val="center"/>
          </w:tcPr>
          <w:p w14:paraId="711B5BF4" w14:textId="77777777" w:rsidR="00F749F7" w:rsidRPr="00F87054" w:rsidRDefault="00F749F7" w:rsidP="00920D98">
            <w:pPr>
              <w:pStyle w:val="Tabletext"/>
              <w:spacing w:before="0" w:after="0"/>
              <w:rPr>
                <w:b/>
                <w:bCs/>
              </w:rPr>
            </w:pPr>
            <w:r w:rsidRPr="00F87054">
              <w:rPr>
                <w:b/>
                <w:bCs/>
              </w:rPr>
              <w:t>n/a</w:t>
            </w:r>
          </w:p>
        </w:tc>
        <w:tc>
          <w:tcPr>
            <w:tcW w:w="1196" w:type="dxa"/>
            <w:tcBorders>
              <w:bottom w:val="single" w:sz="4" w:space="0" w:color="auto"/>
            </w:tcBorders>
            <w:vAlign w:val="center"/>
          </w:tcPr>
          <w:p w14:paraId="41A38A1D" w14:textId="77777777" w:rsidR="00F749F7" w:rsidRPr="00F87054" w:rsidRDefault="00F749F7" w:rsidP="00920D98">
            <w:pPr>
              <w:pStyle w:val="Tabletext"/>
              <w:spacing w:before="0" w:after="0"/>
              <w:rPr>
                <w:b/>
                <w:bCs/>
              </w:rPr>
            </w:pPr>
          </w:p>
        </w:tc>
      </w:tr>
      <w:tr w:rsidR="00F749F7" w:rsidRPr="00F87054" w14:paraId="3202CE95" w14:textId="77777777" w:rsidTr="00F749F7">
        <w:tc>
          <w:tcPr>
            <w:tcW w:w="1413" w:type="dxa"/>
            <w:tcBorders>
              <w:bottom w:val="single" w:sz="4" w:space="0" w:color="auto"/>
            </w:tcBorders>
            <w:vAlign w:val="center"/>
          </w:tcPr>
          <w:p w14:paraId="3AB6710C" w14:textId="77777777" w:rsidR="00F749F7" w:rsidRPr="00F87054" w:rsidRDefault="00F749F7" w:rsidP="00920D98">
            <w:pPr>
              <w:pStyle w:val="Tabletext"/>
              <w:spacing w:before="0" w:after="0"/>
              <w:rPr>
                <w:bCs/>
              </w:rPr>
            </w:pPr>
            <w:r w:rsidRPr="00F87054">
              <w:rPr>
                <w:bCs/>
              </w:rPr>
              <w:t>Prosthesis cost</w:t>
            </w:r>
          </w:p>
        </w:tc>
        <w:tc>
          <w:tcPr>
            <w:tcW w:w="4252" w:type="dxa"/>
            <w:vAlign w:val="center"/>
          </w:tcPr>
          <w:p w14:paraId="041BA9E9" w14:textId="77777777" w:rsidR="00F749F7" w:rsidRPr="00F87054" w:rsidRDefault="00F749F7" w:rsidP="00920D98">
            <w:pPr>
              <w:pStyle w:val="Tabletext"/>
              <w:spacing w:before="0" w:after="0"/>
              <w:rPr>
                <w:bCs/>
              </w:rPr>
            </w:pPr>
          </w:p>
        </w:tc>
        <w:tc>
          <w:tcPr>
            <w:tcW w:w="1021" w:type="dxa"/>
            <w:vAlign w:val="center"/>
          </w:tcPr>
          <w:p w14:paraId="34520D3D" w14:textId="77777777" w:rsidR="00F749F7" w:rsidRPr="00F87054" w:rsidRDefault="00F749F7" w:rsidP="00920D98">
            <w:pPr>
              <w:pStyle w:val="Tabletext"/>
              <w:spacing w:before="0" w:after="0"/>
              <w:rPr>
                <w:bCs/>
              </w:rPr>
            </w:pPr>
          </w:p>
        </w:tc>
        <w:tc>
          <w:tcPr>
            <w:tcW w:w="1134" w:type="dxa"/>
            <w:vAlign w:val="center"/>
          </w:tcPr>
          <w:p w14:paraId="4AD29C79" w14:textId="77777777" w:rsidR="00F749F7" w:rsidRPr="00F87054" w:rsidRDefault="00F749F7" w:rsidP="00920D98">
            <w:pPr>
              <w:pStyle w:val="Tabletext"/>
              <w:spacing w:before="0" w:after="0"/>
              <w:rPr>
                <w:bCs/>
              </w:rPr>
            </w:pPr>
          </w:p>
        </w:tc>
        <w:tc>
          <w:tcPr>
            <w:tcW w:w="1196" w:type="dxa"/>
            <w:tcBorders>
              <w:bottom w:val="single" w:sz="4" w:space="0" w:color="auto"/>
            </w:tcBorders>
            <w:vAlign w:val="center"/>
          </w:tcPr>
          <w:p w14:paraId="0CC9BA75" w14:textId="77777777" w:rsidR="00F749F7" w:rsidRPr="00F87054" w:rsidRDefault="00F749F7" w:rsidP="00920D98">
            <w:pPr>
              <w:pStyle w:val="Tabletext"/>
              <w:spacing w:before="0" w:after="0"/>
              <w:rPr>
                <w:bCs/>
              </w:rPr>
            </w:pPr>
          </w:p>
        </w:tc>
      </w:tr>
      <w:tr w:rsidR="00F749F7" w:rsidRPr="00F87054" w14:paraId="358216FE" w14:textId="77777777" w:rsidTr="00F749F7">
        <w:tc>
          <w:tcPr>
            <w:tcW w:w="1413" w:type="dxa"/>
            <w:tcBorders>
              <w:bottom w:val="single" w:sz="4" w:space="0" w:color="auto"/>
            </w:tcBorders>
            <w:vAlign w:val="center"/>
          </w:tcPr>
          <w:p w14:paraId="30BBE6D2" w14:textId="77777777" w:rsidR="00F749F7" w:rsidRPr="00F87054" w:rsidRDefault="00F749F7" w:rsidP="00920D98">
            <w:pPr>
              <w:pStyle w:val="Tabletext"/>
              <w:spacing w:before="0" w:after="0"/>
              <w:rPr>
                <w:bCs/>
              </w:rPr>
            </w:pPr>
          </w:p>
        </w:tc>
        <w:tc>
          <w:tcPr>
            <w:tcW w:w="4252" w:type="dxa"/>
            <w:vAlign w:val="center"/>
          </w:tcPr>
          <w:p w14:paraId="3392E513" w14:textId="4EC2DC04" w:rsidR="00F749F7" w:rsidRPr="00F87054" w:rsidRDefault="00F749F7" w:rsidP="00920D98">
            <w:pPr>
              <w:pStyle w:val="Tabletext"/>
              <w:spacing w:before="0" w:after="0"/>
              <w:rPr>
                <w:bCs/>
              </w:rPr>
            </w:pPr>
            <w:r w:rsidRPr="00F87054">
              <w:rPr>
                <w:bCs/>
              </w:rPr>
              <w:t xml:space="preserve">Microcatheter device cost </w:t>
            </w:r>
            <w:r w:rsidRPr="000466D0">
              <w:rPr>
                <w:bCs/>
              </w:rPr>
              <w:t>(iTrack)</w:t>
            </w:r>
            <w:r w:rsidRPr="00F87054">
              <w:rPr>
                <w:bCs/>
              </w:rPr>
              <w:t xml:space="preserve"> +20% of the average cost of the micro-bypass stent ($1,623.60)</w:t>
            </w:r>
          </w:p>
        </w:tc>
        <w:tc>
          <w:tcPr>
            <w:tcW w:w="1021" w:type="dxa"/>
            <w:vAlign w:val="center"/>
          </w:tcPr>
          <w:p w14:paraId="256ADB20" w14:textId="77777777" w:rsidR="00F749F7" w:rsidRPr="00F87054" w:rsidRDefault="00F749F7" w:rsidP="00920D98">
            <w:pPr>
              <w:pStyle w:val="Tabletext"/>
              <w:spacing w:before="0" w:after="0"/>
              <w:rPr>
                <w:bCs/>
              </w:rPr>
            </w:pPr>
            <w:r w:rsidRPr="00F87054">
              <w:rPr>
                <w:bCs/>
              </w:rPr>
              <w:t>$331.52</w:t>
            </w:r>
          </w:p>
        </w:tc>
        <w:tc>
          <w:tcPr>
            <w:tcW w:w="1134" w:type="dxa"/>
            <w:vAlign w:val="center"/>
          </w:tcPr>
          <w:p w14:paraId="0F653092" w14:textId="77777777" w:rsidR="00F749F7" w:rsidRPr="00F87054" w:rsidRDefault="00F749F7" w:rsidP="00920D98">
            <w:pPr>
              <w:pStyle w:val="Tabletext"/>
              <w:spacing w:before="0" w:after="0"/>
              <w:rPr>
                <w:bCs/>
              </w:rPr>
            </w:pPr>
            <w:r w:rsidRPr="00F87054">
              <w:rPr>
                <w:bCs/>
              </w:rPr>
              <w:t>$270.60</w:t>
            </w:r>
          </w:p>
        </w:tc>
        <w:tc>
          <w:tcPr>
            <w:tcW w:w="1196" w:type="dxa"/>
            <w:tcBorders>
              <w:bottom w:val="single" w:sz="4" w:space="0" w:color="auto"/>
            </w:tcBorders>
            <w:vAlign w:val="center"/>
          </w:tcPr>
          <w:p w14:paraId="380511A1" w14:textId="77777777" w:rsidR="00F749F7" w:rsidRPr="00F87054" w:rsidRDefault="00F749F7" w:rsidP="00920D98">
            <w:pPr>
              <w:pStyle w:val="Tabletext"/>
              <w:spacing w:before="0" w:after="0"/>
              <w:rPr>
                <w:bCs/>
              </w:rPr>
            </w:pPr>
            <w:r w:rsidRPr="00F87054">
              <w:rPr>
                <w:bCs/>
              </w:rPr>
              <w:t>Non-favourable</w:t>
            </w:r>
          </w:p>
        </w:tc>
      </w:tr>
      <w:tr w:rsidR="00F749F7" w:rsidRPr="00F87054" w14:paraId="34757DC7" w14:textId="77777777" w:rsidTr="00F749F7">
        <w:tc>
          <w:tcPr>
            <w:tcW w:w="1413" w:type="dxa"/>
            <w:tcBorders>
              <w:bottom w:val="single" w:sz="4" w:space="0" w:color="auto"/>
            </w:tcBorders>
            <w:vAlign w:val="center"/>
          </w:tcPr>
          <w:p w14:paraId="5AB8EF61" w14:textId="77777777" w:rsidR="00F749F7" w:rsidRPr="00F87054" w:rsidRDefault="00F749F7" w:rsidP="00920D98">
            <w:pPr>
              <w:pStyle w:val="Tabletext"/>
              <w:spacing w:before="0" w:after="0"/>
              <w:rPr>
                <w:bCs/>
              </w:rPr>
            </w:pPr>
          </w:p>
        </w:tc>
        <w:tc>
          <w:tcPr>
            <w:tcW w:w="4252" w:type="dxa"/>
            <w:vAlign w:val="center"/>
          </w:tcPr>
          <w:p w14:paraId="03C445AB" w14:textId="466EC6CC" w:rsidR="00F749F7" w:rsidRPr="00F87054" w:rsidRDefault="00F749F7" w:rsidP="00920D98">
            <w:pPr>
              <w:pStyle w:val="Tabletext"/>
              <w:spacing w:before="0" w:after="0"/>
              <w:rPr>
                <w:bCs/>
              </w:rPr>
            </w:pPr>
            <w:r w:rsidRPr="00F87054">
              <w:rPr>
                <w:bCs/>
              </w:rPr>
              <w:t xml:space="preserve">Microcatheter device cost </w:t>
            </w:r>
            <w:r w:rsidRPr="000466D0">
              <w:rPr>
                <w:bCs/>
              </w:rPr>
              <w:t>(iTrack</w:t>
            </w:r>
            <w:r w:rsidRPr="00DC4091">
              <w:rPr>
                <w:bCs/>
              </w:rPr>
              <w:t xml:space="preserve">) </w:t>
            </w:r>
            <w:r w:rsidRPr="00F87054">
              <w:rPr>
                <w:bCs/>
              </w:rPr>
              <w:t>-20% of the average cost of the micro-bypass stent ($1,082.40)</w:t>
            </w:r>
          </w:p>
        </w:tc>
        <w:tc>
          <w:tcPr>
            <w:tcW w:w="1021" w:type="dxa"/>
            <w:vAlign w:val="center"/>
          </w:tcPr>
          <w:p w14:paraId="1BB1540A" w14:textId="77777777" w:rsidR="00F749F7" w:rsidRPr="00F87054" w:rsidRDefault="00F749F7" w:rsidP="00920D98">
            <w:pPr>
              <w:pStyle w:val="Tabletext"/>
              <w:spacing w:before="0" w:after="0"/>
              <w:rPr>
                <w:bCs/>
              </w:rPr>
            </w:pPr>
            <w:r w:rsidRPr="00F87054">
              <w:rPr>
                <w:bCs/>
              </w:rPr>
              <w:t>-$209.68</w:t>
            </w:r>
          </w:p>
        </w:tc>
        <w:tc>
          <w:tcPr>
            <w:tcW w:w="1134" w:type="dxa"/>
            <w:vAlign w:val="center"/>
          </w:tcPr>
          <w:p w14:paraId="7CF1CFD5" w14:textId="77777777" w:rsidR="00F749F7" w:rsidRPr="00F87054" w:rsidRDefault="00F749F7" w:rsidP="00920D98">
            <w:pPr>
              <w:pStyle w:val="Tabletext"/>
              <w:spacing w:before="0" w:after="0"/>
              <w:rPr>
                <w:bCs/>
              </w:rPr>
            </w:pPr>
            <w:r w:rsidRPr="00F87054">
              <w:rPr>
                <w:bCs/>
              </w:rPr>
              <w:t>-$270.60</w:t>
            </w:r>
          </w:p>
        </w:tc>
        <w:tc>
          <w:tcPr>
            <w:tcW w:w="1196" w:type="dxa"/>
            <w:tcBorders>
              <w:bottom w:val="single" w:sz="4" w:space="0" w:color="auto"/>
            </w:tcBorders>
            <w:vAlign w:val="center"/>
          </w:tcPr>
          <w:p w14:paraId="63BF142A" w14:textId="77777777" w:rsidR="00F749F7" w:rsidRPr="00F87054" w:rsidRDefault="00F749F7" w:rsidP="00920D98">
            <w:pPr>
              <w:pStyle w:val="Tabletext"/>
              <w:spacing w:before="0" w:after="0"/>
              <w:rPr>
                <w:bCs/>
              </w:rPr>
            </w:pPr>
            <w:r w:rsidRPr="00F87054">
              <w:rPr>
                <w:bCs/>
              </w:rPr>
              <w:t>Favourable</w:t>
            </w:r>
          </w:p>
        </w:tc>
      </w:tr>
      <w:tr w:rsidR="00F749F7" w:rsidRPr="00F87054" w14:paraId="690DA630" w14:textId="77777777" w:rsidTr="00F749F7">
        <w:tc>
          <w:tcPr>
            <w:tcW w:w="1413" w:type="dxa"/>
            <w:vAlign w:val="center"/>
          </w:tcPr>
          <w:p w14:paraId="1A671210" w14:textId="77777777" w:rsidR="00F749F7" w:rsidRPr="00F87054" w:rsidRDefault="00F749F7" w:rsidP="00920D98">
            <w:pPr>
              <w:pStyle w:val="Tabletext"/>
              <w:spacing w:before="0" w:after="0"/>
            </w:pPr>
            <w:r w:rsidRPr="00F87054">
              <w:t xml:space="preserve">Cost of reoperations </w:t>
            </w:r>
          </w:p>
        </w:tc>
        <w:tc>
          <w:tcPr>
            <w:tcW w:w="4252" w:type="dxa"/>
            <w:vAlign w:val="center"/>
          </w:tcPr>
          <w:p w14:paraId="7F2CB052" w14:textId="77777777" w:rsidR="00F749F7" w:rsidRPr="00F87054" w:rsidRDefault="00F749F7" w:rsidP="00920D98">
            <w:pPr>
              <w:pStyle w:val="Tabletext"/>
              <w:spacing w:before="0" w:after="0"/>
            </w:pPr>
            <w:r w:rsidRPr="00F87054">
              <w:t>Reoperation rate post-ABiC with microcatheter equivalent to that for micro-bypass stent insertion (4.8%)</w:t>
            </w:r>
          </w:p>
        </w:tc>
        <w:tc>
          <w:tcPr>
            <w:tcW w:w="1021" w:type="dxa"/>
            <w:vAlign w:val="center"/>
          </w:tcPr>
          <w:p w14:paraId="7075490D" w14:textId="77777777" w:rsidR="00F749F7" w:rsidRPr="00F87054" w:rsidRDefault="00F749F7" w:rsidP="00920D98">
            <w:pPr>
              <w:pStyle w:val="Tabletext"/>
              <w:spacing w:before="0" w:after="0"/>
            </w:pPr>
            <w:r w:rsidRPr="00F87054">
              <w:t>$0</w:t>
            </w:r>
          </w:p>
        </w:tc>
        <w:tc>
          <w:tcPr>
            <w:tcW w:w="1134" w:type="dxa"/>
            <w:vAlign w:val="center"/>
          </w:tcPr>
          <w:p w14:paraId="5E805CF3" w14:textId="77777777" w:rsidR="00F749F7" w:rsidRPr="00F87054" w:rsidRDefault="00F749F7" w:rsidP="00920D98">
            <w:pPr>
              <w:pStyle w:val="Tabletext"/>
              <w:spacing w:before="0" w:after="0"/>
            </w:pPr>
            <w:r w:rsidRPr="00F87054">
              <w:t>-$60.92</w:t>
            </w:r>
          </w:p>
        </w:tc>
        <w:tc>
          <w:tcPr>
            <w:tcW w:w="1196" w:type="dxa"/>
            <w:tcBorders>
              <w:top w:val="single" w:sz="4" w:space="0" w:color="auto"/>
            </w:tcBorders>
            <w:vAlign w:val="center"/>
          </w:tcPr>
          <w:p w14:paraId="7D7ABF66" w14:textId="77777777" w:rsidR="00F749F7" w:rsidRPr="00F87054" w:rsidRDefault="00F749F7" w:rsidP="00920D98">
            <w:pPr>
              <w:pStyle w:val="Tabletext"/>
              <w:spacing w:before="0" w:after="0"/>
            </w:pPr>
            <w:r w:rsidRPr="00F87054">
              <w:t xml:space="preserve">Favourable </w:t>
            </w:r>
          </w:p>
        </w:tc>
      </w:tr>
    </w:tbl>
    <w:p w14:paraId="2AEE82DF" w14:textId="77777777" w:rsidR="00F749F7" w:rsidRPr="00F749F7" w:rsidRDefault="00F749F7" w:rsidP="00066143">
      <w:pPr>
        <w:pStyle w:val="Tablenotes0"/>
      </w:pPr>
      <w:r w:rsidRPr="00F749F7">
        <w:t xml:space="preserve">Source: Table 42, </w:t>
      </w:r>
      <w:proofErr w:type="spellStart"/>
      <w:r w:rsidRPr="00F749F7">
        <w:t>pg</w:t>
      </w:r>
      <w:proofErr w:type="spellEnd"/>
      <w:r w:rsidRPr="00F749F7">
        <w:t xml:space="preserve"> 102 of the DCAR</w:t>
      </w:r>
    </w:p>
    <w:p w14:paraId="4BAD5C46" w14:textId="5B5D7215" w:rsidR="00F749F7" w:rsidRPr="00F87054" w:rsidRDefault="00F749F7" w:rsidP="00066143">
      <w:pPr>
        <w:pStyle w:val="Tablenotes0"/>
      </w:pPr>
      <w:r w:rsidRPr="00F749F7">
        <w:t>Abbreviation:</w:t>
      </w:r>
      <w:r w:rsidRPr="00F87054">
        <w:rPr>
          <w:b/>
        </w:rPr>
        <w:t xml:space="preserve"> </w:t>
      </w:r>
      <w:r w:rsidRPr="00F87054">
        <w:t>ABiC = ab-interno canaloplasty; n/a = not applicable</w:t>
      </w:r>
    </w:p>
    <w:p w14:paraId="54B9C54A" w14:textId="77777777" w:rsidR="00F749F7" w:rsidRPr="00F87054" w:rsidRDefault="00F749F7" w:rsidP="00066143">
      <w:pPr>
        <w:pStyle w:val="Tablenotes0"/>
      </w:pPr>
      <w:r w:rsidRPr="00F87054">
        <w:t xml:space="preserve">Notes: The favourable/non-favourable interpretation relates to microcatheter relative to the comparator. </w:t>
      </w:r>
    </w:p>
    <w:p w14:paraId="3915AE26" w14:textId="3991D438" w:rsidR="00DF4E91" w:rsidRPr="00A50E03" w:rsidRDefault="00DF4E91" w:rsidP="00DF4E91">
      <w:pPr>
        <w:rPr>
          <w:bCs/>
        </w:rPr>
      </w:pPr>
      <w:r>
        <w:t xml:space="preserve">The pre-ESC response posited that the 6.9% reoperation rate were patients with late-stage glaucoma i.e., severe, and were not representative of the mild-moderate glaucoma population </w:t>
      </w:r>
      <w:r>
        <w:lastRenderedPageBreak/>
        <w:t xml:space="preserve">of patients in whom the intervention is considered most appropriate. The rejoinder clarified that ratified PICO defined </w:t>
      </w:r>
      <w:r w:rsidRPr="00DF4E91">
        <w:rPr>
          <w:bCs/>
        </w:rPr>
        <w:t>the patient population as general glaucoma patients without specifying any disease severity and therefore, patients with more severe conditions are a part of eligible patient population</w:t>
      </w:r>
      <w:r w:rsidRPr="000466D0">
        <w:rPr>
          <w:bCs/>
        </w:rPr>
        <w:t>.</w:t>
      </w:r>
      <w:r w:rsidRPr="000466D0">
        <w:rPr>
          <w:bCs/>
          <w:i/>
          <w:iCs/>
        </w:rPr>
        <w:t xml:space="preserve"> </w:t>
      </w:r>
      <w:r w:rsidR="003446E0" w:rsidRPr="000466D0">
        <w:rPr>
          <w:bCs/>
        </w:rPr>
        <w:t>N</w:t>
      </w:r>
      <w:r w:rsidR="00AA30E4" w:rsidRPr="000466D0">
        <w:rPr>
          <w:bCs/>
        </w:rPr>
        <w:t xml:space="preserve">ew data from 3 studies (2 unpublished) </w:t>
      </w:r>
      <w:r w:rsidR="003446E0" w:rsidRPr="000466D0">
        <w:rPr>
          <w:bCs/>
        </w:rPr>
        <w:t xml:space="preserve">provided in the pre-MSAC response </w:t>
      </w:r>
      <w:r w:rsidR="00AA30E4" w:rsidRPr="000466D0">
        <w:rPr>
          <w:bCs/>
        </w:rPr>
        <w:t xml:space="preserve">indicated the reoperation rate was </w:t>
      </w:r>
      <w:r w:rsidR="004B2DB2" w:rsidRPr="000466D0">
        <w:rPr>
          <w:b/>
        </w:rPr>
        <w:t>redacted</w:t>
      </w:r>
      <w:r w:rsidR="00AA30E4" w:rsidRPr="000466D0">
        <w:rPr>
          <w:bCs/>
        </w:rPr>
        <w:t xml:space="preserve">% for patients with mild-moderate glaucoma and </w:t>
      </w:r>
      <w:r w:rsidR="004B2DB2" w:rsidRPr="000466D0">
        <w:rPr>
          <w:b/>
        </w:rPr>
        <w:t>redacted</w:t>
      </w:r>
      <w:r w:rsidR="00AA30E4" w:rsidRPr="000466D0">
        <w:rPr>
          <w:bCs/>
        </w:rPr>
        <w:t>% for patients with severe glaucoma, after 3 years.</w:t>
      </w:r>
      <w:r w:rsidR="00AA30E4">
        <w:rPr>
          <w:bCs/>
        </w:rPr>
        <w:t xml:space="preserve"> </w:t>
      </w:r>
    </w:p>
    <w:p w14:paraId="54B92BDF" w14:textId="20146CFE" w:rsidR="00B411FE" w:rsidRDefault="00DF4E91" w:rsidP="00624B02">
      <w:pPr>
        <w:spacing w:before="240"/>
      </w:pPr>
      <w:r>
        <w:t>The pre-ESC response also proposed a reduce</w:t>
      </w:r>
      <w:r w:rsidR="00922B6A">
        <w:t>d</w:t>
      </w:r>
      <w:r>
        <w:t xml:space="preserve"> cost (prosthesis rebate and sell price) of </w:t>
      </w:r>
      <w:r w:rsidRPr="000466D0">
        <w:t>$</w:t>
      </w:r>
      <w:r w:rsidR="00DC4091" w:rsidRPr="000466D0">
        <w:rPr>
          <w:b/>
          <w:bCs/>
        </w:rPr>
        <w:t>redacted</w:t>
      </w:r>
      <w:r w:rsidRPr="000466D0">
        <w:t>/unit</w:t>
      </w:r>
      <w:r>
        <w:t xml:space="preserve"> (equivalent to Hydrus and XEN) claiming this would reduce the net cost of the intervention and address the </w:t>
      </w:r>
      <w:r w:rsidRPr="00DF4E91">
        <w:t>2.9% disparity in reoperation rate between the intervention and comparator</w:t>
      </w:r>
      <w:r>
        <w:t xml:space="preserve">. </w:t>
      </w:r>
    </w:p>
    <w:p w14:paraId="4519492F" w14:textId="0CFB7771" w:rsidR="00136969" w:rsidRPr="00FB229D" w:rsidRDefault="00FB229D" w:rsidP="00FB229D">
      <w:pPr>
        <w:pStyle w:val="Heading1"/>
        <w:spacing w:before="240" w:after="240"/>
        <w:ind w:left="720" w:hanging="720"/>
        <w:rPr>
          <w:rFonts w:ascii="Arial" w:hAnsi="Arial" w:cs="Arial"/>
        </w:rPr>
      </w:pPr>
      <w:r>
        <w:rPr>
          <w:rFonts w:ascii="Arial" w:hAnsi="Arial" w:cs="Arial"/>
        </w:rPr>
        <w:t>13.</w:t>
      </w:r>
      <w:r>
        <w:rPr>
          <w:rFonts w:ascii="Arial" w:hAnsi="Arial" w:cs="Arial"/>
        </w:rPr>
        <w:tab/>
      </w:r>
      <w:r w:rsidR="00065623" w:rsidRPr="00FB229D">
        <w:rPr>
          <w:rFonts w:ascii="Arial" w:hAnsi="Arial" w:cs="Arial"/>
        </w:rPr>
        <w:t>Financial/budgetary impacts</w:t>
      </w:r>
    </w:p>
    <w:p w14:paraId="024892A6" w14:textId="7B2FAC17" w:rsidR="00F749F7" w:rsidRDefault="00F749F7" w:rsidP="00F749F7">
      <w:r w:rsidRPr="00F87054">
        <w:t xml:space="preserve">An epidemiological approach </w:t>
      </w:r>
      <w:r>
        <w:t>was</w:t>
      </w:r>
      <w:r w:rsidRPr="00F87054">
        <w:t xml:space="preserve"> used to estimate the financial implication</w:t>
      </w:r>
      <w:r>
        <w:t xml:space="preserve"> of including the use of </w:t>
      </w:r>
      <w:r w:rsidRPr="00F87054">
        <w:t>microcatheters for patients with glaucoma</w:t>
      </w:r>
      <w:r>
        <w:t xml:space="preserve"> with </w:t>
      </w:r>
      <w:r w:rsidRPr="00F87054">
        <w:t xml:space="preserve">MBS </w:t>
      </w:r>
      <w:r>
        <w:t xml:space="preserve">item </w:t>
      </w:r>
      <w:r w:rsidRPr="00F87054">
        <w:t xml:space="preserve">42504 (standalone procedure) and MBS </w:t>
      </w:r>
      <w:r>
        <w:t xml:space="preserve">item </w:t>
      </w:r>
      <w:r w:rsidRPr="00F87054">
        <w:t xml:space="preserve">42705 (in conjunction with cataract surgery). </w:t>
      </w:r>
    </w:p>
    <w:p w14:paraId="352E9DEE" w14:textId="43178580" w:rsidR="00F749F7" w:rsidRDefault="00F749F7" w:rsidP="00624B02">
      <w:pPr>
        <w:spacing w:before="240"/>
      </w:pPr>
      <w:bookmarkStart w:id="48" w:name="_Hlk81214367"/>
      <w:r w:rsidRPr="00F87054">
        <w:t>The number of eligible glaucoma patient</w:t>
      </w:r>
      <w:r>
        <w:t>s</w:t>
      </w:r>
      <w:r w:rsidRPr="00F87054">
        <w:t xml:space="preserve"> having MIGS in conjunction with cataract surgery was estimated using the </w:t>
      </w:r>
      <w:r>
        <w:t>MBS</w:t>
      </w:r>
      <w:r w:rsidRPr="00F87054">
        <w:t xml:space="preserve"> items report regarding the 4-year uptake (from 2017/2018 to 2020/2021) of MBS 42705. Data from MBS item 42504 (MIGS as a standalone procedure) was not used as this item was only recently added to the MBS (May 2020). Expert advice suggested that of all patients having the MIGS procedure, 90% would be done in conjunction with cataract surgery. It was assumed that the patient numbers derived from the MBS 42705 utilisation data would capture 90% of all patients having the MIGS procedure. The number of patients receiving MIGS as a standalone procedure was then estimated as the additional 10%.</w:t>
      </w:r>
      <w:r>
        <w:t xml:space="preserve"> </w:t>
      </w:r>
      <w:r w:rsidRPr="00F87054">
        <w:t xml:space="preserve">The number of patients receiving </w:t>
      </w:r>
      <w:r>
        <w:t>ABiC</w:t>
      </w:r>
      <w:r w:rsidRPr="00F87054">
        <w:t xml:space="preserve"> with microcatheter, for both the standalone procedure and in conjunction with cataract surgery</w:t>
      </w:r>
      <w:r>
        <w:t>,</w:t>
      </w:r>
      <w:r w:rsidRPr="00F87054">
        <w:t xml:space="preserve"> was estimated </w:t>
      </w:r>
      <w:r w:rsidR="003446E0">
        <w:t xml:space="preserve">based on the assumption that ABiC using a microcatheter would substitute </w:t>
      </w:r>
      <w:r w:rsidRPr="00F87054">
        <w:t xml:space="preserve">10% </w:t>
      </w:r>
      <w:r w:rsidR="003446E0">
        <w:t xml:space="preserve">the </w:t>
      </w:r>
      <w:r w:rsidRPr="00F87054">
        <w:t>micro-bypass stent</w:t>
      </w:r>
      <w:r w:rsidR="003446E0">
        <w:t xml:space="preserve"> services</w:t>
      </w:r>
      <w:r w:rsidRPr="00F87054">
        <w:t xml:space="preserve"> </w:t>
      </w:r>
      <w:r w:rsidRPr="00F87054">
        <w:rPr>
          <w:rFonts w:eastAsia="SimSun"/>
        </w:rPr>
        <w:fldChar w:fldCharType="begin"/>
      </w:r>
      <w:r w:rsidRPr="00F87054">
        <w:rPr>
          <w:rFonts w:eastAsia="SimSun"/>
        </w:rPr>
        <w:instrText xml:space="preserve"> ADDIN EN.CITE &lt;EndNote&gt;&lt;Cite&gt;&lt;Author&gt;Expert Ophthalmologist&lt;/Author&gt;&lt;Year&gt;2021&lt;/Year&gt;&lt;RecNum&gt;332&lt;/RecNum&gt;&lt;DisplayText&gt;(Expert Ophthalmologist, 2021)&lt;/DisplayText&gt;&lt;record&gt;&lt;rec-number&gt;332&lt;/rec-number&gt;&lt;foreign-keys&gt;&lt;key app="EN" db-id="xeawtvfeytsawue9dsa5a5xjeevw20w0e2sp" timestamp="1628466076"&gt;332&lt;/key&gt;&lt;/foreign-keys&gt;&lt;ref-type name="Personal Communication"&gt;26&lt;/ref-type&gt;&lt;contributors&gt;&lt;authors&gt;&lt;author&gt;Expert Ophthalmologist,&lt;/author&gt;&lt;/authors&gt;&lt;/contributors&gt;&lt;titles&gt;&lt;title&gt;Personal communication (written feedback received via email on 26/06/2021).&lt;/title&gt;&lt;/titles&gt;&lt;dates&gt;&lt;year&gt;2021&lt;/year&gt;&lt;/dates&gt;&lt;urls&gt;&lt;/urls&gt;&lt;/record&gt;&lt;/Cite&gt;&lt;/EndNote&gt;</w:instrText>
      </w:r>
      <w:r w:rsidRPr="00F87054">
        <w:rPr>
          <w:rFonts w:eastAsia="SimSun"/>
        </w:rPr>
        <w:fldChar w:fldCharType="separate"/>
      </w:r>
      <w:r w:rsidRPr="00F87054">
        <w:rPr>
          <w:rFonts w:eastAsia="SimSun"/>
        </w:rPr>
        <w:t>(</w:t>
      </w:r>
      <w:hyperlink w:anchor="_ENREF_34" w:tooltip="Expert Ophthalmologist, 2021 #332" w:history="1">
        <w:r w:rsidRPr="00F87054">
          <w:rPr>
            <w:rFonts w:eastAsia="SimSun"/>
          </w:rPr>
          <w:t>Expert Ophthalmologist, 2021</w:t>
        </w:r>
      </w:hyperlink>
      <w:r w:rsidRPr="00F87054">
        <w:rPr>
          <w:rFonts w:eastAsia="SimSun"/>
        </w:rPr>
        <w:t>)</w:t>
      </w:r>
      <w:r w:rsidRPr="00F87054">
        <w:rPr>
          <w:rFonts w:eastAsia="SimSun"/>
        </w:rPr>
        <w:fldChar w:fldCharType="end"/>
      </w:r>
      <w:r w:rsidRPr="00F87054">
        <w:t>.</w:t>
      </w:r>
    </w:p>
    <w:bookmarkEnd w:id="48"/>
    <w:p w14:paraId="55AA5BF2" w14:textId="01BCFA89" w:rsidR="00920D98" w:rsidRPr="0091135D" w:rsidRDefault="00F749F7" w:rsidP="0091135D">
      <w:pPr>
        <w:spacing w:before="240"/>
      </w:pPr>
      <w:r w:rsidRPr="00F87054">
        <w:rPr>
          <w:rFonts w:eastAsia="SimSun"/>
        </w:rPr>
        <w:t xml:space="preserve">The financial implications to the MBS resulting from the proposed inclusion of microcatheters to the MBS are summarised in </w:t>
      </w:r>
      <w:r w:rsidRPr="00F87054">
        <w:rPr>
          <w:rFonts w:eastAsia="SimSun"/>
        </w:rPr>
        <w:fldChar w:fldCharType="begin"/>
      </w:r>
      <w:r w:rsidRPr="00F87054">
        <w:rPr>
          <w:rFonts w:eastAsia="SimSun"/>
        </w:rPr>
        <w:instrText xml:space="preserve"> REF _Ref77107555 \h  \* MERGEFORMAT </w:instrText>
      </w:r>
      <w:r w:rsidRPr="00F87054">
        <w:rPr>
          <w:rFonts w:eastAsia="SimSun"/>
        </w:rPr>
      </w:r>
      <w:r w:rsidRPr="00F87054">
        <w:rPr>
          <w:rFonts w:eastAsia="SimSun"/>
        </w:rPr>
        <w:fldChar w:fldCharType="separate"/>
      </w:r>
      <w:r w:rsidRPr="00F749F7">
        <w:rPr>
          <w:rFonts w:eastAsia="SimSun"/>
        </w:rPr>
        <w:t>Table 16</w:t>
      </w:r>
      <w:r w:rsidRPr="00F87054">
        <w:rPr>
          <w:rFonts w:eastAsia="SimSun"/>
        </w:rPr>
        <w:fldChar w:fldCharType="end"/>
      </w:r>
      <w:r w:rsidRPr="00F87054">
        <w:rPr>
          <w:rFonts w:eastAsia="SimSun"/>
        </w:rPr>
        <w:t xml:space="preserve">. </w:t>
      </w:r>
      <w:r w:rsidRPr="00F87054">
        <w:t xml:space="preserve">The net cost to the MBS of </w:t>
      </w:r>
      <w:r>
        <w:t>ABiC</w:t>
      </w:r>
      <w:r w:rsidRPr="00F87054">
        <w:t xml:space="preserve"> using microcatheter is estimated at $19,937.34 in year 1. From years 2 to 5, the net cost of </w:t>
      </w:r>
      <w:r>
        <w:t>ABiC</w:t>
      </w:r>
      <w:r w:rsidRPr="00F87054">
        <w:t xml:space="preserve"> using microcatheter rises from $22,763.48 to $31,219.22 as the projected patients eligible to uptake microcatheter increases.</w:t>
      </w:r>
      <w:bookmarkStart w:id="49" w:name="_Ref77107555"/>
      <w:bookmarkStart w:id="50" w:name="_Toc5026591"/>
      <w:bookmarkStart w:id="51" w:name="_Toc10656626"/>
      <w:bookmarkStart w:id="52" w:name="_Toc81257841"/>
      <w:r w:rsidR="00920D98">
        <w:br w:type="page"/>
      </w:r>
    </w:p>
    <w:p w14:paraId="413DA936" w14:textId="2B116708" w:rsidR="00F749F7" w:rsidRPr="00F87054" w:rsidRDefault="00F749F7" w:rsidP="00624B02">
      <w:pPr>
        <w:pStyle w:val="Caption"/>
        <w:keepNext w:val="0"/>
        <w:spacing w:before="240"/>
        <w:rPr>
          <w:rFonts w:eastAsia="SimSun"/>
        </w:rPr>
      </w:pPr>
      <w:r w:rsidRPr="00F87054">
        <w:lastRenderedPageBreak/>
        <w:t xml:space="preserve">Table </w:t>
      </w:r>
      <w:fldSimple w:instr=" SEQ Table \* ARABIC ">
        <w:r>
          <w:rPr>
            <w:noProof/>
          </w:rPr>
          <w:t>16</w:t>
        </w:r>
      </w:fldSimple>
      <w:bookmarkEnd w:id="49"/>
      <w:r w:rsidRPr="00F87054">
        <w:tab/>
      </w:r>
      <w:r w:rsidRPr="00F87054">
        <w:rPr>
          <w:rFonts w:eastAsia="SimSun"/>
        </w:rPr>
        <w:t xml:space="preserve">Total costs to the MBS associated with </w:t>
      </w:r>
      <w:bookmarkEnd w:id="50"/>
      <w:bookmarkEnd w:id="51"/>
      <w:r>
        <w:rPr>
          <w:rFonts w:eastAsia="SimSun"/>
        </w:rPr>
        <w:t>ABiC</w:t>
      </w:r>
      <w:r w:rsidRPr="00F87054">
        <w:rPr>
          <w:rFonts w:eastAsia="SimSun"/>
        </w:rPr>
        <w:t xml:space="preserve"> using microcatheter</w:t>
      </w:r>
      <w:bookmarkEnd w:id="52"/>
    </w:p>
    <w:tbl>
      <w:tblPr>
        <w:tblStyle w:val="TableGrid210"/>
        <w:tblW w:w="4994" w:type="pct"/>
        <w:tblLook w:val="04A0" w:firstRow="1" w:lastRow="0" w:firstColumn="1" w:lastColumn="0" w:noHBand="0" w:noVBand="1"/>
        <w:tblCaption w:val="Total costs to the MBS associated with ESG"/>
        <w:tblDescription w:val="Total costs associated with endoscopic sleeve gastroplasty for obesity classes 1 and 2 to the MBS for years 2020 to 2024 "/>
      </w:tblPr>
      <w:tblGrid>
        <w:gridCol w:w="1473"/>
        <w:gridCol w:w="1376"/>
        <w:gridCol w:w="1538"/>
        <w:gridCol w:w="1538"/>
        <w:gridCol w:w="1538"/>
        <w:gridCol w:w="1542"/>
      </w:tblGrid>
      <w:tr w:rsidR="00F749F7" w:rsidRPr="00F87054" w14:paraId="70B9939E" w14:textId="77777777" w:rsidTr="00F749F7">
        <w:trPr>
          <w:cnfStyle w:val="100000000000" w:firstRow="1" w:lastRow="0" w:firstColumn="0" w:lastColumn="0" w:oddVBand="0" w:evenVBand="0" w:oddHBand="0" w:evenHBand="0" w:firstRowFirstColumn="0" w:firstRowLastColumn="0" w:lastRowFirstColumn="0" w:lastRowLastColumn="0"/>
          <w:trHeight w:val="214"/>
          <w:tblHeader/>
        </w:trPr>
        <w:tc>
          <w:tcPr>
            <w:tcW w:w="818" w:type="pct"/>
            <w:tcBorders>
              <w:bottom w:val="single" w:sz="4" w:space="0" w:color="auto"/>
            </w:tcBorders>
            <w:shd w:val="clear" w:color="auto" w:fill="auto"/>
            <w:hideMark/>
          </w:tcPr>
          <w:p w14:paraId="75914239" w14:textId="77777777" w:rsidR="00F749F7" w:rsidRPr="00F87054" w:rsidRDefault="00F749F7" w:rsidP="00F72FA1">
            <w:pPr>
              <w:pStyle w:val="Tabletext"/>
              <w:rPr>
                <w:b/>
                <w:bCs/>
              </w:rPr>
            </w:pPr>
          </w:p>
        </w:tc>
        <w:tc>
          <w:tcPr>
            <w:tcW w:w="764" w:type="pct"/>
            <w:tcBorders>
              <w:bottom w:val="single" w:sz="4" w:space="0" w:color="auto"/>
            </w:tcBorders>
            <w:shd w:val="clear" w:color="auto" w:fill="auto"/>
            <w:hideMark/>
          </w:tcPr>
          <w:p w14:paraId="60A67B18" w14:textId="77777777" w:rsidR="00F749F7" w:rsidRPr="00F87054" w:rsidRDefault="00F749F7" w:rsidP="00F72FA1">
            <w:pPr>
              <w:pStyle w:val="Tabletext"/>
              <w:rPr>
                <w:b/>
                <w:bCs/>
              </w:rPr>
            </w:pPr>
            <w:r w:rsidRPr="00F87054">
              <w:rPr>
                <w:b/>
                <w:bCs/>
              </w:rPr>
              <w:t>2022</w:t>
            </w:r>
          </w:p>
        </w:tc>
        <w:tc>
          <w:tcPr>
            <w:tcW w:w="854" w:type="pct"/>
            <w:tcBorders>
              <w:bottom w:val="single" w:sz="4" w:space="0" w:color="auto"/>
            </w:tcBorders>
            <w:shd w:val="clear" w:color="auto" w:fill="auto"/>
            <w:hideMark/>
          </w:tcPr>
          <w:p w14:paraId="6DCD2141" w14:textId="77777777" w:rsidR="00F749F7" w:rsidRPr="00F87054" w:rsidRDefault="00F749F7" w:rsidP="00F72FA1">
            <w:pPr>
              <w:pStyle w:val="Tabletext"/>
              <w:rPr>
                <w:b/>
                <w:bCs/>
              </w:rPr>
            </w:pPr>
            <w:r w:rsidRPr="00F87054">
              <w:rPr>
                <w:b/>
                <w:bCs/>
              </w:rPr>
              <w:t>2023</w:t>
            </w:r>
          </w:p>
        </w:tc>
        <w:tc>
          <w:tcPr>
            <w:tcW w:w="854" w:type="pct"/>
            <w:tcBorders>
              <w:bottom w:val="single" w:sz="4" w:space="0" w:color="auto"/>
            </w:tcBorders>
            <w:shd w:val="clear" w:color="auto" w:fill="auto"/>
            <w:hideMark/>
          </w:tcPr>
          <w:p w14:paraId="7181BD23" w14:textId="77777777" w:rsidR="00F749F7" w:rsidRPr="00F87054" w:rsidRDefault="00F749F7" w:rsidP="00F72FA1">
            <w:pPr>
              <w:pStyle w:val="Tabletext"/>
              <w:rPr>
                <w:b/>
                <w:bCs/>
              </w:rPr>
            </w:pPr>
            <w:r w:rsidRPr="00F87054">
              <w:rPr>
                <w:b/>
                <w:bCs/>
              </w:rPr>
              <w:t>2024</w:t>
            </w:r>
          </w:p>
        </w:tc>
        <w:tc>
          <w:tcPr>
            <w:tcW w:w="854" w:type="pct"/>
            <w:tcBorders>
              <w:bottom w:val="single" w:sz="4" w:space="0" w:color="auto"/>
            </w:tcBorders>
            <w:shd w:val="clear" w:color="auto" w:fill="auto"/>
            <w:hideMark/>
          </w:tcPr>
          <w:p w14:paraId="1941D1BE" w14:textId="77777777" w:rsidR="00F749F7" w:rsidRPr="00F87054" w:rsidRDefault="00F749F7" w:rsidP="00F72FA1">
            <w:pPr>
              <w:pStyle w:val="Tabletext"/>
              <w:rPr>
                <w:b/>
                <w:bCs/>
              </w:rPr>
            </w:pPr>
            <w:r w:rsidRPr="00F87054">
              <w:rPr>
                <w:b/>
                <w:bCs/>
              </w:rPr>
              <w:t>2025</w:t>
            </w:r>
          </w:p>
        </w:tc>
        <w:tc>
          <w:tcPr>
            <w:tcW w:w="854" w:type="pct"/>
            <w:tcBorders>
              <w:bottom w:val="single" w:sz="4" w:space="0" w:color="auto"/>
            </w:tcBorders>
            <w:shd w:val="clear" w:color="auto" w:fill="auto"/>
            <w:hideMark/>
          </w:tcPr>
          <w:p w14:paraId="0D181A67" w14:textId="77777777" w:rsidR="00F749F7" w:rsidRPr="00F87054" w:rsidRDefault="00F749F7" w:rsidP="00F72FA1">
            <w:pPr>
              <w:pStyle w:val="Tabletext"/>
              <w:rPr>
                <w:b/>
                <w:bCs/>
              </w:rPr>
            </w:pPr>
            <w:r w:rsidRPr="00F87054">
              <w:rPr>
                <w:b/>
                <w:bCs/>
              </w:rPr>
              <w:t>2026</w:t>
            </w:r>
          </w:p>
        </w:tc>
      </w:tr>
      <w:tr w:rsidR="00F749F7" w:rsidRPr="00F87054" w14:paraId="17A57D9C" w14:textId="77777777" w:rsidTr="00F749F7">
        <w:trPr>
          <w:trHeight w:val="214"/>
        </w:trPr>
        <w:tc>
          <w:tcPr>
            <w:tcW w:w="5000" w:type="pct"/>
            <w:gridSpan w:val="6"/>
            <w:tcBorders>
              <w:right w:val="single" w:sz="4" w:space="0" w:color="auto"/>
            </w:tcBorders>
            <w:shd w:val="clear" w:color="auto" w:fill="D9D9D9" w:themeFill="background1" w:themeFillShade="D9"/>
            <w:hideMark/>
          </w:tcPr>
          <w:p w14:paraId="1A610910" w14:textId="77777777" w:rsidR="00F749F7" w:rsidRPr="00F87054" w:rsidRDefault="00F749F7" w:rsidP="00F72FA1">
            <w:pPr>
              <w:pStyle w:val="Tabletext"/>
              <w:rPr>
                <w:b/>
                <w:bCs/>
              </w:rPr>
            </w:pPr>
            <w:r w:rsidRPr="00F87054">
              <w:rPr>
                <w:b/>
                <w:bCs/>
              </w:rPr>
              <w:t>Standalone glaucoma surgery</w:t>
            </w:r>
          </w:p>
        </w:tc>
      </w:tr>
      <w:tr w:rsidR="00F749F7" w:rsidRPr="00F87054" w14:paraId="61321955" w14:textId="77777777" w:rsidTr="00F749F7">
        <w:trPr>
          <w:trHeight w:val="382"/>
        </w:trPr>
        <w:tc>
          <w:tcPr>
            <w:tcW w:w="818" w:type="pct"/>
            <w:tcBorders>
              <w:bottom w:val="single" w:sz="4" w:space="0" w:color="auto"/>
            </w:tcBorders>
            <w:vAlign w:val="center"/>
          </w:tcPr>
          <w:p w14:paraId="42D0987F" w14:textId="77777777" w:rsidR="00F749F7" w:rsidRPr="00F87054" w:rsidRDefault="00F749F7" w:rsidP="00F72FA1">
            <w:pPr>
              <w:pStyle w:val="Tabletext"/>
            </w:pPr>
            <w:r w:rsidRPr="00F87054">
              <w:t xml:space="preserve">Cost of </w:t>
            </w:r>
            <w:r>
              <w:t>ABiC</w:t>
            </w:r>
            <w:r w:rsidRPr="00F87054">
              <w:t xml:space="preserve"> with microcatheter </w:t>
            </w:r>
          </w:p>
        </w:tc>
        <w:tc>
          <w:tcPr>
            <w:tcW w:w="764" w:type="pct"/>
            <w:vAlign w:val="center"/>
          </w:tcPr>
          <w:p w14:paraId="57771D45" w14:textId="77777777" w:rsidR="00F749F7" w:rsidRPr="00F87054" w:rsidRDefault="00F749F7" w:rsidP="00F72FA1">
            <w:r w:rsidRPr="00F87054">
              <w:rPr>
                <w:rFonts w:cs="Arial"/>
              </w:rPr>
              <w:t>$52,026.23</w:t>
            </w:r>
          </w:p>
        </w:tc>
        <w:tc>
          <w:tcPr>
            <w:tcW w:w="854" w:type="pct"/>
            <w:vAlign w:val="center"/>
          </w:tcPr>
          <w:p w14:paraId="0FAAD7CE" w14:textId="77777777" w:rsidR="00F749F7" w:rsidRPr="00F87054" w:rsidRDefault="00F749F7" w:rsidP="00F72FA1">
            <w:r w:rsidRPr="00F87054">
              <w:rPr>
                <w:rFonts w:cs="Arial"/>
              </w:rPr>
              <w:t>$59,371.22</w:t>
            </w:r>
          </w:p>
        </w:tc>
        <w:tc>
          <w:tcPr>
            <w:tcW w:w="854" w:type="pct"/>
            <w:vAlign w:val="center"/>
          </w:tcPr>
          <w:p w14:paraId="2825B75B" w14:textId="77777777" w:rsidR="00F749F7" w:rsidRPr="00F87054" w:rsidRDefault="00F749F7" w:rsidP="00F72FA1">
            <w:r w:rsidRPr="00F87054">
              <w:rPr>
                <w:rFonts w:cs="Arial"/>
              </w:rPr>
              <w:t>$66,716.21</w:t>
            </w:r>
          </w:p>
        </w:tc>
        <w:tc>
          <w:tcPr>
            <w:tcW w:w="854" w:type="pct"/>
            <w:vAlign w:val="center"/>
          </w:tcPr>
          <w:p w14:paraId="49F7D668" w14:textId="77777777" w:rsidR="00F749F7" w:rsidRPr="00F87054" w:rsidRDefault="00F749F7" w:rsidP="00F72FA1">
            <w:r w:rsidRPr="00F87054">
              <w:rPr>
                <w:rFonts w:cs="Arial"/>
              </w:rPr>
              <w:t>$74,056.43</w:t>
            </w:r>
          </w:p>
        </w:tc>
        <w:tc>
          <w:tcPr>
            <w:tcW w:w="854" w:type="pct"/>
            <w:vAlign w:val="center"/>
          </w:tcPr>
          <w:p w14:paraId="43E91E09" w14:textId="77777777" w:rsidR="00F749F7" w:rsidRPr="00F87054" w:rsidRDefault="00F749F7" w:rsidP="00F72FA1">
            <w:r w:rsidRPr="00F87054">
              <w:rPr>
                <w:rFonts w:cs="Arial"/>
              </w:rPr>
              <w:t>$81,425.30</w:t>
            </w:r>
          </w:p>
        </w:tc>
      </w:tr>
      <w:tr w:rsidR="00F749F7" w:rsidRPr="00F87054" w14:paraId="1087BB42" w14:textId="77777777" w:rsidTr="00F749F7">
        <w:trPr>
          <w:trHeight w:val="405"/>
        </w:trPr>
        <w:tc>
          <w:tcPr>
            <w:tcW w:w="818" w:type="pct"/>
            <w:tcBorders>
              <w:bottom w:val="single" w:sz="4" w:space="0" w:color="auto"/>
            </w:tcBorders>
            <w:vAlign w:val="center"/>
          </w:tcPr>
          <w:p w14:paraId="5A02B874" w14:textId="77777777" w:rsidR="00F749F7" w:rsidRPr="00F87054" w:rsidRDefault="00F749F7" w:rsidP="00F72FA1">
            <w:pPr>
              <w:pStyle w:val="Tabletext"/>
            </w:pPr>
            <w:r w:rsidRPr="00F87054">
              <w:t>Cost of micro-bypass stent insertion into TM</w:t>
            </w:r>
          </w:p>
        </w:tc>
        <w:tc>
          <w:tcPr>
            <w:tcW w:w="764" w:type="pct"/>
            <w:vAlign w:val="center"/>
          </w:tcPr>
          <w:p w14:paraId="356B2D88" w14:textId="77777777" w:rsidR="00F749F7" w:rsidRPr="00F87054" w:rsidRDefault="00F749F7" w:rsidP="00F72FA1">
            <w:r w:rsidRPr="00F87054">
              <w:rPr>
                <w:rFonts w:eastAsia="Calibri" w:cs="Calibri"/>
                <w:color w:val="000000"/>
              </w:rPr>
              <w:t>$51,320.40</w:t>
            </w:r>
          </w:p>
        </w:tc>
        <w:tc>
          <w:tcPr>
            <w:tcW w:w="854" w:type="pct"/>
            <w:vAlign w:val="center"/>
          </w:tcPr>
          <w:p w14:paraId="6BBE89C1" w14:textId="77777777" w:rsidR="00F749F7" w:rsidRPr="00F87054" w:rsidRDefault="00F749F7" w:rsidP="00F72FA1">
            <w:pPr>
              <w:pStyle w:val="Tabletext"/>
            </w:pPr>
            <w:r w:rsidRPr="00F87054">
              <w:rPr>
                <w:rFonts w:eastAsia="Calibri" w:cs="Calibri"/>
                <w:color w:val="000000"/>
              </w:rPr>
              <w:t>$58,565.74</w:t>
            </w:r>
          </w:p>
        </w:tc>
        <w:tc>
          <w:tcPr>
            <w:tcW w:w="854" w:type="pct"/>
            <w:vAlign w:val="center"/>
          </w:tcPr>
          <w:p w14:paraId="07B798AB" w14:textId="77777777" w:rsidR="00F749F7" w:rsidRPr="00F87054" w:rsidRDefault="00F749F7" w:rsidP="00F72FA1">
            <w:pPr>
              <w:pStyle w:val="Tabletext"/>
            </w:pPr>
            <w:r w:rsidRPr="00F87054">
              <w:rPr>
                <w:rFonts w:eastAsia="Calibri" w:cs="Calibri"/>
                <w:color w:val="000000"/>
              </w:rPr>
              <w:t>$65,811.08</w:t>
            </w:r>
          </w:p>
        </w:tc>
        <w:tc>
          <w:tcPr>
            <w:tcW w:w="854" w:type="pct"/>
            <w:vAlign w:val="center"/>
          </w:tcPr>
          <w:p w14:paraId="29688CCC" w14:textId="77777777" w:rsidR="00F749F7" w:rsidRPr="00F87054" w:rsidRDefault="00F749F7" w:rsidP="00F72FA1">
            <w:pPr>
              <w:pStyle w:val="Tabletext"/>
            </w:pPr>
            <w:r w:rsidRPr="00F87054">
              <w:rPr>
                <w:rFonts w:eastAsia="Calibri" w:cs="Calibri"/>
                <w:color w:val="000000"/>
              </w:rPr>
              <w:t>$73,051.72</w:t>
            </w:r>
          </w:p>
        </w:tc>
        <w:tc>
          <w:tcPr>
            <w:tcW w:w="854" w:type="pct"/>
            <w:vAlign w:val="center"/>
          </w:tcPr>
          <w:p w14:paraId="2AEE3C30" w14:textId="77777777" w:rsidR="00F749F7" w:rsidRPr="00F87054" w:rsidRDefault="00F749F7" w:rsidP="00F72FA1">
            <w:pPr>
              <w:pStyle w:val="Tabletext"/>
            </w:pPr>
            <w:r w:rsidRPr="00F87054">
              <w:rPr>
                <w:rFonts w:cs="Arial"/>
                <w:color w:val="000000"/>
              </w:rPr>
              <w:t>$80,320.61</w:t>
            </w:r>
          </w:p>
        </w:tc>
      </w:tr>
      <w:tr w:rsidR="00F749F7" w:rsidRPr="00F87054" w14:paraId="62326743" w14:textId="77777777" w:rsidTr="00F749F7">
        <w:trPr>
          <w:trHeight w:val="405"/>
        </w:trPr>
        <w:tc>
          <w:tcPr>
            <w:tcW w:w="818" w:type="pct"/>
            <w:tcBorders>
              <w:bottom w:val="single" w:sz="4" w:space="0" w:color="auto"/>
            </w:tcBorders>
            <w:vAlign w:val="center"/>
          </w:tcPr>
          <w:p w14:paraId="422780D5" w14:textId="77777777" w:rsidR="00F749F7" w:rsidRPr="00F87054" w:rsidRDefault="00F749F7" w:rsidP="00F72FA1">
            <w:pPr>
              <w:pStyle w:val="Tabletext"/>
            </w:pPr>
            <w:r w:rsidRPr="00F87054">
              <w:t>Net Cost to MBS</w:t>
            </w:r>
          </w:p>
        </w:tc>
        <w:tc>
          <w:tcPr>
            <w:tcW w:w="764" w:type="pct"/>
            <w:vAlign w:val="center"/>
          </w:tcPr>
          <w:p w14:paraId="00864B84" w14:textId="77777777" w:rsidR="00F749F7" w:rsidRPr="00F87054" w:rsidRDefault="00F749F7" w:rsidP="00F72FA1">
            <w:pPr>
              <w:pStyle w:val="Tabletext"/>
            </w:pPr>
            <w:r w:rsidRPr="00F87054">
              <w:rPr>
                <w:rFonts w:eastAsia="Calibri" w:cs="Arial"/>
                <w:b/>
                <w:bCs/>
                <w:color w:val="000000"/>
              </w:rPr>
              <w:t>$705.83</w:t>
            </w:r>
          </w:p>
        </w:tc>
        <w:tc>
          <w:tcPr>
            <w:tcW w:w="854" w:type="pct"/>
            <w:vAlign w:val="center"/>
          </w:tcPr>
          <w:p w14:paraId="3B0BBC27" w14:textId="77777777" w:rsidR="00F749F7" w:rsidRPr="00F87054" w:rsidRDefault="00F749F7" w:rsidP="00F72FA1">
            <w:pPr>
              <w:pStyle w:val="Tabletext"/>
            </w:pPr>
            <w:r w:rsidRPr="00F87054">
              <w:rPr>
                <w:rFonts w:eastAsia="Calibri" w:cs="Arial"/>
                <w:b/>
                <w:bCs/>
                <w:color w:val="000000"/>
              </w:rPr>
              <w:t>$805.48</w:t>
            </w:r>
          </w:p>
        </w:tc>
        <w:tc>
          <w:tcPr>
            <w:tcW w:w="854" w:type="pct"/>
            <w:vAlign w:val="center"/>
          </w:tcPr>
          <w:p w14:paraId="4C3DFCA9" w14:textId="77777777" w:rsidR="00F749F7" w:rsidRPr="00F87054" w:rsidRDefault="00F749F7" w:rsidP="00F72FA1">
            <w:pPr>
              <w:pStyle w:val="Tabletext"/>
            </w:pPr>
            <w:r w:rsidRPr="00F87054">
              <w:rPr>
                <w:rFonts w:eastAsia="Calibri" w:cs="Arial"/>
                <w:b/>
                <w:bCs/>
                <w:color w:val="000000"/>
              </w:rPr>
              <w:t>$905.13</w:t>
            </w:r>
          </w:p>
        </w:tc>
        <w:tc>
          <w:tcPr>
            <w:tcW w:w="854" w:type="pct"/>
            <w:vAlign w:val="center"/>
          </w:tcPr>
          <w:p w14:paraId="0112B232" w14:textId="77777777" w:rsidR="00F749F7" w:rsidRPr="00F87054" w:rsidRDefault="00F749F7" w:rsidP="00F72FA1">
            <w:pPr>
              <w:pStyle w:val="Tabletext"/>
            </w:pPr>
            <w:r w:rsidRPr="00F87054">
              <w:rPr>
                <w:rFonts w:eastAsia="Calibri" w:cs="Arial"/>
                <w:b/>
                <w:bCs/>
                <w:color w:val="000000"/>
              </w:rPr>
              <w:t>$1,004.71</w:t>
            </w:r>
          </w:p>
        </w:tc>
        <w:tc>
          <w:tcPr>
            <w:tcW w:w="854" w:type="pct"/>
            <w:vAlign w:val="center"/>
          </w:tcPr>
          <w:p w14:paraId="454AD0A0" w14:textId="77777777" w:rsidR="00F749F7" w:rsidRPr="00F87054" w:rsidRDefault="00F749F7" w:rsidP="00F72FA1">
            <w:pPr>
              <w:pStyle w:val="Tabletext"/>
            </w:pPr>
            <w:r w:rsidRPr="00F87054">
              <w:rPr>
                <w:rFonts w:cs="Arial"/>
                <w:b/>
                <w:bCs/>
                <w:color w:val="000000"/>
              </w:rPr>
              <w:t>$1,104.698</w:t>
            </w:r>
          </w:p>
        </w:tc>
      </w:tr>
      <w:tr w:rsidR="00F749F7" w:rsidRPr="00F87054" w14:paraId="014D6437" w14:textId="77777777" w:rsidTr="00F749F7">
        <w:trPr>
          <w:trHeight w:val="214"/>
        </w:trPr>
        <w:tc>
          <w:tcPr>
            <w:tcW w:w="5000" w:type="pct"/>
            <w:gridSpan w:val="6"/>
            <w:shd w:val="clear" w:color="auto" w:fill="D9D9D9" w:themeFill="background1" w:themeFillShade="D9"/>
            <w:hideMark/>
          </w:tcPr>
          <w:p w14:paraId="42B0522D" w14:textId="77777777" w:rsidR="00F749F7" w:rsidRPr="00F87054" w:rsidRDefault="00F749F7" w:rsidP="00F72FA1">
            <w:pPr>
              <w:pStyle w:val="Tabletext"/>
              <w:rPr>
                <w:b/>
                <w:bCs/>
              </w:rPr>
            </w:pPr>
            <w:r w:rsidRPr="00F87054">
              <w:rPr>
                <w:b/>
                <w:bCs/>
              </w:rPr>
              <w:t>Glaucoma surgery</w:t>
            </w:r>
            <w:r w:rsidRPr="00F87054" w:rsidDel="00CF23E0">
              <w:rPr>
                <w:b/>
                <w:bCs/>
              </w:rPr>
              <w:t xml:space="preserve"> </w:t>
            </w:r>
            <w:r w:rsidRPr="00F87054">
              <w:rPr>
                <w:b/>
                <w:bCs/>
              </w:rPr>
              <w:t>in conjunction with cataract surgery</w:t>
            </w:r>
          </w:p>
        </w:tc>
      </w:tr>
      <w:tr w:rsidR="00F749F7" w:rsidRPr="00F87054" w14:paraId="44549382" w14:textId="77777777" w:rsidTr="00F72FA1">
        <w:trPr>
          <w:cantSplit w:val="0"/>
          <w:trHeight w:val="382"/>
        </w:trPr>
        <w:tc>
          <w:tcPr>
            <w:tcW w:w="818" w:type="pct"/>
            <w:tcBorders>
              <w:bottom w:val="single" w:sz="4" w:space="0" w:color="auto"/>
            </w:tcBorders>
            <w:vAlign w:val="center"/>
          </w:tcPr>
          <w:p w14:paraId="110A399F" w14:textId="77777777" w:rsidR="00F749F7" w:rsidRPr="00F87054" w:rsidRDefault="00F749F7" w:rsidP="00F72FA1">
            <w:pPr>
              <w:pStyle w:val="Tabletext"/>
            </w:pPr>
            <w:r w:rsidRPr="00F87054">
              <w:t xml:space="preserve">Cost of </w:t>
            </w:r>
            <w:r>
              <w:t>ABiC</w:t>
            </w:r>
            <w:r w:rsidRPr="00F87054">
              <w:t xml:space="preserve"> with microcatheter</w:t>
            </w:r>
          </w:p>
        </w:tc>
        <w:tc>
          <w:tcPr>
            <w:tcW w:w="764" w:type="pct"/>
            <w:vAlign w:val="center"/>
          </w:tcPr>
          <w:p w14:paraId="50513F9C" w14:textId="77777777" w:rsidR="00F749F7" w:rsidRPr="00F87054" w:rsidRDefault="00F749F7" w:rsidP="00F72FA1">
            <w:r w:rsidRPr="00F87054">
              <w:t>$967,451.70</w:t>
            </w:r>
          </w:p>
        </w:tc>
        <w:tc>
          <w:tcPr>
            <w:tcW w:w="854" w:type="pct"/>
            <w:vAlign w:val="center"/>
          </w:tcPr>
          <w:p w14:paraId="58022783" w14:textId="77777777" w:rsidR="00F749F7" w:rsidRPr="00F87054" w:rsidRDefault="00F749F7" w:rsidP="00F72FA1">
            <w:r w:rsidRPr="00F87054">
              <w:rPr>
                <w:rFonts w:cs="Arial"/>
              </w:rPr>
              <w:t>$1,104,035.20</w:t>
            </w:r>
          </w:p>
        </w:tc>
        <w:tc>
          <w:tcPr>
            <w:tcW w:w="854" w:type="pct"/>
            <w:vAlign w:val="center"/>
          </w:tcPr>
          <w:p w14:paraId="65B2BB08" w14:textId="77777777" w:rsidR="00F749F7" w:rsidRPr="00F87054" w:rsidRDefault="00F749F7" w:rsidP="00F72FA1">
            <w:r w:rsidRPr="00F87054">
              <w:rPr>
                <w:rFonts w:cs="Arial"/>
              </w:rPr>
              <w:t>$1,240,618.71</w:t>
            </w:r>
          </w:p>
        </w:tc>
        <w:tc>
          <w:tcPr>
            <w:tcW w:w="854" w:type="pct"/>
            <w:vAlign w:val="center"/>
          </w:tcPr>
          <w:p w14:paraId="14BE1812" w14:textId="77777777" w:rsidR="00F749F7" w:rsidRPr="00F87054" w:rsidRDefault="00F749F7" w:rsidP="00F72FA1">
            <w:r w:rsidRPr="00F87054">
              <w:rPr>
                <w:rFonts w:cs="Arial"/>
              </w:rPr>
              <w:t>$1,377,113.41</w:t>
            </w:r>
          </w:p>
        </w:tc>
        <w:tc>
          <w:tcPr>
            <w:tcW w:w="854" w:type="pct"/>
            <w:vAlign w:val="center"/>
          </w:tcPr>
          <w:p w14:paraId="5BAE2F2C" w14:textId="77777777" w:rsidR="00F749F7" w:rsidRPr="00F87054" w:rsidRDefault="00F749F7" w:rsidP="00F72FA1">
            <w:r w:rsidRPr="00F87054">
              <w:rPr>
                <w:rFonts w:cs="Arial"/>
              </w:rPr>
              <w:t>$1,514,140.94</w:t>
            </w:r>
          </w:p>
        </w:tc>
      </w:tr>
      <w:tr w:rsidR="00F749F7" w:rsidRPr="00F87054" w14:paraId="3CFD6C03" w14:textId="77777777" w:rsidTr="00F749F7">
        <w:trPr>
          <w:trHeight w:val="597"/>
        </w:trPr>
        <w:tc>
          <w:tcPr>
            <w:tcW w:w="818" w:type="pct"/>
            <w:tcBorders>
              <w:bottom w:val="single" w:sz="4" w:space="0" w:color="auto"/>
            </w:tcBorders>
            <w:vAlign w:val="center"/>
          </w:tcPr>
          <w:p w14:paraId="7BABCAF9" w14:textId="77777777" w:rsidR="00F749F7" w:rsidRPr="00F87054" w:rsidRDefault="00F749F7" w:rsidP="00F72FA1">
            <w:pPr>
              <w:pStyle w:val="Tabletext"/>
            </w:pPr>
            <w:r w:rsidRPr="00F87054">
              <w:t>Cost of micro-bypass stent insertion into TM</w:t>
            </w:r>
          </w:p>
        </w:tc>
        <w:tc>
          <w:tcPr>
            <w:tcW w:w="764" w:type="pct"/>
            <w:vAlign w:val="center"/>
          </w:tcPr>
          <w:p w14:paraId="0896B01E" w14:textId="77777777" w:rsidR="00F749F7" w:rsidRPr="00F87054" w:rsidRDefault="00F749F7" w:rsidP="00F72FA1">
            <w:pPr>
              <w:pStyle w:val="Tabletext"/>
            </w:pPr>
            <w:r w:rsidRPr="00F87054">
              <w:t>$948,210.19</w:t>
            </w:r>
          </w:p>
        </w:tc>
        <w:tc>
          <w:tcPr>
            <w:tcW w:w="854" w:type="pct"/>
            <w:vAlign w:val="center"/>
          </w:tcPr>
          <w:p w14:paraId="17EF138B" w14:textId="77777777" w:rsidR="00F749F7" w:rsidRPr="00F87054" w:rsidRDefault="00F749F7" w:rsidP="00F72FA1">
            <w:pPr>
              <w:pStyle w:val="Tabletext"/>
            </w:pPr>
            <w:r w:rsidRPr="00F87054">
              <w:t>$1,082,077.21</w:t>
            </w:r>
          </w:p>
        </w:tc>
        <w:tc>
          <w:tcPr>
            <w:tcW w:w="854" w:type="pct"/>
            <w:vAlign w:val="center"/>
          </w:tcPr>
          <w:p w14:paraId="49CD6827" w14:textId="77777777" w:rsidR="00F749F7" w:rsidRPr="00F87054" w:rsidRDefault="00F749F7" w:rsidP="00F72FA1">
            <w:pPr>
              <w:pStyle w:val="Tabletext"/>
            </w:pPr>
            <w:r w:rsidRPr="00F87054">
              <w:t>$1,215,944.22</w:t>
            </w:r>
          </w:p>
        </w:tc>
        <w:tc>
          <w:tcPr>
            <w:tcW w:w="854" w:type="pct"/>
            <w:vAlign w:val="center"/>
          </w:tcPr>
          <w:p w14:paraId="682183E5" w14:textId="77777777" w:rsidR="00F749F7" w:rsidRPr="00F87054" w:rsidRDefault="00F749F7" w:rsidP="00F72FA1">
            <w:pPr>
              <w:pStyle w:val="Tabletext"/>
            </w:pPr>
            <w:r w:rsidRPr="00F87054">
              <w:t>$1,349,724.20</w:t>
            </w:r>
          </w:p>
        </w:tc>
        <w:tc>
          <w:tcPr>
            <w:tcW w:w="854" w:type="pct"/>
            <w:vAlign w:val="center"/>
          </w:tcPr>
          <w:p w14:paraId="68CDDF53" w14:textId="77777777" w:rsidR="00F749F7" w:rsidRPr="00F87054" w:rsidRDefault="00F749F7" w:rsidP="00F72FA1">
            <w:pPr>
              <w:pStyle w:val="Tabletext"/>
            </w:pPr>
            <w:r w:rsidRPr="00F87054">
              <w:t>$1,</w:t>
            </w:r>
            <w:r w:rsidRPr="00F87054">
              <w:rPr>
                <w:rFonts w:cs="Arial"/>
              </w:rPr>
              <w:t>484,026.41</w:t>
            </w:r>
          </w:p>
        </w:tc>
      </w:tr>
      <w:tr w:rsidR="00F749F7" w:rsidRPr="00F87054" w14:paraId="1C71E68E" w14:textId="77777777" w:rsidTr="00F749F7">
        <w:trPr>
          <w:trHeight w:val="417"/>
        </w:trPr>
        <w:tc>
          <w:tcPr>
            <w:tcW w:w="818" w:type="pct"/>
            <w:tcBorders>
              <w:bottom w:val="single" w:sz="4" w:space="0" w:color="auto"/>
            </w:tcBorders>
            <w:vAlign w:val="center"/>
          </w:tcPr>
          <w:p w14:paraId="61258867" w14:textId="77777777" w:rsidR="00F749F7" w:rsidRPr="00F87054" w:rsidRDefault="00F749F7" w:rsidP="00F72FA1">
            <w:pPr>
              <w:pStyle w:val="Tabletext"/>
              <w:rPr>
                <w:b/>
                <w:bCs/>
              </w:rPr>
            </w:pPr>
            <w:r w:rsidRPr="00F87054">
              <w:rPr>
                <w:b/>
                <w:bCs/>
              </w:rPr>
              <w:t>Net Cost to MBS</w:t>
            </w:r>
          </w:p>
        </w:tc>
        <w:tc>
          <w:tcPr>
            <w:tcW w:w="764" w:type="pct"/>
            <w:vAlign w:val="center"/>
          </w:tcPr>
          <w:p w14:paraId="77EEC509" w14:textId="77777777" w:rsidR="00F749F7" w:rsidRPr="00F87054" w:rsidRDefault="00F749F7" w:rsidP="00F72FA1">
            <w:pPr>
              <w:pStyle w:val="Tabletext"/>
            </w:pPr>
            <w:r w:rsidRPr="00F87054">
              <w:rPr>
                <w:rFonts w:cs="Arial"/>
                <w:b/>
                <w:bCs/>
                <w:snapToGrid w:val="0"/>
              </w:rPr>
              <w:t>$19,241.51</w:t>
            </w:r>
          </w:p>
        </w:tc>
        <w:tc>
          <w:tcPr>
            <w:tcW w:w="854" w:type="pct"/>
            <w:vAlign w:val="center"/>
          </w:tcPr>
          <w:p w14:paraId="1E09E082" w14:textId="77777777" w:rsidR="00F749F7" w:rsidRPr="00F87054" w:rsidRDefault="00F749F7" w:rsidP="00F72FA1">
            <w:pPr>
              <w:pStyle w:val="Tabletext"/>
            </w:pPr>
            <w:r w:rsidRPr="00F87054">
              <w:rPr>
                <w:rFonts w:cs="Arial"/>
                <w:b/>
                <w:bCs/>
                <w:snapToGrid w:val="0"/>
              </w:rPr>
              <w:t>$21,958.00</w:t>
            </w:r>
          </w:p>
        </w:tc>
        <w:tc>
          <w:tcPr>
            <w:tcW w:w="854" w:type="pct"/>
            <w:vAlign w:val="center"/>
          </w:tcPr>
          <w:p w14:paraId="7BF6A6FA" w14:textId="77777777" w:rsidR="00F749F7" w:rsidRPr="00F87054" w:rsidRDefault="00F749F7" w:rsidP="00F72FA1">
            <w:pPr>
              <w:pStyle w:val="Tabletext"/>
              <w:rPr>
                <w:rFonts w:cs="Arial"/>
                <w:b/>
                <w:bCs/>
                <w:snapToGrid w:val="0"/>
              </w:rPr>
            </w:pPr>
            <w:r w:rsidRPr="00F87054">
              <w:rPr>
                <w:rFonts w:cs="Arial"/>
                <w:b/>
                <w:bCs/>
                <w:snapToGrid w:val="0"/>
              </w:rPr>
              <w:t>$24,674.49</w:t>
            </w:r>
          </w:p>
        </w:tc>
        <w:tc>
          <w:tcPr>
            <w:tcW w:w="854" w:type="pct"/>
            <w:vAlign w:val="center"/>
          </w:tcPr>
          <w:p w14:paraId="4070B729" w14:textId="77777777" w:rsidR="00F749F7" w:rsidRPr="00F87054" w:rsidRDefault="00F749F7" w:rsidP="00F72FA1">
            <w:pPr>
              <w:pStyle w:val="Tabletext"/>
            </w:pPr>
            <w:r w:rsidRPr="00F87054">
              <w:rPr>
                <w:rFonts w:cs="Arial"/>
                <w:b/>
                <w:bCs/>
                <w:snapToGrid w:val="0"/>
              </w:rPr>
              <w:t>$27,389.21</w:t>
            </w:r>
          </w:p>
        </w:tc>
        <w:tc>
          <w:tcPr>
            <w:tcW w:w="854" w:type="pct"/>
            <w:vAlign w:val="center"/>
          </w:tcPr>
          <w:p w14:paraId="3F2F80ED" w14:textId="77777777" w:rsidR="00F749F7" w:rsidRPr="00F87054" w:rsidRDefault="00F749F7" w:rsidP="00F72FA1">
            <w:pPr>
              <w:pStyle w:val="Tabletext"/>
            </w:pPr>
            <w:r w:rsidRPr="00F87054">
              <w:rPr>
                <w:rFonts w:cs="Arial"/>
                <w:b/>
                <w:bCs/>
                <w:snapToGrid w:val="0"/>
              </w:rPr>
              <w:t>$30,114.53</w:t>
            </w:r>
          </w:p>
        </w:tc>
      </w:tr>
      <w:tr w:rsidR="00F749F7" w:rsidRPr="00F87054" w14:paraId="0BC78FBE" w14:textId="77777777" w:rsidTr="00F749F7">
        <w:trPr>
          <w:trHeight w:val="214"/>
        </w:trPr>
        <w:tc>
          <w:tcPr>
            <w:tcW w:w="5000" w:type="pct"/>
            <w:gridSpan w:val="6"/>
            <w:tcBorders>
              <w:bottom w:val="single" w:sz="4" w:space="0" w:color="auto"/>
            </w:tcBorders>
            <w:vAlign w:val="center"/>
          </w:tcPr>
          <w:p w14:paraId="58A6A2FC" w14:textId="77777777" w:rsidR="00F749F7" w:rsidRPr="00F87054" w:rsidRDefault="00F749F7" w:rsidP="00F72FA1">
            <w:pPr>
              <w:pStyle w:val="Tabletext"/>
              <w:rPr>
                <w:rFonts w:cs="Arial"/>
                <w:b/>
                <w:bCs/>
                <w:snapToGrid w:val="0"/>
              </w:rPr>
            </w:pPr>
            <w:r w:rsidRPr="00F87054">
              <w:rPr>
                <w:b/>
                <w:bCs/>
              </w:rPr>
              <w:t>Overall</w:t>
            </w:r>
          </w:p>
        </w:tc>
      </w:tr>
      <w:tr w:rsidR="00F749F7" w:rsidRPr="00F87054" w14:paraId="2B0F3BDD" w14:textId="77777777" w:rsidTr="00F749F7">
        <w:trPr>
          <w:trHeight w:val="394"/>
        </w:trPr>
        <w:tc>
          <w:tcPr>
            <w:tcW w:w="818" w:type="pct"/>
            <w:shd w:val="clear" w:color="auto" w:fill="auto"/>
            <w:vAlign w:val="center"/>
          </w:tcPr>
          <w:p w14:paraId="01E2189C" w14:textId="77777777" w:rsidR="00F749F7" w:rsidRPr="00F87054" w:rsidRDefault="00F749F7" w:rsidP="00F72FA1">
            <w:pPr>
              <w:pStyle w:val="Tabletext"/>
              <w:rPr>
                <w:b/>
                <w:bCs/>
              </w:rPr>
            </w:pPr>
            <w:r w:rsidRPr="00F87054">
              <w:rPr>
                <w:b/>
                <w:bCs/>
              </w:rPr>
              <w:t>Net Cost to MBS</w:t>
            </w:r>
          </w:p>
        </w:tc>
        <w:tc>
          <w:tcPr>
            <w:tcW w:w="764" w:type="pct"/>
            <w:vAlign w:val="center"/>
          </w:tcPr>
          <w:p w14:paraId="59D6CF12" w14:textId="77777777" w:rsidR="00F749F7" w:rsidRPr="00F87054" w:rsidRDefault="00F749F7" w:rsidP="00F72FA1">
            <w:pPr>
              <w:pStyle w:val="Tabletext"/>
            </w:pPr>
            <w:r w:rsidRPr="00F87054">
              <w:rPr>
                <w:rFonts w:eastAsia="Calibri" w:cs="Arial"/>
                <w:b/>
                <w:bCs/>
                <w:color w:val="000000"/>
              </w:rPr>
              <w:t>$19,937.342</w:t>
            </w:r>
          </w:p>
        </w:tc>
        <w:tc>
          <w:tcPr>
            <w:tcW w:w="854" w:type="pct"/>
            <w:vAlign w:val="center"/>
          </w:tcPr>
          <w:p w14:paraId="20D2BA70" w14:textId="77777777" w:rsidR="00F749F7" w:rsidRPr="00F87054" w:rsidRDefault="00F749F7" w:rsidP="00F72FA1">
            <w:pPr>
              <w:pStyle w:val="Tabletext"/>
            </w:pPr>
            <w:r w:rsidRPr="00F87054">
              <w:rPr>
                <w:rFonts w:eastAsia="Calibri" w:cs="Arial"/>
                <w:b/>
                <w:bCs/>
                <w:color w:val="000000"/>
              </w:rPr>
              <w:t>$22,763.48</w:t>
            </w:r>
          </w:p>
        </w:tc>
        <w:tc>
          <w:tcPr>
            <w:tcW w:w="854" w:type="pct"/>
            <w:vAlign w:val="center"/>
          </w:tcPr>
          <w:p w14:paraId="4F471D73" w14:textId="77777777" w:rsidR="00F749F7" w:rsidRPr="00F87054" w:rsidRDefault="00F749F7" w:rsidP="00F72FA1">
            <w:pPr>
              <w:pStyle w:val="Tabletext"/>
            </w:pPr>
            <w:r w:rsidRPr="00F87054">
              <w:rPr>
                <w:rFonts w:eastAsia="Calibri" w:cs="Arial"/>
                <w:b/>
                <w:bCs/>
                <w:color w:val="000000"/>
              </w:rPr>
              <w:t>$25,579.62</w:t>
            </w:r>
          </w:p>
        </w:tc>
        <w:tc>
          <w:tcPr>
            <w:tcW w:w="854" w:type="pct"/>
            <w:vAlign w:val="center"/>
          </w:tcPr>
          <w:p w14:paraId="7641988B" w14:textId="77777777" w:rsidR="00F749F7" w:rsidRPr="00F87054" w:rsidRDefault="00F749F7" w:rsidP="00F72FA1">
            <w:pPr>
              <w:pStyle w:val="Tabletext"/>
            </w:pPr>
            <w:r w:rsidRPr="00F87054">
              <w:rPr>
                <w:rFonts w:eastAsia="Calibri" w:cs="Arial"/>
                <w:b/>
                <w:bCs/>
                <w:color w:val="000000"/>
              </w:rPr>
              <w:t>$28,393.92</w:t>
            </w:r>
          </w:p>
        </w:tc>
        <w:tc>
          <w:tcPr>
            <w:tcW w:w="854" w:type="pct"/>
            <w:vAlign w:val="center"/>
          </w:tcPr>
          <w:p w14:paraId="4D860F8C" w14:textId="77777777" w:rsidR="00F749F7" w:rsidRPr="00F87054" w:rsidRDefault="00F749F7" w:rsidP="00F72FA1">
            <w:pPr>
              <w:pStyle w:val="Tabletext"/>
            </w:pPr>
            <w:r w:rsidRPr="00F87054">
              <w:rPr>
                <w:rFonts w:cs="Arial"/>
                <w:b/>
                <w:bCs/>
                <w:color w:val="000000"/>
              </w:rPr>
              <w:t>$31,219.22</w:t>
            </w:r>
          </w:p>
        </w:tc>
      </w:tr>
    </w:tbl>
    <w:p w14:paraId="0661B164" w14:textId="77777777" w:rsidR="00F749F7" w:rsidRPr="00F749F7" w:rsidRDefault="00F749F7" w:rsidP="00066143">
      <w:pPr>
        <w:pStyle w:val="Tablenotes0"/>
      </w:pPr>
      <w:r w:rsidRPr="00F749F7">
        <w:t>Source: Table 12, pg32 of the DCAR</w:t>
      </w:r>
    </w:p>
    <w:p w14:paraId="02784423" w14:textId="6C8168B1" w:rsidR="00F749F7" w:rsidRDefault="00F749F7" w:rsidP="00066143">
      <w:pPr>
        <w:pStyle w:val="Tablenotes0"/>
      </w:pPr>
      <w:r w:rsidRPr="00F749F7">
        <w:rPr>
          <w:bCs/>
        </w:rPr>
        <w:t>Abbreviations:</w:t>
      </w:r>
      <w:r w:rsidRPr="00F87054">
        <w:t xml:space="preserve"> </w:t>
      </w:r>
      <w:r>
        <w:t>ABiC</w:t>
      </w:r>
      <w:r w:rsidRPr="00F87054">
        <w:t xml:space="preserve"> = ab-interno canaloplasty; MBS = Medicare Benefits Schedule; TM = trabecular meshwork</w:t>
      </w:r>
    </w:p>
    <w:p w14:paraId="780FDBB0" w14:textId="6331FF48" w:rsidR="00DE2391" w:rsidRDefault="00F749F7" w:rsidP="00DE2391">
      <w:pPr>
        <w:rPr>
          <w:rFonts w:eastAsia="SimSun"/>
        </w:rPr>
      </w:pPr>
      <w:r w:rsidRPr="00F87054">
        <w:rPr>
          <w:rFonts w:eastAsia="SimSun"/>
        </w:rPr>
        <w:t xml:space="preserve">The microcatheter reoperation rate </w:t>
      </w:r>
      <w:r w:rsidR="00DE2391">
        <w:rPr>
          <w:rFonts w:eastAsia="SimSun"/>
        </w:rPr>
        <w:t>is</w:t>
      </w:r>
      <w:r w:rsidRPr="00F87054">
        <w:rPr>
          <w:rFonts w:eastAsia="SimSun"/>
        </w:rPr>
        <w:t xml:space="preserve"> a major area of uncertainty. The assumption in the base-case scenario includes a reoperation rate of 6.9%, calculated from 2 retrospective studies</w:t>
      </w:r>
      <w:r w:rsidR="00825B52">
        <w:rPr>
          <w:rFonts w:eastAsia="SimSun"/>
        </w:rPr>
        <w:t xml:space="preserve"> (Gallardo et al., 2018b</w:t>
      </w:r>
      <w:r w:rsidR="00825B52" w:rsidRPr="00B95B2D">
        <w:rPr>
          <w:rStyle w:val="FootnoteReference"/>
          <w:rFonts w:eastAsia="SimSun"/>
        </w:rPr>
        <w:footnoteReference w:id="18"/>
      </w:r>
      <w:r w:rsidR="00825B52" w:rsidRPr="00B95B2D">
        <w:rPr>
          <w:rFonts w:eastAsia="SimSun"/>
        </w:rPr>
        <w:t>; Gillman et al., 2021</w:t>
      </w:r>
      <w:r w:rsidR="00825B52">
        <w:rPr>
          <w:rStyle w:val="FootnoteReference"/>
          <w:rFonts w:eastAsia="SimSun"/>
        </w:rPr>
        <w:footnoteReference w:id="19"/>
      </w:r>
      <w:r w:rsidR="00825B52">
        <w:rPr>
          <w:rFonts w:eastAsia="SimSun"/>
        </w:rPr>
        <w:t>)</w:t>
      </w:r>
      <w:r w:rsidRPr="00F87054">
        <w:rPr>
          <w:rFonts w:eastAsia="SimSun"/>
        </w:rPr>
        <w:t xml:space="preserve">. </w:t>
      </w:r>
      <w:r>
        <w:rPr>
          <w:rFonts w:eastAsia="SimSun"/>
        </w:rPr>
        <w:t>The</w:t>
      </w:r>
      <w:r w:rsidR="00DE2391">
        <w:rPr>
          <w:rFonts w:eastAsia="SimSun"/>
        </w:rPr>
        <w:t>refore, the</w:t>
      </w:r>
      <w:r>
        <w:rPr>
          <w:rFonts w:eastAsia="SimSun"/>
        </w:rPr>
        <w:t xml:space="preserve"> impact of the reoperation rate on the financial estimates was explored through sensitivity analyses present</w:t>
      </w:r>
      <w:r w:rsidR="00DE2391">
        <w:rPr>
          <w:rFonts w:eastAsia="SimSun"/>
        </w:rPr>
        <w:t>ed</w:t>
      </w:r>
      <w:r>
        <w:rPr>
          <w:rFonts w:eastAsia="SimSun"/>
        </w:rPr>
        <w:t xml:space="preserve"> in </w:t>
      </w:r>
      <w:r w:rsidR="00DE2391">
        <w:rPr>
          <w:rFonts w:eastAsia="SimSun"/>
        </w:rPr>
        <w:fldChar w:fldCharType="begin"/>
      </w:r>
      <w:r w:rsidR="00DE2391">
        <w:rPr>
          <w:rFonts w:eastAsia="SimSun"/>
        </w:rPr>
        <w:instrText xml:space="preserve"> REF _Ref79671510 \h </w:instrText>
      </w:r>
      <w:r w:rsidR="00DE2391">
        <w:rPr>
          <w:rFonts w:eastAsia="SimSun"/>
        </w:rPr>
      </w:r>
      <w:r w:rsidR="00DE2391">
        <w:rPr>
          <w:rFonts w:eastAsia="SimSun"/>
        </w:rPr>
        <w:fldChar w:fldCharType="separate"/>
      </w:r>
      <w:r w:rsidR="00DE2391" w:rsidRPr="00F87054">
        <w:t xml:space="preserve">Table </w:t>
      </w:r>
      <w:r w:rsidR="00DE2391">
        <w:rPr>
          <w:noProof/>
        </w:rPr>
        <w:t>17</w:t>
      </w:r>
      <w:r w:rsidR="00DE2391">
        <w:rPr>
          <w:rFonts w:eastAsia="SimSun"/>
        </w:rPr>
        <w:fldChar w:fldCharType="end"/>
      </w:r>
      <w:r w:rsidR="00DE2391">
        <w:rPr>
          <w:rFonts w:eastAsia="SimSun"/>
        </w:rPr>
        <w:t>.</w:t>
      </w:r>
    </w:p>
    <w:p w14:paraId="358A1F67" w14:textId="4DF0EF25" w:rsidR="00920D98" w:rsidRPr="0091135D" w:rsidRDefault="00DE2391" w:rsidP="0091135D">
      <w:pPr>
        <w:spacing w:before="240"/>
        <w:rPr>
          <w:rFonts w:eastAsia="SimSun"/>
        </w:rPr>
      </w:pPr>
      <w:r>
        <w:rPr>
          <w:rFonts w:eastAsia="SimSun"/>
        </w:rPr>
        <w:t>The sensitivity analyses indicate that t</w:t>
      </w:r>
      <w:r w:rsidRPr="00F87054">
        <w:rPr>
          <w:rFonts w:eastAsia="SimSun"/>
        </w:rPr>
        <w:t xml:space="preserve">he </w:t>
      </w:r>
      <w:r>
        <w:rPr>
          <w:rFonts w:eastAsia="SimSun"/>
        </w:rPr>
        <w:t xml:space="preserve">estimated </w:t>
      </w:r>
      <w:r w:rsidRPr="00F87054">
        <w:rPr>
          <w:rFonts w:eastAsia="SimSun"/>
        </w:rPr>
        <w:t>year-</w:t>
      </w:r>
      <w:bookmarkStart w:id="53" w:name="_Hlk79671531"/>
      <w:r w:rsidRPr="00F87054">
        <w:rPr>
          <w:rFonts w:eastAsia="SimSun"/>
        </w:rPr>
        <w:t xml:space="preserve">1 cost to the MBS </w:t>
      </w:r>
      <w:r>
        <w:rPr>
          <w:rFonts w:eastAsia="SimSun"/>
        </w:rPr>
        <w:t xml:space="preserve">range </w:t>
      </w:r>
      <w:r w:rsidRPr="00F87054">
        <w:rPr>
          <w:rFonts w:eastAsia="SimSun"/>
        </w:rPr>
        <w:t xml:space="preserve">between $0–$30,065.56. By year 5, the potential net cost impact on the MBS of listing ABiC using microcatheter may lie between $0–$47,055.05 (the corresponding base-case estimate was </w:t>
      </w:r>
      <w:r w:rsidRPr="00F87054">
        <w:t>$31,219.22</w:t>
      </w:r>
      <w:r w:rsidRPr="00F87054">
        <w:rPr>
          <w:rFonts w:eastAsia="SimSun"/>
        </w:rPr>
        <w:t>). The lower bound reflects the cost when the reoperation rate of ABiC using microcatheter is equal to the reoperation rate of the micro-bypass stent (4.1%), while the upper bound reflects the potential cost impact where the microcatheter reoperation rate is increased by 20% (8.3%).</w:t>
      </w:r>
      <w:bookmarkStart w:id="54" w:name="_Ref79671510"/>
      <w:bookmarkStart w:id="55" w:name="_Toc81257883"/>
      <w:bookmarkEnd w:id="53"/>
      <w:r w:rsidR="00920D98">
        <w:br w:type="page"/>
      </w:r>
    </w:p>
    <w:p w14:paraId="0DD6EE8C" w14:textId="03963C0B" w:rsidR="00F749F7" w:rsidRPr="00F87054" w:rsidRDefault="00F749F7" w:rsidP="00624B02">
      <w:pPr>
        <w:pStyle w:val="Caption"/>
        <w:spacing w:before="240"/>
      </w:pPr>
      <w:r w:rsidRPr="00F87054">
        <w:lastRenderedPageBreak/>
        <w:t xml:space="preserve">Table </w:t>
      </w:r>
      <w:fldSimple w:instr=" SEQ Table \* ARABIC ">
        <w:r w:rsidR="00DE2391">
          <w:rPr>
            <w:noProof/>
          </w:rPr>
          <w:t>17</w:t>
        </w:r>
      </w:fldSimple>
      <w:bookmarkEnd w:id="54"/>
      <w:r w:rsidRPr="00F87054">
        <w:tab/>
        <w:t>Results of sensitivity analyses performed on budget impact assessment</w:t>
      </w:r>
      <w:bookmarkEnd w:id="55"/>
    </w:p>
    <w:tbl>
      <w:tblPr>
        <w:tblStyle w:val="TableGrid28"/>
        <w:tblW w:w="8642" w:type="dxa"/>
        <w:tblLook w:val="04A0" w:firstRow="1" w:lastRow="0" w:firstColumn="1" w:lastColumn="0" w:noHBand="0" w:noVBand="1"/>
        <w:tblDescription w:val="Results of sensitivity analyses performed on budget impact assessment"/>
      </w:tblPr>
      <w:tblGrid>
        <w:gridCol w:w="1838"/>
        <w:gridCol w:w="1315"/>
        <w:gridCol w:w="1378"/>
        <w:gridCol w:w="1418"/>
        <w:gridCol w:w="1417"/>
        <w:gridCol w:w="1276"/>
      </w:tblGrid>
      <w:tr w:rsidR="00F749F7" w:rsidRPr="00F87054" w14:paraId="51FA3990" w14:textId="77777777" w:rsidTr="00DE2391">
        <w:trPr>
          <w:cnfStyle w:val="100000000000" w:firstRow="1" w:lastRow="0" w:firstColumn="0" w:lastColumn="0" w:oddVBand="0" w:evenVBand="0" w:oddHBand="0" w:evenHBand="0" w:firstRowFirstColumn="0" w:firstRowLastColumn="0" w:lastRowFirstColumn="0" w:lastRowLastColumn="0"/>
          <w:tblHeader/>
        </w:trPr>
        <w:tc>
          <w:tcPr>
            <w:tcW w:w="1838" w:type="dxa"/>
            <w:tcBorders>
              <w:bottom w:val="single" w:sz="4" w:space="0" w:color="auto"/>
            </w:tcBorders>
            <w:shd w:val="clear" w:color="auto" w:fill="D9D9D9" w:themeFill="background1" w:themeFillShade="D9"/>
            <w:vAlign w:val="center"/>
          </w:tcPr>
          <w:p w14:paraId="098A3174" w14:textId="77777777" w:rsidR="00F749F7" w:rsidRPr="00F87054" w:rsidRDefault="00F749F7" w:rsidP="00F749F7">
            <w:pPr>
              <w:spacing w:before="40" w:after="40"/>
              <w:ind w:left="28"/>
              <w:rPr>
                <w:rFonts w:ascii="Arial Narrow" w:hAnsi="Arial Narrow"/>
                <w:b/>
                <w:bCs/>
              </w:rPr>
            </w:pPr>
          </w:p>
        </w:tc>
        <w:tc>
          <w:tcPr>
            <w:tcW w:w="1315" w:type="dxa"/>
            <w:tcBorders>
              <w:bottom w:val="single" w:sz="4" w:space="0" w:color="auto"/>
            </w:tcBorders>
            <w:shd w:val="clear" w:color="auto" w:fill="D9D9D9" w:themeFill="background1" w:themeFillShade="D9"/>
            <w:vAlign w:val="center"/>
          </w:tcPr>
          <w:p w14:paraId="1597D249" w14:textId="77777777" w:rsidR="00F749F7" w:rsidRPr="00F87054" w:rsidRDefault="00F749F7" w:rsidP="00F749F7">
            <w:pPr>
              <w:spacing w:before="40" w:after="40"/>
              <w:ind w:left="28"/>
              <w:jc w:val="center"/>
              <w:rPr>
                <w:rFonts w:ascii="Arial Narrow" w:hAnsi="Arial Narrow"/>
                <w:b/>
                <w:bCs/>
              </w:rPr>
            </w:pPr>
            <w:r w:rsidRPr="00F87054">
              <w:rPr>
                <w:rFonts w:ascii="Arial Narrow" w:hAnsi="Arial Narrow"/>
                <w:b/>
                <w:bCs/>
              </w:rPr>
              <w:t>2022</w:t>
            </w:r>
          </w:p>
        </w:tc>
        <w:tc>
          <w:tcPr>
            <w:tcW w:w="1378" w:type="dxa"/>
            <w:tcBorders>
              <w:bottom w:val="single" w:sz="4" w:space="0" w:color="auto"/>
            </w:tcBorders>
            <w:shd w:val="clear" w:color="auto" w:fill="D9D9D9" w:themeFill="background1" w:themeFillShade="D9"/>
            <w:vAlign w:val="center"/>
          </w:tcPr>
          <w:p w14:paraId="7C6AF543" w14:textId="77777777" w:rsidR="00F749F7" w:rsidRPr="00F87054" w:rsidRDefault="00F749F7" w:rsidP="00F749F7">
            <w:pPr>
              <w:spacing w:before="40" w:after="40"/>
              <w:ind w:left="28"/>
              <w:jc w:val="center"/>
              <w:rPr>
                <w:rFonts w:ascii="Arial Narrow" w:hAnsi="Arial Narrow"/>
                <w:b/>
                <w:bCs/>
              </w:rPr>
            </w:pPr>
            <w:r w:rsidRPr="00F87054">
              <w:rPr>
                <w:rFonts w:ascii="Arial Narrow" w:hAnsi="Arial Narrow"/>
                <w:b/>
                <w:bCs/>
              </w:rPr>
              <w:t>2023</w:t>
            </w:r>
          </w:p>
        </w:tc>
        <w:tc>
          <w:tcPr>
            <w:tcW w:w="1418" w:type="dxa"/>
            <w:tcBorders>
              <w:bottom w:val="single" w:sz="4" w:space="0" w:color="auto"/>
            </w:tcBorders>
            <w:shd w:val="clear" w:color="auto" w:fill="D9D9D9" w:themeFill="background1" w:themeFillShade="D9"/>
            <w:vAlign w:val="center"/>
          </w:tcPr>
          <w:p w14:paraId="2E4FF4C4" w14:textId="77777777" w:rsidR="00F749F7" w:rsidRPr="00F87054" w:rsidRDefault="00F749F7" w:rsidP="00F749F7">
            <w:pPr>
              <w:spacing w:before="40" w:after="40"/>
              <w:ind w:left="28"/>
              <w:jc w:val="center"/>
              <w:rPr>
                <w:rFonts w:ascii="Arial Narrow" w:hAnsi="Arial Narrow"/>
                <w:b/>
                <w:bCs/>
              </w:rPr>
            </w:pPr>
            <w:r w:rsidRPr="00F87054">
              <w:rPr>
                <w:rFonts w:ascii="Arial Narrow" w:hAnsi="Arial Narrow"/>
                <w:b/>
                <w:bCs/>
              </w:rPr>
              <w:t>2024</w:t>
            </w:r>
          </w:p>
        </w:tc>
        <w:tc>
          <w:tcPr>
            <w:tcW w:w="1417" w:type="dxa"/>
            <w:tcBorders>
              <w:bottom w:val="single" w:sz="4" w:space="0" w:color="auto"/>
            </w:tcBorders>
            <w:shd w:val="clear" w:color="auto" w:fill="D9D9D9" w:themeFill="background1" w:themeFillShade="D9"/>
            <w:vAlign w:val="center"/>
          </w:tcPr>
          <w:p w14:paraId="4C6DCC8F" w14:textId="77777777" w:rsidR="00F749F7" w:rsidRPr="00F87054" w:rsidRDefault="00F749F7" w:rsidP="00F749F7">
            <w:pPr>
              <w:spacing w:before="40" w:after="40"/>
              <w:ind w:left="28"/>
              <w:jc w:val="center"/>
              <w:rPr>
                <w:rFonts w:ascii="Arial Narrow" w:hAnsi="Arial Narrow"/>
                <w:b/>
                <w:bCs/>
              </w:rPr>
            </w:pPr>
            <w:r w:rsidRPr="00F87054">
              <w:rPr>
                <w:rFonts w:ascii="Arial Narrow" w:hAnsi="Arial Narrow"/>
                <w:b/>
                <w:bCs/>
              </w:rPr>
              <w:t>2025</w:t>
            </w:r>
          </w:p>
        </w:tc>
        <w:tc>
          <w:tcPr>
            <w:tcW w:w="1276" w:type="dxa"/>
            <w:tcBorders>
              <w:bottom w:val="single" w:sz="4" w:space="0" w:color="auto"/>
            </w:tcBorders>
            <w:shd w:val="clear" w:color="auto" w:fill="D9D9D9" w:themeFill="background1" w:themeFillShade="D9"/>
            <w:vAlign w:val="center"/>
          </w:tcPr>
          <w:p w14:paraId="2B4D5D1F" w14:textId="77777777" w:rsidR="00F749F7" w:rsidRPr="00F87054" w:rsidRDefault="00F749F7" w:rsidP="00F749F7">
            <w:pPr>
              <w:spacing w:before="40" w:after="40"/>
              <w:ind w:left="28"/>
              <w:jc w:val="center"/>
              <w:rPr>
                <w:rFonts w:ascii="Arial Narrow" w:hAnsi="Arial Narrow"/>
                <w:b/>
                <w:bCs/>
              </w:rPr>
            </w:pPr>
            <w:r w:rsidRPr="00F87054">
              <w:rPr>
                <w:rFonts w:ascii="Arial Narrow" w:hAnsi="Arial Narrow"/>
                <w:b/>
                <w:bCs/>
              </w:rPr>
              <w:t>2026</w:t>
            </w:r>
          </w:p>
        </w:tc>
      </w:tr>
      <w:tr w:rsidR="00F749F7" w:rsidRPr="00F87054" w14:paraId="24D71275" w14:textId="77777777" w:rsidTr="00DE2391">
        <w:trPr>
          <w:cnfStyle w:val="100000000000" w:firstRow="1" w:lastRow="0" w:firstColumn="0" w:lastColumn="0" w:oddVBand="0" w:evenVBand="0" w:oddHBand="0" w:evenHBand="0" w:firstRowFirstColumn="0" w:firstRowLastColumn="0" w:lastRowFirstColumn="0" w:lastRowLastColumn="0"/>
          <w:tblHeader/>
        </w:trPr>
        <w:tc>
          <w:tcPr>
            <w:tcW w:w="1838" w:type="dxa"/>
            <w:tcBorders>
              <w:right w:val="nil"/>
            </w:tcBorders>
            <w:shd w:val="clear" w:color="auto" w:fill="D9D9D9"/>
            <w:vAlign w:val="center"/>
          </w:tcPr>
          <w:p w14:paraId="077F3836" w14:textId="77777777" w:rsidR="00F749F7" w:rsidRPr="00F87054" w:rsidRDefault="00F749F7" w:rsidP="00F749F7">
            <w:pPr>
              <w:spacing w:before="40" w:after="40"/>
              <w:ind w:left="28"/>
              <w:rPr>
                <w:rFonts w:ascii="Arial Narrow" w:hAnsi="Arial Narrow"/>
              </w:rPr>
            </w:pPr>
            <w:r w:rsidRPr="00F87054">
              <w:rPr>
                <w:rFonts w:ascii="Arial Narrow" w:hAnsi="Arial Narrow"/>
              </w:rPr>
              <w:t>Base-case</w:t>
            </w:r>
          </w:p>
        </w:tc>
        <w:tc>
          <w:tcPr>
            <w:tcW w:w="1315" w:type="dxa"/>
            <w:tcBorders>
              <w:left w:val="nil"/>
              <w:right w:val="nil"/>
            </w:tcBorders>
            <w:shd w:val="clear" w:color="auto" w:fill="D9D9D9"/>
            <w:vAlign w:val="center"/>
          </w:tcPr>
          <w:p w14:paraId="369C1C80" w14:textId="77777777" w:rsidR="00F749F7" w:rsidRPr="00F87054" w:rsidRDefault="00F749F7" w:rsidP="00F749F7">
            <w:pPr>
              <w:spacing w:before="40" w:after="40"/>
              <w:ind w:left="28"/>
              <w:rPr>
                <w:rFonts w:ascii="Arial Narrow" w:hAnsi="Arial Narrow"/>
              </w:rPr>
            </w:pPr>
          </w:p>
        </w:tc>
        <w:tc>
          <w:tcPr>
            <w:tcW w:w="1378" w:type="dxa"/>
            <w:tcBorders>
              <w:left w:val="nil"/>
              <w:right w:val="nil"/>
            </w:tcBorders>
            <w:shd w:val="clear" w:color="auto" w:fill="D9D9D9"/>
            <w:vAlign w:val="center"/>
          </w:tcPr>
          <w:p w14:paraId="1DFE2CC6" w14:textId="77777777" w:rsidR="00F749F7" w:rsidRPr="00F87054" w:rsidRDefault="00F749F7" w:rsidP="00F749F7">
            <w:pPr>
              <w:spacing w:before="40" w:after="40"/>
              <w:ind w:left="28"/>
              <w:rPr>
                <w:rFonts w:ascii="Arial Narrow" w:hAnsi="Arial Narrow"/>
              </w:rPr>
            </w:pPr>
          </w:p>
        </w:tc>
        <w:tc>
          <w:tcPr>
            <w:tcW w:w="1418" w:type="dxa"/>
            <w:tcBorders>
              <w:left w:val="nil"/>
              <w:right w:val="nil"/>
            </w:tcBorders>
            <w:shd w:val="clear" w:color="auto" w:fill="D9D9D9"/>
            <w:vAlign w:val="center"/>
          </w:tcPr>
          <w:p w14:paraId="3B086C57" w14:textId="77777777" w:rsidR="00F749F7" w:rsidRPr="00F87054" w:rsidRDefault="00F749F7" w:rsidP="00F749F7">
            <w:pPr>
              <w:spacing w:before="40" w:after="40"/>
              <w:ind w:left="28"/>
              <w:rPr>
                <w:rFonts w:ascii="Arial Narrow" w:hAnsi="Arial Narrow"/>
              </w:rPr>
            </w:pPr>
          </w:p>
        </w:tc>
        <w:tc>
          <w:tcPr>
            <w:tcW w:w="1417" w:type="dxa"/>
            <w:tcBorders>
              <w:left w:val="nil"/>
              <w:right w:val="nil"/>
            </w:tcBorders>
            <w:shd w:val="clear" w:color="auto" w:fill="D9D9D9"/>
            <w:vAlign w:val="center"/>
          </w:tcPr>
          <w:p w14:paraId="4D31193A" w14:textId="77777777" w:rsidR="00F749F7" w:rsidRPr="00F87054" w:rsidRDefault="00F749F7" w:rsidP="00F749F7">
            <w:pPr>
              <w:spacing w:before="40" w:after="40"/>
              <w:ind w:left="28"/>
              <w:rPr>
                <w:rFonts w:ascii="Arial Narrow" w:hAnsi="Arial Narrow"/>
              </w:rPr>
            </w:pPr>
          </w:p>
        </w:tc>
        <w:tc>
          <w:tcPr>
            <w:tcW w:w="1276" w:type="dxa"/>
            <w:tcBorders>
              <w:left w:val="nil"/>
            </w:tcBorders>
            <w:shd w:val="clear" w:color="auto" w:fill="D9D9D9"/>
            <w:vAlign w:val="center"/>
          </w:tcPr>
          <w:p w14:paraId="6FA194D1" w14:textId="77777777" w:rsidR="00F749F7" w:rsidRPr="00F87054" w:rsidRDefault="00F749F7" w:rsidP="00F749F7">
            <w:pPr>
              <w:spacing w:before="40" w:after="40"/>
              <w:ind w:left="28"/>
              <w:rPr>
                <w:rFonts w:ascii="Arial Narrow" w:hAnsi="Arial Narrow"/>
              </w:rPr>
            </w:pPr>
          </w:p>
        </w:tc>
      </w:tr>
      <w:tr w:rsidR="00F749F7" w:rsidRPr="00F87054" w14:paraId="31157410" w14:textId="77777777" w:rsidTr="00DE2391">
        <w:tc>
          <w:tcPr>
            <w:tcW w:w="1838" w:type="dxa"/>
            <w:vAlign w:val="center"/>
          </w:tcPr>
          <w:p w14:paraId="69EBE825" w14:textId="77777777" w:rsidR="00F749F7" w:rsidRPr="00F87054" w:rsidRDefault="00F749F7" w:rsidP="00F749F7">
            <w:pPr>
              <w:spacing w:before="40" w:after="40"/>
              <w:ind w:left="28"/>
            </w:pPr>
            <w:r w:rsidRPr="00F87054">
              <w:t>Reoperation rate</w:t>
            </w:r>
          </w:p>
        </w:tc>
        <w:tc>
          <w:tcPr>
            <w:tcW w:w="1315" w:type="dxa"/>
            <w:vAlign w:val="center"/>
          </w:tcPr>
          <w:p w14:paraId="1A35C4E3" w14:textId="77777777" w:rsidR="00F749F7" w:rsidRPr="00F87054" w:rsidRDefault="00F749F7" w:rsidP="00F749F7">
            <w:pPr>
              <w:spacing w:before="40" w:after="40"/>
              <w:ind w:left="28"/>
            </w:pPr>
            <w:r w:rsidRPr="00F87054">
              <w:t>6.9%</w:t>
            </w:r>
          </w:p>
        </w:tc>
        <w:tc>
          <w:tcPr>
            <w:tcW w:w="1378" w:type="dxa"/>
            <w:vAlign w:val="center"/>
          </w:tcPr>
          <w:p w14:paraId="1BCEEC18" w14:textId="77777777" w:rsidR="00F749F7" w:rsidRPr="00F87054" w:rsidRDefault="00F749F7" w:rsidP="00F749F7">
            <w:pPr>
              <w:spacing w:before="40" w:after="40"/>
              <w:ind w:left="28"/>
            </w:pPr>
            <w:r w:rsidRPr="00F87054">
              <w:t>6.9%</w:t>
            </w:r>
          </w:p>
        </w:tc>
        <w:tc>
          <w:tcPr>
            <w:tcW w:w="1418" w:type="dxa"/>
            <w:vAlign w:val="center"/>
          </w:tcPr>
          <w:p w14:paraId="6C440DF6" w14:textId="77777777" w:rsidR="00F749F7" w:rsidRPr="00F87054" w:rsidRDefault="00F749F7" w:rsidP="00F749F7">
            <w:pPr>
              <w:spacing w:before="40" w:after="40"/>
              <w:ind w:left="28"/>
            </w:pPr>
            <w:r w:rsidRPr="00F87054">
              <w:t>6.9%</w:t>
            </w:r>
          </w:p>
        </w:tc>
        <w:tc>
          <w:tcPr>
            <w:tcW w:w="1417" w:type="dxa"/>
            <w:vAlign w:val="center"/>
          </w:tcPr>
          <w:p w14:paraId="09D88DE2" w14:textId="77777777" w:rsidR="00F749F7" w:rsidRPr="00F87054" w:rsidRDefault="00F749F7" w:rsidP="00F749F7">
            <w:pPr>
              <w:spacing w:before="40" w:after="40"/>
              <w:ind w:left="28"/>
            </w:pPr>
            <w:r w:rsidRPr="00F87054">
              <w:t>6.9%</w:t>
            </w:r>
          </w:p>
        </w:tc>
        <w:tc>
          <w:tcPr>
            <w:tcW w:w="1276" w:type="dxa"/>
            <w:vAlign w:val="center"/>
          </w:tcPr>
          <w:p w14:paraId="53C7BFC9" w14:textId="77777777" w:rsidR="00F749F7" w:rsidRPr="00F87054" w:rsidRDefault="00F749F7" w:rsidP="00F749F7">
            <w:pPr>
              <w:spacing w:before="40" w:after="40"/>
              <w:ind w:left="28"/>
            </w:pPr>
            <w:r w:rsidRPr="00F87054">
              <w:t>6.9%</w:t>
            </w:r>
          </w:p>
        </w:tc>
      </w:tr>
      <w:tr w:rsidR="00F749F7" w:rsidRPr="00F87054" w14:paraId="56D0C89D" w14:textId="77777777" w:rsidTr="00DE2391">
        <w:tc>
          <w:tcPr>
            <w:tcW w:w="1838" w:type="dxa"/>
            <w:vAlign w:val="center"/>
          </w:tcPr>
          <w:p w14:paraId="1F124ED3" w14:textId="77777777" w:rsidR="00F749F7" w:rsidRPr="00F87054" w:rsidRDefault="00F749F7" w:rsidP="00F749F7">
            <w:pPr>
              <w:spacing w:before="40" w:after="40"/>
              <w:ind w:left="28"/>
            </w:pPr>
            <w:r w:rsidRPr="00F87054">
              <w:t>Number of patients</w:t>
            </w:r>
          </w:p>
        </w:tc>
        <w:tc>
          <w:tcPr>
            <w:tcW w:w="1315" w:type="dxa"/>
          </w:tcPr>
          <w:p w14:paraId="1C66B34B" w14:textId="77777777" w:rsidR="00F749F7" w:rsidRPr="00F87054" w:rsidRDefault="00F749F7" w:rsidP="00F749F7">
            <w:pPr>
              <w:spacing w:before="40" w:after="40"/>
              <w:ind w:left="28"/>
            </w:pPr>
            <w:r w:rsidRPr="00F87054">
              <w:t>75</w:t>
            </w:r>
          </w:p>
        </w:tc>
        <w:tc>
          <w:tcPr>
            <w:tcW w:w="1378" w:type="dxa"/>
          </w:tcPr>
          <w:p w14:paraId="2AF91864" w14:textId="77777777" w:rsidR="00F749F7" w:rsidRPr="00F87054" w:rsidRDefault="00F749F7" w:rsidP="00F749F7">
            <w:pPr>
              <w:spacing w:before="40" w:after="40"/>
              <w:ind w:left="28"/>
            </w:pPr>
            <w:r w:rsidRPr="00F87054">
              <w:t>86</w:t>
            </w:r>
          </w:p>
        </w:tc>
        <w:tc>
          <w:tcPr>
            <w:tcW w:w="1418" w:type="dxa"/>
          </w:tcPr>
          <w:p w14:paraId="31298D7E" w14:textId="77777777" w:rsidR="00F749F7" w:rsidRPr="00F87054" w:rsidRDefault="00F749F7" w:rsidP="00F749F7">
            <w:pPr>
              <w:spacing w:before="40" w:after="40"/>
              <w:ind w:left="28"/>
            </w:pPr>
            <w:r w:rsidRPr="00F87054">
              <w:t>96</w:t>
            </w:r>
          </w:p>
        </w:tc>
        <w:tc>
          <w:tcPr>
            <w:tcW w:w="1417" w:type="dxa"/>
          </w:tcPr>
          <w:p w14:paraId="2225FA76" w14:textId="77777777" w:rsidR="00F749F7" w:rsidRPr="00F87054" w:rsidRDefault="00F749F7" w:rsidP="00F749F7">
            <w:pPr>
              <w:spacing w:before="40" w:after="40"/>
              <w:ind w:left="28"/>
            </w:pPr>
            <w:r w:rsidRPr="00F87054">
              <w:t>107</w:t>
            </w:r>
          </w:p>
        </w:tc>
        <w:tc>
          <w:tcPr>
            <w:tcW w:w="1276" w:type="dxa"/>
          </w:tcPr>
          <w:p w14:paraId="2606329F" w14:textId="77777777" w:rsidR="00F749F7" w:rsidRPr="00F87054" w:rsidRDefault="00F749F7" w:rsidP="00F749F7">
            <w:pPr>
              <w:spacing w:before="40" w:after="40"/>
              <w:ind w:left="28"/>
            </w:pPr>
            <w:r w:rsidRPr="00F87054">
              <w:t>118</w:t>
            </w:r>
          </w:p>
        </w:tc>
      </w:tr>
      <w:tr w:rsidR="00F749F7" w:rsidRPr="00F87054" w14:paraId="3E5B4A6B" w14:textId="77777777" w:rsidTr="00DE2391">
        <w:tc>
          <w:tcPr>
            <w:tcW w:w="1838" w:type="dxa"/>
            <w:vAlign w:val="center"/>
          </w:tcPr>
          <w:p w14:paraId="22AD1A7C" w14:textId="77777777" w:rsidR="00F749F7" w:rsidRPr="00F87054" w:rsidRDefault="00F749F7" w:rsidP="00F749F7">
            <w:pPr>
              <w:spacing w:before="40" w:after="40"/>
              <w:ind w:left="28"/>
              <w:rPr>
                <w:b/>
                <w:bCs/>
              </w:rPr>
            </w:pPr>
            <w:r w:rsidRPr="00F87054">
              <w:rPr>
                <w:b/>
                <w:bCs/>
              </w:rPr>
              <w:t>Net cost, MBS</w:t>
            </w:r>
          </w:p>
        </w:tc>
        <w:tc>
          <w:tcPr>
            <w:tcW w:w="1315" w:type="dxa"/>
          </w:tcPr>
          <w:p w14:paraId="65DDCCA7" w14:textId="77777777" w:rsidR="00F749F7" w:rsidRPr="00F87054" w:rsidRDefault="00F749F7" w:rsidP="00F749F7">
            <w:pPr>
              <w:spacing w:before="40" w:after="40"/>
              <w:ind w:left="28"/>
              <w:rPr>
                <w:b/>
                <w:bCs/>
              </w:rPr>
            </w:pPr>
            <w:r w:rsidRPr="00F87054">
              <w:rPr>
                <w:b/>
                <w:bCs/>
              </w:rPr>
              <w:t>$19,947.34</w:t>
            </w:r>
          </w:p>
        </w:tc>
        <w:tc>
          <w:tcPr>
            <w:tcW w:w="1378" w:type="dxa"/>
          </w:tcPr>
          <w:p w14:paraId="0901190F" w14:textId="77777777" w:rsidR="00F749F7" w:rsidRPr="00F87054" w:rsidRDefault="00F749F7" w:rsidP="00F749F7">
            <w:pPr>
              <w:spacing w:before="40" w:after="40"/>
              <w:ind w:left="28"/>
              <w:rPr>
                <w:b/>
                <w:bCs/>
              </w:rPr>
            </w:pPr>
            <w:r w:rsidRPr="00F87054">
              <w:rPr>
                <w:b/>
                <w:bCs/>
              </w:rPr>
              <w:t>$22,763.48</w:t>
            </w:r>
          </w:p>
        </w:tc>
        <w:tc>
          <w:tcPr>
            <w:tcW w:w="1418" w:type="dxa"/>
          </w:tcPr>
          <w:p w14:paraId="0A2B07A1" w14:textId="77777777" w:rsidR="00F749F7" w:rsidRPr="00F87054" w:rsidRDefault="00F749F7" w:rsidP="00F749F7">
            <w:pPr>
              <w:spacing w:before="40" w:after="40"/>
              <w:ind w:left="28"/>
              <w:rPr>
                <w:b/>
                <w:bCs/>
              </w:rPr>
            </w:pPr>
            <w:r w:rsidRPr="00F87054">
              <w:rPr>
                <w:b/>
                <w:bCs/>
              </w:rPr>
              <w:t>$25,579.62</w:t>
            </w:r>
          </w:p>
        </w:tc>
        <w:tc>
          <w:tcPr>
            <w:tcW w:w="1417" w:type="dxa"/>
          </w:tcPr>
          <w:p w14:paraId="2FD0614A" w14:textId="77777777" w:rsidR="00F749F7" w:rsidRPr="00F87054" w:rsidRDefault="00F749F7" w:rsidP="00F749F7">
            <w:pPr>
              <w:spacing w:before="40" w:after="40"/>
              <w:ind w:left="28"/>
              <w:rPr>
                <w:b/>
                <w:bCs/>
              </w:rPr>
            </w:pPr>
            <w:r w:rsidRPr="00F87054">
              <w:rPr>
                <w:b/>
                <w:bCs/>
              </w:rPr>
              <w:t>$28,393.92</w:t>
            </w:r>
          </w:p>
        </w:tc>
        <w:tc>
          <w:tcPr>
            <w:tcW w:w="1276" w:type="dxa"/>
          </w:tcPr>
          <w:p w14:paraId="68311764" w14:textId="77777777" w:rsidR="00F749F7" w:rsidRPr="00F87054" w:rsidRDefault="00F749F7" w:rsidP="00F749F7">
            <w:pPr>
              <w:spacing w:before="40" w:after="40"/>
              <w:ind w:left="28"/>
              <w:rPr>
                <w:b/>
                <w:bCs/>
              </w:rPr>
            </w:pPr>
            <w:r w:rsidRPr="00F87054">
              <w:rPr>
                <w:b/>
                <w:bCs/>
              </w:rPr>
              <w:t>$31,219.22</w:t>
            </w:r>
          </w:p>
        </w:tc>
      </w:tr>
      <w:tr w:rsidR="00F749F7" w:rsidRPr="00F87054" w14:paraId="4F814BCA" w14:textId="77777777" w:rsidTr="00DE2391">
        <w:tc>
          <w:tcPr>
            <w:tcW w:w="8642" w:type="dxa"/>
            <w:gridSpan w:val="6"/>
            <w:shd w:val="clear" w:color="auto" w:fill="D9D9D9"/>
            <w:vAlign w:val="center"/>
          </w:tcPr>
          <w:p w14:paraId="4F42C4B6" w14:textId="77777777" w:rsidR="00F749F7" w:rsidRPr="00F87054" w:rsidRDefault="00F749F7" w:rsidP="00F749F7">
            <w:pPr>
              <w:spacing w:before="40" w:after="40"/>
              <w:ind w:left="28"/>
            </w:pPr>
            <w:r w:rsidRPr="00F87054">
              <w:t>Reoperation rate of microcatheter equal to micro-bypass stent</w:t>
            </w:r>
          </w:p>
        </w:tc>
      </w:tr>
      <w:tr w:rsidR="00F749F7" w:rsidRPr="00F87054" w14:paraId="0A480AE4" w14:textId="77777777" w:rsidTr="00DE2391">
        <w:tc>
          <w:tcPr>
            <w:tcW w:w="1838" w:type="dxa"/>
            <w:vAlign w:val="center"/>
          </w:tcPr>
          <w:p w14:paraId="2E455DC6" w14:textId="77777777" w:rsidR="00F749F7" w:rsidRPr="00F87054" w:rsidRDefault="00F749F7" w:rsidP="00F749F7">
            <w:pPr>
              <w:spacing w:before="40" w:after="40"/>
              <w:ind w:left="28"/>
            </w:pPr>
            <w:r w:rsidRPr="00F87054">
              <w:t>Reoperation rate</w:t>
            </w:r>
          </w:p>
        </w:tc>
        <w:tc>
          <w:tcPr>
            <w:tcW w:w="1315" w:type="dxa"/>
            <w:vAlign w:val="center"/>
          </w:tcPr>
          <w:p w14:paraId="362B4328" w14:textId="77777777" w:rsidR="00F749F7" w:rsidRPr="00F87054" w:rsidRDefault="00F749F7" w:rsidP="00F749F7">
            <w:pPr>
              <w:spacing w:before="40" w:after="40"/>
              <w:ind w:left="28"/>
            </w:pPr>
            <w:r w:rsidRPr="00F87054">
              <w:t>4.1%</w:t>
            </w:r>
          </w:p>
        </w:tc>
        <w:tc>
          <w:tcPr>
            <w:tcW w:w="1378" w:type="dxa"/>
            <w:vAlign w:val="center"/>
          </w:tcPr>
          <w:p w14:paraId="34BC2149" w14:textId="77777777" w:rsidR="00F749F7" w:rsidRPr="00F87054" w:rsidRDefault="00F749F7" w:rsidP="00F749F7">
            <w:pPr>
              <w:spacing w:before="40" w:after="40"/>
              <w:ind w:left="28"/>
            </w:pPr>
            <w:r w:rsidRPr="00F87054">
              <w:t>4.1%</w:t>
            </w:r>
          </w:p>
        </w:tc>
        <w:tc>
          <w:tcPr>
            <w:tcW w:w="1418" w:type="dxa"/>
            <w:vAlign w:val="center"/>
          </w:tcPr>
          <w:p w14:paraId="3055B980" w14:textId="77777777" w:rsidR="00F749F7" w:rsidRPr="00F87054" w:rsidRDefault="00F749F7" w:rsidP="00F749F7">
            <w:pPr>
              <w:spacing w:before="40" w:after="40"/>
              <w:ind w:left="28"/>
            </w:pPr>
            <w:r w:rsidRPr="00F87054">
              <w:t>4.1%</w:t>
            </w:r>
          </w:p>
        </w:tc>
        <w:tc>
          <w:tcPr>
            <w:tcW w:w="1417" w:type="dxa"/>
            <w:vAlign w:val="center"/>
          </w:tcPr>
          <w:p w14:paraId="63BA1E04" w14:textId="77777777" w:rsidR="00F749F7" w:rsidRPr="00F87054" w:rsidRDefault="00F749F7" w:rsidP="00F749F7">
            <w:pPr>
              <w:spacing w:before="40" w:after="40"/>
              <w:ind w:left="28"/>
            </w:pPr>
            <w:r w:rsidRPr="00F87054">
              <w:t>4.1%</w:t>
            </w:r>
          </w:p>
        </w:tc>
        <w:tc>
          <w:tcPr>
            <w:tcW w:w="1276" w:type="dxa"/>
            <w:vAlign w:val="center"/>
          </w:tcPr>
          <w:p w14:paraId="761E7A55" w14:textId="77777777" w:rsidR="00F749F7" w:rsidRPr="00F87054" w:rsidRDefault="00F749F7" w:rsidP="00F749F7">
            <w:pPr>
              <w:spacing w:before="40" w:after="40"/>
              <w:ind w:left="28"/>
            </w:pPr>
            <w:r w:rsidRPr="00F87054">
              <w:t>4.1%</w:t>
            </w:r>
          </w:p>
        </w:tc>
      </w:tr>
      <w:tr w:rsidR="00F749F7" w:rsidRPr="00F87054" w14:paraId="65AAB175" w14:textId="77777777" w:rsidTr="00DE2391">
        <w:tc>
          <w:tcPr>
            <w:tcW w:w="1838" w:type="dxa"/>
            <w:vAlign w:val="center"/>
          </w:tcPr>
          <w:p w14:paraId="08D6719F" w14:textId="77777777" w:rsidR="00F749F7" w:rsidRPr="00F87054" w:rsidRDefault="00F749F7" w:rsidP="00F749F7">
            <w:pPr>
              <w:spacing w:before="40" w:after="40"/>
              <w:ind w:left="28"/>
            </w:pPr>
            <w:r w:rsidRPr="00F87054">
              <w:t>Number of patients</w:t>
            </w:r>
          </w:p>
        </w:tc>
        <w:tc>
          <w:tcPr>
            <w:tcW w:w="1315" w:type="dxa"/>
          </w:tcPr>
          <w:p w14:paraId="25D19B5C" w14:textId="77777777" w:rsidR="00F749F7" w:rsidRPr="00F87054" w:rsidRDefault="00F749F7" w:rsidP="00F749F7">
            <w:pPr>
              <w:spacing w:before="40" w:after="40"/>
              <w:ind w:left="28"/>
            </w:pPr>
            <w:r w:rsidRPr="00F87054">
              <w:rPr>
                <w:rFonts w:cs="Calibri"/>
                <w:color w:val="000000"/>
              </w:rPr>
              <w:t>45</w:t>
            </w:r>
          </w:p>
        </w:tc>
        <w:tc>
          <w:tcPr>
            <w:tcW w:w="1378" w:type="dxa"/>
          </w:tcPr>
          <w:p w14:paraId="7541CD8B" w14:textId="77777777" w:rsidR="00F749F7" w:rsidRPr="00F87054" w:rsidRDefault="00F749F7" w:rsidP="00F749F7">
            <w:pPr>
              <w:spacing w:before="40" w:after="40"/>
              <w:ind w:left="28"/>
            </w:pPr>
            <w:r w:rsidRPr="00F87054">
              <w:rPr>
                <w:rFonts w:cs="Calibri"/>
                <w:color w:val="000000"/>
              </w:rPr>
              <w:t>51</w:t>
            </w:r>
          </w:p>
        </w:tc>
        <w:tc>
          <w:tcPr>
            <w:tcW w:w="1418" w:type="dxa"/>
          </w:tcPr>
          <w:p w14:paraId="78774561" w14:textId="77777777" w:rsidR="00F749F7" w:rsidRPr="00F87054" w:rsidRDefault="00F749F7" w:rsidP="00F749F7">
            <w:pPr>
              <w:spacing w:before="40" w:after="40"/>
              <w:ind w:left="28"/>
            </w:pPr>
            <w:r w:rsidRPr="00F87054">
              <w:rPr>
                <w:rFonts w:cs="Calibri"/>
                <w:color w:val="000000"/>
              </w:rPr>
              <w:t>58</w:t>
            </w:r>
          </w:p>
        </w:tc>
        <w:tc>
          <w:tcPr>
            <w:tcW w:w="1417" w:type="dxa"/>
          </w:tcPr>
          <w:p w14:paraId="12AD8C0F" w14:textId="77777777" w:rsidR="00F749F7" w:rsidRPr="00F87054" w:rsidRDefault="00F749F7" w:rsidP="00F749F7">
            <w:pPr>
              <w:spacing w:before="40" w:after="40"/>
              <w:ind w:left="28"/>
            </w:pPr>
            <w:r w:rsidRPr="00F87054">
              <w:rPr>
                <w:rFonts w:cs="Calibri"/>
                <w:color w:val="000000"/>
              </w:rPr>
              <w:t>64</w:t>
            </w:r>
          </w:p>
        </w:tc>
        <w:tc>
          <w:tcPr>
            <w:tcW w:w="1276" w:type="dxa"/>
          </w:tcPr>
          <w:p w14:paraId="26E2CBA1" w14:textId="77777777" w:rsidR="00F749F7" w:rsidRPr="00F87054" w:rsidRDefault="00F749F7" w:rsidP="00F749F7">
            <w:pPr>
              <w:spacing w:before="40" w:after="40"/>
              <w:ind w:left="28"/>
            </w:pPr>
            <w:r w:rsidRPr="00F87054">
              <w:rPr>
                <w:rFonts w:cs="Calibri"/>
                <w:color w:val="000000"/>
              </w:rPr>
              <w:t>71</w:t>
            </w:r>
          </w:p>
        </w:tc>
      </w:tr>
      <w:tr w:rsidR="00F749F7" w:rsidRPr="00F87054" w14:paraId="34B4605F" w14:textId="77777777" w:rsidTr="00DE2391">
        <w:tc>
          <w:tcPr>
            <w:tcW w:w="1838" w:type="dxa"/>
            <w:vAlign w:val="center"/>
          </w:tcPr>
          <w:p w14:paraId="6066CAC4" w14:textId="77777777" w:rsidR="00F749F7" w:rsidRPr="00F87054" w:rsidRDefault="00F749F7" w:rsidP="00F749F7">
            <w:pPr>
              <w:spacing w:before="40" w:after="40"/>
              <w:ind w:left="28"/>
              <w:rPr>
                <w:b/>
                <w:bCs/>
              </w:rPr>
            </w:pPr>
            <w:r w:rsidRPr="00F87054">
              <w:rPr>
                <w:b/>
                <w:bCs/>
              </w:rPr>
              <w:t>Net cost, MBS</w:t>
            </w:r>
          </w:p>
        </w:tc>
        <w:tc>
          <w:tcPr>
            <w:tcW w:w="1315" w:type="dxa"/>
          </w:tcPr>
          <w:p w14:paraId="627DA54E" w14:textId="77777777" w:rsidR="00F749F7" w:rsidRPr="00F87054" w:rsidRDefault="00F749F7" w:rsidP="00F749F7">
            <w:pPr>
              <w:spacing w:before="40" w:after="40"/>
              <w:ind w:left="28"/>
              <w:rPr>
                <w:b/>
                <w:bCs/>
              </w:rPr>
            </w:pPr>
            <w:r w:rsidRPr="00F87054">
              <w:rPr>
                <w:b/>
                <w:bCs/>
              </w:rPr>
              <w:t>$0.00</w:t>
            </w:r>
          </w:p>
        </w:tc>
        <w:tc>
          <w:tcPr>
            <w:tcW w:w="1378" w:type="dxa"/>
          </w:tcPr>
          <w:p w14:paraId="093B94F4" w14:textId="77777777" w:rsidR="00F749F7" w:rsidRPr="00F87054" w:rsidRDefault="00F749F7" w:rsidP="00F749F7">
            <w:pPr>
              <w:spacing w:before="40" w:after="40"/>
              <w:ind w:left="28"/>
              <w:rPr>
                <w:b/>
                <w:bCs/>
              </w:rPr>
            </w:pPr>
            <w:r w:rsidRPr="00F87054">
              <w:rPr>
                <w:b/>
                <w:bCs/>
              </w:rPr>
              <w:t>$0.00</w:t>
            </w:r>
          </w:p>
        </w:tc>
        <w:tc>
          <w:tcPr>
            <w:tcW w:w="1418" w:type="dxa"/>
          </w:tcPr>
          <w:p w14:paraId="4DCE1288" w14:textId="77777777" w:rsidR="00F749F7" w:rsidRPr="00F87054" w:rsidRDefault="00F749F7" w:rsidP="00F749F7">
            <w:pPr>
              <w:spacing w:before="40" w:after="40"/>
              <w:ind w:left="28"/>
              <w:rPr>
                <w:b/>
                <w:bCs/>
              </w:rPr>
            </w:pPr>
            <w:r w:rsidRPr="00F87054">
              <w:rPr>
                <w:b/>
                <w:bCs/>
              </w:rPr>
              <w:t>$0.00</w:t>
            </w:r>
          </w:p>
        </w:tc>
        <w:tc>
          <w:tcPr>
            <w:tcW w:w="1417" w:type="dxa"/>
          </w:tcPr>
          <w:p w14:paraId="75A9C697" w14:textId="77777777" w:rsidR="00F749F7" w:rsidRPr="00F87054" w:rsidRDefault="00F749F7" w:rsidP="00F749F7">
            <w:pPr>
              <w:spacing w:before="40" w:after="40"/>
              <w:ind w:left="28"/>
              <w:rPr>
                <w:b/>
                <w:bCs/>
              </w:rPr>
            </w:pPr>
            <w:r w:rsidRPr="00F87054">
              <w:rPr>
                <w:b/>
                <w:bCs/>
              </w:rPr>
              <w:t>$0.00</w:t>
            </w:r>
          </w:p>
        </w:tc>
        <w:tc>
          <w:tcPr>
            <w:tcW w:w="1276" w:type="dxa"/>
          </w:tcPr>
          <w:p w14:paraId="0D34913C" w14:textId="77777777" w:rsidR="00F749F7" w:rsidRPr="00F87054" w:rsidRDefault="00F749F7" w:rsidP="00F749F7">
            <w:pPr>
              <w:spacing w:before="40" w:after="40"/>
              <w:ind w:left="28"/>
              <w:rPr>
                <w:b/>
                <w:bCs/>
              </w:rPr>
            </w:pPr>
            <w:r w:rsidRPr="00F87054">
              <w:rPr>
                <w:b/>
                <w:bCs/>
              </w:rPr>
              <w:t>$0.00</w:t>
            </w:r>
          </w:p>
        </w:tc>
      </w:tr>
      <w:tr w:rsidR="00F749F7" w:rsidRPr="00F87054" w14:paraId="24F9D4C6" w14:textId="77777777" w:rsidTr="00DE2391">
        <w:tc>
          <w:tcPr>
            <w:tcW w:w="8642" w:type="dxa"/>
            <w:gridSpan w:val="6"/>
            <w:shd w:val="clear" w:color="auto" w:fill="D9D9D9"/>
            <w:vAlign w:val="center"/>
          </w:tcPr>
          <w:p w14:paraId="06E1F17C" w14:textId="77777777" w:rsidR="00F749F7" w:rsidRPr="00F87054" w:rsidRDefault="00F749F7" w:rsidP="00F749F7">
            <w:pPr>
              <w:spacing w:before="40" w:after="40"/>
              <w:ind w:left="28"/>
            </w:pPr>
            <w:r w:rsidRPr="00F87054">
              <w:t>Reoperation rate (-20%)</w:t>
            </w:r>
          </w:p>
        </w:tc>
      </w:tr>
      <w:tr w:rsidR="00F749F7" w:rsidRPr="00F87054" w14:paraId="4C4EEA92" w14:textId="77777777" w:rsidTr="00DE2391">
        <w:tc>
          <w:tcPr>
            <w:tcW w:w="1838" w:type="dxa"/>
            <w:vAlign w:val="center"/>
          </w:tcPr>
          <w:p w14:paraId="1F6488A6" w14:textId="77777777" w:rsidR="00F749F7" w:rsidRPr="00F87054" w:rsidRDefault="00F749F7" w:rsidP="00F749F7">
            <w:pPr>
              <w:spacing w:before="40" w:after="40"/>
              <w:ind w:left="28"/>
            </w:pPr>
            <w:r w:rsidRPr="00F87054">
              <w:t>Reoperation rate</w:t>
            </w:r>
          </w:p>
        </w:tc>
        <w:tc>
          <w:tcPr>
            <w:tcW w:w="1315" w:type="dxa"/>
            <w:vAlign w:val="center"/>
          </w:tcPr>
          <w:p w14:paraId="6EDAFE2D" w14:textId="77777777" w:rsidR="00F749F7" w:rsidRPr="00F87054" w:rsidRDefault="00F749F7" w:rsidP="00F749F7">
            <w:pPr>
              <w:spacing w:before="40" w:after="40"/>
              <w:ind w:left="28"/>
            </w:pPr>
            <w:r w:rsidRPr="00F87054">
              <w:t>5.5%</w:t>
            </w:r>
          </w:p>
        </w:tc>
        <w:tc>
          <w:tcPr>
            <w:tcW w:w="1378" w:type="dxa"/>
            <w:vAlign w:val="center"/>
          </w:tcPr>
          <w:p w14:paraId="6255F530" w14:textId="77777777" w:rsidR="00F749F7" w:rsidRPr="00F87054" w:rsidRDefault="00F749F7" w:rsidP="00F749F7">
            <w:pPr>
              <w:spacing w:before="40" w:after="40"/>
              <w:ind w:left="28"/>
            </w:pPr>
            <w:r w:rsidRPr="00F87054">
              <w:t>5.5%</w:t>
            </w:r>
          </w:p>
        </w:tc>
        <w:tc>
          <w:tcPr>
            <w:tcW w:w="1418" w:type="dxa"/>
            <w:vAlign w:val="center"/>
          </w:tcPr>
          <w:p w14:paraId="16AC218F" w14:textId="77777777" w:rsidR="00F749F7" w:rsidRPr="00F87054" w:rsidRDefault="00F749F7" w:rsidP="00F749F7">
            <w:pPr>
              <w:spacing w:before="40" w:after="40"/>
              <w:ind w:left="28"/>
            </w:pPr>
            <w:r w:rsidRPr="00F87054">
              <w:t>5.5%</w:t>
            </w:r>
          </w:p>
        </w:tc>
        <w:tc>
          <w:tcPr>
            <w:tcW w:w="1417" w:type="dxa"/>
            <w:vAlign w:val="center"/>
          </w:tcPr>
          <w:p w14:paraId="64902CBC" w14:textId="77777777" w:rsidR="00F749F7" w:rsidRPr="00F87054" w:rsidRDefault="00F749F7" w:rsidP="00F749F7">
            <w:pPr>
              <w:spacing w:before="40" w:after="40"/>
              <w:ind w:left="28"/>
            </w:pPr>
            <w:r w:rsidRPr="00F87054">
              <w:t>5.5%</w:t>
            </w:r>
          </w:p>
        </w:tc>
        <w:tc>
          <w:tcPr>
            <w:tcW w:w="1276" w:type="dxa"/>
            <w:vAlign w:val="center"/>
          </w:tcPr>
          <w:p w14:paraId="0A111492" w14:textId="77777777" w:rsidR="00F749F7" w:rsidRPr="00F87054" w:rsidRDefault="00F749F7" w:rsidP="00F749F7">
            <w:pPr>
              <w:spacing w:before="40" w:after="40"/>
              <w:ind w:left="28"/>
            </w:pPr>
            <w:r w:rsidRPr="00F87054">
              <w:t>5.5%</w:t>
            </w:r>
          </w:p>
        </w:tc>
      </w:tr>
      <w:tr w:rsidR="00F749F7" w:rsidRPr="00F87054" w14:paraId="00FA76B5" w14:textId="77777777" w:rsidTr="00DE2391">
        <w:tc>
          <w:tcPr>
            <w:tcW w:w="1838" w:type="dxa"/>
            <w:vAlign w:val="center"/>
          </w:tcPr>
          <w:p w14:paraId="0A89D276" w14:textId="77777777" w:rsidR="00F749F7" w:rsidRPr="00F87054" w:rsidRDefault="00F749F7" w:rsidP="00F749F7">
            <w:pPr>
              <w:spacing w:before="40" w:after="40"/>
              <w:ind w:left="28"/>
            </w:pPr>
            <w:r w:rsidRPr="00F87054">
              <w:t>Number of patients</w:t>
            </w:r>
          </w:p>
        </w:tc>
        <w:tc>
          <w:tcPr>
            <w:tcW w:w="1315" w:type="dxa"/>
          </w:tcPr>
          <w:p w14:paraId="645BB02A" w14:textId="77777777" w:rsidR="00F749F7" w:rsidRPr="00F87054" w:rsidRDefault="00F749F7" w:rsidP="00F749F7">
            <w:pPr>
              <w:spacing w:before="40" w:after="40"/>
              <w:ind w:left="28"/>
            </w:pPr>
            <w:r w:rsidRPr="00F87054">
              <w:t>60</w:t>
            </w:r>
          </w:p>
        </w:tc>
        <w:tc>
          <w:tcPr>
            <w:tcW w:w="1378" w:type="dxa"/>
          </w:tcPr>
          <w:p w14:paraId="2C82170C" w14:textId="77777777" w:rsidR="00F749F7" w:rsidRPr="00F87054" w:rsidRDefault="00F749F7" w:rsidP="00F749F7">
            <w:pPr>
              <w:spacing w:before="40" w:after="40"/>
              <w:ind w:left="28"/>
            </w:pPr>
            <w:r w:rsidRPr="00F87054">
              <w:t>68</w:t>
            </w:r>
          </w:p>
        </w:tc>
        <w:tc>
          <w:tcPr>
            <w:tcW w:w="1418" w:type="dxa"/>
          </w:tcPr>
          <w:p w14:paraId="15BAEE65" w14:textId="77777777" w:rsidR="00F749F7" w:rsidRPr="00F87054" w:rsidRDefault="00F749F7" w:rsidP="00F749F7">
            <w:pPr>
              <w:spacing w:before="40" w:after="40"/>
              <w:ind w:left="28"/>
            </w:pPr>
            <w:r w:rsidRPr="00F87054">
              <w:t>77</w:t>
            </w:r>
          </w:p>
        </w:tc>
        <w:tc>
          <w:tcPr>
            <w:tcW w:w="1417" w:type="dxa"/>
          </w:tcPr>
          <w:p w14:paraId="3F5853A9" w14:textId="77777777" w:rsidR="00F749F7" w:rsidRPr="00F87054" w:rsidRDefault="00F749F7" w:rsidP="00F749F7">
            <w:pPr>
              <w:spacing w:before="40" w:after="40"/>
              <w:ind w:left="28"/>
            </w:pPr>
            <w:r w:rsidRPr="00F87054">
              <w:t>85</w:t>
            </w:r>
          </w:p>
        </w:tc>
        <w:tc>
          <w:tcPr>
            <w:tcW w:w="1276" w:type="dxa"/>
          </w:tcPr>
          <w:p w14:paraId="3A8E525C" w14:textId="77777777" w:rsidR="00F749F7" w:rsidRPr="00F87054" w:rsidRDefault="00F749F7" w:rsidP="00F749F7">
            <w:pPr>
              <w:spacing w:before="40" w:after="40"/>
              <w:ind w:left="28"/>
            </w:pPr>
            <w:r w:rsidRPr="00F87054">
              <w:t>93</w:t>
            </w:r>
          </w:p>
        </w:tc>
      </w:tr>
      <w:tr w:rsidR="00F749F7" w:rsidRPr="00F87054" w14:paraId="34FE454D" w14:textId="77777777" w:rsidTr="00DE2391">
        <w:tc>
          <w:tcPr>
            <w:tcW w:w="1838" w:type="dxa"/>
            <w:vAlign w:val="center"/>
          </w:tcPr>
          <w:p w14:paraId="23A8A4B8" w14:textId="77777777" w:rsidR="00F749F7" w:rsidRPr="00F87054" w:rsidRDefault="00F749F7" w:rsidP="00F749F7">
            <w:pPr>
              <w:spacing w:before="40" w:after="40"/>
              <w:ind w:left="28"/>
              <w:rPr>
                <w:b/>
                <w:bCs/>
              </w:rPr>
            </w:pPr>
            <w:r w:rsidRPr="00F87054">
              <w:rPr>
                <w:b/>
                <w:bCs/>
              </w:rPr>
              <w:t>Net cost, MBS</w:t>
            </w:r>
          </w:p>
        </w:tc>
        <w:tc>
          <w:tcPr>
            <w:tcW w:w="1315" w:type="dxa"/>
          </w:tcPr>
          <w:p w14:paraId="17C3EBB5" w14:textId="77777777" w:rsidR="00F749F7" w:rsidRPr="00F87054" w:rsidRDefault="00F749F7" w:rsidP="00F749F7">
            <w:pPr>
              <w:spacing w:before="40" w:after="40"/>
              <w:ind w:left="28"/>
              <w:rPr>
                <w:b/>
                <w:bCs/>
              </w:rPr>
            </w:pPr>
            <w:r w:rsidRPr="00F87054">
              <w:rPr>
                <w:b/>
                <w:bCs/>
              </w:rPr>
              <w:t>$9,829.12</w:t>
            </w:r>
          </w:p>
        </w:tc>
        <w:tc>
          <w:tcPr>
            <w:tcW w:w="1378" w:type="dxa"/>
          </w:tcPr>
          <w:p w14:paraId="52363AF5" w14:textId="77777777" w:rsidR="00F749F7" w:rsidRPr="00F87054" w:rsidRDefault="00F749F7" w:rsidP="00F749F7">
            <w:pPr>
              <w:spacing w:before="40" w:after="40"/>
              <w:ind w:left="28"/>
              <w:rPr>
                <w:b/>
                <w:bCs/>
              </w:rPr>
            </w:pPr>
            <w:r w:rsidRPr="00F87054">
              <w:rPr>
                <w:b/>
                <w:bCs/>
              </w:rPr>
              <w:t>$11,216.79</w:t>
            </w:r>
          </w:p>
        </w:tc>
        <w:tc>
          <w:tcPr>
            <w:tcW w:w="1418" w:type="dxa"/>
          </w:tcPr>
          <w:p w14:paraId="0580B40B" w14:textId="77777777" w:rsidR="00F749F7" w:rsidRPr="00F87054" w:rsidRDefault="00F749F7" w:rsidP="00F749F7">
            <w:pPr>
              <w:spacing w:before="40" w:after="40"/>
              <w:ind w:left="28"/>
              <w:rPr>
                <w:b/>
                <w:bCs/>
              </w:rPr>
            </w:pPr>
            <w:r w:rsidRPr="00F87054">
              <w:rPr>
                <w:b/>
                <w:bCs/>
              </w:rPr>
              <w:t>$12,604.45</w:t>
            </w:r>
          </w:p>
        </w:tc>
        <w:tc>
          <w:tcPr>
            <w:tcW w:w="1417" w:type="dxa"/>
          </w:tcPr>
          <w:p w14:paraId="3587BC80" w14:textId="77777777" w:rsidR="00F749F7" w:rsidRPr="00F87054" w:rsidRDefault="00F749F7" w:rsidP="00F749F7">
            <w:pPr>
              <w:spacing w:before="40" w:after="40"/>
              <w:ind w:left="28"/>
              <w:rPr>
                <w:b/>
                <w:bCs/>
              </w:rPr>
            </w:pPr>
            <w:r w:rsidRPr="00F87054">
              <w:rPr>
                <w:b/>
                <w:bCs/>
              </w:rPr>
              <w:t>$13,991.21</w:t>
            </w:r>
          </w:p>
        </w:tc>
        <w:tc>
          <w:tcPr>
            <w:tcW w:w="1276" w:type="dxa"/>
          </w:tcPr>
          <w:p w14:paraId="33573E50" w14:textId="77777777" w:rsidR="00F749F7" w:rsidRPr="00F87054" w:rsidRDefault="00F749F7" w:rsidP="00F749F7">
            <w:pPr>
              <w:spacing w:before="40" w:after="40"/>
              <w:ind w:left="28"/>
              <w:rPr>
                <w:b/>
                <w:bCs/>
              </w:rPr>
            </w:pPr>
            <w:r w:rsidRPr="00F87054">
              <w:rPr>
                <w:b/>
                <w:bCs/>
              </w:rPr>
              <w:t>$15,100.74</w:t>
            </w:r>
          </w:p>
        </w:tc>
      </w:tr>
      <w:tr w:rsidR="00F749F7" w:rsidRPr="00F87054" w14:paraId="5ED6BDAF" w14:textId="77777777" w:rsidTr="00DE2391">
        <w:tc>
          <w:tcPr>
            <w:tcW w:w="8642" w:type="dxa"/>
            <w:gridSpan w:val="6"/>
            <w:shd w:val="clear" w:color="auto" w:fill="D9D9D9"/>
            <w:vAlign w:val="center"/>
          </w:tcPr>
          <w:p w14:paraId="19B56455" w14:textId="77777777" w:rsidR="00F749F7" w:rsidRPr="00F87054" w:rsidRDefault="00F749F7" w:rsidP="00F749F7">
            <w:pPr>
              <w:spacing w:before="40" w:after="40"/>
              <w:ind w:left="28"/>
            </w:pPr>
            <w:r w:rsidRPr="00F87054">
              <w:t>Reoperation rate (+20%)</w:t>
            </w:r>
          </w:p>
        </w:tc>
      </w:tr>
      <w:tr w:rsidR="00F749F7" w:rsidRPr="00F87054" w14:paraId="6CC0137E" w14:textId="77777777" w:rsidTr="00DE2391">
        <w:tc>
          <w:tcPr>
            <w:tcW w:w="1838" w:type="dxa"/>
            <w:vAlign w:val="center"/>
          </w:tcPr>
          <w:p w14:paraId="6F37D43D" w14:textId="77777777" w:rsidR="00F749F7" w:rsidRPr="00F87054" w:rsidRDefault="00F749F7" w:rsidP="00F749F7">
            <w:pPr>
              <w:spacing w:before="40" w:after="40"/>
              <w:ind w:left="28"/>
            </w:pPr>
            <w:r w:rsidRPr="00F87054">
              <w:t>Reoperation rate</w:t>
            </w:r>
          </w:p>
        </w:tc>
        <w:tc>
          <w:tcPr>
            <w:tcW w:w="1315" w:type="dxa"/>
            <w:vAlign w:val="center"/>
          </w:tcPr>
          <w:p w14:paraId="4BD6170E" w14:textId="77777777" w:rsidR="00F749F7" w:rsidRPr="00F87054" w:rsidRDefault="00F749F7" w:rsidP="00F749F7">
            <w:pPr>
              <w:spacing w:before="40" w:after="40"/>
              <w:ind w:left="28"/>
            </w:pPr>
            <w:r w:rsidRPr="00F87054">
              <w:t>8.3%</w:t>
            </w:r>
          </w:p>
        </w:tc>
        <w:tc>
          <w:tcPr>
            <w:tcW w:w="1378" w:type="dxa"/>
            <w:vAlign w:val="center"/>
          </w:tcPr>
          <w:p w14:paraId="6F3F4754" w14:textId="77777777" w:rsidR="00F749F7" w:rsidRPr="00F87054" w:rsidRDefault="00F749F7" w:rsidP="00F749F7">
            <w:pPr>
              <w:spacing w:before="40" w:after="40"/>
              <w:ind w:left="28"/>
            </w:pPr>
            <w:r w:rsidRPr="00F87054">
              <w:t>8.3%</w:t>
            </w:r>
          </w:p>
        </w:tc>
        <w:tc>
          <w:tcPr>
            <w:tcW w:w="1418" w:type="dxa"/>
            <w:vAlign w:val="center"/>
          </w:tcPr>
          <w:p w14:paraId="69A05A26" w14:textId="77777777" w:rsidR="00F749F7" w:rsidRPr="00F87054" w:rsidRDefault="00F749F7" w:rsidP="00F749F7">
            <w:pPr>
              <w:spacing w:before="40" w:after="40"/>
              <w:ind w:left="28"/>
            </w:pPr>
            <w:r w:rsidRPr="00F87054">
              <w:t>8.3%</w:t>
            </w:r>
          </w:p>
        </w:tc>
        <w:tc>
          <w:tcPr>
            <w:tcW w:w="1417" w:type="dxa"/>
            <w:vAlign w:val="center"/>
          </w:tcPr>
          <w:p w14:paraId="47AF4EBA" w14:textId="77777777" w:rsidR="00F749F7" w:rsidRPr="00F87054" w:rsidRDefault="00F749F7" w:rsidP="00F749F7">
            <w:pPr>
              <w:spacing w:before="40" w:after="40"/>
              <w:ind w:left="28"/>
            </w:pPr>
            <w:r w:rsidRPr="00F87054">
              <w:t>8.3%</w:t>
            </w:r>
          </w:p>
        </w:tc>
        <w:tc>
          <w:tcPr>
            <w:tcW w:w="1276" w:type="dxa"/>
            <w:vAlign w:val="center"/>
          </w:tcPr>
          <w:p w14:paraId="2B6C1721" w14:textId="77777777" w:rsidR="00F749F7" w:rsidRPr="00F87054" w:rsidRDefault="00F749F7" w:rsidP="00F749F7">
            <w:pPr>
              <w:spacing w:before="40" w:after="40"/>
              <w:ind w:left="28"/>
            </w:pPr>
            <w:r w:rsidRPr="00F87054">
              <w:t>8.3%</w:t>
            </w:r>
          </w:p>
        </w:tc>
      </w:tr>
      <w:tr w:rsidR="00F749F7" w:rsidRPr="00F87054" w14:paraId="49E282A3" w14:textId="77777777" w:rsidTr="00DE2391">
        <w:tc>
          <w:tcPr>
            <w:tcW w:w="1838" w:type="dxa"/>
            <w:vAlign w:val="center"/>
          </w:tcPr>
          <w:p w14:paraId="1FB8C60E" w14:textId="77777777" w:rsidR="00F749F7" w:rsidRPr="00F87054" w:rsidRDefault="00F749F7" w:rsidP="00F749F7">
            <w:pPr>
              <w:spacing w:before="40" w:after="40"/>
              <w:ind w:left="28"/>
            </w:pPr>
            <w:r w:rsidRPr="00F87054">
              <w:t>Number of patients</w:t>
            </w:r>
          </w:p>
        </w:tc>
        <w:tc>
          <w:tcPr>
            <w:tcW w:w="1315" w:type="dxa"/>
          </w:tcPr>
          <w:p w14:paraId="0E92D58A" w14:textId="77777777" w:rsidR="00F749F7" w:rsidRPr="00F87054" w:rsidRDefault="00F749F7" w:rsidP="00F749F7">
            <w:pPr>
              <w:spacing w:before="40" w:after="40"/>
              <w:ind w:left="28"/>
            </w:pPr>
            <w:r w:rsidRPr="00F87054">
              <w:t>90</w:t>
            </w:r>
          </w:p>
        </w:tc>
        <w:tc>
          <w:tcPr>
            <w:tcW w:w="1378" w:type="dxa"/>
          </w:tcPr>
          <w:p w14:paraId="3216C96E" w14:textId="77777777" w:rsidR="00F749F7" w:rsidRPr="00F87054" w:rsidRDefault="00F749F7" w:rsidP="00F749F7">
            <w:pPr>
              <w:spacing w:before="40" w:after="40"/>
              <w:ind w:left="28"/>
            </w:pPr>
            <w:r w:rsidRPr="00F87054">
              <w:t>103</w:t>
            </w:r>
          </w:p>
        </w:tc>
        <w:tc>
          <w:tcPr>
            <w:tcW w:w="1418" w:type="dxa"/>
          </w:tcPr>
          <w:p w14:paraId="2F3A4094" w14:textId="77777777" w:rsidR="00F749F7" w:rsidRPr="00F87054" w:rsidRDefault="00F749F7" w:rsidP="00F749F7">
            <w:pPr>
              <w:spacing w:before="40" w:after="40"/>
              <w:ind w:left="28"/>
            </w:pPr>
            <w:r w:rsidRPr="00F87054">
              <w:t>116</w:t>
            </w:r>
          </w:p>
        </w:tc>
        <w:tc>
          <w:tcPr>
            <w:tcW w:w="1417" w:type="dxa"/>
          </w:tcPr>
          <w:p w14:paraId="68CC2968" w14:textId="77777777" w:rsidR="00F749F7" w:rsidRPr="00F87054" w:rsidRDefault="00F749F7" w:rsidP="00F749F7">
            <w:pPr>
              <w:spacing w:before="40" w:after="40"/>
              <w:ind w:left="28"/>
            </w:pPr>
            <w:r w:rsidRPr="00F87054">
              <w:t>129</w:t>
            </w:r>
          </w:p>
        </w:tc>
        <w:tc>
          <w:tcPr>
            <w:tcW w:w="1276" w:type="dxa"/>
          </w:tcPr>
          <w:p w14:paraId="7B5D6B18" w14:textId="77777777" w:rsidR="00F749F7" w:rsidRPr="00F87054" w:rsidRDefault="00F749F7" w:rsidP="00F749F7">
            <w:pPr>
              <w:spacing w:before="40" w:after="40"/>
              <w:ind w:left="28"/>
            </w:pPr>
            <w:r w:rsidRPr="00F87054">
              <w:t>142</w:t>
            </w:r>
          </w:p>
        </w:tc>
      </w:tr>
      <w:tr w:rsidR="00F749F7" w:rsidRPr="00F87054" w14:paraId="7270F014" w14:textId="77777777" w:rsidTr="00DE2391">
        <w:tc>
          <w:tcPr>
            <w:tcW w:w="1838" w:type="dxa"/>
            <w:vAlign w:val="center"/>
          </w:tcPr>
          <w:p w14:paraId="11BA7811" w14:textId="77777777" w:rsidR="00F749F7" w:rsidRPr="00F87054" w:rsidRDefault="00F749F7" w:rsidP="00F749F7">
            <w:pPr>
              <w:spacing w:before="40" w:after="40"/>
              <w:ind w:left="28"/>
              <w:rPr>
                <w:b/>
              </w:rPr>
            </w:pPr>
            <w:r w:rsidRPr="00F87054">
              <w:rPr>
                <w:b/>
              </w:rPr>
              <w:t>Net cost, MBS</w:t>
            </w:r>
          </w:p>
        </w:tc>
        <w:tc>
          <w:tcPr>
            <w:tcW w:w="1315" w:type="dxa"/>
          </w:tcPr>
          <w:p w14:paraId="399CD747" w14:textId="77777777" w:rsidR="00F749F7" w:rsidRPr="00F87054" w:rsidRDefault="00F749F7" w:rsidP="00F749F7">
            <w:pPr>
              <w:spacing w:before="40" w:after="40"/>
              <w:ind w:left="28"/>
              <w:rPr>
                <w:b/>
              </w:rPr>
            </w:pPr>
            <w:r w:rsidRPr="00F87054">
              <w:rPr>
                <w:b/>
              </w:rPr>
              <w:t>$30,065.56</w:t>
            </w:r>
          </w:p>
        </w:tc>
        <w:tc>
          <w:tcPr>
            <w:tcW w:w="1378" w:type="dxa"/>
          </w:tcPr>
          <w:p w14:paraId="50FB93FC" w14:textId="77777777" w:rsidR="00F749F7" w:rsidRPr="00F87054" w:rsidRDefault="00F749F7" w:rsidP="00F749F7">
            <w:pPr>
              <w:spacing w:before="40" w:after="40"/>
              <w:ind w:left="28"/>
              <w:rPr>
                <w:b/>
              </w:rPr>
            </w:pPr>
            <w:r w:rsidRPr="00F87054">
              <w:rPr>
                <w:b/>
              </w:rPr>
              <w:t>$34,310.17</w:t>
            </w:r>
          </w:p>
        </w:tc>
        <w:tc>
          <w:tcPr>
            <w:tcW w:w="1418" w:type="dxa"/>
          </w:tcPr>
          <w:p w14:paraId="5E69188A" w14:textId="77777777" w:rsidR="00F749F7" w:rsidRPr="00F87054" w:rsidRDefault="00F749F7" w:rsidP="00F749F7">
            <w:pPr>
              <w:spacing w:before="40" w:after="40"/>
              <w:ind w:left="28"/>
              <w:rPr>
                <w:b/>
              </w:rPr>
            </w:pPr>
            <w:r w:rsidRPr="00F87054">
              <w:rPr>
                <w:b/>
              </w:rPr>
              <w:t>$38,554.79</w:t>
            </w:r>
          </w:p>
        </w:tc>
        <w:tc>
          <w:tcPr>
            <w:tcW w:w="1417" w:type="dxa"/>
          </w:tcPr>
          <w:p w14:paraId="00DF58DA" w14:textId="77777777" w:rsidR="00F749F7" w:rsidRPr="00F87054" w:rsidRDefault="00F749F7" w:rsidP="00F749F7">
            <w:pPr>
              <w:spacing w:before="40" w:after="40"/>
              <w:ind w:left="28"/>
              <w:rPr>
                <w:b/>
              </w:rPr>
            </w:pPr>
            <w:r w:rsidRPr="00F87054">
              <w:rPr>
                <w:b/>
              </w:rPr>
              <w:t>$42,796.64</w:t>
            </w:r>
          </w:p>
        </w:tc>
        <w:tc>
          <w:tcPr>
            <w:tcW w:w="1276" w:type="dxa"/>
          </w:tcPr>
          <w:p w14:paraId="13605A32" w14:textId="77777777" w:rsidR="00F749F7" w:rsidRPr="00F87054" w:rsidRDefault="00F749F7" w:rsidP="00F749F7">
            <w:pPr>
              <w:spacing w:before="40" w:after="40"/>
              <w:ind w:left="28"/>
              <w:rPr>
                <w:b/>
              </w:rPr>
            </w:pPr>
            <w:r w:rsidRPr="00F87054">
              <w:rPr>
                <w:b/>
              </w:rPr>
              <w:t>$47,055.05</w:t>
            </w:r>
          </w:p>
        </w:tc>
      </w:tr>
    </w:tbl>
    <w:p w14:paraId="2376AE03" w14:textId="77777777" w:rsidR="00DE2391" w:rsidRPr="00DE2391" w:rsidRDefault="00DE2391" w:rsidP="00DE2391">
      <w:pPr>
        <w:rPr>
          <w:rFonts w:ascii="Arial Narrow" w:eastAsia="SimSun" w:hAnsi="Arial Narrow"/>
          <w:bCs/>
          <w:sz w:val="18"/>
          <w:szCs w:val="18"/>
        </w:rPr>
      </w:pPr>
      <w:r w:rsidRPr="00DE2391">
        <w:rPr>
          <w:rFonts w:ascii="Arial Narrow" w:eastAsia="SimSun" w:hAnsi="Arial Narrow"/>
          <w:bCs/>
          <w:sz w:val="18"/>
          <w:szCs w:val="18"/>
        </w:rPr>
        <w:t xml:space="preserve">Source: Table 54, </w:t>
      </w:r>
      <w:proofErr w:type="spellStart"/>
      <w:r w:rsidRPr="00DE2391">
        <w:rPr>
          <w:rFonts w:ascii="Arial Narrow" w:eastAsia="SimSun" w:hAnsi="Arial Narrow"/>
          <w:bCs/>
          <w:sz w:val="18"/>
          <w:szCs w:val="18"/>
        </w:rPr>
        <w:t>pg</w:t>
      </w:r>
      <w:proofErr w:type="spellEnd"/>
      <w:r w:rsidRPr="00DE2391">
        <w:rPr>
          <w:rFonts w:ascii="Arial Narrow" w:eastAsia="SimSun" w:hAnsi="Arial Narrow"/>
          <w:bCs/>
          <w:sz w:val="18"/>
          <w:szCs w:val="18"/>
        </w:rPr>
        <w:t xml:space="preserve"> 113 of the DCAR</w:t>
      </w:r>
    </w:p>
    <w:p w14:paraId="71B71248" w14:textId="6D2E476A" w:rsidR="00F749F7" w:rsidRPr="00F87054" w:rsidRDefault="00F749F7" w:rsidP="00DE2391">
      <w:pPr>
        <w:rPr>
          <w:rFonts w:ascii="Arial Narrow" w:eastAsia="SimSun" w:hAnsi="Arial Narrow"/>
          <w:sz w:val="18"/>
          <w:szCs w:val="18"/>
        </w:rPr>
      </w:pPr>
      <w:r w:rsidRPr="00DE2391">
        <w:rPr>
          <w:rFonts w:ascii="Arial Narrow" w:eastAsia="SimSun" w:hAnsi="Arial Narrow"/>
          <w:bCs/>
          <w:sz w:val="18"/>
          <w:szCs w:val="18"/>
        </w:rPr>
        <w:t>Abbreviations:</w:t>
      </w:r>
      <w:r w:rsidRPr="00F87054">
        <w:rPr>
          <w:rFonts w:ascii="Arial Narrow" w:eastAsia="SimSun" w:hAnsi="Arial Narrow"/>
          <w:sz w:val="18"/>
          <w:szCs w:val="18"/>
        </w:rPr>
        <w:t xml:space="preserve"> MBS = Medicare Benefits Schedule</w:t>
      </w:r>
    </w:p>
    <w:p w14:paraId="05108163" w14:textId="1A5D6772" w:rsidR="00747517" w:rsidRPr="00FB229D" w:rsidRDefault="00FB229D" w:rsidP="00FB229D">
      <w:pPr>
        <w:pStyle w:val="Heading1"/>
        <w:spacing w:before="240" w:after="240"/>
        <w:ind w:left="720" w:hanging="720"/>
        <w:rPr>
          <w:rFonts w:ascii="Arial" w:hAnsi="Arial" w:cs="Arial"/>
        </w:rPr>
      </w:pPr>
      <w:r>
        <w:rPr>
          <w:rFonts w:ascii="Arial" w:hAnsi="Arial" w:cs="Arial"/>
        </w:rPr>
        <w:t>14.</w:t>
      </w:r>
      <w:r>
        <w:rPr>
          <w:rFonts w:ascii="Arial" w:hAnsi="Arial" w:cs="Arial"/>
        </w:rPr>
        <w:tab/>
      </w:r>
      <w:r w:rsidR="00747517" w:rsidRPr="00FB229D">
        <w:rPr>
          <w:rFonts w:ascii="Arial" w:hAnsi="Arial" w:cs="Arial"/>
        </w:rPr>
        <w:t>Key issues from ESC to MSAC</w:t>
      </w:r>
    </w:p>
    <w:tbl>
      <w:tblPr>
        <w:tblStyle w:val="TableGrid"/>
        <w:tblW w:w="0" w:type="auto"/>
        <w:tblLook w:val="04A0" w:firstRow="1" w:lastRow="0" w:firstColumn="1" w:lastColumn="0" w:noHBand="0" w:noVBand="1"/>
        <w:tblDescription w:val="Summary of key issues from ESC for MSAC consideration"/>
      </w:tblPr>
      <w:tblGrid>
        <w:gridCol w:w="2376"/>
        <w:gridCol w:w="6640"/>
      </w:tblGrid>
      <w:tr w:rsidR="00747517" w:rsidRPr="00121387" w14:paraId="4FA9B2E3" w14:textId="77777777" w:rsidTr="00747517">
        <w:tc>
          <w:tcPr>
            <w:tcW w:w="2376" w:type="dxa"/>
          </w:tcPr>
          <w:p w14:paraId="737B8526" w14:textId="77777777" w:rsidR="00747517" w:rsidRPr="00121387" w:rsidRDefault="00747517" w:rsidP="00747517">
            <w:pPr>
              <w:pStyle w:val="TableHeading"/>
              <w:keepNext w:val="0"/>
              <w:rPr>
                <w:rFonts w:ascii="Times New Roman" w:hAnsi="Times New Roman" w:cs="Times New Roman"/>
                <w:sz w:val="22"/>
                <w:szCs w:val="22"/>
              </w:rPr>
            </w:pPr>
            <w:r w:rsidRPr="00121387">
              <w:rPr>
                <w:rFonts w:ascii="Times New Roman" w:hAnsi="Times New Roman" w:cs="Times New Roman"/>
                <w:sz w:val="22"/>
                <w:szCs w:val="22"/>
              </w:rPr>
              <w:t>ESC key issue</w:t>
            </w:r>
          </w:p>
        </w:tc>
        <w:tc>
          <w:tcPr>
            <w:tcW w:w="6640" w:type="dxa"/>
          </w:tcPr>
          <w:p w14:paraId="64B00481" w14:textId="77777777" w:rsidR="00747517" w:rsidRPr="00121387" w:rsidRDefault="00747517" w:rsidP="00747517">
            <w:pPr>
              <w:pStyle w:val="TableHeading"/>
              <w:keepNext w:val="0"/>
              <w:rPr>
                <w:rFonts w:ascii="Times New Roman" w:hAnsi="Times New Roman" w:cs="Times New Roman"/>
                <w:sz w:val="22"/>
                <w:szCs w:val="22"/>
              </w:rPr>
            </w:pPr>
            <w:r w:rsidRPr="00121387">
              <w:rPr>
                <w:rFonts w:ascii="Times New Roman" w:hAnsi="Times New Roman" w:cs="Times New Roman"/>
                <w:sz w:val="22"/>
                <w:szCs w:val="22"/>
              </w:rPr>
              <w:t>ESC advice to MSAC</w:t>
            </w:r>
          </w:p>
        </w:tc>
      </w:tr>
      <w:tr w:rsidR="00747517" w:rsidRPr="00121387" w14:paraId="3E59B4EA" w14:textId="77777777" w:rsidTr="00747517">
        <w:tc>
          <w:tcPr>
            <w:tcW w:w="2376" w:type="dxa"/>
          </w:tcPr>
          <w:p w14:paraId="3C408921" w14:textId="77777777" w:rsidR="00747517" w:rsidRPr="00121387" w:rsidRDefault="00747517" w:rsidP="00747517">
            <w:pPr>
              <w:pStyle w:val="TableText1"/>
              <w:keepNext w:val="0"/>
              <w:rPr>
                <w:rFonts w:ascii="Times New Roman" w:hAnsi="Times New Roman"/>
                <w:sz w:val="22"/>
                <w:szCs w:val="22"/>
              </w:rPr>
            </w:pPr>
            <w:r w:rsidRPr="00121387">
              <w:rPr>
                <w:rFonts w:ascii="Times New Roman" w:hAnsi="Times New Roman"/>
                <w:sz w:val="22"/>
                <w:szCs w:val="22"/>
              </w:rPr>
              <w:t>Lack of safety and effectiveness data</w:t>
            </w:r>
          </w:p>
        </w:tc>
        <w:tc>
          <w:tcPr>
            <w:tcW w:w="6640" w:type="dxa"/>
          </w:tcPr>
          <w:p w14:paraId="12D98897" w14:textId="77777777" w:rsidR="00747517" w:rsidRPr="00121387" w:rsidRDefault="00747517" w:rsidP="00747517">
            <w:pPr>
              <w:pStyle w:val="TableText1"/>
              <w:keepNext w:val="0"/>
              <w:rPr>
                <w:rFonts w:ascii="Times New Roman" w:hAnsi="Times New Roman"/>
                <w:sz w:val="22"/>
                <w:szCs w:val="22"/>
              </w:rPr>
            </w:pPr>
            <w:r w:rsidRPr="00121387">
              <w:rPr>
                <w:rFonts w:ascii="Times New Roman" w:hAnsi="Times New Roman"/>
                <w:sz w:val="22"/>
                <w:szCs w:val="22"/>
              </w:rPr>
              <w:t>Available clinical data are of poor quality and low volume, and only naïve comparison of the intervention and comparator could be undertaken. However, there is no suggestion of any safety signal of concern from more than ten years ‘real world’ experience.</w:t>
            </w:r>
          </w:p>
        </w:tc>
      </w:tr>
      <w:tr w:rsidR="00747517" w:rsidRPr="00121387" w14:paraId="13F7DBF6" w14:textId="77777777" w:rsidTr="00747517">
        <w:tc>
          <w:tcPr>
            <w:tcW w:w="2376" w:type="dxa"/>
          </w:tcPr>
          <w:p w14:paraId="127E475B" w14:textId="77777777" w:rsidR="00747517" w:rsidRPr="00121387" w:rsidRDefault="00747517" w:rsidP="00747517">
            <w:pPr>
              <w:pStyle w:val="TableText1"/>
              <w:keepNext w:val="0"/>
              <w:rPr>
                <w:rFonts w:ascii="Times New Roman" w:hAnsi="Times New Roman"/>
                <w:sz w:val="22"/>
                <w:szCs w:val="22"/>
              </w:rPr>
            </w:pPr>
            <w:r w:rsidRPr="00121387">
              <w:rPr>
                <w:rFonts w:ascii="Times New Roman" w:hAnsi="Times New Roman"/>
                <w:sz w:val="22"/>
                <w:szCs w:val="22"/>
              </w:rPr>
              <w:t>Revised MBS descriptor</w:t>
            </w:r>
          </w:p>
        </w:tc>
        <w:tc>
          <w:tcPr>
            <w:tcW w:w="6640" w:type="dxa"/>
          </w:tcPr>
          <w:p w14:paraId="11843971" w14:textId="77777777" w:rsidR="00747517" w:rsidRPr="00121387" w:rsidRDefault="00747517" w:rsidP="00747517">
            <w:pPr>
              <w:pStyle w:val="TableText1"/>
              <w:keepNext w:val="0"/>
              <w:rPr>
                <w:rFonts w:ascii="Times New Roman" w:hAnsi="Times New Roman"/>
                <w:sz w:val="22"/>
                <w:szCs w:val="22"/>
              </w:rPr>
            </w:pPr>
            <w:r w:rsidRPr="00121387">
              <w:rPr>
                <w:rFonts w:ascii="Times New Roman" w:hAnsi="Times New Roman"/>
                <w:sz w:val="22"/>
                <w:szCs w:val="22"/>
              </w:rPr>
              <w:t>It is proposed that MBS item 42504 is amended to explicitly permit use of ABiC. However, MSAC may wish to recommend creating a new MBS item for monitoring the intervention due to uncertainty in the estimated utilisation.</w:t>
            </w:r>
          </w:p>
          <w:p w14:paraId="189C4D30" w14:textId="77777777" w:rsidR="00747517" w:rsidRPr="00121387" w:rsidRDefault="00747517" w:rsidP="00747517">
            <w:pPr>
              <w:pStyle w:val="TableText1"/>
              <w:keepNext w:val="0"/>
              <w:rPr>
                <w:rFonts w:ascii="Times New Roman" w:hAnsi="Times New Roman"/>
                <w:sz w:val="22"/>
                <w:szCs w:val="22"/>
              </w:rPr>
            </w:pPr>
            <w:r w:rsidRPr="00121387">
              <w:rPr>
                <w:rFonts w:ascii="Times New Roman" w:hAnsi="Times New Roman"/>
                <w:sz w:val="22"/>
                <w:szCs w:val="22"/>
              </w:rPr>
              <w:t>The item would restrict the use of the technology to trained clinicians (as defined by the profession), and for adults where other treatments have failed.</w:t>
            </w:r>
          </w:p>
          <w:p w14:paraId="3F49F990" w14:textId="77777777" w:rsidR="00747517" w:rsidRPr="00121387" w:rsidRDefault="00747517" w:rsidP="00747517">
            <w:pPr>
              <w:pStyle w:val="TableText1"/>
              <w:keepNext w:val="0"/>
              <w:rPr>
                <w:rFonts w:ascii="Times New Roman" w:hAnsi="Times New Roman"/>
                <w:sz w:val="22"/>
                <w:szCs w:val="22"/>
              </w:rPr>
            </w:pPr>
            <w:r w:rsidRPr="00121387">
              <w:rPr>
                <w:rFonts w:ascii="Times New Roman" w:hAnsi="Times New Roman"/>
                <w:sz w:val="22"/>
                <w:szCs w:val="22"/>
              </w:rPr>
              <w:t>Noting the Departmental plan to review and revise the suite of glaucoma surgery descriptors to clarify their clinical intent and improve consistency and accuracy of their terminology. This review is expected to consider increasing tendency towards minimally invasive options and be device/approach agnostic.</w:t>
            </w:r>
          </w:p>
        </w:tc>
      </w:tr>
      <w:tr w:rsidR="00747517" w:rsidRPr="00121387" w14:paraId="34020FE6" w14:textId="77777777" w:rsidTr="00747517">
        <w:tc>
          <w:tcPr>
            <w:tcW w:w="2376" w:type="dxa"/>
          </w:tcPr>
          <w:p w14:paraId="26BE2D42" w14:textId="77777777" w:rsidR="00747517" w:rsidRPr="00121387" w:rsidRDefault="00747517" w:rsidP="00747517">
            <w:pPr>
              <w:pStyle w:val="TableText1"/>
              <w:keepNext w:val="0"/>
              <w:rPr>
                <w:rFonts w:ascii="Times New Roman" w:hAnsi="Times New Roman"/>
                <w:sz w:val="22"/>
                <w:szCs w:val="22"/>
              </w:rPr>
            </w:pPr>
            <w:r w:rsidRPr="00121387">
              <w:rPr>
                <w:rFonts w:ascii="Times New Roman" w:hAnsi="Times New Roman"/>
                <w:sz w:val="22"/>
                <w:szCs w:val="22"/>
              </w:rPr>
              <w:t xml:space="preserve">Uncertain economic and financial estimates </w:t>
            </w:r>
          </w:p>
        </w:tc>
        <w:tc>
          <w:tcPr>
            <w:tcW w:w="6640" w:type="dxa"/>
          </w:tcPr>
          <w:p w14:paraId="68DAFBFD" w14:textId="77777777" w:rsidR="00747517" w:rsidRPr="00121387" w:rsidRDefault="00747517" w:rsidP="00747517">
            <w:pPr>
              <w:pStyle w:val="TableText1"/>
              <w:keepNext w:val="0"/>
              <w:rPr>
                <w:rFonts w:ascii="Times New Roman" w:hAnsi="Times New Roman"/>
                <w:sz w:val="22"/>
                <w:szCs w:val="22"/>
              </w:rPr>
            </w:pPr>
            <w:r w:rsidRPr="00121387">
              <w:rPr>
                <w:rFonts w:ascii="Times New Roman" w:hAnsi="Times New Roman"/>
                <w:sz w:val="22"/>
                <w:szCs w:val="22"/>
              </w:rPr>
              <w:t xml:space="preserve">The very </w:t>
            </w:r>
            <w:proofErr w:type="gramStart"/>
            <w:r w:rsidRPr="00121387">
              <w:rPr>
                <w:rFonts w:ascii="Times New Roman" w:hAnsi="Times New Roman"/>
                <w:sz w:val="22"/>
                <w:szCs w:val="22"/>
              </w:rPr>
              <w:t>low level</w:t>
            </w:r>
            <w:proofErr w:type="gramEnd"/>
            <w:r w:rsidRPr="00121387">
              <w:rPr>
                <w:rFonts w:ascii="Times New Roman" w:hAnsi="Times New Roman"/>
                <w:sz w:val="22"/>
                <w:szCs w:val="22"/>
              </w:rPr>
              <w:t xml:space="preserve"> clinical evidence with a serious risk of bias creates uncertainty in economic estimates and financials. A higher level of clinical evidence is essential for meaningful evaluation.</w:t>
            </w:r>
          </w:p>
        </w:tc>
      </w:tr>
      <w:tr w:rsidR="00747517" w:rsidRPr="00121387" w14:paraId="7712D839" w14:textId="77777777" w:rsidTr="00747517">
        <w:tc>
          <w:tcPr>
            <w:tcW w:w="2376" w:type="dxa"/>
          </w:tcPr>
          <w:p w14:paraId="4E28AF1D" w14:textId="77777777" w:rsidR="00747517" w:rsidRPr="00121387" w:rsidRDefault="00747517" w:rsidP="00747517">
            <w:pPr>
              <w:pStyle w:val="TableText1"/>
              <w:keepNext w:val="0"/>
              <w:rPr>
                <w:rFonts w:ascii="Times New Roman" w:hAnsi="Times New Roman"/>
                <w:sz w:val="22"/>
                <w:szCs w:val="22"/>
              </w:rPr>
            </w:pPr>
            <w:r w:rsidRPr="00121387">
              <w:rPr>
                <w:rFonts w:ascii="Times New Roman" w:hAnsi="Times New Roman"/>
                <w:sz w:val="22"/>
                <w:szCs w:val="22"/>
              </w:rPr>
              <w:t>Out-of-pocket costs</w:t>
            </w:r>
          </w:p>
        </w:tc>
        <w:tc>
          <w:tcPr>
            <w:tcW w:w="6640" w:type="dxa"/>
          </w:tcPr>
          <w:p w14:paraId="09D2CD18" w14:textId="77777777" w:rsidR="00747517" w:rsidRPr="00121387" w:rsidDel="00263DCB" w:rsidRDefault="00747517" w:rsidP="00747517">
            <w:pPr>
              <w:pStyle w:val="TableText1"/>
              <w:keepNext w:val="0"/>
              <w:rPr>
                <w:rFonts w:ascii="Times New Roman" w:hAnsi="Times New Roman"/>
                <w:sz w:val="22"/>
                <w:szCs w:val="22"/>
              </w:rPr>
            </w:pPr>
            <w:r w:rsidRPr="00121387">
              <w:rPr>
                <w:rFonts w:ascii="Times New Roman" w:hAnsi="Times New Roman"/>
                <w:sz w:val="22"/>
                <w:szCs w:val="22"/>
              </w:rPr>
              <w:t xml:space="preserve">Out-of-pocket costs could be significant. It should be clarified </w:t>
            </w:r>
            <w:proofErr w:type="gramStart"/>
            <w:r w:rsidRPr="00121387">
              <w:rPr>
                <w:rFonts w:ascii="Times New Roman" w:hAnsi="Times New Roman"/>
                <w:sz w:val="22"/>
                <w:szCs w:val="22"/>
              </w:rPr>
              <w:t>whether or not</w:t>
            </w:r>
            <w:proofErr w:type="gramEnd"/>
            <w:r w:rsidRPr="00121387">
              <w:rPr>
                <w:rFonts w:ascii="Times New Roman" w:hAnsi="Times New Roman"/>
                <w:sz w:val="22"/>
                <w:szCs w:val="22"/>
              </w:rPr>
              <w:t xml:space="preserve"> these costs would be covered under hospital procedure costs. </w:t>
            </w:r>
          </w:p>
        </w:tc>
      </w:tr>
      <w:tr w:rsidR="00747517" w:rsidRPr="00121387" w14:paraId="6C28C4DD" w14:textId="77777777" w:rsidTr="00747517">
        <w:tc>
          <w:tcPr>
            <w:tcW w:w="2376" w:type="dxa"/>
          </w:tcPr>
          <w:p w14:paraId="28FDFFFD" w14:textId="77777777" w:rsidR="00747517" w:rsidRPr="00121387" w:rsidRDefault="00747517" w:rsidP="00747517">
            <w:pPr>
              <w:pStyle w:val="TableText1"/>
              <w:keepNext w:val="0"/>
              <w:rPr>
                <w:rFonts w:ascii="Times New Roman" w:hAnsi="Times New Roman"/>
                <w:sz w:val="22"/>
                <w:szCs w:val="22"/>
              </w:rPr>
            </w:pPr>
            <w:r w:rsidRPr="00121387">
              <w:rPr>
                <w:rFonts w:ascii="Times New Roman" w:hAnsi="Times New Roman"/>
                <w:sz w:val="22"/>
                <w:szCs w:val="22"/>
              </w:rPr>
              <w:t xml:space="preserve">Uncertainties regarding utilisation </w:t>
            </w:r>
          </w:p>
        </w:tc>
        <w:tc>
          <w:tcPr>
            <w:tcW w:w="6640" w:type="dxa"/>
          </w:tcPr>
          <w:p w14:paraId="33525B5C" w14:textId="77777777" w:rsidR="00747517" w:rsidRPr="00121387" w:rsidRDefault="00747517" w:rsidP="00747517">
            <w:pPr>
              <w:pStyle w:val="TableText1"/>
              <w:keepNext w:val="0"/>
              <w:rPr>
                <w:rFonts w:ascii="Times New Roman" w:hAnsi="Times New Roman"/>
                <w:sz w:val="22"/>
                <w:szCs w:val="22"/>
              </w:rPr>
            </w:pPr>
            <w:r w:rsidRPr="00121387">
              <w:rPr>
                <w:rFonts w:ascii="Times New Roman" w:hAnsi="Times New Roman"/>
                <w:sz w:val="22"/>
                <w:szCs w:val="22"/>
              </w:rPr>
              <w:t xml:space="preserve">The estimated utilisation of ABiC using a microcatheter is highly uncertain as: </w:t>
            </w:r>
          </w:p>
          <w:p w14:paraId="7987B914" w14:textId="77777777" w:rsidR="00747517" w:rsidRPr="00121387" w:rsidRDefault="00747517" w:rsidP="00747517">
            <w:pPr>
              <w:pStyle w:val="TableText1"/>
              <w:keepNext w:val="0"/>
              <w:numPr>
                <w:ilvl w:val="0"/>
                <w:numId w:val="30"/>
              </w:numPr>
              <w:rPr>
                <w:rFonts w:ascii="Times New Roman" w:hAnsi="Times New Roman"/>
                <w:sz w:val="22"/>
                <w:szCs w:val="22"/>
              </w:rPr>
            </w:pPr>
            <w:r w:rsidRPr="00121387">
              <w:rPr>
                <w:rFonts w:ascii="Times New Roman" w:hAnsi="Times New Roman"/>
                <w:sz w:val="22"/>
                <w:szCs w:val="22"/>
              </w:rPr>
              <w:lastRenderedPageBreak/>
              <w:t>assumed substitution is based on opinion of one clinical expert</w:t>
            </w:r>
          </w:p>
          <w:p w14:paraId="66D41A3E" w14:textId="77777777" w:rsidR="00747517" w:rsidRPr="00121387" w:rsidRDefault="00747517" w:rsidP="00747517">
            <w:pPr>
              <w:pStyle w:val="TableText1"/>
              <w:keepNext w:val="0"/>
              <w:numPr>
                <w:ilvl w:val="0"/>
                <w:numId w:val="30"/>
              </w:numPr>
              <w:rPr>
                <w:rFonts w:ascii="Times New Roman" w:hAnsi="Times New Roman"/>
                <w:sz w:val="22"/>
                <w:szCs w:val="22"/>
              </w:rPr>
            </w:pPr>
            <w:r w:rsidRPr="00121387">
              <w:rPr>
                <w:rFonts w:ascii="Times New Roman" w:hAnsi="Times New Roman"/>
                <w:sz w:val="22"/>
                <w:szCs w:val="22"/>
              </w:rPr>
              <w:t>device may be attractive to wider demographic</w:t>
            </w:r>
          </w:p>
          <w:p w14:paraId="71FF9E9A" w14:textId="77777777" w:rsidR="00747517" w:rsidRPr="00121387" w:rsidRDefault="00747517" w:rsidP="00747517">
            <w:pPr>
              <w:pStyle w:val="TableText1"/>
              <w:keepNext w:val="0"/>
              <w:numPr>
                <w:ilvl w:val="0"/>
                <w:numId w:val="30"/>
              </w:numPr>
              <w:rPr>
                <w:rFonts w:ascii="Times New Roman" w:hAnsi="Times New Roman"/>
                <w:sz w:val="22"/>
                <w:szCs w:val="22"/>
              </w:rPr>
            </w:pPr>
            <w:r w:rsidRPr="00121387">
              <w:rPr>
                <w:rFonts w:ascii="Times New Roman" w:hAnsi="Times New Roman"/>
                <w:sz w:val="22"/>
                <w:szCs w:val="22"/>
              </w:rPr>
              <w:t>may become the first of a two-step process prior to implanting a micro-bypass stent</w:t>
            </w:r>
          </w:p>
          <w:p w14:paraId="7674713A" w14:textId="77777777" w:rsidR="00747517" w:rsidRPr="00121387" w:rsidRDefault="00747517" w:rsidP="00747517">
            <w:pPr>
              <w:pStyle w:val="TableText1"/>
              <w:keepNext w:val="0"/>
              <w:numPr>
                <w:ilvl w:val="0"/>
                <w:numId w:val="30"/>
              </w:numPr>
              <w:rPr>
                <w:rFonts w:ascii="Times New Roman" w:hAnsi="Times New Roman"/>
                <w:sz w:val="22"/>
                <w:szCs w:val="22"/>
              </w:rPr>
            </w:pPr>
            <w:r w:rsidRPr="00121387">
              <w:rPr>
                <w:rFonts w:ascii="Times New Roman" w:hAnsi="Times New Roman"/>
                <w:sz w:val="22"/>
                <w:szCs w:val="22"/>
              </w:rPr>
              <w:t xml:space="preserve">clinical evidence on rates of reoperation </w:t>
            </w:r>
            <w:proofErr w:type="gramStart"/>
            <w:r w:rsidRPr="00121387">
              <w:rPr>
                <w:rFonts w:ascii="Times New Roman" w:hAnsi="Times New Roman"/>
                <w:sz w:val="22"/>
                <w:szCs w:val="22"/>
              </w:rPr>
              <w:t>are</w:t>
            </w:r>
            <w:proofErr w:type="gramEnd"/>
            <w:r w:rsidRPr="00121387">
              <w:rPr>
                <w:rFonts w:ascii="Times New Roman" w:hAnsi="Times New Roman"/>
                <w:sz w:val="22"/>
                <w:szCs w:val="22"/>
              </w:rPr>
              <w:t xml:space="preserve"> highly uncertain. MSAC may wish to consider limiting the number of times ABiC using a microcatheter could be used prior to micro-bypass stent insertion.</w:t>
            </w:r>
          </w:p>
        </w:tc>
      </w:tr>
    </w:tbl>
    <w:p w14:paraId="12BCE629" w14:textId="77777777" w:rsidR="00747517" w:rsidRPr="00AF2791" w:rsidRDefault="00747517" w:rsidP="00624B02">
      <w:pPr>
        <w:pStyle w:val="Heading2"/>
        <w:spacing w:before="240" w:after="120"/>
        <w:rPr>
          <w:b/>
          <w:bCs w:val="0"/>
          <w:i w:val="0"/>
          <w:iCs/>
        </w:rPr>
      </w:pPr>
      <w:r w:rsidRPr="00AF2791">
        <w:rPr>
          <w:b/>
          <w:bCs w:val="0"/>
          <w:i w:val="0"/>
          <w:iCs/>
        </w:rPr>
        <w:lastRenderedPageBreak/>
        <w:t>ESC discussion</w:t>
      </w:r>
    </w:p>
    <w:p w14:paraId="73D67EA5" w14:textId="77777777" w:rsidR="00747517" w:rsidRDefault="00747517" w:rsidP="00747517">
      <w:r>
        <w:t>ESC noted the application seeks to modify the wording of Medicare Benefits Schedule (MBS) item 42504, which currently encompasses implantation of micro-bypass stents as a standalone treatment for glaucoma, to include ab-interno canaloplasty (ABiC) using a microcatheter device. The service would be used in the clinical setting for the treatment of glaucoma with or without concurrent cataract surgery.</w:t>
      </w:r>
    </w:p>
    <w:p w14:paraId="5FBE1530" w14:textId="77777777" w:rsidR="00747517" w:rsidRDefault="00747517" w:rsidP="00FB229D">
      <w:pPr>
        <w:spacing w:before="240" w:after="240"/>
      </w:pPr>
      <w:r>
        <w:t>ESC noted that ABiC using a microcatheter in conjunction with cataract surgery is being claimed under MBS item 42705, which currently encompasses implantation of micro-bypass stents in conjunction with cataract surgery. ESC noted Department advice that although the current wording of MBS item 42705 could be reasonably interpreted as including ABiC using a microcatheter, this was not the intent of this MBS item and has not been previously considered by MSAC.</w:t>
      </w:r>
    </w:p>
    <w:p w14:paraId="190B8298" w14:textId="77777777" w:rsidR="00747517" w:rsidRDefault="00747517" w:rsidP="00747517">
      <w:r>
        <w:t>ESC considered that ABiC using a microcatheter should be incorporated into the existing MBS item 42504 as per the amendments proposed by the Department. However, ESC noted that incorporating the procedure into MBS item 42504 will make it difficult to measure the utilisation numbers for this procedure. ESC also considered that MBS item 42504 should be restricted to:</w:t>
      </w:r>
    </w:p>
    <w:p w14:paraId="699DCD0B" w14:textId="77777777" w:rsidR="00747517" w:rsidRDefault="00747517" w:rsidP="00747517">
      <w:pPr>
        <w:pStyle w:val="ListParagraph"/>
        <w:numPr>
          <w:ilvl w:val="0"/>
          <w:numId w:val="28"/>
        </w:numPr>
      </w:pPr>
      <w:r>
        <w:t>those who have failed conservative therapy, or where conservative therapy is contraindicated</w:t>
      </w:r>
    </w:p>
    <w:p w14:paraId="65D0184E" w14:textId="77777777" w:rsidR="00747517" w:rsidRDefault="00747517" w:rsidP="00747517">
      <w:pPr>
        <w:pStyle w:val="ListParagraph"/>
        <w:numPr>
          <w:ilvl w:val="0"/>
          <w:numId w:val="28"/>
        </w:numPr>
      </w:pPr>
      <w:r>
        <w:t>clinicians with specific training that has been agreed with by the profession</w:t>
      </w:r>
    </w:p>
    <w:p w14:paraId="7B414518" w14:textId="77777777" w:rsidR="00747517" w:rsidRDefault="00747517" w:rsidP="00747517">
      <w:pPr>
        <w:pStyle w:val="ListParagraph"/>
        <w:numPr>
          <w:ilvl w:val="0"/>
          <w:numId w:val="28"/>
        </w:numPr>
      </w:pPr>
      <w:r>
        <w:t>adults (as there was no evidence available for use in children).</w:t>
      </w:r>
    </w:p>
    <w:p w14:paraId="5739DD04" w14:textId="77777777" w:rsidR="00747517" w:rsidDel="00BB7187" w:rsidRDefault="00747517" w:rsidP="00FB229D">
      <w:pPr>
        <w:spacing w:before="240"/>
      </w:pPr>
      <w:r w:rsidDel="00BB7187">
        <w:t xml:space="preserve">ESC </w:t>
      </w:r>
      <w:r>
        <w:t xml:space="preserve">also </w:t>
      </w:r>
      <w:r w:rsidDel="00BB7187">
        <w:t>considered that the item descriptor may need to limit the number of reoperations using a microcatheter</w:t>
      </w:r>
      <w:r>
        <w:t xml:space="preserve"> due to uncertainty in the rates of reoperation</w:t>
      </w:r>
      <w:r w:rsidDel="00BB7187">
        <w:t xml:space="preserve">. </w:t>
      </w:r>
      <w:r>
        <w:t>ESC considered that the applicant should provide</w:t>
      </w:r>
      <w:r w:rsidDel="00BB7187">
        <w:t xml:space="preserve"> data on reoperation rates from the device manufacturer. </w:t>
      </w:r>
    </w:p>
    <w:p w14:paraId="0722A9B9" w14:textId="77777777" w:rsidR="00747517" w:rsidRDefault="00747517" w:rsidP="00FB229D">
      <w:pPr>
        <w:spacing w:before="240"/>
      </w:pPr>
      <w:r>
        <w:t xml:space="preserve">ESC noted that the proposed fee for ABiC using a microcatheter, as a standalone procedure or in conjunction with micro-bypass stent insertion, would be the same as micro-bypass stent insertion under MBS items 42504 ($312.95) and 42705 ($948.05). </w:t>
      </w:r>
      <w:r w:rsidDel="00263DCB">
        <w:t>ESC noted that micro</w:t>
      </w:r>
      <w:r>
        <w:t xml:space="preserve">-bypass </w:t>
      </w:r>
      <w:r w:rsidDel="00263DCB">
        <w:t>stents are included on the Protheses List (PL)</w:t>
      </w:r>
      <w:r>
        <w:t xml:space="preserve"> but that t</w:t>
      </w:r>
      <w:r w:rsidDel="00263DCB">
        <w:t xml:space="preserve">he microcatheter device manufactured by the applicant, </w:t>
      </w:r>
      <w:r w:rsidRPr="000466D0" w:rsidDel="00263DCB">
        <w:t>iTrack,</w:t>
      </w:r>
      <w:r w:rsidDel="00263DCB">
        <w:t xml:space="preserve"> is not listed on the PL</w:t>
      </w:r>
      <w:r>
        <w:t xml:space="preserve">. Therefore, the cost of the microcatheter used during ABiC is currently an out-of-pocket (OOP) cost borne by a patient. ESC noted that an application for listing the </w:t>
      </w:r>
      <w:r w:rsidRPr="000466D0">
        <w:t>iTrack</w:t>
      </w:r>
      <w:r>
        <w:t xml:space="preserve"> microcatheter on the PL has been submitted for</w:t>
      </w:r>
      <w:r w:rsidDel="00263DCB">
        <w:t xml:space="preserve"> consider</w:t>
      </w:r>
      <w:r>
        <w:t>ation</w:t>
      </w:r>
      <w:r w:rsidDel="00263DCB">
        <w:t xml:space="preserve"> by the Protheses List Advisory Committee (PLAC). </w:t>
      </w:r>
    </w:p>
    <w:p w14:paraId="3F222C09" w14:textId="77777777" w:rsidR="00747517" w:rsidRDefault="00747517" w:rsidP="00FB229D">
      <w:pPr>
        <w:spacing w:before="240"/>
      </w:pPr>
      <w:r>
        <w:t xml:space="preserve">ESC noted consumers would be concerned that the safety, effectiveness, and cost-effectiveness of ABiC using a microcatheter appears uncertain, especially the uncertainty regarding rare adverse events. Further, while ABiC using a microcatheter could provide </w:t>
      </w:r>
      <w:r>
        <w:lastRenderedPageBreak/>
        <w:t xml:space="preserve">patients with an alternative procedure to treat glaucoma thereby increasing patient choice, the potential OOP costs may present a barrier to many consumers. </w:t>
      </w:r>
    </w:p>
    <w:p w14:paraId="27CC1CFF" w14:textId="77777777" w:rsidR="00747517" w:rsidRDefault="00747517" w:rsidP="00FB229D">
      <w:pPr>
        <w:spacing w:before="240"/>
      </w:pPr>
      <w:r>
        <w:t>ESC noted that the evidence base for ABiC using a microcatheter, which consisted of seven case series studies, was limited and of very low quality. Further, as t</w:t>
      </w:r>
      <w:r w:rsidRPr="003D5253">
        <w:t xml:space="preserve">here were no </w:t>
      </w:r>
      <w:r>
        <w:t>studies</w:t>
      </w:r>
      <w:r w:rsidRPr="003D5253">
        <w:t xml:space="preserve"> directly comparing </w:t>
      </w:r>
      <w:r>
        <w:t xml:space="preserve">ABiC using a </w:t>
      </w:r>
      <w:r w:rsidRPr="003D5253">
        <w:t xml:space="preserve">microcatheter </w:t>
      </w:r>
      <w:r>
        <w:t xml:space="preserve">(intervention) </w:t>
      </w:r>
      <w:r w:rsidRPr="003D5253">
        <w:t xml:space="preserve">with </w:t>
      </w:r>
      <w:r>
        <w:t>insertion of a micro-bypass stent into the trabecular network (comparator)</w:t>
      </w:r>
      <w:r w:rsidRPr="003D5253">
        <w:t>, only naïve comparisons were possible.</w:t>
      </w:r>
      <w:r>
        <w:t xml:space="preserve"> Due to limitations in the evidence base, the population was pooled and not stratified by the severity of glaucoma and often not able to be stratified by presence/absence of cataract surgery. As such the impact of cataract surgery on the safety and effectiveness of ABiC using a microcatheter is uncertain (cataract surgery may bias results or obscure differences in the data). The available evidence </w:t>
      </w:r>
      <w:proofErr w:type="gramStart"/>
      <w:r>
        <w:t>base</w:t>
      </w:r>
      <w:proofErr w:type="gramEnd"/>
      <w:r>
        <w:t xml:space="preserve"> also lacked data on h</w:t>
      </w:r>
      <w:r w:rsidRPr="00255188">
        <w:t xml:space="preserve">ealth-related quality of life </w:t>
      </w:r>
      <w:r>
        <w:t xml:space="preserve">or </w:t>
      </w:r>
      <w:r w:rsidRPr="00255188">
        <w:t>quality of life</w:t>
      </w:r>
      <w:r>
        <w:t xml:space="preserve"> and rarely reported adverse events. </w:t>
      </w:r>
    </w:p>
    <w:p w14:paraId="631F9B54" w14:textId="77777777" w:rsidR="00747517" w:rsidRDefault="00747517" w:rsidP="00FB229D">
      <w:pPr>
        <w:spacing w:before="240"/>
      </w:pPr>
      <w:r>
        <w:t xml:space="preserve">Regarding the naïve comparison of safety, ESC noted that the assessment focused on four adverse events: intraoperative bleeding, device failure, </w:t>
      </w:r>
      <w:proofErr w:type="spellStart"/>
      <w:r>
        <w:t>hyphema</w:t>
      </w:r>
      <w:proofErr w:type="spellEnd"/>
      <w:r>
        <w:t xml:space="preserve"> and a postoperative spike in intraocular pressure (IOP). Bleeding and </w:t>
      </w:r>
      <w:proofErr w:type="spellStart"/>
      <w:r>
        <w:t>hyphema</w:t>
      </w:r>
      <w:proofErr w:type="spellEnd"/>
      <w:r>
        <w:t xml:space="preserve"> appeared to be more common for ABiC using a microcatheter than the micro-bypass stents. The rate of surgery failure/postoperative IOP spike was similar for the microcatheter device and micro-bypass stents.</w:t>
      </w:r>
      <w:r w:rsidRPr="00A627E1">
        <w:t xml:space="preserve"> </w:t>
      </w:r>
      <w:r>
        <w:t xml:space="preserve">However, because the adverse event data for the intervention could not be stratified by presence/absence of cataract surgery, the effect of cataract surgery on the number of adverse events for ABiC using a microcatheter was unclear. ESC acknowledged the pre-ESC response that there </w:t>
      </w:r>
      <w:r w:rsidRPr="00AF2791">
        <w:rPr>
          <w:szCs w:val="24"/>
        </w:rPr>
        <w:t xml:space="preserve">is no suggestion of any safety signal of concern from </w:t>
      </w:r>
      <w:r>
        <w:rPr>
          <w:szCs w:val="24"/>
        </w:rPr>
        <w:t>‘</w:t>
      </w:r>
      <w:r w:rsidRPr="00AF2791">
        <w:rPr>
          <w:szCs w:val="24"/>
        </w:rPr>
        <w:t>real world</w:t>
      </w:r>
      <w:r>
        <w:rPr>
          <w:szCs w:val="24"/>
        </w:rPr>
        <w:t>’</w:t>
      </w:r>
      <w:r w:rsidRPr="00AF2791">
        <w:rPr>
          <w:szCs w:val="24"/>
        </w:rPr>
        <w:t xml:space="preserve"> experience</w:t>
      </w:r>
      <w:r>
        <w:rPr>
          <w:szCs w:val="24"/>
        </w:rPr>
        <w:t>.</w:t>
      </w:r>
      <w:r>
        <w:t xml:space="preserve"> However, due to the nature of the comparisons and paucity of very </w:t>
      </w:r>
      <w:proofErr w:type="gramStart"/>
      <w:r>
        <w:t>low quality</w:t>
      </w:r>
      <w:proofErr w:type="gramEnd"/>
      <w:r>
        <w:t xml:space="preserve"> evidence, ESC considered that the available safety data may not be sufficient to support the applicant’s claim that ABiC using a microcatheter has non-inferior safety compared to micro-bypass stents.</w:t>
      </w:r>
    </w:p>
    <w:p w14:paraId="0C510888" w14:textId="77777777" w:rsidR="00747517" w:rsidRDefault="00747517" w:rsidP="00FB229D">
      <w:pPr>
        <w:spacing w:before="240"/>
      </w:pPr>
      <w:r>
        <w:t xml:space="preserve">Regarding the extended </w:t>
      </w:r>
      <w:r w:rsidRPr="00F87054">
        <w:t>assessment of harms</w:t>
      </w:r>
      <w:r>
        <w:t>, ESC noted that</w:t>
      </w:r>
      <w:r w:rsidRPr="00F87054">
        <w:t xml:space="preserve"> endothelial cell loss (ECL) </w:t>
      </w:r>
      <w:r>
        <w:t xml:space="preserve">was identified as an important safety outcome following the withdrawal of a micro-bypass stent from the market because of unacceptable ECL. ESC noted that there is insufficient data of insufficient follow-up on ECL for ABiC using a microcatheter. The pre-ESC response claimed that ABiC using a microcatheter would result in a reduction in </w:t>
      </w:r>
      <w:proofErr w:type="gramStart"/>
      <w:r>
        <w:t>ECL, but</w:t>
      </w:r>
      <w:proofErr w:type="gramEnd"/>
      <w:r>
        <w:t xml:space="preserve"> did not provide adequate evidence to support this. ESC noted that there is a clinical trial (TRIDENT</w:t>
      </w:r>
      <w:r>
        <w:rPr>
          <w:rStyle w:val="FootnoteReference"/>
        </w:rPr>
        <w:footnoteReference w:id="20"/>
      </w:r>
      <w:r>
        <w:t>) comparing ABiC using another microcatheter device to micro-bypass stents. The clinical trial is due to be completed in 2023, but ESC noted that there was not enough information available about the trial to be assured that it would answer the questions and concerns raised around this application.</w:t>
      </w:r>
    </w:p>
    <w:p w14:paraId="546D6A63" w14:textId="77777777" w:rsidR="00747517" w:rsidRDefault="00747517" w:rsidP="00FB229D">
      <w:pPr>
        <w:spacing w:before="240"/>
      </w:pPr>
      <w:r>
        <w:t xml:space="preserve">Regarding the naïve comparison of effectiveness, ESC noted that IOP reduction at 12- or 24-months post-surgery was generally consistent and sustained for both for ABiC using a microcatheter and implantation of micro-bypass stents. This was the same when the intervention was performed as standalone procedure or when performed in conjunction with cataract surgery. Reports on reduction in medication use was found to be inconsistent across studies, and sometimes increased during follow-up which may have confounded the reported sustained IOP reduction. Visual acuity had improved in patients who received the microcatheter device concurrent with cataract surgery, but there was no improvement in those who only received the standalone procedure. ESC noted that the number of failed surgeries </w:t>
      </w:r>
      <w:r>
        <w:lastRenderedPageBreak/>
        <w:t xml:space="preserve">were marginally higher for ABiC using a microcatheter compared to micro-bypass stents, but the small numbers available made it difficult to draw any conclusions. ESC agreed with the commentary that </w:t>
      </w:r>
      <w:r w:rsidRPr="00EA2F7A">
        <w:t xml:space="preserve">that a higher level of evidence </w:t>
      </w:r>
      <w:r>
        <w:t>is</w:t>
      </w:r>
      <w:r w:rsidRPr="00EA2F7A">
        <w:t xml:space="preserve"> essential for meaningful evaluation</w:t>
      </w:r>
      <w:r>
        <w:t xml:space="preserve"> of the comparative effectiveness and considered the claim of non-inferiority to be very uncertain.</w:t>
      </w:r>
    </w:p>
    <w:p w14:paraId="3819551A" w14:textId="77777777" w:rsidR="00747517" w:rsidRDefault="00747517" w:rsidP="00FB229D">
      <w:pPr>
        <w:spacing w:before="240"/>
      </w:pPr>
      <w:r>
        <w:t>ESC noted that a cost-minimisation analysis (CMA) comparing ABiC using a microcatheter with micro-bypass stent insertion was presented based on key assumptions that:</w:t>
      </w:r>
    </w:p>
    <w:p w14:paraId="3EE2A082" w14:textId="77777777" w:rsidR="00747517" w:rsidRDefault="00747517" w:rsidP="00747517">
      <w:pPr>
        <w:pStyle w:val="ListParagraph"/>
        <w:numPr>
          <w:ilvl w:val="0"/>
          <w:numId w:val="27"/>
        </w:numPr>
      </w:pPr>
      <w:r>
        <w:t>the cost of the microcatheter and micro-bypass stent was the same and costed based on the average PL benefit for micro-bypass stents</w:t>
      </w:r>
    </w:p>
    <w:p w14:paraId="173481CE" w14:textId="77777777" w:rsidR="00747517" w:rsidRDefault="00747517" w:rsidP="00747517">
      <w:pPr>
        <w:pStyle w:val="ListParagraph"/>
        <w:numPr>
          <w:ilvl w:val="0"/>
          <w:numId w:val="27"/>
        </w:numPr>
      </w:pPr>
      <w:r>
        <w:t>the pre-surgical assessment cost was the same</w:t>
      </w:r>
    </w:p>
    <w:p w14:paraId="546488DC" w14:textId="77777777" w:rsidR="00747517" w:rsidRDefault="00747517" w:rsidP="00747517">
      <w:pPr>
        <w:pStyle w:val="ListParagraph"/>
        <w:numPr>
          <w:ilvl w:val="0"/>
          <w:numId w:val="27"/>
        </w:numPr>
      </w:pPr>
      <w:r>
        <w:t>ABiC using a microcatheter has non-inferior effectiveness and safety compared to micro-bypass stent insertion (very uncertain, based on a naïve comparison using very low-quality evidence).</w:t>
      </w:r>
    </w:p>
    <w:p w14:paraId="3F590F67" w14:textId="77777777" w:rsidR="00747517" w:rsidRDefault="00747517" w:rsidP="00FB229D">
      <w:pPr>
        <w:spacing w:before="240"/>
      </w:pPr>
      <w:r>
        <w:t>ESC noted that the only cost difference in the analysis were the complication costs which were based on rates of reoperation observed for ABiC using a microcatheter (</w:t>
      </w:r>
      <w:r w:rsidRPr="000466D0">
        <w:t>6.9%</w:t>
      </w:r>
      <w:r w:rsidRPr="00DC4091">
        <w:t xml:space="preserve">) </w:t>
      </w:r>
      <w:r>
        <w:t xml:space="preserve">and micro-bypass </w:t>
      </w:r>
      <w:r w:rsidRPr="00DC4091">
        <w:t xml:space="preserve">stents </w:t>
      </w:r>
      <w:r w:rsidRPr="000466D0">
        <w:t>(4.1%)</w:t>
      </w:r>
      <w:r w:rsidRPr="00DC4091">
        <w:t xml:space="preserve"> </w:t>
      </w:r>
      <w:r>
        <w:t>in two retrospective studies. As a result, the base case analysis estimated the incremental cost of ABiC using a microcatheter versus micro-bypass stents was $43 for the standalone procedure and $61 for the procedure in conjunction with cataract surgery.</w:t>
      </w:r>
    </w:p>
    <w:p w14:paraId="555B3FD6" w14:textId="77777777" w:rsidR="00747517" w:rsidRDefault="00747517" w:rsidP="00FB229D">
      <w:pPr>
        <w:spacing w:before="240"/>
      </w:pPr>
      <w:r>
        <w:t>ESC noted that the pre-ESC response claimed that the reoperation rates may be overestimates as the studies included patients with late-stage glaucoma; however, ESC agreed with the commentary that the defined patient population does not exclude severe conditions, so it is appropriate to include these patients. ESC also noted that the studies reported a wide range of reoperation rates (from less than 1% to 38%) and varying definitions of failure. ESC noted that, if the upper range of the reoperation rate was applied to the CMA, the cost difference would increase to $532 for the standalone procedure and $747 for the procedure in conjunction with cataract surgery.</w:t>
      </w:r>
    </w:p>
    <w:p w14:paraId="0B46DBBB" w14:textId="4AA61195" w:rsidR="00747517" w:rsidRDefault="00747517" w:rsidP="00FB229D">
      <w:pPr>
        <w:spacing w:before="240"/>
      </w:pPr>
      <w:r>
        <w:t xml:space="preserve">ESC noted the pre-ESC response proposed a reduced cost for the </w:t>
      </w:r>
      <w:r w:rsidRPr="000466D0">
        <w:t>iTrack</w:t>
      </w:r>
      <w:r>
        <w:t xml:space="preserve"> microcatheter of</w:t>
      </w:r>
      <w:r w:rsidRPr="00AE68A5">
        <w:t xml:space="preserve"> </w:t>
      </w:r>
      <w:r w:rsidRPr="000466D0">
        <w:t>$</w:t>
      </w:r>
      <w:r w:rsidR="00DC4091">
        <w:rPr>
          <w:b/>
          <w:bCs/>
        </w:rPr>
        <w:t>redacted</w:t>
      </w:r>
      <w:r w:rsidRPr="000466D0">
        <w:t>/unit</w:t>
      </w:r>
      <w:r w:rsidRPr="00DC4091">
        <w:t>,</w:t>
      </w:r>
      <w:r>
        <w:t xml:space="preserve"> </w:t>
      </w:r>
      <w:r w:rsidRPr="00AE68A5">
        <w:t>equivalent to</w:t>
      </w:r>
      <w:r>
        <w:t xml:space="preserve"> the PL benefit for the</w:t>
      </w:r>
      <w:r w:rsidRPr="00AE68A5">
        <w:t xml:space="preserve"> Hydrus and XEN</w:t>
      </w:r>
      <w:r>
        <w:t xml:space="preserve"> micro-bypass stent. ESC noted that a reduced cost for the microcatheter was important because this may potentially be an OOP cost borne by patients. ESC queried whether the microcatheter costs would be covered under hospital procedure costs. ESC also considered that to achieve cost-neutrality, the maximum cost of the microcatheter would need to be lower than the cost of micro-bypass stents (</w:t>
      </w:r>
      <w:proofErr w:type="gramStart"/>
      <w:r>
        <w:t>i.e.</w:t>
      </w:r>
      <w:proofErr w:type="gramEnd"/>
      <w:r>
        <w:t xml:space="preserve"> not equivalent to the Hydrus and XEN micro-bypass stents). Overall, due to limitations with the clinical evidence base creating uncertainty in the non-inferiority claim, along with uncertainty in the reoperations rates, ESC considered the economic evaluation to be highly uncertain. </w:t>
      </w:r>
    </w:p>
    <w:p w14:paraId="6F1EA0EC" w14:textId="53E460EB" w:rsidR="00747517" w:rsidRDefault="00747517" w:rsidP="00FB229D">
      <w:pPr>
        <w:spacing w:before="240"/>
      </w:pPr>
      <w:bookmarkStart w:id="56" w:name="_Hlk85617452"/>
      <w:r>
        <w:t xml:space="preserve">ESC noted an </w:t>
      </w:r>
      <w:r w:rsidRPr="00CF59CC">
        <w:t xml:space="preserve">epidemiological approach was used </w:t>
      </w:r>
      <w:r>
        <w:t xml:space="preserve">to estimate the number of patients who may undergo ABiC using a microcatheter, based on the current utilisation of MBS item 42705 (micro-bypass stent insertion in conjunction with cataract surgery) and </w:t>
      </w:r>
      <w:proofErr w:type="gramStart"/>
      <w:r>
        <w:t>a number of</w:t>
      </w:r>
      <w:proofErr w:type="gramEnd"/>
      <w:r>
        <w:t xml:space="preserve"> assumptions informed by the opinion of one clinical expert. ESC also noted that the justification that 10% of the eligible population receiving the microcatheter device was based on the microcatheter device not being included on the PL for 5 years. ESC considered that if the microcatheter device was listed on the PL, the proportion of patients undergoing ABiC using a microcatheter could be much higher. ESC also questioned whether the increase in the use of microcatheters is entirely related to an ageing population, as the device may be attractive to a wider demographic if included on the PL as the microcatheter is not permanent. </w:t>
      </w:r>
      <w:r>
        <w:lastRenderedPageBreak/>
        <w:t>ESC also considered that ABiC using a microcatheter</w:t>
      </w:r>
      <w:r w:rsidRPr="00736C17">
        <w:t xml:space="preserve"> </w:t>
      </w:r>
      <w:proofErr w:type="gramStart"/>
      <w:r w:rsidRPr="00736C17">
        <w:t>has the opportunity to</w:t>
      </w:r>
      <w:proofErr w:type="gramEnd"/>
      <w:r w:rsidRPr="00736C17">
        <w:t xml:space="preserve"> become the first of a two-step </w:t>
      </w:r>
      <w:r>
        <w:t xml:space="preserve">management </w:t>
      </w:r>
      <w:r w:rsidRPr="00736C17">
        <w:t xml:space="preserve">process </w:t>
      </w:r>
      <w:r>
        <w:t>leading to</w:t>
      </w:r>
      <w:r w:rsidRPr="00736C17">
        <w:t xml:space="preserve"> inserti</w:t>
      </w:r>
      <w:r>
        <w:t>on</w:t>
      </w:r>
      <w:r w:rsidRPr="00736C17">
        <w:t xml:space="preserve"> a </w:t>
      </w:r>
      <w:r>
        <w:t>micro-bypass stent</w:t>
      </w:r>
      <w:r w:rsidRPr="00736C17">
        <w:t>, and there could be multiple surgeries before a stent is inserted</w:t>
      </w:r>
      <w:r>
        <w:t xml:space="preserve">, creating further uncertainty in the utilisation estimates. ESC also noted that the estimated financial impact to the MBS included costs of reoperation at a rate of </w:t>
      </w:r>
      <w:r w:rsidRPr="000466D0">
        <w:t>6.9</w:t>
      </w:r>
      <w:r>
        <w:t>%. However, as noted previously, the rates of reoperation from the available studies were highly variable. ESC noted that, at the highest reoperation rate of 38%, the net cost to the MBS would be $274,637–$429,829 over 5 years, significantly higher than the base case estimates of $19,937-$31,219. Overall, ESC considered the utilisation and estimated financial impact to the MBS to be uncertain.</w:t>
      </w:r>
      <w:bookmarkEnd w:id="56"/>
    </w:p>
    <w:p w14:paraId="379F5206" w14:textId="45BB6681" w:rsidR="00FB229D" w:rsidRDefault="00FB229D" w:rsidP="00FB229D">
      <w:pPr>
        <w:pStyle w:val="Heading1"/>
        <w:spacing w:before="240"/>
        <w:ind w:left="720" w:hanging="720"/>
        <w:rPr>
          <w:rFonts w:ascii="Arial" w:hAnsi="Arial" w:cs="Arial"/>
        </w:rPr>
      </w:pPr>
      <w:r>
        <w:rPr>
          <w:rFonts w:ascii="Arial" w:hAnsi="Arial" w:cs="Arial"/>
        </w:rPr>
        <w:t>15.</w:t>
      </w:r>
      <w:r>
        <w:rPr>
          <w:rFonts w:ascii="Arial" w:hAnsi="Arial" w:cs="Arial"/>
        </w:rPr>
        <w:tab/>
        <w:t>Other significant factors</w:t>
      </w:r>
    </w:p>
    <w:p w14:paraId="761A74BC" w14:textId="77777777" w:rsidR="00FB229D" w:rsidRPr="00EE7549" w:rsidRDefault="00FB229D" w:rsidP="00FB229D">
      <w:pPr>
        <w:spacing w:before="240" w:after="240"/>
      </w:pPr>
      <w:r w:rsidRPr="00EE7549">
        <w:t>Nil</w:t>
      </w:r>
    </w:p>
    <w:p w14:paraId="6FFD5837" w14:textId="465697DA" w:rsidR="00FB229D" w:rsidRDefault="00FB229D" w:rsidP="00FB229D">
      <w:pPr>
        <w:pStyle w:val="Heading1"/>
        <w:rPr>
          <w:rFonts w:ascii="Arial" w:hAnsi="Arial" w:cs="Arial"/>
        </w:rPr>
      </w:pPr>
      <w:r>
        <w:rPr>
          <w:rFonts w:ascii="Arial" w:hAnsi="Arial" w:cs="Arial"/>
        </w:rPr>
        <w:t>16.</w:t>
      </w:r>
      <w:r>
        <w:rPr>
          <w:rFonts w:ascii="Arial" w:hAnsi="Arial" w:cs="Arial"/>
        </w:rPr>
        <w:tab/>
        <w:t>Applicant comments on MSAC’s Public Summary Document</w:t>
      </w:r>
    </w:p>
    <w:p w14:paraId="4BC0E281" w14:textId="5D489444" w:rsidR="008F2519" w:rsidRPr="000466D0" w:rsidRDefault="00990F82" w:rsidP="000466D0">
      <w:pPr>
        <w:spacing w:before="240" w:after="240"/>
        <w:rPr>
          <w:szCs w:val="24"/>
        </w:rPr>
      </w:pPr>
      <w:r w:rsidRPr="000466D0">
        <w:rPr>
          <w:szCs w:val="24"/>
        </w:rPr>
        <w:t>The applicant looks forward to addressing the concerns in this report in a future submission.</w:t>
      </w:r>
    </w:p>
    <w:p w14:paraId="5789FF64" w14:textId="054539A3" w:rsidR="00FB229D" w:rsidRPr="007B5143" w:rsidRDefault="00FB229D" w:rsidP="00FB229D">
      <w:pPr>
        <w:pStyle w:val="Heading1"/>
        <w:spacing w:before="240"/>
        <w:rPr>
          <w:rFonts w:ascii="Arial" w:hAnsi="Arial" w:cs="Arial"/>
        </w:rPr>
      </w:pPr>
      <w:r>
        <w:rPr>
          <w:rFonts w:ascii="Arial" w:hAnsi="Arial" w:cs="Arial"/>
        </w:rPr>
        <w:t>17.</w:t>
      </w:r>
      <w:r>
        <w:rPr>
          <w:rFonts w:ascii="Arial" w:hAnsi="Arial" w:cs="Arial"/>
        </w:rPr>
        <w:tab/>
      </w:r>
      <w:r w:rsidRPr="007B5143">
        <w:rPr>
          <w:rFonts w:ascii="Arial" w:hAnsi="Arial" w:cs="Arial"/>
        </w:rPr>
        <w:t>Further information on MSAC</w:t>
      </w:r>
    </w:p>
    <w:p w14:paraId="7B66F3AE" w14:textId="0B6B7ADA" w:rsidR="00FB229D" w:rsidRPr="00FB229D" w:rsidRDefault="00FB229D" w:rsidP="00FB229D">
      <w:pPr>
        <w:spacing w:before="240" w:after="240"/>
        <w:rPr>
          <w:szCs w:val="24"/>
        </w:rPr>
      </w:pPr>
      <w:r w:rsidRPr="00F715D1">
        <w:rPr>
          <w:szCs w:val="24"/>
        </w:rPr>
        <w:t xml:space="preserve">MSAC Terms of Reference and other information are available on the MSAC Website: </w:t>
      </w:r>
      <w:r>
        <w:rPr>
          <w:szCs w:val="24"/>
        </w:rPr>
        <w:br/>
      </w:r>
      <w:hyperlink r:id="rId16" w:tooltip="Link to Medical Services Advisory Committee website" w:history="1">
        <w:r w:rsidRPr="00F715D1">
          <w:rPr>
            <w:rStyle w:val="Hyperlink"/>
            <w:szCs w:val="24"/>
          </w:rPr>
          <w:t>visit the MSAC website</w:t>
        </w:r>
      </w:hyperlink>
    </w:p>
    <w:sectPr w:rsidR="00FB229D" w:rsidRPr="00FB229D" w:rsidSect="00342FAC">
      <w:footerReference w:type="default" r:id="rId17"/>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7B1C3" w14:textId="77777777" w:rsidR="005E7EF9" w:rsidRDefault="005E7EF9" w:rsidP="00065623">
      <w:r>
        <w:separator/>
      </w:r>
    </w:p>
  </w:endnote>
  <w:endnote w:type="continuationSeparator" w:id="0">
    <w:p w14:paraId="1E5B585E" w14:textId="77777777" w:rsidR="005E7EF9" w:rsidRDefault="005E7EF9"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Neue MediumExt">
    <w:altName w:val="Arial"/>
    <w:panose1 w:val="00000000000000000000"/>
    <w:charset w:val="00"/>
    <w:family w:val="swiss"/>
    <w:notTrueType/>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73568"/>
      <w:docPartObj>
        <w:docPartGallery w:val="Page Numbers (Bottom of Page)"/>
        <w:docPartUnique/>
      </w:docPartObj>
    </w:sdtPr>
    <w:sdtEndPr>
      <w:rPr>
        <w:noProof/>
      </w:rPr>
    </w:sdtEndPr>
    <w:sdtContent>
      <w:p w14:paraId="57D6A905" w14:textId="6E664234" w:rsidR="005E7EF9" w:rsidRDefault="005E7EF9">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11F0B18" w14:textId="77777777" w:rsidR="005E7EF9" w:rsidRDefault="005E7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87FED" w14:textId="77777777" w:rsidR="005E7EF9" w:rsidRDefault="005E7EF9" w:rsidP="00065623">
      <w:r>
        <w:separator/>
      </w:r>
    </w:p>
  </w:footnote>
  <w:footnote w:type="continuationSeparator" w:id="0">
    <w:p w14:paraId="3A5CA94E" w14:textId="77777777" w:rsidR="005E7EF9" w:rsidRDefault="005E7EF9" w:rsidP="00065623">
      <w:r>
        <w:continuationSeparator/>
      </w:r>
    </w:p>
  </w:footnote>
  <w:footnote w:id="1">
    <w:p w14:paraId="12655D91" w14:textId="5F21B367" w:rsidR="005E7EF9" w:rsidRDefault="005E7EF9">
      <w:pPr>
        <w:pStyle w:val="FootnoteText"/>
      </w:pPr>
      <w:r>
        <w:rPr>
          <w:rStyle w:val="FootnoteReference"/>
        </w:rPr>
        <w:footnoteRef/>
      </w:r>
      <w:r>
        <w:t xml:space="preserve"> </w:t>
      </w:r>
      <w:r w:rsidRPr="00170C03">
        <w:t>Keel S, et al. (2019)</w:t>
      </w:r>
      <w:r w:rsidRPr="00A50E03">
        <w:rPr>
          <w:i/>
          <w:iCs/>
        </w:rPr>
        <w:t xml:space="preserve"> British Journal of Ophthalmology</w:t>
      </w:r>
      <w:r w:rsidRPr="00170C03">
        <w:t>, 103:191.</w:t>
      </w:r>
    </w:p>
  </w:footnote>
  <w:footnote w:id="2">
    <w:p w14:paraId="61E08882" w14:textId="77777777" w:rsidR="005E7EF9" w:rsidRDefault="005E7EF9" w:rsidP="000337D6">
      <w:pPr>
        <w:pStyle w:val="FootnoteText"/>
        <w:rPr>
          <w:color w:val="000000"/>
        </w:rPr>
      </w:pPr>
      <w:r w:rsidRPr="00731B59">
        <w:rPr>
          <w:rStyle w:val="FootnoteReference"/>
        </w:rPr>
        <w:footnoteRef/>
      </w:r>
      <w:r w:rsidRPr="00731B59">
        <w:t xml:space="preserve"> </w:t>
      </w:r>
      <w:r w:rsidRPr="005E7EF9">
        <w:t>NCT04658095 -</w:t>
      </w:r>
      <w:r w:rsidRPr="005E7EF9">
        <w:rPr>
          <w:sz w:val="24"/>
          <w:szCs w:val="24"/>
        </w:rPr>
        <w:t xml:space="preserve"> </w:t>
      </w:r>
      <w:r w:rsidRPr="005E7EF9">
        <w:t xml:space="preserve">A prospective, randomized, </w:t>
      </w:r>
      <w:proofErr w:type="spellStart"/>
      <w:r w:rsidRPr="005E7EF9">
        <w:t>multicenter</w:t>
      </w:r>
      <w:proofErr w:type="spellEnd"/>
      <w:r w:rsidRPr="005E7EF9">
        <w:t xml:space="preserve"> study to compare the safety and effectiveness of the OMNI surgical system and the </w:t>
      </w:r>
      <w:proofErr w:type="spellStart"/>
      <w:r w:rsidRPr="005E7EF9">
        <w:t>iStent</w:t>
      </w:r>
      <w:proofErr w:type="spellEnd"/>
      <w:r w:rsidRPr="005E7EF9">
        <w:t xml:space="preserve"> inject in </w:t>
      </w:r>
      <w:proofErr w:type="spellStart"/>
      <w:r w:rsidRPr="005E7EF9">
        <w:t>pseudophakic</w:t>
      </w:r>
      <w:proofErr w:type="spellEnd"/>
      <w:r w:rsidRPr="005E7EF9">
        <w:t xml:space="preserve"> eyes with open angle glaucoma. The TRIDENT European Trial - https://clinicaltrials.gov/ct2/show/NCT04658095</w:t>
      </w:r>
    </w:p>
  </w:footnote>
  <w:footnote w:id="3">
    <w:p w14:paraId="473C3B04" w14:textId="59C950B1" w:rsidR="005E7EF9" w:rsidRDefault="005E7EF9">
      <w:pPr>
        <w:pStyle w:val="FootnoteText"/>
      </w:pPr>
      <w:r w:rsidRPr="00066143">
        <w:rPr>
          <w:rStyle w:val="FootnoteReference"/>
        </w:rPr>
        <w:footnoteRef/>
      </w:r>
      <w:r w:rsidRPr="00066143">
        <w:t xml:space="preserve"> There are currently no suprachoroidal MBGS devices in use in Australia, following the global withdrawal of the </w:t>
      </w:r>
      <w:proofErr w:type="spellStart"/>
      <w:r w:rsidRPr="00066143">
        <w:t>CyPass</w:t>
      </w:r>
      <w:proofErr w:type="spellEnd"/>
      <w:r w:rsidRPr="00066143">
        <w:t xml:space="preserve"> Micro-stent when it was found to have long term adverse effects on endothelial cell density.</w:t>
      </w:r>
    </w:p>
  </w:footnote>
  <w:footnote w:id="4">
    <w:p w14:paraId="498CBF9B" w14:textId="77777777" w:rsidR="005E7EF9" w:rsidRPr="00066143" w:rsidRDefault="005E7EF9" w:rsidP="00747517">
      <w:pPr>
        <w:pStyle w:val="FootnoteText"/>
      </w:pPr>
      <w:r w:rsidRPr="00066143">
        <w:rPr>
          <w:rStyle w:val="FootnoteReference"/>
        </w:rPr>
        <w:footnoteRef/>
      </w:r>
      <w:r w:rsidRPr="00066143">
        <w:t xml:space="preserve"> </w:t>
      </w:r>
      <w:proofErr w:type="spellStart"/>
      <w:r w:rsidRPr="00066143">
        <w:rPr>
          <w:szCs w:val="24"/>
        </w:rPr>
        <w:t>Tham</w:t>
      </w:r>
      <w:proofErr w:type="spellEnd"/>
      <w:r w:rsidRPr="00066143">
        <w:rPr>
          <w:szCs w:val="24"/>
        </w:rPr>
        <w:t xml:space="preserve"> Y-C, et al. (2014)</w:t>
      </w:r>
      <w:r w:rsidRPr="00066143">
        <w:t xml:space="preserve"> </w:t>
      </w:r>
      <w:r w:rsidRPr="00066143">
        <w:rPr>
          <w:i/>
          <w:iCs/>
          <w:szCs w:val="24"/>
        </w:rPr>
        <w:t>Ophthalmology</w:t>
      </w:r>
      <w:r w:rsidRPr="00066143">
        <w:rPr>
          <w:szCs w:val="24"/>
        </w:rPr>
        <w:t>, 121:2081-2090.</w:t>
      </w:r>
    </w:p>
  </w:footnote>
  <w:footnote w:id="5">
    <w:p w14:paraId="379F88B8" w14:textId="77777777" w:rsidR="005E7EF9" w:rsidRPr="00066143" w:rsidRDefault="005E7EF9" w:rsidP="00747517">
      <w:pPr>
        <w:pStyle w:val="FootnoteText"/>
      </w:pPr>
      <w:r w:rsidRPr="00066143">
        <w:rPr>
          <w:rStyle w:val="FootnoteReference"/>
        </w:rPr>
        <w:footnoteRef/>
      </w:r>
      <w:r w:rsidRPr="00066143">
        <w:t xml:space="preserve"> </w:t>
      </w:r>
      <w:r w:rsidRPr="00066143">
        <w:rPr>
          <w:szCs w:val="24"/>
        </w:rPr>
        <w:t xml:space="preserve">Keel S, et al. (2019) </w:t>
      </w:r>
      <w:r w:rsidRPr="00066143">
        <w:rPr>
          <w:i/>
          <w:iCs/>
          <w:szCs w:val="24"/>
        </w:rPr>
        <w:t>British Journal of Ophthalmology,</w:t>
      </w:r>
      <w:r w:rsidRPr="00066143">
        <w:rPr>
          <w:szCs w:val="24"/>
        </w:rPr>
        <w:t xml:space="preserve"> 103:191.</w:t>
      </w:r>
    </w:p>
  </w:footnote>
  <w:footnote w:id="6">
    <w:p w14:paraId="7E4CBC07" w14:textId="77777777" w:rsidR="005E7EF9" w:rsidRPr="00066143" w:rsidRDefault="005E7EF9" w:rsidP="00747517">
      <w:pPr>
        <w:pStyle w:val="FootnoteText"/>
      </w:pPr>
      <w:r w:rsidRPr="00066143">
        <w:rPr>
          <w:rStyle w:val="FootnoteReference"/>
        </w:rPr>
        <w:footnoteRef/>
      </w:r>
      <w:r w:rsidRPr="00066143">
        <w:t xml:space="preserve"> </w:t>
      </w:r>
      <w:proofErr w:type="spellStart"/>
      <w:r w:rsidRPr="00066143">
        <w:rPr>
          <w:szCs w:val="24"/>
        </w:rPr>
        <w:t>Dirani</w:t>
      </w:r>
      <w:proofErr w:type="spellEnd"/>
      <w:r w:rsidRPr="00066143">
        <w:rPr>
          <w:szCs w:val="24"/>
        </w:rPr>
        <w:t xml:space="preserve"> M, et al. (2011)</w:t>
      </w:r>
      <w:r w:rsidRPr="00066143">
        <w:t xml:space="preserve"> </w:t>
      </w:r>
      <w:r w:rsidRPr="00066143">
        <w:rPr>
          <w:i/>
          <w:iCs/>
          <w:szCs w:val="24"/>
        </w:rPr>
        <w:t>Clinical &amp; Experimental Ophthalmology</w:t>
      </w:r>
      <w:r w:rsidRPr="00066143">
        <w:rPr>
          <w:szCs w:val="24"/>
        </w:rPr>
        <w:t>, 39:623-632.</w:t>
      </w:r>
    </w:p>
  </w:footnote>
  <w:footnote w:id="7">
    <w:p w14:paraId="66BD580D" w14:textId="337548CA" w:rsidR="005E7EF9" w:rsidRPr="00DB1234" w:rsidRDefault="005E7EF9">
      <w:pPr>
        <w:pStyle w:val="FootnoteText"/>
        <w:rPr>
          <w:sz w:val="16"/>
          <w:szCs w:val="16"/>
        </w:rPr>
      </w:pPr>
      <w:r w:rsidRPr="00DB1234">
        <w:rPr>
          <w:rStyle w:val="FootnoteReference"/>
          <w:sz w:val="16"/>
          <w:szCs w:val="16"/>
        </w:rPr>
        <w:footnoteRef/>
      </w:r>
      <w:r>
        <w:t xml:space="preserve"> </w:t>
      </w:r>
      <w:r>
        <w:rPr>
          <w:sz w:val="16"/>
          <w:szCs w:val="16"/>
        </w:rPr>
        <w:t xml:space="preserve">The evidence base for the comparator was pragmatically refined to a representative selection of studies for naïve comparison with the 7 case series studies on the intervention, as documented in section B and Appendix C of the DCAR. </w:t>
      </w:r>
    </w:p>
  </w:footnote>
  <w:footnote w:id="8">
    <w:p w14:paraId="28532B3E" w14:textId="77777777" w:rsidR="005E7EF9" w:rsidRPr="000853A8" w:rsidRDefault="005E7EF9" w:rsidP="0099729D">
      <w:pPr>
        <w:pStyle w:val="FootnoteText"/>
        <w:rPr>
          <w:sz w:val="16"/>
          <w:szCs w:val="16"/>
        </w:rPr>
      </w:pPr>
      <w:r w:rsidRPr="000853A8">
        <w:rPr>
          <w:rStyle w:val="FootnoteReference"/>
          <w:sz w:val="16"/>
          <w:szCs w:val="16"/>
        </w:rPr>
        <w:footnoteRef/>
      </w:r>
      <w:r w:rsidRPr="000853A8">
        <w:rPr>
          <w:sz w:val="16"/>
          <w:szCs w:val="16"/>
        </w:rPr>
        <w:t xml:space="preserve"> Study was also included in MSAC application 1483 SBA (</w:t>
      </w:r>
      <w:r w:rsidRPr="000853A8">
        <w:rPr>
          <w:i/>
          <w:sz w:val="16"/>
          <w:szCs w:val="16"/>
        </w:rPr>
        <w:t>Trabecular bypass micro-invasive glaucoma surgery (TB MIGS) device implantation in patients with mild-to-moderate primary open-angle glaucoma</w:t>
      </w:r>
      <w:r w:rsidRPr="000853A8">
        <w:rPr>
          <w:sz w:val="16"/>
          <w:szCs w:val="16"/>
        </w:rPr>
        <w:t>, 2017)</w:t>
      </w:r>
    </w:p>
  </w:footnote>
  <w:footnote w:id="9">
    <w:p w14:paraId="19AEBEB8" w14:textId="77777777" w:rsidR="005E7EF9" w:rsidRPr="000853A8" w:rsidRDefault="005E7EF9" w:rsidP="0099729D">
      <w:pPr>
        <w:pStyle w:val="FootnoteText"/>
        <w:rPr>
          <w:sz w:val="16"/>
          <w:szCs w:val="16"/>
        </w:rPr>
      </w:pPr>
      <w:r w:rsidRPr="000853A8">
        <w:rPr>
          <w:rStyle w:val="FootnoteReference"/>
          <w:sz w:val="16"/>
          <w:szCs w:val="16"/>
        </w:rPr>
        <w:footnoteRef/>
      </w:r>
      <w:r w:rsidRPr="000853A8">
        <w:rPr>
          <w:sz w:val="16"/>
          <w:szCs w:val="16"/>
        </w:rPr>
        <w:t xml:space="preserve"> Study was also included in MSAC application 1496 (</w:t>
      </w:r>
      <w:r w:rsidRPr="000853A8">
        <w:rPr>
          <w:i/>
          <w:sz w:val="16"/>
          <w:szCs w:val="16"/>
        </w:rPr>
        <w:t>Micro-invasive glaucoma surgery (MIGS) device implantation (external to Schlemm’s canal) in patients with mild-to-moderate primary open-angle glaucoma</w:t>
      </w:r>
      <w:r w:rsidRPr="000853A8">
        <w:rPr>
          <w:sz w:val="16"/>
          <w:szCs w:val="16"/>
        </w:rPr>
        <w:t>, 2017)</w:t>
      </w:r>
    </w:p>
  </w:footnote>
  <w:footnote w:id="10">
    <w:p w14:paraId="11FB0D75" w14:textId="72DB7713" w:rsidR="005E7EF9" w:rsidRDefault="005E7EF9">
      <w:pPr>
        <w:pStyle w:val="FootnoteText"/>
      </w:pPr>
      <w:r>
        <w:rPr>
          <w:rStyle w:val="FootnoteReference"/>
        </w:rPr>
        <w:footnoteRef/>
      </w:r>
      <w:r>
        <w:t xml:space="preserve"> Lewis RA, et al. (2011</w:t>
      </w:r>
      <w:r w:rsidRPr="00615F7C">
        <w:t xml:space="preserve">) </w:t>
      </w:r>
      <w:r w:rsidRPr="00615F7C">
        <w:rPr>
          <w:i/>
          <w:iCs/>
          <w:lang w:val="en-GB"/>
        </w:rPr>
        <w:t>J. Cataract Refract</w:t>
      </w:r>
      <w:r w:rsidRPr="00615F7C">
        <w:rPr>
          <w:lang w:val="en-GB"/>
        </w:rPr>
        <w:t>. Surg. 37, 682–690</w:t>
      </w:r>
    </w:p>
  </w:footnote>
  <w:footnote w:id="11">
    <w:p w14:paraId="3F269258" w14:textId="16B09B43" w:rsidR="005E7EF9" w:rsidRPr="003446E0" w:rsidRDefault="005E7EF9">
      <w:pPr>
        <w:pStyle w:val="FootnoteText"/>
      </w:pPr>
      <w:r>
        <w:rPr>
          <w:rStyle w:val="FootnoteReference"/>
        </w:rPr>
        <w:footnoteRef/>
      </w:r>
      <w:r>
        <w:t xml:space="preserve"> </w:t>
      </w:r>
      <w:proofErr w:type="spellStart"/>
      <w:r>
        <w:t>Khaimi</w:t>
      </w:r>
      <w:proofErr w:type="spellEnd"/>
      <w:r>
        <w:t xml:space="preserve">, M.A. (2021) </w:t>
      </w:r>
      <w:r>
        <w:rPr>
          <w:i/>
          <w:iCs/>
        </w:rPr>
        <w:t xml:space="preserve">Therapeutic Advances in Ophthalmology. </w:t>
      </w:r>
      <w:r>
        <w:t>13:1-10</w:t>
      </w:r>
    </w:p>
  </w:footnote>
  <w:footnote w:id="12">
    <w:p w14:paraId="1B510C39" w14:textId="25B60777" w:rsidR="005E7EF9" w:rsidRDefault="005E7EF9">
      <w:pPr>
        <w:pStyle w:val="FootnoteText"/>
      </w:pPr>
      <w:r w:rsidRPr="00AA615A">
        <w:rPr>
          <w:rStyle w:val="FootnoteReference"/>
        </w:rPr>
        <w:footnoteRef/>
      </w:r>
      <w:r w:rsidRPr="00AA615A">
        <w:t xml:space="preserve"> Karimi</w:t>
      </w:r>
      <w:r>
        <w:t xml:space="preserve"> A, et al. (2019) </w:t>
      </w:r>
      <w:r w:rsidRPr="00926631">
        <w:rPr>
          <w:i/>
          <w:iCs/>
        </w:rPr>
        <w:t>Eye (</w:t>
      </w:r>
      <w:proofErr w:type="spellStart"/>
      <w:r w:rsidRPr="00926631">
        <w:rPr>
          <w:i/>
          <w:iCs/>
        </w:rPr>
        <w:t>Lond</w:t>
      </w:r>
      <w:proofErr w:type="spellEnd"/>
      <w:r w:rsidRPr="00AA615A">
        <w:t>), 33</w:t>
      </w:r>
      <w:r>
        <w:t>:</w:t>
      </w:r>
      <w:r w:rsidRPr="00AA615A">
        <w:t>469-477</w:t>
      </w:r>
    </w:p>
  </w:footnote>
  <w:footnote w:id="13">
    <w:p w14:paraId="76795D4C" w14:textId="77777777" w:rsidR="005E7EF9" w:rsidRPr="00F12CC3" w:rsidRDefault="005E7EF9" w:rsidP="0099729D">
      <w:pPr>
        <w:pStyle w:val="FootnoteText"/>
        <w:contextualSpacing/>
        <w:rPr>
          <w:sz w:val="16"/>
          <w:szCs w:val="16"/>
        </w:rPr>
      </w:pPr>
      <w:r w:rsidRPr="00F12CC3">
        <w:rPr>
          <w:rStyle w:val="FootnoteReference"/>
          <w:sz w:val="16"/>
          <w:szCs w:val="16"/>
        </w:rPr>
        <w:footnoteRef/>
      </w:r>
      <w:r w:rsidRPr="00F12CC3">
        <w:rPr>
          <w:sz w:val="16"/>
          <w:szCs w:val="16"/>
        </w:rPr>
        <w:t xml:space="preserve"> The COMPASS trial (data up to 24 months) was a major component of MSAC application 1496 SBA (2017). </w:t>
      </w:r>
    </w:p>
  </w:footnote>
  <w:footnote w:id="14">
    <w:p w14:paraId="28FD18F5" w14:textId="11FF0ABE" w:rsidR="005E7EF9" w:rsidRPr="00F12CC3" w:rsidRDefault="005E7EF9" w:rsidP="0099729D">
      <w:pPr>
        <w:pStyle w:val="FootnoteText"/>
        <w:contextualSpacing/>
        <w:rPr>
          <w:sz w:val="16"/>
          <w:szCs w:val="16"/>
        </w:rPr>
      </w:pPr>
      <w:r w:rsidRPr="00F12CC3">
        <w:rPr>
          <w:rStyle w:val="FootnoteReference"/>
          <w:sz w:val="16"/>
          <w:szCs w:val="16"/>
        </w:rPr>
        <w:footnoteRef/>
      </w:r>
      <w:r w:rsidRPr="00F12CC3">
        <w:rPr>
          <w:sz w:val="16"/>
          <w:szCs w:val="16"/>
        </w:rPr>
        <w:t xml:space="preserve"> A Prospective, Randomized, </w:t>
      </w:r>
      <w:proofErr w:type="spellStart"/>
      <w:r w:rsidRPr="00F12CC3">
        <w:rPr>
          <w:sz w:val="16"/>
          <w:szCs w:val="16"/>
        </w:rPr>
        <w:t>Multicenter</w:t>
      </w:r>
      <w:proofErr w:type="spellEnd"/>
      <w:r w:rsidRPr="00F12CC3">
        <w:rPr>
          <w:sz w:val="16"/>
          <w:szCs w:val="16"/>
        </w:rPr>
        <w:t xml:space="preserve"> Study to Compare </w:t>
      </w:r>
      <w:proofErr w:type="gramStart"/>
      <w:r w:rsidRPr="00F12CC3">
        <w:rPr>
          <w:sz w:val="16"/>
          <w:szCs w:val="16"/>
        </w:rPr>
        <w:t>The</w:t>
      </w:r>
      <w:proofErr w:type="gramEnd"/>
      <w:r w:rsidRPr="00F12CC3">
        <w:rPr>
          <w:sz w:val="16"/>
          <w:szCs w:val="16"/>
        </w:rPr>
        <w:t xml:space="preserve"> Safety And Effectiveness Of The OMNI Surgical System And The </w:t>
      </w:r>
      <w:proofErr w:type="spellStart"/>
      <w:r w:rsidRPr="00F12CC3">
        <w:rPr>
          <w:sz w:val="16"/>
          <w:szCs w:val="16"/>
        </w:rPr>
        <w:t>iStent</w:t>
      </w:r>
      <w:proofErr w:type="spellEnd"/>
      <w:r w:rsidRPr="00F12CC3">
        <w:rPr>
          <w:sz w:val="16"/>
          <w:szCs w:val="16"/>
        </w:rPr>
        <w:t xml:space="preserve"> Inject In </w:t>
      </w:r>
      <w:proofErr w:type="spellStart"/>
      <w:r w:rsidRPr="00F12CC3">
        <w:rPr>
          <w:sz w:val="16"/>
          <w:szCs w:val="16"/>
        </w:rPr>
        <w:t>Pseudophakic</w:t>
      </w:r>
      <w:proofErr w:type="spellEnd"/>
      <w:r w:rsidRPr="00F12CC3">
        <w:rPr>
          <w:sz w:val="16"/>
          <w:szCs w:val="16"/>
        </w:rPr>
        <w:t xml:space="preserve"> Eyes With Open Angle Glaucoma. The TRIDENT European Trial - NCT04658095 - https://clinicaltrials.gov/ct2/show/NCT04658095</w:t>
      </w:r>
    </w:p>
  </w:footnote>
  <w:footnote w:id="15">
    <w:p w14:paraId="0E285188" w14:textId="338C0A60" w:rsidR="005E7EF9" w:rsidRDefault="005E7EF9">
      <w:pPr>
        <w:pStyle w:val="FootnoteText"/>
      </w:pPr>
      <w:r>
        <w:rPr>
          <w:rStyle w:val="FootnoteReference"/>
        </w:rPr>
        <w:footnoteRef/>
      </w:r>
      <w:r>
        <w:t xml:space="preserve"> </w:t>
      </w:r>
      <w:r w:rsidRPr="00926631">
        <w:t xml:space="preserve">Fernández-García </w:t>
      </w:r>
      <w:r>
        <w:t xml:space="preserve">A, </w:t>
      </w:r>
      <w:r w:rsidRPr="00926631">
        <w:t>et al.</w:t>
      </w:r>
      <w:r>
        <w:t xml:space="preserve"> (</w:t>
      </w:r>
      <w:r w:rsidRPr="00926631">
        <w:t>2020</w:t>
      </w:r>
      <w:r>
        <w:t>)</w:t>
      </w:r>
      <w:r w:rsidRPr="00926631">
        <w:t xml:space="preserve"> </w:t>
      </w:r>
      <w:r w:rsidRPr="00926631">
        <w:rPr>
          <w:i/>
          <w:iCs/>
        </w:rPr>
        <w:t xml:space="preserve">Int </w:t>
      </w:r>
      <w:proofErr w:type="spellStart"/>
      <w:r w:rsidRPr="00926631">
        <w:rPr>
          <w:i/>
          <w:iCs/>
        </w:rPr>
        <w:t>Ophthalmol</w:t>
      </w:r>
      <w:proofErr w:type="spellEnd"/>
      <w:r w:rsidRPr="00926631">
        <w:t>, 40</w:t>
      </w:r>
      <w:r>
        <w:t>:</w:t>
      </w:r>
      <w:r w:rsidRPr="00926631">
        <w:t>709-715</w:t>
      </w:r>
    </w:p>
  </w:footnote>
  <w:footnote w:id="16">
    <w:p w14:paraId="327AF57D" w14:textId="3187FB65" w:rsidR="005E7EF9" w:rsidRDefault="005E7EF9">
      <w:pPr>
        <w:pStyle w:val="FootnoteText"/>
      </w:pPr>
      <w:r>
        <w:rPr>
          <w:rStyle w:val="FootnoteReference"/>
        </w:rPr>
        <w:footnoteRef/>
      </w:r>
      <w:r>
        <w:t xml:space="preserve"> </w:t>
      </w:r>
      <w:r w:rsidRPr="00926631">
        <w:t xml:space="preserve">Lindstrom </w:t>
      </w:r>
      <w:r>
        <w:t xml:space="preserve">R, </w:t>
      </w:r>
      <w:r w:rsidRPr="00926631">
        <w:t xml:space="preserve">et al. </w:t>
      </w:r>
      <w:r>
        <w:t>(</w:t>
      </w:r>
      <w:r w:rsidRPr="00926631">
        <w:t>2020</w:t>
      </w:r>
      <w:r>
        <w:t>)</w:t>
      </w:r>
      <w:r w:rsidRPr="00825B52">
        <w:t xml:space="preserve"> </w:t>
      </w:r>
      <w:r w:rsidRPr="00825B52">
        <w:rPr>
          <w:i/>
          <w:iCs/>
        </w:rPr>
        <w:t>Clinical ophthalmology (Auckland, N.Z.)</w:t>
      </w:r>
      <w:r w:rsidRPr="00825B52">
        <w:t>, 14, 71-80</w:t>
      </w:r>
    </w:p>
  </w:footnote>
  <w:footnote w:id="17">
    <w:p w14:paraId="26BC25A3" w14:textId="0E3449A7" w:rsidR="005E7EF9" w:rsidRDefault="005E7EF9">
      <w:pPr>
        <w:pStyle w:val="FootnoteText"/>
      </w:pPr>
      <w:r>
        <w:rPr>
          <w:rStyle w:val="FootnoteReference"/>
        </w:rPr>
        <w:footnoteRef/>
      </w:r>
      <w:r>
        <w:t xml:space="preserve"> </w:t>
      </w:r>
      <w:hyperlink w:anchor="_ENREF_46" w:tooltip="Gallardo, 2021 #75" w:history="1">
        <w:r w:rsidRPr="00F87054">
          <w:t>Gallardo</w:t>
        </w:r>
        <w:r>
          <w:t xml:space="preserve"> M (</w:t>
        </w:r>
        <w:r w:rsidRPr="00F87054">
          <w:t>2021</w:t>
        </w:r>
      </w:hyperlink>
      <w:r>
        <w:t xml:space="preserve">) </w:t>
      </w:r>
      <w:r w:rsidRPr="00F87054">
        <w:rPr>
          <w:i/>
        </w:rPr>
        <w:t xml:space="preserve">Clin </w:t>
      </w:r>
      <w:proofErr w:type="spellStart"/>
      <w:r w:rsidRPr="00F87054">
        <w:rPr>
          <w:i/>
        </w:rPr>
        <w:t>Ophthalmol</w:t>
      </w:r>
      <w:proofErr w:type="spellEnd"/>
      <w:r w:rsidRPr="00F87054">
        <w:rPr>
          <w:i/>
        </w:rPr>
        <w:t>,</w:t>
      </w:r>
      <w:r w:rsidRPr="00F87054">
        <w:t xml:space="preserve"> 15</w:t>
      </w:r>
      <w:r w:rsidRPr="00F87054">
        <w:rPr>
          <w:b/>
        </w:rPr>
        <w:t>,</w:t>
      </w:r>
      <w:r w:rsidRPr="00F87054">
        <w:t xml:space="preserve"> 1591-1599</w:t>
      </w:r>
    </w:p>
  </w:footnote>
  <w:footnote w:id="18">
    <w:p w14:paraId="0BF45520" w14:textId="73C177DE" w:rsidR="005E7EF9" w:rsidRDefault="005E7EF9">
      <w:pPr>
        <w:pStyle w:val="FootnoteText"/>
      </w:pPr>
      <w:r>
        <w:rPr>
          <w:rStyle w:val="FootnoteReference"/>
        </w:rPr>
        <w:footnoteRef/>
      </w:r>
      <w:r>
        <w:t xml:space="preserve"> </w:t>
      </w:r>
      <w:r>
        <w:rPr>
          <w:rFonts w:eastAsia="SimSun"/>
        </w:rPr>
        <w:t xml:space="preserve">Gallardo M, et al. (2018b) </w:t>
      </w:r>
      <w:r w:rsidRPr="00F87054">
        <w:rPr>
          <w:i/>
        </w:rPr>
        <w:t xml:space="preserve">Clin </w:t>
      </w:r>
      <w:proofErr w:type="spellStart"/>
      <w:r w:rsidRPr="00F87054">
        <w:rPr>
          <w:i/>
        </w:rPr>
        <w:t>Ophthalmol</w:t>
      </w:r>
      <w:proofErr w:type="spellEnd"/>
      <w:r w:rsidRPr="00F87054">
        <w:rPr>
          <w:i/>
        </w:rPr>
        <w:t>,</w:t>
      </w:r>
      <w:r w:rsidRPr="00F87054">
        <w:t xml:space="preserve"> 12</w:t>
      </w:r>
      <w:r w:rsidRPr="00F87054">
        <w:rPr>
          <w:b/>
        </w:rPr>
        <w:t>,</w:t>
      </w:r>
      <w:r w:rsidRPr="00F87054">
        <w:t xml:space="preserve"> 2149-2155</w:t>
      </w:r>
    </w:p>
  </w:footnote>
  <w:footnote w:id="19">
    <w:p w14:paraId="101B6053" w14:textId="17CF8870" w:rsidR="005E7EF9" w:rsidRDefault="005E7EF9">
      <w:pPr>
        <w:pStyle w:val="FootnoteText"/>
      </w:pPr>
      <w:r>
        <w:rPr>
          <w:rStyle w:val="FootnoteReference"/>
        </w:rPr>
        <w:footnoteRef/>
      </w:r>
      <w:r>
        <w:t xml:space="preserve"> </w:t>
      </w:r>
      <w:r>
        <w:rPr>
          <w:rFonts w:eastAsia="SimSun"/>
        </w:rPr>
        <w:t xml:space="preserve">Gillman K, et al. (2021) </w:t>
      </w:r>
      <w:r>
        <w:rPr>
          <w:rFonts w:eastAsia="SimSun"/>
          <w:i/>
          <w:iCs/>
        </w:rPr>
        <w:t>I</w:t>
      </w:r>
      <w:r w:rsidRPr="00F87054">
        <w:rPr>
          <w:i/>
        </w:rPr>
        <w:t>nternational Ophthalmology</w:t>
      </w:r>
      <w:r w:rsidRPr="00F87054">
        <w:rPr>
          <w:b/>
        </w:rPr>
        <w:t>,</w:t>
      </w:r>
      <w:r w:rsidRPr="00F87054">
        <w:t xml:space="preserve"> 1-7</w:t>
      </w:r>
    </w:p>
  </w:footnote>
  <w:footnote w:id="20">
    <w:p w14:paraId="5D778CDA" w14:textId="77777777" w:rsidR="005E7EF9" w:rsidRDefault="005E7EF9" w:rsidP="00747517">
      <w:pPr>
        <w:pStyle w:val="FootnoteText"/>
      </w:pPr>
      <w:r w:rsidRPr="00066143">
        <w:rPr>
          <w:rStyle w:val="FootnoteReference"/>
        </w:rPr>
        <w:footnoteRef/>
      </w:r>
      <w:r w:rsidRPr="00066143">
        <w:t xml:space="preserve"> NCT04658095 -</w:t>
      </w:r>
      <w:r w:rsidRPr="00066143">
        <w:rPr>
          <w:sz w:val="24"/>
          <w:szCs w:val="24"/>
        </w:rPr>
        <w:t xml:space="preserve"> </w:t>
      </w:r>
      <w:r w:rsidRPr="00066143">
        <w:t xml:space="preserve">A Prospective, Randomized, </w:t>
      </w:r>
      <w:proofErr w:type="spellStart"/>
      <w:r w:rsidRPr="00066143">
        <w:t>Multicenter</w:t>
      </w:r>
      <w:proofErr w:type="spellEnd"/>
      <w:r w:rsidRPr="00066143">
        <w:t xml:space="preserve"> Study to Compare </w:t>
      </w:r>
      <w:proofErr w:type="gramStart"/>
      <w:r w:rsidRPr="00066143">
        <w:t>The</w:t>
      </w:r>
      <w:proofErr w:type="gramEnd"/>
      <w:r w:rsidRPr="00066143">
        <w:t xml:space="preserve"> Safety And Effectiveness Of The OMNI Surgical System And The </w:t>
      </w:r>
      <w:proofErr w:type="spellStart"/>
      <w:r w:rsidRPr="00066143">
        <w:t>iStent</w:t>
      </w:r>
      <w:proofErr w:type="spellEnd"/>
      <w:r w:rsidRPr="00066143">
        <w:t xml:space="preserve"> Inject In </w:t>
      </w:r>
      <w:proofErr w:type="spellStart"/>
      <w:r w:rsidRPr="00066143">
        <w:t>Pseudophakic</w:t>
      </w:r>
      <w:proofErr w:type="spellEnd"/>
      <w:r w:rsidRPr="00066143">
        <w:t xml:space="preserve"> Eyes With Open Angle Glaucoma. The TRIDENT European Trial - https://clinicaltrials.gov/ct2/show/NCT04658095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45C9F"/>
    <w:multiLevelType w:val="hybridMultilevel"/>
    <w:tmpl w:val="6534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9112B"/>
    <w:multiLevelType w:val="hybridMultilevel"/>
    <w:tmpl w:val="F606CF3E"/>
    <w:lvl w:ilvl="0" w:tplc="9F2E5952">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 w15:restartNumberingAfterBreak="0">
    <w:nsid w:val="086B1D1D"/>
    <w:multiLevelType w:val="hybridMultilevel"/>
    <w:tmpl w:val="4E4407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97378BC"/>
    <w:multiLevelType w:val="hybridMultilevel"/>
    <w:tmpl w:val="6CFA2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D63839"/>
    <w:multiLevelType w:val="hybridMultilevel"/>
    <w:tmpl w:val="2362B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F17D9"/>
    <w:multiLevelType w:val="hybridMultilevel"/>
    <w:tmpl w:val="1C5E8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F910E66"/>
    <w:multiLevelType w:val="hybridMultilevel"/>
    <w:tmpl w:val="1DA460A4"/>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2"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1C344C"/>
    <w:multiLevelType w:val="hybridMultilevel"/>
    <w:tmpl w:val="35B27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201D26"/>
    <w:multiLevelType w:val="hybridMultilevel"/>
    <w:tmpl w:val="03842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387448"/>
    <w:multiLevelType w:val="multilevel"/>
    <w:tmpl w:val="B22A93B6"/>
    <w:numStyleLink w:val="Heading1a"/>
  </w:abstractNum>
  <w:abstractNum w:abstractNumId="1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511A38"/>
    <w:multiLevelType w:val="hybridMultilevel"/>
    <w:tmpl w:val="3C4CB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B1325B"/>
    <w:multiLevelType w:val="hybridMultilevel"/>
    <w:tmpl w:val="0B5874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9540C54"/>
    <w:multiLevelType w:val="hybridMultilevel"/>
    <w:tmpl w:val="FDE8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7125E3"/>
    <w:multiLevelType w:val="hybridMultilevel"/>
    <w:tmpl w:val="4DEE2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CD5BE3"/>
    <w:multiLevelType w:val="hybridMultilevel"/>
    <w:tmpl w:val="CAFCB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EC592A"/>
    <w:multiLevelType w:val="hybridMultilevel"/>
    <w:tmpl w:val="B7AE2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8302C2"/>
    <w:multiLevelType w:val="hybridMultilevel"/>
    <w:tmpl w:val="F49A5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8E81FDC"/>
    <w:multiLevelType w:val="hybridMultilevel"/>
    <w:tmpl w:val="D5C698E8"/>
    <w:lvl w:ilvl="0" w:tplc="A79EC4F8">
      <w:start w:val="1"/>
      <w:numFmt w:val="bullet"/>
      <w:pStyle w:val="BulletBeforeDash"/>
      <w:lvlText w:val="•"/>
      <w:lvlJc w:val="left"/>
      <w:pPr>
        <w:tabs>
          <w:tab w:val="num" w:pos="-720"/>
        </w:tabs>
        <w:ind w:left="-720" w:hanging="360"/>
      </w:pPr>
      <w:rPr>
        <w:rFonts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BD7AE6"/>
    <w:multiLevelType w:val="hybridMultilevel"/>
    <w:tmpl w:val="5100E7B8"/>
    <w:lvl w:ilvl="0" w:tplc="9F2E5952">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3"/>
  </w:num>
  <w:num w:numId="4">
    <w:abstractNumId w:val="29"/>
  </w:num>
  <w:num w:numId="5">
    <w:abstractNumId w:val="19"/>
  </w:num>
  <w:num w:numId="6">
    <w:abstractNumId w:val="17"/>
  </w:num>
  <w:num w:numId="7">
    <w:abstractNumId w:val="11"/>
  </w:num>
  <w:num w:numId="8">
    <w:abstractNumId w:val="10"/>
  </w:num>
  <w:num w:numId="9">
    <w:abstractNumId w:val="25"/>
  </w:num>
  <w:num w:numId="10">
    <w:abstractNumId w:val="28"/>
  </w:num>
  <w:num w:numId="11">
    <w:abstractNumId w:val="8"/>
  </w:num>
  <w:num w:numId="12">
    <w:abstractNumId w:val="16"/>
  </w:num>
  <w:num w:numId="13">
    <w:abstractNumId w:val="12"/>
  </w:num>
  <w:num w:numId="14">
    <w:abstractNumId w:val="31"/>
  </w:num>
  <w:num w:numId="15">
    <w:abstractNumId w:val="15"/>
  </w:num>
  <w:num w:numId="16">
    <w:abstractNumId w:val="20"/>
  </w:num>
  <w:num w:numId="17">
    <w:abstractNumId w:val="0"/>
  </w:num>
  <w:num w:numId="18">
    <w:abstractNumId w:val="18"/>
  </w:num>
  <w:num w:numId="19">
    <w:abstractNumId w:val="14"/>
  </w:num>
  <w:num w:numId="20">
    <w:abstractNumId w:val="26"/>
  </w:num>
  <w:num w:numId="21">
    <w:abstractNumId w:val="21"/>
  </w:num>
  <w:num w:numId="22">
    <w:abstractNumId w:val="27"/>
  </w:num>
  <w:num w:numId="23">
    <w:abstractNumId w:val="1"/>
  </w:num>
  <w:num w:numId="24">
    <w:abstractNumId w:val="30"/>
  </w:num>
  <w:num w:numId="25">
    <w:abstractNumId w:val="9"/>
  </w:num>
  <w:num w:numId="26">
    <w:abstractNumId w:val="22"/>
  </w:num>
  <w:num w:numId="27">
    <w:abstractNumId w:val="6"/>
  </w:num>
  <w:num w:numId="28">
    <w:abstractNumId w:val="24"/>
  </w:num>
  <w:num w:numId="29">
    <w:abstractNumId w:val="23"/>
  </w:num>
  <w:num w:numId="30">
    <w:abstractNumId w:val="5"/>
  </w:num>
  <w:num w:numId="31">
    <w:abstractNumId w:val="27"/>
  </w:num>
  <w:num w:numId="32">
    <w:abstractNumId w:val="4"/>
  </w:num>
  <w:num w:numId="3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23"/>
    <w:rsid w:val="00001884"/>
    <w:rsid w:val="000036AF"/>
    <w:rsid w:val="00011B66"/>
    <w:rsid w:val="00014731"/>
    <w:rsid w:val="000150FD"/>
    <w:rsid w:val="0001543E"/>
    <w:rsid w:val="000171A6"/>
    <w:rsid w:val="000213E9"/>
    <w:rsid w:val="00021DA2"/>
    <w:rsid w:val="000229A1"/>
    <w:rsid w:val="000268A1"/>
    <w:rsid w:val="000337D6"/>
    <w:rsid w:val="000466D0"/>
    <w:rsid w:val="00050758"/>
    <w:rsid w:val="00054151"/>
    <w:rsid w:val="0006073C"/>
    <w:rsid w:val="000632EF"/>
    <w:rsid w:val="00064DDE"/>
    <w:rsid w:val="00065623"/>
    <w:rsid w:val="00065CDD"/>
    <w:rsid w:val="00066143"/>
    <w:rsid w:val="00073B35"/>
    <w:rsid w:val="00081360"/>
    <w:rsid w:val="000820B1"/>
    <w:rsid w:val="000827F0"/>
    <w:rsid w:val="0008767E"/>
    <w:rsid w:val="00095670"/>
    <w:rsid w:val="000A1E17"/>
    <w:rsid w:val="000A63D3"/>
    <w:rsid w:val="000A738E"/>
    <w:rsid w:val="000E317A"/>
    <w:rsid w:val="000E396B"/>
    <w:rsid w:val="000E3C10"/>
    <w:rsid w:val="000E6588"/>
    <w:rsid w:val="000F21FE"/>
    <w:rsid w:val="00104710"/>
    <w:rsid w:val="001116CE"/>
    <w:rsid w:val="001123F5"/>
    <w:rsid w:val="00121387"/>
    <w:rsid w:val="0012599F"/>
    <w:rsid w:val="0013032B"/>
    <w:rsid w:val="0013112F"/>
    <w:rsid w:val="00136257"/>
    <w:rsid w:val="00136969"/>
    <w:rsid w:val="0014545A"/>
    <w:rsid w:val="00151067"/>
    <w:rsid w:val="001538CF"/>
    <w:rsid w:val="001549F0"/>
    <w:rsid w:val="00155BF4"/>
    <w:rsid w:val="00157D30"/>
    <w:rsid w:val="00166B7E"/>
    <w:rsid w:val="001671C1"/>
    <w:rsid w:val="00167C8A"/>
    <w:rsid w:val="00170C03"/>
    <w:rsid w:val="00171239"/>
    <w:rsid w:val="00171759"/>
    <w:rsid w:val="001746A0"/>
    <w:rsid w:val="00185082"/>
    <w:rsid w:val="001921DF"/>
    <w:rsid w:val="001951EC"/>
    <w:rsid w:val="001A669F"/>
    <w:rsid w:val="001B1DFA"/>
    <w:rsid w:val="001C7004"/>
    <w:rsid w:val="001C75D8"/>
    <w:rsid w:val="001D24A5"/>
    <w:rsid w:val="001D2A85"/>
    <w:rsid w:val="001D47FB"/>
    <w:rsid w:val="001D77D9"/>
    <w:rsid w:val="001E457C"/>
    <w:rsid w:val="001E5EF1"/>
    <w:rsid w:val="001F11FA"/>
    <w:rsid w:val="001F15DE"/>
    <w:rsid w:val="001F3097"/>
    <w:rsid w:val="001F3C4C"/>
    <w:rsid w:val="00200EB2"/>
    <w:rsid w:val="00206760"/>
    <w:rsid w:val="0021159F"/>
    <w:rsid w:val="00215359"/>
    <w:rsid w:val="00215FC5"/>
    <w:rsid w:val="00236247"/>
    <w:rsid w:val="00240D4B"/>
    <w:rsid w:val="00242AD4"/>
    <w:rsid w:val="002432BF"/>
    <w:rsid w:val="00243C58"/>
    <w:rsid w:val="0025220E"/>
    <w:rsid w:val="00252638"/>
    <w:rsid w:val="00255188"/>
    <w:rsid w:val="00256E24"/>
    <w:rsid w:val="00263DCB"/>
    <w:rsid w:val="0026665D"/>
    <w:rsid w:val="00267F42"/>
    <w:rsid w:val="0027168E"/>
    <w:rsid w:val="00272BDE"/>
    <w:rsid w:val="00276865"/>
    <w:rsid w:val="00280998"/>
    <w:rsid w:val="00282DF6"/>
    <w:rsid w:val="00284E95"/>
    <w:rsid w:val="00286676"/>
    <w:rsid w:val="00286BC8"/>
    <w:rsid w:val="00287C6E"/>
    <w:rsid w:val="0029348E"/>
    <w:rsid w:val="00297C65"/>
    <w:rsid w:val="002A1331"/>
    <w:rsid w:val="002A29EA"/>
    <w:rsid w:val="002A61D6"/>
    <w:rsid w:val="002A7743"/>
    <w:rsid w:val="002A78A1"/>
    <w:rsid w:val="002B34D5"/>
    <w:rsid w:val="002B3F42"/>
    <w:rsid w:val="002B534C"/>
    <w:rsid w:val="002D0267"/>
    <w:rsid w:val="002D08AA"/>
    <w:rsid w:val="002D2973"/>
    <w:rsid w:val="002D43CE"/>
    <w:rsid w:val="002D48A5"/>
    <w:rsid w:val="002D4D74"/>
    <w:rsid w:val="002D57BB"/>
    <w:rsid w:val="002E4460"/>
    <w:rsid w:val="002F31E6"/>
    <w:rsid w:val="002F362F"/>
    <w:rsid w:val="002F3D9D"/>
    <w:rsid w:val="002F54B1"/>
    <w:rsid w:val="002F693D"/>
    <w:rsid w:val="00301462"/>
    <w:rsid w:val="00303414"/>
    <w:rsid w:val="00305C33"/>
    <w:rsid w:val="00337945"/>
    <w:rsid w:val="0034047C"/>
    <w:rsid w:val="00342FAC"/>
    <w:rsid w:val="003444DE"/>
    <w:rsid w:val="00344582"/>
    <w:rsid w:val="003446E0"/>
    <w:rsid w:val="003515D1"/>
    <w:rsid w:val="0035535A"/>
    <w:rsid w:val="00355B86"/>
    <w:rsid w:val="0035718D"/>
    <w:rsid w:val="00361DD2"/>
    <w:rsid w:val="00365826"/>
    <w:rsid w:val="00366E2E"/>
    <w:rsid w:val="003700A9"/>
    <w:rsid w:val="0038430D"/>
    <w:rsid w:val="00386D67"/>
    <w:rsid w:val="00392943"/>
    <w:rsid w:val="003A078D"/>
    <w:rsid w:val="003A326F"/>
    <w:rsid w:val="003A3790"/>
    <w:rsid w:val="003A4F78"/>
    <w:rsid w:val="003B02B8"/>
    <w:rsid w:val="003B0302"/>
    <w:rsid w:val="003B0CA4"/>
    <w:rsid w:val="003B2589"/>
    <w:rsid w:val="003B5EEF"/>
    <w:rsid w:val="003C2049"/>
    <w:rsid w:val="003D004A"/>
    <w:rsid w:val="003D2991"/>
    <w:rsid w:val="003D4BFC"/>
    <w:rsid w:val="003D5253"/>
    <w:rsid w:val="003D580B"/>
    <w:rsid w:val="003D6A0F"/>
    <w:rsid w:val="003E1045"/>
    <w:rsid w:val="003E3728"/>
    <w:rsid w:val="003E44A3"/>
    <w:rsid w:val="003E63C9"/>
    <w:rsid w:val="003E764B"/>
    <w:rsid w:val="003F0834"/>
    <w:rsid w:val="003F30AD"/>
    <w:rsid w:val="003F5A9B"/>
    <w:rsid w:val="003F5EE6"/>
    <w:rsid w:val="004031F7"/>
    <w:rsid w:val="00410178"/>
    <w:rsid w:val="0042114B"/>
    <w:rsid w:val="004261F2"/>
    <w:rsid w:val="00433060"/>
    <w:rsid w:val="00442023"/>
    <w:rsid w:val="00443F1D"/>
    <w:rsid w:val="00445012"/>
    <w:rsid w:val="00451310"/>
    <w:rsid w:val="00452DFC"/>
    <w:rsid w:val="004568E0"/>
    <w:rsid w:val="00460BE2"/>
    <w:rsid w:val="00460DB6"/>
    <w:rsid w:val="0046745E"/>
    <w:rsid w:val="004674E4"/>
    <w:rsid w:val="004752F8"/>
    <w:rsid w:val="004851AB"/>
    <w:rsid w:val="00495285"/>
    <w:rsid w:val="004A4E41"/>
    <w:rsid w:val="004B01A4"/>
    <w:rsid w:val="004B18DB"/>
    <w:rsid w:val="004B1CB9"/>
    <w:rsid w:val="004B2358"/>
    <w:rsid w:val="004B2DB2"/>
    <w:rsid w:val="004C0219"/>
    <w:rsid w:val="004D1800"/>
    <w:rsid w:val="004D6AEB"/>
    <w:rsid w:val="004E348D"/>
    <w:rsid w:val="004E432D"/>
    <w:rsid w:val="004E4A4D"/>
    <w:rsid w:val="004E53B3"/>
    <w:rsid w:val="004E5C21"/>
    <w:rsid w:val="0050188B"/>
    <w:rsid w:val="00511EE0"/>
    <w:rsid w:val="00514BAF"/>
    <w:rsid w:val="00516ACE"/>
    <w:rsid w:val="005277EE"/>
    <w:rsid w:val="005420D3"/>
    <w:rsid w:val="00544BA0"/>
    <w:rsid w:val="00552DFF"/>
    <w:rsid w:val="005648DC"/>
    <w:rsid w:val="00565224"/>
    <w:rsid w:val="00566DC3"/>
    <w:rsid w:val="00567131"/>
    <w:rsid w:val="0056736C"/>
    <w:rsid w:val="00571926"/>
    <w:rsid w:val="00573396"/>
    <w:rsid w:val="00573F22"/>
    <w:rsid w:val="00576ED3"/>
    <w:rsid w:val="00583D1B"/>
    <w:rsid w:val="005856E5"/>
    <w:rsid w:val="0058659C"/>
    <w:rsid w:val="00590817"/>
    <w:rsid w:val="00590A73"/>
    <w:rsid w:val="005922DB"/>
    <w:rsid w:val="005938FD"/>
    <w:rsid w:val="00594478"/>
    <w:rsid w:val="005A14E4"/>
    <w:rsid w:val="005B59F4"/>
    <w:rsid w:val="005C3D2A"/>
    <w:rsid w:val="005D0332"/>
    <w:rsid w:val="005D0CF4"/>
    <w:rsid w:val="005D637D"/>
    <w:rsid w:val="005E3645"/>
    <w:rsid w:val="005E42A8"/>
    <w:rsid w:val="005E7BFB"/>
    <w:rsid w:val="005E7EF9"/>
    <w:rsid w:val="005F004E"/>
    <w:rsid w:val="005F3C42"/>
    <w:rsid w:val="00603860"/>
    <w:rsid w:val="0060748C"/>
    <w:rsid w:val="006074D3"/>
    <w:rsid w:val="00607D37"/>
    <w:rsid w:val="00611744"/>
    <w:rsid w:val="00612A11"/>
    <w:rsid w:val="00615F7C"/>
    <w:rsid w:val="0061621F"/>
    <w:rsid w:val="0061680D"/>
    <w:rsid w:val="00623D57"/>
    <w:rsid w:val="00624B02"/>
    <w:rsid w:val="006335EF"/>
    <w:rsid w:val="0063740F"/>
    <w:rsid w:val="00640A46"/>
    <w:rsid w:val="00644DD8"/>
    <w:rsid w:val="00645E71"/>
    <w:rsid w:val="00652E31"/>
    <w:rsid w:val="0065529B"/>
    <w:rsid w:val="006672D2"/>
    <w:rsid w:val="0067162E"/>
    <w:rsid w:val="00676A80"/>
    <w:rsid w:val="00676C49"/>
    <w:rsid w:val="006846EF"/>
    <w:rsid w:val="00685001"/>
    <w:rsid w:val="00693716"/>
    <w:rsid w:val="006A27C7"/>
    <w:rsid w:val="006B0272"/>
    <w:rsid w:val="006B241A"/>
    <w:rsid w:val="006B4277"/>
    <w:rsid w:val="006B5BE7"/>
    <w:rsid w:val="006B7F3E"/>
    <w:rsid w:val="006C1494"/>
    <w:rsid w:val="006C1938"/>
    <w:rsid w:val="006C26E3"/>
    <w:rsid w:val="006C2799"/>
    <w:rsid w:val="006C3324"/>
    <w:rsid w:val="006C5230"/>
    <w:rsid w:val="006D3682"/>
    <w:rsid w:val="006D7D0C"/>
    <w:rsid w:val="006E1DF0"/>
    <w:rsid w:val="006E2779"/>
    <w:rsid w:val="006E2F06"/>
    <w:rsid w:val="006E4A99"/>
    <w:rsid w:val="006E7859"/>
    <w:rsid w:val="006E7A8E"/>
    <w:rsid w:val="006F05B2"/>
    <w:rsid w:val="006F2A30"/>
    <w:rsid w:val="006F47F4"/>
    <w:rsid w:val="007006BE"/>
    <w:rsid w:val="00701618"/>
    <w:rsid w:val="00703892"/>
    <w:rsid w:val="00707FED"/>
    <w:rsid w:val="00713D11"/>
    <w:rsid w:val="0071498A"/>
    <w:rsid w:val="00715229"/>
    <w:rsid w:val="00722408"/>
    <w:rsid w:val="00722776"/>
    <w:rsid w:val="007229D6"/>
    <w:rsid w:val="00723375"/>
    <w:rsid w:val="00731492"/>
    <w:rsid w:val="00731B59"/>
    <w:rsid w:val="00732C4E"/>
    <w:rsid w:val="007350FE"/>
    <w:rsid w:val="00736B3B"/>
    <w:rsid w:val="00736C17"/>
    <w:rsid w:val="00744C5D"/>
    <w:rsid w:val="00747517"/>
    <w:rsid w:val="007554DA"/>
    <w:rsid w:val="00766E36"/>
    <w:rsid w:val="00767442"/>
    <w:rsid w:val="00775963"/>
    <w:rsid w:val="0078213C"/>
    <w:rsid w:val="0078327D"/>
    <w:rsid w:val="007849B8"/>
    <w:rsid w:val="00787F56"/>
    <w:rsid w:val="00791733"/>
    <w:rsid w:val="00794D30"/>
    <w:rsid w:val="007956AB"/>
    <w:rsid w:val="007964EB"/>
    <w:rsid w:val="00797D8D"/>
    <w:rsid w:val="007A04E0"/>
    <w:rsid w:val="007A0F08"/>
    <w:rsid w:val="007A6BE5"/>
    <w:rsid w:val="007A7B08"/>
    <w:rsid w:val="007B200C"/>
    <w:rsid w:val="007C2D6A"/>
    <w:rsid w:val="007C4959"/>
    <w:rsid w:val="007C5E8B"/>
    <w:rsid w:val="007D6C35"/>
    <w:rsid w:val="007D7ECB"/>
    <w:rsid w:val="007E0EAF"/>
    <w:rsid w:val="007E15FD"/>
    <w:rsid w:val="007E64A4"/>
    <w:rsid w:val="007E7070"/>
    <w:rsid w:val="007F1C09"/>
    <w:rsid w:val="007F33ED"/>
    <w:rsid w:val="007F4E20"/>
    <w:rsid w:val="007F5079"/>
    <w:rsid w:val="007F5142"/>
    <w:rsid w:val="007F6742"/>
    <w:rsid w:val="00806A9C"/>
    <w:rsid w:val="008200EF"/>
    <w:rsid w:val="0082105B"/>
    <w:rsid w:val="008227C1"/>
    <w:rsid w:val="00825B52"/>
    <w:rsid w:val="00827C06"/>
    <w:rsid w:val="00827DCC"/>
    <w:rsid w:val="0083013B"/>
    <w:rsid w:val="00835A83"/>
    <w:rsid w:val="0084645A"/>
    <w:rsid w:val="00846D7A"/>
    <w:rsid w:val="00850724"/>
    <w:rsid w:val="00855B90"/>
    <w:rsid w:val="008561D7"/>
    <w:rsid w:val="00860B0F"/>
    <w:rsid w:val="0086104A"/>
    <w:rsid w:val="0088197A"/>
    <w:rsid w:val="00886B19"/>
    <w:rsid w:val="00887CDC"/>
    <w:rsid w:val="00895DA9"/>
    <w:rsid w:val="00896E79"/>
    <w:rsid w:val="008A0363"/>
    <w:rsid w:val="008A0D74"/>
    <w:rsid w:val="008A1674"/>
    <w:rsid w:val="008A5C67"/>
    <w:rsid w:val="008A62CA"/>
    <w:rsid w:val="008A6C0C"/>
    <w:rsid w:val="008A7405"/>
    <w:rsid w:val="008A78C9"/>
    <w:rsid w:val="008B3748"/>
    <w:rsid w:val="008C3712"/>
    <w:rsid w:val="008C6DE4"/>
    <w:rsid w:val="008E2DF5"/>
    <w:rsid w:val="008E5483"/>
    <w:rsid w:val="008F18DD"/>
    <w:rsid w:val="008F2519"/>
    <w:rsid w:val="00901821"/>
    <w:rsid w:val="00903528"/>
    <w:rsid w:val="00907B9A"/>
    <w:rsid w:val="009110E5"/>
    <w:rsid w:val="0091135D"/>
    <w:rsid w:val="00912AD8"/>
    <w:rsid w:val="00920A83"/>
    <w:rsid w:val="00920D98"/>
    <w:rsid w:val="00922B6A"/>
    <w:rsid w:val="00926631"/>
    <w:rsid w:val="00933B33"/>
    <w:rsid w:val="009351F0"/>
    <w:rsid w:val="0093791D"/>
    <w:rsid w:val="00940F74"/>
    <w:rsid w:val="009418C0"/>
    <w:rsid w:val="00943312"/>
    <w:rsid w:val="00945CC1"/>
    <w:rsid w:val="00950C0C"/>
    <w:rsid w:val="0095403B"/>
    <w:rsid w:val="009606B7"/>
    <w:rsid w:val="00960ECD"/>
    <w:rsid w:val="00961AD6"/>
    <w:rsid w:val="00964755"/>
    <w:rsid w:val="009731FF"/>
    <w:rsid w:val="00976B13"/>
    <w:rsid w:val="00984C31"/>
    <w:rsid w:val="00987BEA"/>
    <w:rsid w:val="00990BF9"/>
    <w:rsid w:val="00990F82"/>
    <w:rsid w:val="0099600C"/>
    <w:rsid w:val="0099729D"/>
    <w:rsid w:val="009A702B"/>
    <w:rsid w:val="009B0EED"/>
    <w:rsid w:val="009B2DD5"/>
    <w:rsid w:val="009B7E2B"/>
    <w:rsid w:val="009C314F"/>
    <w:rsid w:val="009C34E7"/>
    <w:rsid w:val="009C36D6"/>
    <w:rsid w:val="009C5E6A"/>
    <w:rsid w:val="009D1BAC"/>
    <w:rsid w:val="009D64AB"/>
    <w:rsid w:val="009D7E4F"/>
    <w:rsid w:val="009E2FFB"/>
    <w:rsid w:val="009E5AD9"/>
    <w:rsid w:val="00A009C9"/>
    <w:rsid w:val="00A021B7"/>
    <w:rsid w:val="00A30752"/>
    <w:rsid w:val="00A30A85"/>
    <w:rsid w:val="00A317E6"/>
    <w:rsid w:val="00A35A4F"/>
    <w:rsid w:val="00A44C6E"/>
    <w:rsid w:val="00A45C31"/>
    <w:rsid w:val="00A50E03"/>
    <w:rsid w:val="00A513D2"/>
    <w:rsid w:val="00A52FEC"/>
    <w:rsid w:val="00A80AC5"/>
    <w:rsid w:val="00A8603E"/>
    <w:rsid w:val="00A96916"/>
    <w:rsid w:val="00AA30E4"/>
    <w:rsid w:val="00AA3E4B"/>
    <w:rsid w:val="00AA502F"/>
    <w:rsid w:val="00AA615A"/>
    <w:rsid w:val="00AA689B"/>
    <w:rsid w:val="00AB37FD"/>
    <w:rsid w:val="00AB400E"/>
    <w:rsid w:val="00AC0916"/>
    <w:rsid w:val="00AC4746"/>
    <w:rsid w:val="00AD026F"/>
    <w:rsid w:val="00AE0BAA"/>
    <w:rsid w:val="00AE4C2D"/>
    <w:rsid w:val="00AE54B2"/>
    <w:rsid w:val="00AE68A5"/>
    <w:rsid w:val="00AE76A3"/>
    <w:rsid w:val="00AF21DF"/>
    <w:rsid w:val="00AF2791"/>
    <w:rsid w:val="00AF64E7"/>
    <w:rsid w:val="00AF72BF"/>
    <w:rsid w:val="00B02E35"/>
    <w:rsid w:val="00B03576"/>
    <w:rsid w:val="00B0472C"/>
    <w:rsid w:val="00B102D9"/>
    <w:rsid w:val="00B1779B"/>
    <w:rsid w:val="00B21DED"/>
    <w:rsid w:val="00B26BD8"/>
    <w:rsid w:val="00B33D7B"/>
    <w:rsid w:val="00B360D5"/>
    <w:rsid w:val="00B37582"/>
    <w:rsid w:val="00B40410"/>
    <w:rsid w:val="00B41040"/>
    <w:rsid w:val="00B411FE"/>
    <w:rsid w:val="00B42E60"/>
    <w:rsid w:val="00B43FCA"/>
    <w:rsid w:val="00B46C7E"/>
    <w:rsid w:val="00B46E32"/>
    <w:rsid w:val="00B50A83"/>
    <w:rsid w:val="00B52FCF"/>
    <w:rsid w:val="00B5680C"/>
    <w:rsid w:val="00B6033B"/>
    <w:rsid w:val="00B61403"/>
    <w:rsid w:val="00B63240"/>
    <w:rsid w:val="00B66A2D"/>
    <w:rsid w:val="00B72144"/>
    <w:rsid w:val="00B74BCF"/>
    <w:rsid w:val="00B87B81"/>
    <w:rsid w:val="00B95B2D"/>
    <w:rsid w:val="00BA5A83"/>
    <w:rsid w:val="00BA6799"/>
    <w:rsid w:val="00BB18CD"/>
    <w:rsid w:val="00BB26AB"/>
    <w:rsid w:val="00BB2D79"/>
    <w:rsid w:val="00BB7187"/>
    <w:rsid w:val="00BC04A2"/>
    <w:rsid w:val="00BC42E8"/>
    <w:rsid w:val="00BC44F4"/>
    <w:rsid w:val="00BD6C4E"/>
    <w:rsid w:val="00BE396E"/>
    <w:rsid w:val="00BE69AC"/>
    <w:rsid w:val="00BF0479"/>
    <w:rsid w:val="00BF0DFE"/>
    <w:rsid w:val="00BF3109"/>
    <w:rsid w:val="00BF4914"/>
    <w:rsid w:val="00C0013C"/>
    <w:rsid w:val="00C012F1"/>
    <w:rsid w:val="00C05EDF"/>
    <w:rsid w:val="00C065F9"/>
    <w:rsid w:val="00C120E1"/>
    <w:rsid w:val="00C122D6"/>
    <w:rsid w:val="00C13B47"/>
    <w:rsid w:val="00C164BD"/>
    <w:rsid w:val="00C1782D"/>
    <w:rsid w:val="00C20B8A"/>
    <w:rsid w:val="00C20BEE"/>
    <w:rsid w:val="00C219C5"/>
    <w:rsid w:val="00C30841"/>
    <w:rsid w:val="00C34180"/>
    <w:rsid w:val="00C44176"/>
    <w:rsid w:val="00C45D90"/>
    <w:rsid w:val="00C50B10"/>
    <w:rsid w:val="00C614AF"/>
    <w:rsid w:val="00C67123"/>
    <w:rsid w:val="00C703C1"/>
    <w:rsid w:val="00C74C90"/>
    <w:rsid w:val="00C808E5"/>
    <w:rsid w:val="00C823F7"/>
    <w:rsid w:val="00C84EFB"/>
    <w:rsid w:val="00C90108"/>
    <w:rsid w:val="00C90EB4"/>
    <w:rsid w:val="00C92D5E"/>
    <w:rsid w:val="00C95739"/>
    <w:rsid w:val="00CB1778"/>
    <w:rsid w:val="00CB7E7D"/>
    <w:rsid w:val="00CC038A"/>
    <w:rsid w:val="00CC23B0"/>
    <w:rsid w:val="00CC58FB"/>
    <w:rsid w:val="00CD028B"/>
    <w:rsid w:val="00CD543D"/>
    <w:rsid w:val="00CD5843"/>
    <w:rsid w:val="00CD712E"/>
    <w:rsid w:val="00CD7AAF"/>
    <w:rsid w:val="00CF305A"/>
    <w:rsid w:val="00CF59CC"/>
    <w:rsid w:val="00D10820"/>
    <w:rsid w:val="00D118AD"/>
    <w:rsid w:val="00D15284"/>
    <w:rsid w:val="00D15428"/>
    <w:rsid w:val="00D26E35"/>
    <w:rsid w:val="00D274D0"/>
    <w:rsid w:val="00D27B27"/>
    <w:rsid w:val="00D34258"/>
    <w:rsid w:val="00D35115"/>
    <w:rsid w:val="00D371B7"/>
    <w:rsid w:val="00D4755A"/>
    <w:rsid w:val="00D47A2C"/>
    <w:rsid w:val="00D55776"/>
    <w:rsid w:val="00D55CB5"/>
    <w:rsid w:val="00D55D0F"/>
    <w:rsid w:val="00D55D87"/>
    <w:rsid w:val="00D55F83"/>
    <w:rsid w:val="00D566CB"/>
    <w:rsid w:val="00D63BAC"/>
    <w:rsid w:val="00D701CC"/>
    <w:rsid w:val="00D70C50"/>
    <w:rsid w:val="00D769FB"/>
    <w:rsid w:val="00D80CB5"/>
    <w:rsid w:val="00D90FB8"/>
    <w:rsid w:val="00D93418"/>
    <w:rsid w:val="00DA2F53"/>
    <w:rsid w:val="00DA47DE"/>
    <w:rsid w:val="00DB1234"/>
    <w:rsid w:val="00DB1E71"/>
    <w:rsid w:val="00DB30B5"/>
    <w:rsid w:val="00DB4A4B"/>
    <w:rsid w:val="00DC0E3C"/>
    <w:rsid w:val="00DC3FFD"/>
    <w:rsid w:val="00DC4091"/>
    <w:rsid w:val="00DC76AB"/>
    <w:rsid w:val="00DD0AF1"/>
    <w:rsid w:val="00DD311A"/>
    <w:rsid w:val="00DE1748"/>
    <w:rsid w:val="00DE2391"/>
    <w:rsid w:val="00DE4F24"/>
    <w:rsid w:val="00DE552A"/>
    <w:rsid w:val="00DF4D38"/>
    <w:rsid w:val="00DF4E91"/>
    <w:rsid w:val="00E02561"/>
    <w:rsid w:val="00E031DE"/>
    <w:rsid w:val="00E06462"/>
    <w:rsid w:val="00E06CB3"/>
    <w:rsid w:val="00E16B1F"/>
    <w:rsid w:val="00E16CCC"/>
    <w:rsid w:val="00E30096"/>
    <w:rsid w:val="00E31F56"/>
    <w:rsid w:val="00E362AA"/>
    <w:rsid w:val="00E36D22"/>
    <w:rsid w:val="00E432A8"/>
    <w:rsid w:val="00E521B1"/>
    <w:rsid w:val="00E53607"/>
    <w:rsid w:val="00E57B85"/>
    <w:rsid w:val="00E62F27"/>
    <w:rsid w:val="00E67AF9"/>
    <w:rsid w:val="00E713BF"/>
    <w:rsid w:val="00E7422C"/>
    <w:rsid w:val="00E74504"/>
    <w:rsid w:val="00E7560F"/>
    <w:rsid w:val="00E846B1"/>
    <w:rsid w:val="00E84C75"/>
    <w:rsid w:val="00E91BB4"/>
    <w:rsid w:val="00E924FD"/>
    <w:rsid w:val="00E936DA"/>
    <w:rsid w:val="00E97375"/>
    <w:rsid w:val="00EA2F7A"/>
    <w:rsid w:val="00EA3CBC"/>
    <w:rsid w:val="00EC08AA"/>
    <w:rsid w:val="00ED0901"/>
    <w:rsid w:val="00ED4E80"/>
    <w:rsid w:val="00EE01C2"/>
    <w:rsid w:val="00EE2D09"/>
    <w:rsid w:val="00EF3110"/>
    <w:rsid w:val="00EF4F08"/>
    <w:rsid w:val="00F04F02"/>
    <w:rsid w:val="00F16E5D"/>
    <w:rsid w:val="00F21085"/>
    <w:rsid w:val="00F2152F"/>
    <w:rsid w:val="00F2353D"/>
    <w:rsid w:val="00F326F1"/>
    <w:rsid w:val="00F3356E"/>
    <w:rsid w:val="00F35756"/>
    <w:rsid w:val="00F35C7C"/>
    <w:rsid w:val="00F4647F"/>
    <w:rsid w:val="00F51E0F"/>
    <w:rsid w:val="00F530A0"/>
    <w:rsid w:val="00F53378"/>
    <w:rsid w:val="00F60AAE"/>
    <w:rsid w:val="00F64B99"/>
    <w:rsid w:val="00F677D5"/>
    <w:rsid w:val="00F72FA1"/>
    <w:rsid w:val="00F7360A"/>
    <w:rsid w:val="00F7484F"/>
    <w:rsid w:val="00F749F7"/>
    <w:rsid w:val="00F8174C"/>
    <w:rsid w:val="00F8348B"/>
    <w:rsid w:val="00F83D65"/>
    <w:rsid w:val="00F924E0"/>
    <w:rsid w:val="00F972E7"/>
    <w:rsid w:val="00FA36DD"/>
    <w:rsid w:val="00FA41F6"/>
    <w:rsid w:val="00FB229D"/>
    <w:rsid w:val="00FB7083"/>
    <w:rsid w:val="00FC13AA"/>
    <w:rsid w:val="00FC2897"/>
    <w:rsid w:val="00FD60FF"/>
    <w:rsid w:val="00FE063C"/>
    <w:rsid w:val="00FE1A4B"/>
    <w:rsid w:val="00FE5F2A"/>
    <w:rsid w:val="00FF0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
    <w:qFormat/>
    <w:rsid w:val="00AF64E7"/>
    <w:pPr>
      <w:keepNext/>
      <w:keepLines/>
      <w:outlineLvl w:val="0"/>
    </w:pPr>
    <w:rPr>
      <w:rFonts w:eastAsiaTheme="majorEastAsia" w:cstheme="majorBidi"/>
      <w:b/>
      <w:bCs/>
      <w:szCs w:val="28"/>
    </w:rPr>
  </w:style>
  <w:style w:type="paragraph" w:styleId="Heading2">
    <w:name w:val="heading 2"/>
    <w:basedOn w:val="Normal"/>
    <w:link w:val="Heading2Char"/>
    <w:uiPriority w:val="9"/>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72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vertAlign w:val="superscript"/>
    </w:rPr>
  </w:style>
  <w:style w:type="paragraph" w:styleId="ListParagraph">
    <w:name w:val="List Paragraph"/>
    <w:aliases w:val="Styl moj,Akapit z listą1,Akapit z listą11,Body Text Bullet Points,Numbered para,BulletPoints,List Paragraph1,Bullet point,List Paragraph11,Recommendation,Section heading,Footnote,ES Paragraph,PBAC ES Paragraph,PBAC normal points"/>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nhideWhenUsed/>
    <w:rsid w:val="008227C1"/>
    <w:pPr>
      <w:tabs>
        <w:tab w:val="center" w:pos="4513"/>
        <w:tab w:val="right" w:pos="9026"/>
      </w:tabs>
    </w:pPr>
  </w:style>
  <w:style w:type="character" w:customStyle="1" w:styleId="HeaderChar">
    <w:name w:val="Header Char"/>
    <w:basedOn w:val="DefaultParagraphFont"/>
    <w:link w:val="Header"/>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aliases w:val="Summary box,Table Gridbeth,HealthConsult"/>
    <w:basedOn w:val="TableNormal"/>
    <w:uiPriority w:val="59"/>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451310"/>
    <w:rPr>
      <w:rFonts w:eastAsiaTheme="majorEastAsia" w:cstheme="majorBidi"/>
      <w:bCs/>
      <w:i/>
      <w:szCs w:val="26"/>
      <w:lang w:eastAsia="en-AU"/>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066143"/>
    <w:pPr>
      <w:widowControl w:val="0"/>
      <w:spacing w:before="6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066143"/>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Neue MediumExt" w:hAnsi="HelveticaNeue MediumExt"/>
        <w:b w:val="0"/>
        <w:sz w:val="20"/>
      </w:rPr>
    </w:tblStylePr>
  </w:style>
  <w:style w:type="character" w:customStyle="1" w:styleId="Heading1Char">
    <w:name w:val="Heading 1 Char"/>
    <w:basedOn w:val="DefaultParagraphFont"/>
    <w:link w:val="Heading1"/>
    <w:uiPriority w:val="9"/>
    <w:rsid w:val="00AF64E7"/>
    <w:rPr>
      <w:rFonts w:eastAsiaTheme="majorEastAsia" w:cstheme="majorBidi"/>
      <w:b/>
      <w:bCs/>
      <w:szCs w:val="28"/>
      <w:lang w:eastAsia="en-AU"/>
    </w:rPr>
  </w:style>
  <w:style w:type="character" w:customStyle="1" w:styleId="Heading3Char">
    <w:name w:val="Heading 3 Char"/>
    <w:basedOn w:val="DefaultParagraphFont"/>
    <w:link w:val="Heading3"/>
    <w:uiPriority w:val="9"/>
    <w:semiHidden/>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Body Text Bullet Points Char,Numbered para Char,BulletPoints Char,List Paragraph1 Char,Bullet point Char,List Paragraph11 Char,Recommendation Char,Section heading Char"/>
    <w:link w:val="ListParagraph"/>
    <w:uiPriority w:val="34"/>
    <w:qFormat/>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77D9"/>
    <w:rPr>
      <w:szCs w:val="24"/>
    </w:rPr>
  </w:style>
  <w:style w:type="table" w:customStyle="1" w:styleId="TableGrid1">
    <w:name w:val="Table Grid1"/>
    <w:basedOn w:val="TableNormal"/>
    <w:next w:val="TableGrid"/>
    <w:rsid w:val="008A1674"/>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dobe Devanagari" w:hAnsi="Adobe Devanagari"/>
        <w:b w:val="0"/>
        <w:sz w:val="20"/>
      </w:rPr>
    </w:tblStylePr>
  </w:style>
  <w:style w:type="paragraph" w:customStyle="1" w:styleId="tabletext0">
    <w:name w:val="tabletext"/>
    <w:basedOn w:val="Normal"/>
    <w:rsid w:val="00D34258"/>
    <w:pPr>
      <w:spacing w:before="100" w:beforeAutospacing="1" w:after="100" w:afterAutospacing="1"/>
    </w:pPr>
    <w:rPr>
      <w:szCs w:val="24"/>
    </w:rPr>
  </w:style>
  <w:style w:type="paragraph" w:customStyle="1" w:styleId="Tablenotes0">
    <w:name w:val="Table notes"/>
    <w:basedOn w:val="Tablenotes"/>
    <w:link w:val="TablenotesChar0"/>
    <w:qFormat/>
    <w:rsid w:val="00715229"/>
    <w:pPr>
      <w:spacing w:before="0" w:after="240"/>
    </w:pPr>
    <w:rPr>
      <w:rFonts w:eastAsia="SimSun"/>
    </w:rPr>
  </w:style>
  <w:style w:type="character" w:customStyle="1" w:styleId="TablenotesChar0">
    <w:name w:val="Table notes Char"/>
    <w:basedOn w:val="TabletextChar"/>
    <w:link w:val="Tablenotes0"/>
    <w:rsid w:val="00715229"/>
    <w:rPr>
      <w:rFonts w:ascii="Arial Narrow" w:eastAsia="SimSun" w:hAnsi="Arial Narrow" w:cs="Arial"/>
      <w:snapToGrid w:val="0"/>
      <w:sz w:val="18"/>
      <w:szCs w:val="20"/>
    </w:rPr>
  </w:style>
  <w:style w:type="table" w:customStyle="1" w:styleId="TableGridbeth11">
    <w:name w:val="Table Gridbeth11"/>
    <w:basedOn w:val="TableNormal"/>
    <w:next w:val="TableGrid"/>
    <w:uiPriority w:val="59"/>
    <w:rsid w:val="00B21DED"/>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2">
    <w:name w:val="Table Gridbeth12"/>
    <w:basedOn w:val="TableNormal"/>
    <w:next w:val="TableGrid"/>
    <w:uiPriority w:val="59"/>
    <w:rsid w:val="00B21DED"/>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9729D"/>
    <w:rPr>
      <w:rFonts w:asciiTheme="majorHAnsi" w:eastAsiaTheme="majorEastAsia" w:hAnsiTheme="majorHAnsi" w:cstheme="majorBidi"/>
      <w:color w:val="365F91" w:themeColor="accent1" w:themeShade="BF"/>
      <w:szCs w:val="20"/>
      <w:lang w:eastAsia="en-AU"/>
    </w:rPr>
  </w:style>
  <w:style w:type="table" w:customStyle="1" w:styleId="TableGridbeth6">
    <w:name w:val="Table Gridbeth6"/>
    <w:basedOn w:val="TableNormal"/>
    <w:next w:val="TableGrid"/>
    <w:uiPriority w:val="59"/>
    <w:rsid w:val="0099729D"/>
    <w:pPr>
      <w:spacing w:after="0" w:line="312" w:lineRule="auto"/>
    </w:pPr>
    <w:rPr>
      <w:rFonts w:ascii="Arial Narrow" w:eastAsia="SimSu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Revision">
    <w:name w:val="Revision"/>
    <w:hidden/>
    <w:uiPriority w:val="99"/>
    <w:semiHidden/>
    <w:rsid w:val="00B66A2D"/>
    <w:pPr>
      <w:spacing w:after="0" w:line="240" w:lineRule="auto"/>
    </w:pPr>
    <w:rPr>
      <w:rFonts w:eastAsia="Times New Roman" w:cs="Times New Roman"/>
      <w:szCs w:val="20"/>
      <w:lang w:eastAsia="en-AU"/>
    </w:rPr>
  </w:style>
  <w:style w:type="table" w:customStyle="1" w:styleId="TableGrid110">
    <w:name w:val="Table Grid110"/>
    <w:basedOn w:val="TableNormal"/>
    <w:rsid w:val="002F31E6"/>
    <w:pPr>
      <w:widowControl w:val="0"/>
      <w:spacing w:after="0" w:line="260" w:lineRule="atLeast"/>
    </w:pPr>
    <w:rPr>
      <w:rFonts w:ascii="Arial Narrow" w:eastAsia="Calibri" w:hAnsi="Arial Narrow" w:cs="Times New Roman"/>
      <w:sz w:val="20"/>
      <w:szCs w:val="20"/>
      <w:lang w:val="de-CH"/>
    </w:rPr>
    <w:tblPr>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sz w:val="20"/>
      </w:rPr>
      <w:tblPr/>
      <w:trPr>
        <w:tblHeader/>
      </w:trPr>
      <w:tcPr>
        <w:shd w:val="clear" w:color="auto" w:fill="D9D9D9"/>
      </w:tcPr>
    </w:tblStylePr>
    <w:tblStylePr w:type="lastRow">
      <w:rPr>
        <w:sz w:val="20"/>
      </w:rPr>
    </w:tblStylePr>
    <w:tblStylePr w:type="band1Vert">
      <w:rPr>
        <w:rFonts w:ascii="HelveticaNeue MediumExt" w:hAnsi="HelveticaNeue MediumExt"/>
        <w:sz w:val="20"/>
      </w:rPr>
    </w:tblStylePr>
    <w:tblStylePr w:type="band2Vert">
      <w:rPr>
        <w:rFonts w:ascii="HelveticaNeue MediumExt" w:hAnsi="HelveticaNeue MediumExt"/>
        <w:sz w:val="20"/>
      </w:rPr>
    </w:tblStylePr>
  </w:style>
  <w:style w:type="table" w:customStyle="1" w:styleId="TableGrid23">
    <w:name w:val="Table Grid23"/>
    <w:basedOn w:val="TableNormal"/>
    <w:next w:val="TableNormal"/>
    <w:rsid w:val="00F749F7"/>
    <w:pPr>
      <w:spacing w:after="0" w:line="312" w:lineRule="auto"/>
    </w:pPr>
    <w:rPr>
      <w:rFonts w:ascii="Arial Narrow" w:eastAsia="SimSu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HelveticaNeue MediumExt" w:hAnsi="HelveticaNeue MediumExt"/>
        <w:b w:val="0"/>
        <w:sz w:val="20"/>
      </w:rPr>
    </w:tblStylePr>
  </w:style>
  <w:style w:type="table" w:customStyle="1" w:styleId="TableGrid210">
    <w:name w:val="Table Grid210"/>
    <w:basedOn w:val="TableNormal"/>
    <w:next w:val="TableNormal"/>
    <w:rsid w:val="00F749F7"/>
    <w:pPr>
      <w:spacing w:after="0" w:line="312" w:lineRule="auto"/>
    </w:pPr>
    <w:rPr>
      <w:rFonts w:ascii="Arial Narrow" w:eastAsia="SimSu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HelveticaNeue MediumExt" w:hAnsi="HelveticaNeue MediumExt"/>
        <w:b w:val="0"/>
        <w:sz w:val="20"/>
      </w:rPr>
    </w:tblStylePr>
  </w:style>
  <w:style w:type="table" w:customStyle="1" w:styleId="TableGrid27">
    <w:name w:val="Table Grid27"/>
    <w:basedOn w:val="TableNormal"/>
    <w:next w:val="TableNormal"/>
    <w:rsid w:val="00F749F7"/>
    <w:pPr>
      <w:spacing w:after="0" w:line="312" w:lineRule="auto"/>
    </w:pPr>
    <w:rPr>
      <w:rFonts w:ascii="Arial Narrow" w:eastAsia="SimSu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HelveticaNeue MediumExt" w:hAnsi="HelveticaNeue MediumExt"/>
        <w:b w:val="0"/>
        <w:sz w:val="20"/>
      </w:rPr>
    </w:tblStylePr>
  </w:style>
  <w:style w:type="table" w:customStyle="1" w:styleId="TableGrid28">
    <w:name w:val="Table Grid28"/>
    <w:basedOn w:val="TableNormal"/>
    <w:next w:val="TableNormal"/>
    <w:rsid w:val="00F749F7"/>
    <w:pPr>
      <w:spacing w:after="0" w:line="312" w:lineRule="auto"/>
    </w:pPr>
    <w:rPr>
      <w:rFonts w:ascii="Arial Narrow" w:eastAsia="SimSu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HelveticaNeue MediumExt" w:hAnsi="HelveticaNeue MediumExt"/>
        <w:b w:val="0"/>
        <w:sz w:val="20"/>
      </w:rPr>
    </w:tblStylePr>
  </w:style>
  <w:style w:type="paragraph" w:customStyle="1" w:styleId="TableText1">
    <w:name w:val="TableText"/>
    <w:basedOn w:val="Normal"/>
    <w:rsid w:val="00AF2791"/>
    <w:pPr>
      <w:keepNext/>
      <w:spacing w:before="60" w:after="60"/>
    </w:pPr>
    <w:rPr>
      <w:color w:val="000000"/>
      <w:sz w:val="21"/>
      <w:szCs w:val="21"/>
    </w:rPr>
  </w:style>
  <w:style w:type="paragraph" w:customStyle="1" w:styleId="BulletBeforeDash">
    <w:name w:val="BulletBeforeDash"/>
    <w:basedOn w:val="Normal"/>
    <w:rsid w:val="00AF2791"/>
    <w:pPr>
      <w:numPr>
        <w:numId w:val="22"/>
      </w:numPr>
      <w:ind w:left="720"/>
    </w:pPr>
    <w:rPr>
      <w:color w:val="000000"/>
    </w:rPr>
  </w:style>
  <w:style w:type="paragraph" w:customStyle="1" w:styleId="Bullet">
    <w:name w:val="Bullet"/>
    <w:basedOn w:val="BulletBeforeDash"/>
    <w:qFormat/>
    <w:rsid w:val="00AF2791"/>
    <w:pPr>
      <w:spacing w:after="120"/>
    </w:pPr>
  </w:style>
  <w:style w:type="paragraph" w:customStyle="1" w:styleId="BulletLast">
    <w:name w:val="BulletLast"/>
    <w:basedOn w:val="Bullet"/>
    <w:qFormat/>
    <w:rsid w:val="00AF2791"/>
    <w:pPr>
      <w:spacing w:after="240"/>
    </w:pPr>
  </w:style>
  <w:style w:type="paragraph" w:customStyle="1" w:styleId="NormalBeforeBullet">
    <w:name w:val="NormalBeforeBullet"/>
    <w:basedOn w:val="Normal"/>
    <w:qFormat/>
    <w:rsid w:val="00AF2791"/>
    <w:pPr>
      <w:keepNext/>
      <w:spacing w:after="120"/>
    </w:pPr>
    <w:rPr>
      <w:color w:val="000000"/>
    </w:rPr>
  </w:style>
  <w:style w:type="character" w:customStyle="1" w:styleId="UnresolvedMention1">
    <w:name w:val="Unresolved Mention1"/>
    <w:basedOn w:val="DefaultParagraphFont"/>
    <w:uiPriority w:val="99"/>
    <w:semiHidden/>
    <w:unhideWhenUsed/>
    <w:rsid w:val="00066143"/>
    <w:rPr>
      <w:color w:val="605E5C"/>
      <w:shd w:val="clear" w:color="auto" w:fill="E1DFDD"/>
    </w:rPr>
  </w:style>
  <w:style w:type="paragraph" w:styleId="Subtitle">
    <w:name w:val="Subtitle"/>
    <w:basedOn w:val="Normal"/>
    <w:next w:val="Normal"/>
    <w:link w:val="SubtitleChar"/>
    <w:qFormat/>
    <w:rsid w:val="00747517"/>
    <w:pPr>
      <w:spacing w:before="240"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747517"/>
    <w:rPr>
      <w:rFonts w:ascii="Arial" w:eastAsia="Times New Roman" w:hAnsi="Arial" w:cs="Arial"/>
      <w:b/>
      <w:bCs/>
      <w:i/>
      <w:color w:val="000080"/>
      <w:sz w:val="28"/>
      <w:szCs w:val="28"/>
      <w:lang w:eastAsia="en-AU"/>
    </w:rPr>
  </w:style>
  <w:style w:type="character" w:styleId="UnresolvedMention">
    <w:name w:val="Unresolved Mention"/>
    <w:basedOn w:val="DefaultParagraphFont"/>
    <w:uiPriority w:val="99"/>
    <w:semiHidden/>
    <w:unhideWhenUsed/>
    <w:rsid w:val="00081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1855">
      <w:bodyDiv w:val="1"/>
      <w:marLeft w:val="0"/>
      <w:marRight w:val="0"/>
      <w:marTop w:val="0"/>
      <w:marBottom w:val="0"/>
      <w:divBdr>
        <w:top w:val="none" w:sz="0" w:space="0" w:color="auto"/>
        <w:left w:val="none" w:sz="0" w:space="0" w:color="auto"/>
        <w:bottom w:val="none" w:sz="0" w:space="0" w:color="auto"/>
        <w:right w:val="none" w:sz="0" w:space="0" w:color="auto"/>
      </w:divBdr>
    </w:div>
    <w:div w:id="462625218">
      <w:bodyDiv w:val="1"/>
      <w:marLeft w:val="0"/>
      <w:marRight w:val="0"/>
      <w:marTop w:val="0"/>
      <w:marBottom w:val="0"/>
      <w:divBdr>
        <w:top w:val="none" w:sz="0" w:space="0" w:color="auto"/>
        <w:left w:val="none" w:sz="0" w:space="0" w:color="auto"/>
        <w:bottom w:val="none" w:sz="0" w:space="0" w:color="auto"/>
        <w:right w:val="none" w:sz="0" w:space="0" w:color="auto"/>
      </w:divBdr>
    </w:div>
    <w:div w:id="538318010">
      <w:bodyDiv w:val="1"/>
      <w:marLeft w:val="0"/>
      <w:marRight w:val="0"/>
      <w:marTop w:val="0"/>
      <w:marBottom w:val="0"/>
      <w:divBdr>
        <w:top w:val="none" w:sz="0" w:space="0" w:color="auto"/>
        <w:left w:val="none" w:sz="0" w:space="0" w:color="auto"/>
        <w:bottom w:val="none" w:sz="0" w:space="0" w:color="auto"/>
        <w:right w:val="none" w:sz="0" w:space="0" w:color="auto"/>
      </w:divBdr>
    </w:div>
    <w:div w:id="661391130">
      <w:bodyDiv w:val="1"/>
      <w:marLeft w:val="0"/>
      <w:marRight w:val="0"/>
      <w:marTop w:val="0"/>
      <w:marBottom w:val="0"/>
      <w:divBdr>
        <w:top w:val="none" w:sz="0" w:space="0" w:color="auto"/>
        <w:left w:val="none" w:sz="0" w:space="0" w:color="auto"/>
        <w:bottom w:val="none" w:sz="0" w:space="0" w:color="auto"/>
        <w:right w:val="none" w:sz="0" w:space="0" w:color="auto"/>
      </w:divBdr>
    </w:div>
    <w:div w:id="1100294665">
      <w:bodyDiv w:val="1"/>
      <w:marLeft w:val="0"/>
      <w:marRight w:val="0"/>
      <w:marTop w:val="0"/>
      <w:marBottom w:val="0"/>
      <w:divBdr>
        <w:top w:val="none" w:sz="0" w:space="0" w:color="auto"/>
        <w:left w:val="none" w:sz="0" w:space="0" w:color="auto"/>
        <w:bottom w:val="none" w:sz="0" w:space="0" w:color="auto"/>
        <w:right w:val="none" w:sz="0" w:space="0" w:color="auto"/>
      </w:divBdr>
    </w:div>
    <w:div w:id="1161310741">
      <w:bodyDiv w:val="1"/>
      <w:marLeft w:val="0"/>
      <w:marRight w:val="0"/>
      <w:marTop w:val="0"/>
      <w:marBottom w:val="0"/>
      <w:divBdr>
        <w:top w:val="none" w:sz="0" w:space="0" w:color="auto"/>
        <w:left w:val="none" w:sz="0" w:space="0" w:color="auto"/>
        <w:bottom w:val="none" w:sz="0" w:space="0" w:color="auto"/>
        <w:right w:val="none" w:sz="0" w:space="0" w:color="auto"/>
      </w:divBdr>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602231550">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2018075833">
          <w:marLeft w:val="288"/>
          <w:marRight w:val="0"/>
          <w:marTop w:val="115"/>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sChild>
    </w:div>
    <w:div w:id="1240022945">
      <w:bodyDiv w:val="1"/>
      <w:marLeft w:val="0"/>
      <w:marRight w:val="0"/>
      <w:marTop w:val="0"/>
      <w:marBottom w:val="0"/>
      <w:divBdr>
        <w:top w:val="none" w:sz="0" w:space="0" w:color="auto"/>
        <w:left w:val="none" w:sz="0" w:space="0" w:color="auto"/>
        <w:bottom w:val="none" w:sz="0" w:space="0" w:color="auto"/>
        <w:right w:val="none" w:sz="0" w:space="0" w:color="auto"/>
      </w:divBdr>
    </w:div>
    <w:div w:id="1383670678">
      <w:bodyDiv w:val="1"/>
      <w:marLeft w:val="0"/>
      <w:marRight w:val="0"/>
      <w:marTop w:val="0"/>
      <w:marBottom w:val="0"/>
      <w:divBdr>
        <w:top w:val="none" w:sz="0" w:space="0" w:color="auto"/>
        <w:left w:val="none" w:sz="0" w:space="0" w:color="auto"/>
        <w:bottom w:val="none" w:sz="0" w:space="0" w:color="auto"/>
        <w:right w:val="none" w:sz="0" w:space="0" w:color="auto"/>
      </w:divBdr>
    </w:div>
    <w:div w:id="1452214026">
      <w:bodyDiv w:val="1"/>
      <w:marLeft w:val="0"/>
      <w:marRight w:val="0"/>
      <w:marTop w:val="0"/>
      <w:marBottom w:val="0"/>
      <w:divBdr>
        <w:top w:val="none" w:sz="0" w:space="0" w:color="auto"/>
        <w:left w:val="none" w:sz="0" w:space="0" w:color="auto"/>
        <w:bottom w:val="none" w:sz="0" w:space="0" w:color="auto"/>
        <w:right w:val="none" w:sz="0" w:space="0" w:color="auto"/>
      </w:divBdr>
    </w:div>
    <w:div w:id="1910993862">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ga-search.clients.funnelback.com/s/search.html?query=&amp;collection=tga-art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internet/msac/publishing.nsf/Content/1541-publi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a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496-public"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msac.gov.au/internet/msac/publishing.nsf/Content/1483-publi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2C2AA-DF78-4367-A764-0C60C1F4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14714</Words>
  <Characters>83870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2022-02-17T00:27:00Z</dcterms:created>
  <dcterms:modified xsi:type="dcterms:W3CDTF">2022-03-29T00:56:00Z</dcterms:modified>
</cp:coreProperties>
</file>